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0"/>
        <w:jc w:val="center"/>
        <w:spacing w:before="120" w:after="12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84"/>
          <w:highlight w:val="none"/>
        </w:rPr>
        <w:t xml:space="preserve">招　标　文　件</w:t>
      </w:r>
      <w:r>
        <w:rPr>
          <w:color w:val="auto"/>
          <w:highlight w:val="none"/>
        </w:rPr>
      </w:r>
      <w:r/>
    </w:p>
    <w:p>
      <w:pPr>
        <w:ind w:left="0" w:right="0" w:firstLine="0"/>
        <w:jc w:val="center"/>
        <w:spacing w:before="120" w:after="12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84"/>
          <w:highlight w:val="none"/>
        </w:rPr>
        <w:t xml:space="preserve"> </w:t>
      </w:r>
      <w:r>
        <w:rPr>
          <w:color w:val="auto"/>
          <w:highlight w:val="none"/>
        </w:rPr>
      </w:r>
      <w:r/>
    </w:p>
    <w:p>
      <w:pPr>
        <w:ind w:left="2127" w:right="0" w:hanging="1484"/>
        <w:spacing w:before="120" w:after="12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项目名称：高邮市中医医院血滤机采购项目</w:t>
      </w:r>
      <w:r>
        <w:rPr>
          <w:color w:val="auto"/>
          <w:highlight w:val="none"/>
        </w:rPr>
      </w:r>
      <w:r/>
    </w:p>
    <w:p>
      <w:pPr>
        <w:ind w:left="0" w:right="0" w:firstLine="643"/>
        <w:jc w:val="both"/>
        <w:spacing w:before="120" w:after="12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项目编号：JSZC-321084-SHGK-G2025-0147 </w:t>
      </w:r>
      <w:r>
        <w:rPr>
          <w:color w:val="auto"/>
          <w:highlight w:val="none"/>
        </w:rPr>
      </w:r>
      <w:r/>
    </w:p>
    <w:p>
      <w:pPr>
        <w:ind w:left="0" w:right="0" w:firstLine="643"/>
        <w:jc w:val="both"/>
        <w:spacing w:before="120" w:after="12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r/>
    </w:p>
    <w:p>
      <w:pPr>
        <w:ind w:left="0" w:right="0" w:firstLine="2249"/>
        <w:jc w:val="both"/>
        <w:spacing w:before="120" w:after="12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r/>
    </w:p>
    <w:p>
      <w:pPr>
        <w:ind w:left="0" w:right="0" w:firstLine="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0"/>
        <w:jc w:val="center"/>
        <w:spacing w:before="120" w:after="12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江苏苏豪创新科技集团高科有限公司</w:t>
      </w:r>
      <w:r>
        <w:rPr>
          <w:color w:val="auto"/>
          <w:highlight w:val="none"/>
        </w:rPr>
      </w:r>
      <w:r/>
    </w:p>
    <w:p>
      <w:pPr>
        <w:ind w:left="0" w:right="0" w:firstLine="0"/>
        <w:jc w:val="center"/>
        <w:spacing w:before="120" w:after="12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2025年12月</w:t>
      </w:r>
      <w:r>
        <w:rPr>
          <w:color w:val="auto"/>
          <w:highlight w:val="none"/>
        </w:rPr>
      </w:r>
      <w:r/>
    </w:p>
    <w:p>
      <w:pPr>
        <w:ind w:left="0" w:right="0" w:firstLine="0"/>
        <w:spacing w:before="120" w:after="12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0"/>
        <w:jc w:val="center"/>
        <w:spacing w:before="120" w:after="12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0"/>
        <w:jc w:val="center"/>
        <w:spacing w:before="0" w:after="0" w:line="113"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44"/>
          <w:highlight w:val="none"/>
        </w:rPr>
        <w:t xml:space="preserve">总目录</w:t>
      </w:r>
      <w:r>
        <w:rPr>
          <w:color w:val="auto"/>
          <w:highlight w:val="none"/>
        </w:rPr>
      </w:r>
      <w:r/>
    </w:p>
    <w:p>
      <w:pPr>
        <w:ind w:left="0" w:right="0" w:firstLine="0"/>
        <w:jc w:val="both"/>
        <w:spacing w:before="0" w:after="0" w:line="113"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 </w:t>
      </w:r>
      <w:r>
        <w:rPr>
          <w:color w:val="auto"/>
          <w:highlight w:val="none"/>
        </w:rPr>
      </w:r>
      <w:r/>
    </w:p>
    <w:p>
      <w:pPr>
        <w:numPr>
          <w:ilvl w:val="0"/>
          <w:numId w:val="7"/>
        </w:numPr>
        <w:jc w:val="both"/>
        <w:spacing w:before="0" w:after="0" w:line="113" w:lineRule="atLeast"/>
        <w:tabs>
          <w:tab w:val="left" w:pos="144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6"/>
          <w:highlight w:val="none"/>
        </w:rPr>
        <w:t xml:space="preserve">投标邀请……………………………………2 </w:t>
      </w:r>
      <w:r>
        <w:rPr>
          <w:color w:val="auto"/>
          <w:highlight w:val="none"/>
        </w:rPr>
      </w:r>
      <w:r/>
    </w:p>
    <w:p>
      <w:pPr>
        <w:numPr>
          <w:ilvl w:val="0"/>
          <w:numId w:val="7"/>
        </w:numPr>
        <w:jc w:val="both"/>
        <w:spacing w:before="0" w:after="0" w:line="113" w:lineRule="atLeast"/>
        <w:tabs>
          <w:tab w:val="left" w:pos="144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6"/>
          <w:highlight w:val="none"/>
        </w:rPr>
        <w:t xml:space="preserve">投标人须知…………………………………6  </w:t>
      </w:r>
      <w:r>
        <w:rPr>
          <w:color w:val="auto"/>
          <w:highlight w:val="none"/>
        </w:rPr>
      </w:r>
      <w:r/>
    </w:p>
    <w:p>
      <w:pPr>
        <w:numPr>
          <w:ilvl w:val="0"/>
          <w:numId w:val="7"/>
        </w:numPr>
        <w:jc w:val="both"/>
        <w:spacing w:before="0" w:after="0" w:line="113" w:lineRule="atLeast"/>
        <w:tabs>
          <w:tab w:val="left" w:pos="144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6"/>
          <w:highlight w:val="none"/>
        </w:rPr>
        <w:t xml:space="preserve">合同文本……………………………………18</w:t>
      </w:r>
      <w:r>
        <w:rPr>
          <w:color w:val="auto"/>
          <w:highlight w:val="none"/>
        </w:rPr>
      </w:r>
      <w:r/>
    </w:p>
    <w:p>
      <w:pPr>
        <w:numPr>
          <w:ilvl w:val="0"/>
          <w:numId w:val="7"/>
        </w:numPr>
        <w:jc w:val="both"/>
        <w:spacing w:before="0" w:after="0" w:line="113" w:lineRule="atLeast"/>
        <w:tabs>
          <w:tab w:val="left" w:pos="144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6"/>
          <w:highlight w:val="none"/>
        </w:rPr>
        <w:t xml:space="preserve">采购需求……………………………………21</w:t>
      </w:r>
      <w:r>
        <w:rPr>
          <w:color w:val="auto"/>
          <w:highlight w:val="none"/>
        </w:rPr>
      </w:r>
      <w:r/>
    </w:p>
    <w:p>
      <w:pPr>
        <w:numPr>
          <w:ilvl w:val="0"/>
          <w:numId w:val="7"/>
        </w:numPr>
        <w:jc w:val="both"/>
        <w:spacing w:before="0" w:after="0" w:line="113" w:lineRule="atLeast"/>
        <w:tabs>
          <w:tab w:val="left" w:pos="144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6"/>
          <w:highlight w:val="none"/>
        </w:rPr>
        <w:t xml:space="preserve">评标方法与评标标准………………………31</w:t>
      </w:r>
      <w:r>
        <w:rPr>
          <w:color w:val="auto"/>
          <w:highlight w:val="none"/>
        </w:rPr>
      </w:r>
      <w:r/>
    </w:p>
    <w:p>
      <w:pPr>
        <w:numPr>
          <w:ilvl w:val="0"/>
          <w:numId w:val="7"/>
        </w:numPr>
        <w:jc w:val="both"/>
        <w:spacing w:before="0" w:after="0" w:line="113" w:lineRule="atLeast"/>
        <w:tabs>
          <w:tab w:val="left" w:pos="144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6"/>
          <w:highlight w:val="none"/>
        </w:rPr>
        <w:t xml:space="preserve">投标文件格式………………………………35</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44"/>
          <w:highlight w:val="none"/>
        </w:rPr>
        <w:t xml:space="preserve">第一章投标邀请</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受[高邮市中医医院]的委托，江苏苏豪创新科技集团高科有限公司就[血滤机]([项目编号：JSZC-321084-SHGK-G2025-0147 ])采购项目进行公开招标采购，欢迎符合条件的供应商投标。</w:t>
      </w:r>
      <w:r>
        <w:rPr>
          <w:color w:val="auto"/>
          <w:highlight w:val="none"/>
        </w:rPr>
      </w:r>
      <w:r/>
    </w:p>
    <w:p>
      <w:pPr>
        <w:ind w:left="0" w:right="0" w:firstLine="480"/>
        <w:jc w:val="both"/>
        <w:spacing w:before="0" w:after="0"/>
        <w:rPr>
          <w:color w:val="auto"/>
          <w:highlight w:val="none"/>
        </w:rPr>
        <w:pBdr>
          <w:top w:val="single" w:color="000000" w:sz="4" w:space="0"/>
          <w:left w:val="single" w:color="000000" w:sz="4" w:space="0"/>
          <w:bottom w:val="single" w:color="000000" w:sz="4" w:space="0"/>
          <w:right w:val="single" w:color="000000" w:sz="4" w:space="0"/>
        </w:pBdr>
      </w:pPr>
      <w:r>
        <w:rPr>
          <w:rFonts w:ascii="SimSun" w:hAnsi="SimSun" w:eastAsia="SimSun" w:cs="SimSun"/>
          <w:color w:val="auto"/>
          <w:sz w:val="24"/>
          <w:highlight w:val="none"/>
        </w:rPr>
        <w:t xml:space="preserve">项目概况</w:t>
      </w:r>
      <w:r>
        <w:rPr>
          <w:color w:val="auto"/>
          <w:highlight w:val="none"/>
        </w:rPr>
      </w:r>
      <w:r/>
    </w:p>
    <w:p>
      <w:pPr>
        <w:ind w:left="0" w:right="0" w:firstLine="480"/>
        <w:jc w:val="both"/>
        <w:spacing w:before="0" w:after="0"/>
        <w:rPr>
          <w:color w:val="auto"/>
          <w:highlight w:val="none"/>
        </w:rPr>
        <w:pBdr>
          <w:top w:val="single" w:color="000000" w:sz="4" w:space="0"/>
          <w:left w:val="single" w:color="000000" w:sz="4" w:space="0"/>
          <w:bottom w:val="single" w:color="000000" w:sz="4" w:space="0"/>
          <w:right w:val="single" w:color="000000" w:sz="4" w:space="0"/>
        </w:pBdr>
      </w:pPr>
      <w:r>
        <w:rPr>
          <w:rFonts w:ascii="SimSun" w:hAnsi="SimSun" w:eastAsia="SimSun" w:cs="SimSun"/>
          <w:color w:val="auto"/>
          <w:sz w:val="24"/>
          <w:highlight w:val="none"/>
          <w:u w:val="single"/>
        </w:rPr>
        <w:t xml:space="preserve"> (高邮市中医医院血滤机)</w:t>
      </w:r>
      <w:r>
        <w:rPr>
          <w:rFonts w:ascii="SimSun" w:hAnsi="SimSun" w:eastAsia="SimSun" w:cs="SimSun"/>
          <w:color w:val="auto"/>
          <w:sz w:val="24"/>
          <w:highlight w:val="none"/>
        </w:rPr>
        <w:t xml:space="preserve"> 招标项目的潜在投标人可在</w:t>
      </w:r>
      <w:r>
        <w:rPr>
          <w:rFonts w:ascii="SimSun" w:hAnsi="SimSun" w:eastAsia="SimSun" w:cs="SimSun"/>
          <w:color w:val="auto"/>
          <w:sz w:val="24"/>
          <w:highlight w:val="none"/>
          <w:u w:val="single"/>
        </w:rPr>
        <w:t xml:space="preserve">“扬州市政府采购网”自行免费下载</w:t>
      </w:r>
      <w:r>
        <w:rPr>
          <w:rFonts w:ascii="SimSun" w:hAnsi="SimSun" w:eastAsia="SimSun" w:cs="SimSun"/>
          <w:color w:val="auto"/>
          <w:sz w:val="24"/>
          <w:highlight w:val="none"/>
        </w:rPr>
        <w:t xml:space="preserve">招标文件，并于</w:t>
      </w:r>
      <w:r>
        <w:rPr>
          <w:rFonts w:ascii="SimSun" w:hAnsi="SimSun" w:eastAsia="SimSun" w:cs="SimSun"/>
          <w:color w:val="auto"/>
          <w:sz w:val="24"/>
          <w:highlight w:val="none"/>
          <w:u w:val="single"/>
        </w:rPr>
        <w:t xml:space="preserve">2026年1月15日10点00分（</w:t>
      </w:r>
      <w:r>
        <w:rPr>
          <w:rFonts w:ascii="SimSun" w:hAnsi="SimSun" w:eastAsia="SimSun" w:cs="SimSun"/>
          <w:color w:val="auto"/>
          <w:sz w:val="24"/>
          <w:highlight w:val="none"/>
        </w:rPr>
        <w:t xml:space="preserve">北京时间）前递交投标文件。</w:t>
      </w:r>
      <w:r>
        <w:rPr>
          <w:color w:val="auto"/>
          <w:highlight w:val="none"/>
        </w:rPr>
      </w:r>
      <w:r/>
    </w:p>
    <w:p>
      <w:pPr>
        <w:ind w:left="0" w:right="0" w:firstLine="436"/>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一、项目基本情况</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1.项目编号：JSZC-321084-SHGK-G2025-0147 </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2.项目名称：高邮市中医医院血滤机采购项目</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3.预算金额：100万</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4.本项目设定最高限价：最高限价为100万元</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5.采购需求(简介)：</w:t>
      </w:r>
      <w:r>
        <w:rPr>
          <w:color w:val="auto"/>
          <w:highlight w:val="none"/>
        </w:rPr>
      </w:r>
      <w:r/>
    </w:p>
    <w:tbl>
      <w:tblPr>
        <w:tblStyle w:val="7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6"/>
        <w:gridCol w:w="2978"/>
        <w:gridCol w:w="1381"/>
        <w:gridCol w:w="1935"/>
        <w:gridCol w:w="15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序号</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设备名称</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数量</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采购预算</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（人民币）</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是否接受进口产品投标</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01</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血滤机</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4套</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100万</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接受</w:t>
            </w:r>
            <w:r>
              <w:rPr>
                <w:color w:val="auto"/>
                <w:highlight w:val="none"/>
              </w:rPr>
            </w:r>
            <w:r/>
          </w:p>
        </w:tc>
      </w:tr>
    </w:tbl>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6.合同履行期限：以签订合同为准</w:t>
      </w:r>
      <w:r>
        <w:rPr>
          <w:color w:val="auto"/>
          <w:highlight w:val="none"/>
        </w:rPr>
      </w:r>
      <w:r/>
    </w:p>
    <w:p>
      <w:pPr>
        <w:ind w:left="0" w:right="0" w:firstLine="436"/>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二、申请人的资格要求：</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（一）通用资格要求</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1.满足《中华人民共和国政府采购法》第二十二条规定，并提供下列材料：</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1.1 法人或者其他组织的营业执照等证明文件，自然人的身份证明；</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1.2上一年度的财务状况报告（投标人成立不满一年无需提供）；</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1.4具备履行合同所必需的设备和专业技术能力的书面声明；</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1.5参加政府采购活动前3年内在经营活动中没有重大违法记录的书面声明。</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1.6供应商信用承诺函</w:t>
      </w:r>
      <w:r>
        <w:rPr>
          <w:color w:val="auto"/>
          <w:highlight w:val="none"/>
        </w:rPr>
      </w:r>
      <w:r/>
    </w:p>
    <w:p>
      <w:pPr>
        <w:ind w:left="0" w:right="0" w:firstLine="480"/>
        <w:jc w:val="both"/>
        <w:spacing w:before="0" w:after="0" w:line="43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2.落实政府采购政策需满足的资格要求：本项目非预留份额的采购项目或采购包，执行价格扣除优惠政策，给予小微型企业、监狱企业或残疾人福利性单位报价</w:t>
      </w:r>
      <w:r>
        <w:rPr>
          <w:rFonts w:ascii="SimSun" w:hAnsi="SimSun" w:eastAsia="SimSun" w:cs="SimSun"/>
          <w:b/>
          <w:color w:val="auto"/>
          <w:sz w:val="24"/>
          <w:highlight w:val="none"/>
          <w:u w:val="single"/>
        </w:rPr>
        <w:t xml:space="preserve">20%</w:t>
      </w:r>
      <w:r>
        <w:rPr>
          <w:rFonts w:ascii="SimSun" w:hAnsi="SimSun" w:eastAsia="SimSun" w:cs="SimSun"/>
          <w:color w:val="auto"/>
          <w:sz w:val="24"/>
          <w:highlight w:val="none"/>
        </w:rPr>
        <w:t xml:space="preserve">的扣除，用扣除后的价格参加评审。价格扣除比例对小型企业和微型企业同等对待，不作区分。监狱企业、残疾人福利单位属于小型、微型企业的，不重复享受政策。 </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3.本项目不接受联合体投标。</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（二）本项目的特定资格要求</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（1）投标产品如果属于医疗设备注册范畴的；投标人须根据投标产品的类别，提供《医疗器械经营企业许可证》或者《医疗器械经营备案凭证》（复印件）；</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（2）投标产品如果属于医疗设备注册范畴的；投标人须提供投标产品的《医疗器械注册证》（复印件）；</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（3）本项目接受产品代理商或经销商投标；投标产品如果为进口货物的，投标人须提供制造商出具的授权书（复印件）；</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（4）投标函；</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（5）法人授权书。</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(三)、拒绝下述供应商参加本次采购活动：</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3.1 供应商单位负责人为同一人或者存在直接控股、管理关系的不同供应商，不得参加同一合同项下的政府采购活动；</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3.2 凡为采购项目提供整体设计、规范编制或者项目管理、监理、检测等服务的供应商，不得再参加该项目的其他采购活动；</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3.3 供应商被“信用中国”网站（www.creditchina.gov.cn）、“中国政府采购网”(www.ccgp.gov.cn)列入失信被执行人、重大税收违法案件当事人名单、政府采购严重违法失信行为记录名单。</w:t>
      </w:r>
      <w:r>
        <w:rPr>
          <w:color w:val="auto"/>
          <w:highlight w:val="none"/>
        </w:rPr>
      </w:r>
      <w:r/>
    </w:p>
    <w:p>
      <w:pPr>
        <w:ind w:left="0" w:right="0" w:firstLine="436"/>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三、获取招标文件</w:t>
      </w:r>
      <w:r>
        <w:rPr>
          <w:color w:val="auto"/>
          <w:highlight w:val="none"/>
        </w:rPr>
      </w:r>
      <w:r/>
    </w:p>
    <w:p>
      <w:pPr>
        <w:ind w:left="0" w:right="0" w:firstLine="54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1.时间：自公告发布之日起5个工作日。5个工作日后，仍可以下载招标文件，但不作为供应商权利损害的证明材料和依据。</w:t>
      </w:r>
      <w:r>
        <w:rPr>
          <w:color w:val="auto"/>
          <w:highlight w:val="none"/>
        </w:rPr>
      </w:r>
      <w:r/>
    </w:p>
    <w:p>
      <w:pPr>
        <w:ind w:left="0" w:right="0" w:firstLine="54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2.方式：在“扬州市政府采购网”自行免费下载招标文件。</w:t>
      </w:r>
      <w:r>
        <w:rPr>
          <w:color w:val="auto"/>
          <w:highlight w:val="none"/>
        </w:rPr>
      </w:r>
      <w:r/>
    </w:p>
    <w:p>
      <w:pPr>
        <w:ind w:left="0" w:right="0" w:firstLine="436"/>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四、提交投标文件截止时间、开标时间和地点</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1.提交投标文件截止时间、开标时间:</w:t>
      </w:r>
      <w:r>
        <w:rPr>
          <w:rFonts w:ascii="SimSun" w:hAnsi="SimSun" w:eastAsia="SimSun" w:cs="SimSun"/>
          <w:color w:val="auto"/>
          <w:sz w:val="24"/>
          <w:highlight w:val="none"/>
          <w:u w:val="single"/>
        </w:rPr>
        <w:t xml:space="preserve"> 2026年1月15日10点00分</w:t>
      </w:r>
      <w:r>
        <w:rPr>
          <w:rFonts w:ascii="SimSun" w:hAnsi="SimSun" w:eastAsia="SimSun" w:cs="SimSun"/>
          <w:color w:val="auto"/>
          <w:sz w:val="24"/>
          <w:highlight w:val="none"/>
        </w:rPr>
        <w:t xml:space="preserve">（北京时间）。</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2.地点：“苏采云”政府采购交易系统网上开标大厅。</w:t>
      </w:r>
      <w:r>
        <w:rPr>
          <w:color w:val="auto"/>
          <w:highlight w:val="none"/>
        </w:rPr>
      </w:r>
      <w:r/>
    </w:p>
    <w:p>
      <w:pPr>
        <w:ind w:left="0" w:right="0" w:firstLine="436"/>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五、公告期限</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招标公告及招标文件公告期限为自本公告发布之日起5个工作日。</w:t>
      </w:r>
      <w:r>
        <w:rPr>
          <w:color w:val="auto"/>
          <w:highlight w:val="none"/>
        </w:rPr>
      </w:r>
      <w:r/>
    </w:p>
    <w:p>
      <w:pPr>
        <w:ind w:left="0" w:right="0" w:firstLine="436"/>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六、其他补充事宜</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1.本项目招标文件中所有斜体下划线部分为实质性条款，如不满足，则为无效投标。</w:t>
      </w:r>
      <w:r>
        <w:rPr>
          <w:color w:val="auto"/>
          <w:highlight w:val="none"/>
        </w:rPr>
      </w:r>
      <w:r/>
    </w:p>
    <w:p>
      <w:pPr>
        <w:ind w:left="0" w:right="0" w:firstLine="480"/>
        <w:jc w:val="both"/>
        <w:spacing w:before="0" w:after="0"/>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本次采购采用“政府采购管理交易系统（苏采云）”，招标、投标、评标和中标结果发布全程电子化，开标方式为不见面开标。供应商应当按照《“苏采云”系统供应商操作手册》参加投标活动。如供应商未按要求操作，由此所产生的风险由供应商自行承担。 </w:t>
      </w:r>
      <w:r>
        <w:rPr>
          <w:color w:val="auto"/>
          <w:highlight w:val="none"/>
        </w:rPr>
      </w:r>
      <w:r/>
    </w:p>
    <w:p>
      <w:pPr>
        <w:ind w:left="0" w:right="0" w:firstLine="480"/>
        <w:jc w:val="both"/>
        <w:spacing w:before="0" w:after="0"/>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3.供应商如确定参加投标，可自行下载采购文件及有关资料，按照《操作手册》进行注册，领取CA和办理电子签章，并按《操作手册》要求制作、上传电子投标文件，技术支持联系方式：13813140731。</w:t>
      </w:r>
      <w:r>
        <w:rPr>
          <w:color w:val="auto"/>
          <w:highlight w:val="none"/>
        </w:rPr>
      </w:r>
      <w:r/>
    </w:p>
    <w:p>
      <w:pPr>
        <w:ind w:left="0" w:right="0" w:firstLine="480"/>
        <w:jc w:val="both"/>
        <w:spacing w:before="0" w:after="0"/>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w:t>
      </w:r>
      <w:r>
        <w:rPr>
          <w:rFonts w:ascii="SimSun" w:hAnsi="SimSun" w:eastAsia="SimSun" w:cs="SimSun"/>
          <w:color w:val="auto"/>
          <w:sz w:val="21"/>
          <w:highlight w:val="none"/>
        </w:rPr>
        <w:t xml:space="preserve"> </w:t>
      </w:r>
      <w:r>
        <w:rPr>
          <w:rFonts w:ascii="SimSun" w:hAnsi="SimSun" w:eastAsia="SimSun" w:cs="SimSun"/>
          <w:color w:val="auto"/>
          <w:sz w:val="24"/>
          <w:highlight w:val="none"/>
        </w:rPr>
        <w:t xml:space="preserve">潜在供应商对采购文件项目需求部分的询问、质疑请向采购人提出，由采购人负责答复。</w:t>
      </w:r>
      <w:r>
        <w:rPr>
          <w:color w:val="auto"/>
          <w:highlight w:val="none"/>
        </w:rPr>
      </w:r>
      <w:r/>
    </w:p>
    <w:p>
      <w:pPr>
        <w:ind w:left="0" w:right="0" w:firstLine="480"/>
        <w:jc w:val="both"/>
        <w:spacing w:before="0" w:after="0"/>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5. 有关本次招标的事项若存在变动或修改，敬请及时关注“扬州市政府采购网”、 “江苏省政府采购网”发布的更正公告。</w:t>
      </w:r>
      <w:r>
        <w:rPr>
          <w:color w:val="auto"/>
          <w:highlight w:val="none"/>
        </w:rPr>
      </w:r>
      <w:r/>
    </w:p>
    <w:p>
      <w:pPr>
        <w:ind w:left="0" w:right="0" w:firstLine="480"/>
        <w:jc w:val="both"/>
        <w:spacing w:before="0" w:after="0"/>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6. 本次招标不收取投标保证金。</w:t>
      </w:r>
      <w:r>
        <w:rPr>
          <w:color w:val="auto"/>
          <w:highlight w:val="none"/>
        </w:rPr>
      </w:r>
      <w:r/>
    </w:p>
    <w:p>
      <w:pPr>
        <w:ind w:left="0" w:right="0" w:firstLine="436"/>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七、本次招标联系方式</w:t>
      </w:r>
      <w:r>
        <w:rPr>
          <w:color w:val="auto"/>
          <w:highlight w:val="none"/>
        </w:rPr>
      </w:r>
      <w:r/>
    </w:p>
    <w:p>
      <w:pPr>
        <w:ind w:left="0" w:right="0" w:firstLine="48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1.采 购 人：高邮市中医医院</w:t>
      </w:r>
      <w:r>
        <w:rPr>
          <w:color w:val="auto"/>
          <w:highlight w:val="none"/>
        </w:rPr>
      </w:r>
      <w:r/>
    </w:p>
    <w:p>
      <w:pPr>
        <w:ind w:left="0" w:right="0" w:firstLine="48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联系地址：江苏省高邮市海潮路1号</w:t>
      </w:r>
      <w:r>
        <w:rPr>
          <w:color w:val="auto"/>
          <w:highlight w:val="none"/>
        </w:rPr>
      </w:r>
      <w:r/>
    </w:p>
    <w:p>
      <w:pPr>
        <w:ind w:left="0" w:right="0" w:firstLine="48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 系 人：韦科长</w:t>
      </w:r>
      <w:r>
        <w:rPr>
          <w:color w:val="auto"/>
          <w:highlight w:val="none"/>
        </w:rPr>
      </w:r>
      <w:r/>
    </w:p>
    <w:p>
      <w:pPr>
        <w:ind w:left="0" w:right="0" w:firstLine="48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联系电话：0514-84610120</w:t>
      </w:r>
      <w:r>
        <w:rPr>
          <w:color w:val="auto"/>
          <w:highlight w:val="none"/>
        </w:rPr>
      </w:r>
      <w:r/>
    </w:p>
    <w:p>
      <w:pPr>
        <w:ind w:left="0" w:right="0" w:firstLine="48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2.采购代理机构：江苏苏豪创新科技集团高科有限公司</w:t>
      </w:r>
      <w:r>
        <w:rPr>
          <w:color w:val="auto"/>
          <w:highlight w:val="none"/>
        </w:rPr>
      </w:r>
      <w:r/>
    </w:p>
    <w:p>
      <w:pPr>
        <w:ind w:left="0" w:right="0" w:firstLine="48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联系地址：南京市雨花台区软件大道21号苏豪国际广场北园（原舜天集团）C座617室</w:t>
      </w:r>
      <w:r>
        <w:rPr>
          <w:color w:val="auto"/>
          <w:highlight w:val="none"/>
        </w:rPr>
      </w:r>
      <w:r/>
    </w:p>
    <w:p>
      <w:pPr>
        <w:ind w:left="0" w:right="0" w:firstLine="48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 系 人：朱笑青</w:t>
      </w:r>
      <w:r>
        <w:rPr>
          <w:color w:val="auto"/>
          <w:highlight w:val="none"/>
        </w:rPr>
      </w:r>
      <w:r/>
    </w:p>
    <w:p>
      <w:pPr>
        <w:ind w:left="0" w:right="0" w:firstLine="48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联系电话：025-52875975</w:t>
      </w:r>
      <w:r>
        <w:rPr>
          <w:color w:val="auto"/>
          <w:highlight w:val="none"/>
        </w:rPr>
      </w:r>
      <w:r/>
    </w:p>
    <w:p>
      <w:pPr>
        <w:ind w:left="0" w:right="0" w:firstLine="48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3.项目联系方式：</w:t>
      </w:r>
      <w:r>
        <w:rPr>
          <w:color w:val="auto"/>
          <w:highlight w:val="none"/>
        </w:rPr>
      </w:r>
      <w:r/>
    </w:p>
    <w:p>
      <w:pPr>
        <w:ind w:left="0" w:right="0" w:firstLine="48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项目联系人：吴冬晓、魏欣倩</w:t>
      </w:r>
      <w:r>
        <w:rPr>
          <w:color w:val="auto"/>
          <w:highlight w:val="none"/>
        </w:rPr>
      </w:r>
      <w:r/>
    </w:p>
    <w:p>
      <w:pPr>
        <w:ind w:left="0" w:right="0" w:firstLine="48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电话：025-52874082、025-52875946</w:t>
      </w:r>
      <w:r>
        <w:rPr>
          <w:color w:val="auto"/>
          <w:highlight w:val="none"/>
        </w:rPr>
      </w:r>
      <w:r/>
    </w:p>
    <w:p>
      <w:pPr>
        <w:ind w:left="0" w:right="0" w:firstLine="436"/>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八、落实好政府采购履约资金扶持政策及其他相关政策</w:t>
      </w:r>
      <w:r>
        <w:rPr>
          <w:color w:val="auto"/>
          <w:highlight w:val="none"/>
        </w:rPr>
      </w:r>
      <w:r/>
    </w:p>
    <w:p>
      <w:pPr>
        <w:ind w:left="0" w:right="0" w:firstLine="480"/>
        <w:jc w:val="both"/>
        <w:spacing w:before="0" w:after="0"/>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1、中标/成交供应商可凭政府采购合同办理融资贷款，详见江苏政府采购网“政采贷”专栏。”</w:t>
      </w:r>
      <w:r>
        <w:rPr>
          <w:color w:val="auto"/>
          <w:highlight w:val="none"/>
        </w:rPr>
      </w:r>
      <w:r/>
    </w:p>
    <w:p>
      <w:pPr>
        <w:ind w:left="0" w:right="0" w:firstLine="480"/>
        <w:jc w:val="both"/>
        <w:spacing w:before="0" w:after="0"/>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严格执行政府采购关于支持节能产品、环境标志产品的相关政策规定。如本次采购的产品属于财政部、国家发展改革委、生态环境部、市场监管总局等部门发布的节能产品、环境标志产品品目清单政府强制采购范围的，投标人必须在投标文件中提供所投产品的相关证书(由国家确定的认证机构出具的、处于有效期之内的节能产品、环境标志产品认证证书)。节能产品、环境标志产品品目清单以递交投标文件截止时已正式公布的最近一期信息为准，如属政府强制采购产品未提供认证证书的或认证证书提供不全的将视为未实质性响应采购要求。其他条件相同情况下，应当优先</w:t>
      </w:r>
      <w:r>
        <w:rPr>
          <w:rFonts w:ascii="SimSun" w:hAnsi="SimSun" w:eastAsia="SimSun" w:cs="SimSun"/>
          <w:color w:val="auto"/>
          <w:sz w:val="24"/>
          <w:highlight w:val="none"/>
        </w:rPr>
        <w:t xml:space="preserve">采购节能产品、环境标志产品。</w:t>
      </w:r>
      <w:r>
        <w:rPr>
          <w:color w:val="auto"/>
          <w:highlight w:val="none"/>
        </w:rPr>
      </w:r>
      <w:r/>
    </w:p>
    <w:p>
      <w:pPr>
        <w:ind w:left="0" w:right="0" w:firstLine="480"/>
        <w:jc w:val="both"/>
        <w:spacing w:before="0" w:after="0"/>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为提升政府采购供应商的融资可得性，解决中小企业融资难问题，中国人民银行、市财政局、市公共资源交易中心推出了政府采购线上应收账款融资模式。各供应商如果有融资需求，可以凭借政府采购中标（成交）通知书或政府采购合同，通过中国人民银行征信中心“中征应收账款融资服务平台（https://www.crcrfsp.com）”向参与政府采购融资业务的金融机构申请线上融资，相关事宜可向市人民银行咨询，联系电话：0514-87936653。</w:t>
      </w:r>
      <w:r>
        <w:rPr>
          <w:color w:val="auto"/>
          <w:highlight w:val="none"/>
        </w:rPr>
      </w:r>
      <w:r/>
    </w:p>
    <w:p>
      <w:pPr>
        <w:ind w:left="0" w:right="0" w:firstLine="480"/>
        <w:jc w:val="both"/>
        <w:spacing w:before="0" w:after="0"/>
        <w:tabs>
          <w:tab w:val="left" w:pos="90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4、供应商对于投标产品的包装应按照“财办库〔2020〕123号《关于印发《商品包装政府采购需求标准（试行）》、《快递包装政府采购需求标准（试行）》的通知》”执行。</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44"/>
          <w:highlight w:val="none"/>
        </w:rPr>
        <w:t xml:space="preserve">第二章投标人须知</w:t>
      </w:r>
      <w:r>
        <w:rPr>
          <w:color w:val="auto"/>
          <w:highlight w:val="none"/>
        </w:rPr>
      </w:r>
      <w:r/>
    </w:p>
    <w:p>
      <w:pPr>
        <w:ind w:left="0" w:right="0" w:firstLine="498"/>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一、总则</w:t>
      </w:r>
      <w:r>
        <w:rPr>
          <w:color w:val="auto"/>
          <w:highlight w:val="none"/>
        </w:rPr>
      </w: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1、招标方式</w:t>
      </w:r>
      <w:r>
        <w:rPr>
          <w:color w:val="auto"/>
          <w:highlight w:val="none"/>
        </w:rPr>
      </w:r>
      <w:r/>
    </w:p>
    <w:p>
      <w:pPr>
        <w:ind w:left="0" w:right="0" w:firstLine="42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1.1 本次招标采取公开招标方式，本招标文件仅适用于招标公告中所述项目。</w:t>
      </w:r>
      <w:r>
        <w:rPr>
          <w:color w:val="auto"/>
          <w:highlight w:val="none"/>
        </w:rPr>
      </w: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2、合格的投标人</w:t>
      </w:r>
      <w:r>
        <w:rPr>
          <w:color w:val="auto"/>
          <w:highlight w:val="none"/>
        </w:rPr>
      </w:r>
      <w:r/>
    </w:p>
    <w:p>
      <w:pPr>
        <w:ind w:left="0" w:right="0" w:firstLine="42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2.1 满足招标公告中供应商的资格要求的规定。</w:t>
      </w:r>
      <w:r>
        <w:rPr>
          <w:color w:val="auto"/>
          <w:highlight w:val="none"/>
        </w:rPr>
      </w:r>
      <w:r/>
    </w:p>
    <w:p>
      <w:pPr>
        <w:ind w:left="0" w:right="0" w:firstLine="42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2.2 满足本文件实质性要求和条件的规定。</w:t>
      </w:r>
      <w:r>
        <w:rPr>
          <w:color w:val="auto"/>
          <w:highlight w:val="none"/>
        </w:rPr>
      </w: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3、适用法律</w:t>
      </w:r>
      <w:r>
        <w:rPr>
          <w:color w:val="auto"/>
          <w:highlight w:val="none"/>
        </w:rPr>
      </w:r>
      <w:r/>
    </w:p>
    <w:p>
      <w:pPr>
        <w:ind w:left="0" w:right="0" w:firstLine="42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3.1 本次招标及由此产生的合同受中华人民共和国有关的法律法规制约和保护。</w:t>
      </w:r>
      <w:r>
        <w:rPr>
          <w:color w:val="auto"/>
          <w:highlight w:val="none"/>
        </w:rPr>
      </w: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4、投标费用</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4.1 投标人应自行承担所有与参加投标有关的费用，无论投标过程中的做法和结果如何，代理机构在任何情况下均无义务和责任承担这些费用。</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4.2本次招标招标代理机构不收取标书工本费。</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4.3中标服务费收费标准：</w:t>
      </w:r>
      <w:r>
        <w:rPr>
          <w:rFonts w:ascii="SimSun" w:hAnsi="SimSun" w:eastAsia="SimSun" w:cs="SimSun"/>
          <w:b/>
          <w:color w:val="auto"/>
          <w:sz w:val="24"/>
          <w:highlight w:val="none"/>
        </w:rPr>
        <w:t xml:space="preserve">招标代理机构以中标金额为基数，按照国家发展计划委员会计价格（2002）1980号文件货物招标收费标准向中标供应商收取。</w:t>
      </w:r>
      <w:r>
        <w:rPr>
          <w:color w:val="auto"/>
          <w:highlight w:val="none"/>
        </w:rPr>
      </w: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5、招标文件的约束力</w:t>
      </w:r>
      <w:r>
        <w:rPr>
          <w:color w:val="auto"/>
          <w:highlight w:val="none"/>
        </w:rPr>
      </w:r>
      <w:r/>
    </w:p>
    <w:p>
      <w:pPr>
        <w:ind w:left="0" w:right="0" w:firstLine="42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5.1 投标人一旦参加本项目采购活动，即被认为接受了本招标文件的规定和约束。</w:t>
      </w:r>
      <w:r>
        <w:rPr>
          <w:color w:val="auto"/>
          <w:highlight w:val="none"/>
        </w:rPr>
      </w:r>
      <w:r/>
    </w:p>
    <w:p>
      <w:pPr>
        <w:ind w:left="0" w:right="0" w:firstLine="321"/>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二、招标文件</w:t>
      </w:r>
      <w:r>
        <w:rPr>
          <w:color w:val="auto"/>
          <w:highlight w:val="none"/>
        </w:rPr>
      </w: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6、招标文件构成</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6.1 招标文件由以下部分组成：</w:t>
      </w:r>
      <w:r>
        <w:rPr>
          <w:color w:val="auto"/>
          <w:highlight w:val="none"/>
        </w:rPr>
      </w:r>
      <w:r/>
    </w:p>
    <w:p>
      <w:pPr>
        <w:ind w:left="0" w:right="0" w:firstLine="3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（1）投标邀请</w:t>
      </w:r>
      <w:r>
        <w:rPr>
          <w:color w:val="auto"/>
          <w:highlight w:val="none"/>
        </w:rPr>
      </w:r>
      <w:r/>
    </w:p>
    <w:p>
      <w:pPr>
        <w:ind w:left="0" w:right="0" w:firstLine="3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（2）投标人须知</w:t>
      </w:r>
      <w:r>
        <w:rPr>
          <w:color w:val="auto"/>
          <w:highlight w:val="none"/>
        </w:rPr>
      </w:r>
      <w:r/>
    </w:p>
    <w:p>
      <w:pPr>
        <w:ind w:left="0" w:right="0" w:firstLine="3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（3）合同文本</w:t>
      </w:r>
      <w:r>
        <w:rPr>
          <w:color w:val="auto"/>
          <w:highlight w:val="none"/>
        </w:rPr>
      </w:r>
      <w:r/>
    </w:p>
    <w:p>
      <w:pPr>
        <w:ind w:left="0" w:right="0" w:firstLine="3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（4）采购需求</w:t>
      </w:r>
      <w:r>
        <w:rPr>
          <w:color w:val="auto"/>
          <w:highlight w:val="none"/>
        </w:rPr>
      </w:r>
      <w:r/>
    </w:p>
    <w:p>
      <w:pPr>
        <w:ind w:left="0" w:right="0" w:firstLine="3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（5）评标方法与评标标准</w:t>
      </w:r>
      <w:r>
        <w:rPr>
          <w:color w:val="auto"/>
          <w:highlight w:val="none"/>
        </w:rPr>
      </w:r>
      <w:r/>
    </w:p>
    <w:p>
      <w:pPr>
        <w:ind w:left="0" w:right="0" w:firstLine="36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（6）投标文件格式</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请仔细检查招标文件是否齐全，如有缺漏请立即与代理机构联系解决。</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color w:val="auto"/>
          <w:highlight w:val="none"/>
        </w:rPr>
      </w:r>
      <w:r/>
    </w:p>
    <w:p>
      <w:pPr>
        <w:ind w:left="0" w:right="0" w:firstLine="56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7、招标文件的澄清</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7.1 任何要求对招标文件进行澄清的投标人，应在投标截止期</w:t>
      </w:r>
      <w:r>
        <w:rPr>
          <w:rFonts w:ascii="SimSun" w:hAnsi="SimSun" w:eastAsia="SimSun" w:cs="SimSun"/>
          <w:b/>
          <w:color w:val="auto"/>
          <w:sz w:val="24"/>
          <w:highlight w:val="none"/>
        </w:rPr>
        <w:t xml:space="preserve">十日</w:t>
      </w:r>
      <w:r>
        <w:rPr>
          <w:rFonts w:ascii="SimSun" w:hAnsi="SimSun" w:eastAsia="SimSun" w:cs="SimSun"/>
          <w:color w:val="auto"/>
          <w:sz w:val="24"/>
          <w:highlight w:val="none"/>
        </w:rPr>
        <w:t xml:space="preserve">前按招标公告中的通讯地址，以书面形式通知代理机构。</w:t>
      </w:r>
      <w:r>
        <w:rPr>
          <w:color w:val="auto"/>
          <w:highlight w:val="none"/>
        </w:rPr>
      </w:r>
      <w:r/>
    </w:p>
    <w:p>
      <w:pPr>
        <w:ind w:left="0" w:right="0" w:firstLine="56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8、招标文件的修改</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8.1 在投标截止时间前，代理机构可以对招标文件进行修改。</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8.2 代理机构有权按照法定的要求推迟投标截止日期和开标日期。</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8.3 招标文件的修改将在江苏政府采购网公布，补充文件将作为招标文件的组成部分，并对投标人具有约束力。</w:t>
      </w:r>
      <w:r>
        <w:rPr>
          <w:color w:val="auto"/>
          <w:highlight w:val="none"/>
        </w:rPr>
      </w:r>
      <w:r/>
    </w:p>
    <w:p>
      <w:pPr>
        <w:ind w:left="0" w:right="0" w:firstLine="482"/>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三、投标文件的编制</w:t>
      </w:r>
      <w:r>
        <w:rPr>
          <w:color w:val="auto"/>
          <w:highlight w:val="none"/>
        </w:rPr>
      </w:r>
      <w:r/>
    </w:p>
    <w:p>
      <w:pPr>
        <w:ind w:left="0" w:right="0" w:firstLine="56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9、投标文件的语言及度量衡单位</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9.1 投标人提交的投标文件以及投标人与代理机构就有关投标的所有来往通知、函件和文件均应使用</w:t>
      </w:r>
      <w:r>
        <w:rPr>
          <w:rFonts w:ascii="SimSun" w:hAnsi="SimSun" w:eastAsia="SimSun" w:cs="SimSun"/>
          <w:b/>
          <w:color w:val="auto"/>
          <w:sz w:val="24"/>
          <w:highlight w:val="none"/>
        </w:rPr>
        <w:t xml:space="preserve">简体中文</w:t>
      </w:r>
      <w:r>
        <w:rPr>
          <w:rFonts w:ascii="SimSun" w:hAnsi="SimSun" w:eastAsia="SimSun" w:cs="SimSun"/>
          <w:color w:val="auto"/>
          <w:sz w:val="24"/>
          <w:highlight w:val="none"/>
        </w:rPr>
        <w:t xml:space="preserve">。</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9.2 除技术性能另有规定外，投标文件所使用的度量衡单位，均须采用国家法定计量单位。</w:t>
      </w:r>
      <w:r>
        <w:rPr>
          <w:color w:val="auto"/>
          <w:highlight w:val="none"/>
        </w:rPr>
      </w: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10、投标文件构成</w:t>
      </w:r>
      <w:r>
        <w:rPr>
          <w:color w:val="auto"/>
          <w:highlight w:val="none"/>
        </w:rPr>
      </w: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10.1 投标人编写的投标文件应包括资格证明文件、符合性证明文件、投标分项报价表、技术要求响应及偏离表、商务要求响应及偏离表、其他证明文件、投标函、开标一览表等部分。</w:t>
      </w:r>
      <w:r>
        <w:rPr>
          <w:color w:val="auto"/>
          <w:highlight w:val="none"/>
        </w:rPr>
      </w: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10.2 如标书制作工具中格式和内容与“江苏政府采购网”发布的招标文件不一致，请以“江苏政府采购网”发布的招标文件为准。</w:t>
      </w:r>
      <w:r>
        <w:rPr>
          <w:color w:val="auto"/>
          <w:highlight w:val="none"/>
        </w:rPr>
      </w: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11、证明投标人及投标标的符合招标文件规定的文件</w:t>
      </w:r>
      <w:r>
        <w:rPr>
          <w:color w:val="auto"/>
          <w:highlight w:val="none"/>
        </w:rPr>
      </w:r>
      <w:r/>
    </w:p>
    <w:p>
      <w:pPr>
        <w:ind w:left="0" w:right="0" w:firstLine="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11.1 投标人应按照招标文件要求提交证明文件，证明其及投标标的符合招标文件规定。</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11.2招标文件对证明文件无明确形式要求的，证明文件可以以文字资料、图纸和数据等形式提交。</w:t>
      </w:r>
      <w:r>
        <w:rPr>
          <w:color w:val="auto"/>
          <w:highlight w:val="none"/>
        </w:rPr>
      </w: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12、投标分项报价表</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12.1 投标人应按照招标文件规定格式填报投标分项报价表。</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12.2 投标货币。投标文件中的单价和总价无特殊规定的采用人民币报价，以元为单位标注。招标文件中另有规定的按规定执行。</w:t>
      </w:r>
      <w:r>
        <w:rPr>
          <w:color w:val="auto"/>
          <w:highlight w:val="none"/>
        </w:rPr>
      </w: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13、技术要求响应及偏离表、商务要求响应及偏离表</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13.1 投标人需对招标文件中的技术要求与商务要求逐项作出响应或偏离，并说明原因。</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13.2 投标人可在投标文件中提供认为需要的其他技术文件或说明。</w:t>
      </w:r>
      <w:r>
        <w:rPr>
          <w:color w:val="auto"/>
          <w:highlight w:val="none"/>
        </w:rPr>
      </w: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14、服务承诺、培训计划、人员安排及其他</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14.1 投标人需根据招标文件要求提供有关售后服务的管理制度，售后服务机构的分布情况，售后服务人员的数量、素质、技术水平及售后服务的反应能力等。</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14.2 投标人需根据招标文件要求提供培训计划。</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14.3  投标人需根据招标文件要求提供所投标的的主要组成部分、功能设计、实现思路及关键技术等。</w:t>
      </w:r>
      <w:r>
        <w:rPr>
          <w:color w:val="auto"/>
          <w:highlight w:val="none"/>
        </w:rPr>
      </w: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15、投标函和开标一览表</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15.1 投标人应按照招标文件中提供的格式完整、正确填写投标函、开标一览表。</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15.2 对于采用货币报价的项目，开标一览表中的投标总报价应与投标分项报价表中的投标总报价一致，如不一致，不作为无效投标处理，但评标时按开标一览表中价格为准。</w:t>
      </w:r>
      <w:r>
        <w:rPr>
          <w:color w:val="auto"/>
          <w:highlight w:val="none"/>
        </w:rPr>
      </w: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16、投标有效期</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16.1投标有效期为开标之日后</w:t>
      </w:r>
      <w:r>
        <w:rPr>
          <w:rFonts w:ascii="SimSun" w:hAnsi="SimSun" w:eastAsia="SimSun" w:cs="SimSun"/>
          <w:b/>
          <w:color w:val="auto"/>
          <w:sz w:val="24"/>
          <w:highlight w:val="none"/>
          <w:u w:val="single"/>
        </w:rPr>
        <w:t xml:space="preserve">六十（60）天</w:t>
      </w:r>
      <w:r>
        <w:rPr>
          <w:rFonts w:ascii="SimSun" w:hAnsi="SimSun" w:eastAsia="SimSun" w:cs="SimSun"/>
          <w:color w:val="auto"/>
          <w:sz w:val="24"/>
          <w:highlight w:val="none"/>
        </w:rPr>
        <w:t xml:space="preserve">。投标有效期比规定短的将被视为未实质性响应招标文件而予以拒绝。</w:t>
      </w:r>
      <w:r>
        <w:rPr>
          <w:color w:val="auto"/>
          <w:highlight w:val="none"/>
        </w:rPr>
      </w: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17、投标有效期的延长</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17.1在特殊情况下，代理机构于原投标有效期满之前，可向投标人提出延长投标有效期的要求。这种要求与答复均应采用书面形式。投标人可以拒绝代理机构的这一要求而放弃投标，同意延长投标有效期的投标人既不能要求也不允许修改其投标文件。受投标有效期约束的所有权利与义务均延长至新的有效期。</w:t>
      </w:r>
      <w:r>
        <w:rPr>
          <w:color w:val="auto"/>
          <w:highlight w:val="none"/>
        </w:rPr>
      </w:r>
      <w:r/>
    </w:p>
    <w:p>
      <w:pPr>
        <w:ind w:left="0" w:right="0" w:firstLine="0"/>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四、投标文件的递交</w:t>
      </w:r>
      <w:r>
        <w:rPr>
          <w:color w:val="auto"/>
          <w:highlight w:val="none"/>
        </w:rPr>
      </w: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18、电子投标文件的递交</w:t>
      </w:r>
      <w:r>
        <w:rPr>
          <w:color w:val="auto"/>
          <w:highlight w:val="none"/>
        </w:rPr>
      </w:r>
      <w:r/>
    </w:p>
    <w:p>
      <w:pPr>
        <w:ind w:left="525"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18.1投标人应当按照《操作手册》规定，在投标截止时间前制作并上传电子投标</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文件。</w:t>
      </w:r>
      <w:r>
        <w:rPr>
          <w:color w:val="auto"/>
          <w:highlight w:val="none"/>
        </w:rPr>
      </w:r>
      <w:r/>
    </w:p>
    <w:p>
      <w:pPr>
        <w:ind w:left="0" w:right="0" w:firstLine="420"/>
        <w:jc w:val="both"/>
        <w:spacing w:before="280" w:after="290" w:line="8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19、投标截止日期</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19.1 投标人上传电子投标文件的时间不得迟于招标公告中规定的投标截止时间。</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投标人应充分考虑到网络环境、网络带宽等风险因素，如因投标人自身原因造成的电子投标文件上传不成功的按照本招标文件第二章第27.1.2条规定做无效投标处理。</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19.2代理机构可以按照规定，通过修改招标文件酌情延长投标截止日期，在此情况下，投标人的所有权利和义务以及投标人受制的截止日期均应以延长后新的截止日期为准。</w:t>
      </w:r>
      <w:r>
        <w:rPr>
          <w:color w:val="auto"/>
          <w:highlight w:val="none"/>
        </w:rPr>
      </w: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20、投标文件的拒收</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20.1代理机构拒绝接收在其规定的投标截止时间后上传的任何投标文件。</w:t>
      </w:r>
      <w:r>
        <w:rPr>
          <w:color w:val="auto"/>
          <w:highlight w:val="none"/>
        </w:rPr>
      </w: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21、投标文件的撤回和修改</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21.1 投标文件的撤回</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21.1.1 电子投标文件的撤回</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投标人可在投标截止时间前，撤回其电子投标文件，具体操作方法见《操作手册》。</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21.1.2 投标人撤回电子投标文件，则认为其不再参与本项目投标活动。</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21.2 投标文件的修改</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21.2.1投标人可在投标截止时间前，对其电子投标文件进行修改，具体操作方法见《操作手册》。</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21.2.2 在投标截止时间之后，投标人不得对其电子投标文件作任何修改。</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21.3 在投标截止时间至招标文件中规定的投标有效期满之间的这段时间内，投标人不得撤回其投标。</w:t>
      </w:r>
      <w:r>
        <w:rPr>
          <w:color w:val="auto"/>
          <w:highlight w:val="none"/>
        </w:rPr>
      </w:r>
      <w:r/>
    </w:p>
    <w:p>
      <w:pPr>
        <w:ind w:left="0" w:right="0" w:firstLine="482"/>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五、开标与评标</w:t>
      </w:r>
      <w:r>
        <w:rPr>
          <w:color w:val="auto"/>
          <w:highlight w:val="none"/>
        </w:rPr>
      </w: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22、开标</w:t>
      </w:r>
      <w:r>
        <w:rPr>
          <w:color w:val="auto"/>
          <w:highlight w:val="none"/>
        </w:rPr>
      </w:r>
      <w:r/>
    </w:p>
    <w:p>
      <w:pPr>
        <w:ind w:left="0" w:right="0" w:firstLine="36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22.1代理机构将在招标公告中规定的时间和地点组织公开开标。投标人应当按照《操作手册》规定，参加开标活动和在苏采云系统规定的时间内对投标文件进行解密。</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22.2开标仪式由代理机构组织。苏采云系统将自动对项目进行开标，并宣布各投标人名称和投标价格。</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22.3投标人在开标过程中涉及到的投标文件解密、开标结果确认等工作，应按照《操作手册》规定执行。</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22.4投标人如果对开标过程和开标记录有疑义，应当根据《操作手册》规定提出，如 苏采云系统中《开标记录表》宣布后5分钟内未提出的，视同认可开标结果。</w:t>
      </w:r>
      <w:r>
        <w:rPr>
          <w:color w:val="auto"/>
          <w:highlight w:val="none"/>
        </w:rPr>
      </w: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23、评标委员会</w:t>
      </w:r>
      <w:r>
        <w:rPr>
          <w:color w:val="auto"/>
          <w:highlight w:val="none"/>
        </w:rPr>
      </w:r>
      <w:r/>
    </w:p>
    <w:p>
      <w:pPr>
        <w:ind w:left="0" w:right="0" w:firstLine="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  </w:t>
      </w:r>
      <w:r>
        <w:rPr>
          <w:rFonts w:ascii="SimSun" w:hAnsi="SimSun" w:eastAsia="SimSun" w:cs="SimSun"/>
          <w:color w:val="auto"/>
          <w:sz w:val="24"/>
          <w:highlight w:val="none"/>
        </w:rPr>
        <w:t xml:space="preserve"> 23.1</w:t>
      </w:r>
      <w:r>
        <w:rPr>
          <w:rFonts w:ascii="SimSun" w:hAnsi="SimSun" w:eastAsia="SimSun" w:cs="SimSun"/>
          <w:b/>
          <w:color w:val="auto"/>
          <w:sz w:val="24"/>
          <w:highlight w:val="none"/>
        </w:rPr>
        <w:t xml:space="preserve"> </w:t>
      </w:r>
      <w:r>
        <w:rPr>
          <w:rFonts w:ascii="SimSun" w:hAnsi="SimSun" w:eastAsia="SimSun" w:cs="SimSun"/>
          <w:color w:val="auto"/>
          <w:sz w:val="24"/>
          <w:highlight w:val="none"/>
        </w:rPr>
        <w:t xml:space="preserve">开标后，代理机构将立即组织评标委员会（以下简称评委会）进行评标。</w:t>
      </w:r>
      <w:r>
        <w:rPr>
          <w:color w:val="auto"/>
          <w:highlight w:val="none"/>
        </w:rPr>
      </w:r>
      <w:r/>
    </w:p>
    <w:p>
      <w:pPr>
        <w:ind w:left="0" w:right="0" w:firstLine="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  </w:t>
      </w:r>
      <w:r>
        <w:rPr>
          <w:rFonts w:ascii="SimSun" w:hAnsi="SimSun" w:eastAsia="SimSun" w:cs="SimSun"/>
          <w:color w:val="auto"/>
          <w:sz w:val="24"/>
          <w:highlight w:val="none"/>
        </w:rPr>
        <w:t xml:space="preserve"> 23.2 评委会由采购人代表和有关技术、经济等方面的专家组成，且人员构成符合政府采购有关规定。</w:t>
      </w:r>
      <w:r>
        <w:rPr>
          <w:color w:val="auto"/>
          <w:highlight w:val="none"/>
        </w:rPr>
      </w:r>
      <w:r/>
    </w:p>
    <w:p>
      <w:pPr>
        <w:ind w:left="0" w:right="0" w:firstLine="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  </w:t>
      </w:r>
      <w:r>
        <w:rPr>
          <w:rFonts w:ascii="SimSun" w:hAnsi="SimSun" w:eastAsia="SimSun" w:cs="SimSun"/>
          <w:color w:val="auto"/>
          <w:sz w:val="24"/>
          <w:highlight w:val="none"/>
        </w:rPr>
        <w:t xml:space="preserve"> 23.3评委会独立工作，负责评审所有投标文件并确定中标侯选人。</w:t>
      </w:r>
      <w:r>
        <w:rPr>
          <w:color w:val="auto"/>
          <w:highlight w:val="none"/>
        </w:rPr>
      </w: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24．评标过程的保密与公正</w:t>
      </w:r>
      <w:r>
        <w:rPr>
          <w:color w:val="auto"/>
          <w:highlight w:val="none"/>
        </w:rPr>
      </w:r>
      <w:r/>
    </w:p>
    <w:p>
      <w:pPr>
        <w:ind w:left="0" w:right="0" w:firstLine="480"/>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24.1凡是与审查、澄清、评价和比较投标的有关资料以及授标建议等，采购人、评委、代理机构均不得向投标人或与评标无关的其他人员透露。</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24.2在评标过程中，投标人不得以任何行为影响评标过程，否则其投标文件将被作为无效投标文件。</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24.3代理机构和评标委员会不向未中标的投标人解释未中标原因，也不公布评标过程中的相关细节。</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24.4 采用综合评分法的项目，未中标的投标人可于中标结果公告期限届满之日起通过苏采云系统查看自己的评审得分及排序情况。</w:t>
      </w:r>
      <w:r>
        <w:rPr>
          <w:color w:val="auto"/>
          <w:highlight w:val="none"/>
        </w:rPr>
      </w: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25．投标文件的澄清</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25.1评标期间，评委会对投标文件中含义不明确、同类问题表述不一致或者有明显文字和计算错误的内容 ，有权要求投标人作出必要的澄清、说明或者补正。</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投标人的澄清、说明或者补正不得超出投标文件的范围或者改变投标文件的实质性内容。</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评标委员会并非对每个投标人都做澄清要求。</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25.2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25.3 接到评委会澄清、说明和补正要求的投标人如未按规定做出澄清、说明和补正，其风险由投标人自行承担。</w:t>
      </w:r>
      <w:r>
        <w:rPr>
          <w:color w:val="auto"/>
          <w:highlight w:val="none"/>
        </w:rPr>
      </w: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26、对投标文件的初审</w:t>
      </w:r>
      <w:r>
        <w:rPr>
          <w:color w:val="auto"/>
          <w:highlight w:val="none"/>
        </w:rPr>
      </w:r>
      <w:r/>
    </w:p>
    <w:p>
      <w:pPr>
        <w:ind w:left="0" w:right="0" w:firstLine="48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26.1投标文件初审分为资格审查和符合性审查。</w:t>
      </w:r>
      <w:r>
        <w:rPr>
          <w:color w:val="auto"/>
          <w:highlight w:val="none"/>
        </w:rPr>
      </w:r>
      <w:r/>
    </w:p>
    <w:p>
      <w:pPr>
        <w:ind w:left="0" w:right="0" w:firstLine="48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26.1.1 资格审查：依据法律法规和招标文件的规定，由采购人对投标文件中的资格证明文件进行审查。资格审查的结论，采购人以书面形式向评委会进行反馈。</w:t>
      </w:r>
      <w:r>
        <w:rPr>
          <w:color w:val="auto"/>
          <w:highlight w:val="none"/>
        </w:rPr>
      </w:r>
      <w:r/>
    </w:p>
    <w:p>
      <w:pPr>
        <w:ind w:left="0" w:right="0" w:firstLine="48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采购人在进行资格性审查的同时，将在“信用中国”网站（www.creditchina.gov.cn）查询投标人的信用记录，以确定投标人是否具备投标资格,查询结果留存并归档。</w:t>
      </w:r>
      <w:r>
        <w:rPr>
          <w:color w:val="auto"/>
          <w:highlight w:val="none"/>
        </w:rPr>
      </w:r>
      <w:r/>
    </w:p>
    <w:p>
      <w:pPr>
        <w:ind w:left="0" w:right="0" w:firstLine="48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color w:val="auto"/>
          <w:highlight w:val="none"/>
        </w:rPr>
      </w:r>
      <w:r/>
    </w:p>
    <w:p>
      <w:pPr>
        <w:ind w:left="0" w:right="0" w:firstLine="48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26.1.2 符合性审查：依据招标文件的规定，由评委会从投标文件的有效性、完整性和对招标文件的响应程度进行审查，以确定是否对招标文件的实质性要求作出响应。</w:t>
      </w:r>
      <w:r>
        <w:rPr>
          <w:color w:val="auto"/>
          <w:highlight w:val="none"/>
        </w:rPr>
      </w:r>
      <w:r/>
    </w:p>
    <w:p>
      <w:pPr>
        <w:ind w:left="0" w:right="0" w:firstLine="48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26.1.3 未通过资格审查或符合性审查的投标人，代理机构将在苏采云系统中告知未通过资格审查或符合性审查的原因，评审结束后，代理机构将不再告知未通过资格审查或符合性审查的原因。</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rPr>
          <w:color w:val="auto"/>
          <w:highlight w:val="none"/>
        </w:rPr>
      </w:r>
      <w:r/>
    </w:p>
    <w:p>
      <w:pPr>
        <w:ind w:left="0" w:right="0" w:firstLine="48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color w:val="auto"/>
          <w:highlight w:val="none"/>
        </w:rPr>
      </w:r>
      <w:r/>
    </w:p>
    <w:p>
      <w:pPr>
        <w:ind w:left="0" w:right="0" w:firstLine="48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26.3如果投标文件实质上没有响应招标文件的要求，评委会将予以拒绝，投标人不得通过修改或撤销不合要求的偏离或保留而使其投标成为实质性响应的投标。</w:t>
      </w:r>
      <w:r>
        <w:rPr>
          <w:color w:val="auto"/>
          <w:highlight w:val="none"/>
        </w:rPr>
      </w:r>
      <w:r/>
    </w:p>
    <w:p>
      <w:pPr>
        <w:ind w:left="0" w:right="0" w:firstLine="48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26.4评委会将对确定为实质性响应的投标进行进一步审核，看其是否有计算上或累加上的算术错误，修正错误的原则如下：</w:t>
      </w:r>
      <w:r>
        <w:rPr>
          <w:color w:val="auto"/>
          <w:highlight w:val="none"/>
        </w:rPr>
      </w:r>
      <w:r/>
    </w:p>
    <w:p>
      <w:pPr>
        <w:ind w:left="0" w:right="0" w:firstLine="48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（1）投标文件中开标一览表内容与投标文件中相应内容不一致的，以开标一览表为准。</w:t>
      </w:r>
      <w:r>
        <w:rPr>
          <w:color w:val="auto"/>
          <w:highlight w:val="none"/>
        </w:rPr>
      </w:r>
      <w:r/>
    </w:p>
    <w:p>
      <w:pPr>
        <w:ind w:left="0" w:right="0" w:firstLine="48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（2）大写金额和小写金额不一致的，以大写金额为准。</w:t>
      </w:r>
      <w:r>
        <w:rPr>
          <w:color w:val="auto"/>
          <w:highlight w:val="none"/>
        </w:rPr>
      </w:r>
      <w:r/>
    </w:p>
    <w:p>
      <w:pPr>
        <w:ind w:left="0" w:right="0" w:firstLine="48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（3）单价金额小数点或者百分比有明显错位的，以开标一览表的总价为准，并修改单价。</w:t>
      </w:r>
      <w:r>
        <w:rPr>
          <w:color w:val="auto"/>
          <w:highlight w:val="none"/>
        </w:rPr>
      </w:r>
      <w:r/>
    </w:p>
    <w:p>
      <w:pPr>
        <w:ind w:left="0" w:right="0" w:firstLine="48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（4）总价金额与按单价汇总金额不一致的，以单价金额计算结果为准。</w:t>
      </w:r>
      <w:r>
        <w:rPr>
          <w:color w:val="auto"/>
          <w:highlight w:val="none"/>
        </w:rPr>
      </w:r>
      <w:r/>
    </w:p>
    <w:p>
      <w:pPr>
        <w:ind w:left="0" w:right="0" w:firstLine="48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同时出现两种以上错误的，按照前款规定的顺序修正。</w:t>
      </w:r>
      <w:r>
        <w:rPr>
          <w:color w:val="auto"/>
          <w:highlight w:val="none"/>
        </w:rPr>
      </w:r>
      <w:r/>
    </w:p>
    <w:p>
      <w:pPr>
        <w:ind w:left="0" w:right="0" w:firstLine="48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26.5评委会将按上述修正错误的方法调整投标文件中的投标报价，并通过苏采云系统告知投标人，调整后的价格应对投标人具有约束力。如果投标人不接受修正后的价格，则其投标将被拒绝。</w:t>
      </w:r>
      <w:r>
        <w:rPr>
          <w:color w:val="auto"/>
          <w:highlight w:val="none"/>
        </w:rPr>
      </w:r>
      <w:r/>
    </w:p>
    <w:p>
      <w:pPr>
        <w:ind w:left="0" w:right="0" w:firstLine="48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rPr>
          <w:color w:val="auto"/>
          <w:highlight w:val="none"/>
        </w:rPr>
      </w:r>
      <w:r/>
    </w:p>
    <w:p>
      <w:pPr>
        <w:ind w:left="0" w:right="0" w:firstLine="48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rPr>
          <w:color w:val="auto"/>
          <w:highlight w:val="none"/>
        </w:rPr>
      </w:r>
      <w:r/>
    </w:p>
    <w:p>
      <w:pPr>
        <w:ind w:left="0" w:right="0" w:firstLine="42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非单一产品采购项目，招标文件中将载明其中的核心产品。多家投标人提供的核心产品品牌相同的，按前两款规定处理。</w:t>
      </w:r>
      <w:r>
        <w:rPr>
          <w:color w:val="auto"/>
          <w:highlight w:val="none"/>
        </w:rPr>
      </w:r>
      <w:r/>
    </w:p>
    <w:p>
      <w:pPr>
        <w:ind w:left="0" w:right="0" w:firstLine="42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26.7投标人在开、评标全过程中应保持通讯畅通，及时登录苏采云系统查阅、答复相关信息，并安排专人与代理机构及评标委员会联系。</w:t>
      </w:r>
      <w:r>
        <w:rPr>
          <w:color w:val="auto"/>
          <w:highlight w:val="none"/>
        </w:rPr>
      </w: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27、无效投标条款和废标条款</w:t>
      </w:r>
      <w:r>
        <w:rPr>
          <w:color w:val="auto"/>
          <w:highlight w:val="none"/>
        </w:rPr>
      </w:r>
      <w:r/>
    </w:p>
    <w:p>
      <w:pPr>
        <w:ind w:left="479" w:right="0" w:firstLine="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27.1无效投标条款</w:t>
      </w:r>
      <w:r>
        <w:rPr>
          <w:color w:val="auto"/>
          <w:highlight w:val="none"/>
        </w:rPr>
      </w: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27.1.1 投标人在苏采云系统规定的时间内未成功解密电子投标文件的。</w:t>
      </w:r>
      <w:r>
        <w:rPr>
          <w:color w:val="auto"/>
          <w:highlight w:val="none"/>
        </w:rPr>
      </w: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27.1.2 投标人未按照招标文件要求上传电子投标文件的。</w:t>
      </w:r>
      <w:r>
        <w:rPr>
          <w:color w:val="auto"/>
          <w:highlight w:val="none"/>
        </w:rPr>
      </w:r>
      <w:r/>
    </w:p>
    <w:p>
      <w:pPr>
        <w:ind w:left="479" w:right="0" w:firstLine="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27.1.3同一投标人提交两个（含两个）以上不同的投标报价的。</w:t>
      </w:r>
      <w:r>
        <w:rPr>
          <w:color w:val="auto"/>
          <w:highlight w:val="none"/>
        </w:rPr>
      </w:r>
      <w:r/>
    </w:p>
    <w:p>
      <w:pPr>
        <w:ind w:left="479" w:right="0" w:firstLine="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27.1.4投标人不具备招标文件中规定资格要求的。</w:t>
      </w:r>
      <w:r>
        <w:rPr>
          <w:color w:val="auto"/>
          <w:highlight w:val="none"/>
        </w:rPr>
      </w: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27.1.5投标人的报价超过了最高限价的。</w:t>
      </w:r>
      <w:r>
        <w:rPr>
          <w:color w:val="auto"/>
          <w:highlight w:val="none"/>
        </w:rPr>
      </w: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27.1.6未通过符合性审查的。</w:t>
      </w:r>
      <w:r>
        <w:rPr>
          <w:color w:val="auto"/>
          <w:highlight w:val="none"/>
        </w:rPr>
      </w:r>
      <w:r/>
    </w:p>
    <w:p>
      <w:pPr>
        <w:ind w:left="0" w:right="0" w:firstLine="36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 27.1.7不符合招标文件中规定的实质性要求和条件的（本招标文件中斜体且有下划线部分为实质性要求和条件）。</w:t>
      </w:r>
      <w:r>
        <w:rPr>
          <w:color w:val="auto"/>
          <w:highlight w:val="none"/>
        </w:rPr>
      </w: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27.1.8  投标文件含有采购人不能接受的附加条件的。</w:t>
      </w:r>
      <w:r>
        <w:rPr>
          <w:color w:val="auto"/>
          <w:highlight w:val="none"/>
        </w:rPr>
      </w: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27.1.9评标委员会认为投标人的报价明显低于其他通过符合性审查投标人的报价，有可能影响产品质量或者不能诚信履约的，将通过苏采云系统要求其在合理的时间内提供说明，必要时提交相关证明材料；投标人不能证明其报价合理性的，评标委员会应当将其作为无效投标处理。</w:t>
      </w:r>
      <w:r>
        <w:rPr>
          <w:color w:val="auto"/>
          <w:highlight w:val="none"/>
        </w:rPr>
      </w: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27.1.10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color w:val="auto"/>
          <w:highlight w:val="none"/>
        </w:rPr>
      </w: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27.1.11 投标文件未按照招标文件要求加盖CA电子公章的。</w:t>
      </w:r>
      <w:r>
        <w:rPr>
          <w:color w:val="auto"/>
          <w:highlight w:val="none"/>
        </w:rPr>
      </w: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27.1.12其他法律、法规及本招标文件规定的属无效投标的情形。</w:t>
      </w:r>
      <w:r>
        <w:rPr>
          <w:color w:val="auto"/>
          <w:highlight w:val="none"/>
        </w:rPr>
      </w:r>
      <w:r/>
    </w:p>
    <w:p>
      <w:pPr>
        <w:ind w:left="479" w:right="0" w:firstLine="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27.2废标条款</w:t>
      </w:r>
      <w:r>
        <w:rPr>
          <w:color w:val="auto"/>
          <w:highlight w:val="none"/>
        </w:rPr>
      </w:r>
      <w:r/>
    </w:p>
    <w:p>
      <w:pPr>
        <w:ind w:left="479" w:right="0" w:firstLine="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27.2.1符合专业条件的供应商或者对招标文件作实质响应的供应商不足三家的。27.2.2出现影响采购公正的违法、违规行为的。</w:t>
      </w:r>
      <w:r>
        <w:rPr>
          <w:color w:val="auto"/>
          <w:highlight w:val="none"/>
        </w:rPr>
      </w:r>
      <w:r/>
    </w:p>
    <w:p>
      <w:pPr>
        <w:ind w:left="479" w:right="0" w:firstLine="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27.2.3因重大变故，采购任务取消的。</w:t>
      </w:r>
      <w:r>
        <w:rPr>
          <w:color w:val="auto"/>
          <w:highlight w:val="none"/>
        </w:rPr>
      </w:r>
      <w:r/>
    </w:p>
    <w:p>
      <w:pPr>
        <w:ind w:left="479" w:right="0" w:firstLine="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27.2.4评标委员会认定招标文件存在歧义、重大缺陷导致评审工作无法进行。</w:t>
      </w:r>
      <w:r>
        <w:rPr>
          <w:color w:val="auto"/>
          <w:highlight w:val="none"/>
        </w:rPr>
      </w:r>
      <w:r/>
    </w:p>
    <w:p>
      <w:pPr>
        <w:ind w:left="479" w:right="0" w:firstLine="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27.2.5 因苏采云系统系统故障原因造成开标不成功的。</w:t>
      </w:r>
      <w:r>
        <w:rPr>
          <w:color w:val="auto"/>
          <w:highlight w:val="none"/>
        </w:rPr>
      </w:r>
      <w:r/>
    </w:p>
    <w:p>
      <w:pPr>
        <w:ind w:left="479" w:right="0" w:firstLine="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27.3 投标截止时间结束后参加投标的供应商不足三家的处理：</w:t>
      </w:r>
      <w:r>
        <w:rPr>
          <w:color w:val="auto"/>
          <w:highlight w:val="none"/>
        </w:rPr>
      </w: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27.3.1如出现投标截止时间结束后参加投标的供应商或者在评标期间对招标文件做出实质响应的供应商不足三家情况，按政府采购相关规定执行。</w:t>
      </w:r>
      <w:r>
        <w:rPr>
          <w:color w:val="auto"/>
          <w:highlight w:val="none"/>
        </w:rPr>
      </w:r>
      <w:r/>
    </w:p>
    <w:p>
      <w:pPr>
        <w:ind w:left="0" w:right="0" w:firstLine="482"/>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六、定标</w:t>
      </w:r>
      <w:r>
        <w:rPr>
          <w:color w:val="auto"/>
          <w:highlight w:val="none"/>
        </w:rPr>
      </w:r>
      <w:r/>
    </w:p>
    <w:p>
      <w:pPr>
        <w:ind w:left="0" w:right="0" w:firstLine="60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0"/>
          <w:highlight w:val="none"/>
        </w:rPr>
        <w:t xml:space="preserve">28、确定中标单位</w:t>
      </w:r>
      <w:r>
        <w:rPr>
          <w:color w:val="auto"/>
          <w:highlight w:val="none"/>
        </w:rPr>
      </w: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28.1中标候选人的选取原则和数量见招标文件第五章规定。 </w:t>
      </w:r>
      <w:r>
        <w:rPr>
          <w:color w:val="auto"/>
          <w:highlight w:val="none"/>
        </w:rPr>
      </w: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28.2 采购人应根据评委会推荐的中标候选人确定中标人。</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28.3代理机构将在“江苏政府采购网”发布中标公告，公告期限为1个工作日。</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28.4  若有充分证据证明，中标人出现下列情况之一的，一经查实，将被取消中标资格：</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28.4.1提供虚假材料谋取中标的。</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28.4.2向采购人、代理机构行贿或者提供其他不正当利益的。</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28.4.3属于本文件规定的无效条件，但在评标过程中又未被评委会发现的。</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28.4.4与采购人或者其他供应商恶意串通的。</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28.4.5采取不正当手段诋毁、排挤其他供应商的。</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28.5.</w:t>
      </w:r>
      <w:r>
        <w:rPr>
          <w:rFonts w:ascii="SimSun" w:hAnsi="SimSun" w:eastAsia="SimSun" w:cs="SimSun"/>
          <w:color w:val="auto"/>
          <w:sz w:val="21"/>
          <w:highlight w:val="none"/>
        </w:rPr>
        <w:t xml:space="preserve"> </w:t>
      </w:r>
      <w:r>
        <w:rPr>
          <w:rFonts w:ascii="SimSun" w:hAnsi="SimSun" w:eastAsia="SimSun" w:cs="SimSun"/>
          <w:color w:val="auto"/>
          <w:sz w:val="24"/>
          <w:highlight w:val="none"/>
        </w:rPr>
        <w:t xml:space="preserve">有下列情形之一的，视为投标人串通投标，投标无效：</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28.5.1不同投标人的投标文件由同一单位或者个人编制；</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28.5.2不同投标人委托同一单位或者个人办理投标事宜；</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28.5.3 不同投标人的投标文件载明的项目管理成员或者联系人员为同一人；</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28.5.4不同投标人的投标文件异常一致或者投标报价呈规律性差异；</w:t>
      </w:r>
      <w:r>
        <w:rPr>
          <w:color w:val="auto"/>
          <w:highlight w:val="none"/>
        </w:rPr>
      </w:r>
      <w:r/>
    </w:p>
    <w:p>
      <w:pPr>
        <w:ind w:left="0" w:right="0" w:firstLine="60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0"/>
          <w:highlight w:val="none"/>
        </w:rPr>
        <w:t xml:space="preserve">29、质疑处理</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29.1 提出质疑的供应商应当是参与所质疑项目采购活动的供应商。潜在供应商依法获取其可质疑的采购文件的，可以对采购文件提出质疑。</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29.2供应商认为采购文件、采购过程和采购结果使自己的权益受到损害的，可以在知道或应知其权益受到损害之日起七个工作日内，以书面形式根据下述29.4条款的规定向代理机构或采购人提出质疑。上述应知其权益受到损害之日，是指：</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29.2.1对可以质疑的采购文件提出质疑的，为收到采购文件之日或者采购文件公告期限届满之日；</w:t>
        <w:br/>
        <w:t xml:space="preserve">29.2.2对采购过程提出质疑的，为各采购程序环节结束之日；</w:t>
        <w:br/>
        <w:t xml:space="preserve">29.2.3对中标或者成交结果提出质疑的，为中标或者成交结果公告期限届满之日。</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供应商应当在法定质疑期内一次性提出针对同一采购程序环节的质疑。供应商如在法定期限内对同一采购程序环节提出多次质疑的，代理机构、采购人将只对供应商第一次质疑作出答复。</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29.3质疑函必须按照本招标文件中《质疑函范本》要求的格式和内容进行填写。供应商如组成联合体参加投标，则《质疑函范本》中要求签字、盖章、加盖公章之处，联合体各方均须按要求签字、盖章、加盖公章。</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29.4</w:t>
      </w:r>
      <w:r>
        <w:rPr>
          <w:rFonts w:ascii="SimSun" w:hAnsi="SimSun" w:eastAsia="SimSun" w:cs="SimSun"/>
          <w:b/>
          <w:color w:val="auto"/>
          <w:sz w:val="24"/>
          <w:highlight w:val="none"/>
        </w:rPr>
        <w:t xml:space="preserve"> </w:t>
      </w:r>
      <w:r>
        <w:rPr>
          <w:rFonts w:ascii="SimSun" w:hAnsi="SimSun" w:eastAsia="SimSun" w:cs="SimSun"/>
          <w:color w:val="auto"/>
          <w:sz w:val="24"/>
          <w:highlight w:val="none"/>
        </w:rPr>
        <w:t xml:space="preserve">供应商（含潜在供应商）对与本项目有关的所有询问、质疑均请向采购人提出，由采购人负责答复。</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采购人只接收以纸质原件形式送达的质疑,建议供应商尽量通过邮寄方式提交质疑（采购人不接受未填写快递运单的快件）。</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采购人质疑接收人及联系方式见招标文件第一章。</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29.5 以下情形的质疑不予受理</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29.5.1 内容不符合《政府采购质疑和投诉办法》第十二条规定的质疑。</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29.5.2 超出政府采购法定期限的质疑。</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29.5.3 以传真、电子邮件等方式递交的非原件形式的质疑。</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29.5.4 未参加投标活动的供应商或在投标活动中自身权益未受到损害的供应商所提出的质疑。</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29.5.5供应商组成联合体参加投标，联合体中任何一方或多方未按要求签字、盖章、加盖公章的质疑。</w:t>
      </w:r>
      <w:r>
        <w:rPr>
          <w:color w:val="auto"/>
          <w:highlight w:val="none"/>
        </w:rPr>
      </w:r>
      <w:r/>
    </w:p>
    <w:p>
      <w:pPr>
        <w:ind w:left="0" w:right="0" w:firstLine="468"/>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29.6  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color w:val="auto"/>
          <w:highlight w:val="none"/>
        </w:rPr>
      </w:r>
      <w:r/>
    </w:p>
    <w:p>
      <w:pPr>
        <w:ind w:left="0" w:right="0" w:firstLine="60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0"/>
          <w:highlight w:val="none"/>
        </w:rPr>
        <w:t xml:space="preserve">30、中标通知书</w:t>
      </w:r>
      <w:r>
        <w:rPr>
          <w:color w:val="auto"/>
          <w:highlight w:val="none"/>
        </w:rPr>
      </w:r>
      <w:r/>
    </w:p>
    <w:p>
      <w:pPr>
        <w:ind w:left="0" w:right="0" w:firstLine="60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30.l</w:t>
      </w:r>
      <w:r>
        <w:rPr>
          <w:rFonts w:ascii="SimSun" w:hAnsi="SimSun" w:eastAsia="SimSun" w:cs="SimSun"/>
          <w:b/>
          <w:color w:val="auto"/>
          <w:sz w:val="24"/>
          <w:highlight w:val="none"/>
        </w:rPr>
        <w:t xml:space="preserve"> </w:t>
      </w:r>
      <w:r>
        <w:rPr>
          <w:rFonts w:ascii="SimSun" w:hAnsi="SimSun" w:eastAsia="SimSun" w:cs="SimSun"/>
          <w:color w:val="auto"/>
          <w:sz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color w:val="auto"/>
          <w:highlight w:val="none"/>
        </w:rPr>
      </w:r>
      <w:r/>
    </w:p>
    <w:p>
      <w:pPr>
        <w:ind w:left="0" w:right="0" w:firstLine="60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30.2中标通知书将是合同的一个组成部分。对采购人和中标供应商均具有法律效力。中标通知书发出后，采购人改变中标结果的，或者中标供应商放弃中标项目的，应当依法承担法律责任。</w:t>
      </w:r>
      <w:r>
        <w:rPr>
          <w:color w:val="auto"/>
          <w:highlight w:val="none"/>
        </w:rPr>
      </w:r>
      <w:r/>
    </w:p>
    <w:p>
      <w:pPr>
        <w:ind w:left="0" w:right="0" w:firstLine="0"/>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七、授予合同</w:t>
      </w:r>
      <w:r>
        <w:rPr>
          <w:color w:val="auto"/>
          <w:highlight w:val="none"/>
        </w:rPr>
      </w:r>
      <w:r/>
    </w:p>
    <w:p>
      <w:pPr>
        <w:ind w:left="0" w:right="0" w:firstLine="60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0"/>
          <w:highlight w:val="none"/>
        </w:rPr>
        <w:t xml:space="preserve">31. 签订合同</w:t>
      </w:r>
      <w:r>
        <w:rPr>
          <w:color w:val="auto"/>
          <w:highlight w:val="none"/>
        </w:rPr>
      </w:r>
      <w:r/>
    </w:p>
    <w:p>
      <w:pPr>
        <w:ind w:left="0" w:right="0" w:firstLine="60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31.l中标人应当在中标通知书发出之日起三十日内，按照招标文件确定的事项与采购人签订政府采购合同。</w:t>
      </w:r>
      <w:r>
        <w:rPr>
          <w:color w:val="auto"/>
          <w:highlight w:val="none"/>
        </w:rPr>
      </w:r>
      <w:r/>
    </w:p>
    <w:p>
      <w:pPr>
        <w:ind w:left="0" w:right="0" w:firstLine="60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31.2</w:t>
      </w:r>
      <w:r>
        <w:rPr>
          <w:rFonts w:ascii="SimSun" w:hAnsi="SimSun" w:eastAsia="SimSun" w:cs="SimSun"/>
          <w:b/>
          <w:color w:val="auto"/>
          <w:sz w:val="24"/>
          <w:highlight w:val="none"/>
        </w:rPr>
        <w:t xml:space="preserve"> </w:t>
      </w:r>
      <w:r>
        <w:rPr>
          <w:rFonts w:ascii="SimSun" w:hAnsi="SimSun" w:eastAsia="SimSun" w:cs="SimSun"/>
          <w:color w:val="auto"/>
          <w:sz w:val="24"/>
          <w:highlight w:val="none"/>
        </w:rPr>
        <w:t xml:space="preserve">招标文件、中标人的投标文件及招标过程中有关澄清、承诺文件均应作为合同附件。</w:t>
      </w:r>
      <w:r>
        <w:rPr>
          <w:color w:val="auto"/>
          <w:highlight w:val="none"/>
        </w:rPr>
      </w:r>
      <w:r/>
    </w:p>
    <w:p>
      <w:pPr>
        <w:ind w:left="0" w:right="0" w:firstLine="60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31.3 签订合同后，</w:t>
      </w:r>
      <w:r>
        <w:rPr>
          <w:rFonts w:ascii="SimSun" w:hAnsi="SimSun" w:eastAsia="SimSun" w:cs="SimSun"/>
          <w:i/>
          <w:color w:val="auto"/>
          <w:sz w:val="24"/>
          <w:highlight w:val="none"/>
          <w:u w:val="single"/>
        </w:rPr>
        <w:t xml:space="preserve">中标人不得将合同标的进行转包</w:t>
      </w:r>
      <w:r>
        <w:rPr>
          <w:rFonts w:ascii="SimSun" w:hAnsi="SimSun" w:eastAsia="SimSun" w:cs="SimSun"/>
          <w:color w:val="auto"/>
          <w:sz w:val="24"/>
          <w:highlight w:val="none"/>
        </w:rPr>
        <w:t xml:space="preserve">。未经采购人同意，中标人也不得采用分包的形式履行合同，否则采购人有权终止合同。转包或分包造成采购人损失的，中标人应承担相应赔偿责任。</w:t>
      </w:r>
      <w:r>
        <w:rPr>
          <w:color w:val="auto"/>
          <w:highlight w:val="none"/>
        </w:rPr>
      </w:r>
      <w:r/>
    </w:p>
    <w:p>
      <w:pPr>
        <w:ind w:left="0" w:right="0" w:firstLine="60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0"/>
          <w:highlight w:val="none"/>
        </w:rPr>
        <w:t xml:space="preserve">32、货物（包含与货物相关的服务）的追加</w:t>
      </w:r>
      <w:r>
        <w:rPr>
          <w:color w:val="auto"/>
          <w:highlight w:val="none"/>
        </w:rPr>
      </w:r>
      <w:r/>
    </w:p>
    <w:p>
      <w:pPr>
        <w:ind w:left="0" w:right="0" w:firstLine="480"/>
        <w:jc w:val="both"/>
        <w:spacing w:before="0" w:after="0" w:line="47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r>
        <w:rPr>
          <w:color w:val="auto"/>
          <w:highlight w:val="none"/>
        </w:rPr>
      </w:r>
      <w:r/>
    </w:p>
    <w:p>
      <w:pPr>
        <w:ind w:left="0" w:right="0" w:firstLine="60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0"/>
          <w:highlight w:val="none"/>
        </w:rPr>
        <w:t xml:space="preserve">33、政府采购履约资金扶持政策</w:t>
      </w:r>
      <w:r>
        <w:rPr>
          <w:color w:val="auto"/>
          <w:highlight w:val="none"/>
        </w:rPr>
      </w:r>
      <w:r/>
    </w:p>
    <w:p>
      <w:pPr>
        <w:ind w:left="0" w:right="0" w:firstLine="555"/>
        <w:jc w:val="both"/>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中标供应商可凭政府采购合同办理融资贷款，详情请见江苏政府采购网“政采贷”专栏。</w:t>
      </w:r>
      <w:r>
        <w:rPr>
          <w:color w:val="auto"/>
          <w:highlight w:val="none"/>
        </w:rPr>
      </w: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0" w:firstLine="0"/>
        <w:jc w:val="center"/>
        <w:spacing w:before="260" w:after="26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44"/>
          <w:highlight w:val="none"/>
        </w:rPr>
        <w:t xml:space="preserve">第三章合同文本</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以下为中标后签定本项目合同的通用条款，采购人与中标人应按此签订采购合同。中标人不得提出实质性的修改，关于专用条款将由采购人与中标人结合本项目具体情况协商后签订。</w:t>
      </w:r>
      <w:r>
        <w:rPr>
          <w:color w:val="auto"/>
          <w:highlight w:val="none"/>
        </w:rPr>
      </w:r>
      <w:r/>
    </w:p>
    <w:p>
      <w:pPr>
        <w:ind w:left="0" w:right="0" w:firstLine="21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项目名称：</w:t>
      </w:r>
      <w:r>
        <w:rPr>
          <w:rFonts w:ascii="SimSun" w:hAnsi="SimSun" w:eastAsia="SimSun" w:cs="SimSun"/>
          <w:color w:val="auto"/>
          <w:sz w:val="21"/>
          <w:highlight w:val="none"/>
          <w:u w:val="single"/>
        </w:rPr>
        <w:t xml:space="preserve">高邮市中医医院血滤机采购项目</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编号：</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甲方（采购人/买方）：</w:t>
      </w:r>
      <w:r>
        <w:rPr>
          <w:rFonts w:ascii="SimSun" w:hAnsi="SimSun" w:eastAsia="SimSun" w:cs="SimSun"/>
          <w:color w:val="auto"/>
          <w:sz w:val="21"/>
          <w:highlight w:val="none"/>
          <w:u w:val="single"/>
        </w:rPr>
        <w:t xml:space="preserve">高邮市中医医院</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乙方（投标人/卖方）：</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见证方：</w:t>
      </w:r>
      <w:r>
        <w:rPr>
          <w:rFonts w:ascii="SimSun" w:hAnsi="SimSun" w:eastAsia="SimSun" w:cs="SimSun"/>
          <w:color w:val="auto"/>
          <w:sz w:val="21"/>
          <w:highlight w:val="none"/>
          <w:u w:val="single"/>
        </w:rPr>
        <w:t xml:space="preserve">江苏苏豪创新科技集团高科有限公司</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根据《中华人民共和国政府采购法》、《中华人民共和国民法典》等法律法规的规定，甲乙双方按照江苏苏豪创新科技集团高科有限公司关于本项目招标结果签订本合同。</w:t>
      </w:r>
      <w:r>
        <w:rPr>
          <w:color w:val="auto"/>
          <w:highlight w:val="none"/>
        </w:rPr>
      </w:r>
      <w:r/>
    </w:p>
    <w:p>
      <w:pPr>
        <w:ind w:left="0" w:right="0" w:firstLine="42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1、合同标的</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乙方根据甲方需求，提供下列货物：</w:t>
      </w:r>
      <w:r>
        <w:rPr>
          <w:rFonts w:ascii="SimSun" w:hAnsi="SimSun" w:eastAsia="SimSun" w:cs="SimSun"/>
          <w:color w:val="auto"/>
          <w:sz w:val="21"/>
          <w:highlight w:val="none"/>
          <w:u w:val="single"/>
        </w:rPr>
        <w:t xml:space="preserve">血滤机</w:t>
      </w:r>
      <w:r>
        <w:rPr>
          <w:rFonts w:ascii="SimSun" w:hAnsi="SimSun" w:eastAsia="SimSun" w:cs="SimSun"/>
          <w:color w:val="auto"/>
          <w:sz w:val="21"/>
          <w:highlight w:val="none"/>
        </w:rPr>
        <w:t xml:space="preserve">。</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货物名称、规格及数量等要求详见招投标文件。</w:t>
      </w:r>
      <w:r>
        <w:rPr>
          <w:color w:val="auto"/>
          <w:highlight w:val="none"/>
        </w:rPr>
      </w:r>
      <w:r/>
    </w:p>
    <w:p>
      <w:pPr>
        <w:ind w:left="0" w:right="0" w:firstLine="42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2、合同总金额</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2.1 本合同金额为（大写）：元人民币（¥元）。</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2.2 本合同总金额包括所乙方提供货物的产品费用、安装费、验收费、维护费用、税金及其他有关的为完成本项目发生的所有费用，招标文件中另有规定的除外。</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2.3 在招标文件未列明，而乙方认为履行本合同必需的费用也包含在合同总金额中。</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2.4 本合同总金额还包含乙方提供的伴随服务/售后服务费用。</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2.5 本合同签订后：甲方需追加与合同标的相同的货物和服务的，在不改变合同其他条款的前提下，可以与乙方协商签订补充合同，但所有补充合同的增加的金额不超过原合同金额的10%；甲方若由于各种客观原因，必须对采购项目所牵涉的货物和服务进行适当的减少时，在与乙方协商一致后，可以按照招标采购时的价格水平做相应的调减，并据此签订补充合同；除上述情况外，本合同执行期间合同总金额不变。</w:t>
      </w:r>
      <w:r>
        <w:rPr>
          <w:color w:val="auto"/>
          <w:highlight w:val="none"/>
        </w:rPr>
      </w:r>
      <w:r/>
    </w:p>
    <w:p>
      <w:pPr>
        <w:ind w:left="0" w:right="0" w:firstLine="42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3、组成本合同的有关文件</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3.1乙方应按招标文件规定的时间向甲方提供使用货物的有关技术资料。</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3.2 没有甲方事先书面同意，乙方不得将由甲方提供的有关合同或任何合同条文、规格、计划、图纸、样品或资料提供给任何其他人。即使向履行本合同有关的人员提供，也应注意保密并限于履行合同的必需范围。</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3.3 关于本项目政府采购的招投标文件或与本次采购活动方式相适应的文件及有关附件是本合同不可分割的组成部分，这些文件包括但不限于：</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（1）投标响应文件；（2）投标产品配置与报价文件；</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（3）供货一览表；（4）技术参数响应表；</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（5）服务承诺；（6）中标通知书；</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（7）甲乙双方补充协议；（8）乙方投标时提供的响应文件。</w:t>
      </w:r>
      <w:r>
        <w:rPr>
          <w:color w:val="auto"/>
          <w:highlight w:val="none"/>
        </w:rPr>
      </w:r>
      <w:r/>
    </w:p>
    <w:p>
      <w:pPr>
        <w:ind w:left="0" w:right="0" w:firstLine="42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4、知识产权保证</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乙方保证甲方在使用、接受本合同货物和服务或其任何一部分时，不受第三方提出侵犯其专利权、版权、商标权和工业设计权等知识产权的起诉。一旦出现侵权，由乙方负全部责任。</w:t>
      </w:r>
      <w:r>
        <w:rPr>
          <w:color w:val="auto"/>
          <w:highlight w:val="none"/>
        </w:rPr>
      </w:r>
      <w:r/>
    </w:p>
    <w:p>
      <w:pPr>
        <w:ind w:left="0" w:right="0" w:firstLine="42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5、产权保证</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乙方保证所交付的货物的所有权无任何抵押、查封等权利瑕疵。</w:t>
      </w:r>
      <w:r>
        <w:rPr>
          <w:color w:val="auto"/>
          <w:highlight w:val="none"/>
        </w:rPr>
      </w:r>
      <w:r/>
    </w:p>
    <w:p>
      <w:pPr>
        <w:ind w:left="0" w:right="0" w:firstLine="42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6、转包或分包</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6.1 本合同禁止转包，本合同范围的货物，应由乙方直接供应的，不得转让他人供应。</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6.2 经甲方同意，乙方可以依法采取分包方式履行合同，但是分包方式履行的，乙方应就采购项目向甲方负全责。</w:t>
      </w:r>
      <w:r>
        <w:rPr>
          <w:color w:val="auto"/>
          <w:highlight w:val="none"/>
        </w:rPr>
      </w:r>
      <w:r/>
    </w:p>
    <w:p>
      <w:pPr>
        <w:ind w:left="0" w:right="0" w:firstLine="42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7、质保期</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7.1 质保期年（自交付验收合格之日起计）1年（以投标文件为准）</w:t>
      </w:r>
      <w:r>
        <w:rPr>
          <w:color w:val="auto"/>
          <w:highlight w:val="none"/>
        </w:rPr>
      </w:r>
      <w:r/>
    </w:p>
    <w:p>
      <w:pPr>
        <w:ind w:left="0" w:right="0" w:firstLine="42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8、项目完成期、实施地点</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8.1 项目完成期：</w:t>
      </w:r>
      <w:r>
        <w:rPr>
          <w:rFonts w:ascii="SimSun" w:hAnsi="SimSun" w:eastAsia="SimSun" w:cs="SimSun"/>
          <w:color w:val="auto"/>
          <w:sz w:val="21"/>
          <w:highlight w:val="none"/>
          <w:u w:val="single"/>
        </w:rPr>
        <w:t xml:space="preserve">日历日</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8.2 实施地点：</w:t>
      </w:r>
      <w:r>
        <w:rPr>
          <w:rFonts w:ascii="SimSun" w:hAnsi="SimSun" w:eastAsia="SimSun" w:cs="SimSun"/>
          <w:color w:val="auto"/>
          <w:sz w:val="21"/>
          <w:highlight w:val="none"/>
          <w:u w:val="single"/>
        </w:rPr>
        <w:t xml:space="preserve">高邮市中医医院</w:t>
      </w:r>
      <w:r>
        <w:rPr>
          <w:color w:val="auto"/>
          <w:highlight w:val="none"/>
        </w:rPr>
      </w:r>
      <w:r/>
    </w:p>
    <w:p>
      <w:pPr>
        <w:ind w:left="0" w:right="0" w:firstLine="42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9、货款支付</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9.1 本合同项下所有款项均以人民币支付。</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9.2 本合同项下的采购资金由甲方支付，每笔款项支付前，乙方必须提供收款单位与本合同签订单位一致的正规、等额、合法、有效的增值税发票及验收单、入库单等办理相关支付手续的报审资料；款项的支付需经甲方代表签字并盖章后支付。</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9.3 付款方式：</w:t>
      </w:r>
      <w:r>
        <w:rPr>
          <w:rFonts w:ascii="SimSun" w:hAnsi="SimSun" w:eastAsia="SimSun" w:cs="SimSun"/>
          <w:b/>
          <w:i/>
          <w:color w:val="auto"/>
          <w:sz w:val="21"/>
          <w:highlight w:val="none"/>
          <w:u w:val="single"/>
        </w:rPr>
        <w:t xml:space="preserve">            </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42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10、税费</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本合同执行中相关的一切税费均由乙方负担。</w:t>
      </w:r>
      <w:r>
        <w:rPr>
          <w:color w:val="auto"/>
          <w:highlight w:val="none"/>
        </w:rPr>
      </w:r>
      <w:r/>
    </w:p>
    <w:p>
      <w:pPr>
        <w:ind w:left="0" w:right="0" w:firstLine="42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11、质量保证及售后服务</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11.1 乙方应按招标文件规定及响应文件承诺的货物性能、技术要求、质量标准向甲方提供未经使用的全新产品；若技术性能无特殊说明，则按国家有关部门最新颁布的标准及规范为准。</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11.2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11.3 乙方提供的货物在质保期内因货物本身的质量问题发生故障，乙方应负责免费更换。对达不到技术要求者，根据实际情况，经双方协商，可按以下办法处理：</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⑴更换：由乙方承担所发生的全部费用。</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⑵贬值处理：由甲乙双方合议定价。</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⑶退货处理：乙方应退还甲方支付的合同款，同时应承担该货物的直接费用（运输、保险、检验、货款利息及银行手续费等）。</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11.4 如在使用过程中发生质量问题，乙方在接到甲方通知后在小时内到达甲方现场。</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11.5 在质保期内，乙方应对货物出现的质量及安全问题负责处理解决并承担一切费用。</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11.6上述的货物免费保修期</w:t>
      </w:r>
      <w:r>
        <w:rPr>
          <w:rFonts w:ascii="SimSun" w:hAnsi="SimSun" w:eastAsia="SimSun" w:cs="SimSun"/>
          <w:color w:val="auto"/>
          <w:sz w:val="21"/>
          <w:highlight w:val="none"/>
          <w:u w:val="single"/>
        </w:rPr>
        <w:t xml:space="preserve">   （以投标文件为准）</w:t>
      </w:r>
      <w:r>
        <w:rPr>
          <w:rFonts w:ascii="SimSun" w:hAnsi="SimSun" w:eastAsia="SimSun" w:cs="SimSun"/>
          <w:color w:val="auto"/>
          <w:sz w:val="21"/>
          <w:highlight w:val="none"/>
        </w:rPr>
        <w:t xml:space="preserve">，因人为因素出现的故障不在免费保修范围内。超过保修期的机器设备，终生维修，维修时只收部件成本费。</w:t>
      </w:r>
      <w:r>
        <w:rPr>
          <w:color w:val="auto"/>
          <w:highlight w:val="none"/>
        </w:rPr>
      </w:r>
      <w:r/>
    </w:p>
    <w:p>
      <w:pPr>
        <w:ind w:left="0" w:right="0" w:firstLine="42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12、交付、调试和验收</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12.1乙方应当在</w:t>
      </w:r>
      <w:r>
        <w:rPr>
          <w:rFonts w:ascii="SimSun" w:hAnsi="SimSun" w:eastAsia="SimSun" w:cs="SimSun"/>
          <w:color w:val="auto"/>
          <w:sz w:val="21"/>
          <w:highlight w:val="none"/>
          <w:u w:val="single"/>
        </w:rPr>
        <w:t xml:space="preserve">   （以投标文件为准）</w:t>
      </w:r>
      <w:r>
        <w:rPr>
          <w:rFonts w:ascii="SimSun" w:hAnsi="SimSun" w:eastAsia="SimSun" w:cs="SimSun"/>
          <w:color w:val="auto"/>
          <w:sz w:val="21"/>
          <w:highlight w:val="none"/>
        </w:rPr>
        <w:t xml:space="preserve">将货物交付甲方，地点由甲方指定，招标文件有约定的，从其约定。在发货前，乙方应对产品作出全面检查和对验收文件进行整理，并列出清单，作为甲方收货初验收和使用的技术条件依据，检验的结果应随货物交甲方。</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12.2 甲方对乙方提交的货物依据招标文件上的技术规格要求和国家有关质量标准进行现场初步验收，外观、说明书、包装符合招标文件技术要求的，给予签收，初步验收不合格的不予签收。</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12.3 乙方按照招标文件要求负责产品安装并培训甲方的使用操作人员，乙方在甲方使用前进行调试，调试直到符合技术要求的甲方才做最终验收。</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12.4 对技术复杂的货物，甲方可请国家认可的专业检测机构参与初步验收及最终验收，并由其出具质量检测报告。验收时乙方必须在现场，验收完毕后作出验收结果报告；若聘请第三方中立机构验收，验收费用由甲乙双方协商解决。</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12.5 甲乙双方关于调试和验收的其他约定：。</w:t>
      </w:r>
      <w:r>
        <w:rPr>
          <w:color w:val="auto"/>
          <w:highlight w:val="none"/>
        </w:rPr>
      </w:r>
      <w:r/>
    </w:p>
    <w:p>
      <w:pPr>
        <w:ind w:left="0" w:right="0" w:firstLine="42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13、货物包装、发运及运输</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13.1 乙方应在货物发运前对其进行满足运输距离、防潮、防震、防锈和防破损装卸等要求包装，以保证货物安全运达甲方指定地点。</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13.2 乙方发货时，产品使用说明书、检验证明书、随配附件和工具以及清单一并附于货物内。</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13.3 乙方在货物发运手续办理完毕后24小时内或货到甲方48小时前通知甲方，以准备甲方接货。根据甲方通知的时间和指定的地点，乙方负责安排送货、装卸、清点、堆放，设备初验收合格前的保管工作由乙方负责，费用乙方承担。</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13.4 货物在交付甲方前发生的风险均由乙方负责。</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13.5 货物在规定的交付期限内由乙方送达甲方指定的地点，经初步验收即视为货物交付。</w:t>
      </w:r>
      <w:r>
        <w:rPr>
          <w:color w:val="auto"/>
          <w:highlight w:val="none"/>
        </w:rPr>
      </w:r>
      <w:r/>
    </w:p>
    <w:p>
      <w:pPr>
        <w:ind w:left="0" w:right="0" w:firstLine="42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14、违约责任</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14.1 甲方无正当理由拒绝初验收和终验收货物的，甲方应按未付货款金额每日万分之五向乙方支付违约金。</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14.2 甲方无故逾期验收和无故逾期办理货款支付手续的,甲方应按逾期付款金额每日万分之五向乙方支付违约金。</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14.3乙方违约，在消除违约情形前，应按货款总额每日万分之五向甲方支付违约金，甲方可以从待付货款中扣除。</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14.4乙方因逾期交付或因其他违约行为，导致甲方解除合同的，乙方应向甲方支付合同总值5%的违约金，如造成甲方损失超过违约金的，超出部分由乙方继续承担赔偿责任。</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14.5 乙方所交的货物全部或部分品种、型号、规格、技术参数、质量不符合合同规定及招标文件规定标准的，乙方更换货物但逾期交付的（甲方拒绝接受的除外），按乙方逾期交付处理；乙方拒绝更换货物的，甲方可选择解除本合同或本合同的一部分，并可追究乙方的其他违约责任。</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14.6合同生效后，发现乙方投标属虚假承诺，或经权威部门监测提供的货物不能满足招标文件要求，造成合同无法继续履行的，乙方应向甲方支付不少于合同总价</w:t>
      </w:r>
      <w:r>
        <w:rPr>
          <w:rFonts w:ascii="SimSun" w:hAnsi="SimSun" w:eastAsia="SimSun" w:cs="SimSun"/>
          <w:color w:val="auto"/>
          <w:sz w:val="21"/>
          <w:highlight w:val="none"/>
          <w:u w:val="single"/>
        </w:rPr>
        <w:t xml:space="preserve">60%</w:t>
      </w:r>
      <w:r>
        <w:rPr>
          <w:rFonts w:ascii="SimSun" w:hAnsi="SimSun" w:eastAsia="SimSun" w:cs="SimSun"/>
          <w:color w:val="auto"/>
          <w:sz w:val="21"/>
          <w:highlight w:val="none"/>
        </w:rPr>
        <w:t xml:space="preserve">赔偿金。</w:t>
      </w:r>
      <w:r>
        <w:rPr>
          <w:color w:val="auto"/>
          <w:highlight w:val="none"/>
        </w:rPr>
      </w:r>
      <w:r/>
    </w:p>
    <w:p>
      <w:pPr>
        <w:ind w:left="0" w:right="0" w:firstLine="42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15、不可抗力事件处理</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15.1 在合同有效期内，甲乙双方因不可抗力事件导致不能履行合同，则合同履行期可延长，其延长期与不可抗力影响期相同。不可抗力，是指不能预见、不能避免且不能克服的客观情况，例如战争、严重的地震、洪水等，但一方违约或疏忽导致合同不能履行的不属于不可抗力因素。</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15.2不可抗力事件发生后，应立即通知对方，并寄送有关权威机构出具的证明。除甲方书面另行要求外，乙方应尽实际可能继续履行合同义务，以及寻求采取合理的方案履行不受不可抗力影响的其他事项。若不可抗力事件延续120天以上，双方应通过友好协商，确定是否继续履行合同。</w:t>
      </w:r>
      <w:r>
        <w:rPr>
          <w:color w:val="auto"/>
          <w:highlight w:val="none"/>
        </w:rPr>
      </w:r>
      <w:r/>
    </w:p>
    <w:p>
      <w:pPr>
        <w:ind w:left="0" w:right="0" w:firstLine="42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16、争议解决</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16.1 因货物的质量问题发生争议的，可在国家认可的质量检测机构对货物质量进行鉴定。货物符合标准的，鉴定费由甲方承担；货物不符合质量标准的，鉴定费由乙方承担。</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16.2 因履行本合同引起的或与本合同有关的争议，甲、乙双方应首先通过友好协商解决；如果协商不能解决争议，甲乙双方约定，按下列第（1）种方式解决争议：</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（1）将争议提交</w:t>
      </w:r>
      <w:r>
        <w:rPr>
          <w:rFonts w:ascii="SimSun" w:hAnsi="SimSun" w:eastAsia="SimSun" w:cs="SimSun"/>
          <w:color w:val="auto"/>
          <w:sz w:val="21"/>
          <w:highlight w:val="none"/>
          <w:u w:val="single"/>
        </w:rPr>
        <w:t xml:space="preserve">扬州</w:t>
      </w:r>
      <w:r>
        <w:rPr>
          <w:rFonts w:ascii="SimSun" w:hAnsi="SimSun" w:eastAsia="SimSun" w:cs="SimSun"/>
          <w:color w:val="auto"/>
          <w:sz w:val="21"/>
          <w:highlight w:val="none"/>
        </w:rPr>
        <w:t xml:space="preserve">仲裁委员会申请仲裁；</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（2）依法向合同履行地的人民法院提起诉讼。</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16.3 若甲乙双方任何一方都没有选择解除合同的，为避免扩大损失，在诉讼期间，双方应继续履行。</w:t>
      </w:r>
      <w:r>
        <w:rPr>
          <w:color w:val="auto"/>
          <w:highlight w:val="none"/>
        </w:rPr>
      </w:r>
      <w:r/>
    </w:p>
    <w:p>
      <w:pPr>
        <w:ind w:left="0" w:right="0" w:firstLine="422"/>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17、合同其它</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17.1 乙方应诚实信用，严格按照招标文件要求和投标承诺履行合同，不向甲方进行商业贿赂或者提供不正当利益。</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17.2 合同经双方法定代表人或授权代表签字并加盖单位公章，并经江苏苏豪创新科技集团高科有限公司见证盖章后生效。</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17.2本合同未尽事宜，遵照《民法典》有关条文执行。</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17.3 本合同正本一式陆份，具有同等法律效力，甲方肆份，乙方壹份，见证方壹份。</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spacing w:before="240" w:after="24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甲方：</w:t>
      </w:r>
      <w:r>
        <w:rPr>
          <w:rFonts w:ascii="SimSun" w:hAnsi="SimSun" w:eastAsia="SimSun" w:cs="SimSun"/>
          <w:color w:val="auto"/>
          <w:sz w:val="21"/>
          <w:highlight w:val="none"/>
          <w:u w:val="single"/>
        </w:rPr>
        <w:t xml:space="preserve">高邮市中医医院</w:t>
      </w:r>
      <w:r>
        <w:rPr>
          <w:rFonts w:ascii="SimSun" w:hAnsi="SimSun" w:eastAsia="SimSun" w:cs="SimSun"/>
          <w:color w:val="auto"/>
          <w:sz w:val="21"/>
          <w:highlight w:val="none"/>
        </w:rPr>
        <w:t xml:space="preserve">                乙方：</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地址：</w:t>
      </w:r>
      <w:r>
        <w:rPr>
          <w:rFonts w:ascii="SimSun" w:hAnsi="SimSun" w:eastAsia="SimSun" w:cs="SimSun"/>
          <w:color w:val="auto"/>
          <w:sz w:val="21"/>
          <w:highlight w:val="none"/>
          <w:u w:val="single"/>
        </w:rPr>
        <w:t xml:space="preserve">高邮市海潮路1号</w:t>
      </w:r>
      <w:r>
        <w:rPr>
          <w:rFonts w:ascii="SimSun" w:hAnsi="SimSun" w:eastAsia="SimSun" w:cs="SimSun"/>
          <w:color w:val="auto"/>
          <w:sz w:val="21"/>
          <w:highlight w:val="none"/>
        </w:rPr>
        <w:t xml:space="preserve">              地址：</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法定代表人或授权代表：              法定代表人或授权代表：</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联系电话：                          联系电话：</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日期：年月日                        日期：年月日</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KaiTi" w:hAnsi="KaiTi" w:eastAsia="KaiTi" w:cs="KaiTi"/>
          <w:color w:val="auto"/>
          <w:sz w:val="24"/>
          <w:highlight w:val="none"/>
        </w:rPr>
        <w:t xml:space="preserve"> </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KaiTi" w:hAnsi="KaiTi" w:eastAsia="KaiTi" w:cs="KaiTi"/>
          <w:color w:val="auto"/>
          <w:sz w:val="24"/>
          <w:highlight w:val="none"/>
        </w:rPr>
        <w:t xml:space="preserve"> </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KaiTi" w:hAnsi="KaiTi" w:eastAsia="KaiTi" w:cs="KaiTi"/>
          <w:color w:val="auto"/>
          <w:sz w:val="24"/>
          <w:highlight w:val="none"/>
        </w:rPr>
        <w:t xml:space="preserve"> </w:t>
      </w:r>
      <w:r>
        <w:rPr>
          <w:color w:val="auto"/>
          <w:highlight w:val="none"/>
        </w:rPr>
      </w:r>
      <w:r/>
    </w:p>
    <w:p>
      <w:pPr>
        <w:ind w:left="0" w:right="0" w:firstLine="0"/>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KaiTi" w:hAnsi="KaiTi" w:eastAsia="KaiTi" w:cs="KaiTi"/>
          <w:color w:val="auto"/>
          <w:sz w:val="28"/>
          <w:highlight w:val="none"/>
        </w:rPr>
        <w:t xml:space="preserve"> </w:t>
      </w:r>
      <w:r>
        <w:rPr>
          <w:color w:val="auto"/>
          <w:highlight w:val="none"/>
        </w:rPr>
      </w: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0" w:firstLine="2429"/>
        <w:jc w:val="both"/>
        <w:spacing w:before="260" w:after="26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44"/>
          <w:highlight w:val="none"/>
        </w:rPr>
        <w:t xml:space="preserve">第四章 采购需求</w:t>
      </w:r>
      <w:r>
        <w:rPr>
          <w:color w:val="auto"/>
          <w:highlight w:val="none"/>
        </w:rPr>
      </w:r>
      <w:r/>
    </w:p>
    <w:p>
      <w:pPr>
        <w:ind w:left="0" w:right="0" w:firstLine="373"/>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一、采购需求：</w:t>
      </w:r>
      <w:r>
        <w:rPr>
          <w:color w:val="auto"/>
          <w:highlight w:val="none"/>
        </w:rPr>
      </w:r>
      <w:r/>
    </w:p>
    <w:tbl>
      <w:tblPr>
        <w:tblStyle w:val="7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6"/>
        <w:gridCol w:w="2978"/>
        <w:gridCol w:w="1381"/>
        <w:gridCol w:w="1935"/>
        <w:gridCol w:w="152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序号</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设备名称</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数量</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采购预算</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（人民币）</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是否接受进口产品投标</w:t>
            </w:r>
            <w:r>
              <w:rPr>
                <w:color w:val="auto"/>
                <w:highlight w:val="none"/>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6"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01</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8"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血滤机</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8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4套</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35"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100万</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523"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接受</w:t>
            </w:r>
            <w:r>
              <w:rPr>
                <w:color w:val="auto"/>
                <w:highlight w:val="none"/>
              </w:rPr>
            </w:r>
            <w:r/>
          </w:p>
        </w:tc>
      </w:tr>
    </w:tbl>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373"/>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二、技术要求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1</w:t>
      </w:r>
      <w:r>
        <w:rPr>
          <w:rFonts w:ascii="SimSun" w:hAnsi="SimSun" w:eastAsia="SimSun" w:cs="SimSun"/>
          <w:color w:val="auto"/>
          <w:sz w:val="21"/>
          <w:highlight w:val="none"/>
        </w:rPr>
        <w:tab/>
        <w:t xml:space="preserve">超滤率</w:t>
      </w:r>
      <w:r>
        <w:rPr>
          <w:rFonts w:ascii="Times New Roman" w:hAnsi="Times New Roman" w:eastAsia="Times New Roman" w:cs="Times New Roman"/>
          <w:color w:val="auto"/>
          <w:sz w:val="21"/>
          <w:highlight w:val="none"/>
        </w:rPr>
        <w:t xml:space="preserve">: 100</w:t>
      </w:r>
      <w:r>
        <w:rPr>
          <w:rFonts w:ascii="SimSun" w:hAnsi="SimSun" w:eastAsia="SimSun" w:cs="SimSun"/>
          <w:color w:val="auto"/>
          <w:sz w:val="21"/>
          <w:highlight w:val="none"/>
        </w:rPr>
        <w:t xml:space="preserve">～</w:t>
      </w:r>
      <w:r>
        <w:rPr>
          <w:rFonts w:ascii="Times New Roman" w:hAnsi="Times New Roman" w:eastAsia="Times New Roman" w:cs="Times New Roman"/>
          <w:color w:val="auto"/>
          <w:sz w:val="21"/>
          <w:highlight w:val="none"/>
        </w:rPr>
        <w:t xml:space="preserve">4000ml/h</w:t>
      </w:r>
      <w:r>
        <w:rPr>
          <w:rFonts w:ascii="SimSun" w:hAnsi="SimSun" w:eastAsia="SimSun" w:cs="SimSun"/>
          <w:color w:val="auto"/>
          <w:sz w:val="21"/>
          <w:highlight w:val="none"/>
        </w:rPr>
        <w:t xml:space="preserve">，超滤精度</w:t>
      </w:r>
      <w:r>
        <w:rPr>
          <w:rFonts w:ascii="Times New Roman" w:hAnsi="Times New Roman" w:eastAsia="Times New Roman" w:cs="Times New Roman"/>
          <w:color w:val="auto"/>
          <w:sz w:val="21"/>
          <w:highlight w:val="none"/>
        </w:rPr>
        <w:t xml:space="preserve">: </w:t>
      </w:r>
      <w:r>
        <w:rPr>
          <w:rFonts w:ascii="SimSun" w:hAnsi="SimSun" w:eastAsia="SimSun" w:cs="SimSun"/>
          <w:color w:val="auto"/>
          <w:sz w:val="21"/>
          <w:highlight w:val="none"/>
        </w:rPr>
        <w:t xml:space="preserve">±</w:t>
      </w:r>
      <w:r>
        <w:rPr>
          <w:rFonts w:ascii="Times New Roman" w:hAnsi="Times New Roman" w:eastAsia="Times New Roman" w:cs="Times New Roman"/>
          <w:color w:val="auto"/>
          <w:sz w:val="21"/>
          <w:highlight w:val="none"/>
        </w:rPr>
        <w:t xml:space="preserve">1.0%</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2</w:t>
      </w:r>
      <w:r>
        <w:rPr>
          <w:rFonts w:ascii="SimSun" w:hAnsi="SimSun" w:eastAsia="SimSun" w:cs="SimSun"/>
          <w:color w:val="auto"/>
          <w:sz w:val="21"/>
          <w:highlight w:val="none"/>
        </w:rPr>
        <w:tab/>
        <w:t xml:space="preserve">兼容国产管路</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3</w:t>
      </w:r>
      <w:r>
        <w:rPr>
          <w:rFonts w:ascii="SimSun" w:hAnsi="SimSun" w:eastAsia="SimSun" w:cs="SimSun"/>
          <w:color w:val="auto"/>
          <w:sz w:val="21"/>
          <w:highlight w:val="none"/>
        </w:rPr>
        <w:tab/>
        <w:t xml:space="preserve">透析液温度控制范围：</w:t>
      </w:r>
      <w:r>
        <w:rPr>
          <w:rFonts w:ascii="Times New Roman" w:hAnsi="Times New Roman" w:eastAsia="Times New Roman" w:cs="Times New Roman"/>
          <w:color w:val="auto"/>
          <w:sz w:val="21"/>
          <w:highlight w:val="none"/>
        </w:rPr>
        <w:t xml:space="preserve">35</w:t>
      </w:r>
      <w:r>
        <w:rPr>
          <w:rFonts w:ascii="SimSun" w:hAnsi="SimSun" w:eastAsia="SimSun" w:cs="SimSun"/>
          <w:color w:val="auto"/>
          <w:sz w:val="21"/>
          <w:highlight w:val="none"/>
        </w:rPr>
        <w:t xml:space="preserve">℃～</w:t>
      </w:r>
      <w:r>
        <w:rPr>
          <w:rFonts w:ascii="Times New Roman" w:hAnsi="Times New Roman" w:eastAsia="Times New Roman" w:cs="Times New Roman"/>
          <w:color w:val="auto"/>
          <w:sz w:val="21"/>
          <w:highlight w:val="none"/>
        </w:rPr>
        <w:t xml:space="preserve">39</w:t>
      </w:r>
      <w:r>
        <w:rPr>
          <w:rFonts w:ascii="SimSun" w:hAnsi="SimSun" w:eastAsia="SimSun" w:cs="SimSun"/>
          <w:color w:val="auto"/>
          <w:sz w:val="21"/>
          <w:highlight w:val="none"/>
        </w:rPr>
        <w:t xml:space="preserve">℃，可调</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4</w:t>
      </w:r>
      <w:r>
        <w:rPr>
          <w:rFonts w:ascii="SimSun" w:hAnsi="SimSun" w:eastAsia="SimSun" w:cs="SimSun"/>
          <w:color w:val="auto"/>
          <w:sz w:val="21"/>
          <w:highlight w:val="none"/>
        </w:rPr>
        <w:tab/>
        <w:t xml:space="preserve">血泵流量设置范围：≥</w:t>
      </w:r>
      <w:r>
        <w:rPr>
          <w:rFonts w:ascii="Times New Roman" w:hAnsi="Times New Roman" w:eastAsia="Times New Roman" w:cs="Times New Roman"/>
          <w:color w:val="auto"/>
          <w:sz w:val="21"/>
          <w:highlight w:val="none"/>
        </w:rPr>
        <w:t xml:space="preserve">50</w:t>
      </w:r>
      <w:r>
        <w:rPr>
          <w:rFonts w:ascii="SimSun" w:hAnsi="SimSun" w:eastAsia="SimSun" w:cs="SimSun"/>
          <w:color w:val="auto"/>
          <w:sz w:val="21"/>
          <w:highlight w:val="none"/>
        </w:rPr>
        <w:t xml:space="preserve">～</w:t>
      </w:r>
      <w:r>
        <w:rPr>
          <w:rFonts w:ascii="Times New Roman" w:hAnsi="Times New Roman" w:eastAsia="Times New Roman" w:cs="Times New Roman"/>
          <w:color w:val="auto"/>
          <w:sz w:val="21"/>
          <w:highlight w:val="none"/>
        </w:rPr>
        <w:t xml:space="preserve">600ml/min</w:t>
      </w:r>
      <w:r>
        <w:rPr>
          <w:rFonts w:ascii="SimSun" w:hAnsi="SimSun" w:eastAsia="SimSun" w:cs="SimSun"/>
          <w:color w:val="auto"/>
          <w:sz w:val="21"/>
          <w:highlight w:val="none"/>
        </w:rPr>
        <w:t xml:space="preserve">，可调</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5</w:t>
      </w:r>
      <w:r>
        <w:rPr>
          <w:rFonts w:ascii="SimSun" w:hAnsi="SimSun" w:eastAsia="SimSun" w:cs="SimSun"/>
          <w:color w:val="auto"/>
          <w:sz w:val="21"/>
          <w:highlight w:val="none"/>
        </w:rPr>
        <w:tab/>
        <w:t xml:space="preserve">置换液流量跨度</w:t>
      </w:r>
      <w:r>
        <w:rPr>
          <w:rFonts w:ascii="Times New Roman" w:hAnsi="Times New Roman" w:eastAsia="Times New Roman" w:cs="Times New Roman"/>
          <w:color w:val="auto"/>
          <w:sz w:val="21"/>
          <w:highlight w:val="none"/>
        </w:rPr>
        <w:t xml:space="preserve">20</w:t>
      </w:r>
      <w:r>
        <w:rPr>
          <w:rFonts w:ascii="SimSun" w:hAnsi="SimSun" w:eastAsia="SimSun" w:cs="SimSun"/>
          <w:color w:val="auto"/>
          <w:sz w:val="21"/>
          <w:highlight w:val="none"/>
        </w:rPr>
        <w:t xml:space="preserve">～</w:t>
      </w:r>
      <w:r>
        <w:rPr>
          <w:rFonts w:ascii="Times New Roman" w:hAnsi="Times New Roman" w:eastAsia="Times New Roman" w:cs="Times New Roman"/>
          <w:color w:val="auto"/>
          <w:sz w:val="21"/>
          <w:highlight w:val="none"/>
        </w:rPr>
        <w:t xml:space="preserve">400ml/min,</w:t>
      </w:r>
      <w:r>
        <w:rPr>
          <w:rFonts w:ascii="SimSun" w:hAnsi="SimSun" w:eastAsia="SimSun" w:cs="SimSun"/>
          <w:color w:val="auto"/>
          <w:sz w:val="21"/>
          <w:highlight w:val="none"/>
        </w:rPr>
        <w:t xml:space="preserve">可设置置换液流量自动适应有效的血流量</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6</w:t>
      </w:r>
      <w:r>
        <w:rPr>
          <w:rFonts w:ascii="SimSun" w:hAnsi="SimSun" w:eastAsia="SimSun" w:cs="SimSun"/>
          <w:color w:val="auto"/>
          <w:sz w:val="21"/>
          <w:highlight w:val="none"/>
        </w:rPr>
        <w:tab/>
        <w:t xml:space="preserve">支持自动双向引血功能，全自动预充</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7</w:t>
      </w:r>
      <w:r>
        <w:rPr>
          <w:rFonts w:ascii="SimSun" w:hAnsi="SimSun" w:eastAsia="SimSun" w:cs="SimSun"/>
          <w:color w:val="auto"/>
          <w:sz w:val="21"/>
          <w:highlight w:val="none"/>
        </w:rPr>
        <w:tab/>
        <w:t xml:space="preserve">支持预充液联机排放，配备联机排液口，无需连接废液袋。</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8</w:t>
      </w:r>
      <w:r>
        <w:rPr>
          <w:rFonts w:ascii="SimSun" w:hAnsi="SimSun" w:eastAsia="SimSun" w:cs="SimSun"/>
          <w:color w:val="auto"/>
          <w:sz w:val="21"/>
          <w:highlight w:val="none"/>
        </w:rPr>
        <w:tab/>
        <w:t xml:space="preserve">▲透析液流速可视可调，调整范围在</w:t>
      </w:r>
      <w:r>
        <w:rPr>
          <w:rFonts w:ascii="Times New Roman" w:hAnsi="Times New Roman" w:eastAsia="Times New Roman" w:cs="Times New Roman"/>
          <w:color w:val="auto"/>
          <w:sz w:val="21"/>
          <w:highlight w:val="none"/>
        </w:rPr>
        <w:t xml:space="preserve">100</w:t>
      </w:r>
      <w:r>
        <w:rPr>
          <w:rFonts w:ascii="SimSun" w:hAnsi="SimSun" w:eastAsia="SimSun" w:cs="SimSun"/>
          <w:color w:val="auto"/>
          <w:sz w:val="21"/>
          <w:highlight w:val="none"/>
        </w:rPr>
        <w:t xml:space="preserve">～</w:t>
      </w:r>
      <w:r>
        <w:rPr>
          <w:rFonts w:ascii="Times New Roman" w:hAnsi="Times New Roman" w:eastAsia="Times New Roman" w:cs="Times New Roman"/>
          <w:color w:val="auto"/>
          <w:sz w:val="21"/>
          <w:highlight w:val="none"/>
        </w:rPr>
        <w:t xml:space="preserve">800ml/min</w:t>
      </w:r>
      <w:r>
        <w:rPr>
          <w:rFonts w:ascii="SimSun" w:hAnsi="SimSun" w:eastAsia="SimSun" w:cs="SimSun"/>
          <w:color w:val="auto"/>
          <w:sz w:val="21"/>
          <w:highlight w:val="none"/>
        </w:rPr>
        <w:t xml:space="preserve">，具有透析液流量联动血流量功能</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9</w:t>
      </w:r>
      <w:r>
        <w:rPr>
          <w:rFonts w:ascii="SimSun" w:hAnsi="SimSun" w:eastAsia="SimSun" w:cs="SimSun"/>
          <w:color w:val="auto"/>
          <w:sz w:val="21"/>
          <w:highlight w:val="none"/>
        </w:rPr>
        <w:tab/>
        <w:t xml:space="preserve">具有个性化透析程序</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10</w:t>
      </w:r>
      <w:r>
        <w:rPr>
          <w:rFonts w:ascii="SimSun" w:hAnsi="SimSun" w:eastAsia="SimSun" w:cs="SimSun"/>
          <w:color w:val="auto"/>
          <w:sz w:val="21"/>
          <w:highlight w:val="none"/>
        </w:rPr>
        <w:tab/>
        <w:t xml:space="preserve">▲具有置换液流量联动血流量功能、一次性补液注入功能。</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11</w:t>
      </w:r>
      <w:r>
        <w:rPr>
          <w:rFonts w:ascii="SimSun" w:hAnsi="SimSun" w:eastAsia="SimSun" w:cs="SimSun"/>
          <w:color w:val="auto"/>
          <w:sz w:val="21"/>
          <w:highlight w:val="none"/>
        </w:rPr>
        <w:tab/>
        <w:t xml:space="preserve">具备细菌过滤器组件和≥</w:t>
      </w:r>
      <w:r>
        <w:rPr>
          <w:rFonts w:ascii="Times New Roman" w:hAnsi="Times New Roman" w:eastAsia="Times New Roman" w:cs="Times New Roman"/>
          <w:color w:val="auto"/>
          <w:sz w:val="21"/>
          <w:highlight w:val="none"/>
        </w:rPr>
        <w:t xml:space="preserve">2</w:t>
      </w:r>
      <w:r>
        <w:rPr>
          <w:rFonts w:ascii="SimSun" w:hAnsi="SimSun" w:eastAsia="SimSun" w:cs="SimSun"/>
          <w:color w:val="auto"/>
          <w:sz w:val="21"/>
          <w:highlight w:val="none"/>
        </w:rPr>
        <w:t xml:space="preserve">个细菌过滤器</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12</w:t>
      </w:r>
      <w:r>
        <w:rPr>
          <w:rFonts w:ascii="SimSun" w:hAnsi="SimSun" w:eastAsia="SimSun" w:cs="SimSun"/>
          <w:color w:val="auto"/>
          <w:sz w:val="21"/>
          <w:highlight w:val="none"/>
        </w:rPr>
        <w:tab/>
        <w:t xml:space="preserve">具备气泡传感器</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13</w:t>
      </w:r>
      <w:r>
        <w:rPr>
          <w:rFonts w:ascii="SimSun" w:hAnsi="SimSun" w:eastAsia="SimSun" w:cs="SimSun"/>
          <w:color w:val="auto"/>
          <w:sz w:val="21"/>
          <w:highlight w:val="none"/>
        </w:rPr>
        <w:tab/>
        <w:t xml:space="preserve">消毒方式有化学消毒、热消毒。消毒脱钙一体化设计</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14</w:t>
      </w:r>
      <w:r>
        <w:rPr>
          <w:rFonts w:ascii="SimSun" w:hAnsi="SimSun" w:eastAsia="SimSun" w:cs="SimSun"/>
          <w:color w:val="auto"/>
          <w:sz w:val="21"/>
          <w:highlight w:val="none"/>
        </w:rPr>
        <w:tab/>
        <w:t xml:space="preserve">具备动静脉壶液面的电动调整功能</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15</w:t>
      </w:r>
      <w:r>
        <w:rPr>
          <w:rFonts w:ascii="SimSun" w:hAnsi="SimSun" w:eastAsia="SimSun" w:cs="SimSun"/>
          <w:color w:val="auto"/>
          <w:sz w:val="21"/>
          <w:highlight w:val="none"/>
        </w:rPr>
        <w:tab/>
        <w:t xml:space="preserve">具备肝素泵</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16</w:t>
      </w:r>
      <w:r>
        <w:rPr>
          <w:rFonts w:ascii="SimSun" w:hAnsi="SimSun" w:eastAsia="SimSun" w:cs="SimSun"/>
          <w:color w:val="auto"/>
          <w:sz w:val="21"/>
          <w:highlight w:val="none"/>
        </w:rPr>
        <w:tab/>
        <w:t xml:space="preserve">具备漏血监测器</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17</w:t>
      </w:r>
      <w:r>
        <w:rPr>
          <w:rFonts w:ascii="SimSun" w:hAnsi="SimSun" w:eastAsia="SimSun" w:cs="SimSun"/>
          <w:color w:val="auto"/>
          <w:sz w:val="21"/>
          <w:highlight w:val="none"/>
        </w:rPr>
        <w:tab/>
        <w:t xml:space="preserve">动脉压监测和显示范围：≥</w:t>
      </w:r>
      <w:r>
        <w:rPr>
          <w:rFonts w:ascii="Times New Roman" w:hAnsi="Times New Roman" w:eastAsia="Times New Roman" w:cs="Times New Roman"/>
          <w:color w:val="auto"/>
          <w:sz w:val="21"/>
          <w:highlight w:val="none"/>
        </w:rPr>
        <w:t xml:space="preserve">-300</w:t>
      </w:r>
      <w:r>
        <w:rPr>
          <w:rFonts w:ascii="SimSun" w:hAnsi="SimSun" w:eastAsia="SimSun" w:cs="SimSun"/>
          <w:color w:val="auto"/>
          <w:sz w:val="21"/>
          <w:highlight w:val="none"/>
        </w:rPr>
        <w:t xml:space="preserve">～</w:t>
      </w:r>
      <w:r>
        <w:rPr>
          <w:rFonts w:ascii="Times New Roman" w:hAnsi="Times New Roman" w:eastAsia="Times New Roman" w:cs="Times New Roman"/>
          <w:color w:val="auto"/>
          <w:sz w:val="21"/>
          <w:highlight w:val="none"/>
        </w:rPr>
        <w:t xml:space="preserve">+280  mmHg</w:t>
      </w:r>
      <w:r>
        <w:rPr>
          <w:rFonts w:ascii="SimSun" w:hAnsi="SimSun" w:eastAsia="SimSun" w:cs="SimSun"/>
          <w:color w:val="auto"/>
          <w:sz w:val="21"/>
          <w:highlight w:val="none"/>
        </w:rPr>
        <w:t xml:space="preserve">。</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18</w:t>
      </w:r>
      <w:r>
        <w:rPr>
          <w:rFonts w:ascii="SimSun" w:hAnsi="SimSun" w:eastAsia="SimSun" w:cs="SimSun"/>
          <w:color w:val="auto"/>
          <w:sz w:val="21"/>
          <w:highlight w:val="none"/>
        </w:rPr>
        <w:tab/>
        <w:t xml:space="preserve">静脉压监测和显示范围：≥</w:t>
      </w:r>
      <w:r>
        <w:rPr>
          <w:rFonts w:ascii="Times New Roman" w:hAnsi="Times New Roman" w:eastAsia="Times New Roman" w:cs="Times New Roman"/>
          <w:color w:val="auto"/>
          <w:sz w:val="21"/>
          <w:highlight w:val="none"/>
        </w:rPr>
        <w:t xml:space="preserve">-60</w:t>
      </w:r>
      <w:r>
        <w:rPr>
          <w:rFonts w:ascii="SimSun" w:hAnsi="SimSun" w:eastAsia="SimSun" w:cs="SimSun"/>
          <w:color w:val="auto"/>
          <w:sz w:val="21"/>
          <w:highlight w:val="none"/>
        </w:rPr>
        <w:t xml:space="preserve">～</w:t>
      </w:r>
      <w:r>
        <w:rPr>
          <w:rFonts w:ascii="Times New Roman" w:hAnsi="Times New Roman" w:eastAsia="Times New Roman" w:cs="Times New Roman"/>
          <w:color w:val="auto"/>
          <w:sz w:val="21"/>
          <w:highlight w:val="none"/>
        </w:rPr>
        <w:t xml:space="preserve">+390 mmHg</w:t>
      </w:r>
      <w:r>
        <w:rPr>
          <w:rFonts w:ascii="SimSun" w:hAnsi="SimSun" w:eastAsia="SimSun" w:cs="SimSun"/>
          <w:color w:val="auto"/>
          <w:sz w:val="21"/>
          <w:highlight w:val="none"/>
        </w:rPr>
        <w:t xml:space="preserve">。</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19</w:t>
      </w:r>
      <w:r>
        <w:rPr>
          <w:rFonts w:ascii="SimSun" w:hAnsi="SimSun" w:eastAsia="SimSun" w:cs="SimSun"/>
          <w:color w:val="auto"/>
          <w:sz w:val="21"/>
          <w:highlight w:val="none"/>
        </w:rPr>
        <w:tab/>
        <w:t xml:space="preserve">▲跨膜压监测范围 </w:t>
      </w:r>
      <w:r>
        <w:rPr>
          <w:rFonts w:ascii="Times New Roman" w:hAnsi="Times New Roman" w:eastAsia="Times New Roman" w:cs="Times New Roman"/>
          <w:color w:val="auto"/>
          <w:sz w:val="21"/>
          <w:highlight w:val="none"/>
        </w:rPr>
        <w:t xml:space="preserve">-100mmHg</w:t>
      </w:r>
      <w:r>
        <w:rPr>
          <w:rFonts w:ascii="SimSun" w:hAnsi="SimSun" w:eastAsia="SimSun" w:cs="SimSun"/>
          <w:color w:val="auto"/>
          <w:sz w:val="21"/>
          <w:highlight w:val="none"/>
        </w:rPr>
        <w:t xml:space="preserve">～</w:t>
      </w:r>
      <w:r>
        <w:rPr>
          <w:rFonts w:ascii="Times New Roman" w:hAnsi="Times New Roman" w:eastAsia="Times New Roman" w:cs="Times New Roman"/>
          <w:color w:val="auto"/>
          <w:sz w:val="21"/>
          <w:highlight w:val="none"/>
        </w:rPr>
        <w:t xml:space="preserve">+400 mmHgmmHg </w:t>
      </w:r>
      <w:r>
        <w:rPr>
          <w:rFonts w:ascii="SimSun" w:hAnsi="SimSun" w:eastAsia="SimSun" w:cs="SimSun"/>
          <w:color w:val="auto"/>
          <w:sz w:val="21"/>
          <w:highlight w:val="none"/>
        </w:rPr>
        <w:t xml:space="preserve">，±</w:t>
      </w:r>
      <w:r>
        <w:rPr>
          <w:rFonts w:ascii="Times New Roman" w:hAnsi="Times New Roman" w:eastAsia="Times New Roman" w:cs="Times New Roman"/>
          <w:color w:val="auto"/>
          <w:sz w:val="21"/>
          <w:highlight w:val="none"/>
        </w:rPr>
        <w:t xml:space="preserve">10mmHg</w:t>
      </w:r>
      <w:r>
        <w:rPr>
          <w:rFonts w:ascii="SimSun" w:hAnsi="SimSun" w:eastAsia="SimSun" w:cs="SimSun"/>
          <w:color w:val="auto"/>
          <w:sz w:val="21"/>
          <w:highlight w:val="none"/>
        </w:rPr>
        <w:t xml:space="preserve">，有跨膜压自动跟踪报警功能。</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20</w:t>
      </w:r>
      <w:r>
        <w:rPr>
          <w:rFonts w:ascii="SimSun" w:hAnsi="SimSun" w:eastAsia="SimSun" w:cs="SimSun"/>
          <w:color w:val="auto"/>
          <w:sz w:val="21"/>
          <w:highlight w:val="none"/>
        </w:rPr>
        <w:tab/>
        <w:t xml:space="preserve">具备联机</w:t>
      </w:r>
      <w:r>
        <w:rPr>
          <w:rFonts w:ascii="Times New Roman" w:hAnsi="Times New Roman" w:eastAsia="Times New Roman" w:cs="Times New Roman"/>
          <w:color w:val="auto"/>
          <w:sz w:val="21"/>
          <w:highlight w:val="none"/>
        </w:rPr>
        <w:t xml:space="preserve">B</w:t>
      </w:r>
      <w:r>
        <w:rPr>
          <w:rFonts w:ascii="SimSun" w:hAnsi="SimSun" w:eastAsia="SimSun" w:cs="SimSun"/>
          <w:color w:val="auto"/>
          <w:sz w:val="21"/>
          <w:highlight w:val="none"/>
        </w:rPr>
        <w:t xml:space="preserve">干粉功能</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21</w:t>
      </w:r>
      <w:r>
        <w:rPr>
          <w:rFonts w:ascii="SimSun" w:hAnsi="SimSun" w:eastAsia="SimSun" w:cs="SimSun"/>
          <w:color w:val="auto"/>
          <w:sz w:val="21"/>
          <w:highlight w:val="none"/>
        </w:rPr>
        <w:tab/>
        <w:t xml:space="preserve">▲具备显示治疗状态的四联指示灯，可以直观的显示机器的运行状态。</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22</w:t>
      </w:r>
      <w:r>
        <w:rPr>
          <w:rFonts w:ascii="SimSun" w:hAnsi="SimSun" w:eastAsia="SimSun" w:cs="SimSun"/>
          <w:color w:val="auto"/>
          <w:sz w:val="21"/>
          <w:highlight w:val="none"/>
        </w:rPr>
        <w:tab/>
        <w:t xml:space="preserve">▲超滤方式</w:t>
      </w:r>
      <w:r>
        <w:rPr>
          <w:rFonts w:ascii="Times New Roman" w:hAnsi="Times New Roman" w:eastAsia="Times New Roman" w:cs="Times New Roman"/>
          <w:color w:val="auto"/>
          <w:sz w:val="21"/>
          <w:highlight w:val="none"/>
        </w:rPr>
        <w:t xml:space="preserve">: </w:t>
      </w:r>
      <w:r>
        <w:rPr>
          <w:rFonts w:ascii="SimSun" w:hAnsi="SimSun" w:eastAsia="SimSun" w:cs="SimSun"/>
          <w:color w:val="auto"/>
          <w:sz w:val="21"/>
          <w:highlight w:val="none"/>
        </w:rPr>
        <w:t xml:space="preserve">容量式平衡腔超滤控制系统或复式泵超滤控制系统</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23</w:t>
      </w:r>
      <w:r>
        <w:rPr>
          <w:rFonts w:ascii="SimSun" w:hAnsi="SimSun" w:eastAsia="SimSun" w:cs="SimSun"/>
          <w:color w:val="auto"/>
          <w:sz w:val="21"/>
          <w:highlight w:val="none"/>
        </w:rPr>
        <w:tab/>
        <w:t xml:space="preserve">▲具有血压计功能，根据设定的时间可自动测量血压，具有预防低血压的功能。</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24</w:t>
      </w:r>
      <w:r>
        <w:rPr>
          <w:rFonts w:ascii="SimSun" w:hAnsi="SimSun" w:eastAsia="SimSun" w:cs="SimSun"/>
          <w:color w:val="auto"/>
          <w:sz w:val="21"/>
          <w:highlight w:val="none"/>
        </w:rPr>
        <w:tab/>
        <w:t xml:space="preserve">具备在线清除率监测功能</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25</w:t>
      </w:r>
      <w:r>
        <w:rPr>
          <w:rFonts w:ascii="SimSun" w:hAnsi="SimSun" w:eastAsia="SimSun" w:cs="SimSun"/>
          <w:color w:val="auto"/>
          <w:sz w:val="21"/>
          <w:highlight w:val="none"/>
        </w:rPr>
        <w:tab/>
        <w:t xml:space="preserve">具备血温、血容量监测功能</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26</w:t>
      </w:r>
      <w:r>
        <w:rPr>
          <w:rFonts w:ascii="SimSun" w:hAnsi="SimSun" w:eastAsia="SimSun" w:cs="SimSun"/>
          <w:color w:val="auto"/>
          <w:sz w:val="21"/>
          <w:highlight w:val="none"/>
        </w:rPr>
        <w:tab/>
        <w:t xml:space="preserve">具备备用电池</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27</w:t>
      </w:r>
      <w:r>
        <w:rPr>
          <w:rFonts w:ascii="SimSun" w:hAnsi="SimSun" w:eastAsia="SimSun" w:cs="SimSun"/>
          <w:color w:val="auto"/>
          <w:sz w:val="21"/>
          <w:highlight w:val="none"/>
        </w:rPr>
        <w:tab/>
        <w:t xml:space="preserve">配置通讯接口</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28</w:t>
      </w:r>
      <w:r>
        <w:rPr>
          <w:rFonts w:ascii="SimSun" w:hAnsi="SimSun" w:eastAsia="SimSun" w:cs="SimSun"/>
          <w:color w:val="auto"/>
          <w:sz w:val="21"/>
          <w:highlight w:val="none"/>
        </w:rPr>
        <w:tab/>
        <w:t xml:space="preserve">具备患者卡以及读卡器组件</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auto"/>
          <w:sz w:val="21"/>
          <w:highlight w:val="none"/>
        </w:rPr>
        <w:t xml:space="preserve">29</w:t>
      </w:r>
      <w:r>
        <w:rPr>
          <w:rFonts w:ascii="SimSun" w:hAnsi="SimSun" w:eastAsia="SimSun" w:cs="SimSun"/>
          <w:color w:val="auto"/>
          <w:sz w:val="21"/>
          <w:highlight w:val="none"/>
        </w:rPr>
        <w:tab/>
        <w:t xml:space="preserve">具备全中文报警</w:t>
      </w:r>
      <w:r>
        <w:rPr>
          <w:color w:val="auto"/>
          <w:highlight w:val="none"/>
        </w:rPr>
      </w:r>
      <w:r/>
    </w:p>
    <w:p>
      <w:pPr>
        <w:ind w:left="0" w:right="0" w:firstLine="373"/>
        <w:jc w:val="both"/>
        <w:spacing w:before="145" w:after="145"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三、★商务要求：</w:t>
      </w:r>
      <w:r>
        <w:rPr>
          <w:color w:val="auto"/>
          <w:highlight w:val="none"/>
        </w:rPr>
      </w: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(下列条款中甲方为：高邮市中医医院，乙方为：本项目的中标投标人)</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2"/>
          <w:highlight w:val="none"/>
          <w:u w:val="single"/>
        </w:rPr>
        <w:t xml:space="preserve">3.1、交货期：合同签订后90日内；</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2"/>
          <w:highlight w:val="none"/>
          <w:u w:val="single"/>
        </w:rPr>
        <w:t xml:space="preserve">3.2、交货地点：甲方指定地点；</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2"/>
          <w:highlight w:val="none"/>
          <w:u w:val="single"/>
        </w:rPr>
        <w:t xml:space="preserve">3.3、付款条件：合同签订后且乙方向甲方出具发票后，甲方15日内支付合同款的30%，项目验收合格后，甲方支付合同款的60%。甲方于验收合格之日起一年后支付10%合同款。</w:t>
      </w:r>
      <w:r>
        <w:rPr>
          <w:color w:val="auto"/>
          <w:highlight w:val="none"/>
        </w:rPr>
      </w: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highlight w:val="none"/>
        </w:rPr>
        <w:t xml:space="preserve">3.4、包装和运输：</w:t>
      </w:r>
      <w:r>
        <w:rPr>
          <w:color w:val="auto"/>
          <w:highlight w:val="none"/>
        </w:rPr>
      </w: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3.4.1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color w:val="auto"/>
          <w:highlight w:val="none"/>
        </w:rPr>
      </w: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3.4.2使用说明书、质量检验证明书、随配附件和工具以及清单一并附于货物内。</w:t>
      </w:r>
      <w:r>
        <w:rPr>
          <w:color w:val="auto"/>
          <w:highlight w:val="none"/>
        </w:rPr>
      </w: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3.4.3乙方在货物发运手续办理完毕后24小时内或货到甲方48小时前通知甲方，以准备接货。</w:t>
      </w:r>
      <w:r>
        <w:rPr>
          <w:color w:val="auto"/>
          <w:highlight w:val="none"/>
        </w:rPr>
      </w: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3.4.5货物在交付甲方前发生的风险均由乙方负责。</w:t>
      </w:r>
      <w:r>
        <w:rPr>
          <w:color w:val="auto"/>
          <w:highlight w:val="none"/>
        </w:rPr>
      </w: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highlight w:val="none"/>
        </w:rPr>
        <w:t xml:space="preserve">3.5、售后服务：</w:t>
      </w:r>
      <w:r>
        <w:rPr>
          <w:color w:val="auto"/>
          <w:highlight w:val="none"/>
        </w:rPr>
      </w: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3.5.1乙方应按招标文件规定的货物性能、技术要求、质量标准向甲方提供未经使用的全新产品。</w:t>
      </w:r>
      <w:r>
        <w:rPr>
          <w:color w:val="auto"/>
          <w:highlight w:val="none"/>
        </w:rPr>
      </w: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3.5.2乙方提供的货物在质量期内因货物本身的质量问题发生故障，乙方应负责免费更换。对达不到技术要求者，根据实际情况，经双方协商，可按以下办法处理：</w:t>
      </w:r>
      <w:r>
        <w:rPr>
          <w:color w:val="auto"/>
          <w:highlight w:val="none"/>
        </w:rPr>
      </w: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⑴更换：由乙方承担所发生的全部费用。</w:t>
      </w:r>
      <w:r>
        <w:rPr>
          <w:color w:val="auto"/>
          <w:highlight w:val="none"/>
        </w:rPr>
      </w: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⑵贬值处理：由甲乙双方合议定价。</w:t>
      </w:r>
      <w:r>
        <w:rPr>
          <w:color w:val="auto"/>
          <w:highlight w:val="none"/>
        </w:rPr>
      </w: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⑶退货处理：乙方应退还甲方支付的合同款，同时应承担该货物的直接费用（运输、保险、检验、货款利息及银行手续费等）。</w:t>
      </w:r>
      <w:r>
        <w:rPr>
          <w:color w:val="auto"/>
          <w:highlight w:val="none"/>
        </w:rPr>
      </w: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3.5.3如在使用过程中发生质量问题，乙方在接到甲方通知后在</w:t>
      </w:r>
      <w:r>
        <w:rPr>
          <w:rFonts w:ascii="SimSun" w:hAnsi="SimSun" w:eastAsia="SimSun" w:cs="SimSun"/>
          <w:b/>
          <w:color w:val="auto"/>
          <w:sz w:val="22"/>
          <w:highlight w:val="none"/>
        </w:rPr>
        <w:t xml:space="preserve">4</w:t>
      </w:r>
      <w:r>
        <w:rPr>
          <w:rFonts w:ascii="SimSun" w:hAnsi="SimSun" w:eastAsia="SimSun" w:cs="SimSun"/>
          <w:color w:val="auto"/>
          <w:sz w:val="22"/>
          <w:highlight w:val="none"/>
        </w:rPr>
        <w:t xml:space="preserve">小时内到达甲方现场。</w:t>
      </w:r>
      <w:r>
        <w:rPr>
          <w:color w:val="auto"/>
          <w:highlight w:val="none"/>
        </w:rPr>
      </w: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3.5.4在质保期内，乙方应对货物出现的质量及安全问题负责处理解决并承担一切费用。</w:t>
      </w:r>
      <w:r>
        <w:rPr>
          <w:color w:val="auto"/>
          <w:highlight w:val="none"/>
        </w:rPr>
      </w: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3.5.5★上述货物免费保修期（可以优于但不能低于）：1年（自交货验收合格之日起计），因人为因素出现的故障不在免费保修范围内。超过保修期的机器设备，终生维修，维修时只收部件成本费。</w:t>
      </w:r>
      <w:r>
        <w:rPr>
          <w:color w:val="auto"/>
          <w:highlight w:val="none"/>
        </w:rPr>
      </w: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highlight w:val="none"/>
        </w:rPr>
        <w:t xml:space="preserve">3.6技术培训</w:t>
      </w:r>
      <w:r>
        <w:rPr>
          <w:color w:val="auto"/>
          <w:highlight w:val="none"/>
        </w:rPr>
      </w: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3.6.1在安装过程中或安装结束后，乙方工程师或有关人员有义务对甲方工程师和操作人员进行现场维修、保养、操作培训，解答甲方人员提出的问题。必要时提供正规培训班培训，确保操作人员掌握完成日常工作所需的基本操作方法为止，工程师掌握基本的维护保养操作技术为止。</w:t>
      </w:r>
      <w:r>
        <w:rPr>
          <w:color w:val="auto"/>
          <w:highlight w:val="none"/>
        </w:rPr>
      </w: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2"/>
          <w:highlight w:val="none"/>
        </w:rPr>
        <w:t xml:space="preserve">四、其他说明：</w:t>
      </w:r>
      <w:r>
        <w:rPr>
          <w:color w:val="auto"/>
          <w:highlight w:val="none"/>
        </w:rPr>
      </w: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4.1上述加注“★”符号的关键条款指标，不允许负偏离，否则投标无效；加注“▲”符号的重要条款指标；其他为一般条款指标。</w:t>
      </w:r>
      <w:r>
        <w:rPr>
          <w:color w:val="auto"/>
          <w:highlight w:val="none"/>
        </w:rPr>
      </w: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4.2</w:t>
      </w:r>
      <w:r>
        <w:rPr>
          <w:rFonts w:ascii="SimSun" w:hAnsi="SimSun" w:eastAsia="SimSun" w:cs="SimSun"/>
          <w:i/>
          <w:color w:val="auto"/>
          <w:sz w:val="22"/>
          <w:highlight w:val="none"/>
          <w:u w:val="single"/>
        </w:rPr>
        <w:t xml:space="preserve">本招标文件中斜体且有下划线部分为实质性要求和条件，</w:t>
      </w:r>
      <w:r>
        <w:rPr>
          <w:rFonts w:ascii="SimSun" w:hAnsi="SimSun" w:eastAsia="SimSun" w:cs="SimSun"/>
          <w:color w:val="auto"/>
          <w:sz w:val="22"/>
          <w:highlight w:val="none"/>
        </w:rPr>
        <w:t xml:space="preserve">不允许负偏离，否则投标无效。</w:t>
      </w:r>
      <w:r>
        <w:rPr>
          <w:color w:val="auto"/>
          <w:highlight w:val="none"/>
        </w:rPr>
      </w: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4.4所有技术指标均需提供佐证材料。</w:t>
      </w:r>
      <w:r>
        <w:rPr>
          <w:color w:val="auto"/>
          <w:highlight w:val="none"/>
        </w:rPr>
      </w:r>
      <w:r/>
    </w:p>
    <w:p>
      <w:pPr>
        <w:ind w:left="0" w:right="0" w:firstLine="0"/>
        <w:jc w:val="both"/>
        <w:spacing w:before="0" w:after="0" w:line="85" w:lineRule="atLeast"/>
        <w:tabs>
          <w:tab w:val="left" w:pos="851" w:leader="none"/>
          <w:tab w:val="left" w:pos="1276" w:leader="none"/>
          <w:tab w:val="left" w:pos="1418"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4.5上述商务要求不接受任何一项的负偏离或者不满足，允许正偏离。</w:t>
      </w:r>
      <w:r>
        <w:rPr>
          <w:color w:val="auto"/>
          <w:highlight w:val="none"/>
        </w:rPr>
      </w:r>
      <w:r/>
    </w:p>
    <w:p>
      <w:pPr>
        <w:ind w:left="0" w:right="0" w:firstLine="0"/>
        <w:jc w:val="center"/>
        <w:spacing w:before="260" w:after="260" w:line="98"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0" w:firstLine="0"/>
        <w:jc w:val="center"/>
        <w:spacing w:before="260" w:after="26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44"/>
          <w:highlight w:val="none"/>
        </w:rPr>
        <w:t xml:space="preserve">第五章评标方法与评标标准</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420"/>
        <w:spacing w:before="240" w:after="24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标委员会按照得分由高到低的顺序推荐3名中标候选人。</w:t>
      </w:r>
      <w:r>
        <w:rPr>
          <w:color w:val="auto"/>
          <w:highlight w:val="none"/>
        </w:rPr>
      </w:r>
      <w:r/>
    </w:p>
    <w:p>
      <w:pPr>
        <w:pStyle w:val="728"/>
        <w:ind w:left="0" w:right="0" w:firstLine="0"/>
        <w:jc w:val="center"/>
        <w:spacing w:before="260" w:after="26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（一）资格审查要求</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按照招标文件《第一章 投标邀请》申请人的资格要求进行资格审查。</w:t>
      </w:r>
      <w:r>
        <w:rPr>
          <w:color w:val="auto"/>
          <w:highlight w:val="none"/>
        </w:rPr>
      </w:r>
      <w:r/>
    </w:p>
    <w:p>
      <w:pPr>
        <w:pStyle w:val="728"/>
        <w:ind w:left="0" w:right="0" w:firstLine="0"/>
        <w:jc w:val="center"/>
        <w:spacing w:before="260" w:after="26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（二）符合性审查要求</w:t>
      </w:r>
      <w:r>
        <w:rPr>
          <w:color w:val="auto"/>
          <w:highlight w:val="none"/>
        </w:rPr>
      </w:r>
      <w:r/>
    </w:p>
    <w:tbl>
      <w:tblPr>
        <w:tblStyle w:val="7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806"/>
        <w:gridCol w:w="2548"/>
      </w:tblGrid>
      <w:tr>
        <w:trPr>
          <w:trHeight w:val="485"/>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6806"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符合性审查因素</w:t>
            </w:r>
            <w:r>
              <w:rPr>
                <w:color w:val="auto"/>
                <w:highlight w:val="none"/>
              </w:rPr>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2548"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审查标准</w:t>
            </w:r>
            <w:r>
              <w:rPr>
                <w:color w:val="auto"/>
                <w:highlight w:val="none"/>
              </w:rPr>
            </w:r>
            <w:r/>
          </w:p>
        </w:tc>
      </w:tr>
      <w:tr>
        <w:trPr>
          <w:trHeight w:val="4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06" w:type="dxa"/>
            <w:vAlign w:val="center"/>
            <w:textDirection w:val="lrTb"/>
            <w:noWrap w:val="false"/>
          </w:tcPr>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《开标一览表》的投标总报价没有超过最高限价的</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8" w:type="dxa"/>
            <w:vAlign w:val="center"/>
            <w:textDirection w:val="lrTb"/>
            <w:noWrap w:val="false"/>
          </w:tcPr>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符合招标文件要求</w:t>
            </w:r>
            <w:r>
              <w:rPr>
                <w:color w:val="auto"/>
                <w:highlight w:val="none"/>
              </w:rPr>
            </w:r>
            <w:r/>
          </w:p>
        </w:tc>
      </w:tr>
      <w:tr>
        <w:trPr>
          <w:trHeight w:val="95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06" w:type="dxa"/>
            <w:vAlign w:val="center"/>
            <w:textDirection w:val="lrTb"/>
            <w:noWrap w:val="false"/>
          </w:tcPr>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《投标分项报价表》的设备名称、交付期（交货期）、数量和招标文件要求一致，且按照招标文件要求填写的</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8" w:type="dxa"/>
            <w:vAlign w:val="center"/>
            <w:textDirection w:val="lrTb"/>
            <w:noWrap w:val="false"/>
          </w:tcPr>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符合招标文件要求</w:t>
            </w:r>
            <w:r>
              <w:rPr>
                <w:color w:val="auto"/>
                <w:highlight w:val="none"/>
              </w:rPr>
            </w:r>
            <w:r/>
          </w:p>
        </w:tc>
      </w:tr>
      <w:tr>
        <w:trPr>
          <w:trHeight w:val="4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06" w:type="dxa"/>
            <w:vAlign w:val="center"/>
            <w:textDirection w:val="lrTb"/>
            <w:noWrap w:val="false"/>
          </w:tcPr>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《技术要求响应及偏离表》按照要求填写的</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8" w:type="dxa"/>
            <w:vAlign w:val="center"/>
            <w:textDirection w:val="lrTb"/>
            <w:noWrap w:val="false"/>
          </w:tcPr>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符合招标文件要求</w:t>
            </w:r>
            <w:r>
              <w:rPr>
                <w:color w:val="auto"/>
                <w:highlight w:val="none"/>
              </w:rPr>
            </w:r>
            <w:r/>
          </w:p>
        </w:tc>
      </w:tr>
      <w:tr>
        <w:trPr>
          <w:trHeight w:val="4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06" w:type="dxa"/>
            <w:vAlign w:val="center"/>
            <w:textDirection w:val="lrTb"/>
            <w:noWrap w:val="false"/>
          </w:tcPr>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《商务合同响应及偏离表》没有任何负偏离或缺漏的</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8" w:type="dxa"/>
            <w:vAlign w:val="center"/>
            <w:textDirection w:val="lrTb"/>
            <w:noWrap w:val="false"/>
          </w:tcPr>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符合招标文件要求</w:t>
            </w:r>
            <w:r>
              <w:rPr>
                <w:color w:val="auto"/>
                <w:highlight w:val="none"/>
              </w:rPr>
            </w:r>
            <w:r/>
          </w:p>
        </w:tc>
      </w:tr>
      <w:tr>
        <w:trPr>
          <w:trHeight w:val="95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06" w:type="dxa"/>
            <w:vAlign w:val="center"/>
            <w:textDirection w:val="lrTb"/>
            <w:noWrap w:val="false"/>
          </w:tcPr>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《第六章 </w:t>
            </w:r>
            <w:r>
              <w:rPr>
                <w:rFonts w:ascii="Times New Roman" w:hAnsi="Times New Roman" w:eastAsia="Times New Roman" w:cs="Times New Roman"/>
                <w:color w:val="auto"/>
                <w:sz w:val="24"/>
                <w:highlight w:val="none"/>
              </w:rPr>
              <w:t xml:space="preserve"> </w:t>
            </w:r>
            <w:r>
              <w:rPr>
                <w:rFonts w:ascii="SimSun" w:hAnsi="SimSun" w:eastAsia="SimSun" w:cs="SimSun"/>
                <w:color w:val="auto"/>
                <w:sz w:val="24"/>
                <w:highlight w:val="none"/>
              </w:rPr>
              <w:t xml:space="preserve">投标文件格式》没有实质性缺漏的（即加斜体下划线内容）</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8" w:type="dxa"/>
            <w:vAlign w:val="center"/>
            <w:textDirection w:val="lrTb"/>
            <w:noWrap w:val="false"/>
          </w:tcPr>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符合招标文件要求</w:t>
            </w:r>
            <w:r>
              <w:rPr>
                <w:color w:val="auto"/>
                <w:highlight w:val="none"/>
              </w:rPr>
            </w:r>
            <w:r/>
          </w:p>
        </w:tc>
      </w:tr>
      <w:tr>
        <w:trPr>
          <w:trHeight w:val="48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06" w:type="dxa"/>
            <w:vAlign w:val="center"/>
            <w:textDirection w:val="lrTb"/>
            <w:noWrap w:val="false"/>
          </w:tcPr>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没有采购人不能接受的附加条件</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8" w:type="dxa"/>
            <w:vAlign w:val="center"/>
            <w:textDirection w:val="lrTb"/>
            <w:noWrap w:val="false"/>
          </w:tcPr>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符合招标文件要求</w:t>
            </w:r>
            <w:r>
              <w:rPr>
                <w:color w:val="auto"/>
                <w:highlight w:val="none"/>
              </w:rPr>
            </w:r>
            <w:r/>
          </w:p>
        </w:tc>
      </w:tr>
      <w:tr>
        <w:trPr>
          <w:trHeight w:val="497"/>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806" w:type="dxa"/>
            <w:vAlign w:val="center"/>
            <w:textDirection w:val="lrTb"/>
            <w:noWrap w:val="false"/>
          </w:tcPr>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没有法律法规或者招标文件中涉及的无效标条款</w:t>
            </w: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2548" w:type="dxa"/>
            <w:vAlign w:val="center"/>
            <w:textDirection w:val="lrTb"/>
            <w:noWrap w:val="false"/>
          </w:tcPr>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符合招标文件要求</w:t>
            </w:r>
            <w:r>
              <w:rPr>
                <w:color w:val="auto"/>
                <w:highlight w:val="none"/>
              </w:rPr>
            </w:r>
            <w:r/>
          </w:p>
        </w:tc>
      </w:tr>
    </w:tbl>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441"/>
        <w:spacing w:before="120" w:after="12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政府采购政策功能落实</w:t>
      </w:r>
      <w:r>
        <w:rPr>
          <w:color w:val="auto"/>
          <w:highlight w:val="none"/>
        </w:rPr>
      </w:r>
      <w:r/>
    </w:p>
    <w:p>
      <w:pPr>
        <w:ind w:left="0" w:right="0" w:firstLine="480"/>
        <w:spacing w:before="120" w:after="12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1、小微型企业价格扣除</w:t>
      </w:r>
      <w:r>
        <w:rPr>
          <w:color w:val="auto"/>
          <w:highlight w:val="none"/>
        </w:rPr>
      </w:r>
      <w:r/>
    </w:p>
    <w:p>
      <w:pPr>
        <w:ind w:left="315" w:right="0" w:firstLine="0"/>
        <w:spacing w:before="120" w:after="12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（1）本项目对小型和微型企业产品给予</w:t>
      </w:r>
      <w:r>
        <w:rPr>
          <w:rFonts w:ascii="SimSun" w:hAnsi="SimSun" w:eastAsia="SimSun" w:cs="SimSun"/>
          <w:b/>
          <w:color w:val="auto"/>
          <w:sz w:val="24"/>
          <w:highlight w:val="none"/>
          <w:u w:val="single"/>
        </w:rPr>
        <w:t xml:space="preserve">20%</w:t>
      </w:r>
      <w:r>
        <w:rPr>
          <w:rFonts w:ascii="SimSun" w:hAnsi="SimSun" w:eastAsia="SimSun" w:cs="SimSun"/>
          <w:color w:val="auto"/>
          <w:sz w:val="24"/>
          <w:highlight w:val="none"/>
        </w:rPr>
        <w:t xml:space="preserve">的扣除价格，用扣除后的价格参与评审。（2）供应商需按照采购文件的要求提供相应的《小微企业声明函》。</w:t>
      </w:r>
      <w:r>
        <w:rPr>
          <w:color w:val="auto"/>
          <w:highlight w:val="none"/>
        </w:rPr>
      </w:r>
      <w:r/>
    </w:p>
    <w:p>
      <w:pPr>
        <w:ind w:left="0" w:right="0" w:firstLine="360"/>
        <w:spacing w:before="120" w:after="12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（3）企业标准请参照《关于印发中小企业划型标准规定的通知》（工信部联企业[2011]300号）文件规定自行填写。</w:t>
      </w:r>
      <w:r>
        <w:rPr>
          <w:color w:val="auto"/>
          <w:highlight w:val="none"/>
        </w:rPr>
      </w:r>
      <w:r/>
    </w:p>
    <w:p>
      <w:pPr>
        <w:ind w:left="0" w:right="0" w:firstLine="480"/>
        <w:spacing w:before="120" w:after="12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2、残疾人福利单位价格扣除</w:t>
      </w:r>
      <w:r>
        <w:rPr>
          <w:color w:val="auto"/>
          <w:highlight w:val="none"/>
        </w:rPr>
      </w:r>
      <w:r/>
    </w:p>
    <w:p>
      <w:pPr>
        <w:ind w:left="120" w:right="0" w:firstLine="360"/>
        <w:spacing w:before="120" w:after="12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（1）本项目对残疾人福利性单位视同小型、微型企业，给予</w:t>
      </w:r>
      <w:r>
        <w:rPr>
          <w:rFonts w:ascii="SimSun" w:hAnsi="SimSun" w:eastAsia="SimSun" w:cs="SimSun"/>
          <w:b/>
          <w:color w:val="auto"/>
          <w:sz w:val="24"/>
          <w:highlight w:val="none"/>
          <w:u w:val="single"/>
        </w:rPr>
        <w:t xml:space="preserve">20%</w:t>
      </w:r>
      <w:r>
        <w:rPr>
          <w:rFonts w:ascii="SimSun" w:hAnsi="SimSun" w:eastAsia="SimSun" w:cs="SimSun"/>
          <w:color w:val="auto"/>
          <w:sz w:val="24"/>
          <w:highlight w:val="none"/>
        </w:rPr>
        <w:t xml:space="preserve">的价格扣除，用扣除后的价格参与评审。</w:t>
      </w:r>
      <w:r>
        <w:rPr>
          <w:color w:val="auto"/>
          <w:highlight w:val="none"/>
        </w:rPr>
      </w:r>
      <w:r/>
    </w:p>
    <w:p>
      <w:pPr>
        <w:ind w:left="120" w:right="0" w:firstLine="360"/>
        <w:spacing w:before="120" w:after="12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（2）残疾人福利单位需按照采购文件的要求提供《残疾人福利性单位声明函》。</w:t>
      </w:r>
      <w:r>
        <w:rPr>
          <w:color w:val="auto"/>
          <w:highlight w:val="none"/>
        </w:rPr>
      </w:r>
      <w:r/>
    </w:p>
    <w:p>
      <w:pPr>
        <w:ind w:left="120" w:right="0" w:firstLine="360"/>
        <w:spacing w:before="120" w:after="12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（3）残疾人福利单位标准请参照《关于促进残疾人就业政府采购政策的通知》（财库〔2017〕141号）。</w:t>
      </w:r>
      <w:r>
        <w:rPr>
          <w:color w:val="auto"/>
          <w:highlight w:val="none"/>
        </w:rPr>
      </w:r>
      <w:r/>
    </w:p>
    <w:p>
      <w:pPr>
        <w:ind w:left="0" w:right="0" w:firstLine="480"/>
        <w:spacing w:before="120" w:after="12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3、监狱和戒毒企业价格扣除</w:t>
      </w:r>
      <w:r>
        <w:rPr>
          <w:color w:val="auto"/>
          <w:highlight w:val="none"/>
        </w:rPr>
      </w:r>
      <w:r/>
    </w:p>
    <w:p>
      <w:pPr>
        <w:ind w:left="0" w:right="0" w:firstLine="480"/>
        <w:spacing w:before="120" w:after="12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（1）本项目对监狱和戒毒企业（简称监狱企业）视同小型、微型企业，给予</w:t>
      </w:r>
      <w:r>
        <w:rPr>
          <w:rFonts w:ascii="SimSun" w:hAnsi="SimSun" w:eastAsia="SimSun" w:cs="SimSun"/>
          <w:color w:val="auto"/>
          <w:sz w:val="24"/>
          <w:highlight w:val="none"/>
          <w:u w:val="single"/>
        </w:rPr>
        <w:t xml:space="preserve">20%</w:t>
      </w:r>
      <w:r>
        <w:rPr>
          <w:rFonts w:ascii="SimSun" w:hAnsi="SimSun" w:eastAsia="SimSun" w:cs="SimSun"/>
          <w:color w:val="auto"/>
          <w:sz w:val="24"/>
          <w:highlight w:val="none"/>
        </w:rPr>
        <w:t xml:space="preserve">的价格扣除，用扣除后的价格参与评审。</w:t>
      </w:r>
      <w:r>
        <w:rPr>
          <w:color w:val="auto"/>
          <w:highlight w:val="none"/>
        </w:rPr>
      </w:r>
      <w:r/>
    </w:p>
    <w:p>
      <w:pPr>
        <w:ind w:left="0" w:right="0" w:firstLine="480"/>
        <w:spacing w:before="120" w:after="12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rPr>
          <w:color w:val="auto"/>
          <w:highlight w:val="none"/>
        </w:rPr>
      </w:r>
      <w:r/>
    </w:p>
    <w:p>
      <w:pPr>
        <w:ind w:left="0" w:right="0" w:firstLine="480"/>
        <w:spacing w:before="120" w:after="12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（3）监狱企业标准请参照《关于政府采购支持监狱企业发展有关问题的通知》（财库[2014]68号）。</w:t>
      </w:r>
      <w:r>
        <w:rPr>
          <w:color w:val="auto"/>
          <w:highlight w:val="none"/>
        </w:rPr>
      </w:r>
      <w:r/>
    </w:p>
    <w:p>
      <w:pPr>
        <w:ind w:left="0" w:right="0" w:firstLine="480"/>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4、残疾人福利单位、监狱企业属于小型、微型企业的，不重复享受政策。</w:t>
      </w:r>
      <w:r>
        <w:rPr>
          <w:color w:val="auto"/>
          <w:highlight w:val="none"/>
        </w:rPr>
      </w:r>
      <w:r/>
    </w:p>
    <w:p>
      <w:pPr>
        <w:ind w:left="0" w:right="0" w:firstLine="480"/>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ascii="SimSun" w:hAnsi="SimSun" w:eastAsia="SimSun" w:cs="SimSun"/>
          <w:color w:val="auto"/>
          <w:sz w:val="24"/>
          <w:highlight w:val="none"/>
          <w:u w:val="single"/>
        </w:rPr>
        <w:t xml:space="preserve">6%</w:t>
      </w:r>
      <w:r>
        <w:rPr>
          <w:rFonts w:ascii="SimSun" w:hAnsi="SimSun" w:eastAsia="SimSun" w:cs="SimSun"/>
          <w:color w:val="auto"/>
          <w:sz w:val="24"/>
          <w:highlight w:val="none"/>
        </w:rPr>
        <w:t xml:space="preserve">的价格扣除，用扣除后的价格参与评审。</w:t>
      </w:r>
      <w:r>
        <w:rPr>
          <w:color w:val="auto"/>
          <w:highlight w:val="none"/>
        </w:rPr>
      </w:r>
      <w:r/>
    </w:p>
    <w:p>
      <w:pPr>
        <w:ind w:left="0" w:right="0" w:firstLine="480"/>
        <w:spacing w:before="120" w:after="12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6、联合体各方均为小型、微型企业（残疾人福利单位、监狱企业）的，联合体享受</w:t>
      </w:r>
      <w:r>
        <w:rPr>
          <w:rFonts w:ascii="SimSun" w:hAnsi="SimSun" w:eastAsia="SimSun" w:cs="SimSun"/>
          <w:color w:val="auto"/>
          <w:sz w:val="24"/>
          <w:highlight w:val="none"/>
          <w:u w:val="single"/>
        </w:rPr>
        <w:t xml:space="preserve">20%</w:t>
      </w:r>
      <w:r>
        <w:rPr>
          <w:rFonts w:ascii="SimSun" w:hAnsi="SimSun" w:eastAsia="SimSun" w:cs="SimSun"/>
          <w:color w:val="auto"/>
          <w:sz w:val="24"/>
          <w:highlight w:val="none"/>
        </w:rPr>
        <w:t xml:space="preserve">价格扣除，用扣除后的价格参与评审。</w:t>
      </w:r>
      <w:r>
        <w:rPr>
          <w:color w:val="auto"/>
          <w:highlight w:val="none"/>
        </w:rPr>
      </w:r>
      <w:r/>
    </w:p>
    <w:p>
      <w:pPr>
        <w:pStyle w:val="728"/>
        <w:ind w:left="0" w:right="0" w:firstLine="0"/>
        <w:jc w:val="center"/>
        <w:spacing w:before="260" w:after="26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（三）评标标准</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1"/>
          <w:highlight w:val="none"/>
        </w:rPr>
        <w:t xml:space="preserve"> </w:t>
      </w:r>
      <w:r>
        <w:rPr>
          <w:color w:val="auto"/>
          <w:highlight w:val="none"/>
        </w:rPr>
      </w:r>
      <w:r/>
    </w:p>
    <w:tbl>
      <w:tblPr>
        <w:tblStyle w:val="7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196"/>
        <w:gridCol w:w="916"/>
        <w:gridCol w:w="7243"/>
      </w:tblGrid>
      <w:tr>
        <w:trPr>
          <w:trHeight w:val="170"/>
        </w:trPr>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评审因素</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3" w:type="dxa"/>
            <w:vAlign w:val="center"/>
            <w:textDirection w:val="lrTb"/>
            <w:noWrap w:val="false"/>
          </w:tcPr>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评审标准</w:t>
            </w:r>
            <w:r>
              <w:rPr>
                <w:color w:val="auto"/>
                <w:highlight w:val="none"/>
              </w:rPr>
            </w:r>
            <w:r/>
          </w:p>
        </w:tc>
      </w:tr>
      <w:tr>
        <w:trPr>
          <w:trHeight w:val="1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报价</w:t>
            </w:r>
            <w:r>
              <w:rPr>
                <w:color w:val="auto"/>
                <w:highlight w:val="none"/>
              </w:rPr>
            </w:r>
            <w:r/>
          </w:p>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30分</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3" w:type="dxa"/>
            <w:vAlign w:val="center"/>
            <w:textDirection w:val="lrTb"/>
            <w:noWrap w:val="false"/>
          </w:tcPr>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采用低价优先法计算，即满足招标文件要求且投标价格最低的投标报价为评标基准价，其价格分为满分30分。</w:t>
            </w:r>
            <w:r>
              <w:rPr>
                <w:color w:val="auto"/>
                <w:highlight w:val="none"/>
              </w:rPr>
            </w:r>
            <w:r/>
          </w:p>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其他投标人的价格分统一按照下列公式计算：</w:t>
            </w:r>
            <w:r>
              <w:rPr>
                <w:color w:val="auto"/>
                <w:highlight w:val="none"/>
              </w:rPr>
            </w:r>
            <w:r/>
          </w:p>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投标报价得分=(评标基准价/投标报价)×30（小数点保留两位）。</w:t>
            </w:r>
            <w:r>
              <w:rPr>
                <w:color w:val="auto"/>
                <w:highlight w:val="none"/>
              </w:rPr>
            </w:r>
            <w:r/>
          </w:p>
        </w:tc>
      </w:tr>
      <w:tr>
        <w:trPr>
          <w:trHeight w:val="1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技术需求</w:t>
            </w:r>
            <w:r>
              <w:rPr>
                <w:color w:val="auto"/>
                <w:highlight w:val="none"/>
              </w:rPr>
            </w:r>
            <w:r/>
          </w:p>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响应</w:t>
            </w:r>
            <w:r>
              <w:rPr>
                <w:color w:val="auto"/>
                <w:highlight w:val="none"/>
              </w:rPr>
            </w:r>
            <w:r/>
          </w:p>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34分</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3" w:type="dxa"/>
            <w:vAlign w:val="center"/>
            <w:textDirection w:val="lrTb"/>
            <w:noWrap w:val="false"/>
          </w:tcPr>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评委根据投标文件中《技术要求响应及偏离表》，结合投标文件提供的佐证材料进行评审：</w:t>
            </w:r>
            <w:r>
              <w:rPr>
                <w:color w:val="auto"/>
                <w:highlight w:val="none"/>
              </w:rPr>
            </w:r>
            <w:r/>
          </w:p>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完全响应招标文件《第四章 采购需求》之</w:t>
            </w:r>
            <w:r>
              <w:rPr>
                <w:rFonts w:ascii="SimSun" w:hAnsi="SimSun" w:eastAsia="SimSun" w:cs="SimSun"/>
                <w:b/>
                <w:color w:val="auto"/>
                <w:sz w:val="24"/>
                <w:highlight w:val="none"/>
              </w:rPr>
              <w:t xml:space="preserve">款二技术规格</w:t>
            </w:r>
            <w:r>
              <w:rPr>
                <w:rFonts w:ascii="SimSun" w:hAnsi="SimSun" w:eastAsia="SimSun" w:cs="SimSun"/>
                <w:color w:val="auto"/>
                <w:sz w:val="24"/>
                <w:highlight w:val="none"/>
              </w:rPr>
              <w:t xml:space="preserve">及</w:t>
            </w:r>
            <w:r>
              <w:rPr>
                <w:rFonts w:ascii="SimSun" w:hAnsi="SimSun" w:eastAsia="SimSun" w:cs="SimSun"/>
                <w:b/>
                <w:color w:val="auto"/>
                <w:sz w:val="24"/>
                <w:highlight w:val="none"/>
              </w:rPr>
              <w:t xml:space="preserve">款三商务服务</w:t>
            </w:r>
            <w:r>
              <w:rPr>
                <w:rFonts w:ascii="SimSun" w:hAnsi="SimSun" w:eastAsia="SimSun" w:cs="SimSun"/>
                <w:color w:val="auto"/>
                <w:sz w:val="24"/>
                <w:highlight w:val="none"/>
              </w:rPr>
              <w:t xml:space="preserve">要求的得34分，正偏离不加分；</w:t>
            </w:r>
            <w:r>
              <w:rPr>
                <w:color w:val="auto"/>
                <w:highlight w:val="none"/>
              </w:rPr>
            </w:r>
            <w:r/>
          </w:p>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★参数负偏离一条则视为无效投标；▲参数有一条负偏离扣3分；其他为一般参数，每负偏离一项扣0.5分，扣完为止。</w:t>
            </w:r>
            <w:r>
              <w:rPr>
                <w:color w:val="auto"/>
                <w:highlight w:val="none"/>
              </w:rPr>
            </w:r>
            <w:r/>
          </w:p>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注：</w:t>
            </w:r>
            <w:r>
              <w:rPr>
                <w:color w:val="auto"/>
                <w:highlight w:val="none"/>
              </w:rPr>
            </w:r>
            <w:r/>
          </w:p>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（1）佐证材料包括但不限于使用说明书、操作/技术手册、检测报告、网上公开发布的数据或其他经评议具有同等效力的证明材料等。</w:t>
            </w:r>
            <w:r>
              <w:rPr>
                <w:color w:val="auto"/>
                <w:highlight w:val="none"/>
              </w:rPr>
            </w:r>
            <w:r/>
          </w:p>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w:t>
            </w:r>
            <w:r>
              <w:rPr>
                <w:rFonts w:ascii="SimSun" w:hAnsi="SimSun" w:eastAsia="SimSun" w:cs="SimSun"/>
                <w:i/>
                <w:color w:val="auto"/>
                <w:sz w:val="24"/>
                <w:highlight w:val="none"/>
                <w:u w:val="single"/>
              </w:rPr>
              <w:t xml:space="preserve">投标人须承诺签订合同前提供整机制造商出具的相关技术需求证明材料（</w:t>
            </w:r>
            <w:r>
              <w:rPr>
                <w:rFonts w:ascii="SimSun" w:hAnsi="SimSun" w:eastAsia="SimSun" w:cs="SimSun"/>
                <w:b/>
                <w:i/>
                <w:color w:val="auto"/>
                <w:sz w:val="24"/>
                <w:highlight w:val="none"/>
                <w:u w:val="single"/>
              </w:rPr>
              <w:t xml:space="preserve">投标人自拟承诺书并加盖电子签章</w:t>
            </w:r>
            <w:r>
              <w:rPr>
                <w:rFonts w:ascii="SimSun" w:hAnsi="SimSun" w:eastAsia="SimSun" w:cs="SimSun"/>
                <w:i/>
                <w:color w:val="auto"/>
                <w:sz w:val="24"/>
                <w:highlight w:val="none"/>
                <w:u w:val="single"/>
              </w:rPr>
              <w:t xml:space="preserve">）</w:t>
            </w:r>
            <w:r>
              <w:rPr>
                <w:color w:val="auto"/>
                <w:highlight w:val="none"/>
              </w:rPr>
            </w:r>
            <w:r/>
          </w:p>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（3）投标人应准确标示所有证明材料所在页码/位置，并在证明材料上明确标示证明内容所在位置，如为非中文材料，应同时附上对应中文翻译件。</w:t>
            </w:r>
            <w:r>
              <w:rPr>
                <w:color w:val="auto"/>
                <w:highlight w:val="none"/>
              </w:rPr>
            </w:r>
            <w:r/>
          </w:p>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（4）投标人提供证明材料无法充分证明所投产品满足采购文件所列技术需求的、未提供证明材料、未能准确标示证明材料位置及内容的，评标委员会经评审后，可以对其做负偏离处理。</w:t>
            </w:r>
            <w:r>
              <w:rPr>
                <w:color w:val="auto"/>
                <w:highlight w:val="none"/>
              </w:rPr>
            </w:r>
            <w:r/>
          </w:p>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（5）如偏离项数较多或偏离程度较大，经评委会评议，保留这些偏离可能会导致投标设备实质上不符合招标人实际需求的，该项不得分。</w:t>
            </w:r>
            <w:r>
              <w:rPr>
                <w:color w:val="auto"/>
                <w:highlight w:val="none"/>
              </w:rPr>
            </w:r>
            <w:r/>
          </w:p>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（6）如果投标人提供虚假材料，一经查实，视为放弃中标资格。</w:t>
            </w:r>
            <w:r>
              <w:rPr>
                <w:color w:val="auto"/>
                <w:highlight w:val="none"/>
              </w:rPr>
            </w:r>
            <w:r/>
          </w:p>
        </w:tc>
      </w:tr>
      <w:tr>
        <w:trPr>
          <w:trHeight w:val="1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质保</w:t>
            </w:r>
            <w:r>
              <w:rPr>
                <w:color w:val="auto"/>
                <w:highlight w:val="none"/>
              </w:rPr>
            </w:r>
            <w:r/>
          </w:p>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6分</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3" w:type="dxa"/>
            <w:vAlign w:val="center"/>
            <w:textDirection w:val="lrTb"/>
            <w:noWrap w:val="false"/>
          </w:tcPr>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在投标人满足招标文件规定的1年免费质保期基础上，每增加一年制造商提供的整机免费质保期加1.5分，最多加6分。</w:t>
            </w:r>
            <w:r>
              <w:rPr>
                <w:color w:val="auto"/>
                <w:highlight w:val="none"/>
              </w:rPr>
            </w:r>
            <w:r/>
          </w:p>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注：</w:t>
            </w:r>
            <w:r>
              <w:rPr>
                <w:rFonts w:ascii="SimSun" w:hAnsi="SimSun" w:eastAsia="SimSun" w:cs="SimSun"/>
                <w:i/>
                <w:color w:val="auto"/>
                <w:sz w:val="24"/>
                <w:highlight w:val="none"/>
                <w:u w:val="single"/>
              </w:rPr>
              <w:t xml:space="preserve">投标人须提供承诺函，承诺签订合同前提供整机制造商出具的质保函或保修合同</w:t>
            </w:r>
            <w:r>
              <w:rPr>
                <w:rFonts w:ascii="SimSun" w:hAnsi="SimSun" w:eastAsia="SimSun" w:cs="SimSun"/>
                <w:i/>
                <w:color w:val="auto"/>
                <w:sz w:val="24"/>
                <w:highlight w:val="none"/>
                <w:u w:val="single"/>
              </w:rPr>
              <w:t xml:space="preserve">（无论是否增加质保期）</w:t>
            </w:r>
            <w:r>
              <w:rPr>
                <w:rFonts w:ascii="SimSun" w:hAnsi="SimSun" w:eastAsia="SimSun" w:cs="SimSun"/>
                <w:color w:val="auto"/>
                <w:sz w:val="24"/>
                <w:highlight w:val="none"/>
              </w:rPr>
              <w:t xml:space="preserve">，若合同签订前无法提供，视为虚假响应，未提供或承诺书不包含上述内容的不得分。</w:t>
            </w:r>
            <w:r>
              <w:rPr>
                <w:color w:val="auto"/>
                <w:highlight w:val="none"/>
              </w:rPr>
            </w:r>
            <w:r/>
          </w:p>
        </w:tc>
      </w:tr>
      <w:tr>
        <w:trPr>
          <w:trHeight w:val="1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96" w:type="dxa"/>
            <w:vAlign w:val="center"/>
            <w:vMerge w:val="restart"/>
            <w:textDirection w:val="lrTb"/>
            <w:noWrap w:val="false"/>
          </w:tcPr>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项目</w:t>
            </w:r>
            <w:r>
              <w:rPr>
                <w:color w:val="auto"/>
                <w:highlight w:val="none"/>
              </w:rPr>
            </w:r>
            <w:r/>
          </w:p>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方案</w:t>
            </w:r>
            <w:r>
              <w:rPr>
                <w:color w:val="auto"/>
                <w:highlight w:val="none"/>
              </w:rPr>
            </w:r>
            <w:r/>
          </w:p>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25分</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项目实施方案6分</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3"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根据投标人提供的项目实施方案综合评分。方案应包含但不限于产品出厂质量控制、供货周期、耗材供应情况、包装方式、运输方式、安全保障等。</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以上相关内容每有一项内容完整详细，条理清晰且符合采购实际需求的得</w:t>
            </w:r>
            <w:r>
              <w:rPr>
                <w:rFonts w:ascii="Times New Roman" w:hAnsi="Times New Roman" w:eastAsia="Times New Roman" w:cs="Times New Roman"/>
                <w:color w:val="auto"/>
                <w:sz w:val="24"/>
                <w:highlight w:val="none"/>
              </w:rPr>
              <w:t xml:space="preserve">1</w:t>
            </w:r>
            <w:r>
              <w:rPr>
                <w:rFonts w:ascii="SimSun" w:hAnsi="SimSun" w:eastAsia="SimSun" w:cs="SimSun"/>
                <w:color w:val="auto"/>
                <w:sz w:val="24"/>
                <w:highlight w:val="none"/>
              </w:rPr>
              <w:t xml:space="preserve">分，满分</w:t>
            </w:r>
            <w:r>
              <w:rPr>
                <w:rFonts w:ascii="Times New Roman" w:hAnsi="Times New Roman" w:eastAsia="Times New Roman" w:cs="Times New Roman"/>
                <w:color w:val="auto"/>
                <w:sz w:val="24"/>
                <w:highlight w:val="none"/>
              </w:rPr>
              <w:t xml:space="preserve">6</w:t>
            </w:r>
            <w:r>
              <w:rPr>
                <w:rFonts w:ascii="SimSun" w:hAnsi="SimSun" w:eastAsia="SimSun" w:cs="SimSun"/>
                <w:color w:val="auto"/>
                <w:sz w:val="24"/>
                <w:highlight w:val="none"/>
              </w:rPr>
              <w:t xml:space="preserve">分。</w:t>
            </w:r>
            <w:r>
              <w:rPr>
                <w:color w:val="auto"/>
                <w:highlight w:val="none"/>
              </w:rPr>
            </w:r>
            <w:r/>
          </w:p>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每一项内容出现一处存在缺陷的扣</w:t>
            </w:r>
            <w:r>
              <w:rPr>
                <w:rFonts w:ascii="Times New Roman" w:hAnsi="Times New Roman" w:eastAsia="Times New Roman" w:cs="Times New Roman"/>
                <w:color w:val="auto"/>
                <w:sz w:val="24"/>
                <w:highlight w:val="none"/>
              </w:rPr>
              <w:t xml:space="preserve">0.5</w:t>
            </w:r>
            <w:r>
              <w:rPr>
                <w:rFonts w:ascii="SimSun" w:hAnsi="SimSun" w:eastAsia="SimSun" w:cs="SimSun"/>
                <w:color w:val="auto"/>
                <w:sz w:val="24"/>
                <w:highlight w:val="none"/>
              </w:rPr>
              <w:t xml:space="preserve">分，缺项不得分，每项扣完</w:t>
            </w:r>
            <w:r>
              <w:rPr>
                <w:rFonts w:ascii="Times New Roman" w:hAnsi="Times New Roman" w:eastAsia="Times New Roman" w:cs="Times New Roman"/>
                <w:color w:val="auto"/>
                <w:sz w:val="24"/>
                <w:highlight w:val="none"/>
              </w:rPr>
              <w:t xml:space="preserve">1</w:t>
            </w:r>
            <w:r>
              <w:rPr>
                <w:rFonts w:ascii="SimSun" w:hAnsi="SimSun" w:eastAsia="SimSun" w:cs="SimSun"/>
                <w:color w:val="auto"/>
                <w:sz w:val="24"/>
                <w:highlight w:val="none"/>
              </w:rPr>
              <w:t xml:space="preserve">分为止。</w:t>
            </w:r>
            <w:r>
              <w:rPr>
                <w:rFonts w:ascii="Times New Roman" w:hAnsi="Times New Roman" w:eastAsia="Times New Roman" w:cs="Times New Roman"/>
                <w:color w:val="auto"/>
                <w:sz w:val="24"/>
                <w:highlight w:val="none"/>
              </w:rPr>
              <w:t xml:space="preserve">(</w:t>
            </w:r>
            <w:r>
              <w:rPr>
                <w:rFonts w:ascii="SimSun" w:hAnsi="SimSun" w:eastAsia="SimSun" w:cs="SimSun"/>
                <w:color w:val="auto"/>
                <w:sz w:val="24"/>
                <w:highlight w:val="none"/>
              </w:rPr>
              <w:t xml:space="preserve">缺陷是指</w:t>
            </w:r>
            <w:r>
              <w:rPr>
                <w:rFonts w:ascii="Times New Roman" w:hAnsi="Times New Roman" w:eastAsia="Times New Roman" w:cs="Times New Roman"/>
                <w:color w:val="auto"/>
                <w:sz w:val="24"/>
                <w:highlight w:val="none"/>
              </w:rPr>
              <w:t xml:space="preserve">:</w:t>
            </w:r>
            <w:r>
              <w:rPr>
                <w:rFonts w:ascii="SimSun" w:hAnsi="SimSun" w:eastAsia="SimSun" w:cs="SimSun"/>
                <w:color w:val="auto"/>
                <w:sz w:val="24"/>
                <w:highlight w:val="none"/>
              </w:rPr>
              <w:t xml:space="preserve">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rPr>
                <w:rFonts w:ascii="Times New Roman" w:hAnsi="Times New Roman" w:eastAsia="Times New Roman" w:cs="Times New Roman"/>
                <w:color w:val="auto"/>
                <w:sz w:val="24"/>
                <w:highlight w:val="none"/>
              </w:rPr>
              <w:t xml:space="preserve">)</w:t>
            </w:r>
            <w:r>
              <w:rPr>
                <w:color w:val="auto"/>
                <w:highlight w:val="none"/>
              </w:rPr>
            </w:r>
            <w:r/>
          </w:p>
        </w:tc>
      </w:tr>
      <w:tr>
        <w:trPr>
          <w:trHeight w:val="17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安装调试方案6分</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3"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根据投标人提供的安装调试方案进行评分。方案应包含但不限于供货时间保障、安装实施计划、工期进度计划等方面。</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以上相关内容每有一项内容完整详细，条理清晰且符合采购实际需求的得</w:t>
            </w:r>
            <w:r>
              <w:rPr>
                <w:rFonts w:ascii="Times New Roman" w:hAnsi="Times New Roman" w:eastAsia="Times New Roman" w:cs="Times New Roman"/>
                <w:color w:val="auto"/>
                <w:sz w:val="24"/>
                <w:highlight w:val="none"/>
              </w:rPr>
              <w:t xml:space="preserve">2</w:t>
            </w:r>
            <w:r>
              <w:rPr>
                <w:rFonts w:ascii="SimSun" w:hAnsi="SimSun" w:eastAsia="SimSun" w:cs="SimSun"/>
                <w:color w:val="auto"/>
                <w:sz w:val="24"/>
                <w:highlight w:val="none"/>
              </w:rPr>
              <w:t xml:space="preserve">分，满分</w:t>
            </w:r>
            <w:r>
              <w:rPr>
                <w:rFonts w:ascii="Times New Roman" w:hAnsi="Times New Roman" w:eastAsia="Times New Roman" w:cs="Times New Roman"/>
                <w:color w:val="auto"/>
                <w:sz w:val="24"/>
                <w:highlight w:val="none"/>
              </w:rPr>
              <w:t xml:space="preserve">6</w:t>
            </w:r>
            <w:r>
              <w:rPr>
                <w:rFonts w:ascii="SimSun" w:hAnsi="SimSun" w:eastAsia="SimSun" w:cs="SimSun"/>
                <w:color w:val="auto"/>
                <w:sz w:val="24"/>
                <w:highlight w:val="none"/>
              </w:rPr>
              <w:t xml:space="preserve">分。</w:t>
            </w:r>
            <w:r>
              <w:rPr>
                <w:color w:val="auto"/>
                <w:highlight w:val="none"/>
              </w:rPr>
            </w:r>
            <w:r/>
          </w:p>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每一项内容出现一处存在缺陷的扣</w:t>
            </w:r>
            <w:r>
              <w:rPr>
                <w:rFonts w:ascii="Times New Roman" w:hAnsi="Times New Roman" w:eastAsia="Times New Roman" w:cs="Times New Roman"/>
                <w:color w:val="auto"/>
                <w:sz w:val="24"/>
                <w:highlight w:val="none"/>
              </w:rPr>
              <w:t xml:space="preserve">1</w:t>
            </w:r>
            <w:r>
              <w:rPr>
                <w:rFonts w:ascii="SimSun" w:hAnsi="SimSun" w:eastAsia="SimSun" w:cs="SimSun"/>
                <w:color w:val="auto"/>
                <w:sz w:val="24"/>
                <w:highlight w:val="none"/>
              </w:rPr>
              <w:t xml:space="preserve">分，缺项不得分，每项扣完</w:t>
            </w:r>
            <w:r>
              <w:rPr>
                <w:rFonts w:ascii="Times New Roman" w:hAnsi="Times New Roman" w:eastAsia="Times New Roman" w:cs="Times New Roman"/>
                <w:color w:val="auto"/>
                <w:sz w:val="24"/>
                <w:highlight w:val="none"/>
              </w:rPr>
              <w:t xml:space="preserve">2</w:t>
            </w:r>
            <w:r>
              <w:rPr>
                <w:rFonts w:ascii="SimSun" w:hAnsi="SimSun" w:eastAsia="SimSun" w:cs="SimSun"/>
                <w:color w:val="auto"/>
                <w:sz w:val="24"/>
                <w:highlight w:val="none"/>
              </w:rPr>
              <w:t xml:space="preserve">分为止。</w:t>
            </w:r>
            <w:r>
              <w:rPr>
                <w:rFonts w:ascii="Times New Roman" w:hAnsi="Times New Roman" w:eastAsia="Times New Roman" w:cs="Times New Roman"/>
                <w:color w:val="auto"/>
                <w:sz w:val="24"/>
                <w:highlight w:val="none"/>
              </w:rPr>
              <w:t xml:space="preserve">(</w:t>
            </w:r>
            <w:r>
              <w:rPr>
                <w:rFonts w:ascii="SimSun" w:hAnsi="SimSun" w:eastAsia="SimSun" w:cs="SimSun"/>
                <w:color w:val="auto"/>
                <w:sz w:val="24"/>
                <w:highlight w:val="none"/>
              </w:rPr>
              <w:t xml:space="preserve">缺陷是指</w:t>
            </w:r>
            <w:r>
              <w:rPr>
                <w:rFonts w:ascii="Times New Roman" w:hAnsi="Times New Roman" w:eastAsia="Times New Roman" w:cs="Times New Roman"/>
                <w:color w:val="auto"/>
                <w:sz w:val="24"/>
                <w:highlight w:val="none"/>
              </w:rPr>
              <w:t xml:space="preserve">:</w:t>
            </w:r>
            <w:r>
              <w:rPr>
                <w:rFonts w:ascii="SimSun" w:hAnsi="SimSun" w:eastAsia="SimSun" w:cs="SimSun"/>
                <w:color w:val="auto"/>
                <w:sz w:val="24"/>
                <w:highlight w:val="none"/>
              </w:rPr>
              <w:t xml:space="preserve">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rPr>
                <w:rFonts w:ascii="Times New Roman" w:hAnsi="Times New Roman" w:eastAsia="Times New Roman" w:cs="Times New Roman"/>
                <w:color w:val="auto"/>
                <w:sz w:val="24"/>
                <w:highlight w:val="none"/>
              </w:rPr>
              <w:t xml:space="preserve">)</w:t>
            </w:r>
            <w:r>
              <w:rPr>
                <w:color w:val="auto"/>
                <w:highlight w:val="none"/>
              </w:rPr>
            </w:r>
            <w:r/>
          </w:p>
        </w:tc>
      </w:tr>
      <w:tr>
        <w:trPr>
          <w:trHeight w:val="17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培训方案</w:t>
            </w:r>
            <w:r>
              <w:rPr>
                <w:color w:val="auto"/>
                <w:highlight w:val="none"/>
              </w:rPr>
            </w:r>
            <w:r/>
          </w:p>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6分</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3" w:type="dxa"/>
            <w:vAlign w:val="center"/>
            <w:textDirection w:val="lrTb"/>
            <w:noWrap w:val="false"/>
          </w:tcPr>
          <w:p>
            <w:pPr>
              <w:ind w:left="0" w:right="0" w:firstLine="0"/>
              <w:jc w:val="both"/>
              <w:spacing w:before="0" w:after="0" w:line="6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根据投标人提供的培训计划的内容、方式、时间、人次数等综合评分。方案应包含但不限于人员操作培训、维修保养培训、进阶培训、学习会议、科研帮助、课题支持等方面。</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以上相关内容每有一项内容完整详细，条理清晰且符合采购实际需求的得</w:t>
            </w:r>
            <w:r>
              <w:rPr>
                <w:rFonts w:ascii="Times New Roman" w:hAnsi="Times New Roman" w:eastAsia="Times New Roman" w:cs="Times New Roman"/>
                <w:color w:val="auto"/>
                <w:sz w:val="24"/>
                <w:highlight w:val="none"/>
              </w:rPr>
              <w:t xml:space="preserve">1</w:t>
            </w:r>
            <w:r>
              <w:rPr>
                <w:rFonts w:ascii="SimSun" w:hAnsi="SimSun" w:eastAsia="SimSun" w:cs="SimSun"/>
                <w:color w:val="auto"/>
                <w:sz w:val="24"/>
                <w:highlight w:val="none"/>
              </w:rPr>
              <w:t xml:space="preserve">分，满分</w:t>
            </w:r>
            <w:r>
              <w:rPr>
                <w:rFonts w:ascii="Times New Roman" w:hAnsi="Times New Roman" w:eastAsia="Times New Roman" w:cs="Times New Roman"/>
                <w:color w:val="auto"/>
                <w:sz w:val="24"/>
                <w:highlight w:val="none"/>
              </w:rPr>
              <w:t xml:space="preserve">6</w:t>
            </w:r>
            <w:r>
              <w:rPr>
                <w:rFonts w:ascii="SimSun" w:hAnsi="SimSun" w:eastAsia="SimSun" w:cs="SimSun"/>
                <w:color w:val="auto"/>
                <w:sz w:val="24"/>
                <w:highlight w:val="none"/>
              </w:rPr>
              <w:t xml:space="preserve">分。</w:t>
            </w:r>
            <w:r>
              <w:rPr>
                <w:color w:val="auto"/>
                <w:highlight w:val="none"/>
              </w:rPr>
            </w:r>
            <w:r/>
          </w:p>
          <w:p>
            <w:pPr>
              <w:ind w:left="0" w:right="0" w:firstLine="0"/>
              <w:jc w:val="both"/>
              <w:spacing w:before="120" w:after="0" w:line="6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每一项内容出现一处存在缺陷的扣</w:t>
            </w:r>
            <w:r>
              <w:rPr>
                <w:rFonts w:ascii="Times New Roman" w:hAnsi="Times New Roman" w:eastAsia="Times New Roman" w:cs="Times New Roman"/>
                <w:color w:val="auto"/>
                <w:sz w:val="24"/>
                <w:highlight w:val="none"/>
              </w:rPr>
              <w:t xml:space="preserve">0.5</w:t>
            </w:r>
            <w:r>
              <w:rPr>
                <w:rFonts w:ascii="SimSun" w:hAnsi="SimSun" w:eastAsia="SimSun" w:cs="SimSun"/>
                <w:color w:val="auto"/>
                <w:sz w:val="24"/>
                <w:highlight w:val="none"/>
              </w:rPr>
              <w:t xml:space="preserve">分，缺项不得分，每项扣完</w:t>
            </w:r>
            <w:r>
              <w:rPr>
                <w:rFonts w:ascii="Times New Roman" w:hAnsi="Times New Roman" w:eastAsia="Times New Roman" w:cs="Times New Roman"/>
                <w:color w:val="auto"/>
                <w:sz w:val="24"/>
                <w:highlight w:val="none"/>
              </w:rPr>
              <w:t xml:space="preserve">1</w:t>
            </w:r>
            <w:r>
              <w:rPr>
                <w:rFonts w:ascii="SimSun" w:hAnsi="SimSun" w:eastAsia="SimSun" w:cs="SimSun"/>
                <w:color w:val="auto"/>
                <w:sz w:val="24"/>
                <w:highlight w:val="none"/>
              </w:rPr>
              <w:t xml:space="preserve">分为止。</w:t>
            </w:r>
            <w:r>
              <w:rPr>
                <w:rFonts w:ascii="Times New Roman" w:hAnsi="Times New Roman" w:eastAsia="Times New Roman" w:cs="Times New Roman"/>
                <w:color w:val="auto"/>
                <w:sz w:val="24"/>
                <w:highlight w:val="none"/>
              </w:rPr>
              <w:t xml:space="preserve">(</w:t>
            </w:r>
            <w:r>
              <w:rPr>
                <w:rFonts w:ascii="SimSun" w:hAnsi="SimSun" w:eastAsia="SimSun" w:cs="SimSun"/>
                <w:color w:val="auto"/>
                <w:sz w:val="24"/>
                <w:highlight w:val="none"/>
              </w:rPr>
              <w:t xml:space="preserve">缺陷是指</w:t>
            </w:r>
            <w:r>
              <w:rPr>
                <w:rFonts w:ascii="Times New Roman" w:hAnsi="Times New Roman" w:eastAsia="Times New Roman" w:cs="Times New Roman"/>
                <w:color w:val="auto"/>
                <w:sz w:val="24"/>
                <w:highlight w:val="none"/>
              </w:rPr>
              <w:t xml:space="preserve">:</w:t>
            </w:r>
            <w:r>
              <w:rPr>
                <w:rFonts w:ascii="SimSun" w:hAnsi="SimSun" w:eastAsia="SimSun" w:cs="SimSun"/>
                <w:color w:val="auto"/>
                <w:sz w:val="24"/>
                <w:highlight w:val="none"/>
              </w:rPr>
              <w:t xml:space="preserve">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rPr>
                <w:rFonts w:ascii="Times New Roman" w:hAnsi="Times New Roman" w:eastAsia="Times New Roman" w:cs="Times New Roman"/>
                <w:color w:val="auto"/>
                <w:sz w:val="24"/>
                <w:highlight w:val="none"/>
              </w:rPr>
              <w:t xml:space="preserve">)</w:t>
            </w:r>
            <w:r>
              <w:rPr>
                <w:color w:val="auto"/>
                <w:highlight w:val="none"/>
              </w:rPr>
            </w:r>
            <w:r/>
          </w:p>
        </w:tc>
      </w:tr>
      <w:tr>
        <w:trPr>
          <w:trHeight w:val="170"/>
        </w:trPr>
        <w:tc>
          <w:tcPr>
            <w:vMerge w:val="continue"/>
            <w:textDirection w:val="lrTb"/>
            <w:noWrap w:val="false"/>
          </w:tcPr>
          <w:p>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6" w:type="dxa"/>
            <w:vAlign w:val="center"/>
            <w:textDirection w:val="lrTb"/>
            <w:noWrap w:val="false"/>
          </w:tcPr>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售后服务方案7分</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3"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根据投标人提供的对维修设备的响应和应急故障修复方案等综合评分。方案应包含但不限于响应时间、回访巡检、故障解决、本地化服务人员构成、维修网点设置情况、备件储备情况以及专业人员等方面。</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以上相关内容每有一项内容完整详细，条理清晰且符合采购实际需求的得</w:t>
            </w:r>
            <w:r>
              <w:rPr>
                <w:rFonts w:ascii="Times New Roman" w:hAnsi="Times New Roman" w:eastAsia="Times New Roman" w:cs="Times New Roman"/>
                <w:color w:val="auto"/>
                <w:sz w:val="24"/>
                <w:highlight w:val="none"/>
              </w:rPr>
              <w:t xml:space="preserve">1</w:t>
            </w:r>
            <w:r>
              <w:rPr>
                <w:rFonts w:ascii="SimSun" w:hAnsi="SimSun" w:eastAsia="SimSun" w:cs="SimSun"/>
                <w:color w:val="auto"/>
                <w:sz w:val="24"/>
                <w:highlight w:val="none"/>
              </w:rPr>
              <w:t xml:space="preserve">分，满分</w:t>
            </w:r>
            <w:r>
              <w:rPr>
                <w:rFonts w:ascii="Times New Roman" w:hAnsi="Times New Roman" w:eastAsia="Times New Roman" w:cs="Times New Roman"/>
                <w:color w:val="auto"/>
                <w:sz w:val="24"/>
                <w:highlight w:val="none"/>
              </w:rPr>
              <w:t xml:space="preserve">7</w:t>
            </w:r>
            <w:r>
              <w:rPr>
                <w:rFonts w:ascii="SimSun" w:hAnsi="SimSun" w:eastAsia="SimSun" w:cs="SimSun"/>
                <w:color w:val="auto"/>
                <w:sz w:val="24"/>
                <w:highlight w:val="none"/>
              </w:rPr>
              <w:t xml:space="preserve">分。</w:t>
            </w:r>
            <w:r>
              <w:rPr>
                <w:color w:val="auto"/>
                <w:highlight w:val="none"/>
              </w:rPr>
            </w:r>
            <w:r/>
          </w:p>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每一项内容出现一处存在缺陷的扣</w:t>
            </w:r>
            <w:r>
              <w:rPr>
                <w:rFonts w:ascii="Times New Roman" w:hAnsi="Times New Roman" w:eastAsia="Times New Roman" w:cs="Times New Roman"/>
                <w:color w:val="auto"/>
                <w:sz w:val="24"/>
                <w:highlight w:val="none"/>
              </w:rPr>
              <w:t xml:space="preserve">0.5</w:t>
            </w:r>
            <w:r>
              <w:rPr>
                <w:rFonts w:ascii="SimSun" w:hAnsi="SimSun" w:eastAsia="SimSun" w:cs="SimSun"/>
                <w:color w:val="auto"/>
                <w:sz w:val="24"/>
                <w:highlight w:val="none"/>
              </w:rPr>
              <w:t xml:space="preserve">分，缺项不得分，每项扣完</w:t>
            </w:r>
            <w:r>
              <w:rPr>
                <w:rFonts w:ascii="Times New Roman" w:hAnsi="Times New Roman" w:eastAsia="Times New Roman" w:cs="Times New Roman"/>
                <w:color w:val="auto"/>
                <w:sz w:val="24"/>
                <w:highlight w:val="none"/>
              </w:rPr>
              <w:t xml:space="preserve">1</w:t>
            </w:r>
            <w:r>
              <w:rPr>
                <w:rFonts w:ascii="SimSun" w:hAnsi="SimSun" w:eastAsia="SimSun" w:cs="SimSun"/>
                <w:color w:val="auto"/>
                <w:sz w:val="24"/>
                <w:highlight w:val="none"/>
              </w:rPr>
              <w:t xml:space="preserve">分为止。</w:t>
            </w:r>
            <w:r>
              <w:rPr>
                <w:rFonts w:ascii="Times New Roman" w:hAnsi="Times New Roman" w:eastAsia="Times New Roman" w:cs="Times New Roman"/>
                <w:color w:val="auto"/>
                <w:sz w:val="24"/>
                <w:highlight w:val="none"/>
              </w:rPr>
              <w:t xml:space="preserve">(</w:t>
            </w:r>
            <w:r>
              <w:rPr>
                <w:rFonts w:ascii="SimSun" w:hAnsi="SimSun" w:eastAsia="SimSun" w:cs="SimSun"/>
                <w:color w:val="auto"/>
                <w:sz w:val="24"/>
                <w:highlight w:val="none"/>
              </w:rPr>
              <w:t xml:space="preserve">缺陷是指</w:t>
            </w:r>
            <w:r>
              <w:rPr>
                <w:rFonts w:ascii="Times New Roman" w:hAnsi="Times New Roman" w:eastAsia="Times New Roman" w:cs="Times New Roman"/>
                <w:color w:val="auto"/>
                <w:sz w:val="24"/>
                <w:highlight w:val="none"/>
              </w:rPr>
              <w:t xml:space="preserve">:</w:t>
            </w:r>
            <w:r>
              <w:rPr>
                <w:rFonts w:ascii="SimSun" w:hAnsi="SimSun" w:eastAsia="SimSun" w:cs="SimSun"/>
                <w:color w:val="auto"/>
                <w:sz w:val="24"/>
                <w:highlight w:val="none"/>
              </w:rPr>
              <w:t xml:space="preserve">存在不适用项目实际情况的情形、凭空编造、逻辑漏洞、前后不一、科学原理错误以及不可能实现的夸大情形、涉及内容无重点，未能体现出本项目的特点或与本项目实际需求不完全相符、语言错误或存在歧义、该方面内容体现不齐全等。</w:t>
            </w:r>
            <w:r>
              <w:rPr>
                <w:rFonts w:ascii="Times New Roman" w:hAnsi="Times New Roman" w:eastAsia="Times New Roman" w:cs="Times New Roman"/>
                <w:color w:val="auto"/>
                <w:sz w:val="24"/>
                <w:highlight w:val="none"/>
              </w:rPr>
              <w:t xml:space="preserve">)</w:t>
            </w:r>
            <w:r>
              <w:rPr>
                <w:color w:val="auto"/>
                <w:highlight w:val="none"/>
              </w:rPr>
            </w:r>
            <w:r/>
          </w:p>
        </w:tc>
      </w:tr>
      <w:tr>
        <w:trPr>
          <w:trHeight w:val="170"/>
        </w:trPr>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112" w:type="dxa"/>
            <w:vAlign w:val="center"/>
            <w:textDirection w:val="lrTb"/>
            <w:noWrap w:val="false"/>
          </w:tcPr>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业绩</w:t>
            </w:r>
            <w:r>
              <w:rPr>
                <w:color w:val="auto"/>
                <w:highlight w:val="none"/>
              </w:rPr>
            </w:r>
            <w:r/>
          </w:p>
          <w:p>
            <w:pPr>
              <w:ind w:left="0" w:right="0" w:firstLine="0"/>
              <w:jc w:val="center"/>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5分</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3" w:type="dxa"/>
            <w:vAlign w:val="center"/>
            <w:textDirection w:val="lrTb"/>
            <w:noWrap w:val="false"/>
          </w:tcPr>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提供自2022年1月1日至今与本次所投</w:t>
            </w:r>
            <w:r>
              <w:rPr>
                <w:rFonts w:ascii="SimSun" w:hAnsi="SimSun" w:eastAsia="SimSun" w:cs="SimSun"/>
                <w:b/>
                <w:color w:val="auto"/>
                <w:sz w:val="24"/>
                <w:highlight w:val="none"/>
              </w:rPr>
              <w:t xml:space="preserve">同品牌同型号</w:t>
            </w:r>
            <w:r>
              <w:rPr>
                <w:rFonts w:ascii="SimSun" w:hAnsi="SimSun" w:eastAsia="SimSun" w:cs="SimSun"/>
                <w:color w:val="auto"/>
                <w:sz w:val="24"/>
                <w:highlight w:val="none"/>
              </w:rPr>
              <w:t xml:space="preserve">的设备业绩，每提供一份得1分，本项最高得3分。提供合同扫描件，时间以合同签订时间为准，并提供经营业绩情况说明列表，内容主要包括买方名称、供货机型、合同金额、数量、签订时间、联系人及电话等，采购人将根据此表随机抽查，如有虚假将取消中标人资格。（企业之间的合同无效）不提供或提供不全不得分。</w:t>
            </w:r>
            <w:r>
              <w:rPr>
                <w:color w:val="auto"/>
                <w:highlight w:val="none"/>
              </w:rPr>
            </w:r>
            <w:r/>
          </w:p>
          <w:p>
            <w:pPr>
              <w:ind w:left="0" w:right="0" w:firstLine="0"/>
              <w:jc w:val="both"/>
              <w:spacing w:before="12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注：设备业绩是指所投产品的业绩，不限制合同签订方是投标人自身，仅需确保所提供合同中显示的合同货物型号与本次所投产品型号相同即可。</w:t>
            </w:r>
            <w:r>
              <w:rPr>
                <w:color w:val="auto"/>
                <w:highlight w:val="none"/>
              </w:rPr>
            </w:r>
            <w:r/>
          </w:p>
        </w:tc>
      </w:tr>
    </w:tbl>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center"/>
        <w:spacing w:before="260" w:after="260" w:line="98"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0" w:firstLine="0"/>
        <w:jc w:val="center"/>
        <w:spacing w:before="260" w:after="26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44"/>
          <w:highlight w:val="none"/>
        </w:rPr>
        <w:t xml:space="preserve">第六章投标文件格式 </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72"/>
          <w:highlight w:val="none"/>
        </w:rPr>
        <w:t xml:space="preserve"> </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72"/>
          <w:highlight w:val="none"/>
        </w:rPr>
        <w:t xml:space="preserve">投标文件</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72"/>
          <w:highlight w:val="none"/>
        </w:rPr>
        <w:t xml:space="preserve"> </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72"/>
          <w:highlight w:val="none"/>
        </w:rPr>
        <w:t xml:space="preserve"> </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none"/>
        </w:rPr>
        <w:t xml:space="preserve"> </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none"/>
        </w:rPr>
        <w:t xml:space="preserve"> </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none"/>
        </w:rPr>
        <w:t xml:space="preserve"> </w:t>
      </w:r>
      <w:r>
        <w:rPr>
          <w:color w:val="auto"/>
          <w:highlight w:val="none"/>
        </w:rPr>
      </w:r>
      <w:r/>
    </w:p>
    <w:p>
      <w:pPr>
        <w:ind w:left="0" w:right="0" w:firstLine="1084"/>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none"/>
        </w:rPr>
        <w:t xml:space="preserve">项 目 名 称：</w:t>
      </w:r>
      <w:r>
        <w:rPr>
          <w:rFonts w:ascii="SimSun" w:hAnsi="SimSun" w:eastAsia="SimSun" w:cs="SimSun"/>
          <w:b/>
          <w:color w:val="auto"/>
          <w:sz w:val="36"/>
          <w:highlight w:val="none"/>
          <w:u w:val="single"/>
        </w:rPr>
        <w:t xml:space="preserve">               </w:t>
      </w:r>
      <w:r>
        <w:rPr>
          <w:color w:val="auto"/>
          <w:highlight w:val="none"/>
        </w:rPr>
      </w:r>
      <w:r/>
    </w:p>
    <w:p>
      <w:pPr>
        <w:ind w:left="0" w:right="0" w:firstLine="1084"/>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none"/>
        </w:rPr>
        <w:t xml:space="preserve">项 目 编 号：</w:t>
      </w:r>
      <w:r>
        <w:rPr>
          <w:rFonts w:ascii="SimSun" w:hAnsi="SimSun" w:eastAsia="SimSun" w:cs="SimSun"/>
          <w:b/>
          <w:color w:val="auto"/>
          <w:sz w:val="36"/>
          <w:highlight w:val="none"/>
          <w:u w:val="single"/>
        </w:rPr>
        <w:t xml:space="preserve">               </w:t>
      </w:r>
      <w:r>
        <w:rPr>
          <w:color w:val="auto"/>
          <w:highlight w:val="none"/>
        </w:rPr>
      </w:r>
      <w:r/>
    </w:p>
    <w:p>
      <w:pPr>
        <w:ind w:left="0" w:right="0" w:firstLine="1084"/>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none"/>
        </w:rPr>
        <w:t xml:space="preserve">代理机构编号：</w:t>
      </w:r>
      <w:r>
        <w:rPr>
          <w:rFonts w:ascii="SimSun" w:hAnsi="SimSun" w:eastAsia="SimSun" w:cs="SimSun"/>
          <w:b/>
          <w:color w:val="auto"/>
          <w:sz w:val="36"/>
          <w:highlight w:val="none"/>
          <w:u w:val="single"/>
        </w:rPr>
        <w:t xml:space="preserve">              </w:t>
      </w:r>
      <w:r>
        <w:rPr>
          <w:rFonts w:ascii="SimSun" w:hAnsi="SimSun" w:eastAsia="SimSun" w:cs="SimSun"/>
          <w:b/>
          <w:color w:val="auto"/>
          <w:sz w:val="36"/>
          <w:highlight w:val="none"/>
        </w:rPr>
        <w:t xml:space="preserve"> </w:t>
      </w:r>
      <w:r>
        <w:rPr>
          <w:color w:val="auto"/>
          <w:highlight w:val="none"/>
        </w:rPr>
      </w:r>
      <w:r/>
    </w:p>
    <w:p>
      <w:pPr>
        <w:ind w:left="0" w:right="0" w:firstLine="1084"/>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none"/>
        </w:rPr>
        <w:t xml:space="preserve">设 备 名 称：</w:t>
      </w:r>
      <w:r>
        <w:rPr>
          <w:rFonts w:ascii="SimSun" w:hAnsi="SimSun" w:eastAsia="SimSun" w:cs="SimSun"/>
          <w:b/>
          <w:color w:val="auto"/>
          <w:sz w:val="36"/>
          <w:highlight w:val="none"/>
          <w:u w:val="single"/>
        </w:rPr>
        <w:t xml:space="preserve">               </w:t>
      </w:r>
      <w:r>
        <w:rPr>
          <w:rFonts w:ascii="SimSun" w:hAnsi="SimSun" w:eastAsia="SimSun" w:cs="SimSun"/>
          <w:b/>
          <w:color w:val="auto"/>
          <w:sz w:val="36"/>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none"/>
        </w:rPr>
        <w:t xml:space="preserve">      投标人名称 ：</w:t>
      </w:r>
      <w:r>
        <w:rPr>
          <w:rFonts w:ascii="SimSun" w:hAnsi="SimSun" w:eastAsia="SimSun" w:cs="SimSun"/>
          <w:b/>
          <w:color w:val="auto"/>
          <w:sz w:val="36"/>
          <w:highlight w:val="none"/>
          <w:u w:val="single"/>
        </w:rPr>
        <w:t xml:space="preserve">（加盖CA电子公章）</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none"/>
        </w:rPr>
        <w:t xml:space="preserve">      日期 ：</w:t>
      </w:r>
      <w:r>
        <w:rPr>
          <w:rFonts w:ascii="SimSun" w:hAnsi="SimSun" w:eastAsia="SimSun" w:cs="SimSun"/>
          <w:b/>
          <w:color w:val="auto"/>
          <w:sz w:val="36"/>
          <w:highlight w:val="none"/>
          <w:u w:val="single"/>
        </w:rPr>
        <w:t xml:space="preserve">               </w:t>
      </w:r>
      <w:r>
        <w:rPr>
          <w:color w:val="auto"/>
          <w:highlight w:val="none"/>
        </w:rPr>
      </w:r>
      <w:r/>
    </w:p>
    <w:p>
      <w:pPr>
        <w:ind w:left="0" w:right="0" w:firstLine="0"/>
        <w:jc w:val="center"/>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r/>
    </w:p>
    <w:p>
      <w:pPr>
        <w:ind w:left="0" w:right="0" w:firstLine="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1084"/>
        <w:jc w:val="both"/>
        <w:spacing w:before="0" w:after="0"/>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0" w:firstLine="0"/>
        <w:jc w:val="center"/>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投标文件目录</w:t>
      </w:r>
      <w:r>
        <w:rPr>
          <w:color w:val="auto"/>
          <w:highlight w:val="none"/>
        </w:rPr>
      </w:r>
      <w:r/>
    </w:p>
    <w:p>
      <w:pPr>
        <w:ind w:left="0" w:right="0" w:firstLine="0"/>
        <w:jc w:val="center"/>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r/>
    </w:p>
    <w:p>
      <w:pPr>
        <w:ind w:left="48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一、法人或者其他组织的营业执照等证明文件，自然人的身份证明</w:t>
      </w:r>
      <w:r>
        <w:rPr>
          <w:color w:val="auto"/>
          <w:highlight w:val="none"/>
        </w:rPr>
      </w:r>
      <w:r/>
    </w:p>
    <w:p>
      <w:pPr>
        <w:ind w:left="48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二、上一年度的财务状况报告（投标人成立不满一年无需提供）</w:t>
      </w:r>
      <w:r>
        <w:rPr>
          <w:color w:val="auto"/>
          <w:highlight w:val="none"/>
        </w:rPr>
      </w:r>
      <w:r/>
    </w:p>
    <w:p>
      <w:pPr>
        <w:ind w:left="48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rPr>
          <w:color w:val="auto"/>
          <w:highlight w:val="none"/>
        </w:rPr>
      </w:r>
      <w:r/>
    </w:p>
    <w:p>
      <w:pPr>
        <w:ind w:left="48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四、具备履行合同所必需的设备和专业技术能力的书面声明</w:t>
      </w:r>
      <w:r>
        <w:rPr>
          <w:color w:val="auto"/>
          <w:highlight w:val="none"/>
        </w:rPr>
      </w: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五、参加政府采购活动前 3 年内在经营活动中没有重大违法记录的书面声明</w:t>
      </w:r>
      <w:r>
        <w:rPr>
          <w:color w:val="auto"/>
          <w:highlight w:val="none"/>
        </w:rPr>
      </w: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六、供应商信用承诺函</w:t>
      </w:r>
      <w:r>
        <w:rPr>
          <w:color w:val="auto"/>
          <w:highlight w:val="none"/>
        </w:rPr>
      </w: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七、特定资格要求的证明文件</w:t>
      </w:r>
      <w:r>
        <w:rPr>
          <w:color w:val="auto"/>
          <w:highlight w:val="none"/>
        </w:rPr>
      </w: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八、小微企业声明函（如适用）</w:t>
      </w:r>
      <w:r>
        <w:rPr>
          <w:color w:val="auto"/>
          <w:highlight w:val="none"/>
        </w:rPr>
      </w: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九、残疾人福利性单位声明函（如适用）</w:t>
      </w:r>
      <w:r>
        <w:rPr>
          <w:color w:val="auto"/>
          <w:highlight w:val="none"/>
        </w:rPr>
      </w: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十、投标分项报价表</w:t>
      </w:r>
      <w:r>
        <w:rPr>
          <w:color w:val="auto"/>
          <w:highlight w:val="none"/>
        </w:rPr>
      </w: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十一、技术要求响应及偏离表</w:t>
      </w:r>
      <w:r>
        <w:rPr>
          <w:color w:val="auto"/>
          <w:highlight w:val="none"/>
        </w:rPr>
      </w: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十二、商务要求响应及偏离表</w:t>
      </w:r>
      <w:r>
        <w:rPr>
          <w:color w:val="auto"/>
          <w:highlight w:val="none"/>
        </w:rPr>
      </w: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十三、开标一览表</w:t>
      </w:r>
      <w:r>
        <w:rPr>
          <w:color w:val="auto"/>
          <w:highlight w:val="none"/>
        </w:rPr>
      </w: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十四、方案</w:t>
      </w:r>
      <w:r>
        <w:rPr>
          <w:color w:val="auto"/>
          <w:highlight w:val="none"/>
        </w:rPr>
      </w: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十五、备品、配套零部件、易损易耗件价格表</w:t>
      </w:r>
      <w:r>
        <w:rPr>
          <w:color w:val="auto"/>
          <w:highlight w:val="none"/>
        </w:rPr>
      </w: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十六、业绩案例一览表</w:t>
      </w:r>
      <w:r>
        <w:rPr>
          <w:color w:val="auto"/>
          <w:highlight w:val="none"/>
        </w:rPr>
      </w: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十七、投标人认为应该提供的其他材料</w:t>
      </w:r>
      <w:r>
        <w:rPr>
          <w:color w:val="auto"/>
          <w:highlight w:val="none"/>
        </w:rPr>
      </w: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十八、质疑函范本</w:t>
      </w:r>
      <w:r>
        <w:rPr>
          <w:color w:val="auto"/>
          <w:highlight w:val="none"/>
        </w:rPr>
      </w:r>
      <w:r/>
    </w:p>
    <w:p>
      <w:pPr>
        <w:ind w:left="0" w:right="0" w:firstLine="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32"/>
          <w:highlight w:val="none"/>
          <w:u w:val="single"/>
        </w:rPr>
        <w:t xml:space="preserve">一、法人或者其他组织的营业执照等证明文件，自然人的身份证明</w:t>
      </w:r>
      <w:r>
        <w:rPr>
          <w:color w:val="auto"/>
          <w:highlight w:val="none"/>
        </w:rPr>
      </w:r>
      <w:r/>
    </w:p>
    <w:p>
      <w:pPr>
        <w:ind w:left="0" w:right="0" w:firstLine="480"/>
        <w:jc w:val="both"/>
        <w:spacing w:before="0" w:after="0" w:line="43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32"/>
          <w:highlight w:val="none"/>
          <w:u w:val="single"/>
        </w:rPr>
        <w:t xml:space="preserve">二、上一年度的财务状况报告</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提供投标文件截止时间前六个月内任意一月份的财务报表扫描件（至少包括资产负债表和利润表），或投标文件截止时间前六个月内任意一月份银行出具的资信证书扫描件，或其2024年度经审计的财务报告扫描件；（投标人为参加本次政府采购活动（投标文件截止时间）前一年内注册的公司，无须提供）；</w:t>
      </w:r>
      <w:r>
        <w:rPr>
          <w:color w:val="auto"/>
          <w:highlight w:val="none"/>
        </w:rPr>
      </w: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32"/>
          <w:highlight w:val="none"/>
          <w:u w:val="single"/>
        </w:rPr>
        <w:t xml:space="preserve">三、依法缴纳税收和社会保障资金的相关材料</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提供投标文件截止时间前六个月内任意一月份的依法缴纳税收及缴纳社会保障资金的证明材料扫描件。投标人依法享受缓缴、免缴税收、社会保障资金的提供证明材料扫描件。</w:t>
      </w:r>
      <w:r>
        <w:rPr>
          <w:color w:val="auto"/>
          <w:highlight w:val="none"/>
        </w:rPr>
      </w: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32"/>
          <w:highlight w:val="none"/>
          <w:u w:val="single"/>
        </w:rPr>
        <w:t xml:space="preserve">四、具备履行合同所必需的设备和专业技术能力的书面声明</w:t>
      </w:r>
      <w:r>
        <w:rPr>
          <w:color w:val="auto"/>
          <w:highlight w:val="none"/>
        </w:rPr>
      </w:r>
      <w:r/>
    </w:p>
    <w:p>
      <w:pPr>
        <w:ind w:left="0" w:right="0" w:firstLine="492"/>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我单位郑重声明：我单位具备履行本项采购合同所必需的设备和专业技术能力，为履行本项采购合同我公司具备如下主要设备和主要专业技术能力：</w:t>
      </w:r>
      <w:r>
        <w:rPr>
          <w:color w:val="auto"/>
          <w:highlight w:val="none"/>
        </w:rPr>
      </w:r>
      <w:r/>
    </w:p>
    <w:p>
      <w:pPr>
        <w:ind w:left="0" w:right="0" w:firstLine="492"/>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主要设备有：</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w:t>
      </w:r>
      <w:r>
        <w:rPr>
          <w:color w:val="auto"/>
          <w:highlight w:val="none"/>
        </w:rPr>
      </w:r>
      <w:r/>
    </w:p>
    <w:p>
      <w:pPr>
        <w:ind w:left="0" w:right="0" w:firstLine="492"/>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主要专业技术能力有：</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w:t>
      </w:r>
      <w:r>
        <w:rPr>
          <w:color w:val="auto"/>
          <w:highlight w:val="none"/>
        </w:rPr>
      </w:r>
      <w:r/>
    </w:p>
    <w:p>
      <w:pPr>
        <w:ind w:left="0" w:right="0" w:firstLine="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32"/>
          <w:highlight w:val="none"/>
          <w:u w:val="single"/>
        </w:rPr>
        <w:t xml:space="preserve">五、参加政府采购活动前 3 年内在经营活动中没有重大违法记录的书面声明</w:t>
      </w:r>
      <w:r>
        <w:rPr>
          <w:color w:val="auto"/>
          <w:highlight w:val="none"/>
        </w:rPr>
      </w:r>
      <w:r/>
    </w:p>
    <w:p>
      <w:pPr>
        <w:ind w:left="0" w:right="0" w:firstLine="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44"/>
          <w:highlight w:val="none"/>
        </w:rPr>
        <w:t xml:space="preserve">                 声明</w:t>
      </w:r>
      <w:r>
        <w:rPr>
          <w:color w:val="auto"/>
          <w:highlight w:val="none"/>
        </w:rPr>
      </w:r>
      <w:r/>
    </w:p>
    <w:p>
      <w:pPr>
        <w:ind w:left="0" w:right="0" w:firstLine="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    </w:t>
      </w:r>
      <w:r>
        <w:rPr>
          <w:rFonts w:ascii="SimSun" w:hAnsi="SimSun" w:eastAsia="SimSun" w:cs="SimSun"/>
          <w:color w:val="auto"/>
          <w:sz w:val="24"/>
          <w:highlight w:val="none"/>
        </w:rPr>
        <w:t xml:space="preserve">我单位郑重声明：参加本次政府采购活动前 3 年内，我单位在经营活动中没有因违法经营受到刑事处罚或者责令停产停业、吊销许可证或者执照、较大数额罚款等行政处罚。</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32"/>
          <w:highlight w:val="none"/>
          <w:u w:val="single"/>
        </w:rPr>
        <w:t xml:space="preserve"> </w:t>
      </w:r>
      <w:r>
        <w:rPr>
          <w:color w:val="auto"/>
          <w:highlight w:val="none"/>
        </w:rPr>
      </w:r>
      <w:r/>
    </w:p>
    <w:p>
      <w:pPr>
        <w:ind w:left="0" w:right="0" w:firstLine="0"/>
        <w:jc w:val="both"/>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32"/>
          <w:highlight w:val="none"/>
          <w:u w:val="single"/>
        </w:rPr>
        <w:t xml:space="preserve">六、供应商信用承诺函</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承诺主体名称：</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统一社会信用代码：</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为维护公平竞争、规范有序的市场秩序，营造诚实守信的信用环境，共同推进社会信用体系建设完善，树立企业诚信守法形象，本企业对________________________项目政府采购活动郑重承诺如下:</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一、对提供给注册登记部门、行业管理部门、司法部门、行业组织以及在政府采购活动中提交的所有资料的合法性、真实性、准确性和有效性负责；</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二、严格按照国家法律、法规和规章开展采购活动，全面履行应尽的责任和义务，全面做到履约守信，具备《中华人民共和国政府采购法》第二十二条第一款规定的条件;</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三、严格依法开展生产经营活动，主动接受行业监管，自愿接受依法开展的日常检查；违法失信经营后将自愿接受约束和惩戒，并依法承担相应责任；</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四、自觉接受行政管理部门、行业组织、社会公众、新闻舆论的监督；</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五、自觉做到自我约束、自我管理，不制假售假、商标侵权、虚假宣传、违约毁约、恶意逃债、偷税漏税、垄断和不正当竞争，维护经营者、消费者的合法权益；</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六、提出政府采购质疑和投诉坚持依法依规、诚实信用原则，在全国范围12个月内没有三次以上查无实据的政府采购投诉；</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七、严格遵守信用信息公示相关规定，向社会公示信用信息；</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八、在“信用中国”和“中国政府采购网”网站中无违法违规、较重或严重失信记录；</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九、如违反承诺，自愿接受管理部门依法给予的行政处罚，同意将违反承诺的行为作为不良记录记入信用档案，依法依规进行信息公示，并承担所产生的一切法律责任和经济损失。</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十、本承诺书自签订之日起生效。</w:t>
      </w:r>
      <w:r>
        <w:rPr>
          <w:color w:val="auto"/>
          <w:highlight w:val="none"/>
        </w:rPr>
      </w:r>
      <w:r/>
    </w:p>
    <w:p>
      <w:pPr>
        <w:ind w:left="0" w:right="0" w:firstLine="42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（注：法定代表人或负责人、主体名称发生变更的应当重新做出承诺。）</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承诺单位（签章）：           </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法定代表人（负责人）：</w:t>
      </w:r>
      <w:r>
        <w:rPr>
          <w:color w:val="auto"/>
          <w:highlight w:val="none"/>
        </w:rPr>
      </w:r>
      <w:r/>
    </w:p>
    <w:p>
      <w:pPr>
        <w:ind w:left="0" w:right="0" w:firstLine="0"/>
        <w:jc w:val="center"/>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年    月    日</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32"/>
          <w:highlight w:val="none"/>
          <w:u w:val="single"/>
        </w:rPr>
        <w:t xml:space="preserve">七、特定资格要求的证明文件</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rFonts w:ascii="SimSun" w:hAnsi="SimSun" w:eastAsia="SimSun" w:cs="SimSun"/>
          <w:i/>
          <w:color w:val="auto"/>
          <w:sz w:val="24"/>
          <w:highlight w:val="none"/>
          <w:u w:val="single"/>
        </w:rPr>
        <w:t xml:space="preserve">（1）投标产品如果属于医疗设备注册范畴的；投标人须根据投标产品的类别，提供《医疗器械经营企业许可证》或者《医疗器械经营备案凭证》（复印件）；</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（2）投标产品如果属于医疗设备注册范畴的；投标人须提供投标产品的《医疗器械注册证》（复印件）；</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（3）本项目接受产品代理商或经销商投标；投标产品如果为进口货物的，投标人须提供制造商出具的授权书（复印件）；</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（4）投标函</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（5）法人授权书</w:t>
      </w:r>
      <w:r>
        <w:rPr>
          <w:color w:val="auto"/>
          <w:highlight w:val="none"/>
        </w:rPr>
      </w:r>
      <w:r/>
    </w:p>
    <w:p>
      <w:pPr>
        <w:ind w:left="0" w:right="0" w:firstLine="0"/>
        <w:jc w:val="center"/>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0" w:firstLine="0"/>
        <w:jc w:val="center"/>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32"/>
          <w:highlight w:val="none"/>
          <w:u w:val="single"/>
        </w:rPr>
        <w:t xml:space="preserve">（4）投标函</w:t>
      </w:r>
      <w:r>
        <w:rPr>
          <w:color w:val="auto"/>
          <w:highlight w:val="none"/>
        </w:rPr>
      </w:r>
      <w:r/>
    </w:p>
    <w:p>
      <w:pPr>
        <w:ind w:left="0" w:right="0" w:firstLine="0"/>
        <w:spacing w:before="0" w:after="0" w:line="41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致：江苏苏豪创新科技集团高科有限公司</w:t>
      </w:r>
      <w:r>
        <w:rPr>
          <w:color w:val="auto"/>
          <w:highlight w:val="none"/>
        </w:rPr>
      </w:r>
      <w:r/>
    </w:p>
    <w:p>
      <w:pPr>
        <w:ind w:left="0" w:right="0" w:firstLine="480"/>
        <w:spacing w:before="0" w:after="0" w:line="41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根据贵方的项目编号为JSZC-321084-SHGK-G2025-0147 的招标文件，正式授权下述签字人_________________(姓名)代表我方______________（投标人的名称），全权处理本次项目投标的有关事宜。</w:t>
      </w:r>
      <w:r>
        <w:rPr>
          <w:color w:val="auto"/>
          <w:highlight w:val="none"/>
        </w:rPr>
      </w:r>
      <w:r/>
    </w:p>
    <w:p>
      <w:pPr>
        <w:ind w:left="0" w:right="0" w:firstLine="480"/>
        <w:spacing w:before="0" w:after="0" w:line="41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据此函，__________签字人兹宣布同意如下：</w:t>
      </w:r>
      <w:r>
        <w:rPr>
          <w:color w:val="auto"/>
          <w:highlight w:val="none"/>
        </w:rPr>
      </w:r>
      <w:r/>
    </w:p>
    <w:p>
      <w:pPr>
        <w:ind w:left="0" w:right="0" w:firstLine="480"/>
        <w:spacing w:before="0" w:after="0" w:line="41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1.按招标文件规定的各项要求，向买方提供所需货物（包含与货物相关的服务）。</w:t>
      </w:r>
      <w:r>
        <w:rPr>
          <w:color w:val="auto"/>
          <w:highlight w:val="none"/>
        </w:rPr>
      </w:r>
      <w:r/>
    </w:p>
    <w:p>
      <w:pPr>
        <w:ind w:left="0" w:right="0" w:firstLine="480"/>
        <w:spacing w:before="0" w:after="0" w:line="41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2.我们完全理解贵方不一定将合同授予最低报价的投标人。</w:t>
      </w:r>
      <w:r>
        <w:rPr>
          <w:color w:val="auto"/>
          <w:highlight w:val="none"/>
        </w:rPr>
      </w:r>
      <w:r/>
    </w:p>
    <w:p>
      <w:pPr>
        <w:ind w:left="0" w:right="0" w:firstLine="480"/>
        <w:spacing w:before="0" w:after="0" w:line="41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3.我们已详细审核全部招标文件及其有效补充文件，我们知道必须放弃提出含糊不清或误解问题的权利。</w:t>
      </w:r>
      <w:r>
        <w:rPr>
          <w:color w:val="auto"/>
          <w:highlight w:val="none"/>
        </w:rPr>
      </w:r>
      <w:r/>
    </w:p>
    <w:p>
      <w:pPr>
        <w:ind w:left="0" w:right="0" w:firstLine="480"/>
        <w:spacing w:before="0" w:after="0" w:line="41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4.我们同意从规定的开标日期起遵循本投标文件，并在规定的投标有效期期满之前均具有约束力。</w:t>
      </w:r>
      <w:r>
        <w:rPr>
          <w:color w:val="auto"/>
          <w:highlight w:val="none"/>
        </w:rPr>
      </w:r>
      <w:r/>
    </w:p>
    <w:p>
      <w:pPr>
        <w:ind w:left="0" w:right="0" w:firstLine="480"/>
        <w:spacing w:before="0" w:after="0" w:line="41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5.同意向贵方提供贵方可能另外要求的与投标有关的任何证据或资料，并保证我方已提供和将要提供的文件是真实的、准确的。</w:t>
      </w:r>
      <w:r>
        <w:rPr>
          <w:color w:val="auto"/>
          <w:highlight w:val="none"/>
        </w:rPr>
      </w:r>
      <w:r/>
    </w:p>
    <w:p>
      <w:pPr>
        <w:ind w:left="0" w:right="0" w:firstLine="480"/>
        <w:spacing w:before="0" w:after="0" w:line="41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6.一旦我方中标,我方将根据招标文件的规定，严格履行合同的责任和义务,并保证在招标文件规定的时间完成项目，交付买方验收、使用。</w:t>
      </w:r>
      <w:r>
        <w:rPr>
          <w:color w:val="auto"/>
          <w:highlight w:val="none"/>
        </w:rPr>
      </w:r>
      <w:r/>
    </w:p>
    <w:p>
      <w:pPr>
        <w:ind w:left="425" w:right="0" w:firstLine="0"/>
        <w:spacing w:before="0" w:after="0" w:line="41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7.与本投标有关的正式通讯地址为：</w:t>
      </w:r>
      <w:r>
        <w:rPr>
          <w:color w:val="auto"/>
          <w:highlight w:val="none"/>
        </w:rPr>
      </w:r>
      <w:r/>
    </w:p>
    <w:p>
      <w:pPr>
        <w:ind w:left="420" w:right="0" w:firstLine="480"/>
        <w:spacing w:before="0" w:after="0" w:line="41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地址：</w:t>
      </w:r>
      <w:r>
        <w:rPr>
          <w:color w:val="auto"/>
          <w:highlight w:val="none"/>
        </w:rPr>
      </w:r>
      <w:r/>
    </w:p>
    <w:p>
      <w:pPr>
        <w:ind w:left="420" w:right="0" w:firstLine="480"/>
        <w:spacing w:before="0" w:after="0" w:line="41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邮编：</w:t>
      </w:r>
      <w:r>
        <w:rPr>
          <w:color w:val="auto"/>
          <w:highlight w:val="none"/>
        </w:rPr>
      </w:r>
      <w:r/>
    </w:p>
    <w:p>
      <w:pPr>
        <w:ind w:left="420" w:right="0" w:firstLine="480"/>
        <w:spacing w:before="0" w:after="0" w:line="41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电话：</w:t>
      </w:r>
      <w:r>
        <w:rPr>
          <w:color w:val="auto"/>
          <w:highlight w:val="none"/>
        </w:rPr>
      </w:r>
      <w:r/>
    </w:p>
    <w:p>
      <w:pPr>
        <w:ind w:left="420" w:right="0" w:firstLine="480"/>
        <w:spacing w:before="0" w:after="0" w:line="41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传真：</w:t>
      </w:r>
      <w:r>
        <w:rPr>
          <w:color w:val="auto"/>
          <w:highlight w:val="none"/>
        </w:rPr>
      </w:r>
      <w:r/>
    </w:p>
    <w:p>
      <w:pPr>
        <w:ind w:left="420" w:right="0" w:firstLine="480"/>
        <w:spacing w:before="0" w:after="0" w:line="41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投标人开户行：</w:t>
      </w:r>
      <w:r>
        <w:rPr>
          <w:color w:val="auto"/>
          <w:highlight w:val="none"/>
        </w:rPr>
      </w:r>
      <w:r/>
    </w:p>
    <w:p>
      <w:pPr>
        <w:ind w:left="420" w:right="0" w:firstLine="480"/>
        <w:spacing w:before="0" w:after="0" w:line="41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账号： </w:t>
      </w:r>
      <w:r>
        <w:rPr>
          <w:color w:val="auto"/>
          <w:highlight w:val="none"/>
        </w:rPr>
      </w:r>
      <w:r/>
    </w:p>
    <w:p>
      <w:pPr>
        <w:ind w:left="420" w:right="0" w:firstLine="480"/>
        <w:spacing w:before="0" w:after="0" w:line="41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日期：________年____月____日</w:t>
      </w:r>
      <w:r>
        <w:rPr>
          <w:color w:val="auto"/>
          <w:highlight w:val="none"/>
        </w:rPr>
      </w:r>
      <w:r/>
    </w:p>
    <w:p>
      <w:pPr>
        <w:ind w:left="0" w:right="0" w:firstLine="240"/>
        <w:jc w:val="center"/>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240"/>
        <w:jc w:val="center"/>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240"/>
        <w:jc w:val="center"/>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0"/>
        <w:jc w:val="center"/>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0" w:firstLine="0"/>
        <w:jc w:val="center"/>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32"/>
          <w:highlight w:val="none"/>
          <w:u w:val="single"/>
        </w:rPr>
        <w:t xml:space="preserve">（5）法人授权书</w:t>
      </w:r>
      <w:r>
        <w:rPr>
          <w:color w:val="auto"/>
          <w:highlight w:val="none"/>
        </w:rPr>
      </w:r>
      <w:r/>
    </w:p>
    <w:p>
      <w:pPr>
        <w:ind w:left="0" w:right="0" w:firstLine="480"/>
        <w:jc w:val="both"/>
        <w:spacing w:before="0" w:after="0"/>
        <w:tabs>
          <w:tab w:val="left" w:pos="36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本授权书声明：____________（投标人名称）授权________________（被授权人的姓名）为我方就JSZC-</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号项目采购活动的合法代理人，以本单位名义全权处理一切与该项目采购有关的事务。</w:t>
      </w:r>
      <w:r>
        <w:rPr>
          <w:color w:val="auto"/>
          <w:highlight w:val="none"/>
        </w:rPr>
      </w:r>
      <w:r/>
    </w:p>
    <w:p>
      <w:pPr>
        <w:ind w:left="0" w:right="0" w:firstLine="480"/>
        <w:jc w:val="both"/>
        <w:spacing w:before="0" w:after="0"/>
        <w:tabs>
          <w:tab w:val="left" w:pos="36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本授权书于______年____月____日起生效，特此声明。</w:t>
      </w:r>
      <w:r>
        <w:rPr>
          <w:color w:val="auto"/>
          <w:highlight w:val="none"/>
        </w:rPr>
      </w:r>
      <w:r/>
    </w:p>
    <w:p>
      <w:pPr>
        <w:ind w:left="0" w:right="0" w:firstLine="0"/>
        <w:jc w:val="both"/>
        <w:spacing w:before="0" w:after="0"/>
        <w:tabs>
          <w:tab w:val="left" w:pos="36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被授权人身份证号码：</w:t>
      </w:r>
      <w:r>
        <w:rPr>
          <w:rFonts w:ascii="SimSun" w:hAnsi="SimSun" w:eastAsia="SimSun" w:cs="SimSun"/>
          <w:color w:val="auto"/>
          <w:sz w:val="24"/>
          <w:highlight w:val="none"/>
          <w:u w:val="single"/>
        </w:rPr>
        <w:t xml:space="preserve">                              </w:t>
      </w:r>
      <w:r>
        <w:rPr>
          <w:color w:val="auto"/>
          <w:highlight w:val="none"/>
        </w:rPr>
      </w:r>
      <w:r/>
    </w:p>
    <w:p>
      <w:pPr>
        <w:ind w:left="0" w:right="0" w:firstLine="0"/>
        <w:jc w:val="both"/>
        <w:spacing w:before="0" w:after="0"/>
        <w:tabs>
          <w:tab w:val="left" w:pos="36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被授权人联系电话：（手机）</w:t>
      </w:r>
      <w:r>
        <w:rPr>
          <w:rFonts w:ascii="SimSun" w:hAnsi="SimSun" w:eastAsia="SimSun" w:cs="SimSun"/>
          <w:color w:val="auto"/>
          <w:sz w:val="24"/>
          <w:highlight w:val="none"/>
          <w:u w:val="single"/>
        </w:rPr>
        <w:t xml:space="preserve">                          </w:t>
      </w:r>
      <w:r>
        <w:rPr>
          <w:color w:val="auto"/>
          <w:highlight w:val="none"/>
        </w:rPr>
      </w:r>
      <w:r/>
    </w:p>
    <w:p>
      <w:pPr>
        <w:ind w:left="0" w:right="0" w:firstLine="1200"/>
        <w:jc w:val="both"/>
        <w:spacing w:before="0" w:after="0"/>
        <w:tabs>
          <w:tab w:val="left" w:pos="36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授权单位名称：</w:t>
      </w:r>
      <w:r>
        <w:rPr>
          <w:rFonts w:ascii="SimSun" w:hAnsi="SimSun" w:eastAsia="SimSun" w:cs="SimSun"/>
          <w:color w:val="auto"/>
          <w:sz w:val="24"/>
          <w:highlight w:val="none"/>
          <w:u w:val="single"/>
        </w:rPr>
        <w:t xml:space="preserve">（加盖CA电子公章）</w:t>
      </w:r>
      <w:r>
        <w:rPr>
          <w:color w:val="auto"/>
          <w:highlight w:val="none"/>
        </w:rPr>
      </w:r>
      <w:r/>
    </w:p>
    <w:p>
      <w:pPr>
        <w:ind w:left="0" w:right="0" w:firstLine="480"/>
        <w:jc w:val="both"/>
        <w:spacing w:before="0" w:after="0"/>
        <w:tabs>
          <w:tab w:val="left" w:pos="36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单位地址：</w:t>
      </w:r>
      <w:r>
        <w:rPr>
          <w:rFonts w:ascii="SimSun" w:hAnsi="SimSun" w:eastAsia="SimSun" w:cs="SimSun"/>
          <w:color w:val="auto"/>
          <w:sz w:val="24"/>
          <w:highlight w:val="none"/>
          <w:u w:val="single"/>
        </w:rPr>
        <w:t xml:space="preserve">                                         </w:t>
      </w:r>
      <w:r>
        <w:rPr>
          <w:color w:val="auto"/>
          <w:highlight w:val="none"/>
        </w:rPr>
      </w:r>
      <w:r/>
    </w:p>
    <w:p>
      <w:pPr>
        <w:ind w:left="0" w:right="0" w:firstLine="480"/>
        <w:jc w:val="both"/>
        <w:spacing w:before="0" w:after="0"/>
        <w:tabs>
          <w:tab w:val="left" w:pos="36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日期：</w:t>
      </w:r>
      <w:r>
        <w:rPr>
          <w:rFonts w:ascii="SimSun" w:hAnsi="SimSun" w:eastAsia="SimSun" w:cs="SimSun"/>
          <w:color w:val="auto"/>
          <w:sz w:val="24"/>
          <w:highlight w:val="none"/>
          <w:u w:val="single"/>
        </w:rPr>
        <w:t xml:space="preserve">                                         </w:t>
      </w:r>
      <w:r>
        <w:rPr>
          <w:color w:val="auto"/>
          <w:highlight w:val="none"/>
        </w:rPr>
      </w:r>
      <w:r/>
    </w:p>
    <w:p>
      <w:pPr>
        <w:ind w:left="0" w:right="0" w:firstLine="480"/>
        <w:jc w:val="both"/>
        <w:spacing w:before="0" w:after="0"/>
        <w:tabs>
          <w:tab w:val="left" w:pos="36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附：法人代表及被授权人的身份证正反面</w:t>
      </w:r>
      <w:r>
        <w:rPr>
          <w:color w:val="auto"/>
          <w:highlight w:val="none"/>
        </w:rPr>
      </w: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24"/>
          <w:highlight w:val="none"/>
          <w:u w:val="singl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jc w:val="both"/>
        <w:spacing w:before="0" w:after="0" w:line="46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240"/>
        <w:jc w:val="center"/>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0" w:firstLine="240"/>
        <w:jc w:val="center"/>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0"/>
        <w:jc w:val="center"/>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八、小微企业声明函（货物）（如适用）</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本项目所属行业：工业</w:t>
      </w:r>
      <w:r>
        <w:rPr>
          <w:color w:val="auto"/>
          <w:highlight w:val="none"/>
        </w:rPr>
      </w:r>
      <w:r/>
    </w:p>
    <w:p>
      <w:pPr>
        <w:ind w:left="0" w:right="0" w:firstLine="360"/>
        <w:jc w:val="both"/>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本公司（联合体）郑重声明，根据《政府采购促进中小企业发展管理办法》(财库[2020]46号)的规定，本公司（联合体）参加</w:t>
      </w:r>
      <w:r>
        <w:rPr>
          <w:rFonts w:ascii="SimSun" w:hAnsi="SimSun" w:eastAsia="SimSun" w:cs="SimSun"/>
          <w:color w:val="auto"/>
          <w:sz w:val="24"/>
          <w:highlight w:val="none"/>
          <w:u w:val="single"/>
        </w:rPr>
        <w:t xml:space="preserve">（单位名称）</w:t>
      </w:r>
      <w:r>
        <w:rPr>
          <w:rFonts w:ascii="SimSun" w:hAnsi="SimSun" w:eastAsia="SimSun" w:cs="SimSun"/>
          <w:color w:val="auto"/>
          <w:sz w:val="24"/>
          <w:highlight w:val="none"/>
        </w:rPr>
        <w:t xml:space="preserve">采购编号为</w:t>
      </w:r>
      <w:r>
        <w:rPr>
          <w:rFonts w:ascii="SimSun" w:hAnsi="SimSun" w:eastAsia="SimSun" w:cs="SimSun"/>
          <w:color w:val="auto"/>
          <w:sz w:val="24"/>
          <w:highlight w:val="none"/>
          <w:u w:val="single"/>
        </w:rPr>
        <w:t xml:space="preserve">（项目名称）</w:t>
      </w:r>
      <w:r>
        <w:rPr>
          <w:rFonts w:ascii="SimSun" w:hAnsi="SimSun" w:eastAsia="SimSun" w:cs="SimSun"/>
          <w:color w:val="auto"/>
          <w:sz w:val="24"/>
          <w:highlight w:val="none"/>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color w:val="auto"/>
          <w:highlight w:val="none"/>
        </w:rPr>
      </w:r>
      <w:r/>
    </w:p>
    <w:p>
      <w:pPr>
        <w:ind w:left="0" w:right="0" w:firstLine="360"/>
        <w:jc w:val="both"/>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w:t>
      </w:r>
      <w:r>
        <w:rPr>
          <w:rFonts w:ascii="SimSun" w:hAnsi="SimSun" w:eastAsia="SimSun" w:cs="SimSun"/>
          <w:color w:val="auto"/>
          <w:sz w:val="24"/>
          <w:highlight w:val="none"/>
          <w:u w:val="single"/>
        </w:rPr>
        <w:t xml:space="preserve">（标的名称）</w:t>
      </w:r>
      <w:r>
        <w:rPr>
          <w:rFonts w:ascii="SimSun" w:hAnsi="SimSun" w:eastAsia="SimSun" w:cs="SimSun"/>
          <w:i/>
          <w:color w:val="auto"/>
          <w:sz w:val="24"/>
          <w:highlight w:val="none"/>
        </w:rPr>
        <w:t xml:space="preserve">，</w:t>
      </w:r>
      <w:r>
        <w:rPr>
          <w:rFonts w:ascii="SimSun" w:hAnsi="SimSun" w:eastAsia="SimSun" w:cs="SimSun"/>
          <w:color w:val="auto"/>
          <w:sz w:val="24"/>
          <w:highlight w:val="none"/>
        </w:rPr>
        <w:t xml:space="preserve">属于</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行业；制造商为</w:t>
      </w:r>
      <w:r>
        <w:rPr>
          <w:rFonts w:ascii="SimSun" w:hAnsi="SimSun" w:eastAsia="SimSun" w:cs="SimSun"/>
          <w:color w:val="auto"/>
          <w:sz w:val="24"/>
          <w:highlight w:val="none"/>
          <w:u w:val="single"/>
        </w:rPr>
        <w:t xml:space="preserve">（企业名称）</w:t>
      </w:r>
      <w:r>
        <w:rPr>
          <w:rFonts w:ascii="SimSun" w:hAnsi="SimSun" w:eastAsia="SimSun" w:cs="SimSun"/>
          <w:color w:val="auto"/>
          <w:sz w:val="24"/>
          <w:highlight w:val="none"/>
        </w:rPr>
        <w:t xml:space="preserve">，从业人员</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人，营业收入为</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万元，资产总额为</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万元，属于</w:t>
      </w:r>
      <w:r>
        <w:rPr>
          <w:rFonts w:ascii="SimSun" w:hAnsi="SimSun" w:eastAsia="SimSun" w:cs="SimSun"/>
          <w:color w:val="auto"/>
          <w:sz w:val="24"/>
          <w:highlight w:val="none"/>
          <w:u w:val="single"/>
        </w:rPr>
        <w:t xml:space="preserve">（小型企业、微型企业）；</w:t>
      </w:r>
      <w:r>
        <w:rPr>
          <w:color w:val="auto"/>
          <w:highlight w:val="none"/>
        </w:rPr>
      </w:r>
      <w:r/>
    </w:p>
    <w:p>
      <w:pPr>
        <w:ind w:left="0" w:right="0" w:firstLine="360"/>
        <w:jc w:val="both"/>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w:t>
      </w:r>
      <w:r>
        <w:rPr>
          <w:rFonts w:ascii="SimSun" w:hAnsi="SimSun" w:eastAsia="SimSun" w:cs="SimSun"/>
          <w:color w:val="auto"/>
          <w:sz w:val="24"/>
          <w:highlight w:val="none"/>
          <w:u w:val="single"/>
        </w:rPr>
        <w:t xml:space="preserve">（标的名称）</w:t>
      </w:r>
      <w:r>
        <w:rPr>
          <w:rFonts w:ascii="SimSun" w:hAnsi="SimSun" w:eastAsia="SimSun" w:cs="SimSun"/>
          <w:i/>
          <w:color w:val="auto"/>
          <w:sz w:val="24"/>
          <w:highlight w:val="none"/>
        </w:rPr>
        <w:t xml:space="preserve">，</w:t>
      </w:r>
      <w:r>
        <w:rPr>
          <w:rFonts w:ascii="SimSun" w:hAnsi="SimSun" w:eastAsia="SimSun" w:cs="SimSun"/>
          <w:color w:val="auto"/>
          <w:sz w:val="24"/>
          <w:highlight w:val="none"/>
        </w:rPr>
        <w:t xml:space="preserve">属于</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行业；制造商为</w:t>
      </w:r>
      <w:r>
        <w:rPr>
          <w:rFonts w:ascii="SimSun" w:hAnsi="SimSun" w:eastAsia="SimSun" w:cs="SimSun"/>
          <w:color w:val="auto"/>
          <w:sz w:val="24"/>
          <w:highlight w:val="none"/>
          <w:u w:val="single"/>
        </w:rPr>
        <w:t xml:space="preserve">（企业名称）</w:t>
      </w:r>
      <w:r>
        <w:rPr>
          <w:rFonts w:ascii="SimSun" w:hAnsi="SimSun" w:eastAsia="SimSun" w:cs="SimSun"/>
          <w:color w:val="auto"/>
          <w:sz w:val="24"/>
          <w:highlight w:val="none"/>
        </w:rPr>
        <w:t xml:space="preserve">，从业人员</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人，营业收入为</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万元，资产总额为</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万元，属于</w:t>
      </w:r>
      <w:r>
        <w:rPr>
          <w:rFonts w:ascii="SimSun" w:hAnsi="SimSun" w:eastAsia="SimSun" w:cs="SimSun"/>
          <w:color w:val="auto"/>
          <w:sz w:val="24"/>
          <w:highlight w:val="none"/>
          <w:u w:val="single"/>
        </w:rPr>
        <w:t xml:space="preserve">（小型企业、微型企业）；</w:t>
      </w:r>
      <w:r>
        <w:rPr>
          <w:color w:val="auto"/>
          <w:highlight w:val="none"/>
        </w:rPr>
      </w:r>
      <w:r/>
    </w:p>
    <w:p>
      <w:pPr>
        <w:ind w:left="0" w:right="0" w:firstLine="360"/>
        <w:jc w:val="both"/>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w:t>
      </w:r>
      <w:r>
        <w:rPr>
          <w:color w:val="auto"/>
          <w:highlight w:val="none"/>
        </w:rPr>
      </w:r>
      <w:r/>
    </w:p>
    <w:p>
      <w:pPr>
        <w:ind w:left="0" w:right="0" w:firstLine="360"/>
        <w:jc w:val="both"/>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以上企业，不属于大企业的分支机构，不存在控股股东为大企业的情形，也不存在与大企业的负责人为同一人的情形。</w:t>
      </w:r>
      <w:r>
        <w:rPr>
          <w:color w:val="auto"/>
          <w:highlight w:val="none"/>
        </w:rPr>
      </w:r>
      <w:r/>
    </w:p>
    <w:p>
      <w:pPr>
        <w:ind w:left="0" w:right="0" w:firstLine="360"/>
        <w:jc w:val="both"/>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本企业对上述声明内容的真实性负责。如有虚假，将依法承担相应责任</w:t>
      </w:r>
      <w:r>
        <w:rPr>
          <w:color w:val="auto"/>
          <w:highlight w:val="none"/>
        </w:rPr>
      </w:r>
      <w:r/>
    </w:p>
    <w:p>
      <w:pPr>
        <w:ind w:left="0" w:right="180" w:firstLine="360"/>
        <w:jc w:val="right"/>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企业名称（加盖CA电子公章）：</w:t>
      </w:r>
      <w:r>
        <w:rPr>
          <w:color w:val="auto"/>
          <w:highlight w:val="none"/>
        </w:rPr>
      </w:r>
      <w:r/>
    </w:p>
    <w:p>
      <w:pPr>
        <w:ind w:left="0" w:right="480" w:firstLine="5400"/>
        <w:jc w:val="both"/>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日期：</w:t>
      </w:r>
      <w:r>
        <w:rPr>
          <w:color w:val="auto"/>
          <w:highlight w:val="none"/>
        </w:rPr>
      </w:r>
      <w:r/>
    </w:p>
    <w:p>
      <w:pPr>
        <w:ind w:left="0" w:right="0" w:firstLine="480"/>
        <w:jc w:val="both"/>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备注1：从业人员、营业收入、资产总额填报上一年度数据，无上一年度数据的新成立企业可不填报。</w:t>
      </w:r>
      <w:r>
        <w:rPr>
          <w:color w:val="auto"/>
          <w:highlight w:val="none"/>
        </w:rPr>
      </w:r>
      <w:r/>
    </w:p>
    <w:p>
      <w:pPr>
        <w:ind w:left="0" w:right="0" w:firstLine="480"/>
        <w:jc w:val="both"/>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备注2：供应商如不提供此声明函，价格将不做相应扣除。</w:t>
      </w:r>
      <w:r>
        <w:rPr>
          <w:color w:val="auto"/>
          <w:highlight w:val="none"/>
        </w:rPr>
      </w:r>
      <w:r/>
    </w:p>
    <w:p>
      <w:pPr>
        <w:ind w:left="0" w:right="0" w:firstLine="0"/>
        <w:jc w:val="center"/>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0" w:firstLine="0"/>
        <w:jc w:val="center"/>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九</w:t>
      </w:r>
      <w:r>
        <w:rPr>
          <w:rFonts w:ascii="SimSun" w:hAnsi="SimSun" w:eastAsia="SimSun" w:cs="SimSun"/>
          <w:color w:val="auto"/>
          <w:sz w:val="32"/>
          <w:highlight w:val="none"/>
        </w:rPr>
        <w:t xml:space="preserve">、残疾人福利性单位声明函（如适用）</w:t>
      </w:r>
      <w:r>
        <w:rPr>
          <w:color w:val="auto"/>
          <w:highlight w:val="none"/>
        </w:rPr>
      </w:r>
      <w:r/>
    </w:p>
    <w:p>
      <w:pPr>
        <w:ind w:left="0" w:right="0" w:firstLine="480"/>
        <w:jc w:val="both"/>
        <w:spacing w:before="0" w:after="0" w:line="587"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项目（分包号：**）采购活动提供本单位制造的货物，或者提供其他残疾人福利性单位制造的货物（不包括使用非残疾人福利性单位注册商标的货物）。</w:t>
      </w:r>
      <w:r>
        <w:rPr>
          <w:color w:val="auto"/>
          <w:highlight w:val="none"/>
        </w:rPr>
      </w:r>
      <w:r/>
    </w:p>
    <w:p>
      <w:pPr>
        <w:ind w:left="0" w:right="0" w:firstLine="480"/>
        <w:jc w:val="both"/>
        <w:spacing w:before="0" w:after="0" w:line="587"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本单位对上述声明的真实性负责。如有虚假，将依法承担相应责任。</w:t>
      </w:r>
      <w:r>
        <w:rPr>
          <w:color w:val="auto"/>
          <w:highlight w:val="none"/>
        </w:rPr>
      </w:r>
      <w:r/>
    </w:p>
    <w:p>
      <w:pPr>
        <w:ind w:left="0" w:right="0" w:firstLine="480"/>
        <w:jc w:val="both"/>
        <w:spacing w:before="0" w:after="0" w:line="587"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480"/>
        <w:jc w:val="both"/>
        <w:spacing w:before="0" w:after="0" w:line="587"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（备注：1、供应商如不提供此声明函，价格将不做相应扣除。2、中标供应商为残疾人福利单位的，此声明函将随中标结果同时公告，接受社会监督）</w:t>
      </w:r>
      <w:r>
        <w:rPr>
          <w:color w:val="auto"/>
          <w:highlight w:val="none"/>
        </w:rPr>
      </w:r>
      <w:r/>
    </w:p>
    <w:p>
      <w:pPr>
        <w:ind w:left="0" w:right="0" w:firstLine="624"/>
        <w:jc w:val="both"/>
        <w:spacing w:before="0" w:after="0" w:line="587"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6"/>
          <w:sz w:val="30"/>
          <w:highlight w:val="none"/>
        </w:rPr>
        <w:t xml:space="preserve"> </w:t>
      </w:r>
      <w:r>
        <w:rPr>
          <w:color w:val="auto"/>
          <w:highlight w:val="none"/>
        </w:rPr>
      </w:r>
      <w:r/>
    </w:p>
    <w:p>
      <w:pPr>
        <w:ind w:left="0" w:right="1560" w:firstLine="624"/>
        <w:jc w:val="center"/>
        <w:spacing w:before="0" w:after="0" w:line="587" w:lineRule="atLeast"/>
        <w:tabs>
          <w:tab w:val="left" w:pos="486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6"/>
          <w:sz w:val="30"/>
          <w:highlight w:val="none"/>
        </w:rPr>
        <w:t xml:space="preserve">             </w:t>
      </w:r>
      <w:r>
        <w:rPr>
          <w:rFonts w:ascii="SimSun" w:hAnsi="SimSun" w:eastAsia="SimSun" w:cs="SimSun"/>
          <w:color w:val="auto"/>
          <w:sz w:val="24"/>
          <w:highlight w:val="none"/>
        </w:rPr>
        <w:t xml:space="preserve">          供应商全称（加盖CA电子公章）：</w:t>
      </w:r>
      <w:r>
        <w:rPr>
          <w:color w:val="auto"/>
          <w:highlight w:val="none"/>
        </w:rPr>
      </w:r>
      <w:r/>
    </w:p>
    <w:p>
      <w:pPr>
        <w:ind w:left="0" w:right="1560" w:firstLine="480"/>
        <w:jc w:val="center"/>
        <w:spacing w:before="0" w:after="0" w:line="587" w:lineRule="atLeast"/>
        <w:tabs>
          <w:tab w:val="left" w:pos="4860"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日期：</w:t>
      </w:r>
      <w:r>
        <w:rPr>
          <w:color w:val="auto"/>
          <w:highlight w:val="none"/>
        </w:rPr>
      </w:r>
      <w:r/>
    </w:p>
    <w:p>
      <w:pPr>
        <w:ind w:left="0" w:right="0" w:firstLine="0"/>
        <w:jc w:val="center"/>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r/>
    </w:p>
    <w:p>
      <w:pPr>
        <w:ind w:left="0" w:right="0" w:firstLine="0"/>
        <w:jc w:val="center"/>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r/>
    </w:p>
    <w:p>
      <w:pPr>
        <w:ind w:left="0" w:right="0" w:firstLine="0"/>
        <w:jc w:val="center"/>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r/>
    </w:p>
    <w:p>
      <w:pPr>
        <w:ind w:left="0" w:right="0" w:firstLine="0"/>
        <w:jc w:val="center"/>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r/>
    </w:p>
    <w:p>
      <w:pPr>
        <w:ind w:left="0" w:right="0" w:firstLine="0"/>
        <w:jc w:val="center"/>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r/>
    </w:p>
    <w:p>
      <w:pPr>
        <w:ind w:left="0" w:right="0" w:firstLine="0"/>
        <w:jc w:val="center"/>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r/>
    </w:p>
    <w:p>
      <w:pPr>
        <w:ind w:left="0" w:right="0" w:firstLine="0"/>
        <w:jc w:val="center"/>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r/>
    </w:p>
    <w:p>
      <w:pPr>
        <w:ind w:left="0" w:right="0" w:firstLine="0"/>
        <w:jc w:val="center"/>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r/>
    </w:p>
    <w:p>
      <w:pPr>
        <w:ind w:left="0" w:right="0" w:firstLine="0"/>
        <w:jc w:val="center"/>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r/>
    </w:p>
    <w:p>
      <w:pPr>
        <w:ind w:left="0" w:right="0" w:firstLine="0"/>
        <w:jc w:val="both"/>
        <w:spacing w:before="0" w:after="0" w:line="55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32"/>
          <w:highlight w:val="none"/>
          <w:u w:val="single"/>
        </w:rPr>
        <w:t xml:space="preserve">十、投标分项报价表</w:t>
      </w:r>
      <w:r>
        <w:rPr>
          <w:color w:val="auto"/>
          <w:highlight w:val="none"/>
        </w:rPr>
      </w: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项目名称：高邮市中医医院血滤机采购项目</w:t>
      </w:r>
      <w:r>
        <w:rPr>
          <w:color w:val="auto"/>
          <w:highlight w:val="none"/>
        </w:rPr>
      </w: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项目编号：JSZC-321084-SHGK-G2025-0147 </w:t>
      </w:r>
      <w:r>
        <w:rPr>
          <w:color w:val="auto"/>
          <w:highlight w:val="none"/>
        </w:rPr>
      </w: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tbl>
      <w:tblPr>
        <w:tblStyle w:val="7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35"/>
        <w:gridCol w:w="848"/>
        <w:gridCol w:w="771"/>
        <w:gridCol w:w="934"/>
        <w:gridCol w:w="610"/>
        <w:gridCol w:w="782"/>
        <w:gridCol w:w="572"/>
        <w:gridCol w:w="1011"/>
        <w:gridCol w:w="926"/>
      </w:tblGrid>
      <w:tr>
        <w:trPr>
          <w:trHeight w:val="54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序号</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5</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6</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7</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8</w:t>
            </w:r>
            <w:r>
              <w:rPr>
                <w:color w:val="auto"/>
                <w:highlight w:val="none"/>
              </w:rPr>
            </w:r>
            <w:r/>
          </w:p>
        </w:tc>
      </w:tr>
      <w:tr>
        <w:trPr>
          <w:trHeight w:val="29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设备名称</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品牌</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规格</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型号</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产地</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交付期/交货期</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数量</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分项单价</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分项总价</w:t>
            </w:r>
            <w:r>
              <w:rPr>
                <w:color w:val="auto"/>
                <w:highlight w:val="none"/>
              </w:rPr>
            </w:r>
            <w:r/>
          </w:p>
        </w:tc>
      </w:tr>
      <w:tr>
        <w:trPr>
          <w:trHeight w:val="69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r>
      <w:tr>
        <w:trPr>
          <w:trHeight w:val="72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r>
      <w:tr>
        <w:trPr>
          <w:trHeight w:val="5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35"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8"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71"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4"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10"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2"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72"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11"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center"/>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r>
      <w:tr>
        <w:trPr>
          <w:trHeight w:val="1030"/>
        </w:trPr>
        <w:tc>
          <w:tcPr>
            <w:gridSpan w:val="8"/>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63"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投标总报价（人民币：元）</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26" w:type="dxa"/>
            <w:vAlign w:val="top"/>
            <w:textDirection w:val="lrTb"/>
            <w:noWrap w:val="false"/>
          </w:tcPr>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r>
    </w:tbl>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备注：</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投标报价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w:t>
      </w:r>
      <w:r>
        <w:rPr>
          <w:rFonts w:ascii="SimSun" w:hAnsi="SimSun" w:eastAsia="SimSun" w:cs="SimSun"/>
          <w:color w:val="auto"/>
          <w:sz w:val="21"/>
          <w:highlight w:val="none"/>
        </w:rPr>
        <w:t xml:space="preserve"> “</w:t>
      </w:r>
      <w:r>
        <w:rPr>
          <w:rFonts w:ascii="SimSun" w:hAnsi="SimSun" w:eastAsia="SimSun" w:cs="SimSun"/>
          <w:color w:val="auto"/>
          <w:sz w:val="24"/>
          <w:highlight w:val="none"/>
        </w:rPr>
        <w:t xml:space="preserve">投标分项报价表</w:t>
      </w:r>
      <w:r>
        <w:rPr>
          <w:rFonts w:ascii="SimSun" w:hAnsi="SimSun" w:eastAsia="SimSun" w:cs="SimSun"/>
          <w:color w:val="auto"/>
          <w:sz w:val="21"/>
          <w:highlight w:val="none"/>
        </w:rPr>
        <w:t xml:space="preserve">”</w:t>
      </w:r>
      <w:r>
        <w:rPr>
          <w:rFonts w:ascii="SimSun" w:hAnsi="SimSun" w:eastAsia="SimSun" w:cs="SimSun"/>
          <w:color w:val="auto"/>
          <w:sz w:val="24"/>
          <w:highlight w:val="none"/>
        </w:rPr>
        <w:t xml:space="preserve">中“投标总报价”数额应当与“开标一览表”中“投标总报价”数额一致。</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32"/>
          <w:highlight w:val="none"/>
          <w:u w:val="single"/>
        </w:rPr>
        <w:t xml:space="preserve">十一、技术要求响应及偏离表</w:t>
      </w:r>
      <w:r>
        <w:rPr>
          <w:color w:val="auto"/>
          <w:highlight w:val="none"/>
        </w:rPr>
      </w: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项目名称：高邮市中医医院血滤机采购项目</w:t>
      </w:r>
      <w:r>
        <w:rPr>
          <w:color w:val="auto"/>
          <w:highlight w:val="none"/>
        </w:rPr>
      </w: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项目编号：JSZC-321084-SHGK-G2025-0147 </w:t>
      </w:r>
      <w:r>
        <w:rPr>
          <w:color w:val="auto"/>
          <w:highlight w:val="none"/>
        </w:rPr>
      </w:r>
      <w:r/>
    </w:p>
    <w:tbl>
      <w:tblPr>
        <w:tblStyle w:val="7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05"/>
        <w:gridCol w:w="3007"/>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序号</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招标文件要求</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投标响应情况</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超出、符合或偏离</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证明</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材料</w:t>
            </w: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05"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007"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r>
    </w:tbl>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注：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1.行数不够，可自行添加。;</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2"/>
          <w:highlight w:val="none"/>
        </w:rPr>
        <w:t xml:space="preserve">2.本表需要对招标文件《第四章 采购需求》技术规格和商务服务要求的全部内容逐项响应，按照投标情况填写超出、符合或偏离；</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6"/>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32"/>
          <w:highlight w:val="none"/>
          <w:u w:val="single"/>
        </w:rPr>
        <w:t xml:space="preserve">十二、商务合同响应及偏离表</w:t>
      </w:r>
      <w:r>
        <w:rPr>
          <w:color w:val="auto"/>
          <w:highlight w:val="none"/>
        </w:rPr>
      </w: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项目名称：高邮市中医医院血滤机采购项目</w:t>
      </w:r>
      <w:r>
        <w:rPr>
          <w:color w:val="auto"/>
          <w:highlight w:val="none"/>
        </w:rPr>
      </w: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项目编号：JSZC-321084-SHGK-G2025-0147 </w:t>
      </w:r>
      <w:r>
        <w:rPr>
          <w:color w:val="auto"/>
          <w:highlight w:val="none"/>
        </w:rPr>
      </w: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tbl>
      <w:tblPr>
        <w:tblStyle w:val="7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5"/>
        <w:gridCol w:w="3291"/>
        <w:gridCol w:w="2852"/>
        <w:gridCol w:w="1308"/>
        <w:gridCol w:w="1173"/>
      </w:tblGrid>
      <w:tr>
        <w:trPr>
          <w:trHeight w:val="64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序号</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招标文件要求</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投标响应情况</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超出、符合或偏离</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证明</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材料</w:t>
            </w: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1"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852"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308"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73" w:type="dxa"/>
            <w:vAlign w:val="top"/>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c>
      </w:tr>
    </w:tbl>
    <w:p>
      <w:pPr>
        <w:ind w:left="0" w:right="0" w:firstLine="0"/>
        <w:jc w:val="both"/>
        <w:spacing w:before="0" w:after="0" w:line="113"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注：</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1.投标人对招标文件《第三章 合同文本》进行确认时，负偏离一条视为无效投标。</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2.投标人对招标文件《第三章 合同文本》没有提出修改要求的，可以提供经签署、盖章的空白表格，采购人将视为投标人完全接受招标文件《第三章 合同文本》内容。</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32"/>
          <w:highlight w:val="none"/>
          <w:u w:val="single"/>
        </w:rPr>
        <w:t xml:space="preserve">十三、开标一览表</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投标人全称（加盖CA电子签章）：</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项目名称：</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招标编号：</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tbl>
      <w:tblPr>
        <w:tblStyle w:val="7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86"/>
      </w:tblGrid>
      <w:tr>
        <w:trPr>
          <w:trHeight w:val="72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投标总报价</w:t>
            </w:r>
            <w:r>
              <w:rPr>
                <w:color w:val="auto"/>
                <w:highlight w:val="none"/>
              </w:rPr>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小写：                             （人民币：元）</w:t>
            </w:r>
            <w:r>
              <w:rPr>
                <w:color w:val="auto"/>
                <w:highlight w:val="none"/>
              </w:rPr>
            </w:r>
            <w:r/>
          </w:p>
        </w:tc>
      </w:tr>
      <w:tr>
        <w:trPr>
          <w:trHeight w:val="612"/>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86" w:type="dxa"/>
            <w:vAlign w:val="center"/>
            <w:textDirection w:val="lrTb"/>
            <w:noWrap w:val="false"/>
          </w:tcPr>
          <w:p>
            <w:pPr>
              <w:ind w:left="0" w:right="0" w:firstLine="0"/>
              <w:spacing w:before="0" w:after="0" w:line="499"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是否小微企业制造：□是                                  □否</w:t>
            </w:r>
            <w:r>
              <w:rPr>
                <w:color w:val="auto"/>
                <w:highlight w:val="none"/>
              </w:rPr>
            </w:r>
            <w:r/>
          </w:p>
        </w:tc>
      </w:tr>
    </w:tbl>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日期：</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年</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月</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日</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480"/>
        <w:jc w:val="both"/>
        <w:spacing w:before="0" w:after="0"/>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i/>
          <w:color w:val="auto"/>
          <w:sz w:val="32"/>
          <w:highlight w:val="none"/>
          <w:u w:val="single"/>
        </w:rPr>
        <w:t xml:space="preserve">十四、方案</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投标人需按照《第五章 评标方法与评标标准》</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（三）评标标准中提及的方案内容按顺序编排</w:t>
      </w:r>
      <w:r>
        <w:rPr>
          <w:color w:val="auto"/>
          <w:highlight w:val="none"/>
        </w:rPr>
      </w: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项目名称：高邮市中医医院血滤机采购项目</w:t>
      </w:r>
      <w:r>
        <w:rPr>
          <w:color w:val="auto"/>
          <w:highlight w:val="none"/>
        </w:rPr>
      </w: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项目编号：JSZC-321084-SHGK-G2025-0147 </w:t>
      </w:r>
      <w:r>
        <w:rPr>
          <w:color w:val="auto"/>
          <w:highlight w:val="none"/>
        </w:rPr>
      </w: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8"/>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 </w:t>
      </w:r>
      <w:r>
        <w:rPr>
          <w:color w:val="auto"/>
          <w:highlight w:val="none"/>
        </w:rPr>
      </w: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十五、备品、配套零部件、易损易耗件价格表</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0"/>
          <w:highlight w:val="none"/>
        </w:rPr>
        <w:t xml:space="preserve">（格式自拟）</w:t>
      </w:r>
      <w:r>
        <w:rPr>
          <w:color w:val="auto"/>
          <w:highlight w:val="none"/>
        </w:rPr>
      </w: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项目名称：高邮市中医医院血滤机采购项目</w:t>
      </w:r>
      <w:r>
        <w:rPr>
          <w:color w:val="auto"/>
          <w:highlight w:val="none"/>
        </w:rPr>
      </w: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项目编号：JSZC-321084-SHGK-G2025-0147 </w:t>
      </w:r>
      <w:r>
        <w:rPr>
          <w:color w:val="auto"/>
          <w:highlight w:val="none"/>
        </w:rPr>
      </w: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0"/>
          <w:highlight w:val="none"/>
        </w:rPr>
        <w:t xml:space="preserve"> </w:t>
      </w:r>
      <w:r>
        <w:rPr>
          <w:color w:val="auto"/>
          <w:highlight w:val="none"/>
        </w:rPr>
      </w: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十六、业绩案例一览表（如有）</w:t>
      </w:r>
      <w:r>
        <w:rPr>
          <w:color w:val="auto"/>
          <w:highlight w:val="none"/>
        </w:rPr>
      </w: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项目名称：高邮市中医医院血滤机采购项目</w:t>
      </w:r>
      <w:r>
        <w:rPr>
          <w:color w:val="auto"/>
          <w:highlight w:val="none"/>
        </w:rPr>
      </w: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项目编号：JSZC-321084-SHGK-G2025-0147 </w:t>
      </w:r>
      <w:r>
        <w:rPr>
          <w:color w:val="auto"/>
          <w:highlight w:val="none"/>
        </w:rPr>
      </w: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32"/>
          <w:highlight w:val="none"/>
        </w:rPr>
        <w:t xml:space="preserve"> </w:t>
      </w:r>
      <w:r>
        <w:rPr>
          <w:color w:val="auto"/>
          <w:highlight w:val="none"/>
        </w:rPr>
      </w:r>
      <w:r/>
    </w:p>
    <w:tbl>
      <w:tblPr>
        <w:tblStyle w:val="760"/>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9"/>
        <w:gridCol w:w="1767"/>
        <w:gridCol w:w="1713"/>
        <w:gridCol w:w="864"/>
        <w:gridCol w:w="1142"/>
        <w:gridCol w:w="1420"/>
      </w:tblGrid>
      <w:tr>
        <w:trPr>
          <w:trHeight w:val="730"/>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序号</w:t>
            </w:r>
            <w:r>
              <w:rPr>
                <w:color w:val="auto"/>
                <w:highlight w:val="none"/>
              </w:rPr>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0"/>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项目名称</w:t>
            </w:r>
            <w:r>
              <w:rPr>
                <w:color w:val="auto"/>
                <w:highlight w:val="none"/>
              </w:rPr>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0"/>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供货设备清单</w:t>
            </w:r>
            <w:r>
              <w:rPr>
                <w:color w:val="auto"/>
                <w:highlight w:val="none"/>
              </w:rPr>
            </w:r>
            <w:r/>
          </w:p>
          <w:p>
            <w:pPr>
              <w:ind w:left="0" w:right="0" w:firstLine="0"/>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（品牌、型号）</w:t>
            </w:r>
            <w:r>
              <w:rPr>
                <w:color w:val="auto"/>
                <w:highlight w:val="none"/>
              </w:rPr>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0"/>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数量</w:t>
            </w:r>
            <w:r>
              <w:rPr>
                <w:color w:val="auto"/>
                <w:highlight w:val="none"/>
              </w:rPr>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0"/>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签订时间</w:t>
            </w:r>
            <w:r>
              <w:rPr>
                <w:color w:val="auto"/>
                <w:highlight w:val="none"/>
              </w:rPr>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420" w:type="dxa"/>
            <w:vAlign w:val="center"/>
            <w:textDirection w:val="lrTb"/>
            <w:noWrap w:val="false"/>
          </w:tcPr>
          <w:p>
            <w:pPr>
              <w:ind w:left="0" w:right="0" w:firstLine="0"/>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业主名称</w:t>
            </w:r>
            <w:r>
              <w:rPr>
                <w:color w:val="auto"/>
                <w:highlight w:val="none"/>
              </w:rPr>
            </w:r>
            <w:r/>
          </w:p>
          <w:p>
            <w:pPr>
              <w:ind w:left="0" w:right="0" w:firstLine="0"/>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联系人/电话</w:t>
            </w:r>
            <w:r>
              <w:rPr>
                <w:color w:val="auto"/>
                <w:highlight w:val="none"/>
              </w:rPr>
            </w:r>
            <w:r/>
          </w:p>
        </w:tc>
      </w:tr>
      <w:tr>
        <w:trPr>
          <w:trHeight w:val="64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1</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480"/>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 </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20"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r/>
          </w:p>
        </w:tc>
      </w:tr>
      <w:tr>
        <w:trPr>
          <w:trHeight w:val="64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2</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480"/>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 </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20"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r/>
          </w:p>
        </w:tc>
      </w:tr>
      <w:tr>
        <w:trPr>
          <w:trHeight w:val="64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3</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480"/>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 </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20"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r/>
          </w:p>
        </w:tc>
      </w:tr>
      <w:tr>
        <w:trPr>
          <w:trHeight w:val="642"/>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4</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480"/>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 </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420"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r/>
          </w:p>
        </w:tc>
      </w:tr>
      <w:tr>
        <w:trPr>
          <w:trHeight w:val="642"/>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729" w:type="dxa"/>
            <w:vAlign w:val="center"/>
            <w:textDirection w:val="lrTb"/>
            <w:noWrap w:val="false"/>
          </w:tcPr>
          <w:p>
            <w:pPr>
              <w:ind w:left="0" w:right="0" w:firstLine="0"/>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5</w:t>
            </w:r>
            <w:r>
              <w:rPr>
                <w:color w:val="auto"/>
                <w:highlight w:val="none"/>
              </w:rPr>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767" w:type="dxa"/>
            <w:vAlign w:val="center"/>
            <w:textDirection w:val="lrTb"/>
            <w:noWrap w:val="false"/>
          </w:tcPr>
          <w:p>
            <w:pPr>
              <w:ind w:left="0" w:right="0" w:firstLine="480"/>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4"/>
                <w:sz w:val="24"/>
                <w:highlight w:val="none"/>
              </w:rPr>
              <w:t xml:space="preserve"> </w:t>
            </w:r>
            <w:r>
              <w:rPr>
                <w:color w:val="auto"/>
                <w:highlight w:val="none"/>
              </w:rPr>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713"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864"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142"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420" w:type="dxa"/>
            <w:vAlign w:val="center"/>
            <w:textDirection w:val="lrTb"/>
            <w:noWrap w:val="false"/>
          </w:tcPr>
          <w:p>
            <w:pPr>
              <w:ind w:left="0" w:right="0" w:firstLine="482"/>
              <w:jc w:val="center"/>
              <w:spacing w:before="200" w:after="20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pacing w:val="-4"/>
                <w:sz w:val="24"/>
                <w:highlight w:val="none"/>
              </w:rPr>
              <w:t xml:space="preserve"> </w:t>
            </w:r>
            <w:r>
              <w:rPr>
                <w:color w:val="auto"/>
                <w:highlight w:val="none"/>
              </w:rPr>
            </w:r>
            <w:r/>
          </w:p>
        </w:tc>
      </w:tr>
    </w:tbl>
    <w:p>
      <w:pPr>
        <w:ind w:left="0" w:right="0" w:firstLine="0"/>
        <w:jc w:val="both"/>
        <w:spacing w:before="0" w:after="0" w:line="6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6"/>
          <w:sz w:val="24"/>
          <w:highlight w:val="none"/>
        </w:rPr>
        <w:t xml:space="preserve">说明：</w:t>
      </w:r>
      <w:r>
        <w:rPr>
          <w:color w:val="auto"/>
          <w:highlight w:val="none"/>
        </w:rPr>
      </w:r>
      <w:r/>
    </w:p>
    <w:p>
      <w:pPr>
        <w:ind w:left="0" w:right="0" w:firstLine="0"/>
        <w:jc w:val="both"/>
        <w:spacing w:before="0" w:after="0" w:line="6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6"/>
          <w:sz w:val="24"/>
          <w:highlight w:val="none"/>
        </w:rPr>
        <w:t xml:space="preserve">1.投标人须提供上述业绩合同扫描件；</w:t>
      </w:r>
      <w:r>
        <w:rPr>
          <w:color w:val="auto"/>
          <w:highlight w:val="none"/>
        </w:rPr>
      </w:r>
      <w:r/>
    </w:p>
    <w:p>
      <w:pPr>
        <w:ind w:left="0" w:right="0" w:firstLine="0"/>
        <w:jc w:val="both"/>
        <w:spacing w:before="0" w:after="0" w:line="6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6"/>
          <w:sz w:val="24"/>
          <w:highlight w:val="none"/>
        </w:rPr>
        <w:t xml:space="preserve">2.所有合同扫描件应清晰，应能体现合同签订时间、双方签名盖章等内容；</w:t>
      </w:r>
      <w:r>
        <w:rPr>
          <w:color w:val="auto"/>
          <w:highlight w:val="none"/>
        </w:rPr>
      </w:r>
      <w:r/>
    </w:p>
    <w:p>
      <w:pPr>
        <w:ind w:left="0" w:right="0" w:firstLine="0"/>
        <w:jc w:val="both"/>
        <w:spacing w:before="0" w:after="0" w:line="6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pacing w:val="-6"/>
          <w:sz w:val="24"/>
          <w:highlight w:val="none"/>
        </w:rPr>
        <w:t xml:space="preserve">3.投标人应在不涉及商业秘密的前提下尽可能提供详细的合同扫描件内容。</w:t>
      </w:r>
      <w:r>
        <w:rPr>
          <w:color w:val="auto"/>
          <w:highlight w:val="none"/>
        </w:rPr>
      </w:r>
      <w:r/>
    </w:p>
    <w:p>
      <w:pPr>
        <w:ind w:left="0" w:right="0" w:firstLine="0"/>
        <w:jc w:val="both"/>
        <w:spacing w:before="0" w:after="0"/>
        <w:tabs>
          <w:tab w:val="left" w:pos="9765"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0"/>
        <w:jc w:val="both"/>
        <w:spacing w:before="0" w:after="0"/>
        <w:tabs>
          <w:tab w:val="left" w:pos="9765" w:leader="none"/>
        </w:tabs>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0"/>
        <w:jc w:val="center"/>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0" w:firstLine="0"/>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十七、投标人认为应该提供的其他材料</w:t>
      </w:r>
      <w:r>
        <w:rPr>
          <w:color w:val="auto"/>
          <w:highlight w:val="none"/>
        </w:rPr>
      </w:r>
      <w:r/>
    </w:p>
    <w:p>
      <w:pPr>
        <w:ind w:left="0" w:right="0" w:firstLine="0"/>
        <w:jc w:val="center"/>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（评分或招标文件中要求提供的材料，技术参数对应的制造商彩页、白皮书等佐证材料，格式自拟）</w:t>
      </w:r>
      <w:r>
        <w:rPr>
          <w:color w:val="auto"/>
          <w:highlight w:val="none"/>
        </w:rPr>
      </w: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项目名称：高邮市中医医院血滤机采购项目</w:t>
      </w:r>
      <w:r>
        <w:rPr>
          <w:color w:val="auto"/>
          <w:highlight w:val="none"/>
        </w:rPr>
      </w: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项目编号：JSZC-321084-SHGK-G2025-0147 </w:t>
      </w:r>
      <w:r>
        <w:rPr>
          <w:color w:val="auto"/>
          <w:highlight w:val="none"/>
        </w:rPr>
      </w: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8"/>
          <w:highlight w:val="none"/>
        </w:rPr>
        <w:t xml:space="preserve"> </w:t>
      </w:r>
      <w:r>
        <w:rPr>
          <w:color w:val="auto"/>
          <w:highlight w:val="none"/>
        </w:rPr>
      </w:r>
      <w:r/>
    </w:p>
    <w:p>
      <w:pPr>
        <w:ind w:left="0" w:right="0" w:firstLine="0"/>
        <w:jc w:val="center"/>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color w:val="auto"/>
          <w:highlight w:val="none"/>
        </w:rPr>
        <w:br w:type="page" w:clear="all"/>
      </w:r>
      <w:r>
        <w:rPr>
          <w:color w:val="auto"/>
          <w:highlight w:val="none"/>
        </w:rPr>
      </w:r>
      <w:r/>
    </w:p>
    <w:p>
      <w:pPr>
        <w:ind w:left="0" w:right="0" w:firstLine="0"/>
        <w:jc w:val="center"/>
        <w:spacing w:before="260" w:after="0" w:line="98"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32"/>
          <w:highlight w:val="none"/>
        </w:rPr>
        <w:t xml:space="preserve">质疑函范本</w:t>
      </w:r>
      <w:r>
        <w:rPr>
          <w:color w:val="auto"/>
          <w:highlight w:val="none"/>
        </w:rPr>
      </w:r>
      <w:r/>
    </w:p>
    <w:p>
      <w:pPr>
        <w:ind w:left="0" w:right="0" w:firstLine="0"/>
        <w:jc w:val="both"/>
        <w:spacing w:before="29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一、质疑供应商基本信息</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质疑供应商：</w:t>
      </w:r>
      <w:r>
        <w:rPr>
          <w:rFonts w:ascii="SimSun" w:hAnsi="SimSun" w:eastAsia="SimSun" w:cs="SimSun"/>
          <w:color w:val="auto"/>
          <w:sz w:val="24"/>
          <w:highlight w:val="none"/>
          <w:u w:val="single"/>
        </w:rPr>
        <w:t xml:space="preserve">                                                              </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地址：</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邮编：</w:t>
      </w:r>
      <w:r>
        <w:rPr>
          <w:rFonts w:ascii="SimSun" w:hAnsi="SimSun" w:eastAsia="SimSun" w:cs="SimSun"/>
          <w:color w:val="auto"/>
          <w:sz w:val="24"/>
          <w:highlight w:val="none"/>
          <w:u w:val="single"/>
        </w:rPr>
        <w:t xml:space="preserve">                                    </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联系人：</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联系电话：</w:t>
      </w:r>
      <w:r>
        <w:rPr>
          <w:rFonts w:ascii="SimSun" w:hAnsi="SimSun" w:eastAsia="SimSun" w:cs="SimSun"/>
          <w:color w:val="auto"/>
          <w:sz w:val="24"/>
          <w:highlight w:val="none"/>
          <w:u w:val="single"/>
        </w:rPr>
        <w:t xml:space="preserve">                                       </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授权代表：</w:t>
      </w:r>
      <w:r>
        <w:rPr>
          <w:rFonts w:ascii="SimSun" w:hAnsi="SimSun" w:eastAsia="SimSun" w:cs="SimSun"/>
          <w:color w:val="auto"/>
          <w:sz w:val="24"/>
          <w:highlight w:val="none"/>
          <w:u w:val="single"/>
        </w:rPr>
        <w:t xml:space="preserve">                                                                 </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联系电话：</w:t>
      </w:r>
      <w:r>
        <w:rPr>
          <w:rFonts w:ascii="SimSun" w:hAnsi="SimSun" w:eastAsia="SimSun" w:cs="SimSun"/>
          <w:color w:val="auto"/>
          <w:sz w:val="24"/>
          <w:highlight w:val="none"/>
          <w:u w:val="single"/>
        </w:rPr>
        <w:t xml:space="preserve">                                                                </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地址： </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邮编：</w:t>
      </w:r>
      <w:r>
        <w:rPr>
          <w:rFonts w:ascii="SimSun" w:hAnsi="SimSun" w:eastAsia="SimSun" w:cs="SimSun"/>
          <w:color w:val="auto"/>
          <w:sz w:val="24"/>
          <w:highlight w:val="none"/>
          <w:u w:val="single"/>
        </w:rPr>
        <w:t xml:space="preserve">                                     </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二、质疑项目基本情况</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质疑项目的名称：</w:t>
      </w:r>
      <w:r>
        <w:rPr>
          <w:rFonts w:ascii="SimSun" w:hAnsi="SimSun" w:eastAsia="SimSun" w:cs="SimSun"/>
          <w:color w:val="auto"/>
          <w:sz w:val="24"/>
          <w:highlight w:val="none"/>
          <w:u w:val="single"/>
        </w:rPr>
        <w:t xml:space="preserve">                                                          </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质疑项目的编号：</w:t>
      </w:r>
      <w:r>
        <w:rPr>
          <w:rFonts w:ascii="SimSun" w:hAnsi="SimSun" w:eastAsia="SimSun" w:cs="SimSun"/>
          <w:color w:val="auto"/>
          <w:sz w:val="24"/>
          <w:highlight w:val="none"/>
          <w:u w:val="single"/>
        </w:rPr>
        <w:t xml:space="preserve">                         </w:t>
      </w:r>
      <w:r>
        <w:rPr>
          <w:rFonts w:ascii="SimSun" w:hAnsi="SimSun" w:eastAsia="SimSun" w:cs="SimSun"/>
          <w:color w:val="auto"/>
          <w:sz w:val="24"/>
          <w:highlight w:val="none"/>
        </w:rPr>
        <w:t xml:space="preserve">包号：</w:t>
      </w:r>
      <w:r>
        <w:rPr>
          <w:rFonts w:ascii="SimSun" w:hAnsi="SimSun" w:eastAsia="SimSun" w:cs="SimSun"/>
          <w:color w:val="auto"/>
          <w:sz w:val="24"/>
          <w:highlight w:val="none"/>
          <w:u w:val="single"/>
        </w:rPr>
        <w:t xml:space="preserve">                           </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采购人名称：</w:t>
      </w:r>
      <w:r>
        <w:rPr>
          <w:rFonts w:ascii="SimSun" w:hAnsi="SimSun" w:eastAsia="SimSun" w:cs="SimSun"/>
          <w:color w:val="auto"/>
          <w:sz w:val="24"/>
          <w:highlight w:val="none"/>
          <w:u w:val="single"/>
        </w:rPr>
        <w:t xml:space="preserve">                                                              </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采购文件获取日期：</w:t>
      </w:r>
      <w:r>
        <w:rPr>
          <w:rFonts w:ascii="SimSun" w:hAnsi="SimSun" w:eastAsia="SimSun" w:cs="SimSun"/>
          <w:color w:val="auto"/>
          <w:sz w:val="24"/>
          <w:highlight w:val="none"/>
          <w:u w:val="single"/>
        </w:rPr>
        <w:t xml:space="preserve">                                                        </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三、质疑事项具体内容</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质疑事项1：</w:t>
      </w:r>
      <w:r>
        <w:rPr>
          <w:rFonts w:ascii="SimSun" w:hAnsi="SimSun" w:eastAsia="SimSun" w:cs="SimSun"/>
          <w:color w:val="auto"/>
          <w:sz w:val="24"/>
          <w:highlight w:val="none"/>
          <w:u w:val="single"/>
        </w:rPr>
        <w:t xml:space="preserve">                                                              </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事实依据：</w:t>
      </w:r>
      <w:r>
        <w:rPr>
          <w:rFonts w:ascii="SimSun" w:hAnsi="SimSun" w:eastAsia="SimSun" w:cs="SimSun"/>
          <w:color w:val="auto"/>
          <w:sz w:val="24"/>
          <w:highlight w:val="none"/>
          <w:u w:val="single"/>
        </w:rPr>
        <w:t xml:space="preserve">                                                                </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u w:val="single"/>
        </w:rPr>
        <w:t xml:space="preserve">                                                                           </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法律依据：</w:t>
      </w:r>
      <w:r>
        <w:rPr>
          <w:rFonts w:ascii="SimSun" w:hAnsi="SimSun" w:eastAsia="SimSun" w:cs="SimSun"/>
          <w:color w:val="auto"/>
          <w:sz w:val="24"/>
          <w:highlight w:val="none"/>
          <w:u w:val="single"/>
        </w:rPr>
        <w:t xml:space="preserve">                                                                 </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u w:val="single"/>
        </w:rPr>
        <w:t xml:space="preserve">                                                                           </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质疑事项2</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四、与质疑事项相关的质疑请求</w:t>
      </w:r>
      <w:r>
        <w:rPr>
          <w:color w:val="auto"/>
          <w:highlight w:val="none"/>
        </w:rPr>
      </w:r>
      <w:r/>
    </w:p>
    <w:p>
      <w:pPr>
        <w:ind w:left="0" w:right="0" w:firstLine="0"/>
        <w:jc w:val="both"/>
        <w:spacing w:before="0" w:after="0" w:line="85"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请求：</w:t>
      </w:r>
      <w:r>
        <w:rPr>
          <w:rFonts w:ascii="SimSun" w:hAnsi="SimSun" w:eastAsia="SimSun" w:cs="SimSun"/>
          <w:color w:val="auto"/>
          <w:sz w:val="24"/>
          <w:highlight w:val="none"/>
          <w:u w:val="singl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签字(签章)：                   公章：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日期：</w:t>
      </w:r>
      <w:r>
        <w:rPr>
          <w:color w:val="auto"/>
          <w:highlight w:val="none"/>
        </w:rPr>
      </w:r>
      <w:r/>
    </w:p>
    <w:p>
      <w:pPr>
        <w:ind w:left="0" w:right="0" w:firstLine="0"/>
        <w:jc w:val="both"/>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auto"/>
          <w:sz w:val="24"/>
          <w:highlight w:val="none"/>
        </w:rPr>
        <w:t xml:space="preserve">质疑函制作说明：</w:t>
      </w:r>
      <w:r>
        <w:rPr>
          <w:color w:val="auto"/>
          <w:highlight w:val="none"/>
        </w:rPr>
      </w:r>
      <w:r/>
    </w:p>
    <w:p>
      <w:pPr>
        <w:ind w:left="0" w:right="0" w:firstLine="48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1.供应商提出质疑时，应提交质疑函和必要的证明材料。</w:t>
      </w:r>
      <w:r>
        <w:rPr>
          <w:color w:val="auto"/>
          <w:highlight w:val="none"/>
        </w:rPr>
      </w:r>
      <w:r/>
    </w:p>
    <w:p>
      <w:pPr>
        <w:ind w:left="0" w:right="0" w:firstLine="48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auto"/>
          <w:highlight w:val="none"/>
        </w:rPr>
      </w:r>
      <w:r/>
    </w:p>
    <w:p>
      <w:pPr>
        <w:ind w:left="0" w:right="0" w:firstLine="48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3.质疑供应商若对项目的某一分包进行质疑，质疑函中应列明具体分包号。</w:t>
      </w:r>
      <w:r>
        <w:rPr>
          <w:color w:val="auto"/>
          <w:highlight w:val="none"/>
        </w:rPr>
      </w:r>
      <w:r/>
    </w:p>
    <w:p>
      <w:pPr>
        <w:ind w:left="0" w:right="0" w:firstLine="48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4.质疑函的质疑事项应具体、明确，并有必要的事实依据和法律依据。</w:t>
      </w:r>
      <w:r>
        <w:rPr>
          <w:color w:val="auto"/>
          <w:highlight w:val="none"/>
        </w:rPr>
      </w:r>
      <w:r/>
    </w:p>
    <w:p>
      <w:pPr>
        <w:ind w:left="0" w:right="0" w:firstLine="48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5.质疑函的质疑请求应与质疑事项相关。</w:t>
      </w:r>
      <w:r>
        <w:rPr>
          <w:color w:val="auto"/>
          <w:highlight w:val="none"/>
        </w:rPr>
      </w:r>
      <w:r/>
    </w:p>
    <w:p>
      <w:pPr>
        <w:ind w:left="0" w:right="0" w:firstLine="480"/>
        <w:spacing w:before="0" w:after="0" w:line="400" w:lineRule="atLeast"/>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6.质疑供应商为自然人的，质疑函应由本人签字；质疑供应商为法人或者其他组织的，质疑函应由法定代表人、主要负责人，或者其授权代表签字或者盖章，并加盖公章。</w:t>
      </w:r>
      <w:r>
        <w:rPr>
          <w:color w:val="auto"/>
          <w:highlight w:val="none"/>
        </w:rPr>
      </w: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42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4"/>
          <w:highlight w:val="none"/>
        </w:rPr>
        <w:t xml:space="preserve"> </w:t>
      </w:r>
      <w:r>
        <w:rPr>
          <w:color w:val="auto"/>
          <w:highlight w:val="none"/>
        </w:rPr>
      </w:r>
      <w:r/>
    </w:p>
    <w:p>
      <w:pPr>
        <w:ind w:left="0" w:right="0" w:firstLine="0"/>
        <w:jc w:val="both"/>
        <w:spacing w:before="0" w:after="0"/>
        <w:rPr>
          <w:color w:val="auto"/>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auto"/>
          <w:sz w:val="21"/>
          <w:highlight w:val="none"/>
        </w:rPr>
        <w:t xml:space="preserve"> </w:t>
      </w:r>
      <w:r>
        <w:rPr>
          <w:color w:val="auto"/>
          <w:highlight w:val="none"/>
        </w:rPr>
      </w:r>
      <w:r/>
    </w:p>
    <w:p>
      <w:pPr>
        <w:rPr>
          <w:color w:val="auto"/>
          <w:highlight w:val="none"/>
        </w:rPr>
      </w:pPr>
      <w:r>
        <w:rPr>
          <w:color w:val="auto"/>
          <w:highlight w:val="none"/>
        </w:rPr>
      </w:r>
      <w:r>
        <w:rPr>
          <w:color w:val="auto"/>
          <w:highlight w:val="none"/>
        </w:rPr>
      </w:r>
      <w:r/>
    </w:p>
    <w:sectPr>
      <w:headerReference w:type="default" r:id="rId9"/>
      <w:footerReference w:type="default" r:id="rId10"/>
      <w:footerReference w:type="even" r:id="rId11"/>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imHei">
    <w:panose1 w:val="02010609060101010101"/>
  </w:font>
  <w:font w:name="KaiTi">
    <w:panose1 w:val="02010609060101010101"/>
  </w:font>
  <w:font w:name="Symbol">
    <w:panose1 w:val="05050102010706020507"/>
  </w:font>
  <w:font w:name="Wingdings">
    <w:panose1 w:val="05000000000000000000"/>
  </w:font>
  <w:font w:name="方正黑体_GBK">
    <w:panose1 w:val="020B0503020202020204"/>
  </w:font>
  <w:font w:name="Adobe 仿宋 Std R">
    <w:panose1 w:val="020B0503020202020204"/>
  </w:font>
  <w:font w:name="Tahoma">
    <w:panose1 w:val="020B0604030504040204"/>
  </w:font>
  <w:font w:name="Courier New">
    <w:panose1 w:val="02070309020205020404"/>
  </w:font>
  <w:font w:name="Calibri">
    <w:panose1 w:val="020F0502020204030204"/>
  </w:font>
  <w:font w:name="微软雅黑">
    <w:panose1 w:val="020B0503020204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jc w:val="center"/>
      <w:tabs>
        <w:tab w:val="center" w:pos="4153" w:leader="none"/>
        <w:tab w:val="right" w:pos="8306" w:leader="none"/>
      </w:tabs>
      <w:rPr>
        <w:rFonts w:hint="eastAsia"/>
        <w:b/>
        <w:i/>
        <w:sz w:val="32"/>
        <w:szCs w:val="32"/>
      </w:rPr>
    </w:pPr>
    <w:r>
      <w:rPr>
        <w:sz w:val="32"/>
        <w:szCs w:val="32"/>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page">
                <wp:posOffset>3604260</wp:posOffset>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54"/>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ascii="宋体" w:hAnsi="宋体" w:cs="宋体"/>
                              <w:sz w:val="22"/>
                              <w:szCs w:val="22"/>
                            </w:rPr>
                            <w:t xml:space="preserve">24</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ascii="宋体" w:hAnsi="宋体" w:cs="宋体"/>
                              <w:sz w:val="22"/>
                              <w:szCs w:val="22"/>
                            </w:rPr>
                            <w:t xml:space="preserve">48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90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page;margin-left:283.8pt;mso-position-horizontal:absolute;mso-position-vertical-relative:text;margin-top:0.0pt;mso-position-vertical:absolute;width:144.0pt;height:144.0pt;mso-wrap-distance-left:9.0pt;mso-wrap-distance-top:0.0pt;mso-wrap-distance-right:9.0pt;mso-wrap-distance-bottom:0.0pt;visibility:visible;" filled="f" stroked="f">
              <v:textbox inset="0,0,0,0">
                <w:txbxContent>
                  <w:p>
                    <w:pPr>
                      <w:pStyle w:val="954"/>
                      <w:tabs>
                        <w:tab w:val="clear" w:pos="4153" w:leader="none"/>
                        <w:tab w:val="clear" w:pos="8306" w:leader="none"/>
                      </w:tabs>
                      <w:rPr>
                        <w:rFonts w:hint="eastAsia" w:ascii="宋体" w:hAnsi="宋体" w:cs="宋体"/>
                        <w:sz w:val="22"/>
                        <w:szCs w:val="22"/>
                      </w:rPr>
                    </w:pPr>
                    <w:r>
                      <w:rPr>
                        <w:rFonts w:hint="eastAsia" w:ascii="宋体" w:hAnsi="宋体" w:cs="宋体"/>
                        <w:sz w:val="22"/>
                        <w:szCs w:val="22"/>
                      </w:rPr>
                      <w:t xml:space="preserve">第 </w:t>
                    </w:r>
                    <w:r>
                      <w:rPr>
                        <w:rFonts w:hint="eastAsia" w:ascii="宋体" w:hAnsi="宋体" w:cs="宋体"/>
                        <w:sz w:val="22"/>
                        <w:szCs w:val="22"/>
                      </w:rPr>
                      <w:fldChar w:fldCharType="begin"/>
                    </w:r>
                    <w:r>
                      <w:rPr>
                        <w:rFonts w:hint="eastAsia" w:ascii="宋体" w:hAnsi="宋体" w:cs="宋体"/>
                        <w:sz w:val="22"/>
                        <w:szCs w:val="22"/>
                      </w:rPr>
                      <w:instrText xml:space="preserve"> PAGE  \* MERGEFORMAT </w:instrText>
                    </w:r>
                    <w:r>
                      <w:rPr>
                        <w:rFonts w:hint="eastAsia" w:ascii="宋体" w:hAnsi="宋体" w:cs="宋体"/>
                        <w:sz w:val="22"/>
                        <w:szCs w:val="22"/>
                      </w:rPr>
                      <w:fldChar w:fldCharType="separate"/>
                    </w:r>
                    <w:r>
                      <w:rPr>
                        <w:rFonts w:ascii="宋体" w:hAnsi="宋体" w:cs="宋体"/>
                        <w:sz w:val="22"/>
                        <w:szCs w:val="22"/>
                      </w:rPr>
                      <w:t xml:space="preserve">24</w:t>
                    </w:r>
                    <w:r>
                      <w:rPr>
                        <w:rFonts w:hint="eastAsia" w:ascii="宋体" w:hAnsi="宋体" w:cs="宋体"/>
                        <w:sz w:val="22"/>
                        <w:szCs w:val="22"/>
                      </w:rPr>
                      <w:fldChar w:fldCharType="end"/>
                    </w:r>
                    <w:r>
                      <w:rPr>
                        <w:rFonts w:hint="eastAsia" w:ascii="宋体" w:hAnsi="宋体" w:cs="宋体"/>
                        <w:sz w:val="22"/>
                        <w:szCs w:val="22"/>
                      </w:rPr>
                      <w:t xml:space="preserve"> 页 共 </w:t>
                    </w:r>
                    <w:r>
                      <w:rPr>
                        <w:rFonts w:hint="eastAsia" w:ascii="宋体" w:hAnsi="宋体" w:cs="宋体"/>
                        <w:sz w:val="22"/>
                        <w:szCs w:val="22"/>
                      </w:rPr>
                      <w:fldChar w:fldCharType="begin"/>
                    </w:r>
                    <w:r>
                      <w:rPr>
                        <w:rFonts w:hint="eastAsia" w:ascii="宋体" w:hAnsi="宋体" w:cs="宋体"/>
                        <w:sz w:val="22"/>
                        <w:szCs w:val="22"/>
                      </w:rPr>
                      <w:instrText xml:space="preserve"> NUMPAGES  \* MERGEFORMAT </w:instrText>
                    </w:r>
                    <w:r>
                      <w:rPr>
                        <w:rFonts w:hint="eastAsia" w:ascii="宋体" w:hAnsi="宋体" w:cs="宋体"/>
                        <w:sz w:val="22"/>
                        <w:szCs w:val="22"/>
                      </w:rPr>
                      <w:fldChar w:fldCharType="separate"/>
                    </w:r>
                    <w:r>
                      <w:rPr>
                        <w:rFonts w:ascii="宋体" w:hAnsi="宋体" w:cs="宋体"/>
                        <w:sz w:val="22"/>
                        <w:szCs w:val="22"/>
                      </w:rPr>
                      <w:t xml:space="preserve">48</w:t>
                    </w:r>
                    <w:r>
                      <w:rPr>
                        <w:rFonts w:hint="eastAsia" w:ascii="宋体" w:hAnsi="宋体" w:cs="宋体"/>
                        <w:sz w:val="22"/>
                        <w:szCs w:val="22"/>
                      </w:rPr>
                      <w:fldChar w:fldCharType="end"/>
                    </w:r>
                    <w:r>
                      <w:rPr>
                        <w:rFonts w:hint="eastAsia" w:ascii="宋体" w:hAnsi="宋体" w:cs="宋体"/>
                        <w:sz w:val="22"/>
                        <w:szCs w:val="22"/>
                      </w:rPr>
                      <w:t xml:space="preserve"> 页</w:t>
                    </w:r>
                    <w:r>
                      <w:rPr>
                        <w:rFonts w:hint="eastAsia" w:ascii="宋体" w:hAnsi="宋体" w:cs="宋体"/>
                        <w:sz w:val="22"/>
                        <w:szCs w:val="22"/>
                      </w:rPr>
                    </w:r>
                    <w:r/>
                  </w:p>
                  <w:p>
                    <w:pPr>
                      <w:pStyle w:val="904"/>
                    </w:pPr>
                    <w:r/>
                    <w:r/>
                  </w:p>
                </w:txbxContent>
              </v:textbox>
            </v:shape>
          </w:pict>
        </mc:Fallback>
      </mc:AlternateContent>
    </w:r>
    <w:r>
      <w:rPr>
        <w:b/>
        <w:i/>
        <w:sz w:val="32"/>
        <w:szCs w:val="32"/>
      </w:rPr>
      <w:t xml:space="preserve"> </w:t>
    </w:r>
    <w:r>
      <w:rPr>
        <w:rFonts w:hint="eastAsia"/>
        <w:b/>
        <w:i/>
        <w:sz w:val="32"/>
        <w:szCs w:val="32"/>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4"/>
      <w:tabs>
        <w:tab w:val="center" w:pos="4153" w:leader="none"/>
        <w:tab w:val="right" w:pos="8306" w:leader="none"/>
      </w:tabs>
      <w:rPr>
        <w:rStyle w:val="979"/>
      </w:rPr>
      <w:framePr w:wrap="around" w:vAnchor="text" w:hAnchor="margin" w:xAlign="center" w:y="1"/>
    </w:pPr>
    <w:r>
      <w:fldChar w:fldCharType="begin"/>
    </w:r>
    <w:r>
      <w:rPr>
        <w:rStyle w:val="979"/>
      </w:rPr>
      <w:instrText xml:space="preserve">PAGE  </w:instrText>
    </w:r>
    <w:r>
      <w:fldChar w:fldCharType="separate"/>
    </w:r>
    <w:r>
      <w:rPr>
        <w:rStyle w:val="979"/>
      </w:rPr>
      <w:t xml:space="preserve">1</w:t>
    </w:r>
    <w:r>
      <w:fldChar w:fldCharType="end"/>
    </w:r>
    <w:r>
      <w:rPr>
        <w:rStyle w:val="979"/>
      </w:rPr>
    </w:r>
    <w:r/>
  </w:p>
  <w:p>
    <w:pPr>
      <w:pStyle w:val="954"/>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29"/>
      <w:isLgl w:val="false"/>
      <w:suff w:val="tab"/>
      <w:lvlText w:val="%1."/>
      <w:lvlJc w:val="left"/>
      <w:pPr>
        <w:pStyle w:val="904"/>
        <w:ind w:left="709" w:hanging="709"/>
        <w:tabs>
          <w:tab w:val="num" w:pos="709" w:leader="none"/>
        </w:tabs>
      </w:pPr>
      <w:rPr>
        <w:rFonts w:hint="eastAsia"/>
      </w:rPr>
    </w:lvl>
    <w:lvl w:ilvl="1">
      <w:start w:val="1"/>
      <w:numFmt w:val="decimal"/>
      <w:isLgl w:val="false"/>
      <w:suff w:val="tab"/>
      <w:lvlText w:val="%1.%2"/>
      <w:lvlJc w:val="left"/>
      <w:pPr>
        <w:pStyle w:val="904"/>
        <w:ind w:left="709" w:hanging="709"/>
        <w:tabs>
          <w:tab w:val="num" w:pos="709" w:leader="none"/>
        </w:tabs>
      </w:pPr>
      <w:rPr>
        <w:rFonts w:hint="eastAsia"/>
      </w:rPr>
    </w:lvl>
    <w:lvl w:ilvl="2">
      <w:start w:val="1"/>
      <w:numFmt w:val="decimal"/>
      <w:isLgl w:val="false"/>
      <w:suff w:val="tab"/>
      <w:lvlText w:val="%1.%2.%3."/>
      <w:lvlJc w:val="left"/>
      <w:pPr>
        <w:pStyle w:val="904"/>
        <w:ind w:left="425" w:hanging="425"/>
        <w:tabs>
          <w:tab w:val="num" w:pos="425" w:leader="none"/>
        </w:tabs>
      </w:pPr>
      <w:rPr>
        <w:rFonts w:hint="eastAsia"/>
      </w:rPr>
    </w:lvl>
    <w:lvl w:ilvl="3">
      <w:start w:val="1"/>
      <w:numFmt w:val="decimal"/>
      <w:isLgl w:val="false"/>
      <w:suff w:val="tab"/>
      <w:lvlText w:val="%1.%2.%3.%4."/>
      <w:lvlJc w:val="left"/>
      <w:pPr>
        <w:pStyle w:val="904"/>
        <w:ind w:left="851" w:hanging="851"/>
        <w:tabs>
          <w:tab w:val="num" w:pos="851" w:leader="none"/>
        </w:tabs>
      </w:pPr>
      <w:rPr>
        <w:rFonts w:hint="eastAsia"/>
      </w:rPr>
    </w:lvl>
    <w:lvl w:ilvl="4">
      <w:start w:val="1"/>
      <w:numFmt w:val="decimal"/>
      <w:isLgl w:val="false"/>
      <w:suff w:val="tab"/>
      <w:lvlText w:val="%1.%2.%3.%4.%5."/>
      <w:lvlJc w:val="left"/>
      <w:pPr>
        <w:pStyle w:val="904"/>
        <w:ind w:left="992" w:hanging="992"/>
        <w:tabs>
          <w:tab w:val="num" w:pos="992" w:leader="none"/>
        </w:tabs>
      </w:pPr>
      <w:rPr>
        <w:rFonts w:hint="eastAsia"/>
      </w:rPr>
    </w:lvl>
    <w:lvl w:ilvl="5">
      <w:start w:val="1"/>
      <w:numFmt w:val="decimal"/>
      <w:isLgl w:val="false"/>
      <w:suff w:val="tab"/>
      <w:lvlText w:val="%1.%2.%3.%4.%5.%6."/>
      <w:lvlJc w:val="left"/>
      <w:pPr>
        <w:pStyle w:val="904"/>
        <w:ind w:left="1134" w:hanging="1134"/>
        <w:tabs>
          <w:tab w:val="num" w:pos="1134" w:leader="none"/>
        </w:tabs>
      </w:pPr>
      <w:rPr>
        <w:rFonts w:hint="eastAsia"/>
      </w:rPr>
    </w:lvl>
    <w:lvl w:ilvl="6">
      <w:start w:val="1"/>
      <w:numFmt w:val="decimal"/>
      <w:isLgl w:val="false"/>
      <w:suff w:val="tab"/>
      <w:lvlText w:val="%1.%2.%3.%4.%5.%6.%7."/>
      <w:lvlJc w:val="left"/>
      <w:pPr>
        <w:pStyle w:val="904"/>
        <w:ind w:left="1276" w:hanging="1276"/>
        <w:tabs>
          <w:tab w:val="num" w:pos="1276" w:leader="none"/>
        </w:tabs>
      </w:pPr>
      <w:rPr>
        <w:rFonts w:hint="eastAsia"/>
      </w:rPr>
    </w:lvl>
    <w:lvl w:ilvl="7">
      <w:start w:val="1"/>
      <w:numFmt w:val="decimal"/>
      <w:isLgl w:val="false"/>
      <w:suff w:val="tab"/>
      <w:lvlText w:val="%1.%2.%3.%4.%5.%6.%7.%8."/>
      <w:lvlJc w:val="left"/>
      <w:pPr>
        <w:pStyle w:val="904"/>
        <w:ind w:left="1418" w:hanging="1418"/>
        <w:tabs>
          <w:tab w:val="num" w:pos="1418" w:leader="none"/>
        </w:tabs>
      </w:pPr>
      <w:rPr>
        <w:rFonts w:hint="eastAsia"/>
      </w:rPr>
    </w:lvl>
    <w:lvl w:ilvl="8">
      <w:start w:val="1"/>
      <w:numFmt w:val="decimal"/>
      <w:isLgl w:val="false"/>
      <w:suff w:val="tab"/>
      <w:lvlText w:val="%1.%2.%3.%4.%5.%6.%7.%8.%9."/>
      <w:lvlJc w:val="left"/>
      <w:pPr>
        <w:pStyle w:val="904"/>
        <w:ind w:left="1559" w:hanging="1559"/>
        <w:tabs>
          <w:tab w:val="num" w:pos="1559" w:leader="none"/>
        </w:tabs>
      </w:pPr>
      <w:rPr>
        <w:rFonts w:hint="eastAsia"/>
      </w:rPr>
    </w:lvl>
  </w:abstractNum>
  <w:abstractNum w:abstractNumId="1">
    <w:multiLevelType w:val="hybridMultilevel"/>
    <w:lvl w:ilvl="0">
      <w:start w:val="2"/>
      <w:numFmt w:val="japaneseCounting"/>
      <w:isLgl w:val="false"/>
      <w:suff w:val="tab"/>
      <w:lvlText w:val="%1、"/>
      <w:lvlJc w:val="left"/>
      <w:pPr>
        <w:pStyle w:val="904"/>
        <w:ind w:left="720" w:hanging="720"/>
        <w:tabs>
          <w:tab w:val="num" w:pos="720" w:leader="none"/>
        </w:tabs>
      </w:pPr>
    </w:lvl>
    <w:lvl w:ilvl="1">
      <w:start w:val="1"/>
      <w:numFmt w:val="decimal"/>
      <w:pStyle w:val="937"/>
      <w:isLgl w:val="false"/>
      <w:suff w:val="tab"/>
      <w:lvlText w:val="%2、"/>
      <w:lvlJc w:val="left"/>
      <w:pPr>
        <w:pStyle w:val="904"/>
        <w:ind w:left="780" w:hanging="360"/>
        <w:tabs>
          <w:tab w:val="num" w:pos="780" w:leader="none"/>
        </w:tabs>
      </w:pPr>
    </w:lvl>
    <w:lvl w:ilvl="2">
      <w:start w:val="1"/>
      <w:numFmt w:val="lowerRoman"/>
      <w:isLgl w:val="false"/>
      <w:suff w:val="tab"/>
      <w:lvlText w:val="%3."/>
      <w:lvlJc w:val="right"/>
      <w:pPr>
        <w:pStyle w:val="904"/>
        <w:ind w:left="1260" w:hanging="420"/>
        <w:tabs>
          <w:tab w:val="num" w:pos="1260" w:leader="none"/>
        </w:tabs>
      </w:pPr>
    </w:lvl>
    <w:lvl w:ilvl="3">
      <w:start w:val="1"/>
      <w:numFmt w:val="decimal"/>
      <w:isLgl w:val="false"/>
      <w:suff w:val="tab"/>
      <w:lvlText w:val="%4."/>
      <w:lvlJc w:val="left"/>
      <w:pPr>
        <w:pStyle w:val="904"/>
        <w:ind w:left="1680" w:hanging="420"/>
        <w:tabs>
          <w:tab w:val="num" w:pos="1680" w:leader="none"/>
        </w:tabs>
      </w:pPr>
    </w:lvl>
    <w:lvl w:ilvl="4">
      <w:start w:val="1"/>
      <w:numFmt w:val="lowerLetter"/>
      <w:isLgl w:val="false"/>
      <w:suff w:val="tab"/>
      <w:lvlText w:val="%5)"/>
      <w:lvlJc w:val="left"/>
      <w:pPr>
        <w:pStyle w:val="904"/>
        <w:ind w:left="2100" w:hanging="420"/>
        <w:tabs>
          <w:tab w:val="num" w:pos="2100" w:leader="none"/>
        </w:tabs>
      </w:pPr>
    </w:lvl>
    <w:lvl w:ilvl="5">
      <w:start w:val="1"/>
      <w:numFmt w:val="lowerRoman"/>
      <w:isLgl w:val="false"/>
      <w:suff w:val="tab"/>
      <w:lvlText w:val="%6."/>
      <w:lvlJc w:val="right"/>
      <w:pPr>
        <w:pStyle w:val="904"/>
        <w:ind w:left="2520" w:hanging="420"/>
        <w:tabs>
          <w:tab w:val="num" w:pos="2520" w:leader="none"/>
        </w:tabs>
      </w:pPr>
    </w:lvl>
    <w:lvl w:ilvl="6">
      <w:start w:val="1"/>
      <w:numFmt w:val="decimal"/>
      <w:isLgl w:val="false"/>
      <w:suff w:val="tab"/>
      <w:lvlText w:val="%7."/>
      <w:lvlJc w:val="left"/>
      <w:pPr>
        <w:pStyle w:val="904"/>
        <w:ind w:left="2940" w:hanging="420"/>
        <w:tabs>
          <w:tab w:val="num" w:pos="2940" w:leader="none"/>
        </w:tabs>
      </w:pPr>
    </w:lvl>
    <w:lvl w:ilvl="7">
      <w:start w:val="1"/>
      <w:numFmt w:val="lowerLetter"/>
      <w:isLgl w:val="false"/>
      <w:suff w:val="tab"/>
      <w:lvlText w:val="%8)"/>
      <w:lvlJc w:val="left"/>
      <w:pPr>
        <w:pStyle w:val="904"/>
        <w:ind w:left="3360" w:hanging="420"/>
        <w:tabs>
          <w:tab w:val="num" w:pos="3360" w:leader="none"/>
        </w:tabs>
      </w:pPr>
    </w:lvl>
    <w:lvl w:ilvl="8">
      <w:start w:val="1"/>
      <w:numFmt w:val="lowerRoman"/>
      <w:isLgl w:val="false"/>
      <w:suff w:val="tab"/>
      <w:lvlText w:val="%9."/>
      <w:lvlJc w:val="right"/>
      <w:pPr>
        <w:pStyle w:val="904"/>
        <w:ind w:left="3780" w:hanging="420"/>
        <w:tabs>
          <w:tab w:val="num" w:pos="3780" w:leader="none"/>
        </w:tabs>
      </w:pPr>
    </w:lvl>
  </w:abstractNum>
  <w:abstractNum w:abstractNumId="2">
    <w:multiLevelType w:val="hybridMultilevel"/>
    <w:lvl w:ilvl="0">
      <w:start w:val="1"/>
      <w:numFmt w:val="upperLetter"/>
      <w:pStyle w:val="986"/>
      <w:isLgl w:val="false"/>
      <w:suff w:val="tab"/>
      <w:lvlText w:val="附录%1."/>
      <w:lvlJc w:val="left"/>
      <w:pPr>
        <w:pStyle w:val="904"/>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003"/>
      <w:isLgl w:val="false"/>
      <w:suff w:val="tab"/>
      <w:lvlText w:val="%1."/>
      <w:lvlJc w:val="left"/>
      <w:pPr>
        <w:pStyle w:val="904"/>
        <w:ind w:left="709" w:hanging="709"/>
        <w:tabs>
          <w:tab w:val="num" w:pos="709" w:leader="none"/>
        </w:tabs>
      </w:pPr>
      <w:rPr>
        <w:rFonts w:hint="eastAsia"/>
      </w:rPr>
    </w:lvl>
    <w:lvl w:ilvl="1">
      <w:start w:val="1"/>
      <w:numFmt w:val="decimal"/>
      <w:isLgl w:val="false"/>
      <w:suff w:val="tab"/>
      <w:lvlText w:val="%1.%2"/>
      <w:lvlJc w:val="left"/>
      <w:pPr>
        <w:pStyle w:val="904"/>
        <w:ind w:left="709" w:hanging="709"/>
        <w:tabs>
          <w:tab w:val="num" w:pos="709" w:leader="none"/>
        </w:tabs>
      </w:pPr>
      <w:rPr>
        <w:rFonts w:hint="eastAsia"/>
      </w:rPr>
    </w:lvl>
    <w:lvl w:ilvl="2">
      <w:start w:val="1"/>
      <w:numFmt w:val="decimal"/>
      <w:isLgl w:val="false"/>
      <w:suff w:val="tab"/>
      <w:lvlText w:val="%1.%2.%3."/>
      <w:lvlJc w:val="left"/>
      <w:pPr>
        <w:pStyle w:val="904"/>
        <w:ind w:left="425" w:hanging="425"/>
        <w:tabs>
          <w:tab w:val="num" w:pos="425" w:leader="none"/>
        </w:tabs>
      </w:pPr>
      <w:rPr>
        <w:rFonts w:hint="eastAsia"/>
      </w:rPr>
    </w:lvl>
    <w:lvl w:ilvl="3">
      <w:start w:val="1"/>
      <w:numFmt w:val="decimal"/>
      <w:isLgl w:val="false"/>
      <w:suff w:val="tab"/>
      <w:lvlText w:val="%1.%2.%3.%4."/>
      <w:lvlJc w:val="left"/>
      <w:pPr>
        <w:pStyle w:val="904"/>
        <w:ind w:left="851" w:hanging="851"/>
        <w:tabs>
          <w:tab w:val="num" w:pos="851" w:leader="none"/>
        </w:tabs>
      </w:pPr>
      <w:rPr>
        <w:rFonts w:hint="eastAsia"/>
      </w:rPr>
    </w:lvl>
    <w:lvl w:ilvl="4">
      <w:start w:val="1"/>
      <w:numFmt w:val="decimal"/>
      <w:isLgl w:val="false"/>
      <w:suff w:val="tab"/>
      <w:lvlText w:val="%1.%2.%3.%4.%5."/>
      <w:lvlJc w:val="left"/>
      <w:pPr>
        <w:pStyle w:val="904"/>
        <w:ind w:left="992" w:hanging="992"/>
        <w:tabs>
          <w:tab w:val="num" w:pos="992" w:leader="none"/>
        </w:tabs>
      </w:pPr>
      <w:rPr>
        <w:rFonts w:hint="eastAsia"/>
      </w:rPr>
    </w:lvl>
    <w:lvl w:ilvl="5">
      <w:start w:val="1"/>
      <w:numFmt w:val="decimal"/>
      <w:isLgl w:val="false"/>
      <w:suff w:val="tab"/>
      <w:lvlText w:val="%1.%2.%3.%4.%5.%6."/>
      <w:lvlJc w:val="left"/>
      <w:pPr>
        <w:pStyle w:val="904"/>
        <w:ind w:left="1134" w:hanging="1134"/>
        <w:tabs>
          <w:tab w:val="num" w:pos="1134" w:leader="none"/>
        </w:tabs>
      </w:pPr>
      <w:rPr>
        <w:rFonts w:hint="eastAsia"/>
      </w:rPr>
    </w:lvl>
    <w:lvl w:ilvl="6">
      <w:start w:val="1"/>
      <w:numFmt w:val="decimal"/>
      <w:isLgl w:val="false"/>
      <w:suff w:val="tab"/>
      <w:lvlText w:val="%1.%2.%3.%4.%5.%6.%7."/>
      <w:lvlJc w:val="left"/>
      <w:pPr>
        <w:pStyle w:val="904"/>
        <w:ind w:left="1276" w:hanging="1276"/>
        <w:tabs>
          <w:tab w:val="num" w:pos="1276" w:leader="none"/>
        </w:tabs>
      </w:pPr>
      <w:rPr>
        <w:rFonts w:hint="eastAsia"/>
      </w:rPr>
    </w:lvl>
    <w:lvl w:ilvl="7">
      <w:start w:val="1"/>
      <w:numFmt w:val="decimal"/>
      <w:isLgl w:val="false"/>
      <w:suff w:val="tab"/>
      <w:lvlText w:val="%1.%2.%3.%4.%5.%6.%7.%8."/>
      <w:lvlJc w:val="left"/>
      <w:pPr>
        <w:pStyle w:val="904"/>
        <w:ind w:left="1418" w:hanging="1418"/>
        <w:tabs>
          <w:tab w:val="num" w:pos="1418" w:leader="none"/>
        </w:tabs>
      </w:pPr>
      <w:rPr>
        <w:rFonts w:hint="eastAsia"/>
      </w:rPr>
    </w:lvl>
    <w:lvl w:ilvl="8">
      <w:start w:val="1"/>
      <w:numFmt w:val="decimal"/>
      <w:isLgl w:val="false"/>
      <w:suff w:val="tab"/>
      <w:lvlText w:val="%1.%2.%3.%4.%5.%6.%7.%8.%9."/>
      <w:lvlJc w:val="left"/>
      <w:pPr>
        <w:pStyle w:val="904"/>
        <w:ind w:left="1559" w:hanging="1559"/>
        <w:tabs>
          <w:tab w:val="num" w:pos="1559" w:leader="none"/>
        </w:tabs>
      </w:pPr>
      <w:rPr>
        <w:rFonts w:hint="eastAsia"/>
      </w:rPr>
    </w:lvl>
  </w:abstractNum>
  <w:abstractNum w:abstractNumId="4">
    <w:multiLevelType w:val="hybridMultilevel"/>
    <w:lvl w:ilvl="0">
      <w:start w:val="1"/>
      <w:numFmt w:val="chineseCountingThousand"/>
      <w:isLgl w:val="false"/>
      <w:suff w:val="nothing"/>
      <w:lvlText w:val="第%1章 "/>
      <w:lvlJc w:val="left"/>
      <w:pPr>
        <w:pStyle w:val="904"/>
        <w:ind w:left="0" w:firstLine="0"/>
      </w:pPr>
      <w:rPr>
        <w:rFonts w:hint="eastAsia"/>
      </w:rPr>
    </w:lvl>
    <w:lvl w:ilvl="1">
      <w:start w:val="1"/>
      <w:numFmt w:val="decimal"/>
      <w:isLgl w:val="false"/>
      <w:suff w:val="nothing"/>
      <w:lvlText w:val="%2、"/>
      <w:lvlJc w:val="left"/>
      <w:pPr>
        <w:pStyle w:val="904"/>
        <w:ind w:left="0" w:firstLine="0"/>
      </w:pPr>
      <w:rPr>
        <w:rFonts w:hint="eastAsia"/>
      </w:rPr>
    </w:lvl>
    <w:lvl w:ilvl="2">
      <w:start w:val="1"/>
      <w:numFmt w:val="decimal"/>
      <w:isLgl w:val="false"/>
      <w:suff w:val="nothing"/>
      <w:lvlText w:val="%2.%3 "/>
      <w:lvlJc w:val="left"/>
      <w:pPr>
        <w:pStyle w:val="904"/>
        <w:ind w:left="0" w:firstLine="0"/>
      </w:pPr>
      <w:rPr>
        <w:rFonts w:hint="eastAsia"/>
      </w:rPr>
    </w:lvl>
    <w:lvl w:ilvl="3">
      <w:start w:val="1"/>
      <w:numFmt w:val="decimal"/>
      <w:isLgl w:val="false"/>
      <w:suff w:val="nothing"/>
      <w:lvlText w:val="%2.%3.%4 "/>
      <w:lvlJc w:val="left"/>
      <w:pPr>
        <w:pStyle w:val="904"/>
        <w:ind w:left="0" w:firstLine="0"/>
      </w:pPr>
      <w:rPr>
        <w:rFonts w:hint="eastAsia"/>
      </w:rPr>
    </w:lvl>
    <w:lvl w:ilvl="4">
      <w:start w:val="1"/>
      <w:numFmt w:val="decimal"/>
      <w:isLgl w:val="false"/>
      <w:suff w:val="nothing"/>
      <w:lvlText w:val="%2.%3.%4.%5 "/>
      <w:lvlJc w:val="left"/>
      <w:pPr>
        <w:pStyle w:val="904"/>
        <w:ind w:left="0" w:firstLine="0"/>
      </w:pPr>
      <w:rPr>
        <w:rFonts w:hint="eastAsia"/>
      </w:rPr>
    </w:lvl>
    <w:lvl w:ilvl="5">
      <w:start w:val="1"/>
      <w:numFmt w:val="decimal"/>
      <w:pStyle w:val="910"/>
      <w:isLgl w:val="false"/>
      <w:suff w:val="nothing"/>
      <w:lvlText w:val=""/>
      <w:lvlJc w:val="left"/>
      <w:pPr>
        <w:pStyle w:val="904"/>
        <w:ind w:left="0" w:firstLine="0"/>
      </w:pPr>
      <w:rPr>
        <w:rFonts w:hint="eastAsia"/>
      </w:rPr>
    </w:lvl>
    <w:lvl w:ilvl="6">
      <w:start w:val="1"/>
      <w:numFmt w:val="decimal"/>
      <w:pStyle w:val="911"/>
      <w:isLgl w:val="false"/>
      <w:suff w:val="nothing"/>
      <w:lvlText w:val=""/>
      <w:lvlJc w:val="left"/>
      <w:pPr>
        <w:pStyle w:val="904"/>
        <w:ind w:left="0" w:firstLine="0"/>
      </w:pPr>
      <w:rPr>
        <w:rFonts w:hint="eastAsia"/>
      </w:rPr>
    </w:lvl>
    <w:lvl w:ilvl="7">
      <w:start w:val="1"/>
      <w:numFmt w:val="decimal"/>
      <w:pStyle w:val="912"/>
      <w:isLgl w:val="false"/>
      <w:suff w:val="nothing"/>
      <w:lvlText w:val=""/>
      <w:lvlJc w:val="left"/>
      <w:pPr>
        <w:pStyle w:val="904"/>
        <w:ind w:left="0" w:firstLine="0"/>
      </w:pPr>
      <w:rPr>
        <w:rFonts w:hint="eastAsia"/>
      </w:rPr>
    </w:lvl>
    <w:lvl w:ilvl="8">
      <w:start w:val="1"/>
      <w:numFmt w:val="decimal"/>
      <w:pStyle w:val="913"/>
      <w:isLgl w:val="false"/>
      <w:suff w:val="nothing"/>
      <w:lvlText w:val=""/>
      <w:lvlJc w:val="left"/>
      <w:pPr>
        <w:pStyle w:val="904"/>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904"/>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第%1章"/>
      <w:lvlJc w:val="left"/>
      <w:pPr>
        <w:ind w:left="1440" w:hanging="1440"/>
      </w:pPr>
      <w:rPr>
        <w:rFonts w:ascii="SimHei" w:hAnsi="SimHei" w:eastAsia="SimHei" w:cs="SimHei"/>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2"/>
  </w:num>
  <w:num w:numId="4">
    <w:abstractNumId w:val="3"/>
  </w:num>
  <w:num w:numId="5">
    <w:abstractNumId w:val="0"/>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6">
    <w:name w:val="Heading 1"/>
    <w:basedOn w:val="904"/>
    <w:next w:val="904"/>
    <w:link w:val="727"/>
    <w:uiPriority w:val="9"/>
    <w:qFormat/>
    <w:pPr>
      <w:keepLines/>
      <w:keepNext/>
      <w:spacing w:before="480" w:after="200"/>
      <w:outlineLvl w:val="0"/>
    </w:pPr>
    <w:rPr>
      <w:rFonts w:ascii="Arial" w:hAnsi="Arial" w:eastAsia="Arial" w:cs="Arial"/>
      <w:sz w:val="40"/>
      <w:szCs w:val="40"/>
    </w:rPr>
  </w:style>
  <w:style w:type="character" w:styleId="727">
    <w:name w:val="Heading 1 Char"/>
    <w:link w:val="726"/>
    <w:uiPriority w:val="9"/>
    <w:rPr>
      <w:rFonts w:ascii="Arial" w:hAnsi="Arial" w:eastAsia="Arial" w:cs="Arial"/>
      <w:sz w:val="40"/>
      <w:szCs w:val="40"/>
    </w:rPr>
  </w:style>
  <w:style w:type="paragraph" w:styleId="728">
    <w:name w:val="Heading 2"/>
    <w:basedOn w:val="904"/>
    <w:next w:val="904"/>
    <w:link w:val="729"/>
    <w:uiPriority w:val="9"/>
    <w:unhideWhenUsed/>
    <w:qFormat/>
    <w:pPr>
      <w:keepLines/>
      <w:keepNext/>
      <w:spacing w:before="360" w:after="200"/>
      <w:outlineLvl w:val="1"/>
    </w:pPr>
    <w:rPr>
      <w:rFonts w:ascii="Arial" w:hAnsi="Arial" w:eastAsia="Arial" w:cs="Arial"/>
      <w:sz w:val="34"/>
    </w:rPr>
  </w:style>
  <w:style w:type="character" w:styleId="729">
    <w:name w:val="Heading 2 Char"/>
    <w:link w:val="728"/>
    <w:uiPriority w:val="9"/>
    <w:rPr>
      <w:rFonts w:ascii="Arial" w:hAnsi="Arial" w:eastAsia="Arial" w:cs="Arial"/>
      <w:sz w:val="34"/>
    </w:rPr>
  </w:style>
  <w:style w:type="paragraph" w:styleId="730">
    <w:name w:val="Heading 3"/>
    <w:basedOn w:val="904"/>
    <w:next w:val="904"/>
    <w:link w:val="731"/>
    <w:uiPriority w:val="9"/>
    <w:unhideWhenUsed/>
    <w:qFormat/>
    <w:pPr>
      <w:keepLines/>
      <w:keepNext/>
      <w:spacing w:before="320" w:after="200"/>
      <w:outlineLvl w:val="2"/>
    </w:pPr>
    <w:rPr>
      <w:rFonts w:ascii="Arial" w:hAnsi="Arial" w:eastAsia="Arial" w:cs="Arial"/>
      <w:sz w:val="30"/>
      <w:szCs w:val="30"/>
    </w:rPr>
  </w:style>
  <w:style w:type="character" w:styleId="731">
    <w:name w:val="Heading 3 Char"/>
    <w:link w:val="730"/>
    <w:uiPriority w:val="9"/>
    <w:rPr>
      <w:rFonts w:ascii="Arial" w:hAnsi="Arial" w:eastAsia="Arial" w:cs="Arial"/>
      <w:sz w:val="30"/>
      <w:szCs w:val="30"/>
    </w:rPr>
  </w:style>
  <w:style w:type="paragraph" w:styleId="732">
    <w:name w:val="Heading 4"/>
    <w:basedOn w:val="904"/>
    <w:next w:val="904"/>
    <w:link w:val="733"/>
    <w:uiPriority w:val="9"/>
    <w:unhideWhenUsed/>
    <w:qFormat/>
    <w:pPr>
      <w:keepLines/>
      <w:keepNext/>
      <w:spacing w:before="320" w:after="200"/>
      <w:outlineLvl w:val="3"/>
    </w:pPr>
    <w:rPr>
      <w:rFonts w:ascii="Arial" w:hAnsi="Arial" w:eastAsia="Arial" w:cs="Arial"/>
      <w:b/>
      <w:bCs/>
      <w:sz w:val="26"/>
      <w:szCs w:val="26"/>
    </w:rPr>
  </w:style>
  <w:style w:type="character" w:styleId="733">
    <w:name w:val="Heading 4 Char"/>
    <w:link w:val="732"/>
    <w:uiPriority w:val="9"/>
    <w:rPr>
      <w:rFonts w:ascii="Arial" w:hAnsi="Arial" w:eastAsia="Arial" w:cs="Arial"/>
      <w:b/>
      <w:bCs/>
      <w:sz w:val="26"/>
      <w:szCs w:val="26"/>
    </w:rPr>
  </w:style>
  <w:style w:type="paragraph" w:styleId="734">
    <w:name w:val="Heading 5"/>
    <w:basedOn w:val="904"/>
    <w:next w:val="904"/>
    <w:link w:val="735"/>
    <w:uiPriority w:val="9"/>
    <w:unhideWhenUsed/>
    <w:qFormat/>
    <w:pPr>
      <w:keepLines/>
      <w:keepNext/>
      <w:spacing w:before="320" w:after="200"/>
      <w:outlineLvl w:val="4"/>
    </w:pPr>
    <w:rPr>
      <w:rFonts w:ascii="Arial" w:hAnsi="Arial" w:eastAsia="Arial" w:cs="Arial"/>
      <w:b/>
      <w:bCs/>
      <w:sz w:val="24"/>
      <w:szCs w:val="24"/>
    </w:rPr>
  </w:style>
  <w:style w:type="character" w:styleId="735">
    <w:name w:val="Heading 5 Char"/>
    <w:link w:val="734"/>
    <w:uiPriority w:val="9"/>
    <w:rPr>
      <w:rFonts w:ascii="Arial" w:hAnsi="Arial" w:eastAsia="Arial" w:cs="Arial"/>
      <w:b/>
      <w:bCs/>
      <w:sz w:val="24"/>
      <w:szCs w:val="24"/>
    </w:rPr>
  </w:style>
  <w:style w:type="paragraph" w:styleId="736">
    <w:name w:val="Heading 6"/>
    <w:basedOn w:val="904"/>
    <w:next w:val="904"/>
    <w:link w:val="737"/>
    <w:uiPriority w:val="9"/>
    <w:unhideWhenUsed/>
    <w:qFormat/>
    <w:pPr>
      <w:keepLines/>
      <w:keepNext/>
      <w:spacing w:before="320" w:after="200"/>
      <w:outlineLvl w:val="5"/>
    </w:pPr>
    <w:rPr>
      <w:rFonts w:ascii="Arial" w:hAnsi="Arial" w:eastAsia="Arial" w:cs="Arial"/>
      <w:b/>
      <w:bCs/>
      <w:sz w:val="22"/>
      <w:szCs w:val="22"/>
    </w:rPr>
  </w:style>
  <w:style w:type="character" w:styleId="737">
    <w:name w:val="Heading 6 Char"/>
    <w:link w:val="736"/>
    <w:uiPriority w:val="9"/>
    <w:rPr>
      <w:rFonts w:ascii="Arial" w:hAnsi="Arial" w:eastAsia="Arial" w:cs="Arial"/>
      <w:b/>
      <w:bCs/>
      <w:sz w:val="22"/>
      <w:szCs w:val="22"/>
    </w:rPr>
  </w:style>
  <w:style w:type="paragraph" w:styleId="738">
    <w:name w:val="Heading 7"/>
    <w:basedOn w:val="904"/>
    <w:next w:val="904"/>
    <w:link w:val="739"/>
    <w:uiPriority w:val="9"/>
    <w:unhideWhenUsed/>
    <w:qFormat/>
    <w:pPr>
      <w:keepLines/>
      <w:keepNext/>
      <w:spacing w:before="320" w:after="200"/>
      <w:outlineLvl w:val="6"/>
    </w:pPr>
    <w:rPr>
      <w:rFonts w:ascii="Arial" w:hAnsi="Arial" w:eastAsia="Arial" w:cs="Arial"/>
      <w:b/>
      <w:bCs/>
      <w:i/>
      <w:iCs/>
      <w:sz w:val="22"/>
      <w:szCs w:val="22"/>
    </w:rPr>
  </w:style>
  <w:style w:type="character" w:styleId="739">
    <w:name w:val="Heading 7 Char"/>
    <w:link w:val="738"/>
    <w:uiPriority w:val="9"/>
    <w:rPr>
      <w:rFonts w:ascii="Arial" w:hAnsi="Arial" w:eastAsia="Arial" w:cs="Arial"/>
      <w:b/>
      <w:bCs/>
      <w:i/>
      <w:iCs/>
      <w:sz w:val="22"/>
      <w:szCs w:val="22"/>
    </w:rPr>
  </w:style>
  <w:style w:type="paragraph" w:styleId="740">
    <w:name w:val="Heading 8"/>
    <w:basedOn w:val="904"/>
    <w:next w:val="904"/>
    <w:link w:val="741"/>
    <w:uiPriority w:val="9"/>
    <w:unhideWhenUsed/>
    <w:qFormat/>
    <w:pPr>
      <w:keepLines/>
      <w:keepNext/>
      <w:spacing w:before="320" w:after="200"/>
      <w:outlineLvl w:val="7"/>
    </w:pPr>
    <w:rPr>
      <w:rFonts w:ascii="Arial" w:hAnsi="Arial" w:eastAsia="Arial" w:cs="Arial"/>
      <w:i/>
      <w:iCs/>
      <w:sz w:val="22"/>
      <w:szCs w:val="22"/>
    </w:rPr>
  </w:style>
  <w:style w:type="character" w:styleId="741">
    <w:name w:val="Heading 8 Char"/>
    <w:link w:val="740"/>
    <w:uiPriority w:val="9"/>
    <w:rPr>
      <w:rFonts w:ascii="Arial" w:hAnsi="Arial" w:eastAsia="Arial" w:cs="Arial"/>
      <w:i/>
      <w:iCs/>
      <w:sz w:val="22"/>
      <w:szCs w:val="22"/>
    </w:rPr>
  </w:style>
  <w:style w:type="paragraph" w:styleId="742">
    <w:name w:val="Heading 9"/>
    <w:basedOn w:val="904"/>
    <w:next w:val="904"/>
    <w:link w:val="743"/>
    <w:uiPriority w:val="9"/>
    <w:unhideWhenUsed/>
    <w:qFormat/>
    <w:pPr>
      <w:keepLines/>
      <w:keepNext/>
      <w:spacing w:before="320" w:after="200"/>
      <w:outlineLvl w:val="8"/>
    </w:pPr>
    <w:rPr>
      <w:rFonts w:ascii="Arial" w:hAnsi="Arial" w:eastAsia="Arial" w:cs="Arial"/>
      <w:i/>
      <w:iCs/>
      <w:sz w:val="21"/>
      <w:szCs w:val="21"/>
    </w:rPr>
  </w:style>
  <w:style w:type="character" w:styleId="743">
    <w:name w:val="Heading 9 Char"/>
    <w:link w:val="742"/>
    <w:uiPriority w:val="9"/>
    <w:rPr>
      <w:rFonts w:ascii="Arial" w:hAnsi="Arial" w:eastAsia="Arial" w:cs="Arial"/>
      <w:i/>
      <w:iCs/>
      <w:sz w:val="21"/>
      <w:szCs w:val="21"/>
    </w:rPr>
  </w:style>
  <w:style w:type="paragraph" w:styleId="744">
    <w:name w:val="List Paragraph"/>
    <w:basedOn w:val="904"/>
    <w:uiPriority w:val="34"/>
    <w:qFormat/>
    <w:pPr>
      <w:contextualSpacing/>
      <w:ind w:left="720"/>
    </w:pPr>
  </w:style>
  <w:style w:type="paragraph" w:styleId="745">
    <w:name w:val="No Spacing"/>
    <w:uiPriority w:val="1"/>
    <w:qFormat/>
    <w:pPr>
      <w:spacing w:before="0" w:after="0" w:line="240" w:lineRule="auto"/>
    </w:pPr>
  </w:style>
  <w:style w:type="paragraph" w:styleId="746">
    <w:name w:val="Title"/>
    <w:basedOn w:val="904"/>
    <w:next w:val="904"/>
    <w:link w:val="747"/>
    <w:uiPriority w:val="10"/>
    <w:qFormat/>
    <w:pPr>
      <w:contextualSpacing/>
      <w:spacing w:before="300" w:after="200"/>
    </w:pPr>
    <w:rPr>
      <w:sz w:val="48"/>
      <w:szCs w:val="48"/>
    </w:rPr>
  </w:style>
  <w:style w:type="character" w:styleId="747">
    <w:name w:val="Title Char"/>
    <w:link w:val="746"/>
    <w:uiPriority w:val="10"/>
    <w:rPr>
      <w:sz w:val="48"/>
      <w:szCs w:val="48"/>
    </w:rPr>
  </w:style>
  <w:style w:type="paragraph" w:styleId="748">
    <w:name w:val="Subtitle"/>
    <w:basedOn w:val="904"/>
    <w:next w:val="904"/>
    <w:link w:val="749"/>
    <w:uiPriority w:val="11"/>
    <w:qFormat/>
    <w:pPr>
      <w:spacing w:before="200" w:after="200"/>
    </w:pPr>
    <w:rPr>
      <w:sz w:val="24"/>
      <w:szCs w:val="24"/>
    </w:rPr>
  </w:style>
  <w:style w:type="character" w:styleId="749">
    <w:name w:val="Subtitle Char"/>
    <w:link w:val="748"/>
    <w:uiPriority w:val="11"/>
    <w:rPr>
      <w:sz w:val="24"/>
      <w:szCs w:val="24"/>
    </w:rPr>
  </w:style>
  <w:style w:type="paragraph" w:styleId="750">
    <w:name w:val="Quote"/>
    <w:basedOn w:val="904"/>
    <w:next w:val="904"/>
    <w:link w:val="751"/>
    <w:uiPriority w:val="29"/>
    <w:qFormat/>
    <w:pPr>
      <w:ind w:left="720" w:right="720"/>
    </w:pPr>
    <w:rPr>
      <w:i/>
    </w:rPr>
  </w:style>
  <w:style w:type="character" w:styleId="751">
    <w:name w:val="Quote Char"/>
    <w:link w:val="750"/>
    <w:uiPriority w:val="29"/>
    <w:rPr>
      <w:i/>
    </w:rPr>
  </w:style>
  <w:style w:type="paragraph" w:styleId="752">
    <w:name w:val="Intense Quote"/>
    <w:basedOn w:val="904"/>
    <w:next w:val="904"/>
    <w:link w:val="75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3">
    <w:name w:val="Intense Quote Char"/>
    <w:link w:val="752"/>
    <w:uiPriority w:val="30"/>
    <w:rPr>
      <w:i/>
    </w:rPr>
  </w:style>
  <w:style w:type="paragraph" w:styleId="754">
    <w:name w:val="Header"/>
    <w:basedOn w:val="904"/>
    <w:link w:val="755"/>
    <w:uiPriority w:val="99"/>
    <w:unhideWhenUsed/>
    <w:pPr>
      <w:spacing w:after="0" w:line="240" w:lineRule="auto"/>
      <w:tabs>
        <w:tab w:val="center" w:pos="7143" w:leader="none"/>
        <w:tab w:val="right" w:pos="14287" w:leader="none"/>
      </w:tabs>
    </w:pPr>
  </w:style>
  <w:style w:type="character" w:styleId="755">
    <w:name w:val="Header Char"/>
    <w:link w:val="754"/>
    <w:uiPriority w:val="99"/>
  </w:style>
  <w:style w:type="paragraph" w:styleId="756">
    <w:name w:val="Footer"/>
    <w:basedOn w:val="904"/>
    <w:link w:val="759"/>
    <w:uiPriority w:val="99"/>
    <w:unhideWhenUsed/>
    <w:pPr>
      <w:spacing w:after="0" w:line="240" w:lineRule="auto"/>
      <w:tabs>
        <w:tab w:val="center" w:pos="7143" w:leader="none"/>
        <w:tab w:val="right" w:pos="14287" w:leader="none"/>
      </w:tabs>
    </w:pPr>
  </w:style>
  <w:style w:type="character" w:styleId="757">
    <w:name w:val="Footer Char"/>
    <w:link w:val="756"/>
    <w:uiPriority w:val="99"/>
  </w:style>
  <w:style w:type="paragraph" w:styleId="758">
    <w:name w:val="Caption"/>
    <w:basedOn w:val="904"/>
    <w:next w:val="904"/>
    <w:uiPriority w:val="35"/>
    <w:semiHidden/>
    <w:unhideWhenUsed/>
    <w:qFormat/>
    <w:pPr>
      <w:spacing w:line="276" w:lineRule="auto"/>
    </w:pPr>
    <w:rPr>
      <w:b/>
      <w:bCs/>
      <w:color w:val="4f81bd" w:themeColor="accent1"/>
      <w:sz w:val="18"/>
      <w:szCs w:val="18"/>
    </w:rPr>
  </w:style>
  <w:style w:type="character" w:styleId="759">
    <w:name w:val="Caption Char"/>
    <w:basedOn w:val="758"/>
    <w:link w:val="756"/>
    <w:uiPriority w:val="99"/>
  </w:style>
  <w:style w:type="table" w:styleId="760">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61">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62">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67">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68">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9">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70">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71">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72">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73">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74">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75">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76">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77">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78">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9">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80">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81">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2">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3">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4">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5">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6">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7">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88">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90">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91">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2">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93">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94">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9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96">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97">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98">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9">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00">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01">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02">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03">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04">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05">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06">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07">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8">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9">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10">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11">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12">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13">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14">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15">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16">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18">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9">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20">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21">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22">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23">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4">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25">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26">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27">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28">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9">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3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1">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2">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33">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34">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35">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36">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37">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8">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9">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40">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41">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42">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43">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44">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5">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6">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7">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8">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9">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0">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51">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52">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53">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54">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55">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56">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57">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58">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9">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60">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61">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62">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63">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64">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65">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6">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7">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8">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9">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0">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1">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2">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73">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74">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75">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76">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77">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78">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9">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80">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81">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82">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83">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84">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85">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86">
    <w:name w:val="Hyperlink"/>
    <w:uiPriority w:val="99"/>
    <w:unhideWhenUsed/>
    <w:rPr>
      <w:color w:val="0000ff" w:themeColor="hyperlink"/>
      <w:u w:val="single"/>
    </w:rPr>
  </w:style>
  <w:style w:type="paragraph" w:styleId="887">
    <w:name w:val="footnote text"/>
    <w:basedOn w:val="904"/>
    <w:link w:val="888"/>
    <w:uiPriority w:val="99"/>
    <w:semiHidden/>
    <w:unhideWhenUsed/>
    <w:pPr>
      <w:spacing w:after="40" w:line="240" w:lineRule="auto"/>
    </w:pPr>
    <w:rPr>
      <w:sz w:val="18"/>
    </w:rPr>
  </w:style>
  <w:style w:type="character" w:styleId="888">
    <w:name w:val="Footnote Text Char"/>
    <w:link w:val="887"/>
    <w:uiPriority w:val="99"/>
    <w:rPr>
      <w:sz w:val="18"/>
    </w:rPr>
  </w:style>
  <w:style w:type="character" w:styleId="889">
    <w:name w:val="footnote reference"/>
    <w:uiPriority w:val="99"/>
    <w:unhideWhenUsed/>
    <w:rPr>
      <w:vertAlign w:val="superscript"/>
    </w:rPr>
  </w:style>
  <w:style w:type="paragraph" w:styleId="890">
    <w:name w:val="endnote text"/>
    <w:basedOn w:val="904"/>
    <w:link w:val="891"/>
    <w:uiPriority w:val="99"/>
    <w:semiHidden/>
    <w:unhideWhenUsed/>
    <w:pPr>
      <w:spacing w:after="0" w:line="240" w:lineRule="auto"/>
    </w:pPr>
    <w:rPr>
      <w:sz w:val="20"/>
    </w:rPr>
  </w:style>
  <w:style w:type="character" w:styleId="891">
    <w:name w:val="Endnote Text Char"/>
    <w:link w:val="890"/>
    <w:uiPriority w:val="99"/>
    <w:rPr>
      <w:sz w:val="20"/>
    </w:rPr>
  </w:style>
  <w:style w:type="character" w:styleId="892">
    <w:name w:val="endnote reference"/>
    <w:uiPriority w:val="99"/>
    <w:semiHidden/>
    <w:unhideWhenUsed/>
    <w:rPr>
      <w:vertAlign w:val="superscript"/>
    </w:rPr>
  </w:style>
  <w:style w:type="paragraph" w:styleId="893">
    <w:name w:val="toc 1"/>
    <w:basedOn w:val="904"/>
    <w:next w:val="904"/>
    <w:uiPriority w:val="39"/>
    <w:unhideWhenUsed/>
    <w:pPr>
      <w:ind w:left="0" w:right="0" w:firstLine="0"/>
      <w:spacing w:after="57"/>
    </w:pPr>
  </w:style>
  <w:style w:type="paragraph" w:styleId="894">
    <w:name w:val="toc 2"/>
    <w:basedOn w:val="904"/>
    <w:next w:val="904"/>
    <w:uiPriority w:val="39"/>
    <w:unhideWhenUsed/>
    <w:pPr>
      <w:ind w:left="283" w:right="0" w:firstLine="0"/>
      <w:spacing w:after="57"/>
    </w:pPr>
  </w:style>
  <w:style w:type="paragraph" w:styleId="895">
    <w:name w:val="toc 3"/>
    <w:basedOn w:val="904"/>
    <w:next w:val="904"/>
    <w:uiPriority w:val="39"/>
    <w:unhideWhenUsed/>
    <w:pPr>
      <w:ind w:left="567" w:right="0" w:firstLine="0"/>
      <w:spacing w:after="57"/>
    </w:pPr>
  </w:style>
  <w:style w:type="paragraph" w:styleId="896">
    <w:name w:val="toc 4"/>
    <w:basedOn w:val="904"/>
    <w:next w:val="904"/>
    <w:uiPriority w:val="39"/>
    <w:unhideWhenUsed/>
    <w:pPr>
      <w:ind w:left="850" w:right="0" w:firstLine="0"/>
      <w:spacing w:after="57"/>
    </w:pPr>
  </w:style>
  <w:style w:type="paragraph" w:styleId="897">
    <w:name w:val="toc 5"/>
    <w:basedOn w:val="904"/>
    <w:next w:val="904"/>
    <w:uiPriority w:val="39"/>
    <w:unhideWhenUsed/>
    <w:pPr>
      <w:ind w:left="1134" w:right="0" w:firstLine="0"/>
      <w:spacing w:after="57"/>
    </w:pPr>
  </w:style>
  <w:style w:type="paragraph" w:styleId="898">
    <w:name w:val="toc 6"/>
    <w:basedOn w:val="904"/>
    <w:next w:val="904"/>
    <w:uiPriority w:val="39"/>
    <w:unhideWhenUsed/>
    <w:pPr>
      <w:ind w:left="1417" w:right="0" w:firstLine="0"/>
      <w:spacing w:after="57"/>
    </w:pPr>
  </w:style>
  <w:style w:type="paragraph" w:styleId="899">
    <w:name w:val="toc 7"/>
    <w:basedOn w:val="904"/>
    <w:next w:val="904"/>
    <w:uiPriority w:val="39"/>
    <w:unhideWhenUsed/>
    <w:pPr>
      <w:ind w:left="1701" w:right="0" w:firstLine="0"/>
      <w:spacing w:after="57"/>
    </w:pPr>
  </w:style>
  <w:style w:type="paragraph" w:styleId="900">
    <w:name w:val="toc 8"/>
    <w:basedOn w:val="904"/>
    <w:next w:val="904"/>
    <w:uiPriority w:val="39"/>
    <w:unhideWhenUsed/>
    <w:pPr>
      <w:ind w:left="1984" w:right="0" w:firstLine="0"/>
      <w:spacing w:after="57"/>
    </w:pPr>
  </w:style>
  <w:style w:type="paragraph" w:styleId="901">
    <w:name w:val="toc 9"/>
    <w:basedOn w:val="904"/>
    <w:next w:val="904"/>
    <w:uiPriority w:val="39"/>
    <w:unhideWhenUsed/>
    <w:pPr>
      <w:ind w:left="2268" w:right="0" w:firstLine="0"/>
      <w:spacing w:after="57"/>
    </w:pPr>
  </w:style>
  <w:style w:type="paragraph" w:styleId="902">
    <w:name w:val="TOC Heading"/>
    <w:uiPriority w:val="39"/>
    <w:unhideWhenUsed/>
  </w:style>
  <w:style w:type="paragraph" w:styleId="903">
    <w:name w:val="table of figures"/>
    <w:basedOn w:val="904"/>
    <w:next w:val="904"/>
    <w:uiPriority w:val="99"/>
    <w:unhideWhenUsed/>
    <w:pPr>
      <w:spacing w:after="0" w:afterAutospacing="0"/>
    </w:pPr>
  </w:style>
  <w:style w:type="paragraph" w:styleId="904" w:default="1">
    <w:name w:val="Normal"/>
    <w:next w:val="916"/>
    <w:link w:val="904"/>
    <w:qFormat/>
    <w:pPr>
      <w:jc w:val="both"/>
      <w:widowControl w:val="off"/>
    </w:pPr>
    <w:rPr>
      <w:sz w:val="21"/>
      <w:szCs w:val="22"/>
      <w:lang w:val="en-US" w:eastAsia="zh-CN" w:bidi="ar-SA"/>
    </w:rPr>
  </w:style>
  <w:style w:type="paragraph" w:styleId="905">
    <w:name w:val="标题 1"/>
    <w:basedOn w:val="904"/>
    <w:next w:val="904"/>
    <w:link w:val="918"/>
    <w:qFormat/>
    <w:pPr>
      <w:jc w:val="center"/>
      <w:keepNext/>
      <w:outlineLvl w:val="0"/>
    </w:pPr>
    <w:rPr>
      <w:rFonts w:ascii="楷体_GB2312" w:hAnsi="Times New Roman" w:eastAsia="楷体_GB2312" w:cs="Times New Roman"/>
      <w:sz w:val="28"/>
      <w:szCs w:val="28"/>
    </w:rPr>
  </w:style>
  <w:style w:type="paragraph" w:styleId="906">
    <w:name w:val="标题 2"/>
    <w:basedOn w:val="904"/>
    <w:next w:val="916"/>
    <w:link w:val="919"/>
    <w:qFormat/>
    <w:pPr>
      <w:jc w:val="center"/>
      <w:keepLines/>
      <w:keepNext/>
      <w:spacing w:before="260" w:after="260" w:line="416" w:lineRule="auto"/>
      <w:outlineLvl w:val="1"/>
    </w:pPr>
    <w:rPr>
      <w:rFonts w:ascii="Arial" w:hAnsi="Arial" w:eastAsia="幼圆" w:cs="Arial"/>
      <w:b/>
      <w:bCs/>
      <w:sz w:val="44"/>
      <w:szCs w:val="44"/>
    </w:rPr>
  </w:style>
  <w:style w:type="paragraph" w:styleId="907">
    <w:name w:val="标题 3"/>
    <w:basedOn w:val="904"/>
    <w:next w:val="916"/>
    <w:link w:val="920"/>
    <w:qFormat/>
    <w:pPr>
      <w:keepLines/>
      <w:keepNext/>
      <w:spacing w:before="260" w:after="260" w:line="416" w:lineRule="auto"/>
      <w:outlineLvl w:val="2"/>
    </w:pPr>
    <w:rPr>
      <w:rFonts w:ascii="Times New Roman" w:hAnsi="Times New Roman" w:eastAsia="宋体" w:cs="Times New Roman"/>
      <w:b/>
      <w:bCs/>
      <w:sz w:val="32"/>
      <w:szCs w:val="32"/>
    </w:rPr>
  </w:style>
  <w:style w:type="paragraph" w:styleId="908">
    <w:name w:val="标题 4"/>
    <w:basedOn w:val="904"/>
    <w:next w:val="916"/>
    <w:link w:val="921"/>
    <w:qFormat/>
    <w:pPr>
      <w:keepLines/>
      <w:keepNext/>
      <w:spacing w:before="280" w:after="290" w:line="376" w:lineRule="auto"/>
      <w:outlineLvl w:val="3"/>
    </w:pPr>
    <w:rPr>
      <w:rFonts w:ascii="Arial" w:hAnsi="Arial" w:eastAsia="黑体" w:cs="Arial"/>
      <w:b/>
      <w:bCs/>
      <w:sz w:val="28"/>
      <w:szCs w:val="28"/>
    </w:rPr>
  </w:style>
  <w:style w:type="paragraph" w:styleId="909">
    <w:name w:val="标题 5"/>
    <w:basedOn w:val="904"/>
    <w:next w:val="916"/>
    <w:link w:val="922"/>
    <w:qFormat/>
    <w:pPr>
      <w:keepNext/>
      <w:outlineLvl w:val="4"/>
    </w:pPr>
    <w:rPr>
      <w:rFonts w:ascii="宋体" w:hAnsi="Times New Roman" w:eastAsia="宋体" w:cs="Times New Roman"/>
      <w:color w:val="000000"/>
      <w:sz w:val="28"/>
      <w:szCs w:val="28"/>
    </w:rPr>
  </w:style>
  <w:style w:type="paragraph" w:styleId="910">
    <w:name w:val="标题 6"/>
    <w:basedOn w:val="904"/>
    <w:next w:val="904"/>
    <w:link w:val="923"/>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911">
    <w:name w:val="标题 7"/>
    <w:basedOn w:val="904"/>
    <w:next w:val="904"/>
    <w:link w:val="924"/>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912">
    <w:name w:val="标题 8"/>
    <w:basedOn w:val="904"/>
    <w:next w:val="904"/>
    <w:link w:val="925"/>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913">
    <w:name w:val="标题 9"/>
    <w:basedOn w:val="904"/>
    <w:next w:val="904"/>
    <w:link w:val="926"/>
    <w:qFormat/>
    <w:pPr>
      <w:numPr>
        <w:ilvl w:val="8"/>
        <w:numId w:val="1"/>
      </w:numPr>
      <w:keepLines/>
      <w:keepNext/>
      <w:spacing w:before="240" w:after="64" w:line="320" w:lineRule="auto"/>
      <w:outlineLvl w:val="8"/>
    </w:pPr>
    <w:rPr>
      <w:rFonts w:ascii="Arial" w:hAnsi="Arial" w:eastAsia="黑体" w:cs="Times New Roman"/>
      <w:szCs w:val="21"/>
    </w:rPr>
  </w:style>
  <w:style w:type="character" w:styleId="914">
    <w:name w:val="默认段落字体"/>
    <w:next w:val="914"/>
    <w:link w:val="904"/>
    <w:uiPriority w:val="1"/>
    <w:unhideWhenUsed/>
  </w:style>
  <w:style w:type="table" w:styleId="915">
    <w:name w:val="普通表格"/>
    <w:next w:val="915"/>
    <w:link w:val="904"/>
    <w:uiPriority w:val="99"/>
    <w:unhideWhenUsed/>
    <w:tblPr/>
  </w:style>
  <w:style w:type="paragraph" w:styleId="916">
    <w:name w:val="正文缩进"/>
    <w:basedOn w:val="904"/>
    <w:next w:val="904"/>
    <w:link w:val="917"/>
    <w:pPr>
      <w:ind w:firstLine="420"/>
    </w:pPr>
    <w:rPr>
      <w:szCs w:val="21"/>
    </w:rPr>
  </w:style>
  <w:style w:type="character" w:styleId="917">
    <w:name w:val="正文缩进 字符"/>
    <w:next w:val="917"/>
    <w:link w:val="916"/>
    <w:rPr>
      <w:szCs w:val="21"/>
    </w:rPr>
  </w:style>
  <w:style w:type="character" w:styleId="918">
    <w:name w:val="标题 1 字符"/>
    <w:next w:val="918"/>
    <w:link w:val="905"/>
    <w:rPr>
      <w:rFonts w:ascii="楷体_GB2312" w:hAnsi="Times New Roman" w:eastAsia="楷体_GB2312" w:cs="Times New Roman"/>
      <w:sz w:val="28"/>
      <w:szCs w:val="28"/>
    </w:rPr>
  </w:style>
  <w:style w:type="character" w:styleId="919">
    <w:name w:val="标题 2 字符"/>
    <w:next w:val="919"/>
    <w:link w:val="906"/>
    <w:rPr>
      <w:rFonts w:ascii="Arial" w:hAnsi="Arial" w:eastAsia="幼圆" w:cs="Arial"/>
      <w:b/>
      <w:bCs/>
      <w:sz w:val="44"/>
      <w:szCs w:val="44"/>
    </w:rPr>
  </w:style>
  <w:style w:type="character" w:styleId="920">
    <w:name w:val="标题 3 字符"/>
    <w:next w:val="920"/>
    <w:link w:val="907"/>
    <w:rPr>
      <w:rFonts w:ascii="Times New Roman" w:hAnsi="Times New Roman" w:eastAsia="宋体" w:cs="Times New Roman"/>
      <w:b/>
      <w:bCs/>
      <w:sz w:val="32"/>
      <w:szCs w:val="32"/>
    </w:rPr>
  </w:style>
  <w:style w:type="character" w:styleId="921">
    <w:name w:val="标题 4 字符"/>
    <w:next w:val="921"/>
    <w:link w:val="908"/>
    <w:rPr>
      <w:rFonts w:ascii="Arial" w:hAnsi="Arial" w:eastAsia="黑体" w:cs="Arial"/>
      <w:b/>
      <w:bCs/>
      <w:sz w:val="28"/>
      <w:szCs w:val="28"/>
    </w:rPr>
  </w:style>
  <w:style w:type="character" w:styleId="922">
    <w:name w:val="标题 5 字符"/>
    <w:next w:val="922"/>
    <w:link w:val="909"/>
    <w:rPr>
      <w:rFonts w:ascii="宋体" w:hAnsi="Times New Roman" w:eastAsia="宋体" w:cs="Times New Roman"/>
      <w:color w:val="000000"/>
      <w:sz w:val="28"/>
      <w:szCs w:val="28"/>
    </w:rPr>
  </w:style>
  <w:style w:type="character" w:styleId="923">
    <w:name w:val="标题 6 字符"/>
    <w:next w:val="923"/>
    <w:link w:val="910"/>
    <w:rPr>
      <w:rFonts w:ascii="Arial" w:hAnsi="Arial" w:eastAsia="黑体"/>
      <w:b/>
      <w:bCs/>
      <w:sz w:val="24"/>
      <w:szCs w:val="24"/>
    </w:rPr>
  </w:style>
  <w:style w:type="character" w:styleId="924">
    <w:name w:val="标题 7 字符"/>
    <w:next w:val="924"/>
    <w:link w:val="911"/>
    <w:rPr>
      <w:rFonts w:ascii="Times New Roman" w:hAnsi="Times New Roman"/>
      <w:b/>
      <w:bCs/>
      <w:sz w:val="24"/>
      <w:szCs w:val="24"/>
    </w:rPr>
  </w:style>
  <w:style w:type="character" w:styleId="925">
    <w:name w:val="标题 8 字符"/>
    <w:next w:val="925"/>
    <w:link w:val="912"/>
    <w:rPr>
      <w:rFonts w:ascii="Arial" w:hAnsi="Arial" w:eastAsia="黑体"/>
      <w:sz w:val="24"/>
      <w:szCs w:val="24"/>
    </w:rPr>
  </w:style>
  <w:style w:type="character" w:styleId="926">
    <w:name w:val="标题 9 字符"/>
    <w:next w:val="926"/>
    <w:link w:val="913"/>
    <w:rPr>
      <w:rFonts w:ascii="Arial" w:hAnsi="Arial" w:eastAsia="黑体"/>
      <w:sz w:val="21"/>
      <w:szCs w:val="21"/>
    </w:rPr>
  </w:style>
  <w:style w:type="paragraph" w:styleId="927">
    <w:name w:val="列表 3"/>
    <w:basedOn w:val="904"/>
    <w:next w:val="927"/>
    <w:link w:val="904"/>
    <w:pPr>
      <w:ind w:left="100" w:hanging="200"/>
    </w:pPr>
    <w:rPr>
      <w:rFonts w:ascii="Times New Roman" w:hAnsi="Times New Roman" w:eastAsia="宋体" w:cs="Times New Roman"/>
      <w:szCs w:val="21"/>
    </w:rPr>
  </w:style>
  <w:style w:type="paragraph" w:styleId="928">
    <w:name w:val="目录 7"/>
    <w:basedOn w:val="904"/>
    <w:next w:val="904"/>
    <w:link w:val="904"/>
    <w:semiHidden/>
    <w:pPr>
      <w:ind w:left="1260"/>
      <w:jc w:val="left"/>
    </w:pPr>
    <w:rPr>
      <w:rFonts w:ascii="Times New Roman" w:hAnsi="Times New Roman" w:eastAsia="宋体" w:cs="Times New Roman"/>
      <w:szCs w:val="21"/>
    </w:rPr>
  </w:style>
  <w:style w:type="paragraph" w:styleId="929">
    <w:name w:val="文档结构图"/>
    <w:basedOn w:val="904"/>
    <w:next w:val="929"/>
    <w:link w:val="930"/>
    <w:semiHidden/>
    <w:pPr>
      <w:shd w:val="clear" w:color="auto" w:fill="000080"/>
    </w:pPr>
    <w:rPr>
      <w:rFonts w:ascii="Times New Roman" w:hAnsi="Times New Roman" w:eastAsia="宋体" w:cs="Times New Roman"/>
      <w:szCs w:val="21"/>
    </w:rPr>
  </w:style>
  <w:style w:type="character" w:styleId="930">
    <w:name w:val="文档结构图 字符"/>
    <w:next w:val="930"/>
    <w:link w:val="929"/>
    <w:semiHidden/>
    <w:rPr>
      <w:rFonts w:ascii="Times New Roman" w:hAnsi="Times New Roman" w:eastAsia="宋体" w:cs="Times New Roman"/>
      <w:szCs w:val="21"/>
      <w:shd w:val="clear" w:color="auto" w:fill="000080"/>
    </w:rPr>
  </w:style>
  <w:style w:type="paragraph" w:styleId="931">
    <w:name w:val="批注文字"/>
    <w:basedOn w:val="904"/>
    <w:next w:val="931"/>
    <w:link w:val="932"/>
    <w:unhideWhenUsed/>
    <w:pPr>
      <w:jc w:val="left"/>
    </w:pPr>
  </w:style>
  <w:style w:type="character" w:styleId="932">
    <w:name w:val="批注文字 字符"/>
    <w:next w:val="932"/>
    <w:link w:val="931"/>
    <w:uiPriority w:val="99"/>
    <w:semiHidden/>
  </w:style>
  <w:style w:type="paragraph" w:styleId="933">
    <w:name w:val="正文文本 3"/>
    <w:basedOn w:val="904"/>
    <w:next w:val="933"/>
    <w:link w:val="934"/>
    <w:rPr>
      <w:rFonts w:ascii="仿宋_GB2312" w:hAnsi="Arial" w:eastAsia="仿宋_GB2312" w:cs="Times New Roman"/>
      <w:sz w:val="32"/>
      <w:szCs w:val="32"/>
    </w:rPr>
  </w:style>
  <w:style w:type="character" w:styleId="934">
    <w:name w:val="正文文本 3 字符"/>
    <w:next w:val="934"/>
    <w:link w:val="933"/>
    <w:rPr>
      <w:rFonts w:ascii="仿宋_GB2312" w:hAnsi="Arial" w:eastAsia="仿宋_GB2312" w:cs="Times New Roman"/>
      <w:sz w:val="32"/>
      <w:szCs w:val="32"/>
    </w:rPr>
  </w:style>
  <w:style w:type="paragraph" w:styleId="935">
    <w:name w:val="正文文本"/>
    <w:basedOn w:val="904"/>
    <w:next w:val="937"/>
    <w:link w:val="936"/>
    <w:rPr>
      <w:rFonts w:ascii="楷体_GB2312" w:hAnsi="Arial" w:eastAsia="楷体_GB2312" w:cs="Times New Roman"/>
      <w:sz w:val="28"/>
      <w:szCs w:val="28"/>
    </w:rPr>
  </w:style>
  <w:style w:type="character" w:styleId="936">
    <w:name w:val="正文文本 字符"/>
    <w:next w:val="936"/>
    <w:link w:val="935"/>
    <w:rPr>
      <w:rFonts w:ascii="楷体_GB2312" w:hAnsi="Arial" w:eastAsia="楷体_GB2312" w:cs="Times New Roman"/>
      <w:sz w:val="28"/>
      <w:szCs w:val="28"/>
    </w:rPr>
  </w:style>
  <w:style w:type="paragraph" w:styleId="937">
    <w:name w:val="一级条标题"/>
    <w:basedOn w:val="938"/>
    <w:next w:val="939"/>
    <w:link w:val="904"/>
    <w:qFormat/>
    <w:pPr>
      <w:numPr>
        <w:ilvl w:val="1"/>
        <w:numId w:val="2"/>
      </w:numPr>
      <w:tabs>
        <w:tab w:val="left" w:pos="780" w:leader="none"/>
        <w:tab w:val="left" w:pos="810" w:leader="none"/>
        <w:tab w:val="left" w:pos="1265" w:leader="none"/>
      </w:tabs>
      <w:outlineLvl w:val="2"/>
    </w:pPr>
    <w:rPr>
      <w:rFonts w:hAnsi="Times New Roman" w:cs="Times New Roman"/>
      <w:szCs w:val="21"/>
    </w:rPr>
  </w:style>
  <w:style w:type="paragraph" w:styleId="938">
    <w:name w:val="章标题"/>
    <w:next w:val="904"/>
    <w:link w:val="904"/>
    <w:qFormat/>
    <w:pPr>
      <w:ind w:left="810" w:hanging="810"/>
      <w:jc w:val="both"/>
      <w:spacing w:before="50" w:after="50"/>
      <w:tabs>
        <w:tab w:val="left" w:pos="810" w:leader="none"/>
        <w:tab w:val="left" w:pos="1265" w:leader="none"/>
      </w:tabs>
      <w:outlineLvl w:val="1"/>
    </w:pPr>
    <w:rPr>
      <w:rFonts w:ascii="黑体" w:hAnsi="Calibri" w:eastAsia="黑体"/>
      <w:sz w:val="21"/>
      <w:szCs w:val="22"/>
      <w:lang w:val="en-US" w:eastAsia="zh-CN" w:bidi="ar-SA"/>
    </w:rPr>
  </w:style>
  <w:style w:type="paragraph" w:styleId="939">
    <w:name w:val="段"/>
    <w:basedOn w:val="904"/>
    <w:next w:val="904"/>
    <w:link w:val="904"/>
    <w:qFormat/>
    <w:pPr>
      <w:ind w:firstLine="200"/>
      <w:widowControl/>
    </w:pPr>
    <w:rPr>
      <w:rFonts w:hint="eastAsia" w:ascii="宋体"/>
      <w:szCs w:val="20"/>
    </w:rPr>
  </w:style>
  <w:style w:type="paragraph" w:styleId="940">
    <w:name w:val="正文文本缩进"/>
    <w:basedOn w:val="904"/>
    <w:next w:val="940"/>
    <w:link w:val="941"/>
    <w:unhideWhenUsed/>
    <w:pPr>
      <w:ind w:left="420"/>
      <w:spacing w:after="120"/>
    </w:pPr>
  </w:style>
  <w:style w:type="character" w:styleId="941">
    <w:name w:val="正文文本缩进 字符"/>
    <w:next w:val="941"/>
    <w:link w:val="940"/>
    <w:uiPriority w:val="99"/>
    <w:semiHidden/>
  </w:style>
  <w:style w:type="paragraph" w:styleId="942">
    <w:name w:val="列表 2"/>
    <w:basedOn w:val="904"/>
    <w:next w:val="942"/>
    <w:link w:val="904"/>
    <w:pPr>
      <w:ind w:left="100" w:hanging="200"/>
    </w:pPr>
    <w:rPr>
      <w:rFonts w:ascii="Times New Roman" w:hAnsi="Times New Roman" w:eastAsia="宋体" w:cs="Times New Roman"/>
      <w:szCs w:val="21"/>
    </w:rPr>
  </w:style>
  <w:style w:type="paragraph" w:styleId="943">
    <w:name w:val="目录 5"/>
    <w:basedOn w:val="904"/>
    <w:next w:val="904"/>
    <w:link w:val="904"/>
    <w:semiHidden/>
    <w:pPr>
      <w:ind w:left="840"/>
      <w:jc w:val="left"/>
    </w:pPr>
    <w:rPr>
      <w:rFonts w:ascii="Times New Roman" w:hAnsi="Times New Roman" w:eastAsia="宋体" w:cs="Times New Roman"/>
      <w:szCs w:val="21"/>
    </w:rPr>
  </w:style>
  <w:style w:type="paragraph" w:styleId="944">
    <w:name w:val="目录 3"/>
    <w:basedOn w:val="904"/>
    <w:next w:val="904"/>
    <w:link w:val="904"/>
    <w:semiHidden/>
    <w:pPr>
      <w:ind w:left="420"/>
      <w:jc w:val="left"/>
    </w:pPr>
    <w:rPr>
      <w:rFonts w:ascii="Times New Roman" w:hAnsi="Times New Roman" w:eastAsia="宋体" w:cs="Times New Roman"/>
      <w:i/>
      <w:iCs/>
      <w:szCs w:val="24"/>
    </w:rPr>
  </w:style>
  <w:style w:type="paragraph" w:styleId="945">
    <w:name w:val="纯文本"/>
    <w:basedOn w:val="904"/>
    <w:next w:val="945"/>
    <w:link w:val="946"/>
    <w:rPr>
      <w:rFonts w:ascii="宋体" w:hAnsi="Courier New" w:eastAsia="宋体" w:cs="Courier New"/>
      <w:szCs w:val="21"/>
    </w:rPr>
  </w:style>
  <w:style w:type="character" w:styleId="946">
    <w:name w:val="纯文本 字符"/>
    <w:next w:val="946"/>
    <w:link w:val="945"/>
    <w:rPr>
      <w:rFonts w:ascii="宋体" w:hAnsi="Courier New" w:eastAsia="宋体" w:cs="Courier New"/>
      <w:szCs w:val="21"/>
    </w:rPr>
  </w:style>
  <w:style w:type="paragraph" w:styleId="947">
    <w:name w:val="目录 8"/>
    <w:basedOn w:val="904"/>
    <w:next w:val="904"/>
    <w:link w:val="904"/>
    <w:semiHidden/>
    <w:pPr>
      <w:ind w:left="1470"/>
      <w:jc w:val="left"/>
    </w:pPr>
    <w:rPr>
      <w:rFonts w:ascii="Times New Roman" w:hAnsi="Times New Roman" w:eastAsia="宋体" w:cs="Times New Roman"/>
      <w:szCs w:val="21"/>
    </w:rPr>
  </w:style>
  <w:style w:type="paragraph" w:styleId="948">
    <w:name w:val="日期"/>
    <w:basedOn w:val="904"/>
    <w:next w:val="904"/>
    <w:link w:val="949"/>
    <w:rPr>
      <w:rFonts w:ascii="Times New Roman" w:hAnsi="Times New Roman" w:eastAsia="宋体" w:cs="Times New Roman"/>
      <w:sz w:val="24"/>
      <w:szCs w:val="24"/>
    </w:rPr>
  </w:style>
  <w:style w:type="character" w:styleId="949">
    <w:name w:val="日期 字符"/>
    <w:next w:val="949"/>
    <w:link w:val="948"/>
    <w:rPr>
      <w:rFonts w:ascii="Times New Roman" w:hAnsi="Times New Roman" w:eastAsia="宋体" w:cs="Times New Roman"/>
      <w:sz w:val="24"/>
      <w:szCs w:val="24"/>
    </w:rPr>
  </w:style>
  <w:style w:type="paragraph" w:styleId="950">
    <w:name w:val="正文文本缩进 2"/>
    <w:basedOn w:val="904"/>
    <w:next w:val="950"/>
    <w:link w:val="951"/>
    <w:pPr>
      <w:ind w:left="630" w:firstLine="645"/>
    </w:pPr>
    <w:rPr>
      <w:rFonts w:ascii="Arial" w:hAnsi="Arial" w:eastAsia="仿宋_GB2312" w:cs="Arial"/>
      <w:sz w:val="32"/>
      <w:szCs w:val="32"/>
    </w:rPr>
  </w:style>
  <w:style w:type="character" w:styleId="951">
    <w:name w:val="正文文本缩进 2 字符"/>
    <w:next w:val="951"/>
    <w:link w:val="950"/>
    <w:rPr>
      <w:rFonts w:ascii="Arial" w:hAnsi="Arial" w:eastAsia="仿宋_GB2312" w:cs="Arial"/>
      <w:sz w:val="32"/>
      <w:szCs w:val="32"/>
    </w:rPr>
  </w:style>
  <w:style w:type="paragraph" w:styleId="952">
    <w:name w:val="批注框文本"/>
    <w:basedOn w:val="904"/>
    <w:next w:val="952"/>
    <w:link w:val="953"/>
    <w:semiHidden/>
    <w:rPr>
      <w:rFonts w:ascii="Times New Roman" w:hAnsi="Times New Roman" w:eastAsia="宋体" w:cs="Times New Roman"/>
      <w:sz w:val="18"/>
      <w:szCs w:val="18"/>
    </w:rPr>
  </w:style>
  <w:style w:type="character" w:styleId="953">
    <w:name w:val="批注框文本 字符"/>
    <w:next w:val="953"/>
    <w:link w:val="952"/>
    <w:semiHidden/>
    <w:rPr>
      <w:rFonts w:ascii="Times New Roman" w:hAnsi="Times New Roman" w:eastAsia="宋体" w:cs="Times New Roman"/>
      <w:sz w:val="18"/>
      <w:szCs w:val="18"/>
    </w:rPr>
  </w:style>
  <w:style w:type="paragraph" w:styleId="954">
    <w:name w:val="页脚"/>
    <w:basedOn w:val="904"/>
    <w:next w:val="954"/>
    <w:link w:val="955"/>
    <w:pPr>
      <w:jc w:val="left"/>
      <w:tabs>
        <w:tab w:val="center" w:pos="4153" w:leader="none"/>
        <w:tab w:val="right" w:pos="8306" w:leader="none"/>
      </w:tabs>
    </w:pPr>
    <w:rPr>
      <w:rFonts w:ascii="Times New Roman" w:hAnsi="Times New Roman" w:eastAsia="宋体" w:cs="Times New Roman"/>
      <w:sz w:val="18"/>
      <w:szCs w:val="18"/>
    </w:rPr>
  </w:style>
  <w:style w:type="character" w:styleId="955">
    <w:name w:val="页脚 字符"/>
    <w:next w:val="955"/>
    <w:link w:val="954"/>
    <w:rPr>
      <w:rFonts w:ascii="Times New Roman" w:hAnsi="Times New Roman" w:eastAsia="宋体" w:cs="Times New Roman"/>
      <w:sz w:val="18"/>
      <w:szCs w:val="18"/>
    </w:rPr>
  </w:style>
  <w:style w:type="paragraph" w:styleId="956">
    <w:name w:val="页眉"/>
    <w:basedOn w:val="904"/>
    <w:next w:val="956"/>
    <w:link w:val="957"/>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character" w:styleId="957">
    <w:name w:val="页眉 字符"/>
    <w:next w:val="957"/>
    <w:link w:val="956"/>
    <w:rPr>
      <w:rFonts w:ascii="Times New Roman" w:hAnsi="Times New Roman" w:eastAsia="宋体" w:cs="Times New Roman"/>
      <w:sz w:val="18"/>
      <w:szCs w:val="18"/>
    </w:rPr>
  </w:style>
  <w:style w:type="paragraph" w:styleId="958">
    <w:name w:val="目录 1"/>
    <w:basedOn w:val="904"/>
    <w:next w:val="904"/>
    <w:link w:val="904"/>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9">
    <w:name w:val="目录 4"/>
    <w:basedOn w:val="904"/>
    <w:next w:val="904"/>
    <w:link w:val="904"/>
    <w:semiHidden/>
    <w:pPr>
      <w:ind w:left="630"/>
      <w:jc w:val="left"/>
    </w:pPr>
    <w:rPr>
      <w:rFonts w:ascii="Times New Roman" w:hAnsi="Times New Roman" w:eastAsia="宋体" w:cs="Times New Roman"/>
      <w:szCs w:val="21"/>
    </w:rPr>
  </w:style>
  <w:style w:type="paragraph" w:styleId="960">
    <w:name w:val="列表"/>
    <w:basedOn w:val="904"/>
    <w:next w:val="960"/>
    <w:link w:val="904"/>
    <w:pPr>
      <w:ind w:left="200" w:hanging="200"/>
    </w:pPr>
    <w:rPr>
      <w:rFonts w:ascii="Times New Roman" w:hAnsi="Times New Roman" w:eastAsia="宋体" w:cs="Times New Roman"/>
      <w:szCs w:val="21"/>
    </w:rPr>
  </w:style>
  <w:style w:type="paragraph" w:styleId="961">
    <w:name w:val="目录 6"/>
    <w:basedOn w:val="904"/>
    <w:next w:val="904"/>
    <w:link w:val="904"/>
    <w:semiHidden/>
    <w:pPr>
      <w:ind w:left="1050"/>
      <w:jc w:val="left"/>
    </w:pPr>
    <w:rPr>
      <w:rFonts w:ascii="Times New Roman" w:hAnsi="Times New Roman" w:eastAsia="宋体" w:cs="Times New Roman"/>
      <w:szCs w:val="21"/>
    </w:rPr>
  </w:style>
  <w:style w:type="paragraph" w:styleId="962">
    <w:name w:val="正文文本缩进 3"/>
    <w:basedOn w:val="904"/>
    <w:next w:val="962"/>
    <w:link w:val="963"/>
    <w:pPr>
      <w:ind w:left="645" w:firstLine="645"/>
    </w:pPr>
    <w:rPr>
      <w:rFonts w:ascii="Arial" w:hAnsi="Arial" w:eastAsia="仿宋_GB2312" w:cs="Arial"/>
      <w:color w:val="ffff00"/>
      <w:sz w:val="32"/>
      <w:szCs w:val="32"/>
    </w:rPr>
  </w:style>
  <w:style w:type="character" w:styleId="963">
    <w:name w:val="正文文本缩进 3 字符"/>
    <w:next w:val="963"/>
    <w:link w:val="962"/>
    <w:rPr>
      <w:rFonts w:ascii="Arial" w:hAnsi="Arial" w:eastAsia="仿宋_GB2312" w:cs="Arial"/>
      <w:color w:val="ffff00"/>
      <w:sz w:val="32"/>
      <w:szCs w:val="32"/>
    </w:rPr>
  </w:style>
  <w:style w:type="paragraph" w:styleId="964">
    <w:name w:val="图表目录"/>
    <w:basedOn w:val="904"/>
    <w:next w:val="904"/>
    <w:link w:val="904"/>
    <w:semiHidden/>
    <w:pPr>
      <w:ind w:left="840" w:hanging="420"/>
    </w:pPr>
    <w:rPr>
      <w:rFonts w:ascii="Times New Roman" w:hAnsi="Times New Roman" w:eastAsia="宋体" w:cs="Times New Roman"/>
      <w:szCs w:val="21"/>
    </w:rPr>
  </w:style>
  <w:style w:type="paragraph" w:styleId="965">
    <w:name w:val="目录 2"/>
    <w:basedOn w:val="904"/>
    <w:next w:val="904"/>
    <w:link w:val="904"/>
    <w:semiHidden/>
    <w:pPr>
      <w:ind w:left="210"/>
      <w:jc w:val="left"/>
    </w:pPr>
    <w:rPr>
      <w:rFonts w:ascii="Times New Roman" w:hAnsi="Times New Roman" w:eastAsia="宋体" w:cs="Times New Roman"/>
      <w:smallCaps/>
      <w:szCs w:val="24"/>
    </w:rPr>
  </w:style>
  <w:style w:type="paragraph" w:styleId="966">
    <w:name w:val="目录 9"/>
    <w:basedOn w:val="904"/>
    <w:next w:val="904"/>
    <w:link w:val="904"/>
    <w:semiHidden/>
    <w:pPr>
      <w:ind w:left="1680"/>
      <w:jc w:val="left"/>
    </w:pPr>
    <w:rPr>
      <w:rFonts w:ascii="Times New Roman" w:hAnsi="Times New Roman" w:eastAsia="宋体" w:cs="Times New Roman"/>
      <w:szCs w:val="21"/>
    </w:rPr>
  </w:style>
  <w:style w:type="paragraph" w:styleId="967">
    <w:name w:val="正文文本 2"/>
    <w:basedOn w:val="904"/>
    <w:next w:val="967"/>
    <w:link w:val="968"/>
    <w:pPr>
      <w:jc w:val="center"/>
      <w:widowControl/>
    </w:pPr>
    <w:rPr>
      <w:rFonts w:ascii="楷体_GB2312" w:hAnsi="Times New Roman" w:eastAsia="楷体_GB2312" w:cs="Times New Roman"/>
      <w:sz w:val="28"/>
      <w:szCs w:val="28"/>
    </w:rPr>
  </w:style>
  <w:style w:type="character" w:styleId="968">
    <w:name w:val="正文文本 2 字符"/>
    <w:next w:val="968"/>
    <w:link w:val="967"/>
    <w:rPr>
      <w:rFonts w:ascii="楷体_GB2312" w:hAnsi="Times New Roman" w:eastAsia="楷体_GB2312" w:cs="Times New Roman"/>
      <w:sz w:val="28"/>
      <w:szCs w:val="28"/>
    </w:rPr>
  </w:style>
  <w:style w:type="paragraph" w:styleId="969">
    <w:name w:val="普通(网站)"/>
    <w:basedOn w:val="904"/>
    <w:next w:val="969"/>
    <w:link w:val="904"/>
    <w:uiPriority w:val="99"/>
    <w:pPr>
      <w:jc w:val="left"/>
      <w:spacing w:before="100" w:beforeAutospacing="1" w:after="100" w:afterAutospacing="1"/>
      <w:widowControl/>
    </w:pPr>
    <w:rPr>
      <w:rFonts w:ascii="宋体" w:hAnsi="宋体" w:eastAsia="宋体" w:cs="宋体"/>
      <w:sz w:val="24"/>
      <w:szCs w:val="24"/>
    </w:rPr>
  </w:style>
  <w:style w:type="paragraph" w:styleId="970">
    <w:name w:val="索引 1"/>
    <w:basedOn w:val="904"/>
    <w:next w:val="904"/>
    <w:link w:val="904"/>
    <w:semiHidden/>
    <w:pPr>
      <w:spacing w:line="240" w:lineRule="atLeast"/>
    </w:pPr>
    <w:rPr>
      <w:rFonts w:ascii="Times New Roman" w:hAnsi="Times New Roman" w:eastAsia="宋体" w:cs="Times New Roman"/>
      <w:b/>
      <w:bCs/>
      <w:szCs w:val="21"/>
    </w:rPr>
  </w:style>
  <w:style w:type="paragraph" w:styleId="971">
    <w:name w:val="批注主题"/>
    <w:basedOn w:val="931"/>
    <w:next w:val="931"/>
    <w:link w:val="972"/>
    <w:semiHidden/>
    <w:rPr>
      <w:rFonts w:ascii="Times New Roman" w:hAnsi="Times New Roman" w:eastAsia="宋体" w:cs="Times New Roman"/>
      <w:b/>
      <w:bCs/>
      <w:szCs w:val="21"/>
    </w:rPr>
  </w:style>
  <w:style w:type="character" w:styleId="972">
    <w:name w:val="批注主题 字符"/>
    <w:next w:val="972"/>
    <w:link w:val="971"/>
    <w:semiHidden/>
    <w:rPr>
      <w:rFonts w:ascii="Times New Roman" w:hAnsi="Times New Roman" w:eastAsia="宋体" w:cs="Times New Roman"/>
      <w:b/>
      <w:bCs/>
      <w:szCs w:val="21"/>
    </w:rPr>
  </w:style>
  <w:style w:type="paragraph" w:styleId="973">
    <w:name w:val="正文首行缩进"/>
    <w:basedOn w:val="904"/>
    <w:next w:val="973"/>
    <w:link w:val="974"/>
    <w:pPr>
      <w:ind w:firstLine="200"/>
      <w:spacing w:line="360" w:lineRule="auto"/>
    </w:pPr>
    <w:rPr>
      <w:rFonts w:ascii="仿宋_GB2312" w:hAnsi="Times New Roman" w:eastAsia="仿宋_GB2312" w:cs="Times New Roman"/>
      <w:sz w:val="30"/>
      <w:szCs w:val="30"/>
    </w:rPr>
  </w:style>
  <w:style w:type="character" w:styleId="974">
    <w:name w:val="正文首行缩进 字符"/>
    <w:next w:val="974"/>
    <w:link w:val="973"/>
    <w:rPr>
      <w:rFonts w:ascii="仿宋_GB2312" w:hAnsi="Times New Roman" w:eastAsia="仿宋_GB2312" w:cs="Times New Roman"/>
      <w:sz w:val="30"/>
      <w:szCs w:val="30"/>
    </w:rPr>
  </w:style>
  <w:style w:type="paragraph" w:styleId="975">
    <w:name w:val="正文首行缩进 2"/>
    <w:basedOn w:val="940"/>
    <w:next w:val="975"/>
    <w:link w:val="976"/>
    <w:pPr>
      <w:ind w:left="0" w:firstLine="420"/>
      <w:spacing w:after="0" w:line="360" w:lineRule="auto"/>
    </w:pPr>
    <w:rPr>
      <w:rFonts w:ascii="宋体" w:hAnsi="宋体" w:eastAsia="宋体" w:cs="Times New Roman"/>
      <w:szCs w:val="20"/>
    </w:rPr>
  </w:style>
  <w:style w:type="character" w:styleId="976">
    <w:name w:val="正文首行缩进 2 字符"/>
    <w:next w:val="976"/>
    <w:link w:val="975"/>
    <w:rPr>
      <w:rFonts w:ascii="宋体" w:hAnsi="宋体" w:eastAsia="宋体" w:cs="Times New Roman"/>
      <w:szCs w:val="20"/>
    </w:rPr>
  </w:style>
  <w:style w:type="table" w:styleId="977">
    <w:name w:val="网格型"/>
    <w:basedOn w:val="915"/>
    <w:next w:val="977"/>
    <w:link w:val="904"/>
    <w:uiPriority w:val="59"/>
    <w:pPr>
      <w:jc w:val="both"/>
      <w:widowControl w:val="off"/>
    </w:pPr>
    <w:rPr>
      <w:rFonts w:ascii="Times New Roman" w:hAnsi="Times New Roman" w:eastAsia="宋体" w:cs="Times New Roman"/>
      <w:sz w:val="20"/>
      <w:szCs w:val="20"/>
    </w:rPr>
    <w:tblPr/>
  </w:style>
  <w:style w:type="character" w:styleId="978">
    <w:name w:val="要点"/>
    <w:next w:val="978"/>
    <w:link w:val="904"/>
    <w:qFormat/>
    <w:rPr>
      <w:b/>
      <w:bCs/>
    </w:rPr>
  </w:style>
  <w:style w:type="character" w:styleId="979">
    <w:name w:val="页码"/>
    <w:next w:val="979"/>
    <w:link w:val="904"/>
  </w:style>
  <w:style w:type="character" w:styleId="980">
    <w:name w:val="已访问的超链接"/>
    <w:next w:val="980"/>
    <w:link w:val="904"/>
    <w:rPr>
      <w:color w:val="800080"/>
      <w:u w:val="single"/>
    </w:rPr>
  </w:style>
  <w:style w:type="character" w:styleId="981">
    <w:name w:val="超链接"/>
    <w:next w:val="981"/>
    <w:link w:val="904"/>
    <w:rPr>
      <w:color w:val="0000ff"/>
      <w:u w:val="single"/>
    </w:rPr>
  </w:style>
  <w:style w:type="character" w:styleId="982">
    <w:name w:val="批注引用"/>
    <w:next w:val="982"/>
    <w:link w:val="904"/>
    <w:uiPriority w:val="99"/>
    <w:qFormat/>
    <w:rPr>
      <w:sz w:val="21"/>
      <w:szCs w:val="21"/>
    </w:rPr>
  </w:style>
  <w:style w:type="paragraph" w:styleId="983">
    <w:name w:val="Default"/>
    <w:next w:val="904"/>
    <w:link w:val="904"/>
    <w:qFormat/>
    <w:pPr>
      <w:widowControl w:val="off"/>
    </w:pPr>
    <w:rPr>
      <w:rFonts w:ascii="宋体" w:cs="宋体"/>
      <w:color w:val="000000"/>
      <w:sz w:val="24"/>
      <w:szCs w:val="24"/>
      <w:lang w:val="en-US" w:eastAsia="zh-CN" w:bidi="ar-SA"/>
    </w:rPr>
  </w:style>
  <w:style w:type="character" w:styleId="984">
    <w:name w:val="font5 Char"/>
    <w:next w:val="984"/>
    <w:link w:val="904"/>
    <w:rPr>
      <w:rFonts w:ascii="宋体" w:hAnsi="宋体" w:eastAsia="宋体"/>
      <w:sz w:val="28"/>
      <w:szCs w:val="28"/>
      <w:lang w:val="en-US" w:eastAsia="zh-CN" w:bidi="ar-SA"/>
    </w:rPr>
  </w:style>
  <w:style w:type="character" w:styleId="985">
    <w:name w:val="二级目录 Char"/>
    <w:next w:val="985"/>
    <w:link w:val="986"/>
    <w:rPr>
      <w:b/>
      <w:sz w:val="30"/>
      <w:szCs w:val="28"/>
    </w:rPr>
  </w:style>
  <w:style w:type="paragraph" w:styleId="986">
    <w:name w:val="二级目录"/>
    <w:next w:val="904"/>
    <w:link w:val="985"/>
    <w:pPr>
      <w:numPr>
        <w:ilvl w:val="0"/>
        <w:numId w:val="3"/>
      </w:numPr>
      <w:tabs>
        <w:tab w:val="left" w:pos="907" w:leader="none"/>
        <w:tab w:val="left" w:pos="1145" w:leader="none"/>
      </w:tabs>
      <w:outlineLvl w:val="1"/>
    </w:pPr>
    <w:rPr>
      <w:b/>
      <w:sz w:val="30"/>
      <w:szCs w:val="28"/>
      <w:lang w:val="en-US" w:eastAsia="zh-CN" w:bidi="ar-SA"/>
    </w:rPr>
  </w:style>
  <w:style w:type="character" w:styleId="987">
    <w:name w:val="列出段落 Char,Bullet List Char,numbered Char,FooterText Char,List Paragraph1 Char,Paragraphe de liste1 Char"/>
    <w:next w:val="987"/>
    <w:link w:val="988"/>
    <w:rPr>
      <w:rFonts w:ascii="Calibri" w:hAnsi="Calibri"/>
      <w:sz w:val="24"/>
      <w:szCs w:val="24"/>
      <w:lang w:eastAsia="en-US" w:bidi="en-US"/>
    </w:rPr>
  </w:style>
  <w:style w:type="paragraph" w:styleId="988">
    <w:name w:val="列出段落1"/>
    <w:basedOn w:val="904"/>
    <w:next w:val="988"/>
    <w:link w:val="987"/>
    <w:qFormat/>
    <w:pPr>
      <w:contextualSpacing/>
      <w:ind w:left="720"/>
      <w:jc w:val="left"/>
      <w:widowControl/>
    </w:pPr>
    <w:rPr>
      <w:rFonts w:ascii="Calibri" w:hAnsi="Calibri"/>
      <w:sz w:val="24"/>
      <w:szCs w:val="24"/>
      <w:lang w:eastAsia="en-US" w:bidi="en-US"/>
    </w:rPr>
  </w:style>
  <w:style w:type="paragraph" w:styleId="989">
    <w:name w:val="Body Text(ch)"/>
    <w:basedOn w:val="904"/>
    <w:next w:val="935"/>
    <w:link w:val="904"/>
    <w:pPr>
      <w:spacing w:after="120"/>
    </w:pPr>
    <w:rPr>
      <w:rFonts w:ascii="宋体" w:hAnsi="Arial" w:eastAsia="宋体" w:cs="Times New Roman"/>
      <w:bCs/>
      <w:iCs/>
      <w:szCs w:val="24"/>
    </w:rPr>
  </w:style>
  <w:style w:type="paragraph" w:styleId="990">
    <w:name w:val="xl27"/>
    <w:basedOn w:val="904"/>
    <w:next w:val="990"/>
    <w:link w:val="90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1">
    <w:name w:val="xl26"/>
    <w:basedOn w:val="904"/>
    <w:next w:val="991"/>
    <w:link w:val="904"/>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92">
    <w:name w:val="Char"/>
    <w:basedOn w:val="904"/>
    <w:next w:val="992"/>
    <w:link w:val="904"/>
    <w:pPr>
      <w:ind w:firstLine="200"/>
      <w:tabs>
        <w:tab w:val="left" w:pos="360" w:leader="none"/>
      </w:tabs>
    </w:pPr>
    <w:rPr>
      <w:rFonts w:ascii="Times New Roman" w:hAnsi="Times New Roman" w:eastAsia="宋体" w:cs="Times New Roman"/>
      <w:sz w:val="28"/>
      <w:szCs w:val="30"/>
    </w:rPr>
  </w:style>
  <w:style w:type="paragraph" w:styleId="993">
    <w:name w:val=" Char"/>
    <w:basedOn w:val="929"/>
    <w:next w:val="993"/>
    <w:link w:val="904"/>
    <w:rPr>
      <w:rFonts w:ascii="Tahoma" w:hAnsi="Tahoma"/>
      <w:sz w:val="24"/>
      <w:szCs w:val="24"/>
    </w:rPr>
  </w:style>
  <w:style w:type="paragraph" w:styleId="994">
    <w:name w:val="普通正文"/>
    <w:basedOn w:val="904"/>
    <w:next w:val="994"/>
    <w:link w:val="904"/>
    <w:qFormat/>
    <w:pPr>
      <w:ind w:firstLine="480"/>
      <w:jc w:val="left"/>
      <w:spacing w:before="120" w:after="120" w:line="360" w:lineRule="auto"/>
    </w:pPr>
    <w:rPr>
      <w:rFonts w:ascii="Arial" w:hAnsi="Arial" w:eastAsia="宋体" w:cs="Times New Roman"/>
      <w:sz w:val="24"/>
      <w:szCs w:val="24"/>
    </w:rPr>
  </w:style>
  <w:style w:type="paragraph" w:styleId="995">
    <w:name w:val="table_lines"/>
    <w:basedOn w:val="904"/>
    <w:next w:val="995"/>
    <w:link w:val="904"/>
    <w:pPr>
      <w:jc w:val="left"/>
      <w:widowControl/>
    </w:pPr>
    <w:rPr>
      <w:rFonts w:ascii="Times New Roman" w:hAnsi="Times New Roman" w:eastAsia="宋体" w:cs="Times New Roman"/>
      <w:sz w:val="20"/>
      <w:szCs w:val="20"/>
      <w:lang w:val="de-DE" w:eastAsia="de-DE"/>
    </w:rPr>
  </w:style>
  <w:style w:type="paragraph" w:styleId="996">
    <w:name w:val="附录1"/>
    <w:next w:val="996"/>
    <w:link w:val="904"/>
    <w:pPr>
      <w:numPr>
        <w:ilvl w:val="0"/>
        <w:numId w:val="3"/>
      </w:numPr>
      <w:spacing w:before="240" w:line="600" w:lineRule="atLeast"/>
      <w:tabs>
        <w:tab w:val="left" w:pos="907" w:leader="none"/>
      </w:tabs>
    </w:pPr>
    <w:rPr>
      <w:b/>
      <w:i/>
      <w:sz w:val="28"/>
      <w:lang w:val="en-US" w:eastAsia="zh-CN" w:bidi="ar-SA"/>
    </w:rPr>
  </w:style>
  <w:style w:type="paragraph" w:styleId="997">
    <w:name w:val="font7"/>
    <w:basedOn w:val="904"/>
    <w:next w:val="997"/>
    <w:link w:val="904"/>
    <w:pPr>
      <w:jc w:val="left"/>
      <w:spacing w:before="100" w:beforeAutospacing="1" w:after="100" w:afterAutospacing="1"/>
      <w:widowControl/>
    </w:pPr>
    <w:rPr>
      <w:rFonts w:hint="eastAsia" w:ascii="宋体" w:hAnsi="宋体" w:eastAsia="宋体" w:cs="Times New Roman"/>
      <w:sz w:val="18"/>
      <w:szCs w:val="18"/>
    </w:rPr>
  </w:style>
  <w:style w:type="paragraph" w:styleId="998">
    <w:name w:val=" Char Char Char Char"/>
    <w:basedOn w:val="929"/>
    <w:next w:val="998"/>
    <w:link w:val="904"/>
    <w:pPr>
      <w:spacing w:line="360" w:lineRule="auto"/>
    </w:pPr>
    <w:rPr>
      <w:rFonts w:ascii="Tahoma" w:hAnsi="Tahoma"/>
      <w:sz w:val="24"/>
      <w:szCs w:val="24"/>
    </w:rPr>
  </w:style>
  <w:style w:type="paragraph" w:styleId="999">
    <w:name w:val="列出段落"/>
    <w:basedOn w:val="904"/>
    <w:next w:val="999"/>
    <w:link w:val="904"/>
    <w:uiPriority w:val="34"/>
    <w:qFormat/>
    <w:pPr>
      <w:contextualSpacing/>
      <w:ind w:left="720"/>
      <w:jc w:val="left"/>
      <w:widowControl/>
    </w:pPr>
    <w:rPr>
      <w:rFonts w:ascii="Calibri" w:hAnsi="Calibri" w:eastAsia="宋体" w:cs="Times New Roman"/>
      <w:sz w:val="24"/>
      <w:szCs w:val="24"/>
      <w:lang w:eastAsia="en-US" w:bidi="en-US"/>
    </w:rPr>
  </w:style>
  <w:style w:type="paragraph" w:styleId="1000">
    <w:name w:val="4"/>
    <w:basedOn w:val="904"/>
    <w:next w:val="962"/>
    <w:link w:val="904"/>
    <w:pPr>
      <w:ind w:firstLine="420"/>
      <w:spacing w:line="360" w:lineRule="auto"/>
    </w:pPr>
    <w:rPr>
      <w:rFonts w:ascii="Times New Roman" w:hAnsi="Times New Roman" w:eastAsia="宋体" w:cs="Times New Roman"/>
      <w:color w:val="ff0000"/>
      <w:sz w:val="24"/>
      <w:szCs w:val="24"/>
    </w:rPr>
  </w:style>
  <w:style w:type="paragraph" w:styleId="1001">
    <w:name w:val="普通 (Web)"/>
    <w:basedOn w:val="904"/>
    <w:next w:val="1001"/>
    <w:link w:val="904"/>
    <w:pPr>
      <w:jc w:val="left"/>
      <w:spacing w:before="100" w:beforeAutospacing="1" w:after="100" w:afterAutospacing="1"/>
      <w:widowControl/>
    </w:pPr>
    <w:rPr>
      <w:rFonts w:ascii="宋体" w:hAnsi="宋体" w:eastAsia="宋体" w:cs="Times New Roman"/>
      <w:sz w:val="24"/>
      <w:szCs w:val="24"/>
    </w:rPr>
  </w:style>
  <w:style w:type="paragraph" w:styleId="1002">
    <w:name w:val=" Char Char Char Char Char Char Char Char Char Char"/>
    <w:basedOn w:val="904"/>
    <w:next w:val="1002"/>
    <w:link w:val="904"/>
    <w:pPr>
      <w:spacing w:line="360" w:lineRule="auto"/>
    </w:pPr>
    <w:rPr>
      <w:rFonts w:ascii="Times New Roman" w:hAnsi="Times New Roman" w:eastAsia="宋体" w:cs="Times New Roman"/>
      <w:sz w:val="24"/>
      <w:szCs w:val="20"/>
    </w:rPr>
  </w:style>
  <w:style w:type="paragraph" w:styleId="1003">
    <w:name w:val="样式1"/>
    <w:basedOn w:val="904"/>
    <w:next w:val="1003"/>
    <w:link w:val="904"/>
    <w:pPr>
      <w:numPr>
        <w:ilvl w:val="0"/>
        <w:numId w:val="4"/>
      </w:numPr>
      <w:tabs>
        <w:tab w:val="left" w:pos="709" w:leader="none"/>
      </w:tabs>
    </w:pPr>
    <w:rPr>
      <w:rFonts w:ascii="宋体" w:hAnsi="宋体" w:eastAsia="宋体" w:cs="Times New Roman"/>
      <w:szCs w:val="21"/>
    </w:rPr>
  </w:style>
  <w:style w:type="paragraph" w:styleId="1004">
    <w:name w:val="font6"/>
    <w:basedOn w:val="904"/>
    <w:next w:val="1004"/>
    <w:link w:val="904"/>
    <w:pPr>
      <w:jc w:val="left"/>
      <w:spacing w:before="100" w:beforeAutospacing="1" w:after="100" w:afterAutospacing="1"/>
      <w:widowControl/>
    </w:pPr>
    <w:rPr>
      <w:rFonts w:hint="eastAsia" w:ascii="宋体" w:hAnsi="宋体" w:eastAsia="宋体" w:cs="Times New Roman"/>
      <w:sz w:val="28"/>
      <w:szCs w:val="28"/>
      <w:u w:val="single"/>
    </w:rPr>
  </w:style>
  <w:style w:type="paragraph" w:styleId="1005">
    <w:name w:val="xl25"/>
    <w:basedOn w:val="904"/>
    <w:next w:val="1005"/>
    <w:link w:val="904"/>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06">
    <w:name w:val="图标"/>
    <w:basedOn w:val="904"/>
    <w:next w:val="904"/>
    <w:link w:val="904"/>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1007">
    <w:name w:val="标题3"/>
    <w:basedOn w:val="904"/>
    <w:next w:val="904"/>
    <w:link w:val="904"/>
    <w:pPr>
      <w:ind w:firstLine="624"/>
      <w:spacing w:line="590" w:lineRule="atLeast"/>
    </w:pPr>
    <w:rPr>
      <w:rFonts w:ascii="方正黑体_GBK" w:hAnsi="Times New Roman" w:eastAsia="方正黑体_GBK" w:cs="Times New Roman"/>
      <w:sz w:val="32"/>
      <w:szCs w:val="32"/>
    </w:rPr>
  </w:style>
  <w:style w:type="paragraph" w:styleId="1008">
    <w:name w:val="xl24"/>
    <w:basedOn w:val="904"/>
    <w:next w:val="1008"/>
    <w:link w:val="904"/>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9">
    <w:name w:val="xl29"/>
    <w:basedOn w:val="904"/>
    <w:next w:val="1009"/>
    <w:link w:val="904"/>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1010">
    <w:name w:val="Char Char Char Char Char Char Char Char"/>
    <w:basedOn w:val="904"/>
    <w:next w:val="1010"/>
    <w:link w:val="904"/>
    <w:pPr>
      <w:jc w:val="left"/>
      <w:spacing w:after="160" w:line="240" w:lineRule="exact"/>
      <w:widowControl/>
    </w:pPr>
    <w:rPr>
      <w:rFonts w:ascii="Verdana" w:hAnsi="Verdana" w:eastAsia="宋体" w:cs="Times New Roman"/>
      <w:sz w:val="20"/>
      <w:szCs w:val="20"/>
      <w:lang w:eastAsia="en-US"/>
    </w:rPr>
  </w:style>
  <w:style w:type="paragraph" w:styleId="1011">
    <w:name w:val="xl28"/>
    <w:basedOn w:val="904"/>
    <w:next w:val="1011"/>
    <w:link w:val="904"/>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1012">
    <w:name w:val=" Char Char Char Char Char Char Char Char"/>
    <w:basedOn w:val="904"/>
    <w:next w:val="1012"/>
    <w:link w:val="904"/>
    <w:pPr>
      <w:jc w:val="left"/>
      <w:spacing w:after="160" w:line="240" w:lineRule="exact"/>
      <w:widowControl/>
    </w:pPr>
    <w:rPr>
      <w:rFonts w:ascii="Verdana" w:hAnsi="Verdana" w:eastAsia="宋体" w:cs="Times New Roman"/>
      <w:sz w:val="20"/>
      <w:szCs w:val="20"/>
      <w:lang w:eastAsia="en-US"/>
    </w:rPr>
  </w:style>
  <w:style w:type="paragraph" w:styleId="1013">
    <w:name w:val="xl30"/>
    <w:basedOn w:val="904"/>
    <w:next w:val="1013"/>
    <w:link w:val="904"/>
    <w:pPr>
      <w:jc w:val="center"/>
      <w:spacing w:before="100" w:beforeAutospacing="1" w:after="100" w:afterAutospacing="1"/>
      <w:widowControl/>
    </w:pPr>
    <w:rPr>
      <w:rFonts w:ascii="宋体" w:hAnsi="宋体" w:eastAsia="宋体" w:cs="Times New Roman"/>
      <w:b/>
      <w:bCs/>
      <w:sz w:val="36"/>
      <w:szCs w:val="36"/>
    </w:rPr>
  </w:style>
  <w:style w:type="paragraph" w:styleId="1014">
    <w:name w:val="Char Char Char Char"/>
    <w:basedOn w:val="929"/>
    <w:next w:val="1014"/>
    <w:link w:val="904"/>
    <w:pPr>
      <w:spacing w:line="360" w:lineRule="auto"/>
    </w:pPr>
    <w:rPr>
      <w:rFonts w:ascii="Tahoma" w:hAnsi="Tahoma"/>
      <w:sz w:val="24"/>
      <w:szCs w:val="24"/>
    </w:rPr>
  </w:style>
  <w:style w:type="paragraph" w:styleId="1015">
    <w:name w:val="table_1stline"/>
    <w:basedOn w:val="904"/>
    <w:next w:val="1015"/>
    <w:link w:val="904"/>
    <w:pPr>
      <w:jc w:val="left"/>
      <w:spacing w:before="120"/>
      <w:widowControl/>
    </w:pPr>
    <w:rPr>
      <w:rFonts w:ascii="Times New Roman" w:hAnsi="Times New Roman" w:eastAsia="宋体" w:cs="Times New Roman"/>
      <w:bCs/>
      <w:sz w:val="20"/>
      <w:szCs w:val="20"/>
      <w:lang w:val="de-DE" w:eastAsia="de-DE"/>
    </w:rPr>
  </w:style>
  <w:style w:type="paragraph" w:styleId="1016">
    <w:name w:val="font5"/>
    <w:basedOn w:val="904"/>
    <w:next w:val="1016"/>
    <w:link w:val="904"/>
    <w:pPr>
      <w:jc w:val="left"/>
      <w:spacing w:before="100" w:beforeAutospacing="1" w:after="100" w:afterAutospacing="1"/>
      <w:widowControl/>
    </w:pPr>
    <w:rPr>
      <w:rFonts w:hint="eastAsia" w:ascii="宋体" w:hAnsi="宋体" w:eastAsia="宋体" w:cs="Times New Roman"/>
      <w:sz w:val="28"/>
      <w:szCs w:val="28"/>
    </w:rPr>
  </w:style>
  <w:style w:type="paragraph" w:styleId="1017">
    <w:name w:val="标题1"/>
    <w:basedOn w:val="904"/>
    <w:next w:val="904"/>
    <w:link w:val="904"/>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1018">
    <w:name w:val="修订"/>
    <w:next w:val="1018"/>
    <w:link w:val="904"/>
    <w:uiPriority w:val="99"/>
    <w:semiHidden/>
    <w:rPr>
      <w:sz w:val="21"/>
      <w:szCs w:val="21"/>
      <w:lang w:val="en-US" w:eastAsia="zh-CN" w:bidi="ar-SA"/>
    </w:rPr>
  </w:style>
  <w:style w:type="paragraph" w:styleId="1019">
    <w:name w:val="无间隔"/>
    <w:next w:val="1019"/>
    <w:link w:val="904"/>
    <w:uiPriority w:val="99"/>
    <w:qFormat/>
    <w:pPr>
      <w:jc w:val="both"/>
      <w:widowControl w:val="off"/>
    </w:pPr>
    <w:rPr>
      <w:sz w:val="21"/>
      <w:szCs w:val="21"/>
      <w:lang w:val="en-US" w:eastAsia="zh-CN" w:bidi="ar-SA"/>
    </w:rPr>
  </w:style>
  <w:style w:type="paragraph" w:styleId="1020">
    <w:name w:val="正文1"/>
    <w:next w:val="1020"/>
    <w:link w:val="904"/>
    <w:uiPriority w:val="99"/>
    <w:qFormat/>
    <w:pPr>
      <w:contextualSpacing/>
      <w:ind w:firstLine="200"/>
      <w:spacing w:before="120" w:after="120" w:line="180" w:lineRule="auto"/>
    </w:pPr>
    <w:rPr>
      <w:rFonts w:eastAsia="Adobe 仿宋 Std R"/>
      <w:sz w:val="21"/>
      <w:szCs w:val="21"/>
      <w:lang w:val="en-US" w:eastAsia="zh-CN" w:bidi="ar-SA"/>
    </w:rPr>
  </w:style>
  <w:style w:type="paragraph" w:styleId="1021">
    <w:name w:val="正文文本缩进2"/>
    <w:basedOn w:val="904"/>
    <w:next w:val="1021"/>
    <w:link w:val="904"/>
    <w:uiPriority w:val="99"/>
    <w:qFormat/>
    <w:pPr>
      <w:ind w:firstLine="301"/>
      <w:spacing w:line="200" w:lineRule="exact"/>
    </w:pPr>
    <w:rPr>
      <w:rFonts w:ascii="宋体" w:hAnsi="Courier New"/>
      <w:spacing w:val="-4"/>
      <w:sz w:val="18"/>
      <w:szCs w:val="24"/>
    </w:rPr>
  </w:style>
  <w:style w:type="paragraph" w:styleId="1022">
    <w:name w:val="正文文本11"/>
    <w:basedOn w:val="904"/>
    <w:next w:val="904"/>
    <w:link w:val="904"/>
    <w:qFormat/>
    <w:rPr>
      <w:rFonts w:ascii="楷体_GB2312" w:hAnsi="Arial" w:eastAsia="楷体_GB2312"/>
      <w:sz w:val="28"/>
      <w:szCs w:val="28"/>
    </w:rPr>
  </w:style>
  <w:style w:type="character" w:styleId="1023">
    <w:name w:val="font31"/>
    <w:next w:val="1023"/>
    <w:link w:val="904"/>
    <w:qFormat/>
    <w:rPr>
      <w:rFonts w:hint="eastAsia" w:ascii="宋体" w:hAnsi="宋体" w:eastAsia="宋体" w:cs="宋体"/>
      <w:color w:val="000000"/>
      <w:sz w:val="24"/>
      <w:szCs w:val="24"/>
      <w:u w:val="none"/>
    </w:rPr>
  </w:style>
  <w:style w:type="character" w:styleId="1024">
    <w:name w:val="bot_zi"/>
    <w:next w:val="1024"/>
    <w:link w:val="904"/>
    <w:qFormat/>
  </w:style>
  <w:style w:type="character" w:styleId="1025">
    <w:name w:val="font21"/>
    <w:next w:val="1025"/>
    <w:link w:val="904"/>
    <w:rPr>
      <w:rFonts w:hint="eastAsia" w:ascii="微软雅黑" w:hAnsi="微软雅黑" w:eastAsia="微软雅黑" w:cs="微软雅黑"/>
      <w:i w:val="0"/>
      <w:iCs w:val="0"/>
      <w:color w:val="000000"/>
      <w:sz w:val="21"/>
      <w:szCs w:val="21"/>
      <w:u w:val="none"/>
    </w:rPr>
  </w:style>
  <w:style w:type="character" w:styleId="1026">
    <w:name w:val="font51"/>
    <w:next w:val="1026"/>
    <w:link w:val="904"/>
    <w:rPr>
      <w:rFonts w:hint="eastAsia" w:ascii="微软雅黑" w:hAnsi="微软雅黑" w:eastAsia="微软雅黑" w:cs="微软雅黑"/>
      <w:i w:val="0"/>
      <w:iCs w:val="0"/>
      <w:color w:val="ff0000"/>
      <w:sz w:val="21"/>
      <w:szCs w:val="21"/>
      <w:u w:val="none"/>
    </w:rPr>
  </w:style>
  <w:style w:type="character" w:styleId="1027">
    <w:name w:val="font41"/>
    <w:next w:val="1027"/>
    <w:link w:val="904"/>
    <w:rPr>
      <w:rFonts w:hint="eastAsia" w:ascii="微软雅黑" w:hAnsi="微软雅黑" w:eastAsia="微软雅黑" w:cs="微软雅黑"/>
      <w:i w:val="0"/>
      <w:iCs w:val="0"/>
      <w:color w:val="000000"/>
      <w:sz w:val="21"/>
      <w:szCs w:val="21"/>
      <w:u w:val="none"/>
    </w:rPr>
  </w:style>
  <w:style w:type="character" w:styleId="1028">
    <w:name w:val="font11"/>
    <w:next w:val="1028"/>
    <w:link w:val="904"/>
    <w:rPr>
      <w:rFonts w:hint="eastAsia" w:ascii="幼圆" w:hAnsi="幼圆" w:eastAsia="幼圆" w:cs="幼圆"/>
      <w:b/>
      <w:bCs/>
      <w:i w:val="0"/>
      <w:iCs w:val="0"/>
      <w:color w:val="000000"/>
      <w:sz w:val="24"/>
      <w:szCs w:val="24"/>
      <w:u w:val="none"/>
    </w:rPr>
  </w:style>
  <w:style w:type="paragraph" w:styleId="1029">
    <w:name w:val="(符号)三标题1.1"/>
    <w:basedOn w:val="904"/>
    <w:next w:val="1029"/>
    <w:link w:val="904"/>
    <w:qFormat/>
    <w:pPr>
      <w:numPr>
        <w:ilvl w:val="0"/>
        <w:numId w:val="5"/>
      </w:numPr>
      <w:spacing w:before="140" w:after="140" w:line="500" w:lineRule="exact"/>
      <w:tabs>
        <w:tab w:val="left" w:pos="420" w:leader="none"/>
        <w:tab w:val="left" w:pos="709" w:leader="none"/>
      </w:tabs>
      <w:outlineLvl w:val="2"/>
    </w:pPr>
    <w:rPr>
      <w:rFonts w:ascii="楷体_GB2312" w:hAnsi="宋体" w:eastAsia="楷体_GB2312"/>
      <w:b/>
      <w:sz w:val="28"/>
    </w:rPr>
  </w:style>
  <w:style w:type="paragraph" w:styleId="1030">
    <w:name w:val="标题 11"/>
    <w:basedOn w:val="904"/>
    <w:next w:val="904"/>
    <w:link w:val="904"/>
    <w:qFormat/>
    <w:pPr>
      <w:keepLines/>
      <w:keepNext/>
      <w:spacing w:before="340" w:after="330" w:line="578" w:lineRule="auto"/>
      <w:outlineLvl w:val="0"/>
    </w:pPr>
    <w:rPr>
      <w:b/>
      <w:bCs/>
      <w:sz w:val="44"/>
      <w:szCs w:val="44"/>
    </w:rPr>
  </w:style>
  <w:style w:type="character" w:styleId="1031">
    <w:name w:val="font01"/>
    <w:basedOn w:val="914"/>
    <w:next w:val="1031"/>
    <w:link w:val="904"/>
    <w:rPr>
      <w:rFonts w:hint="eastAsia" w:ascii="宋体" w:hAnsi="宋体" w:eastAsia="宋体" w:cs="宋体"/>
      <w:i w:val="0"/>
      <w:iCs w:val="0"/>
      <w:color w:val="000000"/>
      <w:sz w:val="22"/>
      <w:szCs w:val="22"/>
      <w:u w:val="none"/>
    </w:rPr>
  </w:style>
  <w:style w:type="character" w:styleId="1032" w:default="1">
    <w:name w:val="Default Paragraph Font"/>
    <w:uiPriority w:val="1"/>
    <w:semiHidden/>
    <w:unhideWhenUsed/>
  </w:style>
  <w:style w:type="numbering" w:styleId="1033" w:default="1">
    <w:name w:val="No List"/>
    <w:uiPriority w:val="99"/>
    <w:semiHidden/>
    <w:unhideWhenUsed/>
  </w:style>
  <w:style w:type="table" w:styleId="103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吴冬晓</cp:lastModifiedBy>
  <cp:revision>11</cp:revision>
  <dcterms:created xsi:type="dcterms:W3CDTF">2025-02-11T09:22:00Z</dcterms:created>
  <dcterms:modified xsi:type="dcterms:W3CDTF">2026-01-04T07:18:38Z</dcterms:modified>
</cp:coreProperties>
</file>