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14ED4" w14:textId="50891C0F" w:rsidR="003138E2" w:rsidRDefault="003138E2">
      <w:r w:rsidRPr="003138E2">
        <w:rPr>
          <w:rFonts w:hint="eastAsia"/>
        </w:rPr>
        <w:t>上海市保健医疗中心(华东疗养院)景观改造</w:t>
      </w:r>
      <w:r>
        <w:rPr>
          <w:rFonts w:hint="eastAsia"/>
        </w:rPr>
        <w:t>编标疑问</w:t>
      </w:r>
    </w:p>
    <w:p w14:paraId="04D10E40" w14:textId="31140A04" w:rsidR="003138E2" w:rsidRDefault="003138E2" w:rsidP="003138E2">
      <w:pPr>
        <w:pStyle w:val="a9"/>
        <w:numPr>
          <w:ilvl w:val="0"/>
          <w:numId w:val="1"/>
        </w:numPr>
      </w:pPr>
      <w:r>
        <w:rPr>
          <w:rFonts w:hint="eastAsia"/>
        </w:rPr>
        <w:t>请明</w:t>
      </w:r>
      <w:bookmarkStart w:id="0" w:name="OLE_LINK3"/>
      <w:bookmarkStart w:id="1" w:name="OLE_LINK1"/>
      <w:bookmarkStart w:id="2" w:name="OLE_LINK2"/>
      <w:r>
        <w:rPr>
          <w:rFonts w:hint="eastAsia"/>
        </w:rPr>
        <w:t>确</w:t>
      </w:r>
      <w:r w:rsidRPr="003138E2">
        <w:rPr>
          <w:rFonts w:hint="eastAsia"/>
        </w:rPr>
        <w:t>乳化沥青封层</w:t>
      </w:r>
      <w:r>
        <w:rPr>
          <w:rFonts w:hint="eastAsia"/>
        </w:rPr>
        <w:t>的材质、喷油量及厚度</w:t>
      </w:r>
      <w:bookmarkEnd w:id="1"/>
      <w:bookmarkEnd w:id="2"/>
    </w:p>
    <w:bookmarkEnd w:id="0"/>
    <w:p w14:paraId="68D11211" w14:textId="5194C66F" w:rsidR="00D727F4" w:rsidRDefault="00D727F4" w:rsidP="00D727F4">
      <w:pPr>
        <w:pStyle w:val="a9"/>
        <w:ind w:left="360"/>
      </w:pPr>
      <w:r>
        <w:rPr>
          <w:rFonts w:hint="eastAsia"/>
        </w:rPr>
        <w:t>回复：</w:t>
      </w:r>
      <w:r w:rsidR="00064A60">
        <w:rPr>
          <w:rFonts w:hint="eastAsia"/>
        </w:rPr>
        <w:t>下封层材料为</w:t>
      </w:r>
      <w:r w:rsidR="0097122C">
        <w:rPr>
          <w:rFonts w:hint="eastAsia"/>
        </w:rPr>
        <w:t>乳化沥青</w:t>
      </w:r>
      <w:r w:rsidR="00480B93">
        <w:rPr>
          <w:rFonts w:hint="eastAsia"/>
        </w:rPr>
        <w:t>厚度</w:t>
      </w:r>
      <w:r w:rsidR="00D3503C">
        <w:t>7</w:t>
      </w:r>
      <w:r w:rsidR="00480B93">
        <w:t>mm,</w:t>
      </w:r>
      <w:r w:rsidR="00480B93">
        <w:rPr>
          <w:rFonts w:hint="eastAsia"/>
        </w:rPr>
        <w:t>喷油量为0.6</w:t>
      </w:r>
      <w:r w:rsidR="00480B93">
        <w:t>L/</w:t>
      </w:r>
      <w:r w:rsidR="00480B93">
        <w:rPr>
          <w:rFonts w:hint="eastAsia"/>
        </w:rPr>
        <w:t>㎡~1.0</w:t>
      </w:r>
      <w:r w:rsidR="00480B93">
        <w:t>L/</w:t>
      </w:r>
      <w:r w:rsidR="00480B93">
        <w:rPr>
          <w:rFonts w:hint="eastAsia"/>
        </w:rPr>
        <w:t>㎡</w:t>
      </w:r>
      <w:r w:rsidR="00480B93">
        <w:t xml:space="preserve"> .</w:t>
      </w:r>
    </w:p>
    <w:p w14:paraId="14B85502" w14:textId="52D7DA76" w:rsidR="003138E2" w:rsidRDefault="003138E2" w:rsidP="003138E2">
      <w:pPr>
        <w:pStyle w:val="a9"/>
        <w:numPr>
          <w:ilvl w:val="0"/>
          <w:numId w:val="1"/>
        </w:numPr>
      </w:pPr>
      <w:r>
        <w:rPr>
          <w:rFonts w:hint="eastAsia"/>
        </w:rPr>
        <w:t>请明确</w:t>
      </w:r>
      <w:r w:rsidRPr="003138E2">
        <w:rPr>
          <w:rFonts w:hint="eastAsia"/>
        </w:rPr>
        <w:t>乳化沥青</w:t>
      </w:r>
      <w:bookmarkStart w:id="3" w:name="OLE_LINK4"/>
      <w:bookmarkStart w:id="4" w:name="OLE_LINK5"/>
      <w:r w:rsidRPr="003138E2">
        <w:rPr>
          <w:rFonts w:hint="eastAsia"/>
        </w:rPr>
        <w:t>粘油层</w:t>
      </w:r>
      <w:bookmarkEnd w:id="3"/>
      <w:bookmarkEnd w:id="4"/>
      <w:r w:rsidRPr="003138E2">
        <w:rPr>
          <w:rFonts w:hint="eastAsia"/>
        </w:rPr>
        <w:t>材质</w:t>
      </w:r>
      <w:r>
        <w:rPr>
          <w:rFonts w:hint="eastAsia"/>
        </w:rPr>
        <w:t>及</w:t>
      </w:r>
      <w:r w:rsidRPr="003138E2">
        <w:rPr>
          <w:rFonts w:hint="eastAsia"/>
        </w:rPr>
        <w:t>喷油量</w:t>
      </w:r>
    </w:p>
    <w:p w14:paraId="3DE4C559" w14:textId="2264B20D" w:rsidR="00D727F4" w:rsidRPr="00D3503C" w:rsidRDefault="00D727F4" w:rsidP="00D3503C">
      <w:pPr>
        <w:widowControl/>
        <w:ind w:firstLineChars="150" w:firstLine="330"/>
        <w:rPr>
          <w:rFonts w:ascii="宋体" w:eastAsia="宋体" w:hAnsi="宋体" w:cs="宋体" w:hint="eastAsia"/>
          <w:kern w:val="0"/>
          <w:sz w:val="24"/>
          <w14:ligatures w14:val="none"/>
        </w:rPr>
      </w:pPr>
      <w:r>
        <w:rPr>
          <w:rFonts w:hint="eastAsia"/>
        </w:rPr>
        <w:t>回复：</w:t>
      </w:r>
      <w:r w:rsidR="00480B93">
        <w:rPr>
          <w:rFonts w:hint="eastAsia"/>
        </w:rPr>
        <w:t>粘油层</w:t>
      </w:r>
      <w:r w:rsidR="00D3503C" w:rsidRPr="00D3503C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  <w14:ligatures w14:val="none"/>
        </w:rPr>
        <w:t>粘层：</w:t>
      </w:r>
      <w:r w:rsidR="00D3503C" w:rsidRPr="00D3503C">
        <w:rPr>
          <w:rFonts w:ascii="Microsoft YaHei UI" w:eastAsia="Microsoft YaHei UI" w:hAnsi="Microsoft YaHei UI" w:cs="Times New Roman" w:hint="eastAsia"/>
          <w:spacing w:val="8"/>
          <w:kern w:val="0"/>
          <w:sz w:val="23"/>
          <w:szCs w:val="23"/>
          <w14:ligatures w14:val="none"/>
        </w:rPr>
        <w:t>0.3~0.5L/</w:t>
      </w:r>
      <w:r w:rsidR="00D3503C" w:rsidRPr="00D3503C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  <w14:ligatures w14:val="none"/>
        </w:rPr>
        <w:t>㎡改性乳化沥青</w:t>
      </w:r>
      <w:r w:rsidR="00D3503C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  <w14:ligatures w14:val="none"/>
        </w:rPr>
        <w:t>.</w:t>
      </w:r>
    </w:p>
    <w:p w14:paraId="02FCD227" w14:textId="519603E0" w:rsidR="007D0BC7" w:rsidRDefault="007D0BC7" w:rsidP="003138E2">
      <w:pPr>
        <w:pStyle w:val="a9"/>
        <w:numPr>
          <w:ilvl w:val="0"/>
          <w:numId w:val="1"/>
        </w:numPr>
      </w:pPr>
      <w:r>
        <w:rPr>
          <w:rFonts w:hint="eastAsia"/>
        </w:rPr>
        <w:t>请明确彩色混凝土的强度等级</w:t>
      </w:r>
    </w:p>
    <w:p w14:paraId="031F8A9C" w14:textId="21716850" w:rsidR="00D727F4" w:rsidRDefault="00D727F4" w:rsidP="00D727F4">
      <w:pPr>
        <w:pStyle w:val="a9"/>
        <w:ind w:left="360"/>
      </w:pPr>
      <w:r>
        <w:rPr>
          <w:rFonts w:hint="eastAsia"/>
        </w:rPr>
        <w:t>回复：C</w:t>
      </w:r>
      <w:r>
        <w:t>30</w:t>
      </w:r>
    </w:p>
    <w:p w14:paraId="4B271580" w14:textId="74A6BE2C" w:rsidR="007D0BC7" w:rsidRDefault="007D0BC7" w:rsidP="003138E2">
      <w:pPr>
        <w:pStyle w:val="a9"/>
        <w:numPr>
          <w:ilvl w:val="0"/>
          <w:numId w:val="1"/>
        </w:numPr>
      </w:pPr>
      <w:r>
        <w:rPr>
          <w:rFonts w:hint="eastAsia"/>
        </w:rPr>
        <w:t>请明确细石混凝土的</w:t>
      </w:r>
      <w:r w:rsidR="001F3917">
        <w:rPr>
          <w:rFonts w:hint="eastAsia"/>
        </w:rPr>
        <w:t>强度</w:t>
      </w:r>
      <w:r>
        <w:rPr>
          <w:rFonts w:hint="eastAsia"/>
        </w:rPr>
        <w:t>等级</w:t>
      </w:r>
    </w:p>
    <w:p w14:paraId="01C106C1" w14:textId="55DB71A1" w:rsidR="007D0BC7" w:rsidRDefault="000C1065" w:rsidP="000C1065">
      <w:pPr>
        <w:pStyle w:val="a9"/>
        <w:ind w:left="360"/>
      </w:pPr>
      <w:r>
        <w:rPr>
          <w:noProof/>
        </w:rPr>
        <w:drawing>
          <wp:inline distT="0" distB="0" distL="0" distR="0" wp14:anchorId="0F14B3E4" wp14:editId="71437DDE">
            <wp:extent cx="3657600" cy="2224585"/>
            <wp:effectExtent l="0" t="0" r="0" b="4445"/>
            <wp:docPr id="19945777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57773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3763" cy="222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315B6" w14:textId="53645D42" w:rsidR="00D727F4" w:rsidRDefault="00D727F4" w:rsidP="000C1065">
      <w:pPr>
        <w:pStyle w:val="a9"/>
        <w:ind w:left="360"/>
      </w:pPr>
      <w:r>
        <w:rPr>
          <w:rFonts w:hint="eastAsia"/>
        </w:rPr>
        <w:t>回复：</w:t>
      </w:r>
      <w:r>
        <w:t>C20</w:t>
      </w:r>
      <w:r>
        <w:rPr>
          <w:rFonts w:hint="eastAsia"/>
        </w:rPr>
        <w:t>细石混凝土。</w:t>
      </w:r>
    </w:p>
    <w:p w14:paraId="5BE4A6C1" w14:textId="4C5A7E33" w:rsidR="000C1065" w:rsidRDefault="000C1065" w:rsidP="00364496">
      <w:pPr>
        <w:pStyle w:val="a9"/>
        <w:numPr>
          <w:ilvl w:val="0"/>
          <w:numId w:val="1"/>
        </w:numPr>
      </w:pPr>
      <w:r>
        <w:rPr>
          <w:rFonts w:hint="eastAsia"/>
        </w:rPr>
        <w:t>请问原路是否存在现状侧平石，是否需要拆除</w:t>
      </w:r>
      <w:r w:rsidR="00252BD6">
        <w:rPr>
          <w:rFonts w:hint="eastAsia"/>
        </w:rPr>
        <w:t>，需要的话请提供数量。</w:t>
      </w:r>
    </w:p>
    <w:p w14:paraId="46A84078" w14:textId="52ACFDEB" w:rsidR="00D727F4" w:rsidRDefault="00D727F4" w:rsidP="00D727F4">
      <w:pPr>
        <w:pStyle w:val="a9"/>
        <w:ind w:left="360"/>
      </w:pPr>
      <w:r>
        <w:rPr>
          <w:rFonts w:hint="eastAsia"/>
        </w:rPr>
        <w:t>回复：原始道路有平侧石，长度同道路长度。</w:t>
      </w:r>
    </w:p>
    <w:p w14:paraId="36229B7D" w14:textId="43F2D403" w:rsidR="00364496" w:rsidRDefault="00364496" w:rsidP="00364496">
      <w:pPr>
        <w:pStyle w:val="a9"/>
        <w:numPr>
          <w:ilvl w:val="0"/>
          <w:numId w:val="1"/>
        </w:numPr>
      </w:pPr>
      <w:r>
        <w:rPr>
          <w:rFonts w:hint="eastAsia"/>
        </w:rPr>
        <w:t>请明确</w:t>
      </w:r>
      <w:bookmarkStart w:id="5" w:name="OLE_LINK6"/>
      <w:bookmarkStart w:id="6" w:name="OLE_LINK7"/>
      <w:r w:rsidRPr="00364496">
        <w:rPr>
          <w:rFonts w:hint="eastAsia"/>
        </w:rPr>
        <w:t>白色热熔胶划线</w:t>
      </w:r>
      <w:r>
        <w:rPr>
          <w:rFonts w:hint="eastAsia"/>
        </w:rPr>
        <w:t>的材料品种</w:t>
      </w:r>
      <w:bookmarkEnd w:id="5"/>
      <w:bookmarkEnd w:id="6"/>
      <w:r>
        <w:rPr>
          <w:rFonts w:hint="eastAsia"/>
        </w:rPr>
        <w:t>和工艺。</w:t>
      </w:r>
    </w:p>
    <w:p w14:paraId="307DB9D0" w14:textId="57F02E71" w:rsidR="001745CF" w:rsidRDefault="001745CF" w:rsidP="001745CF">
      <w:pPr>
        <w:spacing w:line="360" w:lineRule="auto"/>
        <w:rPr>
          <w:rFonts w:ascii="宋体" w:eastAsia="宋体" w:hAnsi="宋体"/>
          <w:sz w:val="24"/>
        </w:rPr>
      </w:pPr>
      <w:r>
        <w:rPr>
          <w:rFonts w:hint="eastAsia"/>
        </w:rPr>
        <w:t>回复：</w:t>
      </w:r>
      <w:r>
        <w:rPr>
          <w:rFonts w:ascii="宋体" w:eastAsia="宋体" w:hAnsi="宋体"/>
          <w:sz w:val="24"/>
        </w:rPr>
        <w:t>A</w:t>
      </w:r>
      <w:r>
        <w:rPr>
          <w:rFonts w:ascii="宋体" w:eastAsia="宋体" w:hAnsi="宋体" w:hint="eastAsia"/>
          <w:sz w:val="24"/>
        </w:rPr>
        <w:t>、</w:t>
      </w:r>
      <w:r w:rsidRPr="001A0DC7">
        <w:rPr>
          <w:rFonts w:ascii="宋体" w:eastAsia="宋体" w:hAnsi="宋体"/>
          <w:sz w:val="24"/>
        </w:rPr>
        <w:t>热熔型标线外观应整洁，边缘整齐，颜色均匀，无裂缝，</w:t>
      </w:r>
      <w:r>
        <w:rPr>
          <w:rFonts w:ascii="宋体" w:eastAsia="宋体" w:hAnsi="宋体" w:hint="eastAsia"/>
          <w:sz w:val="24"/>
        </w:rPr>
        <w:t>厚度为3</w:t>
      </w:r>
      <w:r w:rsidRPr="001A0DC7">
        <w:rPr>
          <w:rFonts w:ascii="宋体" w:eastAsia="宋体" w:hAnsi="宋体"/>
          <w:sz w:val="24"/>
        </w:rPr>
        <w:t>mm。</w:t>
      </w:r>
    </w:p>
    <w:p w14:paraId="624E2DE3" w14:textId="07691344" w:rsidR="001745CF" w:rsidRDefault="001745CF" w:rsidP="001745CF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B</w:t>
      </w:r>
      <w:r>
        <w:rPr>
          <w:rFonts w:ascii="宋体" w:eastAsia="宋体" w:hAnsi="宋体" w:hint="eastAsia"/>
          <w:sz w:val="24"/>
        </w:rPr>
        <w:t>、</w:t>
      </w:r>
      <w:r w:rsidRPr="00900846">
        <w:rPr>
          <w:rFonts w:ascii="宋体" w:eastAsia="宋体" w:hAnsi="宋体"/>
          <w:sz w:val="24"/>
        </w:rPr>
        <w:t>标线应使用抗滑材料，抗滑值应不小于45BPN</w:t>
      </w:r>
      <w:r>
        <w:rPr>
          <w:rFonts w:ascii="宋体" w:eastAsia="宋体" w:hAnsi="宋体" w:hint="eastAsia"/>
          <w:sz w:val="24"/>
        </w:rPr>
        <w:t>。</w:t>
      </w:r>
    </w:p>
    <w:p w14:paraId="6C4348AF" w14:textId="26146BBE" w:rsidR="001745CF" w:rsidRDefault="001745CF" w:rsidP="001745CF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C</w:t>
      </w:r>
      <w:r>
        <w:rPr>
          <w:rFonts w:ascii="宋体" w:eastAsia="宋体" w:hAnsi="宋体" w:hint="eastAsia"/>
          <w:sz w:val="24"/>
        </w:rPr>
        <w:t>、</w:t>
      </w:r>
      <w:r w:rsidRPr="00D702CA">
        <w:rPr>
          <w:rFonts w:ascii="宋体" w:eastAsia="宋体" w:hAnsi="宋体" w:hint="eastAsia"/>
          <w:sz w:val="24"/>
        </w:rPr>
        <w:t>在规定的使用期限内</w:t>
      </w:r>
      <w:r w:rsidRPr="00D702CA">
        <w:rPr>
          <w:rFonts w:ascii="宋体" w:eastAsia="宋体" w:hAnsi="宋体"/>
          <w:sz w:val="24"/>
        </w:rPr>
        <w:t>,标线不应出现明显的变色。道路交通标线颜色的色度性能应符合现行国家标准《道路交通标线质量要求和检测方法》GB/T16311的规定</w:t>
      </w:r>
      <w:r>
        <w:rPr>
          <w:rFonts w:ascii="宋体" w:eastAsia="宋体" w:hAnsi="宋体" w:hint="eastAsia"/>
          <w:sz w:val="24"/>
        </w:rPr>
        <w:t>。</w:t>
      </w:r>
    </w:p>
    <w:p w14:paraId="6C485F00" w14:textId="77B1A829" w:rsidR="001745CF" w:rsidRDefault="001745CF" w:rsidP="001745CF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D</w:t>
      </w:r>
      <w:r>
        <w:rPr>
          <w:rFonts w:ascii="宋体" w:eastAsia="宋体" w:hAnsi="宋体" w:hint="eastAsia"/>
          <w:sz w:val="24"/>
        </w:rPr>
        <w:t>、</w:t>
      </w:r>
      <w:r w:rsidRPr="00D702CA">
        <w:rPr>
          <w:rFonts w:ascii="宋体" w:eastAsia="宋体" w:hAnsi="宋体" w:hint="eastAsia"/>
          <w:sz w:val="24"/>
        </w:rPr>
        <w:t>白色反光标线的亮度因数应大于或等于</w:t>
      </w:r>
      <w:r w:rsidRPr="00D702CA">
        <w:rPr>
          <w:rFonts w:ascii="宋体" w:eastAsia="宋体" w:hAnsi="宋体"/>
          <w:sz w:val="24"/>
        </w:rPr>
        <w:t>0.35,黄色反光标线的亮度因数应大于或等于0.27。</w:t>
      </w:r>
    </w:p>
    <w:p w14:paraId="2F7185E7" w14:textId="3E0F0F9C" w:rsidR="001745CF" w:rsidRDefault="001745CF" w:rsidP="001745CF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E</w:t>
      </w:r>
      <w:r>
        <w:rPr>
          <w:rFonts w:ascii="宋体" w:eastAsia="宋体" w:hAnsi="宋体" w:hint="eastAsia"/>
          <w:sz w:val="24"/>
        </w:rPr>
        <w:t>、</w:t>
      </w:r>
      <w:r w:rsidRPr="00D702CA">
        <w:rPr>
          <w:rFonts w:ascii="宋体" w:eastAsia="宋体" w:hAnsi="宋体" w:hint="eastAsia"/>
          <w:sz w:val="24"/>
        </w:rPr>
        <w:t>新施划标线的初始逆反射亮度系数应符合现行国家标准《新划路面标线初始</w:t>
      </w:r>
      <w:r w:rsidRPr="00D702CA">
        <w:rPr>
          <w:rFonts w:ascii="宋体" w:eastAsia="宋体" w:hAnsi="宋体" w:hint="eastAsia"/>
          <w:sz w:val="24"/>
        </w:rPr>
        <w:lastRenderedPageBreak/>
        <w:t>逆反射亮度系数及测试方法》</w:t>
      </w:r>
      <w:r w:rsidRPr="00D702CA">
        <w:rPr>
          <w:rFonts w:ascii="宋体" w:eastAsia="宋体" w:hAnsi="宋体"/>
          <w:sz w:val="24"/>
        </w:rPr>
        <w:t>GB/T21383的规定,白色反光标线的逆反射亮度系数不应低于150mcd·m</w:t>
      </w:r>
      <w:r w:rsidRPr="00D702CA">
        <w:rPr>
          <w:rFonts w:ascii="宋体" w:eastAsia="宋体" w:hAnsi="宋体"/>
          <w:sz w:val="24"/>
          <w:vertAlign w:val="superscript"/>
        </w:rPr>
        <w:t>-2</w:t>
      </w:r>
      <w:r w:rsidRPr="00D702CA">
        <w:rPr>
          <w:rFonts w:ascii="宋体" w:eastAsia="宋体" w:hAnsi="宋体"/>
          <w:sz w:val="24"/>
        </w:rPr>
        <w:t>·1x</w:t>
      </w:r>
      <w:r w:rsidRPr="00D702CA">
        <w:rPr>
          <w:rFonts w:ascii="宋体" w:eastAsia="宋体" w:hAnsi="宋体" w:hint="eastAsia"/>
          <w:sz w:val="24"/>
          <w:vertAlign w:val="superscript"/>
        </w:rPr>
        <w:t>-</w:t>
      </w:r>
      <w:r w:rsidRPr="00D702CA">
        <w:rPr>
          <w:rFonts w:ascii="宋体" w:eastAsia="宋体" w:hAnsi="宋体"/>
          <w:sz w:val="24"/>
          <w:vertAlign w:val="superscript"/>
        </w:rPr>
        <w:t>1</w:t>
      </w:r>
      <w:r w:rsidRPr="00D702CA">
        <w:rPr>
          <w:rFonts w:ascii="宋体" w:eastAsia="宋体" w:hAnsi="宋体"/>
          <w:sz w:val="24"/>
        </w:rPr>
        <w:t>,黄色反光标线的逆反射亮度系数不应低于100 mcd·m</w:t>
      </w:r>
      <w:r w:rsidRPr="00D702CA">
        <w:rPr>
          <w:rFonts w:ascii="宋体" w:eastAsia="宋体" w:hAnsi="宋体"/>
          <w:sz w:val="24"/>
          <w:vertAlign w:val="superscript"/>
        </w:rPr>
        <w:t>-2</w:t>
      </w:r>
      <w:r w:rsidRPr="00D702CA">
        <w:rPr>
          <w:rFonts w:ascii="宋体" w:eastAsia="宋体" w:hAnsi="宋体"/>
          <w:sz w:val="24"/>
        </w:rPr>
        <w:t>·1x</w:t>
      </w:r>
      <w:r w:rsidRPr="00D702CA">
        <w:rPr>
          <w:rFonts w:ascii="宋体" w:eastAsia="宋体" w:hAnsi="宋体" w:hint="eastAsia"/>
          <w:sz w:val="24"/>
          <w:vertAlign w:val="superscript"/>
        </w:rPr>
        <w:t>-</w:t>
      </w:r>
      <w:r w:rsidRPr="00D702CA">
        <w:rPr>
          <w:rFonts w:ascii="宋体" w:eastAsia="宋体" w:hAnsi="宋体"/>
          <w:sz w:val="24"/>
          <w:vertAlign w:val="superscript"/>
        </w:rPr>
        <w:t>1</w:t>
      </w:r>
      <w:r>
        <w:rPr>
          <w:rFonts w:ascii="宋体" w:eastAsia="宋体" w:hAnsi="宋体" w:hint="eastAsia"/>
          <w:sz w:val="24"/>
        </w:rPr>
        <w:t>。</w:t>
      </w:r>
    </w:p>
    <w:p w14:paraId="312AAEFC" w14:textId="31A36505" w:rsidR="001745CF" w:rsidRPr="001A0DC7" w:rsidRDefault="001745CF" w:rsidP="001745CF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F</w:t>
      </w:r>
      <w:r>
        <w:rPr>
          <w:rFonts w:ascii="宋体" w:eastAsia="宋体" w:hAnsi="宋体" w:hint="eastAsia"/>
          <w:sz w:val="24"/>
        </w:rPr>
        <w:t>、</w:t>
      </w:r>
      <w:r w:rsidRPr="00D702CA">
        <w:rPr>
          <w:rFonts w:ascii="宋体" w:eastAsia="宋体" w:hAnsi="宋体" w:hint="eastAsia"/>
          <w:sz w:val="24"/>
        </w:rPr>
        <w:t>标线在正常使用期间</w:t>
      </w:r>
      <w:r w:rsidRPr="00D702CA">
        <w:rPr>
          <w:rFonts w:ascii="宋体" w:eastAsia="宋体" w:hAnsi="宋体"/>
          <w:sz w:val="24"/>
        </w:rPr>
        <w:t>,反射标线的逆反射系数应满足夜间水下视认要求，白色反光标线的逆反射亮度系数不应低于80 mcd·m</w:t>
      </w:r>
      <w:r w:rsidRPr="00D702CA">
        <w:rPr>
          <w:rFonts w:ascii="宋体" w:eastAsia="宋体" w:hAnsi="宋体"/>
          <w:sz w:val="24"/>
          <w:vertAlign w:val="superscript"/>
        </w:rPr>
        <w:t>-2</w:t>
      </w:r>
      <w:r w:rsidRPr="00D702CA">
        <w:rPr>
          <w:rFonts w:ascii="宋体" w:eastAsia="宋体" w:hAnsi="宋体"/>
          <w:sz w:val="24"/>
        </w:rPr>
        <w:t>·1x</w:t>
      </w:r>
      <w:r w:rsidRPr="00D702CA">
        <w:rPr>
          <w:rFonts w:ascii="宋体" w:eastAsia="宋体" w:hAnsi="宋体" w:hint="eastAsia"/>
          <w:sz w:val="24"/>
          <w:vertAlign w:val="superscript"/>
        </w:rPr>
        <w:t>-</w:t>
      </w:r>
      <w:r w:rsidRPr="00D702CA">
        <w:rPr>
          <w:rFonts w:ascii="宋体" w:eastAsia="宋体" w:hAnsi="宋体"/>
          <w:sz w:val="24"/>
          <w:vertAlign w:val="superscript"/>
        </w:rPr>
        <w:t>1</w:t>
      </w:r>
      <w:r w:rsidRPr="00D702CA">
        <w:rPr>
          <w:rFonts w:ascii="宋体" w:eastAsia="宋体" w:hAnsi="宋体"/>
          <w:sz w:val="24"/>
        </w:rPr>
        <w:t>,黄色反光标线的逆反射亮度系数不应低于mcd·m</w:t>
      </w:r>
      <w:r w:rsidRPr="00D702CA">
        <w:rPr>
          <w:rFonts w:ascii="宋体" w:eastAsia="宋体" w:hAnsi="宋体"/>
          <w:sz w:val="24"/>
          <w:vertAlign w:val="superscript"/>
        </w:rPr>
        <w:t>-2</w:t>
      </w:r>
      <w:r w:rsidRPr="00D702CA">
        <w:rPr>
          <w:rFonts w:ascii="宋体" w:eastAsia="宋体" w:hAnsi="宋体"/>
          <w:sz w:val="24"/>
        </w:rPr>
        <w:t>·1x</w:t>
      </w:r>
      <w:r w:rsidRPr="00D702CA">
        <w:rPr>
          <w:rFonts w:ascii="宋体" w:eastAsia="宋体" w:hAnsi="宋体" w:hint="eastAsia"/>
          <w:sz w:val="24"/>
          <w:vertAlign w:val="superscript"/>
        </w:rPr>
        <w:t>-</w:t>
      </w:r>
      <w:r w:rsidRPr="00D702CA">
        <w:rPr>
          <w:rFonts w:ascii="宋体" w:eastAsia="宋体" w:hAnsi="宋体"/>
          <w:sz w:val="24"/>
          <w:vertAlign w:val="superscript"/>
        </w:rPr>
        <w:t>1</w:t>
      </w:r>
      <w:r>
        <w:rPr>
          <w:rFonts w:ascii="宋体" w:eastAsia="宋体" w:hAnsi="宋体" w:hint="eastAsia"/>
          <w:sz w:val="24"/>
        </w:rPr>
        <w:t>。</w:t>
      </w:r>
    </w:p>
    <w:p w14:paraId="4D87B8A3" w14:textId="7A7B2035" w:rsidR="001745CF" w:rsidRPr="001A0DC7" w:rsidRDefault="001745CF" w:rsidP="001745CF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G</w:t>
      </w:r>
      <w:r>
        <w:rPr>
          <w:rFonts w:ascii="宋体" w:eastAsia="宋体" w:hAnsi="宋体" w:hint="eastAsia"/>
          <w:sz w:val="24"/>
        </w:rPr>
        <w:t>、</w:t>
      </w:r>
      <w:r w:rsidRPr="001A0DC7">
        <w:rPr>
          <w:rFonts w:ascii="宋体" w:eastAsia="宋体" w:hAnsi="宋体"/>
          <w:sz w:val="24"/>
        </w:rPr>
        <w:t>热熔型标线涂料应符合</w:t>
      </w:r>
      <w:r>
        <w:rPr>
          <w:rFonts w:ascii="宋体" w:eastAsia="宋体" w:hAnsi="宋体" w:hint="eastAsia"/>
          <w:sz w:val="24"/>
        </w:rPr>
        <w:t>《</w:t>
      </w:r>
      <w:r w:rsidRPr="001A0DC7">
        <w:rPr>
          <w:rFonts w:ascii="宋体" w:eastAsia="宋体" w:hAnsi="宋体"/>
          <w:sz w:val="24"/>
        </w:rPr>
        <w:t>路面标线涂料</w:t>
      </w:r>
      <w:r>
        <w:rPr>
          <w:rFonts w:ascii="宋体" w:eastAsia="宋体" w:hAnsi="宋体" w:hint="eastAsia"/>
          <w:sz w:val="24"/>
        </w:rPr>
        <w:t>》</w:t>
      </w:r>
      <w:r w:rsidRPr="00D369E3">
        <w:rPr>
          <w:rFonts w:ascii="宋体" w:eastAsia="宋体" w:hAnsi="宋体"/>
          <w:sz w:val="24"/>
        </w:rPr>
        <w:t>JT/T 280-2022</w:t>
      </w:r>
      <w:r>
        <w:rPr>
          <w:rFonts w:ascii="宋体" w:eastAsia="宋体" w:hAnsi="宋体" w:hint="eastAsia"/>
          <w:sz w:val="24"/>
        </w:rPr>
        <w:t>的规定；</w:t>
      </w:r>
      <w:r w:rsidRPr="00D369E3">
        <w:rPr>
          <w:rFonts w:ascii="宋体" w:eastAsia="宋体" w:hAnsi="宋体" w:hint="eastAsia"/>
          <w:sz w:val="24"/>
        </w:rPr>
        <w:t>路面标线用玻璃珠的性能应符合现行国家标准</w:t>
      </w:r>
      <w:r w:rsidRPr="001A0DC7">
        <w:rPr>
          <w:rFonts w:ascii="宋体" w:eastAsia="宋体" w:hAnsi="宋体"/>
          <w:sz w:val="24"/>
        </w:rPr>
        <w:t>《路面标线用玻璃珠》</w:t>
      </w:r>
      <w:r w:rsidRPr="00D369E3">
        <w:rPr>
          <w:rFonts w:ascii="宋体" w:eastAsia="宋体" w:hAnsi="宋体"/>
          <w:sz w:val="24"/>
        </w:rPr>
        <w:t>GB/T 24722-2020</w:t>
      </w:r>
      <w:r>
        <w:rPr>
          <w:rFonts w:ascii="宋体" w:eastAsia="宋体" w:hAnsi="宋体" w:hint="eastAsia"/>
          <w:sz w:val="24"/>
        </w:rPr>
        <w:t>的规定。</w:t>
      </w:r>
    </w:p>
    <w:p w14:paraId="6AC31CCE" w14:textId="23B438E0" w:rsidR="001745CF" w:rsidRPr="00FE40B7" w:rsidRDefault="001745CF" w:rsidP="001745CF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H</w:t>
      </w:r>
      <w:bookmarkStart w:id="7" w:name="_GoBack"/>
      <w:bookmarkEnd w:id="7"/>
      <w:r w:rsidRPr="00FE40B7">
        <w:rPr>
          <w:rFonts w:ascii="宋体" w:eastAsia="宋体" w:hAnsi="宋体" w:hint="eastAsia"/>
          <w:sz w:val="24"/>
        </w:rPr>
        <w:t>、标线的外观质量、尺寸偏差、</w:t>
      </w:r>
      <w:r>
        <w:rPr>
          <w:rFonts w:ascii="宋体" w:eastAsia="宋体" w:hAnsi="宋体" w:hint="eastAsia"/>
          <w:sz w:val="24"/>
        </w:rPr>
        <w:t>厚度应符合设计要求。</w:t>
      </w:r>
    </w:p>
    <w:p w14:paraId="55BC4996" w14:textId="13B8B829" w:rsidR="001745CF" w:rsidRPr="001745CF" w:rsidRDefault="001745CF" w:rsidP="001745CF">
      <w:pPr>
        <w:pStyle w:val="a9"/>
        <w:ind w:left="360"/>
        <w:rPr>
          <w:rFonts w:hint="eastAsia"/>
        </w:rPr>
      </w:pPr>
    </w:p>
    <w:sectPr w:rsidR="001745CF" w:rsidRPr="00174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E6C31" w14:textId="77777777" w:rsidR="008F0841" w:rsidRDefault="008F0841">
      <w:pPr>
        <w:spacing w:after="0" w:line="240" w:lineRule="auto"/>
      </w:pPr>
    </w:p>
  </w:endnote>
  <w:endnote w:type="continuationSeparator" w:id="0">
    <w:p w14:paraId="6BABDF27" w14:textId="77777777" w:rsidR="008F0841" w:rsidRDefault="008F08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8AA57" w14:textId="77777777" w:rsidR="008F0841" w:rsidRDefault="008F0841">
      <w:pPr>
        <w:spacing w:after="0" w:line="240" w:lineRule="auto"/>
      </w:pPr>
    </w:p>
  </w:footnote>
  <w:footnote w:type="continuationSeparator" w:id="0">
    <w:p w14:paraId="50F101A4" w14:textId="77777777" w:rsidR="008F0841" w:rsidRDefault="008F08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3695B"/>
    <w:multiLevelType w:val="hybridMultilevel"/>
    <w:tmpl w:val="1F9294A4"/>
    <w:lvl w:ilvl="0" w:tplc="83C6AF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E2"/>
    <w:rsid w:val="00064A60"/>
    <w:rsid w:val="000C1065"/>
    <w:rsid w:val="001745CF"/>
    <w:rsid w:val="001F3917"/>
    <w:rsid w:val="00252BD6"/>
    <w:rsid w:val="003138E2"/>
    <w:rsid w:val="00364496"/>
    <w:rsid w:val="00480B93"/>
    <w:rsid w:val="007D0BC7"/>
    <w:rsid w:val="00846DF8"/>
    <w:rsid w:val="00891F16"/>
    <w:rsid w:val="008F0841"/>
    <w:rsid w:val="0097122C"/>
    <w:rsid w:val="00A337A6"/>
    <w:rsid w:val="00CB6F3E"/>
    <w:rsid w:val="00D3503C"/>
    <w:rsid w:val="00D727F4"/>
    <w:rsid w:val="00E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DD4F0"/>
  <w15:chartTrackingRefBased/>
  <w15:docId w15:val="{9CAC2A8E-9550-4DBE-A62E-248F3740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仁武 徐</dc:creator>
  <cp:keywords/>
  <dc:description/>
  <cp:lastModifiedBy>3100-06112现代环境园林景观设计三所S-费景波</cp:lastModifiedBy>
  <cp:revision>2</cp:revision>
  <dcterms:created xsi:type="dcterms:W3CDTF">2025-05-06T02:20:00Z</dcterms:created>
  <dcterms:modified xsi:type="dcterms:W3CDTF">2025-05-06T02:20:00Z</dcterms:modified>
</cp:coreProperties>
</file>