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103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1031"/>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t xml:space="preserve">（暗标）</w:t>
      </w:r>
      <w:r>
        <w:rPr>
          <w:rFonts w:ascii="黑体" w:hAnsi="华文中宋" w:eastAsia="黑体"/>
          <w:bCs/>
          <w:color w:val="auto"/>
          <w:spacing w:val="20"/>
          <w:sz w:val="52"/>
          <w:szCs w:val="52"/>
          <w:highlight w:val="none"/>
        </w:rPr>
      </w:r>
      <w:r>
        <w:rPr>
          <w:color w:val="auto"/>
          <w:highlight w:val="none"/>
        </w:rPr>
      </w:r>
    </w:p>
    <w:p>
      <w:pPr>
        <w:pStyle w:val="103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103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103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43"/>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JSZC-320200-JZCG-G2024-0262</w:t>
      </w:r>
      <w:r>
        <w:rPr>
          <w:rFonts w:ascii="黑体" w:hAnsi="华文中宋" w:eastAsia="黑体"/>
          <w:bCs/>
          <w:color w:val="auto"/>
          <w:sz w:val="32"/>
          <w:szCs w:val="32"/>
          <w:highlight w:val="none"/>
        </w:rPr>
      </w:r>
      <w:r>
        <w:rPr>
          <w:color w:val="auto"/>
          <w:highlight w:val="none"/>
        </w:rPr>
      </w:r>
    </w:p>
    <w:p>
      <w:pPr>
        <w:pStyle w:val="943"/>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无锡市农业农村大数据平台二期项目</w:t>
      </w:r>
      <w:r>
        <w:rPr>
          <w:rFonts w:hint="eastAsia" w:ascii="黑体" w:hAnsi="华文中宋" w:eastAsia="黑体"/>
          <w:bCs/>
          <w:color w:val="auto"/>
          <w:sz w:val="32"/>
          <w:szCs w:val="32"/>
          <w:highlight w:val="none"/>
        </w:rPr>
      </w:r>
      <w:r>
        <w:rPr>
          <w:color w:val="auto"/>
          <w:highlight w:val="none"/>
        </w:rPr>
      </w:r>
    </w:p>
    <w:p>
      <w:pPr>
        <w:pStyle w:val="943"/>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无锡市农业农村局</w:t>
      </w:r>
      <w:r>
        <w:rPr>
          <w:rFonts w:hint="eastAsia" w:ascii="黑体" w:hAnsi="华文中宋" w:eastAsia="黑体"/>
          <w:bCs/>
          <w:color w:val="auto"/>
          <w:sz w:val="32"/>
          <w:szCs w:val="32"/>
          <w:highlight w:val="none"/>
        </w:rPr>
      </w:r>
      <w:r>
        <w:rPr>
          <w:color w:val="auto"/>
          <w:highlight w:val="none"/>
        </w:rPr>
      </w:r>
    </w:p>
    <w:p>
      <w:pPr>
        <w:pStyle w:val="943"/>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103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3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3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31"/>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103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四</w:t>
      </w:r>
      <w:r>
        <w:rPr>
          <w:rFonts w:hint="eastAsia" w:ascii="黑体" w:hAnsi="华文中宋" w:eastAsia="黑体"/>
          <w:bCs/>
          <w:color w:val="auto"/>
          <w:sz w:val="32"/>
          <w:szCs w:val="32"/>
          <w:highlight w:val="none"/>
        </w:rPr>
        <w:t xml:space="preserve">年十一月</w:t>
      </w:r>
      <w:r>
        <w:rPr>
          <w:rFonts w:ascii="黑体" w:hAnsi="华文中宋" w:eastAsia="黑体"/>
          <w:bCs/>
          <w:color w:val="auto"/>
          <w:sz w:val="32"/>
          <w:szCs w:val="32"/>
          <w:highlight w:val="none"/>
        </w:rPr>
      </w:r>
      <w:r>
        <w:rPr>
          <w:color w:val="auto"/>
          <w:highlight w:val="none"/>
        </w:rPr>
      </w:r>
    </w:p>
    <w:p>
      <w:pPr>
        <w:pStyle w:val="103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943"/>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94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94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94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94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94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94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943"/>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943"/>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无锡市农业农村局</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无锡市农业农村大数据平台二期项目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JSZC-320200-JZCG-G2024-0262</w:t>
      </w:r>
      <w:r>
        <w:rPr>
          <w:rFonts w:hint="eastAsia" w:ascii="宋体" w:hAnsi="宋体"/>
          <w:color w:val="auto"/>
          <w:sz w:val="24"/>
          <w:szCs w:val="24"/>
          <w:highlight w:val="none"/>
        </w:rPr>
        <w:t xml:space="preserve">）进行公开招标采购，欢迎符合条件的</w:t>
      </w:r>
      <w:r>
        <w:rPr>
          <w:rFonts w:hint="eastAsia" w:ascii="宋体" w:hAnsi="宋体"/>
          <w:color w:val="auto"/>
          <w:sz w:val="24"/>
          <w:szCs w:val="24"/>
          <w:highlight w:val="none"/>
        </w:rPr>
        <w:t xml:space="preserve">供应商投标。</w:t>
      </w:r>
      <w:r>
        <w:rPr>
          <w:rFonts w:ascii="宋体" w:hAnsi="宋体"/>
          <w:color w:val="auto"/>
          <w:sz w:val="24"/>
          <w:szCs w:val="24"/>
          <w:highlight w:val="none"/>
          <w:shd w:val="clear" w:color="ffffff" w:fill="d9d9d9"/>
        </w:rPr>
      </w:r>
      <w:r>
        <w:rPr>
          <w:color w:val="auto"/>
          <w:highlight w:val="none"/>
        </w:rPr>
      </w:r>
    </w:p>
    <w:p>
      <w:pPr>
        <w:pStyle w:val="943"/>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943"/>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无锡市农业农村大数据平台二期项目</w:t>
      </w:r>
      <w:r>
        <w:rPr>
          <w:rFonts w:hint="eastAsia" w:ascii="宋体" w:hAnsi="宋体"/>
          <w:color w:val="auto"/>
          <w:sz w:val="24"/>
          <w:szCs w:val="24"/>
          <w:highlight w:val="none"/>
        </w:rPr>
        <w:t xml:space="preserve">采购项目的潜在投标人应在“无锡政府采购</w:t>
      </w:r>
      <w:r>
        <w:rPr>
          <w:rFonts w:hint="eastAsia" w:ascii="宋体" w:hAnsi="宋体"/>
          <w:color w:val="auto"/>
          <w:sz w:val="24"/>
          <w:szCs w:val="24"/>
          <w:highlight w:val="none"/>
        </w:rPr>
        <w:t xml:space="preserve">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4年</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2月</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9日</w:t>
      </w:r>
      <w:r>
        <w:rPr>
          <w:rFonts w:hint="eastAsia" w:ascii="宋体" w:hAnsi="宋体"/>
          <w:color w:val="auto"/>
          <w:sz w:val="24"/>
          <w:szCs w:val="24"/>
          <w:highlight w:val="none"/>
        </w:rPr>
        <w:t xml:space="preserve">09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946"/>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JSZC-320200-JZCG-G2024-0262</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无锡市农业农村大数据平台二期项目</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2798.8264</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2798.8264</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采购方式：公开招标（暗标）</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946"/>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943"/>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94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943"/>
        <w:ind w:firstLine="540"/>
        <w:spacing w:line="500" w:lineRule="exact"/>
        <w:rPr>
          <w:rFonts w:hint="eastAsia" w:ascii="宋体" w:hAnsi="宋体" w:cs="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rPr>
          <w:rFonts w:hint="eastAsia" w:ascii="宋体" w:hAnsi="宋体" w:cs="宋体"/>
          <w:color w:val="auto"/>
          <w:sz w:val="24"/>
          <w:szCs w:val="24"/>
          <w:highlight w:val="none"/>
        </w:rPr>
      </w:r>
      <w:r>
        <w:rPr>
          <w:color w:val="auto"/>
          <w:highlight w:val="none"/>
        </w:rPr>
      </w:r>
    </w:p>
    <w:p>
      <w:pPr>
        <w:pStyle w:val="943"/>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540"/>
        <w:spacing w:line="500" w:lineRule="exact"/>
        <w:rPr>
          <w:rStyle w:val="1020"/>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1020"/>
          <w:color w:val="auto"/>
          <w:highlight w:val="none"/>
        </w:rPr>
      </w:r>
      <w:r>
        <w:rPr>
          <w:color w:val="auto"/>
          <w:highlight w:val="none"/>
        </w:rPr>
      </w:r>
    </w:p>
    <w:p>
      <w:pPr>
        <w:pStyle w:val="943"/>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94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4年</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2月</w:t>
      </w:r>
      <w:r>
        <w:rPr>
          <w:rFonts w:hint="eastAsia" w:ascii="宋体" w:hAnsi="宋体"/>
          <w:bCs/>
          <w:color w:val="auto"/>
          <w:sz w:val="24"/>
          <w:szCs w:val="24"/>
          <w:highlight w:val="none"/>
        </w:rPr>
        <w:t xml:space="preserve">19</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p>
    <w:p>
      <w:pPr>
        <w:pStyle w:val="943"/>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946"/>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94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946"/>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无锡市农业农村局</w:t>
      </w:r>
      <w:r>
        <w:rPr>
          <w:rFonts w:ascii="宋体" w:hAnsi="宋体" w:cs="宋体"/>
          <w:color w:val="auto"/>
          <w:sz w:val="24"/>
          <w:szCs w:val="24"/>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无锡市市民中心6号楼5楼</w:t>
      </w:r>
      <w:r>
        <w:rPr>
          <w:rFonts w:ascii="宋体" w:hAnsi="宋体" w:cs="宋体"/>
          <w:color w:val="auto"/>
          <w:sz w:val="24"/>
          <w:szCs w:val="24"/>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94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张建国</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81822968</w:t>
      </w:r>
      <w:r>
        <w:rPr>
          <w:rFonts w:hint="eastAsia" w:ascii="宋体" w:hAnsi="宋体" w:cs="宋体"/>
          <w:color w:val="auto"/>
          <w:sz w:val="24"/>
          <w:szCs w:val="24"/>
          <w:highlight w:val="none"/>
        </w:rPr>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张建国</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81822968</w:t>
      </w:r>
      <w:r>
        <w:rPr>
          <w:rFonts w:hint="eastAsia" w:ascii="宋体" w:hAnsi="宋体" w:cs="宋体"/>
          <w:color w:val="auto"/>
          <w:sz w:val="24"/>
          <w:szCs w:val="24"/>
          <w:highlight w:val="none"/>
        </w:rPr>
      </w:r>
      <w:r>
        <w:rPr>
          <w:color w:val="auto"/>
          <w:highlight w:val="none"/>
        </w:rPr>
      </w:r>
    </w:p>
    <w:p>
      <w:pPr>
        <w:pStyle w:val="94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94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943"/>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943"/>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94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943"/>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p>
    <w:p>
      <w:pPr>
        <w:pStyle w:val="943"/>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shd w:val="clear" w:color="ffffff" w:fill="d9d9d9"/>
        </w:rPr>
      </w:r>
      <w:r>
        <w:rPr>
          <w:color w:val="auto"/>
          <w:highlight w:val="none"/>
        </w:rPr>
      </w:r>
    </w:p>
    <w:p>
      <w:pPr>
        <w:pStyle w:val="943"/>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943"/>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943"/>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943"/>
        <w:ind w:firstLine="482"/>
        <w:spacing w:line="500" w:lineRule="exact"/>
        <w:rPr>
          <w:rFonts w:hint="eastAsia" w:ascii="宋体" w:hAnsi="宋体"/>
          <w:b/>
          <w:color w:val="auto"/>
          <w:sz w:val="24"/>
          <w:highlight w:val="none"/>
          <w:u w:val="single"/>
        </w:rPr>
      </w:pPr>
      <w:r>
        <w:rPr>
          <w:rFonts w:hint="eastAsia" w:ascii="宋体" w:hAnsi="宋体"/>
          <w:b/>
          <w:color w:val="auto"/>
          <w:sz w:val="24"/>
          <w:highlight w:val="none"/>
          <w:u w:val="single"/>
        </w:rPr>
        <w:t xml:space="preserve">10.4特别注意：本项目采用暗标形式，投标人须按第五章《评标方法与评标标准》的</w:t>
      </w:r>
      <w:r>
        <w:rPr>
          <w:rFonts w:hint="eastAsia" w:ascii="宋体" w:hAnsi="宋体"/>
          <w:b/>
          <w:color w:val="auto"/>
          <w:sz w:val="24"/>
          <w:highlight w:val="none"/>
          <w:u w:val="single"/>
        </w:rPr>
        <w:t xml:space="preserve">相关</w:t>
      </w:r>
      <w:r>
        <w:rPr>
          <w:rFonts w:hint="eastAsia" w:ascii="宋体" w:hAnsi="宋体"/>
          <w:b/>
          <w:color w:val="auto"/>
          <w:sz w:val="24"/>
          <w:highlight w:val="none"/>
          <w:u w:val="single"/>
        </w:rPr>
        <w:t xml:space="preserve">要求对商务</w:t>
      </w:r>
      <w:r>
        <w:rPr>
          <w:rFonts w:hint="eastAsia" w:ascii="宋体" w:hAnsi="宋体"/>
          <w:b/>
          <w:color w:val="auto"/>
          <w:sz w:val="24"/>
          <w:highlight w:val="none"/>
          <w:u w:val="single"/>
        </w:rPr>
        <w:t xml:space="preserve">部</w:t>
      </w:r>
      <w:r>
        <w:rPr>
          <w:rFonts w:hint="eastAsia" w:ascii="宋体" w:hAnsi="宋体"/>
          <w:b/>
          <w:color w:val="auto"/>
          <w:sz w:val="24"/>
          <w:highlight w:val="none"/>
          <w:u w:val="single"/>
        </w:rPr>
        <w:t xml:space="preserve">分</w:t>
      </w:r>
      <w:r>
        <w:rPr>
          <w:rFonts w:hint="eastAsia" w:ascii="宋体" w:hAnsi="宋体"/>
          <w:b/>
          <w:color w:val="auto"/>
          <w:sz w:val="24"/>
          <w:highlight w:val="none"/>
          <w:u w:val="single"/>
        </w:rPr>
        <w:t xml:space="preserve">和技术</w:t>
      </w:r>
      <w:r>
        <w:rPr>
          <w:rFonts w:hint="eastAsia" w:ascii="宋体" w:hAnsi="宋体"/>
          <w:b/>
          <w:color w:val="auto"/>
          <w:sz w:val="24"/>
          <w:highlight w:val="none"/>
          <w:u w:val="single"/>
        </w:rPr>
        <w:t xml:space="preserve">部分</w:t>
      </w:r>
      <w:r>
        <w:rPr>
          <w:rFonts w:hint="eastAsia" w:ascii="宋体" w:hAnsi="宋体"/>
          <w:b/>
          <w:color w:val="auto"/>
          <w:sz w:val="24"/>
          <w:highlight w:val="none"/>
          <w:u w:val="single"/>
        </w:rPr>
        <w:t xml:space="preserve">分别进行制作。其中</w:t>
      </w:r>
      <w:r>
        <w:rPr>
          <w:rFonts w:hint="eastAsia" w:ascii="宋体" w:hAnsi="宋体"/>
          <w:b/>
          <w:color w:val="auto"/>
          <w:sz w:val="24"/>
          <w:highlight w:val="none"/>
          <w:u w:val="single"/>
        </w:rPr>
        <w:t xml:space="preserve">技术部分</w:t>
      </w:r>
      <w:r>
        <w:rPr>
          <w:rFonts w:hint="eastAsia" w:ascii="宋体" w:hAnsi="宋体"/>
          <w:b/>
          <w:color w:val="auto"/>
          <w:sz w:val="24"/>
          <w:highlight w:val="none"/>
          <w:u w:val="single"/>
        </w:rPr>
        <w:t xml:space="preserve">属于暗标，</w:t>
      </w:r>
      <w:r>
        <w:rPr>
          <w:rFonts w:hint="eastAsia" w:ascii="宋体" w:hAnsi="宋体"/>
          <w:b/>
          <w:color w:val="auto"/>
          <w:sz w:val="24"/>
          <w:highlight w:val="none"/>
          <w:u w:val="single"/>
        </w:rPr>
        <w:t xml:space="preserve">投标人在制作</w:t>
      </w:r>
      <w:r>
        <w:rPr>
          <w:rFonts w:hint="eastAsia" w:ascii="宋体" w:hAnsi="宋体"/>
          <w:b/>
          <w:color w:val="auto"/>
          <w:sz w:val="24"/>
          <w:highlight w:val="none"/>
          <w:u w:val="single"/>
        </w:rPr>
        <w:t xml:space="preserve">技术部分</w:t>
      </w:r>
      <w:r>
        <w:rPr>
          <w:rFonts w:hint="eastAsia" w:ascii="宋体" w:hAnsi="宋体"/>
          <w:b/>
          <w:color w:val="auto"/>
          <w:sz w:val="24"/>
          <w:highlight w:val="none"/>
          <w:u w:val="single"/>
        </w:rPr>
        <w:t xml:space="preserve">相关内容时</w:t>
      </w:r>
      <w:r>
        <w:rPr>
          <w:rFonts w:hint="eastAsia" w:ascii="宋体" w:hAnsi="宋体"/>
          <w:b/>
          <w:color w:val="auto"/>
          <w:sz w:val="24"/>
          <w:highlight w:val="none"/>
          <w:u w:val="single"/>
        </w:rPr>
        <w:t xml:space="preserve">不得有体现投标人身份的内容，否则投标无效。</w:t>
      </w:r>
      <w:r>
        <w:rPr>
          <w:rFonts w:hint="eastAsia" w:ascii="宋体" w:hAnsi="宋体"/>
          <w:b/>
          <w:color w:val="auto"/>
          <w:sz w:val="24"/>
          <w:highlight w:val="none"/>
          <w:u w:val="single"/>
        </w:rPr>
      </w:r>
      <w:r>
        <w:rPr>
          <w:color w:val="auto"/>
          <w:highlight w:val="none"/>
        </w:rPr>
      </w:r>
    </w:p>
    <w:p>
      <w:pPr>
        <w:pStyle w:val="943"/>
        <w:ind w:firstLine="482"/>
        <w:spacing w:line="500" w:lineRule="exact"/>
        <w:rPr>
          <w:rFonts w:hint="eastAsia" w:ascii="宋体" w:hAnsi="宋体"/>
          <w:b/>
          <w:color w:val="auto"/>
          <w:sz w:val="24"/>
          <w:highlight w:val="none"/>
          <w:u w:val="single"/>
        </w:rPr>
      </w:pPr>
      <w:r>
        <w:rPr>
          <w:rFonts w:hint="eastAsia" w:ascii="宋体" w:hAnsi="宋体"/>
          <w:b/>
          <w:color w:val="auto"/>
          <w:sz w:val="24"/>
          <w:highlight w:val="none"/>
        </w:rPr>
        <w:t xml:space="preserve">上述《评标方法与评标标准》中技术部分</w:t>
      </w:r>
      <w:r>
        <w:rPr>
          <w:rFonts w:hint="eastAsia" w:ascii="宋体" w:hAnsi="宋体"/>
          <w:b/>
          <w:color w:val="auto"/>
          <w:sz w:val="24"/>
          <w:highlight w:val="none"/>
        </w:rPr>
        <w:t xml:space="preserve">不得有体现投标人身份的内容是指：</w:t>
      </w:r>
      <w:r>
        <w:rPr>
          <w:rFonts w:hint="eastAsia" w:ascii="宋体" w:hAnsi="宋体"/>
          <w:b/>
          <w:color w:val="auto"/>
          <w:sz w:val="24"/>
          <w:highlight w:val="none"/>
          <w:u w:val="single"/>
        </w:rPr>
      </w:r>
      <w:r>
        <w:rPr>
          <w:color w:val="auto"/>
          <w:highlight w:val="none"/>
        </w:rPr>
      </w:r>
    </w:p>
    <w:p>
      <w:pPr>
        <w:pStyle w:val="943"/>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10.4.1技术部分不得出现能够体现投标人身份、名称的相关描述、材料、文件等内容；</w:t>
      </w:r>
      <w:r>
        <w:rPr>
          <w:rFonts w:hint="eastAsia" w:ascii="宋体" w:hAnsi="宋体"/>
          <w:b/>
          <w:color w:val="auto"/>
          <w:sz w:val="24"/>
          <w:highlight w:val="none"/>
        </w:rPr>
      </w:r>
      <w:r>
        <w:rPr>
          <w:color w:val="auto"/>
          <w:highlight w:val="none"/>
        </w:rPr>
      </w:r>
    </w:p>
    <w:p>
      <w:pPr>
        <w:pStyle w:val="943"/>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10.4.2技术部分不得更改，不得在其中涂改、标注或做任何可以辨认投标人及所属人员身份的名称、印章、商标等标记；</w:t>
      </w:r>
      <w:r>
        <w:rPr>
          <w:color w:val="auto"/>
          <w:highlight w:val="none"/>
        </w:rPr>
      </w:r>
    </w:p>
    <w:p>
      <w:pPr>
        <w:pStyle w:val="943"/>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10.4.3</w:t>
      </w:r>
      <w:r>
        <w:rPr>
          <w:rFonts w:hint="eastAsia" w:ascii="宋体" w:hAnsi="宋体"/>
          <w:b/>
          <w:color w:val="auto"/>
          <w:sz w:val="24"/>
          <w:highlight w:val="none"/>
        </w:rPr>
        <w:t xml:space="preserve">技术部分应当</w:t>
      </w:r>
      <w:r>
        <w:rPr>
          <w:rFonts w:hint="eastAsia" w:ascii="宋体" w:hAnsi="宋体"/>
          <w:b/>
          <w:color w:val="auto"/>
          <w:sz w:val="24"/>
          <w:highlight w:val="none"/>
        </w:rPr>
        <w:t xml:space="preserve">版面整洁、字迹清楚、不许批注</w:t>
      </w:r>
      <w:r>
        <w:rPr>
          <w:rFonts w:hint="eastAsia" w:ascii="宋体" w:hAnsi="宋体"/>
          <w:b/>
          <w:color w:val="auto"/>
          <w:sz w:val="24"/>
          <w:highlight w:val="none"/>
        </w:rPr>
        <w:t xml:space="preserve">或进行底纹、阴影、水印等特殊设置</w:t>
      </w:r>
      <w:r>
        <w:rPr>
          <w:rFonts w:hint="eastAsia" w:ascii="宋体" w:hAnsi="宋体"/>
          <w:b/>
          <w:color w:val="auto"/>
          <w:sz w:val="24"/>
          <w:highlight w:val="none"/>
        </w:rPr>
        <w:t xml:space="preserve">，不得采用任何不符合常规、有别于其他投标人的特殊做法；</w:t>
      </w:r>
      <w:r>
        <w:rPr>
          <w:color w:val="auto"/>
          <w:highlight w:val="none"/>
        </w:rPr>
      </w:r>
    </w:p>
    <w:p>
      <w:pPr>
        <w:pStyle w:val="943"/>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10.4.4</w:t>
      </w:r>
      <w:r>
        <w:rPr>
          <w:rFonts w:hint="eastAsia" w:ascii="宋体" w:hAnsi="宋体"/>
          <w:b/>
          <w:color w:val="auto"/>
          <w:sz w:val="24"/>
          <w:highlight w:val="none"/>
        </w:rPr>
        <w:t xml:space="preserve">不得有</w:t>
      </w:r>
      <w:r>
        <w:rPr>
          <w:rFonts w:hint="eastAsia" w:ascii="宋体" w:hAnsi="宋体"/>
          <w:b/>
          <w:color w:val="auto"/>
          <w:sz w:val="24"/>
          <w:highlight w:val="none"/>
        </w:rPr>
        <w:t xml:space="preserve">其他体现投标人身份的内容。</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w:t>
      </w:r>
      <w:r>
        <w:rPr>
          <w:rFonts w:hint="eastAsia" w:ascii="宋体" w:hAnsi="宋体"/>
          <w:color w:val="auto"/>
          <w:sz w:val="24"/>
          <w:highlight w:val="none"/>
        </w:rPr>
        <w:t xml:space="preserve">投标人应按照“苏采云”系统中的给定格式模块为准，完整、正确填写开标一览表。</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943"/>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1056"/>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943"/>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943"/>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候选人</w:t>
      </w:r>
      <w:r>
        <w:rPr>
          <w:rFonts w:hint="eastAsia" w:ascii="宋体" w:hAnsi="宋体"/>
          <w:color w:val="auto"/>
          <w:sz w:val="24"/>
          <w:szCs w:val="24"/>
          <w:highlight w:val="none"/>
        </w:rPr>
        <w:t xml:space="preserve">。</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943"/>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rFonts w:hint="eastAsia" w:ascii="宋体" w:hAnsi="宋体"/>
          <w:color w:val="auto"/>
          <w:sz w:val="24"/>
          <w:szCs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943"/>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不良信用记录</w:t>
      </w:r>
      <w:r>
        <w:rPr>
          <w:rFonts w:hint="eastAsia" w:ascii="宋体" w:hAnsi="宋体"/>
          <w:bCs/>
          <w:color w:val="auto"/>
          <w:sz w:val="24"/>
          <w:highlight w:val="none"/>
        </w:rPr>
        <w:t xml:space="preserve">。</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943"/>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94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94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94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943"/>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943"/>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943"/>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w:t>
      </w:r>
      <w:r>
        <w:rPr>
          <w:rFonts w:hint="eastAsia" w:ascii="宋体" w:hAnsi="宋体"/>
          <w:bCs/>
          <w:color w:val="auto"/>
          <w:sz w:val="24"/>
          <w:szCs w:val="24"/>
          <w:highlight w:val="none"/>
        </w:rPr>
        <w:t xml:space="preserve">）投标总价超过本项目（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rFonts w:hint="eastAsia" w:ascii="宋体" w:hAnsi="宋体"/>
          <w:bCs/>
          <w:color w:val="auto"/>
          <w:sz w:val="24"/>
          <w:highlight w:val="none"/>
          <w:shd w:val="clear" w:color="ffffff" w:fill="d9d9d9"/>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highlight w:val="none"/>
        </w:rPr>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94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94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94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943"/>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94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p>
    <w:p>
      <w:pPr>
        <w:pStyle w:val="943"/>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94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94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w:t>
      </w:r>
      <w:r>
        <w:rPr>
          <w:rFonts w:hint="eastAsia" w:ascii="宋体" w:hAnsi="宋体"/>
          <w:bCs/>
          <w:color w:val="auto"/>
          <w:sz w:val="24"/>
          <w:highlight w:val="none"/>
        </w:rPr>
        <w:t xml:space="preserve">向采购人承担连带责任。</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943"/>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94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943"/>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943"/>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946"/>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943"/>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94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958"/>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p>
    <w:p>
      <w:pPr>
        <w:pStyle w:val="943"/>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943"/>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rFonts w:ascii="宋体" w:hAnsi="宋体"/>
          <w:b/>
          <w:bCs/>
          <w:color w:val="auto"/>
          <w:sz w:val="30"/>
          <w:szCs w:val="20"/>
          <w:highlight w:val="none"/>
        </w:rPr>
      </w:r>
      <w:r>
        <w:rPr>
          <w:color w:val="auto"/>
          <w:highlight w:val="none"/>
        </w:rPr>
      </w:r>
    </w:p>
    <w:p>
      <w:pPr>
        <w:pStyle w:val="982"/>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p>
    <w:p>
      <w:pPr>
        <w:pStyle w:val="982"/>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p>
    <w:p>
      <w:pPr>
        <w:pStyle w:val="982"/>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rFonts w:hint="eastAsia" w:hAnsi="宋体"/>
          <w:color w:val="auto"/>
          <w:sz w:val="24"/>
          <w:szCs w:val="24"/>
          <w:highlight w:val="none"/>
        </w:rPr>
      </w:r>
      <w:r>
        <w:rPr>
          <w:color w:val="auto"/>
          <w:highlight w:val="none"/>
        </w:rPr>
      </w:r>
    </w:p>
    <w:p>
      <w:pPr>
        <w:pStyle w:val="982"/>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rFonts w:hAnsi="宋体"/>
          <w:b/>
          <w:color w:val="auto"/>
          <w:sz w:val="24"/>
          <w:szCs w:val="24"/>
          <w:highlight w:val="none"/>
        </w:rPr>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p>
    <w:p>
      <w:pPr>
        <w:pStyle w:val="982"/>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p>
    <w:p>
      <w:pPr>
        <w:pStyle w:val="982"/>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rFonts w:hAnsi="宋体"/>
          <w:color w:val="auto"/>
          <w:sz w:val="24"/>
          <w:szCs w:val="24"/>
          <w:highlight w:val="none"/>
        </w:rPr>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Ansi="宋体"/>
          <w:color w:val="auto"/>
          <w:sz w:val="24"/>
          <w:szCs w:val="24"/>
          <w:highlight w:val="none"/>
        </w:rPr>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p>
    <w:p>
      <w:pPr>
        <w:pStyle w:val="982"/>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rFonts w:hint="eastAsia" w:hAnsi="宋体"/>
          <w:color w:val="auto"/>
          <w:sz w:val="24"/>
          <w:szCs w:val="24"/>
          <w:highlight w:val="none"/>
        </w:rPr>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p>
    <w:p>
      <w:pPr>
        <w:pStyle w:val="982"/>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p>
    <w:p>
      <w:pPr>
        <w:pStyle w:val="982"/>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rFonts w:hint="eastAsia" w:hAnsi="宋体"/>
          <w:color w:val="auto"/>
          <w:sz w:val="24"/>
          <w:szCs w:val="24"/>
          <w:highlight w:val="none"/>
        </w:rPr>
      </w:r>
      <w:r>
        <w:rPr>
          <w:color w:val="auto"/>
          <w:highlight w:val="none"/>
        </w:rPr>
      </w:r>
    </w:p>
    <w:p>
      <w:pPr>
        <w:pStyle w:val="982"/>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rFonts w:hAnsi="宋体"/>
          <w:color w:val="auto"/>
          <w:sz w:val="24"/>
          <w:szCs w:val="24"/>
          <w:highlight w:val="none"/>
          <w:u w:val="single"/>
        </w:rPr>
      </w:r>
      <w:r>
        <w:rPr>
          <w:color w:val="auto"/>
          <w:highlight w:val="none"/>
        </w:rPr>
      </w:r>
    </w:p>
    <w:p>
      <w:pPr>
        <w:pStyle w:val="982"/>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rFonts w:hAnsi="宋体"/>
          <w:color w:val="auto"/>
          <w:sz w:val="24"/>
          <w:szCs w:val="24"/>
          <w:highlight w:val="none"/>
          <w:u w:val="single"/>
        </w:rPr>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p>
    <w:p>
      <w:pPr>
        <w:pStyle w:val="982"/>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p>
    <w:p>
      <w:pPr>
        <w:pStyle w:val="982"/>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rFonts w:hAnsi="宋体"/>
          <w:color w:val="auto"/>
          <w:sz w:val="24"/>
          <w:szCs w:val="24"/>
          <w:highlight w:val="none"/>
        </w:rPr>
      </w:r>
      <w:r>
        <w:rPr>
          <w:color w:val="auto"/>
          <w:highlight w:val="none"/>
        </w:rPr>
      </w:r>
    </w:p>
    <w:p>
      <w:pPr>
        <w:pStyle w:val="943"/>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943"/>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943"/>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rFonts w:hint="eastAsia" w:ascii="宋体" w:hAnsi="宋体"/>
          <w:color w:val="auto"/>
          <w:sz w:val="24"/>
          <w:szCs w:val="24"/>
          <w:highlight w:val="none"/>
        </w:rPr>
      </w:r>
      <w:r>
        <w:rPr>
          <w:color w:val="auto"/>
          <w:highlight w:val="none"/>
        </w:rPr>
      </w:r>
    </w:p>
    <w:p>
      <w:pPr>
        <w:pStyle w:val="943"/>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rFonts w:ascii="宋体" w:hAnsi="宋体" w:eastAsia="仿宋_GB2312"/>
          <w:color w:val="auto"/>
          <w:sz w:val="24"/>
          <w:szCs w:val="24"/>
          <w:highlight w:val="none"/>
        </w:rPr>
      </w:r>
      <w:r>
        <w:rPr>
          <w:color w:val="auto"/>
          <w:highlight w:val="none"/>
        </w:rPr>
      </w:r>
    </w:p>
    <w:p>
      <w:pPr>
        <w:pStyle w:val="982"/>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p>
    <w:p>
      <w:pPr>
        <w:pStyle w:val="982"/>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尾款支付时间：服务结束并验收合格,采购人收到发票后</w:t>
      </w:r>
      <w:r>
        <w:rPr>
          <w:rFonts w:hint="eastAsia" w:hAnsi="宋体"/>
          <w:color w:val="auto"/>
          <w:sz w:val="24"/>
          <w:szCs w:val="24"/>
          <w:highlight w:val="none"/>
        </w:rPr>
        <w:t xml:space="preserve">10个工作日</w:t>
      </w:r>
      <w:r>
        <w:rPr>
          <w:rFonts w:hint="eastAsia" w:hAnsi="宋体"/>
          <w:color w:val="auto"/>
          <w:sz w:val="24"/>
          <w:szCs w:val="24"/>
          <w:highlight w:val="none"/>
        </w:rPr>
        <w:t xml:space="preserve">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82"/>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auto"/>
          <w:sz w:val="24"/>
          <w:szCs w:val="24"/>
          <w:highlight w:val="none"/>
        </w:rPr>
        <w:t xml:space="preserve">如</w:t>
      </w:r>
      <w:r>
        <w:rPr>
          <w:rFonts w:hint="eastAsia" w:hAnsi="宋体"/>
          <w:bCs/>
          <w:color w:val="auto"/>
          <w:sz w:val="24"/>
          <w:szCs w:val="24"/>
          <w:highlight w:val="none"/>
        </w:rPr>
        <w:t xml:space="preserve">供应商明确表示无需预付款或者主动要求降低预付款比例的，采购人可不适用前述规定。）</w:t>
      </w:r>
      <w:r>
        <w:rPr>
          <w:rFonts w:hint="eastAsia" w:hAnsi="宋体"/>
          <w:bCs/>
          <w:color w:val="auto"/>
          <w:sz w:val="24"/>
          <w:szCs w:val="24"/>
          <w:highlight w:val="none"/>
        </w:rPr>
      </w:r>
      <w:r>
        <w:rPr>
          <w:color w:val="auto"/>
          <w:highlight w:val="none"/>
        </w:rPr>
      </w:r>
    </w:p>
    <w:p>
      <w:pPr>
        <w:pStyle w:val="943"/>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943"/>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rFonts w:hAnsi="宋体"/>
          <w:b/>
          <w:color w:val="auto"/>
          <w:sz w:val="24"/>
          <w:szCs w:val="24"/>
          <w:highlight w:val="none"/>
        </w:rPr>
      </w:r>
      <w:r>
        <w:rPr>
          <w:color w:val="auto"/>
          <w:highlight w:val="none"/>
        </w:rPr>
      </w:r>
    </w:p>
    <w:p>
      <w:pPr>
        <w:pStyle w:val="98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p>
    <w:p>
      <w:pPr>
        <w:pStyle w:val="98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p>
    <w:p>
      <w:pPr>
        <w:pStyle w:val="98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p>
    <w:p>
      <w:pPr>
        <w:pStyle w:val="982"/>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p>
    <w:p>
      <w:pPr>
        <w:pStyle w:val="982"/>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p>
    <w:p>
      <w:pPr>
        <w:pStyle w:val="982"/>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p>
    <w:p>
      <w:pPr>
        <w:pStyle w:val="982"/>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rFonts w:hint="eastAsia"/>
          <w:color w:val="auto"/>
          <w:highlight w:val="none"/>
        </w:rPr>
      </w:r>
      <w:r>
        <w:rPr>
          <w:color w:val="auto"/>
          <w:highlight w:val="none"/>
        </w:rPr>
      </w:r>
    </w:p>
    <w:p>
      <w:pPr>
        <w:pStyle w:val="943"/>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sz w:val="24"/>
          <w:szCs w:val="24"/>
          <w:highlight w:val="none"/>
        </w:rPr>
      </w:r>
      <w:r>
        <w:rPr>
          <w:color w:val="auto"/>
          <w:highlight w:val="none"/>
        </w:rPr>
      </w:r>
    </w:p>
    <w:p>
      <w:pPr>
        <w:pStyle w:val="943"/>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hAnsi="宋体"/>
          <w:color w:val="auto"/>
          <w:sz w:val="36"/>
          <w:szCs w:val="36"/>
          <w:highlight w:val="none"/>
        </w:rPr>
      </w:r>
      <w:r>
        <w:rPr>
          <w:color w:val="auto"/>
          <w:highlight w:val="none"/>
        </w:rPr>
      </w:r>
    </w:p>
    <w:p>
      <w:pPr>
        <w:pStyle w:val="943"/>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p>
    <w:p>
      <w:pPr>
        <w:pStyle w:val="943"/>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rPr>
        <w:t xml:space="preserve">详见项目技术要求</w:t>
      </w: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color w:val="auto"/>
          <w:sz w:val="24"/>
          <w:szCs w:val="24"/>
          <w:highlight w:val="none"/>
        </w:rPr>
        <w:t xml:space="preserve">数据中台软件开发服务</w:t>
      </w:r>
      <w:r>
        <w:rPr>
          <w:rFonts w:hint="eastAsia" w:ascii="宋体" w:hAnsi="宋体"/>
          <w:color w:val="auto"/>
          <w:sz w:val="24"/>
          <w:szCs w:val="24"/>
          <w:highlight w:val="none"/>
        </w:rPr>
        <w:t xml:space="preserve">为核心产品。</w:t>
      </w:r>
      <w:r>
        <w:rPr>
          <w:rFonts w:ascii="宋体" w:hAnsi="宋体"/>
          <w:color w:val="auto"/>
          <w:sz w:val="24"/>
          <w:szCs w:val="24"/>
          <w:highlight w:val="none"/>
        </w:rPr>
      </w:r>
      <w:r>
        <w:rPr>
          <w:color w:val="auto"/>
          <w:highlight w:val="none"/>
        </w:rPr>
      </w:r>
    </w:p>
    <w:p>
      <w:pPr>
        <w:pStyle w:val="943"/>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rFonts w:ascii="宋体" w:hAnsi="宋体"/>
          <w:b/>
          <w:color w:val="auto"/>
          <w:sz w:val="30"/>
          <w:szCs w:val="30"/>
          <w:highlight w:val="none"/>
        </w:rPr>
      </w:r>
      <w:r>
        <w:rPr>
          <w:color w:val="auto"/>
          <w:highlight w:val="none"/>
        </w:rPr>
      </w:r>
    </w:p>
    <w:p>
      <w:pPr>
        <w:pStyle w:val="94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w:t>
      </w:r>
      <w:r>
        <w:rPr>
          <w:rFonts w:hint="eastAsia" w:ascii="宋体" w:hAnsi="宋体"/>
          <w:b/>
          <w:bCs/>
          <w:color w:val="auto"/>
          <w:sz w:val="24"/>
          <w:szCs w:val="24"/>
          <w:highlight w:val="none"/>
        </w:rPr>
        <w:t xml:space="preserve">建设目标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本项目的建设目标紧扣“一阶段搭基础、二阶段扩应用、三阶段赋智慧”路径。当前“一阶段搭基础”在农业农村大数据</w:t>
      </w:r>
      <w:r>
        <w:rPr>
          <w:rFonts w:hint="eastAsia" w:ascii="宋体" w:hAnsi="宋体"/>
          <w:bCs/>
          <w:color w:val="auto"/>
          <w:sz w:val="24"/>
          <w:szCs w:val="24"/>
          <w:highlight w:val="none"/>
        </w:rPr>
        <w:t xml:space="preserve">平台一期项目建设下已基本完成，“二阶段扩应用”目前农业农村大数据平台21个业务场景正在建设中，“三阶段赋智慧”将以数据为基础，以业务为驱动，以中台为核心，围绕“统一标准、统一门户、统一服务”进行建设。本次农业农村大数据平台二期项目一方面将进一步夯实“二阶段扩应用”新增数字乡村、农产品质量安全、稻米、水产产业链等多个业务场景，同时也将围绕“三阶段赋智慧”这个目标重点打造数据中台、业务中台和技术中台。通过本项目建设，旨在实现无锡农业农村生产智能化、经营网络化、管理数据化、服务在线化，达到联农、带农、富农的目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将致力于无锡市农业信息化的全面提升，优化管理流程、强化农产品监管，推动乡村数字化，提升农业竞争力，为乡村振兴提供支撑。项目实施将加速区域农业数字化，打造高效生态农业、产村融合、产业振兴示范区。构建全周期数字化赋能体系，全方位支持产业主体，同时建立统一的数字乡村建设标准和评价体系，提升建设水平。此外，项目还将强化大数据治理，完善数据管理，促进数据共享，解决融合问题。</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全面提升农业信息化与技术支撑能力：通过建设无锡市农业农村大数据平台二期，实现农业信息化的全面提升，包括AI、视频、物联网、区块链等技术的应用，为农业管理提供技术支撑，优化管理流程，提升决策水平。</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字技术筑牢农产品全链条安全防线：通过构建市级农产品质量安全监管服务平台，实现监管的信息化和智能化，确保农产品从生产到消费的全链条安全，并通过专题数据集成与可视化展示，提高监管效率和准确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推进稻米、水产全产业链数字化，加快农业现代化步伐：通过结合稻米、水产全产业链数字化建设，推动农业现代化发展，实现产业管理数据资源汇聚，促进稻米、水产产业的竞争力提升。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打造数字乡村建设的“无锡模式”，助力乡村振兴：聚焦数字乡村建设，打造无锡新模式，确立统一的标准、统一平台入口和统一的评价体系，提升全市数字乡村建设水平，为乡村振兴提供支撑。</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构建多模态的锡农之家模式：赋能AI+能力，整合资源，实现品牌宣传、特色消费、农技普及等，推动无锡农业农村现代化发展。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升大数据治理能力，共建乡村振兴数字化服务与治理体系：通过强化数据治理能力，完善数据标准，推动数据超市共建共享，解决数据融合和业务融合问题。利用区块链技术提升数据的透明性和可信度，构建一体化的乡村振兴治理与服务数字化体系，实现智慧决策。</w:t>
      </w:r>
      <w:r>
        <w:rPr>
          <w:color w:val="auto"/>
          <w:highlight w:val="none"/>
        </w:rPr>
      </w:r>
    </w:p>
    <w:p>
      <w:pPr>
        <w:pStyle w:val="94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w:t>
      </w:r>
      <w:r>
        <w:rPr>
          <w:rFonts w:hint="eastAsia" w:ascii="宋体" w:hAnsi="宋体"/>
          <w:b/>
          <w:bCs/>
          <w:color w:val="auto"/>
          <w:sz w:val="24"/>
          <w:szCs w:val="24"/>
          <w:highlight w:val="none"/>
        </w:rPr>
        <w:t xml:space="preserve">建设内容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农业农村大数据平台二期项目建设内容涵盖农业农村大数据底座软件开发、管理决策指挥建设、稻米、水产全产业链数字化建设、数字乡村综合服务建设、锡农之家建设等多个方面。将有力推动无锡市农业农村领域的信息化、数字化和智能化发展，为农业现代化和乡村振兴提供有力支撑。具体建设内容如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打造一个以数据、技术和业务为核心的大数据底座中台，建设平台所需的基础资源。强化数据治理、共享机制和底层技术架构，同时构建基础资源池，包括密码资源池扩展、云资源和国产化组件集成、网络安全服务部署以及运营支撑服务，确保数据保护、计算存储弹性、平台稳定运行和用户参与度。</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完成管理决策智慧建设，一是升级无锡市农村集体“三资”全流程数字化监管平台。实现产权交易无纸化，打造市场</w:t>
      </w:r>
      <w:r>
        <w:rPr>
          <w:rFonts w:hint="eastAsia" w:ascii="宋体" w:hAnsi="宋体"/>
          <w:bCs/>
          <w:color w:val="auto"/>
          <w:sz w:val="24"/>
          <w:szCs w:val="24"/>
          <w:highlight w:val="none"/>
        </w:rPr>
        <w:t xml:space="preserve">化线上线下融合的交易系统，实现交易流程的线上化和数据的实时更新，同时优化审批流程和合同管理。二是农产品质量监管与追溯平台以围绕江苏省平台开展农安监管工作经验为基础，结合本市大田、设施、果园、畜禽、水产等农业产业特点，建立无锡市级农产品质量安全智慧监管平台。针对不同用户类型，建设平台主体端、监管端、实验室检测端，以大数据技术为支撑，融合生产主体、种养过程、巡查抽查、合格证开具、实验室检测、信用评价、监督执法、风险预警等多维度农安信息，统一农安数据台账，完善信息交互共享机制，为逐步建立主体分类监管机制提供保障。</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构建稻米、水产全产业链数字化体系。包括种植信息采集、智慧生产管理、示范基地建设、智能辅助决策系统和数字产业服务平台，实现产业链全程数字化管理，建设数字化综合平台和多个基座平台，以及多个应用场景服务系统，推动水产产业链的数字化转型。针对水产全产业链数字化示范园区建设的需求，打造水产全产业链数字化监管综合平台，建立水产种植尾水监测动态监管体系，搭建水产质量安全监管体系，实施水产设施种植新模式。</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建立市级数字乡村综合服务平台，整合农业农村数据和业务流程，建设特色场景应用，提供多功能乡村服务，打造具有无锡特色的数字乡村发展模式。</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赋能AI+能力，构建多模态的锡农之家，整合资源，实现品牌宣传、特色消费、农技普及等，推动无锡农业农村现代化发展。</w:t>
      </w:r>
      <w:r>
        <w:rPr>
          <w:color w:val="auto"/>
          <w:highlight w:val="none"/>
        </w:rPr>
      </w:r>
    </w:p>
    <w:p>
      <w:pPr>
        <w:pStyle w:val="94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w:t>
      </w:r>
      <w:r>
        <w:rPr>
          <w:rFonts w:hint="eastAsia" w:ascii="宋体" w:hAnsi="宋体"/>
          <w:b/>
          <w:bCs/>
          <w:color w:val="auto"/>
          <w:sz w:val="24"/>
          <w:szCs w:val="24"/>
          <w:highlight w:val="none"/>
        </w:rPr>
        <w:t xml:space="preserve">建设规模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农业农村大数据平台二期将作为无锡市农业农村局信息化应用总平台。本项目为一项重大的信息化建设工程，其规模宏大且全面，旨在构建一个集数据采集、存储、处理、分析和应用于一体的综合性农业大数据平台。将涵盖数据资源集成、硬件设施建设、软件系统开发、服务体系建设和安全保障体系建设等多个方面。构建无锡市统一的农产品质量安全信息化监管模式，打造稻</w:t>
      </w:r>
      <w:r>
        <w:rPr>
          <w:rFonts w:hint="eastAsia" w:ascii="宋体" w:hAnsi="宋体"/>
          <w:bCs/>
          <w:color w:val="auto"/>
          <w:sz w:val="24"/>
          <w:szCs w:val="24"/>
          <w:highlight w:val="none"/>
        </w:rPr>
        <w:t xml:space="preserve">米、水产全产业数字化链条，覆盖800亩太湖水稻示范园与水产600亩核心区。构建数字乡村综合服务体系，提供可满足全市数字乡村服务需求的市级数字乡村平台，建立惠山、锡山、宜兴3大片区的可视化特色专题服务，为5个特色试点村提供定制化服务。项目建设包括农业农村大数据中心底座1套、管理决策指挥一套、稻米、水产全产业链数字化一套、数字乡村综合服务一套、锡农之家平台一套、农机作业视频监管终端5套、植保无人机套装2套等。项目的实施将有力推动无锡市农业农村领域的数字化、信息化和智能化发展，为农业现代化和乡村振兴提供有力支撑。</w:t>
      </w:r>
      <w:r>
        <w:rPr>
          <w:rFonts w:hint="eastAsia" w:ascii="宋体" w:hAnsi="宋体"/>
          <w:bCs/>
          <w:color w:val="auto"/>
          <w:sz w:val="24"/>
          <w:szCs w:val="24"/>
          <w:highlight w:val="none"/>
        </w:rPr>
      </w:r>
      <w:r>
        <w:rPr>
          <w:color w:val="auto"/>
          <w:highlight w:val="none"/>
        </w:rPr>
      </w:r>
    </w:p>
    <w:p>
      <w:pPr>
        <w:pStyle w:val="94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w:t>
      </w:r>
      <w:r>
        <w:rPr>
          <w:rFonts w:hint="eastAsia" w:ascii="宋体" w:hAnsi="宋体"/>
          <w:b/>
          <w:bCs/>
          <w:color w:val="auto"/>
          <w:sz w:val="24"/>
          <w:szCs w:val="24"/>
          <w:highlight w:val="none"/>
        </w:rPr>
        <w:t xml:space="preserve">项目建设采购清单</w:t>
      </w:r>
      <w:r>
        <w:rPr>
          <w:rFonts w:hint="eastAsia" w:ascii="宋体" w:hAnsi="宋体"/>
          <w:b/>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硬件设备采购清单</w:t>
      </w:r>
      <w:r>
        <w:rPr>
          <w:rFonts w:hint="eastAsia" w:ascii="宋体" w:hAnsi="宋体"/>
          <w:bCs/>
          <w:color w:val="auto"/>
          <w:sz w:val="24"/>
          <w:szCs w:val="24"/>
          <w:highlight w:val="none"/>
        </w:rPr>
      </w:r>
      <w:r>
        <w:rPr>
          <w:color w:val="auto"/>
          <w:highlight w:val="none"/>
        </w:rPr>
      </w:r>
    </w:p>
    <w:tbl>
      <w:tblPr>
        <w:tblW w:w="5173" w:type="pct"/>
        <w:jc w:val="center"/>
        <w:tblInd w:w="-318" w:type="dxa"/>
        <w:tblLayout w:type="fixed"/>
        <w:tblCellMar>
          <w:left w:w="108" w:type="dxa"/>
          <w:top w:w="0" w:type="dxa"/>
          <w:right w:w="108" w:type="dxa"/>
          <w:bottom w:w="0" w:type="dxa"/>
        </w:tblCellMar>
        <w:tblLook w:val="04A0" w:firstRow="1" w:lastRow="0" w:firstColumn="1" w:lastColumn="0" w:noHBand="0" w:noVBand="1"/>
      </w:tblPr>
      <w:tblGrid>
        <w:gridCol w:w="710"/>
        <w:gridCol w:w="1984"/>
        <w:gridCol w:w="1984"/>
        <w:gridCol w:w="710"/>
        <w:gridCol w:w="850"/>
        <w:gridCol w:w="1842"/>
        <w:gridCol w:w="1406"/>
      </w:tblGrid>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分项名称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招标参数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数量</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单位</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说明</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货物部分</w:t>
            </w:r>
            <w:r>
              <w:rPr>
                <w:rFonts w:hint="eastAsia" w:ascii="宋体" w:hAnsi="宋体" w:cs="宋体"/>
                <w:color w:val="auto"/>
                <w:sz w:val="18"/>
                <w:szCs w:val="18"/>
                <w:highlight w:val="none"/>
                <w:lang w:bidi="ar"/>
              </w:rPr>
              <w:t xml:space="preserve">标的</w:t>
            </w:r>
            <w:r>
              <w:rPr>
                <w:rFonts w:hint="eastAsia" w:ascii="宋体" w:hAnsi="宋体" w:cs="宋体"/>
                <w:color w:val="auto"/>
                <w:sz w:val="18"/>
                <w:szCs w:val="18"/>
                <w:highlight w:val="none"/>
                <w:lang w:bidi="ar"/>
              </w:rPr>
              <w:t xml:space="preserve">及其</w:t>
            </w:r>
            <w:r>
              <w:rPr>
                <w:rFonts w:hint="eastAsia" w:ascii="宋体" w:hAnsi="宋体" w:cs="宋体"/>
                <w:color w:val="auto"/>
                <w:sz w:val="18"/>
                <w:szCs w:val="18"/>
                <w:highlight w:val="none"/>
                <w:lang w:bidi="ar"/>
              </w:rPr>
              <w:t xml:space="preserve">所属行业</w:t>
            </w:r>
            <w:r>
              <w:rPr>
                <w:rFonts w:ascii="宋体" w:hAnsi="宋体" w:cs="宋体"/>
                <w:color w:val="auto"/>
                <w:sz w:val="18"/>
                <w:szCs w:val="18"/>
                <w:highlight w:val="none"/>
              </w:rPr>
            </w:r>
            <w:r>
              <w:rPr>
                <w:color w:val="auto"/>
                <w:highlight w:val="none"/>
              </w:rPr>
            </w:r>
          </w:p>
        </w:tc>
      </w:tr>
      <w:tr>
        <w:trPr/>
        <w:tc>
          <w:tcPr>
            <w:gridSpan w:val="7"/>
            <w:tcBorders>
              <w:top w:val="single" w:color="000000" w:sz="4" w:space="0"/>
              <w:left w:val="single" w:color="000000" w:sz="4" w:space="0"/>
              <w:bottom w:val="single" w:color="000000" w:sz="4" w:space="0"/>
              <w:right w:val="single" w:color="000000" w:sz="4" w:space="0"/>
            </w:tcBorders>
            <w:tcW w:w="9486"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其他设备</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食品农产品达标合格证打印一体机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市级农产品质量安全智慧监管系统主体端合格证打印功能</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蓝牙食品农产品合格证打印机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市级农产品质量安全智慧监管系统主体端合格证打印功能</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农产品精准检测设备</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市级农产品质量安全智慧监管系统监管端产品抽检功能</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采样平板</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实验设备工作状态控制器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室内有毒气体浓度传感器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室内有毒气体浓度传感器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室外废气排放数据检测站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室内温湿度数字传感器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制样系统接入</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制样控制设备</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制样间配套水电改造</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视频监控摄像机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网络录像机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监控硬盘</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网线</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485串口服务模块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交换机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信号线</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米</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供电电源</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实验操作台状态传感器（订制）</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智能化环境监控系统对接程序（订制）</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施工费用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无锡市农产品质量监测中心实验室</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农田气象及墒情综合监测系统</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锡山区国家现代农业产业园内800亩太湖水稻示范园内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远程虫情测报站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全彩全景枪球智能一体机、安装及辅材</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I系列-NVR</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农机作业智能监管终端</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农机作业视频监管终端</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植保无人机套装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红外摄像头、安装及辅材</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空气温湿度传感器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Style w:val="1059"/>
                <w:color w:val="auto"/>
                <w:sz w:val="18"/>
                <w:szCs w:val="18"/>
                <w:highlight w:val="none"/>
                <w:lang w:bidi="ar"/>
              </w:rPr>
              <w:t xml:space="preserve">锡山区国家现代农业产业园内</w:t>
            </w:r>
            <w:r>
              <w:rPr>
                <w:rStyle w:val="1060"/>
                <w:color w:val="auto"/>
                <w:sz w:val="18"/>
                <w:szCs w:val="18"/>
                <w:highlight w:val="none"/>
                <w:lang w:bidi="ar"/>
              </w:rPr>
              <w:t xml:space="preserve">800亩太湖水稻示范园内</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垃圾桶溢满倾倒传感器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松芝村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无人机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惠山区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气味探测器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松芝村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乡村智慧广播</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松芝村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游客信息发布大屏</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乾元村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入园闸机系统</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乾元村景区入口</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微型气象站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智能一体机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安防监控系统补充建设</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火炬村（包含施工费、配套辅材、维护费）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多功能气象站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植物体营养检测仪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土壤墒情监测终端</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多光谱糖度仪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虫情测报灯</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杀虫灯</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智能水肥机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49</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过滤系统</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施肥桶</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恒压变频柜</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电磁阀控器</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电磁阀</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火炬村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水质检测仪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盛家村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巡查无人机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盛家村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color w:val="auto"/>
                <w:highlight w:val="none"/>
              </w:rPr>
            </w:r>
            <w:bookmarkStart w:id="193" w:name="_GoBack"/>
            <w:r>
              <w:rPr>
                <w:color w:val="auto"/>
                <w:highlight w:val="none"/>
              </w:rPr>
            </w:r>
            <w:bookmarkEnd w:id="193"/>
            <w:r>
              <w:rPr>
                <w:rFonts w:hint="eastAsia" w:ascii="宋体" w:hAnsi="宋体" w:cs="宋体"/>
                <w:color w:val="auto"/>
                <w:sz w:val="18"/>
                <w:szCs w:val="18"/>
                <w:highlight w:val="none"/>
                <w:lang w:bidi="ar"/>
              </w:rPr>
              <w:t xml:space="preserve">视频监控</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盛家村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展示大屏</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盛家村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视频AI边缘计算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盛家村</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59</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血压仪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乡村服务驿站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血氧仪</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乡村服务驿站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无人律所掌上机</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乡村服务驿站</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工业</w:t>
            </w:r>
            <w:r>
              <w:rPr>
                <w:rFonts w:ascii="宋体" w:hAnsi="宋体" w:cs="宋体"/>
                <w:color w:val="auto"/>
                <w:sz w:val="18"/>
                <w:szCs w:val="18"/>
                <w:highlight w:val="none"/>
              </w:rPr>
            </w:r>
            <w:r>
              <w:rPr>
                <w:color w:val="auto"/>
                <w:highlight w:val="none"/>
              </w:rPr>
            </w:r>
          </w:p>
        </w:tc>
      </w:tr>
    </w:tbl>
    <w:p>
      <w:pPr>
        <w:pStyle w:val="943"/>
        <w:ind w:firstLine="480"/>
        <w:spacing w:line="360" w:lineRule="auto"/>
        <w:rPr>
          <w:rFonts w:hint="eastAsia" w:ascii="宋体" w:hAnsi="宋体"/>
          <w:bCs/>
          <w:color w:val="auto"/>
          <w:sz w:val="24"/>
          <w:szCs w:val="24"/>
          <w:highlight w:val="none"/>
        </w:rPr>
      </w:pPr>
      <w:r>
        <w:rPr>
          <w:rFonts w:hint="eastAsia" w:ascii="宋体"/>
          <w:bCs/>
          <w:color w:val="auto"/>
          <w:sz w:val="24"/>
          <w:szCs w:val="24"/>
          <w:highlight w:val="none"/>
        </w:rPr>
        <w:t xml:space="preserve">注：</w:t>
      </w:r>
      <w:r>
        <w:rPr>
          <w:rFonts w:hint="eastAsia" w:ascii="宋体"/>
          <w:bCs/>
          <w:color w:val="auto"/>
          <w:sz w:val="24"/>
          <w:szCs w:val="24"/>
          <w:highlight w:val="none"/>
        </w:rPr>
        <w:t xml:space="preserve">依据财政部、发展改革委发布的《节能产品政府采购品目清单》，</w:t>
      </w:r>
      <w:r>
        <w:rPr>
          <w:rFonts w:hint="eastAsia" w:ascii="宋体"/>
          <w:bCs/>
          <w:color w:val="auto"/>
          <w:sz w:val="24"/>
          <w:szCs w:val="24"/>
          <w:highlight w:val="none"/>
        </w:rPr>
        <w:t xml:space="preserve">本项目中的“采样平板”和“展示大屏”为</w:t>
      </w:r>
      <w:r>
        <w:rPr>
          <w:rFonts w:hint="eastAsia" w:ascii="宋体"/>
          <w:bCs/>
          <w:color w:val="auto"/>
          <w:sz w:val="24"/>
          <w:szCs w:val="24"/>
          <w:highlight w:val="none"/>
        </w:rPr>
        <w:t xml:space="preserve">政府强制采购节能产品（属于清单中打★品目的），</w:t>
      </w:r>
      <w:r>
        <w:rPr>
          <w:rFonts w:hint="eastAsia" w:ascii="宋体"/>
          <w:bCs/>
          <w:color w:val="auto"/>
          <w:sz w:val="24"/>
          <w:szCs w:val="24"/>
          <w:highlight w:val="none"/>
        </w:rPr>
        <w:t xml:space="preserve">投标时投标人可无需提供相应证明材料，但只能选</w:t>
      </w:r>
      <w:r>
        <w:rPr>
          <w:rFonts w:hint="eastAsia" w:ascii="宋体"/>
          <w:bCs/>
          <w:color w:val="auto"/>
          <w:sz w:val="24"/>
          <w:szCs w:val="24"/>
          <w:highlight w:val="none"/>
        </w:rPr>
        <w:t xml:space="preserve">择具有国家确定的认证机构出具的、处于有效期之内的节能产品认证证书的产品进行报价。</w:t>
      </w:r>
      <w:r>
        <w:rPr>
          <w:rFonts w:hint="eastAsia" w:ascii="宋体"/>
          <w:bCs/>
          <w:color w:val="auto"/>
          <w:sz w:val="24"/>
          <w:szCs w:val="24"/>
          <w:highlight w:val="none"/>
        </w:rPr>
        <w:t xml:space="preserve">其所投产品的</w:t>
      </w:r>
      <w:r>
        <w:rPr>
          <w:rFonts w:hint="eastAsia" w:ascii="宋体"/>
          <w:bCs/>
          <w:color w:val="auto"/>
          <w:sz w:val="24"/>
          <w:szCs w:val="24"/>
          <w:highlight w:val="none"/>
        </w:rPr>
        <w:t xml:space="preserve">节能产品认证证书</w:t>
      </w:r>
      <w:r>
        <w:rPr>
          <w:rFonts w:hint="eastAsia" w:ascii="宋体"/>
          <w:bCs/>
          <w:color w:val="auto"/>
          <w:sz w:val="24"/>
          <w:szCs w:val="24"/>
          <w:highlight w:val="none"/>
        </w:rPr>
        <w:t xml:space="preserve">复印件可于中标后根据采购人要求交于采购人备案，否则采购人可以追究中标人相应责任。</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软件采购清单</w:t>
      </w:r>
      <w:r>
        <w:rPr>
          <w:rFonts w:hint="eastAsia" w:ascii="宋体" w:hAnsi="宋体"/>
          <w:bCs/>
          <w:color w:val="auto"/>
          <w:sz w:val="24"/>
          <w:szCs w:val="24"/>
          <w:highlight w:val="none"/>
        </w:rPr>
      </w:r>
      <w:r>
        <w:rPr>
          <w:color w:val="auto"/>
          <w:highlight w:val="none"/>
        </w:rPr>
      </w:r>
    </w:p>
    <w:tbl>
      <w:tblPr>
        <w:tblW w:w="5025" w:type="pct"/>
        <w:jc w:val="center"/>
        <w:tblInd w:w="-459" w:type="dxa"/>
        <w:tblLayout w:type="fixed"/>
        <w:tblCellMar>
          <w:left w:w="108" w:type="dxa"/>
          <w:top w:w="0" w:type="dxa"/>
          <w:right w:w="108" w:type="dxa"/>
          <w:bottom w:w="0" w:type="dxa"/>
        </w:tblCellMar>
        <w:tblLook w:val="04A0" w:firstRow="1" w:lastRow="0" w:firstColumn="1" w:lastColumn="0" w:noHBand="0" w:noVBand="1"/>
      </w:tblPr>
      <w:tblGrid>
        <w:gridCol w:w="643"/>
        <w:gridCol w:w="1283"/>
        <w:gridCol w:w="1283"/>
        <w:gridCol w:w="641"/>
        <w:gridCol w:w="643"/>
        <w:gridCol w:w="2171"/>
        <w:gridCol w:w="2551"/>
      </w:tblGrid>
      <w:tr>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分项名称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招标参数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数量</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单位</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说明</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货物部分</w:t>
            </w:r>
            <w:r>
              <w:rPr>
                <w:rFonts w:hint="eastAsia" w:ascii="宋体" w:hAnsi="宋体" w:cs="宋体"/>
                <w:color w:val="auto"/>
                <w:sz w:val="18"/>
                <w:szCs w:val="18"/>
                <w:highlight w:val="none"/>
                <w:lang w:bidi="ar"/>
              </w:rPr>
              <w:t xml:space="preserve">标的</w:t>
            </w:r>
            <w:r>
              <w:rPr>
                <w:rFonts w:hint="eastAsia" w:ascii="宋体" w:hAnsi="宋体" w:cs="宋体"/>
                <w:color w:val="auto"/>
                <w:sz w:val="18"/>
                <w:szCs w:val="18"/>
                <w:highlight w:val="none"/>
                <w:lang w:bidi="ar"/>
              </w:rPr>
              <w:t xml:space="preserve">及其</w:t>
            </w:r>
            <w:r>
              <w:rPr>
                <w:rFonts w:hint="eastAsia" w:ascii="宋体" w:hAnsi="宋体" w:cs="宋体"/>
                <w:color w:val="auto"/>
                <w:sz w:val="18"/>
                <w:szCs w:val="18"/>
                <w:highlight w:val="none"/>
                <w:lang w:bidi="ar"/>
              </w:rPr>
              <w:t xml:space="preserve">所属行业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国产操作系统</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国产化要求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国产数据库</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国产化要求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国产化中间件</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国产化要求，中间件如tomcat、redis、Nginx等国产化</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color w:val="auto"/>
                <w:highlight w:val="none"/>
              </w:rPr>
            </w:r>
          </w:p>
        </w:tc>
      </w:tr>
    </w:tbl>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定制开发应用软件采购清单</w:t>
      </w:r>
      <w:r>
        <w:rPr>
          <w:rFonts w:hint="eastAsia" w:ascii="宋体" w:hAnsi="宋体"/>
          <w:bCs/>
          <w:color w:val="auto"/>
          <w:sz w:val="24"/>
          <w:szCs w:val="24"/>
          <w:highlight w:val="none"/>
        </w:rPr>
      </w:r>
      <w:r>
        <w:rPr>
          <w:color w:val="auto"/>
          <w:highlight w:val="none"/>
        </w:rPr>
      </w:r>
    </w:p>
    <w:tbl>
      <w:tblPr>
        <w:tblW w:w="5103" w:type="pct"/>
        <w:jc w:val="center"/>
        <w:tblInd w:w="-318" w:type="dxa"/>
        <w:tblLayout w:type="autofit"/>
        <w:tblCellMar>
          <w:left w:w="108" w:type="dxa"/>
          <w:top w:w="0" w:type="dxa"/>
          <w:right w:w="108" w:type="dxa"/>
          <w:bottom w:w="0" w:type="dxa"/>
        </w:tblCellMar>
        <w:tblLook w:val="04A0" w:firstRow="1" w:lastRow="0" w:firstColumn="1" w:lastColumn="0" w:noHBand="0" w:noVBand="1"/>
      </w:tblPr>
      <w:tblGrid>
        <w:gridCol w:w="576"/>
        <w:gridCol w:w="3022"/>
        <w:gridCol w:w="2120"/>
        <w:gridCol w:w="576"/>
        <w:gridCol w:w="576"/>
        <w:gridCol w:w="2488"/>
      </w:tblGrid>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分项名称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招标参数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数量</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单位</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b/>
                <w:color w:val="auto"/>
                <w:sz w:val="18"/>
                <w:szCs w:val="18"/>
                <w:highlight w:val="none"/>
              </w:rPr>
            </w:pPr>
            <w:r>
              <w:rPr>
                <w:rFonts w:hint="eastAsia" w:ascii="宋体" w:hAnsi="宋体" w:cs="宋体"/>
                <w:b/>
                <w:color w:val="auto"/>
                <w:sz w:val="18"/>
                <w:szCs w:val="18"/>
                <w:highlight w:val="none"/>
                <w:lang w:bidi="ar"/>
              </w:rPr>
              <w:t xml:space="preserve">服务部分标的及其所属行业</w:t>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数据中台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业务中台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技术中台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市级农产品质量安全智慧监管平台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三资平台</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稻米全产业链数字化建设</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水产产业链数字化建设</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数字乡村综合服务</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88"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bl>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其他类（服务）采购清单</w:t>
      </w:r>
      <w:r>
        <w:rPr>
          <w:rFonts w:hint="eastAsia" w:ascii="宋体" w:hAnsi="宋体"/>
          <w:bCs/>
          <w:color w:val="auto"/>
          <w:sz w:val="24"/>
          <w:szCs w:val="24"/>
          <w:highlight w:val="none"/>
        </w:rPr>
      </w:r>
      <w:r>
        <w:rPr>
          <w:color w:val="auto"/>
          <w:highlight w:val="none"/>
        </w:rPr>
      </w:r>
    </w:p>
    <w:tbl>
      <w:tblPr>
        <w:tblW w:w="4929" w:type="pct"/>
        <w:tblInd w:w="0" w:type="dxa"/>
        <w:tblLayout w:type="fixed"/>
        <w:tblCellMar>
          <w:left w:w="108" w:type="dxa"/>
          <w:top w:w="0" w:type="dxa"/>
          <w:right w:w="108" w:type="dxa"/>
          <w:bottom w:w="0" w:type="dxa"/>
        </w:tblCellMar>
        <w:tblLook w:val="04A0" w:firstRow="1" w:lastRow="0" w:firstColumn="1" w:lastColumn="0" w:noHBand="0" w:noVBand="1"/>
      </w:tblPr>
      <w:tblGrid>
        <w:gridCol w:w="684"/>
        <w:gridCol w:w="2152"/>
        <w:gridCol w:w="2094"/>
        <w:gridCol w:w="707"/>
        <w:gridCol w:w="710"/>
        <w:gridCol w:w="2692"/>
      </w:tblGrid>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分项名称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招标参数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数量</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单位</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692"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b/>
                <w:color w:val="auto"/>
                <w:sz w:val="18"/>
                <w:szCs w:val="18"/>
                <w:highlight w:val="none"/>
                <w:lang w:bidi="ar"/>
              </w:rPr>
              <w:t xml:space="preserve">服务部分标的及其所属行业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密码资源池扩容服务</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692"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云资源安全</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692"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网络安全服务</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692"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水稻农情监测服务</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692"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52"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运营支撑体系</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详见如下技术参数要求</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692"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bl>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云资源需求清单</w:t>
      </w:r>
      <w:r>
        <w:rPr>
          <w:rFonts w:hint="eastAsia" w:ascii="宋体" w:hAnsi="宋体"/>
          <w:bCs/>
          <w:color w:val="auto"/>
          <w:sz w:val="24"/>
          <w:szCs w:val="24"/>
          <w:highlight w:val="none"/>
        </w:rPr>
      </w:r>
      <w:r>
        <w:rPr>
          <w:color w:val="auto"/>
          <w:highlight w:val="none"/>
        </w:rPr>
      </w:r>
    </w:p>
    <w:tbl>
      <w:tblPr>
        <w:tblW w:w="5334" w:type="pct"/>
        <w:jc w:val="center"/>
        <w:tblInd w:w="-601" w:type="dxa"/>
        <w:tblLayout w:type="fixed"/>
        <w:tblCellMar>
          <w:left w:w="108" w:type="dxa"/>
          <w:top w:w="0" w:type="dxa"/>
          <w:right w:w="108" w:type="dxa"/>
          <w:bottom w:w="0" w:type="dxa"/>
        </w:tblCellMar>
        <w:tblLook w:val="04A0" w:firstRow="1" w:lastRow="0" w:firstColumn="1" w:lastColumn="0" w:noHBand="0" w:noVBand="1"/>
      </w:tblPr>
      <w:tblGrid>
        <w:gridCol w:w="711"/>
        <w:gridCol w:w="2981"/>
        <w:gridCol w:w="708"/>
        <w:gridCol w:w="994"/>
        <w:gridCol w:w="851"/>
        <w:gridCol w:w="1410"/>
        <w:gridCol w:w="2126"/>
      </w:tblGrid>
      <w:tr>
        <w:trPr/>
        <w:tc>
          <w:tcPr>
            <w:shd w:val="clear" w:color="auto" w:fill="ffffff"/>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rPr>
                <w:rFonts w:ascii="宋体" w:hAnsi="宋体" w:cs="宋体"/>
                <w:color w:val="auto"/>
                <w:sz w:val="18"/>
                <w:szCs w:val="18"/>
                <w:highlight w:val="none"/>
                <w:lang w:bidi="ar"/>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分项名称</w:t>
            </w:r>
            <w:r>
              <w:rPr>
                <w:rFonts w:ascii="宋体" w:hAnsi="宋体" w:cs="宋体"/>
                <w:color w:val="auto"/>
                <w:sz w:val="18"/>
                <w:szCs w:val="18"/>
                <w:highlight w:val="none"/>
                <w:lang w:bidi="ar"/>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数量</w:t>
            </w:r>
            <w:r>
              <w:rPr>
                <w:rFonts w:ascii="宋体" w:hAnsi="宋体" w:cs="宋体"/>
                <w:color w:val="auto"/>
                <w:sz w:val="18"/>
                <w:szCs w:val="18"/>
                <w:highlight w:val="none"/>
                <w:lang w:bidi="ar"/>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CPU（核）</w:t>
            </w:r>
            <w:r>
              <w:rPr>
                <w:rFonts w:ascii="宋体" w:hAnsi="宋体" w:cs="宋体"/>
                <w:color w:val="auto"/>
                <w:sz w:val="18"/>
                <w:szCs w:val="18"/>
                <w:highlight w:val="none"/>
                <w:lang w:bidi="ar"/>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内存（G）</w:t>
            </w:r>
            <w:r>
              <w:rPr>
                <w:rFonts w:ascii="宋体" w:hAnsi="宋体" w:cs="宋体"/>
                <w:color w:val="auto"/>
                <w:sz w:val="18"/>
                <w:szCs w:val="18"/>
                <w:highlight w:val="none"/>
                <w:lang w:bidi="ar"/>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磁盘阵列存储（G）</w:t>
            </w:r>
            <w:r>
              <w:rPr>
                <w:rFonts w:ascii="宋体" w:hAnsi="宋体" w:cs="宋体"/>
                <w:color w:val="auto"/>
                <w:sz w:val="18"/>
                <w:szCs w:val="18"/>
                <w:highlight w:val="none"/>
                <w:lang w:bidi="ar"/>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b/>
                <w:color w:val="auto"/>
                <w:sz w:val="18"/>
                <w:szCs w:val="18"/>
                <w:highlight w:val="none"/>
                <w:lang w:bidi="ar"/>
              </w:rPr>
              <w:t xml:space="preserve">服务部分标的及其所属行业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数据中台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32544</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业务中台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2348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技术中台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2348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三资平台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16784</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数字乡村综合服务</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14712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稻米、水产全产业链数字化建设</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2600</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tcPr>
          <w:p>
            <w:pPr>
              <w:pStyle w:val="943"/>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市级农产品质量安全智慧监管平台</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943"/>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1524</w:t>
            </w:r>
            <w:r>
              <w:rPr>
                <w:rFonts w:ascii="宋体" w:hAnsi="宋体" w:cs="宋体"/>
                <w:color w:val="auto"/>
                <w:sz w:val="18"/>
                <w:szCs w:val="18"/>
                <w:highlight w:val="none"/>
                <w:lang w:bidi="ar"/>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43"/>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软件和信息技术服务业</w:t>
            </w:r>
            <w:r>
              <w:rPr>
                <w:rFonts w:hint="eastAsia" w:ascii="宋体" w:hAnsi="宋体" w:cs="宋体"/>
                <w:color w:val="auto"/>
                <w:sz w:val="18"/>
                <w:szCs w:val="18"/>
                <w:highlight w:val="none"/>
                <w:lang w:bidi="ar"/>
              </w:rPr>
            </w:r>
            <w:r>
              <w:rPr>
                <w:color w:val="auto"/>
                <w:highlight w:val="none"/>
              </w:rPr>
            </w:r>
          </w:p>
        </w:tc>
      </w:tr>
    </w:tbl>
    <w:p>
      <w:pPr>
        <w:pStyle w:val="943"/>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rPr>
        <w:t xml:space="preserve">技术参数要求</w:t>
      </w:r>
      <w:r>
        <w:rPr>
          <w:rFonts w:ascii="宋体" w:hAnsi="宋体"/>
          <w:b/>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硬件设备技术参数详细要求如下：</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（1）食品农产品达标合格证打印一体机</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触摸显示屏支持彩色多点触摸屏，人性化操作界面</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内置身份证识别模块、二维码扫描模块。</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最小触摸体：5mm</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耐久性：承受单点触摸超过60000000次以上；</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表面硬度：莫氏7级；</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定位精度：测试笔附件+3mm；</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通讯方式：WiFi模块、有线等多种通讯方式，支持4G/5G全网通模块扩展，保证移动数据传输；</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内置GPS/AGPS接口，可用于户外或者其他移动检测定位；</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内置USB接口，可存200000条以上合格证数据报告；</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立式机柜，采用一体化、模块化整体机构设计，配备高档音效；</w:t>
      </w:r>
      <w:r>
        <w:rPr>
          <w:rFonts w:ascii="宋体" w:hAnsi="宋体"/>
          <w:bCs/>
          <w:color w:val="auto"/>
          <w:sz w:val="24"/>
          <w:szCs w:val="24"/>
          <w:highlight w:val="none"/>
        </w:rPr>
      </w:r>
      <w:r>
        <w:rPr>
          <w:color w:val="auto"/>
          <w:highlight w:val="none"/>
        </w:rPr>
      </w:r>
    </w:p>
    <w:p>
      <w:pPr>
        <w:pStyle w:val="943"/>
        <w:numPr>
          <w:ilvl w:val="0"/>
          <w:numId w:val="1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标签打印纸规格：55*100*300张，单排竖版。</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（2）蓝牙食品农产品合格证打印机</w:t>
      </w:r>
      <w:r>
        <w:rPr>
          <w:rFonts w:ascii="宋体" w:hAnsi="宋体"/>
          <w:bCs/>
          <w:color w:val="auto"/>
          <w:sz w:val="24"/>
          <w:szCs w:val="24"/>
          <w:highlight w:val="none"/>
        </w:rPr>
      </w:r>
      <w:r>
        <w:rPr>
          <w:color w:val="auto"/>
          <w:highlight w:val="none"/>
        </w:rPr>
      </w:r>
    </w:p>
    <w:p>
      <w:pPr>
        <w:pStyle w:val="943"/>
        <w:numPr>
          <w:ilvl w:val="0"/>
          <w:numId w:val="1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支持有间距的热敏标签纸打印</w:t>
      </w:r>
      <w:r>
        <w:rPr>
          <w:rFonts w:ascii="宋体" w:hAnsi="宋体"/>
          <w:bCs/>
          <w:color w:val="auto"/>
          <w:sz w:val="24"/>
          <w:szCs w:val="24"/>
          <w:highlight w:val="none"/>
        </w:rPr>
      </w:r>
      <w:r>
        <w:rPr>
          <w:color w:val="auto"/>
          <w:highlight w:val="none"/>
        </w:rPr>
      </w:r>
    </w:p>
    <w:p>
      <w:pPr>
        <w:pStyle w:val="943"/>
        <w:numPr>
          <w:ilvl w:val="0"/>
          <w:numId w:val="1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大容量标签快速打印。</w:t>
      </w:r>
      <w:r>
        <w:rPr>
          <w:rFonts w:ascii="宋体" w:hAnsi="宋体"/>
          <w:bCs/>
          <w:color w:val="auto"/>
          <w:sz w:val="24"/>
          <w:szCs w:val="24"/>
          <w:highlight w:val="none"/>
        </w:rPr>
      </w:r>
      <w:r>
        <w:rPr>
          <w:color w:val="auto"/>
          <w:highlight w:val="none"/>
        </w:rPr>
      </w:r>
    </w:p>
    <w:p>
      <w:pPr>
        <w:pStyle w:val="943"/>
        <w:numPr>
          <w:ilvl w:val="0"/>
          <w:numId w:val="1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打印速度：128毫米/秒</w:t>
      </w:r>
      <w:r>
        <w:rPr>
          <w:rFonts w:ascii="宋体" w:hAnsi="宋体"/>
          <w:bCs/>
          <w:color w:val="auto"/>
          <w:sz w:val="24"/>
          <w:szCs w:val="24"/>
          <w:highlight w:val="none"/>
        </w:rPr>
      </w:r>
      <w:r>
        <w:rPr>
          <w:color w:val="auto"/>
          <w:highlight w:val="none"/>
        </w:rPr>
      </w:r>
    </w:p>
    <w:p>
      <w:pPr>
        <w:pStyle w:val="943"/>
        <w:numPr>
          <w:ilvl w:val="0"/>
          <w:numId w:val="1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最大打印宽度：80毫米</w:t>
      </w:r>
      <w:r>
        <w:rPr>
          <w:rFonts w:ascii="宋体" w:hAnsi="宋体"/>
          <w:bCs/>
          <w:color w:val="auto"/>
          <w:sz w:val="24"/>
          <w:szCs w:val="24"/>
          <w:highlight w:val="none"/>
        </w:rPr>
      </w:r>
      <w:r>
        <w:rPr>
          <w:color w:val="auto"/>
          <w:highlight w:val="none"/>
        </w:rPr>
      </w:r>
    </w:p>
    <w:p>
      <w:pPr>
        <w:pStyle w:val="943"/>
        <w:numPr>
          <w:ilvl w:val="0"/>
          <w:numId w:val="1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通讯接口支持手机微信小程序蓝牙打印合格证；</w:t>
      </w:r>
      <w:r>
        <w:rPr>
          <w:rFonts w:ascii="宋体" w:hAnsi="宋体"/>
          <w:bCs/>
          <w:color w:val="auto"/>
          <w:sz w:val="24"/>
          <w:szCs w:val="24"/>
          <w:highlight w:val="none"/>
        </w:rPr>
      </w:r>
      <w:r>
        <w:rPr>
          <w:color w:val="auto"/>
          <w:highlight w:val="none"/>
        </w:rPr>
      </w:r>
    </w:p>
    <w:p>
      <w:pPr>
        <w:pStyle w:val="943"/>
        <w:numPr>
          <w:ilvl w:val="0"/>
          <w:numId w:val="1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打印纸规格：70＊50mm或60*40mm。</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（3）农产品精准检测设备</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农残、兽残检测支持并符合江苏省检测项目要求，检测样品名称可快捷输入。</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支持多通道检测系统（农残通道+胶体金通道），农残检测12通道，采用先进的分光技术，可同时检测多个样品，且各通道独立工作，可选择不同种类样品名称。胶体金卡支持标准尺寸单卡。</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检测方式：支持胶体金卡、支持酶抑制率检测法。</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7寸操作屏幕：彩色多点触摸屏，人性化操作界面。</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内置二维码扫描模块。</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通讯方式：WiFi模块、有线等多种通讯方式，支持4G/5G全网通模块扩展，保证移动数据传输；</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内置GPS/AGPS接口，可用于户外或者其他移动检测定位；</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内置USB接口，内置SD卡，可扩展32GB，可存200000条以上合格证数据报告，方便数据的存储和导出，实现数据查询、浏览、分析、统计、打印和发布信息；</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仪器结构：采用便携一体化手提箱；箱体能防水，抗压，面板可支持拆卸及扩展升级；</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自动保存合格证数据及检测信息，数据存储量大，支持用户通过手机，微信等多种方式快速注册主体信息；</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光源:超高亮LED光源，照度均匀；</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识别功能:C、T线位置可自动识别，支持线宽及线间距设定；</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打印速度:最高150mm/s，中速100mm/s；</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纸张规格:支持60mm标准宽度(底纸宽度)的通用热敏标签打印纸或三防热敏标签打印纸；</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电源:电源适配器(输入100～240VAC,频率:50～6HZ:输出DC12V/5A)；</w:t>
      </w:r>
      <w:r>
        <w:rPr>
          <w:rFonts w:ascii="宋体" w:hAnsi="宋体"/>
          <w:bCs/>
          <w:color w:val="auto"/>
          <w:sz w:val="24"/>
          <w:szCs w:val="24"/>
          <w:highlight w:val="none"/>
        </w:rPr>
      </w:r>
      <w:r>
        <w:rPr>
          <w:color w:val="auto"/>
          <w:highlight w:val="none"/>
        </w:rPr>
      </w:r>
    </w:p>
    <w:p>
      <w:pPr>
        <w:pStyle w:val="943"/>
        <w:numPr>
          <w:ilvl w:val="0"/>
          <w:numId w:val="1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热敏打印纸规格：60*40mm。</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（4）采样平板</w:t>
        <w:tab/>
      </w:r>
      <w:r>
        <w:rPr>
          <w:rFonts w:ascii="宋体" w:hAnsi="宋体"/>
          <w:bCs/>
          <w:color w:val="auto"/>
          <w:sz w:val="24"/>
          <w:szCs w:val="24"/>
          <w:highlight w:val="none"/>
        </w:rPr>
      </w:r>
      <w:r>
        <w:rPr>
          <w:color w:val="auto"/>
          <w:highlight w:val="none"/>
        </w:rPr>
      </w:r>
    </w:p>
    <w:p>
      <w:pPr>
        <w:pStyle w:val="943"/>
        <w:numPr>
          <w:ilvl w:val="0"/>
          <w:numId w:val="1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8.4寸或10.0寸平板电脑；4G+64GWIFI;屏幕类型:双层OLED；</w:t>
      </w:r>
      <w:r>
        <w:rPr>
          <w:rFonts w:ascii="宋体" w:hAnsi="宋体"/>
          <w:bCs/>
          <w:color w:val="auto"/>
          <w:sz w:val="24"/>
          <w:szCs w:val="24"/>
          <w:highlight w:val="none"/>
        </w:rPr>
      </w:r>
      <w:r>
        <w:rPr>
          <w:color w:val="auto"/>
          <w:highlight w:val="none"/>
        </w:rPr>
      </w:r>
    </w:p>
    <w:p>
      <w:pPr>
        <w:pStyle w:val="943"/>
        <w:numPr>
          <w:ilvl w:val="0"/>
          <w:numId w:val="1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刷新率技术Supermotion动态刷新率技术;屏幕色彩10.7亿色，P3广色域分辨率2800×1840像素;屏幕像素密度PPI274PPI；</w:t>
      </w:r>
      <w:r>
        <w:rPr>
          <w:rFonts w:ascii="宋体" w:hAnsi="宋体"/>
          <w:bCs/>
          <w:color w:val="auto"/>
          <w:sz w:val="24"/>
          <w:szCs w:val="24"/>
          <w:highlight w:val="none"/>
        </w:rPr>
      </w:r>
      <w:r>
        <w:rPr>
          <w:color w:val="auto"/>
          <w:highlight w:val="none"/>
        </w:rPr>
      </w:r>
    </w:p>
    <w:p>
      <w:pPr>
        <w:pStyle w:val="943"/>
        <w:numPr>
          <w:ilvl w:val="0"/>
          <w:numId w:val="1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屏幕比例3:2;运行内存（RAM）;12GB;存储容量256GB；</w:t>
      </w:r>
      <w:r>
        <w:rPr>
          <w:rFonts w:ascii="宋体" w:hAnsi="宋体"/>
          <w:bCs/>
          <w:color w:val="auto"/>
          <w:sz w:val="24"/>
          <w:szCs w:val="24"/>
          <w:highlight w:val="none"/>
        </w:rPr>
      </w:r>
      <w:r>
        <w:rPr>
          <w:color w:val="auto"/>
          <w:highlight w:val="none"/>
        </w:rPr>
      </w:r>
    </w:p>
    <w:p>
      <w:pPr>
        <w:pStyle w:val="943"/>
        <w:numPr>
          <w:ilvl w:val="0"/>
          <w:numId w:val="1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800万像素智慧感知摄像头。后置摄像头1300万像素摄像头（F1.8光圈，不支持OIS）自动对焦+800万像素摄像头（广角，F2.2光圈，固定焦距），FOV112°;闪光灯支持;后置主摄像头：支持4K30fps视频录制；后置广角摄像头:支持1080P30fps视频录制；</w:t>
      </w:r>
      <w:r>
        <w:rPr>
          <w:rFonts w:ascii="宋体" w:hAnsi="宋体"/>
          <w:bCs/>
          <w:color w:val="auto"/>
          <w:sz w:val="24"/>
          <w:szCs w:val="24"/>
          <w:highlight w:val="none"/>
        </w:rPr>
      </w:r>
      <w:r>
        <w:rPr>
          <w:color w:val="auto"/>
          <w:highlight w:val="none"/>
        </w:rPr>
      </w:r>
    </w:p>
    <w:p>
      <w:pPr>
        <w:pStyle w:val="943"/>
        <w:numPr>
          <w:ilvl w:val="0"/>
          <w:numId w:val="1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照片分辨率后置主摄像头：4160×3120像素；后置广角摄像头：3264×2448像素。后置摄像头：最大可支持3840×2160像素变焦模式10倍数字变焦摄像头类型;前单后双WLAN支持WLAN频率2.4GHz和5GHz；</w:t>
      </w:r>
      <w:r>
        <w:rPr>
          <w:rFonts w:ascii="宋体" w:hAnsi="宋体"/>
          <w:bCs/>
          <w:color w:val="auto"/>
          <w:sz w:val="24"/>
          <w:szCs w:val="24"/>
          <w:highlight w:val="none"/>
        </w:rPr>
      </w:r>
      <w:r>
        <w:rPr>
          <w:color w:val="auto"/>
          <w:highlight w:val="none"/>
        </w:rPr>
      </w:r>
    </w:p>
    <w:p>
      <w:pPr>
        <w:pStyle w:val="943"/>
        <w:numPr>
          <w:ilvl w:val="0"/>
          <w:numId w:val="1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蓝牙Bluetooth5.2，支持BLE，支持SBC、AAC、LDAC；蓝牙文件传输支持定位支持GPS、GLONASS、北斗、伽利略、QZSS。</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（5）实验设备工作状态控制器</w:t>
        <w:tab/>
      </w:r>
      <w:r>
        <w:rPr>
          <w:rFonts w:ascii="宋体" w:hAnsi="宋体"/>
          <w:bCs/>
          <w:color w:val="auto"/>
          <w:sz w:val="24"/>
          <w:szCs w:val="24"/>
          <w:highlight w:val="none"/>
        </w:rPr>
      </w:r>
      <w:r>
        <w:rPr>
          <w:color w:val="auto"/>
          <w:highlight w:val="none"/>
        </w:rPr>
      </w:r>
    </w:p>
    <w:p>
      <w:pPr>
        <w:pStyle w:val="943"/>
        <w:numPr>
          <w:ilvl w:val="0"/>
          <w:numId w:val="1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支持220V-380V数显电流信号监测，485通讯联机；</w:t>
      </w:r>
      <w:r>
        <w:rPr>
          <w:rFonts w:ascii="宋体" w:hAnsi="宋体"/>
          <w:bCs/>
          <w:color w:val="auto"/>
          <w:sz w:val="24"/>
          <w:szCs w:val="24"/>
          <w:highlight w:val="none"/>
        </w:rPr>
      </w:r>
      <w:r>
        <w:rPr>
          <w:color w:val="auto"/>
          <w:highlight w:val="none"/>
        </w:rPr>
      </w:r>
    </w:p>
    <w:p>
      <w:pPr>
        <w:pStyle w:val="943"/>
        <w:numPr>
          <w:ilvl w:val="0"/>
          <w:numId w:val="1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程序对接实验室数字化平台系统；激励磁通闭环控制技术；自激退磁技术；多点零磁通技术；多级量程自动切换技术；温控补偿</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rPr>
        <w:t xml:space="preserve">性能特点；原、副边隔离测量；出色的线性度和准确度；极低的温漂；极低的零漂；强抗电磁干扰能力；宽频带和低响应时间；</w:t>
      </w:r>
      <w:r>
        <w:rPr>
          <w:rFonts w:ascii="宋体" w:hAnsi="宋体"/>
          <w:bCs/>
          <w:color w:val="auto"/>
          <w:sz w:val="24"/>
          <w:szCs w:val="24"/>
          <w:highlight w:val="none"/>
        </w:rPr>
      </w:r>
      <w:r>
        <w:rPr>
          <w:color w:val="auto"/>
          <w:highlight w:val="none"/>
        </w:rPr>
      </w:r>
    </w:p>
    <w:p>
      <w:pPr>
        <w:pStyle w:val="943"/>
        <w:numPr>
          <w:ilvl w:val="0"/>
          <w:numId w:val="1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原边额定直流电流30A；工作电压，15V；精准度500PPM；工作温度范围：-40，+80度。</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（6）室内有毒气体浓度传感器</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1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二合一（甲醇\乙腈）浓度监测，485通讯联机；</w:t>
      </w:r>
      <w:r>
        <w:rPr>
          <w:rFonts w:ascii="宋体" w:hAnsi="宋体"/>
          <w:bCs/>
          <w:color w:val="auto"/>
          <w:sz w:val="24"/>
          <w:szCs w:val="24"/>
          <w:highlight w:val="none"/>
        </w:rPr>
      </w:r>
      <w:r>
        <w:rPr>
          <w:color w:val="auto"/>
          <w:highlight w:val="none"/>
        </w:rPr>
      </w:r>
    </w:p>
    <w:p>
      <w:pPr>
        <w:pStyle w:val="943"/>
        <w:numPr>
          <w:ilvl w:val="0"/>
          <w:numId w:val="1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程序对接实验室数字化平台系统；</w:t>
      </w:r>
      <w:r>
        <w:rPr>
          <w:rFonts w:ascii="宋体" w:hAnsi="宋体"/>
          <w:bCs/>
          <w:color w:val="auto"/>
          <w:sz w:val="24"/>
          <w:szCs w:val="24"/>
          <w:highlight w:val="none"/>
        </w:rPr>
      </w:r>
      <w:r>
        <w:rPr>
          <w:color w:val="auto"/>
          <w:highlight w:val="none"/>
        </w:rPr>
      </w:r>
    </w:p>
    <w:p>
      <w:pPr>
        <w:pStyle w:val="943"/>
        <w:numPr>
          <w:ilvl w:val="0"/>
          <w:numId w:val="1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测量范围：3-100%LEL；</w:t>
      </w:r>
      <w:r>
        <w:rPr>
          <w:rFonts w:ascii="宋体" w:hAnsi="宋体"/>
          <w:bCs/>
          <w:color w:val="auto"/>
          <w:sz w:val="24"/>
          <w:szCs w:val="24"/>
          <w:highlight w:val="none"/>
        </w:rPr>
      </w:r>
      <w:r>
        <w:rPr>
          <w:color w:val="auto"/>
          <w:highlight w:val="none"/>
        </w:rPr>
      </w:r>
    </w:p>
    <w:p>
      <w:pPr>
        <w:pStyle w:val="943"/>
        <w:numPr>
          <w:ilvl w:val="0"/>
          <w:numId w:val="1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工作环境：（可燃气体-40℃~+70℃）；温度范围：≤95%RH（无结露）；检测原理电化学/催化燃烧；</w:t>
      </w:r>
      <w:r>
        <w:rPr>
          <w:rFonts w:ascii="宋体" w:hAnsi="宋体"/>
          <w:bCs/>
          <w:color w:val="auto"/>
          <w:sz w:val="24"/>
          <w:szCs w:val="24"/>
          <w:highlight w:val="none"/>
        </w:rPr>
      </w:r>
      <w:r>
        <w:rPr>
          <w:color w:val="auto"/>
          <w:highlight w:val="none"/>
        </w:rPr>
      </w:r>
    </w:p>
    <w:p>
      <w:pPr>
        <w:pStyle w:val="943"/>
        <w:numPr>
          <w:ilvl w:val="0"/>
          <w:numId w:val="1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显示误差≤±5%F.S；</w:t>
      </w:r>
      <w:r>
        <w:rPr>
          <w:rFonts w:ascii="宋体" w:hAnsi="宋体"/>
          <w:bCs/>
          <w:color w:val="auto"/>
          <w:sz w:val="24"/>
          <w:szCs w:val="24"/>
          <w:highlight w:val="none"/>
        </w:rPr>
      </w:r>
      <w:r>
        <w:rPr>
          <w:color w:val="auto"/>
          <w:highlight w:val="none"/>
        </w:rPr>
      </w:r>
    </w:p>
    <w:p>
      <w:pPr>
        <w:pStyle w:val="943"/>
        <w:numPr>
          <w:ilvl w:val="0"/>
          <w:numId w:val="1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防护等级IP54。</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（7）室内有毒气体浓度传感器</w:t>
        <w:tab/>
      </w:r>
      <w:r>
        <w:rPr>
          <w:rFonts w:ascii="宋体" w:hAnsi="宋体"/>
          <w:bCs/>
          <w:color w:val="auto"/>
          <w:sz w:val="24"/>
          <w:szCs w:val="24"/>
          <w:highlight w:val="none"/>
        </w:rPr>
      </w:r>
      <w:r>
        <w:rPr>
          <w:color w:val="auto"/>
          <w:highlight w:val="none"/>
        </w:rPr>
      </w:r>
    </w:p>
    <w:p>
      <w:pPr>
        <w:pStyle w:val="943"/>
        <w:numPr>
          <w:ilvl w:val="0"/>
          <w:numId w:val="1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二合一（盐酸\硝酸）浓度监测，485通讯联机；</w:t>
      </w:r>
      <w:r>
        <w:rPr>
          <w:rFonts w:ascii="宋体" w:hAnsi="宋体"/>
          <w:bCs/>
          <w:color w:val="auto"/>
          <w:sz w:val="24"/>
          <w:szCs w:val="24"/>
          <w:highlight w:val="none"/>
        </w:rPr>
      </w:r>
      <w:r>
        <w:rPr>
          <w:color w:val="auto"/>
          <w:highlight w:val="none"/>
        </w:rPr>
      </w:r>
    </w:p>
    <w:p>
      <w:pPr>
        <w:pStyle w:val="943"/>
        <w:numPr>
          <w:ilvl w:val="0"/>
          <w:numId w:val="1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程序对接实验室数字化平台系统；</w:t>
      </w:r>
      <w:r>
        <w:rPr>
          <w:rFonts w:ascii="宋体" w:hAnsi="宋体"/>
          <w:bCs/>
          <w:color w:val="auto"/>
          <w:sz w:val="24"/>
          <w:szCs w:val="24"/>
          <w:highlight w:val="none"/>
        </w:rPr>
      </w:r>
      <w:r>
        <w:rPr>
          <w:color w:val="auto"/>
          <w:highlight w:val="none"/>
        </w:rPr>
      </w:r>
    </w:p>
    <w:p>
      <w:pPr>
        <w:pStyle w:val="943"/>
        <w:numPr>
          <w:ilvl w:val="0"/>
          <w:numId w:val="1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测量范围：3-100%LEL；</w:t>
      </w:r>
      <w:r>
        <w:rPr>
          <w:rFonts w:ascii="宋体" w:hAnsi="宋体"/>
          <w:bCs/>
          <w:color w:val="auto"/>
          <w:sz w:val="24"/>
          <w:szCs w:val="24"/>
          <w:highlight w:val="none"/>
        </w:rPr>
      </w:r>
      <w:r>
        <w:rPr>
          <w:color w:val="auto"/>
          <w:highlight w:val="none"/>
        </w:rPr>
      </w:r>
    </w:p>
    <w:p>
      <w:pPr>
        <w:pStyle w:val="943"/>
        <w:numPr>
          <w:ilvl w:val="0"/>
          <w:numId w:val="1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工作环境：（可燃气体-40℃~+70℃）；温度范围：≤95%RH（无结露）；检测原理电化学/催化燃烧；</w:t>
      </w:r>
      <w:r>
        <w:rPr>
          <w:rFonts w:ascii="宋体" w:hAnsi="宋体"/>
          <w:bCs/>
          <w:color w:val="auto"/>
          <w:sz w:val="24"/>
          <w:szCs w:val="24"/>
          <w:highlight w:val="none"/>
        </w:rPr>
      </w:r>
      <w:r>
        <w:rPr>
          <w:color w:val="auto"/>
          <w:highlight w:val="none"/>
        </w:rPr>
      </w:r>
    </w:p>
    <w:p>
      <w:pPr>
        <w:pStyle w:val="943"/>
        <w:numPr>
          <w:ilvl w:val="0"/>
          <w:numId w:val="1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显示误差≤±5%F.S；</w:t>
      </w:r>
      <w:r>
        <w:rPr>
          <w:rFonts w:ascii="宋体" w:hAnsi="宋体"/>
          <w:bCs/>
          <w:color w:val="auto"/>
          <w:sz w:val="24"/>
          <w:szCs w:val="24"/>
          <w:highlight w:val="none"/>
        </w:rPr>
      </w:r>
      <w:r>
        <w:rPr>
          <w:color w:val="auto"/>
          <w:highlight w:val="none"/>
        </w:rPr>
      </w:r>
    </w:p>
    <w:p>
      <w:pPr>
        <w:pStyle w:val="943"/>
        <w:numPr>
          <w:ilvl w:val="0"/>
          <w:numId w:val="1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防护等级IP54。</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（8）室外废气排放数据检测站</w:t>
      </w:r>
      <w:r>
        <w:rPr>
          <w:rFonts w:ascii="宋体" w:hAnsi="宋体"/>
          <w:bCs/>
          <w:color w:val="auto"/>
          <w:sz w:val="24"/>
          <w:szCs w:val="24"/>
          <w:highlight w:val="none"/>
        </w:rPr>
      </w:r>
      <w:r>
        <w:rPr>
          <w:color w:val="auto"/>
          <w:highlight w:val="none"/>
        </w:rPr>
      </w:r>
    </w:p>
    <w:p>
      <w:pPr>
        <w:pStyle w:val="943"/>
        <w:numPr>
          <w:ilvl w:val="0"/>
          <w:numId w:val="1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气体(甲醇、乙腈、盐酸、硝酸)四合一浓度线检测站，485通讯联机；</w:t>
      </w:r>
      <w:r>
        <w:rPr>
          <w:rFonts w:ascii="宋体" w:hAnsi="宋体"/>
          <w:bCs/>
          <w:color w:val="auto"/>
          <w:sz w:val="24"/>
          <w:szCs w:val="24"/>
          <w:highlight w:val="none"/>
        </w:rPr>
      </w:r>
      <w:r>
        <w:rPr>
          <w:color w:val="auto"/>
          <w:highlight w:val="none"/>
        </w:rPr>
      </w:r>
    </w:p>
    <w:p>
      <w:pPr>
        <w:pStyle w:val="943"/>
        <w:numPr>
          <w:ilvl w:val="0"/>
          <w:numId w:val="1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程序对接实验室数字化平台系统；</w:t>
      </w:r>
      <w:r>
        <w:rPr>
          <w:rFonts w:ascii="宋体" w:hAnsi="宋体"/>
          <w:bCs/>
          <w:color w:val="auto"/>
          <w:sz w:val="24"/>
          <w:szCs w:val="24"/>
          <w:highlight w:val="none"/>
        </w:rPr>
      </w:r>
      <w:r>
        <w:rPr>
          <w:color w:val="auto"/>
          <w:highlight w:val="none"/>
        </w:rPr>
      </w:r>
    </w:p>
    <w:p>
      <w:pPr>
        <w:pStyle w:val="943"/>
        <w:numPr>
          <w:ilvl w:val="0"/>
          <w:numId w:val="1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测量范围：3-100%LEL；</w:t>
      </w:r>
      <w:r>
        <w:rPr>
          <w:rFonts w:ascii="宋体" w:hAnsi="宋体"/>
          <w:bCs/>
          <w:color w:val="auto"/>
          <w:sz w:val="24"/>
          <w:szCs w:val="24"/>
          <w:highlight w:val="none"/>
        </w:rPr>
      </w:r>
      <w:r>
        <w:rPr>
          <w:color w:val="auto"/>
          <w:highlight w:val="none"/>
        </w:rPr>
      </w:r>
    </w:p>
    <w:p>
      <w:pPr>
        <w:pStyle w:val="943"/>
        <w:numPr>
          <w:ilvl w:val="0"/>
          <w:numId w:val="1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工作环境：（可燃气体-40℃~+70℃）；温度范围：≤95%RH（无结露）；检测原理电化学/催化燃烧；</w:t>
      </w:r>
      <w:r>
        <w:rPr>
          <w:rFonts w:ascii="宋体" w:hAnsi="宋体"/>
          <w:bCs/>
          <w:color w:val="auto"/>
          <w:sz w:val="24"/>
          <w:szCs w:val="24"/>
          <w:highlight w:val="none"/>
        </w:rPr>
      </w:r>
      <w:r>
        <w:rPr>
          <w:color w:val="auto"/>
          <w:highlight w:val="none"/>
        </w:rPr>
      </w:r>
    </w:p>
    <w:p>
      <w:pPr>
        <w:pStyle w:val="943"/>
        <w:numPr>
          <w:ilvl w:val="0"/>
          <w:numId w:val="1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显示误差≤±5%F.S；</w:t>
      </w:r>
      <w:r>
        <w:rPr>
          <w:rFonts w:ascii="宋体" w:hAnsi="宋体"/>
          <w:bCs/>
          <w:color w:val="auto"/>
          <w:sz w:val="24"/>
          <w:szCs w:val="24"/>
          <w:highlight w:val="none"/>
        </w:rPr>
      </w:r>
      <w:r>
        <w:rPr>
          <w:color w:val="auto"/>
          <w:highlight w:val="none"/>
        </w:rPr>
      </w:r>
    </w:p>
    <w:p>
      <w:pPr>
        <w:pStyle w:val="943"/>
        <w:numPr>
          <w:ilvl w:val="0"/>
          <w:numId w:val="1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防护等级IP54。</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（9）室内温湿度数字传感器</w:t>
      </w:r>
      <w:r>
        <w:rPr>
          <w:rFonts w:ascii="宋体" w:hAnsi="宋体"/>
          <w:bCs/>
          <w:color w:val="auto"/>
          <w:sz w:val="24"/>
          <w:szCs w:val="24"/>
          <w:highlight w:val="none"/>
        </w:rPr>
      </w:r>
      <w:r>
        <w:rPr>
          <w:color w:val="auto"/>
          <w:highlight w:val="none"/>
        </w:rPr>
      </w:r>
    </w:p>
    <w:p>
      <w:pPr>
        <w:pStyle w:val="943"/>
        <w:numPr>
          <w:ilvl w:val="0"/>
          <w:numId w:val="2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485信号通讯联机，程序对接实验室数字化平台系统；</w:t>
      </w:r>
      <w:r>
        <w:rPr>
          <w:rFonts w:ascii="宋体" w:hAnsi="宋体"/>
          <w:bCs/>
          <w:color w:val="auto"/>
          <w:sz w:val="24"/>
          <w:szCs w:val="24"/>
          <w:highlight w:val="none"/>
        </w:rPr>
      </w:r>
      <w:r>
        <w:rPr>
          <w:color w:val="auto"/>
          <w:highlight w:val="none"/>
        </w:rPr>
      </w:r>
    </w:p>
    <w:p>
      <w:pPr>
        <w:pStyle w:val="943"/>
        <w:numPr>
          <w:ilvl w:val="0"/>
          <w:numId w:val="2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供电DC10~30V；</w:t>
      </w:r>
      <w:r>
        <w:rPr>
          <w:rFonts w:ascii="宋体" w:hAnsi="宋体"/>
          <w:bCs/>
          <w:color w:val="auto"/>
          <w:sz w:val="24"/>
          <w:szCs w:val="24"/>
          <w:highlight w:val="none"/>
        </w:rPr>
      </w:r>
      <w:r>
        <w:rPr>
          <w:color w:val="auto"/>
          <w:highlight w:val="none"/>
        </w:rPr>
      </w:r>
    </w:p>
    <w:p>
      <w:pPr>
        <w:pStyle w:val="943"/>
        <w:numPr>
          <w:ilvl w:val="0"/>
          <w:numId w:val="2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准精度（默认）湿度±3%RH(60%RH,25℃)；温度±0.5℃（25℃）。</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（10）制样系统接入</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21"/>
        </w:num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全自动制样机系统工作流接入。</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w:t>
      </w:r>
      <w:r>
        <w:rPr>
          <w:rFonts w:hint="eastAsia" w:ascii="宋体" w:hAnsi="宋体"/>
          <w:bCs/>
          <w:color w:val="auto"/>
          <w:sz w:val="24"/>
          <w:szCs w:val="24"/>
          <w:highlight w:val="none"/>
        </w:rPr>
        <w:t xml:space="preserve">制样控制设备</w:t>
      </w:r>
      <w:r>
        <w:rPr>
          <w:rFonts w:hint="eastAsia" w:ascii="宋体" w:hAnsi="宋体"/>
          <w:bCs/>
          <w:color w:val="auto"/>
          <w:sz w:val="24"/>
          <w:szCs w:val="24"/>
          <w:highlight w:val="none"/>
        </w:rPr>
      </w:r>
      <w:r>
        <w:rPr>
          <w:color w:val="auto"/>
          <w:highlight w:val="none"/>
        </w:rPr>
      </w:r>
    </w:p>
    <w:p>
      <w:pPr>
        <w:pStyle w:val="943"/>
        <w:numPr>
          <w:ilvl w:val="0"/>
          <w:numId w:val="97"/>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全自动制样机控制设备接入检测传感器。</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w:t>
      </w:r>
      <w:r>
        <w:rPr>
          <w:rFonts w:hint="eastAsia" w:ascii="宋体" w:hAnsi="宋体"/>
          <w:bCs/>
          <w:color w:val="auto"/>
          <w:sz w:val="24"/>
          <w:szCs w:val="24"/>
          <w:highlight w:val="none"/>
        </w:rPr>
        <w:t xml:space="preserve">制样间配套水电改造</w:t>
      </w:r>
      <w:r>
        <w:rPr>
          <w:rFonts w:ascii="宋体" w:hAnsi="宋体"/>
          <w:bCs/>
          <w:color w:val="auto"/>
          <w:sz w:val="24"/>
          <w:szCs w:val="24"/>
          <w:highlight w:val="none"/>
        </w:rPr>
      </w:r>
      <w:r>
        <w:rPr>
          <w:color w:val="auto"/>
          <w:highlight w:val="none"/>
        </w:rPr>
      </w:r>
    </w:p>
    <w:p>
      <w:pPr>
        <w:pStyle w:val="943"/>
        <w:numPr>
          <w:ilvl w:val="0"/>
          <w:numId w:val="2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配套水电整改。</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w:t>
      </w:r>
      <w:r>
        <w:rPr>
          <w:rFonts w:hint="eastAsia" w:ascii="宋体" w:hAnsi="宋体"/>
          <w:bCs/>
          <w:color w:val="auto"/>
          <w:sz w:val="24"/>
          <w:szCs w:val="24"/>
          <w:highlight w:val="none"/>
        </w:rPr>
        <w:t xml:space="preserve">视频监控摄像机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2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400万智能半球摄像机；POE供电，色彩自动转换。</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w:t>
      </w:r>
      <w:r>
        <w:rPr>
          <w:rFonts w:hint="eastAsia" w:ascii="宋体" w:hAnsi="宋体"/>
          <w:bCs/>
          <w:color w:val="auto"/>
          <w:sz w:val="24"/>
          <w:szCs w:val="24"/>
          <w:highlight w:val="none"/>
        </w:rPr>
        <w:t xml:space="preserve">网络录像机</w:t>
      </w:r>
      <w:r>
        <w:rPr>
          <w:rFonts w:ascii="宋体" w:hAnsi="宋体"/>
          <w:bCs/>
          <w:color w:val="auto"/>
          <w:sz w:val="24"/>
          <w:szCs w:val="24"/>
          <w:highlight w:val="none"/>
        </w:rPr>
      </w:r>
      <w:r>
        <w:rPr>
          <w:color w:val="auto"/>
          <w:highlight w:val="none"/>
        </w:rPr>
      </w:r>
    </w:p>
    <w:p>
      <w:pPr>
        <w:pStyle w:val="943"/>
        <w:numPr>
          <w:ilvl w:val="0"/>
          <w:numId w:val="2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16路4盘位智能录像机。</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w:t>
      </w:r>
      <w:r>
        <w:rPr>
          <w:rFonts w:hint="eastAsia" w:ascii="宋体" w:hAnsi="宋体"/>
          <w:bCs/>
          <w:color w:val="auto"/>
          <w:sz w:val="24"/>
          <w:szCs w:val="24"/>
          <w:highlight w:val="none"/>
        </w:rPr>
        <w:t xml:space="preserve">监控硬盘</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2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6TB监控专用盘。</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w:t>
      </w:r>
      <w:r>
        <w:rPr>
          <w:rFonts w:hint="eastAsia" w:ascii="宋体" w:hAnsi="宋体"/>
          <w:bCs/>
          <w:color w:val="auto"/>
          <w:sz w:val="24"/>
          <w:szCs w:val="24"/>
          <w:highlight w:val="none"/>
        </w:rPr>
        <w:t xml:space="preserve">网线</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2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超五类。</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（17）485串口服务模块</w:t>
        <w:tab/>
      </w:r>
      <w:r>
        <w:rPr>
          <w:rFonts w:ascii="宋体" w:hAnsi="宋体"/>
          <w:bCs/>
          <w:color w:val="auto"/>
          <w:sz w:val="24"/>
          <w:szCs w:val="24"/>
          <w:highlight w:val="none"/>
        </w:rPr>
      </w:r>
      <w:r>
        <w:rPr>
          <w:color w:val="auto"/>
          <w:highlight w:val="none"/>
        </w:rPr>
      </w:r>
    </w:p>
    <w:p>
      <w:pPr>
        <w:pStyle w:val="943"/>
        <w:numPr>
          <w:ilvl w:val="0"/>
          <w:numId w:val="2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485转TCP。</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（18）交换机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2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POE8口千兆交换机，标准POE供电协议。</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（19）信号线</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2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RVV4*1.0。</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（20）供电电源</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集中供电，24V12A。</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（21）实验操作台状态传感器（订制）</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工作状态监测，485通讯联机；程序对接实验室数字化平台系统。</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（22）智能化环境监控系统对接程序（订制）</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服务器实时采集检测+手机短信提醒报警；程序对接实验室数字化平台系统。</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（23）施工费用</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含水处理中心管道整改。</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（24）农田气象及墒情综合监测系统</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采集器：移动通信网络，GPRS，可设置定时或长久在线内置蓝牙，具有安卓手机配置APP内置GPS，可发送设备位置信息，内存32M，内置宽温锂电池，容量20Ah/3.7V内置带有MPPT功能的太阳能充电控制电路，自动计算日ET02。</w:t>
      </w:r>
      <w:r>
        <w:rPr>
          <w:rFonts w:ascii="宋体" w:hAnsi="宋体"/>
          <w:bCs/>
          <w:color w:val="auto"/>
          <w:sz w:val="24"/>
          <w:szCs w:val="24"/>
          <w:highlight w:val="none"/>
        </w:rPr>
      </w:r>
      <w:r>
        <w:rPr>
          <w:color w:val="auto"/>
          <w:highlight w:val="none"/>
        </w:rPr>
      </w:r>
    </w:p>
    <w:p>
      <w:pPr>
        <w:pStyle w:val="943"/>
        <w:numPr>
          <w:ilvl w:val="0"/>
          <w:numId w:val="3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气象一体传感器：空气温度：测量范围：-40到+80℃，分辨率：0.1℃精度：10℃-50℃范围内：±0.3℃全量程范围内：±1.5℃，空气相对湿度：测量范围：0-100%分辨率：0.5%精度：10%-90%范围内：±2%，全量程范围内：±4%，光照强度：测量范围：0-200KL</w:t>
      </w:r>
      <w:r>
        <w:rPr>
          <w:rFonts w:hint="eastAsia" w:ascii="宋体" w:hAnsi="宋体"/>
          <w:bCs/>
          <w:color w:val="auto"/>
          <w:sz w:val="24"/>
          <w:szCs w:val="24"/>
          <w:highlight w:val="none"/>
        </w:rPr>
        <w:t xml:space="preserve">ux精度：±（0.5+0.5%*MV，风速风向传感器：风速：测量范围：0.5-75m/s，分辨率：0.1m/s精度：1m/s或±5%中较大值.风向：测量范围：0-359°，分辨率：1°精度：±3°，降雨传感器：分辨率：0.2mm，精度：0.2mm/h-50mm/h范围内：±4%，50mm/h-100m/h范围内:±5%大气压力传感器：，测量范围：10-1200mbar，分辨率：0.012mbar精度：±1.5mbar(25℃，750mbar)，±2.5mbar(-20℃-85℃，450-1100mbar）。</w:t>
      </w:r>
      <w:r>
        <w:rPr>
          <w:rFonts w:ascii="宋体" w:hAnsi="宋体"/>
          <w:bCs/>
          <w:color w:val="auto"/>
          <w:sz w:val="24"/>
          <w:szCs w:val="24"/>
          <w:highlight w:val="none"/>
        </w:rPr>
      </w:r>
      <w:r>
        <w:rPr>
          <w:color w:val="auto"/>
          <w:highlight w:val="none"/>
        </w:rPr>
      </w:r>
    </w:p>
    <w:p>
      <w:pPr>
        <w:pStyle w:val="943"/>
        <w:numPr>
          <w:ilvl w:val="0"/>
          <w:numId w:val="3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土壤湿度：测量区域：90%的影响在围绕中央探针的直径为3cm、长为6cm的圆柱体内输出值类别：体积绝对含水量；</w:t>
      </w:r>
      <w:r>
        <w:rPr>
          <w:rFonts w:ascii="宋体" w:hAnsi="宋体"/>
          <w:bCs/>
          <w:color w:val="auto"/>
          <w:sz w:val="24"/>
          <w:szCs w:val="24"/>
          <w:highlight w:val="none"/>
        </w:rPr>
      </w:r>
      <w:r>
        <w:rPr>
          <w:color w:val="auto"/>
          <w:highlight w:val="none"/>
        </w:rPr>
      </w:r>
    </w:p>
    <w:p>
      <w:pPr>
        <w:pStyle w:val="943"/>
        <w:numPr>
          <w:ilvl w:val="0"/>
          <w:numId w:val="3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测量范围：0～78%（m3/m3）（土壤饱和）分辨率：0.1%Ø精度：0～50%范围内为±2%土壤电导率：（选配，低电导率）测量范围：0-0.7S/m分辨率：0.001S/m；</w:t>
      </w:r>
      <w:r>
        <w:rPr>
          <w:rFonts w:ascii="宋体" w:hAnsi="宋体"/>
          <w:bCs/>
          <w:color w:val="auto"/>
          <w:sz w:val="24"/>
          <w:szCs w:val="24"/>
          <w:highlight w:val="none"/>
        </w:rPr>
      </w:r>
      <w:r>
        <w:rPr>
          <w:color w:val="auto"/>
          <w:highlight w:val="none"/>
        </w:rPr>
      </w:r>
    </w:p>
    <w:p>
      <w:pPr>
        <w:pStyle w:val="943"/>
        <w:numPr>
          <w:ilvl w:val="0"/>
          <w:numId w:val="3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精度：±5%*测量值；</w:t>
      </w:r>
      <w:r>
        <w:rPr>
          <w:rFonts w:ascii="宋体" w:hAnsi="宋体"/>
          <w:bCs/>
          <w:color w:val="auto"/>
          <w:sz w:val="24"/>
          <w:szCs w:val="24"/>
          <w:highlight w:val="none"/>
        </w:rPr>
      </w:r>
      <w:r>
        <w:rPr>
          <w:color w:val="auto"/>
          <w:highlight w:val="none"/>
        </w:rPr>
      </w:r>
    </w:p>
    <w:p>
      <w:pPr>
        <w:pStyle w:val="943"/>
        <w:numPr>
          <w:ilvl w:val="0"/>
          <w:numId w:val="3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土壤温度测量范围：-10～55℃分辨率：0.01℃。</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（25）远程虫情测报站</w:t>
        <w:tab/>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符合GB/T24689.1-2009植物保护机械虫情测报灯。</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诱集光源：主波长365nm18W黑光灯管。</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供电：320W/200ah太阳能套装供电系统。</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灯体尺寸：650mm×650mm×1950mm。</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整体结构采用不锈钢镀锌喷塑。</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远红外虫体处理致死率不小于98%，虫体完整率不小于95%。</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虫体分散平铺结构:接虫盘直径350mm,具有震动缓冲装置和自动清扫功能，保证昆虫不堆积。</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光控：根据昼夜交替自动开关灯。在夜间工作状态下，不受瞬间强光照射改变工作状态。</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雨控装置：当湿度大于98%RH，测报灯能进入自动保护状态，当湿度不大于98%RH，可恢复正常工作。</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排水装置：可实现自动雨控及排水，能将雨水、虫分离。</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语音播报：具有语音播报功能，可以实时播报每一步的进程。</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拍照装置：配置1200万像素海康高清相机，自动拍摄的图片以无线发送至农业物联网监测平台，平台自动记录每个时间段采集的图片数据，保证每个时间段拍摄的虫体不混淆。</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数据传输：内置有线和无线网络传输模块，支持有线和2/3/4G全网通无线接入互联网，能够将监测数据传输至软件平台或数据中心。</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接虫箱：不锈钢喷塑材质，尺寸：474mmx510mmx235mm,可抽拉。</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控制功能：可通过触摸屏现场控制及软件端远程手动监测控制设备，具有诱虫灯远程开启，手动拍照，光控失控切换，拍照间隔时间可调，有线，无线网络切换，流量限流，GPS/北斗定位等功能。</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设备具有高低温保护功能，空气温度低于5℃机器处于待机状态，高于70℃机器处于保护状态。</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可以根据上传的图片进行数据库对比，AI智能识别图片上的害虫及其数量。</w:t>
      </w:r>
      <w:r>
        <w:rPr>
          <w:rFonts w:ascii="宋体" w:hAnsi="宋体"/>
          <w:bCs/>
          <w:color w:val="auto"/>
          <w:sz w:val="24"/>
          <w:szCs w:val="24"/>
          <w:highlight w:val="none"/>
        </w:rPr>
      </w:r>
      <w:r>
        <w:rPr>
          <w:color w:val="auto"/>
          <w:highlight w:val="none"/>
        </w:rPr>
      </w:r>
    </w:p>
    <w:p>
      <w:pPr>
        <w:pStyle w:val="943"/>
        <w:numPr>
          <w:ilvl w:val="0"/>
          <w:numId w:val="3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设备每天虫害的统计数据，以短信的方式发送给用户，具有新型虫害短信预警的功能。</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（26）全彩全景枪球智能一体机、安装及辅材</w:t>
        <w:tab/>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【全景4Mp全彩4mm;细节4Mp红外23倍】</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传感器类型:【全景】1/1.8＂progressivescanCMOS，【细节】1/2.8＂progressivescanCMOS</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最低照度:</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【全景】0.0005Lux@（F1.0，AGCON），0Luxwithlight</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【细节】0.005Lux@（F1.6，AGCON），黑白：0.001Lux@（F1.6，AGCON），0LuxwithIR</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宽动态:120dB超宽动态</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焦距:【全景】4mm；【细节】4.8mm~110mm，23倍光学变倍</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视场角:【全景】水平视场角：88.7°，垂直视场角：44.7°，【细节】水平视场角：57.6°~2.7°（广角~望远）</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水平范围:360°</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垂直范围:-15°~90°（自动翻转）</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视频压缩标准:H.265,H.264,MJPEG</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网络接口:RJ45网口,自适应10M/100M网络数据</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防护:IP66</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定位联动功能，可自动标定全景视频图像与细节视频图像，使通过客户端软件或IE浏览器在全景视频图像中点击或框选任意区域后，在细节视频图像旋转角度范围允许的条件下，可将该区域处于细节视频图像中央，标定点数量不少于6个，且标定用时不大于1s；</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支持白平衡参数锁定功能，可将白平衡参数锁定为当前设定值，锁定后白平衡参数值不应改变；</w:t>
      </w:r>
      <w:r>
        <w:rPr>
          <w:rFonts w:ascii="宋体" w:hAnsi="宋体"/>
          <w:bCs/>
          <w:color w:val="auto"/>
          <w:sz w:val="24"/>
          <w:szCs w:val="24"/>
          <w:highlight w:val="none"/>
        </w:rPr>
      </w:r>
      <w:r>
        <w:rPr>
          <w:color w:val="auto"/>
          <w:highlight w:val="none"/>
        </w:rPr>
      </w:r>
    </w:p>
    <w:p>
      <w:pPr>
        <w:pStyle w:val="943"/>
        <w:numPr>
          <w:ilvl w:val="0"/>
          <w:numId w:val="3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安装及辅材。</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（27）I系列-NVR</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8盘位，可满配8T硬盘</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2个千兆网口</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2个USB2.0接口、1个USB3.0接口</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1个eSATA接口</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支持RAID0、1、5、10，支持全局热备盘</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报警IO：16进4出（可选配8出）</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硬盘：2个3.5英寸8TB7200RPM256MSATA3</w:t>
      </w:r>
      <w:r>
        <w:rPr>
          <w:rFonts w:ascii="宋体" w:hAnsi="宋体"/>
          <w:bCs/>
          <w:color w:val="auto"/>
          <w:sz w:val="24"/>
          <w:szCs w:val="24"/>
          <w:highlight w:val="none"/>
        </w:rPr>
      </w:r>
      <w:r>
        <w:rPr>
          <w:color w:val="auto"/>
          <w:highlight w:val="none"/>
        </w:rPr>
      </w:r>
    </w:p>
    <w:p>
      <w:pPr>
        <w:pStyle w:val="943"/>
        <w:numPr>
          <w:ilvl w:val="0"/>
          <w:numId w:val="3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软件性能：</w:t>
      </w:r>
      <w:r>
        <w:rPr>
          <w:rFonts w:ascii="宋体" w:hAnsi="宋体"/>
          <w:bCs/>
          <w:color w:val="auto"/>
          <w:sz w:val="24"/>
          <w:szCs w:val="24"/>
          <w:highlight w:val="none"/>
        </w:rPr>
      </w:r>
      <w:r>
        <w:rPr>
          <w:color w:val="auto"/>
          <w:highlight w:val="none"/>
        </w:rPr>
      </w:r>
    </w:p>
    <w:p>
      <w:pPr>
        <w:pStyle w:val="943"/>
        <w:numPr>
          <w:ilvl w:val="0"/>
          <w:numId w:val="38"/>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输入带宽：320M</w:t>
      </w:r>
      <w:r>
        <w:rPr>
          <w:rFonts w:ascii="宋体" w:hAnsi="宋体"/>
          <w:bCs/>
          <w:color w:val="auto"/>
          <w:sz w:val="24"/>
          <w:szCs w:val="24"/>
          <w:highlight w:val="none"/>
        </w:rPr>
      </w:r>
      <w:r>
        <w:rPr>
          <w:color w:val="auto"/>
          <w:highlight w:val="none"/>
        </w:rPr>
      </w:r>
    </w:p>
    <w:p>
      <w:pPr>
        <w:pStyle w:val="943"/>
        <w:numPr>
          <w:ilvl w:val="0"/>
          <w:numId w:val="38"/>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32路H.264、H.265混合接入</w:t>
      </w:r>
      <w:r>
        <w:rPr>
          <w:rFonts w:ascii="宋体" w:hAnsi="宋体"/>
          <w:bCs/>
          <w:color w:val="auto"/>
          <w:sz w:val="24"/>
          <w:szCs w:val="24"/>
          <w:highlight w:val="none"/>
        </w:rPr>
      </w:r>
      <w:r>
        <w:rPr>
          <w:color w:val="auto"/>
          <w:highlight w:val="none"/>
        </w:rPr>
      </w:r>
    </w:p>
    <w:p>
      <w:pPr>
        <w:pStyle w:val="943"/>
        <w:numPr>
          <w:ilvl w:val="0"/>
          <w:numId w:val="38"/>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最大支持16×1080P解码</w:t>
      </w:r>
      <w:r>
        <w:rPr>
          <w:rFonts w:ascii="宋体" w:hAnsi="宋体"/>
          <w:bCs/>
          <w:color w:val="auto"/>
          <w:sz w:val="24"/>
          <w:szCs w:val="24"/>
          <w:highlight w:val="none"/>
        </w:rPr>
      </w:r>
      <w:r>
        <w:rPr>
          <w:color w:val="auto"/>
          <w:highlight w:val="none"/>
        </w:rPr>
      </w:r>
    </w:p>
    <w:p>
      <w:pPr>
        <w:pStyle w:val="943"/>
        <w:numPr>
          <w:ilvl w:val="0"/>
          <w:numId w:val="38"/>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支持H.265、H.264解码</w:t>
      </w:r>
      <w:r>
        <w:rPr>
          <w:rFonts w:ascii="宋体" w:hAnsi="宋体"/>
          <w:bCs/>
          <w:color w:val="auto"/>
          <w:sz w:val="24"/>
          <w:szCs w:val="24"/>
          <w:highlight w:val="none"/>
        </w:rPr>
      </w:r>
      <w:r>
        <w:rPr>
          <w:color w:val="auto"/>
          <w:highlight w:val="none"/>
        </w:rPr>
      </w:r>
    </w:p>
    <w:p>
      <w:pPr>
        <w:pStyle w:val="943"/>
        <w:numPr>
          <w:ilvl w:val="0"/>
          <w:numId w:val="38"/>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Smart2.0/整机热备/ANR/智能检索/智能回放/车牌检索/人脸检索/热度图/客流量统计/分时段回放/超高倍速回放/双系统备份</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（28）农机作业智能监管终端</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3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终端包含:机耕监测主机、显示器、摄像头、状态传感器机具传感器、电源线、4G天线定位天线;</w:t>
      </w:r>
      <w:r>
        <w:rPr>
          <w:rFonts w:ascii="宋体" w:hAnsi="宋体"/>
          <w:bCs/>
          <w:color w:val="auto"/>
          <w:sz w:val="24"/>
          <w:szCs w:val="24"/>
          <w:highlight w:val="none"/>
        </w:rPr>
      </w:r>
      <w:r>
        <w:rPr>
          <w:color w:val="auto"/>
          <w:highlight w:val="none"/>
        </w:rPr>
      </w:r>
    </w:p>
    <w:p>
      <w:pPr>
        <w:pStyle w:val="943"/>
        <w:numPr>
          <w:ilvl w:val="0"/>
          <w:numId w:val="3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技术指标:</w:t>
      </w:r>
      <w:r>
        <w:rPr>
          <w:rFonts w:ascii="宋体" w:hAnsi="宋体"/>
          <w:bCs/>
          <w:color w:val="auto"/>
          <w:sz w:val="24"/>
          <w:szCs w:val="24"/>
          <w:highlight w:val="none"/>
        </w:rPr>
      </w:r>
      <w:r>
        <w:rPr>
          <w:color w:val="auto"/>
          <w:highlight w:val="none"/>
        </w:rPr>
      </w:r>
    </w:p>
    <w:p>
      <w:pPr>
        <w:pStyle w:val="943"/>
        <w:numPr>
          <w:ilvl w:val="0"/>
          <w:numId w:val="40"/>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作业面积检测精度≥98%;</w:t>
      </w:r>
      <w:r>
        <w:rPr>
          <w:rFonts w:ascii="宋体" w:hAnsi="宋体"/>
          <w:bCs/>
          <w:color w:val="auto"/>
          <w:sz w:val="24"/>
          <w:szCs w:val="24"/>
          <w:highlight w:val="none"/>
        </w:rPr>
      </w:r>
      <w:r>
        <w:rPr>
          <w:color w:val="auto"/>
          <w:highlight w:val="none"/>
        </w:rPr>
      </w:r>
    </w:p>
    <w:p>
      <w:pPr>
        <w:pStyle w:val="943"/>
        <w:numPr>
          <w:ilvl w:val="0"/>
          <w:numId w:val="40"/>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深松、深翻作业深度检测误差≤2cm;</w:t>
      </w:r>
      <w:r>
        <w:rPr>
          <w:rFonts w:ascii="宋体" w:hAnsi="宋体"/>
          <w:bCs/>
          <w:color w:val="auto"/>
          <w:sz w:val="24"/>
          <w:szCs w:val="24"/>
          <w:highlight w:val="none"/>
        </w:rPr>
      </w:r>
      <w:r>
        <w:rPr>
          <w:color w:val="auto"/>
          <w:highlight w:val="none"/>
        </w:rPr>
      </w:r>
    </w:p>
    <w:p>
      <w:pPr>
        <w:pStyle w:val="943"/>
        <w:numPr>
          <w:ilvl w:val="0"/>
          <w:numId w:val="40"/>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内置数据存储，保证数据安全；</w:t>
      </w:r>
      <w:r>
        <w:rPr>
          <w:rFonts w:ascii="宋体" w:hAnsi="宋体"/>
          <w:bCs/>
          <w:color w:val="auto"/>
          <w:sz w:val="24"/>
          <w:szCs w:val="24"/>
          <w:highlight w:val="none"/>
        </w:rPr>
      </w:r>
      <w:r>
        <w:rPr>
          <w:color w:val="auto"/>
          <w:highlight w:val="none"/>
        </w:rPr>
      </w:r>
    </w:p>
    <w:p>
      <w:pPr>
        <w:pStyle w:val="943"/>
        <w:numPr>
          <w:ilvl w:val="0"/>
          <w:numId w:val="40"/>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多重故障报警，及时止损;</w:t>
      </w:r>
      <w:r>
        <w:rPr>
          <w:rFonts w:ascii="宋体" w:hAnsi="宋体"/>
          <w:bCs/>
          <w:color w:val="auto"/>
          <w:sz w:val="24"/>
          <w:szCs w:val="24"/>
          <w:highlight w:val="none"/>
        </w:rPr>
      </w:r>
      <w:r>
        <w:rPr>
          <w:color w:val="auto"/>
          <w:highlight w:val="none"/>
        </w:rPr>
      </w:r>
    </w:p>
    <w:p>
      <w:pPr>
        <w:pStyle w:val="943"/>
        <w:numPr>
          <w:ilvl w:val="0"/>
          <w:numId w:val="40"/>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IP67防护等级，防水防尘;</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（29）农机作业视频监管终端</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产品组成：包含视频监控主机、摄像头、存储卡、卫星定位天线、4G网络天线、电源线、安装固定支架以及其它配套线缆等；</w:t>
      </w:r>
      <w:r>
        <w:rPr>
          <w:rFonts w:ascii="宋体" w:hAnsi="宋体"/>
          <w:bCs/>
          <w:color w:val="auto"/>
          <w:sz w:val="24"/>
          <w:szCs w:val="24"/>
          <w:highlight w:val="none"/>
        </w:rPr>
      </w:r>
      <w:r>
        <w:rPr>
          <w:color w:val="auto"/>
          <w:highlight w:val="none"/>
        </w:rPr>
      </w:r>
    </w:p>
    <w:p>
      <w:pPr>
        <w:pStyle w:val="943"/>
        <w:numPr>
          <w:ilvl w:val="0"/>
          <w:numId w:val="4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主机配置：主机内置卫星定位和无线通讯模块，具有无线通讯和北斗定位功能，采用工业级芯片设计，功耗低，耐高低温，稳定性好，满足农机作业环境使用需求；</w:t>
      </w:r>
      <w:r>
        <w:rPr>
          <w:rFonts w:ascii="宋体" w:hAnsi="宋体"/>
          <w:bCs/>
          <w:color w:val="auto"/>
          <w:sz w:val="24"/>
          <w:szCs w:val="24"/>
          <w:highlight w:val="none"/>
        </w:rPr>
      </w:r>
      <w:r>
        <w:rPr>
          <w:color w:val="auto"/>
          <w:highlight w:val="none"/>
        </w:rPr>
      </w:r>
    </w:p>
    <w:p>
      <w:pPr>
        <w:pStyle w:val="943"/>
        <w:numPr>
          <w:ilvl w:val="0"/>
          <w:numId w:val="4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数据存储：数据存储采用SD卡存储设计，本地存储卡128G，支持自动循环录像；</w:t>
      </w:r>
      <w:r>
        <w:rPr>
          <w:rFonts w:ascii="宋体" w:hAnsi="宋体"/>
          <w:bCs/>
          <w:color w:val="auto"/>
          <w:sz w:val="24"/>
          <w:szCs w:val="24"/>
          <w:highlight w:val="none"/>
        </w:rPr>
      </w:r>
      <w:r>
        <w:rPr>
          <w:color w:val="auto"/>
          <w:highlight w:val="none"/>
        </w:rPr>
      </w:r>
    </w:p>
    <w:p>
      <w:pPr>
        <w:pStyle w:val="943"/>
        <w:numPr>
          <w:ilvl w:val="0"/>
          <w:numId w:val="4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数据接入：支持4路实时视频输入录像和远程传输，支持视频数据接入无人农机远程管控系统；</w:t>
      </w:r>
      <w:r>
        <w:rPr>
          <w:rFonts w:ascii="宋体" w:hAnsi="宋体"/>
          <w:bCs/>
          <w:color w:val="auto"/>
          <w:sz w:val="24"/>
          <w:szCs w:val="24"/>
          <w:highlight w:val="none"/>
        </w:rPr>
      </w:r>
      <w:r>
        <w:rPr>
          <w:color w:val="auto"/>
          <w:highlight w:val="none"/>
        </w:rPr>
      </w:r>
    </w:p>
    <w:p>
      <w:pPr>
        <w:pStyle w:val="943"/>
        <w:numPr>
          <w:ilvl w:val="0"/>
          <w:numId w:val="4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3C认证：</w:t>
      </w:r>
      <w:r>
        <w:rPr>
          <w:rFonts w:hint="eastAsia" w:ascii="宋体" w:hAnsi="宋体"/>
          <w:bCs/>
          <w:color w:val="auto"/>
          <w:sz w:val="24"/>
          <w:szCs w:val="24"/>
          <w:highlight w:val="none"/>
        </w:rPr>
        <w:t xml:space="preserve">中标人所供</w:t>
      </w:r>
      <w:r>
        <w:rPr>
          <w:rFonts w:hint="eastAsia" w:ascii="宋体" w:hAnsi="宋体"/>
          <w:bCs/>
          <w:color w:val="auto"/>
          <w:sz w:val="24"/>
          <w:szCs w:val="24"/>
          <w:highlight w:val="none"/>
        </w:rPr>
        <w:t xml:space="preserve">产品</w:t>
      </w:r>
      <w:r>
        <w:rPr>
          <w:rFonts w:hint="eastAsia" w:ascii="宋体" w:hAnsi="宋体"/>
          <w:bCs/>
          <w:color w:val="auto"/>
          <w:sz w:val="24"/>
          <w:szCs w:val="24"/>
          <w:highlight w:val="none"/>
        </w:rPr>
        <w:t xml:space="preserve">应</w:t>
      </w:r>
      <w:r>
        <w:rPr>
          <w:rFonts w:hint="eastAsia" w:ascii="宋体" w:hAnsi="宋体"/>
          <w:bCs/>
          <w:color w:val="auto"/>
          <w:sz w:val="24"/>
          <w:szCs w:val="24"/>
          <w:highlight w:val="none"/>
        </w:rPr>
        <w:t xml:space="preserve">通过中国国家强制性产品认证；</w:t>
      </w:r>
      <w:r>
        <w:rPr>
          <w:rFonts w:ascii="宋体" w:hAnsi="宋体"/>
          <w:bCs/>
          <w:color w:val="auto"/>
          <w:sz w:val="24"/>
          <w:szCs w:val="24"/>
          <w:highlight w:val="none"/>
        </w:rPr>
      </w:r>
      <w:r>
        <w:rPr>
          <w:color w:val="auto"/>
          <w:highlight w:val="none"/>
        </w:rPr>
      </w:r>
    </w:p>
    <w:p>
      <w:pPr>
        <w:pStyle w:val="943"/>
        <w:numPr>
          <w:ilvl w:val="0"/>
          <w:numId w:val="4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可靠性：终端及固件保持24h持续独立稳定工作；具有无线通讯和北斗定位功能，具有视频信息采集及存储功能。</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（30）植保无人机套装</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整机、遥控器、变频充电站、4块电池、风冷散热器、RTK高精度模块、网络RTK服务2年、播撒系统、离心喷头套装。</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（31）红外摄像头、安装及辅材</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备热成像、红外夜视、声光报警等功能，利用红外热成像技术全程监控稻米加工厂内作业环境信息以及安全等情况，为稻米安全生产作支撑，提高收储环节粮食品质保障能力，夯实粮食安全责任，全面提升稻米加工环节数字化管理水平。</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（32）空气温湿度传感器</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空气温度-40℃到125℃</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空气湿度0-100%RH</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光照强度0-100KLux</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大气压300-1200mPa</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二氧化碳0-10000ppm</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无线传输，独立上云，不用拉网线</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内置太阳能供电，不用拉电线</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APP可实时查看和控制，不受距离影响；</w:t>
      </w:r>
      <w:r>
        <w:rPr>
          <w:rFonts w:ascii="宋体" w:hAnsi="宋体"/>
          <w:bCs/>
          <w:color w:val="auto"/>
          <w:sz w:val="24"/>
          <w:szCs w:val="24"/>
          <w:highlight w:val="none"/>
        </w:rPr>
      </w:r>
      <w:r>
        <w:rPr>
          <w:color w:val="auto"/>
          <w:highlight w:val="none"/>
        </w:rPr>
      </w:r>
    </w:p>
    <w:p>
      <w:pPr>
        <w:pStyle w:val="943"/>
        <w:numPr>
          <w:ilvl w:val="0"/>
          <w:numId w:val="4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工作温度0℃-50℃（超过此温度会影响二氧化碳测量精度）</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（33）垃圾桶溢满倾倒传感器</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检测范围：传感器能够检测的垃圾桶容量范围，通常以升（L）为单位。</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检测精度：传感器能够准确识别垃圾桶满或倾倒的最小变化量，通常以百分比表示。</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响应时间：从检测到垃圾桶满或倾倒到发出信号的时间间隔，通常以毫秒（ms）为单位。</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工作电压：传感器正常工作所需的电压范围，如5V、12V、24V等。</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工作电流：传感器在正常工作状态下的电流消耗。</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输出信号：传感器发出的信号类型，如数字信号、模拟信号、无线信号等</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工作温度范围：传感器能够正常工作的环境温度范围，如-20℃至60℃。</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防护等级：传感器的防水防尘能力，如IP65、IP67等。</w:t>
      </w:r>
      <w:r>
        <w:rPr>
          <w:rFonts w:ascii="宋体" w:hAnsi="宋体"/>
          <w:bCs/>
          <w:color w:val="auto"/>
          <w:sz w:val="24"/>
          <w:szCs w:val="24"/>
          <w:highlight w:val="none"/>
        </w:rPr>
      </w:r>
      <w:r>
        <w:rPr>
          <w:color w:val="auto"/>
          <w:highlight w:val="none"/>
        </w:rPr>
      </w:r>
    </w:p>
    <w:p>
      <w:pPr>
        <w:pStyle w:val="943"/>
        <w:numPr>
          <w:ilvl w:val="0"/>
          <w:numId w:val="4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安装方式：传感器的安装方式，如壁挂式、立式、嵌入式等。</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（34）无人机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能够捕捉高清画质的照片和视频，支持广角、180°和球形全景拍摄，4倍数码变焦镜头提供更多构图选择。</w:t>
      </w:r>
      <w:r>
        <w:rPr>
          <w:rFonts w:ascii="宋体" w:hAnsi="宋体"/>
          <w:bCs/>
          <w:color w:val="auto"/>
          <w:sz w:val="24"/>
          <w:szCs w:val="24"/>
          <w:highlight w:val="none"/>
        </w:rPr>
      </w:r>
      <w:r>
        <w:rPr>
          <w:color w:val="auto"/>
          <w:highlight w:val="none"/>
        </w:rPr>
      </w:r>
    </w:p>
    <w:p>
      <w:pPr>
        <w:pStyle w:val="943"/>
        <w:numPr>
          <w:ilvl w:val="0"/>
          <w:numId w:val="4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图传距离：支持10公里图传，远距离传输受限小。</w:t>
      </w:r>
      <w:r>
        <w:rPr>
          <w:rFonts w:ascii="宋体" w:hAnsi="宋体"/>
          <w:bCs/>
          <w:color w:val="auto"/>
          <w:sz w:val="24"/>
          <w:szCs w:val="24"/>
          <w:highlight w:val="none"/>
        </w:rPr>
      </w:r>
      <w:r>
        <w:rPr>
          <w:color w:val="auto"/>
          <w:highlight w:val="none"/>
        </w:rPr>
      </w:r>
    </w:p>
    <w:p>
      <w:pPr>
        <w:pStyle w:val="943"/>
        <w:numPr>
          <w:ilvl w:val="0"/>
          <w:numId w:val="4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电池续航：虽然具体续航时间可能因使用情况而异，但整体表现能够满足较长时间的飞行拍摄需求。</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（35）气味探测器</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检测范围：探测器能够检测的气味浓度范围，通常以ppm（百万分之一）或ppb（十亿分之一）为单位。</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灵敏度：探测器对特定气味的响应灵敏度，即探测器能够检测到的最小气味浓度。</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响应时间：探测器从检测到气味到输出信号的时间间隔，通常以秒（s）为单位。</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稳定性：探测器在长期运行中保持性能稳定的能力，包括对环境温度、湿度变化的适应性。</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供电方式：探测器的供电方式，如电池供电、USB供电、PoE供电等。</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输出信号：探测器输出的信号类型，如数字信号、模拟信号、无线信号等。</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工作温度范围：探测器能够正常工作的环境温度范围，如-10℃至50℃。</w:t>
      </w:r>
      <w:r>
        <w:rPr>
          <w:rFonts w:ascii="宋体" w:hAnsi="宋体"/>
          <w:bCs/>
          <w:color w:val="auto"/>
          <w:sz w:val="24"/>
          <w:szCs w:val="24"/>
          <w:highlight w:val="none"/>
        </w:rPr>
      </w:r>
      <w:r>
        <w:rPr>
          <w:color w:val="auto"/>
          <w:highlight w:val="none"/>
        </w:rPr>
      </w:r>
    </w:p>
    <w:p>
      <w:pPr>
        <w:pStyle w:val="943"/>
        <w:numPr>
          <w:ilvl w:val="0"/>
          <w:numId w:val="4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防护等级：探测器的防水防尘能力，如IP65、IP67等。</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（36）乡村智慧广播</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视频流支持：支持多种视频格式和分辨率，包括但不限于H.264、H.265等，以及适应不同网络环境的自适应码率流（AdaptiveBitrateStreaming）。</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延迟：通常在1-3秒范围内，确保实时互动的流畅性。</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并发用户数：支持高并发用户接入，能够满足大规模在线活动的需求。</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稳定性：高可用性设计，确保服务的稳定运行，减少因系统故障导致的中断。</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安全性：提供加密传输、访问控制、内容保护等安全措施，保障内容的安全分发。</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可扩展性：支持按需扩展资源，以适应不同规模的直播需求。</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管理与监控：提供直观的管理界面和实时监控功能，方便用户管理和监控直播状态。</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兼容性：兼容多种终端设备和操作系统，包括PC、移动设备等。</w:t>
      </w:r>
      <w:r>
        <w:rPr>
          <w:rFonts w:ascii="宋体" w:hAnsi="宋体"/>
          <w:bCs/>
          <w:color w:val="auto"/>
          <w:sz w:val="24"/>
          <w:szCs w:val="24"/>
          <w:highlight w:val="none"/>
        </w:rPr>
      </w:r>
      <w:r>
        <w:rPr>
          <w:color w:val="auto"/>
          <w:highlight w:val="none"/>
        </w:rPr>
      </w:r>
    </w:p>
    <w:p>
      <w:pPr>
        <w:pStyle w:val="943"/>
        <w:numPr>
          <w:ilvl w:val="0"/>
          <w:numId w:val="4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API支持：提供丰富的API接口，方便用户进行集成和二次开发。</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（37）游客信息发布大屏</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分辨率:1920x1080(全高清)或更高亮度:500cd/m2或更高对比度:4000:1或更高视角:180°</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色彩表现:16.7M(8bit)或更高响应时间:≦6ms</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输出输入口:HDMI、VGA</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（38）入园闸机系统</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处理速度:25-30人/分钟(常闭)40人/分钟(常开)</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通行方向:单向或双向(可设置)</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正常使用寿命:500万次以上</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工作电压:AC220+10%V50+10%HZ</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兼容性:支持多种门票识别方式，如磁卡、IC卡、NFC等。</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具有故障自检和报警提示功能</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具有机械防夹、红外感应防夹功能</w:t>
      </w:r>
      <w:r>
        <w:rPr>
          <w:rFonts w:ascii="宋体" w:hAnsi="宋体"/>
          <w:bCs/>
          <w:color w:val="auto"/>
          <w:sz w:val="24"/>
          <w:szCs w:val="24"/>
          <w:highlight w:val="none"/>
        </w:rPr>
      </w:r>
      <w:r>
        <w:rPr>
          <w:color w:val="auto"/>
          <w:highlight w:val="none"/>
        </w:rPr>
      </w:r>
    </w:p>
    <w:p>
      <w:pPr>
        <w:pStyle w:val="943"/>
        <w:numPr>
          <w:ilvl w:val="0"/>
          <w:numId w:val="4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具有自动复位功能，开闸后，在规定的时间内未通行时，将自动取消用户的此次通行的权限，标准为开启后5秒自动复位</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（39）微型气象站</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温度测量范围：微型气象站能够测量的温度范围，通常在-40℃至+60℃之间。</w:t>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湿度测量范围：能够测量的相对湿度范围，一般在0%至100%之间。</w:t>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风速测量范围：能够测量的风速范围，一般在0至60米/秒（或更高）。</w:t>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风向测量范围：能够测量的风向范围，一般为0°至360°。</w:t>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气压测量范围：能够测量的气压范围，一般在800至1100百帕（hPa）。</w:t>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降雨量测量范围：能够测量的降雨量范围，一般为0至999.9毫米。</w:t>
      </w:r>
      <w:r>
        <w:rPr>
          <w:rFonts w:ascii="宋体" w:hAnsi="宋体"/>
          <w:bCs/>
          <w:color w:val="auto"/>
          <w:sz w:val="24"/>
          <w:szCs w:val="24"/>
          <w:highlight w:val="none"/>
        </w:rPr>
      </w:r>
      <w:r>
        <w:rPr>
          <w:color w:val="auto"/>
          <w:highlight w:val="none"/>
        </w:rPr>
      </w:r>
    </w:p>
    <w:p>
      <w:pPr>
        <w:pStyle w:val="943"/>
        <w:numPr>
          <w:ilvl w:val="0"/>
          <w:numId w:val="5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测量精度：各项气象参数的测量精度，如温度±0.5℃，湿度±3%RH，风速±0.3米/秒等。</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（40）智能一体机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5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处理器：通常采用高性能的CPU。</w:t>
      </w:r>
      <w:r>
        <w:rPr>
          <w:rFonts w:ascii="宋体" w:hAnsi="宋体"/>
          <w:bCs/>
          <w:color w:val="auto"/>
          <w:sz w:val="24"/>
          <w:szCs w:val="24"/>
          <w:highlight w:val="none"/>
        </w:rPr>
      </w:r>
      <w:r>
        <w:rPr>
          <w:color w:val="auto"/>
          <w:highlight w:val="none"/>
        </w:rPr>
      </w:r>
    </w:p>
    <w:p>
      <w:pPr>
        <w:pStyle w:val="943"/>
        <w:numPr>
          <w:ilvl w:val="0"/>
          <w:numId w:val="5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内存：一般为2GB或更高。</w:t>
      </w:r>
      <w:r>
        <w:rPr>
          <w:rFonts w:ascii="宋体" w:hAnsi="宋体"/>
          <w:bCs/>
          <w:color w:val="auto"/>
          <w:sz w:val="24"/>
          <w:szCs w:val="24"/>
          <w:highlight w:val="none"/>
        </w:rPr>
      </w:r>
      <w:r>
        <w:rPr>
          <w:color w:val="auto"/>
          <w:highlight w:val="none"/>
        </w:rPr>
      </w:r>
    </w:p>
    <w:p>
      <w:pPr>
        <w:pStyle w:val="943"/>
        <w:numPr>
          <w:ilvl w:val="0"/>
          <w:numId w:val="5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存储空间：存储空间用于安装操作系统和应用程序，以及存储数据，一般为32GB或更高。</w:t>
      </w:r>
      <w:r>
        <w:rPr>
          <w:rFonts w:ascii="宋体" w:hAnsi="宋体"/>
          <w:bCs/>
          <w:color w:val="auto"/>
          <w:sz w:val="24"/>
          <w:szCs w:val="24"/>
          <w:highlight w:val="none"/>
        </w:rPr>
      </w:r>
      <w:r>
        <w:rPr>
          <w:color w:val="auto"/>
          <w:highlight w:val="none"/>
        </w:rPr>
      </w:r>
    </w:p>
    <w:p>
      <w:pPr>
        <w:pStyle w:val="943"/>
        <w:numPr>
          <w:ilvl w:val="0"/>
          <w:numId w:val="5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操作系统：Windows、Android。</w:t>
      </w:r>
      <w:r>
        <w:rPr>
          <w:rFonts w:ascii="宋体" w:hAnsi="宋体"/>
          <w:bCs/>
          <w:color w:val="auto"/>
          <w:sz w:val="24"/>
          <w:szCs w:val="24"/>
          <w:highlight w:val="none"/>
        </w:rPr>
      </w:r>
      <w:r>
        <w:rPr>
          <w:color w:val="auto"/>
          <w:highlight w:val="none"/>
        </w:rPr>
      </w:r>
    </w:p>
    <w:p>
      <w:pPr>
        <w:pStyle w:val="943"/>
        <w:numPr>
          <w:ilvl w:val="0"/>
          <w:numId w:val="5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触摸屏：为15英寸或更大，分辨率至少为1080P。</w:t>
      </w:r>
      <w:r>
        <w:rPr>
          <w:rFonts w:ascii="宋体" w:hAnsi="宋体"/>
          <w:bCs/>
          <w:color w:val="auto"/>
          <w:sz w:val="24"/>
          <w:szCs w:val="24"/>
          <w:highlight w:val="none"/>
        </w:rPr>
      </w:r>
      <w:r>
        <w:rPr>
          <w:color w:val="auto"/>
          <w:highlight w:val="none"/>
        </w:rPr>
      </w:r>
    </w:p>
    <w:p>
      <w:pPr>
        <w:pStyle w:val="943"/>
        <w:numPr>
          <w:ilvl w:val="0"/>
          <w:numId w:val="5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网络连接：支持有线和无线网络连接，如Wi-Fi、以太网、4G/5G等。</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（41）安防监控系统补充建设</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无线频段：LTE-TDD：Band34/38/39/40/41</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LTE-FDD：Band1/3/5/8</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无线制式：LTE-TDD/LTE-FDD</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RS-485：支持</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网络接口：RJ45网口，自适应10M/100M网络数据</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SD卡扩展：支持MicroSD/MicroSDHC/MicroSDXC卡，最大支持512GB</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报警：1路报警输入，1路报警输出</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音频：1路音频输入，音频峰值：2-2.4V[p-p]，输入阻抗：1kΩ±10%</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路音频输出，线性电平，阻抗:600Ω</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供电方式：DC12V</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电流及功耗：最大功耗18W（其中除雾加热1.6W，补光灯9W）</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工作温湿度：-30℃-65℃;湿度小于90%</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恢复出厂设置：支持Reset</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除雾：加热玻璃除雾</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尺寸：Ø164.5×290mm</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重量：2kg</w:t>
      </w:r>
      <w:r>
        <w:rPr>
          <w:rFonts w:ascii="宋体" w:hAnsi="宋体"/>
          <w:bCs/>
          <w:color w:val="auto"/>
          <w:sz w:val="24"/>
          <w:szCs w:val="24"/>
          <w:highlight w:val="none"/>
        </w:rPr>
      </w:r>
      <w:r>
        <w:rPr>
          <w:color w:val="auto"/>
          <w:highlight w:val="none"/>
        </w:rPr>
      </w:r>
    </w:p>
    <w:p>
      <w:pPr>
        <w:pStyle w:val="943"/>
        <w:numPr>
          <w:ilvl w:val="0"/>
          <w:numId w:val="5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防护：IP66;6000V防雷、防浪涌、防突波，符合GB/T17626.2/3/4/5/6四级标准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（42）多功能气象站</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5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白色立杆支架组件：</w:t>
      </w:r>
      <w:r>
        <w:rPr>
          <w:rFonts w:ascii="宋体" w:hAnsi="宋体"/>
          <w:bCs/>
          <w:color w:val="auto"/>
          <w:sz w:val="24"/>
          <w:szCs w:val="24"/>
          <w:highlight w:val="none"/>
        </w:rPr>
      </w:r>
      <w:r>
        <w:rPr>
          <w:color w:val="auto"/>
          <w:highlight w:val="none"/>
        </w:rPr>
      </w:r>
    </w:p>
    <w:p>
      <w:pPr>
        <w:pStyle w:val="943"/>
        <w:numPr>
          <w:ilvl w:val="0"/>
          <w:numId w:val="54"/>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白色喷漆支架，美观牢固，高3.5米。</w:t>
      </w:r>
      <w:r>
        <w:rPr>
          <w:rFonts w:ascii="宋体" w:hAnsi="宋体"/>
          <w:bCs/>
          <w:color w:val="auto"/>
          <w:sz w:val="24"/>
          <w:szCs w:val="24"/>
          <w:highlight w:val="none"/>
        </w:rPr>
      </w:r>
      <w:r>
        <w:rPr>
          <w:color w:val="auto"/>
          <w:highlight w:val="none"/>
        </w:rPr>
      </w:r>
    </w:p>
    <w:p>
      <w:pPr>
        <w:pStyle w:val="943"/>
        <w:numPr>
          <w:ilvl w:val="0"/>
          <w:numId w:val="54"/>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圆盘底脚，地笼安装（硬化地面可直接用膨胀螺丝安装）。</w:t>
      </w:r>
      <w:r>
        <w:rPr>
          <w:rFonts w:ascii="宋体" w:hAnsi="宋体"/>
          <w:bCs/>
          <w:color w:val="auto"/>
          <w:sz w:val="24"/>
          <w:szCs w:val="24"/>
          <w:highlight w:val="none"/>
        </w:rPr>
      </w:r>
      <w:r>
        <w:rPr>
          <w:color w:val="auto"/>
          <w:highlight w:val="none"/>
        </w:rPr>
      </w:r>
    </w:p>
    <w:p>
      <w:pPr>
        <w:pStyle w:val="943"/>
        <w:numPr>
          <w:ilvl w:val="0"/>
          <w:numId w:val="54"/>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顶端避雷针设计。传感器安装横臂可灵活调整位置。</w:t>
      </w:r>
      <w:r>
        <w:rPr>
          <w:rFonts w:ascii="宋体" w:hAnsi="宋体"/>
          <w:bCs/>
          <w:color w:val="auto"/>
          <w:sz w:val="24"/>
          <w:szCs w:val="24"/>
          <w:highlight w:val="none"/>
        </w:rPr>
      </w:r>
      <w:r>
        <w:rPr>
          <w:color w:val="auto"/>
          <w:highlight w:val="none"/>
        </w:rPr>
      </w:r>
    </w:p>
    <w:p>
      <w:pPr>
        <w:pStyle w:val="943"/>
        <w:numPr>
          <w:ilvl w:val="0"/>
          <w:numId w:val="5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电控柜组</w:t>
      </w:r>
      <w:r>
        <w:rPr>
          <w:rFonts w:ascii="宋体" w:hAnsi="宋体"/>
          <w:bCs/>
          <w:color w:val="auto"/>
          <w:sz w:val="24"/>
          <w:szCs w:val="24"/>
          <w:highlight w:val="none"/>
        </w:rPr>
      </w:r>
      <w:r>
        <w:rPr>
          <w:color w:val="auto"/>
          <w:highlight w:val="none"/>
        </w:rPr>
      </w:r>
    </w:p>
    <w:p>
      <w:pPr>
        <w:pStyle w:val="943"/>
        <w:numPr>
          <w:ilvl w:val="0"/>
          <w:numId w:val="55"/>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白色喷漆防水箱，及箱内空气开关，开关电源，导轨等配件</w:t>
      </w:r>
      <w:r>
        <w:rPr>
          <w:rFonts w:ascii="宋体" w:hAnsi="宋体"/>
          <w:bCs/>
          <w:color w:val="auto"/>
          <w:sz w:val="24"/>
          <w:szCs w:val="24"/>
          <w:highlight w:val="none"/>
        </w:rPr>
      </w:r>
      <w:r>
        <w:rPr>
          <w:color w:val="auto"/>
          <w:highlight w:val="none"/>
        </w:rPr>
      </w:r>
    </w:p>
    <w:p>
      <w:pPr>
        <w:pStyle w:val="943"/>
        <w:numPr>
          <w:ilvl w:val="0"/>
          <w:numId w:val="55"/>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耐高低温，耐强电磁干扰。采用完备的系统保护机制和防掉线机制。接口：可接入16个485传感终端，一路RS232接口。</w:t>
      </w:r>
      <w:r>
        <w:rPr>
          <w:rFonts w:ascii="宋体" w:hAnsi="宋体"/>
          <w:bCs/>
          <w:color w:val="auto"/>
          <w:sz w:val="24"/>
          <w:szCs w:val="24"/>
          <w:highlight w:val="none"/>
        </w:rPr>
      </w:r>
      <w:r>
        <w:rPr>
          <w:color w:val="auto"/>
          <w:highlight w:val="none"/>
        </w:rPr>
      </w:r>
    </w:p>
    <w:p>
      <w:pPr>
        <w:pStyle w:val="943"/>
        <w:numPr>
          <w:ilvl w:val="0"/>
          <w:numId w:val="55"/>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3.4G通讯。低功耗设计，含三年流量</w:t>
      </w:r>
      <w:r>
        <w:rPr>
          <w:rFonts w:ascii="宋体" w:hAnsi="宋体"/>
          <w:bCs/>
          <w:color w:val="auto"/>
          <w:sz w:val="24"/>
          <w:szCs w:val="24"/>
          <w:highlight w:val="none"/>
        </w:rPr>
      </w:r>
      <w:r>
        <w:rPr>
          <w:color w:val="auto"/>
          <w:highlight w:val="none"/>
        </w:rPr>
      </w:r>
    </w:p>
    <w:p>
      <w:pPr>
        <w:pStyle w:val="943"/>
        <w:numPr>
          <w:ilvl w:val="0"/>
          <w:numId w:val="55"/>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故障自动恢复功能。</w:t>
      </w:r>
      <w:r>
        <w:rPr>
          <w:rFonts w:ascii="宋体" w:hAnsi="宋体"/>
          <w:bCs/>
          <w:color w:val="auto"/>
          <w:sz w:val="24"/>
          <w:szCs w:val="24"/>
          <w:highlight w:val="none"/>
        </w:rPr>
      </w:r>
      <w:r>
        <w:rPr>
          <w:color w:val="auto"/>
          <w:highlight w:val="none"/>
        </w:rPr>
      </w:r>
    </w:p>
    <w:p>
      <w:pPr>
        <w:pStyle w:val="943"/>
        <w:numPr>
          <w:ilvl w:val="0"/>
          <w:numId w:val="55"/>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电量检测功能。</w:t>
      </w:r>
      <w:r>
        <w:rPr>
          <w:rFonts w:ascii="宋体" w:hAnsi="宋体"/>
          <w:bCs/>
          <w:color w:val="auto"/>
          <w:sz w:val="24"/>
          <w:szCs w:val="24"/>
          <w:highlight w:val="none"/>
        </w:rPr>
      </w:r>
      <w:r>
        <w:rPr>
          <w:color w:val="auto"/>
          <w:highlight w:val="none"/>
        </w:rPr>
      </w:r>
    </w:p>
    <w:p>
      <w:pPr>
        <w:pStyle w:val="943"/>
        <w:numPr>
          <w:ilvl w:val="0"/>
          <w:numId w:val="55"/>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内置GPS定位功能、内置8G内存卡</w:t>
      </w:r>
      <w:r>
        <w:rPr>
          <w:rFonts w:ascii="宋体" w:hAnsi="宋体"/>
          <w:bCs/>
          <w:color w:val="auto"/>
          <w:sz w:val="24"/>
          <w:szCs w:val="24"/>
          <w:highlight w:val="none"/>
        </w:rPr>
      </w:r>
      <w:r>
        <w:rPr>
          <w:color w:val="auto"/>
          <w:highlight w:val="none"/>
        </w:rPr>
      </w:r>
    </w:p>
    <w:p>
      <w:pPr>
        <w:pStyle w:val="943"/>
        <w:numPr>
          <w:ilvl w:val="0"/>
          <w:numId w:val="5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太阳能组件</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12V100AH磷酸铁储控一体高聚能锂电池，150W单晶硅太阳能板，安装支架，控制器</w:t>
      </w:r>
      <w:r>
        <w:rPr>
          <w:rFonts w:ascii="宋体" w:hAnsi="宋体"/>
          <w:bCs/>
          <w:color w:val="auto"/>
          <w:sz w:val="24"/>
          <w:szCs w:val="24"/>
          <w:highlight w:val="none"/>
        </w:rPr>
      </w:r>
      <w:r>
        <w:rPr>
          <w:color w:val="auto"/>
          <w:highlight w:val="none"/>
        </w:rPr>
      </w:r>
    </w:p>
    <w:p>
      <w:pPr>
        <w:pStyle w:val="943"/>
        <w:numPr>
          <w:ilvl w:val="0"/>
          <w:numId w:val="5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土壤管式墒情：平均功耗：12V@500mW</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温度测量范围：-20℃~60℃，温度精度：±0.5℃，温度分辨率：0.1℃</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湿度测量范围：0~100%，湿度精度：±5%，湿度分辨率：0.1%</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输出信号：RS485(Modbus协议)，测量层数：5层(可定制，最高10层)，工作温度：-20℃~60℃</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土壤水势传感器量程：-100~-10kPa，响应时间:200ms，精度：±2kPa，信号输出：RS485或4~20mA，供电范围：5~24VDC，功耗：3~5mA，防水等级：IP68"</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百叶箱温湿光，3M线</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风速传感器ABS,3M线</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风向传感器ABS,3M线</w:t>
      </w:r>
      <w:r>
        <w:rPr>
          <w:rFonts w:ascii="宋体" w:hAnsi="宋体"/>
          <w:bCs/>
          <w:color w:val="auto"/>
          <w:sz w:val="24"/>
          <w:szCs w:val="24"/>
          <w:highlight w:val="none"/>
        </w:rPr>
      </w:r>
      <w:r>
        <w:rPr>
          <w:color w:val="auto"/>
          <w:highlight w:val="none"/>
        </w:rPr>
      </w:r>
    </w:p>
    <w:p>
      <w:pPr>
        <w:pStyle w:val="943"/>
        <w:numPr>
          <w:ilvl w:val="0"/>
          <w:numId w:val="5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雨量传感器不锈钢，3M线。</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（43）植物体营养检测仪</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5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检测项目：该设备可以同时测定叶绿素含量、氮含量、叶面温度等参数。</w:t>
      </w:r>
      <w:r>
        <w:rPr>
          <w:rFonts w:ascii="宋体" w:hAnsi="宋体"/>
          <w:bCs/>
          <w:color w:val="auto"/>
          <w:sz w:val="24"/>
          <w:szCs w:val="24"/>
          <w:highlight w:val="none"/>
        </w:rPr>
      </w:r>
      <w:r>
        <w:rPr>
          <w:color w:val="auto"/>
          <w:highlight w:val="none"/>
        </w:rPr>
      </w:r>
    </w:p>
    <w:p>
      <w:pPr>
        <w:pStyle w:val="943"/>
        <w:numPr>
          <w:ilvl w:val="0"/>
          <w:numId w:val="5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w:t>
      </w:r>
      <w:r>
        <w:rPr>
          <w:rFonts w:ascii="宋体" w:hAnsi="宋体"/>
          <w:bCs/>
          <w:color w:val="auto"/>
          <w:sz w:val="24"/>
          <w:szCs w:val="24"/>
          <w:highlight w:val="none"/>
        </w:rPr>
      </w:r>
      <w:r>
        <w:rPr>
          <w:color w:val="auto"/>
          <w:highlight w:val="none"/>
        </w:rPr>
      </w:r>
    </w:p>
    <w:p>
      <w:pPr>
        <w:pStyle w:val="943"/>
        <w:numPr>
          <w:ilvl w:val="0"/>
          <w:numId w:val="58"/>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叶绿素含量：0.0-99.99SPAD</w:t>
      </w:r>
      <w:r>
        <w:rPr>
          <w:rFonts w:ascii="宋体" w:hAnsi="宋体"/>
          <w:bCs/>
          <w:color w:val="auto"/>
          <w:sz w:val="24"/>
          <w:szCs w:val="24"/>
          <w:highlight w:val="none"/>
        </w:rPr>
      </w:r>
      <w:r>
        <w:rPr>
          <w:color w:val="auto"/>
          <w:highlight w:val="none"/>
        </w:rPr>
      </w:r>
    </w:p>
    <w:p>
      <w:pPr>
        <w:pStyle w:val="943"/>
        <w:numPr>
          <w:ilvl w:val="0"/>
          <w:numId w:val="58"/>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氮含量：0.0-99.99mg/g</w:t>
      </w:r>
      <w:r>
        <w:rPr>
          <w:rFonts w:ascii="宋体" w:hAnsi="宋体"/>
          <w:bCs/>
          <w:color w:val="auto"/>
          <w:sz w:val="24"/>
          <w:szCs w:val="24"/>
          <w:highlight w:val="none"/>
        </w:rPr>
      </w:r>
      <w:r>
        <w:rPr>
          <w:color w:val="auto"/>
          <w:highlight w:val="none"/>
        </w:rPr>
      </w:r>
    </w:p>
    <w:p>
      <w:pPr>
        <w:pStyle w:val="943"/>
        <w:numPr>
          <w:ilvl w:val="0"/>
          <w:numId w:val="58"/>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叶面温度：-10-99.9℃</w:t>
      </w:r>
      <w:r>
        <w:rPr>
          <w:rFonts w:ascii="宋体" w:hAnsi="宋体"/>
          <w:bCs/>
          <w:color w:val="auto"/>
          <w:sz w:val="24"/>
          <w:szCs w:val="24"/>
          <w:highlight w:val="none"/>
        </w:rPr>
      </w:r>
      <w:r>
        <w:rPr>
          <w:color w:val="auto"/>
          <w:highlight w:val="none"/>
        </w:rPr>
      </w:r>
    </w:p>
    <w:p>
      <w:pPr>
        <w:pStyle w:val="943"/>
        <w:numPr>
          <w:ilvl w:val="0"/>
          <w:numId w:val="5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测量精度：</w:t>
      </w:r>
      <w:r>
        <w:rPr>
          <w:rFonts w:ascii="宋体" w:hAnsi="宋体"/>
          <w:bCs/>
          <w:color w:val="auto"/>
          <w:sz w:val="24"/>
          <w:szCs w:val="24"/>
          <w:highlight w:val="none"/>
        </w:rPr>
      </w:r>
      <w:r>
        <w:rPr>
          <w:color w:val="auto"/>
          <w:highlight w:val="none"/>
        </w:rPr>
      </w:r>
    </w:p>
    <w:p>
      <w:pPr>
        <w:pStyle w:val="943"/>
        <w:numPr>
          <w:ilvl w:val="0"/>
          <w:numId w:val="59"/>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叶绿素：±1.0SPAD单位以内（室温下，SPAD值介于0-50）</w:t>
      </w:r>
      <w:r>
        <w:rPr>
          <w:rFonts w:ascii="宋体" w:hAnsi="宋体"/>
          <w:bCs/>
          <w:color w:val="auto"/>
          <w:sz w:val="24"/>
          <w:szCs w:val="24"/>
          <w:highlight w:val="none"/>
        </w:rPr>
      </w:r>
      <w:r>
        <w:rPr>
          <w:color w:val="auto"/>
          <w:highlight w:val="none"/>
        </w:rPr>
      </w:r>
    </w:p>
    <w:p>
      <w:pPr>
        <w:pStyle w:val="943"/>
        <w:numPr>
          <w:ilvl w:val="0"/>
          <w:numId w:val="59"/>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氮含量：±5%</w:t>
      </w:r>
      <w:r>
        <w:rPr>
          <w:rFonts w:ascii="宋体" w:hAnsi="宋体"/>
          <w:bCs/>
          <w:color w:val="auto"/>
          <w:sz w:val="24"/>
          <w:szCs w:val="24"/>
          <w:highlight w:val="none"/>
        </w:rPr>
      </w:r>
      <w:r>
        <w:rPr>
          <w:color w:val="auto"/>
          <w:highlight w:val="none"/>
        </w:rPr>
      </w:r>
    </w:p>
    <w:p>
      <w:pPr>
        <w:pStyle w:val="943"/>
        <w:numPr>
          <w:ilvl w:val="0"/>
          <w:numId w:val="59"/>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叶面温度：±0.5℃</w:t>
      </w:r>
      <w:r>
        <w:rPr>
          <w:rFonts w:ascii="宋体" w:hAnsi="宋体"/>
          <w:bCs/>
          <w:color w:val="auto"/>
          <w:sz w:val="24"/>
          <w:szCs w:val="24"/>
          <w:highlight w:val="none"/>
        </w:rPr>
      </w:r>
      <w:r>
        <w:rPr>
          <w:color w:val="auto"/>
          <w:highlight w:val="none"/>
        </w:rPr>
      </w:r>
    </w:p>
    <w:p>
      <w:pPr>
        <w:pStyle w:val="943"/>
        <w:numPr>
          <w:ilvl w:val="0"/>
          <w:numId w:val="5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重复性：</w:t>
      </w:r>
      <w:r>
        <w:rPr>
          <w:rFonts w:ascii="宋体" w:hAnsi="宋体"/>
          <w:bCs/>
          <w:color w:val="auto"/>
          <w:sz w:val="24"/>
          <w:szCs w:val="24"/>
          <w:highlight w:val="none"/>
        </w:rPr>
      </w:r>
      <w:r>
        <w:rPr>
          <w:color w:val="auto"/>
          <w:highlight w:val="none"/>
        </w:rPr>
      </w:r>
    </w:p>
    <w:p>
      <w:pPr>
        <w:pStyle w:val="943"/>
        <w:numPr>
          <w:ilvl w:val="0"/>
          <w:numId w:val="60"/>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叶绿素：±0.3SPAD单位以内（SPAD值介于0-50）</w:t>
      </w:r>
      <w:r>
        <w:rPr>
          <w:rFonts w:ascii="宋体" w:hAnsi="宋体"/>
          <w:bCs/>
          <w:color w:val="auto"/>
          <w:sz w:val="24"/>
          <w:szCs w:val="24"/>
          <w:highlight w:val="none"/>
        </w:rPr>
      </w:r>
      <w:r>
        <w:rPr>
          <w:color w:val="auto"/>
          <w:highlight w:val="none"/>
        </w:rPr>
      </w:r>
    </w:p>
    <w:p>
      <w:pPr>
        <w:pStyle w:val="943"/>
        <w:numPr>
          <w:ilvl w:val="0"/>
          <w:numId w:val="60"/>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氮含量：±0.5mg/g</w:t>
      </w:r>
      <w:r>
        <w:rPr>
          <w:rFonts w:ascii="宋体" w:hAnsi="宋体"/>
          <w:bCs/>
          <w:color w:val="auto"/>
          <w:sz w:val="24"/>
          <w:szCs w:val="24"/>
          <w:highlight w:val="none"/>
        </w:rPr>
      </w:r>
      <w:r>
        <w:rPr>
          <w:color w:val="auto"/>
          <w:highlight w:val="none"/>
        </w:rPr>
      </w:r>
    </w:p>
    <w:p>
      <w:pPr>
        <w:pStyle w:val="943"/>
        <w:numPr>
          <w:ilvl w:val="0"/>
          <w:numId w:val="60"/>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叶面温度：±0.2℃</w:t>
      </w:r>
      <w:r>
        <w:rPr>
          <w:rFonts w:ascii="宋体" w:hAnsi="宋体"/>
          <w:bCs/>
          <w:color w:val="auto"/>
          <w:sz w:val="24"/>
          <w:szCs w:val="24"/>
          <w:highlight w:val="none"/>
        </w:rPr>
      </w:r>
      <w:r>
        <w:rPr>
          <w:color w:val="auto"/>
          <w:highlight w:val="none"/>
        </w:rPr>
      </w:r>
    </w:p>
    <w:p>
      <w:pPr>
        <w:pStyle w:val="943"/>
        <w:numPr>
          <w:ilvl w:val="0"/>
          <w:numId w:val="5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测量时间间隔：小于0.8秒。</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（44）土壤墒情监测终端</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5层土壤温度＆湿度，4G模式上传数据；</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土钻：土钻杆上标注着高度，每10厘米标注一次，此土钻最深可钻90厘米深的洞；</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有效感知土壤环境，不受土壤中盐离子的影响，化肥、农药、灌溉等农业活动不会影响测量结果，数据精准；</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传感器的电极没有直接与土壤接触，避免电力对土壤及土壤中的植物的干扰；</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LED显示屏，用于显示监测数据；</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支持10-30V宽电压充电；工作温度：-40℃-60℃；测量范围：土壤湿度0～100%，土壤温度-30℃～70℃；测量精度：土壤湿度±5%，土壤温度±0.1℃；</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4G型设备默认线缆长度2m，市电供电，可外接电源进行电池充电或者采用太阳能板进行充电，良好的解决户外长期作业电池无电的情况；</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可查看历史数据，实时数据，支持远程web端访问，提供手机APP，云平台可提供http的二次开发接口；</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设备可提供协议,方便客户二次开发；</w:t>
      </w:r>
      <w:r>
        <w:rPr>
          <w:rFonts w:ascii="宋体" w:hAnsi="宋体"/>
          <w:bCs/>
          <w:color w:val="auto"/>
          <w:sz w:val="24"/>
          <w:szCs w:val="24"/>
          <w:highlight w:val="none"/>
        </w:rPr>
      </w:r>
      <w:r>
        <w:rPr>
          <w:color w:val="auto"/>
          <w:highlight w:val="none"/>
        </w:rPr>
      </w:r>
    </w:p>
    <w:p>
      <w:pPr>
        <w:pStyle w:val="943"/>
        <w:numPr>
          <w:ilvl w:val="0"/>
          <w:numId w:val="6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设备防护等级达到IP67。</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（45）多光谱糖度仪</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测量范围:通常为0.0至99.9%Brix，具体范围依据型号而定。</w:t>
      </w:r>
      <w:r>
        <w:rPr>
          <w:rFonts w:ascii="宋体" w:hAnsi="宋体"/>
          <w:bCs/>
          <w:color w:val="auto"/>
          <w:sz w:val="24"/>
          <w:szCs w:val="24"/>
          <w:highlight w:val="none"/>
        </w:rPr>
      </w:r>
      <w:r>
        <w:rPr>
          <w:color w:val="auto"/>
          <w:highlight w:val="none"/>
        </w:rPr>
      </w:r>
    </w:p>
    <w:p>
      <w:pPr>
        <w:pStyle w:val="943"/>
        <w:numPr>
          <w:ilvl w:val="0"/>
          <w:numId w:val="6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精度:通常在±0.1%Brix范围内，具体精度依据型号而定。</w:t>
      </w:r>
      <w:r>
        <w:rPr>
          <w:rFonts w:ascii="宋体" w:hAnsi="宋体"/>
          <w:bCs/>
          <w:color w:val="auto"/>
          <w:sz w:val="24"/>
          <w:szCs w:val="24"/>
          <w:highlight w:val="none"/>
        </w:rPr>
      </w:r>
      <w:r>
        <w:rPr>
          <w:color w:val="auto"/>
          <w:highlight w:val="none"/>
        </w:rPr>
      </w:r>
    </w:p>
    <w:p>
      <w:pPr>
        <w:pStyle w:val="943"/>
        <w:numPr>
          <w:ilvl w:val="0"/>
          <w:numId w:val="6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温度补偿:自动温度补偿功能，确保在不同温度下测量的准确性。</w:t>
      </w:r>
      <w:r>
        <w:rPr>
          <w:rFonts w:ascii="宋体" w:hAnsi="宋体"/>
          <w:bCs/>
          <w:color w:val="auto"/>
          <w:sz w:val="24"/>
          <w:szCs w:val="24"/>
          <w:highlight w:val="none"/>
        </w:rPr>
      </w:r>
      <w:r>
        <w:rPr>
          <w:color w:val="auto"/>
          <w:highlight w:val="none"/>
        </w:rPr>
      </w:r>
    </w:p>
    <w:p>
      <w:pPr>
        <w:pStyle w:val="943"/>
        <w:numPr>
          <w:ilvl w:val="0"/>
          <w:numId w:val="6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显示:数字LCD显示，便于读取测量结果。</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（46）虫情测报灯</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主体结构采用不锈钢喷塑，符合GB/T4237国家标准</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电源配置：220V交流电</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控制模式：光控，雨控，时控，分段时控，远程控制，可编程自动控制，可设多个时段；</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功耗及寿命：总功率≤450W，待机功率≤5W,寿命≥5年</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诱虫光源：20W黑光灯（主波长365nm），灯管启动时间≤5S</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虫体烘干功能：采用红外技术，定时自动对害虫进行烘干确保虫体干燥完整</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自动落虫功能：害虫通过特殊落虫设备，进入烘烤系统杀虫再经特殊传送进入拍照传送带</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虫水分离功能：具有自动排水及虫水分离机构，能有效将水虫分离，箱体内干燥不腐烂</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烘干温控功能：配有温度自动调节器，工作15分钟后达到85±5℃，烘干温度可自行设置</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撞击玻璃屏：撞击玻璃互成90度角排列，单屏尺寸长608mm*宽330mm*厚5mm，±2mm</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绝缘电阻:绝缘电阻≥2.5MΩ</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工作环境：环境温度0℃~40℃，储存温度-20℃~60℃</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自动转仓功能：设有8个接虫仓，周一到周日分天存放，可以实现自动及手动转仓功能</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防雷及记忆功能：自带防雷装置可有效防止雷击，具有断电记忆功能，通电后恢复之前工作</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害虫致死率；害虫完整率≥95%，害虫致死率≥98%</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智能控制模式：光控、雨控、时控，分段时控、远程控制、可编程自动控制、可设多个时段</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拍照平台：拍照平台为传送带结构，具有自动清洁功能，保证拍照背景清晰</w:t>
      </w:r>
      <w:r>
        <w:rPr>
          <w:rFonts w:ascii="宋体" w:hAnsi="宋体"/>
          <w:bCs/>
          <w:color w:val="auto"/>
          <w:sz w:val="24"/>
          <w:szCs w:val="24"/>
          <w:highlight w:val="none"/>
        </w:rPr>
      </w:r>
      <w:r>
        <w:rPr>
          <w:color w:val="auto"/>
          <w:highlight w:val="none"/>
        </w:rPr>
      </w:r>
    </w:p>
    <w:p>
      <w:pPr>
        <w:pStyle w:val="943"/>
        <w:numPr>
          <w:ilvl w:val="0"/>
          <w:numId w:val="6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自动识别功能：通过工业相机2000W像素，定时采集害虫照片，上传到软件平台，图片害虫辅助分类计数及生成统计曲线图功能。</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（47）杀虫灯</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国家标准：符合国家标准GB/T24689.2-2017,行业标准NB/T34001-2011；</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控制面积：平原可诱控30—50亩，丘陵山地20—30亩；</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智能控制方式：光控、雨控、时控、过充、过放、过流、远程控制、防雷保护功能；</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接虫方式：接虫盒为优质PP材质透明塑料盒，防水防飞；</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光源选择：灯管T8功率≥10w，波长320-680nm，可选配LED灯管，寿命5000h；</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太阳能板：功率≥50W，采用单晶硅材质，使用寿命10年；</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专用蓄电池：防水免维护太阳能专用锂蓄电池:12V/40AH；</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灯杆参数：主杆全不锈钢80*80mm矩管，表面喷塑处理；</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灯体</w:t>
      </w:r>
      <w:r>
        <w:rPr>
          <w:rFonts w:hint="eastAsia" w:ascii="宋体" w:hAnsi="宋体"/>
          <w:bCs/>
          <w:color w:val="auto"/>
          <w:sz w:val="24"/>
          <w:szCs w:val="24"/>
          <w:highlight w:val="none"/>
        </w:rPr>
        <w:t xml:space="preserve">立柱</w:t>
      </w:r>
      <w:r>
        <w:rPr>
          <w:rFonts w:hint="eastAsia" w:ascii="宋体" w:hAnsi="宋体"/>
          <w:bCs/>
          <w:color w:val="auto"/>
          <w:sz w:val="24"/>
          <w:szCs w:val="24"/>
          <w:highlight w:val="none"/>
        </w:rPr>
        <w:t xml:space="preserve">：4根直径6mm铝合金材料立柱，进口工程塑料抗氧化处理，永不生锈；</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特殊功能：物联网功能：杀虫量、环境温湿度数据采集、无线数据传输、远程控制杀虫灯开关等工作模式、WEB和APP软件平台查看实时、历史数据等功能；产品自带LED显示屏，实时显示温湿度和杀虫量；</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高压网：不锈钢高压网线直径≧2mm，双层高压电网，内网间距≥11mm，外网间距≥13mm；</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高压面积：高压网电压≥4000V，高压网平铺面积≥0.15平方米；</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电路板：采用数字化集成电路板，启辉器、高压包、控制器高度集成，减少故障；</w:t>
      </w:r>
      <w:r>
        <w:rPr>
          <w:rFonts w:ascii="宋体" w:hAnsi="宋体"/>
          <w:bCs/>
          <w:color w:val="auto"/>
          <w:sz w:val="24"/>
          <w:szCs w:val="24"/>
          <w:highlight w:val="none"/>
        </w:rPr>
      </w:r>
      <w:r>
        <w:rPr>
          <w:color w:val="auto"/>
          <w:highlight w:val="none"/>
        </w:rPr>
      </w:r>
    </w:p>
    <w:p>
      <w:pPr>
        <w:pStyle w:val="943"/>
        <w:numPr>
          <w:ilvl w:val="0"/>
          <w:numId w:val="6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自动清虫功能：内电网圈固定30min（可根据用户要求设定）进行双向旋转自动清洁高压网圈上的害虫尸体，确保高压网圈能高效工作。</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（48）智能水肥机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施肥量控制:通常具备精确的施肥量控制功能，可以设定每小时的施肥量。</w:t>
      </w:r>
      <w:r>
        <w:rPr>
          <w:rFonts w:ascii="宋体" w:hAnsi="宋体"/>
          <w:bCs/>
          <w:color w:val="auto"/>
          <w:sz w:val="24"/>
          <w:szCs w:val="24"/>
          <w:highlight w:val="none"/>
        </w:rPr>
      </w:r>
      <w:r>
        <w:rPr>
          <w:color w:val="auto"/>
          <w:highlight w:val="none"/>
        </w:rPr>
      </w:r>
    </w:p>
    <w:p>
      <w:pPr>
        <w:pStyle w:val="943"/>
        <w:numPr>
          <w:ilvl w:val="0"/>
          <w:numId w:val="6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施肥精度:高精度的施肥系统，误差范围通常在±0.5%以内。</w:t>
      </w:r>
      <w:r>
        <w:rPr>
          <w:rFonts w:ascii="宋体" w:hAnsi="宋体"/>
          <w:bCs/>
          <w:color w:val="auto"/>
          <w:sz w:val="24"/>
          <w:szCs w:val="24"/>
          <w:highlight w:val="none"/>
        </w:rPr>
      </w:r>
      <w:r>
        <w:rPr>
          <w:color w:val="auto"/>
          <w:highlight w:val="none"/>
        </w:rPr>
      </w:r>
    </w:p>
    <w:p>
      <w:pPr>
        <w:pStyle w:val="943"/>
        <w:numPr>
          <w:ilvl w:val="0"/>
          <w:numId w:val="6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自动控制:可以根据土壤湿度、作物生长阶段等参数自动调节施肥量。</w:t>
      </w:r>
      <w:r>
        <w:rPr>
          <w:rFonts w:ascii="宋体" w:hAnsi="宋体"/>
          <w:bCs/>
          <w:color w:val="auto"/>
          <w:sz w:val="24"/>
          <w:szCs w:val="24"/>
          <w:highlight w:val="none"/>
        </w:rPr>
      </w:r>
      <w:r>
        <w:rPr>
          <w:color w:val="auto"/>
          <w:highlight w:val="none"/>
        </w:rPr>
      </w:r>
    </w:p>
    <w:p>
      <w:pPr>
        <w:pStyle w:val="943"/>
        <w:numPr>
          <w:ilvl w:val="0"/>
          <w:numId w:val="6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远程监控:支持远程监控和控制，通过手机或电脑即可管理。</w:t>
      </w:r>
      <w:r>
        <w:rPr>
          <w:rFonts w:ascii="宋体" w:hAnsi="宋体"/>
          <w:bCs/>
          <w:color w:val="auto"/>
          <w:sz w:val="24"/>
          <w:szCs w:val="24"/>
          <w:highlight w:val="none"/>
        </w:rPr>
      </w:r>
      <w:r>
        <w:rPr>
          <w:color w:val="auto"/>
          <w:highlight w:val="none"/>
        </w:rPr>
      </w:r>
    </w:p>
    <w:p>
      <w:pPr>
        <w:pStyle w:val="943"/>
        <w:numPr>
          <w:ilvl w:val="0"/>
          <w:numId w:val="6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适用范围:适用于各种规模的农田、果园、蔬菜大棚等</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（49）过滤系统</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过滤器型式:包括离心式、网式、砂石式等，根据需要选择。</w:t>
      </w:r>
      <w:r>
        <w:rPr>
          <w:rFonts w:ascii="宋体" w:hAnsi="宋体"/>
          <w:bCs/>
          <w:color w:val="auto"/>
          <w:sz w:val="24"/>
          <w:szCs w:val="24"/>
          <w:highlight w:val="none"/>
        </w:rPr>
      </w:r>
      <w:r>
        <w:rPr>
          <w:color w:val="auto"/>
          <w:highlight w:val="none"/>
        </w:rPr>
      </w:r>
    </w:p>
    <w:p>
      <w:pPr>
        <w:pStyle w:val="943"/>
        <w:numPr>
          <w:ilvl w:val="0"/>
          <w:numId w:val="6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过滤精度:通常以目数或微米(μm)表示，决定过滤效果。</w:t>
      </w:r>
      <w:r>
        <w:rPr>
          <w:rFonts w:ascii="宋体" w:hAnsi="宋体"/>
          <w:bCs/>
          <w:color w:val="auto"/>
          <w:sz w:val="24"/>
          <w:szCs w:val="24"/>
          <w:highlight w:val="none"/>
        </w:rPr>
      </w:r>
      <w:r>
        <w:rPr>
          <w:color w:val="auto"/>
          <w:highlight w:val="none"/>
        </w:rPr>
      </w:r>
    </w:p>
    <w:p>
      <w:pPr>
        <w:pStyle w:val="943"/>
        <w:numPr>
          <w:ilvl w:val="0"/>
          <w:numId w:val="6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流量范围:根据灌溉系统需求选择合适的流量。</w:t>
      </w:r>
      <w:r>
        <w:rPr>
          <w:rFonts w:ascii="宋体" w:hAnsi="宋体"/>
          <w:bCs/>
          <w:color w:val="auto"/>
          <w:sz w:val="24"/>
          <w:szCs w:val="24"/>
          <w:highlight w:val="none"/>
        </w:rPr>
      </w:r>
      <w:r>
        <w:rPr>
          <w:color w:val="auto"/>
          <w:highlight w:val="none"/>
        </w:rPr>
      </w:r>
    </w:p>
    <w:p>
      <w:pPr>
        <w:pStyle w:val="943"/>
        <w:numPr>
          <w:ilvl w:val="0"/>
          <w:numId w:val="6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公称压力:表示过滤器能承受的最大工作压力。</w:t>
      </w:r>
      <w:r>
        <w:rPr>
          <w:rFonts w:ascii="宋体" w:hAnsi="宋体"/>
          <w:bCs/>
          <w:color w:val="auto"/>
          <w:sz w:val="24"/>
          <w:szCs w:val="24"/>
          <w:highlight w:val="none"/>
        </w:rPr>
      </w:r>
      <w:r>
        <w:rPr>
          <w:color w:val="auto"/>
          <w:highlight w:val="none"/>
        </w:rPr>
      </w:r>
    </w:p>
    <w:p>
      <w:pPr>
        <w:pStyle w:val="943"/>
        <w:numPr>
          <w:ilvl w:val="0"/>
          <w:numId w:val="6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清洗控制方式:手动或自动清洗，以适应不同操作需求。</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（50）施肥桶</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容量:通常从100升到2000升不等，根据实际需求选择。</w:t>
      </w:r>
      <w:r>
        <w:rPr>
          <w:rFonts w:ascii="宋体" w:hAnsi="宋体"/>
          <w:bCs/>
          <w:color w:val="auto"/>
          <w:sz w:val="24"/>
          <w:szCs w:val="24"/>
          <w:highlight w:val="none"/>
        </w:rPr>
      </w:r>
      <w:r>
        <w:rPr>
          <w:color w:val="auto"/>
          <w:highlight w:val="none"/>
        </w:rPr>
      </w:r>
    </w:p>
    <w:p>
      <w:pPr>
        <w:pStyle w:val="943"/>
        <w:numPr>
          <w:ilvl w:val="0"/>
          <w:numId w:val="6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材料:常用的材料有聚乙烯（PE）、聚丙烯（PP）等耐腐蚀材料。</w:t>
      </w:r>
      <w:r>
        <w:rPr>
          <w:rFonts w:ascii="宋体" w:hAnsi="宋体"/>
          <w:bCs/>
          <w:color w:val="auto"/>
          <w:sz w:val="24"/>
          <w:szCs w:val="24"/>
          <w:highlight w:val="none"/>
        </w:rPr>
      </w:r>
      <w:r>
        <w:rPr>
          <w:color w:val="auto"/>
          <w:highlight w:val="none"/>
        </w:rPr>
      </w:r>
    </w:p>
    <w:p>
      <w:pPr>
        <w:pStyle w:val="943"/>
        <w:numPr>
          <w:ilvl w:val="0"/>
          <w:numId w:val="6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搅拌装置:一些施肥桶配备搅拌装置，以防止肥料沉淀。</w:t>
      </w:r>
      <w:r>
        <w:rPr>
          <w:rFonts w:ascii="宋体" w:hAnsi="宋体"/>
          <w:bCs/>
          <w:color w:val="auto"/>
          <w:sz w:val="24"/>
          <w:szCs w:val="24"/>
          <w:highlight w:val="none"/>
        </w:rPr>
      </w:r>
      <w:r>
        <w:rPr>
          <w:color w:val="auto"/>
          <w:highlight w:val="none"/>
        </w:rPr>
      </w:r>
    </w:p>
    <w:p>
      <w:pPr>
        <w:pStyle w:val="943"/>
        <w:numPr>
          <w:ilvl w:val="0"/>
          <w:numId w:val="6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液位计:用于监控施肥桶内的液体肥料量。</w:t>
      </w:r>
      <w:r>
        <w:rPr>
          <w:rFonts w:ascii="宋体" w:hAnsi="宋体"/>
          <w:bCs/>
          <w:color w:val="auto"/>
          <w:sz w:val="24"/>
          <w:szCs w:val="24"/>
          <w:highlight w:val="none"/>
        </w:rPr>
      </w:r>
      <w:r>
        <w:rPr>
          <w:color w:val="auto"/>
          <w:highlight w:val="none"/>
        </w:rPr>
      </w:r>
    </w:p>
    <w:p>
      <w:pPr>
        <w:pStyle w:val="943"/>
        <w:numPr>
          <w:ilvl w:val="0"/>
          <w:numId w:val="6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压力表:用于监控施肥桶内的压力，确保安全使用</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（51）恒压变频柜</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额定电流:根据实际需求定制，以适应不同功率的水泵。</w:t>
      </w:r>
      <w:r>
        <w:rPr>
          <w:rFonts w:ascii="宋体" w:hAnsi="宋体"/>
          <w:bCs/>
          <w:color w:val="auto"/>
          <w:sz w:val="24"/>
          <w:szCs w:val="24"/>
          <w:highlight w:val="none"/>
        </w:rPr>
      </w:r>
      <w:r>
        <w:rPr>
          <w:color w:val="auto"/>
          <w:highlight w:val="none"/>
        </w:rPr>
      </w:r>
    </w:p>
    <w:p>
      <w:pPr>
        <w:pStyle w:val="943"/>
        <w:numPr>
          <w:ilvl w:val="0"/>
          <w:numId w:val="6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短路关合电流:用于描述变频柜在短路情况下的关合能力。</w:t>
      </w:r>
      <w:r>
        <w:rPr>
          <w:rFonts w:ascii="宋体" w:hAnsi="宋体"/>
          <w:bCs/>
          <w:color w:val="auto"/>
          <w:sz w:val="24"/>
          <w:szCs w:val="24"/>
          <w:highlight w:val="none"/>
        </w:rPr>
      </w:r>
      <w:r>
        <w:rPr>
          <w:color w:val="auto"/>
          <w:highlight w:val="none"/>
        </w:rPr>
      </w:r>
    </w:p>
    <w:p>
      <w:pPr>
        <w:pStyle w:val="943"/>
        <w:numPr>
          <w:ilvl w:val="0"/>
          <w:numId w:val="6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壳体防护等级:通常为IP30或更高，以确保设备在农业环境中稳定运行。</w:t>
      </w:r>
      <w:r>
        <w:rPr>
          <w:rFonts w:ascii="宋体" w:hAnsi="宋体"/>
          <w:bCs/>
          <w:color w:val="auto"/>
          <w:sz w:val="24"/>
          <w:szCs w:val="24"/>
          <w:highlight w:val="none"/>
        </w:rPr>
      </w:r>
      <w:r>
        <w:rPr>
          <w:color w:val="auto"/>
          <w:highlight w:val="none"/>
        </w:rPr>
      </w:r>
    </w:p>
    <w:p>
      <w:pPr>
        <w:pStyle w:val="943"/>
        <w:numPr>
          <w:ilvl w:val="0"/>
          <w:numId w:val="6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外形尺寸:根据实际安装空间定制，以适应不同的安装环境</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（52）电磁阀控器</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6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供电方式:包括直流12V供电方式、太阳能电池板+电池供电方式等</w:t>
      </w:r>
      <w:r>
        <w:rPr>
          <w:rFonts w:ascii="宋体" w:hAnsi="宋体"/>
          <w:bCs/>
          <w:color w:val="auto"/>
          <w:sz w:val="24"/>
          <w:szCs w:val="24"/>
          <w:highlight w:val="none"/>
        </w:rPr>
      </w:r>
      <w:r>
        <w:rPr>
          <w:color w:val="auto"/>
          <w:highlight w:val="none"/>
        </w:rPr>
      </w:r>
    </w:p>
    <w:p>
      <w:pPr>
        <w:pStyle w:val="943"/>
        <w:numPr>
          <w:ilvl w:val="0"/>
          <w:numId w:val="6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控制方式:直流脉冲式，通过交换正负极控制电磁阀的开关。</w:t>
      </w:r>
      <w:r>
        <w:rPr>
          <w:rFonts w:ascii="宋体" w:hAnsi="宋体"/>
          <w:bCs/>
          <w:color w:val="auto"/>
          <w:sz w:val="24"/>
          <w:szCs w:val="24"/>
          <w:highlight w:val="none"/>
        </w:rPr>
      </w:r>
      <w:r>
        <w:rPr>
          <w:color w:val="auto"/>
          <w:highlight w:val="none"/>
        </w:rPr>
      </w:r>
    </w:p>
    <w:p>
      <w:pPr>
        <w:pStyle w:val="943"/>
        <w:numPr>
          <w:ilvl w:val="0"/>
          <w:numId w:val="6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通讯接口:包括4G、RS232、RS485等接口，用于远程配置与操作控制</w:t>
      </w:r>
      <w:r>
        <w:rPr>
          <w:rFonts w:ascii="宋体" w:hAnsi="宋体"/>
          <w:bCs/>
          <w:color w:val="auto"/>
          <w:sz w:val="24"/>
          <w:szCs w:val="24"/>
          <w:highlight w:val="none"/>
        </w:rPr>
      </w:r>
      <w:r>
        <w:rPr>
          <w:color w:val="auto"/>
          <w:highlight w:val="none"/>
        </w:rPr>
      </w:r>
    </w:p>
    <w:p>
      <w:pPr>
        <w:pStyle w:val="943"/>
        <w:numPr>
          <w:ilvl w:val="0"/>
          <w:numId w:val="6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环境监测:包括土壤墒情传感器等环境监测传感器的接口</w:t>
      </w:r>
      <w:r>
        <w:rPr>
          <w:rFonts w:ascii="宋体" w:hAnsi="宋体"/>
          <w:bCs/>
          <w:color w:val="auto"/>
          <w:sz w:val="24"/>
          <w:szCs w:val="24"/>
          <w:highlight w:val="none"/>
        </w:rPr>
      </w:r>
      <w:r>
        <w:rPr>
          <w:color w:val="auto"/>
          <w:highlight w:val="none"/>
        </w:rPr>
      </w:r>
    </w:p>
    <w:p>
      <w:pPr>
        <w:pStyle w:val="943"/>
        <w:numPr>
          <w:ilvl w:val="0"/>
          <w:numId w:val="6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开关量接口:包括脉冲信号输入接口，用于外接雨量计等</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（53）电磁阀</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接口尺寸:例如1/8-2'，1000等</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流量通径:例如2-50mm</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阀体材质:锻铜、316等</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连接方式:G螺纹、NPT螺纹等</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压力等级:例如0-10bar，0.5-16bar</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结构形式:直动式、先导式等</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控制方式:直流脉冲式等</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密封材质:NBR、VITON、EPDM等</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环境温度:0℃-65℃</w:t>
      </w:r>
      <w:r>
        <w:rPr>
          <w:rFonts w:ascii="宋体" w:hAnsi="宋体"/>
          <w:bCs/>
          <w:color w:val="auto"/>
          <w:sz w:val="24"/>
          <w:szCs w:val="24"/>
          <w:highlight w:val="none"/>
        </w:rPr>
      </w:r>
      <w:r>
        <w:rPr>
          <w:color w:val="auto"/>
          <w:highlight w:val="none"/>
        </w:rPr>
      </w:r>
    </w:p>
    <w:p>
      <w:pPr>
        <w:pStyle w:val="943"/>
        <w:numPr>
          <w:ilvl w:val="0"/>
          <w:numId w:val="7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介质温度:0℃-80℃</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（54）水质检测仪</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产品名称：取水水质监测微系统</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安装方式：机柜落地</w:t>
      </w:r>
      <w:r>
        <w:rPr>
          <w:rFonts w:hint="eastAsia" w:ascii="宋体" w:hAnsi="宋体"/>
          <w:bCs/>
          <w:color w:val="auto"/>
          <w:sz w:val="24"/>
          <w:szCs w:val="24"/>
          <w:highlight w:val="none"/>
        </w:rPr>
        <w:t xml:space="preserve">式</w:t>
      </w:r>
      <w:r>
        <w:rPr>
          <w:rFonts w:hint="eastAsia" w:ascii="宋体" w:hAnsi="宋体"/>
          <w:bCs/>
          <w:color w:val="auto"/>
          <w:sz w:val="24"/>
          <w:szCs w:val="24"/>
          <w:highlight w:val="none"/>
        </w:rPr>
        <w:t xml:space="preserve">安装，基座。</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外形尺寸：1684MM*560MM*510MM50-100MM可调</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外壳材质：216不锈钢防护等级：IP54供电：市电AC220V进水口:4分PE管</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出水口:6分净水器PE管排污口:4分净水器软管，（也可手动定期排污）</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配套传感器（选）：【PH】：0-14【溶解氧】：0-20MG\L【浊度】：0-40NTU【电导率】：0-5000US\US\CM【温度】：0℃～50°C</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自吸泵：电机功率：200W</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额定电压:AC220V/50HZ</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水泵尺寸210*145*245/MM</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最大吸程:8M</w:t>
      </w:r>
      <w:r>
        <w:rPr>
          <w:rFonts w:ascii="宋体" w:hAnsi="宋体"/>
          <w:bCs/>
          <w:color w:val="auto"/>
          <w:sz w:val="24"/>
          <w:szCs w:val="24"/>
          <w:highlight w:val="none"/>
        </w:rPr>
      </w:r>
      <w:r>
        <w:rPr>
          <w:color w:val="auto"/>
          <w:highlight w:val="none"/>
        </w:rPr>
      </w:r>
    </w:p>
    <w:p>
      <w:pPr>
        <w:pStyle w:val="943"/>
        <w:numPr>
          <w:ilvl w:val="0"/>
          <w:numId w:val="7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最高扬程:25M；开口流量：1.8M3/H</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（55）巡查无人机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能够捕捉高清画质的照片和视频，支持广角、180°和球形全景拍摄，4倍数码变焦镜头提供更多构图选择。</w:t>
      </w:r>
      <w:r>
        <w:rPr>
          <w:rFonts w:ascii="宋体" w:hAnsi="宋体"/>
          <w:bCs/>
          <w:color w:val="auto"/>
          <w:sz w:val="24"/>
          <w:szCs w:val="24"/>
          <w:highlight w:val="none"/>
        </w:rPr>
      </w:r>
      <w:r>
        <w:rPr>
          <w:color w:val="auto"/>
          <w:highlight w:val="none"/>
        </w:rPr>
      </w:r>
    </w:p>
    <w:p>
      <w:pPr>
        <w:pStyle w:val="943"/>
        <w:numPr>
          <w:ilvl w:val="0"/>
          <w:numId w:val="7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图传距离：支持10公里图传，远距离传输受限小。电池续航：虽然具体续航时间可能因使用情况而异，但整体表现能够满足较长时间的飞行拍摄需求。</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（56）视频监控</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无线频段：LTE-TDD：Band34/38/39/40/41</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LTE-FDD：Band1/3/5/8</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无线制式：LTE-TDD/LTE-FDD</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RS-485：支持</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网络接口：RJ45网口，自适应10M/100M网络数据</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SD卡扩展：支持MicroSD/MicroSDHC/MicroSDXC卡，最大支持512GB</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报警：1路报警输入，1路报警输出</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音频：1路音频输入，音频峰值：2-2.4V[p-p]，输入阻抗：1kΩ±10%，1路音频输出，线性电平，阻抗:600Ω</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供电方式：DC12V</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电流及功耗：最大功耗：18W（其中除雾加热1.6W，补光灯9W）</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工作温湿度：-30℃-65℃;湿度小于90%</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恢复出厂设置：支持Reset</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除雾：加热玻璃除雾</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尺寸：Ø164.5×290mm</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重量：2kg</w:t>
      </w:r>
      <w:r>
        <w:rPr>
          <w:rFonts w:ascii="宋体" w:hAnsi="宋体"/>
          <w:bCs/>
          <w:color w:val="auto"/>
          <w:sz w:val="24"/>
          <w:szCs w:val="24"/>
          <w:highlight w:val="none"/>
        </w:rPr>
      </w:r>
      <w:r>
        <w:rPr>
          <w:color w:val="auto"/>
          <w:highlight w:val="none"/>
        </w:rPr>
      </w:r>
    </w:p>
    <w:p>
      <w:pPr>
        <w:pStyle w:val="943"/>
        <w:numPr>
          <w:ilvl w:val="0"/>
          <w:numId w:val="7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防护：IP66;6000V防雷、防浪涌、防突波，符合GB/T17626.2/3/4/5/6四级标准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（57）展示大屏</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4"/>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性能指标:55英寸，4K分辨率，支持HDR，内置Wi-Fi和蓝牙，智能电视功能。</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（58）视频AI边缘计算</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视频编解码能力：支持视频编码格式H.264、H264、WMV</w:t>
      </w:r>
      <w:r>
        <w:rPr>
          <w:rFonts w:hint="eastAsia" w:ascii="宋体" w:hAnsi="宋体"/>
          <w:bCs/>
          <w:color w:val="auto"/>
          <w:sz w:val="24"/>
          <w:szCs w:val="24"/>
          <w:highlight w:val="none"/>
        </w:rPr>
        <w:t xml:space="preserve">等格式，设备可以流畅处理高清</w:t>
      </w:r>
      <w:r>
        <w:rPr>
          <w:rFonts w:hint="eastAsia" w:ascii="宋体" w:hAnsi="宋体"/>
          <w:bCs/>
          <w:color w:val="auto"/>
          <w:sz w:val="24"/>
          <w:szCs w:val="24"/>
          <w:highlight w:val="none"/>
        </w:rPr>
        <w:t xml:space="preserve">视频流。</w:t>
      </w:r>
      <w:r>
        <w:rPr>
          <w:rFonts w:ascii="宋体" w:hAnsi="宋体"/>
          <w:bCs/>
          <w:color w:val="auto"/>
          <w:sz w:val="24"/>
          <w:szCs w:val="24"/>
          <w:highlight w:val="none"/>
        </w:rPr>
      </w:r>
      <w:r>
        <w:rPr>
          <w:color w:val="auto"/>
          <w:highlight w:val="none"/>
        </w:rPr>
      </w:r>
    </w:p>
    <w:p>
      <w:pPr>
        <w:pStyle w:val="943"/>
        <w:numPr>
          <w:ilvl w:val="0"/>
          <w:numId w:val="7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存储容量：适配支持SATA存储，支持1TB存储容量。</w:t>
      </w:r>
      <w:r>
        <w:rPr>
          <w:rFonts w:ascii="宋体" w:hAnsi="宋体"/>
          <w:bCs/>
          <w:color w:val="auto"/>
          <w:sz w:val="24"/>
          <w:szCs w:val="24"/>
          <w:highlight w:val="none"/>
        </w:rPr>
      </w:r>
      <w:r>
        <w:rPr>
          <w:color w:val="auto"/>
          <w:highlight w:val="none"/>
        </w:rPr>
      </w:r>
    </w:p>
    <w:p>
      <w:pPr>
        <w:pStyle w:val="943"/>
        <w:numPr>
          <w:ilvl w:val="0"/>
          <w:numId w:val="7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AI算法：支持对视频中的人、车、物体等进行实时跟踪、识别和分析。</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（59）血压仪</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测量范围：测量的血压范围为收缩压60-260mmHg，舒张压40-200mmHg。</w:t>
      </w:r>
      <w:r>
        <w:rPr>
          <w:rFonts w:ascii="宋体" w:hAnsi="宋体"/>
          <w:bCs/>
          <w:color w:val="auto"/>
          <w:sz w:val="24"/>
          <w:szCs w:val="24"/>
          <w:highlight w:val="none"/>
        </w:rPr>
      </w:r>
      <w:r>
        <w:rPr>
          <w:color w:val="auto"/>
          <w:highlight w:val="none"/>
        </w:rPr>
      </w:r>
    </w:p>
    <w:p>
      <w:pPr>
        <w:pStyle w:val="943"/>
        <w:numPr>
          <w:ilvl w:val="0"/>
          <w:numId w:val="7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测量精度：测量精度符合国际标准，如±3mmHg。</w:t>
      </w:r>
      <w:r>
        <w:rPr>
          <w:rFonts w:ascii="宋体" w:hAnsi="宋体"/>
          <w:bCs/>
          <w:color w:val="auto"/>
          <w:sz w:val="24"/>
          <w:szCs w:val="24"/>
          <w:highlight w:val="none"/>
        </w:rPr>
      </w:r>
      <w:r>
        <w:rPr>
          <w:color w:val="auto"/>
          <w:highlight w:val="none"/>
        </w:rPr>
      </w:r>
    </w:p>
    <w:p>
      <w:pPr>
        <w:pStyle w:val="943"/>
        <w:numPr>
          <w:ilvl w:val="0"/>
          <w:numId w:val="7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测量方法：测量方法包括振荡法（Oscillometry）和柯氏音法（Korotkoffsounds）。</w:t>
      </w:r>
      <w:r>
        <w:rPr>
          <w:rFonts w:ascii="宋体" w:hAnsi="宋体"/>
          <w:bCs/>
          <w:color w:val="auto"/>
          <w:sz w:val="24"/>
          <w:szCs w:val="24"/>
          <w:highlight w:val="none"/>
        </w:rPr>
      </w:r>
      <w:r>
        <w:rPr>
          <w:color w:val="auto"/>
          <w:highlight w:val="none"/>
        </w:rPr>
      </w:r>
    </w:p>
    <w:p>
      <w:pPr>
        <w:pStyle w:val="943"/>
        <w:numPr>
          <w:ilvl w:val="0"/>
          <w:numId w:val="7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存储功能：可以存储一定数量的测量结果。</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（60）血氧仪</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测量范围：血氧饱和度（SpO2）通常在70%至100%之间，脉搏率（PR）一般在30至240次/分钟。</w:t>
      </w:r>
      <w:r>
        <w:rPr>
          <w:rFonts w:ascii="宋体" w:hAnsi="宋体"/>
          <w:bCs/>
          <w:color w:val="auto"/>
          <w:sz w:val="24"/>
          <w:szCs w:val="24"/>
          <w:highlight w:val="none"/>
        </w:rPr>
      </w:r>
      <w:r>
        <w:rPr>
          <w:color w:val="auto"/>
          <w:highlight w:val="none"/>
        </w:rPr>
      </w:r>
    </w:p>
    <w:p>
      <w:pPr>
        <w:pStyle w:val="943"/>
        <w:numPr>
          <w:ilvl w:val="0"/>
          <w:numId w:val="7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测量精度：血氧饱和度的测量精度通常要求±2%（70%至99%范围内），脉搏率的测量精度要求±5%。</w:t>
      </w:r>
      <w:r>
        <w:rPr>
          <w:rFonts w:ascii="宋体" w:hAnsi="宋体"/>
          <w:bCs/>
          <w:color w:val="auto"/>
          <w:sz w:val="24"/>
          <w:szCs w:val="24"/>
          <w:highlight w:val="none"/>
        </w:rPr>
      </w:r>
      <w:r>
        <w:rPr>
          <w:color w:val="auto"/>
          <w:highlight w:val="none"/>
        </w:rPr>
      </w:r>
    </w:p>
    <w:p>
      <w:pPr>
        <w:pStyle w:val="943"/>
        <w:numPr>
          <w:ilvl w:val="0"/>
          <w:numId w:val="7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显示方式：通常使用LED或LCD屏幕显示测量结果。</w:t>
      </w:r>
      <w:r>
        <w:rPr>
          <w:rFonts w:ascii="宋体" w:hAnsi="宋体"/>
          <w:bCs/>
          <w:color w:val="auto"/>
          <w:sz w:val="24"/>
          <w:szCs w:val="24"/>
          <w:highlight w:val="none"/>
        </w:rPr>
      </w:r>
      <w:r>
        <w:rPr>
          <w:color w:val="auto"/>
          <w:highlight w:val="none"/>
        </w:rPr>
      </w:r>
    </w:p>
    <w:p>
      <w:pPr>
        <w:pStyle w:val="943"/>
        <w:numPr>
          <w:ilvl w:val="0"/>
          <w:numId w:val="7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电池寿命：电池供电的血氧仪应具有较长的电池寿命，以支持连续使用。</w:t>
      </w:r>
      <w:r>
        <w:rPr>
          <w:rFonts w:ascii="宋体" w:hAnsi="宋体"/>
          <w:bCs/>
          <w:color w:val="auto"/>
          <w:sz w:val="24"/>
          <w:szCs w:val="24"/>
          <w:highlight w:val="none"/>
        </w:rPr>
      </w:r>
      <w:r>
        <w:rPr>
          <w:color w:val="auto"/>
          <w:highlight w:val="none"/>
        </w:rPr>
      </w:r>
    </w:p>
    <w:p>
      <w:pPr>
        <w:pStyle w:val="943"/>
        <w:numPr>
          <w:ilvl w:val="0"/>
          <w:numId w:val="7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便携性：血氧仪应轻便、易于携带，适合家庭和户外使用。</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（61）无人律所掌上机</w:t>
      </w:r>
      <w:r>
        <w:rPr>
          <w:rFonts w:hint="eastAsia" w:ascii="宋体" w:hAnsi="宋体"/>
          <w:bCs/>
          <w:color w:val="auto"/>
          <w:sz w:val="24"/>
          <w:szCs w:val="24"/>
          <w:highlight w:val="none"/>
        </w:rPr>
        <w:tab/>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显示：屏幕10英寸高清IPS屏，5点电容触控</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分辨率：1280*800</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亮度：250cdm²</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对比度：1000:1</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显示比例/显示区域16：10/显示区域：215×135mm</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配置：CPUMTK高性能四核处理器、主频1.5G</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内存：1GB</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存储：8GB</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操作系统：安卓8.0</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麦克风：双麦克风阵列</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网络投屏：支持DLAN投屏</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WIFI：2.4GHzWiFi，支持连接WIFI上网、802.11b/g/n</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以太网：不支持</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蓝牙：支持，BT4.2</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按键：音量按键有</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开关机：有</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静音：有</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多媒体、视频格式：支持MPEG-1、MPEG-2、MPEG-4、H.263、H.264、VC1、RV等（最高支持1080P）</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音频格式：支持MP3、WMA、AAC等</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图片格式：JPEG、JPG</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其他参数：智能AI系统天猫精灵</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喇叭：5W喇叭</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摄像头：200W像素摄像头</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尺寸：186*170*95mm</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重量：1.36公斤</w:t>
      </w:r>
      <w:r>
        <w:rPr>
          <w:rFonts w:ascii="宋体" w:hAnsi="宋体"/>
          <w:bCs/>
          <w:color w:val="auto"/>
          <w:sz w:val="24"/>
          <w:szCs w:val="24"/>
          <w:highlight w:val="none"/>
        </w:rPr>
      </w:r>
      <w:r>
        <w:rPr>
          <w:color w:val="auto"/>
          <w:highlight w:val="none"/>
        </w:rPr>
      </w:r>
    </w:p>
    <w:p>
      <w:pPr>
        <w:pStyle w:val="943"/>
        <w:numPr>
          <w:ilvl w:val="0"/>
          <w:numId w:val="78"/>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配件：12V1.5A电源适配器x1</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软件技术参数详细要求如下：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（1）国产操作系统：安全性，采用多级安全机制，包括访问控制、身份认证、数据加密等，确保系统的安全性。支持国家密码局的SM2/SM3/SM4算法，以及可信计算技术，能够有效防止病毒和黑客攻击。</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操作系统采购参数要求</w:t>
      </w:r>
      <w:r>
        <w:rPr>
          <w:color w:val="auto"/>
          <w:highlight w:val="none"/>
        </w:rPr>
      </w:r>
    </w:p>
    <w:tbl>
      <w:tblPr>
        <w:tblW w:w="5357" w:type="pct"/>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5"/>
        <w:gridCol w:w="850"/>
        <w:gridCol w:w="992"/>
        <w:gridCol w:w="1134"/>
        <w:gridCol w:w="5102"/>
        <w:gridCol w:w="1099"/>
      </w:tblGrid>
      <w:tr>
        <w:trPr/>
        <w:tc>
          <w:tcPr>
            <w:tcW w:w="425" w:type="dxa"/>
            <w:vAlign w:val="center"/>
            <w:textDirection w:val="lrTb"/>
            <w:noWrap w:val="false"/>
          </w:tcPr>
          <w:p>
            <w:pPr>
              <w:pStyle w:val="1134"/>
              <w:jc w:val="center"/>
              <w:rPr>
                <w:rFonts w:ascii="宋体" w:hAnsi="宋体" w:eastAsia="宋体" w:cs="仿宋"/>
                <w:color w:val="auto"/>
                <w:highlight w:val="none"/>
              </w:rPr>
            </w:pPr>
            <w:r>
              <w:rPr>
                <w:rFonts w:hint="eastAsia" w:ascii="宋体" w:hAnsi="宋体" w:eastAsia="宋体" w:cs="仿宋"/>
                <w:b/>
                <w:bCs/>
                <w:color w:val="auto"/>
                <w:spacing w:val="-6"/>
                <w:highlight w:val="none"/>
              </w:rPr>
              <w:t xml:space="preserve">序号</w:t>
            </w:r>
            <w:r>
              <w:rPr>
                <w:rFonts w:ascii="宋体" w:hAnsi="宋体" w:eastAsia="宋体" w:cs="仿宋"/>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仿宋"/>
                <w:color w:val="auto"/>
                <w:highlight w:val="none"/>
              </w:rPr>
            </w:pPr>
            <w:r>
              <w:rPr>
                <w:rFonts w:hint="eastAsia" w:ascii="宋体" w:hAnsi="宋体" w:eastAsia="宋体" w:cs="仿宋"/>
                <w:b/>
                <w:bCs/>
                <w:color w:val="auto"/>
                <w:spacing w:val="-8"/>
                <w:highlight w:val="none"/>
              </w:rPr>
              <w:t xml:space="preserve">分类</w:t>
            </w:r>
            <w:r>
              <w:rPr>
                <w:rFonts w:ascii="宋体" w:hAnsi="宋体" w:eastAsia="宋体" w:cs="仿宋"/>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仿宋"/>
                <w:color w:val="auto"/>
                <w:highlight w:val="none"/>
              </w:rPr>
            </w:pPr>
            <w:r>
              <w:rPr>
                <w:rFonts w:hint="eastAsia" w:ascii="宋体" w:hAnsi="宋体" w:eastAsia="宋体" w:cs="仿宋"/>
                <w:b/>
                <w:bCs/>
                <w:color w:val="auto"/>
                <w:spacing w:val="-3"/>
                <w:highlight w:val="none"/>
              </w:rPr>
              <w:t xml:space="preserve">一级指标</w:t>
            </w:r>
            <w:r>
              <w:rPr>
                <w:rFonts w:ascii="宋体" w:hAnsi="宋体" w:eastAsia="宋体" w:cs="仿宋"/>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仿宋"/>
                <w:color w:val="auto"/>
                <w:highlight w:val="none"/>
              </w:rPr>
            </w:pPr>
            <w:r>
              <w:rPr>
                <w:rFonts w:hint="eastAsia" w:ascii="宋体" w:hAnsi="宋体" w:eastAsia="宋体" w:cs="仿宋"/>
                <w:b/>
                <w:bCs/>
                <w:color w:val="auto"/>
                <w:spacing w:val="-3"/>
                <w:highlight w:val="none"/>
              </w:rPr>
              <w:t xml:space="preserve">二级指标</w:t>
            </w:r>
            <w:r>
              <w:rPr>
                <w:rFonts w:ascii="宋体" w:hAnsi="宋体" w:eastAsia="宋体" w:cs="仿宋"/>
                <w:color w:val="auto"/>
                <w:highlight w:val="none"/>
              </w:rPr>
            </w:r>
            <w:r>
              <w:rPr>
                <w:color w:val="auto"/>
                <w:highlight w:val="none"/>
              </w:rPr>
            </w:r>
          </w:p>
        </w:tc>
        <w:tc>
          <w:tcPr>
            <w:tcW w:w="5102" w:type="dxa"/>
            <w:vAlign w:val="center"/>
            <w:textDirection w:val="lrTb"/>
            <w:noWrap w:val="false"/>
          </w:tcPr>
          <w:p>
            <w:pPr>
              <w:pStyle w:val="1134"/>
              <w:jc w:val="center"/>
              <w:rPr>
                <w:rFonts w:ascii="宋体" w:hAnsi="宋体" w:eastAsia="宋体" w:cs="仿宋"/>
                <w:color w:val="auto"/>
                <w:highlight w:val="none"/>
              </w:rPr>
            </w:pPr>
            <w:r>
              <w:rPr>
                <w:rFonts w:hint="eastAsia" w:ascii="宋体" w:hAnsi="宋体" w:eastAsia="宋体" w:cs="仿宋"/>
                <w:b/>
                <w:bCs/>
                <w:color w:val="auto"/>
                <w:spacing w:val="-3"/>
                <w:highlight w:val="none"/>
              </w:rPr>
              <w:t xml:space="preserve">指标要求</w:t>
            </w:r>
            <w:r>
              <w:rPr>
                <w:rFonts w:ascii="宋体" w:hAnsi="宋体" w:eastAsia="宋体" w:cs="仿宋"/>
                <w:color w:val="auto"/>
                <w:highlight w:val="none"/>
              </w:rPr>
            </w:r>
            <w:r>
              <w:rPr>
                <w:color w:val="auto"/>
                <w:highlight w:val="none"/>
              </w:rPr>
            </w:r>
          </w:p>
        </w:tc>
        <w:tc>
          <w:tcPr>
            <w:tcW w:w="1099" w:type="dxa"/>
            <w:vAlign w:val="center"/>
            <w:textDirection w:val="lrTb"/>
            <w:noWrap w:val="false"/>
          </w:tcPr>
          <w:p>
            <w:pPr>
              <w:pStyle w:val="1134"/>
              <w:jc w:val="center"/>
              <w:rPr>
                <w:rFonts w:hint="eastAsia" w:ascii="宋体" w:hAnsi="宋体" w:eastAsia="宋体" w:cs="仿宋"/>
                <w:b/>
                <w:bCs/>
                <w:color w:val="auto"/>
                <w:spacing w:val="-3"/>
                <w:highlight w:val="none"/>
              </w:rPr>
            </w:pPr>
            <w:r>
              <w:rPr>
                <w:rFonts w:hint="eastAsia" w:ascii="宋体" w:hAnsi="宋体" w:eastAsia="宋体" w:cs="仿宋"/>
                <w:b/>
                <w:bCs/>
                <w:color w:val="auto"/>
                <w:spacing w:val="-3"/>
                <w:highlight w:val="none"/>
              </w:rPr>
              <w:t xml:space="preserve">备注</w:t>
            </w:r>
            <w:r>
              <w:rPr>
                <w:color w:val="auto"/>
                <w:highlight w:val="none"/>
              </w:rP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w:t>
            </w:r>
            <w:r>
              <w:rPr>
                <w:rFonts w:hint="eastAsia" w:ascii="宋体" w:hAnsi="宋体" w:eastAsia="宋体" w:cs="宋体"/>
                <w:color w:val="auto"/>
                <w:spacing w:val="-6"/>
                <w:highlight w:val="none"/>
                <w:lang w:eastAsia="zh-CN"/>
              </w:rPr>
              <w:t xml:space="preserve">多CPU架构</w:t>
            </w:r>
            <w:r>
              <w:rPr>
                <w:rFonts w:ascii="宋体" w:hAnsi="宋体" w:eastAsia="宋体" w:cs="宋体"/>
                <w:color w:val="auto"/>
                <w:highlight w:val="none"/>
                <w:lang w:eastAsia="zh-CN"/>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同源兼容多</w:t>
            </w:r>
            <w:r>
              <w:rPr>
                <w:rFonts w:hint="eastAsia" w:ascii="宋体" w:hAnsi="宋体" w:eastAsia="宋体" w:cs="宋体"/>
                <w:color w:val="auto"/>
                <w:spacing w:val="-3"/>
                <w:highlight w:val="none"/>
              </w:rPr>
              <w:t xml:space="preserve">CPU平台架构</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支持飞腾FT-1500A/FT-2000+/S2500、鲲鹏916/920、龙芯3B3000/3B4000/3B5000、申威1621/3231、海光3000、5000、7000系列、开胜ZX-C+系列/KH-20000系列/KH-30000系列等自主服务器平台。</w:t>
            </w:r>
            <w:r>
              <w:rPr>
                <w:rFonts w:ascii="宋体" w:hAnsi="宋体" w:eastAsia="宋体" w:cs="宋体"/>
                <w:color w:val="auto"/>
                <w:highlight w:val="none"/>
              </w:rPr>
            </w:r>
            <w:r>
              <w:rPr>
                <w:color w:val="auto"/>
                <w:highlight w:val="none"/>
              </w:rPr>
            </w:r>
          </w:p>
        </w:tc>
        <w:tc>
          <w:tcPr>
            <w:tcW w:w="1099" w:type="dxa"/>
            <w:vAlign w:val="center"/>
            <w:vMerge w:val="restart"/>
            <w:textDirection w:val="lrTb"/>
            <w:noWrap w:val="false"/>
          </w:tcPr>
          <w:p>
            <w:pPr>
              <w:pStyle w:val="1134"/>
              <w:rPr>
                <w:rFonts w:hint="eastAsia" w:ascii="宋体" w:hAnsi="宋体" w:eastAsia="宋体" w:cs="宋体"/>
                <w:color w:val="auto"/>
                <w:spacing w:val="-2"/>
                <w:highlight w:val="none"/>
              </w:rPr>
            </w:pPr>
            <w:r>
              <w:rPr>
                <w:rFonts w:hint="eastAsia" w:ascii="宋体" w:hAnsi="宋体" w:eastAsia="宋体" w:cs="宋体"/>
                <w:color w:val="auto"/>
                <w:spacing w:val="-2"/>
                <w:highlight w:val="none"/>
                <w:lang w:eastAsia="zh-CN"/>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w:t>
            </w:r>
            <w:r>
              <w:rPr>
                <w:color w:val="auto"/>
                <w:highlight w:val="none"/>
              </w:rP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w:t>
            </w:r>
            <w:r>
              <w:rPr>
                <w:rFonts w:hint="eastAsia" w:ascii="宋体" w:hAnsi="宋体" w:eastAsia="宋体" w:cs="宋体"/>
                <w:color w:val="auto"/>
                <w:spacing w:val="-4"/>
                <w:highlight w:val="none"/>
                <w:lang w:eastAsia="zh-CN"/>
              </w:rPr>
              <w:t xml:space="preserve">CPU内置功能</w:t>
            </w:r>
            <w:r>
              <w:rPr>
                <w:rFonts w:ascii="宋体" w:hAnsi="宋体" w:eastAsia="宋体" w:cs="宋体"/>
                <w:color w:val="auto"/>
                <w:highlight w:val="none"/>
                <w:lang w:eastAsia="zh-CN"/>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多核支持</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操作系统支持双核及多核处理器，包括核间负载均衡、线程绑定等，并提供接口，通过访问接口获取运行状态和控制多核调度</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CPU虚拟化支</w:t>
            </w:r>
            <w:r>
              <w:rPr>
                <w:rFonts w:hint="eastAsia" w:ascii="宋体" w:hAnsi="宋体" w:eastAsia="宋体" w:cs="宋体"/>
                <w:color w:val="auto"/>
                <w:highlight w:val="none"/>
              </w:rPr>
              <w:t xml:space="preserve">持</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操作系统支持CPU虚拟化技术</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动态调节CPU</w:t>
            </w:r>
            <w:r>
              <w:rPr>
                <w:rFonts w:hint="eastAsia" w:ascii="宋体" w:hAnsi="宋体" w:eastAsia="宋体" w:cs="宋体"/>
                <w:color w:val="auto"/>
                <w:spacing w:val="-3"/>
                <w:highlight w:val="none"/>
                <w:lang w:eastAsia="zh-CN"/>
              </w:rPr>
              <w:t xml:space="preserve">运行频率</w:t>
            </w:r>
            <w:r>
              <w:rPr>
                <w:rFonts w:ascii="宋体" w:hAnsi="宋体" w:eastAsia="宋体" w:cs="宋体"/>
                <w:color w:val="auto"/>
                <w:highlight w:val="none"/>
                <w:lang w:eastAsia="zh-CN"/>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操作系统根据负载情况，自动调节CPU</w:t>
            </w:r>
            <w:r>
              <w:rPr>
                <w:rFonts w:hint="eastAsia" w:ascii="宋体" w:hAnsi="宋体" w:eastAsia="宋体" w:cs="宋体"/>
                <w:color w:val="auto"/>
                <w:spacing w:val="-4"/>
                <w:highlight w:val="none"/>
                <w:lang w:eastAsia="zh-CN"/>
              </w:rPr>
              <w:t xml:space="preserve">的运行频率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支持多CPU</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3"/>
                <w:highlight w:val="none"/>
                <w:lang w:eastAsia="zh-CN"/>
              </w:rPr>
              <w:t xml:space="preserve">支持跨路内存访问，支持CPU间负载均</w:t>
            </w:r>
            <w:r>
              <w:rPr>
                <w:rFonts w:hint="eastAsia" w:ascii="宋体" w:hAnsi="宋体" w:eastAsia="宋体" w:cs="宋体"/>
                <w:color w:val="auto"/>
                <w:spacing w:val="-2"/>
                <w:highlight w:val="none"/>
                <w:lang w:eastAsia="zh-CN"/>
              </w:rPr>
              <w:t xml:space="preserve">衡，支持并优化NUMA体系架构</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3"/>
                <w:lang w:eastAsia="zh-CN"/>
              </w:rPr>
            </w:pPr>
            <w:r>
              <w:rPr>
                <w:rFonts w:hint="eastAsia" w:ascii="宋体" w:hAnsi="宋体" w:eastAsia="宋体" w:cs="宋体"/>
                <w:spacing w:val="-3"/>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支持CPU内置安全功能</w:t>
            </w:r>
            <w:r>
              <w:rPr>
                <w:rFonts w:ascii="宋体" w:hAnsi="宋体" w:eastAsia="宋体" w:cs="宋体"/>
                <w:color w:val="auto"/>
                <w:highlight w:val="none"/>
                <w:lang w:eastAsia="zh-CN"/>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操作系统支持CPU硬件密码运算与随机数生成等功能；提供编程接口供应用程序调用；支持通过硬件指令判别临界区</w:t>
            </w:r>
            <w:r>
              <w:rPr>
                <w:rFonts w:hint="eastAsia" w:ascii="宋体" w:hAnsi="宋体" w:eastAsia="宋体" w:cs="宋体"/>
                <w:color w:val="auto"/>
                <w:spacing w:val="1"/>
                <w:highlight w:val="none"/>
                <w:lang w:eastAsia="zh-CN"/>
              </w:rPr>
              <w:t xml:space="preserve">冲突；支持调用</w:t>
            </w:r>
            <w:r>
              <w:rPr>
                <w:rFonts w:hint="eastAsia" w:ascii="宋体" w:hAnsi="宋体" w:eastAsia="宋体" w:cs="宋体"/>
                <w:color w:val="auto"/>
                <w:highlight w:val="none"/>
                <w:lang w:eastAsia="zh-CN"/>
              </w:rPr>
              <w:t xml:space="preserve">CPU</w:t>
            </w:r>
            <w:r>
              <w:rPr>
                <w:rFonts w:hint="eastAsia" w:ascii="宋体" w:hAnsi="宋体" w:eastAsia="宋体" w:cs="宋体"/>
                <w:color w:val="auto"/>
                <w:spacing w:val="1"/>
                <w:highlight w:val="none"/>
                <w:lang w:eastAsia="zh-CN"/>
              </w:rPr>
              <w:t xml:space="preserve">指令，实现自旋锁</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安装部署</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安装方式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操作系统支持光盘安装、USB闪存盘安</w:t>
            </w:r>
            <w:r>
              <w:rPr>
                <w:rFonts w:hint="eastAsia" w:ascii="宋体" w:hAnsi="宋体" w:eastAsia="宋体" w:cs="宋体"/>
                <w:color w:val="auto"/>
                <w:spacing w:val="-1"/>
                <w:highlight w:val="none"/>
                <w:lang w:eastAsia="zh-CN"/>
              </w:rPr>
              <w:t xml:space="preserve">装、网络安装和无人值守安装</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安装模式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操作系统支持图形或文本安装模式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安装过程配置</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操作系统支持安装界面文种设置、逻辑</w:t>
            </w:r>
            <w:r>
              <w:rPr>
                <w:rFonts w:hint="eastAsia" w:ascii="宋体" w:hAnsi="宋体" w:eastAsia="宋体" w:cs="宋体"/>
                <w:color w:val="auto"/>
                <w:spacing w:val="-6"/>
                <w:highlight w:val="none"/>
                <w:lang w:eastAsia="zh-CN"/>
              </w:rPr>
              <w:t xml:space="preserve">分区配置（如LVM）、自定义分区设置、</w:t>
            </w:r>
            <w:r>
              <w:rPr>
                <w:rFonts w:hint="eastAsia" w:ascii="宋体" w:hAnsi="宋体" w:eastAsia="宋体" w:cs="宋体"/>
                <w:color w:val="auto"/>
                <w:spacing w:val="-2"/>
                <w:highlight w:val="none"/>
                <w:lang w:eastAsia="zh-CN"/>
              </w:rPr>
              <w:t xml:space="preserve">安装组件设置、时区设置、键盘布局设置、初始用户设置、计算机名设置和网</w:t>
            </w:r>
            <w:r>
              <w:rPr>
                <w:rFonts w:hint="eastAsia" w:ascii="宋体" w:hAnsi="宋体" w:eastAsia="宋体" w:cs="宋体"/>
                <w:color w:val="auto"/>
                <w:spacing w:val="-3"/>
                <w:highlight w:val="none"/>
                <w:lang w:eastAsia="zh-CN"/>
              </w:rPr>
              <w:t xml:space="preserve">络设置，支持通过USB闪存盘等方式加</w:t>
            </w:r>
            <w:r>
              <w:rPr>
                <w:rFonts w:hint="eastAsia" w:ascii="宋体" w:hAnsi="宋体" w:eastAsia="宋体" w:cs="宋体"/>
                <w:color w:val="auto"/>
                <w:spacing w:val="-1"/>
                <w:highlight w:val="none"/>
                <w:lang w:eastAsia="zh-CN"/>
              </w:rPr>
              <w:t xml:space="preserve">载硬件驱动、支持设置加密文件系统</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系统引导</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a)操作系统应支持</w:t>
            </w:r>
            <w:r>
              <w:rPr>
                <w:rFonts w:hint="eastAsia" w:ascii="宋体" w:hAnsi="宋体" w:eastAsia="宋体" w:cs="宋体"/>
                <w:color w:val="auto"/>
                <w:highlight w:val="none"/>
                <w:lang w:eastAsia="zh-CN"/>
              </w:rPr>
              <w:t xml:space="preserve">UEFI</w:t>
            </w:r>
            <w:r>
              <w:rPr>
                <w:rFonts w:hint="eastAsia" w:ascii="宋体" w:hAnsi="宋体" w:eastAsia="宋体" w:cs="宋体"/>
                <w:color w:val="auto"/>
                <w:spacing w:val="1"/>
                <w:highlight w:val="none"/>
                <w:lang w:eastAsia="zh-CN"/>
              </w:rPr>
              <w:t xml:space="preserve">2.0及以上规范</w:t>
            </w:r>
            <w:r>
              <w:rPr>
                <w:rFonts w:hint="eastAsia" w:ascii="宋体" w:hAnsi="宋体" w:eastAsia="宋体" w:cs="宋体"/>
                <w:color w:val="auto"/>
                <w:spacing w:val="5"/>
                <w:highlight w:val="none"/>
                <w:lang w:eastAsia="zh-CN"/>
              </w:rPr>
              <w:t xml:space="preserve">固件引导，当计算机以</w:t>
            </w:r>
            <w:r>
              <w:rPr>
                <w:rFonts w:hint="eastAsia" w:ascii="宋体" w:hAnsi="宋体" w:eastAsia="宋体" w:cs="宋体"/>
                <w:color w:val="auto"/>
                <w:highlight w:val="none"/>
                <w:lang w:eastAsia="zh-CN"/>
              </w:rPr>
              <w:t xml:space="preserve">UEFI</w:t>
            </w:r>
            <w:r>
              <w:rPr>
                <w:rFonts w:hint="eastAsia" w:ascii="宋体" w:hAnsi="宋体" w:eastAsia="宋体" w:cs="宋体"/>
                <w:color w:val="auto"/>
                <w:spacing w:val="5"/>
                <w:highlight w:val="none"/>
                <w:lang w:eastAsia="zh-CN"/>
              </w:rPr>
              <w:t xml:space="preserve">模式启动</w:t>
            </w:r>
            <w:r>
              <w:rPr>
                <w:rFonts w:hint="eastAsia" w:ascii="宋体" w:hAnsi="宋体" w:eastAsia="宋体" w:cs="宋体"/>
                <w:color w:val="auto"/>
                <w:spacing w:val="-7"/>
                <w:highlight w:val="none"/>
                <w:lang w:eastAsia="zh-CN"/>
              </w:rPr>
              <w:t xml:space="preserve">安装时，安装程序应分配ESP，并在ESP</w:t>
            </w:r>
            <w:r>
              <w:rPr>
                <w:rFonts w:hint="eastAsia" w:ascii="宋体" w:hAnsi="宋体" w:eastAsia="宋体" w:cs="宋体"/>
                <w:color w:val="auto"/>
                <w:spacing w:val="-1"/>
                <w:highlight w:val="none"/>
                <w:lang w:eastAsia="zh-CN"/>
              </w:rPr>
              <w:t xml:space="preserve">中放置启动引导文件，使系统能以UEFI</w:t>
            </w:r>
            <w:r>
              <w:rPr>
                <w:rFonts w:hint="eastAsia" w:ascii="宋体" w:hAnsi="宋体" w:eastAsia="宋体" w:cs="宋体"/>
                <w:color w:val="auto"/>
                <w:spacing w:val="-2"/>
                <w:highlight w:val="none"/>
                <w:lang w:eastAsia="zh-CN"/>
              </w:rPr>
              <w:t xml:space="preserve">模式引导；</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3"/>
                <w:highlight w:val="none"/>
              </w:rPr>
              <w:t xml:space="preserve">b)支持bootloader引导，支持MBR及GPT</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引导修复</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操作系统安装媒体提供系统引导修复</w:t>
            </w:r>
            <w:r>
              <w:rPr>
                <w:rFonts w:hint="eastAsia" w:ascii="宋体" w:hAnsi="宋体" w:eastAsia="宋体" w:cs="宋体"/>
                <w:color w:val="auto"/>
                <w:spacing w:val="-4"/>
                <w:highlight w:val="none"/>
                <w:lang w:eastAsia="zh-CN"/>
              </w:rPr>
              <w:t xml:space="preserve">功能，当已安装的系统引导被破坏时，</w:t>
            </w:r>
            <w:r>
              <w:rPr>
                <w:rFonts w:hint="eastAsia" w:ascii="宋体" w:hAnsi="宋体" w:eastAsia="宋体" w:cs="宋体"/>
                <w:color w:val="auto"/>
                <w:spacing w:val="-2"/>
                <w:highlight w:val="none"/>
                <w:lang w:eastAsia="zh-CN"/>
              </w:rPr>
              <w:t xml:space="preserve">可重建系统引导</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引导参数编辑</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操作系统支持用户编辑引导参数，支持</w:t>
            </w:r>
            <w:r>
              <w:rPr>
                <w:rFonts w:hint="eastAsia" w:ascii="宋体" w:hAnsi="宋体" w:eastAsia="宋体" w:cs="宋体"/>
                <w:color w:val="auto"/>
                <w:spacing w:val="-5"/>
                <w:highlight w:val="none"/>
                <w:lang w:eastAsia="zh-CN"/>
              </w:rPr>
              <w:t xml:space="preserve">GRUB口令保护</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数据保护</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9"/>
                <w:highlight w:val="none"/>
                <w:lang w:eastAsia="zh-CN"/>
              </w:rPr>
              <w:t xml:space="preserve">安装程序在安装执行前明确提示用户</w:t>
            </w:r>
            <w:r>
              <w:rPr>
                <w:rFonts w:hint="eastAsia" w:ascii="宋体" w:hAnsi="宋体" w:eastAsia="宋体" w:cs="宋体"/>
                <w:color w:val="auto"/>
                <w:spacing w:val="4"/>
                <w:highlight w:val="none"/>
                <w:lang w:eastAsia="zh-CN"/>
              </w:rPr>
              <w:t xml:space="preserve">可能会删除已有数据，并提供退出/取</w:t>
            </w:r>
            <w:r>
              <w:rPr>
                <w:rFonts w:hint="eastAsia" w:ascii="宋体" w:hAnsi="宋体" w:eastAsia="宋体" w:cs="宋体"/>
                <w:color w:val="auto"/>
                <w:spacing w:val="-2"/>
                <w:highlight w:val="none"/>
                <w:lang w:eastAsia="zh-CN"/>
              </w:rPr>
              <w:t xml:space="preserve">消功能，当用户取消安装时，不改变硬</w:t>
            </w:r>
            <w:r>
              <w:rPr>
                <w:rFonts w:hint="eastAsia" w:ascii="宋体" w:hAnsi="宋体" w:eastAsia="宋体" w:cs="宋体"/>
                <w:color w:val="auto"/>
                <w:spacing w:val="-1"/>
                <w:highlight w:val="none"/>
                <w:lang w:eastAsia="zh-CN"/>
              </w:rPr>
              <w:t xml:space="preserve">盘上已有数据</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9"/>
                <w:lang w:eastAsia="zh-CN"/>
              </w:rPr>
            </w:pPr>
            <w:r>
              <w:rPr>
                <w:rFonts w:hint="eastAsia" w:ascii="宋体" w:hAnsi="宋体" w:eastAsia="宋体" w:cs="宋体"/>
                <w:spacing w:val="9"/>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分辨率自适应</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0"/>
                <w:highlight w:val="none"/>
                <w:lang w:eastAsia="zh-CN"/>
              </w:rPr>
              <w:t xml:space="preserve">操作系统安装完成后应自动适配显示</w:t>
            </w:r>
            <w:r>
              <w:rPr>
                <w:rFonts w:hint="eastAsia" w:ascii="宋体" w:hAnsi="宋体" w:eastAsia="宋体" w:cs="宋体"/>
                <w:color w:val="auto"/>
                <w:spacing w:val="-1"/>
                <w:highlight w:val="none"/>
                <w:lang w:eastAsia="zh-CN"/>
              </w:rPr>
              <w:t xml:space="preserve">器最佳分辨率(文本模式除外)</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0"/>
                <w:lang w:eastAsia="zh-CN"/>
              </w:rPr>
            </w:pPr>
            <w:r>
              <w:rPr>
                <w:rFonts w:hint="eastAsia" w:ascii="宋体" w:hAnsi="宋体" w:eastAsia="宋体" w:cs="宋体"/>
                <w:spacing w:val="10"/>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bookmarkStart w:id="194" w:name="bookmark7"/>
            <w:r>
              <w:rPr>
                <w:color w:val="auto"/>
                <w:highlight w:val="none"/>
              </w:rPr>
            </w:r>
            <w:bookmarkEnd w:id="194"/>
            <w:r>
              <w:rPr>
                <w:color w:val="auto"/>
                <w:highlight w:val="none"/>
              </w:rPr>
            </w:r>
            <w:bookmarkStart w:id="195" w:name="bookmark8"/>
            <w:r>
              <w:rPr>
                <w:color w:val="auto"/>
                <w:highlight w:val="none"/>
              </w:rPr>
            </w:r>
            <w:bookmarkEnd w:id="195"/>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安装配置正确</w:t>
            </w:r>
            <w:r>
              <w:rPr>
                <w:rFonts w:hint="eastAsia" w:ascii="宋体" w:hAnsi="宋体" w:eastAsia="宋体" w:cs="宋体"/>
                <w:color w:val="auto"/>
                <w:spacing w:val="-3"/>
                <w:highlight w:val="none"/>
              </w:rPr>
              <w:t xml:space="preserve">性校验</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操作系统安装和配置过程中，如用户自</w:t>
            </w:r>
            <w:r>
              <w:rPr>
                <w:rFonts w:hint="eastAsia" w:ascii="宋体" w:hAnsi="宋体" w:eastAsia="宋体" w:cs="宋体"/>
                <w:color w:val="auto"/>
                <w:spacing w:val="10"/>
                <w:highlight w:val="none"/>
                <w:lang w:eastAsia="zh-CN"/>
              </w:rPr>
              <w:t xml:space="preserve">定义的某些配置可能会影响系统启动</w:t>
            </w:r>
            <w:r>
              <w:rPr>
                <w:rFonts w:hint="eastAsia" w:ascii="宋体" w:hAnsi="宋体" w:eastAsia="宋体" w:cs="宋体"/>
                <w:color w:val="auto"/>
                <w:spacing w:val="-1"/>
                <w:highlight w:val="none"/>
                <w:lang w:eastAsia="zh-CN"/>
              </w:rPr>
              <w:t xml:space="preserve">或正常使用，予以明确提示</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系统内核</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内核要求</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highlight w:val="none"/>
                <w:lang w:eastAsia="zh-CN"/>
              </w:rPr>
              <w:t xml:space="preserve">a)若操作系统是基于Linux内核的服务</w:t>
            </w:r>
            <w:r>
              <w:rPr>
                <w:rFonts w:hint="eastAsia" w:ascii="宋体" w:hAnsi="宋体" w:eastAsia="宋体" w:cs="宋体"/>
                <w:color w:val="auto"/>
                <w:spacing w:val="-2"/>
                <w:highlight w:val="none"/>
                <w:lang w:eastAsia="zh-CN"/>
              </w:rPr>
              <w:t xml:space="preserve">器操作系统应兼容4.19版内核</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b)若操作系统属于其他类型内核不做</w:t>
            </w:r>
            <w:r>
              <w:rPr>
                <w:rFonts w:hint="eastAsia" w:ascii="宋体" w:hAnsi="宋体" w:eastAsia="宋体" w:cs="宋体"/>
                <w:color w:val="auto"/>
                <w:spacing w:val="-3"/>
                <w:highlight w:val="none"/>
                <w:lang w:eastAsia="zh-CN"/>
              </w:rPr>
              <w:t xml:space="preserve">要求</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lang w:eastAsia="zh-CN"/>
              </w:rPr>
            </w:pPr>
            <w:r>
              <w:rPr>
                <w:rFonts w:hint="eastAsia" w:ascii="宋体" w:hAnsi="宋体" w:eastAsia="宋体" w:cs="宋体"/>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进程、线程调</w:t>
            </w:r>
            <w:r>
              <w:rPr>
                <w:rFonts w:hint="eastAsia" w:ascii="宋体" w:hAnsi="宋体" w:eastAsia="宋体" w:cs="宋体"/>
                <w:color w:val="auto"/>
                <w:highlight w:val="none"/>
              </w:rPr>
              <w:t xml:space="preserve">度</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NUMA</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操作系统支持基于NUMA的亲和调度</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多核轮询</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3"/>
                <w:highlight w:val="none"/>
                <w:lang w:eastAsia="zh-CN"/>
              </w:rPr>
              <w:t xml:space="preserve">操作系统支持CPU多核轮询调度</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3"/>
                <w:lang w:eastAsia="zh-CN"/>
              </w:rPr>
            </w:pPr>
            <w:r>
              <w:rPr>
                <w:rFonts w:hint="eastAsia" w:ascii="宋体" w:hAnsi="宋体" w:eastAsia="宋体" w:cs="宋体"/>
                <w:spacing w:val="-3"/>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9"/>
                <w:highlight w:val="none"/>
              </w:rPr>
              <w:t xml:space="preserve">19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进程调度</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操作系统具备进程优先级动态调整能</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力，允许在进程运行时对优先级进行调整；区分实时进程与非实时进程，分别</w:t>
            </w:r>
            <w:r>
              <w:rPr>
                <w:rFonts w:hint="eastAsia" w:ascii="宋体" w:hAnsi="宋体" w:eastAsia="宋体" w:cs="宋体"/>
                <w:color w:val="auto"/>
                <w:spacing w:val="-1"/>
                <w:highlight w:val="none"/>
                <w:lang w:eastAsia="zh-CN"/>
              </w:rPr>
              <w:t xml:space="preserve">进行调度；支持进程运行状态检查</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内存管理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内存容量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操作系统支持最大内存不小于4TB</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943"/>
              <w:rPr>
                <w:rFonts w:ascii="宋体" w:hAnsi="宋体" w:cs="宋体"/>
                <w:sz w:val="18"/>
                <w:szCs w:val="18"/>
              </w:rPr>
            </w:pPr>
            <w:r>
              <w:rPr>
                <w:rFonts w:ascii="宋体" w:hAnsi="宋体" w:cs="宋体"/>
                <w:sz w:val="18"/>
                <w:szCs w:val="18"/>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内存大页管理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操作系统允许应用申请内存大页降低</w:t>
            </w:r>
            <w:r>
              <w:rPr>
                <w:rFonts w:hint="eastAsia" w:ascii="宋体" w:hAnsi="宋体" w:eastAsia="宋体" w:cs="宋体"/>
                <w:color w:val="auto"/>
                <w:spacing w:val="-3"/>
                <w:highlight w:val="none"/>
                <w:lang w:eastAsia="zh-CN"/>
              </w:rPr>
              <w:t xml:space="preserve">页表转换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NUMA</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操作系统支持NUMA近节点优化</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内存超分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操作系统支持虚拟内存超分，提升内存</w:t>
            </w:r>
            <w:r>
              <w:rPr>
                <w:rFonts w:hint="eastAsia" w:ascii="宋体" w:hAnsi="宋体" w:eastAsia="宋体" w:cs="宋体"/>
                <w:color w:val="auto"/>
                <w:spacing w:val="-5"/>
                <w:highlight w:val="none"/>
                <w:lang w:eastAsia="zh-CN"/>
              </w:rPr>
              <w:t xml:space="preserve">的使用率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存储管理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RAID支持</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操作系统支持硬RAID和软RAID，支持软RAID级别0、1、5、6、10</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虚拟文件系统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操作系统支持将不同功能的外部设备抽象为统一的文件操作接口，包括存储、输入输出设备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文件管理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操作系统支持文件存储、检索和共享</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可移动存储</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操作系统支持对可移动外部存储的管理，包括启停、禁用、恢复等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外部独立存储</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操作系统支持使用外部独立存储设备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29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多路径聚合</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操作系统支持存储多路径聚合及I/O动</w:t>
            </w:r>
            <w:r>
              <w:rPr>
                <w:rFonts w:hint="eastAsia" w:ascii="宋体" w:hAnsi="宋体" w:eastAsia="宋体" w:cs="宋体"/>
                <w:color w:val="auto"/>
                <w:spacing w:val="-2"/>
                <w:highlight w:val="none"/>
                <w:lang w:eastAsia="zh-CN"/>
              </w:rPr>
              <w:t xml:space="preserve">态负载均衡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30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故障检测</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操作系统支持硬盘损坏或老化检测及</w:t>
            </w:r>
            <w:r>
              <w:rPr>
                <w:rFonts w:hint="eastAsia" w:ascii="宋体" w:hAnsi="宋体" w:eastAsia="宋体" w:cs="宋体"/>
                <w:color w:val="auto"/>
                <w:spacing w:val="-2"/>
                <w:highlight w:val="none"/>
                <w:lang w:eastAsia="zh-CN"/>
              </w:rPr>
              <w:t xml:space="preserve">信息收集</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31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虚拟内存</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操作系统支持将硬盘的特定分区或文件作为虚拟扩展内存用于存放内存数据，支持虚拟内存压缩</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32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网络块设备挂</w:t>
            </w:r>
            <w:r>
              <w:rPr>
                <w:rFonts w:hint="eastAsia" w:ascii="宋体" w:hAnsi="宋体" w:eastAsia="宋体" w:cs="宋体"/>
                <w:color w:val="auto"/>
                <w:highlight w:val="none"/>
              </w:rPr>
              <w:t xml:space="preserve">载</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9"/>
                <w:highlight w:val="none"/>
                <w:lang w:eastAsia="zh-CN"/>
              </w:rPr>
              <w:t xml:space="preserve">操作系统支持FCoE、iSCSI，支持将Ceph</w:t>
            </w:r>
            <w:r>
              <w:rPr>
                <w:rFonts w:hint="eastAsia" w:ascii="宋体" w:hAnsi="宋体" w:eastAsia="宋体" w:cs="宋体"/>
                <w:color w:val="auto"/>
                <w:spacing w:val="-1"/>
                <w:highlight w:val="none"/>
                <w:lang w:eastAsia="zh-CN"/>
              </w:rPr>
              <w:t xml:space="preserve">块设备视为常规存储设备挂载到某个</w:t>
            </w:r>
            <w:r>
              <w:rPr>
                <w:rFonts w:hint="eastAsia" w:ascii="宋体" w:hAnsi="宋体" w:eastAsia="宋体" w:cs="宋体"/>
                <w:color w:val="auto"/>
                <w:spacing w:val="-3"/>
                <w:highlight w:val="none"/>
                <w:lang w:eastAsia="zh-CN"/>
              </w:rPr>
              <w:t xml:space="preserve">目录并作为标准文件系统使用</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9"/>
                <w:lang w:eastAsia="zh-CN"/>
              </w:rPr>
            </w:pPr>
            <w:r>
              <w:rPr>
                <w:rFonts w:hint="eastAsia" w:ascii="宋体" w:hAnsi="宋体" w:eastAsia="宋体" w:cs="宋体"/>
                <w:spacing w:val="-9"/>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33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存储缓存</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操作系统支持快速块设备作为慢速块</w:t>
            </w:r>
            <w:r>
              <w:rPr>
                <w:rFonts w:hint="eastAsia" w:ascii="宋体" w:hAnsi="宋体" w:eastAsia="宋体" w:cs="宋体"/>
                <w:color w:val="auto"/>
                <w:spacing w:val="-6"/>
                <w:highlight w:val="none"/>
                <w:lang w:eastAsia="zh-CN"/>
              </w:rPr>
              <w:t xml:space="preserve">设备缓存以加速I/O</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34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网络链路检测</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操作系统支持网络链路故障检测、链路事件通知和链路状态查询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35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TCP卸载引擎</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操作系统支持运行TCP协议卸载引擎的</w:t>
            </w:r>
            <w:r>
              <w:rPr>
                <w:rFonts w:hint="eastAsia" w:ascii="宋体" w:hAnsi="宋体" w:eastAsia="宋体" w:cs="宋体"/>
                <w:color w:val="auto"/>
                <w:spacing w:val="-8"/>
                <w:highlight w:val="none"/>
                <w:lang w:eastAsia="zh-CN"/>
              </w:rPr>
              <w:t xml:space="preserve">网卡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36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网络协议</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rPr>
              <w:t xml:space="preserve">操作系统支持IPv4、IPv6</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rPr>
            </w:pPr>
            <w:r>
              <w:rPr>
                <w:rFonts w:hint="eastAsia" w:ascii="宋体" w:hAnsi="宋体" w:eastAsia="宋体" w:cs="宋体"/>
                <w:spacing w:val="-4"/>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37</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多网卡绑定</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操作系统支持多网卡绑定</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38</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lang w:eastAsia="zh-CN"/>
              </w:rPr>
              <w:t xml:space="preserve">用户态TCP/IP协</w:t>
            </w:r>
            <w:r>
              <w:rPr>
                <w:rFonts w:hint="eastAsia" w:ascii="宋体" w:hAnsi="宋体" w:eastAsia="宋体" w:cs="宋体"/>
                <w:color w:val="auto"/>
                <w:spacing w:val="-4"/>
                <w:highlight w:val="none"/>
                <w:lang w:eastAsia="zh-CN"/>
              </w:rPr>
              <w:t xml:space="preserve">议栈</w:t>
            </w:r>
            <w:r>
              <w:rPr>
                <w:rFonts w:ascii="宋体" w:hAnsi="宋体" w:eastAsia="宋体" w:cs="宋体"/>
                <w:color w:val="auto"/>
                <w:highlight w:val="none"/>
                <w:lang w:eastAsia="zh-CN"/>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操作系统支持用户态TCP/IP协议栈</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39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文件系统</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文件系统支持</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操作系统支持XFS、EXT3、EXT4、NTFS、</w:t>
            </w:r>
            <w:r>
              <w:rPr>
                <w:rFonts w:hint="eastAsia" w:ascii="宋体" w:hAnsi="宋体" w:eastAsia="宋体" w:cs="宋体"/>
                <w:color w:val="auto"/>
                <w:spacing w:val="-1"/>
                <w:highlight w:val="none"/>
                <w:lang w:eastAsia="zh-CN"/>
              </w:rPr>
              <w:t xml:space="preserve">FAT32等文件系统，支持相应格式分区创建、删除、格式化等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40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日志式文件系</w:t>
            </w:r>
            <w:r>
              <w:rPr>
                <w:rFonts w:hint="eastAsia" w:ascii="宋体" w:hAnsi="宋体" w:eastAsia="宋体" w:cs="宋体"/>
                <w:color w:val="auto"/>
                <w:highlight w:val="none"/>
              </w:rPr>
              <w:t xml:space="preserve">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操作系统支持日志式文件系统</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41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文件处理能力</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操作系统支持最大文件不小于4TB，最</w:t>
            </w:r>
            <w:r>
              <w:rPr>
                <w:rFonts w:hint="eastAsia" w:ascii="宋体" w:hAnsi="宋体" w:eastAsia="宋体" w:cs="宋体"/>
                <w:color w:val="auto"/>
                <w:spacing w:val="-5"/>
                <w:highlight w:val="none"/>
                <w:lang w:eastAsia="zh-CN"/>
              </w:rPr>
              <w:t xml:space="preserve">大分区与文件系统不小于10PB，最大文</w:t>
            </w:r>
            <w:r>
              <w:rPr>
                <w:rFonts w:hint="eastAsia" w:ascii="宋体" w:hAnsi="宋体" w:eastAsia="宋体" w:cs="宋体"/>
                <w:color w:val="auto"/>
                <w:spacing w:val="-3"/>
                <w:highlight w:val="none"/>
                <w:lang w:eastAsia="zh-CN"/>
              </w:rPr>
              <w:t xml:space="preserve">件名长度不小于255字节</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42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分区大小调整</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操作系统支持动态调整分区大小，对系</w:t>
            </w:r>
            <w:r>
              <w:rPr>
                <w:rFonts w:hint="eastAsia" w:ascii="宋体" w:hAnsi="宋体" w:eastAsia="宋体" w:cs="宋体"/>
                <w:color w:val="auto"/>
                <w:spacing w:val="-1"/>
                <w:highlight w:val="none"/>
                <w:lang w:eastAsia="zh-CN"/>
              </w:rPr>
              <w:t xml:space="preserve">统分区容量进行改变</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43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tcBorders>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授权激活</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产品许可机制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a)操作系统支持序列号授权、批量激活服务、场地授权等方式；未激活期间，系统不得频繁提示干扰用户正常使用；</w:t>
            </w:r>
            <w:r>
              <w:rPr>
                <w:rFonts w:hint="eastAsia" w:ascii="宋体" w:hAnsi="宋体" w:eastAsia="宋体" w:cs="宋体"/>
                <w:color w:val="auto"/>
                <w:spacing w:val="-1"/>
                <w:highlight w:val="none"/>
                <w:lang w:eastAsia="zh-CN"/>
              </w:rPr>
              <w:t xml:space="preserve">未激活系统不得影响用户数据安全与</w:t>
            </w:r>
            <w:r>
              <w:rPr>
                <w:rFonts w:hint="eastAsia" w:ascii="宋体" w:hAnsi="宋体" w:eastAsia="宋体" w:cs="宋体"/>
                <w:color w:val="auto"/>
                <w:spacing w:val="-2"/>
                <w:highlight w:val="none"/>
                <w:lang w:eastAsia="zh-CN"/>
              </w:rPr>
              <w:t xml:space="preserve">完整性；</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b)免激活的系统不适用</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44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应用开发运行</w:t>
            </w:r>
            <w:r>
              <w:rPr>
                <w:rFonts w:hint="eastAsia" w:ascii="宋体" w:hAnsi="宋体" w:eastAsia="宋体" w:cs="宋体"/>
                <w:color w:val="auto"/>
                <w:spacing w:val="-4"/>
                <w:highlight w:val="none"/>
              </w:rPr>
              <w:t xml:space="preserve">环境</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集成开发环境/</w:t>
            </w:r>
            <w:r>
              <w:rPr>
                <w:rFonts w:hint="eastAsia" w:ascii="宋体" w:hAnsi="宋体" w:eastAsia="宋体" w:cs="宋体"/>
                <w:color w:val="auto"/>
                <w:spacing w:val="-3"/>
                <w:highlight w:val="none"/>
                <w:lang w:eastAsia="zh-CN"/>
              </w:rPr>
              <w:t xml:space="preserve">开发框架</w:t>
            </w:r>
            <w:r>
              <w:rPr>
                <w:rFonts w:ascii="宋体" w:hAnsi="宋体" w:eastAsia="宋体" w:cs="宋体"/>
                <w:color w:val="auto"/>
                <w:highlight w:val="none"/>
                <w:lang w:eastAsia="zh-CN"/>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操作系统通过内置、软件仓库或附加光</w:t>
            </w:r>
            <w:r>
              <w:rPr>
                <w:rFonts w:hint="eastAsia" w:ascii="宋体" w:hAnsi="宋体" w:eastAsia="宋体" w:cs="宋体"/>
                <w:color w:val="auto"/>
                <w:spacing w:val="2"/>
                <w:highlight w:val="none"/>
                <w:lang w:eastAsia="zh-CN"/>
              </w:rPr>
              <w:t xml:space="preserve">盘等方式提供开发环境，包括</w:t>
            </w:r>
            <w:r>
              <w:rPr>
                <w:rFonts w:hint="eastAsia" w:ascii="宋体" w:hAnsi="宋体" w:eastAsia="宋体" w:cs="宋体"/>
                <w:color w:val="auto"/>
                <w:highlight w:val="none"/>
                <w:lang w:eastAsia="zh-CN"/>
              </w:rPr>
              <w:t xml:space="preserve">Qt</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1"/>
                <w:highlight w:val="none"/>
                <w:lang w:eastAsia="zh-CN"/>
              </w:rPr>
              <w:t xml:space="preserve">Eclipse、VSCode等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45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开发工具库</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rPr>
              <w:t xml:space="preserve">操作系统通过内置、软件仓库或附加光盘等方式提供开发库，包括GNUC、GNU</w:t>
            </w:r>
            <w:r>
              <w:rPr>
                <w:rFonts w:hint="eastAsia" w:ascii="宋体" w:hAnsi="宋体" w:eastAsia="宋体" w:cs="宋体"/>
                <w:color w:val="auto"/>
                <w:spacing w:val="-8"/>
                <w:highlight w:val="none"/>
              </w:rPr>
              <w:t xml:space="preserve">C++、Java、Qt、Gtk+、Cairo、OpenGL、</w:t>
            </w:r>
            <w:r>
              <w:rPr>
                <w:rFonts w:hint="eastAsia" w:ascii="宋体" w:hAnsi="宋体" w:eastAsia="宋体" w:cs="宋体"/>
                <w:color w:val="auto"/>
                <w:highlight w:val="none"/>
              </w:rPr>
              <w:t xml:space="preserve">Perl</w:t>
            </w:r>
            <w:r>
              <w:rPr>
                <w:rFonts w:hint="eastAsia" w:ascii="宋体" w:hAnsi="宋体" w:eastAsia="宋体" w:cs="宋体"/>
                <w:color w:val="auto"/>
                <w:spacing w:val="4"/>
                <w:highlight w:val="none"/>
              </w:rPr>
              <w:t xml:space="preserve">、</w:t>
            </w:r>
            <w:r>
              <w:rPr>
                <w:rFonts w:hint="eastAsia" w:ascii="宋体" w:hAnsi="宋体" w:eastAsia="宋体" w:cs="宋体"/>
                <w:color w:val="auto"/>
                <w:highlight w:val="none"/>
              </w:rPr>
              <w:t xml:space="preserve">Python</w:t>
            </w:r>
            <w:r>
              <w:rPr>
                <w:rFonts w:hint="eastAsia" w:ascii="宋体" w:hAnsi="宋体" w:eastAsia="宋体" w:cs="宋体"/>
                <w:color w:val="auto"/>
                <w:spacing w:val="4"/>
                <w:highlight w:val="none"/>
              </w:rPr>
              <w:t xml:space="preserve">、</w:t>
            </w:r>
            <w:r>
              <w:rPr>
                <w:rFonts w:hint="eastAsia" w:ascii="宋体" w:hAnsi="宋体" w:eastAsia="宋体" w:cs="宋体"/>
                <w:color w:val="auto"/>
                <w:highlight w:val="none"/>
              </w:rPr>
              <w:t xml:space="preserve">Ruby</w:t>
            </w:r>
            <w:r>
              <w:rPr>
                <w:rFonts w:hint="eastAsia" w:ascii="宋体" w:hAnsi="宋体" w:eastAsia="宋体" w:cs="宋体"/>
                <w:color w:val="auto"/>
                <w:spacing w:val="4"/>
                <w:highlight w:val="none"/>
              </w:rPr>
              <w:t xml:space="preserve">、</w:t>
            </w:r>
            <w:r>
              <w:rPr>
                <w:rFonts w:hint="eastAsia" w:ascii="宋体" w:hAnsi="宋体" w:eastAsia="宋体" w:cs="宋体"/>
                <w:color w:val="auto"/>
                <w:highlight w:val="none"/>
              </w:rPr>
              <w:t xml:space="preserve">Rust</w:t>
            </w:r>
            <w:r>
              <w:rPr>
                <w:rFonts w:hint="eastAsia" w:ascii="宋体" w:hAnsi="宋体" w:eastAsia="宋体" w:cs="宋体"/>
                <w:color w:val="auto"/>
                <w:spacing w:val="4"/>
                <w:highlight w:val="none"/>
              </w:rPr>
              <w:t xml:space="preserve">、</w:t>
            </w:r>
            <w:r>
              <w:rPr>
                <w:rFonts w:hint="eastAsia" w:ascii="宋体" w:hAnsi="宋体" w:eastAsia="宋体" w:cs="宋体"/>
                <w:color w:val="auto"/>
                <w:highlight w:val="none"/>
              </w:rPr>
              <w:t xml:space="preserve">Golang</w:t>
            </w:r>
            <w:r>
              <w:rPr>
                <w:rFonts w:hint="eastAsia" w:ascii="宋体" w:hAnsi="宋体" w:eastAsia="宋体" w:cs="宋体"/>
                <w:color w:val="auto"/>
                <w:spacing w:val="4"/>
                <w:highlight w:val="none"/>
              </w:rPr>
              <w:t xml:space="preserve">、</w:t>
            </w:r>
            <w:r>
              <w:rPr>
                <w:rFonts w:hint="eastAsia" w:ascii="宋体" w:hAnsi="宋体" w:eastAsia="宋体" w:cs="宋体"/>
                <w:color w:val="auto"/>
                <w:spacing w:val="-3"/>
                <w:highlight w:val="none"/>
              </w:rPr>
              <w:t xml:space="preserve">JS等</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rPr>
            </w:pPr>
            <w:r>
              <w:rPr>
                <w:rFonts w:hint="eastAsia" w:ascii="宋体" w:hAnsi="宋体" w:eastAsia="宋体" w:cs="宋体"/>
                <w:spacing w:val="-2"/>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46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编译器开发工</w:t>
            </w:r>
            <w:r>
              <w:rPr>
                <w:rFonts w:hint="eastAsia" w:ascii="宋体" w:hAnsi="宋体" w:eastAsia="宋体" w:cs="宋体"/>
                <w:color w:val="auto"/>
                <w:highlight w:val="none"/>
              </w:rPr>
              <w:t xml:space="preserve">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操作系统通过内置、软件仓库或附加光</w:t>
            </w:r>
            <w:r>
              <w:rPr>
                <w:rFonts w:hint="eastAsia" w:ascii="宋体" w:hAnsi="宋体" w:eastAsia="宋体" w:cs="宋体"/>
                <w:color w:val="auto"/>
                <w:spacing w:val="-6"/>
                <w:highlight w:val="none"/>
                <w:lang w:eastAsia="zh-CN"/>
              </w:rPr>
              <w:t xml:space="preserve">盘等方式提供编译开发工具，包括GCC、</w:t>
            </w:r>
            <w:r>
              <w:rPr>
                <w:rFonts w:hint="eastAsia" w:ascii="宋体" w:hAnsi="宋体" w:eastAsia="宋体" w:cs="宋体"/>
                <w:color w:val="auto"/>
                <w:spacing w:val="-1"/>
                <w:highlight w:val="none"/>
                <w:lang w:eastAsia="zh-CN"/>
              </w:rPr>
              <w:t xml:space="preserve">G++、Binutils、GDB、Make、CMake等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47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文本编辑工具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操作系统通过内置、软件仓库或附加光</w:t>
            </w:r>
            <w:r>
              <w:rPr>
                <w:rFonts w:hint="eastAsia" w:ascii="宋体" w:hAnsi="宋体" w:eastAsia="宋体" w:cs="宋体"/>
                <w:color w:val="auto"/>
                <w:spacing w:val="-1"/>
                <w:highlight w:val="none"/>
                <w:lang w:eastAsia="zh-CN"/>
              </w:rPr>
              <w:t xml:space="preserve">盘等方式提供文本编辑工具，包括</w:t>
            </w:r>
            <w:r>
              <w:rPr>
                <w:rFonts w:hint="eastAsia" w:ascii="宋体" w:hAnsi="宋体" w:eastAsia="宋体" w:cs="宋体"/>
                <w:color w:val="auto"/>
                <w:spacing w:val="-2"/>
                <w:highlight w:val="none"/>
                <w:lang w:eastAsia="zh-CN"/>
              </w:rPr>
              <w:t xml:space="preserve">Emacs、Vim等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48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软件包管理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操作系统支持查询软件包描述和包含文件，以及软件包依赖；</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支持在安装时自动提示并下载安装缺</w:t>
            </w:r>
            <w:r>
              <w:rPr>
                <w:rFonts w:hint="eastAsia" w:ascii="宋体" w:hAnsi="宋体" w:eastAsia="宋体" w:cs="宋体"/>
                <w:color w:val="auto"/>
                <w:spacing w:val="-2"/>
                <w:highlight w:val="none"/>
                <w:lang w:eastAsia="zh-CN"/>
              </w:rPr>
              <w:t xml:space="preserve">失的依赖软件包</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49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开发文档</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具有软件开发参考文档、驱动</w:t>
            </w:r>
            <w:r>
              <w:rPr>
                <w:rFonts w:hint="eastAsia" w:ascii="宋体" w:hAnsi="宋体" w:eastAsia="宋体" w:cs="宋体"/>
                <w:color w:val="auto"/>
                <w:spacing w:val="-6"/>
                <w:highlight w:val="none"/>
                <w:lang w:eastAsia="zh-CN"/>
              </w:rPr>
              <w:t xml:space="preserve">开发参考文档、应用移植开发文档、API</w:t>
            </w:r>
            <w:r>
              <w:rPr>
                <w:rFonts w:hint="eastAsia" w:ascii="宋体" w:hAnsi="宋体" w:eastAsia="宋体" w:cs="宋体"/>
                <w:color w:val="auto"/>
                <w:spacing w:val="-5"/>
                <w:highlight w:val="none"/>
                <w:lang w:eastAsia="zh-CN"/>
              </w:rPr>
              <w:t xml:space="preserve">文档功能</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50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服务支持</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rPr>
              <w:t xml:space="preserve">操作系统支持TCP/UDP</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rPr>
            </w:pPr>
            <w:r>
              <w:rPr>
                <w:rFonts w:hint="eastAsia" w:ascii="宋体" w:hAnsi="宋体" w:eastAsia="宋体" w:cs="宋体"/>
                <w:spacing w:val="-2"/>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51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网络共享</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7"/>
                <w:highlight w:val="none"/>
                <w:lang w:eastAsia="zh-CN"/>
              </w:rPr>
              <w:t xml:space="preserve">操作系统支持基于NFS、SMB、FTP、CIFS</w:t>
            </w:r>
            <w:r>
              <w:rPr>
                <w:rFonts w:hint="eastAsia" w:ascii="宋体" w:hAnsi="宋体" w:eastAsia="宋体" w:cs="宋体"/>
                <w:color w:val="auto"/>
                <w:spacing w:val="-1"/>
                <w:highlight w:val="none"/>
                <w:lang w:eastAsia="zh-CN"/>
              </w:rPr>
              <w:t xml:space="preserve">等协议的数据网络共享服务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7"/>
                <w:lang w:eastAsia="zh-CN"/>
              </w:rPr>
            </w:pPr>
            <w:r>
              <w:rPr>
                <w:rFonts w:hint="eastAsia" w:ascii="宋体" w:hAnsi="宋体" w:eastAsia="宋体" w:cs="宋体"/>
                <w:spacing w:val="-7"/>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52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WEB服务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3"/>
                <w:highlight w:val="none"/>
              </w:rPr>
              <w:t xml:space="preserve">操作系统支持基于HTTP、HTTPS、</w:t>
            </w:r>
            <w:r>
              <w:rPr>
                <w:rFonts w:hint="eastAsia" w:ascii="宋体" w:hAnsi="宋体" w:eastAsia="宋体" w:cs="宋体"/>
                <w:color w:val="auto"/>
                <w:spacing w:val="-2"/>
                <w:highlight w:val="none"/>
              </w:rPr>
              <w:t xml:space="preserve">FastCGI等协议WEB服务</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3"/>
              </w:rPr>
            </w:pPr>
            <w:r>
              <w:rPr>
                <w:rFonts w:hint="eastAsia" w:ascii="宋体" w:hAnsi="宋体" w:eastAsia="宋体" w:cs="宋体"/>
                <w:spacing w:val="-3"/>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53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加密传输服务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操作系统支持基于IPSec和SSL协议的</w:t>
            </w:r>
            <w:r>
              <w:rPr>
                <w:rFonts w:hint="eastAsia" w:ascii="宋体" w:hAnsi="宋体" w:eastAsia="宋体" w:cs="宋体"/>
                <w:color w:val="auto"/>
                <w:spacing w:val="-2"/>
                <w:highlight w:val="none"/>
                <w:lang w:eastAsia="zh-CN"/>
              </w:rPr>
              <w:t xml:space="preserve">隧道加密传输服务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54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数字证书服务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操作系统支持基于</w:t>
            </w:r>
            <w:r>
              <w:rPr>
                <w:rFonts w:hint="eastAsia" w:ascii="宋体" w:hAnsi="宋体" w:eastAsia="宋体" w:cs="宋体"/>
                <w:color w:val="auto"/>
                <w:highlight w:val="none"/>
                <w:lang w:eastAsia="zh-CN"/>
              </w:rPr>
              <w:t xml:space="preserve">PKI</w:t>
            </w:r>
            <w:r>
              <w:rPr>
                <w:rFonts w:hint="eastAsia" w:ascii="宋体" w:hAnsi="宋体" w:eastAsia="宋体" w:cs="宋体"/>
                <w:color w:val="auto"/>
                <w:spacing w:val="4"/>
                <w:highlight w:val="none"/>
                <w:lang w:eastAsia="zh-CN"/>
              </w:rPr>
              <w:t xml:space="preserve">体系的数字证书</w:t>
            </w:r>
            <w:r>
              <w:rPr>
                <w:rFonts w:hint="eastAsia" w:ascii="宋体" w:hAnsi="宋体" w:eastAsia="宋体" w:cs="宋体"/>
                <w:color w:val="auto"/>
                <w:spacing w:val="-4"/>
                <w:highlight w:val="none"/>
                <w:lang w:eastAsia="zh-CN"/>
              </w:rPr>
              <w:t xml:space="preserve">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55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访问控制服务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操作系统支持基于RBAC(基于角色的访</w:t>
            </w:r>
            <w:r>
              <w:rPr>
                <w:rFonts w:hint="eastAsia" w:ascii="宋体" w:hAnsi="宋体" w:eastAsia="宋体" w:cs="宋体"/>
                <w:color w:val="auto"/>
                <w:spacing w:val="-2"/>
                <w:highlight w:val="none"/>
                <w:lang w:eastAsia="zh-CN"/>
              </w:rPr>
              <w:t xml:space="preserve">问控制)机制的访问控制服务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56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网络管理服务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rPr>
              <w:t xml:space="preserve">操作系统支持基于SNMP、NETCONF、</w:t>
            </w:r>
            <w:r>
              <w:rPr>
                <w:rFonts w:hint="eastAsia" w:ascii="宋体" w:hAnsi="宋体" w:eastAsia="宋体" w:cs="宋体"/>
                <w:color w:val="auto"/>
                <w:spacing w:val="-1"/>
                <w:highlight w:val="none"/>
              </w:rPr>
              <w:t xml:space="preserve">RESTCONF等协议的网络管理服务</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rPr>
            </w:pPr>
            <w:r>
              <w:rPr>
                <w:rFonts w:hint="eastAsia" w:ascii="宋体" w:hAnsi="宋体" w:eastAsia="宋体" w:cs="宋体"/>
                <w:spacing w:val="-2"/>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57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时间同步服务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操作系统支持基于NTP协议网络时间同</w:t>
            </w:r>
            <w:r>
              <w:rPr>
                <w:rFonts w:hint="eastAsia" w:ascii="宋体" w:hAnsi="宋体" w:eastAsia="宋体" w:cs="宋体"/>
                <w:color w:val="auto"/>
                <w:spacing w:val="-5"/>
                <w:highlight w:val="none"/>
                <w:lang w:eastAsia="zh-CN"/>
              </w:rPr>
              <w:t xml:space="preserve">步服务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58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spacing w:val="-5"/>
                <w:highlight w:val="none"/>
              </w:rPr>
            </w:pPr>
            <w:r>
              <w:rPr>
                <w:rFonts w:hint="eastAsia" w:ascii="宋体" w:hAnsi="宋体" w:eastAsia="宋体" w:cs="宋体"/>
                <w:color w:val="auto"/>
                <w:spacing w:val="-5"/>
                <w:highlight w:val="none"/>
              </w:rPr>
              <w:t xml:space="preserve">功能</w:t>
            </w:r>
            <w:r>
              <w:rPr>
                <w:rFonts w:ascii="宋体" w:hAnsi="宋体" w:eastAsia="宋体" w:cs="宋体"/>
                <w:color w:val="auto"/>
                <w:spacing w:val="-5"/>
                <w:highlight w:val="none"/>
              </w:rPr>
            </w:r>
            <w:r>
              <w:rPr>
                <w:color w:val="auto"/>
                <w:highlight w:val="none"/>
              </w:rPr>
            </w:r>
          </w:p>
          <w:p>
            <w:pPr>
              <w:pStyle w:val="1134"/>
              <w:jc w:val="center"/>
              <w:rPr>
                <w:rFonts w:ascii="宋体" w:hAnsi="宋体" w:eastAsia="宋体" w:cs="宋体"/>
                <w:color w:val="auto"/>
                <w:spacing w:val="-5"/>
                <w:highlight w:val="none"/>
              </w:rPr>
            </w:pPr>
            <w:r>
              <w:rPr>
                <w:rFonts w:hint="eastAsia" w:ascii="宋体" w:hAnsi="宋体" w:eastAsia="宋体" w:cs="宋体"/>
                <w:color w:val="auto"/>
                <w:spacing w:val="-3"/>
                <w:highlight w:val="none"/>
              </w:rPr>
              <w:t xml:space="preserve">要求</w:t>
            </w:r>
            <w:r>
              <w:rPr>
                <w:rFonts w:ascii="宋体" w:hAnsi="宋体" w:eastAsia="宋体" w:cs="宋体"/>
                <w:color w:val="auto"/>
                <w:spacing w:val="-5"/>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远程连接服务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rPr>
              <w:t xml:space="preserve">操作系统支持RPC、rsync、SSH等远程</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rPr>
            </w:pPr>
            <w:r>
              <w:rPr>
                <w:rFonts w:hint="eastAsia" w:ascii="宋体" w:hAnsi="宋体" w:eastAsia="宋体" w:cs="宋体"/>
                <w:spacing w:val="-2"/>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5</w:t>
            </w:r>
            <w:r>
              <w:rPr>
                <w:rFonts w:hint="eastAsia" w:ascii="宋体" w:hAnsi="宋体" w:eastAsia="宋体" w:cs="宋体"/>
                <w:color w:val="auto"/>
                <w:spacing w:val="-2"/>
                <w:highlight w:val="none"/>
              </w:rPr>
              <w:t xml:space="preserve">9</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邮件服务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操作系统支持基于SMTP、POP3、IMAP等的邮件服务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60</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身份鉴别服务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操作系统支持基于轻量级目录访问协议的统一身份鉴别服务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61</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数据存储和查</w:t>
            </w:r>
            <w:r>
              <w:rPr>
                <w:rFonts w:hint="eastAsia" w:ascii="宋体" w:hAnsi="宋体" w:eastAsia="宋体" w:cs="宋体"/>
                <w:color w:val="auto"/>
                <w:spacing w:val="-3"/>
                <w:highlight w:val="none"/>
              </w:rPr>
              <w:t xml:space="preserve">询服务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操作系统支持结构化和非结构化格式数据的存储和查询服务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62</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操作系统支持块、文件、对象等类型的数据存储服务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63</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操作系统支持SQL、NoSQL、键值等类型</w:t>
            </w:r>
            <w:r>
              <w:rPr>
                <w:rFonts w:hint="eastAsia" w:ascii="宋体" w:hAnsi="宋体" w:eastAsia="宋体" w:cs="宋体"/>
                <w:color w:val="auto"/>
                <w:spacing w:val="-5"/>
                <w:highlight w:val="none"/>
                <w:lang w:eastAsia="zh-CN"/>
              </w:rPr>
              <w:t xml:space="preserve">的数据库</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64</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存储服务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操作系统支持多种传输速率和存储协</w:t>
            </w:r>
            <w:r>
              <w:rPr>
                <w:rFonts w:hint="eastAsia" w:ascii="宋体" w:hAnsi="宋体" w:eastAsia="宋体" w:cs="宋体"/>
                <w:color w:val="auto"/>
                <w:spacing w:val="-4"/>
                <w:highlight w:val="none"/>
                <w:lang w:eastAsia="zh-CN"/>
              </w:rPr>
              <w:t xml:space="preserve">议的SAN和NAS存储</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65</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集群支持</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操作系统支持服务基于主备机制的分布式集群、高可用集群的部署模式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66</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操作系统支持服务基于分布式通信协</w:t>
            </w:r>
            <w:r>
              <w:rPr>
                <w:rFonts w:hint="eastAsia" w:ascii="宋体" w:hAnsi="宋体" w:eastAsia="宋体" w:cs="宋体"/>
                <w:color w:val="auto"/>
                <w:spacing w:val="-2"/>
                <w:highlight w:val="none"/>
                <w:lang w:eastAsia="zh-CN"/>
              </w:rPr>
              <w:t xml:space="preserve">议的分布式集群、高可用集群的部署模</w:t>
            </w:r>
            <w:r>
              <w:rPr>
                <w:rFonts w:hint="eastAsia" w:ascii="宋体" w:hAnsi="宋体" w:eastAsia="宋体" w:cs="宋体"/>
                <w:color w:val="auto"/>
                <w:highlight w:val="none"/>
                <w:lang w:eastAsia="zh-CN"/>
              </w:rPr>
              <w:t xml:space="preserve">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67</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操作系统支持基于虚拟路由器冗余协议的高可用集群部署模式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68</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分布式服务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操作系统支持基于同步、异步请求处理</w:t>
            </w:r>
            <w:r>
              <w:rPr>
                <w:rFonts w:hint="eastAsia" w:ascii="宋体" w:hAnsi="宋体" w:eastAsia="宋体" w:cs="宋体"/>
                <w:color w:val="auto"/>
                <w:spacing w:val="-1"/>
                <w:highlight w:val="none"/>
                <w:lang w:eastAsia="zh-CN"/>
              </w:rPr>
              <w:t xml:space="preserve">机制的分布式服务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69</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负载均衡模式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操作系统支持基于</w:t>
            </w:r>
            <w:r>
              <w:rPr>
                <w:rFonts w:hint="eastAsia" w:ascii="宋体" w:hAnsi="宋体" w:eastAsia="宋体" w:cs="宋体"/>
                <w:color w:val="auto"/>
                <w:highlight w:val="none"/>
                <w:lang w:eastAsia="zh-CN"/>
              </w:rPr>
              <w:t xml:space="preserve">OSI</w:t>
            </w:r>
            <w:r>
              <w:rPr>
                <w:rFonts w:hint="eastAsia" w:ascii="宋体" w:hAnsi="宋体" w:eastAsia="宋体" w:cs="宋体"/>
                <w:color w:val="auto"/>
                <w:spacing w:val="4"/>
                <w:highlight w:val="none"/>
                <w:lang w:eastAsia="zh-CN"/>
              </w:rPr>
              <w:t xml:space="preserve">模型的4/7层和</w:t>
            </w:r>
            <w:r>
              <w:rPr>
                <w:rFonts w:hint="eastAsia" w:ascii="宋体" w:hAnsi="宋体" w:eastAsia="宋体" w:cs="宋体"/>
                <w:color w:val="auto"/>
                <w:spacing w:val="-1"/>
                <w:highlight w:val="none"/>
                <w:lang w:eastAsia="zh-CN"/>
              </w:rPr>
              <w:t xml:space="preserve">链路层的负载均衡模式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70</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操作系统支持基于不同调度算法的负</w:t>
            </w:r>
            <w:r>
              <w:rPr>
                <w:rFonts w:hint="eastAsia" w:ascii="宋体" w:hAnsi="宋体" w:eastAsia="宋体" w:cs="宋体"/>
                <w:color w:val="auto"/>
                <w:spacing w:val="-2"/>
                <w:highlight w:val="none"/>
                <w:lang w:eastAsia="zh-CN"/>
              </w:rPr>
              <w:t xml:space="preserve">载均衡模式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71</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高可用服务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操作系统提供对HA的支持，支持多种集群配置模式，包括主模式、主备模式、N+1模式和N+M模式，支持资源及节点故障检测</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开源组件</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开源数据库</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可通过安装镜像内置、软件仓库或附加光盘等方式提供开源数据库，并对提供的开源组件进行签名认证，确保</w:t>
            </w:r>
            <w:r>
              <w:rPr>
                <w:rFonts w:hint="eastAsia" w:ascii="宋体" w:hAnsi="宋体" w:eastAsia="宋体" w:cs="宋体"/>
                <w:color w:val="auto"/>
                <w:spacing w:val="-1"/>
                <w:highlight w:val="none"/>
                <w:lang w:eastAsia="zh-CN"/>
              </w:rPr>
              <w:t xml:space="preserve">组件的安全性、稳定性、可靠性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开源中间件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可通过安装镜像内置、软件仓库或附加光盘等方式提供开源中间件，并对提供的开源组件进行签名认证，确保</w:t>
            </w:r>
            <w:r>
              <w:rPr>
                <w:rFonts w:hint="eastAsia" w:ascii="宋体" w:hAnsi="宋体" w:eastAsia="宋体" w:cs="宋体"/>
                <w:color w:val="auto"/>
                <w:spacing w:val="-1"/>
                <w:highlight w:val="none"/>
                <w:lang w:eastAsia="zh-CN"/>
              </w:rPr>
              <w:t xml:space="preserve">组件的安全性、稳定性、可靠性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单机虚拟化管理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w:t>
            </w:r>
            <w:r>
              <w:rPr>
                <w:rFonts w:hint="eastAsia" w:ascii="宋体" w:hAnsi="宋体" w:eastAsia="宋体" w:cs="宋体"/>
                <w:color w:val="auto"/>
                <w:spacing w:val="-1"/>
                <w:highlight w:val="none"/>
                <w:lang w:eastAsia="zh-CN"/>
              </w:rPr>
              <w:t xml:space="preserve">或附加光盘等方式提供开源单机虚拟</w:t>
            </w:r>
            <w:r>
              <w:rPr>
                <w:rFonts w:hint="eastAsia" w:ascii="宋体" w:hAnsi="宋体" w:eastAsia="宋体" w:cs="宋体"/>
                <w:color w:val="auto"/>
                <w:spacing w:val="-2"/>
                <w:highlight w:val="none"/>
                <w:lang w:eastAsia="zh-CN"/>
              </w:rPr>
              <w:t xml:space="preserve">化管理软件，并对提供的开源组件进行</w:t>
            </w:r>
            <w:r>
              <w:rPr>
                <w:rFonts w:hint="eastAsia" w:ascii="宋体" w:hAnsi="宋体" w:eastAsia="宋体" w:cs="宋体"/>
                <w:color w:val="auto"/>
                <w:spacing w:val="-8"/>
                <w:highlight w:val="none"/>
                <w:lang w:eastAsia="zh-CN"/>
              </w:rPr>
              <w:t xml:space="preserve">签名认证，确保组件的安全性、稳定性、</w:t>
            </w:r>
            <w:r>
              <w:rPr>
                <w:rFonts w:hint="eastAsia" w:ascii="宋体" w:hAnsi="宋体" w:eastAsia="宋体" w:cs="宋体"/>
                <w:color w:val="auto"/>
                <w:spacing w:val="-3"/>
                <w:highlight w:val="none"/>
                <w:lang w:eastAsia="zh-CN"/>
              </w:rPr>
              <w:t xml:space="preserve">可靠性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容器虚拟化软件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w:t>
            </w:r>
            <w:r>
              <w:rPr>
                <w:rFonts w:hint="eastAsia" w:ascii="宋体" w:hAnsi="宋体" w:eastAsia="宋体" w:cs="宋体"/>
                <w:color w:val="auto"/>
                <w:spacing w:val="-1"/>
                <w:highlight w:val="none"/>
                <w:lang w:eastAsia="zh-CN"/>
              </w:rPr>
              <w:t xml:space="preserve">或附加光盘等方式提供开源容器虚拟</w:t>
            </w:r>
            <w:r>
              <w:rPr>
                <w:rFonts w:hint="eastAsia" w:ascii="宋体" w:hAnsi="宋体" w:eastAsia="宋体" w:cs="宋体"/>
                <w:color w:val="auto"/>
                <w:spacing w:val="-2"/>
                <w:highlight w:val="none"/>
                <w:lang w:eastAsia="zh-CN"/>
              </w:rPr>
              <w:t xml:space="preserve">化软件，并对提供的开源组件进行签名认证，确保组件的安全性、稳定性、可</w:t>
            </w:r>
            <w:r>
              <w:rPr>
                <w:rFonts w:hint="eastAsia" w:ascii="宋体" w:hAnsi="宋体" w:eastAsia="宋体" w:cs="宋体"/>
                <w:color w:val="auto"/>
                <w:spacing w:val="-5"/>
                <w:highlight w:val="none"/>
                <w:lang w:eastAsia="zh-CN"/>
              </w:rPr>
              <w:t xml:space="preserve">靠性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容器管理工具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w:t>
            </w:r>
            <w:r>
              <w:rPr>
                <w:rFonts w:hint="eastAsia" w:ascii="宋体" w:hAnsi="宋体" w:eastAsia="宋体" w:cs="宋体"/>
                <w:color w:val="auto"/>
                <w:spacing w:val="-1"/>
                <w:highlight w:val="none"/>
                <w:lang w:eastAsia="zh-CN"/>
              </w:rPr>
              <w:t xml:space="preserve">或附加光盘等方式提供开源容器管理</w:t>
            </w:r>
            <w:r>
              <w:rPr>
                <w:rFonts w:hint="eastAsia" w:ascii="宋体" w:hAnsi="宋体" w:eastAsia="宋体" w:cs="宋体"/>
                <w:color w:val="auto"/>
                <w:spacing w:val="-2"/>
                <w:highlight w:val="none"/>
                <w:lang w:eastAsia="zh-CN"/>
              </w:rPr>
              <w:t xml:space="preserve">工具，并对提供的开源组件进行签名认证，确保组件的安全性、稳定性、可靠</w:t>
            </w:r>
            <w:r>
              <w:rPr>
                <w:rFonts w:hint="eastAsia" w:ascii="宋体" w:hAnsi="宋体" w:eastAsia="宋体" w:cs="宋体"/>
                <w:color w:val="auto"/>
                <w:highlight w:val="none"/>
                <w:lang w:eastAsia="zh-CN"/>
              </w:rPr>
              <w:t xml:space="preserve">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77</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分布式存储软件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w:t>
            </w:r>
            <w:r>
              <w:rPr>
                <w:rFonts w:hint="eastAsia" w:ascii="宋体" w:hAnsi="宋体" w:eastAsia="宋体" w:cs="宋体"/>
                <w:color w:val="auto"/>
                <w:spacing w:val="-1"/>
                <w:highlight w:val="none"/>
                <w:lang w:eastAsia="zh-CN"/>
              </w:rPr>
              <w:t xml:space="preserve">或附加光盘等方式提供开源分布式存</w:t>
            </w:r>
            <w:r>
              <w:rPr>
                <w:rFonts w:hint="eastAsia" w:ascii="宋体" w:hAnsi="宋体" w:eastAsia="宋体" w:cs="宋体"/>
                <w:color w:val="auto"/>
                <w:spacing w:val="-2"/>
                <w:highlight w:val="none"/>
                <w:lang w:eastAsia="zh-CN"/>
              </w:rPr>
              <w:t xml:space="preserve">储软件，并对提供的开源组件进行签名认证，确保组件的安全性、稳定性、可</w:t>
            </w:r>
            <w:r>
              <w:rPr>
                <w:rFonts w:hint="eastAsia" w:ascii="宋体" w:hAnsi="宋体" w:eastAsia="宋体" w:cs="宋体"/>
                <w:color w:val="auto"/>
                <w:spacing w:val="-5"/>
                <w:highlight w:val="none"/>
                <w:lang w:eastAsia="zh-CN"/>
              </w:rPr>
              <w:t xml:space="preserve">靠性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78</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云计算管理平台</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可通过安装镜像内置、软件仓库</w:t>
            </w:r>
            <w:r>
              <w:rPr>
                <w:rFonts w:hint="eastAsia" w:ascii="宋体" w:hAnsi="宋体" w:eastAsia="宋体" w:cs="宋体"/>
                <w:color w:val="auto"/>
                <w:spacing w:val="-1"/>
                <w:highlight w:val="none"/>
                <w:lang w:eastAsia="zh-CN"/>
              </w:rPr>
              <w:t xml:space="preserve">或附加光盘等方式提供开源云计算管</w:t>
            </w:r>
            <w:r>
              <w:rPr>
                <w:rFonts w:hint="eastAsia" w:ascii="宋体" w:hAnsi="宋体" w:eastAsia="宋体" w:cs="宋体"/>
                <w:color w:val="auto"/>
                <w:spacing w:val="-2"/>
                <w:highlight w:val="none"/>
                <w:lang w:eastAsia="zh-CN"/>
              </w:rPr>
              <w:t xml:space="preserve">理平台，并对提供的开源组件进行签名认证，确保组件的安全性、稳定性、可</w:t>
            </w:r>
            <w:r>
              <w:rPr>
                <w:rFonts w:hint="eastAsia" w:ascii="宋体" w:hAnsi="宋体" w:eastAsia="宋体" w:cs="宋体"/>
                <w:color w:val="auto"/>
                <w:spacing w:val="-5"/>
                <w:highlight w:val="none"/>
                <w:lang w:eastAsia="zh-CN"/>
              </w:rPr>
              <w:t xml:space="preserve">靠性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79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虚拟化</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虚拟化部署</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操作系统支持在KVM、Xen、Hyper-V虚</w:t>
            </w:r>
            <w:r>
              <w:rPr>
                <w:rFonts w:hint="eastAsia" w:ascii="宋体" w:hAnsi="宋体" w:eastAsia="宋体" w:cs="宋体"/>
                <w:color w:val="auto"/>
                <w:spacing w:val="-1"/>
                <w:highlight w:val="none"/>
                <w:lang w:eastAsia="zh-CN"/>
              </w:rPr>
              <w:t xml:space="preserve">拟机上安装部署操作系统</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内核虚拟化</w:t>
            </w:r>
            <w:r>
              <w:rPr>
                <w:rFonts w:hint="eastAsia" w:ascii="宋体" w:hAnsi="宋体" w:eastAsia="宋体" w:cs="宋体"/>
                <w:color w:val="auto"/>
                <w:spacing w:val="-9"/>
                <w:highlight w:val="none"/>
              </w:rPr>
              <w:t xml:space="preserve">(KVM)</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操作系统支持KVM虚拟化：</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对虚拟机进行启、停等管理操作；对虚</w:t>
            </w:r>
            <w:r>
              <w:rPr>
                <w:rFonts w:hint="eastAsia" w:ascii="宋体" w:hAnsi="宋体" w:eastAsia="宋体" w:cs="宋体"/>
                <w:color w:val="auto"/>
                <w:spacing w:val="-1"/>
                <w:highlight w:val="none"/>
                <w:lang w:eastAsia="zh-CN"/>
              </w:rPr>
              <w:t xml:space="preserve">拟机硬盘做快照并从快照恢复；兼容</w:t>
            </w:r>
            <w:r>
              <w:rPr>
                <w:rFonts w:hint="eastAsia" w:ascii="宋体" w:hAnsi="宋体" w:eastAsia="宋体" w:cs="宋体"/>
                <w:color w:val="auto"/>
                <w:spacing w:val="-4"/>
                <w:highlight w:val="none"/>
                <w:lang w:eastAsia="zh-CN"/>
              </w:rPr>
              <w:t xml:space="preserve">qemu、libvirt标准接口；支持UEFI或legacyBIOS方式启动；</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4"/>
                <w:highlight w:val="none"/>
              </w:rPr>
              <w:t xml:space="preserve">支持虚拟时钟arch-timer；支持虚拟鼠</w:t>
            </w:r>
            <w:r>
              <w:rPr>
                <w:rFonts w:hint="eastAsia" w:ascii="宋体" w:hAnsi="宋体" w:eastAsia="宋体" w:cs="宋体"/>
                <w:color w:val="auto"/>
                <w:spacing w:val="-8"/>
                <w:highlight w:val="none"/>
              </w:rPr>
              <w:t xml:space="preserve">标、键盘、触控板、声卡、显卡、硬盘、</w:t>
            </w:r>
            <w:r>
              <w:rPr>
                <w:rFonts w:hint="eastAsia" w:ascii="宋体" w:hAnsi="宋体" w:eastAsia="宋体" w:cs="宋体"/>
                <w:color w:val="auto"/>
                <w:spacing w:val="-3"/>
                <w:highlight w:val="none"/>
              </w:rPr>
              <w:t xml:space="preserve">CDROM、串口pty/pipe/file等设备；</w:t>
            </w:r>
            <w:r>
              <w:rPr>
                <w:rFonts w:ascii="宋体" w:hAnsi="宋体" w:eastAsia="宋体" w:cs="宋体"/>
                <w:color w:val="auto"/>
                <w:highlight w:val="none"/>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支持Virtio协议下的虚拟设备，包括串口、blk驱动硬盘、SCSI驱动硬盘、不同后端控制器类型的Virtio网卡(包</w:t>
            </w:r>
            <w:r>
              <w:rPr>
                <w:rFonts w:hint="eastAsia" w:ascii="宋体" w:hAnsi="宋体" w:eastAsia="宋体" w:cs="宋体"/>
                <w:color w:val="auto"/>
                <w:spacing w:val="-5"/>
                <w:highlight w:val="none"/>
                <w:lang w:eastAsia="zh-CN"/>
              </w:rPr>
              <w:t xml:space="preserve">括内核态、用户态、qemu)、GPU、vsock</w:t>
            </w:r>
            <w:r>
              <w:rPr>
                <w:rFonts w:hint="eastAsia" w:ascii="宋体" w:hAnsi="宋体" w:eastAsia="宋体" w:cs="宋体"/>
                <w:color w:val="auto"/>
                <w:spacing w:val="-3"/>
                <w:highlight w:val="none"/>
                <w:lang w:eastAsia="zh-CN"/>
              </w:rPr>
              <w:t xml:space="preserve">设备等；支持硬盘和网卡选择类型VFIO</w:t>
            </w:r>
            <w:r>
              <w:rPr>
                <w:rFonts w:hint="eastAsia" w:ascii="宋体" w:hAnsi="宋体" w:eastAsia="宋体" w:cs="宋体"/>
                <w:color w:val="auto"/>
                <w:spacing w:val="1"/>
                <w:highlight w:val="none"/>
                <w:lang w:eastAsia="zh-CN"/>
              </w:rPr>
              <w:t xml:space="preserve">设备；支持虚拟机</w:t>
            </w:r>
            <w:r>
              <w:rPr>
                <w:rFonts w:hint="eastAsia" w:ascii="宋体" w:hAnsi="宋体" w:eastAsia="宋体" w:cs="宋体"/>
                <w:color w:val="auto"/>
                <w:highlight w:val="none"/>
                <w:lang w:eastAsia="zh-CN"/>
              </w:rPr>
              <w:t xml:space="preserve">CPU</w:t>
            </w:r>
            <w:r>
              <w:rPr>
                <w:rFonts w:hint="eastAsia" w:ascii="宋体" w:hAnsi="宋体" w:eastAsia="宋体" w:cs="宋体"/>
                <w:color w:val="auto"/>
                <w:spacing w:val="1"/>
                <w:highlight w:val="none"/>
                <w:lang w:eastAsia="zh-CN"/>
              </w:rPr>
              <w:t xml:space="preserve">、内存、网卡、</w:t>
            </w:r>
            <w:r>
              <w:rPr>
                <w:rFonts w:hint="eastAsia" w:ascii="宋体" w:hAnsi="宋体" w:eastAsia="宋体" w:cs="宋体"/>
                <w:color w:val="auto"/>
                <w:spacing w:val="-2"/>
                <w:highlight w:val="none"/>
                <w:lang w:eastAsia="zh-CN"/>
              </w:rPr>
              <w:t xml:space="preserve">硬盘等离线调整；支持虚拟机网卡、硬</w:t>
            </w:r>
            <w:r>
              <w:rPr>
                <w:rFonts w:hint="eastAsia" w:ascii="宋体" w:hAnsi="宋体" w:eastAsia="宋体" w:cs="宋体"/>
                <w:color w:val="auto"/>
                <w:spacing w:val="-5"/>
                <w:highlight w:val="none"/>
                <w:lang w:eastAsia="zh-CN"/>
              </w:rPr>
              <w:t xml:space="preserve">盘、USB设备热插拔；支持PCI/PCIE设</w:t>
            </w:r>
            <w:r>
              <w:rPr>
                <w:rFonts w:hint="eastAsia" w:ascii="宋体" w:hAnsi="宋体" w:eastAsia="宋体" w:cs="宋体"/>
                <w:color w:val="auto"/>
                <w:spacing w:val="-1"/>
                <w:highlight w:val="none"/>
                <w:lang w:eastAsia="zh-CN"/>
              </w:rPr>
              <w:t xml:space="preserve">备直通；支持虚拟机热迁移和加密传</w:t>
            </w:r>
            <w:r>
              <w:rPr>
                <w:rFonts w:hint="eastAsia" w:ascii="宋体" w:hAnsi="宋体" w:eastAsia="宋体" w:cs="宋体"/>
                <w:color w:val="auto"/>
                <w:spacing w:val="-2"/>
                <w:highlight w:val="none"/>
                <w:lang w:eastAsia="zh-CN"/>
              </w:rPr>
              <w:t xml:space="preserve">输；支持虚拟机远程访问；支持虚拟机</w:t>
            </w:r>
            <w:r>
              <w:rPr>
                <w:rFonts w:hint="eastAsia" w:ascii="宋体" w:hAnsi="宋体" w:eastAsia="宋体" w:cs="宋体"/>
                <w:color w:val="auto"/>
                <w:spacing w:val="-6"/>
                <w:highlight w:val="none"/>
                <w:lang w:eastAsia="zh-CN"/>
              </w:rPr>
              <w:t xml:space="preserve">CPU和I/O线程绑定</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KVM虚拟机管理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操作系统支持虚拟机对主机的访问控</w:t>
            </w:r>
            <w:r>
              <w:rPr>
                <w:rFonts w:hint="eastAsia" w:ascii="宋体" w:hAnsi="宋体" w:eastAsia="宋体" w:cs="宋体"/>
                <w:color w:val="auto"/>
                <w:spacing w:val="1"/>
                <w:highlight w:val="none"/>
                <w:lang w:eastAsia="zh-CN"/>
              </w:rPr>
              <w:t xml:space="preserve">制；虚拟机可以拥有独立的物理资源，</w:t>
            </w:r>
            <w:r>
              <w:rPr>
                <w:rFonts w:hint="eastAsia" w:ascii="宋体" w:hAnsi="宋体" w:eastAsia="宋体" w:cs="宋体"/>
                <w:color w:val="auto"/>
                <w:spacing w:val="-2"/>
                <w:highlight w:val="none"/>
                <w:lang w:eastAsia="zh-CN"/>
              </w:rPr>
              <w:t xml:space="preserve">且各个虚拟机之间严格隔离；支持大页</w:t>
            </w:r>
            <w:r>
              <w:rPr>
                <w:rFonts w:hint="eastAsia" w:ascii="宋体" w:hAnsi="宋体" w:eastAsia="宋体" w:cs="宋体"/>
                <w:color w:val="auto"/>
                <w:spacing w:val="-3"/>
                <w:highlight w:val="none"/>
                <w:lang w:eastAsia="zh-CN"/>
              </w:rPr>
              <w:t xml:space="preserve">内存运行虚拟机；支持三种CPU型号模</w:t>
            </w:r>
            <w:r>
              <w:rPr>
                <w:rFonts w:hint="eastAsia" w:ascii="宋体" w:hAnsi="宋体" w:eastAsia="宋体" w:cs="宋体"/>
                <w:color w:val="auto"/>
                <w:spacing w:val="-9"/>
                <w:highlight w:val="none"/>
                <w:lang w:eastAsia="zh-CN"/>
              </w:rPr>
              <w:t xml:space="preserve">拟模式，包括直通、宿主模型、自定义；</w:t>
            </w:r>
            <w:r>
              <w:rPr>
                <w:rFonts w:hint="eastAsia" w:ascii="宋体" w:hAnsi="宋体" w:eastAsia="宋体" w:cs="宋体"/>
                <w:color w:val="auto"/>
                <w:spacing w:val="2"/>
                <w:highlight w:val="none"/>
                <w:lang w:eastAsia="zh-CN"/>
              </w:rPr>
              <w:t xml:space="preserve">支持虚拟机资源调配控制，包括</w:t>
            </w:r>
            <w:r>
              <w:rPr>
                <w:rFonts w:hint="eastAsia" w:ascii="宋体" w:hAnsi="宋体" w:eastAsia="宋体" w:cs="宋体"/>
                <w:color w:val="auto"/>
                <w:highlight w:val="none"/>
                <w:lang w:eastAsia="zh-CN"/>
              </w:rPr>
              <w:t xml:space="preserve">Numa</w:t>
            </w:r>
            <w:r>
              <w:rPr>
                <w:rFonts w:hint="eastAsia" w:ascii="宋体" w:hAnsi="宋体" w:eastAsia="宋体" w:cs="宋体"/>
                <w:color w:val="auto"/>
                <w:spacing w:val="2"/>
                <w:highlight w:val="none"/>
                <w:lang w:eastAsia="zh-CN"/>
              </w:rPr>
              <w:t xml:space="preserve">、</w:t>
            </w:r>
            <w:r>
              <w:rPr>
                <w:rFonts w:hint="eastAsia" w:ascii="宋体" w:hAnsi="宋体" w:eastAsia="宋体" w:cs="宋体"/>
                <w:color w:val="auto"/>
                <w:spacing w:val="-2"/>
                <w:highlight w:val="none"/>
                <w:lang w:eastAsia="zh-CN"/>
              </w:rPr>
              <w:t xml:space="preserve">CPU、内存、I/O、网卡；支持CPU拓扑模拟和透传</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tcBorders>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容器</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容器虚拟化</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操作系统支持OCI；支持进程命名空间</w:t>
            </w:r>
            <w:r>
              <w:rPr>
                <w:rFonts w:hint="eastAsia" w:ascii="宋体" w:hAnsi="宋体" w:eastAsia="宋体" w:cs="宋体"/>
                <w:color w:val="auto"/>
                <w:spacing w:val="-1"/>
                <w:highlight w:val="none"/>
                <w:lang w:eastAsia="zh-CN"/>
              </w:rPr>
              <w:t xml:space="preserve">隔离技术包括不限于mnt、pid、ipc、</w:t>
            </w:r>
            <w:r>
              <w:rPr>
                <w:rFonts w:hint="eastAsia" w:ascii="宋体" w:hAnsi="宋体" w:eastAsia="宋体" w:cs="宋体"/>
                <w:color w:val="auto"/>
                <w:spacing w:val="-2"/>
                <w:highlight w:val="none"/>
                <w:lang w:eastAsia="zh-CN"/>
              </w:rPr>
              <w:t xml:space="preserve">uts、user、network等；支持在同CPU</w:t>
            </w:r>
            <w:r>
              <w:rPr>
                <w:rFonts w:hint="eastAsia" w:ascii="宋体" w:hAnsi="宋体" w:eastAsia="宋体" w:cs="宋体"/>
                <w:color w:val="auto"/>
                <w:spacing w:val="-1"/>
                <w:highlight w:val="none"/>
                <w:lang w:eastAsia="zh-CN"/>
              </w:rPr>
              <w:t xml:space="preserve">指令架构下的不同规格硬件上无缝分</w:t>
            </w:r>
            <w:r>
              <w:rPr>
                <w:rFonts w:hint="eastAsia" w:ascii="宋体" w:hAnsi="宋体" w:eastAsia="宋体" w:cs="宋体"/>
                <w:color w:val="auto"/>
                <w:spacing w:val="-2"/>
                <w:highlight w:val="none"/>
                <w:lang w:eastAsia="zh-CN"/>
              </w:rPr>
              <w:t xml:space="preserve">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w:t>
            </w:r>
            <w:r>
              <w:rPr>
                <w:rFonts w:hint="eastAsia" w:ascii="宋体" w:hAnsi="宋体" w:eastAsia="宋体" w:cs="宋体"/>
                <w:color w:val="auto"/>
                <w:spacing w:val="-1"/>
                <w:highlight w:val="none"/>
                <w:lang w:eastAsia="zh-CN"/>
              </w:rPr>
              <w:t xml:space="preserve">支持通过控制终端对容器内新建进程</w:t>
            </w:r>
            <w:r>
              <w:rPr>
                <w:rFonts w:hint="eastAsia" w:ascii="宋体" w:hAnsi="宋体" w:eastAsia="宋体" w:cs="宋体"/>
                <w:color w:val="auto"/>
                <w:spacing w:val="-2"/>
                <w:highlight w:val="none"/>
                <w:lang w:eastAsia="zh-CN"/>
              </w:rPr>
              <w:t xml:space="preserve">的标准输入输出对接交互；支持容器存储卷管理（新增、删除、卷容量配置、自动回收）、卷共享；支持面向容器的</w:t>
            </w:r>
            <w:r>
              <w:rPr>
                <w:rFonts w:hint="eastAsia" w:ascii="宋体" w:hAnsi="宋体" w:eastAsia="宋体" w:cs="宋体"/>
                <w:color w:val="auto"/>
                <w:spacing w:val="-1"/>
                <w:highlight w:val="none"/>
                <w:lang w:eastAsia="zh-CN"/>
              </w:rPr>
              <w:t xml:space="preserve">网络设备资源分配和使用；支持CNI；支持容器获取物理节点资源信息</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83</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容器镜像和存</w:t>
            </w:r>
            <w:r>
              <w:rPr>
                <w:rFonts w:hint="eastAsia" w:ascii="宋体" w:hAnsi="宋体" w:eastAsia="宋体" w:cs="宋体"/>
                <w:color w:val="auto"/>
                <w:spacing w:val="-2"/>
                <w:highlight w:val="none"/>
              </w:rPr>
              <w:t xml:space="preserve">储管理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操作系统支持容器镜像导入、导出；支</w:t>
            </w:r>
            <w:r>
              <w:rPr>
                <w:rFonts w:hint="eastAsia" w:ascii="宋体" w:hAnsi="宋体" w:eastAsia="宋体" w:cs="宋体"/>
                <w:color w:val="auto"/>
                <w:spacing w:val="-1"/>
                <w:highlight w:val="none"/>
                <w:lang w:eastAsia="zh-CN"/>
              </w:rPr>
              <w:t xml:space="preserve">持容器镜像分层保存、导入</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84</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功能</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lef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容器资源隔离</w:t>
            </w:r>
            <w:r>
              <w:rPr>
                <w:rFonts w:hint="eastAsia" w:ascii="宋体" w:hAnsi="宋体" w:eastAsia="宋体" w:cs="宋体"/>
                <w:color w:val="auto"/>
                <w:spacing w:val="-3"/>
                <w:highlight w:val="none"/>
              </w:rPr>
              <w:t xml:space="preserve">和调配</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操作系统支持容器资源在线调整，包括CPU资源、内存资源、I/O资源等；支持文件配额分配、存储带宽资源使用量</w:t>
            </w:r>
            <w:r>
              <w:rPr>
                <w:rFonts w:hint="eastAsia" w:ascii="宋体" w:hAnsi="宋体" w:eastAsia="宋体" w:cs="宋体"/>
                <w:color w:val="auto"/>
                <w:spacing w:val="-10"/>
                <w:highlight w:val="none"/>
                <w:lang w:eastAsia="zh-CN"/>
              </w:rPr>
              <w:t xml:space="preserve">监控等机制，实现容器级I/O控制能力；</w:t>
            </w:r>
            <w:r>
              <w:rPr>
                <w:rFonts w:hint="eastAsia" w:ascii="宋体" w:hAnsi="宋体" w:eastAsia="宋体" w:cs="宋体"/>
                <w:color w:val="auto"/>
                <w:spacing w:val="-2"/>
                <w:highlight w:val="none"/>
                <w:lang w:eastAsia="zh-CN"/>
              </w:rPr>
              <w:t xml:space="preserve">支持面向容器的网络带宽调度策略，实现容器级网络带宽分配、使用量监控等机制；支持面向容器的存储空间使用监</w:t>
            </w:r>
            <w:r>
              <w:rPr>
                <w:rFonts w:hint="eastAsia" w:ascii="宋体" w:hAnsi="宋体" w:eastAsia="宋体" w:cs="宋体"/>
                <w:color w:val="auto"/>
                <w:highlight w:val="none"/>
                <w:lang w:eastAsia="zh-CN"/>
              </w:rPr>
              <w:t xml:space="preserve">控、分配机制；支持容器CPU核独占；</w:t>
            </w:r>
            <w:r>
              <w:rPr>
                <w:rFonts w:hint="eastAsia" w:ascii="宋体" w:hAnsi="宋体" w:eastAsia="宋体" w:cs="宋体"/>
                <w:color w:val="auto"/>
                <w:spacing w:val="-2"/>
                <w:highlight w:val="none"/>
                <w:lang w:eastAsia="zh-CN"/>
              </w:rPr>
              <w:t xml:space="preserve">支持面向容器的CPU时间片资源按需划分机制；支持面向容器的内存分配和回</w:t>
            </w:r>
            <w:r>
              <w:rPr>
                <w:rFonts w:hint="eastAsia" w:ascii="宋体" w:hAnsi="宋体" w:eastAsia="宋体" w:cs="宋体"/>
                <w:color w:val="auto"/>
                <w:spacing w:val="1"/>
                <w:highlight w:val="none"/>
                <w:lang w:eastAsia="zh-CN"/>
              </w:rPr>
              <w:t xml:space="preserve">收机制，实现内存使用量跟踪和管理；</w:t>
            </w:r>
            <w:r>
              <w:rPr>
                <w:rFonts w:hint="eastAsia" w:ascii="宋体" w:hAnsi="宋体" w:eastAsia="宋体" w:cs="宋体"/>
                <w:color w:val="auto"/>
                <w:spacing w:val="-1"/>
                <w:highlight w:val="none"/>
                <w:lang w:eastAsia="zh-CN"/>
              </w:rPr>
              <w:t xml:space="preserve">支持同一集群在线、离线业务混合部</w:t>
            </w:r>
            <w:r>
              <w:rPr>
                <w:rFonts w:hint="eastAsia" w:ascii="宋体" w:hAnsi="宋体" w:eastAsia="宋体" w:cs="宋体"/>
                <w:color w:val="auto"/>
                <w:spacing w:val="-2"/>
                <w:highlight w:val="none"/>
                <w:lang w:eastAsia="zh-CN"/>
              </w:rPr>
              <w:t xml:space="preserve">署；支持对容器的编排、负载均衡、调度等能力；支持根据容器在线与离线混合部署状态进行资源优先调度，提高计算机资源利用率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中文支持</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字符编码集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操作系统应符合GB18030的要求</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中文帮助文档</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操作系统内置中文帮助文档</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多语言图形界面</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操作系统的多文种图形用户界面应支</w:t>
            </w:r>
            <w:r>
              <w:rPr>
                <w:rFonts w:hint="eastAsia" w:ascii="宋体" w:hAnsi="宋体" w:eastAsia="宋体" w:cs="宋体"/>
                <w:color w:val="auto"/>
                <w:spacing w:val="-4"/>
                <w:highlight w:val="none"/>
                <w:lang w:eastAsia="zh-CN"/>
              </w:rPr>
              <w:t xml:space="preserve">持GB18030规定</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中文图形界面</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操作系统支持中文图形操作界面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89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管理工具</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系统信息查看</w:t>
            </w:r>
            <w:r>
              <w:rPr>
                <w:rFonts w:hint="eastAsia" w:ascii="宋体" w:hAnsi="宋体" w:eastAsia="宋体" w:cs="宋体"/>
                <w:color w:val="auto"/>
                <w:spacing w:val="-4"/>
                <w:highlight w:val="none"/>
              </w:rPr>
              <w:t xml:space="preserve">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操作系统支持查看系统版本、内核版</w:t>
            </w:r>
            <w:r>
              <w:rPr>
                <w:rFonts w:hint="eastAsia" w:ascii="宋体" w:hAnsi="宋体" w:eastAsia="宋体" w:cs="宋体"/>
                <w:color w:val="auto"/>
                <w:spacing w:val="-2"/>
                <w:highlight w:val="none"/>
                <w:lang w:eastAsia="zh-CN"/>
              </w:rPr>
              <w:t xml:space="preserve">本、内存容量、CPU型号等信息</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网络管理工具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操作系统支持多网口自动连接、网络地</w:t>
            </w:r>
            <w:r>
              <w:rPr>
                <w:rFonts w:hint="eastAsia" w:ascii="宋体" w:hAnsi="宋体" w:eastAsia="宋体" w:cs="宋体"/>
                <w:color w:val="auto"/>
                <w:spacing w:val="-3"/>
                <w:highlight w:val="none"/>
                <w:lang w:eastAsia="zh-CN"/>
              </w:rPr>
              <w:t xml:space="preserve">址（常被称为“IP地址”）设置、DNS</w:t>
            </w:r>
            <w:r>
              <w:rPr>
                <w:rFonts w:hint="eastAsia" w:ascii="宋体" w:hAnsi="宋体" w:eastAsia="宋体" w:cs="宋体"/>
                <w:color w:val="auto"/>
                <w:spacing w:val="-9"/>
                <w:highlight w:val="none"/>
                <w:lang w:eastAsia="zh-CN"/>
              </w:rPr>
              <w:t xml:space="preserve">设置、路由设置；支持多网卡链路聚合，</w:t>
            </w:r>
            <w:r>
              <w:rPr>
                <w:rFonts w:hint="eastAsia" w:ascii="宋体" w:hAnsi="宋体" w:eastAsia="宋体" w:cs="宋体"/>
                <w:color w:val="auto"/>
                <w:spacing w:val="1"/>
                <w:highlight w:val="none"/>
                <w:lang w:eastAsia="zh-CN"/>
              </w:rPr>
              <w:t xml:space="preserve">模式类型包括但不仅限于轮询、主备、</w:t>
            </w:r>
            <w:r>
              <w:rPr>
                <w:rFonts w:hint="eastAsia" w:ascii="宋体" w:hAnsi="宋体" w:eastAsia="宋体" w:cs="宋体"/>
                <w:color w:val="auto"/>
                <w:spacing w:val="-2"/>
                <w:highlight w:val="none"/>
                <w:lang w:eastAsia="zh-CN"/>
              </w:rPr>
              <w:t xml:space="preserve">802.3AD动态链路聚合</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日期和时间管</w:t>
            </w:r>
            <w:r>
              <w:rPr>
                <w:rFonts w:hint="eastAsia" w:ascii="宋体" w:hAnsi="宋体" w:eastAsia="宋体" w:cs="宋体"/>
                <w:color w:val="auto"/>
                <w:spacing w:val="-3"/>
                <w:highlight w:val="none"/>
              </w:rPr>
              <w:t xml:space="preserve">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操作系统可设置时间同步服务器地址，</w:t>
            </w:r>
            <w:r>
              <w:rPr>
                <w:rFonts w:hint="eastAsia" w:ascii="宋体" w:hAnsi="宋体" w:eastAsia="宋体" w:cs="宋体"/>
                <w:color w:val="auto"/>
                <w:spacing w:val="-1"/>
                <w:highlight w:val="none"/>
                <w:lang w:eastAsia="zh-CN"/>
              </w:rPr>
              <w:t xml:space="preserve">支持局域网和广域网的同步设置</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日志服务管理</w:t>
            </w:r>
            <w:r>
              <w:rPr>
                <w:rFonts w:hint="eastAsia" w:ascii="宋体" w:hAnsi="宋体" w:eastAsia="宋体" w:cs="宋体"/>
                <w:color w:val="auto"/>
                <w:spacing w:val="-4"/>
                <w:highlight w:val="none"/>
              </w:rPr>
              <w:t xml:space="preserve">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操作系统支持收集系统日志</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帐户管理工具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操作系统支持帐户添加、删除、属性修</w:t>
            </w:r>
            <w:r>
              <w:rPr>
                <w:rFonts w:hint="eastAsia" w:ascii="宋体" w:hAnsi="宋体" w:eastAsia="宋体" w:cs="宋体"/>
                <w:color w:val="auto"/>
                <w:spacing w:val="-6"/>
                <w:highlight w:val="none"/>
                <w:lang w:eastAsia="zh-CN"/>
              </w:rPr>
              <w:t xml:space="preserve">改等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用户操作审计</w:t>
            </w:r>
            <w:r>
              <w:rPr>
                <w:rFonts w:hint="eastAsia" w:ascii="宋体" w:hAnsi="宋体" w:eastAsia="宋体" w:cs="宋体"/>
                <w:color w:val="auto"/>
                <w:spacing w:val="-4"/>
                <w:highlight w:val="none"/>
              </w:rPr>
              <w:t xml:space="preserve">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操作系统支持用户操作痕迹查询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存储管理工具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rPr>
              <w:t xml:space="preserve">操作系统支持EXT、XFS、NTFS、FAT、</w:t>
            </w:r>
            <w:r>
              <w:rPr>
                <w:rFonts w:hint="eastAsia" w:ascii="宋体" w:hAnsi="宋体" w:eastAsia="宋体" w:cs="宋体"/>
                <w:color w:val="auto"/>
                <w:spacing w:val="-1"/>
                <w:highlight w:val="none"/>
              </w:rPr>
              <w:t xml:space="preserve">SWAP等多种格式的分区管理</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rPr>
            </w:pPr>
            <w:r>
              <w:rPr>
                <w:rFonts w:hint="eastAsia" w:ascii="宋体" w:hAnsi="宋体" w:eastAsia="宋体" w:cs="宋体"/>
                <w:spacing w:val="-2"/>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bottom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SNMP协议工具</w:t>
            </w:r>
            <w:r>
              <w:rPr>
                <w:rFonts w:hint="eastAsia" w:ascii="宋体" w:hAnsi="宋体" w:eastAsia="宋体" w:cs="宋体"/>
                <w:color w:val="auto"/>
                <w:highlight w:val="none"/>
              </w:rPr>
              <w:t xml:space="preserve">包</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操作系统支持SNMP设备和操作信息检</w:t>
            </w:r>
            <w:r>
              <w:rPr>
                <w:rFonts w:hint="eastAsia" w:ascii="宋体" w:hAnsi="宋体" w:eastAsia="宋体" w:cs="宋体"/>
                <w:color w:val="auto"/>
                <w:highlight w:val="none"/>
                <w:lang w:eastAsia="zh-CN"/>
              </w:rPr>
              <w:t xml:space="preserve">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Borders>
              <w:top w:val="single" w:color="000000" w:sz="4" w:space="0"/>
            </w:tcBorders>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97</w:t>
            </w:r>
            <w:r>
              <w:rPr>
                <w:rFonts w:ascii="宋体" w:hAnsi="宋体" w:eastAsia="宋体" w:cs="宋体"/>
                <w:color w:val="auto"/>
                <w:highlight w:val="none"/>
              </w:rPr>
            </w:r>
            <w:r>
              <w:rPr>
                <w:color w:val="auto"/>
                <w:highlight w:val="none"/>
              </w:rPr>
            </w:r>
          </w:p>
        </w:tc>
        <w:tc>
          <w:tcPr>
            <w:tcBorders>
              <w:top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tcBorders>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top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文本终端连接</w:t>
            </w:r>
            <w:r>
              <w:rPr>
                <w:rFonts w:hint="eastAsia" w:ascii="宋体" w:hAnsi="宋体" w:eastAsia="宋体" w:cs="宋体"/>
                <w:color w:val="auto"/>
                <w:spacing w:val="-4"/>
                <w:highlight w:val="none"/>
              </w:rPr>
              <w:t xml:space="preserve">工具</w:t>
            </w:r>
            <w:r>
              <w:rPr>
                <w:rFonts w:ascii="宋体" w:hAnsi="宋体" w:eastAsia="宋体" w:cs="宋体"/>
                <w:color w:val="auto"/>
                <w:highlight w:val="none"/>
              </w:rPr>
            </w:r>
            <w:r>
              <w:rPr>
                <w:color w:val="auto"/>
                <w:highlight w:val="none"/>
              </w:rPr>
            </w:r>
          </w:p>
        </w:tc>
        <w:tc>
          <w:tcPr>
            <w:tcBorders>
              <w:top w:val="single" w:color="000000" w:sz="4" w:space="0"/>
            </w:tcBorders>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操作系统支持多终端协同管理</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服务管理工具</w:t>
            </w:r>
            <w:r>
              <w:rPr>
                <w:rFonts w:hint="eastAsia" w:ascii="宋体" w:hAnsi="宋体" w:eastAsia="宋体" w:cs="宋体"/>
                <w:color w:val="auto"/>
                <w:highlight w:val="none"/>
              </w:rPr>
              <w:t xml:space="preserve">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操作系统支持服务启动与停止，查看服务状态及日志，查询服务启动顺序及依</w:t>
            </w:r>
            <w:r>
              <w:rPr>
                <w:rFonts w:hint="eastAsia" w:ascii="宋体" w:hAnsi="宋体" w:eastAsia="宋体" w:cs="宋体"/>
                <w:color w:val="auto"/>
                <w:spacing w:val="-3"/>
                <w:highlight w:val="none"/>
                <w:lang w:eastAsia="zh-CN"/>
              </w:rPr>
              <w:t xml:space="preserve">赖关系</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99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配置管理工具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操作系统提供配置管理工具，可以简化</w:t>
            </w:r>
            <w:r>
              <w:rPr>
                <w:rFonts w:hint="eastAsia" w:ascii="宋体" w:hAnsi="宋体" w:eastAsia="宋体" w:cs="宋体"/>
                <w:color w:val="auto"/>
                <w:spacing w:val="-1"/>
                <w:highlight w:val="none"/>
                <w:lang w:eastAsia="zh-CN"/>
              </w:rPr>
              <w:t xml:space="preserve">任务配置及服务管理</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监控管理工具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操作系统支持监控系统资源使用情况，</w:t>
            </w:r>
            <w:r>
              <w:rPr>
                <w:rFonts w:hint="eastAsia" w:ascii="宋体" w:hAnsi="宋体" w:eastAsia="宋体" w:cs="宋体"/>
                <w:color w:val="auto"/>
                <w:spacing w:val="-5"/>
                <w:highlight w:val="none"/>
                <w:lang w:eastAsia="zh-CN"/>
              </w:rPr>
              <w:t xml:space="preserve">包含CPU、内存、存储I/O、网络I/O</w:t>
            </w:r>
            <w:r>
              <w:rPr>
                <w:rFonts w:hint="eastAsia" w:ascii="宋体" w:hAnsi="宋体" w:eastAsia="宋体" w:cs="宋体"/>
                <w:color w:val="auto"/>
                <w:highlight w:val="none"/>
                <w:lang w:eastAsia="zh-CN"/>
              </w:rPr>
              <w:t xml:space="preserve">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易用</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守护进程</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操作系统支持按需启动守护进程，用户可自定义设定需求守护的进程，如遇异</w:t>
            </w:r>
            <w:r>
              <w:rPr>
                <w:rFonts w:hint="eastAsia" w:ascii="宋体" w:hAnsi="宋体" w:eastAsia="宋体" w:cs="宋体"/>
                <w:color w:val="auto"/>
                <w:spacing w:val="-1"/>
                <w:highlight w:val="none"/>
                <w:lang w:eastAsia="zh-CN"/>
              </w:rPr>
              <w:t xml:space="preserve">常可重新加载，实现应用持续运行</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兼容</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基础组件兼容</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版本兼容</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操作系统基础运行库或开发环境向后</w:t>
            </w:r>
            <w:r>
              <w:rPr>
                <w:rFonts w:hint="eastAsia" w:ascii="宋体" w:hAnsi="宋体" w:eastAsia="宋体" w:cs="宋体"/>
                <w:color w:val="auto"/>
                <w:spacing w:val="-3"/>
                <w:highlight w:val="none"/>
                <w:lang w:eastAsia="zh-CN"/>
              </w:rPr>
              <w:t xml:space="preserve">（向下）兼容，即系统版本升级后，能</w:t>
            </w:r>
            <w:r>
              <w:rPr>
                <w:rFonts w:hint="eastAsia" w:ascii="宋体" w:hAnsi="宋体" w:eastAsia="宋体" w:cs="宋体"/>
                <w:color w:val="auto"/>
                <w:spacing w:val="-1"/>
                <w:highlight w:val="none"/>
                <w:lang w:eastAsia="zh-CN"/>
              </w:rPr>
              <w:t xml:space="preserve">兼容上一版本所运行的软件与设备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兼容</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兼容周期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spacing w:val="-1"/>
                <w:highlight w:val="none"/>
              </w:rPr>
            </w:pPr>
            <w:r>
              <w:rPr>
                <w:rFonts w:hint="eastAsia" w:ascii="宋体" w:hAnsi="宋体" w:eastAsia="宋体" w:cs="宋体"/>
                <w:color w:val="auto"/>
                <w:spacing w:val="-1"/>
                <w:highlight w:val="none"/>
                <w:lang w:eastAsia="zh-CN"/>
              </w:rPr>
              <w:t xml:space="preserve">操作系统主版本兼容维护时间自发布</w:t>
            </w:r>
            <w:r>
              <w:rPr>
                <w:rFonts w:hint="eastAsia" w:ascii="宋体" w:hAnsi="宋体" w:eastAsia="宋体" w:cs="宋体"/>
                <w:color w:val="auto"/>
                <w:spacing w:val="-2"/>
                <w:highlight w:val="none"/>
                <w:lang w:eastAsia="zh-CN"/>
              </w:rPr>
              <w:t xml:space="preserve">之日起不低于5年，包括但不限于安全</w:t>
            </w:r>
            <w:r>
              <w:rPr>
                <w:rFonts w:hint="eastAsia" w:ascii="宋体" w:hAnsi="宋体" w:eastAsia="宋体" w:cs="宋体"/>
                <w:color w:val="auto"/>
                <w:spacing w:val="-1"/>
                <w:highlight w:val="none"/>
                <w:lang w:eastAsia="zh-CN"/>
              </w:rPr>
              <w:t xml:space="preserve">修复、功能升级、新硬件支持等</w:t>
            </w:r>
            <w:r>
              <w:rPr>
                <w:rFonts w:ascii="宋体" w:hAnsi="宋体" w:eastAsia="宋体" w:cs="宋体"/>
                <w:color w:val="auto"/>
                <w:spacing w:val="-1"/>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兼容</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兼容方式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操作系统支持以增量升级包的方式实</w:t>
            </w:r>
            <w:r>
              <w:rPr>
                <w:rFonts w:hint="eastAsia" w:ascii="宋体" w:hAnsi="宋体" w:eastAsia="宋体" w:cs="宋体"/>
                <w:color w:val="auto"/>
                <w:spacing w:val="-2"/>
                <w:highlight w:val="none"/>
                <w:lang w:eastAsia="zh-CN"/>
              </w:rPr>
              <w:t xml:space="preserve">现版本更新</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6"/>
                <w:highlight w:val="none"/>
              </w:rPr>
              <w:t xml:space="preserve">05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兼容</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bottom w:val="single" w:color="000000" w:sz="4" w:space="0"/>
            </w:tcBorders>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软件包格式</w:t>
            </w:r>
            <w:r>
              <w:rPr>
                <w:rFonts w:ascii="宋体" w:hAnsi="宋体" w:eastAsia="宋体" w:cs="宋体"/>
                <w:color w:val="auto"/>
                <w:highlight w:val="none"/>
              </w:rPr>
            </w:r>
            <w:r>
              <w:rPr>
                <w:color w:val="auto"/>
                <w:highlight w:val="none"/>
              </w:rPr>
            </w:r>
          </w:p>
        </w:tc>
        <w:tc>
          <w:tcPr>
            <w:tcBorders>
              <w:bottom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软件包格式转换</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3"/>
                <w:highlight w:val="none"/>
                <w:lang w:eastAsia="zh-CN"/>
              </w:rPr>
              <w:t xml:space="preserve">操作系统支持RPM或DEB格式的软件包，当系统不支持RPM或DEB格式的软</w:t>
            </w:r>
            <w:r>
              <w:rPr>
                <w:rFonts w:hint="eastAsia" w:ascii="宋体" w:hAnsi="宋体" w:eastAsia="宋体" w:cs="宋体"/>
                <w:color w:val="auto"/>
                <w:spacing w:val="-2"/>
                <w:highlight w:val="none"/>
                <w:lang w:eastAsia="zh-CN"/>
              </w:rPr>
              <w:t xml:space="preserve">件包时，提供工具对软件包格式进行转</w:t>
            </w:r>
            <w:r>
              <w:rPr>
                <w:rFonts w:hint="eastAsia" w:ascii="宋体" w:hAnsi="宋体" w:eastAsia="宋体" w:cs="宋体"/>
                <w:color w:val="auto"/>
                <w:highlight w:val="none"/>
                <w:lang w:eastAsia="zh-CN"/>
              </w:rPr>
              <w:t xml:space="preserve">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3"/>
                <w:lang w:eastAsia="zh-CN"/>
              </w:rPr>
            </w:pPr>
            <w:r>
              <w:rPr>
                <w:rFonts w:hint="eastAsia" w:ascii="宋体" w:hAnsi="宋体" w:eastAsia="宋体" w:cs="宋体"/>
                <w:spacing w:val="-3"/>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106</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兼容</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pacing w:val="-2"/>
                <w:sz w:val="18"/>
                <w:szCs w:val="18"/>
                <w:highlight w:val="none"/>
                <w:lang w:eastAsia="en-US"/>
              </w:rPr>
              <w:t xml:space="preserve">软件兼容</w:t>
            </w:r>
            <w:r>
              <w:rPr>
                <w:rFonts w:ascii="宋体" w:hAnsi="宋体" w:cs="宋体"/>
                <w:color w:val="auto"/>
                <w:sz w:val="18"/>
                <w:szCs w:val="18"/>
                <w:highlight w:val="none"/>
                <w:lang w:eastAsia="en-US"/>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数据库管理系</w:t>
            </w:r>
            <w:r>
              <w:rPr>
                <w:rFonts w:hint="eastAsia" w:ascii="宋体" w:hAnsi="宋体" w:eastAsia="宋体" w:cs="宋体"/>
                <w:color w:val="auto"/>
                <w:highlight w:val="none"/>
              </w:rPr>
              <w:t xml:space="preserve">统</w:t>
            </w:r>
            <w:r>
              <w:rPr>
                <w:rFonts w:ascii="宋体" w:hAnsi="宋体" w:eastAsia="宋体" w:cs="宋体"/>
                <w:color w:val="auto"/>
                <w:highlight w:val="none"/>
              </w:rPr>
            </w:r>
            <w:r>
              <w:rPr>
                <w:color w:val="auto"/>
                <w:highlight w:val="none"/>
              </w:rPr>
            </w:r>
          </w:p>
        </w:tc>
        <w:tc>
          <w:tcPr>
            <w:tcBorders>
              <w:left w:val="single" w:color="000000" w:sz="4" w:space="0"/>
            </w:tcBorders>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至少兼容三款数据库软件产品</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107</w:t>
            </w:r>
            <w:r>
              <w:rPr>
                <w:rFonts w:ascii="宋体" w:hAnsi="宋体" w:eastAsia="宋体" w:cs="宋体"/>
                <w:color w:val="auto"/>
                <w:highlight w:val="none"/>
              </w:rPr>
            </w:r>
            <w:r>
              <w:rPr>
                <w:color w:val="auto"/>
                <w:highlight w:val="none"/>
              </w:rPr>
            </w:r>
          </w:p>
        </w:tc>
        <w:tc>
          <w:tcPr>
            <w:tcBorders>
              <w:right w:val="single" w:color="000000" w:sz="4" w:space="0"/>
            </w:tcBorders>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兼容</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中间件</w:t>
            </w:r>
            <w:r>
              <w:rPr>
                <w:rFonts w:ascii="宋体" w:hAnsi="宋体" w:eastAsia="宋体" w:cs="宋体"/>
                <w:color w:val="auto"/>
                <w:highlight w:val="none"/>
              </w:rPr>
            </w:r>
            <w:r>
              <w:rPr>
                <w:color w:val="auto"/>
                <w:highlight w:val="none"/>
              </w:rPr>
            </w:r>
          </w:p>
        </w:tc>
        <w:tc>
          <w:tcPr>
            <w:tcBorders>
              <w:left w:val="single" w:color="000000" w:sz="4" w:space="0"/>
            </w:tcBorders>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至少兼容三款数据库软件产品</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可靠</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稳定性</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操作系统连续</w:t>
            </w:r>
            <w:r>
              <w:rPr>
                <w:rFonts w:hint="eastAsia" w:ascii="宋体" w:hAnsi="宋体" w:eastAsia="宋体" w:cs="宋体"/>
                <w:color w:val="auto"/>
                <w:spacing w:val="-6"/>
                <w:highlight w:val="none"/>
                <w:lang w:eastAsia="zh-CN"/>
              </w:rPr>
              <w:t xml:space="preserve">运行168小时</w:t>
            </w:r>
            <w:r>
              <w:rPr>
                <w:rFonts w:ascii="宋体" w:hAnsi="宋体" w:eastAsia="宋体" w:cs="宋体"/>
                <w:color w:val="auto"/>
                <w:highlight w:val="none"/>
                <w:lang w:eastAsia="zh-CN"/>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3"/>
                <w:highlight w:val="none"/>
                <w:lang w:eastAsia="zh-CN"/>
              </w:rPr>
              <w:t xml:space="preserve">操作系统高负载下连续常态运行168小</w:t>
            </w:r>
            <w:r>
              <w:rPr>
                <w:rFonts w:hint="eastAsia" w:ascii="宋体" w:hAnsi="宋体" w:eastAsia="宋体" w:cs="宋体"/>
                <w:color w:val="auto"/>
                <w:spacing w:val="-4"/>
                <w:highlight w:val="none"/>
                <w:lang w:eastAsia="zh-CN"/>
              </w:rPr>
              <w:t xml:space="preserve">时无故障</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3"/>
                <w:lang w:eastAsia="zh-CN"/>
              </w:rPr>
            </w:pPr>
            <w:r>
              <w:rPr>
                <w:rFonts w:hint="eastAsia" w:ascii="宋体" w:hAnsi="宋体" w:eastAsia="宋体" w:cs="宋体"/>
                <w:spacing w:val="-3"/>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109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可靠</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备份还原</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备份还原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操作系统提供备份还原功能，支持生成</w:t>
            </w:r>
            <w:r>
              <w:rPr>
                <w:rFonts w:hint="eastAsia" w:ascii="宋体" w:hAnsi="宋体" w:eastAsia="宋体" w:cs="宋体"/>
                <w:color w:val="auto"/>
                <w:spacing w:val="-1"/>
                <w:highlight w:val="none"/>
                <w:lang w:eastAsia="zh-CN"/>
              </w:rPr>
              <w:t xml:space="preserve">系统状态快照及恢复系统状态</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可靠</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内存纠错</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内存纠错</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操作系统支持DDR3、DDR4等内存上的</w:t>
            </w:r>
            <w:r>
              <w:rPr>
                <w:rFonts w:hint="eastAsia" w:ascii="宋体" w:hAnsi="宋体" w:eastAsia="宋体" w:cs="宋体"/>
                <w:color w:val="auto"/>
                <w:spacing w:val="-3"/>
                <w:highlight w:val="none"/>
                <w:lang w:eastAsia="zh-CN"/>
              </w:rPr>
              <w:t xml:space="preserve">ECC查错、纠错</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可靠</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热插拔</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CPU热插拔</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硬件支持时，操作系统支持CPU热插拔</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可靠</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内存热插拔</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硬件支持时，操作系统支持内存热插拔</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可靠</w:t>
            </w:r>
            <w:r>
              <w:rPr>
                <w:rFonts w:hint="eastAsia" w:ascii="宋体" w:hAnsi="宋体" w:eastAsia="宋体" w:cs="宋体"/>
                <w:color w:val="auto"/>
                <w:spacing w:val="-4"/>
                <w:highlight w:val="none"/>
              </w:rPr>
              <w:t xml:space="preserve">性要</w:t>
            </w:r>
            <w:r>
              <w:rPr>
                <w:rFonts w:hint="eastAsia" w:ascii="宋体" w:hAnsi="宋体" w:eastAsia="宋体" w:cs="宋体"/>
                <w:color w:val="auto"/>
                <w:spacing w:val="34"/>
                <w:highlight w:val="none"/>
              </w:rPr>
              <w:t xml:space="preserve">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硬盘热插拔</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硬件支持时，操作系统支持硬盘热插拔</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维护工具</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远程维护</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操作系统提供远程控制管理工具，支持</w:t>
            </w:r>
            <w:r>
              <w:rPr>
                <w:rFonts w:hint="eastAsia" w:ascii="宋体" w:hAnsi="宋体" w:eastAsia="宋体" w:cs="宋体"/>
                <w:color w:val="auto"/>
                <w:spacing w:val="-3"/>
                <w:highlight w:val="none"/>
                <w:lang w:eastAsia="zh-CN"/>
              </w:rPr>
              <w:t xml:space="preserve">RDP、SSH、SPICE、VNC等协议，</w:t>
            </w:r>
            <w:r>
              <w:rPr>
                <w:rFonts w:hint="eastAsia" w:ascii="宋体" w:hAnsi="宋体" w:eastAsia="宋体" w:cs="宋体"/>
                <w:color w:val="auto"/>
                <w:spacing w:val="-4"/>
                <w:highlight w:val="none"/>
                <w:lang w:eastAsia="zh-CN"/>
              </w:rPr>
              <w:t xml:space="preserve">方便用</w:t>
            </w:r>
            <w:r>
              <w:rPr>
                <w:rFonts w:hint="eastAsia" w:ascii="宋体" w:hAnsi="宋体" w:eastAsia="宋体" w:cs="宋体"/>
                <w:color w:val="auto"/>
                <w:spacing w:val="-1"/>
                <w:highlight w:val="none"/>
                <w:lang w:eastAsia="zh-CN"/>
              </w:rPr>
              <w:t xml:space="preserve">户进行文本或图形化形式的远程连接</w:t>
            </w:r>
            <w:r>
              <w:rPr>
                <w:rFonts w:hint="eastAsia" w:ascii="宋体" w:hAnsi="宋体" w:eastAsia="宋体" w:cs="宋体"/>
                <w:color w:val="auto"/>
                <w:spacing w:val="-3"/>
                <w:highlight w:val="none"/>
                <w:lang w:eastAsia="zh-CN"/>
              </w:rPr>
              <w:t xml:space="preserve">及维护</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文件完整检查</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操作系统提供文件系统检查工具，对文</w:t>
            </w:r>
            <w:r>
              <w:rPr>
                <w:rFonts w:hint="eastAsia" w:ascii="宋体" w:hAnsi="宋体" w:eastAsia="宋体" w:cs="宋体"/>
                <w:color w:val="auto"/>
                <w:spacing w:val="-1"/>
                <w:highlight w:val="none"/>
                <w:lang w:eastAsia="zh-CN"/>
              </w:rPr>
              <w:t xml:space="preserve">件系统完整性进行检测和修复</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内核分析</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操作系统提供内核性能分析工具，提供性能分析框架，支持对内核函数层面进行分析；提供内核探测工具，支持对内</w:t>
            </w:r>
            <w:r>
              <w:rPr>
                <w:rFonts w:hint="eastAsia" w:ascii="宋体" w:hAnsi="宋体" w:eastAsia="宋体" w:cs="宋体"/>
                <w:color w:val="auto"/>
                <w:spacing w:val="-1"/>
                <w:highlight w:val="none"/>
                <w:lang w:eastAsia="zh-CN"/>
              </w:rPr>
              <w:t xml:space="preserve">核及用户态程序动态追踪</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集中管可控</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操作系统提供集中管控工具，支持对区</w:t>
            </w:r>
            <w:r>
              <w:rPr>
                <w:rFonts w:hint="eastAsia" w:ascii="宋体" w:hAnsi="宋体" w:eastAsia="宋体" w:cs="宋体"/>
                <w:color w:val="auto"/>
                <w:spacing w:val="-1"/>
                <w:highlight w:val="none"/>
                <w:lang w:eastAsia="zh-CN"/>
              </w:rPr>
              <w:t xml:space="preserve">域内服务器操作系统进行集中管理维</w:t>
            </w:r>
            <w:r>
              <w:rPr>
                <w:rFonts w:hint="eastAsia" w:ascii="宋体" w:hAnsi="宋体" w:eastAsia="宋体" w:cs="宋体"/>
                <w:color w:val="auto"/>
                <w:highlight w:val="none"/>
                <w:lang w:eastAsia="zh-CN"/>
              </w:rPr>
              <w:t xml:space="preserve">护</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兼容性评价</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操作系统提供软硬件兼容性检查工具，自动分析应用软件、硬件兼容性，定位兼容性问题；提供操作系统跨版本兼容</w:t>
            </w:r>
            <w:r>
              <w:rPr>
                <w:rFonts w:hint="eastAsia" w:ascii="宋体" w:hAnsi="宋体" w:eastAsia="宋体" w:cs="宋体"/>
                <w:color w:val="auto"/>
                <w:spacing w:val="-1"/>
                <w:highlight w:val="none"/>
                <w:lang w:eastAsia="zh-CN"/>
              </w:rPr>
              <w:t xml:space="preserve">性分析工具，在迁移前检查分析软硬件，定位兼容性问题。</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119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性能调优</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操作系统提供性能测试调优工具，按系</w:t>
            </w:r>
            <w:r>
              <w:rPr>
                <w:rFonts w:hint="eastAsia" w:ascii="宋体" w:hAnsi="宋体" w:eastAsia="宋体" w:cs="宋体"/>
                <w:color w:val="auto"/>
                <w:spacing w:val="-8"/>
                <w:highlight w:val="none"/>
                <w:lang w:eastAsia="zh-CN"/>
              </w:rPr>
              <w:t xml:space="preserve">统工作特点（如计算为主、存储为主等）</w:t>
            </w:r>
            <w:r>
              <w:rPr>
                <w:rFonts w:hint="eastAsia" w:ascii="宋体" w:hAnsi="宋体" w:eastAsia="宋体" w:cs="宋体"/>
                <w:color w:val="auto"/>
                <w:spacing w:val="-1"/>
                <w:highlight w:val="none"/>
                <w:lang w:eastAsia="zh-CN"/>
              </w:rPr>
              <w:t xml:space="preserve">自动优化系统配置</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日志管理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日志记录与存</w:t>
            </w:r>
            <w:r>
              <w:rPr>
                <w:rFonts w:hint="eastAsia" w:ascii="宋体" w:hAnsi="宋体" w:eastAsia="宋体" w:cs="宋体"/>
                <w:color w:val="auto"/>
                <w:highlight w:val="none"/>
              </w:rPr>
              <w:t xml:space="preserve">储</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操作系统支持对安全事件的日志记录，</w:t>
            </w:r>
            <w:r>
              <w:rPr>
                <w:rFonts w:hint="eastAsia" w:ascii="宋体" w:hAnsi="宋体" w:eastAsia="宋体" w:cs="宋体"/>
                <w:color w:val="auto"/>
                <w:spacing w:val="-8"/>
                <w:highlight w:val="none"/>
                <w:lang w:eastAsia="zh-CN"/>
              </w:rPr>
              <w:t xml:space="preserve">包括帐户增删改、成功登录、失败登录、</w:t>
            </w:r>
            <w:r>
              <w:rPr>
                <w:rFonts w:hint="eastAsia" w:ascii="宋体" w:hAnsi="宋体" w:eastAsia="宋体" w:cs="宋体"/>
                <w:color w:val="auto"/>
                <w:spacing w:val="-2"/>
                <w:highlight w:val="none"/>
                <w:lang w:eastAsia="zh-CN"/>
              </w:rPr>
              <w:t xml:space="preserve">敏感服务开启关闭、配置修改等，日志</w:t>
            </w:r>
            <w:r>
              <w:rPr>
                <w:rFonts w:hint="eastAsia" w:ascii="宋体" w:hAnsi="宋体" w:eastAsia="宋体" w:cs="宋体"/>
                <w:color w:val="auto"/>
                <w:spacing w:val="1"/>
                <w:highlight w:val="none"/>
                <w:lang w:eastAsia="zh-CN"/>
              </w:rPr>
              <w:t xml:space="preserve">信息详实，包括所属用户、访问时间、</w:t>
            </w:r>
            <w:r>
              <w:rPr>
                <w:rFonts w:hint="eastAsia" w:ascii="宋体" w:hAnsi="宋体" w:eastAsia="宋体" w:cs="宋体"/>
                <w:color w:val="auto"/>
                <w:spacing w:val="-2"/>
                <w:highlight w:val="none"/>
                <w:lang w:eastAsia="zh-CN"/>
              </w:rPr>
              <w:t xml:space="preserve">访问地址等；支持内核异常日志信息的</w:t>
            </w:r>
            <w:r>
              <w:rPr>
                <w:rFonts w:hint="eastAsia" w:ascii="宋体" w:hAnsi="宋体" w:eastAsia="宋体" w:cs="宋体"/>
                <w:color w:val="auto"/>
                <w:spacing w:val="1"/>
                <w:highlight w:val="none"/>
                <w:lang w:eastAsia="zh-CN"/>
              </w:rPr>
              <w:t xml:space="preserve">记录和存储；支持内核崩溃转储机制，</w:t>
            </w:r>
            <w:r>
              <w:rPr>
                <w:rFonts w:hint="eastAsia" w:ascii="宋体" w:hAnsi="宋体" w:eastAsia="宋体" w:cs="宋体"/>
                <w:color w:val="auto"/>
                <w:spacing w:val="-2"/>
                <w:highlight w:val="none"/>
                <w:lang w:eastAsia="zh-CN"/>
              </w:rPr>
              <w:t xml:space="preserve">系统崩溃时可收集整个内存信息；支持配置远程日志功能，可将指定日志内容归档到日志服务器；支持对日志功能进</w:t>
            </w:r>
            <w:r>
              <w:rPr>
                <w:rFonts w:hint="eastAsia" w:ascii="宋体" w:hAnsi="宋体" w:eastAsia="宋体" w:cs="宋体"/>
                <w:color w:val="auto"/>
                <w:spacing w:val="-1"/>
                <w:highlight w:val="none"/>
                <w:lang w:eastAsia="zh-CN"/>
              </w:rPr>
              <w:t xml:space="preserve">行访问控制，防止未经授权的访问</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日志处理与分</w:t>
            </w:r>
            <w:r>
              <w:rPr>
                <w:rFonts w:hint="eastAsia" w:ascii="宋体" w:hAnsi="宋体" w:eastAsia="宋体" w:cs="宋体"/>
                <w:color w:val="auto"/>
                <w:highlight w:val="none"/>
              </w:rPr>
              <w:t xml:space="preserve">析</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操作系统提供系统错误问题回溯分析</w:t>
            </w:r>
            <w:r>
              <w:rPr>
                <w:rFonts w:hint="eastAsia" w:ascii="宋体" w:hAnsi="宋体" w:eastAsia="宋体" w:cs="宋体"/>
                <w:color w:val="auto"/>
                <w:spacing w:val="-2"/>
                <w:highlight w:val="none"/>
                <w:lang w:eastAsia="zh-CN"/>
              </w:rPr>
              <w:t xml:space="preserve">工具，对系统崩溃问题及错误问题进行</w:t>
            </w:r>
            <w:r>
              <w:rPr>
                <w:rFonts w:hint="eastAsia" w:ascii="宋体" w:hAnsi="宋体" w:eastAsia="宋体" w:cs="宋体"/>
                <w:color w:val="auto"/>
                <w:spacing w:val="-9"/>
                <w:highlight w:val="none"/>
                <w:lang w:eastAsia="zh-CN"/>
              </w:rPr>
              <w:t xml:space="preserve">回溯；支持日志切分、一键收集、转储、</w:t>
            </w:r>
            <w:r>
              <w:rPr>
                <w:rFonts w:hint="eastAsia" w:ascii="宋体" w:hAnsi="宋体" w:eastAsia="宋体" w:cs="宋体"/>
                <w:color w:val="auto"/>
                <w:spacing w:val="-5"/>
                <w:highlight w:val="none"/>
                <w:lang w:eastAsia="zh-CN"/>
              </w:rPr>
              <w:t xml:space="preserve">同步机制</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脆弱性管理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脆弱性管理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故障管理框架，内置故障分析专家系统，可与外部同类型系统互联；具备故障响应、故障警告功能，提供用户接口，支持故障响应、警告信息分发；支持故障管理守护进程，使用统一的传输信道或机制上报故障信息；具</w:t>
            </w:r>
            <w:r>
              <w:rPr>
                <w:rFonts w:hint="eastAsia" w:ascii="宋体" w:hAnsi="宋体" w:eastAsia="宋体" w:cs="宋体"/>
                <w:color w:val="auto"/>
                <w:spacing w:val="1"/>
                <w:highlight w:val="none"/>
                <w:lang w:eastAsia="zh-CN"/>
              </w:rPr>
              <w:t xml:space="preserve">备硬件故障信息捕获、紧急处理功能，</w:t>
            </w:r>
            <w:r>
              <w:rPr>
                <w:rFonts w:hint="eastAsia" w:ascii="宋体" w:hAnsi="宋体" w:eastAsia="宋体" w:cs="宋体"/>
                <w:color w:val="auto"/>
                <w:spacing w:val="-5"/>
                <w:highlight w:val="none"/>
                <w:lang w:eastAsia="zh-CN"/>
              </w:rPr>
              <w:t xml:space="preserve">包括CPU、内存及PCIe设备等硬件的故</w:t>
            </w:r>
            <w:r>
              <w:rPr>
                <w:rFonts w:hint="eastAsia" w:ascii="宋体" w:hAnsi="宋体" w:eastAsia="宋体" w:cs="宋体"/>
                <w:color w:val="auto"/>
                <w:spacing w:val="-4"/>
                <w:highlight w:val="none"/>
                <w:lang w:eastAsia="zh-CN"/>
              </w:rPr>
              <w:t xml:space="preserve">障；支持诊断/响应组件动态加载机制；</w:t>
            </w:r>
            <w:r>
              <w:rPr>
                <w:rFonts w:hint="eastAsia" w:ascii="宋体" w:hAnsi="宋体" w:eastAsia="宋体" w:cs="宋体"/>
                <w:color w:val="auto"/>
                <w:spacing w:val="-1"/>
                <w:highlight w:val="none"/>
                <w:lang w:eastAsia="zh-CN"/>
              </w:rPr>
              <w:t xml:space="preserve">提供或支持第三方远程诊断框架及调</w:t>
            </w:r>
            <w:r>
              <w:rPr>
                <w:rFonts w:hint="eastAsia" w:ascii="宋体" w:hAnsi="宋体" w:eastAsia="宋体" w:cs="宋体"/>
                <w:color w:val="auto"/>
                <w:spacing w:val="-2"/>
                <w:highlight w:val="none"/>
                <w:lang w:eastAsia="zh-CN"/>
              </w:rPr>
              <w:t xml:space="preserve">测工具集，实现远程诊断及调试断点功</w:t>
            </w:r>
            <w:r>
              <w:rPr>
                <w:rFonts w:hint="eastAsia" w:ascii="宋体" w:hAnsi="宋体" w:eastAsia="宋体" w:cs="宋体"/>
                <w:color w:val="auto"/>
                <w:spacing w:val="-7"/>
                <w:highlight w:val="none"/>
                <w:lang w:eastAsia="zh-CN"/>
              </w:rPr>
              <w:t xml:space="preserve">能；</w:t>
            </w:r>
            <w:r>
              <w:rPr>
                <w:rFonts w:ascii="宋体" w:hAnsi="宋体" w:eastAsia="宋体" w:cs="宋体"/>
                <w:color w:val="auto"/>
                <w:highlight w:val="none"/>
                <w:lang w:eastAsia="zh-CN"/>
              </w:rPr>
            </w:r>
            <w:r>
              <w:rPr>
                <w:color w:val="auto"/>
                <w:highlight w:val="none"/>
              </w:rPr>
            </w:r>
          </w:p>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支持物理机、虚拟机中操作系统的故障</w:t>
            </w:r>
            <w:r>
              <w:rPr>
                <w:rFonts w:hint="eastAsia" w:ascii="宋体" w:hAnsi="宋体" w:eastAsia="宋体" w:cs="宋体"/>
                <w:color w:val="auto"/>
                <w:spacing w:val="-4"/>
                <w:highlight w:val="none"/>
                <w:lang w:eastAsia="zh-CN"/>
              </w:rPr>
              <w:t xml:space="preserve">恢复</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热补丁</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热补丁</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操作系统支持对内核热补丁进行编号，</w:t>
            </w:r>
            <w:r>
              <w:rPr>
                <w:rFonts w:hint="eastAsia" w:ascii="宋体" w:hAnsi="宋体" w:eastAsia="宋体" w:cs="宋体"/>
                <w:color w:val="auto"/>
                <w:spacing w:val="-2"/>
                <w:highlight w:val="none"/>
                <w:lang w:eastAsia="zh-CN"/>
              </w:rPr>
              <w:t xml:space="preserve">每个热补丁拥有独立编号；支持增量修复以及回滚机制；提供热补丁合法性和一致性校验功能；提供热补丁管理机制</w:t>
            </w:r>
            <w:r>
              <w:rPr>
                <w:rFonts w:hint="eastAsia" w:ascii="宋体" w:hAnsi="宋体" w:eastAsia="宋体" w:cs="宋体"/>
                <w:color w:val="auto"/>
                <w:spacing w:val="-8"/>
                <w:highlight w:val="none"/>
                <w:lang w:eastAsia="zh-CN"/>
              </w:rPr>
              <w:t xml:space="preserve">和工具，功能至少覆盖补丁查询、安装、</w:t>
            </w:r>
            <w:r>
              <w:rPr>
                <w:rFonts w:hint="eastAsia" w:ascii="宋体" w:hAnsi="宋体" w:eastAsia="宋体" w:cs="宋体"/>
                <w:color w:val="auto"/>
                <w:spacing w:val="-1"/>
                <w:highlight w:val="none"/>
                <w:lang w:eastAsia="zh-CN"/>
              </w:rPr>
              <w:t xml:space="preserve">移除；提供热补丁升级和回滚系统日志，便于查询或回溯</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系统升级</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升级内容</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操作系统支持系统增量升级功能，对系</w:t>
            </w:r>
            <w:r>
              <w:rPr>
                <w:rFonts w:hint="eastAsia" w:ascii="宋体" w:hAnsi="宋体" w:eastAsia="宋体" w:cs="宋体"/>
                <w:color w:val="auto"/>
                <w:spacing w:val="-1"/>
                <w:highlight w:val="none"/>
                <w:lang w:eastAsia="zh-CN"/>
              </w:rPr>
              <w:t xml:space="preserve">统部件、安全补丁等升级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升级方式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操作系统支持在线升级和离线升级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数据保护</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操作系统升级不得修改破坏用户数据</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兼容性</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操作系统升级不得影响原有软硬件兼</w:t>
            </w:r>
            <w:r>
              <w:rPr>
                <w:rFonts w:hint="eastAsia" w:ascii="宋体" w:hAnsi="宋体" w:eastAsia="宋体" w:cs="宋体"/>
                <w:color w:val="auto"/>
                <w:spacing w:val="-2"/>
                <w:highlight w:val="none"/>
                <w:lang w:eastAsia="zh-CN"/>
              </w:rPr>
              <w:t xml:space="preserve">容性，如有影响应显式的提示告知用户</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可维</w:t>
            </w:r>
            <w:r>
              <w:rPr>
                <w:rFonts w:hint="eastAsia" w:ascii="宋体" w:hAnsi="宋体" w:eastAsia="宋体" w:cs="宋体"/>
                <w:color w:val="auto"/>
                <w:spacing w:val="-3"/>
                <w:highlight w:val="none"/>
              </w:rPr>
              <w:t xml:space="preserve">护性要求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943"/>
              <w:jc w:val="center"/>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回退</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操作系统提供升级回退机制，能卸载已升级的软件包，恢复系统原有状态，如升级为不可回退，则系统升级前以显式</w:t>
            </w:r>
            <w:r>
              <w:rPr>
                <w:rFonts w:hint="eastAsia" w:ascii="宋体" w:hAnsi="宋体" w:eastAsia="宋体" w:cs="宋体"/>
                <w:color w:val="auto"/>
                <w:spacing w:val="-1"/>
                <w:highlight w:val="none"/>
                <w:lang w:eastAsia="zh-CN"/>
              </w:rPr>
              <w:t xml:space="preserve">的提示告知用户</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129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交付方式</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交付方式</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提供光盘、USB闪存盘、镜像文</w:t>
            </w:r>
            <w:r>
              <w:rPr>
                <w:rFonts w:hint="eastAsia" w:ascii="宋体" w:hAnsi="宋体" w:eastAsia="宋体" w:cs="宋体"/>
                <w:color w:val="auto"/>
                <w:spacing w:val="-1"/>
                <w:highlight w:val="none"/>
                <w:lang w:eastAsia="zh-CN"/>
              </w:rPr>
              <w:t xml:space="preserve">件（下载）等交付方式</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服务周期</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产品维护周期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产品自发布之日起至产品停止功能升</w:t>
            </w:r>
            <w:r>
              <w:rPr>
                <w:rFonts w:hint="eastAsia" w:ascii="宋体" w:hAnsi="宋体" w:eastAsia="宋体" w:cs="宋体"/>
                <w:color w:val="auto"/>
                <w:spacing w:val="-3"/>
                <w:highlight w:val="none"/>
                <w:lang w:eastAsia="zh-CN"/>
              </w:rPr>
              <w:t xml:space="preserve">级（包含不限于新特性、新硬件支持、</w:t>
            </w:r>
            <w:r>
              <w:rPr>
                <w:rFonts w:hint="eastAsia" w:ascii="宋体" w:hAnsi="宋体" w:eastAsia="宋体" w:cs="宋体"/>
                <w:color w:val="auto"/>
                <w:spacing w:val="-1"/>
                <w:highlight w:val="none"/>
                <w:lang w:eastAsia="zh-CN"/>
              </w:rPr>
              <w:t xml:space="preserve">问题修复、安全补丁等）之日止≥5年</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产品延伸服务</w:t>
            </w:r>
            <w:r>
              <w:rPr>
                <w:rFonts w:hint="eastAsia" w:ascii="宋体" w:hAnsi="宋体" w:eastAsia="宋体" w:cs="宋体"/>
                <w:color w:val="auto"/>
                <w:spacing w:val="-4"/>
                <w:highlight w:val="none"/>
              </w:rPr>
              <w:t xml:space="preserve">周期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产品停止功能升级之日起至产品停止</w:t>
            </w:r>
            <w:r>
              <w:rPr>
                <w:rFonts w:hint="eastAsia" w:ascii="宋体" w:hAnsi="宋体" w:eastAsia="宋体" w:cs="宋体"/>
                <w:color w:val="auto"/>
                <w:spacing w:val="-8"/>
                <w:highlight w:val="none"/>
                <w:lang w:eastAsia="zh-CN"/>
              </w:rPr>
              <w:t xml:space="preserve">功能维护（包括问题修复、安全补丁等）</w:t>
            </w:r>
            <w:r>
              <w:rPr>
                <w:rFonts w:hint="eastAsia" w:ascii="宋体" w:hAnsi="宋体" w:eastAsia="宋体" w:cs="宋体"/>
                <w:color w:val="auto"/>
                <w:spacing w:val="-2"/>
                <w:highlight w:val="none"/>
                <w:lang w:eastAsia="zh-CN"/>
              </w:rPr>
              <w:t xml:space="preserve">之日止≥5年</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产品延伸安全</w:t>
            </w:r>
            <w:r>
              <w:rPr>
                <w:rFonts w:hint="eastAsia" w:ascii="宋体" w:hAnsi="宋体" w:eastAsia="宋体" w:cs="宋体"/>
                <w:color w:val="auto"/>
                <w:spacing w:val="-2"/>
                <w:highlight w:val="none"/>
                <w:lang w:eastAsia="zh-CN"/>
              </w:rPr>
              <w:t xml:space="preserve">服务周期</w:t>
            </w:r>
            <w:r>
              <w:rPr>
                <w:rFonts w:ascii="宋体" w:hAnsi="宋体" w:eastAsia="宋体" w:cs="宋体"/>
                <w:color w:val="auto"/>
                <w:highlight w:val="none"/>
                <w:lang w:eastAsia="zh-CN"/>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9"/>
                <w:highlight w:val="none"/>
              </w:rPr>
              <w:t xml:space="preserve">≥3年</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943"/>
              <w:rPr>
                <w:rFonts w:ascii="宋体" w:hAnsi="宋体" w:cs="宋体"/>
                <w:sz w:val="18"/>
                <w:szCs w:val="18"/>
              </w:rPr>
            </w:pPr>
            <w:r>
              <w:rPr>
                <w:rFonts w:ascii="宋体" w:hAnsi="宋体" w:cs="宋体"/>
                <w:sz w:val="18"/>
                <w:szCs w:val="18"/>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售后服务最小</w:t>
            </w:r>
            <w:r>
              <w:rPr>
                <w:rFonts w:hint="eastAsia" w:ascii="宋体" w:hAnsi="宋体" w:eastAsia="宋体" w:cs="宋体"/>
                <w:color w:val="auto"/>
                <w:spacing w:val="-2"/>
                <w:highlight w:val="none"/>
              </w:rPr>
              <w:t xml:space="preserve">保障期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9"/>
                <w:highlight w:val="none"/>
              </w:rPr>
              <w:t xml:space="preserve">≥8年</w:t>
            </w:r>
            <w:r>
              <w:rPr>
                <w:rFonts w:ascii="宋体" w:hAnsi="宋体" w:eastAsia="宋体" w:cs="宋体"/>
                <w:color w:val="auto"/>
                <w:highlight w:val="none"/>
              </w:rPr>
            </w:r>
            <w:r>
              <w:rPr>
                <w:color w:val="auto"/>
                <w:highlight w:val="none"/>
              </w:rPr>
            </w:r>
          </w:p>
        </w:tc>
        <w:tc>
          <w:tcPr>
            <w:tcW w:w="1099" w:type="dxa"/>
            <w:vAlign w:val="center"/>
            <w:vMerge w:val="continue"/>
            <w:textDirection w:val="lrTb"/>
            <w:noWrap w:val="false"/>
          </w:tcPr>
          <w:p>
            <w:pPr>
              <w:pStyle w:val="943"/>
              <w:rPr>
                <w:rFonts w:ascii="宋体" w:hAnsi="宋体" w:cs="宋体"/>
                <w:sz w:val="18"/>
                <w:szCs w:val="18"/>
              </w:rPr>
            </w:pPr>
            <w:r>
              <w:rPr>
                <w:rFonts w:ascii="宋体" w:hAnsi="宋体" w:cs="宋体"/>
                <w:sz w:val="18"/>
                <w:szCs w:val="18"/>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售后服务</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原厂服务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中标后提供操作系统厂商的正式员工开展保障服务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服务热线电话</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中标后提供操作系统厂商为最终用户提供工作日</w:t>
            </w:r>
            <w:r>
              <w:rPr>
                <w:rFonts w:hint="eastAsia" w:ascii="宋体" w:hAnsi="宋体" w:eastAsia="宋体" w:cs="宋体"/>
                <w:color w:val="auto"/>
                <w:spacing w:val="-2"/>
                <w:highlight w:val="none"/>
                <w:lang w:eastAsia="zh-CN"/>
              </w:rPr>
              <w:t xml:space="preserve">每日不少于8h（覆盖一般工作时间，具体时间按厂商标准执行）中文技术服务</w:t>
            </w:r>
            <w:r>
              <w:rPr>
                <w:rFonts w:hint="eastAsia" w:ascii="宋体" w:hAnsi="宋体" w:eastAsia="宋体" w:cs="宋体"/>
                <w:color w:val="auto"/>
                <w:spacing w:val="-4"/>
                <w:highlight w:val="none"/>
                <w:lang w:eastAsia="zh-CN"/>
              </w:rPr>
              <w:t xml:space="preserve">热线</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技术服务标准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中标后提供操作系统厂商工作日每日不少于</w:t>
            </w:r>
            <w:r>
              <w:rPr>
                <w:rFonts w:hint="eastAsia" w:ascii="宋体" w:hAnsi="宋体" w:eastAsia="宋体" w:cs="宋体"/>
                <w:color w:val="auto"/>
                <w:spacing w:val="-2"/>
                <w:highlight w:val="none"/>
                <w:lang w:eastAsia="zh-CN"/>
              </w:rPr>
              <w:t xml:space="preserve">8h技术支持服务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定制优化增值服</w:t>
            </w:r>
            <w:r>
              <w:rPr>
                <w:rFonts w:hint="eastAsia" w:ascii="宋体" w:hAnsi="宋体" w:eastAsia="宋体" w:cs="宋体"/>
                <w:color w:val="auto"/>
                <w:highlight w:val="none"/>
              </w:rPr>
              <w:t xml:space="preserve">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中标后提供操作系统厂商代码级定制优化服</w:t>
            </w:r>
            <w:r>
              <w:rPr>
                <w:rFonts w:hint="eastAsia" w:ascii="宋体" w:hAnsi="宋体" w:eastAsia="宋体" w:cs="宋体"/>
                <w:color w:val="auto"/>
                <w:highlight w:val="none"/>
                <w:lang w:eastAsia="zh-CN"/>
              </w:rPr>
              <w:t xml:space="preserve">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943"/>
              <w:rPr>
                <w:rFonts w:ascii="宋体" w:hAnsi="宋体" w:cs="宋体"/>
                <w:sz w:val="18"/>
                <w:szCs w:val="18"/>
              </w:rPr>
            </w:pPr>
            <w:r>
              <w:rPr>
                <w:rFonts w:ascii="宋体" w:hAnsi="宋体" w:cs="宋体"/>
                <w:sz w:val="18"/>
                <w:szCs w:val="18"/>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技术服务时效</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中标后提供</w:t>
            </w:r>
            <w:r>
              <w:rPr>
                <w:rFonts w:hint="eastAsia" w:ascii="宋体" w:hAnsi="宋体" w:eastAsia="宋体" w:cs="宋体"/>
                <w:color w:val="auto"/>
                <w:spacing w:val="-3"/>
                <w:highlight w:val="none"/>
                <w:lang w:eastAsia="zh-CN"/>
              </w:rPr>
              <w:t xml:space="preserve">操作系统厂商满足同城4h、异地12h响</w:t>
            </w:r>
            <w:r>
              <w:rPr>
                <w:rFonts w:hint="eastAsia" w:ascii="宋体" w:hAnsi="宋体" w:eastAsia="宋体" w:cs="宋体"/>
                <w:color w:val="auto"/>
                <w:spacing w:val="-2"/>
                <w:highlight w:val="none"/>
                <w:lang w:eastAsia="zh-CN"/>
              </w:rPr>
              <w:t xml:space="preserve">要求，两个工作日解决问题，对于未能</w:t>
            </w:r>
            <w:r>
              <w:rPr>
                <w:rFonts w:hint="eastAsia" w:ascii="宋体" w:hAnsi="宋体" w:eastAsia="宋体" w:cs="宋体"/>
                <w:color w:val="auto"/>
                <w:spacing w:val="-1"/>
                <w:highlight w:val="none"/>
                <w:lang w:eastAsia="zh-CN"/>
              </w:rPr>
              <w:t xml:space="preserve">解决的问题和故障提供可行的升级方</w:t>
            </w:r>
            <w:r>
              <w:rPr>
                <w:rFonts w:hint="eastAsia" w:ascii="宋体" w:hAnsi="宋体" w:eastAsia="宋体" w:cs="宋体"/>
                <w:color w:val="auto"/>
                <w:highlight w:val="none"/>
                <w:lang w:eastAsia="zh-CN"/>
              </w:rPr>
              <w:t xml:space="preserve">案</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3"/>
                <w:lang w:eastAsia="zh-CN"/>
              </w:rPr>
            </w:pPr>
            <w:r>
              <w:rPr>
                <w:rFonts w:hint="eastAsia" w:ascii="宋体" w:hAnsi="宋体" w:eastAsia="宋体" w:cs="宋体"/>
                <w:spacing w:val="-3"/>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139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技术服务保障</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发生非人为因素故障，在七日内由操作</w:t>
            </w:r>
            <w:r>
              <w:rPr>
                <w:rFonts w:hint="eastAsia" w:ascii="宋体" w:hAnsi="宋体" w:eastAsia="宋体" w:cs="宋体"/>
                <w:color w:val="auto"/>
                <w:spacing w:val="-1"/>
                <w:highlight w:val="none"/>
                <w:lang w:eastAsia="zh-CN"/>
              </w:rPr>
              <w:t xml:space="preserve">系统厂商原厂人员免费对产品进行补</w:t>
            </w:r>
            <w:r>
              <w:rPr>
                <w:rFonts w:hint="eastAsia" w:ascii="宋体" w:hAnsi="宋体" w:eastAsia="宋体" w:cs="宋体"/>
                <w:color w:val="auto"/>
                <w:spacing w:val="-3"/>
                <w:highlight w:val="none"/>
                <w:lang w:eastAsia="zh-CN"/>
              </w:rPr>
              <w:t xml:space="preserve">充或更换</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现场交付与安</w:t>
            </w:r>
            <w:r>
              <w:rPr>
                <w:rFonts w:hint="eastAsia" w:ascii="宋体" w:hAnsi="宋体" w:eastAsia="宋体" w:cs="宋体"/>
                <w:color w:val="auto"/>
                <w:spacing w:val="-5"/>
                <w:highlight w:val="none"/>
              </w:rPr>
              <w:t xml:space="preserve">装调试</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现场安装调试</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中标后提供操作系统厂商产品安装与现场调</w:t>
            </w:r>
            <w:r>
              <w:rPr>
                <w:rFonts w:hint="eastAsia" w:ascii="宋体" w:hAnsi="宋体" w:eastAsia="宋体" w:cs="宋体"/>
                <w:color w:val="auto"/>
                <w:spacing w:val="-2"/>
                <w:highlight w:val="none"/>
                <w:lang w:eastAsia="zh-CN"/>
              </w:rPr>
              <w:t xml:space="preserve">试，并提供安装与调试所需的工具和设</w:t>
            </w:r>
            <w:r>
              <w:rPr>
                <w:rFonts w:hint="eastAsia" w:ascii="宋体" w:hAnsi="宋体" w:eastAsia="宋体" w:cs="宋体"/>
                <w:color w:val="auto"/>
                <w:highlight w:val="none"/>
                <w:lang w:eastAsia="zh-CN"/>
              </w:rPr>
              <w:t xml:space="preserve">备</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配套资料</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交付产品时中标人应提供操作系统厂商配套的技术资料，包括但不限于系统说明文</w:t>
            </w:r>
            <w:r>
              <w:rPr>
                <w:rFonts w:hint="eastAsia" w:ascii="宋体" w:hAnsi="宋体" w:eastAsia="宋体" w:cs="宋体"/>
                <w:color w:val="auto"/>
                <w:spacing w:val="-8"/>
                <w:highlight w:val="none"/>
                <w:lang w:eastAsia="zh-CN"/>
              </w:rPr>
              <w:t xml:space="preserve">件、用户手册（用户安装、操作、维护、</w:t>
            </w:r>
            <w:r>
              <w:rPr>
                <w:rFonts w:hint="eastAsia" w:ascii="宋体" w:hAnsi="宋体" w:eastAsia="宋体" w:cs="宋体"/>
                <w:color w:val="auto"/>
                <w:highlight w:val="none"/>
                <w:lang w:eastAsia="zh-CN"/>
              </w:rPr>
              <w:t xml:space="preserve">故障排除）等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系统更换</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系统更换</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服务期内，</w:t>
            </w:r>
            <w:r>
              <w:rPr>
                <w:rFonts w:hint="eastAsia" w:ascii="宋体" w:hAnsi="宋体" w:eastAsia="宋体" w:cs="宋体"/>
                <w:color w:val="auto"/>
                <w:spacing w:val="-1"/>
                <w:highlight w:val="none"/>
                <w:lang w:eastAsia="zh-CN"/>
              </w:rPr>
              <w:t xml:space="preserve">中标人应保证</w:t>
            </w:r>
            <w:r>
              <w:rPr>
                <w:rFonts w:hint="eastAsia" w:ascii="宋体" w:hAnsi="宋体" w:eastAsia="宋体" w:cs="宋体"/>
                <w:color w:val="auto"/>
                <w:spacing w:val="-2"/>
                <w:highlight w:val="none"/>
                <w:lang w:eastAsia="zh-CN"/>
              </w:rPr>
              <w:t xml:space="preserve">操作系统厂商支持版本免费</w:t>
            </w:r>
            <w:r>
              <w:rPr>
                <w:rFonts w:hint="eastAsia" w:ascii="宋体" w:hAnsi="宋体" w:eastAsia="宋体" w:cs="宋体"/>
                <w:color w:val="auto"/>
                <w:spacing w:val="-1"/>
                <w:highlight w:val="none"/>
                <w:lang w:eastAsia="zh-CN"/>
              </w:rPr>
              <w:t xml:space="preserve">更换（注：更换后不延长服务期）</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服务</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原厂</w:t>
            </w:r>
            <w:r>
              <w:rPr>
                <w:rFonts w:hint="eastAsia" w:ascii="宋体" w:hAnsi="宋体" w:eastAsia="宋体" w:cs="宋体"/>
                <w:color w:val="auto"/>
                <w:spacing w:val="-1"/>
                <w:highlight w:val="none"/>
              </w:rPr>
              <w:t xml:space="preserve">服务能力</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服务团队</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中标人应保证操作系统厂商为采购人提供技术服务体系</w:t>
            </w:r>
            <w:r>
              <w:rPr>
                <w:rFonts w:hint="eastAsia" w:ascii="宋体" w:hAnsi="宋体" w:eastAsia="宋体" w:cs="宋体"/>
                <w:color w:val="auto"/>
                <w:spacing w:val="-2"/>
                <w:highlight w:val="none"/>
                <w:lang w:eastAsia="zh-CN"/>
              </w:rPr>
              <w:t xml:space="preserve">和服务团队，为采购人提供专业的原厂中</w:t>
            </w:r>
            <w:r>
              <w:rPr>
                <w:rFonts w:hint="eastAsia" w:ascii="宋体" w:hAnsi="宋体" w:eastAsia="宋体" w:cs="宋体"/>
                <w:color w:val="auto"/>
                <w:spacing w:val="-4"/>
                <w:highlight w:val="none"/>
                <w:lang w:eastAsia="zh-CN"/>
              </w:rPr>
              <w:t xml:space="preserve">文服务</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供应</w:t>
            </w:r>
            <w:r>
              <w:rPr>
                <w:rFonts w:hint="eastAsia" w:ascii="宋体" w:hAnsi="宋体" w:eastAsia="宋体" w:cs="宋体"/>
                <w:color w:val="auto"/>
                <w:spacing w:val="-3"/>
                <w:highlight w:val="none"/>
              </w:rPr>
              <w:t xml:space="preserve">保障要求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数据安全保障</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数据收集安全</w:t>
            </w:r>
            <w:r>
              <w:rPr>
                <w:rFonts w:hint="eastAsia" w:ascii="宋体" w:hAnsi="宋体" w:eastAsia="宋体" w:cs="宋体"/>
                <w:color w:val="auto"/>
                <w:spacing w:val="-3"/>
                <w:highlight w:val="none"/>
              </w:rPr>
              <w:t xml:space="preserve">保障</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除用户授权采集的信息外不采集其他</w:t>
            </w:r>
            <w:r>
              <w:rPr>
                <w:rFonts w:hint="eastAsia" w:ascii="宋体" w:hAnsi="宋体" w:eastAsia="宋体" w:cs="宋体"/>
                <w:color w:val="auto"/>
                <w:spacing w:val="-2"/>
                <w:highlight w:val="none"/>
                <w:lang w:eastAsia="zh-CN"/>
              </w:rPr>
              <w:t xml:space="preserve">数据，相关信息采集无安全风险，相关</w:t>
            </w:r>
            <w:r>
              <w:rPr>
                <w:rFonts w:hint="eastAsia" w:ascii="宋体" w:hAnsi="宋体" w:eastAsia="宋体" w:cs="宋体"/>
                <w:color w:val="auto"/>
                <w:spacing w:val="-1"/>
                <w:highlight w:val="none"/>
                <w:lang w:eastAsia="zh-CN"/>
              </w:rPr>
              <w:t xml:space="preserve">数据存储在大陆境内</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lang w:eastAsia="zh-CN"/>
              </w:rPr>
              <w:t xml:space="preserve">1</w:t>
            </w:r>
            <w:r>
              <w:rPr>
                <w:rFonts w:hint="eastAsia" w:ascii="宋体" w:hAnsi="宋体" w:eastAsia="宋体" w:cs="宋体"/>
                <w:color w:val="auto"/>
                <w:spacing w:val="-6"/>
                <w:highlight w:val="none"/>
              </w:rPr>
              <w:t xml:space="preserve">45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供应</w:t>
            </w:r>
            <w:r>
              <w:rPr>
                <w:rFonts w:hint="eastAsia" w:ascii="宋体" w:hAnsi="宋体" w:eastAsia="宋体" w:cs="宋体"/>
                <w:color w:val="auto"/>
                <w:spacing w:val="-3"/>
                <w:highlight w:val="none"/>
              </w:rPr>
              <w:t xml:space="preserve">保障要求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数据供给安全</w:t>
            </w:r>
            <w:r>
              <w:rPr>
                <w:rFonts w:hint="eastAsia" w:ascii="宋体" w:hAnsi="宋体" w:eastAsia="宋体" w:cs="宋体"/>
                <w:color w:val="auto"/>
                <w:spacing w:val="-3"/>
                <w:highlight w:val="none"/>
              </w:rPr>
              <w:t xml:space="preserve">保障</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涉及数据下载的线上服务物理服务器</w:t>
            </w:r>
            <w:r>
              <w:rPr>
                <w:rFonts w:hint="eastAsia" w:ascii="宋体" w:hAnsi="宋体" w:eastAsia="宋体" w:cs="宋体"/>
                <w:color w:val="auto"/>
                <w:spacing w:val="-2"/>
                <w:highlight w:val="none"/>
                <w:lang w:eastAsia="zh-CN"/>
              </w:rPr>
              <w:t xml:space="preserve">不出境，包括代码仓库、系统补丁、安</w:t>
            </w:r>
            <w:r>
              <w:rPr>
                <w:rFonts w:hint="eastAsia" w:ascii="宋体" w:hAnsi="宋体" w:eastAsia="宋体" w:cs="宋体"/>
                <w:color w:val="auto"/>
                <w:spacing w:val="-1"/>
                <w:highlight w:val="none"/>
                <w:lang w:eastAsia="zh-CN"/>
              </w:rPr>
              <w:t xml:space="preserve">全补丁、服务网站等</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4"/>
                <w:highlight w:val="none"/>
              </w:rPr>
              <w:t xml:space="preserve">供应</w:t>
            </w:r>
            <w:r>
              <w:rPr>
                <w:rFonts w:hint="eastAsia" w:ascii="宋体" w:hAnsi="宋体" w:eastAsia="宋体" w:cs="宋体"/>
                <w:color w:val="auto"/>
                <w:spacing w:val="-3"/>
                <w:highlight w:val="none"/>
              </w:rPr>
              <w:t xml:space="preserve">保障要求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工程构建体系</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工程构建体系</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能用一套操作系统源码构建用于云侧计算、边侧计算场景中部署运行的操作系统，降低部署后系统维护、使用复</w:t>
            </w:r>
            <w:r>
              <w:rPr>
                <w:rFonts w:hint="eastAsia" w:ascii="宋体" w:hAnsi="宋体" w:eastAsia="宋体" w:cs="宋体"/>
                <w:color w:val="auto"/>
                <w:spacing w:val="-3"/>
                <w:highlight w:val="none"/>
                <w:lang w:eastAsia="zh-CN"/>
              </w:rPr>
              <w:t xml:space="preserve">杂度</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基本要求</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highlight w:val="none"/>
              </w:rPr>
              <w:t xml:space="preserve">基本要求</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操作系统应当符合安全可靠测评要求</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943"/>
              <w:rPr>
                <w:rFonts w:ascii="宋体" w:hAnsi="宋体" w:cs="宋体"/>
                <w:sz w:val="18"/>
                <w:szCs w:val="18"/>
              </w:rPr>
            </w:pPr>
            <w:r>
              <w:rPr>
                <w:rFonts w:ascii="宋体" w:hAnsi="宋体" w:cs="宋体"/>
                <w:sz w:val="18"/>
                <w:szCs w:val="18"/>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安全管理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防火墙</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操作系统提供防火墙配置管理工具，支</w:t>
            </w:r>
            <w:r>
              <w:rPr>
                <w:rFonts w:hint="eastAsia" w:ascii="宋体" w:hAnsi="宋体" w:eastAsia="宋体" w:cs="宋体"/>
                <w:color w:val="auto"/>
                <w:spacing w:val="-1"/>
                <w:highlight w:val="none"/>
                <w:lang w:eastAsia="zh-CN"/>
              </w:rPr>
              <w:t xml:space="preserve">持基于协议、网络地址、端口的访问控制规则配置，规则修改后立即生效；支持关闭指定服务和端口，包括但不限于关闭远程访问、共享访问等；支持防止</w:t>
            </w:r>
            <w:r>
              <w:rPr>
                <w:rFonts w:hint="eastAsia" w:ascii="宋体" w:hAnsi="宋体" w:eastAsia="宋体" w:cs="宋体"/>
                <w:color w:val="auto"/>
                <w:spacing w:val="-2"/>
                <w:highlight w:val="none"/>
                <w:lang w:eastAsia="zh-CN"/>
              </w:rPr>
              <w:t xml:space="preserve">ARP欺骗攻击</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149</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安全框架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操作系统提供统一访问控制安全框架</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150</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三员管理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操作系统支持系统管理员、安全管理员、审计管理员分权管理</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151</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2"/>
                <w:highlight w:val="none"/>
              </w:rPr>
              <w:t xml:space="preserve">文件完整性</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4"/>
                <w:highlight w:val="none"/>
                <w:lang w:eastAsia="zh-CN"/>
              </w:rPr>
              <w:t xml:space="preserve">操作系统支持静态文件度量（如IMA）</w:t>
            </w:r>
            <w:r>
              <w:rPr>
                <w:rFonts w:hint="eastAsia" w:ascii="宋体" w:hAnsi="宋体" w:eastAsia="宋体" w:cs="宋体"/>
                <w:color w:val="auto"/>
                <w:spacing w:val="-2"/>
                <w:highlight w:val="none"/>
                <w:lang w:eastAsia="zh-CN"/>
              </w:rPr>
              <w:t xml:space="preserve">和动态内存度量，保障特定文件及内存</w:t>
            </w:r>
            <w:r>
              <w:rPr>
                <w:rFonts w:hint="eastAsia" w:ascii="宋体" w:hAnsi="宋体" w:eastAsia="宋体" w:cs="宋体"/>
                <w:color w:val="auto"/>
                <w:spacing w:val="-1"/>
                <w:highlight w:val="none"/>
                <w:lang w:eastAsia="zh-CN"/>
              </w:rPr>
              <w:t xml:space="preserve">中运行程序的完整性</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4"/>
                <w:lang w:eastAsia="zh-CN"/>
              </w:rPr>
            </w:pPr>
            <w:r>
              <w:rPr>
                <w:rFonts w:hint="eastAsia" w:ascii="宋体" w:hAnsi="宋体" w:eastAsia="宋体" w:cs="宋体"/>
                <w:spacing w:val="-4"/>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152</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3"/>
                <w:highlight w:val="none"/>
              </w:rPr>
              <w:t xml:space="preserve">可信计算</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操作系统支持机密计算框架，提供机密计算SDK，能接入1种以上可信执行环</w:t>
            </w:r>
            <w:r>
              <w:rPr>
                <w:rFonts w:hint="eastAsia" w:ascii="宋体" w:hAnsi="宋体" w:eastAsia="宋体" w:cs="宋体"/>
                <w:color w:val="auto"/>
                <w:highlight w:val="none"/>
                <w:lang w:eastAsia="zh-CN"/>
              </w:rPr>
              <w:t xml:space="preserve">境</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153</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5"/>
                <w:highlight w:val="none"/>
              </w:rPr>
              <w:t xml:space="preserve">内核保护</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操作系统支持内核完整性保护，保障内核不被非授权改变；提供内核模块加载黑名单机制</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154</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身份鉴别</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身份鉴别服务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6"/>
                <w:highlight w:val="none"/>
                <w:lang w:eastAsia="zh-CN"/>
              </w:rPr>
              <w:t xml:space="preserve">用户标识使用</w:t>
            </w:r>
            <w:r>
              <w:rPr>
                <w:rFonts w:hint="eastAsia" w:ascii="宋体" w:hAnsi="宋体" w:eastAsia="宋体" w:cs="宋体"/>
                <w:color w:val="auto"/>
                <w:spacing w:val="-6"/>
                <w:highlight w:val="none"/>
                <w:lang w:eastAsia="zh-CN"/>
              </w:rPr>
              <w:t xml:space="preserve">账户</w:t>
            </w:r>
            <w:r>
              <w:rPr>
                <w:rFonts w:hint="eastAsia" w:ascii="宋体" w:hAnsi="宋体" w:eastAsia="宋体" w:cs="宋体"/>
                <w:color w:val="auto"/>
                <w:spacing w:val="-6"/>
                <w:highlight w:val="none"/>
                <w:lang w:eastAsia="zh-CN"/>
              </w:rPr>
              <w:t xml:space="preserve">名和</w:t>
            </w:r>
            <w:r>
              <w:rPr>
                <w:rFonts w:hint="eastAsia" w:ascii="宋体" w:hAnsi="宋体" w:eastAsia="宋体" w:cs="宋体"/>
                <w:color w:val="auto"/>
                <w:spacing w:val="-6"/>
                <w:highlight w:val="none"/>
                <w:lang w:eastAsia="zh-CN"/>
              </w:rPr>
              <w:t xml:space="preserve">账户</w:t>
            </w:r>
            <w:r>
              <w:rPr>
                <w:rFonts w:hint="eastAsia" w:ascii="宋体" w:hAnsi="宋体" w:eastAsia="宋体" w:cs="宋体"/>
                <w:color w:val="auto"/>
                <w:spacing w:val="-6"/>
                <w:highlight w:val="none"/>
                <w:lang w:eastAsia="zh-CN"/>
              </w:rPr>
              <w:t xml:space="preserve">ID，在操作</w:t>
            </w:r>
            <w:r>
              <w:rPr>
                <w:rFonts w:hint="eastAsia" w:ascii="宋体" w:hAnsi="宋体" w:eastAsia="宋体" w:cs="宋体"/>
                <w:color w:val="auto"/>
                <w:spacing w:val="-1"/>
                <w:highlight w:val="none"/>
                <w:lang w:eastAsia="zh-CN"/>
              </w:rPr>
              <w:t xml:space="preserve">系统的整个生存周期内用户标识具有</w:t>
            </w:r>
            <w:r>
              <w:rPr>
                <w:rFonts w:hint="eastAsia" w:ascii="宋体" w:hAnsi="宋体" w:eastAsia="宋体" w:cs="宋体"/>
                <w:color w:val="auto"/>
                <w:spacing w:val="-2"/>
                <w:highlight w:val="none"/>
                <w:lang w:eastAsia="zh-CN"/>
              </w:rPr>
              <w:t xml:space="preserve">唯一性；支持用户口令复杂度校验及强口令管理；支持用户口令有效期配置；支持口令鉴别失败控制；支持口令加密算法配置，用户口令进行加密后以不可</w:t>
            </w:r>
            <w:r>
              <w:rPr>
                <w:rFonts w:hint="eastAsia" w:ascii="宋体" w:hAnsi="宋体" w:eastAsia="宋体" w:cs="宋体"/>
                <w:color w:val="auto"/>
                <w:spacing w:val="-1"/>
                <w:highlight w:val="none"/>
                <w:lang w:eastAsia="zh-CN"/>
              </w:rPr>
              <w:t xml:space="preserve">逆的密文形式保存；支持禁止根帐户</w:t>
            </w:r>
            <w:r>
              <w:rPr>
                <w:rFonts w:hint="eastAsia" w:ascii="宋体" w:hAnsi="宋体" w:eastAsia="宋体" w:cs="宋体"/>
                <w:color w:val="auto"/>
                <w:spacing w:val="-2"/>
                <w:highlight w:val="none"/>
                <w:lang w:eastAsia="zh-CN"/>
              </w:rPr>
              <w:t xml:space="preserve">（root）远程登录设置</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6"/>
                <w:lang w:eastAsia="zh-CN"/>
              </w:rPr>
            </w:pPr>
            <w:r>
              <w:rPr>
                <w:rFonts w:hint="eastAsia" w:ascii="宋体" w:hAnsi="宋体" w:eastAsia="宋体" w:cs="宋体"/>
                <w:spacing w:val="-6"/>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155</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restart"/>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访问控制</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自主访问控制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允许客体拥有者以普通帐户决定并控</w:t>
            </w:r>
            <w:r>
              <w:rPr>
                <w:rFonts w:hint="eastAsia" w:ascii="宋体" w:hAnsi="宋体" w:eastAsia="宋体" w:cs="宋体"/>
                <w:color w:val="auto"/>
                <w:spacing w:val="-2"/>
                <w:highlight w:val="none"/>
                <w:lang w:eastAsia="zh-CN"/>
              </w:rPr>
              <w:t xml:space="preserve">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w:t>
            </w:r>
            <w:r>
              <w:rPr>
                <w:rFonts w:hint="eastAsia" w:ascii="宋体" w:hAnsi="宋体" w:eastAsia="宋体" w:cs="宋体"/>
                <w:color w:val="auto"/>
                <w:spacing w:val="-1"/>
                <w:highlight w:val="none"/>
                <w:lang w:eastAsia="zh-CN"/>
              </w:rPr>
              <w:t xml:space="preserve">其他同组用户或非同组的用户和用户组对该客体的访问权则由客体拥有者</w:t>
            </w:r>
            <w:r>
              <w:rPr>
                <w:rFonts w:hint="eastAsia" w:ascii="宋体" w:hAnsi="宋体" w:eastAsia="宋体" w:cs="宋体"/>
                <w:color w:val="auto"/>
                <w:spacing w:val="-3"/>
                <w:highlight w:val="none"/>
                <w:lang w:eastAsia="zh-CN"/>
              </w:rPr>
              <w:t xml:space="preserve">授予</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156</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强制访问控制</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1"/>
                <w:highlight w:val="none"/>
                <w:lang w:eastAsia="zh-CN"/>
              </w:rPr>
              <w:t xml:space="preserve">操作系统支持对应用程序的访问控制</w:t>
            </w:r>
            <w:r>
              <w:rPr>
                <w:rFonts w:hint="eastAsia" w:ascii="宋体" w:hAnsi="宋体" w:eastAsia="宋体" w:cs="宋体"/>
                <w:color w:val="auto"/>
                <w:spacing w:val="-2"/>
                <w:highlight w:val="none"/>
                <w:lang w:eastAsia="zh-CN"/>
              </w:rPr>
              <w:t xml:space="preserve">与资源限制，包括对文件、网络等客体的访问控制；支持应用安装控制、应用执行控制</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1"/>
                <w:lang w:eastAsia="zh-CN"/>
              </w:rPr>
            </w:pPr>
            <w:r>
              <w:rPr>
                <w:rFonts w:hint="eastAsia" w:ascii="宋体" w:hAnsi="宋体" w:eastAsia="宋体" w:cs="宋体"/>
                <w:spacing w:val="-1"/>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157</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安全审计</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操作系统能对身份鉴别的使用、自主访问控制、标记和强制访问控制策略的修改等生成审计日志；审计记录包括：事件类型、事件发生的日期、触发事件的用户、事件成功或失败等字段；支持审</w:t>
            </w:r>
            <w:r>
              <w:rPr>
                <w:rFonts w:hint="eastAsia" w:ascii="宋体" w:hAnsi="宋体" w:eastAsia="宋体" w:cs="宋体"/>
                <w:color w:val="auto"/>
                <w:spacing w:val="-1"/>
                <w:highlight w:val="none"/>
                <w:lang w:eastAsia="zh-CN"/>
              </w:rPr>
              <w:t xml:space="preserve">计日志查询和导出功能</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r>
        <w:trPr>
          <w:cantSplit/>
        </w:trPr>
        <w:tc>
          <w:tcPr>
            <w:tcW w:w="425"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6"/>
                <w:highlight w:val="none"/>
              </w:rPr>
              <w:t xml:space="preserve">158</w:t>
            </w:r>
            <w:r>
              <w:rPr>
                <w:rFonts w:ascii="宋体" w:hAnsi="宋体" w:eastAsia="宋体" w:cs="宋体"/>
                <w:color w:val="auto"/>
                <w:highlight w:val="none"/>
              </w:rPr>
            </w:r>
            <w:r>
              <w:rPr>
                <w:color w:val="auto"/>
                <w:highlight w:val="none"/>
              </w:rPr>
            </w:r>
          </w:p>
        </w:tc>
        <w:tc>
          <w:tcPr>
            <w:tcW w:w="850"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8"/>
                <w:highlight w:val="none"/>
              </w:rPr>
              <w:t xml:space="preserve">安全</w:t>
            </w:r>
            <w:r>
              <w:rPr>
                <w:rFonts w:hint="eastAsia" w:ascii="宋体" w:hAnsi="宋体" w:eastAsia="宋体" w:cs="宋体"/>
                <w:color w:val="auto"/>
                <w:spacing w:val="-3"/>
                <w:highlight w:val="none"/>
              </w:rPr>
              <w:t xml:space="preserve">要求</w:t>
            </w:r>
            <w:r>
              <w:rPr>
                <w:rFonts w:ascii="宋体" w:hAnsi="宋体" w:eastAsia="宋体" w:cs="宋体"/>
                <w:color w:val="auto"/>
                <w:highlight w:val="none"/>
              </w:rPr>
            </w:r>
            <w:r>
              <w:rPr>
                <w:color w:val="auto"/>
                <w:highlight w:val="none"/>
              </w:rPr>
            </w:r>
          </w:p>
        </w:tc>
        <w:tc>
          <w:tcPr>
            <w:tcW w:w="992"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漏洞管理</w:t>
            </w:r>
            <w:r>
              <w:rPr>
                <w:rFonts w:ascii="宋体" w:hAnsi="宋体" w:eastAsia="宋体" w:cs="宋体"/>
                <w:color w:val="auto"/>
                <w:highlight w:val="none"/>
              </w:rPr>
            </w:r>
            <w:r>
              <w:rPr>
                <w:color w:val="auto"/>
                <w:highlight w:val="none"/>
              </w:rPr>
            </w:r>
          </w:p>
        </w:tc>
        <w:tc>
          <w:tcPr>
            <w:tcW w:w="1134" w:type="dxa"/>
            <w:vAlign w:val="center"/>
            <w:textDirection w:val="lrTb"/>
            <w:noWrap w:val="false"/>
          </w:tcPr>
          <w:p>
            <w:pPr>
              <w:pStyle w:val="1134"/>
              <w:jc w:val="center"/>
              <w:rPr>
                <w:rFonts w:ascii="宋体" w:hAnsi="宋体" w:eastAsia="宋体" w:cs="宋体"/>
                <w:color w:val="auto"/>
                <w:highlight w:val="none"/>
              </w:rPr>
            </w:pPr>
            <w:r>
              <w:rPr>
                <w:rFonts w:hint="eastAsia" w:ascii="宋体" w:hAnsi="宋体" w:eastAsia="宋体" w:cs="宋体"/>
                <w:color w:val="auto"/>
                <w:spacing w:val="-1"/>
                <w:highlight w:val="none"/>
              </w:rPr>
              <w:t xml:space="preserve">漏洞管理</w:t>
            </w:r>
            <w:r>
              <w:rPr>
                <w:rFonts w:ascii="宋体" w:hAnsi="宋体" w:eastAsia="宋体" w:cs="宋体"/>
                <w:color w:val="auto"/>
                <w:highlight w:val="none"/>
              </w:rPr>
            </w:r>
            <w:r>
              <w:rPr>
                <w:color w:val="auto"/>
                <w:highlight w:val="none"/>
              </w:rPr>
            </w:r>
          </w:p>
        </w:tc>
        <w:tc>
          <w:tcPr>
            <w:tcW w:w="5102" w:type="dxa"/>
            <w:vAlign w:val="center"/>
            <w:textDirection w:val="lrTb"/>
            <w:noWrap w:val="false"/>
          </w:tcPr>
          <w:p>
            <w:pPr>
              <w:pStyle w:val="1134"/>
              <w:rPr>
                <w:rFonts w:ascii="宋体" w:hAnsi="宋体" w:eastAsia="宋体" w:cs="宋体"/>
                <w:color w:val="auto"/>
                <w:highlight w:val="none"/>
              </w:rPr>
            </w:pPr>
            <w:r>
              <w:rPr>
                <w:rFonts w:hint="eastAsia" w:ascii="宋体" w:hAnsi="宋体" w:eastAsia="宋体" w:cs="宋体"/>
                <w:color w:val="auto"/>
                <w:spacing w:val="-2"/>
                <w:highlight w:val="none"/>
                <w:lang w:eastAsia="zh-CN"/>
              </w:rPr>
              <w:t xml:space="preserve">操作系统支持漏洞编号，每个漏洞独立编号，可直接使用NVDB、CNVD或CVE编号；漏洞提醒，发现或获悉漏洞信息时，通过系统推送、电子邮件或官方网站等方式通知用户；漏洞修复，对已发</w:t>
            </w:r>
            <w:r>
              <w:rPr>
                <w:rFonts w:hint="eastAsia" w:ascii="宋体" w:hAnsi="宋体" w:eastAsia="宋体" w:cs="宋体"/>
                <w:color w:val="auto"/>
                <w:spacing w:val="-1"/>
                <w:highlight w:val="none"/>
                <w:lang w:eastAsia="zh-CN"/>
              </w:rPr>
              <w:t xml:space="preserve">现的安全漏洞通过补丁等方式对系统</w:t>
            </w:r>
            <w:r>
              <w:rPr>
                <w:rFonts w:hint="eastAsia" w:ascii="宋体" w:hAnsi="宋体" w:eastAsia="宋体" w:cs="宋体"/>
                <w:color w:val="auto"/>
                <w:spacing w:val="-2"/>
                <w:highlight w:val="none"/>
                <w:lang w:eastAsia="zh-CN"/>
              </w:rPr>
              <w:t xml:space="preserve">漏洞进行修复；漏洞列表，每个版本已修复的漏洞应有漏洞列表，提供命令或网页</w:t>
            </w:r>
            <w:r>
              <w:rPr>
                <w:rFonts w:hint="eastAsia" w:ascii="宋体" w:hAnsi="宋体" w:eastAsia="宋体" w:cs="宋体"/>
                <w:color w:val="auto"/>
                <w:spacing w:val="-1"/>
                <w:highlight w:val="none"/>
                <w:lang w:eastAsia="zh-CN"/>
              </w:rPr>
              <w:t xml:space="preserve">等方式方便用户查询漏洞及其修复情</w:t>
            </w:r>
            <w:r>
              <w:rPr>
                <w:rFonts w:hint="eastAsia" w:ascii="宋体" w:hAnsi="宋体" w:eastAsia="宋体" w:cs="宋体"/>
                <w:color w:val="auto"/>
                <w:highlight w:val="none"/>
                <w:lang w:eastAsia="zh-CN"/>
              </w:rPr>
              <w:t xml:space="preserve">况</w:t>
            </w:r>
            <w:r>
              <w:rPr>
                <w:rFonts w:ascii="宋体" w:hAnsi="宋体" w:eastAsia="宋体" w:cs="宋体"/>
                <w:color w:val="auto"/>
                <w:highlight w:val="none"/>
                <w:lang w:eastAsia="zh-CN"/>
              </w:rPr>
            </w:r>
            <w:r>
              <w:rPr>
                <w:color w:val="auto"/>
                <w:highlight w:val="none"/>
              </w:rPr>
            </w:r>
          </w:p>
        </w:tc>
        <w:tc>
          <w:tcPr>
            <w:tcW w:w="1099" w:type="dxa"/>
            <w:vAlign w:val="center"/>
            <w:vMerge w:val="continue"/>
            <w:textDirection w:val="lrTb"/>
            <w:noWrap w:val="false"/>
          </w:tcPr>
          <w:p>
            <w:pPr>
              <w:pStyle w:val="1134"/>
              <w:rPr>
                <w:rFonts w:hint="eastAsia" w:ascii="宋体" w:hAnsi="宋体" w:eastAsia="宋体" w:cs="宋体"/>
                <w:spacing w:val="-2"/>
                <w:lang w:eastAsia="zh-CN"/>
              </w:rPr>
            </w:pPr>
            <w:r>
              <w:rPr>
                <w:rFonts w:hint="eastAsia" w:ascii="宋体" w:hAnsi="宋体" w:eastAsia="宋体" w:cs="宋体"/>
                <w:spacing w:val="-2"/>
                <w:lang w:eastAsia="zh-CN"/>
              </w:rPr>
            </w:r>
            <w:r/>
          </w:p>
        </w:tc>
      </w:tr>
    </w:tbl>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（2）国产数据库：高性能，数据库采用先进的查询优化技术和并发控制策略，支持大规模并发事务处理和复杂查询分析，具备高吞吐量和低延迟的特性，确保了系统的高效运行。</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数据库采购参数要求</w:t>
      </w:r>
      <w:r>
        <w:rPr>
          <w:color w:val="auto"/>
          <w:highlight w:val="none"/>
        </w:rPr>
      </w:r>
    </w:p>
    <w:tbl>
      <w:tblPr>
        <w:tblW w:w="50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991"/>
        <w:gridCol w:w="993"/>
        <w:gridCol w:w="1135"/>
        <w:gridCol w:w="4111"/>
        <w:gridCol w:w="1135"/>
      </w:tblGrid>
      <w:tr>
        <w:trPr/>
        <w:tc>
          <w:tcPr>
            <w:tcW w:w="713" w:type="dxa"/>
            <w:vAlign w:val="center"/>
            <w:textDirection w:val="lrTb"/>
            <w:noWrap w:val="false"/>
          </w:tcPr>
          <w:p>
            <w:pPr>
              <w:pStyle w:val="94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rPr>
                <w:rFonts w:ascii="宋体" w:hAnsi="宋体" w:cs="宋体"/>
                <w:b/>
                <w:bCs/>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指标分类</w:t>
            </w:r>
            <w:r>
              <w:rPr>
                <w:rFonts w:ascii="宋体" w:hAnsi="宋体" w:cs="宋体"/>
                <w:b/>
                <w:bCs/>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一级指标</w:t>
            </w:r>
            <w:r>
              <w:rPr>
                <w:rFonts w:ascii="宋体" w:hAnsi="宋体" w:cs="宋体"/>
                <w:b/>
                <w:bCs/>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二级指标</w:t>
            </w:r>
            <w:r>
              <w:rPr>
                <w:rFonts w:ascii="宋体" w:hAnsi="宋体" w:cs="宋体"/>
                <w:b/>
                <w:bCs/>
                <w:color w:val="auto"/>
                <w:sz w:val="18"/>
                <w:szCs w:val="18"/>
                <w:highlight w:val="none"/>
              </w:rPr>
            </w:r>
            <w:r>
              <w:rPr>
                <w:color w:val="auto"/>
                <w:highlight w:val="none"/>
              </w:rPr>
            </w:r>
          </w:p>
        </w:tc>
        <w:tc>
          <w:tcPr>
            <w:tcW w:w="4111" w:type="dxa"/>
            <w:vAlign w:val="center"/>
            <w:textDirection w:val="lrTb"/>
            <w:noWrap w:val="false"/>
          </w:tcPr>
          <w:p>
            <w:pPr>
              <w:pStyle w:val="943"/>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指标要求</w:t>
            </w:r>
            <w:r>
              <w:rPr>
                <w:rFonts w:ascii="宋体" w:hAnsi="宋体" w:cs="宋体"/>
                <w:b/>
                <w:bCs/>
                <w:color w:val="auto"/>
                <w:sz w:val="18"/>
                <w:szCs w:val="18"/>
                <w:highlight w:val="none"/>
              </w:rPr>
            </w:r>
            <w:r>
              <w:rPr>
                <w:color w:val="auto"/>
                <w:highlight w:val="none"/>
              </w:rPr>
            </w:r>
          </w:p>
        </w:tc>
        <w:tc>
          <w:tcPr>
            <w:tcW w:w="1135" w:type="dxa"/>
            <w:vAlign w:val="top"/>
            <w:textDirection w:val="lrTb"/>
            <w:noWrap w:val="false"/>
          </w:tcPr>
          <w:p>
            <w:pPr>
              <w:pStyle w:val="943"/>
              <w:jc w:val="center"/>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rPr>
                <w:color w:val="auto"/>
                <w:highlight w:val="none"/>
              </w:rP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安装与升级</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数据库安装</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a)支持命令行或图形化的安装；</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b)支持命令行或图形化的可配置安装能力；</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c)依据安装环境提供相应的初始化参数配置值；</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d)提供图形化软件组件管理向导工具</w:t>
            </w:r>
            <w:r>
              <w:rPr>
                <w:rFonts w:ascii="宋体" w:hAnsi="宋体" w:cs="宋体"/>
                <w:color w:val="auto"/>
                <w:sz w:val="18"/>
                <w:szCs w:val="18"/>
                <w:highlight w:val="none"/>
              </w:rPr>
            </w:r>
            <w:r>
              <w:rPr>
                <w:color w:val="auto"/>
                <w:highlight w:val="none"/>
              </w:rPr>
            </w:r>
          </w:p>
        </w:tc>
        <w:tc>
          <w:tcPr>
            <w:tcW w:w="1135" w:type="dxa"/>
            <w:vAlign w:val="center"/>
            <w:vMerge w:val="restart"/>
            <w:textDirection w:val="lrTb"/>
            <w:noWrap w:val="false"/>
          </w:tcPr>
          <w:p>
            <w:pPr>
              <w:pStyle w:val="943"/>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w:t>
            </w:r>
            <w:r>
              <w:rPr>
                <w:color w:val="auto"/>
                <w:highlight w:val="none"/>
              </w:rP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数据库重启</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a)支持命令行或图形化的方式关闭和启动服务；</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b)关闭服务后，再启动服务，服务正常</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安装配置日志</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a)提供软件安装的日志记录功能；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b)记录的软件安装信息完整正确；</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c)安装配置操作的日志记录功能；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d)记录的配置操作信息完整正确</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升级维护</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a)支持版本升级，保证版本间功能和数据的兼容性；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b)每次升级维护后，应提供当前版本与历史版本的差异说明文档，包含新版本对软件和硬件的支持情况</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安装和升级的兼容性</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支持在不同CPU架构的节点上安装配置、升级，且安装配置、升级数据库的命令行或图形界面相同或相似</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节点部署</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a)支持节点安装配置；</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b)支持通过单一节点发起并将数据库部署在多个节点上</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数据配置</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参数配置</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a)依据工作负载和运行环境，提供配置参数修改的能力；</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b)修改数据库配置参数后，配置参数立即生效或数据库重新启动生效，立即生效的配置参数和需要数据库重新启动方可生效的配置参数应在相关文档中明确</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存储配置</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a)提供数据库级物理存储位置、逻辑存储参数配置功能；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b)在数据库初始化阶段，提供数据库物理读写块大小的配置功能；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c)提供数据库存储对象空间使用参数的配置功能；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d)提供索引数据存储参数管理功能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内存配置</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a)数据库内存规划和配置应合理；</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b)依据物理内存规划数据库可用内存；</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c)依据可用内存或负载情况，自动设置或向用户建议不同数据缓存区大小</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SQL功能</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基础数据类型</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a)支持数值类型；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b)支持字符类型；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c)支持二进制类型；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d)支持日期和时间类型；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e)支持布尔类型；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f)支持（大）文本类型；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g)支持大对象类型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w:t>
            </w:r>
            <w:bookmarkStart w:id="196" w:name="bookmark6"/>
            <w:r>
              <w:rPr>
                <w:color w:val="auto"/>
                <w:highlight w:val="none"/>
              </w:rPr>
            </w:r>
            <w:bookmarkEnd w:id="196"/>
            <w:r>
              <w:rPr>
                <w:color w:val="auto"/>
                <w:highlight w:val="none"/>
              </w:rPr>
            </w:r>
            <w:bookmarkStart w:id="197" w:name="bookmark5"/>
            <w:r>
              <w:rPr>
                <w:color w:val="auto"/>
                <w:highlight w:val="none"/>
              </w:rPr>
            </w:r>
            <w:bookmarkEnd w:id="197"/>
            <w:r>
              <w:rPr>
                <w:rFonts w:hint="eastAsia" w:ascii="宋体" w:hAnsi="宋体" w:cs="宋体"/>
                <w:color w:val="auto"/>
                <w:sz w:val="18"/>
                <w:szCs w:val="18"/>
                <w:highlight w:val="none"/>
              </w:rPr>
              <w:t xml:space="preserve">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扩展数据类型</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支持间隔、XML、JSON等数据类型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SQL功能</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自定义数据类型</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具备用户自定义数据类型的能力，可支持不同应用场景的数据类型需求</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数据存储基础功能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支持基础数据类型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数据存储增强功能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a)支持扩展数据类型；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b)支持自定义数据类型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数据检索基础功能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支持基础数据类型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数据检索增强功能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a)支持扩展数据类型；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b)支持自定义数据类型；</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c)支持中文检索功能，如使用中国纪年历法进行检索</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核心SQL能力</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a)支持左外连接；</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b)支持右外连接；</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c)支持内连接；</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d)支持全连接</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字符集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中文字符集符合GB18030的要求</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常用操作符</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a)支持逻辑操作符及相关运算；</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b)支持比较操作符及相关运算；</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c)支持算术运算符及相关运算</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条件表达式</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a)支持对比条件表达式；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b)支持逻辑条件表达式；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c)支持空值条件表达式；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d)支持等于条件表达式；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e)支持模式匹配条件表达式；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f)支持区间条件表达式；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g)支持IN条件表达式；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h)支持存在条件表达式；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i)支持以上条件表达式的复合表达式</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SQL执行计划</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支持SQL计划，使SQL按照指定的语句执行，并实现预期结果</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数据库对象</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基础对象类型</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a)支持用户的创建、删除、修改；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b)支持角色的创建、删除、修改；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c)支持存储过程的创建、删除、修改；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d)支持表操作功能；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e)支持自增序列；</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f)支持主键约束、唯一性约束、检查约束和联合主键约束；</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g)支持游标功能；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h)支持视图的创建、删除、修改；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i)支持数值计算函数、字符处理函数、日期时间值函数、间隔函数、类型转换函数、位运算函数、聚合函数、格式化、系统信息等常用函数</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扩展对象类型</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a)支持包的创建、删除、修改；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b)支持触发器的创建、删除、修改；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c)支持外部链接的创建、删除，并可以通过外部链接进行外部访问；</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d)支持作业的创建、删除、修改；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e)支持全局唯一的自增序列；</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f)支持创建函数索引；</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g)支持定义同义词</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基础表分区管理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a)哈希分区方式；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b)范围分区方式；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c)列表分区方式</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扩展表分区管理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a)支持数据库表分区及二级分区能力；</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b)支持建立分区索引</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查看对象</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a)支持查看数据库信息；</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b)支持查看表对象信息；</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c)支持查看索引对象信息；</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d)支持查看字段对象信息；</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e）支持查看约束对象信息；</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f）支持查看数据库实例信息；g）支持查看表空间信息</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查看日志、系统信息</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a)支持查看日志文件的能力；</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b）提供查看实例数据缓存的视图或图形化管理工具；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c）提供查看日志缓存的视图或图形化管理工具；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d）提供查看数据字典的视图或图形化管理工具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对象变更</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a)支持数据库的创建、删除、更新以及数据库属性的查询；</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b)支持在线变更表结构、索引；</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c)支持数据的增加、删除、修改和查询</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查看会话系统表/视图</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a)提供查看会话标识的视图或图形化管理工具；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b)提供查看进程/线程标识的视图或图形化管理工具；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c)提供查看用户标识的视图或图形化管理工具；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d)提供查看最近的用户请求命令的视图或图形化管理工具；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e)提供查看缺省模式的视图或图形化管理工具；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f)提供查看登录时间/会话状态的视图或图形化管理工具；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g)提供查看会话状态的视图或图形化管理工具；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h)提供查看等待会话的锁信息的视图或图形化管理工具；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i)提供查看等待时间统计信息的视图或图形化管理工具；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j)提供查看使用时间统计信息的视图或图形化管理工具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查看监控连接系统表/视图</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a)提供查看连接标识的视图或图形化管理工具；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b)提供查看连接状态的视图或图形化管理工具；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c)提供查看连接用户的视图或图形化管理工具；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d)提供查看连接类型的视图或图形化管理工具；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e)提供查看当前事务信息的视图或图形化管理工具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异构数据库联机访问</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提供异构数据库数据联机访问功能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完整性管理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a)支持验证表存储完整性；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b)支持验证索引存储完整性；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c)支持验证数据库存储结构完整性；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d)支持查看视图定义完整性；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e)支持查看存储过程/函数定义完整性</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事务能力</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事务基础特性</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支持事务的ACID</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死锁检测与处理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a)在并发执行过程中，能检测到死锁；</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b)提供解决全局死锁的机制；</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c)具备死锁处理能力；</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d)具备死锁超时回滚的能力；</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e)具备死锁检测与处理记录功能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运维</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运行时统计信息基础功能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a）数据库慢SQL统计：</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1）支持统计SQL语句；</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2）支持统计用户名；</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3）支持统计数据库名；</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4）支持统计执行时长；</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b）数据库性能状态统计：</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1）支持统计每秒事务数和查询数；</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2）支持统计SQL平均响应时间；</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3）支持统计高频SQL</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运行时统计信息增强功能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a)支持统计集群节点CPU使用情况；b)支持统计集群节点内存使用情况；c)支持统计集群节点磁盘使用情况；d)支持统计集群节点网络使用情况</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日志</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a)具备对各类事件进行日志记录的功能，可通过日志查看操作内容、执行过程和结果；</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b)具备提示和警告功能，提示或警告数据库结构修改、数据库运行配置修改等重要操作；</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c)日志完整正确，并且提供可读文本的形式；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d)支持中文日志</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远程运维</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具备远程维护功能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报警</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a)提供通知管理员的方法或工具；</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b)支持设置报警基线，数据库运行中遇到重要事件、异常事件和状态、超过报警阈值等情况时，通知管理员；</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c)提供报警API；</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d)报警发生时，支持报警信息的实时展示</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SQL监测与优化建议</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a)实时监测SQL执行过程中资源使用情况；</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b)提供查询计划的缓存管理功能；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c)提供SQL改写的优化建议</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迁移</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应用迁移</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a)提供SQL、存储过程等价语法转换，并将转换后的语法在目标库进行校验，转换后语法可编译可执行；</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b)对转换出错或校验出错的语法进行定位，引导用户进行错误校正后再次编译校验；</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c)尽量减少应用的修改，从源数据库迁移到目标数据库，并可运行</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数据迁移</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a)提供元数据、数据库、数据库对象、表数据快速迁移的功能；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b)支持数据迁移工具实现同构或异构数据库之间的数据迁移；</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c)支持全量数据迁移、增量数据持续同步等迁移模式；</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d)在数据迁移过程中具备应对传输异常的能力，保障数据迁移的稳定性、连续性和一致性；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e)支持存量数据的一次性迁移和增量数据库的持续同步；</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f)支持多种不同类型的源数据库和目标数据库之间的数据迁移</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数据比对基础功能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对源数据库和目标数据库之间的数据进行比对，支持数据一致性，并提供一致性比对报告</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数据比对增强功能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数据库数据比对规模是可配置的，用户可根据业务需求，进行库级、表级等级别的比对，提供数据修复功能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备份恢复</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数据备份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a)运行状态下支持对数据库进行全库备份；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b)运行状态下支持对数据库进行部分备份；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c)运行状态下支持对数据库进行增量备份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备份数据管理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a)支持备份数据的加密；</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b)支持备份数据的压缩；</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c)支持备份数据的存储</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用户/模式备份、恢复</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a)支持对数据库的所有或指定用户/模式下的数据进行备份；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b)支持对数据库的所有或指定用户/模式下的数据备份进行恢复</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多种存储媒体备份、还原</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支持多种备份存储媒体，支持多种存储媒体的部分、完整数据库数据还原处理能力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备份还原的一致性校验</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提供数据库备份数据一致性校验的命令或工具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集群管理</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集群构建与管理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a)支持集群的运行环境；</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b)支持创建并配置数据库集群；</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c)配置信息至少包括日常运维管理、容灾管理、日志管理、备份管理、监控等</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集群构建与管理扩展要求</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在读写操作负载差距较大时，提供读写分离能力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数据分布</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a)支持自动数据分布；</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b)按照指定规则设置数据分布</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分布式计算</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支持在分布式节点上的并行计算</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集群扩展</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a)支持在线扩容、缩容；</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b)集群扩容、缩容过程中支持分布式事务ACID特性</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数据重分布</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支持按照数据库集群的节点、状态和负载的变化，进行动态重分布</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对应用透明</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当数据分布、分布计算、集群扩展、数据重分布等变化时，不需要修改应用代码</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均分负载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支持在集群环境下，事务并行执行</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工具</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数据库开发调试工具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a)具备图形化功能，提高易用性；</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b)具备导入、编辑、保存、执行SQL语句和SQL脚本功能；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c)具备复制、编辑现有数据库对象功能；</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d)具备关键词显示标记、动态语法提示的SQL编辑器功能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59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数据库预编译工具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提供预编译工具，支持嵌入式SQL编程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网络配置工具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a)提供客户端、服务器端网络配置向导；</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b)支持配置网络连接参数、主机、端口、协议等内容</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创建、修改、删除工具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a)支持数据库的创建、修改和删除；</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支持配置数据库数据文件、日志文件、归档文件的存储位置、逻辑空间（如表空间）等参数；</w:t>
            </w:r>
            <w:r>
              <w:rPr>
                <w:rFonts w:ascii="宋体" w:hAnsi="宋体" w:cs="宋体"/>
                <w:color w:val="auto"/>
                <w:sz w:val="18"/>
                <w:szCs w:val="18"/>
                <w:highlight w:val="none"/>
              </w:rPr>
            </w:r>
            <w:r>
              <w:rPr>
                <w:color w:val="auto"/>
                <w:highlight w:val="none"/>
              </w:rPr>
            </w:r>
          </w:p>
          <w:p>
            <w:pPr>
              <w:pStyle w:val="943"/>
              <w:jc w:val="left"/>
              <w:rPr>
                <w:rFonts w:ascii="宋体" w:hAnsi="宋体" w:cs="宋体"/>
                <w:color w:val="auto"/>
                <w:sz w:val="18"/>
                <w:szCs w:val="18"/>
                <w:highlight w:val="none"/>
              </w:rPr>
            </w:pPr>
            <w:r>
              <w:rPr>
                <w:rFonts w:hint="eastAsia" w:ascii="宋体" w:hAnsi="宋体" w:cs="宋体"/>
                <w:color w:val="auto"/>
                <w:sz w:val="18"/>
                <w:szCs w:val="18"/>
                <w:highlight w:val="none"/>
              </w:rPr>
              <w:t xml:space="preserve">支持配置数据库属性相关参数（如最大连接数等）</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jc w:val="left"/>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用户、角色管理工具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a)支持创建、修改、删除用户的功能；b）提供定义用户的功能；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c)支持创建、修改、删除角色的功能，且提供用户自定义角色的功能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SQL执行计划查看工具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a)提供与数据库管理系统进行SQL交互的工具，方便运维工作；</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b)支持查看SQL语句查询执行计划与统计信息</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数据库对象工具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a)支持创建、修改、删除表的功能，支持定义表结构、约束、存储配置管理的功能；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b)支持创建、修改、删除索引的功能，支持定义索引结构、类型、存储配置管理的功能；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c)支持创建、修改、删除视图的功能，支持视图定义的功能；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d)支持创建、修改、删除约束的功能，支持约束定义的功能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导入导出工具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a)支持导出不同格式，可以将不同格式数据导入到数据库中；</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b)支持不同级别和不同数据库对象的导入/导出功能；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c)支持从文本文件或者其他上游数据源将数据导入；</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d)支持SQL脚本进行导入导出</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触发器、存储过程/函数工具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a)支持创建、修改、删除触发器的功能，支持触发条件、事件的设置；</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b)支持创建、修改、删除存储过程/函数的功能，提供定义存储过程/函数的工具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数据库运维工具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a)支持数据库、数据库存储对象结构、数据、统计信息更新维护；</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b)支持数据库创建、数据库修改、数据库删除、数据库模板维护；</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c)支持数据库任务自动化调度作业管理；</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d)支持图形化展示数据库管理的各种元数据界面，展示的内容具有层次性，包括模式、非模式数据字典信息</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监控跟踪工具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a)收集和统计数据库某时间段的运行状态及性能信息，判断该时间的数据库运行性能瓶颈；</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b)支持系统状态监控能力，包括对集群、服务器和数据库状态的监控等；</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c)支持性能瓶颈跟踪、运行过程监测与调优；</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d)提供数据库实例、网络通信、数据库对象的跟踪日志，日志数据准确、完整；</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e)支持特定事件或事务发生时收集监控数据库活动事务数据；</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f)支持跟踪数据库等待事件；</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g)提供捕获并记录实例、数据库在特定时间点的状态</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69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图形化管理</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图形化远程启动、关闭数据库</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a)提供数据库资源配置向导；</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b)提供远程数据库服务启动、关闭功能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图形化的开发工具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提供图形化的开发工具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图形化运维工具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提供图形化的运维工具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图形化展示工具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提供图形化数据展示工具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图形界面配置参数基础功能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color w:val="auto"/>
                <w:highlight w:val="none"/>
              </w:rPr>
            </w:pPr>
            <w:r>
              <w:rPr>
                <w:rFonts w:hint="eastAsia" w:ascii="宋体" w:hAnsi="宋体" w:cs="宋体"/>
                <w:color w:val="auto"/>
                <w:sz w:val="18"/>
                <w:szCs w:val="18"/>
                <w:highlight w:val="none"/>
              </w:rPr>
              <w:t xml:space="preserve">a）基本配置参数：</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1）配置资源使用限额；</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2）配置连接数；</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3）配置白名单；</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b）逻辑存储配置：</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1）图形界面支持逻辑存储配置；</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2）提供图形化界面管理数据库对象逻辑空间分配功能；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c）提供图形界面配置参数功能，支持图形界面配置用户口令；</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d）配置审计：</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1）支持图形化界面配置审计策略；</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2）支持查看审计数据</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图形化管理数据库对象</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支持图形化管理统一的数据库实例、数据库日志文件、数据库运行模式、表对象、</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表数据存储空间、索引定义类型、视图、</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触发器、存储过程/函数、角色/用户权限、同义词、序列、外部表、物化视图、作业调度、数据库链接、分区表数据、服务器资源分配、自增列</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图形化监控</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a）支持多实例集成监控与管理；</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b）支持操作系统和网络资源集成监控与管理</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图形化管理归档</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支持对归档模式、归档文件位置、归档启用/停用进行管理</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图形化管理数据的备</w:t>
            </w:r>
            <w:r>
              <w:rPr>
                <w:rFonts w:ascii="宋体" w:hAnsi="宋体" w:cs="宋体"/>
                <w:color w:val="auto"/>
                <w:sz w:val="18"/>
                <w:szCs w:val="18"/>
                <w:highlight w:val="none"/>
              </w:rPr>
            </w:r>
            <w:r>
              <w:rPr>
                <w:color w:val="auto"/>
                <w:highlight w:val="none"/>
              </w:rPr>
            </w:r>
          </w:p>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份、还原/恢复</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提供图形化管理数据的备份、还原/恢复的功能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图形化界面易用性</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a)支持浏览器图形界面管理；</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b)图形化管理工具界面窗口、选单、图标、文字、快捷键统一并易于理解</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79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稳定运行</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稳定运行</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a)支持连续稳定运行；</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b)支持数据库管理系统运行风险的报警能力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故障切换</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快速切换</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支持快速切换，在主数据库出现故障时，能够快速切换到备用数据库，保障业务正常运行</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恢复无断点</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支持无断点恢复能力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容灾能力</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主备备份</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a)支持多副本，支持主副本与从副本之间的数据同步，最低时延由生产厂商提供；</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b)提供数据库复制技术，包括基于日志的备用数据库远程数据库备份技术，并具备数据副本间的复制能力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实例容灾</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a)在任意数据库实例出现故障时，集群内服务正常运行，数据不丢失，集群整体业务可用；</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b)在实例故障、节点故障等单数据库实例故障时，RPO时间等于0，RTO时间小于30s</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容灾部署</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a)提供远程容灾部署与管理功能；</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b)提供生产中心与备份中心之间的容灾部署与管理功能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同城容灾</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a)支持同城双中心部署，当主中心故障时，业务切换到备中心；</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b)由于网络、供电等原因造成的可用区级故障，触发集群计划外停机，在同城多可用区场景下，RPO时间等于0，RTO时间小于1分钟</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异地容灾</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a)城市级故障，比如地震，业务可以切换到异地；</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b)异地灾备场景支持两地三中心部署架构，在本地建立同城灾备中心，在异地建立异地灾备中心，RPO时间小于1分钟，RTO时间小于10分钟</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容错性</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服务端编程稳定性</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支持当用户自定义的存储过程、函数运行异常时，数据库稳定运行</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网络容错</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网络中断时，保障事务一致性</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89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检测报警</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a)支持数据库实例启动时错误检测能力；</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b)支持加载不同文件格式、不同大小数据出现错误时的故障检测和处理能力；</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c)支持数据库备份执行过程中发生故障时报错或者报警能力；</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d)支持数据库恢复发生故障时报错或者报警能力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故障恢复</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a)系统故障重启后能正常运行且支持数据一致性；</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b)支持完全媒体故障恢复的能力；</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c)提供基于时间点故障恢复功能</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不同级别故障可恢复</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支持数据库事务故障、系统故障、存储媒体故障不同级别的可恢复能力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兼容要求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软件兼容</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云化部署</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支持虚拟化部署或容器化部署等云化部署方式</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兼容要求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硬件兼容</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硬件平台兼容</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a)同源支持以下至少三种CPU平台架构：</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1)ARM；</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2)LoongArch；</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3)MIPS；</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4)SW64；</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5)x86；</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b)支持SMP和NUMA的运行环境</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兼容要求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标准兼容</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ODBC</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支持ODBC</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兼容要求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JDBC</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支持JDBC</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交付方式</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交付方式</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以光盘、便携式移动设备、镜像文件、在线下载等交付方式提供产品交付物</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服务周期</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产品维护周期</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产品自发布之日起至产品停止功能升级（包含不限于新特性、新硬件支持、问题修复、安全补丁等）之日止≥5年</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产品延伸服务周期</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产品停止功能升级之日起至产品停止功能维护（包括问题修复、安全补丁等）之日止≥4年</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99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产品延伸安全服务周期</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产品功能维护停止之日起至产品停止安全维护（包括中高风险漏洞修复）之日止≥3年</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售后服务最小保障期</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自销售之日起，产品售后服务周期≥6年</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供应链与服务保障</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供应链与服务保障基础要求</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a)中标后针对本项目应提供多种形式支持服务，包含电话、电子邮件、远程连接等；</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 中标后针对本项目应提供技术支持服务，支持同城4h、异地12h响应要求，两个工作日解决问题，对于未能解决的问题和故障提供可行的升级方案；</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c) 中标后针对本项目应提供培训材料、产品手册、培训视频等培训相关内容；</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d) 中标后针对本项目应建立全国技术服务体系和服务团队，符合专业服务体系标准要求，提供原厂中文服务；</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e)服务周期内支持版本免费升级；</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f)开源产品对获得的社区源代码进行安全性和知识产权审查与管理；</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在线反馈</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支持在线问题反馈</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基本要求</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基本要求</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数据库应当符合安全可靠测评要求</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基础安全</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安全架构</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将系统管理员分为数据库管理员、数据库安全员和数据库审计员三种类型</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漏洞管理</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建立漏洞管理机制，及时通过邮件、网站等方式将安全漏洞告知用户，并提供安全补丁对漏洞进行修复</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身份鉴别及访问控制</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提供身份鉴别及访问控制，加解密的密码要求符合GM/T0028的相关规定</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restart"/>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增强安全</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防篡改</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a)支持对指定的表开启防篡改能力，开启后，对重要数据的增、删、改操作，记录篡改校验信息，并提供篡改校验能力；</w:t>
            </w:r>
            <w:r>
              <w:rPr>
                <w:rFonts w:ascii="宋体" w:hAnsi="宋体" w:cs="宋体"/>
                <w:color w:val="auto"/>
                <w:sz w:val="18"/>
                <w:szCs w:val="18"/>
                <w:highlight w:val="none"/>
              </w:rPr>
            </w:r>
            <w:r>
              <w:rPr>
                <w:color w:val="auto"/>
                <w:highlight w:val="none"/>
              </w:rPr>
            </w:r>
          </w:p>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b)支持对指定的表开启追溯能力，开启</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108</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全密态</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支持全密态的等值、非等值查询能力</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109</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安全扩展要求</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支持自身数据的动态脱敏和透明加密</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110</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闪回查询</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支持数据库闪回查询</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111</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vMerge w:val="continue"/>
            <w:textDirection w:val="lrTb"/>
            <w:noWrap w:val="false"/>
          </w:tcPr>
          <w:p>
            <w:pPr>
              <w:pStyle w:val="943"/>
              <w:jc w:val="center"/>
              <w:rPr>
                <w:rFonts w:ascii="宋体" w:hAnsi="宋体" w:cs="宋体"/>
                <w:sz w:val="18"/>
                <w:szCs w:val="18"/>
              </w:rPr>
            </w:pPr>
            <w:r>
              <w:rPr>
                <w:rFonts w:ascii="宋体" w:hAnsi="宋体" w:cs="宋体"/>
                <w:sz w:val="18"/>
                <w:szCs w:val="18"/>
              </w:rPr>
            </w: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闪回恢复</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支持闪回查询实时恢复数据，支持不同级别（如库级、表级等）的闪回恢复</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112</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安全要求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代码安全</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自主可控</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数据库具有</w:t>
            </w:r>
            <w:r>
              <w:rPr>
                <w:rFonts w:hint="eastAsia" w:ascii="宋体" w:hAnsi="宋体" w:cs="仿宋"/>
                <w:color w:val="auto"/>
                <w:sz w:val="18"/>
                <w:szCs w:val="18"/>
                <w:highlight w:val="none"/>
              </w:rPr>
              <w:t xml:space="preserve">自主知识产权，完全自主可控，且产品核心功能模块的核心源码自主代码比例不低于95%。</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113</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开发支持</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接口方式</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支持ODBC、OCI、OCCI、.NetCore、JDBC等开发接口；支持Qt、Struct、Hibernate、MyBatis等开发框架；</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114</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操作支持</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性能要求</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C、C++、Java、.Net、PHP、Python、Perl、Go等开发语言；单表支持创建2048列；支持分区表，包括范围分区、哈希分区、列表分区、间隔分区等；支持组合分区，如可以实现列表、范围组合分区等；支持单表分区数量为65535个；支持分区键包含多列，列数最多达到16列；支持增加、删除、合并、拆分、交换、截断、重命名等分区操作；支持分区表迁移。</w:t>
            </w:r>
            <w:r>
              <w:rPr>
                <w:rFonts w:hint="eastAsia" w:ascii="宋体" w:hAnsi="宋体" w:cs="仿宋"/>
                <w:color w:val="auto"/>
                <w:sz w:val="18"/>
                <w:szCs w:val="18"/>
                <w:highlight w:val="none"/>
              </w:rPr>
              <w:t xml:space="preserve">单表插入100万数据小于1.3秒，平均存储性能可达到80万条/秒以上；单库单表导入200万行数据小于3秒，批量导入性能可达到70万条/秒以上；单机单表支持140TB文本数据的存储；</w:t>
            </w:r>
            <w:r>
              <w:rPr>
                <w:rFonts w:hint="eastAsia" w:ascii="宋体" w:hAnsi="宋体" w:cs="宋体"/>
                <w:color w:val="auto"/>
                <w:sz w:val="18"/>
                <w:szCs w:val="18"/>
                <w:highlight w:val="none"/>
              </w:rPr>
              <w:t xml:space="preserve">单机单实例TPC-C性能测试，在不少于3000仓3000并发下持续运行60分钟，测试数据库性能指标可达到170万tpmC以上；</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115</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操作支持</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索引能力</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支持多种索引，包括B树索引、聚集索引、唯一索引、非唯一索引、函数索引、分区索引（包括本地分区索引和全局分区索引）、位图索引、位图连接索引、空间索引、数组索引；</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116</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操作支持</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函数能力</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支持LEN、SPACE、MEDIAN、sec_to_time、time_to_sec、FIND_IN_SET、ADD_DAYS/ADD_WEEKS、field、date_format、WEEKDAY、WEEKS_BETWEEN、TEXT_EQUAL等函数语法；</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r>
        <w:trPr>
          <w:cantSplit/>
        </w:trPr>
        <w:tc>
          <w:tcPr>
            <w:tcW w:w="71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117</w:t>
            </w:r>
            <w:r>
              <w:rPr>
                <w:rFonts w:ascii="宋体" w:hAnsi="宋体" w:cs="宋体"/>
                <w:color w:val="auto"/>
                <w:sz w:val="18"/>
                <w:szCs w:val="18"/>
                <w:highlight w:val="none"/>
              </w:rPr>
            </w:r>
            <w:r>
              <w:rPr>
                <w:color w:val="auto"/>
                <w:highlight w:val="none"/>
              </w:rPr>
            </w:r>
          </w:p>
        </w:tc>
        <w:tc>
          <w:tcPr>
            <w:tcW w:w="991"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功能要求</w:t>
            </w:r>
            <w:r>
              <w:rPr>
                <w:rFonts w:ascii="宋体" w:hAnsi="宋体" w:cs="宋体"/>
                <w:color w:val="auto"/>
                <w:sz w:val="18"/>
                <w:szCs w:val="18"/>
                <w:highlight w:val="none"/>
              </w:rPr>
            </w:r>
            <w:r>
              <w:rPr>
                <w:color w:val="auto"/>
                <w:highlight w:val="none"/>
              </w:rPr>
            </w:r>
          </w:p>
        </w:tc>
        <w:tc>
          <w:tcPr>
            <w:tcW w:w="993"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操作支持</w:t>
            </w:r>
            <w:r>
              <w:rPr>
                <w:rFonts w:ascii="宋体" w:hAnsi="宋体" w:cs="宋体"/>
                <w:color w:val="auto"/>
                <w:sz w:val="18"/>
                <w:szCs w:val="18"/>
                <w:highlight w:val="none"/>
              </w:rPr>
            </w:r>
            <w:r>
              <w:rPr>
                <w:color w:val="auto"/>
                <w:highlight w:val="none"/>
              </w:rPr>
            </w:r>
          </w:p>
        </w:tc>
        <w:tc>
          <w:tcPr>
            <w:tcW w:w="1135" w:type="dxa"/>
            <w:vAlign w:val="center"/>
            <w:textDirection w:val="lrTb"/>
            <w:noWrap w:val="false"/>
          </w:tcPr>
          <w:p>
            <w:pPr>
              <w:pStyle w:val="943"/>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可视化工具</w:t>
            </w:r>
            <w:r>
              <w:rPr>
                <w:rFonts w:ascii="宋体" w:hAnsi="宋体" w:cs="宋体"/>
                <w:color w:val="auto"/>
                <w:sz w:val="18"/>
                <w:szCs w:val="18"/>
                <w:highlight w:val="none"/>
              </w:rPr>
            </w:r>
            <w:r>
              <w:rPr>
                <w:color w:val="auto"/>
                <w:highlight w:val="none"/>
              </w:rPr>
            </w:r>
          </w:p>
        </w:tc>
        <w:tc>
          <w:tcPr>
            <w:tcW w:w="4111" w:type="dxa"/>
            <w:vAlign w:val="center"/>
            <w:textDirection w:val="lrTb"/>
            <w:noWrap w:val="false"/>
          </w:tcPr>
          <w:p>
            <w:pPr>
              <w:pStyle w:val="943"/>
              <w:rPr>
                <w:rFonts w:ascii="宋体" w:hAnsi="宋体" w:cs="宋体"/>
                <w:color w:val="auto"/>
                <w:sz w:val="18"/>
                <w:szCs w:val="18"/>
                <w:highlight w:val="none"/>
              </w:rPr>
            </w:pPr>
            <w:r>
              <w:rPr>
                <w:rFonts w:hint="eastAsia" w:ascii="宋体" w:hAnsi="宋体" w:cs="宋体"/>
                <w:color w:val="auto"/>
                <w:sz w:val="18"/>
                <w:szCs w:val="18"/>
                <w:highlight w:val="none"/>
              </w:rPr>
              <w:t xml:space="preserve">提供命令行客户端及基于跨平台风格统一的全图形化客户端工具，包括数据库对象管理、SQL开发、数据迁移、性能监视、数据库配置等多种图形化工具；</w:t>
            </w:r>
            <w:r>
              <w:rPr>
                <w:rFonts w:ascii="宋体" w:hAnsi="宋体" w:cs="宋体"/>
                <w:color w:val="auto"/>
                <w:sz w:val="18"/>
                <w:szCs w:val="18"/>
                <w:highlight w:val="none"/>
              </w:rPr>
            </w:r>
            <w:r>
              <w:rPr>
                <w:color w:val="auto"/>
                <w:highlight w:val="none"/>
              </w:rPr>
            </w:r>
          </w:p>
        </w:tc>
        <w:tc>
          <w:tcPr>
            <w:tcW w:w="1135" w:type="dxa"/>
            <w:vAlign w:val="top"/>
            <w:vMerge w:val="continue"/>
            <w:textDirection w:val="lrTb"/>
            <w:noWrap w:val="false"/>
          </w:tcPr>
          <w:p>
            <w:pPr>
              <w:pStyle w:val="943"/>
              <w:rPr>
                <w:rFonts w:hint="eastAsia" w:ascii="宋体" w:hAnsi="宋体" w:cs="宋体"/>
                <w:sz w:val="18"/>
                <w:szCs w:val="18"/>
              </w:rPr>
            </w:pPr>
            <w:r>
              <w:rPr>
                <w:rFonts w:hint="eastAsia" w:ascii="宋体" w:hAnsi="宋体" w:cs="宋体"/>
                <w:sz w:val="18"/>
                <w:szCs w:val="18"/>
              </w:rPr>
            </w:r>
            <w:r/>
          </w:p>
        </w:tc>
      </w:tr>
    </w:tbl>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（3）国产化中间件：高并发能力，中间件支持处理大量的并发连接，例如，</w:t>
      </w:r>
      <w:r>
        <w:rPr>
          <w:rFonts w:hint="eastAsia" w:ascii="宋体" w:hAnsi="宋体"/>
          <w:bCs/>
          <w:color w:val="auto"/>
          <w:sz w:val="24"/>
          <w:szCs w:val="24"/>
          <w:highlight w:val="none"/>
        </w:rPr>
        <w:t xml:space="preserve">WebServer软件支持10万+的高并发连接，能够应对互联网级别的流量。</w:t>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定制开发应用软件技术参数要求如下：</w:t>
      </w:r>
      <w:r>
        <w:rPr>
          <w:rFonts w:ascii="宋体" w:hAnsi="宋体"/>
          <w:bCs/>
          <w:color w:val="auto"/>
          <w:sz w:val="24"/>
          <w:szCs w:val="24"/>
          <w:highlight w:val="none"/>
        </w:rPr>
      </w:r>
      <w:r>
        <w:rPr>
          <w:color w:val="auto"/>
          <w:highlight w:val="none"/>
        </w:rPr>
      </w:r>
    </w:p>
    <w:p>
      <w:pPr>
        <w:pStyle w:val="943"/>
        <w:ind w:left="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hint="eastAsia" w:ascii="宋体" w:hAnsi="宋体"/>
          <w:bCs/>
          <w:color w:val="auto"/>
          <w:sz w:val="24"/>
          <w:szCs w:val="24"/>
          <w:highlight w:val="none"/>
        </w:rPr>
        <w:t xml:space="preserve">数据中台</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1.数据融合开发服务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利用数据中台的融合式开发功能，实现基于主要业务概念的数据和业务的融合，消除数据烟囱，增强数据整体性和可分析性，形成数据资产，并实现支撑上层应用分析建设和对外主数据共享。提供离线开发、指标开发和灵活数据编排能力，快速支撑业务取数用数。</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7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数据编排能力服务</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数据源管理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在线文件管理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任务管理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数据搬迁组件</w:t>
      </w:r>
      <w:r>
        <w:rPr>
          <w:rFonts w:ascii="宋体" w:hAnsi="宋体"/>
          <w:bCs/>
          <w:color w:val="auto"/>
          <w:sz w:val="24"/>
          <w:szCs w:val="24"/>
          <w:highlight w:val="none"/>
        </w:rPr>
      </w:r>
      <w:r>
        <w:rPr>
          <w:color w:val="auto"/>
          <w:highlight w:val="none"/>
        </w:rPr>
      </w:r>
    </w:p>
    <w:p>
      <w:pPr>
        <w:pStyle w:val="943"/>
        <w:numPr>
          <w:ilvl w:val="0"/>
          <w:numId w:val="7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数据工作台管理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项目管理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模型管理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开发工作区</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开发模板管理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发布管理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权限管理</w:t>
      </w:r>
      <w:r>
        <w:rPr>
          <w:rFonts w:ascii="宋体" w:hAnsi="宋体"/>
          <w:bCs/>
          <w:color w:val="auto"/>
          <w:sz w:val="24"/>
          <w:szCs w:val="24"/>
          <w:highlight w:val="none"/>
        </w:rPr>
      </w:r>
      <w:r>
        <w:rPr>
          <w:color w:val="auto"/>
          <w:highlight w:val="none"/>
        </w:rPr>
      </w:r>
    </w:p>
    <w:p>
      <w:pPr>
        <w:pStyle w:val="943"/>
        <w:numPr>
          <w:ilvl w:val="0"/>
          <w:numId w:val="7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自动化数据融合服务</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视图管理</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自助报表</w:t>
      </w:r>
      <w:r>
        <w:rPr>
          <w:rFonts w:ascii="宋体" w:hAnsi="宋体"/>
          <w:bCs/>
          <w:color w:val="auto"/>
          <w:sz w:val="24"/>
          <w:szCs w:val="24"/>
          <w:highlight w:val="none"/>
        </w:rPr>
      </w:r>
      <w:r>
        <w:rPr>
          <w:color w:val="auto"/>
          <w:highlight w:val="none"/>
        </w:rPr>
      </w:r>
    </w:p>
    <w:p>
      <w:pPr>
        <w:pStyle w:val="943"/>
        <w:numPr>
          <w:ilvl w:val="1"/>
          <w:numId w:val="79"/>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权限配置</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2.数据质量服务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向导化、可视化等简易操作手段，配置数据质量准确、完整、一致性等稽核规则，更快地完成业务流程，减少错误和重复工作，提高业务流程的效率。支持对质量规则任务，质量结果异常等进行监控告警管理功能，帮助质量运维人及时对数据质量异常情况分析定位改进。</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8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数据基础配置服务</w:t>
      </w:r>
      <w:r>
        <w:rPr>
          <w:rFonts w:ascii="宋体" w:hAnsi="宋体"/>
          <w:bCs/>
          <w:color w:val="auto"/>
          <w:sz w:val="24"/>
          <w:szCs w:val="24"/>
          <w:highlight w:val="none"/>
        </w:rPr>
      </w:r>
      <w:r>
        <w:rPr>
          <w:color w:val="auto"/>
          <w:highlight w:val="none"/>
        </w:rPr>
      </w:r>
    </w:p>
    <w:p>
      <w:pPr>
        <w:pStyle w:val="943"/>
        <w:numPr>
          <w:ilvl w:val="0"/>
          <w:numId w:val="8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稽核规则管理</w:t>
      </w:r>
      <w:r>
        <w:rPr>
          <w:rFonts w:ascii="宋体" w:hAnsi="宋体"/>
          <w:bCs/>
          <w:color w:val="auto"/>
          <w:sz w:val="24"/>
          <w:szCs w:val="24"/>
          <w:highlight w:val="none"/>
        </w:rPr>
      </w:r>
      <w:r>
        <w:rPr>
          <w:color w:val="auto"/>
          <w:highlight w:val="none"/>
        </w:rPr>
      </w:r>
    </w:p>
    <w:p>
      <w:pPr>
        <w:pStyle w:val="943"/>
        <w:numPr>
          <w:ilvl w:val="0"/>
          <w:numId w:val="8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稽核规则发布管理</w:t>
      </w:r>
      <w:r>
        <w:rPr>
          <w:rFonts w:ascii="宋体" w:hAnsi="宋体"/>
          <w:bCs/>
          <w:color w:val="auto"/>
          <w:sz w:val="24"/>
          <w:szCs w:val="24"/>
          <w:highlight w:val="none"/>
        </w:rPr>
      </w:r>
      <w:r>
        <w:rPr>
          <w:color w:val="auto"/>
          <w:highlight w:val="none"/>
        </w:rPr>
      </w:r>
    </w:p>
    <w:p>
      <w:pPr>
        <w:pStyle w:val="943"/>
        <w:numPr>
          <w:ilvl w:val="0"/>
          <w:numId w:val="8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稽核规则基本操作配置</w:t>
      </w:r>
      <w:r>
        <w:rPr>
          <w:rFonts w:ascii="宋体" w:hAnsi="宋体"/>
          <w:bCs/>
          <w:color w:val="auto"/>
          <w:sz w:val="24"/>
          <w:szCs w:val="24"/>
          <w:highlight w:val="none"/>
        </w:rPr>
      </w:r>
      <w:r>
        <w:rPr>
          <w:color w:val="auto"/>
          <w:highlight w:val="none"/>
        </w:rPr>
      </w:r>
    </w:p>
    <w:p>
      <w:pPr>
        <w:pStyle w:val="943"/>
        <w:numPr>
          <w:ilvl w:val="0"/>
          <w:numId w:val="8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监控告警管理</w:t>
      </w:r>
      <w:r>
        <w:rPr>
          <w:rFonts w:ascii="宋体" w:hAnsi="宋体"/>
          <w:bCs/>
          <w:color w:val="auto"/>
          <w:sz w:val="24"/>
          <w:szCs w:val="24"/>
          <w:highlight w:val="none"/>
        </w:rPr>
      </w:r>
      <w:r>
        <w:rPr>
          <w:color w:val="auto"/>
          <w:highlight w:val="none"/>
        </w:rPr>
      </w:r>
    </w:p>
    <w:p>
      <w:pPr>
        <w:pStyle w:val="943"/>
        <w:numPr>
          <w:ilvl w:val="0"/>
          <w:numId w:val="8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稽核规则监控</w:t>
      </w:r>
      <w:r>
        <w:rPr>
          <w:rFonts w:ascii="宋体" w:hAnsi="宋体"/>
          <w:bCs/>
          <w:color w:val="auto"/>
          <w:sz w:val="24"/>
          <w:szCs w:val="24"/>
          <w:highlight w:val="none"/>
        </w:rPr>
      </w:r>
      <w:r>
        <w:rPr>
          <w:color w:val="auto"/>
          <w:highlight w:val="none"/>
        </w:rPr>
      </w:r>
    </w:p>
    <w:p>
      <w:pPr>
        <w:pStyle w:val="943"/>
        <w:numPr>
          <w:ilvl w:val="0"/>
          <w:numId w:val="8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稽核规则任务基础操作</w:t>
      </w:r>
      <w:r>
        <w:rPr>
          <w:rFonts w:ascii="宋体" w:hAnsi="宋体"/>
          <w:bCs/>
          <w:color w:val="auto"/>
          <w:sz w:val="24"/>
          <w:szCs w:val="24"/>
          <w:highlight w:val="none"/>
        </w:rPr>
      </w:r>
      <w:r>
        <w:rPr>
          <w:color w:val="auto"/>
          <w:highlight w:val="none"/>
        </w:rPr>
      </w:r>
    </w:p>
    <w:p>
      <w:pPr>
        <w:pStyle w:val="943"/>
        <w:numPr>
          <w:ilvl w:val="0"/>
          <w:numId w:val="8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稽核规则任务日志管理</w:t>
      </w:r>
      <w:r>
        <w:rPr>
          <w:rFonts w:ascii="宋体" w:hAnsi="宋体"/>
          <w:bCs/>
          <w:color w:val="auto"/>
          <w:sz w:val="24"/>
          <w:szCs w:val="24"/>
          <w:highlight w:val="none"/>
        </w:rPr>
      </w:r>
      <w:r>
        <w:rPr>
          <w:color w:val="auto"/>
          <w:highlight w:val="none"/>
        </w:rPr>
      </w:r>
    </w:p>
    <w:p>
      <w:pPr>
        <w:pStyle w:val="943"/>
        <w:numPr>
          <w:ilvl w:val="0"/>
          <w:numId w:val="8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数据质量知识库</w:t>
      </w:r>
      <w:r>
        <w:rPr>
          <w:rFonts w:ascii="宋体" w:hAnsi="宋体"/>
          <w:bCs/>
          <w:color w:val="auto"/>
          <w:sz w:val="24"/>
          <w:szCs w:val="24"/>
          <w:highlight w:val="none"/>
        </w:rPr>
      </w:r>
      <w:r>
        <w:rPr>
          <w:color w:val="auto"/>
          <w:highlight w:val="none"/>
        </w:rPr>
      </w:r>
    </w:p>
    <w:p>
      <w:pPr>
        <w:pStyle w:val="943"/>
        <w:numPr>
          <w:ilvl w:val="0"/>
          <w:numId w:val="8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质量知识列表基础查询</w:t>
      </w:r>
      <w:r>
        <w:rPr>
          <w:rFonts w:ascii="宋体" w:hAnsi="宋体"/>
          <w:bCs/>
          <w:color w:val="auto"/>
          <w:sz w:val="24"/>
          <w:szCs w:val="24"/>
          <w:highlight w:val="none"/>
        </w:rPr>
      </w:r>
      <w:r>
        <w:rPr>
          <w:color w:val="auto"/>
          <w:highlight w:val="none"/>
        </w:rPr>
      </w:r>
    </w:p>
    <w:p>
      <w:pPr>
        <w:pStyle w:val="943"/>
        <w:numPr>
          <w:ilvl w:val="0"/>
          <w:numId w:val="8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质量知识基础管理</w:t>
      </w:r>
      <w:r>
        <w:rPr>
          <w:rFonts w:ascii="宋体" w:hAnsi="宋体"/>
          <w:bCs/>
          <w:color w:val="auto"/>
          <w:sz w:val="24"/>
          <w:szCs w:val="24"/>
          <w:highlight w:val="none"/>
        </w:rPr>
      </w:r>
      <w:r>
        <w:rPr>
          <w:color w:val="auto"/>
          <w:highlight w:val="none"/>
        </w:rPr>
      </w:r>
    </w:p>
    <w:p>
      <w:pPr>
        <w:pStyle w:val="943"/>
        <w:numPr>
          <w:ilvl w:val="0"/>
          <w:numId w:val="8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质量知识下载管理</w:t>
      </w:r>
      <w:r>
        <w:rPr>
          <w:rFonts w:ascii="宋体" w:hAnsi="宋体"/>
          <w:bCs/>
          <w:color w:val="auto"/>
          <w:sz w:val="24"/>
          <w:szCs w:val="24"/>
          <w:highlight w:val="none"/>
        </w:rPr>
      </w:r>
      <w:r>
        <w:rPr>
          <w:color w:val="auto"/>
          <w:highlight w:val="none"/>
        </w:rPr>
      </w:r>
    </w:p>
    <w:p>
      <w:pPr>
        <w:pStyle w:val="943"/>
        <w:numPr>
          <w:ilvl w:val="0"/>
          <w:numId w:val="8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数据质量保障服务</w:t>
      </w:r>
      <w:r>
        <w:rPr>
          <w:rFonts w:ascii="宋体" w:hAnsi="宋体"/>
          <w:bCs/>
          <w:color w:val="auto"/>
          <w:sz w:val="24"/>
          <w:szCs w:val="24"/>
          <w:highlight w:val="none"/>
        </w:rPr>
      </w:r>
      <w:r>
        <w:rPr>
          <w:color w:val="auto"/>
          <w:highlight w:val="none"/>
        </w:rPr>
      </w:r>
    </w:p>
    <w:p>
      <w:pPr>
        <w:pStyle w:val="943"/>
        <w:numPr>
          <w:ilvl w:val="0"/>
          <w:numId w:val="8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质量问题管理</w:t>
      </w:r>
      <w:r>
        <w:rPr>
          <w:rFonts w:ascii="宋体" w:hAnsi="宋体"/>
          <w:bCs/>
          <w:color w:val="auto"/>
          <w:sz w:val="24"/>
          <w:szCs w:val="24"/>
          <w:highlight w:val="none"/>
        </w:rPr>
      </w:r>
      <w:r>
        <w:rPr>
          <w:color w:val="auto"/>
          <w:highlight w:val="none"/>
        </w:rPr>
      </w:r>
    </w:p>
    <w:p>
      <w:pPr>
        <w:pStyle w:val="943"/>
        <w:numPr>
          <w:ilvl w:val="0"/>
          <w:numId w:val="8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稽核结果管理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3.数据运维服务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支持对离线同步任务、离线计算任务等任务运行实例监控数据的状态和性能指标，进行自定义调度和图形化监控，实现统一调度、统一监控，满足运维可视化需求，提高运维管理工作效率。</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8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监控数据服务</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任务组件</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调度配置</w:t>
      </w:r>
      <w:r>
        <w:rPr>
          <w:rFonts w:ascii="宋体" w:hAnsi="宋体"/>
          <w:bCs/>
          <w:color w:val="auto"/>
          <w:sz w:val="24"/>
          <w:szCs w:val="24"/>
          <w:highlight w:val="none"/>
        </w:rPr>
      </w:r>
      <w:r>
        <w:rPr>
          <w:color w:val="auto"/>
          <w:highlight w:val="none"/>
        </w:rPr>
      </w:r>
    </w:p>
    <w:p>
      <w:pPr>
        <w:pStyle w:val="943"/>
        <w:numPr>
          <w:ilvl w:val="0"/>
          <w:numId w:val="8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告警</w:t>
      </w:r>
      <w:r>
        <w:rPr>
          <w:rFonts w:hint="eastAsia" w:ascii="宋体" w:hAnsi="宋体"/>
          <w:bCs/>
          <w:color w:val="auto"/>
          <w:sz w:val="24"/>
          <w:szCs w:val="24"/>
          <w:highlight w:val="none"/>
        </w:rPr>
        <w:t xml:space="preserve">监控</w:t>
      </w:r>
      <w:r>
        <w:rPr>
          <w:rFonts w:hint="eastAsia" w:ascii="宋体" w:hAnsi="宋体"/>
          <w:bCs/>
          <w:color w:val="auto"/>
          <w:sz w:val="24"/>
          <w:szCs w:val="24"/>
          <w:highlight w:val="none"/>
        </w:rPr>
        <w:t xml:space="preserve">管理服务</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360监控</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任务监控</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调度参数管理</w:t>
      </w:r>
      <w:r>
        <w:rPr>
          <w:rFonts w:ascii="宋体" w:hAnsi="宋体"/>
          <w:bCs/>
          <w:color w:val="auto"/>
          <w:sz w:val="24"/>
          <w:szCs w:val="24"/>
          <w:highlight w:val="none"/>
        </w:rPr>
      </w:r>
      <w:r>
        <w:rPr>
          <w:color w:val="auto"/>
          <w:highlight w:val="none"/>
        </w:rPr>
      </w:r>
    </w:p>
    <w:p>
      <w:pPr>
        <w:pStyle w:val="943"/>
        <w:numPr>
          <w:ilvl w:val="0"/>
          <w:numId w:val="8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运维基础配置管理</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血缘分析</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定时任务监控</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事件管理</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告警规则</w:t>
      </w:r>
      <w:r>
        <w:rPr>
          <w:rFonts w:ascii="宋体" w:hAnsi="宋体"/>
          <w:bCs/>
          <w:color w:val="auto"/>
          <w:sz w:val="24"/>
          <w:szCs w:val="24"/>
          <w:highlight w:val="none"/>
        </w:rPr>
      </w:r>
      <w:r>
        <w:rPr>
          <w:color w:val="auto"/>
          <w:highlight w:val="none"/>
        </w:rPr>
      </w:r>
    </w:p>
    <w:p>
      <w:pPr>
        <w:pStyle w:val="943"/>
        <w:numPr>
          <w:ilvl w:val="0"/>
          <w:numId w:val="8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告警实例</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4.可视化分析工具</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提供海量数据，数据分析能力，专注于解决业务全场景的数据分析需求，帮助用户利用数据支撑业务决策，挖掘业务增长契机。支持低代码可视化配置，拖拉拽式数据处理配置，自助式探索数据价值。</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8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模板库配置管理</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数据集管理</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数据报表设计</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报表管理</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数据权限管理</w:t>
      </w:r>
      <w:r>
        <w:rPr>
          <w:rFonts w:ascii="宋体" w:hAnsi="宋体"/>
          <w:bCs/>
          <w:color w:val="auto"/>
          <w:sz w:val="24"/>
          <w:szCs w:val="24"/>
          <w:highlight w:val="none"/>
        </w:rPr>
      </w:r>
      <w:r>
        <w:rPr>
          <w:color w:val="auto"/>
          <w:highlight w:val="none"/>
        </w:rPr>
      </w:r>
    </w:p>
    <w:p>
      <w:pPr>
        <w:pStyle w:val="943"/>
        <w:numPr>
          <w:ilvl w:val="0"/>
          <w:numId w:val="8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可视化分析助手</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报表日志</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下载任务监控</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公共参数管理</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报表宽表管理</w:t>
      </w:r>
      <w:r>
        <w:rPr>
          <w:rFonts w:ascii="宋体" w:hAnsi="宋体"/>
          <w:bCs/>
          <w:color w:val="auto"/>
          <w:sz w:val="24"/>
          <w:szCs w:val="24"/>
          <w:highlight w:val="none"/>
        </w:rPr>
      </w:r>
      <w:r>
        <w:rPr>
          <w:color w:val="auto"/>
          <w:highlight w:val="none"/>
        </w:rPr>
      </w:r>
    </w:p>
    <w:p>
      <w:pPr>
        <w:pStyle w:val="943"/>
        <w:numPr>
          <w:ilvl w:val="0"/>
          <w:numId w:val="87"/>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多维度分析服务</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数据质量大屏</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数据开放大屏</w:t>
      </w:r>
      <w:r>
        <w:rPr>
          <w:rFonts w:ascii="宋体" w:hAnsi="宋体"/>
          <w:bCs/>
          <w:color w:val="auto"/>
          <w:sz w:val="24"/>
          <w:szCs w:val="24"/>
          <w:highlight w:val="none"/>
        </w:rPr>
      </w:r>
      <w:r>
        <w:rPr>
          <w:color w:val="auto"/>
          <w:highlight w:val="none"/>
        </w:rPr>
      </w:r>
    </w:p>
    <w:p>
      <w:pPr>
        <w:pStyle w:val="943"/>
        <w:numPr>
          <w:ilvl w:val="0"/>
          <w:numId w:val="8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主数据管理大屏</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5.国产化适配服务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现大数据平台的组件国产化服务，如银河麒麟高级服务器操作系统V10、统信服务器操作系统V20、方德高可信服务器操作系统V4.0、华为欧拉操作系统V2.0等服务器操作系统。选择符合安可目录的数据库和中间件，如选择华达梦数据库管理系统V8.4、东方通TongWeb、中创中间件等。将数据底座、操作系统和中台应用等实现国产化和完全适配。</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8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操作系统</w:t>
      </w:r>
      <w:r>
        <w:rPr>
          <w:rFonts w:ascii="宋体" w:hAnsi="宋体"/>
          <w:bCs/>
          <w:color w:val="auto"/>
          <w:sz w:val="24"/>
          <w:szCs w:val="24"/>
          <w:highlight w:val="none"/>
        </w:rPr>
      </w:r>
      <w:r>
        <w:rPr>
          <w:color w:val="auto"/>
          <w:highlight w:val="none"/>
        </w:rPr>
      </w:r>
    </w:p>
    <w:p>
      <w:pPr>
        <w:pStyle w:val="943"/>
        <w:numPr>
          <w:ilvl w:val="0"/>
          <w:numId w:val="9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替换为国产化操作系统</w:t>
      </w:r>
      <w:r>
        <w:rPr>
          <w:rFonts w:ascii="宋体" w:hAnsi="宋体"/>
          <w:bCs/>
          <w:color w:val="auto"/>
          <w:sz w:val="24"/>
          <w:szCs w:val="24"/>
          <w:highlight w:val="none"/>
        </w:rPr>
      </w:r>
      <w:r>
        <w:rPr>
          <w:color w:val="auto"/>
          <w:highlight w:val="none"/>
        </w:rPr>
      </w:r>
    </w:p>
    <w:p>
      <w:pPr>
        <w:pStyle w:val="943"/>
        <w:numPr>
          <w:ilvl w:val="0"/>
          <w:numId w:val="8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数据底座</w:t>
      </w:r>
      <w:r>
        <w:rPr>
          <w:rFonts w:ascii="宋体" w:hAnsi="宋体"/>
          <w:bCs/>
          <w:color w:val="auto"/>
          <w:sz w:val="24"/>
          <w:szCs w:val="24"/>
          <w:highlight w:val="none"/>
        </w:rPr>
      </w:r>
      <w:r>
        <w:rPr>
          <w:color w:val="auto"/>
          <w:highlight w:val="none"/>
        </w:rPr>
      </w:r>
    </w:p>
    <w:p>
      <w:pPr>
        <w:pStyle w:val="943"/>
        <w:numPr>
          <w:ilvl w:val="0"/>
          <w:numId w:val="9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替换为国产化大数据集群</w:t>
      </w:r>
      <w:r>
        <w:rPr>
          <w:rFonts w:ascii="宋体" w:hAnsi="宋体"/>
          <w:bCs/>
          <w:color w:val="auto"/>
          <w:sz w:val="24"/>
          <w:szCs w:val="24"/>
          <w:highlight w:val="none"/>
        </w:rPr>
      </w:r>
      <w:r>
        <w:rPr>
          <w:color w:val="auto"/>
          <w:highlight w:val="none"/>
        </w:rPr>
      </w:r>
    </w:p>
    <w:p>
      <w:pPr>
        <w:pStyle w:val="943"/>
        <w:numPr>
          <w:ilvl w:val="0"/>
          <w:numId w:val="9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替换为国产元数据库</w:t>
      </w:r>
      <w:r>
        <w:rPr>
          <w:rFonts w:ascii="宋体" w:hAnsi="宋体"/>
          <w:bCs/>
          <w:color w:val="auto"/>
          <w:sz w:val="24"/>
          <w:szCs w:val="24"/>
          <w:highlight w:val="none"/>
        </w:rPr>
      </w:r>
      <w:r>
        <w:rPr>
          <w:color w:val="auto"/>
          <w:highlight w:val="none"/>
        </w:rPr>
      </w:r>
    </w:p>
    <w:p>
      <w:pPr>
        <w:pStyle w:val="943"/>
        <w:numPr>
          <w:ilvl w:val="0"/>
          <w:numId w:val="9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替换为国产应用数据库</w:t>
      </w:r>
      <w:r>
        <w:rPr>
          <w:rFonts w:ascii="宋体" w:hAnsi="宋体"/>
          <w:bCs/>
          <w:color w:val="auto"/>
          <w:sz w:val="24"/>
          <w:szCs w:val="24"/>
          <w:highlight w:val="none"/>
        </w:rPr>
      </w:r>
      <w:r>
        <w:rPr>
          <w:color w:val="auto"/>
          <w:highlight w:val="none"/>
        </w:rPr>
      </w:r>
    </w:p>
    <w:p>
      <w:pPr>
        <w:pStyle w:val="943"/>
        <w:numPr>
          <w:ilvl w:val="0"/>
          <w:numId w:val="8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中间件</w:t>
      </w:r>
      <w:r>
        <w:rPr>
          <w:rFonts w:ascii="宋体" w:hAnsi="宋体"/>
          <w:bCs/>
          <w:color w:val="auto"/>
          <w:sz w:val="24"/>
          <w:szCs w:val="24"/>
          <w:highlight w:val="none"/>
        </w:rPr>
      </w:r>
      <w:r>
        <w:rPr>
          <w:color w:val="auto"/>
          <w:highlight w:val="none"/>
        </w:rPr>
      </w:r>
    </w:p>
    <w:p>
      <w:pPr>
        <w:pStyle w:val="943"/>
        <w:numPr>
          <w:ilvl w:val="0"/>
          <w:numId w:val="9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替换为国产中间件</w:t>
      </w:r>
      <w:r>
        <w:rPr>
          <w:rFonts w:ascii="宋体" w:hAnsi="宋体"/>
          <w:bCs/>
          <w:color w:val="auto"/>
          <w:sz w:val="24"/>
          <w:szCs w:val="24"/>
          <w:highlight w:val="none"/>
        </w:rPr>
      </w:r>
      <w:r>
        <w:rPr>
          <w:color w:val="auto"/>
          <w:highlight w:val="none"/>
        </w:rPr>
      </w:r>
    </w:p>
    <w:p>
      <w:pPr>
        <w:pStyle w:val="943"/>
        <w:numPr>
          <w:ilvl w:val="0"/>
          <w:numId w:val="8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数据中台应用</w:t>
      </w:r>
      <w:r>
        <w:rPr>
          <w:rFonts w:ascii="宋体" w:hAnsi="宋体"/>
          <w:bCs/>
          <w:color w:val="auto"/>
          <w:sz w:val="24"/>
          <w:szCs w:val="24"/>
          <w:highlight w:val="none"/>
        </w:rPr>
      </w:r>
      <w:r>
        <w:rPr>
          <w:color w:val="auto"/>
          <w:highlight w:val="none"/>
        </w:rPr>
      </w:r>
    </w:p>
    <w:p>
      <w:pPr>
        <w:pStyle w:val="943"/>
        <w:numPr>
          <w:ilvl w:val="0"/>
          <w:numId w:val="9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数据中台应用系统改造</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6.主数据管理服务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建设主数据和参考数据的标准，确保了在不同部门和业务单元之间的数据可以得到统一、标准化的管理，确保了数据的准确性和可信度，支持主数据的统一集中管控，为企业能够更好地理解和分析自己的数据，做出更明智的决策，并为业务创新和发展提供支持。</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主数据标准化建设</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主数据目录管理</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主数据编码规则</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主数据交换管理服务</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分发订阅</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业务系统管理</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数据分发任务</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主数据治理服务</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数据维护</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数据分发任务</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数据打标</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主数据建仓服务</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模型管理</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主数据基础管理</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权限管理</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主数据统一集中管控服务</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主数据标签管理</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参考数据映射</w:t>
      </w:r>
      <w:r>
        <w:rPr>
          <w:rFonts w:ascii="宋体" w:hAnsi="宋体"/>
          <w:bCs/>
          <w:color w:val="auto"/>
          <w:sz w:val="24"/>
          <w:szCs w:val="24"/>
          <w:highlight w:val="none"/>
        </w:rPr>
      </w:r>
      <w:r>
        <w:rPr>
          <w:color w:val="auto"/>
          <w:highlight w:val="none"/>
        </w:rPr>
      </w:r>
    </w:p>
    <w:p>
      <w:pPr>
        <w:pStyle w:val="943"/>
        <w:numPr>
          <w:ilvl w:val="0"/>
          <w:numId w:val="9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主数据融合（全农码）</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模型关系</w:t>
      </w:r>
      <w:r>
        <w:rPr>
          <w:rFonts w:ascii="宋体" w:hAnsi="宋体"/>
          <w:bCs/>
          <w:color w:val="auto"/>
          <w:sz w:val="24"/>
          <w:szCs w:val="24"/>
          <w:highlight w:val="none"/>
        </w:rPr>
      </w:r>
      <w:r>
        <w:rPr>
          <w:color w:val="auto"/>
          <w:highlight w:val="none"/>
        </w:rPr>
      </w:r>
    </w:p>
    <w:p>
      <w:pPr>
        <w:pStyle w:val="943"/>
        <w:numPr>
          <w:ilvl w:val="0"/>
          <w:numId w:val="9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参考数据配置</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7.数据开放提升服务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在数据安全前提下实施目录化、超市化的数据服务提供，可视化展示数据资产，操作人员便捷式的查询和检索数据资产，界面化的提出用数申请，申请通过后即可以文本、接口等方式快速的获取和使用数据。</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数据规范化服务</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数据架构</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字段库</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主数据管理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数据元标准</w:t>
      </w:r>
      <w:r>
        <w:rPr>
          <w:rFonts w:ascii="宋体" w:hAnsi="宋体"/>
          <w:bCs/>
          <w:color w:val="auto"/>
          <w:sz w:val="24"/>
          <w:szCs w:val="24"/>
          <w:highlight w:val="none"/>
        </w:rPr>
      </w:r>
      <w:r>
        <w:rPr>
          <w:color w:val="auto"/>
          <w:highlight w:val="none"/>
        </w:rPr>
      </w:r>
    </w:p>
    <w:p>
      <w:pPr>
        <w:pStyle w:val="943"/>
        <w:numPr>
          <w:ilvl w:val="0"/>
          <w:numId w:val="93"/>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数据资产价值分析</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数据共享交换服务门户</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资源目录管理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开放宽表管理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API接口管理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文件服务管理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消息资源管理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我的数据</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审批处理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我的申请单</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应用管理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政策动态管理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互动交流管理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目录模板管理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资源分类管理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业务系统管理</w:t>
      </w:r>
      <w:r>
        <w:rPr>
          <w:rFonts w:ascii="宋体" w:hAnsi="宋体"/>
          <w:bCs/>
          <w:color w:val="auto"/>
          <w:sz w:val="24"/>
          <w:szCs w:val="24"/>
          <w:highlight w:val="none"/>
        </w:rPr>
      </w:r>
      <w:r>
        <w:rPr>
          <w:color w:val="auto"/>
          <w:highlight w:val="none"/>
        </w:rPr>
      </w:r>
    </w:p>
    <w:p>
      <w:pPr>
        <w:pStyle w:val="943"/>
        <w:numPr>
          <w:ilvl w:val="0"/>
          <w:numId w:val="9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共享交换统计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8.数据资产大屏</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数据中台数据资源、资产进行采集和集中化可视化展示和分析，包括接入数据、数据加工、数据资产、数据服务等各类数据资产资源的统计分析并实现可视化，帮助了解局内数据资产资源来源、数据资产生产加工、数据资产规模、数据资产开放使用情况等关键信息，辅助监控和分析决策。</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数据资产展示服务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数据接入概况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数据资产概况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主数据概况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数据加工概况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数据调用概况</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数据资产资源统计分析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统计分析情况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数据记录数量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数据表数量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占用存储数量</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9.云资源监控大屏</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云资源监控大屏对接无锡农业农村局提供的有关政务云平台资源运行情况数据，主要包括主机操作系统、CPU、内存、磁盘使用、系统负载、网络流量方面的数据对对接源头系统性能有关数据，监控云端各主机和设备的性能表现，包括CPU使用率、内存使用率、磁盘空间使用率、系统负载、网络流量等指标，确保云基础设施的健康状态、性能表现，及时发现和解决潜在问题。</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云资源信息展示服务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云资源监控指标</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CPU使用情况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内存使用情况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磁盘使用情况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网络流量监控</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云资源信息综合统计分析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统计分析情况</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CPU使用率平均值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内存使用率平均值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网络流出速率平均值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网络流入速率平均值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磁盘读操作速率平均值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磁盘写操作速率平均值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云硬盘I/O读出平均值</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云硬盘I/O写入平均值</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10.安全监控大屏</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全监控大屏对接无锡农业农村局提供的有关政务云平台提供的有关安全有关数据，直观分析展现安全相关的各项关键指标和状态，包括网络安全指标、系统安全指标、应用安全指标和应急响应指标等一系列关键指标。确保能够快速识别并响应安全事件。</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安全信息展示服务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敏感级别配置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脱敏措施配置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敏感字段定义</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敏感字段查询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数据分类配置</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安全信息综合统计分析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安全监控指标</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网络事件响应时间</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数据泄密事件次数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恶意代码感染次数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安全补丁更新率</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hint="eastAsia" w:ascii="宋体" w:hAnsi="宋体"/>
          <w:bCs/>
          <w:color w:val="auto"/>
          <w:sz w:val="24"/>
          <w:szCs w:val="24"/>
          <w:highlight w:val="none"/>
        </w:rPr>
        <w:t xml:space="preserve">业务中台</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业务中台是介于前台与后台之间的服务层，它通过对业务共性能力进行抽象和沉淀，将前台业务与后台服务进行连接和协同。建设内容包含有统一UI规范、无锡市农业农村数字服务平台、服务能力集成、RPA自动化机器人、统一业务管理系统、主体数据申报管理、农业金融保险服务、大场景应用赋能、数智智慧调度平台、数智智慧调度平台数据驾驶舱。</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1.统一UI规范</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过统一的用户界面规范，提供给局方各处室用户及广大民众一个直观、高效且易于使用的数据交互平台。包含的内容有：大屏端应用、PC端应用、移动端应用的统一UI规范，特别强调结合农业领域的实际需求，设计具有针对性、友好性、便捷性、实用性的界面元素，统一的UI设计规范不但可以保证项目的正常交接运行，在UI设计中还使其整体的保持风格一致，例如图标的线条粗细、边角弧度、图标高度宽度比例、风格等。确保用户能够快速理解并操作。</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其主要建设内容如下：</w:t>
      </w:r>
      <w:r>
        <w:rPr>
          <w:rFonts w:hint="eastAsia"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PC端UI规范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布局规范(长*宽*高)</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颜色规范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图标规范</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移动端UI规范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布局规范(长*宽*高)</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颜色规范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图标规范</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大屏端UI规范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布局规范(长*宽*高)</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颜色规范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图标规范</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电视端UI规范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布局规范(长*宽*高)</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颜色规范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图标规范</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2.无锡市农业农村数字服务平台</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无锡市农业农村数字服务平台，建设具体内容有统一门户接入、统一认证服务、统一信息发布。统一门户用于组织内部的信息和数据管理和交互。它是一个极具可视化和用户友好的方式，使得不同用户群体能够</w:t>
      </w:r>
      <w:r>
        <w:rPr>
          <w:rFonts w:hint="eastAsia" w:ascii="宋体" w:hAnsi="宋体"/>
          <w:bCs/>
          <w:color w:val="auto"/>
          <w:sz w:val="24"/>
          <w:szCs w:val="24"/>
          <w:highlight w:val="none"/>
        </w:rPr>
        <w:t xml:space="preserve">通过一张页面，方便、快速的访问和管理自己所需要的信息和应用系统。同时，统一门户也可以通过网关和安全控制，实现对不同应用系统的访问权限和数据安全性的管理。统一认证服务是无锡市农业农村大数据平台中的关键组成部分，它负责用户身份的验证和授权，确保只有经过认证的用户才能访问平台提供的各项服务。该服务通过集中管理用户账户信息，实现多系统的单点登录，减少用户记忆多个账号密码的负担，提高操作效率和安全性。提供集中式的信息发布平台，管理需对外公开的相关信息。提供统一的事项管理，如数据使用申请审批、各项开发资源的事项管理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hint="eastAsia"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统一门户接入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多渠道登录支持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单点登录（SSO）集成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个性化门户配置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访问权限控制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门户访问统计与分析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统一认证服务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多因素认证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社交账号集成认证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用户身份验证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权限管理与角色分配</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会话管理和注销功能</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统一信息发布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信息发布管理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信息分类与标签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信息推送与订阅</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信息反馈与互动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信息存档与管理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统一事项管理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事项管理配置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统一事项管理服务</w:t>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统一事项管理服务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3.服务能力集成</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服务能力集成，为数字服务平台做统一的各项服务能力的集成。具体包括以下主要功能项：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基础集成能力配置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服务注册与管理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接口适配与转换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服务组合与编排</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安全与鉴权配置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性能与可靠性配置</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服务能力集成开发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服务注册与发现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服务接口定义与文档生成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服务调用与协议适配</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服务安全与鉴权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服务监控与日志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外观设计与建模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语音合成与识别</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对话管理与交互</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行为与情感模拟</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环境感知与适应</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后台管理系统</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4.RPA自动化机器人</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RPA自动化机器人，基于自动化流程开发设计器，能够根据实际应用场景需求，进行各类流程的自动化设计，确保前期建设项目中涉及的各单位部门、各业务系统能够实际场景进行流程自动化运转。</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RPA自动化配置管理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机器人创建与管理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任务调度与执行</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工作流设计与编辑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集成与连接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监控与日志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安全与合规</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RPA自动化服务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服务配置与注册</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服务监控</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服务调用统计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服务日志管理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5.统一业务管理系统</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统一业务管理系统，建设对所有智慧物联网设备及子系统管理的公共系统，已达到统一管理的目的。</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智慧物联网子系统</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设备管理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数据采集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设备控制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报警与通知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可视化展示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系统集成与扩展</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6.主体数据申报管理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主体数据申报管理，对本平台中所涉及的共用主体数据，进行统一管理，做到数据准确高效，避免对源头数据污染的情况出现。</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登记备案管理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主体信息管理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备案申请处理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审核管理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备案信息维护</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统计报表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主体数据汇集服务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数据源管理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数据采集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数据存储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7.农业金融保险服务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业金融保险服务，农业金融重点支持适度规模经营、参加农业保险的农业经营主体，提供信用便捷服务。农户可通过电子渠道自助完成贷款全流程，足不出户获取信贷资金，实现全线上、智能化、自动化涉农金融服务。“险贷直通车”进一步畅通“农业生产、保险护航、信贷供给”的桥梁渠道，引导农户提升生产经营风险保障意识、增强抵抗风险能力、有效降低融资成本，切实满足各类农业经营主体的信贷需求，增强金融服务可得性、便捷性、实惠性。</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金融保险信息集成服务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数据接入与集成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数据处理与分析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业务流程自动化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服务接口与集成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安全管理与合规</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金融保险数字模型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核心业务处理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数据分析与决策支持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技术基础设施</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数字模型管理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数字模型注册</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8.大场景应用赋能</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场景应用赋能，“全农码”是以资源、主体、产品三类数据为主线，以二维码等为载体，对农业农村生产要素，如农户、地块、农场、农机等进行规范标准化赋码，打通数据孤岛、构建可全面关联“地人物财事”的关联通码。致力于解决应用建设同质化、碎片化，数据采集零散化、个性化，应用与数据割裂化等问题。</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全农码场景应用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全农码基础配置服务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全农码服务管理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全农码安全与权限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全农码数据分析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全农码用户管理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全农码场景应用开发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全农码集成与扩展</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智慧农田服务一张图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农田项目监管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农田综合监管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作物监测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非粮非农监测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关联信息展示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现代农业产业园服务一张图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产业园集成对接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产业园画像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产业园综合监管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产业园配置管理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9.数智智慧调度平台</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数智智慧调度平台，基于对农业大数据的综合统计分析，产出相应的可辅助决策的数据分析结果，用于农业业务管理工作的智慧调度，以“数脑”助力人脑指挥调度。</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稻米全产业链一张图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前端页面设计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一张图页面开发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专题数据开发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数字乡村一张图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前端页面设计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一张图页面开发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专题数据开发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农产品质量智慧监管一张图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前端页面设计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一张图页面开发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专题数据开发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农经大数据一张图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前端页面设计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一张图页面开发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专题数据开发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服务驿站一张图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前端页面设计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一张图页面开发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专题数据开发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乡村金融积分一张图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前端页面设计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一张图页面开发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专题数据开发</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10.数智智慧调度平台数据驾驶舱</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数智智慧调度平台数据驾驶舱，建设内容为“一张图”综合数据统计分析，通过各个不同的专题数据数据成果展示，为管理决策提供有力的数据支撑。</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具体包括以下主要功能项：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数据驾驶舱基础配置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基础信息管理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基础服务注册</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后台服务管理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数据综合分析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综合数据展示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页面设计开发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数据可视化呈现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数据工具开发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数据监管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数据服务注册</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rPr>
        <w:t xml:space="preserve">技术中台</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中台建设内容主要包含一个统一服务网关平台，提供能力接入和共享服务，通过API等形式接入，接入统一电子签章、AI算法、统一政务短信、区块链、统一认证、统一影像服务、视频资源服务等能力接口，完成最终多能力接入与分发。</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中台的总体架构需要采用分层设计理念，以确保系统的可扩展性、可维护性和灵活性。架构至少需要包含IT基础设施层、能力接入层、能力整合层、统一服务网关层、应用层等设计。技术中台需要建设统一服务网关，具备美观的统一门户操作界面，统一管理各个能力接口接入和共享，并可以从账号安全、网络安全、操作安全等方面保障用户使用，具体功能要求如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用户接口访问权限管理要求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功能需求：提供用户权限申请、审批、分配和管理，保障接口资源的规范使用和安全性。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用户权限申请要求：用户在线提交接口使用权限申请，说明用途、接口需求、单位资质证明等。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审批与分配要求：农业农村局管理员对申请信息进行审核，审核通过后为用户分配访问权限和秘钥。</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账号管理要求：支持通过Web界面管理用户账号，提供账号冻结、删除、信息修改等操作，确保仅授权账号可使用接口服务。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接口能力展示与学习要求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功能需求：为用户提供接口的详细说明和学习资源，帮助用户掌握接口使用方法。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接口展示要求：在Web端展示已接入的技术中台能力清单，包括接口功能说明、接口类型和参数。</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文档下载要求：用户可下载接口使用文档和调试代码样例，作为接口学习参考。</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接口测试与联调要求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功能需求：提供接口的参数输入、返回测试和联调，帮助用户验证接口功能及对接效果。</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参数化测试要求：用户进入接口测试界面，选择对应的接口，按要求输入测试参数。</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返回结果校验要求：系统返回接口测试结果，用户确认返回内容与预期一致后即可正式部署。</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接口调用监测与查询要求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功能需求：提供接口调用历史的查询统计，支持不同时间和条件的检索。</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历史使用记录查询要求：用户可按日、周、月或自定义时间段查询接口调用情况。</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多条件筛选要求：提供按用户、接口、调用时间等维度查询调用记录，并支持原始日志核对。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数据核对与分析要求：在查询结果中发现异常时，支持运营人员进一步核查原始调用日志，确保接口使用记录的准确性和可追溯性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安全与权限控制要求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功能需求：保障接口资源的安全和数据的机密性，防止未经授权的访问。</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秘钥分配与管理要求：用户通过审批后获取访问秘钥，接口调用过程中须通过验证秘钥进行身份认证。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权限控制要求：接口调用权限需由农业农村局审批授权，用户需获得明确授权方可使用接口。</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访问日志与监控要求：记录所有用户的接口使用情况，通过日志记录接口调用频率和状态，确保接口资源使用的安全性与透明性。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技术中台接入共享能力要求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接入统一电子签章、AI算法、统一政务短信、区块链、统一认证、统一影像发布服务、视频资源服务、统一服务网关等能力接口。</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统一电子签章能力接入要求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接入统一电子签章能力，提供电子文档的签名和验证功能，确保文档的合法性和完整性。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开发统一电子签章对外接口并进行对接文档编制，具备日志埋点、存储及回溯等功能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AI算法池能力接入要求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接入丰富的AI算法服务能力，整合和优化各种算法资源，为农业生产、管理和研究提供智能化支持集成多种AI算法，如图像识别、语音识别等。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开发AI算法对外接口并进行对接文档编制，具备AI算法运行管理，包括运行环境创建、依赖管理，模块冲突检测等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统一政务短信能力接入要求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接入统一政务短信能力，提供及时、便捷的通道供需求者进行短信编辑、发送等功能。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开发统一政务短信对外接口并进行对接文档编制，并进行业务逻辑开发</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统一认证能力要求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接入统一认证能力，允许用户使用一组凭据（如用户名和密码）来访问多个系统或服务，而无需为每个应用系统或服务重复认证。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开发统一认证对外接口并进行对接文档编制，提供身份验证、会话管理、单点登录等功能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视频资源服务能力接入要求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接入视频资源服务能力，整合全网视频资源、集中统一管理、分析，实现视频资源的统一调度、解析。</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开发视频资源服务对外接口并进行对接文档编制，具备视频缓存管理、索引及检索、订阅及分发等功能。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统一影像服务能力接入要求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接入统一影像服务能力，提供来自不同数据源的地图影像服务，通过集成多源地图服务商的离线地图和服务能力，提高数据的可用性和易用性，同时降低管理和访问多个数据源的复杂性。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开发统一影像服务能力对外接口并进行对接文档编制，具备影像发布配置、影像存储、影像发布等功能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区块链（太湖链）接入要求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接入区块链（太湖链）能力，实现农业农村局区块链应用的集约化建设、规范化管理、可视化运营。</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开发区块链（太湖链）对外接口并进行对接文档编制，具备区块链数据一致性验证、日志查询等功能。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技术中台技术及性能要求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API服务基础框架设计要求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API服务基础架构设计要求包括微服务化、服务拆分、服务间通信机制、数据一致性、监控与日志管理、持续集成与部署、安全性、性能优化、缓存策略等，确保系统高可用、可扩展、安全且易于维护。</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路由设计要求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平台集成服务网格与边缘服务代理，支持高效微服务通信、请求路由、服务发现、负载均衡和故障恢复。网关管理外部访问和内部路由，支持A/B测试、金丝雀发布及流量控制策略，灵活控制版本发布与回滚。</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服务注册于发现设计要求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平台需要提供高可用注册中心，支持HTTPAPI和配置文件注册方式，保障数据一致性。每个服务实例需配置健康检查，注册组件定期更新服务状态，确保服务可用性和稳定性。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负载均衡设计要求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平台需要结合边缘路由服务组件和负载均衡器，提供自动服务发现、动态配置、TLS自动化、可视化仪表盘、监控、日志和中间件支持。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分布式设计要求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平台需要采用开源分布式追踪系统，提供微服务间请求追踪、性能瓶颈识别、依赖关系可视化、故障排除、丰富追踪数据、集成支持、大规模处理能力及直观分析界面，适用于分布式系统监控与优化。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熔断限流设计要求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平台需采用熔断限流组件，支持自定义错误处理函数、熔断和限流参数设置，防止系统崩溃和过载，确保在高流量或异常情况下系统稳定运行。</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鉴权管理设计要求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平台需采用跨域身份认证，用户通过授权服务获取访问令牌，API网关签名和有效性后进行资源授权，保证系统安全、可扩展，且通过数字签名防止令牌篡改。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日志管理设计要求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实现集中式日志收集、存储、查询、分析和可视化，支持多种数据源和格式，具备实时数据处理、灵活可扩展、高效存储和安全访问控制功能。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高可用性设计要求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要求包括集群部署、负载均衡、健康检查、服务自动发现与注册、熔断与降级、配置中心、监控告警、服务网格技术、多租户支持及组件化插件化设计，以确保系统的可靠性、稳定性与性能。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网络设计要求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要求包括划分互联网、DMZ和内网区域，通过白名单云主机从互联网区域跳转至DMZ，再从DMZ跳转至内网区域，以管理和维护内网的微服务、文件服务、数据库和运维集群等。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安全要求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需要采用身份验证、HTTPS加密、API安全加固、限流熔断、跨域处理等多种安全策略，集成服务网格与防火墙，确保服务安全、通信加密、配置管理和密钥保护，提供监控与日志记录功能。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技术中台部署要求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部署设计方案主要确保能够实现高效、稳定、安全的部署与运行，保障长期可靠性与扩展性。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首先，环境要求使用国产化操作系统，并需确保内外网高效访问。系统需采用微服务架构，支持容器与编排，数据库配置主从集群，确保高可用性与数据备份。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其次部署环节需要包括基础设施层部署、容器化平台部署、微服务及API网关部署、数据库部署、日志和监控系统部署等，确保负载均衡与高可用性。同时，数据库集群配置主从复制与备份策略，保证数据一致性与容灾能力。</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最终监控与安全方面，要求集中日志管理、应用监控与报警机制，并强化容器与应用安全配置。系统需定期进行功能、性能与安全测试，确保稳定性。此外，还需建立容器镜像更新与数据库备份恢复机制，具备有效的灾难恢复能力。</w:t>
      </w: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技术中台部分，建设内容具体包括以下主要功能项：</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1.接入能力集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统一电子签章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与城运中心电子签章接口联调接入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统一电子签章服务接口开发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统一电子签章核心业务流程开发及验证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统一电子签章对外接口对接文档编制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统一电子签章日志埋点、存储及回溯</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统一电子签章与统一服务网关对接开发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AI算法资源池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与AI算法接口联调接入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AI算法运行管理，包括运行环境创建、依赖管理，模块冲突检测等</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算法服务接口开发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AI算法对外接口对接文档编制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AI算法日志埋点、存储及回溯</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AI算法与统一服务网关对接开发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统一政务短信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与城运政务短信接口联调接入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统一政务短信服务接口开发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统一政务短信业务逻辑开发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统一政务短信对外接口对接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统一政务短信日志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统一政务短信与统一服务网关对接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统一政务短信合规性检测服务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统一认证能力</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身份验证服务开发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会话管理开发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用户Profile管理开</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单点登录服务开发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统一认证服务或SDK开发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统一认证服务日志埋点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数据一致性服务开发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视频资源服务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视频采集接口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视频缓存管理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视频索引及检索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视频资源共享服务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视频订阅及分发模块开发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视频资源共享服务对外接口</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2.统一影像发布服务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影像发布基础配置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影像数据存储管理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影像数据处理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影像并发处理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地图瓦片数据</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影像发布服务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影像数据资源共享服务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影像数据索引及检索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内网WebGIs瓦片数据接口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内网WebGIs数据权限控制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内网WebGIs分布式服务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统一影像服务日志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统一影像发布服务对外接口</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3.区块链（太湖链）</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区块链管理服务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区块链权限设计与开发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区块链数据一致性验证测试</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区块链接入并发设计与开发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区块链与统一服务网关平台对接开发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集成开发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与城运中心区块链接口联调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区块链对外服务接口开发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区块链服务日志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区块链对外接口对接文档编制</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4.服务能力集成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统一服务网关</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接入用户权限管理模块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服务接口文档查询、浏览</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服务接口管理、上下架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接口测试样例管理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统一服务地图开发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统一服务注册模块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统一服务发现模块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统一服务管理控制模块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服务限流降级熔断模块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服务扩容缩容调整模块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负载均衡模块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路由分发控制模块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服务监控模块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统一服务网关通知模块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日志查询模块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日志分析模块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日志存储与备份模块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数据加密模块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认证授权模块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API秘钥管理模块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条件触发式认证模块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统一服务网关登录界面开发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统一服务网关用户管理界面开发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统一服务网关秘钥获取界面开发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统一服务网关接口展示界面开发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统一服务网关接口联调界面开发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统一服务网关接口调用查询界面开发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统一服务网关用户使用查询界面开发</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hint="eastAsia" w:ascii="宋体" w:hAnsi="宋体"/>
          <w:bCs/>
          <w:color w:val="auto"/>
          <w:sz w:val="24"/>
          <w:szCs w:val="24"/>
          <w:highlight w:val="none"/>
        </w:rPr>
        <w:t xml:space="preserve">市级农产品质量安全智慧监管平台</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级农产品质量安全智慧监管平台围绕农产品质量安全业务条线日常工作需要，以大数据技术为支撑，融合生产主体、种养过程、巡查抽查、合格证开具、实验室检测、信用评价、监督执法、风险预警等多维度农安信息，统一农安数据台账，完善信息交互共享机制，为逐步建立主体分类监管机制提供保障。打通农产品质量安全监管“从田间到餐桌”全链条数据通路，打造融合全过程各环节信息为一体的农产品质量追溯体系，形成无锡市农产品质量安全多层次、全过程、信息化“智慧监管”模式。</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根据不同用户类型，平台建设包含主体端、监管端、实验室检测端、综合监管指挥中心四大部分建设内容。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体端使用对象为各类农产品生产、经营、收储运主体，支持电脑端和手机端操作访问。主要功能包含基础信息管理、主体码申领、农事生产过程管理、经营管理、农产品检测信息记录、追溯台账、合格证打印、服务站点检索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监管端使用对象为各级农产品质量安全监管业务条线工作人员，支持电脑端和手机端操作访问，主要包含主体管理、追溯监控、监督巡查、产品抽检、检测记录、绿色食品、信用评价、产业分析、风险预警、统计分析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实验室检测端使用对象为农产品质量监测中心实验室内检测人员，支持电脑端和手机端操作访问，主要包含数据标准体系、业务抽样、检测业务流程、样品管理、实验室电子原始记录、仪器采集、资源管理系统、易制毒易制爆危化品管理、决策分析管理、大屏展示、智能监控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综合监管指挥中心汇总全市各类主体农产品质量安全监管全链条信息，为“一网管全市”奠定基础。使用对象为农产品质量安全监督管理人员。综合监管指挥中心包含主体监管一张图、生产档案一张图、合格证管理一张图、信用评价一张图、重点产业一张图、风险预警一张图共六个部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充分发挥村级服务站的服务功能，推动农产品精准监管，计划配备2套食品农产品达标合格证打印一体机、10套便携式打印一体机设备、4套农产品精准检测设备，实现数据对接至农产品质量安全监管平台并实时上传系统。</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针对农产品质量监测中心实验室配备相关硬件设备，实现实验室物联网设备监控、废气检测、有毒气体检测、室内温湿度检测、视频监控接入、实验仪器工作状态检测、实验通风橱工作状态检测等。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市级农产品质量安全智慧监管平台，建设内容具体包括以下主要功能项：</w:t>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1.主体端应用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基础信息管理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地块管理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人员管理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客户管理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产品管理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作业类别管理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投入品管理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信息维护管理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主体码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主体码申领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生产管理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生产档案</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收购档案</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检测信息展示查询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库存管理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库存信息展示查询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销售管理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农产品销售展示查询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农产品销售统计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采购数据填报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采购信息管理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追溯台账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投入品追溯台账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农产品追溯台账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监管记录</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农产品监管展示查询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监管记录档案</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产品抽检</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农产品抽检</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抽检档案</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合格证打印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合格证申请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资格自评</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合格证开具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合格证统计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我的信用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信用展示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信用提升</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信用修复</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服务地图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服务地图绘制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服务站点搜索</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2.监管端应用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主体管理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生产经营主体</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收储运主体</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监管机构</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监管人员</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服务站点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追溯监管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追溯查询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监管对象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追溯产品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投入品使用管理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监督巡查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重点监管名录</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监督巡查管理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产品抽检</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抽检信息录入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抽样样品记录</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产品抽检查询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机构代检</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胶体金检测录入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检测记录</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企业自查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机构代检</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检测报告</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合格证管理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市级合格证资格认证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合格证监测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合格证统计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绿色食品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绿色食品统计展示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信用评估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评价标准制定</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主体信用建档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主体信用评价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主体信用发布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信用提升修复</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分级分类监管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产业分析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重点监管产业</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产业分析报告</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风险预警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风险监测预警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风险等级评价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风险结果发布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风险处理跟踪</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紧急调度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农产品品类统计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报表数据统计</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3.综合监管指挥中心</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主体监管一张图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主体监管统计分析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主体监管可视化展示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生产档案一张图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生产档案统计分析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生产档案可视化展示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合格证管理一张图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合格证统计分析展示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合格证管理可视化展示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信用评价一张图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信用评价统计分析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主体信用可视化展示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重点产业一张图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重点产业统计分析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重点产业可视化展示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风险预警一张图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风险预警统计分析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风险预警可视化展示</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4.实验室检测端应用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系统主平台架构</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系统架构设计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数据标准体系管理平台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检测方法管理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评价标准管理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检测项目管理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业务抽样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抽样任务下达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抽样计划管理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抽样在线审批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检验检测业务流程管理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检测业务流程管理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检验任务追溯</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预警和提醒</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分包方管理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样品管理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样品信息管理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实验室电子原始记录</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原始记录模板</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原始记录模板</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资源管理系统</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人员管理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仪器设备管理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试剂耗材管理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文件管理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环境管理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设备数据采集和监控</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仪器数据采集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数据处理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智能监控平台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物联网数据监测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易制毒易制爆危化品管理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危化品登记存档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危化品线上审批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决策分析管理平台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检测任务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设备动态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材料信息</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工作绩效</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大屏显示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数据可视化分析展示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移动解决方案</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手机APP移动互联</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w:t>
      </w:r>
      <w:r>
        <w:rPr>
          <w:rFonts w:hint="eastAsia" w:ascii="宋体" w:hAnsi="宋体"/>
          <w:bCs/>
          <w:color w:val="auto"/>
          <w:sz w:val="24"/>
          <w:szCs w:val="24"/>
          <w:highlight w:val="none"/>
        </w:rPr>
        <w:t xml:space="preserve">三资平台</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产权交易无纸化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目标建设产权交易流程，深入推进农村产权交易规范化整省试点，切实从交易公告发布（专场推介等）方面、交易流程创建方面以及交易体系、交易规则、风险防控和监督管理等方面着手加强我市产权交易市场建设，服务好农村集体经济发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权交易主要打造市场化线上线下融合，系统实现线上交易流程，线下与国资平台进行融合，流出方、流入方、管理方、监督方，落实管办分离，形成市场化推介项目直接交易。运营端配置交易信息、配置、用户端查看交易资源、交易公开信息、专场推介等信息、政府端查看交易信息、产权项目申请审核等功能。同时交易前需要交易资源的流程申请，审批过程审批流支持自由配置，申请时候实时调取最新的交易信息进行</w:t>
      </w:r>
      <w:r>
        <w:rPr>
          <w:rFonts w:hint="eastAsia" w:ascii="宋体" w:hAnsi="宋体"/>
          <w:bCs/>
          <w:color w:val="auto"/>
          <w:sz w:val="24"/>
          <w:szCs w:val="24"/>
          <w:highlight w:val="none"/>
        </w:rPr>
        <w:t xml:space="preserve">辅助校验，提升数据申请的准确性，避免一个资产资源存在重复/超量交易，审批时支持各村级、镇级、区级的电子签章的调用以及盖章文件的生成下载，审批完成后平台产生的产权交易数据会实时上传到省平台，然后接收省平台针对交易产生的后续数据。同时系统支持合同模板配置，交易后的数据自动根据模板、再由流出方以及流入方（意向租户）确认盖章件生成合同数据，合同审批记录、合同数据以及交易档案数据会结合区块链实时上链存储，存储后可以结合数据实现闲置资产资源的监控，同时数据也会在流程申请时候用作资产资源可交易校验，提升流程申请的便捷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办公移动化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建设移动化办公小程序，小程序支持产权交易、三务公开、预警处置等审批流程在线审批；同时在保证数据安全的前提下提供数据脱敏展示，支持资产、资源、合同、地块等数据的部分信息的便捷查询；数据修改功能，基于查看到的资产资源、合同、财务、地块等部分基础数据，提供相应的基础或必要信息的修改功能（例如资产资源卡片附件随手拍上传、地块数据修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预警管理提升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农业</w:t>
      </w:r>
      <w:r>
        <w:rPr>
          <w:rFonts w:hint="eastAsia" w:ascii="宋体" w:hAnsi="宋体"/>
          <w:bCs/>
          <w:color w:val="auto"/>
          <w:sz w:val="24"/>
          <w:szCs w:val="24"/>
          <w:highlight w:val="none"/>
        </w:rPr>
        <w:t xml:space="preserve">农村局现有预警功能分散在各个系统内，对预警规则无法统一有效的进行管理和变动，交互过程是一个网状，结果过于混乱复杂。因此，需要创建一套集中式管理的预警系统，负责预警相关信息的统一计算，统一配置（预警规则以及预警触发配置），预警数据的统一准实时分发，在统一的平台中，打造开放式平台，兼容多个银行端，并且使农业农村局能够在一个平台上查看各类预警信息，实现预警数据统一准实时同步，亦可实现对各类风险和问题的统一视图和管理，实现预警规则及时按需调整，简化现有各银行的维护和管理流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决策智能化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建设智能化大数据应用平台，平台主要负责资产管理、数据治理、模型算法管理、标签管理等功能，通过数据模型为各经济组织打上标签指标为上层应用系统提供数据支持，并且系统可基于底层数据进行分析，基于分析结果支持结果查询、大屏展示等功能，还可实现基于各项数据输出用于经济组织的信用评分等，为集体经济发展提供数据支撑，立足政府端提供发展决策服务，提炼政府端为集体经济发展的需要提供哪些支撑措施、政策，最终形成辅助决策模板。</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此外，这些数据还可以为金融机构在客户预授信、贷前调查、贷后管理等众多业务场景提供数据支撑，使金融机构能够更好地了解状况并做出更为准确的决策，数据对外输出的同时，也可根据各金融机构数据请求的数进行收费，该收益可用于系统平台的持续完善。</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区级操作再升级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全资企业的账，平台部署全资企业财务管理系统，与三资操作平台并行，系统中对应制定相应业务规则上的科目以及对应的财务报表等功能供业务使用，同时提供报表导入操作，方便其上传财务报表数据，由此可以实现对整个农业农村系统财务的监管全覆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针对现有三资操作系统中，对现有功能优化迭代，提升基层系统操作的便利性，提升工作效率。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区块链建设深入化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深入化建设区块链，在预警中利用区块链技术搭建三资联盟链，构建分布式三资链应用平台，在保障数据安全的基础上实现基层数据实时上报，监管预警实时触发；将市农业局作为联盟链管理节点，资产资源上链，区块链分布式存证，数据一旦上链不可篡改，大大提升了系统数据的安全性以及系统的可信性；产权交易基于区块链上存的合同提供准确校验，实现线上审批以及不见面签合同，加强基层操作以及产权交易的便捷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系统迭代升级持续化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基于财政部对《村集体经济组织会计制度》（财会〔2004〕12号）进行的修订，优化当前财务监管系统，以兼容新的科目变更。</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现有平台持续优化迭代。整合市级三资业务操作入口，完善大数据指挥舱数据。通过到社区走访进行用户调查、运营群问题收集反馈等方式，收集用户的意见和建议，基于收集到的优化点，制定具体的优化方案和改进措施，从而将系统打造得更易用、更好用，提升工作人员的工作效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三资平台，建设内容具体包括以下主要功能项：</w:t>
      </w: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1.产权交易前置审批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资产资源池管理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主城区资产资源数据管理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江阴资产资源数据管理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宜兴资产资源数据管理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资产资源数据拆分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产权交易项目管理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产权交易项目发起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产权交易项目同步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产权交易项目交易项校验</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项目审批中心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不良行为名单删除审批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小额工程立项审批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小额工程变更审批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工程质量监督审批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工程验收审批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工程审计审批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采购项目申请审批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其他合同创建审批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合同终止审批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产权交易合同签订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产权交易合同确认（16类合同）</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产权交易合同签署（16类合同）</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产权交易电子档案归档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电子档案生成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电子档案检索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电子档案上链</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小额工程立项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小额工程基础信息管理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小额工程财务信息关联</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小额工程合同签订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小额工程合同确认</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小额工程合同签署</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小额工程周期管理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工程质量监督管理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工程验收管理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工程审计管理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工程变更管理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物资采购管理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物资采购申请</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物资采购财务信息关联</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物资采购合同签订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物资采购合同确认</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物资采购合同签署</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其他合同签订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付款项目合同确认及签署</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收款项目合同确认及签署</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统计分析及报表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交易综合统计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地区交易数据统计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按照产权类型交易统计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业务设置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合同模板管理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审批流配置</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合同基础数据管理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合同性质管理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合同业务类型管理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合同分类管理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合同收款方式管理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付款项目管理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收款项目管理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往来单位管理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往来个人管理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业务数据管理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结算方式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采购方式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采购类别</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发包方式</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系统及权限管理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经济组织管理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用户管理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角色管理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岗位管理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菜单管理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字典管理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流程和决策引擎</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流程建模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流程执行</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任务管理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表单集成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规则引擎</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事件处理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集成接口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权限控制</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外部系统对接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省产权交易平台</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产权交易系统</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电子签章平台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江阴，宜兴三资数据对接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江阴数据库对接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宜兴数据对接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不良行为名单删除流程配置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小额工程立项流程配置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小额工程变更流程配置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工程质量监督流程配置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工程验收工程审计流程配置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其他合同创建流程配置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合同终止流程配置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采购项目申请流程配置</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2.微信端小程序</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审批对接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产权交易前置审批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资产新增/修改审批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资源新增/修改审批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凭证新增/修改审批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支出审批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不良行为名单删除审批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小额工程立项审批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小额工程变更审批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工程质量监督审批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工程验收审批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工程审计审批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采购项目申请审批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其他合同创建审批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双清问题整改审批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专项整治整改审批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产权交易问题</w:t>
      </w:r>
      <w:r>
        <w:rPr>
          <w:rFonts w:hint="eastAsia" w:ascii="宋体" w:hAnsi="宋体"/>
          <w:bCs/>
          <w:color w:val="auto"/>
          <w:sz w:val="24"/>
          <w:szCs w:val="24"/>
          <w:highlight w:val="none"/>
        </w:rPr>
        <w:t xml:space="preserve">整治</w:t>
      </w:r>
      <w:r>
        <w:rPr>
          <w:rFonts w:hint="eastAsia" w:ascii="宋体" w:hAnsi="宋体"/>
          <w:bCs/>
          <w:color w:val="auto"/>
          <w:sz w:val="24"/>
          <w:szCs w:val="24"/>
          <w:highlight w:val="none"/>
        </w:rPr>
        <w:t xml:space="preserve">整改审批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预警处置</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操作模块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资产卡片维护</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资源卡片维护</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资产一码通查询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外部对接(与现有各子系统进行接口对接)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产权交易系统对接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三资操作系统对接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三资录入审核系统对接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三资预警系统对接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账号对接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账号外网登录设置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账号实名认证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账号关联</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3.市级“三资”监管平台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农经大数据指挥舱改造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产权交易大屏数据对接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预警数据大屏显示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三资数据大屏优化，数据细化处理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智慧决策场景数据显示；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经营收益指标（与农经大数据指挥舱中间指标比对）显示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经营收益和经营性收入增长率和分布情况分析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新增经营性收入对比（增长量和增长率）维度数据显示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资产经营数据整合体现（经营性资产净值分析等）</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资源利用分析展示（资源闲置分析、资源经营状态分析、资源类型占比分析、集体资源分布情况等）</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市级三资功能修改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原有入口层级修改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将现有三资数据依托于大数据指挥舱中的财务统计、资产统计数据做重新设计展示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原来的预警数据+新做预警平台的数据全部集成到“三资”预警模块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政策法规、工作动态入口修改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户户通入口修改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三资操作平台接入统一鉴权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三资操作平台与统一鉴权系统的集成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登录身份验证</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三资录审系统接入统一鉴权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三资录审系统与统一鉴权系统的集成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登录身份验证</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清产核资比对接入统一鉴权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清产核资比对平台与统一鉴权系统的集成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登录身份验证</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上报数据查看系统开发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上报数据查看系统兼容最新项目</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三资一张图修改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修改三资一张图的展示方式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增加新的数据维度、调整图表样式</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户户通对接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实现与户户通系统基于新的传输模式下的对接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数据同步、功能集成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现有市平台数据传输模式改造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改造现有市平台的数据传输模式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优化数据传输协议、提高传输效率</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财务进度逻辑优化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查看维度优化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改进计算方法、优化数据处理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省平台对接数据传输改造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凭证数据对接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财务报表对接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记账科目对接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资产数据对接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资源数据对接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合同数据对接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江阴，宜兴，滨湖数据汇集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江阴数据汇集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宜兴数据汇集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滨湖数据汇集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4.“三资”操作功能修改</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资产/资源/合同等功能优化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打印机服务管理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资产二维码生成、识别与数据解析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资产单个及批量打印及打印预览</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资产与合同关联管理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资产折旧报表生成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资产/资源/合同批量导出</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资产/合同关联产权交易平台信息</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财务模块（新增辅助核算功能，其余报表功能优化）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辅助核算自动生成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账簿报表设计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凭证金额自动对平</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凭证连续审核</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做账智能提醒</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月结报表设计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多科目账套切换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智能财报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预决算报告自动生成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业务中心（支出单，审批中心功能调整）</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支出单批量提交</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支出单批量作废</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支出单批量审核</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支付单关联凭证及预览</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支付单状态差异化展示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国产</w:t>
      </w:r>
      <w:r>
        <w:rPr>
          <w:rFonts w:hint="eastAsia" w:ascii="宋体" w:hAnsi="宋体"/>
          <w:bCs/>
          <w:color w:val="auto"/>
          <w:sz w:val="24"/>
          <w:szCs w:val="24"/>
          <w:highlight w:val="none"/>
        </w:rPr>
        <w:t xml:space="preserve">化改造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国产操作系统适配</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打印机插件适配</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扫描仪插件适配</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农行对接（包含报表及账务改动加入农行支持）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农行银企直连对接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免密支付模块加入农行支持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凭证录入加入农行支持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合同及收付款计划模块加入农行支持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农行账户数据对接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单位往来</w:t>
      </w:r>
      <w:r>
        <w:rPr>
          <w:rFonts w:hint="eastAsia" w:ascii="宋体" w:hAnsi="宋体"/>
          <w:bCs/>
          <w:color w:val="auto"/>
          <w:sz w:val="24"/>
          <w:szCs w:val="24"/>
          <w:highlight w:val="none"/>
        </w:rPr>
        <w:t xml:space="preserve">账</w:t>
      </w:r>
      <w:r>
        <w:rPr>
          <w:rFonts w:hint="eastAsia" w:ascii="宋体" w:hAnsi="宋体"/>
          <w:bCs/>
          <w:color w:val="auto"/>
          <w:sz w:val="24"/>
          <w:szCs w:val="24"/>
          <w:highlight w:val="none"/>
        </w:rPr>
        <w:t xml:space="preserve">模块加入农行支持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资产负债表加入农行支持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收入模块加入农行支持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预警模块对接农行</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现金流量表加入农行支持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资产负责表加入农行支持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收支明细表加入农行支持</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录入审核配合纪委巡查要求进行模块增加</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问题录入对接纪委</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问题审核对接纪委</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问题处置对接纪委</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整改报表设计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省级科目切换（包含科目修改和数据上报修改）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科目模板设计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科目模板初始化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科目期初值初始化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科目余额表兼容最新科目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收支明细表兼容最新科目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资产负债表兼容最新科目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科目长度兼容最新科目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省平台上报接口对接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其他三资操作平台基础服务兼容最新科目</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5.村集体全资企业财务模块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科目及记账模块开发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企业科目自定义设计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企业多账套设计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企业科目余额初始化</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凭证记账审核</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凭证记账月结</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凭证记账反月结</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账簿功能开发（包含科目余额表，总账，明细</w:t>
      </w:r>
      <w:r>
        <w:rPr>
          <w:rFonts w:hint="eastAsia" w:ascii="宋体" w:hAnsi="宋体"/>
          <w:bCs/>
          <w:color w:val="auto"/>
          <w:sz w:val="24"/>
          <w:szCs w:val="24"/>
          <w:highlight w:val="none"/>
        </w:rPr>
        <w:t xml:space="preserve">账</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科目余额表设计及生成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收支明细表设计及生成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总账设计及生成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明细账设计及生成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往来单位账设计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报表开发(包含科目余额表，资产负债表，利润表等其他报表)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科目余额表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资产负债表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利润表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其他报表</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6.“三资”预警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预警系统整合（整合e银通和市级“三资”监管平台原预警模块功能）</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e银通数据接入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区级“三资”数据接入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三资数据汇总加工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预警数据分析中心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预警分析模型设计</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预警大屏</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预警处置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预警处置及审核</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预警督办</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预警处置任务下发及督办</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预警纪委再监督</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预警处置任务纪委监督</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预警规则开发（涉及9大类不少于40个预警规则）</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合同类预警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支付类预警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账户类预警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发票类预警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名单类预警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村务卡类预警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资产资源类规则配置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经营管理类规则配置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户户通数据对接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预警规则参数配置</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预警规则参数配置功能</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系统及权限管理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系统及权限管理功能</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外部对接（包含无锡农商行，江阴农商行，宜兴农商行，江苏银行，农行等预警数据和预警结果同步对接）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无锡农商行数据接入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江苏银行数据接入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宜兴农商行数据接入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江阴农商行数据接入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农行数据接入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数据整合分析</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7.区块链对接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平台接入管理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平台租户管理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开放接口管理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平台接入文档中心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调用情况统计分析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基础链对接与管理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链配置管理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多基础链对接兼容</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多基础链切换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基础链可用性监控与告警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资产上链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审批流程上链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电子合同上链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产权交易数据上链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预警信息上链</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预警处置过程上链</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数据查询与验证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区块链数据查询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交易记录查询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数据验证与追溯</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智能合约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智能合约部署</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智能合约调用</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8.电子签章管理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系统用户及组织机构管理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系统角色权限管理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系统审计日志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平台接入管理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平台租户管理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实名认证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开放接口管理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平台接入文档中心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调用情况统计分析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外部签章基座对接与管理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公安签章基座对接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城运中心签章基座对接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外部基座调用管理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合同管理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合同模板管理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合同创建与编辑</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合同存储与查询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签章管理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签章制作</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签章授权</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签章使用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签章维护</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电子签署</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产权交易合同签署</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产权交易结束签署</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产权交易合同查看</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9.智慧决策</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数据采集与清洗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数据源集成</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定时任务调度</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数据验证</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数据清洗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数据存储与管理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元数据管理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数据目录管理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数据权限管理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数据版本控制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数据质量管理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数据标签管理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数据指标管理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数据生命周期管理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数据基础加工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ETL处理</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数据聚合与计算</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基础指标库加工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基础标签库加工</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基础特征库加工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风险预判模型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评级分析模型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收入来源分析模型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支出分析模型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村集体分类模型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智能财报模型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预决算报告模型</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村书记经营能力分析模型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数据展现与应用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决策大屏</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统计报表</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数据分析报告</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仪表盘定制</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综合查询</w:t>
      </w:r>
      <w:r>
        <w:rPr>
          <w:rFonts w:ascii="宋体" w:hAnsi="宋体"/>
          <w:bCs/>
          <w:color w:val="auto"/>
          <w:sz w:val="24"/>
          <w:szCs w:val="24"/>
          <w:highlight w:val="none"/>
        </w:rPr>
      </w:r>
      <w:r>
        <w:rPr>
          <w:color w:val="auto"/>
          <w:highlight w:val="none"/>
        </w:rPr>
      </w:r>
    </w:p>
    <w:p>
      <w:pPr>
        <w:pStyle w:val="943"/>
        <w:numPr>
          <w:ilvl w:val="0"/>
          <w:numId w:val="9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数据开放接口</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（六）</w:t>
      </w:r>
      <w:r>
        <w:rPr>
          <w:rFonts w:hint="eastAsia" w:ascii="宋体" w:hAnsi="宋体"/>
          <w:bCs/>
          <w:color w:val="auto"/>
          <w:sz w:val="24"/>
          <w:szCs w:val="24"/>
          <w:highlight w:val="none"/>
        </w:rPr>
        <w:t xml:space="preserve">稻米全产业链数字化建设</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展大米全产业链数字化建设，以“延链、补链、强链”为关键，加强数字技术与装备在产前、产中、产后的融合应用。对稻米产业链上下游全要素数字化升级、转型和再造，打造链通数融的稻米特色产业链，促进稻米生产加工数字化、经营流通数据化、质量监管精准化、过程服务高效化、数据信息可视化，促进无锡稻米特色产业体系的质量变革、效率变革、动力变革。稻米全产业链数字化建设主要包括农场智慧生产管理系统、稻米产业智能辅助决策系统、稻米数字产业服务平台三大部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农场智慧生产管理系统通过汇聚水稻种植生长环境、长势、病虫害、农事管理、农机作业等信息，涉及水稻种植投入品、产出品、农事作业记录、人员管理、成本收益等各类数据，实现水稻生产作业调度、生产计划、市场分析、智能辅助决策，打造农场生产经营数字化管理中枢，提升生产经营和管理服务数字化水平。</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稻米产业智能辅助决策系统面向无锡市农业农村局各业务处室，以</w:t>
      </w:r>
      <w:r>
        <w:rPr>
          <w:rFonts w:hint="eastAsia" w:ascii="宋体" w:hAnsi="宋体"/>
          <w:bCs/>
          <w:color w:val="auto"/>
          <w:sz w:val="24"/>
          <w:szCs w:val="24"/>
          <w:highlight w:val="none"/>
        </w:rPr>
        <w:t xml:space="preserve">大</w:t>
      </w:r>
      <w:r>
        <w:rPr>
          <w:rFonts w:hint="eastAsia" w:ascii="宋体" w:hAnsi="宋体"/>
          <w:bCs/>
          <w:color w:val="auto"/>
          <w:sz w:val="24"/>
          <w:szCs w:val="24"/>
          <w:highlight w:val="none"/>
        </w:rPr>
        <w:t xml:space="preserve">数据为抓手，运用大模型数据分析技术，重点开展稻米产业大脑建设，主要包含水稻种植资源、科研创新、水稻育秧、稻米加工仓储与销售企业、卫星遥感、社会化服务、稻米品牌、质量安全、产品市场动态、产业决策分析报告功能。为职能部门产业监管、决策指挥提供数据支撑和辅助决策依据，发挥政府职能部门统筹和监管职能优势。</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稻米数字产业服务平台通过汇聚整合稻米产业政策、技术、农资、服务组织、品牌、保险等服务资源，包括政策查询、技术服务、农机社会化服务、行业动态、农资查找、价格查询等功能模块，满足稻米产业农业经营主体和社会化服务企业精准对接耕种管收卖服的全流程精准供需对接，形成“农户有需求，服务组织能满足，平台可保障”的社会化服务体系搭建。</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本项目选取锡山区国家现代农业产业园内800亩太湖水稻示范园作为试点，面向稻米产业生产经营主体，重点针对生产环节的农情、农机、农事以及加工仓储环节进行改造提升，开展数字化示范基地建设。</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稻米全产业链数字化，建设内容具体包括以下主要功能项：</w:t>
      </w: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1.智慧农场生产管理系统</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生产一张图</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生产要素</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种植分布</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异常监测</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生产概况</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生产监控</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遥感监测</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土壤养分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物联网管理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农机装备管理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过程管理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茬口计划</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农事活动管理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种植规程管理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投入品管理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采收管理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效益核算</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直接成本管理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间接成本管理</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产出核算</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投入产出分析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移动端应用</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我的农场</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远程控制</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实时告警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数据对接</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物联网数据对接</w:t>
      </w:r>
      <w:r>
        <w:rPr>
          <w:rFonts w:ascii="宋体" w:hAnsi="宋体"/>
          <w:bCs/>
          <w:color w:val="auto"/>
          <w:sz w:val="24"/>
          <w:szCs w:val="24"/>
          <w:highlight w:val="none"/>
        </w:rPr>
      </w:r>
      <w:r>
        <w:rPr>
          <w:color w:val="auto"/>
          <w:highlight w:val="none"/>
        </w:rPr>
      </w:r>
    </w:p>
    <w:p>
      <w:pPr>
        <w:pStyle w:val="943"/>
        <w:numPr>
          <w:ilvl w:val="0"/>
          <w:numId w:val="9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系统对接</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2.稻米产业智能辅助决策系统</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水稻种植资源一张图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水稻种植资源统计分析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水稻种植资源可视化展示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科研创新一张图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稻米科研数据统计分析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稻米科研数据可视化展示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水稻育秧一张图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水稻育秧数据统计分析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水稻育秧数据可视化展示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稻米加工仓储与销售企业一张图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水稻加工、销售数据统计分析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水稻加工、销售数据可视化展示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卫星遥感一张图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水稻遥感数据可视化展示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社会化服务一张图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稻米社会化服务数据统计分析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稻米社会化服务数据可视化展示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稻米品牌一张图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稻米品牌数据统计分析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稻米品牌数据可视化展示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质量安全一张图</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稻米质量安全数据统计分析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稻米质量安全数据可视化展示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产品市场动态</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稻米产品市场数据统计分析</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稻米产品市场动态可视化分析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产业决策分析报告（月度/季度）</w:t>
      </w:r>
      <w:r>
        <w:rPr>
          <w:rFonts w:ascii="宋体" w:hAnsi="宋体"/>
          <w:bCs/>
          <w:color w:val="auto"/>
          <w:sz w:val="24"/>
          <w:szCs w:val="24"/>
          <w:highlight w:val="none"/>
        </w:rPr>
      </w:r>
      <w:r>
        <w:rPr>
          <w:color w:val="auto"/>
          <w:highlight w:val="none"/>
        </w:rPr>
      </w:r>
    </w:p>
    <w:p>
      <w:pPr>
        <w:pStyle w:val="943"/>
        <w:numPr>
          <w:ilvl w:val="0"/>
          <w:numId w:val="9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稻米产业决策分析报告</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3.稻米产业公益服务平台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政策查询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政策展示与查询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政策解读与分析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技术服务</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专家咨询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病虫害查询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技术培训</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示范基地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农机社会化专题服务</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农机租赁服务</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农机作业服务</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农机维修服务</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农机零配件供应服务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行业动态</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行业动态与趋势分析</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技术信息发布与展示</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农业资讯与动态</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市场分析与预测</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资讯推送与更新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农资查找</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农资展示与搜索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供应商信息查询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价格查询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实时价格查询</w:t>
      </w:r>
      <w:r>
        <w:rPr>
          <w:rFonts w:ascii="宋体" w:hAnsi="宋体"/>
          <w:bCs/>
          <w:color w:val="auto"/>
          <w:sz w:val="24"/>
          <w:szCs w:val="24"/>
          <w:highlight w:val="none"/>
        </w:rPr>
      </w:r>
      <w:r>
        <w:rPr>
          <w:color w:val="auto"/>
          <w:highlight w:val="none"/>
        </w:rPr>
      </w:r>
    </w:p>
    <w:p>
      <w:pPr>
        <w:pStyle w:val="943"/>
        <w:numPr>
          <w:ilvl w:val="0"/>
          <w:numId w:val="10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价格趋势分析</w:t>
      </w:r>
      <w:r>
        <w:rPr>
          <w:rFonts w:ascii="宋体" w:hAnsi="宋体"/>
          <w:bCs/>
          <w:color w:val="auto"/>
          <w:sz w:val="24"/>
          <w:szCs w:val="24"/>
          <w:highlight w:val="none"/>
        </w:rPr>
      </w:r>
      <w:r>
        <w:rPr>
          <w:color w:val="auto"/>
          <w:highlight w:val="none"/>
        </w:rPr>
      </w:r>
    </w:p>
    <w:p>
      <w:pPr>
        <w:pStyle w:val="943"/>
        <w:numPr>
          <w:ilvl w:val="0"/>
          <w:numId w:val="10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价格指数</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（七）</w:t>
      </w:r>
      <w:r>
        <w:rPr>
          <w:rFonts w:hint="eastAsia" w:ascii="宋体" w:hAnsi="宋体"/>
          <w:bCs/>
          <w:color w:val="auto"/>
          <w:sz w:val="24"/>
          <w:szCs w:val="24"/>
          <w:highlight w:val="none"/>
        </w:rPr>
        <w:t xml:space="preserve">水产产业链数字化建设</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水产产业链建设将在传统大闸蟹养殖的基础上，借助数字化手段，转变生产方式、提高农业效益，推动水产养殖的创新实践，进而发挥水产养殖的品牌效益，实现规模化、标准化、产业化和一二三产</w:t>
      </w:r>
      <w:r>
        <w:rPr>
          <w:rFonts w:hint="eastAsia" w:ascii="宋体" w:hAnsi="宋体"/>
          <w:bCs/>
          <w:color w:val="auto"/>
          <w:sz w:val="24"/>
          <w:szCs w:val="24"/>
          <w:highlight w:val="none"/>
        </w:rPr>
        <w:t xml:space="preserve">业</w:t>
      </w:r>
      <w:r>
        <w:rPr>
          <w:rFonts w:hint="eastAsia" w:ascii="宋体" w:hAnsi="宋体"/>
          <w:bCs/>
          <w:color w:val="auto"/>
          <w:sz w:val="24"/>
          <w:szCs w:val="24"/>
          <w:highlight w:val="none"/>
        </w:rPr>
        <w:t xml:space="preserve">融合发展。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应满足“一个平台，一个标准，一个入口，一个身份，一次登录，一览无余”的要求，围绕数字化管理服务、数字化场景应用、数字化决策分析、数字化数据支撑、数字化基础设施等5个方面，按照“1+4+N”的建设思路，具体需求如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1个中心：主要是大闸蟹产业链数字化监管决策中心建设，在现有的大数据为数据基座，以人工智能技术为支撑，能够实现养殖监测一张图、塘口管理一张图、大闸蟹监管一张图、遥感分析一张图。</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4个基座平台：按照大闸蟹产业链数字化的需求，通过整合大闸蟹产业链业务及需求，建设全市涉大闸蟹数字化决策、监管服务的统一入口。构建：</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（1）统一认证管理平台。形成大闸蟹产业链应用平台的统一登录窗口，面向大闸蟹产业链的数据服务平台服务门户，面向政府的大闸蟹产业链数据服务平台管理门户</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（2）物联网平台。针对大闸蟹产业链的需求，构建统一物联网平台，统一物联网软件与装备接口，简化物联网设备和应用。</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（3）AI平台。以大闸蟹产业链大模型为支撑，面向大闸蟹产业链各环节、各类用户提供高效的、准确的AI平台和接口，满足大闸蟹产业链各环节的决策、监管需求。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（4）价格指数平台。面向全体大闸蟹养殖户，定期发布大闸蟹价格指数。</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N个应用服务系统。包括：智慧养殖服务（大闸蟹生长调控服务、AI问答服务、信息填报服务、设施养殖服务、大闸蟹育苗服务）、渔业监管服务（遥感监测服务、产品溯源服务、品牌服务、尾水监管服务、投入品服务、价格指数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水产产业链数字化，建设内容具体包括以下主要功能项：</w:t>
      </w: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1.综合一体化管理平台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水产一张图</w:t>
      </w:r>
      <w:r>
        <w:rPr>
          <w:rFonts w:ascii="宋体" w:hAnsi="宋体"/>
          <w:bCs/>
          <w:color w:val="auto"/>
          <w:sz w:val="24"/>
          <w:szCs w:val="24"/>
          <w:highlight w:val="none"/>
        </w:rPr>
      </w:r>
      <w:r>
        <w:rPr>
          <w:color w:val="auto"/>
          <w:highlight w:val="none"/>
        </w:rPr>
      </w:r>
    </w:p>
    <w:p>
      <w:pPr>
        <w:pStyle w:val="943"/>
        <w:numPr>
          <w:ilvl w:val="0"/>
          <w:numId w:val="10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养殖监测一张图</w:t>
      </w:r>
      <w:r>
        <w:rPr>
          <w:rFonts w:ascii="宋体" w:hAnsi="宋体"/>
          <w:bCs/>
          <w:color w:val="auto"/>
          <w:sz w:val="24"/>
          <w:szCs w:val="24"/>
          <w:highlight w:val="none"/>
        </w:rPr>
      </w:r>
      <w:r>
        <w:rPr>
          <w:color w:val="auto"/>
          <w:highlight w:val="none"/>
        </w:rPr>
      </w:r>
    </w:p>
    <w:p>
      <w:pPr>
        <w:pStyle w:val="943"/>
        <w:numPr>
          <w:ilvl w:val="0"/>
          <w:numId w:val="10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塘口管理一张图</w:t>
      </w:r>
      <w:r>
        <w:rPr>
          <w:rFonts w:ascii="宋体" w:hAnsi="宋体"/>
          <w:bCs/>
          <w:color w:val="auto"/>
          <w:sz w:val="24"/>
          <w:szCs w:val="24"/>
          <w:highlight w:val="none"/>
        </w:rPr>
      </w:r>
      <w:r>
        <w:rPr>
          <w:color w:val="auto"/>
          <w:highlight w:val="none"/>
        </w:rPr>
      </w:r>
    </w:p>
    <w:p>
      <w:pPr>
        <w:pStyle w:val="943"/>
        <w:numPr>
          <w:ilvl w:val="0"/>
          <w:numId w:val="10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质量监测一张图</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调度管理</w:t>
      </w:r>
      <w:r>
        <w:rPr>
          <w:rFonts w:ascii="宋体" w:hAnsi="宋体"/>
          <w:bCs/>
          <w:color w:val="auto"/>
          <w:sz w:val="24"/>
          <w:szCs w:val="24"/>
          <w:highlight w:val="none"/>
        </w:rPr>
      </w:r>
      <w:r>
        <w:rPr>
          <w:color w:val="auto"/>
          <w:highlight w:val="none"/>
        </w:rPr>
      </w:r>
    </w:p>
    <w:p>
      <w:pPr>
        <w:pStyle w:val="943"/>
        <w:numPr>
          <w:ilvl w:val="0"/>
          <w:numId w:val="10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生产计划管理</w:t>
      </w:r>
      <w:r>
        <w:rPr>
          <w:rFonts w:ascii="宋体" w:hAnsi="宋体"/>
          <w:bCs/>
          <w:color w:val="auto"/>
          <w:sz w:val="24"/>
          <w:szCs w:val="24"/>
          <w:highlight w:val="none"/>
        </w:rPr>
      </w:r>
      <w:r>
        <w:rPr>
          <w:color w:val="auto"/>
          <w:highlight w:val="none"/>
        </w:rPr>
      </w:r>
    </w:p>
    <w:p>
      <w:pPr>
        <w:pStyle w:val="943"/>
        <w:numPr>
          <w:ilvl w:val="0"/>
          <w:numId w:val="10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人力调度分配</w:t>
      </w:r>
      <w:r>
        <w:rPr>
          <w:rFonts w:ascii="宋体" w:hAnsi="宋体"/>
          <w:bCs/>
          <w:color w:val="auto"/>
          <w:sz w:val="24"/>
          <w:szCs w:val="24"/>
          <w:highlight w:val="none"/>
        </w:rPr>
      </w:r>
      <w:r>
        <w:rPr>
          <w:color w:val="auto"/>
          <w:highlight w:val="none"/>
        </w:rPr>
      </w:r>
    </w:p>
    <w:p>
      <w:pPr>
        <w:pStyle w:val="943"/>
        <w:numPr>
          <w:ilvl w:val="0"/>
          <w:numId w:val="10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养殖任务安排</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2.养殖监管平台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养殖数据监测</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水质监测</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异常报警</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生长状况监测</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健康状况监测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历史数据分析</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水质参数变化趋势</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生长状况数据分析</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环境数据分析</w:t>
      </w:r>
      <w:r>
        <w:rPr>
          <w:rFonts w:ascii="宋体" w:hAnsi="宋体"/>
          <w:bCs/>
          <w:color w:val="auto"/>
          <w:sz w:val="24"/>
          <w:szCs w:val="24"/>
          <w:highlight w:val="none"/>
        </w:rPr>
      </w:r>
      <w:r>
        <w:rPr>
          <w:color w:val="auto"/>
          <w:highlight w:val="none"/>
        </w:rPr>
      </w:r>
    </w:p>
    <w:p>
      <w:pPr>
        <w:pStyle w:val="943"/>
        <w:numPr>
          <w:ilvl w:val="0"/>
          <w:numId w:val="10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养殖效益综合评估</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3.水产品质量溯源系统</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生产档案管理</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基础信息记录</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养殖操作记录</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收货与销售记录</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档案查询与统计分析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生产环境信息</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自然环境信息</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塘口环境信息</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包装标识管理</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包装规格设定</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标识信息管理</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包装标识审核</w:t>
      </w:r>
      <w:r>
        <w:rPr>
          <w:rFonts w:ascii="宋体" w:hAnsi="宋体"/>
          <w:bCs/>
          <w:color w:val="auto"/>
          <w:sz w:val="24"/>
          <w:szCs w:val="24"/>
          <w:highlight w:val="none"/>
        </w:rPr>
      </w:r>
      <w:r>
        <w:rPr>
          <w:color w:val="auto"/>
          <w:highlight w:val="none"/>
        </w:rPr>
      </w:r>
    </w:p>
    <w:p>
      <w:pPr>
        <w:pStyle w:val="943"/>
        <w:numPr>
          <w:ilvl w:val="0"/>
          <w:numId w:val="10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包装溯源管理</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4.大闸蟹价格指数服务平台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历史数据分析</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生长状况分析</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水质环境分析</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生产效益分析</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报告生成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信息服务管理</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信息发布与推送</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政策法规宣传</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信息预警</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信息维护与管理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数据标注</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水质数据标注</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生长数据标注</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环境数据标注</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管理养殖数据标注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模型训练</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模型训练</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模型评估与优化</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价格指数发布</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价格指数获取</w:t>
      </w:r>
      <w:r>
        <w:rPr>
          <w:rFonts w:ascii="宋体" w:hAnsi="宋体"/>
          <w:bCs/>
          <w:color w:val="auto"/>
          <w:sz w:val="24"/>
          <w:szCs w:val="24"/>
          <w:highlight w:val="none"/>
        </w:rPr>
      </w:r>
      <w:r>
        <w:rPr>
          <w:color w:val="auto"/>
          <w:highlight w:val="none"/>
        </w:rPr>
      </w:r>
    </w:p>
    <w:p>
      <w:pPr>
        <w:pStyle w:val="943"/>
        <w:numPr>
          <w:ilvl w:val="0"/>
          <w:numId w:val="10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价格发布</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5.养殖物联联网管控平台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后台数据管理</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数据存储与备份</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数据安全管理</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数据查询分析</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数据接口与集成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水质监测展示</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实时数据展示</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水质评价预警</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历史水质数据查询</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水质数据分析报告</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水产品生产管理</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养殖环境管理</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种苗投放与管理</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饲料管理</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生产记录追溯</w:t>
      </w:r>
      <w:r>
        <w:rPr>
          <w:rFonts w:ascii="宋体" w:hAnsi="宋体"/>
          <w:bCs/>
          <w:color w:val="auto"/>
          <w:sz w:val="24"/>
          <w:szCs w:val="24"/>
          <w:highlight w:val="none"/>
        </w:rPr>
      </w:r>
      <w:r>
        <w:rPr>
          <w:color w:val="auto"/>
          <w:highlight w:val="none"/>
        </w:rPr>
      </w:r>
    </w:p>
    <w:p>
      <w:pPr>
        <w:pStyle w:val="943"/>
        <w:numPr>
          <w:ilvl w:val="0"/>
          <w:numId w:val="106"/>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质量管理与认证</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6.河蟹生产监测系统</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溶解氧预测模型</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重量预测模型</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精准投喂模型</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河蟹养殖智能问答模型</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（八）</w:t>
      </w:r>
      <w:r>
        <w:rPr>
          <w:rFonts w:hint="eastAsia" w:ascii="宋体" w:hAnsi="宋体"/>
          <w:bCs/>
          <w:color w:val="auto"/>
          <w:sz w:val="24"/>
          <w:szCs w:val="24"/>
          <w:highlight w:val="none"/>
        </w:rPr>
        <w:t xml:space="preserve">数字乡村综合服务</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字乡村综合服务建设涵盖市级数字乡村平台、“古迹云游”、“村域农文旅”、“红色文旅”、“智慧桃园”、“乡村智治”特色场景应用，结合具有积分兑换、智慧康养、法律援助等多功能的乡村服务驿站、数字乡村监测评价综合平台、锡农之家等多个方面，旨在通过信息化手段提升农业生产效率和服务水平，推动乡村经济的转型升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市级数字乡村综合服务平台</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市级数字乡村综合服务平台核心功能主要包括消息中心、智慧党建、人居环境管护、政务服务、村务管理、便民服务、乡村治理、积分管理等，实现无锡市数字乡村平台对村一级农业农村数据、业务流程的线上整合。</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主题特色场景应用</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根据无锡市农业农村实际需求，立足“吴韵古迹”、“农文旅”、“田园风光”三大主题需求，建设包括“古迹云游”、“村域农文旅”、“红色文旅”、“智慧桃园”、“乡村智治”的特色场景应用。</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乡村服务驿站</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松芝村、乾元村、火炬村、蒲市村建立乡村服务驿站试点，利旧该乡村现有的场所和基础设施，通过增补多样化服务内容，如快递服务、农产品销售、信息咨询等，丰富村民生活。同时，结合具有积分兑换、智慧康养、法律援助等多功能的乡村服务驿站，实现数字乡村多维度、多模式、多层次服务，打造可复制、可推广具有无锡特色的数字乡村发展模式。</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数字乡村监测评价综合平台</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字乡村监测评价综合平台主要包括动态管理、综合监测、指数评价、运营赋能等功能。汇聚小程无锡市数字乡村建设各类业务数据，构建指标评价模型，展示美丽宜居乡村建设总体态势，助力乡村风貌、人居环境、基础设施、公共服务、文明乡风等数字化建设，同时为各级部门领导提供一体化的辅助决策支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三大片区专题</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围绕“规划设计协同”、“乡村建设协同”、“产业发展协同”、“富民增收协同”、“乡村治理协同”五大协同发展规划，分析展示惠山、锡山、宜兴三大片区专题资源，主要包含三大片区的综合规划、乡村建设、治理工作成效及富民产业发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锡农之家</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围绕无锡市农业农村特色文化、农产品建立锡农之家平台，整合农家乐、采摘园、农庄园等乡村特色资源，全面促进乡村农户和商户的线上入驻，实现土特产、非遗产品和农产品的在线预订服务。此外，锡农之家电商将提供全方位的旅游前、旅游中、旅游后服务，包括乡村资讯、公共服务和智能咨询服务，以确保消费者获得全面的乡村体验。通过这些措施，锡农之家电商平台旨在沉淀乡村消费数据，推动城乡之间的供需对接，促进乡村经济的可持续发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数字乡村综合服务，建设内容具体包括以下主要功能项：</w:t>
      </w: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1.市级数字乡综合服务平台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主题窗</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用户注册与管理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系统登录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导航菜单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通知中心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乾元之窗</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蒲市之窗</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火炬之窗</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盛家之窗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消息中心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通知发布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多格式支持</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定时发布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通知编辑</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版本控制</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实时更新</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编辑权限控制</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消息记录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查询与筛选</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统计分析</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数据导出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生活大讲堂</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资源上传</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资源下架</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人才引进</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政策发布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政策查询</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政策修改</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人才展示</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人才信息采集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人才数据统计</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人才信息管理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招聘信息发布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招聘信息自定义</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招聘信息管理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志愿者招募管理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志愿者信息发布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志愿者服务动态</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志愿者活动风采</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发布活动信息</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上传活动图片</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附件上传</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活动审核</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就业岗位发布</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人才分析</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技能知识培训</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农技知识库</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批量导入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人居环境管护</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巡查上报</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管护人员上报</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视频截图上报</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任务派单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水域监测</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视频实时监测</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实时视频浏览</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历史视频回放</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预警联动</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无人机巡逻</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政务服务</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办事指南</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办事记录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申请材料提交</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办理流程的跟踪</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审批结果的反馈</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远程锁定</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权限管理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预约盖章</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电章管理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事件办结</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超级链接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村务管理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三务公开</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网格化管理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通讯录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乡村台账</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AI智能填报助手</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问卷投票</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三资管理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人口管理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重点项目管理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会议管理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大席管理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丧葬管理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房屋管理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财务管理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民兵管理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便民服务</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补贴申报</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农技服务</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民事直说</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生活服务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乡村治理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随手拍</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平安乡村</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积分智能治理</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AI派单</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督查督办</w:t>
      </w:r>
      <w:r>
        <w:rPr>
          <w:rFonts w:ascii="宋体" w:hAnsi="宋体"/>
          <w:bCs/>
          <w:color w:val="auto"/>
          <w:sz w:val="24"/>
          <w:szCs w:val="24"/>
          <w:highlight w:val="none"/>
        </w:rPr>
      </w:r>
      <w:r>
        <w:rPr>
          <w:color w:val="auto"/>
          <w:highlight w:val="none"/>
        </w:rPr>
      </w:r>
    </w:p>
    <w:p>
      <w:pPr>
        <w:pStyle w:val="943"/>
        <w:numPr>
          <w:ilvl w:val="0"/>
          <w:numId w:val="107"/>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矛盾调解</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2.古迹云游(松芝村)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数字会通馆</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千古丰碑</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会通字库</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纸短情长</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汉字秘境</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会通书局</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数字名人故居</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VR数字人讲解</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旅游资讯推荐</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旅游攻略分享</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目的地玩法介绍</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AR古迹导览</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主题线路选择</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农家乐推荐</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景区介绍</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娱乐设施信息</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线上文化宣传</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AI环境智护</w:t>
      </w:r>
      <w:r>
        <w:rPr>
          <w:rFonts w:ascii="宋体" w:hAnsi="宋体"/>
          <w:bCs/>
          <w:color w:val="auto"/>
          <w:sz w:val="24"/>
          <w:szCs w:val="24"/>
          <w:highlight w:val="none"/>
        </w:rPr>
      </w:r>
      <w:r>
        <w:rPr>
          <w:color w:val="auto"/>
          <w:highlight w:val="none"/>
        </w:rPr>
      </w:r>
    </w:p>
    <w:p>
      <w:pPr>
        <w:pStyle w:val="943"/>
        <w:numPr>
          <w:ilvl w:val="0"/>
          <w:numId w:val="108"/>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无人机巡逻</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3.村域农文旅（乾元村）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智能导览</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景区环境监测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智慧停车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AI旅客安全管护</w:t>
      </w:r>
      <w:r>
        <w:rPr>
          <w:rFonts w:ascii="宋体" w:hAnsi="宋体"/>
          <w:bCs/>
          <w:color w:val="auto"/>
          <w:sz w:val="24"/>
          <w:szCs w:val="24"/>
          <w:highlight w:val="none"/>
        </w:rPr>
      </w:r>
      <w:r>
        <w:rPr>
          <w:color w:val="auto"/>
          <w:highlight w:val="none"/>
        </w:rPr>
      </w:r>
    </w:p>
    <w:p>
      <w:pPr>
        <w:pStyle w:val="943"/>
        <w:numPr>
          <w:ilvl w:val="0"/>
          <w:numId w:val="10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7*24小时在线服务</w:t>
      </w:r>
      <w:r>
        <w:rPr>
          <w:rFonts w:ascii="宋体" w:hAnsi="宋体"/>
          <w:bCs/>
          <w:color w:val="auto"/>
          <w:sz w:val="24"/>
          <w:szCs w:val="24"/>
          <w:highlight w:val="none"/>
        </w:rPr>
      </w:r>
      <w:r>
        <w:rPr>
          <w:color w:val="auto"/>
          <w:highlight w:val="none"/>
        </w:rPr>
      </w:r>
    </w:p>
    <w:p>
      <w:pPr>
        <w:pStyle w:val="943"/>
        <w:numPr>
          <w:ilvl w:val="0"/>
          <w:numId w:val="10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智能问答互动</w:t>
      </w:r>
      <w:r>
        <w:rPr>
          <w:rFonts w:ascii="宋体" w:hAnsi="宋体"/>
          <w:bCs/>
          <w:color w:val="auto"/>
          <w:sz w:val="24"/>
          <w:szCs w:val="24"/>
          <w:highlight w:val="none"/>
        </w:rPr>
      </w:r>
      <w:r>
        <w:rPr>
          <w:color w:val="auto"/>
          <w:highlight w:val="none"/>
        </w:rPr>
      </w:r>
    </w:p>
    <w:p>
      <w:pPr>
        <w:pStyle w:val="943"/>
        <w:numPr>
          <w:ilvl w:val="0"/>
          <w:numId w:val="109"/>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紧急情况处理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农产品数字展馆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销售渠道汇聚</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4.红色文旅（蒲市村）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红色数字展馆</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时间线展示</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内容展示</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多媒体元素融合</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互动与探索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数字人讲解</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红色文化教育</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历史发展回顾</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VR视频全景体验</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蒲市村红色展演场景</w:t>
      </w:r>
      <w:r>
        <w:rPr>
          <w:rFonts w:ascii="宋体" w:hAnsi="宋体"/>
          <w:bCs/>
          <w:color w:val="auto"/>
          <w:sz w:val="24"/>
          <w:szCs w:val="24"/>
          <w:highlight w:val="none"/>
        </w:rPr>
      </w:r>
      <w:r>
        <w:rPr>
          <w:color w:val="auto"/>
          <w:highlight w:val="none"/>
        </w:rPr>
      </w:r>
    </w:p>
    <w:p>
      <w:pPr>
        <w:pStyle w:val="943"/>
        <w:numPr>
          <w:ilvl w:val="0"/>
          <w:numId w:val="110"/>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智能语音播报</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5.智慧桃园（火炬村）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土壤墒情监测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气象监测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环境信息采集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数据存储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统计分析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病虫害监测</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数据管理与分析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实时展示</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管理与分析</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数字电商孵化</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数字农技员</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6.乡村智治（盛家村）</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整合现有系统</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数据整合与共享</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系统融合与复用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乡村治理信息化建设</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无人机巡护</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村容村貌监管系统</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积分治理系统</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平安乡村系统建设</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防溺水系统</w:t>
      </w:r>
      <w:r>
        <w:rPr>
          <w:rFonts w:ascii="宋体" w:hAnsi="宋体"/>
          <w:bCs/>
          <w:color w:val="auto"/>
          <w:sz w:val="24"/>
          <w:szCs w:val="24"/>
          <w:highlight w:val="none"/>
        </w:rPr>
      </w:r>
      <w:r>
        <w:rPr>
          <w:color w:val="auto"/>
          <w:highlight w:val="none"/>
        </w:rPr>
      </w:r>
    </w:p>
    <w:p>
      <w:pPr>
        <w:pStyle w:val="943"/>
        <w:numPr>
          <w:ilvl w:val="0"/>
          <w:numId w:val="111"/>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村域河流检测</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7.数字乡村监测评价综合平台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动态管理</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数据收集</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数据分析</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数据更新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综合监测</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风貌监测</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人居环境监测</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基础设施</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公共服务监测</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预警告警</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指数评价</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评价指标模型</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动态监测</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定期评估</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乡村产业</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乡村治理</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乡村人居环境整治</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乡村农文旅融合</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运营赋能</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量化评估</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综合分析</w:t>
      </w:r>
      <w:r>
        <w:rPr>
          <w:rFonts w:ascii="宋体" w:hAnsi="宋体"/>
          <w:bCs/>
          <w:color w:val="auto"/>
          <w:sz w:val="24"/>
          <w:szCs w:val="24"/>
          <w:highlight w:val="none"/>
        </w:rPr>
      </w:r>
      <w:r>
        <w:rPr>
          <w:color w:val="auto"/>
          <w:highlight w:val="none"/>
        </w:rPr>
      </w:r>
    </w:p>
    <w:p>
      <w:pPr>
        <w:pStyle w:val="943"/>
        <w:numPr>
          <w:ilvl w:val="0"/>
          <w:numId w:val="112"/>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结果展示分析</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8.三大片区专题</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乡村规划</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区域空间布局</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乡村未来规划</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产业布局</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乡村建设</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乡村治理</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乡村治理工作可视化</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法治宣传教育</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富民产业</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产业可视化</w:t>
      </w:r>
      <w:r>
        <w:rPr>
          <w:rFonts w:ascii="宋体" w:hAnsi="宋体"/>
          <w:bCs/>
          <w:color w:val="auto"/>
          <w:sz w:val="24"/>
          <w:szCs w:val="24"/>
          <w:highlight w:val="none"/>
        </w:rPr>
      </w:r>
      <w:r>
        <w:rPr>
          <w:color w:val="auto"/>
          <w:highlight w:val="none"/>
        </w:rPr>
      </w:r>
    </w:p>
    <w:p>
      <w:pPr>
        <w:pStyle w:val="943"/>
        <w:numPr>
          <w:ilvl w:val="0"/>
          <w:numId w:val="113"/>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发展决策</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9.乡村服务驿站</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法律援助</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智慧养老</w:t>
      </w:r>
      <w:r>
        <w:rPr>
          <w:rFonts w:ascii="宋体" w:hAnsi="宋体"/>
          <w:bCs/>
          <w:color w:val="auto"/>
          <w:sz w:val="24"/>
          <w:szCs w:val="24"/>
          <w:highlight w:val="none"/>
        </w:rPr>
      </w:r>
      <w:r>
        <w:rPr>
          <w:color w:val="auto"/>
          <w:highlight w:val="none"/>
        </w:rPr>
      </w:r>
    </w:p>
    <w:p>
      <w:pPr>
        <w:pStyle w:val="943"/>
        <w:numPr>
          <w:ilvl w:val="0"/>
          <w:numId w:val="11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基础档案</w:t>
      </w:r>
      <w:r>
        <w:rPr>
          <w:rFonts w:ascii="宋体" w:hAnsi="宋体"/>
          <w:bCs/>
          <w:color w:val="auto"/>
          <w:sz w:val="24"/>
          <w:szCs w:val="24"/>
          <w:highlight w:val="none"/>
        </w:rPr>
      </w:r>
      <w:r>
        <w:rPr>
          <w:color w:val="auto"/>
          <w:highlight w:val="none"/>
        </w:rPr>
      </w:r>
    </w:p>
    <w:p>
      <w:pPr>
        <w:pStyle w:val="943"/>
        <w:numPr>
          <w:ilvl w:val="0"/>
          <w:numId w:val="11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终端管理</w:t>
      </w:r>
      <w:r>
        <w:rPr>
          <w:rFonts w:ascii="宋体" w:hAnsi="宋体"/>
          <w:bCs/>
          <w:color w:val="auto"/>
          <w:sz w:val="24"/>
          <w:szCs w:val="24"/>
          <w:highlight w:val="none"/>
        </w:rPr>
      </w:r>
      <w:r>
        <w:rPr>
          <w:color w:val="auto"/>
          <w:highlight w:val="none"/>
        </w:rPr>
      </w:r>
    </w:p>
    <w:p>
      <w:pPr>
        <w:pStyle w:val="943"/>
        <w:numPr>
          <w:ilvl w:val="0"/>
          <w:numId w:val="11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告警管理</w:t>
      </w:r>
      <w:r>
        <w:rPr>
          <w:rFonts w:ascii="宋体" w:hAnsi="宋体"/>
          <w:bCs/>
          <w:color w:val="auto"/>
          <w:sz w:val="24"/>
          <w:szCs w:val="24"/>
          <w:highlight w:val="none"/>
        </w:rPr>
      </w:r>
      <w:r>
        <w:rPr>
          <w:color w:val="auto"/>
          <w:highlight w:val="none"/>
        </w:rPr>
      </w:r>
    </w:p>
    <w:p>
      <w:pPr>
        <w:pStyle w:val="943"/>
        <w:numPr>
          <w:ilvl w:val="0"/>
          <w:numId w:val="11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健康管理</w:t>
      </w:r>
      <w:r>
        <w:rPr>
          <w:rFonts w:ascii="宋体" w:hAnsi="宋体"/>
          <w:bCs/>
          <w:color w:val="auto"/>
          <w:sz w:val="24"/>
          <w:szCs w:val="24"/>
          <w:highlight w:val="none"/>
        </w:rPr>
      </w:r>
      <w:r>
        <w:rPr>
          <w:color w:val="auto"/>
          <w:highlight w:val="none"/>
        </w:rPr>
      </w:r>
    </w:p>
    <w:p>
      <w:pPr>
        <w:pStyle w:val="943"/>
        <w:numPr>
          <w:ilvl w:val="0"/>
          <w:numId w:val="114"/>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走访关怀</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10.金融治理示范村应用软件</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指尖一键考核，自动化报表</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智能申报，自动计算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自动排行榜</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权益管理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商超管理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卡务管理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卡务统计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货品管理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订货统计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支付</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首页</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积分兑换</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数字人民币支付</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账户管理</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金融服务橱窗</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无锡市数字乡村建设规范编制服务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无锡市无人化农场建设规范编制服务</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无锡市数字乡村底座移动端用户体系打通</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无锡市数字乡村底座PC端用户体系打通</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无锡市数字乡村底座数据对接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硬件对接（金融设备）</w:t>
      </w:r>
      <w:r>
        <w:rPr>
          <w:rFonts w:ascii="宋体" w:hAnsi="宋体"/>
          <w:bCs/>
          <w:color w:val="auto"/>
          <w:sz w:val="24"/>
          <w:szCs w:val="24"/>
          <w:highlight w:val="none"/>
        </w:rPr>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11.锡农之家平台</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锡农之家平台（电脑端）</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首页</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登录注册</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我要采购</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我要卖货</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店铺管理</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我的联系</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我的订单</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采购中心</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行业资讯</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招商加盟</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助推工具（AI海报）</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锡农之家平台手机端（经营主体端）</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店铺管理</w:t>
      </w:r>
      <w:r>
        <w:rPr>
          <w:rFonts w:ascii="宋体" w:hAnsi="宋体"/>
          <w:bCs/>
          <w:color w:val="auto"/>
          <w:sz w:val="24"/>
          <w:szCs w:val="24"/>
          <w:highlight w:val="none"/>
        </w:rPr>
      </w:r>
      <w:r>
        <w:rPr>
          <w:color w:val="auto"/>
          <w:highlight w:val="none"/>
        </w:rPr>
      </w:r>
    </w:p>
    <w:p>
      <w:pPr>
        <w:pStyle w:val="943"/>
        <w:numPr>
          <w:ilvl w:val="0"/>
          <w:numId w:val="11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我的品牌</w:t>
      </w:r>
      <w:r>
        <w:rPr>
          <w:rFonts w:ascii="宋体" w:hAnsi="宋体"/>
          <w:bCs/>
          <w:color w:val="auto"/>
          <w:sz w:val="24"/>
          <w:szCs w:val="24"/>
          <w:highlight w:val="none"/>
        </w:rPr>
      </w:r>
      <w:r>
        <w:rPr>
          <w:color w:val="auto"/>
          <w:highlight w:val="none"/>
        </w:rPr>
      </w:r>
    </w:p>
    <w:p>
      <w:pPr>
        <w:pStyle w:val="943"/>
        <w:numPr>
          <w:ilvl w:val="0"/>
          <w:numId w:val="11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我的生产</w:t>
      </w:r>
      <w:r>
        <w:rPr>
          <w:rFonts w:ascii="宋体" w:hAnsi="宋体"/>
          <w:bCs/>
          <w:color w:val="auto"/>
          <w:sz w:val="24"/>
          <w:szCs w:val="24"/>
          <w:highlight w:val="none"/>
        </w:rPr>
      </w:r>
      <w:r>
        <w:rPr>
          <w:color w:val="auto"/>
          <w:highlight w:val="none"/>
        </w:rPr>
      </w:r>
    </w:p>
    <w:p>
      <w:pPr>
        <w:pStyle w:val="943"/>
        <w:numPr>
          <w:ilvl w:val="0"/>
          <w:numId w:val="11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我的申请</w:t>
      </w:r>
      <w:r>
        <w:rPr>
          <w:rFonts w:ascii="宋体" w:hAnsi="宋体"/>
          <w:bCs/>
          <w:color w:val="auto"/>
          <w:sz w:val="24"/>
          <w:szCs w:val="24"/>
          <w:highlight w:val="none"/>
        </w:rPr>
      </w:r>
      <w:r>
        <w:rPr>
          <w:color w:val="auto"/>
          <w:highlight w:val="none"/>
        </w:rPr>
      </w:r>
    </w:p>
    <w:p>
      <w:pPr>
        <w:pStyle w:val="943"/>
        <w:numPr>
          <w:ilvl w:val="0"/>
          <w:numId w:val="11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服务超市</w:t>
      </w:r>
      <w:r>
        <w:rPr>
          <w:rFonts w:ascii="宋体" w:hAnsi="宋体"/>
          <w:bCs/>
          <w:color w:val="auto"/>
          <w:sz w:val="24"/>
          <w:szCs w:val="24"/>
          <w:highlight w:val="none"/>
        </w:rPr>
      </w:r>
      <w:r>
        <w:rPr>
          <w:color w:val="auto"/>
          <w:highlight w:val="none"/>
        </w:rPr>
      </w:r>
    </w:p>
    <w:p>
      <w:pPr>
        <w:pStyle w:val="943"/>
        <w:numPr>
          <w:ilvl w:val="0"/>
          <w:numId w:val="116"/>
        </w:numPr>
        <w:ind w:firstLine="480"/>
        <w:spacing w:line="360" w:lineRule="auto"/>
        <w:tabs>
          <w:tab w:val="clear" w:pos="84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锡农学堂</w:t>
      </w:r>
      <w:r>
        <w:rPr>
          <w:rFonts w:ascii="宋体" w:hAnsi="宋体"/>
          <w:bCs/>
          <w:color w:val="auto"/>
          <w:sz w:val="24"/>
          <w:szCs w:val="24"/>
          <w:highlight w:val="none"/>
        </w:rPr>
      </w:r>
      <w:r>
        <w:rPr>
          <w:color w:val="auto"/>
          <w:highlight w:val="none"/>
        </w:rPr>
      </w:r>
    </w:p>
    <w:p>
      <w:pPr>
        <w:pStyle w:val="943"/>
        <w:numPr>
          <w:ilvl w:val="0"/>
          <w:numId w:val="117"/>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互动交流</w:t>
      </w:r>
      <w:r>
        <w:rPr>
          <w:rFonts w:ascii="宋体" w:hAnsi="宋体"/>
          <w:bCs/>
          <w:color w:val="auto"/>
          <w:sz w:val="24"/>
          <w:szCs w:val="24"/>
          <w:highlight w:val="none"/>
        </w:rPr>
      </w:r>
      <w:r>
        <w:rPr>
          <w:color w:val="auto"/>
          <w:highlight w:val="none"/>
        </w:rPr>
      </w:r>
    </w:p>
    <w:p>
      <w:pPr>
        <w:pStyle w:val="943"/>
        <w:numPr>
          <w:ilvl w:val="0"/>
          <w:numId w:val="117"/>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资源下载</w:t>
      </w:r>
      <w:r>
        <w:rPr>
          <w:rFonts w:ascii="宋体" w:hAnsi="宋体"/>
          <w:bCs/>
          <w:color w:val="auto"/>
          <w:sz w:val="24"/>
          <w:szCs w:val="24"/>
          <w:highlight w:val="none"/>
        </w:rPr>
      </w:r>
      <w:r>
        <w:rPr>
          <w:color w:val="auto"/>
          <w:highlight w:val="none"/>
        </w:rPr>
      </w:r>
    </w:p>
    <w:p>
      <w:pPr>
        <w:pStyle w:val="943"/>
        <w:numPr>
          <w:ilvl w:val="0"/>
          <w:numId w:val="117"/>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政策与资讯</w:t>
      </w:r>
      <w:r>
        <w:rPr>
          <w:rFonts w:ascii="宋体" w:hAnsi="宋体"/>
          <w:bCs/>
          <w:color w:val="auto"/>
          <w:sz w:val="24"/>
          <w:szCs w:val="24"/>
          <w:highlight w:val="none"/>
        </w:rPr>
      </w:r>
      <w:r>
        <w:rPr>
          <w:color w:val="auto"/>
          <w:highlight w:val="none"/>
        </w:rPr>
      </w:r>
    </w:p>
    <w:p>
      <w:pPr>
        <w:pStyle w:val="943"/>
        <w:numPr>
          <w:ilvl w:val="0"/>
          <w:numId w:val="117"/>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信息检索</w:t>
      </w:r>
      <w:r>
        <w:rPr>
          <w:rFonts w:ascii="宋体" w:hAnsi="宋体"/>
          <w:bCs/>
          <w:color w:val="auto"/>
          <w:sz w:val="24"/>
          <w:szCs w:val="24"/>
          <w:highlight w:val="none"/>
        </w:rPr>
      </w:r>
      <w:r>
        <w:rPr>
          <w:color w:val="auto"/>
          <w:highlight w:val="none"/>
        </w:rPr>
      </w:r>
    </w:p>
    <w:p>
      <w:pPr>
        <w:pStyle w:val="943"/>
        <w:numPr>
          <w:ilvl w:val="0"/>
          <w:numId w:val="117"/>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助农政策</w:t>
      </w:r>
      <w:r>
        <w:rPr>
          <w:rFonts w:ascii="宋体" w:hAnsi="宋体"/>
          <w:bCs/>
          <w:color w:val="auto"/>
          <w:sz w:val="24"/>
          <w:szCs w:val="24"/>
          <w:highlight w:val="none"/>
        </w:rPr>
      </w:r>
      <w:r>
        <w:rPr>
          <w:color w:val="auto"/>
          <w:highlight w:val="none"/>
        </w:rPr>
      </w:r>
    </w:p>
    <w:p>
      <w:pPr>
        <w:pStyle w:val="943"/>
        <w:numPr>
          <w:ilvl w:val="0"/>
          <w:numId w:val="117"/>
        </w:numPr>
        <w:ind w:firstLine="480"/>
        <w:spacing w:line="360" w:lineRule="auto"/>
        <w:tabs>
          <w:tab w:val="clear"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在线回答</w:t>
      </w:r>
      <w:r>
        <w:rPr>
          <w:rFonts w:ascii="宋体" w:hAnsi="宋体"/>
          <w:bCs/>
          <w:color w:val="auto"/>
          <w:sz w:val="24"/>
          <w:szCs w:val="24"/>
          <w:highlight w:val="none"/>
        </w:rPr>
      </w:r>
      <w:r>
        <w:rPr>
          <w:color w:val="auto"/>
          <w:highlight w:val="none"/>
        </w:rPr>
      </w:r>
    </w:p>
    <w:p>
      <w:pPr>
        <w:pStyle w:val="943"/>
        <w:numPr>
          <w:ilvl w:val="0"/>
          <w:numId w:val="9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锡农之家平台手机端（消费者端）</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锡农品牌</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锡农优选</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乡村慢直播</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乡村旅游</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质量溯源</w:t>
      </w:r>
      <w:r>
        <w:rPr>
          <w:rFonts w:ascii="宋体" w:hAnsi="宋体"/>
          <w:bCs/>
          <w:color w:val="auto"/>
          <w:sz w:val="24"/>
          <w:szCs w:val="24"/>
          <w:highlight w:val="none"/>
        </w:rPr>
      </w:r>
      <w:r>
        <w:rPr>
          <w:color w:val="auto"/>
          <w:highlight w:val="none"/>
        </w:rPr>
      </w:r>
    </w:p>
    <w:p>
      <w:pPr>
        <w:pStyle w:val="943"/>
        <w:numPr>
          <w:ilvl w:val="0"/>
          <w:numId w:val="115"/>
        </w:numPr>
        <w:ind w:firstLine="480"/>
        <w:spacing w:line="360" w:lineRule="auto"/>
        <w:tabs>
          <w:tab w:val="clear" w:pos="42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锡农学堂</w:t>
      </w:r>
      <w:r>
        <w:rPr>
          <w:rFonts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服务类技术参数要求如下：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提供基础类服务，以保障该项目顺利实施，确保提供密码资源池扩容服务、云资源安全、网络安全服务、水稻农情监测服务、运营支撑体系等服务，以及保障建成后平台运行良好稳定，为平台可持续发展提供源动力。</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（一）为本平台部署符合GM/T0028-2014《密码模块安全技术要求》标准要求的统一密码服务接口服务，为各业务应用提供集中统一的功能可扩展、横向可扩容的密码服务，使本次项目建设符合密码建设要求和规范。</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具体包括以下主要服务内容：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1.密码安全基础服务：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安全服务中间件统一密码服务接口服务，配置灵活的密码服务组件和接口服务，实现统一封装和定制，能够支持应用系统对信息加密、完整性校验等功能的灵活调用，用户请求密码服务时，访问安全服务中间件，不需要直接访问密码设备。</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用虚拟化技术，在一台密码机中按需生成多台虚拟密码机服务，提供SM2/3/4等标准密码服务接口，为各个应用系统提供密码运算、密钥生成及存储等功能，实现重要数据、日志记录等信息的机密性、完整性保护。</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为应用提供密钥管理、密码运算、随机数生成等密码服务，可以保证应用数据在产生、传输、存储到使用等各个阶段的机密性、有效性、完整性、不可抵赖性等。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提供数字签名、验签服务等服务，为各个应用系统提供证书管理和验证等功能。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为用户创建安全隧道服务，实现主机到主机、主机到子网以及子网到子网的安全互联；为异地接入、移动办公人员提供高速、稳定和安全的接入，实现对接入用户身份的认证，并建立与内网的安全访问隧道。</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提供不同网络机房之间或平台与灾备中心安全通信信道的服务能力，保证数据在传输过程中机密性和完整性。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2.终端及配套密码服务：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提供重要数据和敏感数据存储进行机密性和完整性保护能力，应用无需改造。</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国密浏览器配合代理服务，提供传输加密、数字证书认证服务。提供单双向ssl通信加密。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SM2密钥与证书的安全载体，实现双因子认证、基于证书的强身份鉴别服务。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（二）云资源安全服务，需对新增的政务云资源配套云资源安全服务，如主机安全、云堡垒机、日志审计、漏洞扫描，以此来保障云资源使用的基本安全。</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具体包括以下主要服务内容：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提供虚拟化主机安全；轻代理主机防病毒、主机防火墙、主机入侵防御、虚拟化加固、webshell检测、防暴力破解、安全基线、网卡流量统计功能。</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tab/>
        <w:t xml:space="preserve">提供虚拟化运维安全管理与审计系统（堡垒机）安全能力，支持SSH、RDP、VNC、Telnet、FTP等协议，支持访问控制策略按部门分权，不同部门的配置管理员只能针对自己部门及自己直属子部门设备进行访问权限设置。</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提供对操作系统、中间件、数据库、网络设备、安全设备等资产的日志收集、关联分析、日志存储和综合展示。</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传统的操作系统、网络设备、防火墙、远程服务等系统层漏洞进行扫描发现。同时对测试系统补丁更新情况，网络设备漏洞情况，远程服务端口开放等情况并进行综合评估，在黑客发现系统漏洞前提供给客户安全隐患评估报告，提前预防黑客攻击事件的发生。</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网络安全服务，信息化建设的安全要求随着我国信息化高速发展以及政务信息化的安全的严格要求下，加强网络安全建设是非常必要的，并且本项目建设中涉及的大量业务数据，对这部分的安全要求更加严苛。增加网络安全服务的内容，是有效保障网络安全服务的有效措施，从数据传输服务、数据处理服务、数据存储服务、安全运营管理、互联网监测、威胁监测与响应等方面建设网络安全。</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具体包括以下主要服务内容：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1.数据传输服务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库审计服务，提供数据库审计服务工具，工具硬件性能具备提供2U机架，双电源；服务支撑需配置：32GB内存，1×4TB硬盘；6千兆电口，两个扩展槽位；支持不低于20个数据库实例；吞吐量：520Mbps；SQL处理能力：40000条/s。</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数据处理服务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数据库防火墙服务，提供数据库防火墙服务工具，工具硬件性能具备2U机架，双电源；服务支撑需配置：32GB内存，1×4TB硬盘；</w:t>
      </w:r>
      <w:r>
        <w:rPr>
          <w:rFonts w:hint="eastAsia" w:ascii="宋体" w:hAnsi="宋体"/>
          <w:bCs/>
          <w:color w:val="auto"/>
          <w:sz w:val="24"/>
          <w:szCs w:val="24"/>
          <w:highlight w:val="none"/>
        </w:rPr>
        <w:t xml:space="preserve">6千兆电口，两个扩展槽位；支持不低于20个数据库实例；吞吐量：520Mbps；SQL处理能力：40000条/s；API全息综合审计服务，提供服务工具，工具硬件性能具备2U机架式，CPU32G，350W冗余电源，网络吞吐&gt;1G，HTTP吞吐&gt;600MHTTP并发连接数&gt;800万，TPS处理性能&gt;8000，千兆电口×6，两个扩展槽，可扩展千兆光口×4/8，万兆光口×2/4，支持旁路流量审计。自动发现API资产、检测API安全攻击、识别请求中的敏感数据、监测API运行状态、审计API访问行为、识别API应用缺陷。</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数据存储服务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库加密与访问控制服务，提供数据库加密与访问控制服务工具，工具硬件性能具备2U机架，双电源；服务支撑需配置：32GB内存，1×6TB硬盘，240GSSD；6千兆电口，2组BYPASS，两个扩展槽位；支持不低于24个数据库实例，处理性能35000SQL/S；</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 安全运营管理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安全运营管理服务，提供安全运营服务工具，工具硬件性能具备对网络流量及安全设备数据的采集、展示、检索、分析、溯源和响应处置，结合威胁情报可实现对威胁的快速精准判定，满足客户对传统态势感知场景的需求。包含大数据平台处理模块支持数据采集、解析、标准化、丰富化、存储、检索、计算等;基础</w:t>
      </w:r>
      <w:r>
        <w:rPr>
          <w:rFonts w:hint="eastAsia" w:ascii="宋体" w:hAnsi="宋体"/>
          <w:bCs/>
          <w:color w:val="auto"/>
          <w:sz w:val="24"/>
          <w:szCs w:val="24"/>
          <w:highlight w:val="none"/>
        </w:rPr>
        <w:t xml:space="preserve">分析模块支持情报分析、关联分析、威胁行为分析、攻击检测等；安全运营基础模块支持安全态势、安全事件管理、可视化BI分析、智能仪表盘、自动化报告、资产风险评估、安全信息库、预案可视化编排和自动化响应、指挥调度等。可支持1000EPS安全设备日志接入。标准2U机架式设备，服务支撑需配置：16核32线程，硬盘≥24TB，USB3.0≥3个，4个千兆电口+2个万兆光口，冗余电源全流量威胁检测探针支持1G网络流量采集、协议识别、重组还原，内置威胁检测能力，可提供攻击检测、攻击成功检测、威胁情报检测等多种维度的威胁检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互联网监测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网站威胁检测服务，对农业农村局20个核心业务场景的漏洞威胁、网页黑链、网页篡改、网站可用性等进行7*24实时监测，由安全专家对监测结果进行研判，并将造成影响的安全事件报告给客户，以便及时消除风险和阻断威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数据资产泄露监测服务，农业农村局20个核心业务场景，提供7*24持续监测2大主流代码托管平台、6类网盘、45种文库中与用户相关的数据泄露事件，并依照服务周期提供用户数字资产泄露监测报告。</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互联网暴露面监测服务，农业农村局20个核心业务场景，基于攻击者视角，开展7*24互联网资产测绘和资产风险分析监测，清点面向互联网的资产底数、网络资产风险，并持续跟踪资产和风险暴露情况，帮助用户主动开展外部攻击面管理，避免被攻击者非法利用。</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 威胁监测与响应</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网络流量分析服务，针对安全运营管理服务工具，由安全专家对网络流量威胁进行7*24持续监测分析，并对告警进行研判和分级，关闭误报并将攻击成功、对资产造成影响的告警升级为事件工单及时通知客户。</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四）水稻农情监测服务，利用长时序卫星影像，从面上大范围快速识别水稻；利用种植主体拍摄照片，在点位精细化识别水稻。通过卫星影像与数码照片识别结果的协同分析，精准快速识别出全市水稻种植地块，准确核准水稻种植面积。</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具体包括以下主要服务内容：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tab/>
        <w:t xml:space="preserve">农情实时调度</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利用卫星遥感对锡山全区6.8万亩水稻种植区域开展从播种到收割的全周期农情监测，获取水稻的长势、倒伏、成熟度、产量和收割信息，为农情调度工作提供数据支撑和决策支持。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tab/>
        <w:t xml:space="preserve">农技精准指导</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根据农情信息监测结果，评估锡山全区各农户水稻种植情况。针对苗情异常、“已熟未收”等情况农户，通过农场智慧生产管理系统向农户发送指导意见。</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（五）运营支撑</w:t>
      </w:r>
      <w:r>
        <w:rPr>
          <w:rFonts w:hint="eastAsia" w:ascii="宋体" w:hAnsi="宋体"/>
          <w:bCs/>
          <w:color w:val="auto"/>
          <w:sz w:val="24"/>
          <w:szCs w:val="24"/>
          <w:highlight w:val="none"/>
        </w:rPr>
        <w:t xml:space="preserve">体系的建设，对于农业大数据平台的成功运营至关重要。它不仅确保了平台的技术和服务质量，还通过专业的支持和持续的优化，提升了平台的应用价值和用户体验，是确保这一平台能够持续、高效运行的关键。该体系涵盖了从数据采集到用户培训的各个环节，提供专家内容服务、数据监管服务、数据调查服务、数据运营服务、综合保障服务等服务，确保平台在技术和服务上都能满足用户需求，为农业生产提供强有力的支持。通过运营支撑体系的有效实施，农业大数据平台能够更好地服务于农民和农业企业，推动农业生产的现代化和智能化，为农业发展带来新的机遇和挑战。</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具体包括以下主要服务内容：</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1.农技专家咨询服务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提供专业的农业生产知识咨询服务。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2.数据监管服务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高标准农田、龙头企业、休闲农业等系统建设时，派驻专业技术团队现场录入数据，并做好后期的培训指导。还包括通过物联网设备采集或自动化方式采集到的数据，进行质量监管和数据分析等。1）数据自动配置：对部、省级系统下放数据，或区县上报数据，派驻技术分析工程师，分析数据的正确性，保障数据质量，确保数据价值，进一步提升数据利用价值；2）数据质量筛查：对部、省级系统下放数据，或区县上报数据，派驻技术分析工程师，分析数据的正确性，保障数据质量，确保数据价值，进一步提升数据利用价值。</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3.数据调查服务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定期组织一次数据处理工程师对某地的农机设备信息进行调查核实，记录农机数据情况，如生产经营主体基础、农机、设施信息等。这些数据被上传到平台，供数据专家分析和辅助决策。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4.卫星遥感影像</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按半年频率更新提供全无锡市卫星影像资料（覆盖监测范围的卫星影像数据资料，分辨率1米及以上），每1年至少提供两期，共计提供三年。</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5.遥感影像数据处理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对遥感影像数据进行专业技术处理；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种植主体通过采集系统移动端上传种植面积、类别品种及地块照片等种植信息，结合卫星遥感影像，采用人工智能技术，精准敏捷绘制出全市附带权属信息的农业基础地块；</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利用长时序卫星影像，从面上大范围快速识别水稻；利用种植主体拍摄照片，在点位精细化识别水稻。通过卫星影像与数码照片识别结果的协同分析，精准快速识别出全市水稻种植地块，准确核准水稻种植面积。</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tab/>
        <w:t xml:space="preserve">综合保障服务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根据计划进行服务的优化和升级，并进行全面验证，确保服务升级的稳定性和实用性。</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7.数据挖掘服务</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派驻具有丰富农业数据分析经验的专家，组建一个专门的数据运营团队，负责日常的数据分析和报告生成。开展用户需求调研，定期进行用户需求调研，了解用户在数据使用和平台服务方面的需求和意见。</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5.5</w:t>
      </w:r>
      <w:r>
        <w:rPr>
          <w:rFonts w:hint="eastAsia" w:ascii="宋体" w:hAnsi="宋体"/>
          <w:bCs/>
          <w:color w:val="auto"/>
          <w:sz w:val="24"/>
          <w:szCs w:val="24"/>
          <w:highlight w:val="none"/>
          <w:lang w:val="en-US"/>
        </w:rPr>
        <w:t xml:space="preserve">  </w:t>
      </w:r>
      <w:r>
        <w:rPr>
          <w:rFonts w:hint="eastAsia" w:ascii="宋体" w:hAnsi="宋体"/>
          <w:bCs/>
          <w:color w:val="auto"/>
          <w:sz w:val="24"/>
          <w:szCs w:val="24"/>
          <w:highlight w:val="none"/>
          <w:lang w:val="en-US"/>
        </w:rPr>
        <w:t xml:space="preserve">云资源技术参数要求如下：</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rPr>
        <w:t xml:space="preserve">本项目采用政务云资源，需根据各建设内容，经过数据量分析和应用需求，根据云资源总体需求，合理分配，云资源服务为3年。如数据中台、技术中台、业务中台、三资平台、市级数字乡村综合服务、农产品质量安全信息化监管、稻米全产业链数字化建设等功能模块。整个政务云资源平台，具备基本的管理功能，且满足安全合规、稳定可靠、极致性能体验的要求。</w:t>
      </w:r>
      <w:r>
        <w:rPr>
          <w:rFonts w:hint="eastAsia" w:ascii="宋体" w:hAnsi="宋体"/>
          <w:bCs/>
          <w:color w:val="auto"/>
          <w:sz w:val="24"/>
          <w:szCs w:val="24"/>
          <w:highlight w:val="none"/>
          <w:lang w:val="en-US"/>
        </w:rPr>
      </w:r>
      <w:r>
        <w:rPr>
          <w:color w:val="auto"/>
          <w:highlight w:val="none"/>
        </w:rPr>
      </w:r>
    </w:p>
    <w:p>
      <w:pPr>
        <w:pStyle w:val="94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六、服务要求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中标供应商应严格按照以上功能及技术参数要求履行服务承诺，并通过发包人验收，协助</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通过等保、密评、软测等要求。如未按</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要求按时保质完成</w:t>
      </w:r>
      <w:r>
        <w:rPr>
          <w:rFonts w:hint="eastAsia" w:ascii="宋体" w:hAnsi="宋体"/>
          <w:bCs/>
          <w:color w:val="auto"/>
          <w:sz w:val="24"/>
          <w:szCs w:val="24"/>
          <w:highlight w:val="none"/>
        </w:rPr>
        <w:t xml:space="preserve">或</w:t>
      </w:r>
      <w:r>
        <w:rPr>
          <w:rFonts w:hint="eastAsia" w:ascii="宋体" w:hAnsi="宋体"/>
          <w:bCs/>
          <w:color w:val="auto"/>
          <w:sz w:val="24"/>
          <w:szCs w:val="24"/>
          <w:highlight w:val="none"/>
        </w:rPr>
        <w:t xml:space="preserve">发现服务质量不合格或存在弄虚作假行为，</w:t>
      </w:r>
      <w:r>
        <w:rPr>
          <w:rFonts w:hint="eastAsia" w:ascii="宋体" w:hAnsi="宋体"/>
          <w:bCs/>
          <w:color w:val="auto"/>
          <w:sz w:val="24"/>
          <w:szCs w:val="24"/>
          <w:highlight w:val="none"/>
        </w:rPr>
        <w:t xml:space="preserve">采购人有权依法解除合同，由此造成的损失由中标人承担。</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安全保密需求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tab/>
        <w:t xml:space="preserve">系统建设必须遵循国家电子政务信息安全保障体系要求，按照国家法规实施安全等级保护，加强系统信息安全管理。</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tab/>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应有明确、完善、可行的网络安全系统方案以及密码应用方案。</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tab/>
        <w:t xml:space="preserve">系统需满足国家信息系统安全等级保护三级要求和密码测评要求。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网络安全要求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培训要求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作为系统的设计方和开发方必须为</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提供多方面、多层次的培训。</w:t>
      </w:r>
      <w:r>
        <w:rPr>
          <w:rFonts w:hint="eastAsia" w:ascii="宋体" w:hAnsi="宋体"/>
          <w:bCs/>
          <w:color w:val="auto"/>
          <w:sz w:val="24"/>
          <w:szCs w:val="24"/>
          <w:highlight w:val="none"/>
        </w:rPr>
        <w:t xml:space="preserve">中标人应</w:t>
      </w:r>
      <w:r>
        <w:rPr>
          <w:rFonts w:hint="eastAsia" w:ascii="宋体" w:hAnsi="宋体"/>
          <w:bCs/>
          <w:color w:val="auto"/>
          <w:sz w:val="24"/>
          <w:szCs w:val="24"/>
          <w:highlight w:val="none"/>
        </w:rPr>
        <w:t xml:space="preserve">制定完整的培训方案，对于系统管理人员的培训，要求能达到维护系统正常运行的要求，包括：对涉及本项目的用户进行分类，分次进行培训，使得使用者可以熟练地操作应用系统。培训形式包括集中培训、现场指导、个别培训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售后服务要求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tab/>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负责本项目的安装和调试，并保证其提供的货物符合国家、行业、地方、招投标文件及合同规定的质量、性能和标准，并正确且安全地安装。</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tab/>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提供的服务全部按照国家有关法律法规规章和“三包”规定以及按招标文件要求和</w:t>
      </w:r>
      <w:r>
        <w:rPr>
          <w:rFonts w:hint="eastAsia" w:ascii="宋体" w:hAnsi="宋体"/>
          <w:bCs/>
          <w:color w:val="auto"/>
          <w:sz w:val="24"/>
          <w:szCs w:val="24"/>
          <w:highlight w:val="none"/>
        </w:rPr>
        <w:t xml:space="preserve">中标人的</w:t>
      </w:r>
      <w:r>
        <w:rPr>
          <w:rFonts w:hint="eastAsia" w:ascii="宋体" w:hAnsi="宋体"/>
          <w:bCs/>
          <w:color w:val="auto"/>
          <w:sz w:val="24"/>
          <w:szCs w:val="24"/>
          <w:highlight w:val="none"/>
        </w:rPr>
        <w:t xml:space="preserve">投标文件中的承诺执行。</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tab/>
        <w:t xml:space="preserve">质保期后的货物维护按照招标文件要求执行。</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w:t>
        <w:tab/>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应向</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现场调试的技术人员及维修人员提供方便条件。</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w:t>
        <w:tab/>
        <w:t xml:space="preserve">自项目最终验收合格之日起，</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负责提供</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认可的服务支持小组7*24小时现场服务。内容应包括：现场培训、软件使用咨询、网络连接、系统配置、系统调试、系统修复、系统初始化指导、系统运行维护等。其中，系统运行维护包括软件异常情况处理、数据异常维护、系统缺陷修复、系统迁移、重新安装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w:t>
        <w:tab/>
        <w:t xml:space="preserve">在免费维护期内，</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负责提供本项目系统的运行维护服务。包括：</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　日常软件维护：系统软件版本升级，系统功能的完善改进调整，服务器漏洞补丁升级，业务数据资料的整理（包括导入、导出、格式转换、分类、排序、筛选等），业务数据的备份，系统运行情况的分析和评估，解决系统间兼容性和性能瓶颈问题，业务处理过程发生问题后的及时响应服务，因部署环境的改变进行的重新部署和迁移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　数据变更服务：根据外部管理部门提出的审计、检查等需求，按照用户要求提供数据的导入/导出、数据格式制作等服务支持；按照</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提供的数据变更单及时进行数据变更，确保</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业务工作顺畅进行。</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　使用咨询服务：</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维保人员应上门服务或及时协助用户进行功能讲解、操作指导或解决相关技术问题等。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　例行巡检服务：</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维保人员定期主动开展应用服务和业务数据的例行检测服务，包括检查系统运行情况、数据库的安全性、业务数据的完整性、数据库备份的准确性，以及与其他业务系统的兼容性等。每月至少巡检一次，并提交例行巡检报告，经双方项目负责人签字后存档。</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w:t>
        <w:tab/>
        <w:t xml:space="preserve">服务响应时间</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　故障响应时间：</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保证对本项目重大故障在2小时内解决，一般故障在8小时内解决。</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　软件功能调整时间：</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提出本项目软件功能调整需求后，</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必须在7个工作日内提供软件功能调整工作量评估报告，根据工作量完成相应功能修改并上线,最长不得超过2个月。</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　软件性能优化时间：</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提出本项目软件性能优化需求后，</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必须在7个工作日内提供解决方案，并在1个月内完成性能优化。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　系统版本重新注册/升级时间：在本项目系统免费维护期到期前，无论何种原因的系统版本更新或升级，都不得影响</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的业务开展。</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6.5</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知识</w:t>
      </w:r>
      <w:r>
        <w:rPr>
          <w:rFonts w:hint="eastAsia" w:ascii="宋体" w:hAnsi="宋体"/>
          <w:bCs/>
          <w:color w:val="auto"/>
          <w:sz w:val="24"/>
          <w:szCs w:val="24"/>
          <w:highlight w:val="none"/>
        </w:rPr>
        <w:t xml:space="preserve">产权</w:t>
      </w:r>
      <w:r>
        <w:rPr>
          <w:rFonts w:hint="eastAsia" w:ascii="宋体" w:hAnsi="宋体"/>
          <w:bCs/>
          <w:color w:val="auto"/>
          <w:sz w:val="24"/>
          <w:szCs w:val="24"/>
          <w:highlight w:val="none"/>
        </w:rPr>
        <w:t xml:space="preserve">要求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tab/>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委托</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开发的软件著作权及相关文件和文档的版权归双方共同拥有，该软件的知识产权权属不因任何授权、许可或者本合同的履行而发生改变。</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tab/>
        <w:t xml:space="preserve">在项目开发及实施过程中，</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所提供的自主研发软件和服务类工具知识产权归</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所有，该软件和服务类工具知识产权权属不因任何授权、许可或者本合同的履行而发生改变。</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tab/>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有权利用</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按照本合同约定提供的研究开发成果，进行后继改进，由此产生的具有实质性或创造性技术进步特征的新的技术成果及其权利归属，由</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享有。</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w:t>
        <w:tab/>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应合法使用</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的软件产品，并保证不对</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软件进行任何的复制、出租或出借等侵犯</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知识产权的行为，一经发现，</w:t>
      </w:r>
      <w:r>
        <w:rPr>
          <w:rFonts w:hint="eastAsia" w:ascii="宋体" w:hAnsi="宋体"/>
          <w:bCs/>
          <w:color w:val="auto"/>
          <w:sz w:val="24"/>
          <w:szCs w:val="24"/>
          <w:highlight w:val="none"/>
        </w:rPr>
        <w:t xml:space="preserve">中标人可以</w:t>
      </w:r>
      <w:r>
        <w:rPr>
          <w:rFonts w:hint="eastAsia" w:ascii="宋体" w:hAnsi="宋体"/>
          <w:bCs/>
          <w:color w:val="auto"/>
          <w:sz w:val="24"/>
          <w:szCs w:val="24"/>
          <w:highlight w:val="none"/>
        </w:rPr>
        <w:t xml:space="preserve">提起法律诉讼维护</w:t>
      </w:r>
      <w:r>
        <w:rPr>
          <w:rFonts w:hint="eastAsia" w:ascii="宋体" w:hAnsi="宋体"/>
          <w:bCs/>
          <w:color w:val="auto"/>
          <w:sz w:val="24"/>
          <w:szCs w:val="24"/>
          <w:highlight w:val="none"/>
        </w:rPr>
        <w:t xml:space="preserve">自身</w:t>
      </w:r>
      <w:r>
        <w:rPr>
          <w:rFonts w:hint="eastAsia" w:ascii="宋体" w:hAnsi="宋体"/>
          <w:bCs/>
          <w:color w:val="auto"/>
          <w:sz w:val="24"/>
          <w:szCs w:val="24"/>
          <w:highlight w:val="none"/>
        </w:rPr>
        <w:t xml:space="preserve">合法权益，由此给</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造成的损失，</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由</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负全部责任。</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tab/>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未经</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同意，不得以任何方式向第三方披露、泄露、转让和与本项目相关的技术成果、技术资料和文档资料等，但因</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需要重建或其他业务扩展而进行的软件开发工作中，涉及</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软件系统时，</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需提供相关的配合，包括基础数据信息的整理导出和接口标准的开放，此不在知识产权的限制范围中。</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tab/>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不得向项目组以外任何公司、组织、个人，以任何形式提供本软件的需求、源代码、编译后程序及相关文档，不得销售或转让给第三方（</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自主研发的软件除外）。</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tab/>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在完成本合同约定的研究开发工作后，若需利用该项目研究开发成果进行后续改进，需事前取得</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之书面同意，无正当合法理由，</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应当同意</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的改进需求。</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tab/>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为履行其与第三方的合同而需要使用本合同项下的工作成果包括工作成果形成的知识产权，无论是全部或者部分，均须取得</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的同意。</w:t>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w:t>
        <w:tab/>
        <w:t xml:space="preserve">为履行本合同，</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将自主研发的软件或技术成果相关的知识产权包括但不限</w:t>
      </w:r>
      <w:r>
        <w:rPr>
          <w:rFonts w:hint="eastAsia" w:ascii="宋体" w:hAnsi="宋体"/>
          <w:bCs/>
          <w:color w:val="auto"/>
          <w:sz w:val="24"/>
          <w:szCs w:val="24"/>
          <w:highlight w:val="none"/>
        </w:rPr>
        <w:t xml:space="preserve">于</w:t>
      </w:r>
      <w:r>
        <w:rPr>
          <w:rFonts w:hint="eastAsia" w:ascii="宋体" w:hAnsi="宋体"/>
          <w:bCs/>
          <w:color w:val="auto"/>
          <w:sz w:val="24"/>
          <w:szCs w:val="24"/>
          <w:highlight w:val="none"/>
        </w:rPr>
        <w:t xml:space="preserve">著作权、专利权、商业秘密、技术秘密交付</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，无论是作为合同项下工作成果的全部或者部分，或者是作为合同履行的工具或项目的阶段成果，均视为</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将上述知识产权和技术成果许可</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使用，该等许可为无偿许可，并且许可的期限为无限期。</w:t>
      </w:r>
      <w:r>
        <w:rPr>
          <w:rFonts w:hint="eastAsia" w:ascii="宋体" w:hAnsi="宋体"/>
          <w:bCs/>
          <w:color w:val="auto"/>
          <w:sz w:val="24"/>
          <w:szCs w:val="24"/>
          <w:highlight w:val="none"/>
        </w:rPr>
      </w:r>
      <w:r>
        <w:rPr>
          <w:color w:val="auto"/>
          <w:highlight w:val="none"/>
        </w:rPr>
      </w:r>
    </w:p>
    <w:p>
      <w:pPr>
        <w:pStyle w:val="94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943"/>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943"/>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自合同签订生效之日起12个月内，项目建设达到初验标准且试运行3个月后完成终验并交付使用。</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自项目验收合格之日起</w:t>
      </w:r>
      <w:r>
        <w:rPr>
          <w:rFonts w:hint="eastAsia" w:ascii="宋体"/>
          <w:bCs/>
          <w:color w:val="auto"/>
          <w:sz w:val="24"/>
          <w:szCs w:val="24"/>
          <w:highlight w:val="none"/>
        </w:rPr>
        <w:t xml:space="preserve">，</w:t>
      </w:r>
      <w:r>
        <w:rPr>
          <w:rFonts w:hint="eastAsia" w:ascii="宋体"/>
          <w:bCs/>
          <w:color w:val="auto"/>
          <w:sz w:val="24"/>
          <w:szCs w:val="24"/>
          <w:highlight w:val="none"/>
        </w:rPr>
        <w:t xml:space="preserve">软件和定制开发部分</w:t>
      </w:r>
      <w:r>
        <w:rPr>
          <w:rFonts w:hint="eastAsia" w:ascii="宋体"/>
          <w:bCs/>
          <w:color w:val="auto"/>
          <w:sz w:val="24"/>
          <w:szCs w:val="24"/>
          <w:highlight w:val="none"/>
        </w:rPr>
        <w:t xml:space="preserve">提供三年免费质保服务</w:t>
      </w:r>
      <w:r>
        <w:rPr>
          <w:rFonts w:hint="eastAsia" w:ascii="宋体"/>
          <w:bCs/>
          <w:color w:val="auto"/>
          <w:sz w:val="24"/>
          <w:szCs w:val="24"/>
          <w:highlight w:val="none"/>
        </w:rPr>
        <w:t xml:space="preserve">、硬件部分</w:t>
      </w:r>
      <w:r>
        <w:rPr>
          <w:rFonts w:hint="eastAsia" w:ascii="宋体"/>
          <w:bCs/>
          <w:color w:val="auto"/>
          <w:sz w:val="24"/>
          <w:szCs w:val="24"/>
          <w:highlight w:val="none"/>
        </w:rPr>
        <w:t xml:space="preserve">提供五年免费质保服务</w:t>
      </w:r>
      <w:r>
        <w:rPr>
          <w:rFonts w:hint="eastAsia" w:asci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合同签订生效后15个工作日内支付合同价的50%，项目竣工验收合格后15个工作日内支付至合同价的90%，质保期满后15个工作日内付清余款。</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943"/>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943"/>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943"/>
        <w:numPr>
          <w:ilvl w:val="1"/>
          <w:numId w:val="6"/>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943"/>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auto"/>
          <w:sz w:val="24"/>
          <w:szCs w:val="24"/>
          <w:highlight w:val="none"/>
        </w:rPr>
      </w:r>
      <w:r>
        <w:rPr>
          <w:color w:val="auto"/>
          <w:highlight w:val="none"/>
        </w:rPr>
      </w:r>
    </w:p>
    <w:p>
      <w:pPr>
        <w:pStyle w:val="943"/>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auto"/>
          <w:sz w:val="24"/>
          <w:szCs w:val="24"/>
          <w:highlight w:val="none"/>
        </w:rPr>
      </w:r>
      <w:r>
        <w:rPr>
          <w:color w:val="auto"/>
          <w:highlight w:val="none"/>
        </w:rPr>
      </w:r>
    </w:p>
    <w:p>
      <w:pPr>
        <w:pStyle w:val="943"/>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auto"/>
          <w:sz w:val="24"/>
          <w:szCs w:val="24"/>
          <w:highlight w:val="none"/>
        </w:rPr>
      </w:r>
      <w:r>
        <w:rPr>
          <w:color w:val="auto"/>
          <w:highlight w:val="none"/>
        </w:rPr>
      </w:r>
    </w:p>
    <w:p>
      <w:pPr>
        <w:pStyle w:val="943"/>
        <w:numPr>
          <w:ilvl w:val="1"/>
          <w:numId w:val="6"/>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943"/>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ascii="宋体"/>
          <w:bCs/>
          <w:color w:val="auto"/>
          <w:sz w:val="24"/>
          <w:szCs w:val="24"/>
          <w:highlight w:val="none"/>
        </w:rPr>
      </w:r>
      <w:r>
        <w:rPr>
          <w:color w:val="auto"/>
          <w:highlight w:val="none"/>
        </w:rPr>
      </w:r>
    </w:p>
    <w:p>
      <w:pPr>
        <w:pStyle w:val="943"/>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ascii="宋体" w:hAnsi="宋体" w:cs="宋体"/>
          <w:color w:val="auto"/>
          <w:sz w:val="24"/>
          <w:szCs w:val="24"/>
          <w:highlight w:val="none"/>
        </w:rPr>
      </w:r>
      <w:r>
        <w:rPr>
          <w:color w:val="auto"/>
          <w:highlight w:val="none"/>
        </w:rPr>
      </w:r>
    </w:p>
    <w:p>
      <w:pPr>
        <w:pStyle w:val="943"/>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auto"/>
          <w:sz w:val="24"/>
          <w:szCs w:val="24"/>
          <w:highlight w:val="none"/>
        </w:rPr>
      </w:r>
      <w:r>
        <w:rPr>
          <w:color w:val="auto"/>
          <w:highlight w:val="none"/>
        </w:rPr>
      </w:r>
    </w:p>
    <w:p>
      <w:pPr>
        <w:pStyle w:val="943"/>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auto"/>
          <w:sz w:val="24"/>
          <w:szCs w:val="24"/>
          <w:highlight w:val="none"/>
        </w:rPr>
      </w:r>
      <w:r>
        <w:rPr>
          <w:color w:val="auto"/>
          <w:highlight w:val="none"/>
        </w:rPr>
      </w:r>
    </w:p>
    <w:p>
      <w:pPr>
        <w:pStyle w:val="943"/>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943"/>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9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none"/>
          <w:lang w:val="en"/>
        </w:rPr>
      </w:r>
      <w:r>
        <w:rPr>
          <w:color w:val="auto"/>
          <w:highlight w:val="none"/>
        </w:rPr>
      </w:r>
    </w:p>
    <w:p>
      <w:pPr>
        <w:pStyle w:val="94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94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8"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rFonts w:hint="eastAsia" w:ascii="黑体" w:hAnsi="黑体" w:eastAsia="黑体"/>
          <w:bCs/>
          <w:color w:val="auto"/>
          <w:sz w:val="36"/>
          <w:szCs w:val="36"/>
          <w:highlight w:val="none"/>
        </w:rPr>
      </w:r>
      <w:r>
        <w:rPr>
          <w:color w:val="auto"/>
          <w:highlight w:val="none"/>
        </w:rPr>
      </w:r>
    </w:p>
    <w:p>
      <w:pPr>
        <w:pStyle w:val="1031"/>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1031"/>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1031"/>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1031"/>
        <w:spacing w:before="0" w:after="0" w:line="500" w:lineRule="exact"/>
        <w:rPr>
          <w:rStyle w:val="1020"/>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w:t>
      </w:r>
      <w:r>
        <w:rPr>
          <w:rFonts w:hint="eastAsia" w:ascii="宋体" w:hAnsi="宋体"/>
          <w:bCs/>
          <w:color w:val="auto"/>
          <w:highlight w:val="none"/>
        </w:rPr>
        <w:t xml:space="preserve">按排名先后顺序选取3名中标候选人。</w:t>
      </w:r>
      <w:r>
        <w:rPr>
          <w:rStyle w:val="1020"/>
          <w:rFonts w:ascii="Times New Roman" w:hAnsi="Times New Roman"/>
          <w:color w:val="auto"/>
          <w:highlight w:val="none"/>
        </w:rPr>
      </w:r>
      <w:r>
        <w:rPr>
          <w:color w:val="auto"/>
          <w:highlight w:val="none"/>
        </w:rPr>
      </w:r>
    </w:p>
    <w:p>
      <w:pPr>
        <w:pStyle w:val="103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1031"/>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103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943"/>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94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94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94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943"/>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94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94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43"/>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1031"/>
        <w:ind w:firstLine="360"/>
        <w:spacing w:before="0" w:after="0" w:line="500" w:lineRule="exact"/>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b/>
          <w:color w:val="auto"/>
          <w:sz w:val="28"/>
          <w:szCs w:val="28"/>
          <w:highlight w:val="none"/>
        </w:rPr>
      </w:r>
      <w:r>
        <w:rPr>
          <w:color w:val="auto"/>
          <w:highlight w:val="none"/>
        </w:rPr>
      </w:r>
    </w:p>
    <w:p>
      <w:pPr>
        <w:pStyle w:val="1031"/>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auto"/>
          <w:sz w:val="28"/>
          <w:szCs w:val="28"/>
          <w:highlight w:val="none"/>
          <w:u w:val="single"/>
        </w:rPr>
      </w:r>
      <w:r>
        <w:rPr>
          <w:color w:val="auto"/>
          <w:highlight w:val="none"/>
        </w:rPr>
      </w:r>
    </w:p>
    <w:p>
      <w:pPr>
        <w:pStyle w:val="1031"/>
        <w:ind w:firstLine="42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（一）商务部分</w:t>
      </w:r>
      <w:r>
        <w:rPr>
          <w:rFonts w:hint="eastAsia" w:ascii="宋体" w:hAnsi="宋体"/>
          <w:b/>
          <w:color w:val="auto"/>
          <w:sz w:val="28"/>
          <w:szCs w:val="28"/>
          <w:highlight w:val="none"/>
        </w:rPr>
        <w:t xml:space="preserve">（</w:t>
      </w:r>
      <w:r>
        <w:rPr>
          <w:rFonts w:hint="eastAsia" w:ascii="宋体" w:hAnsi="宋体"/>
          <w:b/>
          <w:color w:val="auto"/>
          <w:sz w:val="28"/>
          <w:szCs w:val="28"/>
          <w:highlight w:val="none"/>
        </w:rPr>
        <w:t xml:space="preserve">50</w:t>
      </w:r>
      <w:r>
        <w:rPr>
          <w:rFonts w:hint="eastAsia" w:ascii="宋体" w:hAnsi="宋体"/>
          <w:b/>
          <w:color w:val="auto"/>
          <w:sz w:val="28"/>
          <w:szCs w:val="28"/>
          <w:highlight w:val="none"/>
        </w:rPr>
        <w:t xml:space="preserve">分）</w:t>
      </w:r>
      <w:r>
        <w:rPr>
          <w:rFonts w:hint="eastAsia" w:ascii="宋体" w:hAnsi="宋体"/>
          <w:b/>
          <w:color w:val="auto"/>
          <w:sz w:val="28"/>
          <w:szCs w:val="28"/>
          <w:highlight w:val="none"/>
        </w:rPr>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25</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43"/>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4.5</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w:t>
      </w:r>
      <w:r>
        <w:rPr>
          <w:rFonts w:hint="eastAsia" w:ascii="宋体" w:hAnsi="宋体"/>
          <w:color w:val="auto"/>
          <w:sz w:val="24"/>
          <w:highlight w:val="none"/>
        </w:rPr>
        <w:t xml:space="preserve">  </w:t>
      </w:r>
      <w:r>
        <w:rPr>
          <w:rFonts w:hint="eastAsia" w:ascii="宋体" w:hAnsi="宋体"/>
          <w:color w:val="auto"/>
          <w:sz w:val="24"/>
          <w:highlight w:val="none"/>
        </w:rPr>
        <w:t xml:space="preserve">项目经理（1.5分）：本项目</w:t>
      </w:r>
      <w:r>
        <w:rPr>
          <w:rFonts w:hint="eastAsia" w:ascii="宋体" w:hAnsi="宋体"/>
          <w:color w:val="auto"/>
          <w:sz w:val="24"/>
          <w:highlight w:val="none"/>
        </w:rPr>
        <w:t xml:space="preserve">配备</w:t>
      </w:r>
      <w:r>
        <w:rPr>
          <w:rFonts w:hint="eastAsia" w:ascii="宋体" w:hAnsi="宋体"/>
          <w:color w:val="auto"/>
          <w:sz w:val="24"/>
          <w:highlight w:val="none"/>
        </w:rPr>
        <w:t xml:space="preserve">一名项目经理，</w:t>
      </w:r>
      <w:r>
        <w:rPr>
          <w:rFonts w:hint="eastAsia" w:ascii="宋体" w:hAnsi="宋体"/>
          <w:color w:val="auto"/>
          <w:sz w:val="24"/>
          <w:highlight w:val="none"/>
        </w:rPr>
        <w:t xml:space="preserve">该项目经理</w:t>
      </w:r>
      <w:r>
        <w:rPr>
          <w:rFonts w:hint="eastAsia" w:ascii="宋体" w:hAnsi="宋体"/>
          <w:color w:val="auto"/>
          <w:sz w:val="24"/>
          <w:highlight w:val="none"/>
        </w:rPr>
        <w:t xml:space="preserve">具有高级信息系统项目管理师</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、网络安全能力认证CCSC</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、高级工程师（网络安全方面）证书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须提供</w:t>
      </w:r>
      <w:r>
        <w:rPr>
          <w:rFonts w:hint="eastAsia" w:ascii="宋体" w:hAnsi="宋体"/>
          <w:color w:val="auto"/>
          <w:sz w:val="24"/>
          <w:highlight w:val="none"/>
        </w:rPr>
        <w:t xml:space="preserve">相应有效</w:t>
      </w:r>
      <w:r>
        <w:rPr>
          <w:rFonts w:hint="eastAsia" w:ascii="宋体" w:hAnsi="宋体"/>
          <w:color w:val="auto"/>
          <w:sz w:val="24"/>
          <w:highlight w:val="none"/>
        </w:rPr>
        <w:t xml:space="preserve">证书</w:t>
      </w:r>
      <w:r>
        <w:rPr>
          <w:rFonts w:hint="eastAsia" w:ascii="宋体" w:hAnsi="宋体"/>
          <w:color w:val="auto"/>
          <w:sz w:val="24"/>
          <w:highlight w:val="none"/>
        </w:rPr>
        <w:t xml:space="preserve">证明材料</w:t>
      </w:r>
      <w:r>
        <w:rPr>
          <w:rFonts w:hint="eastAsia" w:ascii="宋体" w:hAnsi="宋体"/>
          <w:color w:val="auto"/>
          <w:sz w:val="24"/>
          <w:highlight w:val="none"/>
        </w:rPr>
        <w:t xml:space="preserve">。</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w:t>
      </w:r>
      <w:r>
        <w:rPr>
          <w:rFonts w:hint="eastAsia" w:ascii="宋体" w:hAnsi="宋体"/>
          <w:color w:val="auto"/>
          <w:sz w:val="24"/>
          <w:highlight w:val="none"/>
        </w:rPr>
        <w:t xml:space="preserve">  </w:t>
      </w:r>
      <w:r>
        <w:rPr>
          <w:rFonts w:hint="eastAsia" w:ascii="宋体" w:hAnsi="宋体"/>
          <w:color w:val="auto"/>
          <w:sz w:val="24"/>
          <w:highlight w:val="none"/>
        </w:rPr>
        <w:t xml:space="preserve">技术负责人（1.5分）：</w:t>
      </w:r>
      <w:r>
        <w:rPr>
          <w:rFonts w:hint="eastAsia" w:ascii="宋体" w:hAnsi="宋体"/>
          <w:color w:val="auto"/>
          <w:sz w:val="24"/>
          <w:highlight w:val="none"/>
        </w:rPr>
        <w:t xml:space="preserve">本项目</w:t>
      </w:r>
      <w:r>
        <w:rPr>
          <w:rFonts w:hint="eastAsia" w:ascii="宋体" w:hAnsi="宋体"/>
          <w:color w:val="auto"/>
          <w:sz w:val="24"/>
          <w:highlight w:val="none"/>
        </w:rPr>
        <w:t xml:space="preserve">配备</w:t>
      </w:r>
      <w:r>
        <w:rPr>
          <w:rFonts w:hint="eastAsia" w:ascii="宋体" w:hAnsi="宋体"/>
          <w:color w:val="auto"/>
          <w:sz w:val="24"/>
          <w:highlight w:val="none"/>
        </w:rPr>
        <w:t xml:space="preserve">一名</w:t>
      </w:r>
      <w:r>
        <w:rPr>
          <w:rFonts w:hint="eastAsia" w:ascii="宋体" w:hAnsi="宋体"/>
          <w:color w:val="auto"/>
          <w:sz w:val="24"/>
          <w:highlight w:val="none"/>
        </w:rPr>
        <w:t xml:space="preserve">技术负责人</w:t>
      </w:r>
      <w:r>
        <w:rPr>
          <w:rFonts w:hint="eastAsia" w:ascii="宋体" w:hAnsi="宋体"/>
          <w:color w:val="auto"/>
          <w:sz w:val="24"/>
          <w:highlight w:val="none"/>
        </w:rPr>
        <w:t xml:space="preserve">（与项目经理不能是同一人），该技术负责人</w:t>
      </w:r>
      <w:r>
        <w:rPr>
          <w:rFonts w:hint="eastAsia" w:ascii="宋体" w:hAnsi="宋体"/>
          <w:color w:val="auto"/>
          <w:sz w:val="24"/>
          <w:highlight w:val="none"/>
        </w:rPr>
        <w:t xml:space="preserve">具有高级系统架构设计师</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、高级信息系统项目管理师</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、CISAW信息安全保障人员认证（安全软件）证书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须提供</w:t>
      </w:r>
      <w:r>
        <w:rPr>
          <w:rFonts w:hint="eastAsia" w:ascii="宋体" w:hAnsi="宋体"/>
          <w:color w:val="auto"/>
          <w:sz w:val="24"/>
          <w:highlight w:val="none"/>
        </w:rPr>
        <w:t xml:space="preserve">相应有效</w:t>
      </w:r>
      <w:r>
        <w:rPr>
          <w:rFonts w:hint="eastAsia" w:ascii="宋体" w:hAnsi="宋体"/>
          <w:color w:val="auto"/>
          <w:sz w:val="24"/>
          <w:highlight w:val="none"/>
        </w:rPr>
        <w:t xml:space="preserve">证书</w:t>
      </w:r>
      <w:r>
        <w:rPr>
          <w:rFonts w:hint="eastAsia" w:ascii="宋体" w:hAnsi="宋体"/>
          <w:color w:val="auto"/>
          <w:sz w:val="24"/>
          <w:highlight w:val="none"/>
        </w:rPr>
        <w:t xml:space="preserve">证明材料</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w:t>
      </w:r>
      <w:r>
        <w:rPr>
          <w:rFonts w:hint="eastAsia" w:ascii="宋体" w:hAnsi="宋体"/>
          <w:color w:val="auto"/>
          <w:sz w:val="24"/>
          <w:highlight w:val="none"/>
        </w:rPr>
        <w:t xml:space="preserve">  </w:t>
      </w:r>
      <w:r>
        <w:rPr>
          <w:rFonts w:hint="eastAsia" w:ascii="宋体" w:hAnsi="宋体"/>
          <w:color w:val="auto"/>
          <w:sz w:val="24"/>
          <w:highlight w:val="none"/>
        </w:rPr>
        <w:t xml:space="preserve">项目组成员（1.5分）：</w:t>
      </w:r>
      <w:r>
        <w:rPr>
          <w:rFonts w:hint="eastAsia" w:ascii="宋体" w:hAnsi="宋体"/>
          <w:color w:val="auto"/>
          <w:sz w:val="24"/>
          <w:highlight w:val="none"/>
        </w:rPr>
        <w:t xml:space="preserve">除项目经理、技术负责人外，项目组成员具有：</w:t>
      </w:r>
      <w:r>
        <w:rPr>
          <w:rFonts w:hint="eastAsia" w:ascii="宋体" w:hAnsi="宋体"/>
          <w:color w:val="auto"/>
          <w:sz w:val="24"/>
          <w:highlight w:val="none"/>
        </w:rPr>
        <w:t xml:space="preserve">软件设计师</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、数据库管理工程师</w:t>
      </w:r>
      <w:r>
        <w:rPr>
          <w:rFonts w:hint="eastAsia" w:ascii="宋体" w:hAnsi="宋体"/>
          <w:color w:val="auto"/>
          <w:sz w:val="24"/>
          <w:highlight w:val="none"/>
        </w:rPr>
        <w:t xml:space="preserve">证书的得0.5分</w:t>
      </w:r>
      <w:r>
        <w:rPr>
          <w:rFonts w:hint="eastAsia" w:ascii="宋体" w:hAnsi="宋体"/>
          <w:color w:val="auto"/>
          <w:sz w:val="24"/>
          <w:highlight w:val="none"/>
        </w:rPr>
        <w:t xml:space="preserve">、高级软件技术开发工程师证书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w:t>
      </w:r>
      <w:r>
        <w:rPr>
          <w:rFonts w:hint="eastAsia" w:ascii="宋体" w:hAnsi="宋体"/>
          <w:color w:val="auto"/>
          <w:sz w:val="24"/>
          <w:highlight w:val="none"/>
        </w:rPr>
        <w:t xml:space="preserve">同一个人具有上述多种证书的只计算一次，同一种证书也只计算一次，均不重复得分</w:t>
      </w:r>
      <w:r>
        <w:rPr>
          <w:rFonts w:hint="eastAsia" w:ascii="宋体" w:hAnsi="宋体"/>
          <w:color w:val="auto"/>
          <w:sz w:val="24"/>
          <w:highlight w:val="none"/>
        </w:rPr>
        <w:t xml:space="preserve">；</w:t>
      </w:r>
      <w:r>
        <w:rPr>
          <w:rFonts w:hint="eastAsia" w:ascii="宋体" w:hAnsi="宋体"/>
          <w:color w:val="auto"/>
          <w:sz w:val="24"/>
          <w:highlight w:val="none"/>
        </w:rPr>
        <w:t xml:space="preserve">须提供</w:t>
      </w:r>
      <w:r>
        <w:rPr>
          <w:rFonts w:hint="eastAsia" w:ascii="宋体" w:hAnsi="宋体"/>
          <w:color w:val="auto"/>
          <w:sz w:val="24"/>
          <w:highlight w:val="none"/>
        </w:rPr>
        <w:t xml:space="preserve">相应有效</w:t>
      </w:r>
      <w:r>
        <w:rPr>
          <w:rFonts w:hint="eastAsia" w:ascii="宋体" w:hAnsi="宋体"/>
          <w:color w:val="auto"/>
          <w:sz w:val="24"/>
          <w:highlight w:val="none"/>
        </w:rPr>
        <w:t xml:space="preserve">证书</w:t>
      </w:r>
      <w:r>
        <w:rPr>
          <w:rFonts w:hint="eastAsia" w:ascii="宋体" w:hAnsi="宋体"/>
          <w:color w:val="auto"/>
          <w:sz w:val="24"/>
          <w:highlight w:val="none"/>
        </w:rPr>
        <w:t xml:space="preserve">证明材料</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5.5</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业绩（2分）：</w:t>
      </w:r>
      <w:r>
        <w:rPr>
          <w:rFonts w:hint="eastAsia" w:ascii="宋体" w:hAnsi="宋体"/>
          <w:color w:val="auto"/>
          <w:sz w:val="24"/>
          <w:highlight w:val="none"/>
        </w:rPr>
        <w:t xml:space="preserve">投标人</w:t>
      </w:r>
      <w:r>
        <w:rPr>
          <w:rFonts w:hint="eastAsia" w:ascii="宋体" w:hAnsi="宋体"/>
          <w:color w:val="auto"/>
          <w:sz w:val="24"/>
          <w:highlight w:val="none"/>
        </w:rPr>
        <w:t xml:space="preserve">自2021年1月1日</w:t>
      </w:r>
      <w:r>
        <w:rPr>
          <w:rFonts w:hint="eastAsia" w:ascii="宋体" w:hAnsi="宋体"/>
          <w:color w:val="auto"/>
          <w:sz w:val="24"/>
          <w:highlight w:val="none"/>
        </w:rPr>
        <w:t xml:space="preserve">以来</w:t>
      </w:r>
      <w:r>
        <w:rPr>
          <w:rFonts w:hint="eastAsia" w:ascii="宋体" w:hAnsi="宋体"/>
          <w:color w:val="auto"/>
          <w:sz w:val="24"/>
          <w:highlight w:val="none"/>
        </w:rPr>
        <w:t xml:space="preserve">（以合同签订日期为准），</w:t>
      </w:r>
      <w:r>
        <w:rPr>
          <w:rFonts w:hint="eastAsia" w:ascii="宋体" w:hAnsi="宋体"/>
          <w:color w:val="auto"/>
          <w:sz w:val="24"/>
          <w:highlight w:val="none"/>
        </w:rPr>
        <w:t xml:space="preserve">具有与本项目类似项目案例的，每有一个得1分，最高2分；须提供相应有效合同扫描件。</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体系认证证书（2分）：投标人具有有效期内的</w:t>
      </w:r>
      <w:r>
        <w:rPr>
          <w:rFonts w:hint="eastAsia" w:ascii="宋体" w:hAnsi="宋体"/>
          <w:color w:val="auto"/>
          <w:sz w:val="24"/>
          <w:highlight w:val="none"/>
        </w:rPr>
        <w:t xml:space="preserve">：</w:t>
      </w:r>
      <w:r>
        <w:rPr>
          <w:rFonts w:hint="eastAsia" w:ascii="宋体" w:hAnsi="宋体"/>
          <w:color w:val="auto"/>
          <w:sz w:val="24"/>
          <w:highlight w:val="none"/>
        </w:rPr>
        <w:t xml:space="preserve">大数据安全管理体系认证证书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、质量管理体系认证证书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、信息安全管理体系认证证书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、隐私安全管理体系认证证书</w:t>
      </w:r>
      <w:r>
        <w:rPr>
          <w:rFonts w:hint="eastAsia" w:ascii="宋体" w:hAnsi="宋体"/>
          <w:color w:val="auto"/>
          <w:sz w:val="24"/>
          <w:highlight w:val="none"/>
        </w:rPr>
        <w:t xml:space="preserve">的得0.5分；须提供相应有效认证证书扫描件，</w:t>
      </w:r>
      <w:r>
        <w:rPr>
          <w:rFonts w:hint="eastAsia" w:ascii="宋体" w:hAnsi="宋体"/>
          <w:color w:val="auto"/>
          <w:sz w:val="24"/>
          <w:highlight w:val="none"/>
        </w:rPr>
        <w:t xml:space="preserve">同时还须提供该证书在“国家市场监督管理总局-全国认证认可信息公共服务平台”网站查询到的有效认证截图并加盖投标人公章</w:t>
      </w:r>
      <w:r>
        <w:rPr>
          <w:rFonts w:hint="eastAsia" w:ascii="宋体" w:hAnsi="宋体"/>
          <w:color w:val="auto"/>
          <w:sz w:val="24"/>
          <w:highlight w:val="none"/>
        </w:rPr>
        <w:t xml:space="preserve">，否则不得分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3.3  </w:t>
      </w:r>
      <w:r>
        <w:rPr>
          <w:rFonts w:hint="eastAsia" w:ascii="宋体" w:hAnsi="宋体"/>
          <w:color w:val="auto"/>
          <w:sz w:val="24"/>
          <w:highlight w:val="none"/>
        </w:rPr>
        <w:t xml:space="preserve">软件著作权</w:t>
      </w:r>
      <w:r>
        <w:rPr>
          <w:rFonts w:hint="eastAsia" w:ascii="宋体" w:hAnsi="宋体"/>
          <w:color w:val="auto"/>
          <w:sz w:val="24"/>
          <w:highlight w:val="none"/>
        </w:rPr>
        <w:t xml:space="preserve">证书</w:t>
      </w:r>
      <w:r>
        <w:rPr>
          <w:rFonts w:hint="eastAsia" w:ascii="宋体" w:hAnsi="宋体"/>
          <w:color w:val="auto"/>
          <w:sz w:val="24"/>
          <w:highlight w:val="none"/>
        </w:rPr>
        <w:t xml:space="preserve">（1.5分）：为保障定制开发软件开发，投标人具有成熟软件开发作为支撑，并能够提供以下相关软件</w:t>
      </w:r>
      <w:r>
        <w:rPr>
          <w:rFonts w:hint="eastAsia" w:ascii="宋体" w:hAnsi="宋体"/>
          <w:color w:val="auto"/>
          <w:sz w:val="24"/>
          <w:highlight w:val="none"/>
        </w:rPr>
        <w:t xml:space="preserve">的软件</w:t>
      </w:r>
      <w:r>
        <w:rPr>
          <w:rFonts w:hint="eastAsia" w:ascii="宋体" w:hAnsi="宋体"/>
          <w:color w:val="auto"/>
          <w:sz w:val="24"/>
          <w:highlight w:val="none"/>
        </w:rPr>
        <w:t xml:space="preserve">著作权登记证书</w:t>
      </w:r>
      <w:r>
        <w:rPr>
          <w:rFonts w:hint="eastAsia" w:ascii="宋体" w:hAnsi="宋体"/>
          <w:color w:val="auto"/>
          <w:sz w:val="24"/>
          <w:highlight w:val="none"/>
        </w:rPr>
        <w:t xml:space="preserve">的</w:t>
      </w:r>
      <w:r>
        <w:rPr>
          <w:rFonts w:hint="eastAsia" w:ascii="宋体" w:hAnsi="宋体"/>
          <w:color w:val="auto"/>
          <w:sz w:val="24"/>
          <w:highlight w:val="none"/>
        </w:rPr>
        <w:t xml:space="preserve">：农业农村大数据平台</w:t>
      </w:r>
      <w:r>
        <w:rPr>
          <w:rFonts w:hint="eastAsia" w:ascii="宋体" w:hAnsi="宋体"/>
          <w:color w:val="auto"/>
          <w:sz w:val="24"/>
          <w:highlight w:val="none"/>
        </w:rPr>
        <w:t xml:space="preserve">软件</w:t>
      </w:r>
      <w:r>
        <w:rPr>
          <w:rFonts w:hint="eastAsia" w:ascii="宋体" w:hAnsi="宋体"/>
          <w:color w:val="auto"/>
          <w:sz w:val="24"/>
          <w:highlight w:val="none"/>
        </w:rPr>
        <w:t xml:space="preserve">著作权登记证书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、农业生产信息化管理</w:t>
      </w:r>
      <w:r>
        <w:rPr>
          <w:rFonts w:hint="eastAsia" w:ascii="宋体" w:hAnsi="宋体"/>
          <w:color w:val="auto"/>
          <w:sz w:val="24"/>
          <w:highlight w:val="none"/>
        </w:rPr>
        <w:t xml:space="preserve">软件</w:t>
      </w:r>
      <w:r>
        <w:rPr>
          <w:rFonts w:hint="eastAsia" w:ascii="宋体" w:hAnsi="宋体"/>
          <w:color w:val="auto"/>
          <w:sz w:val="24"/>
          <w:highlight w:val="none"/>
        </w:rPr>
        <w:t xml:space="preserve">著作权登记证书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、数字农业产业分析</w:t>
      </w:r>
      <w:r>
        <w:rPr>
          <w:rFonts w:hint="eastAsia" w:ascii="宋体" w:hAnsi="宋体"/>
          <w:color w:val="auto"/>
          <w:sz w:val="24"/>
          <w:highlight w:val="none"/>
        </w:rPr>
        <w:t xml:space="preserve">软件</w:t>
      </w:r>
      <w:r>
        <w:rPr>
          <w:rFonts w:hint="eastAsia" w:ascii="宋体" w:hAnsi="宋体"/>
          <w:color w:val="auto"/>
          <w:sz w:val="24"/>
          <w:highlight w:val="none"/>
        </w:rPr>
        <w:t xml:space="preserve">著作权登记证书</w:t>
      </w:r>
      <w:r>
        <w:rPr>
          <w:rFonts w:hint="eastAsia" w:ascii="宋体" w:hAnsi="宋体"/>
          <w:color w:val="auto"/>
          <w:sz w:val="24"/>
          <w:highlight w:val="none"/>
        </w:rPr>
        <w:t xml:space="preserve">的得0.5分</w:t>
      </w:r>
      <w:r>
        <w:rPr>
          <w:rFonts w:hint="eastAsia" w:ascii="宋体" w:hAnsi="宋体"/>
          <w:color w:val="auto"/>
          <w:sz w:val="24"/>
          <w:highlight w:val="none"/>
        </w:rPr>
        <w:t xml:space="preserve">；须提供相应有效软件著作</w:t>
      </w:r>
      <w:r>
        <w:rPr>
          <w:rFonts w:hint="eastAsia" w:ascii="宋体" w:hAnsi="宋体"/>
          <w:color w:val="auto"/>
          <w:sz w:val="24"/>
          <w:highlight w:val="none"/>
        </w:rPr>
        <w:t xml:space="preserve">权登记证书扫描件，投标人所提供的软件著作权证书名称与上述所列有所不同，但实质内容相关或功能类同的，可视为等同。</w:t>
      </w:r>
      <w:r>
        <w:rPr>
          <w:rFonts w:hint="eastAsia" w:ascii="宋体" w:hAnsi="宋体"/>
          <w:color w:val="auto"/>
          <w:sz w:val="24"/>
          <w:highlight w:val="none"/>
        </w:rPr>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产品保障</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w:t>
      </w:r>
      <w:r>
        <w:rPr>
          <w:rFonts w:hint="eastAsia" w:ascii="宋体" w:hAnsi="宋体"/>
          <w:color w:val="auto"/>
          <w:sz w:val="24"/>
          <w:highlight w:val="none"/>
        </w:rPr>
        <w:t xml:space="preserve">  </w:t>
      </w:r>
      <w:r>
        <w:rPr>
          <w:rFonts w:hint="eastAsia" w:ascii="宋体" w:hAnsi="宋体"/>
          <w:color w:val="auto"/>
          <w:sz w:val="24"/>
          <w:highlight w:val="none"/>
        </w:rPr>
        <w:t xml:space="preserve">三资平台（0.5分）：所投三资平台，支持预警规则配置、预警数据证据提交、预警数据督办、预警数据批示、预警数据处置、资产资源拆分及状态数量统计、产权交易项目申请及审批流程、根据项目内容动态生成合同、电子签章、物资采购管理及审批流程功能</w:t>
      </w:r>
      <w:r>
        <w:rPr>
          <w:rFonts w:hint="eastAsia" w:ascii="宋体" w:hAnsi="宋体"/>
          <w:color w:val="auto"/>
          <w:sz w:val="24"/>
          <w:highlight w:val="none"/>
        </w:rPr>
        <w:t xml:space="preserve">的；以上功能全部满足得0.5分，须提供</w:t>
      </w:r>
      <w:r>
        <w:rPr>
          <w:rFonts w:hint="eastAsia" w:ascii="宋体" w:hAnsi="宋体"/>
          <w:color w:val="auto"/>
          <w:sz w:val="24"/>
          <w:highlight w:val="none"/>
        </w:rPr>
        <w:t xml:space="preserve">功能模块截图</w:t>
      </w:r>
      <w:r>
        <w:rPr>
          <w:rFonts w:hint="eastAsia" w:ascii="宋体" w:hAnsi="宋体"/>
          <w:color w:val="auto"/>
          <w:sz w:val="24"/>
          <w:highlight w:val="none"/>
        </w:rPr>
        <w:t xml:space="preserve">证明</w:t>
      </w:r>
      <w:r>
        <w:rPr>
          <w:rFonts w:hint="eastAsia" w:ascii="宋体" w:hAnsi="宋体"/>
          <w:color w:val="auto"/>
          <w:sz w:val="24"/>
          <w:highlight w:val="none"/>
        </w:rPr>
        <w:t xml:space="preserve">。</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w:t>
      </w:r>
      <w:r>
        <w:rPr>
          <w:rFonts w:hint="eastAsia" w:ascii="宋体" w:hAnsi="宋体"/>
          <w:color w:val="auto"/>
          <w:sz w:val="24"/>
          <w:highlight w:val="none"/>
        </w:rPr>
        <w:t xml:space="preserve">  </w:t>
      </w:r>
      <w:r>
        <w:rPr>
          <w:rFonts w:hint="eastAsia" w:ascii="宋体" w:hAnsi="宋体"/>
          <w:color w:val="auto"/>
          <w:sz w:val="24"/>
          <w:highlight w:val="none"/>
        </w:rPr>
        <w:t xml:space="preserve">稻米全产业链数字化建设（0.5分）：所投提供稻米全产业链数字化建设-智慧农场生产管理系统，支持生产一张图、生产监控、过程管理-农事活动管理、效益核算、移动端应用功能</w:t>
      </w:r>
      <w:r>
        <w:rPr>
          <w:rFonts w:hint="eastAsia" w:ascii="宋体" w:hAnsi="宋体"/>
          <w:color w:val="auto"/>
          <w:sz w:val="24"/>
          <w:highlight w:val="none"/>
        </w:rPr>
        <w:t xml:space="preserve">的；以上功能全部满足得0.5分，须提供</w:t>
      </w:r>
      <w:r>
        <w:rPr>
          <w:rFonts w:hint="eastAsia" w:ascii="宋体" w:hAnsi="宋体"/>
          <w:color w:val="auto"/>
          <w:sz w:val="24"/>
          <w:highlight w:val="none"/>
        </w:rPr>
        <w:t xml:space="preserve">功能模块截图</w:t>
      </w:r>
      <w:r>
        <w:rPr>
          <w:rFonts w:hint="eastAsia" w:ascii="宋体" w:hAnsi="宋体"/>
          <w:color w:val="auto"/>
          <w:sz w:val="24"/>
          <w:highlight w:val="none"/>
        </w:rPr>
        <w:t xml:space="preserve">证明</w:t>
      </w:r>
      <w:r>
        <w:rPr>
          <w:rFonts w:hint="eastAsia" w:ascii="宋体" w:hAnsi="宋体"/>
          <w:color w:val="auto"/>
          <w:sz w:val="24"/>
          <w:highlight w:val="none"/>
        </w:rPr>
        <w:t xml:space="preserve">。</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4.3  RPA（1分）：所投RPA产品具备满足评测要求的开发测试（3+级）或以上的得1分；须提供由中国泰尔实验室出具的检测报告扫描件。</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4.4</w:t>
      </w:r>
      <w:r>
        <w:rPr>
          <w:rFonts w:hint="eastAsia" w:ascii="宋体" w:hAnsi="宋体"/>
          <w:color w:val="auto"/>
          <w:sz w:val="24"/>
          <w:highlight w:val="none"/>
        </w:rPr>
        <w:t xml:space="preserve">  </w:t>
      </w:r>
      <w:r>
        <w:rPr>
          <w:rFonts w:hint="eastAsia" w:ascii="宋体" w:hAnsi="宋体"/>
          <w:color w:val="auto"/>
          <w:sz w:val="24"/>
          <w:highlight w:val="none"/>
        </w:rPr>
        <w:t xml:space="preserve">网络安全服务（1分）：所投网络安全服务，工具产品支持敏感文件事件泄露监测、漏洞生命周期管理、攻击者社交信息溯源、漏洞攻击屏蔽功能</w:t>
      </w:r>
      <w:r>
        <w:rPr>
          <w:rFonts w:hint="eastAsia" w:ascii="宋体" w:hAnsi="宋体"/>
          <w:color w:val="auto"/>
          <w:sz w:val="24"/>
          <w:highlight w:val="none"/>
        </w:rPr>
        <w:t xml:space="preserve">的；以上功能全部满足得</w:t>
      </w:r>
      <w:r>
        <w:rPr>
          <w:rFonts w:hint="eastAsia" w:ascii="宋体" w:hAnsi="宋体"/>
          <w:color w:val="auto"/>
          <w:sz w:val="24"/>
          <w:highlight w:val="none"/>
        </w:rPr>
        <w:t xml:space="preserve">1</w:t>
      </w:r>
      <w:r>
        <w:rPr>
          <w:rFonts w:hint="eastAsia" w:ascii="宋体" w:hAnsi="宋体"/>
          <w:color w:val="auto"/>
          <w:sz w:val="24"/>
          <w:highlight w:val="none"/>
        </w:rPr>
        <w:t xml:space="preserve">分，须提供</w:t>
      </w:r>
      <w:r>
        <w:rPr>
          <w:rFonts w:hint="eastAsia" w:ascii="宋体" w:hAnsi="宋体"/>
          <w:color w:val="auto"/>
          <w:sz w:val="24"/>
          <w:highlight w:val="none"/>
        </w:rPr>
        <w:t xml:space="preserve">功能模块截图</w:t>
      </w:r>
      <w:r>
        <w:rPr>
          <w:rFonts w:hint="eastAsia" w:ascii="宋体" w:hAnsi="宋体"/>
          <w:color w:val="auto"/>
          <w:sz w:val="24"/>
          <w:highlight w:val="none"/>
        </w:rPr>
        <w:t xml:space="preserve">证明</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4.5  密码资源池扩容服务（0.5分）：所提供的密码资源池扩容服务，应用调用密码服务支持《GMT 0050-2016 密码设备管理 设备管理技术规范》标准、支持文件加解密、签名验签的密码运算和支持多品牌密码设备；全部满足的得0.5分，须提供功能模块截图证明。</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4.6  密码资源池适配（0.5分）：投标人能够承诺所提供的密码资源池能够支持国产化数据库和中间件和支持与数据库加密系统适配的，得0.5分；须提供投标人承诺书。</w:t>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节能</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环保产品</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color w:val="auto"/>
          <w:sz w:val="24"/>
          <w:highlight w:val="none"/>
        </w:rPr>
        <w:t xml:space="preserve">依据财政部、发展改革委发布的《节能产品政府采购品目清单》和财政部、生态环境部发布的《</w:t>
      </w:r>
      <w:r>
        <w:rPr>
          <w:rFonts w:ascii="宋体" w:hAnsi="宋体"/>
          <w:color w:val="auto"/>
          <w:sz w:val="24"/>
          <w:highlight w:val="none"/>
        </w:rPr>
        <w:t xml:space="preserve">环境标志产品政府采购品目清单</w:t>
      </w:r>
      <w:r>
        <w:rPr>
          <w:rFonts w:hint="eastAsia" w:ascii="宋体" w:hAnsi="宋体"/>
          <w:color w:val="auto"/>
          <w:sz w:val="24"/>
          <w:highlight w:val="none"/>
        </w:rPr>
        <w:t xml:space="preserve">》，</w:t>
      </w:r>
      <w:r>
        <w:rPr>
          <w:rFonts w:hint="eastAsia" w:ascii="宋体" w:hAnsi="宋体"/>
          <w:color w:val="auto"/>
          <w:sz w:val="24"/>
          <w:highlight w:val="none"/>
        </w:rPr>
        <w:t xml:space="preserve">投标人能够提供所投</w:t>
      </w:r>
      <w:r>
        <w:rPr>
          <w:rFonts w:hint="eastAsia" w:ascii="宋体" w:hAnsi="宋体"/>
          <w:color w:val="auto"/>
          <w:sz w:val="24"/>
          <w:highlight w:val="none"/>
        </w:rPr>
        <w:t xml:space="preserve">产品为政府采购节能（政府强制采购节能产品除外）</w:t>
      </w:r>
      <w:r>
        <w:rPr>
          <w:rFonts w:hint="eastAsia" w:ascii="宋体" w:hAnsi="宋体"/>
          <w:color w:val="auto"/>
          <w:sz w:val="24"/>
          <w:highlight w:val="none"/>
        </w:rPr>
        <w:t xml:space="preserve">产品的得1分</w:t>
      </w:r>
      <w:r>
        <w:rPr>
          <w:rFonts w:hint="eastAsia" w:ascii="宋体" w:hAnsi="宋体"/>
          <w:color w:val="auto"/>
          <w:sz w:val="24"/>
          <w:highlight w:val="none"/>
        </w:rPr>
        <w:t xml:space="preserve">、</w:t>
      </w:r>
      <w:r>
        <w:rPr>
          <w:rFonts w:hint="eastAsia" w:ascii="宋体" w:hAnsi="宋体"/>
          <w:color w:val="auto"/>
          <w:sz w:val="24"/>
          <w:highlight w:val="none"/>
        </w:rPr>
        <w:t xml:space="preserve">能够提供所投产品为</w:t>
      </w:r>
      <w:r>
        <w:rPr>
          <w:rFonts w:hint="eastAsia" w:ascii="宋体" w:hAnsi="宋体"/>
          <w:color w:val="auto"/>
          <w:sz w:val="24"/>
          <w:highlight w:val="none"/>
        </w:rPr>
        <w:t xml:space="preserve">环保产品</w:t>
      </w:r>
      <w:r>
        <w:rPr>
          <w:rFonts w:hint="eastAsia" w:ascii="宋体" w:hAnsi="宋体"/>
          <w:color w:val="auto"/>
          <w:sz w:val="24"/>
          <w:highlight w:val="none"/>
        </w:rPr>
        <w:t xml:space="preserve">的得1</w:t>
      </w:r>
      <w:r>
        <w:rPr>
          <w:rFonts w:hint="eastAsia" w:ascii="宋体" w:hAnsi="宋体"/>
          <w:color w:val="auto"/>
          <w:sz w:val="24"/>
          <w:highlight w:val="none"/>
        </w:rPr>
        <w:t xml:space="preserve">分（投标时须提供所投产品由国家确定的认证机构出具的、处于有效期之内的节能产品认证证书复印件、环境标志产品认证证书复印件，否则不得分</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b/>
          <w:bCs/>
          <w:color w:val="auto"/>
          <w:sz w:val="24"/>
          <w:szCs w:val="24"/>
          <w:highlight w:val="none"/>
        </w:rPr>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s>
        <w:rPr>
          <w:rFonts w:ascii="宋体"/>
          <w:b/>
          <w:bCs/>
          <w:color w:val="auto"/>
          <w:sz w:val="24"/>
          <w:szCs w:val="24"/>
          <w:highlight w:val="none"/>
        </w:rPr>
      </w:pPr>
      <w:r>
        <w:rPr>
          <w:rFonts w:hint="eastAsia" w:ascii="宋体" w:hAnsi="宋体"/>
          <w:b/>
          <w:bCs/>
          <w:color w:val="auto"/>
          <w:sz w:val="24"/>
          <w:szCs w:val="24"/>
          <w:highlight w:val="none"/>
        </w:rPr>
        <w:t xml:space="preserve">演示（</w:t>
      </w:r>
      <w:r>
        <w:rPr>
          <w:rFonts w:hint="eastAsia" w:ascii="宋体" w:hAnsi="宋体"/>
          <w:b/>
          <w:bCs/>
          <w:color w:val="auto"/>
          <w:sz w:val="24"/>
          <w:szCs w:val="24"/>
          <w:highlight w:val="none"/>
        </w:rPr>
        <w:t xml:space="preserve">9</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bCs/>
          <w:color w:val="auto"/>
          <w:sz w:val="24"/>
          <w:szCs w:val="24"/>
          <w:highlight w:val="none"/>
        </w:rPr>
        <w:t xml:space="preserve">20</w:t>
      </w:r>
      <w:r>
        <w:rPr>
          <w:rFonts w:hint="eastAsia" w:ascii="宋体" w:hAnsi="宋体"/>
          <w:bCs/>
          <w:color w:val="auto"/>
          <w:sz w:val="24"/>
          <w:szCs w:val="24"/>
          <w:highlight w:val="none"/>
        </w:rPr>
        <w:t xml:space="preserve">分钟。根据投标人视频演示情况和以下功能得分点进行打分，</w:t>
      </w:r>
      <w:r>
        <w:rPr>
          <w:rFonts w:hint="eastAsia" w:ascii="宋体" w:hAnsi="宋体"/>
          <w:bCs/>
          <w:color w:val="auto"/>
          <w:sz w:val="24"/>
          <w:szCs w:val="24"/>
          <w:highlight w:val="none"/>
        </w:rPr>
        <w:t xml:space="preserve">未按要求进行演示或</w:t>
      </w:r>
      <w:r>
        <w:rPr>
          <w:rFonts w:hint="eastAsia" w:ascii="宋体" w:hAnsi="宋体"/>
          <w:bCs/>
          <w:color w:val="auto"/>
          <w:sz w:val="24"/>
          <w:szCs w:val="24"/>
          <w:highlight w:val="none"/>
        </w:rPr>
        <w:t xml:space="preserve">未提供演示视频的不得分。</w:t>
      </w:r>
      <w:r>
        <w:rPr>
          <w:rFonts w:ascii="宋体"/>
          <w:b/>
          <w:bCs/>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6.1</w:t>
      </w:r>
      <w:r>
        <w:rPr>
          <w:rFonts w:hint="eastAsia" w:ascii="宋体" w:hAnsi="宋体"/>
          <w:color w:val="auto"/>
          <w:sz w:val="24"/>
          <w:highlight w:val="none"/>
        </w:rPr>
        <w:t xml:space="preserve">  </w:t>
      </w:r>
      <w:r>
        <w:rPr>
          <w:rFonts w:hint="eastAsia" w:ascii="宋体" w:hAnsi="宋体"/>
          <w:color w:val="auto"/>
          <w:sz w:val="24"/>
          <w:highlight w:val="none"/>
        </w:rPr>
        <w:t xml:space="preserve">演示数据集成相关功能（1分）</w:t>
      </w:r>
      <w:r>
        <w:rPr>
          <w:rFonts w:hint="eastAsia" w:ascii="宋体" w:hAnsi="宋体"/>
          <w:color w:val="auto"/>
          <w:sz w:val="24"/>
          <w:highlight w:val="none"/>
        </w:rPr>
        <w:t xml:space="preserve">：</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演示内容：离线任务，库表集成功能；文件采集，新建、删除任务功能；展示采集记录功能。以上功能全部按要求进行演示的得</w:t>
      </w:r>
      <w:r>
        <w:rPr>
          <w:rFonts w:hint="eastAsia" w:ascii="宋体" w:hAnsi="宋体"/>
          <w:color w:val="auto"/>
          <w:sz w:val="24"/>
          <w:highlight w:val="none"/>
        </w:rPr>
        <w:t xml:space="preserve">1</w:t>
      </w:r>
      <w:r>
        <w:rPr>
          <w:rFonts w:hint="eastAsia" w:ascii="宋体" w:hAnsi="宋体"/>
          <w:color w:val="auto"/>
          <w:sz w:val="24"/>
          <w:highlight w:val="none"/>
        </w:rPr>
        <w:t xml:space="preserve">分，未按要求进行演示或演示功能点不全或未进行演示的，均不得分。</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w:t>
      </w:r>
      <w:r>
        <w:rPr>
          <w:rFonts w:hint="eastAsia" w:ascii="宋体" w:hAnsi="宋体"/>
          <w:color w:val="auto"/>
          <w:sz w:val="24"/>
          <w:highlight w:val="none"/>
        </w:rPr>
        <w:t xml:space="preserve">  </w:t>
      </w:r>
      <w:r>
        <w:rPr>
          <w:rFonts w:hint="eastAsia" w:ascii="宋体" w:hAnsi="宋体"/>
          <w:color w:val="auto"/>
          <w:sz w:val="24"/>
          <w:highlight w:val="none"/>
        </w:rPr>
        <w:t xml:space="preserve">演示数据质量相关功能（1分）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演示内容：数据检核任务，新建、删除、批量操作数据质量检核任务；质量检核记录，汇总、查询质量检核记录；生成数据综合质量报告。以上功能全部按要求进行演示的得</w:t>
      </w:r>
      <w:r>
        <w:rPr>
          <w:rFonts w:hint="eastAsia" w:ascii="宋体" w:hAnsi="宋体"/>
          <w:color w:val="auto"/>
          <w:sz w:val="24"/>
          <w:highlight w:val="none"/>
        </w:rPr>
        <w:t xml:space="preserve">1</w:t>
      </w:r>
      <w:r>
        <w:rPr>
          <w:rFonts w:hint="eastAsia" w:ascii="宋体" w:hAnsi="宋体"/>
          <w:color w:val="auto"/>
          <w:sz w:val="24"/>
          <w:highlight w:val="none"/>
        </w:rPr>
        <w:t xml:space="preserve">分，未按要求进行演示或演示功能点不全或未进行演示的，均不得分。</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6.3</w:t>
      </w:r>
      <w:r>
        <w:rPr>
          <w:rFonts w:hint="eastAsia" w:ascii="宋体" w:hAnsi="宋体"/>
          <w:color w:val="auto"/>
          <w:sz w:val="24"/>
          <w:highlight w:val="none"/>
        </w:rPr>
        <w:t xml:space="preserve">  </w:t>
      </w:r>
      <w:r>
        <w:rPr>
          <w:rFonts w:hint="eastAsia" w:ascii="宋体" w:hAnsi="宋体"/>
          <w:color w:val="auto"/>
          <w:sz w:val="24"/>
          <w:highlight w:val="none"/>
        </w:rPr>
        <w:t xml:space="preserve">演示数据安全相关功能（1分）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演示内容：可新建、查询、修改数据安全等级；可新建数据识别规则、并进行在线测试；可查看、修改当前所有用户安全等级。以上功能全部按要求进行演示的得</w:t>
      </w:r>
      <w:r>
        <w:rPr>
          <w:rFonts w:hint="eastAsia" w:ascii="宋体" w:hAnsi="宋体"/>
          <w:color w:val="auto"/>
          <w:sz w:val="24"/>
          <w:highlight w:val="none"/>
        </w:rPr>
        <w:t xml:space="preserve">1</w:t>
      </w:r>
      <w:r>
        <w:rPr>
          <w:rFonts w:hint="eastAsia" w:ascii="宋体" w:hAnsi="宋体"/>
          <w:color w:val="auto"/>
          <w:sz w:val="24"/>
          <w:highlight w:val="none"/>
        </w:rPr>
        <w:t xml:space="preserve">分，未按要求进行演示或演示功能点不全或未进行演示的，均不得分。</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6.4</w:t>
      </w:r>
      <w:r>
        <w:rPr>
          <w:rFonts w:hint="eastAsia" w:ascii="宋体" w:hAnsi="宋体"/>
          <w:color w:val="auto"/>
          <w:sz w:val="24"/>
          <w:highlight w:val="none"/>
        </w:rPr>
        <w:t xml:space="preserve">  </w:t>
      </w:r>
      <w:r>
        <w:rPr>
          <w:rFonts w:hint="eastAsia" w:ascii="宋体" w:hAnsi="宋体"/>
          <w:color w:val="auto"/>
          <w:sz w:val="24"/>
          <w:highlight w:val="none"/>
        </w:rPr>
        <w:t xml:space="preserve">演示运维监控相关功能（1分）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演示内容：任务概览，可以查看中台所有任务的统计和分析；离线任务统计，可以查看当前所有离线任务的运行状态；集群监控，查看中台当前的服务器资源情况。以上功能全部按要求进行演示的得</w:t>
      </w:r>
      <w:r>
        <w:rPr>
          <w:rFonts w:hint="eastAsia" w:ascii="宋体" w:hAnsi="宋体"/>
          <w:color w:val="auto"/>
          <w:sz w:val="24"/>
          <w:highlight w:val="none"/>
        </w:rPr>
        <w:t xml:space="preserve">1</w:t>
      </w:r>
      <w:r>
        <w:rPr>
          <w:rFonts w:hint="eastAsia" w:ascii="宋体" w:hAnsi="宋体"/>
          <w:color w:val="auto"/>
          <w:sz w:val="24"/>
          <w:highlight w:val="none"/>
        </w:rPr>
        <w:t xml:space="preserve">分，未按要求进行演示或演示功能点不全或未进行演示的，均不得分。</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6.5</w:t>
      </w:r>
      <w:r>
        <w:rPr>
          <w:rFonts w:hint="eastAsia" w:ascii="宋体" w:hAnsi="宋体"/>
          <w:color w:val="auto"/>
          <w:sz w:val="24"/>
          <w:highlight w:val="none"/>
        </w:rPr>
        <w:t xml:space="preserve">  </w:t>
      </w:r>
      <w:r>
        <w:rPr>
          <w:rFonts w:hint="eastAsia" w:ascii="宋体" w:hAnsi="宋体"/>
          <w:color w:val="auto"/>
          <w:sz w:val="24"/>
          <w:highlight w:val="none"/>
        </w:rPr>
        <w:t xml:space="preserve">演示数据处理相关功能（2分）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演示内容：数据清洗，新建数据清洗任务、批量操作功能；ETL可视化数据编排功能；清洗记录查询功能。以上功能全部按要求进行演示的得</w:t>
      </w:r>
      <w:r>
        <w:rPr>
          <w:rFonts w:hint="eastAsia" w:ascii="宋体" w:hAnsi="宋体"/>
          <w:color w:val="auto"/>
          <w:sz w:val="24"/>
          <w:highlight w:val="none"/>
        </w:rPr>
        <w:t xml:space="preserve">2</w:t>
      </w:r>
      <w:r>
        <w:rPr>
          <w:rFonts w:hint="eastAsia" w:ascii="宋体" w:hAnsi="宋体"/>
          <w:color w:val="auto"/>
          <w:sz w:val="24"/>
          <w:highlight w:val="none"/>
        </w:rPr>
        <w:t xml:space="preserve">分，未按要求进行演示或演示功能点不全或未进行演示的，均不得分。</w:t>
      </w:r>
      <w:r>
        <w:rPr>
          <w:color w:val="auto"/>
          <w:highlight w:val="none"/>
        </w:rPr>
      </w:r>
    </w:p>
    <w:p>
      <w:pPr>
        <w:pStyle w:val="94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6.6</w:t>
      </w:r>
      <w:r>
        <w:rPr>
          <w:rFonts w:hint="eastAsia" w:ascii="宋体" w:hAnsi="宋体"/>
          <w:color w:val="auto"/>
          <w:sz w:val="24"/>
          <w:highlight w:val="none"/>
        </w:rPr>
        <w:t xml:space="preserve">  </w:t>
      </w:r>
      <w:r>
        <w:rPr>
          <w:rFonts w:hint="eastAsia" w:ascii="宋体" w:hAnsi="宋体"/>
          <w:color w:val="auto"/>
          <w:sz w:val="24"/>
          <w:highlight w:val="none"/>
        </w:rPr>
        <w:t xml:space="preserve">演示统一影像发布服务相关功能（3分）</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43"/>
        <w:ind w:firstLine="480"/>
        <w:spacing w:line="500" w:lineRule="exact"/>
        <w:rPr>
          <w:rFonts w:ascii="宋体" w:hAnsi="宋体"/>
          <w:color w:val="auto"/>
          <w:sz w:val="24"/>
          <w:highlight w:val="none"/>
        </w:rPr>
      </w:pPr>
      <w:r>
        <w:rPr>
          <w:rFonts w:hint="eastAsia" w:ascii="宋体" w:hAnsi="宋体"/>
          <w:color w:val="auto"/>
          <w:sz w:val="24"/>
          <w:highlight w:val="none"/>
        </w:rPr>
        <w:t xml:space="preserve">演示内容：展示无锡市全域的影像、主粮作物种植矢量图斑及地形数据发布在线服务，服务运行管理，影像、矢量、地形发布数据的详细信息查询、全域在线预览、服务地址检索及图层名称调整功能；详细发布数据信息查询展示数据层信息、数据存储位置、授权状态、瓦片格式、格网集、层级范围、切片处理状态、发布状态以及数据创建时间记录，在线预览功能可查看数据及空间分布特征；数据预处理展示对影像、矢量及地形数据进行预处理，包括影像切片处理、数据格式转换以及坐标系统转换。以上功能全部按要求进行演示的得</w:t>
      </w:r>
      <w:r>
        <w:rPr>
          <w:rFonts w:hint="eastAsia" w:ascii="宋体" w:hAnsi="宋体"/>
          <w:color w:val="auto"/>
          <w:sz w:val="24"/>
          <w:highlight w:val="none"/>
        </w:rPr>
        <w:t xml:space="preserve">3</w:t>
      </w:r>
      <w:r>
        <w:rPr>
          <w:rFonts w:hint="eastAsia" w:ascii="宋体" w:hAnsi="宋体"/>
          <w:color w:val="auto"/>
          <w:sz w:val="24"/>
          <w:highlight w:val="none"/>
        </w:rPr>
        <w:t xml:space="preserve">分，未按要求进行演示或演示功能点不全或未进行演示的，均不得分。</w:t>
      </w:r>
      <w:r>
        <w:rPr>
          <w:rFonts w:ascii="宋体" w:hAnsi="宋体"/>
          <w:color w:val="auto"/>
          <w:sz w:val="24"/>
          <w:highlight w:val="none"/>
        </w:rPr>
      </w:r>
      <w:r>
        <w:rPr>
          <w:color w:val="auto"/>
          <w:highlight w:val="none"/>
        </w:rPr>
      </w:r>
    </w:p>
    <w:p>
      <w:pPr>
        <w:pStyle w:val="1031"/>
        <w:ind w:firstLine="360"/>
        <w:spacing w:before="0" w:after="0" w:line="500" w:lineRule="exact"/>
        <w:rPr>
          <w:rFonts w:hint="eastAsia" w:ascii="宋体" w:hAnsi="宋体"/>
          <w:b/>
          <w:color w:val="auto"/>
          <w:sz w:val="28"/>
          <w:szCs w:val="28"/>
          <w:highlight w:val="none"/>
        </w:rPr>
      </w:pPr>
      <w:r>
        <w:rPr>
          <w:rFonts w:ascii="宋体" w:hAnsi="宋体"/>
          <w:color w:val="auto"/>
          <w:highlight w:val="none"/>
        </w:rPr>
        <w:br w:type="page" w:clear="all"/>
      </w:r>
      <w:r>
        <w:rPr>
          <w:rFonts w:hint="eastAsia" w:ascii="宋体" w:hAnsi="宋体"/>
          <w:b/>
          <w:color w:val="auto"/>
          <w:sz w:val="28"/>
          <w:szCs w:val="28"/>
          <w:highlight w:val="none"/>
        </w:rPr>
        <w:t xml:space="preserve">（二）技术部分</w:t>
      </w:r>
      <w:r>
        <w:rPr>
          <w:rFonts w:hint="eastAsia" w:ascii="宋体" w:hAnsi="宋体"/>
          <w:b/>
          <w:color w:val="auto"/>
          <w:sz w:val="28"/>
          <w:szCs w:val="28"/>
          <w:highlight w:val="none"/>
        </w:rPr>
        <w:t xml:space="preserve">（</w:t>
      </w:r>
      <w:r>
        <w:rPr>
          <w:rFonts w:hint="eastAsia" w:ascii="宋体" w:hAnsi="宋体"/>
          <w:b/>
          <w:color w:val="auto"/>
          <w:sz w:val="28"/>
          <w:szCs w:val="28"/>
          <w:highlight w:val="none"/>
        </w:rPr>
        <w:t xml:space="preserve">50</w:t>
      </w:r>
      <w:r>
        <w:rPr>
          <w:rFonts w:hint="eastAsia" w:ascii="宋体" w:hAnsi="宋体"/>
          <w:b/>
          <w:color w:val="auto"/>
          <w:sz w:val="28"/>
          <w:szCs w:val="28"/>
          <w:highlight w:val="none"/>
        </w:rPr>
        <w:t xml:space="preserve">分）</w:t>
      </w:r>
      <w:r>
        <w:rPr>
          <w:color w:val="auto"/>
          <w:highlight w:val="none"/>
        </w:rPr>
      </w:r>
    </w:p>
    <w:p>
      <w:pPr>
        <w:pStyle w:val="1031"/>
        <w:ind w:firstLine="422"/>
        <w:spacing w:before="0" w:after="0" w:line="500" w:lineRule="exact"/>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注：</w:t>
      </w:r>
      <w:r>
        <w:rPr>
          <w:rFonts w:hint="eastAsia" w:ascii="宋体" w:hAnsi="宋体"/>
          <w:b/>
          <w:color w:val="auto"/>
          <w:sz w:val="28"/>
          <w:szCs w:val="28"/>
          <w:highlight w:val="none"/>
          <w:u w:val="single"/>
        </w:rPr>
        <w:t xml:space="preserve">技术部分属于暗标，投标人在制作技术部分相关内容时不得有体现投标人身份的内容，否则投标无效</w:t>
      </w:r>
      <w:r>
        <w:rPr>
          <w:rFonts w:hint="eastAsia" w:ascii="宋体" w:hAnsi="宋体"/>
          <w:b/>
          <w:color w:val="auto"/>
          <w:sz w:val="28"/>
          <w:szCs w:val="28"/>
          <w:highlight w:val="none"/>
          <w:u w:val="single"/>
        </w:rPr>
        <w:t xml:space="preserve">。</w:t>
      </w:r>
      <w:r>
        <w:rPr>
          <w:rFonts w:hint="eastAsia" w:ascii="宋体" w:hAnsi="宋体"/>
          <w:b/>
          <w:color w:val="auto"/>
          <w:sz w:val="28"/>
          <w:szCs w:val="28"/>
          <w:highlight w:val="none"/>
          <w:u w:val="single"/>
        </w:rPr>
      </w:r>
      <w:r>
        <w:rPr>
          <w:color w:val="auto"/>
          <w:highlight w:val="none"/>
        </w:rPr>
      </w:r>
    </w:p>
    <w:p>
      <w:pPr>
        <w:pStyle w:val="943"/>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50</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项目理解与需求分析（5分）：投标人对项目背景、项目需求、建设内容、建设原则等充分理解，对本项目上述内容理解正确、考虑充分全面，满足用户需求。</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，得4分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满足要求的，得2分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7.2  </w:t>
      </w:r>
      <w:r>
        <w:rPr>
          <w:rFonts w:hint="eastAsia" w:ascii="宋体" w:hAnsi="宋体"/>
          <w:bCs/>
          <w:color w:val="auto"/>
          <w:sz w:val="24"/>
          <w:szCs w:val="24"/>
          <w:highlight w:val="none"/>
        </w:rPr>
        <w:t xml:space="preserve">数据中台</w:t>
      </w:r>
      <w:r>
        <w:rPr>
          <w:rFonts w:hint="eastAsia" w:ascii="宋体" w:hAnsi="宋体"/>
          <w:bCs/>
          <w:color w:val="auto"/>
          <w:sz w:val="24"/>
          <w:szCs w:val="24"/>
          <w:highlight w:val="none"/>
        </w:rPr>
        <w:t xml:space="preserve">技术方案</w:t>
      </w:r>
      <w:r>
        <w:rPr>
          <w:rFonts w:hint="eastAsia" w:ascii="宋体" w:hAnsi="宋体"/>
          <w:bCs/>
          <w:color w:val="auto"/>
          <w:sz w:val="24"/>
          <w:szCs w:val="24"/>
          <w:highlight w:val="none"/>
        </w:rPr>
        <w:t xml:space="preserve">（3分）：投标人详细描述数据融合开发服务、数据质量服务、数据运维服务、可视化分析工具、国产化适配服务、主数据管理服务、数据开放提升服务、数据资产大屏、云资源监控大屏、安全监控大屏的方案。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7.3  </w:t>
      </w:r>
      <w:r>
        <w:rPr>
          <w:rFonts w:hint="eastAsia" w:ascii="宋体" w:hAnsi="宋体"/>
          <w:bCs/>
          <w:color w:val="auto"/>
          <w:sz w:val="24"/>
          <w:szCs w:val="24"/>
          <w:highlight w:val="none"/>
        </w:rPr>
        <w:t xml:space="preserve">业务中台技术方案（3分）：投标人详细描述统一UI规范、无锡市农业农村数字服务平台、服务能力集成、RPA自动化机器人、统一业务管理系统、主体数据申报管理、农业金融保险服务、大场景应用赋能、数智智慧调度平台、数智指挥调度平台数据驾驶舱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7.4  </w:t>
      </w:r>
      <w:r>
        <w:rPr>
          <w:rFonts w:hint="eastAsia" w:ascii="宋体" w:hAnsi="宋体"/>
          <w:bCs/>
          <w:color w:val="auto"/>
          <w:sz w:val="24"/>
          <w:szCs w:val="24"/>
          <w:highlight w:val="none"/>
        </w:rPr>
        <w:t xml:space="preserve">技术中台技术方案（3分）：投标人详细描述接入能力集、统一影像发布服务、区块链（太湖链）、服务能力集成的方案。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7.5  </w:t>
      </w:r>
      <w:r>
        <w:rPr>
          <w:rFonts w:hint="eastAsia" w:ascii="宋体" w:hAnsi="宋体"/>
          <w:bCs/>
          <w:color w:val="auto"/>
          <w:sz w:val="24"/>
          <w:szCs w:val="24"/>
          <w:highlight w:val="none"/>
        </w:rPr>
        <w:t xml:space="preserve">市级农产品质量安全智慧监管平台技术方案（3分）：投标人详细描述主体端应用、监管端应用、综合监管指挥中心、实验室检测端应用的方案。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7.6  </w:t>
      </w:r>
      <w:r>
        <w:rPr>
          <w:rFonts w:hint="eastAsia" w:ascii="宋体" w:hAnsi="宋体"/>
          <w:bCs/>
          <w:color w:val="auto"/>
          <w:sz w:val="24"/>
          <w:szCs w:val="24"/>
          <w:highlight w:val="none"/>
        </w:rPr>
        <w:t xml:space="preserve">三资平台</w:t>
      </w:r>
      <w:r>
        <w:rPr>
          <w:rFonts w:hint="eastAsia" w:ascii="宋体" w:hAnsi="宋体"/>
          <w:bCs/>
          <w:color w:val="auto"/>
          <w:sz w:val="24"/>
          <w:szCs w:val="24"/>
          <w:highlight w:val="none"/>
        </w:rPr>
        <w:t xml:space="preserve">技术方案</w:t>
      </w:r>
      <w:r>
        <w:rPr>
          <w:rFonts w:hint="eastAsia" w:ascii="宋体" w:hAnsi="宋体"/>
          <w:bCs/>
          <w:color w:val="auto"/>
          <w:sz w:val="24"/>
          <w:szCs w:val="24"/>
          <w:highlight w:val="none"/>
        </w:rPr>
        <w:t xml:space="preserve">（3分）：投标人详细描述产权交易前置审批、产权交易前置审批微信端小程序、市级“三资”监管平台、“三资”操作功能修改、村集体全资企业财务模块、“三资”预警、区块链对接、电子签章管理、智慧决策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7.7  </w:t>
      </w:r>
      <w:r>
        <w:rPr>
          <w:rFonts w:hint="eastAsia" w:ascii="宋体" w:hAnsi="宋体"/>
          <w:bCs/>
          <w:color w:val="auto"/>
          <w:sz w:val="24"/>
          <w:szCs w:val="24"/>
          <w:highlight w:val="none"/>
        </w:rPr>
        <w:t xml:space="preserve">稻米全产业链数字化建设技术方案（2分）：投标人详细描述智慧农场生产管理系统、稻米产业智能辅助决策系统、稻米产业公益服务平台的方案。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7.8  </w:t>
      </w:r>
      <w:r>
        <w:rPr>
          <w:rFonts w:hint="eastAsia" w:ascii="宋体" w:hAnsi="宋体"/>
          <w:bCs/>
          <w:color w:val="auto"/>
          <w:sz w:val="24"/>
          <w:szCs w:val="24"/>
          <w:highlight w:val="none"/>
        </w:rPr>
        <w:t xml:space="preserve">水产产业链数字化建设技术方案（2分）：投标人详细描述综合一体化管理平台、养殖监管平台、水产品质量溯源系统、大闸蟹价格指数服务平台、养殖物联网管控平台、河蟹生产监测系统的方案。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7.9  </w:t>
      </w:r>
      <w:r>
        <w:rPr>
          <w:rFonts w:hint="eastAsia" w:ascii="宋体" w:hAnsi="宋体"/>
          <w:bCs/>
          <w:color w:val="auto"/>
          <w:sz w:val="24"/>
          <w:szCs w:val="24"/>
          <w:highlight w:val="none"/>
        </w:rPr>
        <w:t xml:space="preserve">数字乡村综合服务技术方案（3分）：投标人详细描述市级数字乡</w:t>
      </w:r>
      <w:r>
        <w:rPr>
          <w:rFonts w:hint="eastAsia" w:ascii="宋体" w:hAnsi="宋体"/>
          <w:bCs/>
          <w:color w:val="auto"/>
          <w:sz w:val="24"/>
          <w:szCs w:val="24"/>
          <w:highlight w:val="none"/>
        </w:rPr>
        <w:t xml:space="preserve">村</w:t>
      </w:r>
      <w:r>
        <w:rPr>
          <w:rFonts w:hint="eastAsia" w:ascii="宋体" w:hAnsi="宋体"/>
          <w:bCs/>
          <w:color w:val="auto"/>
          <w:sz w:val="24"/>
          <w:szCs w:val="24"/>
          <w:highlight w:val="none"/>
        </w:rPr>
        <w:t xml:space="preserve">综合服务平台、古迹云游(松芝村)、村域农文旅（乾元村）、红色文旅（蒲市村）、智慧桃园（火炬村）、乡村智治（盛家村）、数字乡村监测评价综合平台、三大片区专题、乡村服务驿站、金融治理示范村应用软件、锡农之家平台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7.10  </w:t>
      </w:r>
      <w:r>
        <w:rPr>
          <w:rFonts w:hint="eastAsia" w:ascii="宋体" w:hAnsi="宋体"/>
          <w:bCs/>
          <w:color w:val="auto"/>
          <w:sz w:val="24"/>
          <w:szCs w:val="24"/>
          <w:highlight w:val="none"/>
        </w:rPr>
        <w:t xml:space="preserve">密码应用设计方案（3分）：依据GB/T39786-2021《信息安全技术信息系统密码应用基本要求》，从物理和环境安全、网络和通信安全、设备和计算安全、应用和数据安全各层面提供详细的密码应用设计方案。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7.11  </w:t>
      </w:r>
      <w:r>
        <w:rPr>
          <w:rFonts w:hint="eastAsia" w:ascii="宋体" w:hAnsi="宋体"/>
          <w:bCs/>
          <w:color w:val="auto"/>
          <w:sz w:val="24"/>
          <w:szCs w:val="24"/>
          <w:highlight w:val="none"/>
        </w:rPr>
        <w:t xml:space="preserve">密码资源池扩容服务方案（3分）：投标人须详细描述密码安全基础服务、终端及配套密码服务的方案。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7.12  </w:t>
      </w:r>
      <w:r>
        <w:rPr>
          <w:rFonts w:hint="eastAsia" w:ascii="宋体" w:hAnsi="宋体"/>
          <w:bCs/>
          <w:color w:val="auto"/>
          <w:sz w:val="24"/>
          <w:szCs w:val="24"/>
          <w:highlight w:val="none"/>
        </w:rPr>
        <w:t xml:space="preserve">云资源安全服务方案（2分）：投标人详细描述云资源安全服务的方案。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7.13  </w:t>
      </w:r>
      <w:r>
        <w:rPr>
          <w:rFonts w:hint="eastAsia" w:ascii="宋体" w:hAnsi="宋体"/>
          <w:bCs/>
          <w:color w:val="auto"/>
          <w:sz w:val="24"/>
          <w:szCs w:val="24"/>
          <w:highlight w:val="none"/>
        </w:rPr>
        <w:t xml:space="preserve">网络安全服务方案（3分）：投标人详细描述数据传输服务、数据处理服务、数据储存服务、安全运营管理、互联网监测、威胁监测与响应的方案。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，得3分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7.14  </w:t>
      </w:r>
      <w:r>
        <w:rPr>
          <w:rFonts w:hint="eastAsia" w:ascii="宋体" w:hAnsi="宋体"/>
          <w:bCs/>
          <w:color w:val="auto"/>
          <w:sz w:val="24"/>
          <w:szCs w:val="24"/>
          <w:highlight w:val="none"/>
        </w:rPr>
        <w:t xml:space="preserve">水稻农情监测服务方案（2分）：投标人详细描述农情实时调度、农技精准指导的方案。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7.15  </w:t>
      </w:r>
      <w:r>
        <w:rPr>
          <w:rFonts w:hint="eastAsia" w:ascii="宋体" w:hAnsi="宋体"/>
          <w:bCs/>
          <w:color w:val="auto"/>
          <w:sz w:val="24"/>
          <w:szCs w:val="24"/>
          <w:highlight w:val="none"/>
        </w:rPr>
        <w:t xml:space="preserve">运营支撑体系服务方案（2分）：投标人详细描述农技专家咨询服务、数据监管服务、数据调查服务、卫星遥感影像、遥感影像数据处理、综合保障服务、数据挖掘服务方案。</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7.16  </w:t>
      </w:r>
      <w:r>
        <w:rPr>
          <w:rFonts w:hint="eastAsia" w:ascii="宋体" w:hAnsi="宋体"/>
          <w:bCs/>
          <w:color w:val="auto"/>
          <w:sz w:val="24"/>
          <w:szCs w:val="24"/>
          <w:highlight w:val="none"/>
        </w:rPr>
        <w:t xml:space="preserve">政务云资源使用方案（2分）：投标人详细描述云资源使用方案。</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7.17  </w:t>
      </w:r>
      <w:r>
        <w:rPr>
          <w:rFonts w:hint="eastAsia" w:ascii="宋体" w:hAnsi="宋体"/>
          <w:bCs/>
          <w:color w:val="auto"/>
          <w:sz w:val="24"/>
          <w:szCs w:val="24"/>
          <w:highlight w:val="none"/>
        </w:rPr>
        <w:t xml:space="preserve">项目实施及管理方案（2分）：包含①针对本项目的整体实施计划方案分析，如项目实施进度安排、人员配置计划等内容；②分析本项目实施过程中存在的实施风险及对应的控制措施；③针对实施工作的进度保障措施；④针对实施工作的质量保障措施。</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7.18  </w:t>
      </w:r>
      <w:r>
        <w:rPr>
          <w:rFonts w:hint="eastAsia" w:ascii="宋体" w:hAnsi="宋体"/>
          <w:bCs/>
          <w:color w:val="auto"/>
          <w:sz w:val="24"/>
          <w:szCs w:val="24"/>
          <w:highlight w:val="none"/>
        </w:rPr>
        <w:t xml:space="preserve">售后运维方案（2分）：包含①详细的售后服务组织架构及售后服务保障制度说明；②详细的售后服务内容和形式介绍方案；③该项目系统的日常维护计划及方案；④故障响应时间及处理流程、重大故障的应急预案和处理措施。</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7.19  </w:t>
      </w:r>
      <w:r>
        <w:rPr>
          <w:rFonts w:hint="eastAsia" w:ascii="宋体" w:hAnsi="宋体"/>
          <w:bCs/>
          <w:color w:val="auto"/>
          <w:sz w:val="24"/>
          <w:szCs w:val="24"/>
          <w:highlight w:val="none"/>
        </w:rPr>
        <w:t xml:space="preserve">培训及验收方案（2分）：包含①针对项目日常使用人员的培训内容概述；②使用人员的详细培训计划安排；③培训流程质量保障详述；④该项目系统的验收准测，详细验收流程与方法。</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w:t>
      </w:r>
      <w:r>
        <w:rPr>
          <w:rFonts w:hint="eastAsia" w:ascii="宋体" w:hAnsi="宋体"/>
          <w:bCs/>
          <w:color w:val="auto"/>
          <w:sz w:val="24"/>
          <w:szCs w:val="24"/>
          <w:highlight w:val="none"/>
        </w:rPr>
        <w:t xml:space="preserve">，得2分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w:t>
      </w:r>
      <w:r>
        <w:rPr>
          <w:rFonts w:hint="eastAsia" w:ascii="宋体" w:hAnsi="宋体"/>
          <w:bCs/>
          <w:color w:val="auto"/>
          <w:sz w:val="24"/>
          <w:szCs w:val="24"/>
          <w:highlight w:val="none"/>
        </w:rPr>
        <w:t xml:space="preserve">，得1.5分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w:t>
      </w:r>
      <w:r>
        <w:rPr>
          <w:rFonts w:hint="eastAsia" w:ascii="宋体" w:hAnsi="宋体"/>
          <w:bCs/>
          <w:color w:val="auto"/>
          <w:sz w:val="24"/>
          <w:szCs w:val="24"/>
          <w:highlight w:val="none"/>
        </w:rPr>
        <w:t xml:space="preserve">均</w:t>
      </w:r>
      <w:r>
        <w:rPr>
          <w:rFonts w:hint="eastAsia" w:ascii="宋体" w:hAnsi="宋体"/>
          <w:bCs/>
          <w:color w:val="auto"/>
          <w:sz w:val="24"/>
          <w:szCs w:val="24"/>
          <w:highlight w:val="none"/>
        </w:rPr>
        <w:t xml:space="preserve">一般的</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rPr>
        <w:t xml:space="preserve">；</w:t>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方案基本</w:t>
      </w:r>
      <w:r>
        <w:rPr>
          <w:rFonts w:hint="eastAsia" w:ascii="宋体" w:hAnsi="宋体"/>
          <w:bCs/>
          <w:color w:val="auto"/>
          <w:sz w:val="24"/>
          <w:szCs w:val="24"/>
          <w:highlight w:val="none"/>
        </w:rPr>
        <w:t xml:space="preserve">满足要求的，得0.5分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r>
      <w:r>
        <w:rPr>
          <w:color w:val="auto"/>
          <w:highlight w:val="none"/>
        </w:rPr>
      </w:r>
    </w:p>
    <w:p>
      <w:pPr>
        <w:pStyle w:val="943"/>
        <w:ind w:firstLine="480"/>
        <w:spacing w:line="500" w:lineRule="exact"/>
        <w:tabs>
          <w:tab w:val="left" w:pos="945" w:leader="none"/>
          <w:tab w:val="left" w:pos="1155" w:leader="none"/>
          <w:tab w:val="left" w:pos="3823"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1031"/>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198"/>
      <w:r>
        <w:rPr>
          <w:rFonts w:hint="eastAsia" w:ascii="黑体" w:eastAsia="黑体"/>
          <w:bCs/>
          <w:color w:val="auto"/>
          <w:sz w:val="36"/>
          <w:szCs w:val="36"/>
          <w:highlight w:val="none"/>
        </w:rPr>
        <w:t xml:space="preserve">投标文件内容与格式</w:t>
      </w:r>
      <w:r>
        <w:rPr>
          <w:color w:val="auto"/>
          <w:highlight w:val="none"/>
        </w:rPr>
      </w:r>
    </w:p>
    <w:p>
      <w:pPr>
        <w:pStyle w:val="1031"/>
        <w:ind w:firstLine="602"/>
        <w:spacing w:before="0" w:after="0" w:line="500" w:lineRule="exact"/>
        <w:rPr>
          <w:rFonts w:hint="eastAsia" w:cs="Arial"/>
          <w:b/>
          <w:color w:val="auto"/>
          <w:sz w:val="30"/>
          <w:szCs w:val="30"/>
          <w:highlight w:val="none"/>
        </w:rPr>
      </w:pPr>
      <w:r>
        <w:rPr>
          <w:color w:val="auto"/>
          <w:highlight w:val="none"/>
        </w:rPr>
      </w:r>
      <w:bookmarkStart w:id="199" w:name="_Hlt26955039"/>
      <w:r>
        <w:rPr>
          <w:color w:val="auto"/>
          <w:highlight w:val="none"/>
        </w:rPr>
      </w:r>
      <w:bookmarkEnd w:id="199"/>
      <w:r>
        <w:rPr>
          <w:color w:val="auto"/>
          <w:highlight w:val="none"/>
        </w:rPr>
      </w:r>
      <w:bookmarkStart w:id="200" w:name="_Toc49090576"/>
      <w:r>
        <w:rPr>
          <w:color w:val="auto"/>
          <w:highlight w:val="none"/>
        </w:rPr>
      </w:r>
      <w:bookmarkStart w:id="201" w:name="_Toc120614282"/>
      <w:r>
        <w:rPr>
          <w:color w:val="auto"/>
          <w:highlight w:val="none"/>
        </w:rPr>
      </w:r>
      <w:bookmarkStart w:id="202" w:name="_Toc26554094"/>
      <w:r>
        <w:rPr>
          <w:color w:val="auto"/>
          <w:highlight w:val="none"/>
        </w:rPr>
      </w:r>
      <w:bookmarkStart w:id="203" w:name="_Hlt26671244"/>
      <w:r>
        <w:rPr>
          <w:color w:val="auto"/>
          <w:highlight w:val="none"/>
        </w:rPr>
      </w:r>
      <w:bookmarkEnd w:id="203"/>
      <w:r>
        <w:rPr>
          <w:rFonts w:hint="eastAsia" w:cs="Arial"/>
          <w:b/>
          <w:color w:val="auto"/>
          <w:sz w:val="30"/>
          <w:szCs w:val="30"/>
          <w:highlight w:val="none"/>
        </w:rPr>
        <w:t xml:space="preserve">第一部分  投标文件内容</w:t>
      </w:r>
      <w:r>
        <w:rPr>
          <w:color w:val="auto"/>
          <w:highlight w:val="none"/>
        </w:rPr>
      </w:r>
    </w:p>
    <w:p>
      <w:pPr>
        <w:pStyle w:val="103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3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103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103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10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10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7</w:t>
            </w:r>
            <w:r>
              <w:rPr>
                <w:color w:val="auto"/>
                <w:highlight w:val="none"/>
              </w:rPr>
            </w:r>
          </w:p>
        </w:tc>
        <w:tc>
          <w:tcPr>
            <w:tcW w:w="6104" w:type="dxa"/>
            <w:vAlign w:val="center"/>
            <w:textDirection w:val="lrTb"/>
            <w:noWrap w:val="false"/>
          </w:tcPr>
          <w:p>
            <w:pPr>
              <w:pStyle w:val="1031"/>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1031"/>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rPr>
                <w:rFonts w:ascii="宋体" w:hAnsi="宋体" w:cs="宋体"/>
                <w:bCs/>
                <w:color w:val="auto"/>
                <w:highlight w:val="none"/>
              </w:rPr>
            </w:r>
            <w:r>
              <w:rPr>
                <w:color w:val="auto"/>
                <w:highlight w:val="none"/>
              </w:rPr>
            </w:r>
          </w:p>
        </w:tc>
      </w:tr>
      <w:tr>
        <w:trPr>
          <w:trHeight w:val="726"/>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color w:val="auto"/>
                <w:highlight w:val="none"/>
              </w:rPr>
              <w:t xml:space="preserve">（如有特定资格要求的）</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103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103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rPr>
                <w:rFonts w:hint="eastAsia" w:ascii="宋体" w:hAnsi="宋体" w:cs="宋体"/>
                <w:color w:val="auto"/>
                <w:highlight w:val="none"/>
              </w:rPr>
            </w:r>
            <w:r>
              <w:rPr>
                <w:color w:val="auto"/>
                <w:highlight w:val="none"/>
              </w:rPr>
            </w:r>
          </w:p>
        </w:tc>
      </w:tr>
    </w:tbl>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43"/>
        <w:numPr>
          <w:ilvl w:val="0"/>
          <w:numId w:val="8"/>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943"/>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w:t>
      </w:r>
      <w:r>
        <w:rPr>
          <w:rFonts w:hint="eastAsia" w:ascii="宋体" w:hAnsi="宋体"/>
          <w:color w:val="auto"/>
          <w:sz w:val="24"/>
          <w:szCs w:val="24"/>
          <w:highlight w:val="none"/>
        </w:rPr>
        <w:t xml:space="preserve">，如本项目落实政府采购政策需满足的资格要求中有中小企业政策要求的</w:t>
      </w:r>
      <w:r>
        <w:rPr>
          <w:rFonts w:hint="eastAsia" w:ascii="宋体" w:hAnsi="宋体"/>
          <w:color w:val="auto"/>
          <w:sz w:val="24"/>
          <w:szCs w:val="24"/>
          <w:highlight w:val="none"/>
        </w:rPr>
        <w:t xml:space="preserve">（详见第一章《投标邀请》），必须提供相应证明文件，否则投标文件无效。</w:t>
      </w:r>
      <w:r>
        <w:rPr>
          <w:color w:val="auto"/>
          <w:highlight w:val="none"/>
        </w:rPr>
      </w:r>
    </w:p>
    <w:p>
      <w:pPr>
        <w:pStyle w:val="943"/>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auto"/>
          <w:highlight w:val="none"/>
        </w:rPr>
      </w:r>
    </w:p>
    <w:p>
      <w:pPr>
        <w:pStyle w:val="943"/>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943"/>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w:t>
      </w:r>
      <w:r>
        <w:rPr>
          <w:rFonts w:hint="eastAsia" w:ascii="宋体" w:hAnsi="宋体"/>
          <w:color w:val="auto"/>
          <w:sz w:val="24"/>
          <w:szCs w:val="24"/>
          <w:highlight w:val="none"/>
        </w:rPr>
        <w:t xml:space="preserve">由联合体主体单位（即联合体牵头人）代表联合体提供；第1、3、4、5、</w:t>
      </w:r>
      <w:r>
        <w:rPr>
          <w:rFonts w:hint="eastAsia" w:ascii="宋体" w:hAnsi="宋体"/>
          <w:color w:val="auto"/>
          <w:sz w:val="24"/>
          <w:szCs w:val="24"/>
          <w:highlight w:val="none"/>
        </w:rPr>
        <w:t xml:space="preserve">7（如有要求）、8（如有要求）</w:t>
      </w:r>
      <w:r>
        <w:rPr>
          <w:rFonts w:hint="eastAsia" w:ascii="宋体" w:hAnsi="宋体"/>
          <w:color w:val="auto"/>
          <w:sz w:val="24"/>
          <w:szCs w:val="24"/>
          <w:highlight w:val="none"/>
        </w:rPr>
        <w:t xml:space="preserve">项，联合体各方均须提供。</w:t>
      </w:r>
      <w:r>
        <w:rPr>
          <w:color w:val="auto"/>
          <w:highlight w:val="none"/>
        </w:rPr>
      </w:r>
    </w:p>
    <w:p>
      <w:pPr>
        <w:pStyle w:val="943"/>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rPr>
          <w:color w:val="auto"/>
          <w:highlight w:val="none"/>
        </w:rPr>
      </w:r>
    </w:p>
    <w:p>
      <w:pPr>
        <w:pStyle w:val="943"/>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3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103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103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103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1031"/>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color w:val="auto"/>
                <w:highlight w:val="none"/>
              </w:rPr>
              <w:t xml:space="preserve">（“苏采云”系统中给定格式）</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103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1031"/>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103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103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103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1031"/>
              <w:ind w:firstLine="0"/>
              <w:jc w:val="both"/>
              <w:spacing w:before="0" w:after="0" w:line="240" w:lineRule="auto"/>
              <w:rPr>
                <w:rFonts w:hint="eastAsia" w:cs="Arial"/>
              </w:rPr>
            </w:pPr>
            <w:r>
              <w:rPr>
                <w:rFonts w:hint="eastAsia" w:cs="Arial"/>
              </w:rPr>
            </w:r>
            <w:r/>
          </w:p>
        </w:tc>
      </w:tr>
    </w:tbl>
    <w:p>
      <w:pPr>
        <w:pStyle w:val="94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43"/>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rPr>
          <w:color w:val="auto"/>
          <w:highlight w:val="none"/>
        </w:rPr>
      </w:r>
    </w:p>
    <w:p>
      <w:pPr>
        <w:pStyle w:val="943"/>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rPr>
          <w:rFonts w:hint="eastAsia" w:ascii="宋体" w:hAnsi="宋体"/>
          <w:color w:val="auto"/>
          <w:sz w:val="24"/>
          <w:szCs w:val="24"/>
          <w:highlight w:val="none"/>
        </w:rPr>
      </w:r>
      <w:r>
        <w:rPr>
          <w:color w:val="auto"/>
          <w:highlight w:val="none"/>
        </w:rPr>
      </w:r>
    </w:p>
    <w:p>
      <w:pPr>
        <w:pStyle w:val="943"/>
        <w:numPr>
          <w:ilvl w:val="0"/>
          <w:numId w:val="9"/>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第6项按《采购需求》中的相应要求（如有）进行提供。</w:t>
      </w:r>
      <w:r>
        <w:rPr>
          <w:rFonts w:hint="eastAsia" w:ascii="宋体" w:hAnsi="宋体" w:cs="宋体"/>
          <w:color w:val="auto"/>
          <w:sz w:val="24"/>
          <w:szCs w:val="24"/>
          <w:highlight w:val="none"/>
        </w:rPr>
      </w:r>
      <w:r>
        <w:rPr>
          <w:color w:val="auto"/>
          <w:highlight w:val="none"/>
        </w:rPr>
      </w:r>
    </w:p>
    <w:p>
      <w:pPr>
        <w:pStyle w:val="943"/>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43"/>
        <w:rPr>
          <w:rFonts w:hint="eastAsia"/>
          <w:b/>
          <w:color w:val="auto"/>
          <w:sz w:val="28"/>
          <w:szCs w:val="28"/>
          <w:highlight w:val="none"/>
        </w:rPr>
      </w:pPr>
      <w:r>
        <w:rPr>
          <w:rFonts w:hint="eastAsia"/>
          <w:b/>
          <w:color w:val="auto"/>
          <w:sz w:val="28"/>
          <w:szCs w:val="28"/>
          <w:highlight w:val="none"/>
        </w:rPr>
        <w:t xml:space="preserve">（二）其他证明文件</w:t>
      </w:r>
      <w:r>
        <w:rPr>
          <w:color w:val="auto"/>
          <w:highlight w:val="none"/>
        </w:rPr>
      </w:r>
    </w:p>
    <w:p>
      <w:pPr>
        <w:pStyle w:val="943"/>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943"/>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rFonts w:ascii="宋体" w:hAnsi="宋体" w:cs="宋体"/>
          <w:color w:val="auto"/>
          <w:sz w:val="24"/>
          <w:szCs w:val="24"/>
          <w:highlight w:val="none"/>
        </w:rPr>
      </w:r>
      <w:r>
        <w:rPr>
          <w:color w:val="auto"/>
          <w:highlight w:val="none"/>
        </w:rPr>
      </w:r>
    </w:p>
    <w:p>
      <w:pPr>
        <w:pStyle w:val="943"/>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103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94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4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43"/>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94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4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4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4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43"/>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JSZC-320200-JZCG-G2024-0262</w:t>
      </w:r>
      <w:r>
        <w:rPr>
          <w:rFonts w:ascii="黑体" w:hAnsi="华文中宋" w:eastAsia="黑体"/>
          <w:bCs/>
          <w:color w:val="auto"/>
          <w:sz w:val="30"/>
          <w:szCs w:val="30"/>
          <w:highlight w:val="none"/>
        </w:rPr>
      </w:r>
      <w:r>
        <w:rPr>
          <w:color w:val="auto"/>
          <w:highlight w:val="none"/>
        </w:rPr>
      </w:r>
    </w:p>
    <w:p>
      <w:pPr>
        <w:pStyle w:val="943"/>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无锡市农业农村大数据平台二期项目</w:t>
      </w:r>
      <w:r>
        <w:rPr>
          <w:rFonts w:hint="eastAsia" w:ascii="黑体" w:hAnsi="华文中宋" w:eastAsia="黑体"/>
          <w:bCs/>
          <w:color w:val="auto"/>
          <w:sz w:val="30"/>
          <w:szCs w:val="30"/>
          <w:highlight w:val="none"/>
        </w:rPr>
      </w:r>
      <w:r>
        <w:rPr>
          <w:color w:val="auto"/>
          <w:highlight w:val="none"/>
        </w:rPr>
      </w:r>
    </w:p>
    <w:p>
      <w:pPr>
        <w:pStyle w:val="943"/>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943"/>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943"/>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943"/>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1029"/>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JSZC-320200-JZCG-G2024-0262</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1029"/>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1029"/>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1029"/>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1029"/>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1029"/>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1029"/>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1029"/>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1029"/>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rFonts w:hint="eastAsia"/>
          <w:color w:val="auto"/>
          <w:sz w:val="24"/>
          <w:szCs w:val="24"/>
          <w:highlight w:val="none"/>
        </w:rPr>
      </w:r>
      <w:r>
        <w:rPr>
          <w:color w:val="auto"/>
          <w:highlight w:val="none"/>
        </w:rPr>
      </w:r>
    </w:p>
    <w:p>
      <w:pPr>
        <w:pStyle w:val="1029"/>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p>
    <w:p>
      <w:pPr>
        <w:pStyle w:val="1029"/>
        <w:numPr>
          <w:ilvl w:val="0"/>
          <w:numId w:val="10"/>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p>
    <w:p>
      <w:pPr>
        <w:pStyle w:val="1029"/>
        <w:numPr>
          <w:ilvl w:val="0"/>
          <w:numId w:val="10"/>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p>
    <w:p>
      <w:pPr>
        <w:pStyle w:val="1029"/>
        <w:numPr>
          <w:ilvl w:val="0"/>
          <w:numId w:val="10"/>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p>
    <w:p>
      <w:pPr>
        <w:pStyle w:val="1029"/>
        <w:numPr>
          <w:ilvl w:val="0"/>
          <w:numId w:val="10"/>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auto"/>
          <w:sz w:val="24"/>
          <w:szCs w:val="20"/>
          <w:highlight w:val="none"/>
        </w:rPr>
      </w:r>
      <w:r>
        <w:rPr>
          <w:color w:val="auto"/>
          <w:highlight w:val="none"/>
        </w:rPr>
      </w:r>
    </w:p>
    <w:p>
      <w:pPr>
        <w:pStyle w:val="1029"/>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943"/>
        <w:jc w:val="center"/>
        <w:rPr>
          <w:rFonts w:ascii="黑体" w:eastAsia="黑体"/>
          <w:bCs/>
          <w:color w:val="auto"/>
          <w:sz w:val="28"/>
          <w:szCs w:val="28"/>
          <w:highlight w:val="none"/>
        </w:rPr>
        <w:outlineLvl w:val="0"/>
      </w:pPr>
      <w:r>
        <w:rPr>
          <w:color w:val="auto"/>
          <w:highlight w:val="none"/>
        </w:rPr>
      </w:r>
      <w:bookmarkStart w:id="204" w:name="报价方关于资格的声明函（格式）"/>
      <w:r>
        <w:rPr>
          <w:color w:val="auto"/>
          <w:highlight w:val="none"/>
        </w:rPr>
      </w:r>
      <w:bookmarkEnd w:id="204"/>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943"/>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43"/>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943"/>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JSZC-320200-JZCG-G2024-0262</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rFonts w:ascii="宋体" w:hAnsi="宋体"/>
          <w:bCs/>
          <w:color w:val="auto"/>
          <w:sz w:val="24"/>
          <w:szCs w:val="24"/>
          <w:highlight w:val="none"/>
        </w:rPr>
      </w:r>
      <w:r>
        <w:rPr>
          <w:color w:val="auto"/>
          <w:highlight w:val="none"/>
        </w:rPr>
      </w:r>
    </w:p>
    <w:p>
      <w:pPr>
        <w:pStyle w:val="94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94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94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43"/>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943"/>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43"/>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943"/>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943"/>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p>
    <w:p>
      <w:pPr>
        <w:pStyle w:val="94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94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4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4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94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p>
    <w:p>
      <w:pPr>
        <w:pStyle w:val="943"/>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943"/>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43"/>
        <w:ind w:firstLine="420"/>
        <w:spacing w:line="360" w:lineRule="auto"/>
        <w:rPr>
          <w:rFonts w:hint="eastAsia"/>
          <w:color w:val="auto"/>
          <w:highlight w:val="none"/>
        </w:rPr>
      </w:pPr>
      <w:r>
        <w:rPr>
          <w:rFonts w:hint="eastAsia"/>
          <w:color w:val="auto"/>
          <w:highlight w:val="none"/>
        </w:rPr>
      </w:r>
      <w:r>
        <w:rPr>
          <w:color w:val="auto"/>
          <w:highlight w:val="none"/>
        </w:rPr>
      </w:r>
    </w:p>
    <w:p>
      <w:pPr>
        <w:pStyle w:val="943"/>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w:t>
      </w:r>
      <w:r>
        <w:rPr>
          <w:rFonts w:hint="eastAsia"/>
          <w:b/>
          <w:color w:val="auto"/>
          <w:highlight w:val="none"/>
        </w:rPr>
        <w:t xml:space="preserve">项目属性为服务类的，只须按项目技术要求中的服务部分标的及其所属行业逐一进行填报，“企业名称”应填报为提供该项服务的承建（承接）商。</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943"/>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p>
    <w:p>
      <w:pPr>
        <w:pStyle w:val="943"/>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943"/>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943"/>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943"/>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943"/>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4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94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943"/>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43"/>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4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94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43"/>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943"/>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43"/>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943"/>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943"/>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43"/>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JSZC-320200-JZCG-G2024-0262</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rFonts w:ascii="宋体"/>
          <w:bCs/>
          <w:color w:val="auto"/>
          <w:sz w:val="24"/>
          <w:szCs w:val="24"/>
          <w:highlight w:val="none"/>
        </w:rPr>
      </w:r>
      <w:r>
        <w:rPr>
          <w:color w:val="auto"/>
          <w:highlight w:val="none"/>
        </w:rPr>
      </w:r>
    </w:p>
    <w:p>
      <w:pPr>
        <w:pStyle w:val="943"/>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18"/>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1018"/>
          <w:bCs/>
          <w:color w:val="auto"/>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943"/>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943"/>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43"/>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943"/>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943"/>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943"/>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943"/>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943"/>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JSZC-320200-JZCG-G2024-0262</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943"/>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94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943"/>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943"/>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943"/>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94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43"/>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94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43"/>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943"/>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43"/>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943"/>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rPr>
          <w:color w:val="auto"/>
          <w:highlight w:val="none"/>
        </w:rPr>
      </w:r>
    </w:p>
    <w:p>
      <w:pPr>
        <w:pStyle w:val="943"/>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943"/>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943"/>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43"/>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rPr>
        <w:t xml:space="preserve">JSZC-320200-JZCG-G2024-0262</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3"/>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943"/>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1057"/>
              <w:jc w:val="center"/>
              <w:spacing w:line="400" w:lineRule="exact"/>
              <w:rPr>
                <w:rFonts w:hAnsi="宋体"/>
                <w:bCs/>
                <w:color w:val="auto"/>
                <w:szCs w:val="24"/>
                <w:highlight w:val="none"/>
              </w:rPr>
            </w:pPr>
            <w:r>
              <w:rPr>
                <w:rFonts w:hint="eastAsia" w:hAnsi="宋体"/>
                <w:bCs/>
                <w:color w:val="auto"/>
                <w:szCs w:val="24"/>
                <w:highlight w:val="none"/>
              </w:rPr>
              <w:t xml:space="preserve">无锡市农业农村大数据平台二期项目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1057"/>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943"/>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94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p>
    <w:p>
      <w:pPr>
        <w:pStyle w:val="94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4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4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auto"/>
          <w:highlight w:val="none"/>
        </w:rPr>
      </w:r>
    </w:p>
    <w:p>
      <w:pPr>
        <w:pStyle w:val="943"/>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943"/>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43"/>
        <w:jc w:val="center"/>
        <w:spacing w:line="400" w:lineRule="exact"/>
        <w:rPr>
          <w:rFonts w:ascii="黑体" w:eastAsia="黑体"/>
          <w:bCs/>
          <w:color w:val="auto"/>
          <w:sz w:val="28"/>
          <w:szCs w:val="28"/>
          <w:highlight w:val="none"/>
        </w:rPr>
        <w:outlineLvl w:val="0"/>
      </w:pPr>
      <w:r>
        <w:rPr>
          <w:color w:val="auto"/>
          <w:highlight w:val="none"/>
        </w:rPr>
      </w:r>
      <w:bookmarkEnd w:id="200"/>
      <w:r>
        <w:rPr>
          <w:color w:val="auto"/>
          <w:highlight w:val="none"/>
        </w:rPr>
      </w:r>
      <w:bookmarkEnd w:id="201"/>
      <w:r>
        <w:rPr>
          <w:color w:val="auto"/>
          <w:highlight w:val="none"/>
        </w:rPr>
      </w:r>
      <w:bookmarkEnd w:id="202"/>
      <w:r>
        <w:rPr>
          <w:color w:val="auto"/>
          <w:highlight w:val="none"/>
        </w:rPr>
      </w:r>
      <w:bookmarkStart w:id="205" w:name="_Toc120614284"/>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943"/>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JSZC-320200-JZCG-G2024-0262</w:t>
      </w:r>
      <w:r>
        <w:rPr>
          <w:rFonts w:ascii="黑体" w:eastAsia="黑体"/>
          <w:bCs/>
          <w:color w:val="auto"/>
          <w:sz w:val="24"/>
          <w:szCs w:val="24"/>
          <w:highlight w:val="none"/>
        </w:rPr>
      </w:r>
      <w:r>
        <w:rPr>
          <w:color w:val="auto"/>
          <w:highlight w:val="none"/>
        </w:rP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943"/>
              <w:spacing w:before="5"/>
              <w:rPr>
                <w:color w:val="auto"/>
                <w:sz w:val="18"/>
                <w:highlight w:val="none"/>
              </w:rPr>
            </w:pPr>
            <w:r>
              <w:rPr>
                <w:rFonts w:hint="eastAsia"/>
                <w:b/>
                <w:bCs/>
                <w:color w:val="auto"/>
                <w:sz w:val="24"/>
                <w:szCs w:val="24"/>
                <w:highlight w:val="none"/>
              </w:rPr>
              <w:t xml:space="preserve">货物部分</w:t>
            </w:r>
            <w:r>
              <w:rPr>
                <w:color w:val="auto"/>
                <w:sz w:val="18"/>
                <w:highlight w:val="none"/>
              </w:rPr>
            </w:r>
            <w:r>
              <w:rPr>
                <w:color w:val="auto"/>
                <w:highlight w:val="none"/>
              </w:rPr>
            </w:r>
          </w:p>
        </w:tc>
      </w:tr>
      <w:tr>
        <w:trPr>
          <w:cantSplit/>
          <w:trHeight w:val="495"/>
        </w:trPr>
        <w:tc>
          <w:tcPr>
            <w:tcMar>
              <w:left w:w="15" w:type="dxa"/>
              <w:top w:w="15" w:type="dxa"/>
              <w:right w:w="15" w:type="dxa"/>
              <w:bottom w:w="0" w:type="dxa"/>
            </w:tcMar>
            <w:tcW w:w="420" w:type="dxa"/>
            <w:vAlign w:val="center"/>
            <w:textDirection w:val="lrTb"/>
            <w:noWrap/>
          </w:tcPr>
          <w:p>
            <w:pPr>
              <w:pStyle w:val="943"/>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1050" w:type="dxa"/>
            <w:vAlign w:val="center"/>
            <w:textDirection w:val="lrTb"/>
            <w:noWrap/>
          </w:tcPr>
          <w:p>
            <w:pPr>
              <w:pStyle w:val="943"/>
              <w:jc w:val="center"/>
              <w:spacing w:before="5"/>
              <w:rPr>
                <w:color w:val="auto"/>
                <w:sz w:val="18"/>
                <w:highlight w:val="none"/>
              </w:rPr>
            </w:pPr>
            <w:r>
              <w:rPr>
                <w:rFonts w:hint="eastAsia"/>
                <w:color w:val="auto"/>
                <w:sz w:val="18"/>
                <w:highlight w:val="none"/>
              </w:rPr>
              <w:t xml:space="preserve">名称</w:t>
            </w:r>
            <w:r>
              <w:rPr>
                <w:color w:val="auto"/>
                <w:sz w:val="18"/>
                <w:highlight w:val="none"/>
              </w:rPr>
            </w:r>
            <w:r>
              <w:rPr>
                <w:color w:val="auto"/>
                <w:highlight w:val="none"/>
              </w:rPr>
            </w:r>
          </w:p>
        </w:tc>
        <w:tc>
          <w:tcPr>
            <w:tcMar>
              <w:left w:w="15" w:type="dxa"/>
              <w:top w:w="15" w:type="dxa"/>
              <w:right w:w="15" w:type="dxa"/>
              <w:bottom w:w="0" w:type="dxa"/>
            </w:tcMar>
            <w:tcW w:w="945" w:type="dxa"/>
            <w:vAlign w:val="center"/>
            <w:textDirection w:val="lrTb"/>
            <w:noWrap/>
          </w:tcPr>
          <w:p>
            <w:pPr>
              <w:pStyle w:val="943"/>
              <w:jc w:val="center"/>
              <w:spacing w:before="5"/>
              <w:rPr>
                <w:color w:val="auto"/>
                <w:sz w:val="18"/>
                <w:highlight w:val="none"/>
              </w:rPr>
            </w:pPr>
            <w:r>
              <w:rPr>
                <w:rFonts w:hint="eastAsia"/>
                <w:color w:val="auto"/>
                <w:sz w:val="18"/>
                <w:highlight w:val="none"/>
              </w:rPr>
              <w:t xml:space="preserve">品牌型号</w:t>
            </w:r>
            <w:r>
              <w:rPr>
                <w:color w:val="auto"/>
                <w:sz w:val="18"/>
                <w:highlight w:val="none"/>
              </w:rPr>
            </w:r>
            <w:r>
              <w:rPr>
                <w:color w:val="auto"/>
                <w:highlight w:val="none"/>
              </w:rPr>
            </w:r>
          </w:p>
        </w:tc>
        <w:tc>
          <w:tcPr>
            <w:tcMar>
              <w:left w:w="15" w:type="dxa"/>
              <w:top w:w="15" w:type="dxa"/>
              <w:right w:w="15" w:type="dxa"/>
              <w:bottom w:w="0" w:type="dxa"/>
            </w:tcMar>
            <w:tcW w:w="3045" w:type="dxa"/>
            <w:vAlign w:val="center"/>
            <w:textDirection w:val="lrTb"/>
            <w:noWrap/>
          </w:tcPr>
          <w:p>
            <w:pPr>
              <w:pStyle w:val="943"/>
              <w:jc w:val="center"/>
              <w:spacing w:before="5"/>
              <w:rPr>
                <w:color w:val="auto"/>
                <w:sz w:val="18"/>
                <w:highlight w:val="none"/>
              </w:rPr>
            </w:pPr>
            <w:r>
              <w:rPr>
                <w:rFonts w:hint="eastAsia"/>
                <w:color w:val="auto"/>
                <w:sz w:val="18"/>
                <w:highlight w:val="none"/>
              </w:rPr>
              <w:t xml:space="preserve">性能指标</w:t>
            </w:r>
            <w:r>
              <w:rPr>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43"/>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W w:w="1276" w:type="dxa"/>
            <w:vAlign w:val="center"/>
            <w:textDirection w:val="lrTb"/>
            <w:noWrap w:val="false"/>
          </w:tcPr>
          <w:p>
            <w:pPr>
              <w:pStyle w:val="943"/>
              <w:jc w:val="center"/>
              <w:spacing w:before="5"/>
              <w:rPr>
                <w:color w:val="auto"/>
                <w:sz w:val="18"/>
                <w:highlight w:val="none"/>
              </w:rPr>
            </w:pPr>
            <w:r>
              <w:rPr>
                <w:rFonts w:hint="eastAsia"/>
                <w:color w:val="auto"/>
                <w:sz w:val="18"/>
                <w:highlight w:val="none"/>
              </w:rPr>
              <w:t xml:space="preserve">产地</w:t>
            </w:r>
            <w:r>
              <w:rPr>
                <w:color w:val="auto"/>
                <w:sz w:val="18"/>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spacing w:before="5"/>
              <w:rPr>
                <w:color w:val="auto"/>
                <w:sz w:val="18"/>
                <w:highlight w:val="none"/>
              </w:rPr>
            </w:pPr>
            <w:r>
              <w:rPr>
                <w:rFonts w:hint="eastAsia"/>
                <w:color w:val="auto"/>
                <w:sz w:val="18"/>
                <w:highlight w:val="none"/>
              </w:rPr>
              <w:t xml:space="preserve">质保期</w:t>
            </w:r>
            <w:r>
              <w:rPr>
                <w:color w:val="auto"/>
                <w:sz w:val="18"/>
                <w:highlight w:val="none"/>
              </w:rPr>
            </w:r>
            <w:r>
              <w:rPr>
                <w:color w:val="auto"/>
                <w:highlight w:val="none"/>
              </w:rPr>
            </w:r>
          </w:p>
        </w:tc>
        <w:tc>
          <w:tcPr>
            <w:tcW w:w="709" w:type="dxa"/>
            <w:vAlign w:val="center"/>
            <w:textDirection w:val="lrTb"/>
            <w:noWrap w:val="false"/>
          </w:tcPr>
          <w:p>
            <w:pPr>
              <w:pStyle w:val="943"/>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939" w:type="dxa"/>
            <w:vAlign w:val="center"/>
            <w:textDirection w:val="lrTb"/>
            <w:noWrap w:val="false"/>
          </w:tcPr>
          <w:p>
            <w:pPr>
              <w:pStyle w:val="943"/>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9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1050" w:type="dxa"/>
            <w:vAlign w:val="center"/>
            <w:textDirection w:val="lrTb"/>
            <w:noWrap/>
          </w:tcPr>
          <w:p>
            <w:pPr>
              <w:pStyle w:val="9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945" w:type="dxa"/>
            <w:vAlign w:val="center"/>
            <w:textDirection w:val="lrTb"/>
            <w:noWrap w:val="false"/>
          </w:tcPr>
          <w:p>
            <w:pPr>
              <w:pStyle w:val="9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3045" w:type="dxa"/>
            <w:vAlign w:val="top"/>
            <w:textDirection w:val="lrTb"/>
            <w:noWrap w:val="false"/>
          </w:tcPr>
          <w:p>
            <w:pPr>
              <w:pStyle w:val="943"/>
              <w:jc w:val="center"/>
              <w:rPr>
                <w:rFonts w:ascii="宋体"/>
                <w:bCs/>
                <w:color w:val="auto"/>
                <w:sz w:val="18"/>
                <w:highlight w:val="none"/>
              </w:rPr>
            </w:pPr>
            <w:r>
              <w:rPr>
                <w:rFonts w:ascii="宋体"/>
                <w:bCs/>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70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43"/>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1050" w:type="dxa"/>
            <w:vAlign w:val="center"/>
            <w:textDirection w:val="lrTb"/>
            <w:noWrap/>
          </w:tcPr>
          <w:p>
            <w:pPr>
              <w:pStyle w:val="943"/>
              <w:jc w:val="center"/>
              <w:rPr>
                <w:rFonts w:ascii="宋体"/>
                <w:color w:val="auto"/>
                <w:highlight w:val="none"/>
              </w:rPr>
            </w:pPr>
            <w:r>
              <w:rPr>
                <w:rFonts w:ascii="宋体"/>
                <w:color w:val="auto"/>
                <w:highlight w:val="none"/>
              </w:rPr>
            </w:r>
            <w:r>
              <w:rPr>
                <w:color w:val="auto"/>
                <w:highlight w:val="none"/>
              </w:rPr>
            </w:r>
          </w:p>
        </w:tc>
        <w:tc>
          <w:tcPr>
            <w:tcMar>
              <w:left w:w="15" w:type="dxa"/>
              <w:top w:w="15" w:type="dxa"/>
              <w:right w:w="15" w:type="dxa"/>
              <w:bottom w:w="0" w:type="dxa"/>
            </w:tcMar>
            <w:tcW w:w="945" w:type="dxa"/>
            <w:vAlign w:val="center"/>
            <w:textDirection w:val="lrTb"/>
            <w:noWrap w:val="false"/>
          </w:tcPr>
          <w:p>
            <w:pPr>
              <w:pStyle w:val="9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3045" w:type="dxa"/>
            <w:vAlign w:val="center"/>
            <w:textDirection w:val="lrTb"/>
            <w:noWrap w:val="false"/>
          </w:tcPr>
          <w:p>
            <w:pPr>
              <w:pStyle w:val="943"/>
              <w:jc w:val="center"/>
              <w:rPr>
                <w:rFonts w:ascii="宋体"/>
                <w:bCs/>
                <w:color w:val="auto"/>
                <w:sz w:val="18"/>
                <w:highlight w:val="none"/>
              </w:rPr>
            </w:pPr>
            <w:r>
              <w:rPr>
                <w:rFonts w:ascii="宋体"/>
                <w:bCs/>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70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34"/>
        </w:trPr>
        <w:tc>
          <w:tcPr>
            <w:tcMar>
              <w:left w:w="15" w:type="dxa"/>
              <w:top w:w="15" w:type="dxa"/>
              <w:right w:w="15" w:type="dxa"/>
              <w:bottom w:w="0" w:type="dxa"/>
            </w:tcMar>
            <w:tcW w:w="420" w:type="dxa"/>
            <w:vAlign w:val="center"/>
            <w:textDirection w:val="lrTb"/>
            <w:noWrap/>
          </w:tcPr>
          <w:p>
            <w:pPr>
              <w:pStyle w:val="943"/>
              <w:jc w:val="center"/>
              <w:rPr>
                <w:rFonts w:hint="eastAsia" w:ascii="宋体"/>
                <w:color w:val="auto"/>
                <w:sz w:val="18"/>
                <w:highlight w:val="none"/>
              </w:rPr>
            </w:pPr>
            <w:r>
              <w:rPr>
                <w:rFonts w:hint="eastAsia" w:ascii="宋体"/>
                <w:color w:val="auto"/>
                <w:sz w:val="18"/>
                <w:highlight w:val="none"/>
              </w:rPr>
            </w:r>
            <w:r>
              <w:rPr>
                <w:color w:val="auto"/>
                <w:highlight w:val="none"/>
              </w:rPr>
            </w:r>
          </w:p>
        </w:tc>
        <w:tc>
          <w:tcPr>
            <w:tcMar>
              <w:left w:w="15" w:type="dxa"/>
              <w:top w:w="15" w:type="dxa"/>
              <w:right w:w="15" w:type="dxa"/>
              <w:bottom w:w="0" w:type="dxa"/>
            </w:tcMar>
            <w:tcW w:w="1050" w:type="dxa"/>
            <w:vAlign w:val="center"/>
            <w:textDirection w:val="lrTb"/>
            <w:noWrap/>
          </w:tcPr>
          <w:p>
            <w:pPr>
              <w:pStyle w:val="943"/>
              <w:jc w:val="center"/>
              <w:rPr>
                <w:rFonts w:ascii="宋体"/>
                <w:color w:val="auto"/>
                <w:highlight w:val="none"/>
              </w:rPr>
            </w:pPr>
            <w:r>
              <w:rPr>
                <w:rFonts w:hint="eastAsia" w:ascii="宋体"/>
                <w:color w:val="auto"/>
                <w:highlight w:val="none"/>
              </w:rPr>
              <w:t xml:space="preserve">......</w:t>
            </w:r>
            <w:r>
              <w:rPr>
                <w:rFonts w:ascii="宋体"/>
                <w:color w:val="auto"/>
                <w:highlight w:val="none"/>
              </w:rPr>
            </w:r>
            <w:r>
              <w:rPr>
                <w:color w:val="auto"/>
                <w:highlight w:val="none"/>
              </w:rPr>
            </w:r>
          </w:p>
        </w:tc>
        <w:tc>
          <w:tcPr>
            <w:tcMar>
              <w:left w:w="15" w:type="dxa"/>
              <w:top w:w="15" w:type="dxa"/>
              <w:right w:w="15" w:type="dxa"/>
              <w:bottom w:w="0" w:type="dxa"/>
            </w:tcMar>
            <w:tcW w:w="945" w:type="dxa"/>
            <w:vAlign w:val="center"/>
            <w:textDirection w:val="lrTb"/>
            <w:noWrap w:val="false"/>
          </w:tcPr>
          <w:p>
            <w:pPr>
              <w:pStyle w:val="993"/>
              <w:tabs>
                <w:tab w:val="clear" w:pos="4153" w:leader="none"/>
                <w:tab w:val="clear" w:pos="8306" w:leader="none"/>
              </w:tabs>
              <w:rPr>
                <w:rFonts w:ascii="宋体"/>
                <w:bCs/>
                <w:color w:val="auto"/>
                <w:highlight w:val="none"/>
              </w:rPr>
              <w:pBdr>
                <w:bottom w:val="none" w:color="000000" w:sz="0" w:space="0"/>
              </w:pBdr>
            </w:pPr>
            <w:r>
              <w:rPr>
                <w:rFonts w:ascii="宋体"/>
                <w:bCs/>
                <w:color w:val="auto"/>
                <w:highlight w:val="none"/>
                <w:lang w:val="en-US" w:eastAsia="zh-CN"/>
              </w:rPr>
            </w:r>
            <w:r>
              <w:rPr>
                <w:color w:val="auto"/>
                <w:highlight w:val="none"/>
              </w:rPr>
            </w:r>
          </w:p>
        </w:tc>
        <w:tc>
          <w:tcPr>
            <w:tcMar>
              <w:left w:w="15" w:type="dxa"/>
              <w:top w:w="15" w:type="dxa"/>
              <w:right w:w="15" w:type="dxa"/>
              <w:bottom w:w="0" w:type="dxa"/>
            </w:tcMar>
            <w:tcW w:w="3045" w:type="dxa"/>
            <w:vAlign w:val="center"/>
            <w:textDirection w:val="lrTb"/>
            <w:noWrap w:val="false"/>
          </w:tcPr>
          <w:p>
            <w:pPr>
              <w:pStyle w:val="943"/>
              <w:jc w:val="center"/>
              <w:rPr>
                <w:rFonts w:ascii="宋体"/>
                <w:bCs/>
                <w:color w:val="auto"/>
                <w:sz w:val="18"/>
                <w:highlight w:val="none"/>
              </w:rPr>
            </w:pPr>
            <w:r>
              <w:rPr>
                <w:rFonts w:ascii="宋体"/>
                <w:bCs/>
                <w:color w:val="auto"/>
                <w:sz w:val="18"/>
                <w:highlight w:val="none"/>
              </w:rPr>
            </w:r>
            <w:r>
              <w:rPr>
                <w:color w:val="auto"/>
                <w:highlight w:val="none"/>
              </w:rPr>
            </w:r>
          </w:p>
        </w:tc>
        <w:tc>
          <w:tcPr>
            <w:tcMar>
              <w:left w:w="15" w:type="dxa"/>
              <w:top w:w="15" w:type="dxa"/>
              <w:right w:w="15" w:type="dxa"/>
              <w:bottom w:w="0" w:type="dxa"/>
            </w:tcMar>
            <w:tcW w:w="599" w:type="dxa"/>
            <w:vAlign w:val="center"/>
            <w:textDirection w:val="lrTb"/>
            <w:noWrap w:val="false"/>
          </w:tcPr>
          <w:p>
            <w:pPr>
              <w:pStyle w:val="943"/>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276"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70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943"/>
              <w:spacing w:before="5"/>
              <w:rPr>
                <w:rFonts w:hint="eastAsia"/>
                <w:b/>
                <w:bCs/>
                <w:color w:val="auto"/>
                <w:sz w:val="24"/>
                <w:szCs w:val="24"/>
                <w:highlight w:val="none"/>
              </w:rPr>
            </w:pPr>
            <w:r>
              <w:rPr>
                <w:rFonts w:hint="eastAsia"/>
                <w:b/>
                <w:bCs/>
                <w:color w:val="auto"/>
                <w:sz w:val="24"/>
                <w:szCs w:val="24"/>
                <w:highlight w:val="none"/>
              </w:rPr>
            </w:r>
            <w:r>
              <w:rPr>
                <w:color w:val="auto"/>
                <w:highlight w:val="none"/>
              </w:rP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943"/>
              <w:spacing w:before="5"/>
              <w:rPr>
                <w:rFonts w:hint="eastAsia"/>
                <w:color w:val="auto"/>
                <w:sz w:val="18"/>
                <w:highlight w:val="none"/>
              </w:rPr>
            </w:pPr>
            <w:r>
              <w:rPr>
                <w:rFonts w:hint="eastAsia"/>
                <w:b/>
                <w:bCs/>
                <w:color w:val="auto"/>
                <w:sz w:val="24"/>
                <w:szCs w:val="24"/>
                <w:highlight w:val="none"/>
              </w:rPr>
              <w:t xml:space="preserve">服务部分</w:t>
            </w:r>
            <w:r>
              <w:rPr>
                <w:rFonts w:hint="eastAsia"/>
                <w:color w:val="auto"/>
                <w:sz w:val="18"/>
                <w:highlight w:val="none"/>
              </w:rPr>
            </w:r>
            <w:r>
              <w:rPr>
                <w:color w:val="auto"/>
                <w:highlight w:val="none"/>
              </w:rPr>
            </w:r>
          </w:p>
        </w:tc>
      </w:tr>
      <w:tr>
        <w:trPr>
          <w:cantSplit/>
          <w:trHeight w:val="495"/>
        </w:trPr>
        <w:tc>
          <w:tcPr>
            <w:tcMar>
              <w:left w:w="15" w:type="dxa"/>
              <w:top w:w="15" w:type="dxa"/>
              <w:right w:w="15" w:type="dxa"/>
              <w:bottom w:w="0" w:type="dxa"/>
            </w:tcMar>
            <w:tcW w:w="420" w:type="dxa"/>
            <w:vAlign w:val="center"/>
            <w:textDirection w:val="lrTb"/>
            <w:noWrap/>
          </w:tcPr>
          <w:p>
            <w:pPr>
              <w:pStyle w:val="943"/>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gridSpan w:val="4"/>
            <w:tcMar>
              <w:left w:w="15" w:type="dxa"/>
              <w:top w:w="15" w:type="dxa"/>
              <w:right w:w="15" w:type="dxa"/>
              <w:bottom w:w="0" w:type="dxa"/>
            </w:tcMar>
            <w:tcW w:w="5639" w:type="dxa"/>
            <w:vAlign w:val="center"/>
            <w:textDirection w:val="lrTb"/>
            <w:noWrap/>
          </w:tcPr>
          <w:p>
            <w:pPr>
              <w:pStyle w:val="943"/>
              <w:jc w:val="center"/>
              <w:spacing w:before="5"/>
              <w:rPr>
                <w:rFonts w:hint="eastAsia"/>
                <w:color w:val="auto"/>
                <w:sz w:val="18"/>
                <w:highlight w:val="none"/>
              </w:rPr>
            </w:pPr>
            <w:r>
              <w:rPr>
                <w:rFonts w:hint="eastAsia"/>
                <w:color w:val="auto"/>
                <w:sz w:val="18"/>
                <w:highlight w:val="none"/>
              </w:rPr>
              <w:t xml:space="preserve">服务内容</w:t>
            </w:r>
            <w:r>
              <w:rPr>
                <w:color w:val="auto"/>
                <w:highlight w:val="none"/>
              </w:rPr>
            </w:r>
          </w:p>
        </w:tc>
        <w:tc>
          <w:tcPr>
            <w:tcW w:w="1276" w:type="dxa"/>
            <w:vAlign w:val="center"/>
            <w:textDirection w:val="lrTb"/>
            <w:noWrap w:val="false"/>
          </w:tcPr>
          <w:p>
            <w:pPr>
              <w:pStyle w:val="943"/>
              <w:jc w:val="center"/>
              <w:spacing w:before="5"/>
              <w:rPr>
                <w:rFonts w:hint="eastAsia"/>
                <w:color w:val="auto"/>
                <w:sz w:val="18"/>
                <w:highlight w:val="none"/>
              </w:rPr>
            </w:pPr>
            <w:r>
              <w:rPr>
                <w:rFonts w:hint="eastAsia"/>
                <w:color w:val="auto"/>
                <w:sz w:val="18"/>
                <w:highlight w:val="none"/>
              </w:rPr>
              <w:t xml:space="preserve">数量</w:t>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spacing w:before="5"/>
              <w:rPr>
                <w:rFonts w:hint="eastAsia"/>
                <w:color w:val="auto"/>
                <w:sz w:val="18"/>
                <w:highlight w:val="none"/>
              </w:rPr>
            </w:pPr>
            <w:r>
              <w:rPr>
                <w:rFonts w:hint="eastAsia"/>
                <w:color w:val="auto"/>
                <w:sz w:val="18"/>
                <w:highlight w:val="none"/>
              </w:rPr>
              <w:t xml:space="preserve">单位</w:t>
            </w:r>
            <w:r>
              <w:rPr>
                <w:color w:val="auto"/>
                <w:highlight w:val="none"/>
              </w:rPr>
            </w:r>
          </w:p>
        </w:tc>
        <w:tc>
          <w:tcPr>
            <w:tcW w:w="709" w:type="dxa"/>
            <w:vAlign w:val="center"/>
            <w:textDirection w:val="lrTb"/>
            <w:noWrap w:val="false"/>
          </w:tcPr>
          <w:p>
            <w:pPr>
              <w:pStyle w:val="943"/>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939" w:type="dxa"/>
            <w:vAlign w:val="center"/>
            <w:textDirection w:val="lrTb"/>
            <w:noWrap w:val="false"/>
          </w:tcPr>
          <w:p>
            <w:pPr>
              <w:pStyle w:val="943"/>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9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gridSpan w:val="4"/>
            <w:tcMar>
              <w:left w:w="15" w:type="dxa"/>
              <w:top w:w="15" w:type="dxa"/>
              <w:right w:w="15" w:type="dxa"/>
              <w:bottom w:w="0" w:type="dxa"/>
            </w:tcMar>
            <w:tcW w:w="5639" w:type="dxa"/>
            <w:vAlign w:val="center"/>
            <w:textDirection w:val="lrTb"/>
            <w:noWrap/>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70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43"/>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gridSpan w:val="4"/>
            <w:tcMar>
              <w:left w:w="15" w:type="dxa"/>
              <w:top w:w="15" w:type="dxa"/>
              <w:right w:w="15" w:type="dxa"/>
              <w:bottom w:w="0" w:type="dxa"/>
            </w:tcMar>
            <w:tcW w:w="5639" w:type="dxa"/>
            <w:vAlign w:val="center"/>
            <w:textDirection w:val="lrTb"/>
            <w:noWrap/>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70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775"/>
        </w:trPr>
        <w:tc>
          <w:tcPr>
            <w:tcMar>
              <w:left w:w="15" w:type="dxa"/>
              <w:top w:w="15" w:type="dxa"/>
              <w:right w:w="15" w:type="dxa"/>
              <w:bottom w:w="0" w:type="dxa"/>
            </w:tcMar>
            <w:tcW w:w="420" w:type="dxa"/>
            <w:vAlign w:val="center"/>
            <w:textDirection w:val="lrTb"/>
            <w:noWrap/>
          </w:tcPr>
          <w:p>
            <w:pPr>
              <w:pStyle w:val="943"/>
              <w:jc w:val="center"/>
              <w:rPr>
                <w:rFonts w:ascii="宋体"/>
                <w:color w:val="auto"/>
                <w:sz w:val="18"/>
                <w:highlight w:val="none"/>
              </w:rPr>
            </w:pPr>
            <w:r>
              <w:rPr>
                <w:rFonts w:ascii="宋体"/>
                <w:color w:val="auto"/>
                <w:sz w:val="18"/>
                <w:highlight w:val="none"/>
              </w:rPr>
            </w:r>
            <w:r>
              <w:rPr>
                <w:color w:val="auto"/>
                <w:highlight w:val="none"/>
              </w:rPr>
            </w:r>
          </w:p>
        </w:tc>
        <w:tc>
          <w:tcPr>
            <w:gridSpan w:val="4"/>
            <w:tcMar>
              <w:left w:w="15" w:type="dxa"/>
              <w:top w:w="15" w:type="dxa"/>
              <w:right w:w="15" w:type="dxa"/>
              <w:bottom w:w="0" w:type="dxa"/>
            </w:tcMar>
            <w:tcW w:w="5639" w:type="dxa"/>
            <w:vAlign w:val="center"/>
            <w:textDirection w:val="lrTb"/>
            <w:noWrap/>
          </w:tcPr>
          <w:p>
            <w:pPr>
              <w:pStyle w:val="943"/>
              <w:jc w:val="center"/>
              <w:rPr>
                <w:rFonts w:hint="eastAsia" w:ascii="黑体" w:eastAsia="黑体"/>
                <w:b/>
                <w:bCs/>
                <w:color w:val="auto"/>
                <w:highlight w:val="none"/>
              </w:rPr>
            </w:pPr>
            <w:r>
              <w:rPr>
                <w:rFonts w:ascii="宋体"/>
                <w:color w:val="auto"/>
                <w:highlight w:val="none"/>
              </w:rPr>
              <w:t xml:space="preserve">……</w:t>
            </w:r>
            <w:r>
              <w:rPr>
                <w:rFonts w:hint="eastAsia" w:ascii="黑体" w:eastAsia="黑体"/>
                <w:b/>
                <w:bCs/>
                <w:color w:val="auto"/>
                <w:highlight w:val="none"/>
              </w:rPr>
            </w:r>
            <w:r>
              <w:rPr>
                <w:color w:val="auto"/>
                <w:highlight w:val="none"/>
              </w:rPr>
            </w:r>
          </w:p>
        </w:tc>
        <w:tc>
          <w:tcPr>
            <w:tcW w:w="1276"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992" w:type="dxa"/>
            <w:vAlign w:val="center"/>
            <w:textDirection w:val="lrTb"/>
            <w:noWrap/>
          </w:tcPr>
          <w:p>
            <w:pPr>
              <w:pStyle w:val="943"/>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70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939" w:type="dxa"/>
            <w:vAlign w:val="center"/>
            <w:textDirection w:val="lrTb"/>
            <w:noWrap w:val="false"/>
          </w:tcPr>
          <w:p>
            <w:pPr>
              <w:pStyle w:val="94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943"/>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943"/>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943"/>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w:t>
      </w:r>
      <w:r>
        <w:rPr>
          <w:rFonts w:hint="eastAsia" w:ascii="宋体"/>
          <w:bCs/>
          <w:color w:val="auto"/>
          <w:highlight w:val="none"/>
        </w:rPr>
        <w:t xml:space="preserve">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943"/>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943"/>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rFonts w:ascii="宋体" w:hAnsi="宋体"/>
          <w:bCs/>
          <w:color w:val="auto"/>
          <w:highlight w:val="none"/>
        </w:rPr>
      </w:r>
      <w:r>
        <w:rPr>
          <w:color w:val="auto"/>
          <w:highlight w:val="none"/>
        </w:rPr>
      </w:r>
    </w:p>
    <w:p>
      <w:pPr>
        <w:pStyle w:val="943"/>
        <w:spacing w:line="400" w:lineRule="exact"/>
        <w:rPr>
          <w:rFonts w:hint="eastAsia"/>
          <w:b/>
          <w:color w:val="auto"/>
          <w:sz w:val="28"/>
          <w:szCs w:val="28"/>
          <w:highlight w:val="none"/>
        </w:rPr>
        <w:outlineLvl w:val="0"/>
      </w:pPr>
      <w:r>
        <w:rPr>
          <w:rFonts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943"/>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43"/>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943"/>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43"/>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43"/>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JSZC-320200-JZCG-G2024-0262</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43"/>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3"/>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3"/>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3"/>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43"/>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3"/>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3"/>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3"/>
              <w:jc w:val="center"/>
              <w:rPr>
                <w:rFonts w:ascii="宋体"/>
                <w:bCs/>
                <w:color w:val="auto"/>
                <w:highlight w:val="none"/>
              </w:rPr>
            </w:pPr>
            <w:r>
              <w:rPr>
                <w:rFonts w:ascii="宋体"/>
                <w:bCs/>
                <w:color w:val="auto"/>
                <w:highlight w:val="none"/>
              </w:rPr>
            </w:r>
            <w:r>
              <w:rPr>
                <w:color w:val="auto"/>
                <w:highlight w:val="none"/>
              </w:rPr>
            </w:r>
          </w:p>
        </w:tc>
      </w:tr>
    </w:tbl>
    <w:p>
      <w:pPr>
        <w:pStyle w:val="943"/>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943"/>
        <w:rPr>
          <w:rFonts w:ascii="宋体"/>
          <w:bCs/>
          <w:color w:val="auto"/>
          <w:sz w:val="30"/>
          <w:highlight w:val="none"/>
        </w:rPr>
      </w:pPr>
      <w:r>
        <w:rPr>
          <w:rFonts w:ascii="宋体"/>
          <w:bCs/>
          <w:color w:val="auto"/>
          <w:sz w:val="30"/>
          <w:highlight w:val="none"/>
        </w:rPr>
      </w:r>
      <w:r>
        <w:rPr>
          <w:color w:val="auto"/>
          <w:highlight w:val="none"/>
        </w:rPr>
      </w:r>
    </w:p>
    <w:p>
      <w:pPr>
        <w:pStyle w:val="943"/>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943"/>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943"/>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05"/>
      <w:r>
        <w:rPr>
          <w:color w:val="auto"/>
          <w:highlight w:val="none"/>
        </w:rPr>
      </w:r>
      <w:bookmarkStart w:id="206" w:name="_Hlt26671374"/>
      <w:r>
        <w:rPr>
          <w:color w:val="auto"/>
          <w:highlight w:val="none"/>
        </w:rPr>
      </w:r>
      <w:bookmarkEnd w:id="206"/>
      <w:r>
        <w:rPr>
          <w:color w:val="auto"/>
          <w:highlight w:val="none"/>
        </w:rPr>
      </w:r>
      <w:bookmarkStart w:id="207" w:name="_格式2__法定代表人授权书"/>
      <w:r>
        <w:rPr>
          <w:color w:val="auto"/>
          <w:highlight w:val="none"/>
        </w:rPr>
      </w:r>
      <w:bookmarkEnd w:id="207"/>
      <w:r>
        <w:rPr>
          <w:color w:val="auto"/>
          <w:highlight w:val="none"/>
        </w:rPr>
      </w:r>
      <w:bookmarkStart w:id="208" w:name="_Hlt26955066"/>
      <w:r>
        <w:rPr>
          <w:color w:val="auto"/>
          <w:highlight w:val="none"/>
        </w:rPr>
      </w:r>
      <w:bookmarkEnd w:id="208"/>
      <w:r>
        <w:rPr>
          <w:color w:val="auto"/>
          <w:highlight w:val="none"/>
        </w:rPr>
      </w:r>
      <w:bookmarkStart w:id="209" w:name="_Hlt26609389"/>
      <w:r>
        <w:rPr>
          <w:color w:val="auto"/>
          <w:highlight w:val="none"/>
        </w:rPr>
      </w:r>
      <w:bookmarkEnd w:id="209"/>
      <w:r>
        <w:rPr>
          <w:rFonts w:hint="eastAsia" w:ascii="宋体" w:hAnsi="宋体"/>
          <w:bCs/>
          <w:color w:val="auto"/>
          <w:sz w:val="24"/>
          <w:szCs w:val="24"/>
          <w:highlight w:val="none"/>
        </w:rPr>
      </w:r>
      <w:r>
        <w:rPr>
          <w:color w:val="auto"/>
          <w:highlight w:val="none"/>
        </w:rPr>
      </w:r>
    </w:p>
    <w:p>
      <w:pPr>
        <w:pStyle w:val="943"/>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rPr>
          <w:color w:val="auto"/>
          <w:highlight w:val="none"/>
        </w:rPr>
      </w:r>
    </w:p>
    <w:p>
      <w:pPr>
        <w:pStyle w:val="943"/>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p>
    <w:p>
      <w:pPr>
        <w:pStyle w:val="943"/>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b/>
          <w:color w:val="auto"/>
          <w:sz w:val="28"/>
          <w:szCs w:val="28"/>
          <w:highlight w:val="none"/>
        </w:rPr>
      </w:r>
      <w:r>
        <w:rPr>
          <w:color w:val="auto"/>
          <w:highlight w:val="none"/>
        </w:rPr>
      </w:r>
    </w:p>
    <w:p>
      <w:pPr>
        <w:pStyle w:val="943"/>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43"/>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p>
    <w:p>
      <w:pPr>
        <w:pStyle w:val="943"/>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43"/>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JSZC-320200-JZCG-G2024-0262</w:t>
      </w:r>
      <w:r>
        <w:rPr>
          <w:rFonts w:ascii="黑体" w:eastAsia="黑体"/>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43"/>
              <w:jc w:val="center"/>
              <w:rPr>
                <w:b/>
                <w:color w:val="auto"/>
                <w:sz w:val="24"/>
                <w:highlight w:val="none"/>
              </w:rPr>
            </w:pPr>
            <w:r>
              <w:rPr>
                <w:rFonts w:hint="eastAsia"/>
                <w:b/>
                <w:color w:val="auto"/>
                <w:sz w:val="24"/>
                <w:highlight w:val="none"/>
              </w:rPr>
              <w:t xml:space="preserve">序号</w:t>
            </w:r>
            <w:r>
              <w:rPr>
                <w:b/>
                <w:color w:val="auto"/>
                <w:sz w:val="24"/>
                <w:highlight w:val="none"/>
              </w:rPr>
            </w:r>
            <w:r>
              <w:rPr>
                <w:color w:val="auto"/>
                <w:highlight w:val="none"/>
              </w:rPr>
            </w:r>
          </w:p>
        </w:tc>
        <w:tc>
          <w:tcPr>
            <w:tcW w:w="1476" w:type="dxa"/>
            <w:vAlign w:val="center"/>
            <w:textDirection w:val="lrTb"/>
            <w:noWrap w:val="false"/>
          </w:tcPr>
          <w:p>
            <w:pPr>
              <w:pStyle w:val="943"/>
              <w:jc w:val="center"/>
              <w:rPr>
                <w:b/>
                <w:color w:val="auto"/>
                <w:sz w:val="24"/>
                <w:highlight w:val="none"/>
              </w:rPr>
            </w:pPr>
            <w:r>
              <w:rPr>
                <w:rFonts w:hint="eastAsia"/>
                <w:b/>
                <w:color w:val="auto"/>
                <w:sz w:val="24"/>
                <w:highlight w:val="none"/>
              </w:rPr>
              <w:t xml:space="preserve">姓名</w:t>
            </w:r>
            <w:r>
              <w:rPr>
                <w:b/>
                <w:color w:val="auto"/>
                <w:sz w:val="24"/>
                <w:highlight w:val="none"/>
              </w:rPr>
            </w:r>
            <w:r>
              <w:rPr>
                <w:color w:val="auto"/>
                <w:highlight w:val="none"/>
              </w:rPr>
            </w:r>
          </w:p>
        </w:tc>
        <w:tc>
          <w:tcPr>
            <w:tcW w:w="720" w:type="dxa"/>
            <w:vAlign w:val="center"/>
            <w:textDirection w:val="lrTb"/>
            <w:noWrap w:val="false"/>
          </w:tcPr>
          <w:p>
            <w:pPr>
              <w:pStyle w:val="943"/>
              <w:jc w:val="center"/>
              <w:rPr>
                <w:b/>
                <w:color w:val="auto"/>
                <w:sz w:val="24"/>
                <w:highlight w:val="none"/>
              </w:rPr>
            </w:pPr>
            <w:r>
              <w:rPr>
                <w:rFonts w:hint="eastAsia"/>
                <w:b/>
                <w:color w:val="auto"/>
                <w:sz w:val="24"/>
                <w:highlight w:val="none"/>
              </w:rPr>
              <w:t xml:space="preserve">年龄</w:t>
            </w:r>
            <w:r>
              <w:rPr>
                <w:b/>
                <w:color w:val="auto"/>
                <w:sz w:val="24"/>
                <w:highlight w:val="none"/>
              </w:rPr>
            </w:r>
            <w:r>
              <w:rPr>
                <w:color w:val="auto"/>
                <w:highlight w:val="none"/>
              </w:rPr>
            </w:r>
          </w:p>
        </w:tc>
        <w:tc>
          <w:tcPr>
            <w:tcW w:w="2520" w:type="dxa"/>
            <w:vAlign w:val="center"/>
            <w:textDirection w:val="lrTb"/>
            <w:noWrap w:val="false"/>
          </w:tcPr>
          <w:p>
            <w:pPr>
              <w:pStyle w:val="943"/>
              <w:jc w:val="center"/>
              <w:rPr>
                <w:b/>
                <w:color w:val="auto"/>
                <w:sz w:val="24"/>
                <w:highlight w:val="none"/>
              </w:rPr>
            </w:pPr>
            <w:r>
              <w:rPr>
                <w:rFonts w:hint="eastAsia"/>
                <w:b/>
                <w:color w:val="auto"/>
                <w:sz w:val="24"/>
                <w:highlight w:val="none"/>
              </w:rPr>
              <w:t xml:space="preserve">本项目职责</w:t>
            </w:r>
            <w:r>
              <w:rPr>
                <w:b/>
                <w:color w:val="auto"/>
                <w:sz w:val="24"/>
                <w:highlight w:val="none"/>
              </w:rPr>
            </w:r>
            <w:r>
              <w:rPr>
                <w:color w:val="auto"/>
                <w:highlight w:val="none"/>
              </w:rPr>
            </w:r>
          </w:p>
        </w:tc>
        <w:tc>
          <w:tcPr>
            <w:tcW w:w="3274" w:type="dxa"/>
            <w:vAlign w:val="center"/>
            <w:textDirection w:val="lrTb"/>
            <w:noWrap w:val="false"/>
          </w:tcPr>
          <w:p>
            <w:pPr>
              <w:pStyle w:val="943"/>
              <w:jc w:val="center"/>
              <w:rPr>
                <w:b/>
                <w:color w:val="auto"/>
                <w:sz w:val="24"/>
                <w:highlight w:val="none"/>
              </w:rPr>
            </w:pPr>
            <w:r>
              <w:rPr>
                <w:rFonts w:hint="eastAsia"/>
                <w:b/>
                <w:color w:val="auto"/>
                <w:sz w:val="24"/>
                <w:highlight w:val="none"/>
              </w:rPr>
              <w:t xml:space="preserve">人员证书名称</w:t>
            </w:r>
            <w:r>
              <w:rPr>
                <w:b/>
                <w:color w:val="auto"/>
                <w:sz w:val="24"/>
                <w:highlight w:val="none"/>
              </w:rPr>
            </w:r>
            <w:r>
              <w:rPr>
                <w:color w:val="auto"/>
                <w:highlight w:val="none"/>
              </w:rPr>
            </w:r>
          </w:p>
        </w:tc>
      </w:tr>
      <w:tr>
        <w:trPr>
          <w:trHeight w:val="680"/>
        </w:trPr>
        <w:tc>
          <w:tcPr>
            <w:tcW w:w="70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4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bl>
    <w:p>
      <w:pPr>
        <w:pStyle w:val="943"/>
        <w:rPr>
          <w:b/>
          <w:bCs/>
          <w:color w:val="auto"/>
          <w:sz w:val="24"/>
          <w:szCs w:val="24"/>
          <w:highlight w:val="none"/>
        </w:rPr>
      </w:pPr>
      <w:r>
        <w:rPr>
          <w:rFonts w:hint="eastAsia" w:ascii="黑体" w:eastAsia="黑体"/>
          <w:bCs/>
          <w:color w:val="auto"/>
          <w:sz w:val="24"/>
          <w:szCs w:val="24"/>
          <w:highlight w:val="none"/>
        </w:rPr>
        <w:t xml:space="preserve">投标人名称（盖章）</w:t>
      </w:r>
      <w:r>
        <w:rPr>
          <w:b/>
          <w:bCs/>
          <w:color w:val="auto"/>
          <w:sz w:val="24"/>
          <w:szCs w:val="24"/>
          <w:highlight w:val="none"/>
        </w:rPr>
      </w:r>
      <w:r>
        <w:rPr>
          <w:color w:val="auto"/>
          <w:highlight w:val="none"/>
        </w:rPr>
      </w:r>
    </w:p>
    <w:p>
      <w:pPr>
        <w:pStyle w:val="943"/>
        <w:rPr>
          <w:rFonts w:hint="eastAsia" w:ascii="宋体" w:hAnsi="宋体"/>
          <w:bCs/>
          <w:color w:val="auto"/>
          <w:highlight w:val="none"/>
        </w:rPr>
      </w:pPr>
      <w:r>
        <w:rPr>
          <w:rFonts w:hint="eastAsia" w:ascii="宋体" w:hAnsi="宋体"/>
          <w:bCs/>
          <w:color w:val="auto"/>
          <w:highlight w:val="none"/>
        </w:rPr>
      </w:r>
      <w:r>
        <w:rPr>
          <w:color w:val="auto"/>
          <w:highlight w:val="none"/>
        </w:rPr>
      </w:r>
    </w:p>
    <w:p>
      <w:pPr>
        <w:pStyle w:val="943"/>
        <w:rPr>
          <w:rFonts w:ascii="宋体" w:hAnsi="宋体"/>
          <w:bCs/>
          <w:color w:val="auto"/>
          <w:highlight w:val="none"/>
        </w:rPr>
      </w:pPr>
      <w:r>
        <w:rPr>
          <w:rFonts w:hint="eastAsia" w:ascii="宋体" w:hAnsi="宋体"/>
          <w:bCs/>
          <w:color w:val="auto"/>
          <w:highlight w:val="none"/>
        </w:rPr>
        <w:t xml:space="preserve">注：1. 表格不够可自行延长。</w:t>
      </w:r>
      <w:r>
        <w:rPr>
          <w:rFonts w:ascii="宋体" w:hAnsi="宋体"/>
          <w:bCs/>
          <w:color w:val="auto"/>
          <w:highlight w:val="none"/>
        </w:rPr>
      </w:r>
      <w:r>
        <w:rPr>
          <w:color w:val="auto"/>
          <w:highlight w:val="none"/>
        </w:rPr>
      </w:r>
    </w:p>
    <w:p>
      <w:pPr>
        <w:pStyle w:val="943"/>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w:t>
      </w:r>
      <w:r>
        <w:rPr>
          <w:rFonts w:hint="eastAsia" w:ascii="宋体" w:hAnsi="宋体"/>
          <w:bCs/>
          <w:color w:val="auto"/>
          <w:highlight w:val="none"/>
        </w:rPr>
        <w:t xml:space="preserve">证明</w:t>
      </w:r>
      <w:r>
        <w:rPr>
          <w:rFonts w:hint="eastAsia" w:ascii="宋体" w:hAnsi="宋体"/>
          <w:bCs/>
          <w:color w:val="auto"/>
          <w:highlight w:val="none"/>
        </w:rPr>
        <w:t xml:space="preserve">作为填列证明材料，证明材料请附在本表之后。</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Fonts w:ascii="宋体" w:hAnsi="宋体"/>
      </w:rPr>
      <w:framePr w:wrap="around" w:vAnchor="text" w:hAnchor="margin" w:xAlign="center" w:y="1"/>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１４５</w:t>
    </w:r>
    <w:r>
      <w:rPr>
        <w:rFonts w:ascii="宋体" w:hAnsi="宋体"/>
      </w:rPr>
      <w:fldChar w:fldCharType="end"/>
    </w:r>
    <w:r>
      <w:rPr>
        <w:rStyle w:val="1016"/>
        <w:rFonts w:ascii="宋体" w:hAnsi="宋体"/>
      </w:rPr>
    </w:r>
    <w:r/>
  </w:p>
  <w:p>
    <w:pPr>
      <w:pStyle w:val="99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43"/>
        <w:ind w:left="1080" w:hanging="1080"/>
        <w:tabs>
          <w:tab w:val="num" w:pos="1080" w:leader="none"/>
        </w:tabs>
      </w:pPr>
      <w:rPr>
        <w:rFonts w:hint="eastAsia" w:cs="Times New Roman"/>
      </w:rPr>
    </w:lvl>
    <w:lvl w:ilvl="1">
      <w:start w:val="1"/>
      <w:numFmt w:val="decimal"/>
      <w:isLgl w:val="false"/>
      <w:suff w:val="tab"/>
      <w:lvlText w:val="%2."/>
      <w:lvlJc w:val="left"/>
      <w:pPr>
        <w:pStyle w:val="94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43"/>
        <w:ind w:left="1260" w:hanging="420"/>
        <w:tabs>
          <w:tab w:val="num" w:pos="1260" w:leader="none"/>
        </w:tabs>
      </w:pPr>
      <w:rPr>
        <w:rFonts w:cs="Times New Roman"/>
      </w:rPr>
    </w:lvl>
    <w:lvl w:ilvl="3">
      <w:start w:val="1"/>
      <w:numFmt w:val="decimal"/>
      <w:isLgl w:val="false"/>
      <w:suff w:val="tab"/>
      <w:lvlText w:val="%4."/>
      <w:lvlJc w:val="left"/>
      <w:pPr>
        <w:pStyle w:val="943"/>
        <w:ind w:left="1680" w:hanging="420"/>
        <w:tabs>
          <w:tab w:val="num" w:pos="1680" w:leader="none"/>
        </w:tabs>
      </w:pPr>
      <w:rPr>
        <w:rFonts w:cs="Times New Roman"/>
      </w:rPr>
    </w:lvl>
    <w:lvl w:ilvl="4">
      <w:start w:val="1"/>
      <w:numFmt w:val="lowerLetter"/>
      <w:isLgl w:val="false"/>
      <w:suff w:val="tab"/>
      <w:lvlText w:val="%5)"/>
      <w:lvlJc w:val="left"/>
      <w:pPr>
        <w:pStyle w:val="943"/>
        <w:ind w:left="2100" w:hanging="420"/>
        <w:tabs>
          <w:tab w:val="num" w:pos="2100" w:leader="none"/>
        </w:tabs>
      </w:pPr>
      <w:rPr>
        <w:rFonts w:cs="Times New Roman"/>
      </w:rPr>
    </w:lvl>
    <w:lvl w:ilvl="5">
      <w:start w:val="1"/>
      <w:numFmt w:val="lowerRoman"/>
      <w:isLgl w:val="false"/>
      <w:suff w:val="tab"/>
      <w:lvlText w:val="%6."/>
      <w:lvlJc w:val="right"/>
      <w:pPr>
        <w:pStyle w:val="943"/>
        <w:ind w:left="2520" w:hanging="420"/>
        <w:tabs>
          <w:tab w:val="num" w:pos="2520" w:leader="none"/>
        </w:tabs>
      </w:pPr>
      <w:rPr>
        <w:rFonts w:cs="Times New Roman"/>
      </w:rPr>
    </w:lvl>
    <w:lvl w:ilvl="6">
      <w:start w:val="1"/>
      <w:numFmt w:val="decimal"/>
      <w:isLgl w:val="false"/>
      <w:suff w:val="tab"/>
      <w:lvlText w:val="%7."/>
      <w:lvlJc w:val="left"/>
      <w:pPr>
        <w:pStyle w:val="943"/>
        <w:ind w:left="2940" w:hanging="420"/>
        <w:tabs>
          <w:tab w:val="num" w:pos="2940" w:leader="none"/>
        </w:tabs>
      </w:pPr>
      <w:rPr>
        <w:rFonts w:cs="Times New Roman"/>
      </w:rPr>
    </w:lvl>
    <w:lvl w:ilvl="7">
      <w:start w:val="1"/>
      <w:numFmt w:val="lowerLetter"/>
      <w:isLgl w:val="false"/>
      <w:suff w:val="tab"/>
      <w:lvlText w:val="%8)"/>
      <w:lvlJc w:val="left"/>
      <w:pPr>
        <w:pStyle w:val="943"/>
        <w:ind w:left="3360" w:hanging="420"/>
        <w:tabs>
          <w:tab w:val="num" w:pos="3360" w:leader="none"/>
        </w:tabs>
      </w:pPr>
      <w:rPr>
        <w:rFonts w:cs="Times New Roman"/>
      </w:rPr>
    </w:lvl>
    <w:lvl w:ilvl="8">
      <w:start w:val="1"/>
      <w:numFmt w:val="lowerRoman"/>
      <w:isLgl w:val="false"/>
      <w:suff w:val="tab"/>
      <w:lvlText w:val="%9."/>
      <w:lvlJc w:val="right"/>
      <w:pPr>
        <w:pStyle w:val="94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943"/>
        <w:ind w:left="1265" w:hanging="425"/>
        <w:tabs>
          <w:tab w:val="left" w:pos="84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3">
    <w:multiLevelType w:val="hybridMultilevel"/>
    <w:lvl w:ilvl="0">
      <w:start w:val="1"/>
      <w:numFmt w:val="upperLetter"/>
      <w:pStyle w:val="1023"/>
      <w:isLgl w:val="false"/>
      <w:suff w:val="tab"/>
      <w:lvlText w:val="附录%1."/>
      <w:lvlJc w:val="left"/>
      <w:pPr>
        <w:pStyle w:val="9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5">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7">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8">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
      <w:lvlJc w:val="left"/>
      <w:pPr>
        <w:pStyle w:val="943"/>
        <w:ind w:left="1260" w:hanging="420"/>
        <w:tabs>
          <w:tab w:val="left" w:pos="1260" w:leader="none"/>
        </w:tabs>
      </w:pPr>
      <w:rPr>
        <w:rFonts w:ascii="Wingdings" w:hAnsi="Wingdings"/>
      </w:rPr>
    </w:lvl>
    <w:lvl w:ilvl="2">
      <w:start w:val="1"/>
      <w:numFmt w:val="bullet"/>
      <w:isLgl w:val="false"/>
      <w:suff w:val="tab"/>
      <w:lvlText w:val=""/>
      <w:lvlJc w:val="left"/>
      <w:pPr>
        <w:pStyle w:val="943"/>
        <w:ind w:left="1680" w:hanging="420"/>
        <w:tabs>
          <w:tab w:val="left" w:pos="1680" w:leader="none"/>
        </w:tabs>
      </w:pPr>
      <w:rPr>
        <w:rFonts w:ascii="Wingdings" w:hAnsi="Wingdings"/>
      </w:rPr>
    </w:lvl>
    <w:lvl w:ilvl="3">
      <w:start w:val="1"/>
      <w:numFmt w:val="bullet"/>
      <w:isLgl w:val="false"/>
      <w:suff w:val="tab"/>
      <w:lvlText w:val=""/>
      <w:lvlJc w:val="left"/>
      <w:pPr>
        <w:pStyle w:val="943"/>
        <w:ind w:left="2100" w:hanging="420"/>
        <w:tabs>
          <w:tab w:val="left" w:pos="2100" w:leader="none"/>
        </w:tabs>
      </w:pPr>
      <w:rPr>
        <w:rFonts w:ascii="Wingdings" w:hAnsi="Wingdings"/>
      </w:rPr>
    </w:lvl>
    <w:lvl w:ilvl="4">
      <w:start w:val="1"/>
      <w:numFmt w:val="bullet"/>
      <w:isLgl w:val="false"/>
      <w:suff w:val="tab"/>
      <w:lvlText w:val=""/>
      <w:lvlJc w:val="left"/>
      <w:pPr>
        <w:pStyle w:val="943"/>
        <w:ind w:left="2520" w:hanging="420"/>
        <w:tabs>
          <w:tab w:val="left" w:pos="2520" w:leader="none"/>
        </w:tabs>
      </w:pPr>
      <w:rPr>
        <w:rFonts w:ascii="Wingdings" w:hAnsi="Wingdings"/>
      </w:rPr>
    </w:lvl>
    <w:lvl w:ilvl="5">
      <w:start w:val="1"/>
      <w:numFmt w:val="bullet"/>
      <w:isLgl w:val="false"/>
      <w:suff w:val="tab"/>
      <w:lvlText w:val=""/>
      <w:lvlJc w:val="left"/>
      <w:pPr>
        <w:pStyle w:val="943"/>
        <w:ind w:left="2940" w:hanging="420"/>
        <w:tabs>
          <w:tab w:val="left" w:pos="2940" w:leader="none"/>
        </w:tabs>
      </w:pPr>
      <w:rPr>
        <w:rFonts w:ascii="Wingdings" w:hAnsi="Wingdings"/>
      </w:rPr>
    </w:lvl>
    <w:lvl w:ilvl="6">
      <w:start w:val="1"/>
      <w:numFmt w:val="bullet"/>
      <w:isLgl w:val="false"/>
      <w:suff w:val="tab"/>
      <w:lvlText w:val=""/>
      <w:lvlJc w:val="left"/>
      <w:pPr>
        <w:pStyle w:val="943"/>
        <w:ind w:left="3360" w:hanging="420"/>
        <w:tabs>
          <w:tab w:val="left" w:pos="3360" w:leader="none"/>
        </w:tabs>
      </w:pPr>
      <w:rPr>
        <w:rFonts w:ascii="Wingdings" w:hAnsi="Wingdings"/>
      </w:rPr>
    </w:lvl>
    <w:lvl w:ilvl="7">
      <w:start w:val="1"/>
      <w:numFmt w:val="bullet"/>
      <w:isLgl w:val="false"/>
      <w:suff w:val="tab"/>
      <w:lvlText w:val=""/>
      <w:lvlJc w:val="left"/>
      <w:pPr>
        <w:pStyle w:val="943"/>
        <w:ind w:left="3780" w:hanging="420"/>
        <w:tabs>
          <w:tab w:val="left" w:pos="3780" w:leader="none"/>
        </w:tabs>
      </w:pPr>
      <w:rPr>
        <w:rFonts w:ascii="Wingdings" w:hAnsi="Wingdings"/>
      </w:rPr>
    </w:lvl>
    <w:lvl w:ilvl="8">
      <w:start w:val="1"/>
      <w:numFmt w:val="bullet"/>
      <w:isLgl w:val="false"/>
      <w:suff w:val="tab"/>
      <w:lvlText w:val=""/>
      <w:lvlJc w:val="left"/>
      <w:pPr>
        <w:pStyle w:val="943"/>
        <w:ind w:left="4200" w:hanging="420"/>
        <w:tabs>
          <w:tab w:val="left" w:pos="4200" w:leader="none"/>
        </w:tabs>
      </w:pPr>
      <w:rPr>
        <w:rFonts w:ascii="Wingdings" w:hAnsi="Wingdings"/>
      </w:rPr>
    </w:lvl>
  </w:abstractNum>
  <w:abstractNum w:abstractNumId="19">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0">
    <w:multiLevelType w:val="hybridMultilevel"/>
    <w:lvl w:ilvl="0">
      <w:start w:val="1"/>
      <w:numFmt w:val="japaneseCounting"/>
      <w:isLgl w:val="false"/>
      <w:suff w:val="tab"/>
      <w:lvlText w:val="（%1）"/>
      <w:lvlJc w:val="left"/>
      <w:pPr>
        <w:pStyle w:val="943"/>
        <w:ind w:left="1080" w:hanging="1080"/>
        <w:tabs>
          <w:tab w:val="num" w:pos="1080" w:leader="none"/>
        </w:tabs>
      </w:pPr>
      <w:rPr>
        <w:rFonts w:hint="eastAsia" w:cs="Times New Roman"/>
      </w:rPr>
    </w:lvl>
    <w:lvl w:ilvl="1">
      <w:start w:val="1"/>
      <w:numFmt w:val="decimal"/>
      <w:isLgl w:val="false"/>
      <w:suff w:val="tab"/>
      <w:lvlText w:val="%2."/>
      <w:lvlJc w:val="left"/>
      <w:pPr>
        <w:pStyle w:val="94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43"/>
        <w:ind w:left="1260" w:hanging="420"/>
        <w:tabs>
          <w:tab w:val="num" w:pos="1260" w:leader="none"/>
        </w:tabs>
      </w:pPr>
      <w:rPr>
        <w:rFonts w:cs="Times New Roman"/>
      </w:rPr>
    </w:lvl>
    <w:lvl w:ilvl="3">
      <w:start w:val="1"/>
      <w:numFmt w:val="decimal"/>
      <w:isLgl w:val="false"/>
      <w:suff w:val="tab"/>
      <w:lvlText w:val="%4."/>
      <w:lvlJc w:val="left"/>
      <w:pPr>
        <w:pStyle w:val="943"/>
        <w:ind w:left="1680" w:hanging="420"/>
        <w:tabs>
          <w:tab w:val="num" w:pos="1680" w:leader="none"/>
        </w:tabs>
      </w:pPr>
      <w:rPr>
        <w:rFonts w:cs="Times New Roman"/>
      </w:rPr>
    </w:lvl>
    <w:lvl w:ilvl="4">
      <w:start w:val="1"/>
      <w:numFmt w:val="lowerLetter"/>
      <w:isLgl w:val="false"/>
      <w:suff w:val="tab"/>
      <w:lvlText w:val="%5)"/>
      <w:lvlJc w:val="left"/>
      <w:pPr>
        <w:pStyle w:val="943"/>
        <w:ind w:left="2100" w:hanging="420"/>
        <w:tabs>
          <w:tab w:val="num" w:pos="2100" w:leader="none"/>
        </w:tabs>
      </w:pPr>
      <w:rPr>
        <w:rFonts w:cs="Times New Roman"/>
      </w:rPr>
    </w:lvl>
    <w:lvl w:ilvl="5">
      <w:start w:val="1"/>
      <w:numFmt w:val="lowerRoman"/>
      <w:isLgl w:val="false"/>
      <w:suff w:val="tab"/>
      <w:lvlText w:val="%6."/>
      <w:lvlJc w:val="right"/>
      <w:pPr>
        <w:pStyle w:val="943"/>
        <w:ind w:left="2520" w:hanging="420"/>
        <w:tabs>
          <w:tab w:val="num" w:pos="2520" w:leader="none"/>
        </w:tabs>
      </w:pPr>
      <w:rPr>
        <w:rFonts w:cs="Times New Roman"/>
      </w:rPr>
    </w:lvl>
    <w:lvl w:ilvl="6">
      <w:start w:val="1"/>
      <w:numFmt w:val="decimal"/>
      <w:isLgl w:val="false"/>
      <w:suff w:val="tab"/>
      <w:lvlText w:val="%7."/>
      <w:lvlJc w:val="left"/>
      <w:pPr>
        <w:pStyle w:val="943"/>
        <w:ind w:left="2940" w:hanging="420"/>
        <w:tabs>
          <w:tab w:val="num" w:pos="2940" w:leader="none"/>
        </w:tabs>
      </w:pPr>
      <w:rPr>
        <w:rFonts w:cs="Times New Roman"/>
      </w:rPr>
    </w:lvl>
    <w:lvl w:ilvl="7">
      <w:start w:val="1"/>
      <w:numFmt w:val="lowerLetter"/>
      <w:isLgl w:val="false"/>
      <w:suff w:val="tab"/>
      <w:lvlText w:val="%8)"/>
      <w:lvlJc w:val="left"/>
      <w:pPr>
        <w:pStyle w:val="943"/>
        <w:ind w:left="3360" w:hanging="420"/>
        <w:tabs>
          <w:tab w:val="num" w:pos="3360" w:leader="none"/>
        </w:tabs>
      </w:pPr>
      <w:rPr>
        <w:rFonts w:cs="Times New Roman"/>
      </w:rPr>
    </w:lvl>
    <w:lvl w:ilvl="8">
      <w:start w:val="1"/>
      <w:numFmt w:val="lowerRoman"/>
      <w:isLgl w:val="false"/>
      <w:suff w:val="tab"/>
      <w:lvlText w:val="%9."/>
      <w:lvlJc w:val="right"/>
      <w:pPr>
        <w:pStyle w:val="943"/>
        <w:ind w:left="3780" w:hanging="420"/>
        <w:tabs>
          <w:tab w:val="num" w:pos="3780" w:leader="none"/>
        </w:tabs>
      </w:pPr>
      <w:rPr>
        <w:rFonts w:cs="Times New Roman"/>
      </w:rPr>
    </w:lvl>
  </w:abstractNum>
  <w:abstractNum w:abstractNumId="21">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3">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4">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6">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29">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0">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1">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4">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5">
    <w:multiLevelType w:val="hybridMultilevel"/>
    <w:lvl w:ilvl="0">
      <w:start w:val="1"/>
      <w:numFmt w:val="decimal"/>
      <w:isLgl w:val="false"/>
      <w:suff w:val="tab"/>
      <w:lvlText w:val="%1)"/>
      <w:lvlJc w:val="left"/>
      <w:pPr>
        <w:pStyle w:val="943"/>
        <w:ind w:left="1265" w:hanging="425"/>
        <w:tabs>
          <w:tab w:val="left" w:pos="84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7">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8">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39">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0">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1">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4">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6">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7">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8">
    <w:multiLevelType w:val="hybridMultilevel"/>
    <w:lvl w:ilvl="0">
      <w:start w:val="1"/>
      <w:numFmt w:val="decimal"/>
      <w:isLgl w:val="false"/>
      <w:suff w:val="tab"/>
      <w:lvlText w:val="%1)"/>
      <w:lvlJc w:val="left"/>
      <w:pPr>
        <w:pStyle w:val="943"/>
        <w:ind w:left="1265" w:hanging="425"/>
        <w:tabs>
          <w:tab w:val="left" w:pos="84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49">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0">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1">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4">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7">
    <w:multiLevelType w:val="hybridMultilevel"/>
    <w:lvl w:ilvl="0">
      <w:start w:val="1"/>
      <w:numFmt w:val="decimal"/>
      <w:isLgl w:val="false"/>
      <w:suff w:val="tab"/>
      <w:lvlText w:val="%1)"/>
      <w:lvlJc w:val="left"/>
      <w:pPr>
        <w:pStyle w:val="943"/>
        <w:ind w:left="1265" w:hanging="425"/>
        <w:tabs>
          <w:tab w:val="left" w:pos="84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8">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9">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0">
    <w:multiLevelType w:val="hybridMultilevel"/>
    <w:lvl w:ilvl="0">
      <w:start w:val="1"/>
      <w:numFmt w:val="bullet"/>
      <w:isLgl w:val="false"/>
      <w:suff w:val="tab"/>
      <w:lvlText w:val=""/>
      <w:lvlJc w:val="left"/>
      <w:pPr>
        <w:pStyle w:val="943"/>
        <w:ind w:left="1680" w:hanging="420"/>
        <w:tabs>
          <w:tab w:val="left" w:pos="126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1">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4">
    <w:multiLevelType w:val="hybridMultilevel"/>
    <w:lvl w:ilvl="0">
      <w:start w:val="1"/>
      <w:numFmt w:val="decimal"/>
      <w:pStyle w:val="1040"/>
      <w:isLgl w:val="false"/>
      <w:suff w:val="tab"/>
      <w:lvlText w:val="%1."/>
      <w:lvlJc w:val="left"/>
      <w:pPr>
        <w:pStyle w:val="943"/>
        <w:ind w:left="709" w:hanging="709"/>
        <w:tabs>
          <w:tab w:val="num" w:pos="709" w:leader="none"/>
        </w:tabs>
      </w:pPr>
      <w:rPr>
        <w:rFonts w:hint="eastAsia"/>
      </w:rPr>
    </w:lvl>
    <w:lvl w:ilvl="1">
      <w:start w:val="1"/>
      <w:numFmt w:val="decimal"/>
      <w:isLgl w:val="false"/>
      <w:suff w:val="tab"/>
      <w:lvlText w:val="%1.%2"/>
      <w:lvlJc w:val="left"/>
      <w:pPr>
        <w:pStyle w:val="943"/>
        <w:ind w:left="709" w:hanging="709"/>
        <w:tabs>
          <w:tab w:val="num" w:pos="709" w:leader="none"/>
        </w:tabs>
      </w:pPr>
      <w:rPr>
        <w:rFonts w:hint="eastAsia"/>
      </w:rPr>
    </w:lvl>
    <w:lvl w:ilvl="2">
      <w:start w:val="1"/>
      <w:numFmt w:val="decimal"/>
      <w:isLgl w:val="false"/>
      <w:suff w:val="tab"/>
      <w:lvlText w:val="%1.%2.%3."/>
      <w:lvlJc w:val="left"/>
      <w:pPr>
        <w:pStyle w:val="943"/>
        <w:ind w:left="425" w:hanging="425"/>
        <w:tabs>
          <w:tab w:val="num" w:pos="425" w:leader="none"/>
        </w:tabs>
      </w:pPr>
      <w:rPr>
        <w:rFonts w:hint="eastAsia"/>
      </w:rPr>
    </w:lvl>
    <w:lvl w:ilvl="3">
      <w:start w:val="1"/>
      <w:numFmt w:val="decimal"/>
      <w:isLgl w:val="false"/>
      <w:suff w:val="tab"/>
      <w:lvlText w:val="%1.%2.%3.%4."/>
      <w:lvlJc w:val="left"/>
      <w:pPr>
        <w:pStyle w:val="943"/>
        <w:ind w:left="851" w:hanging="851"/>
        <w:tabs>
          <w:tab w:val="num" w:pos="851" w:leader="none"/>
        </w:tabs>
      </w:pPr>
      <w:rPr>
        <w:rFonts w:hint="eastAsia"/>
      </w:rPr>
    </w:lvl>
    <w:lvl w:ilvl="4">
      <w:start w:val="1"/>
      <w:numFmt w:val="decimal"/>
      <w:isLgl w:val="false"/>
      <w:suff w:val="tab"/>
      <w:lvlText w:val="%1.%2.%3.%4.%5."/>
      <w:lvlJc w:val="left"/>
      <w:pPr>
        <w:pStyle w:val="943"/>
        <w:ind w:left="992" w:hanging="992"/>
        <w:tabs>
          <w:tab w:val="num" w:pos="992" w:leader="none"/>
        </w:tabs>
      </w:pPr>
      <w:rPr>
        <w:rFonts w:hint="eastAsia"/>
      </w:rPr>
    </w:lvl>
    <w:lvl w:ilvl="5">
      <w:start w:val="1"/>
      <w:numFmt w:val="decimal"/>
      <w:isLgl w:val="false"/>
      <w:suff w:val="tab"/>
      <w:lvlText w:val="%1.%2.%3.%4.%5.%6."/>
      <w:lvlJc w:val="left"/>
      <w:pPr>
        <w:pStyle w:val="943"/>
        <w:ind w:left="1134" w:hanging="1134"/>
        <w:tabs>
          <w:tab w:val="num" w:pos="1134" w:leader="none"/>
        </w:tabs>
      </w:pPr>
      <w:rPr>
        <w:rFonts w:hint="eastAsia"/>
      </w:rPr>
    </w:lvl>
    <w:lvl w:ilvl="6">
      <w:start w:val="1"/>
      <w:numFmt w:val="decimal"/>
      <w:isLgl w:val="false"/>
      <w:suff w:val="tab"/>
      <w:lvlText w:val="%1.%2.%3.%4.%5.%6.%7."/>
      <w:lvlJc w:val="left"/>
      <w:pPr>
        <w:pStyle w:val="943"/>
        <w:ind w:left="1276" w:hanging="1276"/>
        <w:tabs>
          <w:tab w:val="num" w:pos="1276" w:leader="none"/>
        </w:tabs>
      </w:pPr>
      <w:rPr>
        <w:rFonts w:hint="eastAsia"/>
      </w:rPr>
    </w:lvl>
    <w:lvl w:ilvl="7">
      <w:start w:val="1"/>
      <w:numFmt w:val="decimal"/>
      <w:isLgl w:val="false"/>
      <w:suff w:val="tab"/>
      <w:lvlText w:val="%1.%2.%3.%4.%5.%6.%7.%8."/>
      <w:lvlJc w:val="left"/>
      <w:pPr>
        <w:pStyle w:val="943"/>
        <w:ind w:left="1418" w:hanging="1418"/>
        <w:tabs>
          <w:tab w:val="num" w:pos="1418" w:leader="none"/>
        </w:tabs>
      </w:pPr>
      <w:rPr>
        <w:rFonts w:hint="eastAsia"/>
      </w:rPr>
    </w:lvl>
    <w:lvl w:ilvl="8">
      <w:start w:val="1"/>
      <w:numFmt w:val="decimal"/>
      <w:isLgl w:val="false"/>
      <w:suff w:val="tab"/>
      <w:lvlText w:val="%1.%2.%3.%4.%5.%6.%7.%8.%9."/>
      <w:lvlJc w:val="left"/>
      <w:pPr>
        <w:pStyle w:val="943"/>
        <w:ind w:left="1559" w:hanging="1559"/>
        <w:tabs>
          <w:tab w:val="num" w:pos="1559" w:leader="none"/>
        </w:tabs>
      </w:pPr>
      <w:rPr>
        <w:rFonts w:hint="eastAsia"/>
      </w:rPr>
    </w:lvl>
  </w:abstractNum>
  <w:abstractNum w:abstractNumId="65">
    <w:multiLevelType w:val="hybridMultilevel"/>
    <w:lvl w:ilvl="0">
      <w:start w:val="1"/>
      <w:numFmt w:val="decimal"/>
      <w:isLgl w:val="false"/>
      <w:suff w:val="tab"/>
      <w:lvlText w:val="%1)"/>
      <w:lvlJc w:val="left"/>
      <w:pPr>
        <w:pStyle w:val="943"/>
        <w:ind w:left="1685" w:hanging="425"/>
        <w:tabs>
          <w:tab w:val="left" w:pos="126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7">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8">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69">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0">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
      <w:lvlJc w:val="left"/>
      <w:pPr>
        <w:pStyle w:val="943"/>
        <w:ind w:left="1260" w:hanging="420"/>
        <w:tabs>
          <w:tab w:val="left" w:pos="840" w:leader="none"/>
        </w:tabs>
      </w:pPr>
      <w:rPr>
        <w:rFonts w:ascii="Wingdings" w:hAnsi="Wingdings"/>
      </w:rPr>
    </w:lvl>
    <w:lvl w:ilvl="2">
      <w:start w:val="1"/>
      <w:numFmt w:val="bullet"/>
      <w:isLgl w:val="false"/>
      <w:suff w:val="tab"/>
      <w:lvlText w:val=""/>
      <w:lvlJc w:val="left"/>
      <w:pPr>
        <w:pStyle w:val="943"/>
        <w:ind w:left="1680" w:hanging="420"/>
        <w:tabs>
          <w:tab w:val="left" w:pos="1260" w:leader="none"/>
        </w:tabs>
      </w:pPr>
      <w:rPr>
        <w:rFonts w:ascii="Wingdings" w:hAnsi="Wingdings"/>
      </w:rPr>
    </w:lvl>
    <w:lvl w:ilvl="3">
      <w:start w:val="1"/>
      <w:numFmt w:val="bullet"/>
      <w:isLgl w:val="false"/>
      <w:suff w:val="tab"/>
      <w:lvlText w:val=""/>
      <w:lvlJc w:val="left"/>
      <w:pPr>
        <w:pStyle w:val="943"/>
        <w:ind w:left="2100" w:hanging="420"/>
        <w:tabs>
          <w:tab w:val="left" w:pos="1680" w:leader="none"/>
        </w:tabs>
      </w:pPr>
      <w:rPr>
        <w:rFonts w:ascii="Wingdings" w:hAnsi="Wingdings"/>
      </w:rPr>
    </w:lvl>
    <w:lvl w:ilvl="4">
      <w:start w:val="1"/>
      <w:numFmt w:val="bullet"/>
      <w:isLgl w:val="false"/>
      <w:suff w:val="tab"/>
      <w:lvlText w:val=""/>
      <w:lvlJc w:val="left"/>
      <w:pPr>
        <w:pStyle w:val="943"/>
        <w:ind w:left="2520" w:hanging="420"/>
        <w:tabs>
          <w:tab w:val="left" w:pos="2100" w:leader="none"/>
        </w:tabs>
      </w:pPr>
      <w:rPr>
        <w:rFonts w:ascii="Wingdings" w:hAnsi="Wingdings"/>
      </w:rPr>
    </w:lvl>
    <w:lvl w:ilvl="5">
      <w:start w:val="1"/>
      <w:numFmt w:val="bullet"/>
      <w:isLgl w:val="false"/>
      <w:suff w:val="tab"/>
      <w:lvlText w:val=""/>
      <w:lvlJc w:val="left"/>
      <w:pPr>
        <w:pStyle w:val="943"/>
        <w:ind w:left="2940" w:hanging="420"/>
        <w:tabs>
          <w:tab w:val="left" w:pos="2520" w:leader="none"/>
        </w:tabs>
      </w:pPr>
      <w:rPr>
        <w:rFonts w:ascii="Wingdings" w:hAnsi="Wingdings"/>
      </w:rPr>
    </w:lvl>
    <w:lvl w:ilvl="6">
      <w:start w:val="1"/>
      <w:numFmt w:val="bullet"/>
      <w:isLgl w:val="false"/>
      <w:suff w:val="tab"/>
      <w:lvlText w:val=""/>
      <w:lvlJc w:val="left"/>
      <w:pPr>
        <w:pStyle w:val="943"/>
        <w:ind w:left="3360" w:hanging="420"/>
        <w:tabs>
          <w:tab w:val="left" w:pos="2940" w:leader="none"/>
        </w:tabs>
      </w:pPr>
      <w:rPr>
        <w:rFonts w:ascii="Wingdings" w:hAnsi="Wingdings"/>
      </w:rPr>
    </w:lvl>
    <w:lvl w:ilvl="7">
      <w:start w:val="1"/>
      <w:numFmt w:val="bullet"/>
      <w:isLgl w:val="false"/>
      <w:suff w:val="tab"/>
      <w:lvlText w:val=""/>
      <w:lvlJc w:val="left"/>
      <w:pPr>
        <w:pStyle w:val="943"/>
        <w:ind w:left="3780" w:hanging="420"/>
        <w:tabs>
          <w:tab w:val="left" w:pos="3360" w:leader="none"/>
        </w:tabs>
      </w:pPr>
      <w:rPr>
        <w:rFonts w:ascii="Wingdings" w:hAnsi="Wingdings"/>
      </w:rPr>
    </w:lvl>
    <w:lvl w:ilvl="8">
      <w:start w:val="1"/>
      <w:numFmt w:val="bullet"/>
      <w:isLgl w:val="false"/>
      <w:suff w:val="tab"/>
      <w:lvlText w:val=""/>
      <w:lvlJc w:val="left"/>
      <w:pPr>
        <w:pStyle w:val="943"/>
        <w:ind w:left="4200" w:hanging="420"/>
        <w:tabs>
          <w:tab w:val="left" w:pos="3780" w:leader="none"/>
        </w:tabs>
      </w:pPr>
      <w:rPr>
        <w:rFonts w:ascii="Wingdings" w:hAnsi="Wingdings"/>
      </w:rPr>
    </w:lvl>
  </w:abstractNum>
  <w:abstractNum w:abstractNumId="71">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2">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4">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5">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7">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8">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79">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0">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1">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4">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
      <w:lvlJc w:val="left"/>
      <w:pPr>
        <w:pStyle w:val="943"/>
        <w:ind w:left="1260" w:hanging="420"/>
        <w:tabs>
          <w:tab w:val="left" w:pos="840" w:leader="none"/>
        </w:tabs>
      </w:pPr>
      <w:rPr>
        <w:rFonts w:ascii="Wingdings" w:hAnsi="Wingdings"/>
      </w:rPr>
    </w:lvl>
    <w:lvl w:ilvl="2">
      <w:start w:val="1"/>
      <w:numFmt w:val="bullet"/>
      <w:isLgl w:val="false"/>
      <w:suff w:val="tab"/>
      <w:lvlText w:val=""/>
      <w:lvlJc w:val="left"/>
      <w:pPr>
        <w:pStyle w:val="943"/>
        <w:ind w:left="1680" w:hanging="420"/>
        <w:tabs>
          <w:tab w:val="left" w:pos="1260" w:leader="none"/>
        </w:tabs>
      </w:pPr>
      <w:rPr>
        <w:rFonts w:ascii="Wingdings" w:hAnsi="Wingdings"/>
      </w:rPr>
    </w:lvl>
    <w:lvl w:ilvl="3">
      <w:start w:val="1"/>
      <w:numFmt w:val="bullet"/>
      <w:isLgl w:val="false"/>
      <w:suff w:val="tab"/>
      <w:lvlText w:val=""/>
      <w:lvlJc w:val="left"/>
      <w:pPr>
        <w:pStyle w:val="943"/>
        <w:ind w:left="2100" w:hanging="420"/>
        <w:tabs>
          <w:tab w:val="left" w:pos="1680" w:leader="none"/>
        </w:tabs>
      </w:pPr>
      <w:rPr>
        <w:rFonts w:ascii="Wingdings" w:hAnsi="Wingdings"/>
      </w:rPr>
    </w:lvl>
    <w:lvl w:ilvl="4">
      <w:start w:val="1"/>
      <w:numFmt w:val="bullet"/>
      <w:isLgl w:val="false"/>
      <w:suff w:val="tab"/>
      <w:lvlText w:val=""/>
      <w:lvlJc w:val="left"/>
      <w:pPr>
        <w:pStyle w:val="943"/>
        <w:ind w:left="2520" w:hanging="420"/>
        <w:tabs>
          <w:tab w:val="left" w:pos="2100" w:leader="none"/>
        </w:tabs>
      </w:pPr>
      <w:rPr>
        <w:rFonts w:ascii="Wingdings" w:hAnsi="Wingdings"/>
      </w:rPr>
    </w:lvl>
    <w:lvl w:ilvl="5">
      <w:start w:val="1"/>
      <w:numFmt w:val="bullet"/>
      <w:isLgl w:val="false"/>
      <w:suff w:val="tab"/>
      <w:lvlText w:val=""/>
      <w:lvlJc w:val="left"/>
      <w:pPr>
        <w:pStyle w:val="943"/>
        <w:ind w:left="2940" w:hanging="420"/>
        <w:tabs>
          <w:tab w:val="left" w:pos="2520" w:leader="none"/>
        </w:tabs>
      </w:pPr>
      <w:rPr>
        <w:rFonts w:ascii="Wingdings" w:hAnsi="Wingdings"/>
      </w:rPr>
    </w:lvl>
    <w:lvl w:ilvl="6">
      <w:start w:val="1"/>
      <w:numFmt w:val="bullet"/>
      <w:isLgl w:val="false"/>
      <w:suff w:val="tab"/>
      <w:lvlText w:val=""/>
      <w:lvlJc w:val="left"/>
      <w:pPr>
        <w:pStyle w:val="943"/>
        <w:ind w:left="3360" w:hanging="420"/>
        <w:tabs>
          <w:tab w:val="left" w:pos="2940" w:leader="none"/>
        </w:tabs>
      </w:pPr>
      <w:rPr>
        <w:rFonts w:ascii="Wingdings" w:hAnsi="Wingdings"/>
      </w:rPr>
    </w:lvl>
    <w:lvl w:ilvl="7">
      <w:start w:val="1"/>
      <w:numFmt w:val="bullet"/>
      <w:isLgl w:val="false"/>
      <w:suff w:val="tab"/>
      <w:lvlText w:val=""/>
      <w:lvlJc w:val="left"/>
      <w:pPr>
        <w:pStyle w:val="943"/>
        <w:ind w:left="3780" w:hanging="420"/>
        <w:tabs>
          <w:tab w:val="left" w:pos="3360" w:leader="none"/>
        </w:tabs>
      </w:pPr>
      <w:rPr>
        <w:rFonts w:ascii="Wingdings" w:hAnsi="Wingdings"/>
      </w:rPr>
    </w:lvl>
    <w:lvl w:ilvl="8">
      <w:start w:val="1"/>
      <w:numFmt w:val="bullet"/>
      <w:isLgl w:val="false"/>
      <w:suff w:val="tab"/>
      <w:lvlText w:val=""/>
      <w:lvlJc w:val="left"/>
      <w:pPr>
        <w:pStyle w:val="943"/>
        <w:ind w:left="4200" w:hanging="420"/>
        <w:tabs>
          <w:tab w:val="left" w:pos="3780" w:leader="none"/>
        </w:tabs>
      </w:pPr>
      <w:rPr>
        <w:rFonts w:ascii="Wingdings" w:hAnsi="Wingdings"/>
      </w:rPr>
    </w:lvl>
  </w:abstractNum>
  <w:abstractNum w:abstractNumId="85">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6">
    <w:multiLevelType w:val="hybridMultilevel"/>
    <w:lvl w:ilvl="0">
      <w:start w:val="1"/>
      <w:numFmt w:val="chineseCountingThousand"/>
      <w:isLgl w:val="false"/>
      <w:suff w:val="nothing"/>
      <w:lvlText w:val="第%1章 "/>
      <w:lvlJc w:val="left"/>
      <w:pPr>
        <w:pStyle w:val="943"/>
        <w:ind w:left="0" w:firstLine="0"/>
      </w:pPr>
      <w:rPr>
        <w:rFonts w:hint="eastAsia"/>
      </w:rPr>
    </w:lvl>
    <w:lvl w:ilvl="1">
      <w:start w:val="1"/>
      <w:numFmt w:val="decimal"/>
      <w:isLgl w:val="false"/>
      <w:suff w:val="nothing"/>
      <w:lvlText w:val="%2、"/>
      <w:lvlJc w:val="left"/>
      <w:pPr>
        <w:pStyle w:val="943"/>
        <w:ind w:left="0" w:firstLine="0"/>
      </w:pPr>
      <w:rPr>
        <w:rFonts w:hint="eastAsia"/>
      </w:rPr>
    </w:lvl>
    <w:lvl w:ilvl="2">
      <w:start w:val="1"/>
      <w:numFmt w:val="decimal"/>
      <w:isLgl w:val="false"/>
      <w:suff w:val="nothing"/>
      <w:lvlText w:val="%2.%3 "/>
      <w:lvlJc w:val="left"/>
      <w:pPr>
        <w:pStyle w:val="943"/>
        <w:ind w:left="0" w:firstLine="0"/>
      </w:pPr>
      <w:rPr>
        <w:rFonts w:hint="eastAsia"/>
      </w:rPr>
    </w:lvl>
    <w:lvl w:ilvl="3">
      <w:start w:val="1"/>
      <w:numFmt w:val="decimal"/>
      <w:isLgl w:val="false"/>
      <w:suff w:val="nothing"/>
      <w:lvlText w:val="%2.%3.%4 "/>
      <w:lvlJc w:val="left"/>
      <w:pPr>
        <w:pStyle w:val="943"/>
        <w:ind w:left="0" w:firstLine="0"/>
      </w:pPr>
      <w:rPr>
        <w:rFonts w:hint="eastAsia"/>
      </w:rPr>
    </w:lvl>
    <w:lvl w:ilvl="4">
      <w:start w:val="1"/>
      <w:numFmt w:val="decimal"/>
      <w:isLgl w:val="false"/>
      <w:suff w:val="nothing"/>
      <w:lvlText w:val="%2.%3.%4.%5 "/>
      <w:lvlJc w:val="left"/>
      <w:pPr>
        <w:pStyle w:val="943"/>
        <w:ind w:left="0" w:firstLine="0"/>
      </w:pPr>
      <w:rPr>
        <w:rFonts w:hint="eastAsia"/>
      </w:rPr>
    </w:lvl>
    <w:lvl w:ilvl="5">
      <w:start w:val="1"/>
      <w:numFmt w:val="decimal"/>
      <w:pStyle w:val="949"/>
      <w:isLgl w:val="false"/>
      <w:suff w:val="nothing"/>
      <w:lvlText w:val=""/>
      <w:lvlJc w:val="left"/>
      <w:pPr>
        <w:pStyle w:val="943"/>
        <w:ind w:left="0" w:firstLine="0"/>
      </w:pPr>
      <w:rPr>
        <w:rFonts w:hint="eastAsia"/>
      </w:rPr>
    </w:lvl>
    <w:lvl w:ilvl="6">
      <w:start w:val="1"/>
      <w:numFmt w:val="decimal"/>
      <w:pStyle w:val="950"/>
      <w:isLgl w:val="false"/>
      <w:suff w:val="nothing"/>
      <w:lvlText w:val=""/>
      <w:lvlJc w:val="left"/>
      <w:pPr>
        <w:pStyle w:val="943"/>
        <w:ind w:left="0" w:firstLine="0"/>
      </w:pPr>
      <w:rPr>
        <w:rFonts w:hint="eastAsia"/>
      </w:rPr>
    </w:lvl>
    <w:lvl w:ilvl="7">
      <w:start w:val="1"/>
      <w:numFmt w:val="decimal"/>
      <w:pStyle w:val="951"/>
      <w:isLgl w:val="false"/>
      <w:suff w:val="nothing"/>
      <w:lvlText w:val=""/>
      <w:lvlJc w:val="left"/>
      <w:pPr>
        <w:pStyle w:val="943"/>
        <w:ind w:left="0" w:firstLine="0"/>
      </w:pPr>
      <w:rPr>
        <w:rFonts w:hint="eastAsia"/>
      </w:rPr>
    </w:lvl>
    <w:lvl w:ilvl="8">
      <w:start w:val="1"/>
      <w:numFmt w:val="decimal"/>
      <w:pStyle w:val="952"/>
      <w:isLgl w:val="false"/>
      <w:suff w:val="nothing"/>
      <w:lvlText w:val=""/>
      <w:lvlJc w:val="left"/>
      <w:pPr>
        <w:pStyle w:val="943"/>
        <w:ind w:left="0" w:firstLine="0"/>
      </w:pPr>
      <w:rPr>
        <w:rFonts w:hint="eastAsia"/>
      </w:rPr>
    </w:lvl>
  </w:abstractNum>
  <w:abstractNum w:abstractNumId="87">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8">
    <w:multiLevelType w:val="hybridMultilevel"/>
    <w:lvl w:ilvl="0">
      <w:start w:val="1"/>
      <w:numFmt w:val="bullet"/>
      <w:isLgl w:val="false"/>
      <w:suff w:val="tab"/>
      <w:lvlText w:val=""/>
      <w:lvlJc w:val="left"/>
      <w:pPr>
        <w:pStyle w:val="943"/>
        <w:ind w:left="420" w:hanging="420"/>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89">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0">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1">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3">
    <w:multiLevelType w:val="hybridMultilevel"/>
    <w:lvl w:ilvl="0">
      <w:start w:val="1"/>
      <w:numFmt w:val="decimal"/>
      <w:isLgl w:val="false"/>
      <w:suff w:val="tab"/>
      <w:lvlText w:val="%1."/>
      <w:lvlJc w:val="left"/>
      <w:pPr>
        <w:pStyle w:val="943"/>
        <w:ind w:left="510" w:hanging="360"/>
        <w:tabs>
          <w:tab w:val="num" w:pos="510" w:leader="none"/>
        </w:tabs>
      </w:pPr>
      <w:rPr>
        <w:rFonts w:hint="eastAsia" w:cs="Times New Roman"/>
      </w:rPr>
    </w:lvl>
    <w:lvl w:ilvl="1">
      <w:start w:val="1"/>
      <w:numFmt w:val="decimal"/>
      <w:isLgl w:val="false"/>
      <w:suff w:val="tab"/>
      <w:lvlText w:val="%2．"/>
      <w:lvlJc w:val="left"/>
      <w:pPr>
        <w:pStyle w:val="943"/>
        <w:ind w:left="1290" w:hanging="720"/>
        <w:tabs>
          <w:tab w:val="num" w:pos="1290" w:leader="none"/>
        </w:tabs>
      </w:pPr>
      <w:rPr>
        <w:rFonts w:hint="eastAsia" w:cs="Times New Roman"/>
      </w:rPr>
    </w:lvl>
    <w:lvl w:ilvl="2">
      <w:start w:val="3"/>
      <w:numFmt w:val="decimal"/>
      <w:isLgl w:val="false"/>
      <w:suff w:val="tab"/>
      <w:lvlText w:val="（%3）"/>
      <w:lvlJc w:val="left"/>
      <w:pPr>
        <w:pStyle w:val="943"/>
        <w:ind w:left="1140" w:hanging="720"/>
        <w:tabs>
          <w:tab w:val="num" w:pos="1140" w:leader="none"/>
        </w:tabs>
      </w:pPr>
      <w:rPr>
        <w:rFonts w:hint="eastAsia" w:cs="Times New Roman"/>
      </w:rPr>
    </w:lvl>
    <w:lvl w:ilvl="3">
      <w:start w:val="1"/>
      <w:numFmt w:val="decimal"/>
      <w:isLgl w:val="false"/>
      <w:suff w:val="tab"/>
      <w:lvlText w:val="（%4）"/>
      <w:lvlJc w:val="left"/>
      <w:pPr>
        <w:pStyle w:val="94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43"/>
        <w:ind w:left="2250" w:hanging="420"/>
        <w:tabs>
          <w:tab w:val="num" w:pos="2250" w:leader="none"/>
        </w:tabs>
      </w:pPr>
      <w:rPr>
        <w:rFonts w:hint="eastAsia"/>
        <w:b/>
        <w:lang w:val="en-US"/>
      </w:rPr>
    </w:lvl>
    <w:lvl w:ilvl="5">
      <w:start w:val="10"/>
      <w:numFmt w:val="japaneseCounting"/>
      <w:isLgl w:val="false"/>
      <w:suff w:val="tab"/>
      <w:lvlText w:val="（%6）"/>
      <w:lvlJc w:val="left"/>
      <w:pPr>
        <w:pStyle w:val="943"/>
        <w:ind w:left="2970" w:hanging="720"/>
      </w:pPr>
      <w:rPr>
        <w:rFonts w:cs="Times New Roman"/>
      </w:rPr>
    </w:lvl>
    <w:lvl w:ilvl="6">
      <w:start w:val="1"/>
      <w:numFmt w:val="decimal"/>
      <w:isLgl w:val="false"/>
      <w:suff w:val="tab"/>
      <w:lvlText w:val="（%7）"/>
      <w:lvlJc w:val="left"/>
      <w:pPr>
        <w:pStyle w:val="94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43"/>
        <w:ind w:left="3510" w:hanging="420"/>
        <w:tabs>
          <w:tab w:val="num" w:pos="3510" w:leader="none"/>
        </w:tabs>
      </w:pPr>
      <w:rPr>
        <w:rFonts w:cs="Times New Roman"/>
      </w:rPr>
    </w:lvl>
    <w:lvl w:ilvl="8">
      <w:start w:val="1"/>
      <w:numFmt w:val="lowerRoman"/>
      <w:isLgl w:val="false"/>
      <w:suff w:val="tab"/>
      <w:lvlText w:val="%9."/>
      <w:lvlJc w:val="right"/>
      <w:pPr>
        <w:pStyle w:val="943"/>
        <w:ind w:left="3930" w:hanging="420"/>
        <w:tabs>
          <w:tab w:val="num" w:pos="3930" w:leader="none"/>
        </w:tabs>
      </w:pPr>
      <w:rPr>
        <w:rFonts w:cs="Times New Roman"/>
      </w:rPr>
    </w:lvl>
  </w:abstractNum>
  <w:abstractNum w:abstractNumId="94">
    <w:multiLevelType w:val="hybridMultilevel"/>
    <w:lvl w:ilvl="0">
      <w:start w:val="1"/>
      <w:numFmt w:val="japaneseCounting"/>
      <w:isLgl w:val="false"/>
      <w:suff w:val="tab"/>
      <w:lvlText w:val="%1、"/>
      <w:lvlJc w:val="left"/>
      <w:pPr>
        <w:pStyle w:val="94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43"/>
        <w:ind w:left="840" w:hanging="420"/>
        <w:tabs>
          <w:tab w:val="num" w:pos="840" w:leader="none"/>
        </w:tabs>
      </w:pPr>
      <w:rPr>
        <w:rFonts w:cs="Times New Roman"/>
      </w:rPr>
    </w:lvl>
    <w:lvl w:ilvl="2">
      <w:start w:val="10"/>
      <w:numFmt w:val="decimal"/>
      <w:isLgl w:val="false"/>
      <w:suff w:val="tab"/>
      <w:lvlText w:val="%3."/>
      <w:lvlJc w:val="left"/>
      <w:pPr>
        <w:pStyle w:val="943"/>
        <w:ind w:left="1200" w:hanging="360"/>
        <w:tabs>
          <w:tab w:val="num" w:pos="1200" w:leader="none"/>
        </w:tabs>
      </w:pPr>
      <w:rPr>
        <w:rFonts w:cs="Times New Roman"/>
      </w:rPr>
    </w:lvl>
    <w:lvl w:ilvl="3">
      <w:start w:val="1"/>
      <w:numFmt w:val="decimal"/>
      <w:isLgl w:val="false"/>
      <w:suff w:val="tab"/>
      <w:lvlText w:val="%4."/>
      <w:lvlJc w:val="left"/>
      <w:pPr>
        <w:pStyle w:val="943"/>
        <w:ind w:left="1680" w:hanging="420"/>
        <w:tabs>
          <w:tab w:val="num" w:pos="1680" w:leader="none"/>
        </w:tabs>
      </w:pPr>
      <w:rPr>
        <w:rFonts w:cs="Times New Roman"/>
      </w:rPr>
    </w:lvl>
    <w:lvl w:ilvl="4">
      <w:start w:val="1"/>
      <w:numFmt w:val="lowerLetter"/>
      <w:isLgl w:val="false"/>
      <w:suff w:val="tab"/>
      <w:lvlText w:val="%5)"/>
      <w:lvlJc w:val="left"/>
      <w:pPr>
        <w:pStyle w:val="943"/>
        <w:ind w:left="2100" w:hanging="420"/>
        <w:tabs>
          <w:tab w:val="num" w:pos="2100" w:leader="none"/>
        </w:tabs>
      </w:pPr>
      <w:rPr>
        <w:rFonts w:cs="Times New Roman"/>
      </w:rPr>
    </w:lvl>
    <w:lvl w:ilvl="5">
      <w:start w:val="1"/>
      <w:numFmt w:val="lowerRoman"/>
      <w:isLgl w:val="false"/>
      <w:suff w:val="tab"/>
      <w:lvlText w:val="%6."/>
      <w:lvlJc w:val="right"/>
      <w:pPr>
        <w:pStyle w:val="943"/>
        <w:ind w:left="2520" w:hanging="420"/>
        <w:tabs>
          <w:tab w:val="num" w:pos="2520" w:leader="none"/>
        </w:tabs>
      </w:pPr>
      <w:rPr>
        <w:rFonts w:cs="Times New Roman"/>
      </w:rPr>
    </w:lvl>
    <w:lvl w:ilvl="6">
      <w:start w:val="1"/>
      <w:numFmt w:val="decimal"/>
      <w:isLgl w:val="false"/>
      <w:suff w:val="tab"/>
      <w:lvlText w:val="%7."/>
      <w:lvlJc w:val="left"/>
      <w:pPr>
        <w:pStyle w:val="943"/>
        <w:ind w:left="2940" w:hanging="420"/>
        <w:tabs>
          <w:tab w:val="num" w:pos="2940" w:leader="none"/>
        </w:tabs>
      </w:pPr>
      <w:rPr>
        <w:rFonts w:cs="Times New Roman"/>
      </w:rPr>
    </w:lvl>
    <w:lvl w:ilvl="7">
      <w:start w:val="1"/>
      <w:numFmt w:val="lowerLetter"/>
      <w:isLgl w:val="false"/>
      <w:suff w:val="tab"/>
      <w:lvlText w:val="%8)"/>
      <w:lvlJc w:val="left"/>
      <w:pPr>
        <w:pStyle w:val="943"/>
        <w:ind w:left="3360" w:hanging="420"/>
        <w:tabs>
          <w:tab w:val="num" w:pos="3360" w:leader="none"/>
        </w:tabs>
      </w:pPr>
      <w:rPr>
        <w:rFonts w:cs="Times New Roman"/>
      </w:rPr>
    </w:lvl>
    <w:lvl w:ilvl="8">
      <w:start w:val="1"/>
      <w:numFmt w:val="lowerRoman"/>
      <w:isLgl w:val="false"/>
      <w:suff w:val="tab"/>
      <w:lvlText w:val="%9."/>
      <w:lvlJc w:val="right"/>
      <w:pPr>
        <w:pStyle w:val="943"/>
        <w:ind w:left="3780" w:hanging="420"/>
        <w:tabs>
          <w:tab w:val="num" w:pos="3780" w:leader="none"/>
        </w:tabs>
      </w:pPr>
      <w:rPr>
        <w:rFonts w:cs="Times New Roman"/>
      </w:rPr>
    </w:lvl>
  </w:abstractNum>
  <w:abstractNum w:abstractNumId="9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6">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7">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8">
    <w:multiLevelType w:val="hybridMultilevel"/>
    <w:lvl w:ilvl="0">
      <w:start w:val="1"/>
      <w:numFmt w:val="bullet"/>
      <w:isLgl w:val="false"/>
      <w:suff w:val="tab"/>
      <w:lvlText w:val=""/>
      <w:lvlJc w:val="left"/>
      <w:pPr>
        <w:pStyle w:val="943"/>
        <w:ind w:left="840" w:hanging="420"/>
        <w:tabs>
          <w:tab w:val="left" w:pos="42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99">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0">
    <w:multiLevelType w:val="hybridMultilevel"/>
    <w:lvl w:ilvl="0">
      <w:start w:val="1"/>
      <w:numFmt w:val="decimal"/>
      <w:isLgl w:val="false"/>
      <w:suff w:val="tab"/>
      <w:lvlText w:val="%1)"/>
      <w:lvlJc w:val="left"/>
      <w:pPr>
        <w:pStyle w:val="943"/>
        <w:ind w:left="1685" w:hanging="425"/>
        <w:tabs>
          <w:tab w:val="left" w:pos="126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1">
    <w:multiLevelType w:val="hybridMultilevel"/>
    <w:lvl w:ilvl="0">
      <w:start w:val="1"/>
      <w:numFmt w:val="decimal"/>
      <w:isLgl w:val="false"/>
      <w:suff w:val="tab"/>
      <w:lvlText w:val="%1)"/>
      <w:lvlJc w:val="left"/>
      <w:pPr>
        <w:pStyle w:val="943"/>
        <w:ind w:left="1265" w:hanging="425"/>
        <w:tabs>
          <w:tab w:val="left" w:pos="84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2">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4">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6">
    <w:multiLevelType w:val="hybridMultilevel"/>
    <w:lvl w:ilvl="0">
      <w:start w:val="1"/>
      <w:numFmt w:val="bullet"/>
      <w:isLgl w:val="false"/>
      <w:suff w:val="tab"/>
      <w:lvlText w:val=""/>
      <w:lvlJc w:val="left"/>
      <w:pPr>
        <w:pStyle w:val="943"/>
        <w:ind w:left="1260" w:hanging="420"/>
        <w:tabs>
          <w:tab w:val="left" w:pos="840" w:leader="none"/>
        </w:tabs>
      </w:pPr>
      <w:rPr>
        <w:rFonts w:ascii="Wingdings" w:hAnsi="Wingdings"/>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7">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08">
    <w:multiLevelType w:val="hybridMultilevel"/>
    <w:lvl w:ilvl="0">
      <w:start w:val="1"/>
      <w:numFmt w:val="japaneseCounting"/>
      <w:isLgl w:val="false"/>
      <w:suff w:val="tab"/>
      <w:lvlText w:val="第%1章"/>
      <w:lvlJc w:val="left"/>
      <w:pPr>
        <w:pStyle w:val="94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0">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1">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2">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3">
    <w:multiLevelType w:val="hybridMultilevel"/>
    <w:lvl w:ilvl="0">
      <w:start w:val="1"/>
      <w:numFmt w:val="decimal"/>
      <w:isLgl w:val="false"/>
      <w:suff w:val="tab"/>
      <w:lvlText w:val="%1)"/>
      <w:lvlJc w:val="left"/>
      <w:pPr>
        <w:pStyle w:val="943"/>
        <w:ind w:left="1265" w:hanging="425"/>
        <w:tabs>
          <w:tab w:val="left" w:pos="840" w:leader="none"/>
        </w:tabs>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4">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5">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116">
    <w:multiLevelType w:val="hybridMultilevel"/>
    <w:lvl w:ilvl="0">
      <w:start w:val="1"/>
      <w:numFmt w:val="decimalEnclosedCircleChinese"/>
      <w:isLgl w:val="false"/>
      <w:suff w:val="nothing"/>
      <w:lvlText w:val="%1　"/>
      <w:lvlJc w:val="left"/>
      <w:pPr>
        <w:pStyle w:val="943"/>
        <w:ind w:left="420" w:firstLine="400"/>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num w:numId="1">
    <w:abstractNumId w:val="86"/>
  </w:num>
  <w:num w:numId="2">
    <w:abstractNumId w:val="13"/>
  </w:num>
  <w:num w:numId="3">
    <w:abstractNumId w:val="64"/>
  </w:num>
  <w:num w:numId="4">
    <w:abstractNumId w:val="108"/>
  </w:num>
  <w:num w:numId="5">
    <w:abstractNumId w:val="20"/>
  </w:num>
  <w:num w:numId="6">
    <w:abstractNumId w:val="1"/>
  </w:num>
  <w:num w:numId="7">
    <w:abstractNumId w:val="93"/>
  </w:num>
  <w:num w:numId="8">
    <w:abstractNumId w:val="2"/>
  </w:num>
  <w:num w:numId="9">
    <w:abstractNumId w:val="102"/>
  </w:num>
  <w:num w:numId="10">
    <w:abstractNumId w:val="0"/>
  </w:num>
  <w:num w:numId="11">
    <w:abstractNumId w:val="94"/>
  </w:num>
  <w:num w:numId="12">
    <w:abstractNumId w:val="31"/>
  </w:num>
  <w:num w:numId="13">
    <w:abstractNumId w:val="43"/>
  </w:num>
  <w:num w:numId="14">
    <w:abstractNumId w:val="36"/>
  </w:num>
  <w:num w:numId="15">
    <w:abstractNumId w:val="66"/>
  </w:num>
  <w:num w:numId="16">
    <w:abstractNumId w:val="4"/>
  </w:num>
  <w:num w:numId="17">
    <w:abstractNumId w:val="82"/>
  </w:num>
  <w:num w:numId="18">
    <w:abstractNumId w:val="77"/>
  </w:num>
  <w:num w:numId="19">
    <w:abstractNumId w:val="21"/>
  </w:num>
  <w:num w:numId="20">
    <w:abstractNumId w:val="78"/>
  </w:num>
  <w:num w:numId="21">
    <w:abstractNumId w:val="73"/>
  </w:num>
  <w:num w:numId="22">
    <w:abstractNumId w:val="111"/>
  </w:num>
  <w:num w:numId="23">
    <w:abstractNumId w:val="28"/>
  </w:num>
  <w:num w:numId="24">
    <w:abstractNumId w:val="105"/>
  </w:num>
  <w:num w:numId="25">
    <w:abstractNumId w:val="50"/>
  </w:num>
  <w:num w:numId="26">
    <w:abstractNumId w:val="52"/>
  </w:num>
  <w:num w:numId="27">
    <w:abstractNumId w:val="44"/>
  </w:num>
  <w:num w:numId="28">
    <w:abstractNumId w:val="38"/>
  </w:num>
  <w:num w:numId="29">
    <w:abstractNumId w:val="32"/>
  </w:num>
  <w:num w:numId="30">
    <w:abstractNumId w:val="74"/>
  </w:num>
  <w:num w:numId="31">
    <w:abstractNumId w:val="30"/>
  </w:num>
  <w:num w:numId="32">
    <w:abstractNumId w:val="22"/>
  </w:num>
  <w:num w:numId="33">
    <w:abstractNumId w:val="76"/>
  </w:num>
  <w:num w:numId="34">
    <w:abstractNumId w:val="114"/>
  </w:num>
  <w:num w:numId="35">
    <w:abstractNumId w:val="56"/>
  </w:num>
  <w:num w:numId="36">
    <w:abstractNumId w:val="95"/>
  </w:num>
  <w:num w:numId="37">
    <w:abstractNumId w:val="49"/>
  </w:num>
  <w:num w:numId="38">
    <w:abstractNumId w:val="65"/>
  </w:num>
  <w:num w:numId="39">
    <w:abstractNumId w:val="112"/>
  </w:num>
  <w:num w:numId="40">
    <w:abstractNumId w:val="100"/>
  </w:num>
  <w:num w:numId="41">
    <w:abstractNumId w:val="16"/>
  </w:num>
  <w:num w:numId="42">
    <w:abstractNumId w:val="104"/>
  </w:num>
  <w:num w:numId="43">
    <w:abstractNumId w:val="12"/>
  </w:num>
  <w:num w:numId="44">
    <w:abstractNumId w:val="59"/>
  </w:num>
  <w:num w:numId="45">
    <w:abstractNumId w:val="41"/>
  </w:num>
  <w:num w:numId="46">
    <w:abstractNumId w:val="29"/>
  </w:num>
  <w:num w:numId="47">
    <w:abstractNumId w:val="45"/>
  </w:num>
  <w:num w:numId="48">
    <w:abstractNumId w:val="51"/>
  </w:num>
  <w:num w:numId="49">
    <w:abstractNumId w:val="27"/>
  </w:num>
  <w:num w:numId="50">
    <w:abstractNumId w:val="6"/>
  </w:num>
  <w:num w:numId="51">
    <w:abstractNumId w:val="47"/>
  </w:num>
  <w:num w:numId="52">
    <w:abstractNumId w:val="62"/>
  </w:num>
  <w:num w:numId="53">
    <w:abstractNumId w:val="99"/>
  </w:num>
  <w:num w:numId="54">
    <w:abstractNumId w:val="113"/>
  </w:num>
  <w:num w:numId="55">
    <w:abstractNumId w:val="101"/>
  </w:num>
  <w:num w:numId="56">
    <w:abstractNumId w:val="35"/>
  </w:num>
  <w:num w:numId="57">
    <w:abstractNumId w:val="63"/>
  </w:num>
  <w:num w:numId="58">
    <w:abstractNumId w:val="9"/>
  </w:num>
  <w:num w:numId="59">
    <w:abstractNumId w:val="48"/>
  </w:num>
  <w:num w:numId="60">
    <w:abstractNumId w:val="57"/>
  </w:num>
  <w:num w:numId="61">
    <w:abstractNumId w:val="107"/>
  </w:num>
  <w:num w:numId="62">
    <w:abstractNumId w:val="83"/>
  </w:num>
  <w:num w:numId="63">
    <w:abstractNumId w:val="53"/>
  </w:num>
  <w:num w:numId="64">
    <w:abstractNumId w:val="110"/>
  </w:num>
  <w:num w:numId="65">
    <w:abstractNumId w:val="5"/>
  </w:num>
  <w:num w:numId="66">
    <w:abstractNumId w:val="109"/>
  </w:num>
  <w:num w:numId="67">
    <w:abstractNumId w:val="116"/>
  </w:num>
  <w:num w:numId="68">
    <w:abstractNumId w:val="90"/>
  </w:num>
  <w:num w:numId="69">
    <w:abstractNumId w:val="55"/>
  </w:num>
  <w:num w:numId="70">
    <w:abstractNumId w:val="42"/>
  </w:num>
  <w:num w:numId="71">
    <w:abstractNumId w:val="103"/>
  </w:num>
  <w:num w:numId="72">
    <w:abstractNumId w:val="92"/>
  </w:num>
  <w:num w:numId="73">
    <w:abstractNumId w:val="87"/>
  </w:num>
  <w:num w:numId="74">
    <w:abstractNumId w:val="33"/>
  </w:num>
  <w:num w:numId="75">
    <w:abstractNumId w:val="115"/>
  </w:num>
  <w:num w:numId="76">
    <w:abstractNumId w:val="54"/>
  </w:num>
  <w:num w:numId="77">
    <w:abstractNumId w:val="37"/>
  </w:num>
  <w:num w:numId="78">
    <w:abstractNumId w:val="68"/>
  </w:num>
  <w:num w:numId="79">
    <w:abstractNumId w:val="18"/>
  </w:num>
  <w:num w:numId="80">
    <w:abstractNumId w:val="39"/>
  </w:num>
  <w:num w:numId="81">
    <w:abstractNumId w:val="79"/>
  </w:num>
  <w:num w:numId="82">
    <w:abstractNumId w:val="15"/>
  </w:num>
  <w:num w:numId="83">
    <w:abstractNumId w:val="67"/>
  </w:num>
  <w:num w:numId="84">
    <w:abstractNumId w:val="85"/>
  </w:num>
  <w:num w:numId="85">
    <w:abstractNumId w:val="69"/>
  </w:num>
  <w:num w:numId="86">
    <w:abstractNumId w:val="8"/>
  </w:num>
  <w:num w:numId="87">
    <w:abstractNumId w:val="88"/>
  </w:num>
  <w:num w:numId="88">
    <w:abstractNumId w:val="3"/>
  </w:num>
  <w:num w:numId="89">
    <w:abstractNumId w:val="26"/>
  </w:num>
  <w:num w:numId="90">
    <w:abstractNumId w:val="7"/>
  </w:num>
  <w:num w:numId="91">
    <w:abstractNumId w:val="61"/>
  </w:num>
  <w:num w:numId="92">
    <w:abstractNumId w:val="96"/>
  </w:num>
  <w:num w:numId="93">
    <w:abstractNumId w:val="71"/>
  </w:num>
  <w:num w:numId="94">
    <w:abstractNumId w:val="11"/>
  </w:num>
  <w:num w:numId="95">
    <w:abstractNumId w:val="80"/>
  </w:num>
  <w:num w:numId="96">
    <w:abstractNumId w:val="70"/>
  </w:num>
  <w:num w:numId="97">
    <w:abstractNumId w:val="25"/>
  </w:num>
  <w:num w:numId="98">
    <w:abstractNumId w:val="17"/>
  </w:num>
  <w:num w:numId="99">
    <w:abstractNumId w:val="24"/>
  </w:num>
  <w:num w:numId="100">
    <w:abstractNumId w:val="81"/>
  </w:num>
  <w:num w:numId="101">
    <w:abstractNumId w:val="14"/>
  </w:num>
  <w:num w:numId="102">
    <w:abstractNumId w:val="72"/>
  </w:num>
  <w:num w:numId="103">
    <w:abstractNumId w:val="91"/>
  </w:num>
  <w:num w:numId="104">
    <w:abstractNumId w:val="98"/>
  </w:num>
  <w:num w:numId="105">
    <w:abstractNumId w:val="19"/>
  </w:num>
  <w:num w:numId="106">
    <w:abstractNumId w:val="23"/>
  </w:num>
  <w:num w:numId="107">
    <w:abstractNumId w:val="34"/>
  </w:num>
  <w:num w:numId="108">
    <w:abstractNumId w:val="10"/>
  </w:num>
  <w:num w:numId="109">
    <w:abstractNumId w:val="58"/>
  </w:num>
  <w:num w:numId="110">
    <w:abstractNumId w:val="75"/>
  </w:num>
  <w:num w:numId="111">
    <w:abstractNumId w:val="40"/>
  </w:num>
  <w:num w:numId="112">
    <w:abstractNumId w:val="97"/>
  </w:num>
  <w:num w:numId="113">
    <w:abstractNumId w:val="89"/>
  </w:num>
  <w:num w:numId="114">
    <w:abstractNumId w:val="46"/>
  </w:num>
  <w:num w:numId="115">
    <w:abstractNumId w:val="84"/>
  </w:num>
  <w:num w:numId="116">
    <w:abstractNumId w:val="106"/>
  </w:num>
  <w:num w:numId="11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List Paragraph"/>
    <w:basedOn w:val="943"/>
    <w:uiPriority w:val="34"/>
    <w:qFormat/>
    <w:pPr>
      <w:contextualSpacing/>
      <w:ind w:left="720"/>
    </w:pPr>
  </w:style>
  <w:style w:type="paragraph" w:styleId="918">
    <w:name w:val="No Spacing"/>
    <w:uiPriority w:val="1"/>
    <w:qFormat/>
    <w:pPr>
      <w:spacing w:before="0" w:after="0" w:line="240" w:lineRule="auto"/>
    </w:pPr>
  </w:style>
  <w:style w:type="paragraph" w:styleId="919">
    <w:name w:val="Title"/>
    <w:basedOn w:val="943"/>
    <w:next w:val="943"/>
    <w:link w:val="1103"/>
    <w:uiPriority w:val="10"/>
    <w:qFormat/>
    <w:pPr>
      <w:contextualSpacing/>
      <w:spacing w:before="300" w:after="200"/>
    </w:pPr>
    <w:rPr>
      <w:sz w:val="48"/>
      <w:szCs w:val="48"/>
    </w:rPr>
  </w:style>
  <w:style w:type="paragraph" w:styleId="920">
    <w:name w:val="Subtitle"/>
    <w:basedOn w:val="943"/>
    <w:next w:val="943"/>
    <w:link w:val="1104"/>
    <w:uiPriority w:val="11"/>
    <w:qFormat/>
    <w:pPr>
      <w:spacing w:before="200" w:after="200"/>
    </w:pPr>
    <w:rPr>
      <w:sz w:val="24"/>
      <w:szCs w:val="24"/>
    </w:rPr>
  </w:style>
  <w:style w:type="paragraph" w:styleId="921">
    <w:name w:val="Quote"/>
    <w:basedOn w:val="943"/>
    <w:next w:val="943"/>
    <w:link w:val="1105"/>
    <w:uiPriority w:val="29"/>
    <w:qFormat/>
    <w:pPr>
      <w:ind w:left="720" w:right="720"/>
    </w:pPr>
    <w:rPr>
      <w:i/>
    </w:rPr>
  </w:style>
  <w:style w:type="paragraph" w:styleId="922">
    <w:name w:val="Intense Quote"/>
    <w:basedOn w:val="943"/>
    <w:next w:val="943"/>
    <w:link w:val="11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3">
    <w:name w:val="Header"/>
    <w:basedOn w:val="943"/>
    <w:link w:val="1127"/>
    <w:uiPriority w:val="99"/>
    <w:unhideWhenUsed/>
    <w:pPr>
      <w:spacing w:after="0" w:line="240" w:lineRule="auto"/>
      <w:tabs>
        <w:tab w:val="center" w:pos="7143" w:leader="none"/>
        <w:tab w:val="right" w:pos="14287" w:leader="none"/>
      </w:tabs>
    </w:pPr>
  </w:style>
  <w:style w:type="paragraph" w:styleId="924">
    <w:name w:val="Footer"/>
    <w:basedOn w:val="943"/>
    <w:link w:val="1129"/>
    <w:uiPriority w:val="99"/>
    <w:unhideWhenUsed/>
    <w:pPr>
      <w:spacing w:after="0" w:line="240" w:lineRule="auto"/>
      <w:tabs>
        <w:tab w:val="center" w:pos="7143" w:leader="none"/>
        <w:tab w:val="right" w:pos="14287" w:leader="none"/>
      </w:tabs>
    </w:pPr>
  </w:style>
  <w:style w:type="paragraph" w:styleId="925">
    <w:name w:val="Caption"/>
    <w:basedOn w:val="943"/>
    <w:next w:val="943"/>
    <w:uiPriority w:val="35"/>
    <w:semiHidden/>
    <w:unhideWhenUsed/>
    <w:qFormat/>
    <w:pPr>
      <w:spacing w:line="276" w:lineRule="auto"/>
    </w:pPr>
    <w:rPr>
      <w:b/>
      <w:bCs/>
      <w:color w:val="4f81bd" w:themeColor="accent1"/>
      <w:sz w:val="18"/>
      <w:szCs w:val="18"/>
    </w:rPr>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Hyperlink"/>
    <w:uiPriority w:val="99"/>
    <w:unhideWhenUsed/>
    <w:rPr>
      <w:color w:val="0000ff" w:themeColor="hyperlink"/>
      <w:u w:val="single"/>
    </w:rPr>
  </w:style>
  <w:style w:type="paragraph" w:styleId="928">
    <w:name w:val="footnote text"/>
    <w:basedOn w:val="943"/>
    <w:link w:val="1107"/>
    <w:uiPriority w:val="99"/>
    <w:semiHidden/>
    <w:unhideWhenUsed/>
    <w:pPr>
      <w:spacing w:after="40" w:line="240" w:lineRule="auto"/>
    </w:pPr>
    <w:rPr>
      <w:sz w:val="18"/>
    </w:rPr>
  </w:style>
  <w:style w:type="character" w:styleId="929">
    <w:name w:val="footnote reference"/>
    <w:uiPriority w:val="99"/>
    <w:unhideWhenUsed/>
    <w:rPr>
      <w:vertAlign w:val="superscript"/>
    </w:rPr>
  </w:style>
  <w:style w:type="paragraph" w:styleId="930">
    <w:name w:val="endnote text"/>
    <w:basedOn w:val="943"/>
    <w:link w:val="1108"/>
    <w:uiPriority w:val="99"/>
    <w:semiHidden/>
    <w:unhideWhenUsed/>
    <w:pPr>
      <w:spacing w:after="0" w:line="240" w:lineRule="auto"/>
    </w:pPr>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43"/>
    <w:link w:val="943"/>
    <w:qFormat/>
    <w:pPr>
      <w:jc w:val="both"/>
      <w:widowControl w:val="off"/>
    </w:pPr>
    <w:rPr>
      <w:rFonts w:ascii="Times New Roman" w:hAnsi="Times New Roman"/>
      <w:sz w:val="21"/>
      <w:szCs w:val="21"/>
      <w:lang w:val="en-US" w:eastAsia="zh-CN" w:bidi="ar-SA"/>
    </w:rPr>
  </w:style>
  <w:style w:type="paragraph" w:styleId="944">
    <w:name w:val="标题 1"/>
    <w:basedOn w:val="943"/>
    <w:next w:val="943"/>
    <w:link w:val="956"/>
    <w:qFormat/>
    <w:pPr>
      <w:jc w:val="center"/>
      <w:keepNext/>
      <w:outlineLvl w:val="0"/>
    </w:pPr>
    <w:rPr>
      <w:rFonts w:ascii="楷体_GB2312" w:eastAsia="楷体_GB2312"/>
      <w:sz w:val="28"/>
      <w:szCs w:val="28"/>
      <w:lang w:val="en-US" w:eastAsia="en-US"/>
    </w:rPr>
  </w:style>
  <w:style w:type="paragraph" w:styleId="945">
    <w:name w:val="标题 2"/>
    <w:basedOn w:val="943"/>
    <w:next w:val="958"/>
    <w:link w:val="95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46">
    <w:name w:val="标题 3"/>
    <w:basedOn w:val="943"/>
    <w:next w:val="958"/>
    <w:link w:val="960"/>
    <w:qFormat/>
    <w:pPr>
      <w:keepLines/>
      <w:keepNext/>
      <w:spacing w:before="260" w:after="260" w:line="416" w:lineRule="auto"/>
      <w:outlineLvl w:val="2"/>
    </w:pPr>
    <w:rPr>
      <w:b/>
      <w:bCs/>
      <w:sz w:val="32"/>
      <w:szCs w:val="32"/>
      <w:lang w:val="en-US" w:eastAsia="en-US"/>
    </w:rPr>
  </w:style>
  <w:style w:type="paragraph" w:styleId="947">
    <w:name w:val="标题 4"/>
    <w:basedOn w:val="943"/>
    <w:next w:val="958"/>
    <w:link w:val="961"/>
    <w:qFormat/>
    <w:pPr>
      <w:keepLines/>
      <w:keepNext/>
      <w:spacing w:before="280" w:after="290" w:line="376" w:lineRule="auto"/>
      <w:outlineLvl w:val="3"/>
    </w:pPr>
    <w:rPr>
      <w:rFonts w:ascii="Arial" w:hAnsi="Arial" w:eastAsia="黑体"/>
      <w:b/>
      <w:bCs/>
      <w:sz w:val="28"/>
      <w:szCs w:val="28"/>
      <w:lang w:val="en-US" w:eastAsia="en-US"/>
    </w:rPr>
  </w:style>
  <w:style w:type="paragraph" w:styleId="948">
    <w:name w:val="标题 5"/>
    <w:basedOn w:val="943"/>
    <w:next w:val="958"/>
    <w:link w:val="962"/>
    <w:qFormat/>
    <w:pPr>
      <w:keepNext/>
      <w:outlineLvl w:val="4"/>
    </w:pPr>
    <w:rPr>
      <w:rFonts w:ascii="宋体"/>
      <w:color w:val="000000"/>
      <w:sz w:val="28"/>
      <w:szCs w:val="28"/>
      <w:lang w:val="en-US" w:eastAsia="en-US"/>
    </w:rPr>
  </w:style>
  <w:style w:type="paragraph" w:styleId="949">
    <w:name w:val="标题 6"/>
    <w:basedOn w:val="943"/>
    <w:next w:val="943"/>
    <w:link w:val="96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50">
    <w:name w:val="标题 7"/>
    <w:basedOn w:val="943"/>
    <w:next w:val="943"/>
    <w:link w:val="964"/>
    <w:qFormat/>
    <w:pPr>
      <w:numPr>
        <w:ilvl w:val="6"/>
        <w:numId w:val="1"/>
      </w:numPr>
      <w:keepLines/>
      <w:keepNext/>
      <w:spacing w:before="240" w:after="64" w:line="320" w:lineRule="auto"/>
      <w:outlineLvl w:val="6"/>
    </w:pPr>
    <w:rPr>
      <w:b/>
      <w:bCs/>
      <w:sz w:val="24"/>
      <w:szCs w:val="24"/>
      <w:lang w:val="en-US" w:eastAsia="en-US"/>
    </w:rPr>
  </w:style>
  <w:style w:type="paragraph" w:styleId="951">
    <w:name w:val="标题 8"/>
    <w:basedOn w:val="943"/>
    <w:next w:val="943"/>
    <w:link w:val="96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52">
    <w:name w:val="标题 9"/>
    <w:basedOn w:val="943"/>
    <w:next w:val="943"/>
    <w:link w:val="96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53">
    <w:name w:val="默认段落字体"/>
    <w:next w:val="953"/>
    <w:link w:val="943"/>
    <w:uiPriority w:val="1"/>
    <w:unhideWhenUsed/>
  </w:style>
  <w:style w:type="table" w:styleId="954">
    <w:name w:val="普通表格"/>
    <w:next w:val="954"/>
    <w:link w:val="943"/>
    <w:uiPriority w:val="99"/>
    <w:unhideWhenUsed/>
    <w:tblPr/>
  </w:style>
  <w:style w:type="numbering" w:styleId="955">
    <w:name w:val="无列表"/>
    <w:next w:val="955"/>
    <w:link w:val="943"/>
    <w:uiPriority w:val="99"/>
    <w:semiHidden/>
    <w:unhideWhenUsed/>
  </w:style>
  <w:style w:type="character" w:styleId="956">
    <w:name w:val="标题 1 Char"/>
    <w:next w:val="956"/>
    <w:link w:val="944"/>
    <w:rPr>
      <w:rFonts w:ascii="楷体_GB2312" w:hAnsi="Times New Roman" w:eastAsia="楷体_GB2312" w:cs="Times New Roman"/>
      <w:sz w:val="28"/>
      <w:szCs w:val="28"/>
    </w:rPr>
  </w:style>
  <w:style w:type="character" w:styleId="957">
    <w:name w:val="标题 2 Char"/>
    <w:next w:val="957"/>
    <w:link w:val="945"/>
    <w:rPr>
      <w:rFonts w:ascii="Arial" w:hAnsi="Arial" w:eastAsia="幼圆" w:cs="Arial"/>
      <w:b/>
      <w:bCs/>
      <w:sz w:val="44"/>
      <w:szCs w:val="44"/>
    </w:rPr>
  </w:style>
  <w:style w:type="paragraph" w:styleId="958">
    <w:name w:val="正文缩进"/>
    <w:basedOn w:val="943"/>
    <w:next w:val="958"/>
    <w:link w:val="959"/>
    <w:pPr>
      <w:ind w:firstLine="420"/>
    </w:pPr>
    <w:rPr>
      <w:sz w:val="20"/>
      <w:lang w:val="en-US" w:eastAsia="en-US"/>
    </w:rPr>
  </w:style>
  <w:style w:type="character" w:styleId="959">
    <w:name w:val="正文缩进 Char"/>
    <w:next w:val="959"/>
    <w:link w:val="958"/>
    <w:rPr>
      <w:rFonts w:ascii="Times New Roman" w:hAnsi="Times New Roman" w:eastAsia="宋体" w:cs="Times New Roman"/>
      <w:szCs w:val="21"/>
    </w:rPr>
  </w:style>
  <w:style w:type="character" w:styleId="960">
    <w:name w:val="标题 3 Char"/>
    <w:next w:val="960"/>
    <w:link w:val="946"/>
    <w:rPr>
      <w:rFonts w:ascii="Times New Roman" w:hAnsi="Times New Roman" w:eastAsia="宋体" w:cs="Times New Roman"/>
      <w:b/>
      <w:bCs/>
      <w:sz w:val="32"/>
      <w:szCs w:val="32"/>
    </w:rPr>
  </w:style>
  <w:style w:type="character" w:styleId="961">
    <w:name w:val="标题 4 Char"/>
    <w:next w:val="961"/>
    <w:link w:val="947"/>
    <w:rPr>
      <w:rFonts w:ascii="Arial" w:hAnsi="Arial" w:eastAsia="黑体" w:cs="Arial"/>
      <w:b/>
      <w:bCs/>
      <w:sz w:val="28"/>
      <w:szCs w:val="28"/>
    </w:rPr>
  </w:style>
  <w:style w:type="character" w:styleId="962">
    <w:name w:val="标题 5 Char"/>
    <w:next w:val="962"/>
    <w:link w:val="948"/>
    <w:rPr>
      <w:rFonts w:ascii="宋体" w:hAnsi="Times New Roman" w:eastAsia="宋体" w:cs="Times New Roman"/>
      <w:color w:val="000000"/>
      <w:sz w:val="28"/>
      <w:szCs w:val="28"/>
    </w:rPr>
  </w:style>
  <w:style w:type="character" w:styleId="963">
    <w:name w:val="标题 6 Char"/>
    <w:next w:val="963"/>
    <w:link w:val="949"/>
    <w:rPr>
      <w:rFonts w:ascii="Arial" w:hAnsi="Arial" w:eastAsia="黑体"/>
      <w:b/>
      <w:bCs/>
      <w:sz w:val="24"/>
      <w:szCs w:val="24"/>
      <w:lang w:val="en-US" w:eastAsia="en-US"/>
    </w:rPr>
  </w:style>
  <w:style w:type="character" w:styleId="964">
    <w:name w:val="标题 7 Char"/>
    <w:next w:val="964"/>
    <w:link w:val="950"/>
    <w:rPr>
      <w:rFonts w:ascii="Times New Roman" w:hAnsi="Times New Roman"/>
      <w:b/>
      <w:bCs/>
      <w:sz w:val="24"/>
      <w:szCs w:val="24"/>
      <w:lang w:val="en-US" w:eastAsia="en-US"/>
    </w:rPr>
  </w:style>
  <w:style w:type="character" w:styleId="965">
    <w:name w:val="标题 8 Char"/>
    <w:next w:val="965"/>
    <w:link w:val="951"/>
    <w:rPr>
      <w:rFonts w:ascii="Arial" w:hAnsi="Arial" w:eastAsia="黑体"/>
      <w:sz w:val="24"/>
      <w:szCs w:val="24"/>
      <w:lang w:val="en-US" w:eastAsia="en-US"/>
    </w:rPr>
  </w:style>
  <w:style w:type="character" w:styleId="966">
    <w:name w:val="标题 9 Char"/>
    <w:next w:val="966"/>
    <w:link w:val="952"/>
    <w:rPr>
      <w:rFonts w:ascii="Arial" w:hAnsi="Arial" w:eastAsia="黑体"/>
      <w:szCs w:val="21"/>
      <w:lang w:val="en-US" w:eastAsia="en-US"/>
    </w:rPr>
  </w:style>
  <w:style w:type="paragraph" w:styleId="967">
    <w:name w:val="列表 3"/>
    <w:basedOn w:val="943"/>
    <w:next w:val="967"/>
    <w:link w:val="943"/>
    <w:pPr>
      <w:ind w:left="100" w:hanging="200"/>
    </w:pPr>
  </w:style>
  <w:style w:type="paragraph" w:styleId="968">
    <w:name w:val="目录 7"/>
    <w:basedOn w:val="943"/>
    <w:next w:val="943"/>
    <w:link w:val="943"/>
    <w:uiPriority w:val="39"/>
    <w:qFormat/>
    <w:pPr>
      <w:ind w:left="1260"/>
      <w:jc w:val="left"/>
    </w:pPr>
  </w:style>
  <w:style w:type="paragraph" w:styleId="969">
    <w:name w:val="文档结构图"/>
    <w:basedOn w:val="943"/>
    <w:next w:val="969"/>
    <w:link w:val="970"/>
    <w:semiHidden/>
    <w:pPr>
      <w:shd w:val="clear" w:color="auto" w:fill="000080"/>
    </w:pPr>
    <w:rPr>
      <w:sz w:val="20"/>
      <w:lang w:val="en-US" w:eastAsia="en-US"/>
    </w:rPr>
  </w:style>
  <w:style w:type="character" w:styleId="970">
    <w:name w:val="文档结构图 Char"/>
    <w:next w:val="970"/>
    <w:link w:val="969"/>
    <w:semiHidden/>
    <w:rPr>
      <w:rFonts w:ascii="Times New Roman" w:hAnsi="Times New Roman" w:eastAsia="宋体" w:cs="Times New Roman"/>
      <w:szCs w:val="21"/>
      <w:shd w:val="clear" w:color="auto" w:fill="000080"/>
    </w:rPr>
  </w:style>
  <w:style w:type="paragraph" w:styleId="971">
    <w:name w:val="批注文字"/>
    <w:basedOn w:val="943"/>
    <w:next w:val="971"/>
    <w:link w:val="972"/>
    <w:uiPriority w:val="99"/>
    <w:semiHidden/>
    <w:qFormat/>
    <w:pPr>
      <w:jc w:val="left"/>
    </w:pPr>
    <w:rPr>
      <w:sz w:val="20"/>
      <w:lang w:val="en-US" w:eastAsia="en-US"/>
    </w:rPr>
  </w:style>
  <w:style w:type="character" w:styleId="972">
    <w:name w:val="批注文字 Char"/>
    <w:next w:val="972"/>
    <w:link w:val="971"/>
    <w:uiPriority w:val="99"/>
    <w:semiHidden/>
    <w:qFormat/>
    <w:rPr>
      <w:rFonts w:ascii="Times New Roman" w:hAnsi="Times New Roman" w:eastAsia="宋体" w:cs="Times New Roman"/>
      <w:szCs w:val="21"/>
    </w:rPr>
  </w:style>
  <w:style w:type="paragraph" w:styleId="973">
    <w:name w:val="正文文本 3"/>
    <w:basedOn w:val="943"/>
    <w:next w:val="973"/>
    <w:link w:val="974"/>
    <w:rPr>
      <w:rFonts w:ascii="仿宋_GB2312" w:hAnsi="Arial" w:eastAsia="仿宋_GB2312"/>
      <w:sz w:val="32"/>
      <w:szCs w:val="32"/>
      <w:lang w:val="en-US" w:eastAsia="en-US"/>
    </w:rPr>
  </w:style>
  <w:style w:type="character" w:styleId="974">
    <w:name w:val="正文文本 3 Char"/>
    <w:next w:val="974"/>
    <w:link w:val="973"/>
    <w:rPr>
      <w:rFonts w:ascii="仿宋_GB2312" w:hAnsi="Arial" w:eastAsia="仿宋_GB2312" w:cs="Times New Roman"/>
      <w:sz w:val="32"/>
      <w:szCs w:val="32"/>
    </w:rPr>
  </w:style>
  <w:style w:type="paragraph" w:styleId="975">
    <w:name w:val="正文文本"/>
    <w:basedOn w:val="943"/>
    <w:next w:val="975"/>
    <w:link w:val="976"/>
    <w:uiPriority w:val="1"/>
    <w:qFormat/>
    <w:rPr>
      <w:rFonts w:ascii="楷体_GB2312" w:hAnsi="Arial" w:eastAsia="楷体_GB2312"/>
      <w:sz w:val="28"/>
      <w:szCs w:val="28"/>
      <w:lang w:val="en-US" w:eastAsia="en-US"/>
    </w:rPr>
  </w:style>
  <w:style w:type="character" w:styleId="976">
    <w:name w:val="正文文本 Char"/>
    <w:next w:val="976"/>
    <w:link w:val="975"/>
    <w:uiPriority w:val="1"/>
    <w:qFormat/>
    <w:rPr>
      <w:rFonts w:ascii="楷体_GB2312" w:hAnsi="Arial" w:eastAsia="楷体_GB2312" w:cs="Times New Roman"/>
      <w:sz w:val="28"/>
      <w:szCs w:val="28"/>
    </w:rPr>
  </w:style>
  <w:style w:type="paragraph" w:styleId="977">
    <w:name w:val="正文文本缩进"/>
    <w:basedOn w:val="943"/>
    <w:next w:val="977"/>
    <w:link w:val="978"/>
    <w:pPr>
      <w:ind w:firstLine="645"/>
    </w:pPr>
    <w:rPr>
      <w:rFonts w:ascii="楷体_GB2312" w:eastAsia="楷体_GB2312"/>
      <w:sz w:val="32"/>
      <w:szCs w:val="32"/>
      <w:lang w:val="en-US" w:eastAsia="en-US"/>
    </w:rPr>
  </w:style>
  <w:style w:type="character" w:styleId="978">
    <w:name w:val="正文文本缩进 Char"/>
    <w:next w:val="978"/>
    <w:link w:val="977"/>
    <w:rPr>
      <w:rFonts w:ascii="楷体_GB2312" w:hAnsi="Times New Roman" w:eastAsia="楷体_GB2312" w:cs="Times New Roman"/>
      <w:sz w:val="32"/>
      <w:szCs w:val="32"/>
    </w:rPr>
  </w:style>
  <w:style w:type="paragraph" w:styleId="979">
    <w:name w:val="列表 2"/>
    <w:basedOn w:val="943"/>
    <w:next w:val="979"/>
    <w:link w:val="943"/>
    <w:pPr>
      <w:ind w:left="100" w:hanging="200"/>
    </w:pPr>
  </w:style>
  <w:style w:type="paragraph" w:styleId="980">
    <w:name w:val="目录 5"/>
    <w:basedOn w:val="943"/>
    <w:next w:val="943"/>
    <w:link w:val="943"/>
    <w:uiPriority w:val="39"/>
    <w:qFormat/>
    <w:pPr>
      <w:ind w:left="840"/>
      <w:jc w:val="left"/>
    </w:pPr>
  </w:style>
  <w:style w:type="paragraph" w:styleId="981">
    <w:name w:val="目录 3"/>
    <w:basedOn w:val="943"/>
    <w:next w:val="943"/>
    <w:link w:val="943"/>
    <w:uiPriority w:val="39"/>
    <w:qFormat/>
    <w:pPr>
      <w:ind w:left="420"/>
      <w:jc w:val="left"/>
    </w:pPr>
    <w:rPr>
      <w:i/>
      <w:iCs/>
      <w:szCs w:val="24"/>
    </w:rPr>
  </w:style>
  <w:style w:type="paragraph" w:styleId="982">
    <w:name w:val="纯文本"/>
    <w:basedOn w:val="943"/>
    <w:next w:val="982"/>
    <w:link w:val="983"/>
    <w:rPr>
      <w:rFonts w:ascii="宋体" w:hAnsi="Courier New"/>
      <w:sz w:val="20"/>
      <w:lang w:val="en-US" w:eastAsia="en-US"/>
    </w:rPr>
  </w:style>
  <w:style w:type="character" w:styleId="983">
    <w:name w:val="纯文本 Char"/>
    <w:next w:val="983"/>
    <w:link w:val="982"/>
    <w:rPr>
      <w:rFonts w:ascii="宋体" w:hAnsi="Courier New" w:eastAsia="宋体" w:cs="Courier New"/>
      <w:szCs w:val="21"/>
    </w:rPr>
  </w:style>
  <w:style w:type="paragraph" w:styleId="984">
    <w:name w:val="目录 8"/>
    <w:basedOn w:val="943"/>
    <w:next w:val="943"/>
    <w:link w:val="943"/>
    <w:uiPriority w:val="39"/>
    <w:qFormat/>
    <w:pPr>
      <w:ind w:left="1470"/>
      <w:jc w:val="left"/>
    </w:pPr>
  </w:style>
  <w:style w:type="paragraph" w:styleId="985">
    <w:name w:val="日期"/>
    <w:basedOn w:val="943"/>
    <w:next w:val="943"/>
    <w:link w:val="986"/>
    <w:rPr>
      <w:sz w:val="24"/>
      <w:szCs w:val="24"/>
      <w:lang w:val="en-US" w:eastAsia="en-US"/>
    </w:rPr>
  </w:style>
  <w:style w:type="character" w:styleId="986">
    <w:name w:val="日期 Char"/>
    <w:next w:val="986"/>
    <w:link w:val="985"/>
    <w:rPr>
      <w:rFonts w:ascii="Times New Roman" w:hAnsi="Times New Roman" w:eastAsia="宋体" w:cs="Times New Roman"/>
      <w:sz w:val="24"/>
      <w:szCs w:val="24"/>
    </w:rPr>
  </w:style>
  <w:style w:type="paragraph" w:styleId="987">
    <w:name w:val="正文文本缩进 2"/>
    <w:basedOn w:val="943"/>
    <w:next w:val="987"/>
    <w:link w:val="988"/>
    <w:pPr>
      <w:ind w:left="630" w:firstLine="645"/>
    </w:pPr>
    <w:rPr>
      <w:rFonts w:ascii="Arial" w:hAnsi="Arial" w:eastAsia="仿宋_GB2312"/>
      <w:sz w:val="32"/>
      <w:szCs w:val="32"/>
      <w:lang w:val="en-US" w:eastAsia="en-US"/>
    </w:rPr>
  </w:style>
  <w:style w:type="character" w:styleId="988">
    <w:name w:val="正文文本缩进 2 Char"/>
    <w:next w:val="988"/>
    <w:link w:val="987"/>
    <w:rPr>
      <w:rFonts w:ascii="Arial" w:hAnsi="Arial" w:eastAsia="仿宋_GB2312" w:cs="Arial"/>
      <w:sz w:val="32"/>
      <w:szCs w:val="32"/>
    </w:rPr>
  </w:style>
  <w:style w:type="paragraph" w:styleId="989">
    <w:name w:val="批注框文本"/>
    <w:basedOn w:val="943"/>
    <w:next w:val="989"/>
    <w:link w:val="990"/>
    <w:uiPriority w:val="99"/>
    <w:semiHidden/>
    <w:qFormat/>
    <w:rPr>
      <w:sz w:val="18"/>
      <w:szCs w:val="18"/>
      <w:lang w:val="en-US" w:eastAsia="en-US"/>
    </w:rPr>
  </w:style>
  <w:style w:type="character" w:styleId="990">
    <w:name w:val="批注框文本 Char"/>
    <w:next w:val="990"/>
    <w:link w:val="989"/>
    <w:uiPriority w:val="99"/>
    <w:semiHidden/>
    <w:qFormat/>
    <w:rPr>
      <w:rFonts w:ascii="Times New Roman" w:hAnsi="Times New Roman" w:eastAsia="宋体" w:cs="Times New Roman"/>
      <w:sz w:val="18"/>
      <w:szCs w:val="18"/>
    </w:rPr>
  </w:style>
  <w:style w:type="paragraph" w:styleId="991">
    <w:name w:val="页脚"/>
    <w:basedOn w:val="943"/>
    <w:next w:val="991"/>
    <w:link w:val="992"/>
    <w:uiPriority w:val="99"/>
    <w:pPr>
      <w:jc w:val="left"/>
      <w:tabs>
        <w:tab w:val="center" w:pos="4153" w:leader="none"/>
        <w:tab w:val="right" w:pos="8306" w:leader="none"/>
      </w:tabs>
    </w:pPr>
    <w:rPr>
      <w:sz w:val="18"/>
      <w:szCs w:val="18"/>
      <w:lang w:val="en-US" w:eastAsia="en-US"/>
    </w:rPr>
  </w:style>
  <w:style w:type="character" w:styleId="992">
    <w:name w:val="页脚 Char"/>
    <w:next w:val="992"/>
    <w:link w:val="991"/>
    <w:uiPriority w:val="99"/>
    <w:rPr>
      <w:rFonts w:ascii="Times New Roman" w:hAnsi="Times New Roman" w:eastAsia="宋体" w:cs="Times New Roman"/>
      <w:sz w:val="18"/>
      <w:szCs w:val="18"/>
    </w:rPr>
  </w:style>
  <w:style w:type="paragraph" w:styleId="993">
    <w:name w:val="页眉"/>
    <w:basedOn w:val="943"/>
    <w:next w:val="993"/>
    <w:link w:val="99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94">
    <w:name w:val="页眉 Char"/>
    <w:next w:val="994"/>
    <w:link w:val="993"/>
    <w:uiPriority w:val="99"/>
    <w:qFormat/>
    <w:rPr>
      <w:rFonts w:ascii="Times New Roman" w:hAnsi="Times New Roman" w:eastAsia="宋体" w:cs="Times New Roman"/>
      <w:sz w:val="18"/>
      <w:szCs w:val="18"/>
    </w:rPr>
  </w:style>
  <w:style w:type="paragraph" w:styleId="995">
    <w:name w:val="目录 1"/>
    <w:basedOn w:val="943"/>
    <w:next w:val="943"/>
    <w:link w:val="943"/>
    <w:uiPriority w:val="39"/>
    <w:qFormat/>
    <w:pPr>
      <w:jc w:val="left"/>
      <w:spacing w:before="120" w:after="120" w:line="400" w:lineRule="exact"/>
      <w:tabs>
        <w:tab w:val="right" w:pos="8720" w:leader="dot"/>
      </w:tabs>
    </w:pPr>
    <w:rPr>
      <w:rFonts w:ascii="宋体" w:hAnsi="宋体"/>
      <w:caps/>
      <w:sz w:val="24"/>
      <w:szCs w:val="24"/>
    </w:rPr>
  </w:style>
  <w:style w:type="paragraph" w:styleId="996">
    <w:name w:val="目录 4"/>
    <w:basedOn w:val="943"/>
    <w:next w:val="943"/>
    <w:link w:val="943"/>
    <w:uiPriority w:val="39"/>
    <w:qFormat/>
    <w:pPr>
      <w:ind w:left="630"/>
      <w:jc w:val="left"/>
    </w:pPr>
  </w:style>
  <w:style w:type="paragraph" w:styleId="997">
    <w:name w:val="列表"/>
    <w:basedOn w:val="943"/>
    <w:next w:val="997"/>
    <w:link w:val="943"/>
    <w:pPr>
      <w:ind w:left="200" w:hanging="200"/>
    </w:pPr>
  </w:style>
  <w:style w:type="paragraph" w:styleId="998">
    <w:name w:val="目录 6"/>
    <w:basedOn w:val="943"/>
    <w:next w:val="943"/>
    <w:link w:val="943"/>
    <w:uiPriority w:val="39"/>
    <w:qFormat/>
    <w:pPr>
      <w:ind w:left="1050"/>
      <w:jc w:val="left"/>
    </w:pPr>
  </w:style>
  <w:style w:type="paragraph" w:styleId="999">
    <w:name w:val="正文文本缩进 3"/>
    <w:basedOn w:val="943"/>
    <w:next w:val="999"/>
    <w:link w:val="1000"/>
    <w:pPr>
      <w:ind w:left="645" w:firstLine="645"/>
    </w:pPr>
    <w:rPr>
      <w:rFonts w:ascii="Arial" w:hAnsi="Arial" w:eastAsia="仿宋_GB2312"/>
      <w:color w:val="ffff00"/>
      <w:sz w:val="32"/>
      <w:szCs w:val="32"/>
      <w:lang w:val="en-US" w:eastAsia="en-US"/>
    </w:rPr>
  </w:style>
  <w:style w:type="character" w:styleId="1000">
    <w:name w:val="正文文本缩进 3 Char"/>
    <w:next w:val="1000"/>
    <w:link w:val="999"/>
    <w:rPr>
      <w:rFonts w:ascii="Arial" w:hAnsi="Arial" w:eastAsia="仿宋_GB2312" w:cs="Arial"/>
      <w:color w:val="ffff00"/>
      <w:sz w:val="32"/>
      <w:szCs w:val="32"/>
    </w:rPr>
  </w:style>
  <w:style w:type="paragraph" w:styleId="1001">
    <w:name w:val="图表目录"/>
    <w:basedOn w:val="943"/>
    <w:next w:val="943"/>
    <w:link w:val="943"/>
    <w:uiPriority w:val="99"/>
    <w:qFormat/>
    <w:pPr>
      <w:ind w:left="840" w:hanging="420"/>
    </w:pPr>
  </w:style>
  <w:style w:type="paragraph" w:styleId="1002">
    <w:name w:val="目录 2"/>
    <w:basedOn w:val="943"/>
    <w:next w:val="943"/>
    <w:link w:val="943"/>
    <w:uiPriority w:val="39"/>
    <w:qFormat/>
    <w:pPr>
      <w:ind w:left="210"/>
      <w:jc w:val="left"/>
    </w:pPr>
    <w:rPr>
      <w:smallCaps/>
      <w:szCs w:val="24"/>
    </w:rPr>
  </w:style>
  <w:style w:type="paragraph" w:styleId="1003">
    <w:name w:val="目录 9"/>
    <w:basedOn w:val="943"/>
    <w:next w:val="943"/>
    <w:link w:val="943"/>
    <w:uiPriority w:val="39"/>
    <w:qFormat/>
    <w:pPr>
      <w:ind w:left="1680"/>
      <w:jc w:val="left"/>
    </w:pPr>
  </w:style>
  <w:style w:type="paragraph" w:styleId="1004">
    <w:name w:val="正文文本 2"/>
    <w:basedOn w:val="943"/>
    <w:next w:val="1004"/>
    <w:link w:val="1005"/>
    <w:pPr>
      <w:jc w:val="center"/>
      <w:widowControl/>
    </w:pPr>
    <w:rPr>
      <w:rFonts w:ascii="楷体_GB2312" w:eastAsia="楷体_GB2312"/>
      <w:sz w:val="28"/>
      <w:szCs w:val="28"/>
      <w:lang w:val="en-US" w:eastAsia="en-US"/>
    </w:rPr>
  </w:style>
  <w:style w:type="character" w:styleId="1005">
    <w:name w:val="正文文本 2 Char"/>
    <w:next w:val="1005"/>
    <w:link w:val="1004"/>
    <w:rPr>
      <w:rFonts w:ascii="楷体_GB2312" w:hAnsi="Times New Roman" w:eastAsia="楷体_GB2312" w:cs="Times New Roman"/>
      <w:sz w:val="28"/>
      <w:szCs w:val="28"/>
    </w:rPr>
  </w:style>
  <w:style w:type="paragraph" w:styleId="1006">
    <w:name w:val="普通(网站)"/>
    <w:basedOn w:val="943"/>
    <w:next w:val="1006"/>
    <w:link w:val="943"/>
    <w:uiPriority w:val="99"/>
    <w:pPr>
      <w:jc w:val="left"/>
      <w:spacing w:before="100" w:beforeAutospacing="1" w:after="100" w:afterAutospacing="1"/>
      <w:widowControl/>
    </w:pPr>
    <w:rPr>
      <w:rFonts w:ascii="宋体" w:hAnsi="宋体" w:cs="宋体"/>
      <w:sz w:val="24"/>
      <w:szCs w:val="24"/>
    </w:rPr>
  </w:style>
  <w:style w:type="paragraph" w:styleId="1007">
    <w:name w:val="索引 1"/>
    <w:basedOn w:val="943"/>
    <w:next w:val="943"/>
    <w:link w:val="943"/>
    <w:semiHidden/>
    <w:pPr>
      <w:spacing w:line="240" w:lineRule="atLeast"/>
    </w:pPr>
    <w:rPr>
      <w:b/>
      <w:bCs/>
    </w:rPr>
  </w:style>
  <w:style w:type="paragraph" w:styleId="1008">
    <w:name w:val="批注主题"/>
    <w:basedOn w:val="971"/>
    <w:next w:val="971"/>
    <w:link w:val="1009"/>
    <w:uiPriority w:val="99"/>
    <w:semiHidden/>
    <w:qFormat/>
    <w:rPr>
      <w:b/>
      <w:bCs/>
    </w:rPr>
  </w:style>
  <w:style w:type="character" w:styleId="1009">
    <w:name w:val="批注主题 Char"/>
    <w:next w:val="1009"/>
    <w:link w:val="1008"/>
    <w:uiPriority w:val="99"/>
    <w:semiHidden/>
    <w:qFormat/>
    <w:rPr>
      <w:rFonts w:ascii="Times New Roman" w:hAnsi="Times New Roman" w:eastAsia="宋体" w:cs="Times New Roman"/>
      <w:b/>
      <w:bCs/>
      <w:szCs w:val="21"/>
    </w:rPr>
  </w:style>
  <w:style w:type="paragraph" w:styleId="1010">
    <w:name w:val="正文首行缩进"/>
    <w:basedOn w:val="943"/>
    <w:next w:val="1010"/>
    <w:link w:val="1011"/>
    <w:pPr>
      <w:ind w:firstLine="200"/>
      <w:spacing w:line="360" w:lineRule="auto"/>
    </w:pPr>
    <w:rPr>
      <w:rFonts w:ascii="仿宋_GB2312" w:eastAsia="仿宋_GB2312"/>
      <w:sz w:val="30"/>
      <w:szCs w:val="30"/>
      <w:lang w:val="en-US" w:eastAsia="en-US"/>
    </w:rPr>
  </w:style>
  <w:style w:type="character" w:styleId="1011">
    <w:name w:val="正文首行缩进 Char"/>
    <w:next w:val="1011"/>
    <w:link w:val="1010"/>
    <w:rPr>
      <w:rFonts w:ascii="仿宋_GB2312" w:hAnsi="Times New Roman" w:eastAsia="仿宋_GB2312" w:cs="Times New Roman"/>
      <w:sz w:val="30"/>
      <w:szCs w:val="30"/>
    </w:rPr>
  </w:style>
  <w:style w:type="paragraph" w:styleId="1012">
    <w:name w:val="正文首行缩进 2"/>
    <w:basedOn w:val="977"/>
    <w:next w:val="1012"/>
    <w:link w:val="1013"/>
    <w:pPr>
      <w:ind w:firstLine="420"/>
      <w:spacing w:line="360" w:lineRule="auto"/>
    </w:pPr>
    <w:rPr>
      <w:rFonts w:ascii="宋体" w:hAnsi="宋体" w:eastAsia="宋体"/>
      <w:szCs w:val="20"/>
    </w:rPr>
  </w:style>
  <w:style w:type="character" w:styleId="1013">
    <w:name w:val="正文首行缩进 2 Char"/>
    <w:next w:val="1013"/>
    <w:link w:val="1012"/>
    <w:rPr>
      <w:rFonts w:ascii="宋体" w:hAnsi="宋体" w:eastAsia="宋体" w:cs="Times New Roman"/>
      <w:sz w:val="32"/>
      <w:szCs w:val="20"/>
    </w:rPr>
  </w:style>
  <w:style w:type="table" w:styleId="1014">
    <w:name w:val="网格型"/>
    <w:basedOn w:val="954"/>
    <w:next w:val="1014"/>
    <w:link w:val="943"/>
    <w:uiPriority w:val="59"/>
    <w:qFormat/>
    <w:pPr>
      <w:jc w:val="both"/>
      <w:widowControl w:val="off"/>
    </w:pPr>
    <w:rPr>
      <w:rFonts w:ascii="Times New Roman" w:hAnsi="Times New Roman" w:eastAsia="宋体" w:cs="Times New Roman"/>
      <w:sz w:val="20"/>
      <w:szCs w:val="20"/>
    </w:rPr>
    <w:tblPr/>
  </w:style>
  <w:style w:type="character" w:styleId="1015">
    <w:name w:val="要点"/>
    <w:next w:val="1015"/>
    <w:link w:val="943"/>
    <w:qFormat/>
    <w:rPr>
      <w:b/>
      <w:bCs/>
    </w:rPr>
  </w:style>
  <w:style w:type="character" w:styleId="1016">
    <w:name w:val="页码"/>
    <w:next w:val="1016"/>
    <w:link w:val="943"/>
  </w:style>
  <w:style w:type="character" w:styleId="1017">
    <w:name w:val="已访问的超链接"/>
    <w:next w:val="1017"/>
    <w:link w:val="943"/>
    <w:rPr>
      <w:color w:val="800080"/>
      <w:u w:val="single"/>
    </w:rPr>
  </w:style>
  <w:style w:type="character" w:styleId="1018">
    <w:name w:val="HTML 打字机"/>
    <w:next w:val="1018"/>
    <w:link w:val="943"/>
    <w:uiPriority w:val="99"/>
    <w:rPr>
      <w:rFonts w:ascii="宋体" w:hAnsi="宋体" w:eastAsia="宋体" w:cs="宋体"/>
      <w:sz w:val="24"/>
      <w:szCs w:val="24"/>
    </w:rPr>
  </w:style>
  <w:style w:type="character" w:styleId="1019">
    <w:name w:val="超链接"/>
    <w:next w:val="1019"/>
    <w:link w:val="943"/>
    <w:uiPriority w:val="99"/>
    <w:qFormat/>
    <w:rPr>
      <w:color w:val="0000ff"/>
      <w:u w:val="single"/>
    </w:rPr>
  </w:style>
  <w:style w:type="character" w:styleId="1020">
    <w:name w:val="批注引用"/>
    <w:next w:val="1020"/>
    <w:link w:val="943"/>
    <w:uiPriority w:val="99"/>
    <w:semiHidden/>
    <w:qFormat/>
    <w:rPr>
      <w:sz w:val="21"/>
      <w:szCs w:val="21"/>
    </w:rPr>
  </w:style>
  <w:style w:type="character" w:styleId="1021">
    <w:name w:val="font5 Char"/>
    <w:next w:val="1021"/>
    <w:link w:val="943"/>
    <w:rPr>
      <w:rFonts w:ascii="宋体" w:hAnsi="宋体" w:eastAsia="宋体"/>
      <w:sz w:val="28"/>
      <w:szCs w:val="28"/>
      <w:lang w:val="en-US" w:eastAsia="zh-CN" w:bidi="ar-SA"/>
    </w:rPr>
  </w:style>
  <w:style w:type="character" w:styleId="1022">
    <w:name w:val="二级目录 Char"/>
    <w:next w:val="1022"/>
    <w:link w:val="1023"/>
    <w:rPr>
      <w:b/>
      <w:sz w:val="30"/>
      <w:szCs w:val="28"/>
      <w:lang w:val="en-US" w:eastAsia="zh-CN" w:bidi="ar-SA"/>
    </w:rPr>
  </w:style>
  <w:style w:type="paragraph" w:styleId="1023">
    <w:name w:val="二级目录"/>
    <w:next w:val="943"/>
    <w:link w:val="1022"/>
    <w:pPr>
      <w:numPr>
        <w:ilvl w:val="0"/>
        <w:numId w:val="2"/>
      </w:numPr>
      <w:tabs>
        <w:tab w:val="left" w:pos="907" w:leader="none"/>
        <w:tab w:val="left" w:pos="1145" w:leader="none"/>
      </w:tabs>
      <w:outlineLvl w:val="1"/>
    </w:pPr>
    <w:rPr>
      <w:b/>
      <w:sz w:val="30"/>
      <w:szCs w:val="28"/>
      <w:lang w:val="en-US" w:eastAsia="zh-CN" w:bidi="ar-SA"/>
    </w:rPr>
  </w:style>
  <w:style w:type="character" w:styleId="1024">
    <w:name w:val="列出段落 Char,Bullet List Char,numbered Char,FooterText Char,List Paragraph1 Char,Paragraphe de liste1 Char"/>
    <w:next w:val="1024"/>
    <w:link w:val="1025"/>
    <w:rPr>
      <w:rFonts w:ascii="Calibri" w:hAnsi="Calibri"/>
      <w:sz w:val="24"/>
      <w:szCs w:val="24"/>
      <w:lang w:eastAsia="en-US" w:bidi="en-US"/>
    </w:rPr>
  </w:style>
  <w:style w:type="paragraph" w:styleId="1025">
    <w:name w:val="列出段落1"/>
    <w:basedOn w:val="943"/>
    <w:next w:val="1025"/>
    <w:link w:val="1024"/>
    <w:qFormat/>
    <w:pPr>
      <w:contextualSpacing/>
      <w:ind w:left="720"/>
      <w:jc w:val="left"/>
      <w:widowControl/>
    </w:pPr>
    <w:rPr>
      <w:rFonts w:ascii="Calibri" w:hAnsi="Calibri"/>
      <w:sz w:val="24"/>
      <w:szCs w:val="24"/>
      <w:lang w:val="en-US" w:eastAsia="en-US" w:bidi="en-US"/>
    </w:rPr>
  </w:style>
  <w:style w:type="paragraph" w:styleId="1026">
    <w:name w:val="Body Text(ch)"/>
    <w:basedOn w:val="943"/>
    <w:next w:val="975"/>
    <w:link w:val="943"/>
    <w:pPr>
      <w:spacing w:after="120"/>
    </w:pPr>
    <w:rPr>
      <w:rFonts w:ascii="宋体" w:hAnsi="Arial"/>
      <w:bCs/>
      <w:iCs/>
      <w:szCs w:val="24"/>
    </w:rPr>
  </w:style>
  <w:style w:type="paragraph" w:styleId="1027">
    <w:name w:val="xl27"/>
    <w:basedOn w:val="943"/>
    <w:next w:val="1027"/>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xl26"/>
    <w:basedOn w:val="943"/>
    <w:next w:val="1028"/>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name w:val="Char"/>
    <w:basedOn w:val="943"/>
    <w:next w:val="1029"/>
    <w:link w:val="943"/>
    <w:pPr>
      <w:ind w:firstLine="200"/>
      <w:tabs>
        <w:tab w:val="left" w:pos="360" w:leader="none"/>
      </w:tabs>
    </w:pPr>
    <w:rPr>
      <w:sz w:val="28"/>
      <w:szCs w:val="30"/>
    </w:rPr>
  </w:style>
  <w:style w:type="paragraph" w:styleId="1030">
    <w:name w:val=" Char"/>
    <w:basedOn w:val="969"/>
    <w:next w:val="1030"/>
    <w:link w:val="943"/>
    <w:rPr>
      <w:rFonts w:ascii="Tahoma" w:hAnsi="Tahoma"/>
      <w:sz w:val="24"/>
      <w:szCs w:val="24"/>
    </w:rPr>
  </w:style>
  <w:style w:type="paragraph" w:styleId="1031">
    <w:name w:val="普通正文"/>
    <w:basedOn w:val="943"/>
    <w:next w:val="1031"/>
    <w:link w:val="943"/>
    <w:pPr>
      <w:ind w:firstLine="480"/>
      <w:jc w:val="left"/>
      <w:spacing w:before="120" w:after="120" w:line="360" w:lineRule="auto"/>
    </w:pPr>
    <w:rPr>
      <w:rFonts w:ascii="Arial" w:hAnsi="Arial"/>
      <w:sz w:val="24"/>
      <w:szCs w:val="24"/>
    </w:rPr>
  </w:style>
  <w:style w:type="paragraph" w:styleId="1032">
    <w:name w:val="table_lines"/>
    <w:basedOn w:val="943"/>
    <w:next w:val="1032"/>
    <w:link w:val="943"/>
    <w:pPr>
      <w:jc w:val="left"/>
      <w:widowControl/>
    </w:pPr>
    <w:rPr>
      <w:sz w:val="20"/>
      <w:szCs w:val="20"/>
      <w:lang w:val="de-DE" w:eastAsia="de-DE"/>
    </w:rPr>
  </w:style>
  <w:style w:type="paragraph" w:styleId="1033">
    <w:name w:val="附录1"/>
    <w:next w:val="1033"/>
    <w:link w:val="94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4">
    <w:name w:val="font7"/>
    <w:basedOn w:val="943"/>
    <w:next w:val="1034"/>
    <w:link w:val="943"/>
    <w:pPr>
      <w:jc w:val="left"/>
      <w:spacing w:before="100" w:beforeAutospacing="1" w:after="100" w:afterAutospacing="1"/>
      <w:widowControl/>
    </w:pPr>
    <w:rPr>
      <w:rFonts w:hint="eastAsia" w:ascii="宋体" w:hAnsi="宋体"/>
      <w:sz w:val="18"/>
      <w:szCs w:val="18"/>
    </w:rPr>
  </w:style>
  <w:style w:type="paragraph" w:styleId="1035">
    <w:name w:val=" Char Char Char Char"/>
    <w:basedOn w:val="969"/>
    <w:next w:val="1035"/>
    <w:link w:val="943"/>
    <w:pPr>
      <w:spacing w:line="360" w:lineRule="auto"/>
    </w:pPr>
    <w:rPr>
      <w:rFonts w:ascii="Tahoma" w:hAnsi="Tahoma"/>
      <w:sz w:val="24"/>
      <w:szCs w:val="24"/>
    </w:rPr>
  </w:style>
  <w:style w:type="paragraph" w:styleId="1036">
    <w:name w:val="列出段落"/>
    <w:basedOn w:val="943"/>
    <w:next w:val="1036"/>
    <w:link w:val="943"/>
    <w:uiPriority w:val="34"/>
    <w:qFormat/>
    <w:pPr>
      <w:contextualSpacing/>
      <w:ind w:left="720"/>
      <w:jc w:val="left"/>
      <w:widowControl/>
    </w:pPr>
    <w:rPr>
      <w:rFonts w:ascii="Calibri" w:hAnsi="Calibri"/>
      <w:sz w:val="24"/>
      <w:szCs w:val="24"/>
      <w:lang w:eastAsia="en-US" w:bidi="en-US"/>
    </w:rPr>
  </w:style>
  <w:style w:type="paragraph" w:styleId="1037">
    <w:name w:val="4"/>
    <w:basedOn w:val="943"/>
    <w:next w:val="999"/>
    <w:link w:val="943"/>
    <w:pPr>
      <w:ind w:firstLine="420"/>
      <w:spacing w:line="360" w:lineRule="auto"/>
    </w:pPr>
    <w:rPr>
      <w:color w:val="ff0000"/>
      <w:sz w:val="24"/>
      <w:szCs w:val="24"/>
    </w:rPr>
  </w:style>
  <w:style w:type="paragraph" w:styleId="1038">
    <w:name w:val="普通 (Web)"/>
    <w:basedOn w:val="943"/>
    <w:next w:val="1038"/>
    <w:link w:val="943"/>
    <w:pPr>
      <w:jc w:val="left"/>
      <w:spacing w:before="100" w:beforeAutospacing="1" w:after="100" w:afterAutospacing="1"/>
      <w:widowControl/>
    </w:pPr>
    <w:rPr>
      <w:rFonts w:ascii="宋体" w:hAnsi="宋体"/>
      <w:sz w:val="24"/>
      <w:szCs w:val="24"/>
    </w:rPr>
  </w:style>
  <w:style w:type="paragraph" w:styleId="1039">
    <w:name w:val=" Char Char Char Char Char Char Char Char Char Char"/>
    <w:basedOn w:val="943"/>
    <w:next w:val="1039"/>
    <w:link w:val="943"/>
    <w:pPr>
      <w:spacing w:line="360" w:lineRule="auto"/>
    </w:pPr>
    <w:rPr>
      <w:sz w:val="24"/>
      <w:szCs w:val="20"/>
    </w:rPr>
  </w:style>
  <w:style w:type="paragraph" w:styleId="1040">
    <w:name w:val="样式1"/>
    <w:basedOn w:val="943"/>
    <w:next w:val="1040"/>
    <w:link w:val="943"/>
    <w:pPr>
      <w:numPr>
        <w:ilvl w:val="0"/>
        <w:numId w:val="3"/>
      </w:numPr>
      <w:tabs>
        <w:tab w:val="left" w:pos="709" w:leader="none"/>
      </w:tabs>
    </w:pPr>
    <w:rPr>
      <w:rFonts w:ascii="宋体" w:hAnsi="宋体"/>
    </w:rPr>
  </w:style>
  <w:style w:type="paragraph" w:styleId="1041">
    <w:name w:val="font6"/>
    <w:basedOn w:val="943"/>
    <w:next w:val="1041"/>
    <w:link w:val="943"/>
    <w:pPr>
      <w:jc w:val="left"/>
      <w:spacing w:before="100" w:beforeAutospacing="1" w:after="100" w:afterAutospacing="1"/>
      <w:widowControl/>
    </w:pPr>
    <w:rPr>
      <w:rFonts w:hint="eastAsia" w:ascii="宋体" w:hAnsi="宋体"/>
      <w:sz w:val="28"/>
      <w:szCs w:val="28"/>
      <w:u w:val="single"/>
    </w:rPr>
  </w:style>
  <w:style w:type="paragraph" w:styleId="1042">
    <w:name w:val="xl25"/>
    <w:basedOn w:val="943"/>
    <w:next w:val="1042"/>
    <w:link w:val="9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name w:val="图标"/>
    <w:basedOn w:val="943"/>
    <w:next w:val="943"/>
    <w:link w:val="9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name w:val="标题3"/>
    <w:basedOn w:val="943"/>
    <w:next w:val="943"/>
    <w:link w:val="943"/>
    <w:pPr>
      <w:ind w:firstLine="624"/>
      <w:spacing w:line="590" w:lineRule="atLeast"/>
    </w:pPr>
    <w:rPr>
      <w:rFonts w:ascii="方正黑体_GBK" w:eastAsia="方正黑体_GBK"/>
      <w:sz w:val="32"/>
      <w:szCs w:val="32"/>
    </w:rPr>
  </w:style>
  <w:style w:type="paragraph" w:styleId="1045">
    <w:name w:val="xl24"/>
    <w:basedOn w:val="943"/>
    <w:next w:val="1045"/>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name w:val="xl29"/>
    <w:basedOn w:val="943"/>
    <w:next w:val="1046"/>
    <w:link w:val="9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name w:val="Char Char Char Char Char Char Char Char"/>
    <w:basedOn w:val="943"/>
    <w:next w:val="1047"/>
    <w:link w:val="943"/>
    <w:pPr>
      <w:jc w:val="left"/>
      <w:spacing w:after="160" w:line="240" w:lineRule="exact"/>
      <w:widowControl/>
    </w:pPr>
    <w:rPr>
      <w:rFonts w:ascii="Verdana" w:hAnsi="Verdana"/>
      <w:sz w:val="20"/>
      <w:szCs w:val="20"/>
      <w:lang w:eastAsia="en-US"/>
    </w:rPr>
  </w:style>
  <w:style w:type="paragraph" w:styleId="1048">
    <w:name w:val="xl28"/>
    <w:basedOn w:val="943"/>
    <w:next w:val="1048"/>
    <w:link w:val="9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name w:val=" Char Char Char Char Char Char Char Char"/>
    <w:basedOn w:val="943"/>
    <w:next w:val="1049"/>
    <w:link w:val="943"/>
    <w:pPr>
      <w:jc w:val="left"/>
      <w:spacing w:after="160" w:line="240" w:lineRule="exact"/>
      <w:widowControl/>
    </w:pPr>
    <w:rPr>
      <w:rFonts w:ascii="Verdana" w:hAnsi="Verdana"/>
      <w:sz w:val="20"/>
      <w:szCs w:val="20"/>
      <w:lang w:eastAsia="en-US"/>
    </w:rPr>
  </w:style>
  <w:style w:type="paragraph" w:styleId="1050">
    <w:name w:val="xl30"/>
    <w:basedOn w:val="943"/>
    <w:next w:val="1050"/>
    <w:link w:val="943"/>
    <w:pPr>
      <w:jc w:val="center"/>
      <w:spacing w:before="100" w:beforeAutospacing="1" w:after="100" w:afterAutospacing="1"/>
      <w:widowControl/>
    </w:pPr>
    <w:rPr>
      <w:rFonts w:ascii="宋体" w:hAnsi="宋体"/>
      <w:b/>
      <w:bCs/>
      <w:sz w:val="36"/>
      <w:szCs w:val="36"/>
    </w:rPr>
  </w:style>
  <w:style w:type="paragraph" w:styleId="1051">
    <w:name w:val="Char Char Char Char"/>
    <w:basedOn w:val="969"/>
    <w:next w:val="1051"/>
    <w:link w:val="943"/>
    <w:pPr>
      <w:spacing w:line="360" w:lineRule="auto"/>
    </w:pPr>
    <w:rPr>
      <w:rFonts w:ascii="Tahoma" w:hAnsi="Tahoma"/>
      <w:sz w:val="24"/>
      <w:szCs w:val="24"/>
    </w:rPr>
  </w:style>
  <w:style w:type="paragraph" w:styleId="1052">
    <w:name w:val="table_1stline"/>
    <w:basedOn w:val="943"/>
    <w:next w:val="1052"/>
    <w:link w:val="943"/>
    <w:pPr>
      <w:jc w:val="left"/>
      <w:spacing w:before="120"/>
      <w:widowControl/>
    </w:pPr>
    <w:rPr>
      <w:bCs/>
      <w:sz w:val="20"/>
      <w:szCs w:val="20"/>
      <w:lang w:val="de-DE" w:eastAsia="de-DE"/>
    </w:rPr>
  </w:style>
  <w:style w:type="paragraph" w:styleId="1053">
    <w:name w:val="font5"/>
    <w:basedOn w:val="943"/>
    <w:next w:val="1053"/>
    <w:link w:val="943"/>
    <w:pPr>
      <w:jc w:val="left"/>
      <w:spacing w:before="100" w:beforeAutospacing="1" w:after="100" w:afterAutospacing="1"/>
      <w:widowControl/>
    </w:pPr>
    <w:rPr>
      <w:rFonts w:hint="eastAsia" w:ascii="宋体" w:hAnsi="宋体"/>
      <w:sz w:val="28"/>
      <w:szCs w:val="28"/>
    </w:rPr>
  </w:style>
  <w:style w:type="paragraph" w:styleId="1054">
    <w:name w:val="标题1"/>
    <w:basedOn w:val="943"/>
    <w:next w:val="943"/>
    <w:link w:val="94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name w:val="修订"/>
    <w:next w:val="1055"/>
    <w:link w:val="943"/>
    <w:uiPriority w:val="99"/>
    <w:semiHidden/>
    <w:rPr>
      <w:rFonts w:ascii="Times New Roman" w:hAnsi="Times New Roman"/>
      <w:sz w:val="21"/>
      <w:szCs w:val="21"/>
      <w:lang w:val="en-US" w:eastAsia="zh-CN" w:bidi="ar-SA"/>
    </w:rPr>
  </w:style>
  <w:style w:type="paragraph" w:styleId="1056">
    <w:name w:val="无间隔"/>
    <w:next w:val="1056"/>
    <w:link w:val="943"/>
    <w:uiPriority w:val="1"/>
    <w:qFormat/>
    <w:pPr>
      <w:jc w:val="both"/>
      <w:widowControl w:val="off"/>
    </w:pPr>
    <w:rPr>
      <w:rFonts w:ascii="Times New Roman" w:hAnsi="Times New Roman"/>
      <w:sz w:val="21"/>
      <w:szCs w:val="21"/>
      <w:lang w:val="en-US" w:eastAsia="zh-CN" w:bidi="ar-SA"/>
    </w:rPr>
  </w:style>
  <w:style w:type="paragraph" w:styleId="1057">
    <w:name w:val="普通文字"/>
    <w:basedOn w:val="943"/>
    <w:next w:val="943"/>
    <w:link w:val="943"/>
    <w:uiPriority w:val="99"/>
    <w:rPr>
      <w:rFonts w:ascii="宋体" w:hAnsi="Times New Roman" w:eastAsia="宋体" w:cs="Times New Roman"/>
      <w:sz w:val="24"/>
      <w:szCs w:val="20"/>
      <w:u w:val="none"/>
    </w:rPr>
  </w:style>
  <w:style w:type="paragraph" w:styleId="1058">
    <w:name w:val="目录 111"/>
    <w:basedOn w:val="943"/>
    <w:next w:val="943"/>
    <w:link w:val="943"/>
    <w:uiPriority w:val="39"/>
    <w:unhideWhenUsed/>
    <w:qFormat/>
    <w:pPr>
      <w:jc w:val="left"/>
      <w:spacing w:after="100" w:line="259" w:lineRule="auto"/>
      <w:widowControl/>
    </w:pPr>
    <w:rPr>
      <w:rFonts w:ascii="Calibri" w:hAnsi="Calibri" w:eastAsia="宋体"/>
      <w:sz w:val="22"/>
      <w:szCs w:val="22"/>
    </w:rPr>
  </w:style>
  <w:style w:type="character" w:styleId="1059">
    <w:name w:val="font01"/>
    <w:basedOn w:val="953"/>
    <w:next w:val="1059"/>
    <w:link w:val="943"/>
    <w:qFormat/>
    <w:rPr>
      <w:rFonts w:hint="eastAsia" w:ascii="宋体" w:hAnsi="宋体" w:eastAsia="宋体" w:cs="宋体"/>
      <w:color w:val="000000"/>
      <w:sz w:val="22"/>
      <w:szCs w:val="22"/>
      <w:u w:val="none"/>
    </w:rPr>
  </w:style>
  <w:style w:type="character" w:styleId="1060">
    <w:name w:val="font31"/>
    <w:basedOn w:val="953"/>
    <w:next w:val="1060"/>
    <w:link w:val="943"/>
    <w:qFormat/>
    <w:rPr>
      <w:rFonts w:hint="eastAsia" w:ascii="宋体" w:hAnsi="宋体" w:eastAsia="宋体" w:cs="宋体"/>
      <w:color w:val="000000"/>
      <w:sz w:val="21"/>
      <w:szCs w:val="21"/>
      <w:u w:val="none"/>
    </w:rPr>
  </w:style>
  <w:style w:type="paragraph" w:styleId="1061">
    <w:name w:val="尾注文本"/>
    <w:basedOn w:val="943"/>
    <w:next w:val="1061"/>
    <w:link w:val="1062"/>
    <w:uiPriority w:val="99"/>
    <w:unhideWhenUsed/>
    <w:qFormat/>
    <w:rPr>
      <w:rFonts w:ascii="Calibri" w:hAnsi="Calibri"/>
      <w:sz w:val="20"/>
      <w:szCs w:val="24"/>
    </w:rPr>
  </w:style>
  <w:style w:type="character" w:styleId="1062">
    <w:name w:val="尾注文本 Char"/>
    <w:basedOn w:val="953"/>
    <w:next w:val="1062"/>
    <w:link w:val="1061"/>
    <w:uiPriority w:val="99"/>
    <w:qFormat/>
    <w:rPr>
      <w:szCs w:val="24"/>
    </w:rPr>
  </w:style>
  <w:style w:type="paragraph" w:styleId="1063">
    <w:name w:val="副标题"/>
    <w:basedOn w:val="943"/>
    <w:next w:val="943"/>
    <w:link w:val="1064"/>
    <w:uiPriority w:val="11"/>
    <w:qFormat/>
    <w:pPr>
      <w:spacing w:before="200" w:after="200"/>
    </w:pPr>
    <w:rPr>
      <w:rFonts w:ascii="Calibri" w:hAnsi="Calibri"/>
      <w:sz w:val="24"/>
      <w:szCs w:val="24"/>
    </w:rPr>
  </w:style>
  <w:style w:type="character" w:styleId="1064">
    <w:name w:val="副标题 Char"/>
    <w:basedOn w:val="953"/>
    <w:next w:val="1064"/>
    <w:link w:val="1063"/>
    <w:uiPriority w:val="11"/>
    <w:qFormat/>
    <w:rPr>
      <w:sz w:val="24"/>
      <w:szCs w:val="24"/>
    </w:rPr>
  </w:style>
  <w:style w:type="paragraph" w:styleId="1065">
    <w:name w:val="脚注文本"/>
    <w:basedOn w:val="943"/>
    <w:next w:val="1065"/>
    <w:link w:val="1066"/>
    <w:uiPriority w:val="99"/>
    <w:unhideWhenUsed/>
    <w:qFormat/>
    <w:pPr>
      <w:spacing w:after="40"/>
    </w:pPr>
    <w:rPr>
      <w:rFonts w:ascii="Calibri" w:hAnsi="Calibri"/>
      <w:sz w:val="18"/>
      <w:szCs w:val="24"/>
    </w:rPr>
  </w:style>
  <w:style w:type="character" w:styleId="1066">
    <w:name w:val="脚注文本 Char"/>
    <w:basedOn w:val="953"/>
    <w:next w:val="1066"/>
    <w:link w:val="1065"/>
    <w:uiPriority w:val="99"/>
    <w:qFormat/>
    <w:rPr>
      <w:sz w:val="18"/>
      <w:szCs w:val="24"/>
    </w:rPr>
  </w:style>
  <w:style w:type="paragraph" w:styleId="1067">
    <w:name w:val="标题"/>
    <w:basedOn w:val="943"/>
    <w:next w:val="943"/>
    <w:link w:val="1068"/>
    <w:uiPriority w:val="10"/>
    <w:qFormat/>
    <w:pPr>
      <w:contextualSpacing/>
      <w:spacing w:before="300" w:after="200"/>
    </w:pPr>
    <w:rPr>
      <w:rFonts w:ascii="Calibri" w:hAnsi="Calibri"/>
      <w:sz w:val="48"/>
      <w:szCs w:val="48"/>
    </w:rPr>
  </w:style>
  <w:style w:type="character" w:styleId="1068">
    <w:name w:val="标题 Char"/>
    <w:basedOn w:val="953"/>
    <w:next w:val="1068"/>
    <w:link w:val="1067"/>
    <w:uiPriority w:val="10"/>
    <w:qFormat/>
    <w:rPr>
      <w:sz w:val="48"/>
      <w:szCs w:val="48"/>
    </w:rPr>
  </w:style>
  <w:style w:type="character" w:styleId="1069">
    <w:name w:val="尾注引用"/>
    <w:next w:val="1069"/>
    <w:link w:val="943"/>
    <w:uiPriority w:val="99"/>
    <w:unhideWhenUsed/>
    <w:qFormat/>
    <w:rPr>
      <w:vertAlign w:val="superscript"/>
    </w:rPr>
  </w:style>
  <w:style w:type="character" w:styleId="1070">
    <w:name w:val="脚注引用"/>
    <w:next w:val="1070"/>
    <w:link w:val="943"/>
    <w:uiPriority w:val="99"/>
    <w:unhideWhenUsed/>
    <w:qFormat/>
    <w:rPr>
      <w:vertAlign w:val="superscript"/>
    </w:rPr>
  </w:style>
  <w:style w:type="character" w:styleId="1071">
    <w:name w:val="标题 1 字符"/>
    <w:next w:val="1071"/>
    <w:link w:val="1072"/>
    <w:uiPriority w:val="9"/>
    <w:qFormat/>
    <w:rPr>
      <w:b/>
      <w:sz w:val="44"/>
      <w:szCs w:val="24"/>
    </w:rPr>
  </w:style>
  <w:style w:type="paragraph" w:styleId="1072">
    <w:name w:val="标题 11"/>
    <w:basedOn w:val="943"/>
    <w:next w:val="943"/>
    <w:link w:val="1071"/>
    <w:uiPriority w:val="9"/>
    <w:qFormat/>
    <w:pPr>
      <w:keepLines/>
      <w:keepNext/>
      <w:spacing w:before="340" w:after="330" w:line="576" w:lineRule="auto"/>
      <w:outlineLvl w:val="0"/>
    </w:pPr>
    <w:rPr>
      <w:rFonts w:ascii="Calibri" w:hAnsi="Calibri"/>
      <w:b/>
      <w:sz w:val="44"/>
      <w:szCs w:val="24"/>
      <w:lang w:val="en-US" w:eastAsia="en-US"/>
    </w:rPr>
  </w:style>
  <w:style w:type="character" w:styleId="1073">
    <w:name w:val="标题 3 字符"/>
    <w:next w:val="1073"/>
    <w:link w:val="1074"/>
    <w:uiPriority w:val="9"/>
    <w:qFormat/>
    <w:rPr>
      <w:b/>
      <w:sz w:val="32"/>
      <w:szCs w:val="24"/>
    </w:rPr>
  </w:style>
  <w:style w:type="paragraph" w:styleId="1074">
    <w:name w:val="标题 31"/>
    <w:basedOn w:val="943"/>
    <w:next w:val="943"/>
    <w:link w:val="1073"/>
    <w:uiPriority w:val="9"/>
    <w:qFormat/>
    <w:pPr>
      <w:keepLines/>
      <w:keepNext/>
      <w:spacing w:before="260" w:after="260" w:line="413" w:lineRule="auto"/>
      <w:outlineLvl w:val="2"/>
    </w:pPr>
    <w:rPr>
      <w:rFonts w:ascii="Calibri" w:hAnsi="Calibri"/>
      <w:b/>
      <w:sz w:val="32"/>
      <w:szCs w:val="24"/>
      <w:lang w:val="en-US" w:eastAsia="en-US"/>
    </w:rPr>
  </w:style>
  <w:style w:type="character" w:styleId="1075">
    <w:name w:val="标题 4 字符"/>
    <w:next w:val="1075"/>
    <w:link w:val="1076"/>
    <w:uiPriority w:val="9"/>
    <w:qFormat/>
    <w:rPr>
      <w:rFonts w:ascii="Arial" w:hAnsi="Arial" w:eastAsia="黑体"/>
      <w:b/>
      <w:sz w:val="28"/>
      <w:szCs w:val="24"/>
    </w:rPr>
  </w:style>
  <w:style w:type="paragraph" w:styleId="1076">
    <w:name w:val="标题 41"/>
    <w:basedOn w:val="943"/>
    <w:next w:val="943"/>
    <w:link w:val="1075"/>
    <w:uiPriority w:val="9"/>
    <w:qFormat/>
    <w:pPr>
      <w:keepLines/>
      <w:keepNext/>
      <w:spacing w:before="280" w:after="290" w:line="372" w:lineRule="auto"/>
      <w:outlineLvl w:val="3"/>
    </w:pPr>
    <w:rPr>
      <w:rFonts w:ascii="Arial" w:hAnsi="Arial" w:eastAsia="黑体"/>
      <w:b/>
      <w:sz w:val="28"/>
      <w:szCs w:val="24"/>
      <w:lang w:val="en-US" w:eastAsia="en-US"/>
    </w:rPr>
  </w:style>
  <w:style w:type="character" w:styleId="1077">
    <w:name w:val="标题 5 字符"/>
    <w:next w:val="1077"/>
    <w:link w:val="1078"/>
    <w:uiPriority w:val="9"/>
    <w:qFormat/>
    <w:rPr>
      <w:rFonts w:ascii="Arial" w:hAnsi="Arial" w:eastAsia="Arial" w:cs="Arial"/>
      <w:b/>
      <w:bCs/>
      <w:sz w:val="24"/>
      <w:szCs w:val="24"/>
    </w:rPr>
  </w:style>
  <w:style w:type="paragraph" w:styleId="1078">
    <w:name w:val="标题 51"/>
    <w:basedOn w:val="943"/>
    <w:next w:val="943"/>
    <w:link w:val="1077"/>
    <w:uiPriority w:val="9"/>
    <w:unhideWhenUsed/>
    <w:qFormat/>
    <w:pPr>
      <w:keepLines/>
      <w:keepNext/>
      <w:spacing w:before="320" w:after="200"/>
      <w:outlineLvl w:val="4"/>
    </w:pPr>
    <w:rPr>
      <w:rFonts w:ascii="Arial" w:hAnsi="Arial" w:eastAsia="Arial"/>
      <w:b/>
      <w:bCs/>
      <w:sz w:val="24"/>
      <w:szCs w:val="24"/>
      <w:lang w:val="en-US" w:eastAsia="en-US"/>
    </w:rPr>
  </w:style>
  <w:style w:type="paragraph" w:styleId="1079">
    <w:name w:val="Heading 2"/>
    <w:basedOn w:val="943"/>
    <w:next w:val="943"/>
    <w:link w:val="1080"/>
    <w:uiPriority w:val="9"/>
    <w:unhideWhenUsed/>
    <w:qFormat/>
    <w:pPr>
      <w:keepLines/>
      <w:keepNext/>
      <w:spacing w:before="360" w:after="200"/>
      <w:outlineLvl w:val="1"/>
    </w:pPr>
    <w:rPr>
      <w:rFonts w:ascii="Arial" w:hAnsi="Arial" w:eastAsia="Arial" w:cs="Arial"/>
      <w:sz w:val="34"/>
      <w:szCs w:val="24"/>
    </w:rPr>
  </w:style>
  <w:style w:type="character" w:styleId="1080">
    <w:name w:val="Heading 2 Char"/>
    <w:basedOn w:val="953"/>
    <w:next w:val="1080"/>
    <w:link w:val="1079"/>
    <w:uiPriority w:val="9"/>
    <w:qFormat/>
    <w:rPr>
      <w:rFonts w:ascii="Arial" w:hAnsi="Arial" w:eastAsia="Arial" w:cs="Arial"/>
      <w:sz w:val="34"/>
      <w:szCs w:val="24"/>
    </w:rPr>
  </w:style>
  <w:style w:type="paragraph" w:styleId="1081">
    <w:name w:val="Heading 3"/>
    <w:basedOn w:val="943"/>
    <w:next w:val="943"/>
    <w:link w:val="1082"/>
    <w:uiPriority w:val="9"/>
    <w:unhideWhenUsed/>
    <w:qFormat/>
    <w:pPr>
      <w:keepLines/>
      <w:keepNext/>
      <w:spacing w:before="320" w:after="200"/>
      <w:outlineLvl w:val="2"/>
    </w:pPr>
    <w:rPr>
      <w:rFonts w:ascii="Arial" w:hAnsi="Arial" w:eastAsia="Arial" w:cs="Arial"/>
      <w:sz w:val="30"/>
      <w:szCs w:val="30"/>
    </w:rPr>
  </w:style>
  <w:style w:type="character" w:styleId="1082">
    <w:name w:val="Heading 3 Char"/>
    <w:basedOn w:val="953"/>
    <w:next w:val="1082"/>
    <w:link w:val="1081"/>
    <w:uiPriority w:val="9"/>
    <w:qFormat/>
    <w:rPr>
      <w:rFonts w:ascii="Arial" w:hAnsi="Arial" w:eastAsia="Arial" w:cs="Arial"/>
      <w:sz w:val="30"/>
      <w:szCs w:val="30"/>
    </w:rPr>
  </w:style>
  <w:style w:type="paragraph" w:styleId="1083">
    <w:name w:val="Heading 4"/>
    <w:basedOn w:val="943"/>
    <w:next w:val="943"/>
    <w:link w:val="1084"/>
    <w:uiPriority w:val="9"/>
    <w:unhideWhenUsed/>
    <w:qFormat/>
    <w:pPr>
      <w:keepLines/>
      <w:keepNext/>
      <w:spacing w:before="320" w:after="200"/>
      <w:outlineLvl w:val="3"/>
    </w:pPr>
    <w:rPr>
      <w:rFonts w:ascii="Arial" w:hAnsi="Arial" w:eastAsia="Arial" w:cs="Arial"/>
      <w:b/>
      <w:bCs/>
      <w:sz w:val="26"/>
      <w:szCs w:val="26"/>
    </w:rPr>
  </w:style>
  <w:style w:type="character" w:styleId="1084">
    <w:name w:val="Heading 4 Char"/>
    <w:basedOn w:val="953"/>
    <w:next w:val="1084"/>
    <w:link w:val="1083"/>
    <w:uiPriority w:val="9"/>
    <w:qFormat/>
    <w:rPr>
      <w:rFonts w:ascii="Arial" w:hAnsi="Arial" w:eastAsia="Arial" w:cs="Arial"/>
      <w:b/>
      <w:bCs/>
      <w:sz w:val="26"/>
      <w:szCs w:val="26"/>
    </w:rPr>
  </w:style>
  <w:style w:type="paragraph" w:styleId="1085">
    <w:name w:val="Heading 5"/>
    <w:basedOn w:val="943"/>
    <w:next w:val="943"/>
    <w:link w:val="1086"/>
    <w:uiPriority w:val="9"/>
    <w:unhideWhenUsed/>
    <w:qFormat/>
    <w:pPr>
      <w:keepLines/>
      <w:keepNext/>
      <w:spacing w:before="320" w:after="200"/>
      <w:outlineLvl w:val="4"/>
    </w:pPr>
    <w:rPr>
      <w:rFonts w:ascii="Arial" w:hAnsi="Arial" w:eastAsia="Arial" w:cs="Arial"/>
      <w:b/>
      <w:bCs/>
      <w:sz w:val="24"/>
      <w:szCs w:val="24"/>
    </w:rPr>
  </w:style>
  <w:style w:type="character" w:styleId="1086">
    <w:name w:val="Heading 5 Char"/>
    <w:basedOn w:val="953"/>
    <w:next w:val="1086"/>
    <w:link w:val="1085"/>
    <w:uiPriority w:val="9"/>
    <w:qFormat/>
    <w:rPr>
      <w:rFonts w:ascii="Arial" w:hAnsi="Arial" w:eastAsia="Arial" w:cs="Arial"/>
      <w:b/>
      <w:bCs/>
      <w:sz w:val="24"/>
      <w:szCs w:val="24"/>
    </w:rPr>
  </w:style>
  <w:style w:type="paragraph" w:styleId="1087">
    <w:name w:val="Heading 6"/>
    <w:basedOn w:val="943"/>
    <w:next w:val="943"/>
    <w:link w:val="1088"/>
    <w:uiPriority w:val="9"/>
    <w:unhideWhenUsed/>
    <w:qFormat/>
    <w:pPr>
      <w:keepLines/>
      <w:keepNext/>
      <w:spacing w:before="320" w:after="200"/>
      <w:outlineLvl w:val="5"/>
    </w:pPr>
    <w:rPr>
      <w:rFonts w:ascii="Arial" w:hAnsi="Arial" w:eastAsia="Arial" w:cs="Arial"/>
      <w:b/>
      <w:bCs/>
      <w:sz w:val="22"/>
      <w:szCs w:val="22"/>
    </w:rPr>
  </w:style>
  <w:style w:type="character" w:styleId="1088">
    <w:name w:val="Heading 6 Char"/>
    <w:basedOn w:val="953"/>
    <w:next w:val="1088"/>
    <w:link w:val="1087"/>
    <w:uiPriority w:val="9"/>
    <w:qFormat/>
    <w:rPr>
      <w:rFonts w:ascii="Arial" w:hAnsi="Arial" w:eastAsia="Arial" w:cs="Arial"/>
      <w:b/>
      <w:bCs/>
      <w:sz w:val="22"/>
      <w:szCs w:val="22"/>
    </w:rPr>
  </w:style>
  <w:style w:type="paragraph" w:styleId="1089">
    <w:name w:val="Heading 7"/>
    <w:basedOn w:val="943"/>
    <w:next w:val="943"/>
    <w:link w:val="1090"/>
    <w:uiPriority w:val="9"/>
    <w:unhideWhenUsed/>
    <w:qFormat/>
    <w:pPr>
      <w:keepLines/>
      <w:keepNext/>
      <w:spacing w:before="320" w:after="200"/>
      <w:outlineLvl w:val="6"/>
    </w:pPr>
    <w:rPr>
      <w:rFonts w:ascii="Arial" w:hAnsi="Arial" w:eastAsia="Arial" w:cs="Arial"/>
      <w:b/>
      <w:bCs/>
      <w:i/>
      <w:iCs/>
      <w:sz w:val="22"/>
      <w:szCs w:val="22"/>
    </w:rPr>
  </w:style>
  <w:style w:type="character" w:styleId="1090">
    <w:name w:val="Heading 7 Char"/>
    <w:basedOn w:val="953"/>
    <w:next w:val="1090"/>
    <w:link w:val="1089"/>
    <w:uiPriority w:val="9"/>
    <w:qFormat/>
    <w:rPr>
      <w:rFonts w:ascii="Arial" w:hAnsi="Arial" w:eastAsia="Arial" w:cs="Arial"/>
      <w:b/>
      <w:bCs/>
      <w:i/>
      <w:iCs/>
      <w:sz w:val="22"/>
      <w:szCs w:val="22"/>
    </w:rPr>
  </w:style>
  <w:style w:type="paragraph" w:styleId="1091">
    <w:name w:val="Heading 8"/>
    <w:basedOn w:val="943"/>
    <w:next w:val="943"/>
    <w:link w:val="1092"/>
    <w:uiPriority w:val="9"/>
    <w:unhideWhenUsed/>
    <w:qFormat/>
    <w:pPr>
      <w:keepLines/>
      <w:keepNext/>
      <w:spacing w:before="320" w:after="200"/>
      <w:outlineLvl w:val="7"/>
    </w:pPr>
    <w:rPr>
      <w:rFonts w:ascii="Arial" w:hAnsi="Arial" w:eastAsia="Arial" w:cs="Arial"/>
      <w:i/>
      <w:iCs/>
      <w:sz w:val="22"/>
      <w:szCs w:val="22"/>
    </w:rPr>
  </w:style>
  <w:style w:type="character" w:styleId="1092">
    <w:name w:val="Heading 8 Char"/>
    <w:basedOn w:val="953"/>
    <w:next w:val="1092"/>
    <w:link w:val="1091"/>
    <w:uiPriority w:val="9"/>
    <w:qFormat/>
    <w:rPr>
      <w:rFonts w:ascii="Arial" w:hAnsi="Arial" w:eastAsia="Arial" w:cs="Arial"/>
      <w:i/>
      <w:iCs/>
      <w:sz w:val="22"/>
      <w:szCs w:val="22"/>
    </w:rPr>
  </w:style>
  <w:style w:type="paragraph" w:styleId="1093">
    <w:name w:val="Heading 9"/>
    <w:basedOn w:val="943"/>
    <w:next w:val="943"/>
    <w:link w:val="1094"/>
    <w:uiPriority w:val="9"/>
    <w:unhideWhenUsed/>
    <w:qFormat/>
    <w:pPr>
      <w:keepLines/>
      <w:keepNext/>
      <w:spacing w:before="320" w:after="200"/>
      <w:outlineLvl w:val="8"/>
    </w:pPr>
    <w:rPr>
      <w:rFonts w:ascii="Arial" w:hAnsi="Arial" w:eastAsia="Arial" w:cs="Arial"/>
      <w:i/>
      <w:iCs/>
    </w:rPr>
  </w:style>
  <w:style w:type="character" w:styleId="1094">
    <w:name w:val="Heading 9 Char"/>
    <w:basedOn w:val="953"/>
    <w:next w:val="1094"/>
    <w:link w:val="1093"/>
    <w:uiPriority w:val="9"/>
    <w:qFormat/>
    <w:rPr>
      <w:rFonts w:ascii="Arial" w:hAnsi="Arial" w:eastAsia="Arial" w:cs="Arial"/>
      <w:i/>
      <w:iCs/>
      <w:sz w:val="21"/>
      <w:szCs w:val="21"/>
    </w:rPr>
  </w:style>
  <w:style w:type="paragraph" w:styleId="1095">
    <w:name w:val="TOC 标题"/>
    <w:next w:val="1095"/>
    <w:link w:val="943"/>
    <w:uiPriority w:val="39"/>
    <w:qFormat/>
    <w:rPr>
      <w:rFonts w:ascii="Times New Roman" w:hAnsi="Times New Roman"/>
      <w:lang w:val="en-US" w:eastAsia="zh-CN" w:bidi="ar-SA"/>
    </w:rPr>
  </w:style>
  <w:style w:type="paragraph" w:styleId="1096">
    <w:name w:val="Heading 1"/>
    <w:basedOn w:val="943"/>
    <w:next w:val="1096"/>
    <w:link w:val="1097"/>
    <w:uiPriority w:val="1"/>
    <w:qFormat/>
    <w:pPr>
      <w:ind w:left="120"/>
      <w:jc w:val="left"/>
      <w:outlineLvl w:val="0"/>
    </w:pPr>
    <w:rPr>
      <w:rFonts w:ascii="仿宋" w:hAnsi="仿宋" w:eastAsia="仿宋"/>
      <w:b/>
      <w:bCs/>
      <w:sz w:val="28"/>
      <w:szCs w:val="28"/>
      <w:lang w:eastAsia="en-US"/>
    </w:rPr>
  </w:style>
  <w:style w:type="character" w:styleId="1097">
    <w:name w:val="标题 1 字符1"/>
    <w:basedOn w:val="953"/>
    <w:next w:val="1097"/>
    <w:link w:val="1096"/>
    <w:uiPriority w:val="1"/>
    <w:qFormat/>
    <w:rPr>
      <w:rFonts w:ascii="仿宋" w:hAnsi="仿宋" w:eastAsia="仿宋"/>
      <w:b/>
      <w:bCs/>
      <w:sz w:val="28"/>
      <w:szCs w:val="28"/>
      <w:lang w:eastAsia="en-US"/>
    </w:rPr>
  </w:style>
  <w:style w:type="paragraph" w:styleId="1098">
    <w:name w:val="Footer1"/>
    <w:basedOn w:val="943"/>
    <w:next w:val="1098"/>
    <w:link w:val="1099"/>
    <w:uiPriority w:val="99"/>
    <w:unhideWhenUsed/>
    <w:qFormat/>
    <w:pPr>
      <w:jc w:val="left"/>
      <w:tabs>
        <w:tab w:val="center" w:pos="4153" w:leader="none"/>
        <w:tab w:val="right" w:pos="8306" w:leader="none"/>
      </w:tabs>
    </w:pPr>
    <w:rPr>
      <w:rFonts w:ascii="Calibri" w:hAnsi="Calibri"/>
      <w:sz w:val="18"/>
      <w:szCs w:val="18"/>
    </w:rPr>
  </w:style>
  <w:style w:type="character" w:styleId="1099">
    <w:name w:val="页脚 字符1"/>
    <w:basedOn w:val="953"/>
    <w:next w:val="1099"/>
    <w:link w:val="1098"/>
    <w:uiPriority w:val="99"/>
    <w:qFormat/>
    <w:rPr>
      <w:sz w:val="18"/>
      <w:szCs w:val="18"/>
    </w:rPr>
  </w:style>
  <w:style w:type="paragraph" w:styleId="1100">
    <w:name w:val="Header1"/>
    <w:basedOn w:val="943"/>
    <w:next w:val="1100"/>
    <w:link w:val="1101"/>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01">
    <w:name w:val="页眉 字符1"/>
    <w:basedOn w:val="953"/>
    <w:next w:val="1101"/>
    <w:link w:val="1100"/>
    <w:uiPriority w:val="99"/>
    <w:qFormat/>
    <w:rPr>
      <w:sz w:val="18"/>
      <w:szCs w:val="18"/>
    </w:rPr>
  </w:style>
  <w:style w:type="character" w:styleId="1102">
    <w:name w:val="Heading 1 Char"/>
    <w:basedOn w:val="953"/>
    <w:next w:val="1102"/>
    <w:link w:val="943"/>
    <w:uiPriority w:val="9"/>
    <w:qFormat/>
    <w:rPr>
      <w:rFonts w:ascii="Arial" w:hAnsi="Arial" w:eastAsia="Arial" w:cs="Arial"/>
      <w:sz w:val="40"/>
      <w:szCs w:val="40"/>
    </w:rPr>
  </w:style>
  <w:style w:type="character" w:styleId="1103">
    <w:name w:val="Title Char"/>
    <w:basedOn w:val="953"/>
    <w:next w:val="1103"/>
    <w:link w:val="943"/>
    <w:uiPriority w:val="10"/>
    <w:qFormat/>
    <w:rPr>
      <w:sz w:val="48"/>
      <w:szCs w:val="48"/>
    </w:rPr>
  </w:style>
  <w:style w:type="character" w:styleId="1104">
    <w:name w:val="Subtitle Char"/>
    <w:basedOn w:val="953"/>
    <w:next w:val="1104"/>
    <w:link w:val="943"/>
    <w:uiPriority w:val="11"/>
    <w:qFormat/>
    <w:rPr>
      <w:sz w:val="24"/>
      <w:szCs w:val="24"/>
    </w:rPr>
  </w:style>
  <w:style w:type="character" w:styleId="1105">
    <w:name w:val="Quote Char"/>
    <w:next w:val="1105"/>
    <w:link w:val="943"/>
    <w:uiPriority w:val="29"/>
    <w:qFormat/>
    <w:rPr>
      <w:i/>
    </w:rPr>
  </w:style>
  <w:style w:type="character" w:styleId="1106">
    <w:name w:val="Intense Quote Char"/>
    <w:next w:val="1106"/>
    <w:link w:val="943"/>
    <w:uiPriority w:val="30"/>
    <w:qFormat/>
    <w:rPr>
      <w:i/>
    </w:rPr>
  </w:style>
  <w:style w:type="character" w:styleId="1107">
    <w:name w:val="Footnote Text Char"/>
    <w:next w:val="1107"/>
    <w:link w:val="943"/>
    <w:uiPriority w:val="99"/>
    <w:qFormat/>
    <w:rPr>
      <w:sz w:val="18"/>
    </w:rPr>
  </w:style>
  <w:style w:type="character" w:styleId="1108">
    <w:name w:val="Endnote Text Char"/>
    <w:next w:val="1108"/>
    <w:link w:val="943"/>
    <w:uiPriority w:val="99"/>
    <w:qFormat/>
    <w:rPr>
      <w:sz w:val="20"/>
    </w:rPr>
  </w:style>
  <w:style w:type="paragraph" w:styleId="1109">
    <w:name w:val="标题 21"/>
    <w:basedOn w:val="943"/>
    <w:next w:val="943"/>
    <w:link w:val="1110"/>
    <w:uiPriority w:val="9"/>
    <w:qFormat/>
    <w:pPr>
      <w:keepLines/>
      <w:keepNext/>
      <w:spacing w:before="260" w:after="260" w:line="413" w:lineRule="auto"/>
      <w:outlineLvl w:val="1"/>
    </w:pPr>
    <w:rPr>
      <w:rFonts w:ascii="Arial" w:hAnsi="Arial" w:eastAsia="黑体"/>
      <w:b/>
      <w:sz w:val="32"/>
      <w:szCs w:val="24"/>
      <w:lang w:val="en-US" w:eastAsia="en-US"/>
    </w:rPr>
  </w:style>
  <w:style w:type="character" w:styleId="1110">
    <w:name w:val="标题 2 字符"/>
    <w:next w:val="1110"/>
    <w:link w:val="1109"/>
    <w:uiPriority w:val="9"/>
    <w:qFormat/>
    <w:rPr>
      <w:rFonts w:ascii="Arial" w:hAnsi="Arial" w:eastAsia="黑体"/>
      <w:b/>
      <w:sz w:val="32"/>
      <w:szCs w:val="24"/>
    </w:rPr>
  </w:style>
  <w:style w:type="paragraph" w:styleId="1111">
    <w:name w:val="标题 61"/>
    <w:basedOn w:val="943"/>
    <w:next w:val="943"/>
    <w:link w:val="1112"/>
    <w:uiPriority w:val="9"/>
    <w:unhideWhenUsed/>
    <w:qFormat/>
    <w:pPr>
      <w:keepLines/>
      <w:keepNext/>
      <w:spacing w:before="320" w:after="200"/>
      <w:outlineLvl w:val="5"/>
    </w:pPr>
    <w:rPr>
      <w:rFonts w:ascii="Arial" w:hAnsi="Arial" w:eastAsia="Arial"/>
      <w:b/>
      <w:bCs/>
      <w:sz w:val="22"/>
      <w:szCs w:val="22"/>
      <w:lang w:val="en-US" w:eastAsia="en-US"/>
    </w:rPr>
  </w:style>
  <w:style w:type="character" w:styleId="1112">
    <w:name w:val="标题 6 字符"/>
    <w:next w:val="1112"/>
    <w:link w:val="1111"/>
    <w:uiPriority w:val="9"/>
    <w:qFormat/>
    <w:rPr>
      <w:rFonts w:ascii="Arial" w:hAnsi="Arial" w:eastAsia="Arial"/>
      <w:b/>
      <w:bCs/>
      <w:sz w:val="22"/>
      <w:szCs w:val="22"/>
    </w:rPr>
  </w:style>
  <w:style w:type="paragraph" w:styleId="1113">
    <w:name w:val="标题 71"/>
    <w:basedOn w:val="943"/>
    <w:next w:val="943"/>
    <w:link w:val="1114"/>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1114">
    <w:name w:val="标题 7 字符"/>
    <w:next w:val="1114"/>
    <w:link w:val="1113"/>
    <w:uiPriority w:val="9"/>
    <w:qFormat/>
    <w:rPr>
      <w:rFonts w:ascii="Arial" w:hAnsi="Arial" w:eastAsia="Arial"/>
      <w:b/>
      <w:bCs/>
      <w:i/>
      <w:iCs/>
      <w:sz w:val="22"/>
      <w:szCs w:val="22"/>
    </w:rPr>
  </w:style>
  <w:style w:type="paragraph" w:styleId="1115">
    <w:name w:val="标题 81"/>
    <w:basedOn w:val="943"/>
    <w:next w:val="943"/>
    <w:link w:val="1116"/>
    <w:uiPriority w:val="9"/>
    <w:unhideWhenUsed/>
    <w:qFormat/>
    <w:pPr>
      <w:keepLines/>
      <w:keepNext/>
      <w:spacing w:before="320" w:after="200"/>
      <w:outlineLvl w:val="7"/>
    </w:pPr>
    <w:rPr>
      <w:rFonts w:ascii="Arial" w:hAnsi="Arial" w:eastAsia="Arial"/>
      <w:i/>
      <w:iCs/>
      <w:sz w:val="22"/>
      <w:szCs w:val="22"/>
      <w:lang w:val="en-US" w:eastAsia="en-US"/>
    </w:rPr>
  </w:style>
  <w:style w:type="character" w:styleId="1116">
    <w:name w:val="标题 8 字符"/>
    <w:next w:val="1116"/>
    <w:link w:val="1115"/>
    <w:uiPriority w:val="9"/>
    <w:qFormat/>
    <w:rPr>
      <w:rFonts w:ascii="Arial" w:hAnsi="Arial" w:eastAsia="Arial"/>
      <w:i/>
      <w:iCs/>
      <w:sz w:val="22"/>
      <w:szCs w:val="22"/>
    </w:rPr>
  </w:style>
  <w:style w:type="paragraph" w:styleId="1117">
    <w:name w:val="标题 91"/>
    <w:basedOn w:val="943"/>
    <w:next w:val="943"/>
    <w:link w:val="1118"/>
    <w:uiPriority w:val="9"/>
    <w:unhideWhenUsed/>
    <w:qFormat/>
    <w:pPr>
      <w:keepLines/>
      <w:keepNext/>
      <w:spacing w:before="320" w:after="200"/>
      <w:outlineLvl w:val="8"/>
    </w:pPr>
    <w:rPr>
      <w:rFonts w:ascii="Arial" w:hAnsi="Arial" w:eastAsia="Arial"/>
      <w:i/>
      <w:iCs/>
      <w:lang w:val="en-US" w:eastAsia="en-US"/>
    </w:rPr>
  </w:style>
  <w:style w:type="character" w:styleId="1118">
    <w:name w:val="标题 9 字符"/>
    <w:next w:val="1118"/>
    <w:link w:val="1117"/>
    <w:uiPriority w:val="9"/>
    <w:qFormat/>
    <w:rPr>
      <w:rFonts w:ascii="Arial" w:hAnsi="Arial" w:eastAsia="Arial"/>
      <w:i/>
      <w:iCs/>
      <w:sz w:val="21"/>
      <w:szCs w:val="21"/>
    </w:rPr>
  </w:style>
  <w:style w:type="paragraph" w:styleId="1119">
    <w:name w:val="页脚1"/>
    <w:basedOn w:val="943"/>
    <w:next w:val="1119"/>
    <w:link w:val="1120"/>
    <w:qFormat/>
    <w:pPr>
      <w:jc w:val="left"/>
      <w:tabs>
        <w:tab w:val="center" w:pos="4153" w:leader="none"/>
        <w:tab w:val="right" w:pos="8306" w:leader="none"/>
      </w:tabs>
    </w:pPr>
    <w:rPr>
      <w:rFonts w:ascii="Calibri" w:hAnsi="Calibri"/>
      <w:sz w:val="18"/>
      <w:szCs w:val="18"/>
      <w:lang w:val="en-US" w:eastAsia="en-US"/>
    </w:rPr>
  </w:style>
  <w:style w:type="character" w:styleId="1120">
    <w:name w:val="页脚 字符"/>
    <w:next w:val="1120"/>
    <w:link w:val="1119"/>
    <w:qFormat/>
    <w:rPr>
      <w:sz w:val="18"/>
      <w:szCs w:val="18"/>
    </w:rPr>
  </w:style>
  <w:style w:type="paragraph" w:styleId="1121">
    <w:name w:val="页眉1"/>
    <w:basedOn w:val="943"/>
    <w:next w:val="1121"/>
    <w:link w:val="1122"/>
    <w:qFormat/>
    <w:pPr>
      <w:jc w:val="center"/>
      <w:tabs>
        <w:tab w:val="center" w:pos="4153" w:leader="none"/>
        <w:tab w:val="right" w:pos="8306" w:leader="none"/>
      </w:tabs>
      <w:pBdr>
        <w:bottom w:val="single" w:color="000000" w:sz="6" w:space="1"/>
      </w:pBdr>
    </w:pPr>
    <w:rPr>
      <w:rFonts w:ascii="Calibri" w:hAnsi="Calibri"/>
      <w:sz w:val="18"/>
      <w:szCs w:val="18"/>
      <w:lang w:val="en-US" w:eastAsia="en-US"/>
    </w:rPr>
  </w:style>
  <w:style w:type="character" w:styleId="1122">
    <w:name w:val="页眉 字符"/>
    <w:next w:val="1122"/>
    <w:link w:val="1121"/>
    <w:qFormat/>
    <w:rPr>
      <w:sz w:val="18"/>
      <w:szCs w:val="18"/>
    </w:rPr>
  </w:style>
  <w:style w:type="paragraph" w:styleId="1123">
    <w:name w:val="引用"/>
    <w:basedOn w:val="943"/>
    <w:next w:val="943"/>
    <w:link w:val="1124"/>
    <w:uiPriority w:val="29"/>
    <w:qFormat/>
    <w:pPr>
      <w:ind w:left="720" w:right="720"/>
    </w:pPr>
    <w:rPr>
      <w:rFonts w:ascii="Calibri" w:hAnsi="Calibri"/>
      <w:i/>
      <w:szCs w:val="24"/>
    </w:rPr>
  </w:style>
  <w:style w:type="character" w:styleId="1124">
    <w:name w:val="引用 Char"/>
    <w:basedOn w:val="953"/>
    <w:next w:val="1124"/>
    <w:link w:val="1123"/>
    <w:uiPriority w:val="29"/>
    <w:qFormat/>
    <w:rPr>
      <w:i/>
      <w:sz w:val="21"/>
      <w:szCs w:val="24"/>
    </w:rPr>
  </w:style>
  <w:style w:type="paragraph" w:styleId="1125">
    <w:name w:val="明显引用"/>
    <w:basedOn w:val="943"/>
    <w:next w:val="943"/>
    <w:link w:val="11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1126">
    <w:name w:val="明显引用 Char"/>
    <w:basedOn w:val="953"/>
    <w:next w:val="1126"/>
    <w:link w:val="1125"/>
    <w:uiPriority w:val="30"/>
    <w:qFormat/>
    <w:rPr>
      <w:i/>
      <w:sz w:val="21"/>
      <w:szCs w:val="24"/>
      <w:shd w:val="clear" w:color="auto" w:fill="f2f2f2"/>
    </w:rPr>
  </w:style>
  <w:style w:type="character" w:styleId="1127">
    <w:name w:val="Header Char"/>
    <w:next w:val="1127"/>
    <w:link w:val="943"/>
    <w:uiPriority w:val="99"/>
    <w:qFormat/>
  </w:style>
  <w:style w:type="character" w:styleId="1128">
    <w:name w:val="Footer Char"/>
    <w:next w:val="1128"/>
    <w:link w:val="943"/>
    <w:uiPriority w:val="99"/>
    <w:qFormat/>
  </w:style>
  <w:style w:type="character" w:styleId="1129">
    <w:name w:val="Caption Char"/>
    <w:next w:val="1129"/>
    <w:link w:val="943"/>
    <w:uiPriority w:val="99"/>
    <w:qFormat/>
  </w:style>
  <w:style w:type="paragraph" w:styleId="1130">
    <w:name w:val="TOC 标题1"/>
    <w:next w:val="1130"/>
    <w:link w:val="943"/>
    <w:uiPriority w:val="39"/>
    <w:unhideWhenUsed/>
    <w:qFormat/>
    <w:rPr>
      <w:rFonts w:ascii="Times New Roman" w:hAnsi="Times New Roman"/>
      <w:lang w:val="en-US" w:eastAsia="zh-CN" w:bidi="ar-SA"/>
    </w:rPr>
  </w:style>
  <w:style w:type="character" w:styleId="1131">
    <w:name w:val="*正文 Char Char"/>
    <w:next w:val="1131"/>
    <w:link w:val="1132"/>
    <w:qFormat/>
    <w:rPr>
      <w:rFonts w:ascii="宋体" w:hAnsi="宋体" w:cs="宋体"/>
      <w:sz w:val="18"/>
      <w:szCs w:val="18"/>
    </w:rPr>
  </w:style>
  <w:style w:type="paragraph" w:styleId="1132">
    <w:name w:val="*正文"/>
    <w:basedOn w:val="943"/>
    <w:next w:val="1132"/>
    <w:link w:val="1131"/>
    <w:qFormat/>
    <w:pPr>
      <w:spacing w:line="360" w:lineRule="auto"/>
    </w:pPr>
    <w:rPr>
      <w:rFonts w:ascii="宋体" w:hAnsi="宋体"/>
      <w:sz w:val="18"/>
      <w:szCs w:val="18"/>
      <w:lang w:val="en-US" w:eastAsia="en-US"/>
    </w:rPr>
  </w:style>
  <w:style w:type="paragraph" w:styleId="1133">
    <w:name w:val="Table Paragraph"/>
    <w:basedOn w:val="943"/>
    <w:next w:val="1133"/>
    <w:link w:val="943"/>
    <w:uiPriority w:val="1"/>
    <w:qFormat/>
    <w:pPr>
      <w:jc w:val="left"/>
    </w:pPr>
    <w:rPr>
      <w:rFonts w:ascii="Calibri" w:hAnsi="Calibri"/>
      <w:sz w:val="22"/>
      <w:szCs w:val="22"/>
      <w:lang w:eastAsia="en-US"/>
    </w:rPr>
  </w:style>
  <w:style w:type="paragraph" w:styleId="1134">
    <w:name w:val="Table Text"/>
    <w:basedOn w:val="943"/>
    <w:next w:val="1134"/>
    <w:link w:val="943"/>
    <w:semiHidden/>
    <w:qFormat/>
    <w:rPr>
      <w:rFonts w:ascii="黑体" w:hAnsi="黑体" w:eastAsia="黑体" w:cs="黑体"/>
      <w:sz w:val="18"/>
      <w:szCs w:val="18"/>
      <w:lang w:eastAsia="en-US"/>
    </w:rPr>
  </w:style>
  <w:style w:type="paragraph" w:styleId="1135">
    <w:name w:val="Caption1"/>
    <w:basedOn w:val="943"/>
    <w:next w:val="943"/>
    <w:link w:val="943"/>
    <w:uiPriority w:val="35"/>
    <w:unhideWhenUsed/>
    <w:qFormat/>
    <w:pPr>
      <w:spacing w:line="276" w:lineRule="auto"/>
    </w:pPr>
    <w:rPr>
      <w:rFonts w:ascii="Calibri" w:hAnsi="Calibri"/>
      <w:b/>
      <w:bCs/>
      <w:color w:val="4f81bd"/>
      <w:sz w:val="18"/>
      <w:szCs w:val="18"/>
    </w:rPr>
  </w:style>
  <w:style w:type="table" w:styleId="1136">
    <w:name w:val="Plain Table 1"/>
    <w:basedOn w:val="954"/>
    <w:next w:val="1136"/>
    <w:link w:val="943"/>
    <w:uiPriority w:val="59"/>
    <w:rPr>
      <w:rFonts w:ascii="Times New Roman" w:hAnsi="Times New Roman"/>
    </w:rPr>
    <w:tblPr/>
  </w:style>
  <w:style w:type="table" w:styleId="1137">
    <w:name w:val="Plain Table 2"/>
    <w:basedOn w:val="954"/>
    <w:next w:val="1137"/>
    <w:link w:val="943"/>
    <w:uiPriority w:val="59"/>
    <w:rPr>
      <w:rFonts w:ascii="Times New Roman" w:hAnsi="Times New Roman"/>
    </w:rPr>
    <w:tblPr/>
  </w:style>
  <w:style w:type="table" w:styleId="1138">
    <w:name w:val="Plain Table 3"/>
    <w:basedOn w:val="954"/>
    <w:next w:val="1138"/>
    <w:link w:val="943"/>
    <w:uiPriority w:val="99"/>
    <w:rPr>
      <w:rFonts w:ascii="Times New Roman" w:hAnsi="Times New Roman"/>
    </w:rPr>
    <w:tblPr/>
  </w:style>
  <w:style w:type="table" w:styleId="1139">
    <w:name w:val="Plain Table 4"/>
    <w:basedOn w:val="954"/>
    <w:next w:val="1139"/>
    <w:link w:val="943"/>
    <w:uiPriority w:val="99"/>
    <w:rPr>
      <w:rFonts w:ascii="Times New Roman" w:hAnsi="Times New Roman"/>
    </w:rPr>
    <w:tblPr/>
  </w:style>
  <w:style w:type="table" w:styleId="1140">
    <w:name w:val="Plain Table 5"/>
    <w:basedOn w:val="954"/>
    <w:next w:val="1140"/>
    <w:link w:val="943"/>
    <w:uiPriority w:val="99"/>
    <w:rPr>
      <w:rFonts w:ascii="Times New Roman" w:hAnsi="Times New Roman"/>
    </w:rPr>
    <w:tblPr/>
  </w:style>
  <w:style w:type="table" w:styleId="1141">
    <w:name w:val="Grid Table 1 Light"/>
    <w:basedOn w:val="954"/>
    <w:next w:val="1141"/>
    <w:link w:val="943"/>
    <w:uiPriority w:val="99"/>
    <w:rPr>
      <w:rFonts w:ascii="Times New Roman" w:hAnsi="Times New Roman"/>
    </w:rPr>
    <w:tblPr/>
  </w:style>
  <w:style w:type="table" w:styleId="1142">
    <w:name w:val="Grid Table 2"/>
    <w:basedOn w:val="954"/>
    <w:next w:val="1142"/>
    <w:link w:val="943"/>
    <w:uiPriority w:val="99"/>
    <w:rPr>
      <w:rFonts w:ascii="Times New Roman" w:hAnsi="Times New Roman"/>
    </w:rPr>
    <w:tblPr/>
  </w:style>
  <w:style w:type="table" w:styleId="1143">
    <w:name w:val="Grid Table 3"/>
    <w:basedOn w:val="954"/>
    <w:next w:val="1143"/>
    <w:link w:val="943"/>
    <w:uiPriority w:val="99"/>
    <w:rPr>
      <w:rFonts w:ascii="Times New Roman" w:hAnsi="Times New Roman"/>
    </w:rPr>
    <w:tblPr/>
  </w:style>
  <w:style w:type="table" w:styleId="1144">
    <w:name w:val="Grid Table 4"/>
    <w:basedOn w:val="954"/>
    <w:next w:val="1144"/>
    <w:link w:val="943"/>
    <w:uiPriority w:val="59"/>
    <w:rPr>
      <w:rFonts w:ascii="Times New Roman" w:hAnsi="Times New Roman"/>
    </w:rPr>
    <w:tblPr/>
  </w:style>
  <w:style w:type="table" w:styleId="1145">
    <w:name w:val="Grid Table 5 Dark"/>
    <w:basedOn w:val="954"/>
    <w:next w:val="1145"/>
    <w:link w:val="943"/>
    <w:uiPriority w:val="99"/>
    <w:rPr>
      <w:rFonts w:ascii="Times New Roman" w:hAnsi="Times New Roman"/>
    </w:rPr>
    <w:tblPr/>
  </w:style>
  <w:style w:type="table" w:styleId="1146">
    <w:name w:val="Grid Table 6 Colorful"/>
    <w:basedOn w:val="954"/>
    <w:next w:val="1146"/>
    <w:link w:val="943"/>
    <w:uiPriority w:val="99"/>
    <w:rPr>
      <w:rFonts w:ascii="Times New Roman" w:hAnsi="Times New Roman"/>
    </w:rPr>
    <w:tblPr/>
  </w:style>
  <w:style w:type="table" w:styleId="1147">
    <w:name w:val="Grid Table 7 Colorful"/>
    <w:basedOn w:val="954"/>
    <w:next w:val="1147"/>
    <w:link w:val="943"/>
    <w:uiPriority w:val="99"/>
    <w:rPr>
      <w:rFonts w:ascii="Times New Roman" w:hAnsi="Times New Roman"/>
    </w:rPr>
    <w:tblPr/>
  </w:style>
  <w:style w:type="table" w:styleId="1148">
    <w:name w:val="List Table 1 Light"/>
    <w:basedOn w:val="954"/>
    <w:next w:val="1148"/>
    <w:link w:val="943"/>
    <w:uiPriority w:val="99"/>
    <w:rPr>
      <w:rFonts w:ascii="Times New Roman" w:hAnsi="Times New Roman"/>
    </w:rPr>
    <w:tblPr/>
  </w:style>
  <w:style w:type="table" w:styleId="1149">
    <w:name w:val="List Table 2"/>
    <w:basedOn w:val="954"/>
    <w:next w:val="1149"/>
    <w:link w:val="943"/>
    <w:uiPriority w:val="99"/>
    <w:rPr>
      <w:rFonts w:ascii="Times New Roman" w:hAnsi="Times New Roman"/>
    </w:rPr>
    <w:tblPr/>
  </w:style>
  <w:style w:type="table" w:styleId="1150">
    <w:name w:val="List Table 3"/>
    <w:basedOn w:val="954"/>
    <w:next w:val="1150"/>
    <w:link w:val="943"/>
    <w:uiPriority w:val="99"/>
    <w:rPr>
      <w:rFonts w:ascii="Times New Roman" w:hAnsi="Times New Roman"/>
    </w:rPr>
    <w:tblPr/>
  </w:style>
  <w:style w:type="table" w:styleId="1151">
    <w:name w:val="List Table 4"/>
    <w:basedOn w:val="954"/>
    <w:next w:val="1151"/>
    <w:link w:val="943"/>
    <w:uiPriority w:val="99"/>
    <w:rPr>
      <w:rFonts w:ascii="Times New Roman" w:hAnsi="Times New Roman"/>
    </w:rPr>
    <w:tblPr/>
  </w:style>
  <w:style w:type="table" w:styleId="1152">
    <w:name w:val="List Table 5 Dark"/>
    <w:basedOn w:val="954"/>
    <w:next w:val="1152"/>
    <w:link w:val="943"/>
    <w:uiPriority w:val="99"/>
    <w:rPr>
      <w:rFonts w:ascii="Times New Roman" w:hAnsi="Times New Roman"/>
    </w:rPr>
    <w:tblPr/>
  </w:style>
  <w:style w:type="table" w:styleId="1153">
    <w:name w:val="List Table 6 Colorful"/>
    <w:basedOn w:val="954"/>
    <w:next w:val="1153"/>
    <w:link w:val="943"/>
    <w:uiPriority w:val="99"/>
    <w:rPr>
      <w:rFonts w:ascii="Times New Roman" w:hAnsi="Times New Roman"/>
    </w:rPr>
    <w:tblPr/>
  </w:style>
  <w:style w:type="table" w:styleId="1154">
    <w:name w:val="List Table 7 Colorful"/>
    <w:basedOn w:val="954"/>
    <w:next w:val="1154"/>
    <w:link w:val="943"/>
    <w:uiPriority w:val="99"/>
    <w:rPr>
      <w:rFonts w:ascii="Times New Roman" w:hAnsi="Times New Roman"/>
    </w:rPr>
    <w:tblPr/>
  </w:style>
  <w:style w:type="paragraph" w:styleId="1155">
    <w:name w:val="题注1"/>
    <w:basedOn w:val="943"/>
    <w:next w:val="943"/>
    <w:link w:val="943"/>
    <w:uiPriority w:val="35"/>
    <w:unhideWhenUsed/>
    <w:qFormat/>
    <w:pPr>
      <w:spacing w:line="276" w:lineRule="auto"/>
    </w:pPr>
    <w:rPr>
      <w:rFonts w:ascii="Calibri" w:hAnsi="Calibri"/>
      <w:b/>
      <w:bCs/>
      <w:color w:val="4f81bd"/>
      <w:sz w:val="18"/>
      <w:szCs w:val="18"/>
    </w:rPr>
  </w:style>
  <w:style w:type="table" w:styleId="1156">
    <w:name w:val="Table Grid Light"/>
    <w:next w:val="1156"/>
    <w:link w:val="943"/>
    <w:uiPriority w:val="59"/>
    <w:qFormat/>
    <w:rPr>
      <w:rFonts w:ascii="Times New Roman" w:hAnsi="Times New Roman"/>
      <w:lang w:val="en-US" w:eastAsia="zh-CN" w:bidi="ar-SA"/>
    </w:rPr>
    <w:tblPr/>
  </w:style>
  <w:style w:type="table" w:styleId="1157">
    <w:name w:val="无格式表格 11"/>
    <w:next w:val="1157"/>
    <w:link w:val="943"/>
    <w:uiPriority w:val="59"/>
    <w:qFormat/>
    <w:rPr>
      <w:rFonts w:ascii="Times New Roman" w:hAnsi="Times New Roman"/>
      <w:lang w:val="en-US" w:eastAsia="zh-CN" w:bidi="ar-SA"/>
    </w:rPr>
    <w:tblPr/>
  </w:style>
  <w:style w:type="table" w:styleId="1158">
    <w:name w:val="无格式表格 21"/>
    <w:next w:val="1158"/>
    <w:link w:val="943"/>
    <w:uiPriority w:val="59"/>
    <w:qFormat/>
    <w:rPr>
      <w:rFonts w:ascii="Times New Roman" w:hAnsi="Times New Roman"/>
      <w:lang w:val="en-US" w:eastAsia="zh-CN" w:bidi="ar-SA"/>
    </w:rPr>
    <w:tblPr/>
  </w:style>
  <w:style w:type="table" w:styleId="1159">
    <w:name w:val="无格式表格 31"/>
    <w:next w:val="1159"/>
    <w:link w:val="943"/>
    <w:uiPriority w:val="99"/>
    <w:qFormat/>
    <w:rPr>
      <w:rFonts w:ascii="Times New Roman" w:hAnsi="Times New Roman"/>
      <w:lang w:val="en-US" w:eastAsia="zh-CN" w:bidi="ar-SA"/>
    </w:rPr>
    <w:tblPr/>
  </w:style>
  <w:style w:type="table" w:styleId="1160">
    <w:name w:val="无格式表格 41"/>
    <w:next w:val="1160"/>
    <w:link w:val="943"/>
    <w:uiPriority w:val="99"/>
    <w:qFormat/>
    <w:rPr>
      <w:rFonts w:ascii="Times New Roman" w:hAnsi="Times New Roman"/>
      <w:lang w:val="en-US" w:eastAsia="zh-CN" w:bidi="ar-SA"/>
    </w:rPr>
    <w:tblPr/>
  </w:style>
  <w:style w:type="table" w:styleId="1161">
    <w:name w:val="无格式表格 51"/>
    <w:next w:val="1161"/>
    <w:link w:val="943"/>
    <w:uiPriority w:val="99"/>
    <w:qFormat/>
    <w:rPr>
      <w:rFonts w:ascii="Times New Roman" w:hAnsi="Times New Roman"/>
      <w:lang w:val="en-US" w:eastAsia="zh-CN" w:bidi="ar-SA"/>
    </w:rPr>
    <w:tblPr/>
  </w:style>
  <w:style w:type="table" w:styleId="1162">
    <w:name w:val="网格表 1 浅色1"/>
    <w:next w:val="1162"/>
    <w:link w:val="943"/>
    <w:uiPriority w:val="99"/>
    <w:qFormat/>
    <w:rPr>
      <w:rFonts w:ascii="Times New Roman" w:hAnsi="Times New Roman"/>
      <w:lang w:val="en-US" w:eastAsia="zh-CN" w:bidi="ar-SA"/>
    </w:rPr>
    <w:tblPr/>
  </w:style>
  <w:style w:type="table" w:styleId="1163">
    <w:name w:val="Grid Table 1 Light - Accent 1"/>
    <w:next w:val="1163"/>
    <w:link w:val="943"/>
    <w:uiPriority w:val="99"/>
    <w:qFormat/>
    <w:rPr>
      <w:rFonts w:ascii="Times New Roman" w:hAnsi="Times New Roman"/>
      <w:lang w:val="en-US" w:eastAsia="zh-CN" w:bidi="ar-SA"/>
    </w:rPr>
    <w:tblPr/>
  </w:style>
  <w:style w:type="table" w:styleId="1164">
    <w:name w:val="Grid Table 1 Light - Accent 2"/>
    <w:next w:val="1164"/>
    <w:link w:val="943"/>
    <w:uiPriority w:val="99"/>
    <w:qFormat/>
    <w:rPr>
      <w:rFonts w:ascii="Times New Roman" w:hAnsi="Times New Roman"/>
      <w:lang w:val="en-US" w:eastAsia="zh-CN" w:bidi="ar-SA"/>
    </w:rPr>
    <w:tblPr/>
  </w:style>
  <w:style w:type="table" w:styleId="1165">
    <w:name w:val="Grid Table 1 Light - Accent 3"/>
    <w:next w:val="1165"/>
    <w:link w:val="943"/>
    <w:uiPriority w:val="99"/>
    <w:qFormat/>
    <w:rPr>
      <w:rFonts w:ascii="Times New Roman" w:hAnsi="Times New Roman"/>
      <w:lang w:val="en-US" w:eastAsia="zh-CN" w:bidi="ar-SA"/>
    </w:rPr>
    <w:tblPr/>
  </w:style>
  <w:style w:type="table" w:styleId="1166">
    <w:name w:val="Grid Table 1 Light - Accent 4"/>
    <w:next w:val="1166"/>
    <w:link w:val="943"/>
    <w:uiPriority w:val="99"/>
    <w:qFormat/>
    <w:rPr>
      <w:rFonts w:ascii="Times New Roman" w:hAnsi="Times New Roman"/>
      <w:lang w:val="en-US" w:eastAsia="zh-CN" w:bidi="ar-SA"/>
    </w:rPr>
    <w:tblPr/>
  </w:style>
  <w:style w:type="table" w:styleId="1167">
    <w:name w:val="Grid Table 1 Light - Accent 5"/>
    <w:next w:val="1167"/>
    <w:link w:val="943"/>
    <w:uiPriority w:val="99"/>
    <w:qFormat/>
    <w:rPr>
      <w:rFonts w:ascii="Times New Roman" w:hAnsi="Times New Roman"/>
      <w:lang w:val="en-US" w:eastAsia="zh-CN" w:bidi="ar-SA"/>
    </w:rPr>
    <w:tblPr/>
  </w:style>
  <w:style w:type="table" w:styleId="1168">
    <w:name w:val="Grid Table 1 Light - Accent 6"/>
    <w:next w:val="1168"/>
    <w:link w:val="943"/>
    <w:uiPriority w:val="99"/>
    <w:qFormat/>
    <w:rPr>
      <w:rFonts w:ascii="Times New Roman" w:hAnsi="Times New Roman"/>
      <w:lang w:val="en-US" w:eastAsia="zh-CN" w:bidi="ar-SA"/>
    </w:rPr>
    <w:tblPr/>
  </w:style>
  <w:style w:type="table" w:styleId="1169">
    <w:name w:val="网格表 21"/>
    <w:next w:val="1169"/>
    <w:link w:val="943"/>
    <w:uiPriority w:val="99"/>
    <w:qFormat/>
    <w:rPr>
      <w:rFonts w:ascii="Times New Roman" w:hAnsi="Times New Roman"/>
      <w:lang w:val="en-US" w:eastAsia="zh-CN" w:bidi="ar-SA"/>
    </w:rPr>
    <w:tblPr/>
  </w:style>
  <w:style w:type="table" w:styleId="1170">
    <w:name w:val="Grid Table 2 - Accent 1"/>
    <w:next w:val="1170"/>
    <w:link w:val="943"/>
    <w:uiPriority w:val="99"/>
    <w:qFormat/>
    <w:rPr>
      <w:rFonts w:ascii="Times New Roman" w:hAnsi="Times New Roman"/>
      <w:lang w:val="en-US" w:eastAsia="zh-CN" w:bidi="ar-SA"/>
    </w:rPr>
    <w:tblPr/>
  </w:style>
  <w:style w:type="table" w:styleId="1171">
    <w:name w:val="Grid Table 2 - Accent 2"/>
    <w:next w:val="1171"/>
    <w:link w:val="943"/>
    <w:uiPriority w:val="99"/>
    <w:qFormat/>
    <w:rPr>
      <w:rFonts w:ascii="Times New Roman" w:hAnsi="Times New Roman"/>
      <w:lang w:val="en-US" w:eastAsia="zh-CN" w:bidi="ar-SA"/>
    </w:rPr>
    <w:tblPr/>
  </w:style>
  <w:style w:type="table" w:styleId="1172">
    <w:name w:val="Grid Table 2 - Accent 3"/>
    <w:next w:val="1172"/>
    <w:link w:val="943"/>
    <w:uiPriority w:val="99"/>
    <w:qFormat/>
    <w:rPr>
      <w:rFonts w:ascii="Times New Roman" w:hAnsi="Times New Roman"/>
      <w:lang w:val="en-US" w:eastAsia="zh-CN" w:bidi="ar-SA"/>
    </w:rPr>
    <w:tblPr/>
  </w:style>
  <w:style w:type="table" w:styleId="1173">
    <w:name w:val="Grid Table 2 - Accent 4"/>
    <w:next w:val="1173"/>
    <w:link w:val="943"/>
    <w:uiPriority w:val="99"/>
    <w:qFormat/>
    <w:rPr>
      <w:rFonts w:ascii="Times New Roman" w:hAnsi="Times New Roman"/>
      <w:lang w:val="en-US" w:eastAsia="zh-CN" w:bidi="ar-SA"/>
    </w:rPr>
    <w:tblPr/>
  </w:style>
  <w:style w:type="table" w:styleId="1174">
    <w:name w:val="Grid Table 2 - Accent 5"/>
    <w:next w:val="1174"/>
    <w:link w:val="943"/>
    <w:uiPriority w:val="99"/>
    <w:qFormat/>
    <w:rPr>
      <w:rFonts w:ascii="Times New Roman" w:hAnsi="Times New Roman"/>
      <w:lang w:val="en-US" w:eastAsia="zh-CN" w:bidi="ar-SA"/>
    </w:rPr>
    <w:tblPr/>
  </w:style>
  <w:style w:type="table" w:styleId="1175">
    <w:name w:val="Grid Table 2 - Accent 6"/>
    <w:next w:val="1175"/>
    <w:link w:val="943"/>
    <w:uiPriority w:val="99"/>
    <w:qFormat/>
    <w:rPr>
      <w:rFonts w:ascii="Times New Roman" w:hAnsi="Times New Roman"/>
      <w:lang w:val="en-US" w:eastAsia="zh-CN" w:bidi="ar-SA"/>
    </w:rPr>
    <w:tblPr/>
  </w:style>
  <w:style w:type="table" w:styleId="1176">
    <w:name w:val="网格表 31"/>
    <w:next w:val="1176"/>
    <w:link w:val="943"/>
    <w:uiPriority w:val="99"/>
    <w:qFormat/>
    <w:rPr>
      <w:rFonts w:ascii="Times New Roman" w:hAnsi="Times New Roman"/>
      <w:lang w:val="en-US" w:eastAsia="zh-CN" w:bidi="ar-SA"/>
    </w:rPr>
    <w:tblPr/>
  </w:style>
  <w:style w:type="table" w:styleId="1177">
    <w:name w:val="Grid Table 3 - Accent 1"/>
    <w:next w:val="1177"/>
    <w:link w:val="943"/>
    <w:uiPriority w:val="99"/>
    <w:qFormat/>
    <w:rPr>
      <w:rFonts w:ascii="Times New Roman" w:hAnsi="Times New Roman"/>
      <w:lang w:val="en-US" w:eastAsia="zh-CN" w:bidi="ar-SA"/>
    </w:rPr>
    <w:tblPr/>
  </w:style>
  <w:style w:type="table" w:styleId="1178">
    <w:name w:val="Grid Table 3 - Accent 2"/>
    <w:next w:val="1178"/>
    <w:link w:val="943"/>
    <w:uiPriority w:val="99"/>
    <w:qFormat/>
    <w:rPr>
      <w:rFonts w:ascii="Times New Roman" w:hAnsi="Times New Roman"/>
      <w:lang w:val="en-US" w:eastAsia="zh-CN" w:bidi="ar-SA"/>
    </w:rPr>
    <w:tblPr/>
  </w:style>
  <w:style w:type="table" w:styleId="1179">
    <w:name w:val="Grid Table 3 - Accent 3"/>
    <w:next w:val="1179"/>
    <w:link w:val="943"/>
    <w:uiPriority w:val="99"/>
    <w:qFormat/>
    <w:rPr>
      <w:rFonts w:ascii="Times New Roman" w:hAnsi="Times New Roman"/>
      <w:lang w:val="en-US" w:eastAsia="zh-CN" w:bidi="ar-SA"/>
    </w:rPr>
    <w:tblPr/>
  </w:style>
  <w:style w:type="table" w:styleId="1180">
    <w:name w:val="Grid Table 3 - Accent 4"/>
    <w:next w:val="1180"/>
    <w:link w:val="943"/>
    <w:uiPriority w:val="99"/>
    <w:qFormat/>
    <w:rPr>
      <w:rFonts w:ascii="Times New Roman" w:hAnsi="Times New Roman"/>
      <w:lang w:val="en-US" w:eastAsia="zh-CN" w:bidi="ar-SA"/>
    </w:rPr>
    <w:tblPr/>
  </w:style>
  <w:style w:type="table" w:styleId="1181">
    <w:name w:val="Grid Table 3 - Accent 5"/>
    <w:next w:val="1181"/>
    <w:link w:val="943"/>
    <w:uiPriority w:val="99"/>
    <w:qFormat/>
    <w:rPr>
      <w:rFonts w:ascii="Times New Roman" w:hAnsi="Times New Roman"/>
      <w:lang w:val="en-US" w:eastAsia="zh-CN" w:bidi="ar-SA"/>
    </w:rPr>
    <w:tblPr/>
  </w:style>
  <w:style w:type="table" w:styleId="1182">
    <w:name w:val="Grid Table 3 - Accent 6"/>
    <w:next w:val="1182"/>
    <w:link w:val="943"/>
    <w:uiPriority w:val="99"/>
    <w:qFormat/>
    <w:rPr>
      <w:rFonts w:ascii="Times New Roman" w:hAnsi="Times New Roman"/>
      <w:lang w:val="en-US" w:eastAsia="zh-CN" w:bidi="ar-SA"/>
    </w:rPr>
    <w:tblPr/>
  </w:style>
  <w:style w:type="table" w:styleId="1183">
    <w:name w:val="网格表 41"/>
    <w:next w:val="1183"/>
    <w:link w:val="943"/>
    <w:uiPriority w:val="59"/>
    <w:qFormat/>
    <w:rPr>
      <w:rFonts w:ascii="Times New Roman" w:hAnsi="Times New Roman"/>
      <w:lang w:val="en-US" w:eastAsia="zh-CN" w:bidi="ar-SA"/>
    </w:rPr>
    <w:tblPr/>
  </w:style>
  <w:style w:type="table" w:styleId="1184">
    <w:name w:val="Grid Table 4 - Accent 1"/>
    <w:next w:val="1184"/>
    <w:link w:val="943"/>
    <w:uiPriority w:val="59"/>
    <w:qFormat/>
    <w:rPr>
      <w:rFonts w:ascii="Times New Roman" w:hAnsi="Times New Roman"/>
      <w:lang w:val="en-US" w:eastAsia="zh-CN" w:bidi="ar-SA"/>
    </w:rPr>
    <w:tblPr/>
  </w:style>
  <w:style w:type="table" w:styleId="1185">
    <w:name w:val="Grid Table 4 - Accent 2"/>
    <w:next w:val="1185"/>
    <w:link w:val="943"/>
    <w:uiPriority w:val="59"/>
    <w:qFormat/>
    <w:rPr>
      <w:rFonts w:ascii="Times New Roman" w:hAnsi="Times New Roman"/>
      <w:lang w:val="en-US" w:eastAsia="zh-CN" w:bidi="ar-SA"/>
    </w:rPr>
    <w:tblPr/>
  </w:style>
  <w:style w:type="table" w:styleId="1186">
    <w:name w:val="Grid Table 4 - Accent 3"/>
    <w:next w:val="1186"/>
    <w:link w:val="943"/>
    <w:uiPriority w:val="59"/>
    <w:qFormat/>
    <w:rPr>
      <w:rFonts w:ascii="Times New Roman" w:hAnsi="Times New Roman"/>
      <w:lang w:val="en-US" w:eastAsia="zh-CN" w:bidi="ar-SA"/>
    </w:rPr>
    <w:tblPr/>
  </w:style>
  <w:style w:type="table" w:styleId="1187">
    <w:name w:val="Grid Table 4 - Accent 4"/>
    <w:next w:val="1187"/>
    <w:link w:val="943"/>
    <w:uiPriority w:val="59"/>
    <w:qFormat/>
    <w:rPr>
      <w:rFonts w:ascii="Times New Roman" w:hAnsi="Times New Roman"/>
      <w:lang w:val="en-US" w:eastAsia="zh-CN" w:bidi="ar-SA"/>
    </w:rPr>
    <w:tblPr/>
  </w:style>
  <w:style w:type="table" w:styleId="1188">
    <w:name w:val="Grid Table 4 - Accent 5"/>
    <w:next w:val="1188"/>
    <w:link w:val="943"/>
    <w:uiPriority w:val="59"/>
    <w:qFormat/>
    <w:rPr>
      <w:rFonts w:ascii="Times New Roman" w:hAnsi="Times New Roman"/>
      <w:lang w:val="en-US" w:eastAsia="zh-CN" w:bidi="ar-SA"/>
    </w:rPr>
    <w:tblPr/>
  </w:style>
  <w:style w:type="table" w:styleId="1189">
    <w:name w:val="Grid Table 4 - Accent 6"/>
    <w:next w:val="1189"/>
    <w:link w:val="943"/>
    <w:uiPriority w:val="59"/>
    <w:qFormat/>
    <w:rPr>
      <w:rFonts w:ascii="Times New Roman" w:hAnsi="Times New Roman"/>
      <w:lang w:val="en-US" w:eastAsia="zh-CN" w:bidi="ar-SA"/>
    </w:rPr>
    <w:tblPr/>
  </w:style>
  <w:style w:type="table" w:styleId="1190">
    <w:name w:val="网格表 5 深色1"/>
    <w:next w:val="1190"/>
    <w:link w:val="943"/>
    <w:uiPriority w:val="99"/>
    <w:qFormat/>
    <w:rPr>
      <w:rFonts w:ascii="Times New Roman" w:hAnsi="Times New Roman"/>
      <w:lang w:val="en-US" w:eastAsia="zh-CN" w:bidi="ar-SA"/>
    </w:rPr>
    <w:tblPr/>
  </w:style>
  <w:style w:type="table" w:styleId="1191">
    <w:name w:val="Grid Table 5 Dark- Accent 1"/>
    <w:next w:val="1191"/>
    <w:link w:val="943"/>
    <w:uiPriority w:val="99"/>
    <w:qFormat/>
    <w:rPr>
      <w:rFonts w:ascii="Times New Roman" w:hAnsi="Times New Roman"/>
      <w:lang w:val="en-US" w:eastAsia="zh-CN" w:bidi="ar-SA"/>
    </w:rPr>
    <w:tblPr/>
  </w:style>
  <w:style w:type="table" w:styleId="1192">
    <w:name w:val="Grid Table 5 Dark - Accent 2"/>
    <w:next w:val="1192"/>
    <w:link w:val="943"/>
    <w:uiPriority w:val="99"/>
    <w:qFormat/>
    <w:rPr>
      <w:rFonts w:ascii="Times New Roman" w:hAnsi="Times New Roman"/>
      <w:lang w:val="en-US" w:eastAsia="zh-CN" w:bidi="ar-SA"/>
    </w:rPr>
    <w:tblPr/>
  </w:style>
  <w:style w:type="table" w:styleId="1193">
    <w:name w:val="Grid Table 5 Dark - Accent 3"/>
    <w:next w:val="1193"/>
    <w:link w:val="943"/>
    <w:uiPriority w:val="99"/>
    <w:qFormat/>
    <w:rPr>
      <w:rFonts w:ascii="Times New Roman" w:hAnsi="Times New Roman"/>
      <w:lang w:val="en-US" w:eastAsia="zh-CN" w:bidi="ar-SA"/>
    </w:rPr>
    <w:tblPr/>
  </w:style>
  <w:style w:type="table" w:styleId="1194">
    <w:name w:val="Grid Table 5 Dark- Accent 4"/>
    <w:next w:val="1194"/>
    <w:link w:val="943"/>
    <w:uiPriority w:val="99"/>
    <w:qFormat/>
    <w:rPr>
      <w:rFonts w:ascii="Times New Roman" w:hAnsi="Times New Roman"/>
      <w:lang w:val="en-US" w:eastAsia="zh-CN" w:bidi="ar-SA"/>
    </w:rPr>
    <w:tblPr/>
  </w:style>
  <w:style w:type="table" w:styleId="1195">
    <w:name w:val="Grid Table 5 Dark - Accent 5"/>
    <w:next w:val="1195"/>
    <w:link w:val="943"/>
    <w:uiPriority w:val="99"/>
    <w:qFormat/>
    <w:rPr>
      <w:rFonts w:ascii="Times New Roman" w:hAnsi="Times New Roman"/>
      <w:lang w:val="en-US" w:eastAsia="zh-CN" w:bidi="ar-SA"/>
    </w:rPr>
    <w:tblPr/>
  </w:style>
  <w:style w:type="table" w:styleId="1196">
    <w:name w:val="Grid Table 5 Dark - Accent 6"/>
    <w:next w:val="1196"/>
    <w:link w:val="943"/>
    <w:uiPriority w:val="99"/>
    <w:qFormat/>
    <w:rPr>
      <w:rFonts w:ascii="Times New Roman" w:hAnsi="Times New Roman"/>
      <w:lang w:val="en-US" w:eastAsia="zh-CN" w:bidi="ar-SA"/>
    </w:rPr>
    <w:tblPr/>
  </w:style>
  <w:style w:type="table" w:styleId="1197">
    <w:name w:val="网格表 6 彩色1"/>
    <w:next w:val="1197"/>
    <w:link w:val="943"/>
    <w:uiPriority w:val="99"/>
    <w:qFormat/>
    <w:rPr>
      <w:rFonts w:ascii="Times New Roman" w:hAnsi="Times New Roman"/>
      <w:lang w:val="en-US" w:eastAsia="zh-CN" w:bidi="ar-SA"/>
    </w:rPr>
    <w:tblPr/>
  </w:style>
  <w:style w:type="table" w:styleId="1198">
    <w:name w:val="Grid Table 6 Colorful - Accent 1"/>
    <w:next w:val="1198"/>
    <w:link w:val="943"/>
    <w:uiPriority w:val="99"/>
    <w:qFormat/>
    <w:rPr>
      <w:rFonts w:ascii="Times New Roman" w:hAnsi="Times New Roman"/>
      <w:lang w:val="en-US" w:eastAsia="zh-CN" w:bidi="ar-SA"/>
    </w:rPr>
    <w:tblPr/>
  </w:style>
  <w:style w:type="table" w:styleId="1199">
    <w:name w:val="Grid Table 6 Colorful - Accent 2"/>
    <w:next w:val="1199"/>
    <w:link w:val="943"/>
    <w:uiPriority w:val="99"/>
    <w:qFormat/>
    <w:rPr>
      <w:rFonts w:ascii="Times New Roman" w:hAnsi="Times New Roman"/>
      <w:lang w:val="en-US" w:eastAsia="zh-CN" w:bidi="ar-SA"/>
    </w:rPr>
    <w:tblPr/>
  </w:style>
  <w:style w:type="table" w:styleId="1200">
    <w:name w:val="Grid Table 6 Colorful - Accent 3"/>
    <w:next w:val="1200"/>
    <w:link w:val="943"/>
    <w:uiPriority w:val="99"/>
    <w:qFormat/>
    <w:rPr>
      <w:rFonts w:ascii="Times New Roman" w:hAnsi="Times New Roman"/>
      <w:lang w:val="en-US" w:eastAsia="zh-CN" w:bidi="ar-SA"/>
    </w:rPr>
    <w:tblPr/>
  </w:style>
  <w:style w:type="table" w:styleId="1201">
    <w:name w:val="Grid Table 6 Colorful - Accent 4"/>
    <w:next w:val="1201"/>
    <w:link w:val="943"/>
    <w:uiPriority w:val="99"/>
    <w:qFormat/>
    <w:rPr>
      <w:rFonts w:ascii="Times New Roman" w:hAnsi="Times New Roman"/>
      <w:lang w:val="en-US" w:eastAsia="zh-CN" w:bidi="ar-SA"/>
    </w:rPr>
    <w:tblPr/>
  </w:style>
  <w:style w:type="table" w:styleId="1202">
    <w:name w:val="Grid Table 6 Colorful - Accent 5"/>
    <w:next w:val="1202"/>
    <w:link w:val="943"/>
    <w:uiPriority w:val="99"/>
    <w:qFormat/>
    <w:rPr>
      <w:rFonts w:ascii="Times New Roman" w:hAnsi="Times New Roman"/>
      <w:lang w:val="en-US" w:eastAsia="zh-CN" w:bidi="ar-SA"/>
    </w:rPr>
    <w:tblPr/>
  </w:style>
  <w:style w:type="table" w:styleId="1203">
    <w:name w:val="Grid Table 6 Colorful - Accent 6"/>
    <w:next w:val="1203"/>
    <w:link w:val="943"/>
    <w:uiPriority w:val="99"/>
    <w:qFormat/>
    <w:rPr>
      <w:rFonts w:ascii="Times New Roman" w:hAnsi="Times New Roman"/>
      <w:lang w:val="en-US" w:eastAsia="zh-CN" w:bidi="ar-SA"/>
    </w:rPr>
    <w:tblPr/>
  </w:style>
  <w:style w:type="table" w:styleId="1204">
    <w:name w:val="网格表 7 彩色1"/>
    <w:next w:val="1204"/>
    <w:link w:val="943"/>
    <w:uiPriority w:val="99"/>
    <w:qFormat/>
    <w:rPr>
      <w:rFonts w:ascii="Times New Roman" w:hAnsi="Times New Roman"/>
      <w:lang w:val="en-US" w:eastAsia="zh-CN" w:bidi="ar-SA"/>
    </w:rPr>
    <w:tblPr/>
  </w:style>
  <w:style w:type="table" w:styleId="1205">
    <w:name w:val="Grid Table 7 Colorful - Accent 1"/>
    <w:next w:val="1205"/>
    <w:link w:val="943"/>
    <w:uiPriority w:val="99"/>
    <w:qFormat/>
    <w:rPr>
      <w:rFonts w:ascii="Times New Roman" w:hAnsi="Times New Roman"/>
      <w:lang w:val="en-US" w:eastAsia="zh-CN" w:bidi="ar-SA"/>
    </w:rPr>
    <w:tblPr/>
  </w:style>
  <w:style w:type="table" w:styleId="1206">
    <w:name w:val="Grid Table 7 Colorful - Accent 2"/>
    <w:next w:val="1206"/>
    <w:link w:val="943"/>
    <w:uiPriority w:val="99"/>
    <w:qFormat/>
    <w:rPr>
      <w:rFonts w:ascii="Times New Roman" w:hAnsi="Times New Roman"/>
      <w:lang w:val="en-US" w:eastAsia="zh-CN" w:bidi="ar-SA"/>
    </w:rPr>
    <w:tblPr/>
  </w:style>
  <w:style w:type="table" w:styleId="1207">
    <w:name w:val="Grid Table 7 Colorful - Accent 3"/>
    <w:next w:val="1207"/>
    <w:link w:val="943"/>
    <w:uiPriority w:val="99"/>
    <w:qFormat/>
    <w:rPr>
      <w:rFonts w:ascii="Times New Roman" w:hAnsi="Times New Roman"/>
      <w:lang w:val="en-US" w:eastAsia="zh-CN" w:bidi="ar-SA"/>
    </w:rPr>
    <w:tblPr/>
  </w:style>
  <w:style w:type="table" w:styleId="1208">
    <w:name w:val="Grid Table 7 Colorful - Accent 4"/>
    <w:next w:val="1208"/>
    <w:link w:val="943"/>
    <w:uiPriority w:val="99"/>
    <w:qFormat/>
    <w:rPr>
      <w:rFonts w:ascii="Times New Roman" w:hAnsi="Times New Roman"/>
      <w:lang w:val="en-US" w:eastAsia="zh-CN" w:bidi="ar-SA"/>
    </w:rPr>
    <w:tblPr/>
  </w:style>
  <w:style w:type="table" w:styleId="1209">
    <w:name w:val="Grid Table 7 Colorful - Accent 5"/>
    <w:next w:val="1209"/>
    <w:link w:val="943"/>
    <w:uiPriority w:val="99"/>
    <w:qFormat/>
    <w:rPr>
      <w:rFonts w:ascii="Times New Roman" w:hAnsi="Times New Roman"/>
      <w:lang w:val="en-US" w:eastAsia="zh-CN" w:bidi="ar-SA"/>
    </w:rPr>
    <w:tblPr/>
  </w:style>
  <w:style w:type="table" w:styleId="1210">
    <w:name w:val="Grid Table 7 Colorful - Accent 6"/>
    <w:next w:val="1210"/>
    <w:link w:val="943"/>
    <w:uiPriority w:val="99"/>
    <w:qFormat/>
    <w:rPr>
      <w:rFonts w:ascii="Times New Roman" w:hAnsi="Times New Roman"/>
      <w:lang w:val="en-US" w:eastAsia="zh-CN" w:bidi="ar-SA"/>
    </w:rPr>
    <w:tblPr/>
  </w:style>
  <w:style w:type="table" w:styleId="1211">
    <w:name w:val="清单表 1 浅色1"/>
    <w:next w:val="1211"/>
    <w:link w:val="943"/>
    <w:uiPriority w:val="99"/>
    <w:qFormat/>
    <w:rPr>
      <w:rFonts w:ascii="Times New Roman" w:hAnsi="Times New Roman"/>
      <w:lang w:val="en-US" w:eastAsia="zh-CN" w:bidi="ar-SA"/>
    </w:rPr>
    <w:tblPr/>
  </w:style>
  <w:style w:type="table" w:styleId="1212">
    <w:name w:val="List Table 1 Light - Accent 1"/>
    <w:next w:val="1212"/>
    <w:link w:val="943"/>
    <w:uiPriority w:val="99"/>
    <w:qFormat/>
    <w:rPr>
      <w:rFonts w:ascii="Times New Roman" w:hAnsi="Times New Roman"/>
      <w:lang w:val="en-US" w:eastAsia="zh-CN" w:bidi="ar-SA"/>
    </w:rPr>
    <w:tblPr/>
  </w:style>
  <w:style w:type="table" w:styleId="1213">
    <w:name w:val="List Table 1 Light - Accent 2"/>
    <w:next w:val="1213"/>
    <w:link w:val="943"/>
    <w:uiPriority w:val="99"/>
    <w:qFormat/>
    <w:rPr>
      <w:rFonts w:ascii="Times New Roman" w:hAnsi="Times New Roman"/>
      <w:lang w:val="en-US" w:eastAsia="zh-CN" w:bidi="ar-SA"/>
    </w:rPr>
    <w:tblPr/>
  </w:style>
  <w:style w:type="table" w:styleId="1214">
    <w:name w:val="List Table 1 Light - Accent 3"/>
    <w:next w:val="1214"/>
    <w:link w:val="943"/>
    <w:uiPriority w:val="99"/>
    <w:qFormat/>
    <w:rPr>
      <w:rFonts w:ascii="Times New Roman" w:hAnsi="Times New Roman"/>
      <w:lang w:val="en-US" w:eastAsia="zh-CN" w:bidi="ar-SA"/>
    </w:rPr>
    <w:tblPr/>
  </w:style>
  <w:style w:type="table" w:styleId="1215">
    <w:name w:val="List Table 1 Light - Accent 4"/>
    <w:next w:val="1215"/>
    <w:link w:val="943"/>
    <w:uiPriority w:val="99"/>
    <w:qFormat/>
    <w:rPr>
      <w:rFonts w:ascii="Times New Roman" w:hAnsi="Times New Roman"/>
      <w:lang w:val="en-US" w:eastAsia="zh-CN" w:bidi="ar-SA"/>
    </w:rPr>
    <w:tblPr/>
  </w:style>
  <w:style w:type="table" w:styleId="1216">
    <w:name w:val="List Table 1 Light - Accent 5"/>
    <w:next w:val="1216"/>
    <w:link w:val="943"/>
    <w:uiPriority w:val="99"/>
    <w:qFormat/>
    <w:rPr>
      <w:rFonts w:ascii="Times New Roman" w:hAnsi="Times New Roman"/>
      <w:lang w:val="en-US" w:eastAsia="zh-CN" w:bidi="ar-SA"/>
    </w:rPr>
    <w:tblPr/>
  </w:style>
  <w:style w:type="table" w:styleId="1217">
    <w:name w:val="List Table 1 Light - Accent 6"/>
    <w:next w:val="1217"/>
    <w:link w:val="943"/>
    <w:uiPriority w:val="99"/>
    <w:qFormat/>
    <w:rPr>
      <w:rFonts w:ascii="Times New Roman" w:hAnsi="Times New Roman"/>
      <w:lang w:val="en-US" w:eastAsia="zh-CN" w:bidi="ar-SA"/>
    </w:rPr>
    <w:tblPr/>
  </w:style>
  <w:style w:type="table" w:styleId="1218">
    <w:name w:val="清单表 21"/>
    <w:next w:val="1218"/>
    <w:link w:val="943"/>
    <w:uiPriority w:val="99"/>
    <w:qFormat/>
    <w:rPr>
      <w:rFonts w:ascii="Times New Roman" w:hAnsi="Times New Roman"/>
      <w:lang w:val="en-US" w:eastAsia="zh-CN" w:bidi="ar-SA"/>
    </w:rPr>
    <w:tblPr/>
  </w:style>
  <w:style w:type="table" w:styleId="1219">
    <w:name w:val="List Table 2 - Accent 1"/>
    <w:next w:val="1219"/>
    <w:link w:val="943"/>
    <w:uiPriority w:val="99"/>
    <w:qFormat/>
    <w:rPr>
      <w:rFonts w:ascii="Times New Roman" w:hAnsi="Times New Roman"/>
      <w:lang w:val="en-US" w:eastAsia="zh-CN" w:bidi="ar-SA"/>
    </w:rPr>
    <w:tblPr/>
  </w:style>
  <w:style w:type="table" w:styleId="1220">
    <w:name w:val="List Table 2 - Accent 2"/>
    <w:next w:val="1220"/>
    <w:link w:val="943"/>
    <w:uiPriority w:val="99"/>
    <w:qFormat/>
    <w:rPr>
      <w:rFonts w:ascii="Times New Roman" w:hAnsi="Times New Roman"/>
      <w:lang w:val="en-US" w:eastAsia="zh-CN" w:bidi="ar-SA"/>
    </w:rPr>
    <w:tblPr/>
  </w:style>
  <w:style w:type="table" w:styleId="1221">
    <w:name w:val="List Table 2 - Accent 3"/>
    <w:next w:val="1221"/>
    <w:link w:val="943"/>
    <w:uiPriority w:val="99"/>
    <w:qFormat/>
    <w:rPr>
      <w:rFonts w:ascii="Times New Roman" w:hAnsi="Times New Roman"/>
      <w:lang w:val="en-US" w:eastAsia="zh-CN" w:bidi="ar-SA"/>
    </w:rPr>
    <w:tblPr/>
  </w:style>
  <w:style w:type="table" w:styleId="1222">
    <w:name w:val="List Table 2 - Accent 4"/>
    <w:next w:val="1222"/>
    <w:link w:val="943"/>
    <w:uiPriority w:val="99"/>
    <w:qFormat/>
    <w:rPr>
      <w:rFonts w:ascii="Times New Roman" w:hAnsi="Times New Roman"/>
      <w:lang w:val="en-US" w:eastAsia="zh-CN" w:bidi="ar-SA"/>
    </w:rPr>
    <w:tblPr/>
  </w:style>
  <w:style w:type="table" w:styleId="1223">
    <w:name w:val="List Table 2 - Accent 5"/>
    <w:next w:val="1223"/>
    <w:link w:val="943"/>
    <w:uiPriority w:val="99"/>
    <w:qFormat/>
    <w:rPr>
      <w:rFonts w:ascii="Times New Roman" w:hAnsi="Times New Roman"/>
      <w:lang w:val="en-US" w:eastAsia="zh-CN" w:bidi="ar-SA"/>
    </w:rPr>
    <w:tblPr/>
  </w:style>
  <w:style w:type="table" w:styleId="1224">
    <w:name w:val="List Table 2 - Accent 6"/>
    <w:next w:val="1224"/>
    <w:link w:val="943"/>
    <w:uiPriority w:val="99"/>
    <w:qFormat/>
    <w:rPr>
      <w:rFonts w:ascii="Times New Roman" w:hAnsi="Times New Roman"/>
      <w:lang w:val="en-US" w:eastAsia="zh-CN" w:bidi="ar-SA"/>
    </w:rPr>
    <w:tblPr/>
  </w:style>
  <w:style w:type="table" w:styleId="1225">
    <w:name w:val="清单表 31"/>
    <w:next w:val="1225"/>
    <w:link w:val="943"/>
    <w:uiPriority w:val="99"/>
    <w:qFormat/>
    <w:rPr>
      <w:rFonts w:ascii="Times New Roman" w:hAnsi="Times New Roman"/>
      <w:lang w:val="en-US" w:eastAsia="zh-CN" w:bidi="ar-SA"/>
    </w:rPr>
    <w:tblPr/>
  </w:style>
  <w:style w:type="table" w:styleId="1226">
    <w:name w:val="List Table 3 - Accent 1"/>
    <w:next w:val="1226"/>
    <w:link w:val="943"/>
    <w:uiPriority w:val="99"/>
    <w:qFormat/>
    <w:rPr>
      <w:rFonts w:ascii="Times New Roman" w:hAnsi="Times New Roman"/>
      <w:lang w:val="en-US" w:eastAsia="zh-CN" w:bidi="ar-SA"/>
    </w:rPr>
    <w:tblPr/>
  </w:style>
  <w:style w:type="table" w:styleId="1227">
    <w:name w:val="List Table 3 - Accent 2"/>
    <w:next w:val="1227"/>
    <w:link w:val="943"/>
    <w:uiPriority w:val="99"/>
    <w:qFormat/>
    <w:rPr>
      <w:rFonts w:ascii="Times New Roman" w:hAnsi="Times New Roman"/>
      <w:lang w:val="en-US" w:eastAsia="zh-CN" w:bidi="ar-SA"/>
    </w:rPr>
    <w:tblPr/>
  </w:style>
  <w:style w:type="table" w:styleId="1228">
    <w:name w:val="List Table 3 - Accent 3"/>
    <w:next w:val="1228"/>
    <w:link w:val="943"/>
    <w:uiPriority w:val="99"/>
    <w:qFormat/>
    <w:rPr>
      <w:rFonts w:ascii="Times New Roman" w:hAnsi="Times New Roman"/>
      <w:lang w:val="en-US" w:eastAsia="zh-CN" w:bidi="ar-SA"/>
    </w:rPr>
    <w:tblPr/>
  </w:style>
  <w:style w:type="table" w:styleId="1229">
    <w:name w:val="List Table 3 - Accent 4"/>
    <w:next w:val="1229"/>
    <w:link w:val="943"/>
    <w:uiPriority w:val="99"/>
    <w:qFormat/>
    <w:rPr>
      <w:rFonts w:ascii="Times New Roman" w:hAnsi="Times New Roman"/>
      <w:lang w:val="en-US" w:eastAsia="zh-CN" w:bidi="ar-SA"/>
    </w:rPr>
    <w:tblPr/>
  </w:style>
  <w:style w:type="table" w:styleId="1230">
    <w:name w:val="List Table 3 - Accent 5"/>
    <w:next w:val="1230"/>
    <w:link w:val="943"/>
    <w:uiPriority w:val="99"/>
    <w:qFormat/>
    <w:rPr>
      <w:rFonts w:ascii="Times New Roman" w:hAnsi="Times New Roman"/>
      <w:lang w:val="en-US" w:eastAsia="zh-CN" w:bidi="ar-SA"/>
    </w:rPr>
    <w:tblPr/>
  </w:style>
  <w:style w:type="table" w:styleId="1231">
    <w:name w:val="List Table 3 - Accent 6"/>
    <w:next w:val="1231"/>
    <w:link w:val="943"/>
    <w:uiPriority w:val="99"/>
    <w:qFormat/>
    <w:rPr>
      <w:rFonts w:ascii="Times New Roman" w:hAnsi="Times New Roman"/>
      <w:lang w:val="en-US" w:eastAsia="zh-CN" w:bidi="ar-SA"/>
    </w:rPr>
    <w:tblPr/>
  </w:style>
  <w:style w:type="table" w:styleId="1232">
    <w:name w:val="清单表 41"/>
    <w:next w:val="1232"/>
    <w:link w:val="943"/>
    <w:uiPriority w:val="99"/>
    <w:qFormat/>
    <w:rPr>
      <w:rFonts w:ascii="Times New Roman" w:hAnsi="Times New Roman"/>
      <w:lang w:val="en-US" w:eastAsia="zh-CN" w:bidi="ar-SA"/>
    </w:rPr>
    <w:tblPr/>
  </w:style>
  <w:style w:type="table" w:styleId="1233">
    <w:name w:val="List Table 4 - Accent 1"/>
    <w:next w:val="1233"/>
    <w:link w:val="943"/>
    <w:uiPriority w:val="99"/>
    <w:qFormat/>
    <w:rPr>
      <w:rFonts w:ascii="Times New Roman" w:hAnsi="Times New Roman"/>
      <w:lang w:val="en-US" w:eastAsia="zh-CN" w:bidi="ar-SA"/>
    </w:rPr>
    <w:tblPr/>
  </w:style>
  <w:style w:type="table" w:styleId="1234">
    <w:name w:val="List Table 4 - Accent 2"/>
    <w:next w:val="1234"/>
    <w:link w:val="943"/>
    <w:uiPriority w:val="99"/>
    <w:qFormat/>
    <w:rPr>
      <w:rFonts w:ascii="Times New Roman" w:hAnsi="Times New Roman"/>
      <w:lang w:val="en-US" w:eastAsia="zh-CN" w:bidi="ar-SA"/>
    </w:rPr>
    <w:tblPr/>
  </w:style>
  <w:style w:type="table" w:styleId="1235">
    <w:name w:val="List Table 4 - Accent 3"/>
    <w:next w:val="1235"/>
    <w:link w:val="943"/>
    <w:uiPriority w:val="99"/>
    <w:qFormat/>
    <w:rPr>
      <w:rFonts w:ascii="Times New Roman" w:hAnsi="Times New Roman"/>
      <w:lang w:val="en-US" w:eastAsia="zh-CN" w:bidi="ar-SA"/>
    </w:rPr>
    <w:tblPr/>
  </w:style>
  <w:style w:type="table" w:styleId="1236">
    <w:name w:val="List Table 4 - Accent 4"/>
    <w:next w:val="1236"/>
    <w:link w:val="943"/>
    <w:uiPriority w:val="99"/>
    <w:qFormat/>
    <w:rPr>
      <w:rFonts w:ascii="Times New Roman" w:hAnsi="Times New Roman"/>
      <w:lang w:val="en-US" w:eastAsia="zh-CN" w:bidi="ar-SA"/>
    </w:rPr>
    <w:tblPr/>
  </w:style>
  <w:style w:type="table" w:styleId="1237">
    <w:name w:val="List Table 4 - Accent 5"/>
    <w:next w:val="1237"/>
    <w:link w:val="943"/>
    <w:uiPriority w:val="99"/>
    <w:qFormat/>
    <w:rPr>
      <w:rFonts w:ascii="Times New Roman" w:hAnsi="Times New Roman"/>
      <w:lang w:val="en-US" w:eastAsia="zh-CN" w:bidi="ar-SA"/>
    </w:rPr>
    <w:tblPr/>
  </w:style>
  <w:style w:type="table" w:styleId="1238">
    <w:name w:val="List Table 4 - Accent 6"/>
    <w:next w:val="1238"/>
    <w:link w:val="943"/>
    <w:uiPriority w:val="99"/>
    <w:qFormat/>
    <w:rPr>
      <w:rFonts w:ascii="Times New Roman" w:hAnsi="Times New Roman"/>
      <w:lang w:val="en-US" w:eastAsia="zh-CN" w:bidi="ar-SA"/>
    </w:rPr>
    <w:tblPr/>
  </w:style>
  <w:style w:type="table" w:styleId="1239">
    <w:name w:val="清单表 5 深色1"/>
    <w:next w:val="1239"/>
    <w:link w:val="943"/>
    <w:uiPriority w:val="99"/>
    <w:qFormat/>
    <w:rPr>
      <w:rFonts w:ascii="Times New Roman" w:hAnsi="Times New Roman"/>
      <w:lang w:val="en-US" w:eastAsia="zh-CN" w:bidi="ar-SA"/>
    </w:rPr>
    <w:tblPr/>
  </w:style>
  <w:style w:type="table" w:styleId="1240">
    <w:name w:val="List Table 5 Dark - Accent 1"/>
    <w:next w:val="1240"/>
    <w:link w:val="943"/>
    <w:uiPriority w:val="99"/>
    <w:qFormat/>
    <w:rPr>
      <w:rFonts w:ascii="Times New Roman" w:hAnsi="Times New Roman"/>
      <w:lang w:val="en-US" w:eastAsia="zh-CN" w:bidi="ar-SA"/>
    </w:rPr>
    <w:tblPr/>
  </w:style>
  <w:style w:type="table" w:styleId="1241">
    <w:name w:val="List Table 5 Dark - Accent 2"/>
    <w:next w:val="1241"/>
    <w:link w:val="943"/>
    <w:uiPriority w:val="99"/>
    <w:qFormat/>
    <w:rPr>
      <w:rFonts w:ascii="Times New Roman" w:hAnsi="Times New Roman"/>
      <w:lang w:val="en-US" w:eastAsia="zh-CN" w:bidi="ar-SA"/>
    </w:rPr>
    <w:tblPr/>
  </w:style>
  <w:style w:type="table" w:styleId="1242">
    <w:name w:val="List Table 5 Dark - Accent 3"/>
    <w:next w:val="1242"/>
    <w:link w:val="943"/>
    <w:uiPriority w:val="99"/>
    <w:qFormat/>
    <w:rPr>
      <w:rFonts w:ascii="Times New Roman" w:hAnsi="Times New Roman"/>
      <w:lang w:val="en-US" w:eastAsia="zh-CN" w:bidi="ar-SA"/>
    </w:rPr>
    <w:tblPr/>
  </w:style>
  <w:style w:type="table" w:styleId="1243">
    <w:name w:val="List Table 5 Dark - Accent 4"/>
    <w:next w:val="1243"/>
    <w:link w:val="943"/>
    <w:uiPriority w:val="99"/>
    <w:qFormat/>
    <w:rPr>
      <w:rFonts w:ascii="Times New Roman" w:hAnsi="Times New Roman"/>
      <w:lang w:val="en-US" w:eastAsia="zh-CN" w:bidi="ar-SA"/>
    </w:rPr>
    <w:tblPr/>
  </w:style>
  <w:style w:type="table" w:styleId="1244">
    <w:name w:val="List Table 5 Dark - Accent 5"/>
    <w:next w:val="1244"/>
    <w:link w:val="943"/>
    <w:uiPriority w:val="99"/>
    <w:qFormat/>
    <w:rPr>
      <w:rFonts w:ascii="Times New Roman" w:hAnsi="Times New Roman"/>
      <w:lang w:val="en-US" w:eastAsia="zh-CN" w:bidi="ar-SA"/>
    </w:rPr>
    <w:tblPr/>
  </w:style>
  <w:style w:type="table" w:styleId="1245">
    <w:name w:val="List Table 5 Dark - Accent 6"/>
    <w:next w:val="1245"/>
    <w:link w:val="943"/>
    <w:uiPriority w:val="99"/>
    <w:qFormat/>
    <w:rPr>
      <w:rFonts w:ascii="Times New Roman" w:hAnsi="Times New Roman"/>
      <w:lang w:val="en-US" w:eastAsia="zh-CN" w:bidi="ar-SA"/>
    </w:rPr>
    <w:tblPr/>
  </w:style>
  <w:style w:type="table" w:styleId="1246">
    <w:name w:val="清单表 6 彩色1"/>
    <w:next w:val="1246"/>
    <w:link w:val="943"/>
    <w:uiPriority w:val="99"/>
    <w:qFormat/>
    <w:rPr>
      <w:rFonts w:ascii="Times New Roman" w:hAnsi="Times New Roman"/>
      <w:lang w:val="en-US" w:eastAsia="zh-CN" w:bidi="ar-SA"/>
    </w:rPr>
    <w:tblPr/>
  </w:style>
  <w:style w:type="table" w:styleId="1247">
    <w:name w:val="List Table 6 Colorful - Accent 1"/>
    <w:next w:val="1247"/>
    <w:link w:val="943"/>
    <w:uiPriority w:val="99"/>
    <w:qFormat/>
    <w:rPr>
      <w:rFonts w:ascii="Times New Roman" w:hAnsi="Times New Roman"/>
      <w:lang w:val="en-US" w:eastAsia="zh-CN" w:bidi="ar-SA"/>
    </w:rPr>
    <w:tblPr/>
  </w:style>
  <w:style w:type="table" w:styleId="1248">
    <w:name w:val="List Table 6 Colorful - Accent 2"/>
    <w:next w:val="1248"/>
    <w:link w:val="943"/>
    <w:uiPriority w:val="99"/>
    <w:qFormat/>
    <w:rPr>
      <w:rFonts w:ascii="Times New Roman" w:hAnsi="Times New Roman"/>
      <w:lang w:val="en-US" w:eastAsia="zh-CN" w:bidi="ar-SA"/>
    </w:rPr>
    <w:tblPr/>
  </w:style>
  <w:style w:type="table" w:styleId="1249">
    <w:name w:val="List Table 6 Colorful - Accent 3"/>
    <w:next w:val="1249"/>
    <w:link w:val="943"/>
    <w:uiPriority w:val="99"/>
    <w:qFormat/>
    <w:rPr>
      <w:rFonts w:ascii="Times New Roman" w:hAnsi="Times New Roman"/>
      <w:lang w:val="en-US" w:eastAsia="zh-CN" w:bidi="ar-SA"/>
    </w:rPr>
    <w:tblPr/>
  </w:style>
  <w:style w:type="table" w:styleId="1250">
    <w:name w:val="List Table 6 Colorful - Accent 4"/>
    <w:next w:val="1250"/>
    <w:link w:val="943"/>
    <w:uiPriority w:val="99"/>
    <w:qFormat/>
    <w:rPr>
      <w:rFonts w:ascii="Times New Roman" w:hAnsi="Times New Roman"/>
      <w:lang w:val="en-US" w:eastAsia="zh-CN" w:bidi="ar-SA"/>
    </w:rPr>
    <w:tblPr/>
  </w:style>
  <w:style w:type="table" w:styleId="1251">
    <w:name w:val="List Table 6 Colorful - Accent 5"/>
    <w:next w:val="1251"/>
    <w:link w:val="943"/>
    <w:uiPriority w:val="99"/>
    <w:qFormat/>
    <w:rPr>
      <w:rFonts w:ascii="Times New Roman" w:hAnsi="Times New Roman"/>
      <w:lang w:val="en-US" w:eastAsia="zh-CN" w:bidi="ar-SA"/>
    </w:rPr>
    <w:tblPr/>
  </w:style>
  <w:style w:type="table" w:styleId="1252">
    <w:name w:val="List Table 6 Colorful - Accent 6"/>
    <w:next w:val="1252"/>
    <w:link w:val="943"/>
    <w:uiPriority w:val="99"/>
    <w:qFormat/>
    <w:rPr>
      <w:rFonts w:ascii="Times New Roman" w:hAnsi="Times New Roman"/>
      <w:lang w:val="en-US" w:eastAsia="zh-CN" w:bidi="ar-SA"/>
    </w:rPr>
    <w:tblPr/>
  </w:style>
  <w:style w:type="table" w:styleId="1253">
    <w:name w:val="清单表 7 彩色1"/>
    <w:next w:val="1253"/>
    <w:link w:val="943"/>
    <w:uiPriority w:val="99"/>
    <w:qFormat/>
    <w:rPr>
      <w:rFonts w:ascii="Times New Roman" w:hAnsi="Times New Roman"/>
      <w:lang w:val="en-US" w:eastAsia="zh-CN" w:bidi="ar-SA"/>
    </w:rPr>
    <w:tblPr/>
  </w:style>
  <w:style w:type="table" w:styleId="1254">
    <w:name w:val="List Table 7 Colorful - Accent 1"/>
    <w:next w:val="1254"/>
    <w:link w:val="943"/>
    <w:uiPriority w:val="99"/>
    <w:qFormat/>
    <w:rPr>
      <w:rFonts w:ascii="Times New Roman" w:hAnsi="Times New Roman"/>
      <w:lang w:val="en-US" w:eastAsia="zh-CN" w:bidi="ar-SA"/>
    </w:rPr>
    <w:tblPr/>
  </w:style>
  <w:style w:type="table" w:styleId="1255">
    <w:name w:val="List Table 7 Colorful - Accent 2"/>
    <w:next w:val="1255"/>
    <w:link w:val="943"/>
    <w:uiPriority w:val="99"/>
    <w:qFormat/>
    <w:rPr>
      <w:rFonts w:ascii="Times New Roman" w:hAnsi="Times New Roman"/>
      <w:lang w:val="en-US" w:eastAsia="zh-CN" w:bidi="ar-SA"/>
    </w:rPr>
    <w:tblPr/>
  </w:style>
  <w:style w:type="table" w:styleId="1256">
    <w:name w:val="List Table 7 Colorful - Accent 3"/>
    <w:next w:val="1256"/>
    <w:link w:val="943"/>
    <w:uiPriority w:val="99"/>
    <w:qFormat/>
    <w:rPr>
      <w:rFonts w:ascii="Times New Roman" w:hAnsi="Times New Roman"/>
      <w:lang w:val="en-US" w:eastAsia="zh-CN" w:bidi="ar-SA"/>
    </w:rPr>
    <w:tblPr/>
  </w:style>
  <w:style w:type="table" w:styleId="1257">
    <w:name w:val="List Table 7 Colorful - Accent 4"/>
    <w:next w:val="1257"/>
    <w:link w:val="943"/>
    <w:uiPriority w:val="99"/>
    <w:qFormat/>
    <w:rPr>
      <w:rFonts w:ascii="Times New Roman" w:hAnsi="Times New Roman"/>
      <w:lang w:val="en-US" w:eastAsia="zh-CN" w:bidi="ar-SA"/>
    </w:rPr>
    <w:tblPr/>
  </w:style>
  <w:style w:type="table" w:styleId="1258">
    <w:name w:val="List Table 7 Colorful - Accent 5"/>
    <w:next w:val="1258"/>
    <w:link w:val="943"/>
    <w:uiPriority w:val="99"/>
    <w:qFormat/>
    <w:rPr>
      <w:rFonts w:ascii="Times New Roman" w:hAnsi="Times New Roman"/>
      <w:lang w:val="en-US" w:eastAsia="zh-CN" w:bidi="ar-SA"/>
    </w:rPr>
    <w:tblPr/>
  </w:style>
  <w:style w:type="table" w:styleId="1259">
    <w:name w:val="List Table 7 Colorful - Accent 6"/>
    <w:next w:val="1259"/>
    <w:link w:val="943"/>
    <w:uiPriority w:val="99"/>
    <w:qFormat/>
    <w:rPr>
      <w:rFonts w:ascii="Times New Roman" w:hAnsi="Times New Roman"/>
      <w:lang w:val="en-US" w:eastAsia="zh-CN" w:bidi="ar-SA"/>
    </w:rPr>
    <w:tblPr/>
  </w:style>
  <w:style w:type="table" w:styleId="1260">
    <w:name w:val="Lined - Accent"/>
    <w:next w:val="1260"/>
    <w:link w:val="943"/>
    <w:uiPriority w:val="99"/>
    <w:qFormat/>
    <w:rPr>
      <w:rFonts w:ascii="Times New Roman" w:hAnsi="Times New Roman"/>
      <w:color w:val="404040"/>
      <w:lang w:val="en-US" w:eastAsia="zh-CN" w:bidi="ar-SA"/>
    </w:rPr>
    <w:tblPr/>
  </w:style>
  <w:style w:type="table" w:styleId="1261">
    <w:name w:val="Lined - Accent 1"/>
    <w:next w:val="1261"/>
    <w:link w:val="943"/>
    <w:uiPriority w:val="99"/>
    <w:qFormat/>
    <w:rPr>
      <w:rFonts w:ascii="Times New Roman" w:hAnsi="Times New Roman"/>
      <w:color w:val="404040"/>
      <w:lang w:val="en-US" w:eastAsia="zh-CN" w:bidi="ar-SA"/>
    </w:rPr>
    <w:tblPr/>
  </w:style>
  <w:style w:type="table" w:styleId="1262">
    <w:name w:val="Lined - Accent 2"/>
    <w:next w:val="1262"/>
    <w:link w:val="943"/>
    <w:uiPriority w:val="99"/>
    <w:qFormat/>
    <w:rPr>
      <w:rFonts w:ascii="Times New Roman" w:hAnsi="Times New Roman"/>
      <w:color w:val="404040"/>
      <w:lang w:val="en-US" w:eastAsia="zh-CN" w:bidi="ar-SA"/>
    </w:rPr>
    <w:tblPr/>
  </w:style>
  <w:style w:type="table" w:styleId="1263">
    <w:name w:val="Lined - Accent 3"/>
    <w:next w:val="1263"/>
    <w:link w:val="943"/>
    <w:uiPriority w:val="99"/>
    <w:qFormat/>
    <w:rPr>
      <w:rFonts w:ascii="Times New Roman" w:hAnsi="Times New Roman"/>
      <w:color w:val="404040"/>
      <w:lang w:val="en-US" w:eastAsia="zh-CN" w:bidi="ar-SA"/>
    </w:rPr>
    <w:tblPr/>
  </w:style>
  <w:style w:type="table" w:styleId="1264">
    <w:name w:val="Lined - Accent 4"/>
    <w:next w:val="1264"/>
    <w:link w:val="943"/>
    <w:uiPriority w:val="99"/>
    <w:qFormat/>
    <w:rPr>
      <w:rFonts w:ascii="Times New Roman" w:hAnsi="Times New Roman"/>
      <w:color w:val="404040"/>
      <w:lang w:val="en-US" w:eastAsia="zh-CN" w:bidi="ar-SA"/>
    </w:rPr>
    <w:tblPr/>
  </w:style>
  <w:style w:type="table" w:styleId="1265">
    <w:name w:val="Lined - Accent 5"/>
    <w:next w:val="1265"/>
    <w:link w:val="943"/>
    <w:uiPriority w:val="99"/>
    <w:qFormat/>
    <w:rPr>
      <w:rFonts w:ascii="Times New Roman" w:hAnsi="Times New Roman"/>
      <w:color w:val="404040"/>
      <w:lang w:val="en-US" w:eastAsia="zh-CN" w:bidi="ar-SA"/>
    </w:rPr>
    <w:tblPr/>
  </w:style>
  <w:style w:type="table" w:styleId="1266">
    <w:name w:val="Lined - Accent 6"/>
    <w:next w:val="1266"/>
    <w:link w:val="943"/>
    <w:uiPriority w:val="99"/>
    <w:qFormat/>
    <w:rPr>
      <w:rFonts w:ascii="Times New Roman" w:hAnsi="Times New Roman"/>
      <w:color w:val="404040"/>
      <w:lang w:val="en-US" w:eastAsia="zh-CN" w:bidi="ar-SA"/>
    </w:rPr>
    <w:tblPr/>
  </w:style>
  <w:style w:type="table" w:styleId="1267">
    <w:name w:val="Bordered &amp; Lined - Accent"/>
    <w:next w:val="1267"/>
    <w:link w:val="943"/>
    <w:uiPriority w:val="99"/>
    <w:qFormat/>
    <w:rPr>
      <w:rFonts w:ascii="Times New Roman" w:hAnsi="Times New Roman"/>
      <w:color w:val="404040"/>
      <w:lang w:val="en-US" w:eastAsia="zh-CN" w:bidi="ar-SA"/>
    </w:rPr>
    <w:tblPr/>
  </w:style>
  <w:style w:type="table" w:styleId="1268">
    <w:name w:val="Bordered &amp; Lined - Accent 1"/>
    <w:next w:val="1268"/>
    <w:link w:val="943"/>
    <w:uiPriority w:val="99"/>
    <w:qFormat/>
    <w:rPr>
      <w:rFonts w:ascii="Times New Roman" w:hAnsi="Times New Roman"/>
      <w:color w:val="404040"/>
      <w:lang w:val="en-US" w:eastAsia="zh-CN" w:bidi="ar-SA"/>
    </w:rPr>
    <w:tblPr/>
  </w:style>
  <w:style w:type="table" w:styleId="1269">
    <w:name w:val="Bordered &amp; Lined - Accent 2"/>
    <w:next w:val="1269"/>
    <w:link w:val="943"/>
    <w:uiPriority w:val="99"/>
    <w:qFormat/>
    <w:rPr>
      <w:rFonts w:ascii="Times New Roman" w:hAnsi="Times New Roman"/>
      <w:color w:val="404040"/>
      <w:lang w:val="en-US" w:eastAsia="zh-CN" w:bidi="ar-SA"/>
    </w:rPr>
    <w:tblPr/>
  </w:style>
  <w:style w:type="table" w:styleId="1270">
    <w:name w:val="Bordered &amp; Lined - Accent 3"/>
    <w:next w:val="1270"/>
    <w:link w:val="943"/>
    <w:uiPriority w:val="99"/>
    <w:qFormat/>
    <w:rPr>
      <w:rFonts w:ascii="Times New Roman" w:hAnsi="Times New Roman"/>
      <w:color w:val="404040"/>
      <w:lang w:val="en-US" w:eastAsia="zh-CN" w:bidi="ar-SA"/>
    </w:rPr>
    <w:tblPr/>
  </w:style>
  <w:style w:type="table" w:styleId="1271">
    <w:name w:val="Bordered &amp; Lined - Accent 4"/>
    <w:next w:val="1271"/>
    <w:link w:val="943"/>
    <w:uiPriority w:val="99"/>
    <w:qFormat/>
    <w:rPr>
      <w:rFonts w:ascii="Times New Roman" w:hAnsi="Times New Roman"/>
      <w:color w:val="404040"/>
      <w:lang w:val="en-US" w:eastAsia="zh-CN" w:bidi="ar-SA"/>
    </w:rPr>
    <w:tblPr/>
  </w:style>
  <w:style w:type="table" w:styleId="1272">
    <w:name w:val="Bordered &amp; Lined - Accent 5"/>
    <w:next w:val="1272"/>
    <w:link w:val="943"/>
    <w:uiPriority w:val="99"/>
    <w:qFormat/>
    <w:rPr>
      <w:rFonts w:ascii="Times New Roman" w:hAnsi="Times New Roman"/>
      <w:color w:val="404040"/>
      <w:lang w:val="en-US" w:eastAsia="zh-CN" w:bidi="ar-SA"/>
    </w:rPr>
    <w:tblPr/>
  </w:style>
  <w:style w:type="table" w:styleId="1273">
    <w:name w:val="Bordered &amp; Lined - Accent 6"/>
    <w:next w:val="1273"/>
    <w:link w:val="943"/>
    <w:uiPriority w:val="99"/>
    <w:qFormat/>
    <w:rPr>
      <w:rFonts w:ascii="Times New Roman" w:hAnsi="Times New Roman"/>
      <w:color w:val="404040"/>
      <w:lang w:val="en-US" w:eastAsia="zh-CN" w:bidi="ar-SA"/>
    </w:rPr>
    <w:tblPr/>
  </w:style>
  <w:style w:type="table" w:styleId="1274">
    <w:name w:val="Bordered"/>
    <w:next w:val="1274"/>
    <w:link w:val="943"/>
    <w:uiPriority w:val="99"/>
    <w:qFormat/>
    <w:rPr>
      <w:rFonts w:ascii="Times New Roman" w:hAnsi="Times New Roman"/>
      <w:lang w:val="en-US" w:eastAsia="zh-CN" w:bidi="ar-SA"/>
    </w:rPr>
    <w:tblPr/>
  </w:style>
  <w:style w:type="table" w:styleId="1275">
    <w:name w:val="Bordered - Accent 1"/>
    <w:next w:val="1275"/>
    <w:link w:val="943"/>
    <w:uiPriority w:val="99"/>
    <w:qFormat/>
    <w:rPr>
      <w:rFonts w:ascii="Times New Roman" w:hAnsi="Times New Roman"/>
      <w:lang w:val="en-US" w:eastAsia="zh-CN" w:bidi="ar-SA"/>
    </w:rPr>
    <w:tblPr/>
  </w:style>
  <w:style w:type="table" w:styleId="1276">
    <w:name w:val="Bordered - Accent 2"/>
    <w:next w:val="1276"/>
    <w:link w:val="943"/>
    <w:uiPriority w:val="99"/>
    <w:qFormat/>
    <w:rPr>
      <w:rFonts w:ascii="Times New Roman" w:hAnsi="Times New Roman"/>
      <w:lang w:val="en-US" w:eastAsia="zh-CN" w:bidi="ar-SA"/>
    </w:rPr>
    <w:tblPr/>
  </w:style>
  <w:style w:type="table" w:styleId="1277">
    <w:name w:val="Bordered - Accent 3"/>
    <w:next w:val="1277"/>
    <w:link w:val="943"/>
    <w:uiPriority w:val="99"/>
    <w:qFormat/>
    <w:rPr>
      <w:rFonts w:ascii="Times New Roman" w:hAnsi="Times New Roman"/>
      <w:lang w:val="en-US" w:eastAsia="zh-CN" w:bidi="ar-SA"/>
    </w:rPr>
    <w:tblPr/>
  </w:style>
  <w:style w:type="table" w:styleId="1278">
    <w:name w:val="Bordered - Accent 4"/>
    <w:next w:val="1278"/>
    <w:link w:val="943"/>
    <w:uiPriority w:val="99"/>
    <w:qFormat/>
    <w:rPr>
      <w:rFonts w:ascii="Times New Roman" w:hAnsi="Times New Roman"/>
      <w:lang w:val="en-US" w:eastAsia="zh-CN" w:bidi="ar-SA"/>
    </w:rPr>
    <w:tblPr/>
  </w:style>
  <w:style w:type="table" w:styleId="1279">
    <w:name w:val="Bordered - Accent 5"/>
    <w:next w:val="1279"/>
    <w:link w:val="943"/>
    <w:uiPriority w:val="99"/>
    <w:qFormat/>
    <w:rPr>
      <w:rFonts w:ascii="Times New Roman" w:hAnsi="Times New Roman"/>
      <w:lang w:val="en-US" w:eastAsia="zh-CN" w:bidi="ar-SA"/>
    </w:rPr>
    <w:tblPr/>
  </w:style>
  <w:style w:type="table" w:styleId="1280">
    <w:name w:val="Bordered - Accent 6"/>
    <w:next w:val="1280"/>
    <w:link w:val="943"/>
    <w:uiPriority w:val="99"/>
    <w:qFormat/>
    <w:rPr>
      <w:rFonts w:ascii="Times New Roman" w:hAnsi="Times New Roman"/>
      <w:lang w:val="en-US" w:eastAsia="zh-CN" w:bidi="ar-SA"/>
    </w:rPr>
    <w:tblPr/>
  </w:style>
  <w:style w:type="table" w:styleId="1281">
    <w:name w:val="Table Normal"/>
    <w:next w:val="1281"/>
    <w:link w:val="943"/>
    <w:uiPriority w:val="2"/>
    <w:unhideWhenUsed/>
    <w:qFormat/>
    <w:pPr>
      <w:widowControl w:val="off"/>
    </w:pPr>
    <w:rPr>
      <w:sz w:val="22"/>
      <w:szCs w:val="22"/>
      <w:lang w:val="en-US" w:eastAsia="en-US" w:bidi="ar-SA"/>
    </w:rPr>
    <w:tblPr/>
  </w:style>
  <w:style w:type="character" w:styleId="1282" w:default="1">
    <w:name w:val="Default Paragraph Font"/>
    <w:uiPriority w:val="1"/>
    <w:semiHidden/>
    <w:unhideWhenUsed/>
  </w:style>
  <w:style w:type="numbering" w:styleId="1283" w:default="1">
    <w:name w:val="No List"/>
    <w:uiPriority w:val="99"/>
    <w:semiHidden/>
    <w:unhideWhenUsed/>
  </w:style>
  <w:style w:type="table" w:styleId="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604</cp:revision>
  <dcterms:created xsi:type="dcterms:W3CDTF">2023-03-16T02:16:00Z</dcterms:created>
  <dcterms:modified xsi:type="dcterms:W3CDTF">2024-11-26T07:47:52Z</dcterms:modified>
  <cp:version>786432</cp:version>
</cp:coreProperties>
</file>