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JSZC-320585-SZTZ-G2024-0015</w:t>
      </w:r>
      <w:r>
        <w:rPr>
          <w:rFonts w:hint="eastAsia" w:ascii="宋体" w:hAnsi="宋体" w:cs="宋体"/>
          <w:b/>
          <w:color w:val="auto"/>
          <w:sz w:val="30"/>
          <w:szCs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太仓市港区政府专职消防救援队2024年度食材配送服务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w:t>
      </w:r>
      <w:r>
        <w:rPr>
          <w:rFonts w:hint="eastAsia" w:ascii="宋体" w:hAnsi="宋体" w:eastAsia="宋体" w:cs="宋体"/>
          <w:b/>
          <w:color w:val="auto"/>
          <w:sz w:val="30"/>
          <w:szCs w:val="30"/>
          <w:highlight w:val="none"/>
          <w:lang w:val="en-US" w:eastAsia="zh-CN"/>
        </w:rPr>
        <w:t xml:space="preserve">(</w:t>
      </w:r>
      <w:r>
        <w:rPr>
          <w:rFonts w:hint="eastAsia" w:ascii="宋体" w:hAnsi="宋体" w:eastAsia="宋体" w:cs="宋体"/>
          <w:b/>
          <w:color w:val="auto"/>
          <w:sz w:val="30"/>
          <w:szCs w:val="30"/>
          <w:highlight w:val="none"/>
        </w:rPr>
        <w:t xml:space="preserve">专门面向中小企业采购</w:t>
      </w:r>
      <w:r>
        <w:rPr>
          <w:rFonts w:hint="eastAsia" w:ascii="宋体" w:hAnsi="宋体" w:eastAsia="宋体" w:cs="宋体"/>
          <w:b/>
          <w:color w:val="auto"/>
          <w:sz w:val="30"/>
          <w:szCs w:val="30"/>
          <w:highlight w:val="none"/>
          <w:lang w:val="en-US" w:eastAsia="zh-CN"/>
        </w:rPr>
        <w:t xml:space="preserve">)</w:t>
      </w:r>
      <w:r>
        <w:rPr>
          <w:rFonts w:hint="eastAsia" w:ascii="宋体" w:hAnsi="宋体" w:cs="宋体"/>
          <w:b/>
          <w:color w:val="auto"/>
          <w:sz w:val="30"/>
          <w:szCs w:val="30"/>
          <w:highlight w:val="none"/>
        </w:rPr>
        <w:t xml:space="preserve"> </w:t>
      </w:r>
      <w:r/>
    </w:p>
    <w:p>
      <w:pPr>
        <w:ind w:left="480"/>
        <w:spacing w:line="360" w:lineRule="auto"/>
        <w:rPr>
          <w:rFonts w:ascii="宋体" w:hAnsi="宋体" w:cs="宋体"/>
          <w:color w:val="auto"/>
          <w:sz w:val="30"/>
          <w:highlight w:val="none"/>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（十）餐饮业</w:t>
      </w:r>
      <w:r>
        <w:rPr>
          <w:rFonts w:hint="eastAsia" w:ascii="宋体" w:hAnsi="宋体" w:cs="宋体"/>
          <w:color w:val="auto"/>
          <w:sz w:val="30"/>
          <w:highlight w:val="none"/>
        </w:rPr>
        <w:t xml:space="preserve"> </w:t>
      </w:r>
      <w:r/>
    </w:p>
    <w:p>
      <w:pPr>
        <w:ind w:left="480" w:right="-159"/>
        <w:spacing w:line="48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太仓市浮桥镇人民政府</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二〇二四年</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946"/>
        <w:tabs>
          <w:tab w:val="right" w:pos="8640" w:leader="dot"/>
        </w:tabs>
        <w:rPr>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TOC \o "1-1" \h \u </w:instrText>
      </w:r>
      <w:r>
        <w:rPr>
          <w:rFonts w:hint="eastAsia" w:ascii="宋体" w:hAnsi="宋体" w:eastAsia="宋体" w:cs="宋体"/>
          <w:b/>
          <w:bCs/>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b/>
          <w:bCs/>
          <w:color w:val="auto"/>
          <w:sz w:val="30"/>
          <w:szCs w:val="30"/>
          <w:highlight w:val="none"/>
        </w:rPr>
        <w:t xml:space="preserve">前 附 表</w:t>
      </w:r>
      <w:r>
        <w:rPr>
          <w:rFonts w:hint="eastAsia" w:ascii="宋体" w:hAnsi="宋体" w:eastAsia="宋体" w:cs="宋体"/>
          <w:b/>
          <w:bCs/>
          <w:color w:val="auto"/>
          <w:sz w:val="30"/>
          <w:szCs w:val="30"/>
          <w:highlight w:val="none"/>
        </w:rPr>
        <w:fldChar w:fldCharType="end"/>
      </w:r>
      <w:r/>
    </w:p>
    <w:p>
      <w:pPr>
        <w:pStyle w:val="946"/>
        <w:tabs>
          <w:tab w:val="right" w:pos="8640" w:leader="dot"/>
        </w:tabs>
        <w:rPr>
          <w:b/>
          <w:bCs/>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b/>
          <w:bCs/>
          <w:color w:val="auto"/>
          <w:sz w:val="30"/>
          <w:szCs w:val="30"/>
          <w:highlight w:val="none"/>
        </w:rPr>
        <w:t xml:space="preserve">第一章 招标公告</w:t>
      </w:r>
      <w:r>
        <w:rPr>
          <w:rFonts w:hint="eastAsia" w:ascii="宋体" w:hAnsi="宋体" w:eastAsia="宋体" w:cs="宋体"/>
          <w:b/>
          <w:bCs/>
          <w:color w:val="auto"/>
          <w:sz w:val="30"/>
          <w:szCs w:val="30"/>
          <w:highlight w:val="none"/>
        </w:rPr>
        <w:fldChar w:fldCharType="end"/>
      </w:r>
      <w:r/>
    </w:p>
    <w:p>
      <w:pPr>
        <w:pStyle w:val="946"/>
        <w:tabs>
          <w:tab w:val="right" w:pos="8640" w:leader="dot"/>
        </w:tabs>
        <w:rPr>
          <w:b/>
          <w:bCs/>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b/>
          <w:bCs/>
          <w:color w:val="auto"/>
          <w:sz w:val="30"/>
          <w:szCs w:val="30"/>
          <w:highlight w:val="none"/>
        </w:rPr>
        <w:t xml:space="preserve">第二章 投标人须知</w:t>
      </w:r>
      <w:r>
        <w:rPr>
          <w:rFonts w:hint="eastAsia" w:ascii="宋体" w:hAnsi="宋体" w:eastAsia="宋体" w:cs="宋体"/>
          <w:b/>
          <w:bCs/>
          <w:color w:val="auto"/>
          <w:sz w:val="30"/>
          <w:szCs w:val="30"/>
          <w:highlight w:val="none"/>
        </w:rPr>
        <w:fldChar w:fldCharType="end"/>
      </w:r>
      <w:r/>
    </w:p>
    <w:p>
      <w:pPr>
        <w:pStyle w:val="946"/>
        <w:tabs>
          <w:tab w:val="right" w:pos="8640" w:leader="dot"/>
        </w:tabs>
        <w:rPr>
          <w:b/>
          <w:bCs/>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b/>
          <w:bCs/>
          <w:color w:val="auto"/>
          <w:sz w:val="30"/>
          <w:szCs w:val="30"/>
          <w:highlight w:val="none"/>
        </w:rPr>
        <w:t xml:space="preserve">第三章 招标书</w:t>
      </w:r>
      <w:r>
        <w:rPr>
          <w:rFonts w:hint="eastAsia" w:ascii="宋体" w:hAnsi="宋体" w:eastAsia="宋体" w:cs="宋体"/>
          <w:b/>
          <w:bCs/>
          <w:color w:val="auto"/>
          <w:sz w:val="30"/>
          <w:szCs w:val="30"/>
          <w:highlight w:val="none"/>
        </w:rPr>
        <w:fldChar w:fldCharType="end"/>
      </w:r>
      <w:r/>
    </w:p>
    <w:p>
      <w:pPr>
        <w:pStyle w:val="946"/>
        <w:tabs>
          <w:tab w:val="right" w:pos="8640" w:leader="dot"/>
        </w:tabs>
        <w:rPr>
          <w:b/>
          <w:bCs/>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b/>
          <w:bCs/>
          <w:color w:val="auto"/>
          <w:sz w:val="30"/>
          <w:szCs w:val="30"/>
          <w:highlight w:val="none"/>
        </w:rPr>
        <w:t xml:space="preserve">第四章 投标文件格式</w:t>
      </w:r>
      <w:r>
        <w:rPr>
          <w:rFonts w:hint="eastAsia" w:ascii="宋体" w:hAnsi="宋体" w:eastAsia="宋体" w:cs="宋体"/>
          <w:b/>
          <w:bCs/>
          <w:color w:val="auto"/>
          <w:sz w:val="30"/>
          <w:szCs w:val="30"/>
          <w:highlight w:val="none"/>
        </w:rPr>
        <w:fldChar w:fldCharType="end"/>
      </w:r>
      <w:r/>
    </w:p>
    <w:p>
      <w:pPr>
        <w:pStyle w:val="946"/>
        <w:tabs>
          <w:tab w:val="right" w:pos="8640" w:leader="dot"/>
        </w:tabs>
        <w:rPr>
          <w:b/>
          <w:bCs/>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b/>
          <w:bCs/>
          <w:color w:val="auto"/>
          <w:sz w:val="30"/>
          <w:szCs w:val="30"/>
          <w:highlight w:val="none"/>
        </w:rPr>
        <w:t xml:space="preserve">第五章 评标办法及评分标准</w:t>
      </w:r>
      <w:r>
        <w:rPr>
          <w:rFonts w:hint="eastAsia" w:ascii="宋体" w:hAnsi="宋体" w:eastAsia="宋体" w:cs="宋体"/>
          <w:b/>
          <w:bCs/>
          <w:color w:val="auto"/>
          <w:sz w:val="30"/>
          <w:szCs w:val="30"/>
          <w:highlight w:val="none"/>
        </w:rPr>
        <w:fldChar w:fldCharType="end"/>
      </w:r>
      <w:r/>
    </w:p>
    <w:p>
      <w:pPr>
        <w:pStyle w:val="946"/>
        <w:tabs>
          <w:tab w:val="right" w:pos="8640" w:leader="dot"/>
        </w:tabs>
        <w:rPr>
          <w:b/>
          <w:bCs/>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b/>
          <w:bCs/>
          <w:color w:val="auto"/>
          <w:sz w:val="30"/>
          <w:szCs w:val="30"/>
          <w:highlight w:val="none"/>
        </w:rPr>
        <w:t xml:space="preserve">第六章 合同格式</w:t>
      </w:r>
      <w:r>
        <w:rPr>
          <w:rFonts w:hint="eastAsia" w:ascii="宋体" w:hAnsi="宋体" w:eastAsia="宋体" w:cs="宋体"/>
          <w:b/>
          <w:bCs/>
          <w:color w:val="auto"/>
          <w:sz w:val="30"/>
          <w:szCs w:val="30"/>
          <w:highlight w:val="none"/>
        </w:rPr>
        <w:fldChar w:fldCharType="end"/>
      </w:r>
      <w:r/>
    </w:p>
    <w:p>
      <w:pPr>
        <w:pStyle w:val="946"/>
        <w:tabs>
          <w:tab w:val="right" w:pos="8640" w:leader="dot"/>
        </w:tabs>
        <w:rPr>
          <w:color w:val="auto"/>
          <w:highlight w:val="none"/>
        </w:rPr>
      </w:pPr>
      <w:r>
        <w:rPr>
          <w:rFonts w:hint="eastAsia" w:ascii="宋体" w:hAnsi="宋体" w:cs="宋体"/>
          <w:b/>
          <w:bCs/>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920"/>
        <w:numPr>
          <w:ilvl w:val="0"/>
          <w:numId w:val="0"/>
        </w:numPr>
        <w:jc w:val="center"/>
        <w:spacing w:before="0" w:after="0"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3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太仓市浮桥镇人民政府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JSZC-320585-SZTZ-G2024-0015</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49"/>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太仓市港区政府专职消防救援队2024年度食材配送服务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49"/>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（十）餐饮业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时间：</w:t>
            </w:r>
            <w:r>
              <w:rPr>
                <w:rFonts w:hint="eastAsia" w:ascii="宋体" w:hAnsi="宋体" w:cs="宋体"/>
                <w:color w:val="auto"/>
                <w:sz w:val="21"/>
                <w:szCs w:val="21"/>
                <w:highlight w:val="none"/>
                <w:lang w:eastAsia="zh-CN" w:bidi="ar"/>
              </w:rPr>
              <w:t xml:space="preserve">2024年05月30日</w:t>
            </w:r>
            <w:r>
              <w:rPr>
                <w:rFonts w:hint="eastAsia" w:ascii="宋体" w:hAnsi="宋体" w:cs="宋体"/>
                <w:color w:val="auto"/>
                <w:sz w:val="21"/>
                <w:szCs w:val="21"/>
                <w:highlight w:val="none"/>
                <w:lang w:bidi="ar"/>
              </w:rPr>
              <w:t xml:space="preserve">- </w:t>
            </w:r>
            <w:r>
              <w:rPr>
                <w:rFonts w:hint="eastAsia" w:ascii="宋体" w:hAnsi="宋体" w:cs="宋体"/>
                <w:color w:val="auto"/>
                <w:sz w:val="21"/>
                <w:szCs w:val="21"/>
                <w:highlight w:val="none"/>
                <w:lang w:eastAsia="zh-CN" w:bidi="ar"/>
              </w:rPr>
              <w:t xml:space="preserve">2024年06月06日</w:t>
            </w:r>
            <w:r>
              <w:rPr>
                <w:rFonts w:hint="eastAsia" w:ascii="宋体" w:hAnsi="宋体" w:cs="宋体"/>
                <w:color w:val="auto"/>
                <w:sz w:val="21"/>
                <w:szCs w:val="21"/>
                <w:highlight w:val="none"/>
                <w:lang w:bidi="ar"/>
              </w:rPr>
              <w:t xml:space="preserve">，每天上午00:00-12:00,下午12:00-23:59 （北京时间，法定节假日除外） </w:t>
            </w:r>
            <w:r/>
          </w:p>
          <w:p>
            <w:pPr>
              <w:jc w:val="both"/>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2024年06月20日14点00分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时间：2024年06月20日14点00分（北京时间）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12"/>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931"/>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68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无</w:t>
            </w:r>
            <w:r/>
          </w:p>
        </w:tc>
      </w:tr>
    </w:tbl>
    <w:p>
      <w:pPr>
        <w:ind w:firstLine="544"/>
        <w:jc w:val="right"/>
        <w:spacing w:line="360" w:lineRule="auto"/>
        <w:shd w:val="clear" w:color="auto" w:fill="ffffff"/>
        <w:rPr>
          <w:rFonts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920"/>
        <w:numPr>
          <w:ilvl w:val="0"/>
          <w:numId w:val="0"/>
        </w:numPr>
        <w:jc w:val="center"/>
        <w:spacing w:before="0" w:after="0" w:line="480" w:lineRule="auto"/>
        <w:rPr>
          <w:rFonts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30"/>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太仓市港区政府专职消防救援队2024年度食材配送服务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JSZC-320585-SZTZ-G2024-0015</w:t>
            </w:r>
            <w:r>
              <w:rPr>
                <w:rFonts w:hint="eastAsia" w:ascii="仿宋" w:hAnsi="仿宋" w:eastAsia="仿宋" w:cs="仿宋"/>
                <w:color w:val="auto"/>
                <w:sz w:val="21"/>
                <w:szCs w:val="21"/>
                <w:highlight w:val="none"/>
              </w:rPr>
              <w:t xml:space="preserve"> 招标项目的潜在投标人应在进入苏州市政府采购网，点击底部苏采云图标，登录苏采云政府采购一体化平台，对参与项目进行报名，并下载电子招标文件 获取招标文件，并于</w:t>
            </w:r>
            <w:r>
              <w:rPr>
                <w:rFonts w:hint="eastAsia" w:ascii="仿宋" w:hAnsi="仿宋" w:eastAsia="仿宋" w:cs="仿宋"/>
                <w:color w:val="auto"/>
                <w:sz w:val="21"/>
                <w:szCs w:val="21"/>
                <w:highlight w:val="none"/>
                <w:lang w:eastAsia="zh-CN"/>
              </w:rPr>
              <w:t xml:space="preserve">2024年06月20日14点00分</w:t>
            </w:r>
            <w:r>
              <w:rPr>
                <w:rFonts w:hint="eastAsia" w:ascii="仿宋" w:hAnsi="仿宋" w:eastAsia="仿宋" w:cs="仿宋"/>
                <w:color w:val="auto"/>
                <w:sz w:val="21"/>
                <w:szCs w:val="21"/>
                <w:highlight w:val="none"/>
              </w:rPr>
              <w:t xml:space="preserve"> （北京时间）前递交投标文件。</w:t>
            </w:r>
            <w:r/>
          </w:p>
        </w:tc>
      </w:tr>
    </w:tbl>
    <w:p>
      <w:pPr>
        <w:pStyle w:val="92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7"/>
          <w:rFonts w:hint="eastAsia" w:ascii="仿宋" w:hAnsi="仿宋" w:eastAsia="仿宋" w:cs="仿宋"/>
          <w:b/>
          <w:bCs/>
          <w:color w:val="auto"/>
          <w:sz w:val="21"/>
          <w:szCs w:val="21"/>
          <w:highlight w:val="none"/>
        </w:rPr>
        <w:t xml:space="preserve">一、项目基本情况</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JSZC-320585-SZTZ-G2024-0015</w:t>
      </w:r>
      <w:r>
        <w:rPr>
          <w:rFonts w:hint="eastAsia" w:ascii="仿宋" w:hAnsi="仿宋" w:eastAsia="仿宋" w:cs="仿宋"/>
          <w:color w:val="auto"/>
          <w:sz w:val="21"/>
          <w:szCs w:val="21"/>
          <w:highlight w:val="none"/>
        </w:rPr>
        <w:t xml:space="preserve">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太仓市港区政府专职消防救援队2024年度食材配送服务</w:t>
      </w:r>
      <w:r>
        <w:rPr>
          <w:rFonts w:hint="eastAsia" w:ascii="仿宋" w:hAnsi="仿宋" w:eastAsia="仿宋" w:cs="仿宋"/>
          <w:color w:val="auto"/>
          <w:sz w:val="21"/>
          <w:szCs w:val="21"/>
          <w:highlight w:val="none"/>
        </w:rPr>
        <w:t xml:space="preserve">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eastAsia="zh-CN"/>
        </w:rPr>
        <w:t xml:space="preserve">142.000000万元</w:t>
      </w:r>
      <w:r>
        <w:rPr>
          <w:rFonts w:hint="eastAsia" w:ascii="仿宋" w:hAnsi="仿宋" w:eastAsia="仿宋" w:cs="仿宋"/>
          <w:color w:val="auto"/>
          <w:sz w:val="21"/>
          <w:szCs w:val="21"/>
          <w:highlight w:val="none"/>
        </w:rPr>
        <w:t xml:space="preserve"> </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eastAsia="zh-CN"/>
        </w:rPr>
        <w:t xml:space="preserve">142.000000万元</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shd w:val="clear" w:color="auto" w:fill="ffffff"/>
          <w:lang w:val="en-US" w:eastAsia="zh-CN" w:bidi="ar"/>
        </w:rPr>
        <w:t xml:space="preserve">本项目服务内容为为太仓市港区政府专职消防救援队提供食材配送服务</w:t>
      </w:r>
      <w:r>
        <w:rPr>
          <w:rFonts w:hint="eastAsia" w:ascii="仿宋" w:hAnsi="仿宋" w:eastAsia="仿宋" w:cs="仿宋"/>
          <w:color w:val="auto"/>
          <w:sz w:val="21"/>
          <w:szCs w:val="21"/>
          <w:highlight w:val="none"/>
        </w:rPr>
        <w:t xml:space="preserve">，按照</w:t>
      </w:r>
      <w:r>
        <w:rPr>
          <w:rFonts w:hint="eastAsia" w:ascii="仿宋" w:hAnsi="仿宋" w:eastAsia="仿宋" w:cs="仿宋"/>
          <w:color w:val="auto"/>
          <w:sz w:val="21"/>
          <w:szCs w:val="21"/>
          <w:highlight w:val="none"/>
          <w:lang w:val="en-US" w:eastAsia="zh-CN"/>
        </w:rPr>
        <w:t xml:space="preserve">52</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val="en-US" w:eastAsia="zh-CN"/>
        </w:rPr>
        <w:t xml:space="preserve">/每</w:t>
      </w:r>
      <w:r>
        <w:rPr>
          <w:rFonts w:hint="eastAsia" w:ascii="仿宋" w:hAnsi="仿宋" w:eastAsia="仿宋" w:cs="仿宋"/>
          <w:color w:val="auto"/>
          <w:sz w:val="21"/>
          <w:szCs w:val="21"/>
          <w:highlight w:val="none"/>
        </w:rPr>
        <w:t xml:space="preserve">人</w:t>
      </w:r>
      <w:r>
        <w:rPr>
          <w:rFonts w:hint="eastAsia" w:ascii="仿宋" w:hAnsi="仿宋" w:eastAsia="仿宋" w:cs="仿宋"/>
          <w:color w:val="auto"/>
          <w:sz w:val="21"/>
          <w:szCs w:val="21"/>
          <w:highlight w:val="none"/>
          <w:lang w:val="en-US" w:eastAsia="zh-CN"/>
        </w:rPr>
        <w:t xml:space="preserve">每天的餐标（具体用餐人数按甲方要求）</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按太仓市娄东民生（http://122.193.93.203:8088/）公布的中心菜场当天价格乘以中标折扣率</w:t>
      </w:r>
      <w:r>
        <w:rPr>
          <w:rFonts w:hint="eastAsia" w:ascii="仿宋" w:hAnsi="仿宋" w:eastAsia="仿宋" w:cs="仿宋"/>
          <w:color w:val="auto"/>
          <w:sz w:val="21"/>
          <w:szCs w:val="21"/>
          <w:highlight w:val="none"/>
          <w:lang w:val="en-US" w:eastAsia="zh-CN"/>
        </w:rPr>
        <w:t xml:space="preserve">的单价按实结算</w:t>
      </w:r>
      <w:r>
        <w:rPr>
          <w:rFonts w:hint="eastAsia" w:ascii="仿宋" w:hAnsi="仿宋" w:eastAsia="仿宋" w:cs="仿宋"/>
          <w:color w:val="auto"/>
          <w:sz w:val="21"/>
          <w:szCs w:val="21"/>
          <w:highlight w:val="none"/>
          <w:lang w:eastAsia="zh-CN"/>
        </w:rPr>
        <w:t xml:space="preserve">；未公布当天价格的按上一日价格乘以中标折扣率的</w:t>
      </w:r>
      <w:r>
        <w:rPr>
          <w:rFonts w:hint="eastAsia" w:ascii="仿宋" w:hAnsi="仿宋" w:eastAsia="仿宋" w:cs="仿宋"/>
          <w:color w:val="auto"/>
          <w:sz w:val="21"/>
          <w:szCs w:val="21"/>
          <w:highlight w:val="none"/>
          <w:lang w:val="en-US" w:eastAsia="zh-CN"/>
        </w:rPr>
        <w:t xml:space="preserve">单价按实结算</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中标单位须按照荤素搭配、营养搭配的原则提供配菜清单</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其他要求详见采购文件。</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val="en-US" w:eastAsia="zh-CN" w:bidi="ar"/>
        </w:rPr>
        <w:t xml:space="preserve">一</w:t>
      </w:r>
      <w:r>
        <w:rPr>
          <w:rFonts w:hint="eastAsia" w:ascii="仿宋" w:hAnsi="仿宋" w:eastAsia="仿宋" w:cs="仿宋"/>
          <w:color w:val="auto"/>
          <w:sz w:val="21"/>
          <w:szCs w:val="21"/>
          <w:highlight w:val="none"/>
          <w:lang w:bidi="ar"/>
        </w:rPr>
        <w:t xml:space="preserve">年。</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92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7"/>
          <w:rFonts w:hint="eastAsia" w:ascii="仿宋" w:hAnsi="仿宋" w:eastAsia="仿宋" w:cs="仿宋"/>
          <w:b/>
          <w:bCs/>
          <w:color w:val="auto"/>
          <w:sz w:val="21"/>
          <w:szCs w:val="21"/>
          <w:highlight w:val="none"/>
        </w:rPr>
        <w:t xml:space="preserve">二、申请人的资格要求</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ind w:firstLine="48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（1）</w:t>
      </w:r>
      <w:r>
        <w:rPr>
          <w:rFonts w:hint="eastAsia" w:ascii="仿宋" w:hAnsi="仿宋" w:eastAsia="仿宋" w:cs="仿宋"/>
          <w:b/>
          <w:bCs/>
          <w:sz w:val="21"/>
          <w:szCs w:val="21"/>
          <w:highlight w:val="none"/>
        </w:rPr>
        <w:t xml:space="preserve">投标人须至少配备</w:t>
      </w:r>
      <w:r>
        <w:rPr>
          <w:rFonts w:hint="eastAsia" w:ascii="仿宋" w:hAnsi="仿宋" w:eastAsia="仿宋" w:cs="仿宋"/>
          <w:b/>
          <w:bCs/>
          <w:sz w:val="21"/>
          <w:szCs w:val="21"/>
          <w:highlight w:val="none"/>
          <w:lang w:val="en-US" w:eastAsia="zh-CN"/>
        </w:rPr>
        <w:t xml:space="preserve">1</w:t>
      </w:r>
      <w:r>
        <w:rPr>
          <w:rFonts w:hint="eastAsia" w:ascii="仿宋" w:hAnsi="仿宋" w:eastAsia="仿宋" w:cs="仿宋"/>
          <w:b/>
          <w:bCs/>
          <w:sz w:val="21"/>
          <w:szCs w:val="21"/>
          <w:highlight w:val="none"/>
        </w:rPr>
        <w:t xml:space="preserve">辆</w:t>
      </w:r>
      <w:r>
        <w:rPr>
          <w:rFonts w:hint="eastAsia" w:ascii="仿宋" w:hAnsi="仿宋" w:eastAsia="仿宋" w:cs="仿宋"/>
          <w:b/>
          <w:bCs/>
          <w:sz w:val="21"/>
          <w:szCs w:val="21"/>
          <w:highlight w:val="none"/>
          <w:lang w:val="en-US" w:eastAsia="zh-CN"/>
        </w:rPr>
        <w:t xml:space="preserve">冷藏车辆</w:t>
      </w:r>
      <w:r>
        <w:rPr>
          <w:rFonts w:hint="eastAsia" w:ascii="仿宋" w:hAnsi="仿宋" w:eastAsia="仿宋" w:cs="仿宋"/>
          <w:b/>
          <w:bCs/>
          <w:sz w:val="21"/>
          <w:szCs w:val="21"/>
          <w:highlight w:val="none"/>
        </w:rPr>
        <w:t xml:space="preserve">（自有的提供购置发票及车辆行驶证扫描件；如为租赁的提供租赁合同扫描件及车辆行驶证扫描件)。</w:t>
      </w:r>
      <w:r/>
    </w:p>
    <w:p>
      <w:pPr>
        <w:ind w:firstLine="480"/>
        <w:spacing w:line="360" w:lineRule="auto"/>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val="en-US" w:eastAsia="zh-CN"/>
        </w:rPr>
        <w:t xml:space="preserve">（2）</w:t>
      </w:r>
      <w:r>
        <w:rPr>
          <w:rFonts w:hint="eastAsia" w:ascii="仿宋" w:hAnsi="仿宋" w:eastAsia="仿宋" w:cs="仿宋"/>
          <w:b/>
          <w:bCs/>
          <w:sz w:val="21"/>
          <w:szCs w:val="21"/>
          <w:highlight w:val="none"/>
        </w:rPr>
        <w:t xml:space="preserve">本项目要求拟投入的</w:t>
      </w:r>
      <w:r>
        <w:rPr>
          <w:rFonts w:hint="eastAsia" w:ascii="仿宋" w:hAnsi="仿宋" w:eastAsia="仿宋" w:cs="仿宋"/>
          <w:b/>
          <w:bCs/>
          <w:sz w:val="21"/>
          <w:szCs w:val="21"/>
          <w:highlight w:val="none"/>
          <w:lang w:val="en-US" w:eastAsia="zh-CN"/>
        </w:rPr>
        <w:t xml:space="preserve">服务人</w:t>
      </w:r>
      <w:r>
        <w:rPr>
          <w:rFonts w:hint="eastAsia" w:ascii="仿宋" w:hAnsi="仿宋" w:eastAsia="仿宋" w:cs="仿宋"/>
          <w:b/>
          <w:bCs/>
          <w:sz w:val="21"/>
          <w:szCs w:val="21"/>
          <w:highlight w:val="none"/>
        </w:rPr>
        <w:t xml:space="preserve">数合计不少于4</w:t>
      </w:r>
      <w:r>
        <w:rPr>
          <w:rFonts w:hint="eastAsia" w:ascii="仿宋" w:hAnsi="仿宋" w:eastAsia="仿宋" w:cs="仿宋"/>
          <w:b/>
          <w:bCs/>
          <w:sz w:val="21"/>
          <w:szCs w:val="21"/>
          <w:highlight w:val="none"/>
          <w:lang w:val="en-US" w:eastAsia="zh-CN"/>
        </w:rPr>
        <w:t xml:space="preserve">人</w:t>
      </w:r>
      <w:r>
        <w:rPr>
          <w:rFonts w:hint="eastAsia" w:ascii="仿宋" w:hAnsi="仿宋" w:eastAsia="仿宋" w:cs="仿宋"/>
          <w:b/>
          <w:bCs/>
          <w:sz w:val="21"/>
          <w:szCs w:val="21"/>
          <w:highlight w:val="none"/>
        </w:rPr>
        <w:t xml:space="preserve">，全部具有</w:t>
      </w:r>
      <w:r>
        <w:rPr>
          <w:rFonts w:hint="eastAsia" w:ascii="仿宋" w:hAnsi="仿宋" w:eastAsia="仿宋" w:cs="仿宋"/>
          <w:b/>
          <w:bCs/>
          <w:sz w:val="21"/>
          <w:szCs w:val="21"/>
          <w:highlight w:val="none"/>
          <w:lang w:val="en-US" w:eastAsia="zh-CN"/>
        </w:rPr>
        <w:t xml:space="preserve">健康证</w:t>
      </w:r>
      <w:r>
        <w:rPr>
          <w:rFonts w:hint="eastAsia" w:ascii="仿宋" w:hAnsi="仿宋" w:eastAsia="仿宋" w:cs="仿宋"/>
          <w:b/>
          <w:bCs/>
          <w:sz w:val="21"/>
          <w:szCs w:val="21"/>
          <w:highlight w:val="none"/>
        </w:rPr>
        <w:t xml:space="preserve">。其中</w:t>
      </w:r>
      <w:r>
        <w:rPr>
          <w:rFonts w:hint="eastAsia" w:ascii="仿宋" w:hAnsi="仿宋" w:eastAsia="仿宋" w:cs="仿宋"/>
          <w:b/>
          <w:bCs/>
          <w:sz w:val="21"/>
          <w:szCs w:val="21"/>
          <w:highlight w:val="none"/>
          <w:lang w:val="en-US" w:eastAsia="zh-CN"/>
        </w:rPr>
        <w:t xml:space="preserve">项目负责人1人；配送司机</w:t>
      </w:r>
      <w:r>
        <w:rPr>
          <w:rFonts w:hint="eastAsia" w:ascii="仿宋" w:hAnsi="仿宋" w:eastAsia="仿宋" w:cs="仿宋"/>
          <w:b/>
          <w:bCs/>
          <w:sz w:val="21"/>
          <w:szCs w:val="21"/>
          <w:highlight w:val="none"/>
        </w:rPr>
        <w:t xml:space="preserve">1人，需持有</w:t>
      </w:r>
      <w:r>
        <w:rPr>
          <w:rFonts w:hint="eastAsia" w:ascii="仿宋" w:hAnsi="仿宋" w:eastAsia="仿宋" w:cs="仿宋"/>
          <w:b/>
          <w:bCs/>
          <w:sz w:val="21"/>
          <w:szCs w:val="21"/>
          <w:highlight w:val="none"/>
          <w:lang w:val="en-US" w:eastAsia="zh-CN"/>
        </w:rPr>
        <w:t xml:space="preserve">驾驶证C1以上（准驾车型需与拟投入的冷藏车车型匹配）</w:t>
      </w:r>
      <w:r>
        <w:rPr>
          <w:rFonts w:hint="eastAsia" w:ascii="仿宋" w:hAnsi="仿宋" w:eastAsia="仿宋" w:cs="仿宋"/>
          <w:b/>
          <w:bCs/>
          <w:sz w:val="21"/>
          <w:szCs w:val="21"/>
          <w:highlight w:val="none"/>
          <w:lang w:eastAsia="zh-CN"/>
        </w:rPr>
        <w:t xml:space="preserve">；</w:t>
      </w:r>
      <w:r>
        <w:rPr>
          <w:rFonts w:hint="eastAsia" w:ascii="仿宋" w:hAnsi="仿宋" w:eastAsia="仿宋" w:cs="仿宋"/>
          <w:b/>
          <w:bCs/>
          <w:sz w:val="21"/>
          <w:szCs w:val="21"/>
          <w:highlight w:val="none"/>
          <w:lang w:val="en-US" w:eastAsia="zh-CN"/>
        </w:rPr>
        <w:t xml:space="preserve">其他配送人员2人。</w:t>
      </w:r>
      <w:r>
        <w:rPr>
          <w:rFonts w:hint="eastAsia" w:ascii="仿宋" w:hAnsi="仿宋" w:eastAsia="仿宋" w:cs="仿宋"/>
          <w:b/>
          <w:bCs/>
          <w:sz w:val="21"/>
          <w:szCs w:val="21"/>
          <w:highlight w:val="none"/>
        </w:rPr>
        <w:t xml:space="preserve">投标文件中须提供相应证明材料和在投标人单位</w:t>
      </w:r>
      <w:r>
        <w:rPr>
          <w:rFonts w:hint="eastAsia" w:ascii="仿宋" w:hAnsi="仿宋" w:eastAsia="仿宋" w:cs="仿宋"/>
          <w:b/>
          <w:bCs/>
          <w:sz w:val="21"/>
          <w:szCs w:val="21"/>
          <w:highlight w:val="none"/>
          <w:lang w:val="en-US" w:eastAsia="zh-CN"/>
        </w:rPr>
        <w:t xml:space="preserve">近期</w:t>
      </w:r>
      <w:r>
        <w:rPr>
          <w:rFonts w:hint="eastAsia" w:ascii="仿宋" w:hAnsi="仿宋" w:eastAsia="仿宋" w:cs="仿宋"/>
          <w:b/>
          <w:bCs/>
          <w:sz w:val="21"/>
          <w:szCs w:val="21"/>
          <w:highlight w:val="none"/>
        </w:rPr>
        <w:t xml:space="preserve">缴纳的社保证明</w:t>
      </w:r>
      <w:r>
        <w:rPr>
          <w:rFonts w:hint="eastAsia" w:ascii="仿宋" w:hAnsi="仿宋" w:eastAsia="仿宋" w:cs="仿宋"/>
          <w:b/>
          <w:bCs/>
          <w:sz w:val="21"/>
          <w:szCs w:val="21"/>
          <w:highlight w:val="none"/>
          <w:lang w:eastAsia="zh-CN"/>
        </w:rPr>
        <w:t xml:space="preserve">。</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w:t>
      </w:r>
      <w:r/>
    </w:p>
    <w:p>
      <w:pPr>
        <w:pStyle w:val="952"/>
        <w:ind w:firstLine="420"/>
        <w:spacing w:before="0" w:beforeAutospacing="0" w:after="0" w:afterAutospacing="0" w:line="360" w:lineRule="auto"/>
        <w:rPr>
          <w:rFonts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w:t>
      </w:r>
      <w:r>
        <w:rPr>
          <w:rFonts w:hint="eastAsia" w:ascii="仿宋" w:hAnsi="仿宋" w:eastAsia="仿宋" w:cs="仿宋"/>
          <w:b w:val="0"/>
          <w:bCs w:val="0"/>
          <w:color w:val="auto"/>
          <w:sz w:val="21"/>
          <w:szCs w:val="21"/>
          <w:highlight w:val="none"/>
        </w:rPr>
        <w:t xml:space="preserve">投标人须具有有效期内的《食品经营许可证》</w:t>
      </w:r>
      <w:r/>
    </w:p>
    <w:p>
      <w:pPr>
        <w:pStyle w:val="952"/>
        <w:ind w:firstLine="420"/>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pBdr>
          <w:left w:val="none" w:color="auto" w:sz="0" w:space="0"/>
        </w:pBdr>
        <w:suppressLineNumbers w:val="0"/>
      </w:pPr>
      <w:r>
        <w:rPr>
          <w:rStyle w:val="957"/>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rPr>
        <w:t xml:space="preserve">本项目属于专门面向中小企业采购的项目</w:t>
      </w:r>
      <w:r/>
    </w:p>
    <w:p>
      <w:pPr>
        <w:pStyle w:val="952"/>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1</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本项目属于专门面向中小企业采购的项目，投</w:t>
      </w:r>
      <w:r>
        <w:rPr>
          <w:rFonts w:hint="eastAsia" w:ascii="仿宋" w:hAnsi="仿宋" w:eastAsia="仿宋" w:cs="仿宋"/>
          <w:color w:val="auto"/>
          <w:sz w:val="21"/>
          <w:szCs w:val="21"/>
          <w:highlight w:val="none"/>
        </w:rPr>
        <w:t xml:space="preserve">标人应为中小微企业，必须提供《中小企业声明函》，小微企业不享受价格扣除优惠。 </w:t>
      </w:r>
      <w:r/>
    </w:p>
    <w:p>
      <w:pPr>
        <w:pStyle w:val="952"/>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提供《残疾人福利性单位声明函》或出具由省级以上监狱管理局、戒毒管理局（含新疆生产建设兵团）出具的属于监狱企业的证明文件的视同小微企业。</w:t>
      </w:r>
      <w:r/>
    </w:p>
    <w:p>
      <w:pPr>
        <w:pStyle w:val="92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7"/>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w:t>
      </w:r>
      <w:r>
        <w:rPr>
          <w:rFonts w:hint="eastAsia" w:ascii="仿宋" w:hAnsi="仿宋" w:eastAsia="仿宋" w:cs="仿宋"/>
          <w:color w:val="auto"/>
          <w:sz w:val="21"/>
          <w:szCs w:val="21"/>
          <w:highlight w:val="none"/>
          <w:lang w:eastAsia="zh-CN" w:bidi="ar"/>
        </w:rPr>
        <w:t xml:space="preserve">2024年05月30日</w:t>
      </w:r>
      <w:r>
        <w:rPr>
          <w:rFonts w:hint="eastAsia" w:ascii="仿宋" w:hAnsi="仿宋" w:eastAsia="仿宋" w:cs="仿宋"/>
          <w:color w:val="auto"/>
          <w:sz w:val="21"/>
          <w:szCs w:val="21"/>
          <w:highlight w:val="none"/>
          <w:lang w:bidi="ar"/>
        </w:rPr>
        <w:t xml:space="preserve">- </w:t>
      </w:r>
      <w:r>
        <w:rPr>
          <w:rFonts w:hint="eastAsia" w:ascii="仿宋" w:hAnsi="仿宋" w:eastAsia="仿宋" w:cs="仿宋"/>
          <w:color w:val="auto"/>
          <w:sz w:val="21"/>
          <w:szCs w:val="21"/>
          <w:highlight w:val="none"/>
          <w:lang w:eastAsia="zh-CN" w:bidi="ar"/>
        </w:rPr>
        <w:t xml:space="preserve">2024年06月06日</w:t>
      </w:r>
      <w:r>
        <w:rPr>
          <w:rFonts w:hint="eastAsia" w:ascii="仿宋" w:hAnsi="仿宋" w:eastAsia="仿宋" w:cs="仿宋"/>
          <w:color w:val="auto"/>
          <w:sz w:val="21"/>
          <w:szCs w:val="21"/>
          <w:highlight w:val="none"/>
          <w:lang w:bidi="ar"/>
        </w:rPr>
        <w:t xml:space="preserve"> ，每天上午00:00-12:00,下午12:00-23:59 （北京时间，法定节假日除外）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21"/>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957"/>
          <w:rFonts w:hint="eastAsia" w:ascii="仿宋" w:hAnsi="仿宋" w:eastAsia="仿宋" w:cs="仿宋"/>
          <w:b/>
          <w:bCs/>
          <w:color w:val="auto"/>
          <w:sz w:val="21"/>
          <w:szCs w:val="21"/>
          <w:highlight w:val="none"/>
        </w:rPr>
        <w:t xml:space="preserve">四、提交投标文件截止时间、开标时间和地点</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2024年06月20日14点00分</w:t>
      </w:r>
      <w:r>
        <w:rPr>
          <w:rFonts w:hint="eastAsia" w:ascii="仿宋" w:hAnsi="仿宋" w:eastAsia="仿宋" w:cs="仿宋"/>
          <w:color w:val="auto"/>
          <w:sz w:val="21"/>
          <w:szCs w:val="21"/>
          <w:highlight w:val="none"/>
        </w:rPr>
        <w:t xml:space="preserve"> （北京时间）</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2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7"/>
          <w:rFonts w:hint="eastAsia" w:ascii="仿宋" w:hAnsi="仿宋" w:eastAsia="仿宋" w:cs="仿宋"/>
          <w:b/>
          <w:bCs/>
          <w:color w:val="auto"/>
          <w:sz w:val="21"/>
          <w:szCs w:val="21"/>
          <w:highlight w:val="none"/>
        </w:rPr>
        <w:t xml:space="preserve">五、公告期限</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2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7"/>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957"/>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957"/>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957"/>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957"/>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957"/>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957"/>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957"/>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957"/>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957"/>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ascii="仿宋" w:hAnsi="仿宋" w:eastAsia="仿宋" w:cs="仿宋"/>
          <w:color w:val="auto"/>
          <w:sz w:val="21"/>
          <w:szCs w:val="21"/>
          <w:highlight w:val="none"/>
        </w:rPr>
      </w:pPr>
      <w:r>
        <w:rPr>
          <w:rStyle w:val="957"/>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957"/>
          <w:rFonts w:hint="eastAsia" w:ascii="仿宋" w:hAnsi="仿宋" w:eastAsia="仿宋" w:cs="仿宋"/>
          <w:color w:val="auto"/>
          <w:sz w:val="21"/>
          <w:szCs w:val="21"/>
          <w:highlight w:val="none"/>
          <w:lang w:bidi="ar"/>
        </w:rPr>
        <w:t xml:space="preserve">。</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8、</w:t>
      </w:r>
      <w:r>
        <w:rPr>
          <w:rStyle w:val="957"/>
          <w:rFonts w:hint="eastAsia" w:ascii="仿宋" w:hAnsi="仿宋" w:eastAsia="仿宋" w:cs="仿宋"/>
          <w:color w:val="auto"/>
          <w:sz w:val="21"/>
          <w:szCs w:val="21"/>
          <w:highlight w:val="none"/>
          <w:lang w:bidi="ar"/>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帐户：苏州泰至鑫项目管理有限公司</w:t>
      </w:r>
      <w:r/>
    </w:p>
    <w:p>
      <w:pPr>
        <w:pStyle w:val="952"/>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开户行：中国建设银行股份有限公司太仓陆渡支行</w:t>
      </w:r>
      <w:r/>
    </w:p>
    <w:p>
      <w:pPr>
        <w:pStyle w:val="952"/>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账户：3225 0199 7348 0000 0598</w:t>
      </w:r>
      <w:r/>
    </w:p>
    <w:p>
      <w:pPr>
        <w:ind w:firstLine="420"/>
        <w:jc w:val="both"/>
        <w:spacing w:line="360" w:lineRule="auto"/>
        <w:shd w:val="clear" w:color="auto" w:fill="ffffff"/>
        <w:rPr>
          <w:b w:val="0"/>
          <w:bCs w:val="0"/>
          <w:color w:val="auto"/>
          <w:sz w:val="21"/>
          <w:szCs w:val="21"/>
          <w:highlight w:val="none"/>
        </w:rPr>
      </w:pPr>
      <w:r>
        <w:rPr>
          <w:rStyle w:val="957"/>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shd w:val="clear" w:color="auto" w:fill="ffffff"/>
          <w:lang w:bidi="ar"/>
        </w:rPr>
        <w:t xml:space="preserve">政府采购履约资金扶持政策  </w:t>
      </w:r>
      <w:r/>
    </w:p>
    <w:p>
      <w:pPr>
        <w:pStyle w:val="921"/>
        <w:numPr>
          <w:ilvl w:val="1"/>
          <w:numId w:val="0"/>
        </w:numPr>
        <w:ind w:firstLine="420"/>
        <w:keepLines w:val="0"/>
        <w:keepNext w:val="0"/>
        <w:spacing w:before="0" w:after="0" w:line="360" w:lineRule="auto"/>
        <w:rPr>
          <w:rStyle w:val="957"/>
          <w:rFonts w:hint="eastAsia" w:ascii="仿宋" w:hAnsi="仿宋" w:eastAsia="仿宋" w:cs="仿宋"/>
          <w:b w:val="0"/>
          <w:bCs w:val="0"/>
          <w:color w:val="auto"/>
          <w:sz w:val="21"/>
          <w:szCs w:val="21"/>
          <w:highlight w:val="none"/>
        </w:rPr>
      </w:pPr>
      <w:r>
        <w:rPr>
          <w:rStyle w:val="957"/>
          <w:rFonts w:hint="eastAsia" w:ascii="仿宋" w:hAnsi="仿宋" w:eastAsia="仿宋" w:cs="仿宋"/>
          <w:b w:val="0"/>
          <w:bCs w:val="0"/>
          <w:color w:val="auto"/>
          <w:sz w:val="21"/>
          <w:szCs w:val="21"/>
          <w:highlight w:val="none"/>
        </w:rPr>
        <w:t xml:space="preserve">中标供应商可凭政府采购合同办理融资贷款，详情请见江苏政府采购网“政采贷”专栏。</w:t>
      </w:r>
      <w:r/>
    </w:p>
    <w:p>
      <w:pPr>
        <w:pStyle w:val="92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57"/>
          <w:rFonts w:hint="eastAsia" w:ascii="仿宋" w:hAnsi="仿宋" w:eastAsia="仿宋" w:cs="仿宋"/>
          <w:b/>
          <w:bCs/>
          <w:color w:val="auto"/>
          <w:sz w:val="21"/>
          <w:szCs w:val="21"/>
          <w:highlight w:val="none"/>
        </w:rPr>
        <w:t xml:space="preserve">七、对本次招标提出询问，请按以下方式联系</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太仓市浮桥镇人民政府</w:t>
      </w:r>
      <w:r>
        <w:rPr>
          <w:rFonts w:hint="eastAsia" w:ascii="仿宋" w:hAnsi="仿宋" w:eastAsia="仿宋" w:cs="仿宋"/>
          <w:color w:val="auto"/>
          <w:sz w:val="21"/>
          <w:szCs w:val="21"/>
          <w:highlight w:val="none"/>
        </w:rPr>
        <w:t xml:space="preserve"> </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苏州市太仓市浮桥镇北环路12号</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王耀文</w:t>
      </w:r>
      <w:r/>
    </w:p>
    <w:p>
      <w:pPr>
        <w:pStyle w:val="952"/>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13776170119</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952"/>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顾孙英 联系电话：13145086180</w:t>
      </w:r>
      <w:r/>
    </w:p>
    <w:p>
      <w:pPr>
        <w:ind w:firstLine="422"/>
        <w:jc w:val="both"/>
        <w:spacing w:line="360" w:lineRule="auto"/>
        <w:rPr>
          <w:rFonts w:ascii="仿宋" w:hAnsi="仿宋" w:eastAsia="仿宋" w:cs="仿宋"/>
          <w:color w:val="auto"/>
          <w:sz w:val="21"/>
          <w:szCs w:val="21"/>
          <w:highlight w:val="none"/>
        </w:rPr>
      </w:pPr>
      <w:r>
        <w:rPr>
          <w:rStyle w:val="957"/>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widowControl w:val="off"/>
        <w:rPr>
          <w:rStyle w:val="963"/>
          <w:rFonts w:ascii="宋体" w:hAnsi="宋体" w:eastAsia="宋体" w:cs="宋体"/>
          <w:color w:val="auto"/>
          <w:sz w:val="32"/>
          <w:szCs w:val="32"/>
          <w:highlight w:val="none"/>
        </w:rPr>
      </w:pPr>
      <w:r/>
      <w:bookmarkStart w:id="2" w:name="_Toc15584"/>
      <w:r/>
      <w:r/>
    </w:p>
    <w:p>
      <w:pPr>
        <w:jc w:val="center"/>
        <w:widowControl w:val="off"/>
        <w:rPr>
          <w:rStyle w:val="963"/>
          <w:rFonts w:ascii="宋体" w:hAnsi="宋体" w:eastAsia="宋体" w:cs="宋体"/>
          <w:color w:val="auto"/>
          <w:sz w:val="32"/>
          <w:szCs w:val="32"/>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center"/>
        <w:widowControl w:val="off"/>
        <w:rPr>
          <w:highlight w:val="none"/>
        </w:rPr>
      </w:pPr>
      <w:r>
        <w:rPr>
          <w:highlight w:val="none"/>
        </w:rPr>
      </w:r>
      <w:r>
        <w:rPr>
          <w:highlight w:val="none"/>
        </w:rPr>
      </w:r>
    </w:p>
    <w:p>
      <w:pPr>
        <w:jc w:val="left"/>
        <w:widowControl w:val="off"/>
        <w:rPr>
          <w:highlight w:val="none"/>
        </w:rPr>
      </w:pPr>
      <w:r>
        <w:rPr>
          <w:highlight w:val="none"/>
        </w:rPr>
      </w:r>
      <w:r>
        <w:rPr>
          <w:highlight w:val="none"/>
        </w:rPr>
      </w:r>
    </w:p>
    <w:p>
      <w:pPr>
        <w:jc w:val="center"/>
        <w:widowControl w:val="off"/>
        <w:rPr>
          <w:highlight w:val="none"/>
        </w:rPr>
      </w:pPr>
      <w:r>
        <w:rPr>
          <w:rStyle w:val="963"/>
          <w:rFonts w:hint="eastAsia" w:ascii="宋体" w:hAnsi="宋体" w:eastAsia="宋体" w:cs="宋体"/>
          <w:color w:val="auto"/>
          <w:sz w:val="32"/>
          <w:szCs w:val="32"/>
          <w:highlight w:val="none"/>
        </w:rPr>
        <w:t xml:space="preserve">第二章 投标人须知</w:t>
      </w:r>
      <w:bookmarkEnd w:id="2"/>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13.1投标书一（报价部分）：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13.1.1 开标一览表（详见投标文件格式，用于唱标）；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 投标书二：</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13.2.1.1关于资格文件的声明函（详见投标文件格式）；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13.2.1.2投标人营业执照或独立法人证书副本或三证合一营业执照扫描件；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13.2.1.3投标人参加本次政府采购活动前的财务状况报告或者银行出具的资信证明；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13.2.1.4投标人根据项目需求提供履行合同所必需的设备和专业技术能力的证明材料；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13.2.1.5投标人参加本次政府采购活动前半年（至少一个月）依法缴纳税收和社会保障资金的证明材料；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13.2.1.6投标人参加政府采购活动前三年在经营活动中没有重大违法记录的书面申明（详见投标文件格式）；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13.2.1.7投标人证明其符合招标文件规定的投标人特定资格条件的证书、证明和文件材料；（如有）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13.2.1.8投标人基本情况表（详见投标文件格式）；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13.2.1.9投标人法定代表人身份证扫描件；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13.2.1.10投标人法定代表人授权委托书原件（如有授权）（详见投标文件格式）；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13.2.1.11投标人授权代理人身份证扫描件（如有授权）；</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13.2.1.12中小企业声明函</w:t>
      </w:r>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13.2.1.13残疾人福利性单位声明函（如有）；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13.2.1.14其他可以证明投标人资信、资质和货物、服务质量的证书、文件、推荐信等资料；（如有）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13.2.2技术及商务部分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13.2.2.1服务要求偏离表（详见投标文件格式）；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13.2.2.3相关业绩一览表及相关证明材料（详见投标文件格式）；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13.2.2.4相关证书一览表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13.2.2.5投入本项目技术（服务）人员一览表及相关证明材料（详见投标文件格式）；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13.2.2.6项目的技术及服务方案等；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13.2.2.7招标文件及评分标准中要求提供的其他相关材料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13.2.2.8其他需投标人对本次投标的详细说明（投标人视各自的情况自行编制）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cs="宋体"/>
          <w:color w:val="auto"/>
          <w:sz w:val="21"/>
          <w:szCs w:val="21"/>
          <w:highlight w:val="none"/>
        </w:rPr>
        <w:t xml:space="preserve">包括但不限于完成本项目的全部人工工资、加班费、福利、交通、通讯、</w:t>
      </w:r>
      <w:r>
        <w:rPr>
          <w:rFonts w:hint="eastAsia" w:ascii="宋体" w:hAnsi="宋体" w:cs="宋体"/>
          <w:color w:val="auto"/>
          <w:sz w:val="21"/>
          <w:szCs w:val="21"/>
          <w:highlight w:val="none"/>
          <w:lang w:eastAsia="zh-CN"/>
        </w:rPr>
        <w:t xml:space="preserve">配送费、食材检测费、服务人员服装</w:t>
      </w:r>
      <w:r>
        <w:rPr>
          <w:rFonts w:hint="eastAsia" w:ascii="宋体" w:hAnsi="宋体" w:cs="宋体"/>
          <w:color w:val="auto"/>
          <w:sz w:val="21"/>
          <w:szCs w:val="21"/>
          <w:highlight w:val="none"/>
        </w:rPr>
        <w:t xml:space="preserve">、各类保险；为项目服务所需要的耗材；招标文件中列明的各类费用；企业管理费用、利润、财务费用、税金；以及合同履行期间可能会产生政策性调整，市场价格变化等各种风险费用。。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24.7</w:t>
      </w:r>
      <w:r>
        <w:rPr>
          <w:rFonts w:hint="eastAsia" w:ascii="宋体" w:hAnsi="宋体" w:cs="宋体"/>
          <w:b/>
          <w:bCs/>
          <w:color w:val="auto"/>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auto"/>
          <w:sz w:val="21"/>
          <w:szCs w:val="21"/>
          <w:highlight w:val="none"/>
          <w:lang w:val="zh-CN"/>
        </w:rPr>
        <w:t xml:space="preserve">。</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962"/>
        <w:jc w:val="center"/>
        <w:rPr>
          <w:rStyle w:val="963"/>
          <w:rFonts w:ascii="宋体" w:hAnsi="宋体" w:eastAsia="宋体" w:cs="宋体"/>
          <w:color w:val="auto"/>
          <w:sz w:val="32"/>
          <w:szCs w:val="32"/>
          <w:highlight w:val="none"/>
        </w:rPr>
      </w:pPr>
      <w:r/>
      <w:bookmarkStart w:id="4" w:name="_Toc28477"/>
      <w:r/>
      <w:r/>
    </w:p>
    <w:p>
      <w:pPr>
        <w:pStyle w:val="962"/>
        <w:jc w:val="center"/>
        <w:rPr>
          <w:rStyle w:val="963"/>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62"/>
        <w:jc w:val="center"/>
        <w:rPr>
          <w:rStyle w:val="963"/>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62"/>
        <w:jc w:val="center"/>
        <w:rPr>
          <w:rStyle w:val="963"/>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62"/>
        <w:jc w:val="center"/>
        <w:rPr>
          <w:rStyle w:val="963"/>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62"/>
        <w:jc w:val="center"/>
        <w:rPr>
          <w:rStyle w:val="963"/>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62"/>
        <w:ind w:firstLine="0"/>
        <w:jc w:val="both"/>
        <w:rPr>
          <w:rStyle w:val="963"/>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62"/>
        <w:jc w:val="center"/>
        <w:rPr>
          <w:rStyle w:val="96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2"/>
        <w:jc w:val="center"/>
        <w:rPr>
          <w:rStyle w:val="963"/>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2"/>
        <w:jc w:val="center"/>
        <w:rPr>
          <w:color w:val="auto"/>
          <w:highlight w:val="none"/>
        </w:rPr>
      </w:pPr>
      <w:r>
        <w:rPr>
          <w:rStyle w:val="963"/>
          <w:rFonts w:hint="eastAsia" w:ascii="宋体" w:hAnsi="宋体" w:eastAsia="宋体" w:cs="宋体"/>
          <w:color w:val="auto"/>
          <w:sz w:val="32"/>
          <w:szCs w:val="32"/>
          <w:highlight w:val="none"/>
        </w:rPr>
        <w:t xml:space="preserve">第三章 </w:t>
      </w:r>
      <w:bookmarkEnd w:id="4"/>
      <w:r>
        <w:rPr>
          <w:rStyle w:val="963"/>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太仓市浮桥镇人民政府</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太仓市港区政府专职消防救援队2024年度食材配送服务</w:t>
      </w:r>
      <w:r>
        <w:rPr>
          <w:rFonts w:hint="eastAsia" w:ascii="宋体" w:hAnsi="宋体" w:cs="宋体"/>
          <w:color w:val="auto"/>
          <w:sz w:val="21"/>
          <w:szCs w:val="21"/>
          <w:highlight w:val="none"/>
        </w:rPr>
        <w:t xml:space="preserve">进行国内公开招标。欢迎符合资格条件的供应商前来报名参加投标。</w:t>
      </w:r>
      <w:r/>
    </w:p>
    <w:p>
      <w:pPr>
        <w:pStyle w:val="935"/>
        <w:ind w:firstLine="420"/>
        <w:rPr>
          <w:color w:val="auto"/>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JSZC-320585-SZTZ-G2024-0015</w:t>
      </w:r>
      <w:r/>
    </w:p>
    <w:p>
      <w:pPr>
        <w:ind w:firstLine="422"/>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太仓市港区政府专职消防救援队2024年度食材配送服务</w:t>
      </w:r>
      <w:r/>
    </w:p>
    <w:p>
      <w:pPr>
        <w:ind w:firstLine="422"/>
        <w:spacing w:line="360" w:lineRule="auto"/>
        <w:tabs>
          <w:tab w:val="left" w:pos="3600" w:leader="none"/>
        </w:tabs>
        <w:rPr>
          <w:rFonts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3、预算金额：</w:t>
      </w:r>
      <w:r>
        <w:rPr>
          <w:rFonts w:hint="eastAsia" w:ascii="宋体" w:hAnsi="宋体" w:cs="宋体"/>
          <w:color w:val="auto"/>
          <w:sz w:val="21"/>
          <w:szCs w:val="21"/>
          <w:highlight w:val="none"/>
          <w:lang w:eastAsia="zh-CN"/>
        </w:rPr>
        <w:t xml:space="preserve">142.000000万元</w:t>
      </w:r>
      <w:r>
        <w:rPr>
          <w:rFonts w:hint="eastAsia" w:ascii="宋体" w:hAnsi="宋体" w:cs="宋体"/>
          <w:color w:val="auto"/>
          <w:sz w:val="21"/>
          <w:szCs w:val="21"/>
          <w:highlight w:val="none"/>
        </w:rPr>
        <w:t xml:space="preserve"> </w:t>
      </w:r>
      <w:r/>
    </w:p>
    <w:p>
      <w:pPr>
        <w:ind w:firstLine="422"/>
        <w:spacing w:line="360" w:lineRule="auto"/>
        <w:tabs>
          <w:tab w:val="left" w:pos="360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4、服务地点：</w:t>
      </w:r>
      <w:r>
        <w:rPr>
          <w:rFonts w:hint="eastAsia" w:ascii="宋体" w:hAnsi="宋体" w:cs="宋体"/>
          <w:color w:val="auto"/>
          <w:sz w:val="21"/>
          <w:szCs w:val="21"/>
          <w:highlight w:val="none"/>
        </w:rPr>
        <w:t xml:space="preserve">采购方指定</w:t>
      </w:r>
      <w:r/>
    </w:p>
    <w:p>
      <w:pPr>
        <w:ind w:firstLine="422"/>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ind w:right="0" w:firstLine="422"/>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项目概况：</w:t>
      </w:r>
      <w:r>
        <w:rPr>
          <w:rFonts w:hint="eastAsia" w:ascii="宋体" w:hAnsi="宋体" w:eastAsia="宋体" w:cs="宋体"/>
          <w:color w:val="auto"/>
          <w:sz w:val="21"/>
          <w:szCs w:val="21"/>
          <w:highlight w:val="none"/>
          <w:shd w:val="clear" w:color="auto" w:fill="ffffff"/>
          <w:lang w:val="en-US" w:eastAsia="zh-CN" w:bidi="ar"/>
        </w:rPr>
        <w:t xml:space="preserve">本项目服务内容为为太仓市港区政府专职消防救援队提供食材配送服务</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每天的餐标（具体用餐人数按甲方要求）</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按太仓市娄东民生（http://122.193.93.203:8088/）公布的中心菜场当天价格乘以中标折扣率</w:t>
      </w:r>
      <w:r>
        <w:rPr>
          <w:rFonts w:hint="eastAsia" w:ascii="宋体" w:hAnsi="宋体" w:eastAsia="宋体" w:cs="宋体"/>
          <w:color w:val="auto"/>
          <w:sz w:val="21"/>
          <w:szCs w:val="21"/>
          <w:highlight w:val="none"/>
          <w:lang w:val="en-US" w:eastAsia="zh-CN"/>
        </w:rPr>
        <w:t xml:space="preserve">的单价按实结算</w:t>
      </w:r>
      <w:r>
        <w:rPr>
          <w:rFonts w:hint="eastAsia" w:ascii="宋体" w:hAnsi="宋体" w:eastAsia="宋体" w:cs="宋体"/>
          <w:color w:val="auto"/>
          <w:sz w:val="21"/>
          <w:szCs w:val="21"/>
          <w:highlight w:val="none"/>
          <w:lang w:eastAsia="zh-CN"/>
        </w:rPr>
        <w:t xml:space="preserve">；未公布当天价格的按上一日价格乘以中标折扣率的</w:t>
      </w:r>
      <w:r>
        <w:rPr>
          <w:rFonts w:hint="eastAsia" w:ascii="宋体" w:hAnsi="宋体" w:eastAsia="宋体" w:cs="宋体"/>
          <w:color w:val="auto"/>
          <w:sz w:val="21"/>
          <w:szCs w:val="21"/>
          <w:highlight w:val="none"/>
          <w:lang w:val="en-US" w:eastAsia="zh-CN"/>
        </w:rPr>
        <w:t xml:space="preserve">单价按实结算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中标单位须按照荤素搭配、营养搭配的原则提供配菜清单</w:t>
      </w:r>
      <w:r>
        <w:rPr>
          <w:rFonts w:hint="eastAsia" w:ascii="宋体" w:hAnsi="宋体" w:eastAsia="宋体" w:cs="宋体"/>
          <w:color w:val="auto"/>
          <w:sz w:val="21"/>
          <w:szCs w:val="21"/>
          <w:highlight w:val="none"/>
          <w:lang w:eastAsia="zh-CN"/>
        </w:rPr>
        <w:t xml:space="preserve">。</w:t>
      </w:r>
      <w:r/>
    </w:p>
    <w:p>
      <w:pPr>
        <w:ind w:right="0" w:firstLine="422"/>
        <w:jc w:val="left"/>
        <w:keepLines w:val="0"/>
        <w:keepNext w:val="0"/>
        <w:pageBreakBefore w:val="0"/>
        <w:spacing w:beforeAutospacing="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原料供货及配送概述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sz w:val="21"/>
          <w:szCs w:val="21"/>
          <w:highlight w:val="none"/>
          <w:lang w:val="en-US" w:eastAsia="zh-CN"/>
        </w:rPr>
        <w:t xml:space="preserve">港区消防食堂原材料配送</w:t>
      </w:r>
      <w:r>
        <w:rPr>
          <w:rFonts w:hint="eastAsia" w:ascii="宋体" w:hAnsi="宋体" w:eastAsia="宋体" w:cs="宋体"/>
          <w:sz w:val="21"/>
          <w:szCs w:val="21"/>
          <w:highlight w:val="none"/>
        </w:rPr>
        <w:t xml:space="preserve">“集中采购、定点配送”工作。（供应品种为粮油、肉及肉制品、蔬菜、豆制品、水产、冻品、调味品、禽蛋等）。中标单位须按照荤素搭配、营养搭配的原则提供配菜清单，</w:t>
      </w:r>
      <w:r>
        <w:rPr>
          <w:rFonts w:hint="eastAsia" w:ascii="宋体" w:hAnsi="宋体" w:eastAsia="宋体" w:cs="宋体"/>
          <w:sz w:val="21"/>
          <w:szCs w:val="21"/>
          <w:highlight w:val="none"/>
          <w:lang w:val="en-US" w:eastAsia="zh-CN"/>
        </w:rPr>
        <w:t xml:space="preserve">也可</w:t>
      </w:r>
      <w:r>
        <w:rPr>
          <w:rFonts w:hint="eastAsia" w:ascii="宋体" w:hAnsi="宋体" w:eastAsia="宋体" w:cs="宋体"/>
          <w:sz w:val="21"/>
          <w:szCs w:val="21"/>
          <w:highlight w:val="none"/>
        </w:rPr>
        <w:t xml:space="preserve">按</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方要求调换菜品。</w:t>
      </w:r>
      <w:r/>
    </w:p>
    <w:p>
      <w:pPr>
        <w:ind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集中配送工作要求</w:t>
      </w:r>
      <w:r/>
    </w:p>
    <w:p>
      <w:pPr>
        <w:ind w:right="0" w:firstLine="420"/>
        <w:jc w:val="left"/>
        <w:keepLines w:val="0"/>
        <w:keepNext w:val="0"/>
        <w:pageBreakBefore w:val="0"/>
        <w:spacing w:beforeAutospacing="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供货商必须具有有效期内的《</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"http://www.baidu.com/s?wd=%E9%A3%9F%E5%93%81%E7%BB%8F%E8%90%A5%E8%AE%B8%E5%8F%AF%E8%AF%81&amp;tn=SE_PcZhidaonwhc_ngpagmjz&amp;rsv_dl=gh_pc_zhidao" \t "_blank"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食品经营许可证</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工商营业执照及其他相关证照，具备综合供货的设备设施和能力，且经过招投标程序的中标单位；</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2、必须根据食堂提出的品种、规格、品牌、数量、质量要求送货，并在规定的时间内及时送到。实行缺一罚十的办法；</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所供原材料，必须符合《中华人民共和国食品安全法》标准，如发现原材料卫生质量问题或者以次充好等违规现象，采购人可立即无条件退货或换货。每发生一次类似情况，供货商则另行赔偿采购人经济损失2000元；</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4、在供货时应提供原材料检验合格证或者化验单。如肉类制品必须是定点屠宰且经检疫合格。</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5、供应商定期开展食品、食材安全质量培训会议。</w:t>
      </w:r>
      <w:r/>
    </w:p>
    <w:p>
      <w:pPr>
        <w:ind w:firstLine="422"/>
        <w:keepLines w:val="0"/>
        <w:keepNext w:val="0"/>
        <w:pageBreakBefore w:val="0"/>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供应商应对食品安全进行把关，可根据项目需求自行配备农残检测设备及相关专业人员（熟悉检测设备操作及蔬菜中有机磷和氨基甲酸酯类农药残留量的快速检测标准）或送检第三方检测机构，来保障日常配送菜品的安全。</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7、售后服务</w:t>
      </w:r>
      <w:r/>
    </w:p>
    <w:p>
      <w:pPr>
        <w:ind w:firstLine="422"/>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（1）供应商做到1小时内响应，2小时内到达甲方现场，5小时内解决相关问题。</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8、供货时不得提供以下原材料：</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（1）无品名、产地、厂名、生产日期、保质期及中文标识及原料说明的定型包装原材料（蔬菜、面点、早点等非定型包装原材料除外）；</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（2）超过保质期限或不符合原材料标签规定的定型包装原材料；</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（3）腐败变质、油脂酸败、霉变、生虫、污秽不洁、混有异物或者其他感官性状异常，含有毒、有害物质或者被有毒、有害物质污染，可能对人体健康有害的原材料；</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（4）病死或者死因不明的水产品、畜、禽及其制品、劣质食用油、不合格调味品、工业用盐、非碘盐或非原材料原料和滥用原材料添加剂、农药残留超标的蔬菜等；</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（5）以及其他不符合原材料安全标准和要求的原材料；</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9、家禽选用品牌冷冻（如少量的不用冷冻，供货商宰杀后送货）。</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10、提供商品的品牌、规格必须为知名品牌，擅自更换商品品牌、规格，应赔偿损失5000元。</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11、凡有短斤缺两、擅自涨价、质量问题以及其他违规行为均记入诚信档案，作为制约以后招投标的重要因素，情节较为严重的，采购人有权中止供货合同，并按相关法律处理；</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12、因所供应原材料的质量问题引起食物中毒等食源性疾病的发生或引起其他事故由供货方负全部责任，并承担由此而引起的全部经济损失及相关法律责任。</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13、自觉遵守国家有关法律、法规。接受政府有关职能部门以及采购人的监管。 </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农产品配送验收标准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对以下原材料在验收时必须做到原材料、原料、调料等均符合国家</w:t>
      </w:r>
      <w:r>
        <w:rPr>
          <w:rFonts w:hint="eastAsia" w:ascii="宋体" w:hAnsi="宋体" w:eastAsia="宋体" w:cs="宋体"/>
          <w:sz w:val="21"/>
          <w:szCs w:val="21"/>
          <w:highlight w:val="none"/>
          <w:lang w:eastAsia="zh-CN"/>
        </w:rPr>
        <w:t xml:space="preserve">《中华人民共和国食品安全法》</w:t>
      </w:r>
      <w:r>
        <w:rPr>
          <w:rFonts w:hint="eastAsia" w:ascii="宋体" w:hAnsi="宋体" w:eastAsia="宋体" w:cs="宋体"/>
          <w:sz w:val="21"/>
          <w:szCs w:val="21"/>
          <w:highlight w:val="none"/>
        </w:rPr>
        <w:t xml:space="preserve">规定，具体如下：</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1、肉类：必须从正规肉联厂购买新鲜肉食，必须有正规卫生防疫检疫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部门的盖章标志，有厂家提供的卫生防疫证明，符合国际质检部门规定的上限，不能从无正规手续、黑市、肉贩子手中购买。肉品须表皮洁净、膘厚适中、色泽鲜亮、纹理清晰、肉质细腻、无异味、去骨、无毛、按压无水迹。</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2、牛肉类：要求有动物卫生检疫及屠宰证明，去除牛筋杂物，肉质鲜嫩，不注水。</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3、鸡鸭类：交货时需配有动物卫生检疫证明，表皮光滑，新鲜肥嫩，无内脏，不打水。</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4、冻品类：需有出厂日期、保质期，品质要优良包装过关，无掺假。</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5、豆制品：正规生产厂家生产。</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6、禽蛋类：必须有正规卫生防疫检疫部门的盖章标志，有厂家提供的卫生防疫证明，符合国际质检部门规定的上限，不能从无正规手续、黑市、肉贩子手中购买。</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7、蔬菜类：新鲜嫩绿，无黄叶，无菜虫，必须通过农药残留成分测试，蔬菜不带根，不带泥。</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8、水果类：个头匀称，无斑点，无破损，果实成熟，味道纯正。按指定品牌及合理报价要求收货。</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9、粮油类：粮油类食品必须符合卫生标准，必须从正规厂家或商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家购买，符合食品卫生检疫标准，必须在有效生产周期内，必须为非转基因油，产品或品牌由采购人指定。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10、米面制品：需有商标牌号，厂家三证、检验报告、生产日期。保证大米质量，无砂石，无虫，无黑色杂物的品种，重量相差不超过0.25KG。</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11、早点类：新鲜，保温，单个品种规格相同，数量充足。</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12、鲜鱼类：必须生猛鲜活，过称后杀鱼,鱼鳞刮净,去除内脏、鱼腮，肉质新鲜。</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13、半成品：需提供可靠来源，并必须持有卫生许可证、营业执照等合法证件。</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14、调料类：食品调料必须从正规的商场、超市以及调料专业机构购买，产品质量符合国家质量检疫部门的标准。</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15、奶品类：乳制品必须有国家食品监督管理部门出具的食品合格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证明，防伪标示，有详细的生产日期、生产厂家、生产地址、卫生检疫标志、国家质量检疫标志等相关说明。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16、饮品类：饮品类必须从正规的商场、超市及专门的正规饮品厂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家购买，购买符合产品的质量标准，必须在有效生产周期内，产品或品牌由采购人制定。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17、箱装货：以净容量为计，鸡鸭蛋去皮净重，要新鲜，符合原材料卫生要求。 </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18、另：A、为避免争执，交货验收不合格时即刻退换货并出其退货单登记。</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仓管现场监督收货并检查货物的出厂时间及保质期，对货品质量进行检查，确保符合供货要求。无任何标示的原材料或材料，认定为不合格原材料必须立即退货。若有失职，将视情节严重程度进行严肃处理，确保原材料安全无误。</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19．包装货物必须符合包装规格数量要求，其它数量以实际数量为准。</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20、如有未尽事宜，则在事情发生时即刻告知采购人，由采购人、供货商协商后处理解决。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 其他说明</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1、成交单位服务人员配置由投标方根据需求方的工作内容自行设定各岗位人员配置。用工年龄女55周岁以内，男60周岁以内，所有服务人员身体健康、遵纪守法，国家规定持证上岗的人员必须有相应的资格证书。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2、成交单位必须按照《劳动法》最低工资调整及苏州市的有关规定配置工作人员按月支付工资、节假日加班费，交纳社会保险，不得安排工作人员超时限加班，并根据工作性质购置保险等相关劳动保障措施。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3、采购单位与成交单位服务人员不发生任何劳动和雇佣关系，用工人员由成交单位自行管理，成交单位和用工人员应遵守安全操作规章制度，若发生人身伤害等工伤事故，由成交单位自负，与采购单位无涉。</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4、成交单位服务人员的薪金、福利、休假日补贴、医疗费用及其他各种商业保险等均由成交单位负责，与采购方无关。</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5、所有报名成功的单位须到现场实地踏勘，由采购人介绍单位食堂具体情况，结合采购人需求，制定供货及配送方案。</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6、采购方每月对中标单位服务项目进行考核，具体详见附件《服务月考核表》。考核项目总分低于60分，则扣除人民币500元，作为处罚，以示警告。</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7、中标单位在上级部门检查中不合格受到处罚，采购方将按照处罚金额200元从中标单位的服务费中扣除。</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8、因中标单位提供不洁食物造成采购方人员食物中毒等食品安全事故的，由中标单位负责赔偿并承担相应的法律后果。</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9、中标单位所配送采购方的，食材，必须是通过严格删选的，食材要新鲜、安全，若在配送过程中，出现2次“中”及以下，采购方将对中标单位处以500元罚款，以示警告</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10、中标单位在配送过程中，如若因为特殊因素，不能及时将货物送达，中标单位必须提前通知采购方，与采购方协商处理方案，出现2次“中”及以下的情况下，采购方将处以500元的罚款以示警告</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11、原材料进货单据必须齐全，单货相符，货物出入库手续完备，采购方会不定时的抽查中标单位上述单据情况，若完善结果中，出现2次“中”及以下，采购方需要对中标单位处以500元罚款，以示警告</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12、配送货物单据必须齐全，包括：检测报告、送货单等，若一月累计出现3次“中”及以下的情况，采购方将对中标单位处以500元罚款，以示警告</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13、原材料供应商，索证需要齐全，采购方会不定时的抽查中标单位索证情况，若抽查累计3次“中”及以下，采购方将对中标单位处以500元罚款，以示警告</w:t>
      </w:r>
      <w:r/>
    </w:p>
    <w:tbl>
      <w:tblPr>
        <w:tblStyle w:val="930"/>
        <w:tblW w:w="963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4247"/>
        <w:gridCol w:w="1424"/>
        <w:gridCol w:w="890"/>
        <w:gridCol w:w="745"/>
        <w:gridCol w:w="784"/>
        <w:gridCol w:w="668"/>
      </w:tblGrid>
      <w:tr>
        <w:trPr>
          <w:trHeight w:val="23"/>
        </w:trPr>
        <w:tc>
          <w:tcPr>
            <w:gridSpan w:val="7"/>
            <w:tcW w:w="9631"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月度考核表</w:t>
            </w:r>
            <w:r/>
          </w:p>
        </w:tc>
      </w:tr>
      <w:tr>
        <w:trPr>
          <w:trHeight w:val="23"/>
        </w:trPr>
        <w:tc>
          <w:tcPr>
            <w:gridSpan w:val="7"/>
            <w:tcW w:w="963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考核时间：    年      月</w:t>
            </w:r>
            <w:r/>
          </w:p>
        </w:tc>
      </w:tr>
      <w:tr>
        <w:trPr>
          <w:trHeight w:val="23"/>
        </w:trPr>
        <w:tc>
          <w:tcPr>
            <w:tcW w:w="873" w:type="dxa"/>
            <w:vAlign w:val="center"/>
            <w:vMerge w:val="restart"/>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gridSpan w:val="2"/>
            <w:tcW w:w="5671" w:type="dxa"/>
            <w:vAlign w:val="center"/>
            <w:vMerge w:val="restart"/>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考核项目</w:t>
            </w:r>
            <w:r/>
          </w:p>
        </w:tc>
        <w:tc>
          <w:tcPr>
            <w:gridSpan w:val="4"/>
            <w:tcW w:w="3087"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评价制度</w:t>
            </w:r>
            <w:r/>
          </w:p>
        </w:tc>
      </w:tr>
      <w:tr>
        <w:trPr>
          <w:trHeight w:val="23"/>
        </w:trPr>
        <w:tc>
          <w:tcPr>
            <w:tcW w:w="873" w:type="dxa"/>
            <w:vAlign w:val="center"/>
            <w:vMerge w:val="continue"/>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W w:w="5671" w:type="dxa"/>
            <w:vAlign w:val="center"/>
            <w:vMerge w:val="continue"/>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90"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优</w:t>
            </w:r>
            <w:r/>
          </w:p>
        </w:tc>
        <w:tc>
          <w:tcPr>
            <w:tcW w:w="745"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良</w:t>
            </w:r>
            <w:r/>
          </w:p>
        </w:tc>
        <w:tc>
          <w:tcPr>
            <w:tcW w:w="784" w:type="dxa"/>
            <w:vAlign w:val="top"/>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w:t>
            </w:r>
            <w:r/>
          </w:p>
        </w:tc>
        <w:tc>
          <w:tcPr>
            <w:tcW w:w="668" w:type="dxa"/>
            <w:vAlign w:val="top"/>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差</w:t>
            </w:r>
            <w:r/>
          </w:p>
        </w:tc>
      </w:tr>
      <w:tr>
        <w:trPr>
          <w:trHeight w:val="23"/>
        </w:trPr>
        <w:tc>
          <w:tcPr>
            <w:tcW w:w="873"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567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w:t>
            </w:r>
            <w:r/>
          </w:p>
        </w:tc>
        <w:tc>
          <w:tcPr>
            <w:tcW w:w="890"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3"/>
        </w:trPr>
        <w:tc>
          <w:tcPr>
            <w:tcW w:w="873"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567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配送准时度(按照规定时间，将货物送达)</w:t>
            </w:r>
            <w:r/>
          </w:p>
        </w:tc>
        <w:tc>
          <w:tcPr>
            <w:tcW w:w="890"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3"/>
        </w:trPr>
        <w:tc>
          <w:tcPr>
            <w:tcW w:w="873"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567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服务态度（售后服务）</w:t>
            </w:r>
            <w:r/>
          </w:p>
        </w:tc>
        <w:tc>
          <w:tcPr>
            <w:tcW w:w="890"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3"/>
        </w:trPr>
        <w:tc>
          <w:tcPr>
            <w:tcW w:w="873"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567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tcW w:w="890"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3"/>
        </w:trPr>
        <w:tc>
          <w:tcPr>
            <w:tcW w:w="873"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567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tcW w:w="890"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3"/>
        </w:trPr>
        <w:tc>
          <w:tcPr>
            <w:tcW w:w="873" w:type="dxa"/>
            <w:vAlign w:val="center"/>
            <w:textDirection w:val="lrTb"/>
            <w:noWrap w:val="false"/>
          </w:tcPr>
          <w:p>
            <w:pPr>
              <w:ind w:left="0" w:right="0" w:firstLine="0"/>
              <w:jc w:val="center"/>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567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tcW w:w="890"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45"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W w:w="784"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8"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3"/>
        </w:trPr>
        <w:tc>
          <w:tcPr>
            <w:gridSpan w:val="7"/>
            <w:tcW w:w="9631" w:type="dxa"/>
            <w:vAlign w:val="top"/>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考核结果：1、通过以上评分，该供应商的综合得分：</w:t>
            </w:r>
            <w:r/>
          </w:p>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2、该供应商应处于的等级：A,1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0分以上 B，100-80分 C，60分以下（月考核60以下不合格）</w:t>
            </w:r>
            <w:r/>
          </w:p>
          <w:p>
            <w:pPr>
              <w:ind w:left="0" w:right="0" w:firstLine="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分、差，8分（每日考核8分及以下不合格）</w:t>
            </w:r>
            <w:r/>
          </w:p>
        </w:tc>
      </w:tr>
      <w:tr>
        <w:trPr>
          <w:trHeight w:val="23"/>
        </w:trPr>
        <w:tc>
          <w:tcPr>
            <w:gridSpan w:val="2"/>
            <w:tcW w:w="5120"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考核部门签字：</w:t>
            </w:r>
            <w:r/>
          </w:p>
        </w:tc>
        <w:tc>
          <w:tcPr>
            <w:gridSpan w:val="5"/>
            <w:tcW w:w="4511" w:type="dxa"/>
            <w:vAlign w:val="center"/>
            <w:textDirection w:val="lrTb"/>
            <w:noWrap w:val="false"/>
          </w:tcPr>
          <w:p>
            <w:pPr>
              <w:ind w:left="0" w:right="0" w:firstLine="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供应商签字</w:t>
            </w:r>
            <w:r/>
          </w:p>
        </w:tc>
      </w:tr>
    </w:tbl>
    <w:p>
      <w:pPr>
        <w:ind w:right="0" w:firstLine="422"/>
        <w:jc w:val="left"/>
        <w:keepLines w:val="0"/>
        <w:keepNext w:val="0"/>
        <w:pageBreakBefore w:val="0"/>
        <w:spacing w:beforeAutospacing="0" w:afterAutospacing="0"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、有关说明： </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1、投标人必须承诺招标文件中提出的全部服务要求；如果以其中某些条款不响应时，应在文件中逐条列出，未列出的视同响应。</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2、中标人须为员工配置统一的工作服等。</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3、投标人报价内容：投标报价一次性报定，投标报价包括但不限于完成本项目的全部人工工资、加班费、福利、交通、通讯、配送费、食材检测费、服务人员服装、各类保险；为项目服务所需要的耗材；招标文件中列明的各类费用；企业管理费用、利润、财务费用、税金；以及合同履行期间可能会产生政策性调整，市场价格变化等各种风险费用。</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4、中标人工作人员在岗履行职责期间（包括上下班途中），发生自身的人身伤害、伤亡，均由中标人负责处理并承担经济和道义上的责任，采购单位不承担任何责任。</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5、中标人须按照本招标文件的要求对该招标项目进行服务工作。</w:t>
      </w:r>
      <w:r/>
    </w:p>
    <w:p>
      <w:pPr>
        <w:ind w:right="0" w:firstLine="422"/>
        <w:jc w:val="left"/>
        <w:keepLines w:val="0"/>
        <w:keepNext w:val="0"/>
        <w:pageBreakBefore w:val="0"/>
        <w:spacing w:beforeAutospacing="0" w:afterAutospacing="0" w:line="360" w:lineRule="auto"/>
        <w:widowControl/>
        <w:tabs>
          <w:tab w:val="left" w:pos="0" w:leader="none"/>
          <w:tab w:val="left" w:pos="960" w:leader="none"/>
        </w:tabs>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支付方式：</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每月10号前向采购人出具对账单，经采购人确认无误后出具发票进行结算。</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结算方式：</w:t>
      </w:r>
      <w:r>
        <w:rPr>
          <w:rFonts w:hint="eastAsia" w:ascii="宋体" w:hAnsi="宋体" w:eastAsia="宋体" w:cs="宋体"/>
          <w:sz w:val="21"/>
          <w:szCs w:val="21"/>
          <w:highlight w:val="none"/>
          <w:lang w:eastAsia="zh-CN"/>
        </w:rPr>
        <w:t xml:space="preserve">按太仓市娄东民生（http://122.193.93.203:8088/）公布的中心菜场当天价格乘以中标折扣率</w:t>
      </w:r>
      <w:r>
        <w:rPr>
          <w:rFonts w:hint="eastAsia" w:ascii="宋体" w:hAnsi="宋体" w:eastAsia="宋体" w:cs="宋体"/>
          <w:sz w:val="21"/>
          <w:szCs w:val="21"/>
          <w:highlight w:val="none"/>
          <w:lang w:val="en-US" w:eastAsia="zh-CN"/>
        </w:rPr>
        <w:t xml:space="preserve">的单价按实结算</w:t>
      </w:r>
      <w:r>
        <w:rPr>
          <w:rFonts w:hint="eastAsia" w:ascii="宋体" w:hAnsi="宋体" w:eastAsia="宋体" w:cs="宋体"/>
          <w:sz w:val="21"/>
          <w:szCs w:val="21"/>
          <w:highlight w:val="none"/>
          <w:lang w:eastAsia="zh-CN"/>
        </w:rPr>
        <w:t xml:space="preserve">；未公布当天价格的按上一日价格乘以中标折扣率的</w:t>
      </w:r>
      <w:r>
        <w:rPr>
          <w:rFonts w:hint="eastAsia" w:ascii="宋体" w:hAnsi="宋体" w:eastAsia="宋体" w:cs="宋体"/>
          <w:sz w:val="21"/>
          <w:szCs w:val="21"/>
          <w:highlight w:val="none"/>
          <w:lang w:val="en-US" w:eastAsia="zh-CN"/>
        </w:rPr>
        <w:t xml:space="preserve">单价按实结算，结算费用按月度考核分数扣除相应罚款，具体扣款详见采购需求。</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注：若太仓市娄东民生公布的中心菜场当天价格中</w:t>
      </w:r>
      <w:r>
        <w:rPr>
          <w:rFonts w:hint="eastAsia" w:ascii="宋体" w:hAnsi="宋体" w:eastAsia="宋体" w:cs="宋体"/>
          <w:sz w:val="21"/>
          <w:szCs w:val="21"/>
          <w:highlight w:val="none"/>
        </w:rPr>
        <w:t xml:space="preserve">未</w:t>
      </w:r>
      <w:r>
        <w:rPr>
          <w:rFonts w:hint="eastAsia" w:ascii="宋体" w:hAnsi="宋体" w:eastAsia="宋体" w:cs="宋体"/>
          <w:sz w:val="21"/>
          <w:szCs w:val="21"/>
          <w:highlight w:val="none"/>
          <w:lang w:eastAsia="zh-CN"/>
        </w:rPr>
        <w:t xml:space="preserve">包含供货产品的价格，按照中心菜场的市场平均价结算。</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400" w:lineRule="exact"/>
        <w:rPr>
          <w:rStyle w:val="963"/>
          <w:rFonts w:hint="eastAsia" w:ascii="宋体" w:hAnsi="宋体" w:eastAsia="宋体" w:cs="宋体"/>
          <w:color w:val="auto"/>
          <w:sz w:val="32"/>
          <w:szCs w:val="32"/>
          <w:highlight w:val="none"/>
        </w:rPr>
      </w:pPr>
      <w:r/>
      <w:bookmarkStart w:id="5" w:name="_Toc25002"/>
      <w:r/>
      <w:r/>
    </w:p>
    <w:p>
      <w:pPr>
        <w:jc w:val="center"/>
        <w:spacing w:line="400" w:lineRule="exact"/>
        <w:rPr>
          <w:rStyle w:val="963"/>
          <w:rFonts w:ascii="宋体" w:hAnsi="宋体" w:eastAsia="宋体" w:cs="宋体"/>
          <w:color w:val="auto"/>
          <w:sz w:val="32"/>
          <w:szCs w:val="32"/>
          <w:highlight w:val="none"/>
        </w:rPr>
      </w:pPr>
      <w:r>
        <w:rPr>
          <w:rStyle w:val="963"/>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highlight w:val="none"/>
        </w:rPr>
      </w:pPr>
      <w:r>
        <w:rPr>
          <w:rFonts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22"/>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p>
    <w:p>
      <w:pPr>
        <w:pStyle w:val="980"/>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930"/>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hint="eastAsia" w:eastAsia="宋体" w:cs="宋体"/>
                <w:color w:val="auto"/>
                <w:sz w:val="21"/>
                <w:szCs w:val="21"/>
                <w:highlight w:val="none"/>
                <w:lang w:eastAsia="zh-CN"/>
              </w:rPr>
            </w:pPr>
            <w:r>
              <w:rPr>
                <w:rFonts w:hint="eastAsia" w:cs="宋体"/>
                <w:b/>
                <w:bCs/>
                <w:color w:val="auto"/>
                <w:sz w:val="21"/>
                <w:szCs w:val="21"/>
                <w:highlight w:val="none"/>
                <w:lang w:val="en-US" w:eastAsia="zh-CN"/>
              </w:rPr>
              <w:t xml:space="preserve">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ind w:firstLine="1260"/>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备注</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bl>
    <w:p>
      <w:pPr>
        <w:pStyle w:val="931"/>
        <w:ind w:firstLine="384"/>
        <w:rPr>
          <w:rFonts w:hint="eastAsia" w:ascii="宋体" w:hAnsi="宋体" w:eastAsia="宋体" w:cs="宋体"/>
          <w:color w:val="auto"/>
          <w:sz w:val="21"/>
          <w:szCs w:val="21"/>
          <w:highlight w:val="none"/>
          <w:lang w:val="zh-CN"/>
        </w:rPr>
      </w:pPr>
      <w:r>
        <w:rPr>
          <w:rFonts w:hint="eastAsia" w:ascii="宋体" w:hAnsi="宋体" w:eastAsia="宋体" w:cs="宋体"/>
          <w:sz w:val="21"/>
          <w:szCs w:val="21"/>
          <w:highlight w:val="none"/>
        </w:rPr>
        <w:t xml:space="preserve">注：本项目结算单价=最高单价限价*折扣率</w:t>
      </w:r>
      <w:r>
        <w:rPr>
          <w:rFonts w:hint="eastAsia" w:hAnsi="宋体" w:cs="宋体"/>
          <w:b/>
          <w:bCs/>
          <w:sz w:val="21"/>
          <w:szCs w:val="21"/>
          <w:highlight w:val="none"/>
          <w:lang w:eastAsia="zh-CN"/>
        </w:rPr>
        <w:t xml:space="preserve">（</w:t>
      </w:r>
      <w:r>
        <w:rPr>
          <w:rFonts w:hint="eastAsia" w:hAnsi="宋体" w:cs="宋体"/>
          <w:b/>
          <w:bCs/>
          <w:sz w:val="21"/>
          <w:szCs w:val="21"/>
          <w:highlight w:val="none"/>
          <w:lang w:val="en-US" w:eastAsia="zh-CN"/>
        </w:rPr>
        <w:t xml:space="preserve">本项目采购文件内“折扣率”计算方法为“1-优惠率”</w:t>
      </w:r>
      <w:r>
        <w:rPr>
          <w:rFonts w:hint="eastAsia" w:hAnsi="宋体" w:cs="宋体"/>
          <w:b/>
          <w:bCs/>
          <w:sz w:val="21"/>
          <w:szCs w:val="21"/>
          <w:highlight w:val="none"/>
          <w:lang w:eastAsia="zh-CN"/>
        </w:rPr>
        <w:t xml:space="preserve">）</w:t>
      </w:r>
      <w:r>
        <w:rPr>
          <w:rFonts w:hint="eastAsia" w:ascii="宋体" w:hAnsi="宋体" w:eastAsia="宋体" w:cs="宋体"/>
          <w:sz w:val="21"/>
          <w:szCs w:val="21"/>
          <w:highlight w:val="none"/>
        </w:rPr>
        <w:t xml:space="preserve">，按实结算。</w:t>
      </w:r>
      <w:r/>
    </w:p>
    <w:p>
      <w:pPr>
        <w:pStyle w:val="931"/>
        <w:rPr>
          <w:color w:val="auto"/>
          <w:szCs w:val="21"/>
          <w:highlight w:val="none"/>
          <w:lang w:val="zh-CN"/>
        </w:rPr>
      </w:pPr>
      <w:r>
        <w:rPr>
          <w:color w:val="auto"/>
          <w:szCs w:val="21"/>
          <w:highlight w:val="none"/>
          <w:lang w:val="zh-CN"/>
        </w:rPr>
      </w:r>
      <w:r/>
    </w:p>
    <w:p>
      <w:pPr>
        <w:rPr>
          <w:color w:val="auto"/>
          <w:szCs w:val="21"/>
          <w:highlight w:val="none"/>
          <w:lang w:val="zh-CN"/>
        </w:rPr>
      </w:pPr>
      <w:r>
        <w:rPr>
          <w:color w:val="auto"/>
          <w:szCs w:val="21"/>
          <w:highlight w:val="none"/>
          <w:lang w:val="zh-CN"/>
        </w:rPr>
      </w:r>
      <w:r/>
    </w:p>
    <w:p>
      <w:pPr>
        <w:rPr>
          <w:color w:val="auto"/>
          <w:szCs w:val="21"/>
          <w:highlight w:val="none"/>
          <w:lang w:val="zh-CN"/>
        </w:rPr>
      </w:pPr>
      <w:r>
        <w:rPr>
          <w:color w:val="auto"/>
          <w:szCs w:val="21"/>
          <w:highlight w:val="none"/>
          <w:lang w:val="zh-CN"/>
        </w:rPr>
      </w:r>
      <w:r/>
    </w:p>
    <w:p>
      <w:pPr>
        <w:ind w:firstLine="392"/>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992"/>
        <w:ind w:left="0"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992"/>
        <w:ind w:left="0"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36"/>
        <w:ind w:firstLine="251"/>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936"/>
        <w:ind w:firstLine="251"/>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both"/>
        <w:spacing w:line="360" w:lineRule="auto"/>
        <w:widowControl w:val="off"/>
        <w:rPr>
          <w:rFonts w:ascii="宋体" w:hAnsi="宋体" w:cs="宋体"/>
          <w:color w:val="auto"/>
          <w:sz w:val="21"/>
          <w:szCs w:val="21"/>
          <w:highlight w:val="none"/>
        </w:rPr>
      </w:pPr>
      <w:r>
        <w:rPr>
          <w:rFonts w:hAnsi="宋体" w:cs="宋体"/>
          <w:b/>
          <w:color w:val="auto"/>
          <w:sz w:val="21"/>
          <w:szCs w:val="21"/>
          <w:highlight w:val="none"/>
        </w:rPr>
        <w:br w:type="page" w:clear="all"/>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22"/>
        <w:numPr>
          <w:ilvl w:val="0"/>
          <w:numId w:val="0"/>
        </w:numPr>
        <w:ind w:left="403"/>
        <w:jc w:val="center"/>
        <w:spacing w:before="156" w:after="0" w:line="420" w:lineRule="exact"/>
        <w:rPr>
          <w:color w:val="auto"/>
          <w:sz w:val="44"/>
          <w:szCs w:val="44"/>
          <w:highlight w:val="none"/>
          <w:lang w:val="zh-CN"/>
        </w:rPr>
      </w:pPr>
      <w:r>
        <w:rPr>
          <w:color w:val="auto"/>
          <w:sz w:val="44"/>
          <w:szCs w:val="44"/>
          <w:highlight w:val="none"/>
          <w:lang w:val="zh-CN"/>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rFonts w:hint="eastAsia"/>
          <w:b/>
          <w:color w:val="auto"/>
          <w:sz w:val="44"/>
          <w:szCs w:val="44"/>
          <w:highlight w:val="none"/>
        </w:rPr>
        <w:t xml:space="preserve">投标书二</w:t>
      </w:r>
      <w:r/>
    </w:p>
    <w:p>
      <w:pPr>
        <w:pStyle w:val="935"/>
        <w:rPr>
          <w:color w:val="auto"/>
          <w:highlight w:val="none"/>
          <w:lang w:val="zh-CN"/>
        </w:rPr>
      </w:pPr>
      <w:r>
        <w:rPr>
          <w:color w:val="auto"/>
          <w:highlight w:val="none"/>
          <w:lang w:val="zh-CN"/>
        </w:rPr>
      </w:r>
      <w:r/>
    </w:p>
    <w:p>
      <w:pPr>
        <w:pStyle w:val="932"/>
        <w:numPr>
          <w:ilvl w:val="0"/>
          <w:numId w:val="4"/>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32"/>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32"/>
        <w:ind w:firstLine="0"/>
        <w:rPr>
          <w:rFonts w:ascii="宋体" w:hAnsi="宋体" w:eastAsia="宋体" w:cs="宋体"/>
          <w:b/>
          <w:color w:val="auto"/>
          <w:highlight w:val="none"/>
        </w:rPr>
      </w:pPr>
      <w:r>
        <w:rPr>
          <w:rFonts w:ascii="宋体" w:hAnsi="宋体" w:eastAsia="宋体" w:cs="宋体"/>
          <w:b/>
          <w:color w:val="auto"/>
          <w:highlight w:val="none"/>
        </w:rPr>
      </w:r>
      <w:r/>
    </w:p>
    <w:p>
      <w:pPr>
        <w:pStyle w:val="932"/>
        <w:ind w:firstLine="0"/>
        <w:rPr>
          <w:rFonts w:ascii="宋体" w:hAnsi="宋体" w:eastAsia="宋体" w:cs="宋体"/>
          <w:color w:val="auto"/>
          <w:highlight w:val="none"/>
        </w:rPr>
      </w:pPr>
      <w:r>
        <w:rPr>
          <w:rFonts w:ascii="宋体" w:hAnsi="宋体" w:eastAsia="宋体" w:cs="宋体"/>
          <w:color w:val="auto"/>
          <w:highlight w:val="none"/>
        </w:rPr>
      </w:r>
      <w:r/>
    </w:p>
    <w:p>
      <w:pPr>
        <w:pStyle w:val="932"/>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3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3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8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932"/>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投标人营业执照或独立法人证书副本或三证合一营业执照扫描件；</w:t>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980"/>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980"/>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Cs w:val="21"/>
          <w:highlight w:val="none"/>
        </w:rPr>
      </w:pPr>
      <w:r>
        <w:rPr>
          <w:b/>
          <w:bCs/>
          <w:color w:val="auto"/>
          <w:szCs w:val="21"/>
          <w:highlight w:val="none"/>
        </w:rPr>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投标人基本情况表</w:t>
      </w:r>
      <w:r/>
    </w:p>
    <w:p>
      <w:pPr>
        <w:pStyle w:val="932"/>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32"/>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93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549"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29896"/>
      <w:r/>
      <w:bookmarkStart w:id="7" w:name="_Toc5717"/>
      <w:r/>
      <w:bookmarkStart w:id="8" w:name="_Toc9742"/>
      <w:r/>
      <w:bookmarkStart w:id="9" w:name="_Toc24626"/>
      <w:r/>
      <w:bookmarkStart w:id="10" w:name="_Toc17310"/>
      <w:r/>
      <w:bookmarkStart w:id="11" w:name="_Toc14425"/>
      <w:r/>
      <w:bookmarkStart w:id="12" w:name="_Toc20811"/>
      <w:r/>
      <w:bookmarkStart w:id="13" w:name="_Toc18702"/>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4786"/>
      <w:r/>
      <w:bookmarkStart w:id="15" w:name="_Toc30046"/>
      <w:r/>
      <w:bookmarkStart w:id="16" w:name="_Toc6794"/>
      <w:r/>
      <w:bookmarkStart w:id="17" w:name="_Toc11337"/>
      <w:r/>
      <w:bookmarkStart w:id="18" w:name="_Toc11973"/>
      <w:r/>
      <w:bookmarkStart w:id="19" w:name="_Toc25556"/>
      <w:r/>
      <w:bookmarkStart w:id="20" w:name="_Toc25055"/>
      <w:r/>
      <w:bookmarkStart w:id="21" w:name="_Toc18588"/>
      <w:r/>
      <w:bookmarkStart w:id="22" w:name="_Toc7351"/>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932"/>
        <w:ind w:firstLine="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3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92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92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中小企业声明函</w:t>
      </w:r>
      <w:r/>
    </w:p>
    <w:p>
      <w:pP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988"/>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35"/>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16"/>
        <w:numPr>
          <w:ilvl w:val="0"/>
          <w:numId w:val="5"/>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16"/>
        <w:numPr>
          <w:ilvl w:val="0"/>
          <w:numId w:val="5"/>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35"/>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35"/>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35"/>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08"/>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投标人：（盖章）</w:t>
      </w:r>
      <w:r/>
    </w:p>
    <w:p>
      <w:pPr>
        <w:pStyle w:val="1008"/>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08"/>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53"/>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53"/>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52"/>
        <w:spacing w:before="0" w:beforeAutospacing="0" w:after="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32"/>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偏离表</w:t>
      </w:r>
      <w:r/>
    </w:p>
    <w:p>
      <w:pPr>
        <w:pStyle w:val="932"/>
        <w:rPr>
          <w:rFonts w:ascii="宋体" w:hAnsi="宋体" w:eastAsia="宋体"/>
          <w:b/>
          <w:bCs/>
          <w:color w:val="auto"/>
          <w:szCs w:val="24"/>
          <w:highlight w:val="none"/>
        </w:rPr>
      </w:pPr>
      <w:r>
        <w:rPr>
          <w:rFonts w:hint="eastAsia"/>
          <w:b/>
          <w:bCs/>
          <w:color w:val="auto"/>
          <w:szCs w:val="21"/>
          <w:highlight w:val="none"/>
        </w:rPr>
        <w:t xml:space="preserve">                  </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val="false"/>
          </w:tcPr>
          <w:p>
            <w:pPr>
              <w:pStyle w:val="932"/>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3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32"/>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93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683"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683"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683"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683"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683"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683"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683"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930"/>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32"/>
        <w:gridCol w:w="1547"/>
        <w:gridCol w:w="3000"/>
        <w:gridCol w:w="2819"/>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格式13：相关证书一览表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20"/>
        <w:gridCol w:w="2575"/>
        <w:gridCol w:w="1479"/>
        <w:gridCol w:w="1337"/>
        <w:gridCol w:w="1823"/>
      </w:tblGrid>
      <w:tr>
        <w:trPr>
          <w:cantSplit/>
          <w:jc w:val="center"/>
          <w:trHeight w:val="740"/>
        </w:trPr>
        <w:tc>
          <w:tcPr>
            <w:tcW w:w="1320"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575"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ascii="宋体" w:hAnsi="宋体" w:cs="宋体"/>
          <w:color w:val="auto"/>
          <w:highlight w:val="none"/>
        </w:rPr>
      </w:pPr>
      <w:r>
        <w:rPr>
          <w:rFonts w:ascii="宋体" w:hAnsi="宋体" w:cs="宋体"/>
          <w:color w:val="auto"/>
          <w:highlight w:val="none"/>
        </w:rPr>
      </w:r>
      <w:r/>
    </w:p>
    <w:p>
      <w:pPr>
        <w:pStyle w:val="932"/>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格式14：</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履约期限</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32"/>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格式15：投入本项目技术（服务）人员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935"/>
        <w:rPr>
          <w:color w:val="auto"/>
          <w:highlight w:val="none"/>
        </w:rPr>
      </w:pPr>
      <w:r>
        <w:rPr>
          <w:color w:val="auto"/>
          <w:highlight w:val="none"/>
        </w:rPr>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相关证书</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08"/>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1008"/>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格式16：服务方案及其他招标文件要求自行编写格式</w:t>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jc w:val="left"/>
        <w:spacing w:line="400" w:lineRule="exact"/>
        <w:rPr>
          <w:rStyle w:val="963"/>
          <w:rFonts w:ascii="宋体" w:hAnsi="宋体" w:eastAsia="宋体" w:cs="宋体"/>
          <w:color w:val="auto"/>
          <w:sz w:val="32"/>
          <w:szCs w:val="32"/>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jc w:val="center"/>
        <w:spacing w:line="360" w:lineRule="auto"/>
        <w:rPr>
          <w:rStyle w:val="963"/>
          <w:rFonts w:ascii="宋体" w:hAnsi="宋体" w:eastAsia="宋体" w:cs="宋体"/>
          <w:color w:val="auto"/>
          <w:sz w:val="32"/>
          <w:szCs w:val="32"/>
          <w:highlight w:val="none"/>
        </w:rPr>
      </w:pPr>
      <w:r>
        <w:rPr>
          <w:highlight w:val="none"/>
        </w:rPr>
      </w:r>
      <w:r>
        <w:rPr>
          <w:highlight w:val="none"/>
        </w:rPr>
      </w:r>
    </w:p>
    <w:p>
      <w:pPr>
        <w:jc w:val="center"/>
        <w:spacing w:line="360" w:lineRule="auto"/>
        <w:rPr>
          <w:highlight w:val="none"/>
        </w:rPr>
      </w:pPr>
      <w:r>
        <w:rPr>
          <w:highlight w:val="none"/>
        </w:rPr>
      </w:r>
      <w:r>
        <w:rPr>
          <w:highlight w:val="none"/>
        </w:rPr>
      </w:r>
    </w:p>
    <w:p>
      <w:pPr>
        <w:jc w:val="center"/>
        <w:spacing w:line="360" w:lineRule="auto"/>
        <w:rPr>
          <w:highlight w:val="none"/>
        </w:rPr>
      </w:pPr>
      <w:r>
        <w:rPr>
          <w:highlight w:val="none"/>
        </w:rPr>
      </w:r>
      <w:r>
        <w:rPr>
          <w:highlight w:val="none"/>
        </w:rPr>
      </w:r>
    </w:p>
    <w:p>
      <w:pPr>
        <w:jc w:val="center"/>
        <w:spacing w:line="360" w:lineRule="auto"/>
        <w:rPr>
          <w:highlight w:val="none"/>
        </w:rPr>
      </w:pPr>
      <w:r>
        <w:rPr>
          <w:highlight w:val="none"/>
        </w:rPr>
      </w:r>
      <w:r>
        <w:rPr>
          <w:highlight w:val="none"/>
        </w:rPr>
      </w:r>
    </w:p>
    <w:p>
      <w:pPr>
        <w:jc w:val="center"/>
        <w:spacing w:line="360" w:lineRule="auto"/>
        <w:rPr>
          <w:highlight w:val="none"/>
        </w:rPr>
      </w:pPr>
      <w:r>
        <w:rPr>
          <w:highlight w:val="none"/>
        </w:rPr>
      </w:r>
      <w:r>
        <w:rPr>
          <w:highlight w:val="none"/>
        </w:rPr>
      </w:r>
    </w:p>
    <w:p>
      <w:pPr>
        <w:jc w:val="center"/>
        <w:spacing w:line="360" w:lineRule="auto"/>
        <w:rPr>
          <w:highlight w:val="none"/>
        </w:rPr>
      </w:pPr>
      <w:r>
        <w:rPr>
          <w:rStyle w:val="963"/>
          <w:rFonts w:hint="eastAsia" w:ascii="宋体" w:hAnsi="宋体" w:eastAsia="宋体" w:cs="宋体"/>
          <w:color w:val="auto"/>
          <w:sz w:val="32"/>
          <w:szCs w:val="32"/>
          <w:highlight w:val="none"/>
        </w:rPr>
        <w:t xml:space="preserve">第五章 评标办法及评分标准</w:t>
      </w:r>
      <w:bookmarkEnd w:id="24"/>
      <w:r/>
      <w:r/>
    </w:p>
    <w:p>
      <w:pPr>
        <w:pStyle w:val="988"/>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988"/>
        <w:numPr>
          <w:ilvl w:val="0"/>
          <w:numId w:val="6"/>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numPr>
          <w:ilvl w:val="1"/>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协议供货目录</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采购清单中的设备如属协议供货中规定的目录内产品将参照苏州市政府采购共享江苏省省级最新一期协议目录产品，同时还须满足协议供货承诺书中所作的承诺。投标人所响应产品型号</w:t>
      </w:r>
      <w:r>
        <w:rPr>
          <w:rFonts w:hint="eastAsia" w:ascii="宋体" w:hAnsi="宋体" w:cs="宋体"/>
          <w:b/>
          <w:bCs/>
          <w:color w:val="auto"/>
          <w:sz w:val="21"/>
          <w:szCs w:val="21"/>
          <w:highlight w:val="none"/>
          <w:lang w:bidi="ar"/>
        </w:rPr>
        <w:t xml:space="preserve">必须</w:t>
      </w:r>
      <w:r>
        <w:rPr>
          <w:rFonts w:hint="eastAsia" w:ascii="宋体" w:hAnsi="宋体" w:cs="宋体"/>
          <w:color w:val="auto"/>
          <w:sz w:val="21"/>
          <w:szCs w:val="21"/>
          <w:highlight w:val="none"/>
          <w:lang w:bidi="ar"/>
        </w:rPr>
        <w:t xml:space="preserve">为协议供货目录中有的品牌型号，</w:t>
      </w:r>
      <w:r>
        <w:rPr>
          <w:rFonts w:hint="eastAsia" w:ascii="宋体" w:hAnsi="宋体" w:cs="宋体"/>
          <w:b/>
          <w:bCs/>
          <w:color w:val="auto"/>
          <w:sz w:val="21"/>
          <w:szCs w:val="21"/>
          <w:highlight w:val="none"/>
          <w:lang w:bidi="ar"/>
        </w:rPr>
        <w:t xml:space="preserve">且单台设备报价不得高于最高限价</w:t>
      </w:r>
      <w:r>
        <w:rPr>
          <w:rFonts w:hint="eastAsia" w:ascii="宋体" w:hAnsi="宋体" w:cs="宋体"/>
          <w:color w:val="auto"/>
          <w:sz w:val="21"/>
          <w:szCs w:val="21"/>
          <w:highlight w:val="none"/>
          <w:lang w:bidi="ar"/>
        </w:rPr>
        <w:t xml:space="preserve">，</w:t>
      </w:r>
      <w:r>
        <w:rPr>
          <w:rFonts w:hint="eastAsia" w:ascii="宋体" w:hAnsi="宋体" w:cs="宋体"/>
          <w:b/>
          <w:bCs/>
          <w:color w:val="auto"/>
          <w:sz w:val="21"/>
          <w:szCs w:val="21"/>
          <w:highlight w:val="none"/>
          <w:lang w:bidi="ar"/>
        </w:rPr>
        <w:t xml:space="preserve">否则视为未实质性响应</w:t>
      </w:r>
      <w:r>
        <w:rPr>
          <w:rFonts w:hint="eastAsia" w:ascii="宋体" w:hAnsi="宋体" w:cs="宋体"/>
          <w:color w:val="auto"/>
          <w:sz w:val="21"/>
          <w:szCs w:val="21"/>
          <w:highlight w:val="none"/>
          <w:lang w:bidi="ar"/>
        </w:rPr>
        <w:t xml:space="preserve">。投标人可提供相关产品信息的截图资料以便评审，清单截图资料以递交投标文件截止时已正式公布的最近一期信息为准。</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在最新一期协议供货目录发布时已经开展但尚未进入评审环节的政府采购活动，可同时执行最新一期和其上期协议供货目录。</w:t>
      </w:r>
      <w:r/>
    </w:p>
    <w:p>
      <w:pPr>
        <w:numPr>
          <w:ilvl w:val="1"/>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6"/>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p>
    <w:p>
      <w:pPr>
        <w:pStyle w:val="952"/>
        <w:ind w:firstLine="422"/>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（1）本项目属于专门面向中小微企业</w:t>
      </w:r>
      <w:r>
        <w:rPr>
          <w:rFonts w:hint="eastAsia" w:ascii="宋体" w:hAnsi="宋体" w:eastAsia="宋体" w:cs="宋体"/>
          <w:b/>
          <w:bCs/>
          <w:color w:val="auto"/>
          <w:sz w:val="21"/>
          <w:szCs w:val="21"/>
          <w:highlight w:val="none"/>
          <w:lang w:val="en-US" w:eastAsia="zh-CN"/>
        </w:rPr>
        <w:t xml:space="preserve">采购的项目</w:t>
      </w:r>
      <w:r>
        <w:rPr>
          <w:rFonts w:hint="eastAsia" w:ascii="宋体" w:hAnsi="宋体" w:eastAsia="宋体" w:cs="宋体"/>
          <w:b/>
          <w:bCs/>
          <w:color w:val="auto"/>
          <w:sz w:val="21"/>
          <w:szCs w:val="21"/>
          <w:highlight w:val="none"/>
        </w:rPr>
        <w:t xml:space="preserve">，投标人应为中小微企业，必须提供</w:t>
      </w:r>
      <w:r>
        <w:rPr>
          <w:rFonts w:hint="eastAsia" w:ascii="宋体" w:hAnsi="宋体" w:eastAsia="宋体" w:cs="宋体"/>
          <w:b/>
          <w:bCs/>
          <w:color w:val="auto"/>
          <w:sz w:val="21"/>
          <w:szCs w:val="21"/>
          <w:highlight w:val="none"/>
          <w:lang w:val="en-US" w:eastAsia="zh-CN"/>
        </w:rPr>
        <w:t xml:space="preserve">符合要求的</w:t>
      </w:r>
      <w:r>
        <w:rPr>
          <w:rFonts w:hint="eastAsia" w:ascii="宋体" w:hAnsi="宋体" w:eastAsia="宋体" w:cs="宋体"/>
          <w:b/>
          <w:bCs/>
          <w:color w:val="auto"/>
          <w:sz w:val="21"/>
          <w:szCs w:val="21"/>
          <w:highlight w:val="none"/>
        </w:rPr>
        <w:t xml:space="preserve">《中小企业声明函》，小微企业不享受价格扣除优惠。提供《残疾人福利性单位声明函》或出具由省级以上监狱管理局、戒毒管理局（含新疆生产建设兵团）出具的属于监狱企业的证明文件的视同小微企业。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）中小企业划分标准详见“工信部联企业〔2011〕300号通知”。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）各投标人若为中、小、微型企业，则必须提供《中小企业声明函》。（详见附件格式中小企业声明函）。未在投标文件中提供《中小企业声明函》的，不享受促进中小微企业发展的相关政府采购政策。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）符合中小企业划分标准的个体工商户，在政府采购活动中视同中小企业。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52"/>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4.4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4.5监狱企业发展政策：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若投标人提供的声明函或认定证明为虚假声明则视同提供虚假材料，按“政府采购法”相关规定处理并报请政府监管部门给予行政处罚。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spacing w:line="360" w:lineRule="auto"/>
        <w:rPr>
          <w:rFonts w:cs="宋体"/>
          <w:b/>
          <w:bCs/>
          <w:color w:val="auto"/>
          <w:sz w:val="21"/>
          <w:szCs w:val="21"/>
          <w:highlight w:val="none"/>
        </w:rPr>
      </w:pPr>
      <w:r>
        <w:rPr>
          <w:rFonts w:hint="eastAsia" w:ascii="宋体" w:hAnsi="宋体" w:cs="宋体"/>
          <w:b/>
          <w:bCs/>
          <w:color w:val="auto"/>
          <w:sz w:val="21"/>
          <w:szCs w:val="21"/>
          <w:highlight w:val="none"/>
        </w:rPr>
        <w:t xml:space="preserve">（</w:t>
      </w:r>
      <w:r>
        <w:rPr>
          <w:rFonts w:hint="eastAsia" w:cs="宋体"/>
          <w:b/>
          <w:bCs/>
          <w:color w:val="auto"/>
          <w:sz w:val="21"/>
          <w:szCs w:val="21"/>
          <w:highlight w:val="none"/>
        </w:rPr>
        <w:t xml:space="preserve">一</w:t>
      </w:r>
      <w:r>
        <w:rPr>
          <w:rFonts w:hint="eastAsia" w:ascii="宋体" w:hAnsi="宋体" w:cs="宋体"/>
          <w:b/>
          <w:bCs/>
          <w:color w:val="auto"/>
          <w:sz w:val="21"/>
          <w:szCs w:val="21"/>
          <w:highlight w:val="none"/>
        </w:rPr>
        <w:t xml:space="preserve">）价格部分</w:t>
      </w:r>
      <w:r>
        <w:rPr>
          <w:rFonts w:hint="eastAsia" w:cs="宋体"/>
          <w:b/>
          <w:bCs/>
          <w:color w:val="auto"/>
          <w:sz w:val="21"/>
          <w:szCs w:val="21"/>
          <w:highlight w:val="none"/>
        </w:rPr>
        <w:t xml:space="preserve">（满分10分）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1、本项目属于专门面向中小企业采购的想项目，小微企业参加本项目的，</w:t>
      </w:r>
      <w:r>
        <w:rPr>
          <w:rFonts w:hint="eastAsia" w:ascii="宋体" w:hAnsi="宋体" w:cs="宋体"/>
          <w:b/>
          <w:bCs/>
          <w:color w:val="auto"/>
          <w:sz w:val="21"/>
          <w:szCs w:val="21"/>
          <w:highlight w:val="none"/>
          <w:lang w:val="en-US" w:eastAsia="zh-CN"/>
        </w:rPr>
        <w:t xml:space="preserve">不享受价格扣除优惠</w:t>
      </w:r>
      <w:r>
        <w:rPr>
          <w:rFonts w:hint="eastAsia" w:ascii="宋体" w:hAnsi="宋体" w:cs="宋体"/>
          <w:b/>
          <w:bCs/>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2、投标报价在招标文件规定的范围内为有效报价。超出此范围的报价为无效报价。无效投标报价的投标文件不进行评审，也不得标。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3、价格得分计算方法：根据各投标人通过符合性审查的有效投标报价中的最低价作为评标基准价，其价格分为满分。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其他投标人的价格分统一按照下列公式计算：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投标报价得分=（评审基准价/投标报价）×价格权值×100（本次投标报价权值为10%）（保留小数点后二位）。</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（二）详细评审</w:t>
      </w:r>
      <w:r/>
    </w:p>
    <w:tbl>
      <w:tblPr>
        <w:tblStyle w:val="956"/>
        <w:tblW w:w="942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9"/>
        <w:gridCol w:w="823"/>
        <w:gridCol w:w="6571"/>
      </w:tblGrid>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评审因素</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分值</w:t>
            </w:r>
            <w:r/>
          </w:p>
        </w:tc>
        <w:tc>
          <w:tcPr>
            <w:tcW w:w="657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评分标准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食材配送业绩</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15分</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提供20</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以合同签订时间为准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至今食材配送的类似业绩，每提供一份得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分。（提供合同扫描件</w:t>
            </w:r>
            <w:r>
              <w:rPr>
                <w:rFonts w:hint="eastAsia" w:ascii="宋体" w:hAnsi="宋体" w:eastAsia="宋体" w:cs="宋体"/>
                <w:sz w:val="21"/>
                <w:szCs w:val="21"/>
                <w:highlight w:val="none"/>
                <w:lang w:val="en-US" w:eastAsia="zh-CN"/>
              </w:rPr>
              <w:t xml:space="preserve">以及对应服务期间的发票扫描件</w:t>
            </w:r>
            <w:r>
              <w:rPr>
                <w:rFonts w:hint="eastAsia" w:ascii="宋体" w:hAnsi="宋体" w:eastAsia="宋体" w:cs="宋体"/>
                <w:sz w:val="21"/>
                <w:szCs w:val="21"/>
                <w:highlight w:val="none"/>
              </w:rPr>
              <w:t xml:space="preserve">加盖公章，不提供不得分。）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体系认证</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8分</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投标单位具有质量管理体系认证，食品安全管理体系认证，环境管理体系认证，职业健康安全管理体系认证，有一个得2分，最高得8分。（提供在有效期的认证证书扫描件，及提供该证书在中国国家认证认可监督管理委员会网站查询的页面截图，未提供或提供不完整不得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食品安全责任险</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5分</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投标人购买《食品经营安全责任险》保额150万及以上的得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分，保额100万及以上得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分，保额50万及以上得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承诺中标后购买等同具有，需提供承诺书，</w:t>
            </w:r>
            <w:r>
              <w:rPr>
                <w:rFonts w:hint="eastAsia" w:ascii="宋体" w:hAnsi="宋体" w:eastAsia="宋体" w:cs="宋体"/>
                <w:sz w:val="21"/>
                <w:szCs w:val="21"/>
                <w:highlight w:val="none"/>
              </w:rPr>
              <w:t xml:space="preserve">其它或未购买的不得分。（需提供保险单扫描件加盖公章，不提供不得分。）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人员配备</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2分</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配备服务人员中具有专业检测人员的，提供检测员合格证扫描件及投标人为其缴纳的社保证明（2024年3月-5月），未提供或提供不全不得分。</w:t>
            </w:r>
            <w:r/>
          </w:p>
        </w:tc>
      </w:tr>
      <w:tr>
        <w:trPr/>
        <w:tc>
          <w:tcPr>
            <w:tcW w:w="813"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219"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食材保障</w:t>
            </w:r>
            <w:r/>
          </w:p>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23"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6分</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为确保食材新鲜安全，投标人具备自有或租赁低温保鲜冷库的得3分。（自建的需提供自建相关证明材料扫描件加盖公章及低温保鲜库相关图片；租赁的需提供租赁合同扫描件加盖公章及低温保鲜冷库相关图片；提供不全或未提供不得分。）</w:t>
            </w:r>
            <w:r/>
          </w:p>
        </w:tc>
      </w:tr>
      <w:tr>
        <w:trPr/>
        <w:tc>
          <w:tcPr>
            <w:tcW w:w="813"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219"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23"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为确保食品储存有保障，投标人具备自有或租赁冷库的得3分。（自建的需提供自建相关证明材料扫描件加盖公章及冷库相关图片；租赁的需提供租赁合同扫描件加盖公章及冷库相关图片，提供不全或未提供不得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检测设备</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2分</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投标人配备菜品农残检测设备的得2分。（需提供购置发票或检测设备租赁合同扫描件加盖公章，并提供相应设备图片，未提供或提供不全不得分。）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配送</w:t>
            </w:r>
            <w:r>
              <w:rPr>
                <w:rFonts w:hint="eastAsia" w:ascii="宋体" w:hAnsi="宋体" w:eastAsia="宋体" w:cs="宋体"/>
                <w:sz w:val="21"/>
                <w:szCs w:val="21"/>
                <w:highlight w:val="none"/>
              </w:rPr>
              <w:t xml:space="preserve">服务方案</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6分</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根据投标人提供的配送服务方案进行评分，内容至少包括：①食材配送业务操作流程规范、②配送产品质量管控措施③食材配送标准等。</w:t>
            </w:r>
            <w:r/>
          </w:p>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方案内容针对本项目且符合本项目实际需求的，得6分，每缺少一项内容，或内容明显错误，或内容非专门针对本项目，或内容不能满足本项目实际需求的，每一项扣2分。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管理制度</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10</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根据投标人提供的管理制度进行评分</w:t>
            </w:r>
            <w:r>
              <w:rPr>
                <w:rFonts w:hint="eastAsia" w:ascii="宋体" w:hAnsi="宋体" w:eastAsia="宋体" w:cs="宋体"/>
                <w:sz w:val="21"/>
                <w:szCs w:val="21"/>
                <w:highlight w:val="none"/>
                <w:lang w:eastAsia="zh-CN"/>
              </w:rPr>
              <w:t xml:space="preserve">，制度至少包括：①</w:t>
            </w:r>
            <w:r>
              <w:rPr>
                <w:rFonts w:hint="eastAsia" w:ascii="宋体" w:hAnsi="宋体" w:eastAsia="宋体" w:cs="宋体"/>
                <w:sz w:val="21"/>
                <w:szCs w:val="21"/>
                <w:highlight w:val="none"/>
                <w:lang w:val="en-US" w:eastAsia="zh-CN"/>
              </w:rPr>
              <w:t xml:space="preserve">食材原材料采购索证索票制度</w:t>
            </w:r>
            <w:r>
              <w:rPr>
                <w:rFonts w:hint="eastAsia" w:ascii="宋体" w:hAnsi="宋体" w:eastAsia="宋体" w:cs="宋体"/>
                <w:sz w:val="21"/>
                <w:szCs w:val="21"/>
                <w:highlight w:val="none"/>
                <w:lang w:eastAsia="zh-CN"/>
              </w:rPr>
              <w:t xml:space="preserve">②台账登记管理制度③质量投诉处理制度。④食</w:t>
            </w:r>
            <w:r>
              <w:rPr>
                <w:rFonts w:hint="eastAsia" w:ascii="宋体" w:hAnsi="宋体" w:eastAsia="宋体" w:cs="宋体"/>
                <w:sz w:val="21"/>
                <w:szCs w:val="21"/>
                <w:highlight w:val="none"/>
                <w:lang w:val="en-US" w:eastAsia="zh-CN"/>
              </w:rPr>
              <w:t xml:space="preserve">品</w:t>
            </w:r>
            <w:r>
              <w:rPr>
                <w:rFonts w:hint="eastAsia" w:ascii="宋体" w:hAnsi="宋体" w:eastAsia="宋体" w:cs="宋体"/>
                <w:sz w:val="21"/>
                <w:szCs w:val="21"/>
                <w:highlight w:val="none"/>
                <w:lang w:eastAsia="zh-CN"/>
              </w:rPr>
              <w:t xml:space="preserve">留样管理制度</w:t>
            </w:r>
            <w:r>
              <w:rPr>
                <w:rFonts w:hint="eastAsia" w:ascii="宋体" w:hAnsi="宋体" w:eastAsia="宋体" w:cs="宋体"/>
                <w:sz w:val="21"/>
                <w:szCs w:val="21"/>
                <w:highlight w:val="none"/>
                <w:lang w:val="en-US" w:eastAsia="zh-CN"/>
              </w:rPr>
              <w:t xml:space="preserve">⑤采购管理制度等。</w:t>
            </w:r>
            <w:r/>
          </w:p>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方案内容针对本项目且符合本项目实际需求的，得10分，每缺少一项内容，或内容明显错误，或内容非专门针对本项目，或内容不能满足本项目实际需求的，每一项扣2分。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卫生管理方案</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根据投标人提供的卫生管理方案进行评分，内容至少包括：①人员健康管理方案②食材卫生管理方案③环境卫生管理方案。</w:t>
            </w:r>
            <w:r/>
          </w:p>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方案内容针对本项目且符合本项目实际需求的，得9分，每缺少一项内容，或内容明显错误，或内容非专门针对本项目，或内容不能满足本项目实际需求的，每一项扣3分。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内部员工奖惩制度</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9</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根据投标人提供的考核及奖惩等制度进行评分</w:t>
            </w:r>
            <w:r>
              <w:rPr>
                <w:rFonts w:hint="eastAsia" w:ascii="宋体" w:hAnsi="宋体" w:eastAsia="宋体" w:cs="宋体"/>
                <w:sz w:val="21"/>
                <w:szCs w:val="21"/>
                <w:highlight w:val="none"/>
                <w:lang w:eastAsia="zh-CN"/>
              </w:rPr>
              <w:t xml:space="preserve">，制度至少包括：①员工绩效管理考核办法、②员工考核与录用③员工奖励制度等。</w:t>
            </w:r>
            <w:r/>
          </w:p>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方案内容针对本项目且符合本项目实际需求的，得9分，每缺少一项内容，或内容明显错误，或内容非专门针对本项目，或内容不能满足本项目实际需求的，每一项扣3分。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员工培训方案</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根据投标人提供的员工培训方案进行评分，制度至少包括：①食材配送人员食品安全知识培训方案②从业人员卫生保障培训方案③食材配送留样培训方案等。</w:t>
            </w:r>
            <w:r/>
          </w:p>
          <w:p>
            <w:pPr>
              <w:ind w:firstLine="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方案内容针对本项目且符合本项目实际需求的，得6分，每缺少一项内容，或内容明显错误，或内容非专门针对本项目，或内容不能满足本项目实际需求的，每一项扣2分。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应急处理预案</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包括突发事件应急预案（包括临时性特殊性采购需求、发生恶劣天气及出现食品安全、操作运行、员工人身等安全管理及各种突发性事件的应急处理方案）</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。提供内容科学合理、便捷有效、全面完善、针对性强的得6分;提供方案不太全面、描述简略、不能完全符合本项目实际需求的得3分;方案虽有涉及但有明显错漏，不符合项目实际要求的得1分，未提供不得分</w:t>
            </w:r>
            <w:r/>
          </w:p>
        </w:tc>
      </w:tr>
      <w:tr>
        <w:trPr/>
        <w:tc>
          <w:tcPr>
            <w:tcW w:w="81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p>
        </w:tc>
        <w:tc>
          <w:tcPr>
            <w:tcW w:w="1219"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售后服务方案</w:t>
            </w:r>
            <w:r/>
          </w:p>
        </w:tc>
        <w:tc>
          <w:tcPr>
            <w:tcW w:w="82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6571"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至少包括：售后服务管理细则、售后服务体系，售后服务实施方案等。</w:t>
            </w:r>
            <w:r>
              <w:rPr>
                <w:rFonts w:hint="eastAsia" w:ascii="宋体" w:hAnsi="宋体" w:eastAsia="宋体" w:cs="宋体"/>
                <w:sz w:val="21"/>
                <w:szCs w:val="21"/>
                <w:highlight w:val="none"/>
              </w:rPr>
              <w:t xml:space="preserve">提供内容科学合理、便捷有效、全面完善、针对性强的得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分;提供方案不太全面、描述简路、不能完全符合本项目实际需求的得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分;方案虽有涉及但有明显错漏，不符合项目实际要求的得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分,未提供</w:t>
            </w:r>
            <w:bookmarkStart w:id="29" w:name="_GoBack"/>
            <w:r/>
            <w:bookmarkEnd w:id="29"/>
            <w:r>
              <w:rPr>
                <w:rFonts w:hint="eastAsia" w:ascii="宋体" w:hAnsi="宋体" w:eastAsia="宋体" w:cs="宋体"/>
                <w:sz w:val="21"/>
                <w:szCs w:val="21"/>
                <w:highlight w:val="none"/>
              </w:rPr>
              <w:t xml:space="preserve">不得分。</w:t>
            </w:r>
            <w:r/>
          </w:p>
        </w:tc>
      </w:tr>
    </w:tbl>
    <w:p>
      <w:pPr>
        <w:pStyle w:val="988"/>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63"/>
          <w:rFonts w:ascii="宋体" w:hAnsi="宋体" w:eastAsia="宋体" w:cs="宋体"/>
          <w:color w:val="auto"/>
          <w:sz w:val="32"/>
          <w:szCs w:val="32"/>
          <w:highlight w:val="none"/>
        </w:rPr>
      </w:pPr>
      <w:r>
        <w:rPr>
          <w:rStyle w:val="963"/>
          <w:rFonts w:hint="eastAsia" w:ascii="宋体" w:hAnsi="宋体" w:eastAsia="宋体" w:cs="宋体"/>
          <w:color w:val="auto"/>
          <w:sz w:val="32"/>
          <w:szCs w:val="32"/>
          <w:highlight w:val="none"/>
        </w:rPr>
        <w:br w:type="page" w:clear="all"/>
      </w:r>
      <w:bookmarkStart w:id="25" w:name="_Toc31315"/>
      <w:r>
        <w:rPr>
          <w:rStyle w:val="963"/>
          <w:rFonts w:hint="eastAsia" w:ascii="宋体" w:hAnsi="宋体" w:eastAsia="宋体" w:cs="宋体"/>
          <w:color w:val="auto"/>
          <w:sz w:val="32"/>
          <w:szCs w:val="32"/>
          <w:highlight w:val="none"/>
        </w:rPr>
        <w:t xml:space="preserve">第六章 合同格式</w:t>
      </w:r>
      <w:bookmarkEnd w:id="25"/>
      <w:r/>
      <w:r/>
    </w:p>
    <w:p>
      <w:pPr>
        <w:spacing w:line="440" w:lineRule="exact"/>
        <w:rPr>
          <w:rFonts w:ascii="宋体" w:hAnsi="宋体" w:cs="宋体"/>
          <w:color w:val="auto"/>
          <w:highlight w:val="none"/>
        </w:rPr>
      </w:pPr>
      <w:r/>
      <w:bookmarkStart w:id="26" w:name="_Toc480191160"/>
      <w:r/>
      <w:bookmarkStart w:id="27" w:name="_Toc479449569"/>
      <w:r/>
      <w:bookmarkStart w:id="28" w:name="_Toc479449483"/>
      <w:r/>
      <w:bookmarkEnd w:id="26"/>
      <w:r/>
      <w:bookmarkEnd w:id="27"/>
      <w:r/>
      <w:bookmarkEnd w:id="28"/>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ascii="宋体" w:hAnsi="宋体"/>
          <w:color w:val="auto"/>
          <w:sz w:val="28"/>
          <w:highlight w:val="none"/>
        </w:rPr>
      </w:pPr>
      <w:r>
        <w:rPr>
          <w:rFonts w:hint="eastAsia" w:ascii="宋体" w:hAnsi="宋体"/>
          <w:color w:val="auto"/>
          <w:sz w:val="28"/>
          <w:highlight w:val="none"/>
        </w:rPr>
        <w:t xml:space="preserve">项目编号：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980"/>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1019"/>
        <w:ind w:firstLine="0"/>
        <w:rPr>
          <w:rFonts w:hint="default" w:ascii="宋体" w:hAnsi="宋体" w:eastAsia="宋体" w:cs="Times New Roman"/>
          <w:color w:val="auto"/>
          <w:sz w:val="32"/>
          <w:szCs w:val="32"/>
          <w:highlight w:val="none"/>
          <w:lang w:val="en-US" w:eastAsia="zh-CN"/>
        </w:rPr>
      </w:pPr>
      <w:r>
        <w:rPr>
          <w:rFonts w:hint="eastAsia" w:ascii="宋体" w:hAnsi="宋体" w:eastAsia="宋体" w:cs="Times New Roman"/>
          <w:color w:val="auto"/>
          <w:sz w:val="32"/>
          <w:szCs w:val="32"/>
          <w:highlight w:val="none"/>
        </w:rPr>
        <w:t xml:space="preserve">合同</w:t>
      </w:r>
      <w:r>
        <w:rPr>
          <w:rFonts w:hint="eastAsia" w:ascii="宋体" w:hAnsi="宋体" w:eastAsia="宋体" w:cs="Times New Roman"/>
          <w:color w:val="auto"/>
          <w:sz w:val="32"/>
          <w:szCs w:val="32"/>
          <w:highlight w:val="none"/>
          <w:lang w:val="en-US" w:eastAsia="zh-CN"/>
        </w:rPr>
        <w:t xml:space="preserve">一般条款</w:t>
      </w:r>
      <w:r/>
    </w:p>
    <w:p>
      <w:pPr>
        <w:spacing w:line="440" w:lineRule="exact"/>
        <w:rPr>
          <w:rFonts w:ascii="宋体" w:hAnsi="宋体"/>
          <w:b/>
          <w:color w:val="auto"/>
          <w:sz w:val="24"/>
          <w:highlight w:val="none"/>
        </w:rPr>
      </w:pPr>
      <w:r>
        <w:rPr>
          <w:rFonts w:ascii="宋体" w:hAnsi="宋体"/>
          <w:b/>
          <w:color w:val="auto"/>
          <w:sz w:val="24"/>
          <w:highlight w:val="none"/>
        </w:rPr>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一、合同文件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 合同文件适用法律</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适用于合同文件的法律是中华人民共和国现行法律、法规及甲方所在地的地方性法规。</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 合同文件组成和解释顺序</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2.1合同文件的组成和解释顺序如下：</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2.1.1合同的特殊性条款</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2.1.2合同的一般性条款</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双方洽商、变更等明确双方权利义务的纪要、协议</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中标通知书、投标书和招标文件</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合同的特殊性条款的效力优于合同的一般性条款的效力</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合同文件使用文字</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合同文件使用中文书写、解释和说明</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合同文件使用特殊性条款约定的国家标准和规范；国家没有相应标准、规范时，可使用特殊性条款约定的行业或甲方所在地地方的标准、规范。</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二、标的物的一般条款</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  完整物权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对于出卖的标的物，乙方应当拥有完整物权，并且乙方负有保证第三人不得向甲方主张任何权利（包括知识产权）的义务。</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  质量保证</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在乙方承诺的质量保证期限内，乙方应对由于设计、工艺等缺陷及伴随服务而造成的任何不足或故障负责。</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根据甲方按检验标准自己检验的结果或当地技监部门的检验结果，如果标的物的数量或规格与合同不符或证实标的物是有缺陷的，包括潜在缺陷或使用不符合要求的材料等，甲方应尽快以书面形式通知乙方并提出索赔。</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除合同特殊条款规定外，合同条款中标的物的免费服务期均自标的物通过最终验收之日起计算。具体以招标文件中规定的质量保证期为准或中标单位承诺更高于招标要求的质量保证期为准。</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 包装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  伴随服务</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乙方除应履行按期按量交付合格标的物的义务之外，还应提供下列服务。</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标的物的现场启动、调试、监督；</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在合同规定的期限内对所提供标的物实行运行监督、</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服务的前提条件是该服务并不能免除乙方在</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期内所承担的义务；</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 对甲方技术人员的技术指导或培训。</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除合同另有规定之外，伴随服务的费用均已含在合同价款中，甲方不再另行进行支付。</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三、标的物的交付、检验和验收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标的物的交付</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标的物的所有权自标的物交付时转移。</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乙方应当按照约定的期限和甲方指定的地点交付标的物。</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乙方应当按照约定或者交易习惯向甲方交付提取标的物单证以外的有关单证和资料。</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  检验和验收</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在</w:t>
      </w:r>
      <w:r>
        <w:rPr>
          <w:rFonts w:hint="eastAsia" w:ascii="宋体" w:hAnsi="宋体" w:eastAsia="宋体" w:cs="宋体"/>
          <w:color w:val="auto"/>
          <w:sz w:val="21"/>
          <w:szCs w:val="21"/>
          <w:highlight w:val="none"/>
          <w:lang w:val="en-US" w:eastAsia="zh-CN"/>
        </w:rPr>
        <w:t xml:space="preserve">提供服务</w:t>
      </w:r>
      <w:r>
        <w:rPr>
          <w:rFonts w:hint="eastAsia" w:ascii="宋体" w:hAnsi="宋体" w:eastAsia="宋体" w:cs="宋体"/>
          <w:color w:val="auto"/>
          <w:sz w:val="21"/>
          <w:szCs w:val="21"/>
          <w:highlight w:val="none"/>
        </w:rPr>
        <w:t xml:space="preserve">前，乙方应对标的物的规格、性能、数量等进行详细而全面的检验，并出具一份合格检验证明，合格检验证明作为甲方验收的依据，但不能作为有关标的物规格、数量或性能的最终检验结果。</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甲方根据合同规定的内容和验收标准进行验收，同时比较乙方出具的检验证明，经检验无误后出具验收合格证明，该证明作为最终付款所需文件的组成部分。</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验收期限自标的物交付之日起十个工作日内。特殊情况需延长的，双方应在合同的特殊条款中约定。</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如双方对验收结果有分歧，则以太仓市技术质量监督局或以约定的法定检测机构的检验结果为准，检验费用由有过失的一方支付。</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四、对标的物提出异议的时间和办法</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  对标的物提出异议的时间和办法</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甲方在验收过程中，应当于双方约定的检验期间内将标的物的数量不符合约定的情形及处理方式以书面形式通知乙方。</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如甲方在验收期满后既不出具验收合格证明又未提出书面异议的，并不视为乙方所交标的物符合合同规定，乙方应书面催告甲方进行验收。</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乙方应在收到甲方书面异议后七天内负责处理问题，否则将视为默认甲方提出的异议和处理意见。</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五、合同价款和支付</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  合同价款和支付</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本合同的结算货币为人民币，单位元。</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乙方应按照双方签订的合同规定</w:t>
      </w:r>
      <w:r>
        <w:rPr>
          <w:rFonts w:hint="eastAsia" w:ascii="宋体" w:hAnsi="宋体" w:eastAsia="宋体" w:cs="宋体"/>
          <w:color w:val="auto"/>
          <w:sz w:val="21"/>
          <w:szCs w:val="21"/>
          <w:highlight w:val="none"/>
          <w:lang w:val="en-US" w:eastAsia="zh-CN"/>
        </w:rPr>
        <w:t xml:space="preserve">提供服务</w:t>
      </w:r>
      <w:r>
        <w:rPr>
          <w:rFonts w:hint="eastAsia" w:ascii="宋体" w:hAnsi="宋体" w:eastAsia="宋体" w:cs="宋体"/>
          <w:color w:val="auto"/>
          <w:sz w:val="21"/>
          <w:szCs w:val="21"/>
          <w:highlight w:val="none"/>
        </w:rPr>
        <w:t xml:space="preserve">并在合同特殊条款规定的期限内持下列单据结算货款。</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11.2.1 合格的销售发票；</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 甲方盖章签收后的回单和验收合格证明。</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甲方应按合同特殊条款规定的期限和方式付款。</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根据现行税法对甲方征收的与本合同有关的一切税费均由甲方承担；根据现行税法对乙方征收的与本合同有关的一切税费均由乙方承担。</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六、违约责任</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  违约责任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甲方违约责任</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在合同生效后，甲方</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乙方交付的合格标的物</w:t>
      </w:r>
      <w:r>
        <w:rPr>
          <w:rFonts w:hint="eastAsia" w:ascii="宋体" w:hAnsi="宋体" w:eastAsia="宋体" w:cs="宋体"/>
          <w:color w:val="auto"/>
          <w:sz w:val="21"/>
          <w:szCs w:val="21"/>
          <w:highlight w:val="none"/>
          <w:lang w:val="en-US" w:eastAsia="zh-CN"/>
        </w:rPr>
        <w:t xml:space="preserve">不合格</w:t>
      </w:r>
      <w:r>
        <w:rPr>
          <w:rFonts w:hint="eastAsia" w:ascii="宋体" w:hAnsi="宋体" w:eastAsia="宋体" w:cs="宋体"/>
          <w:color w:val="auto"/>
          <w:sz w:val="21"/>
          <w:szCs w:val="21"/>
          <w:highlight w:val="none"/>
        </w:rPr>
        <w:t xml:space="preserve">的，应向乙方偿付合同总价款5 %的违约金，违约金不足以补偿损失的，乙方有权要求甲方补足。</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甲方逾期付款的应按照逾期付款金额的每天万分之四支付逾期付款违约金。</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甲方违反合同规定，拒绝接收乙方交付的合格标的物，应当承担乙方由此造成的损失。</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  乙方违约责任</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乙方不能</w:t>
      </w:r>
      <w:r>
        <w:rPr>
          <w:rFonts w:hint="eastAsia" w:ascii="宋体" w:hAnsi="宋体" w:eastAsia="宋体" w:cs="宋体"/>
          <w:color w:val="auto"/>
          <w:sz w:val="21"/>
          <w:szCs w:val="21"/>
          <w:highlight w:val="none"/>
          <w:lang w:val="en-US" w:eastAsia="zh-CN"/>
        </w:rPr>
        <w:t xml:space="preserve">按时完成服务</w:t>
      </w:r>
      <w:r>
        <w:rPr>
          <w:rFonts w:hint="eastAsia" w:ascii="宋体" w:hAnsi="宋体" w:eastAsia="宋体" w:cs="宋体"/>
          <w:color w:val="auto"/>
          <w:sz w:val="21"/>
          <w:szCs w:val="21"/>
          <w:highlight w:val="none"/>
        </w:rPr>
        <w:t xml:space="preserve">（逾期超过十五天视为不能</w:t>
      </w:r>
      <w:r>
        <w:rPr>
          <w:rFonts w:hint="eastAsia" w:ascii="宋体" w:hAnsi="宋体" w:eastAsia="宋体" w:cs="宋体"/>
          <w:color w:val="auto"/>
          <w:sz w:val="21"/>
          <w:szCs w:val="21"/>
          <w:highlight w:val="none"/>
          <w:lang w:val="en-US" w:eastAsia="zh-CN"/>
        </w:rPr>
        <w:t xml:space="preserve">按时完成服务</w:t>
      </w:r>
      <w:r>
        <w:rPr>
          <w:rFonts w:hint="eastAsia" w:ascii="宋体" w:hAnsi="宋体" w:eastAsia="宋体" w:cs="宋体"/>
          <w:color w:val="auto"/>
          <w:sz w:val="21"/>
          <w:szCs w:val="21"/>
          <w:highlight w:val="none"/>
        </w:rPr>
        <w:t xml:space="preserve">），或</w:t>
      </w:r>
      <w:r>
        <w:rPr>
          <w:rFonts w:hint="eastAsia" w:ascii="宋体" w:hAnsi="宋体" w:eastAsia="宋体" w:cs="宋体"/>
          <w:color w:val="auto"/>
          <w:sz w:val="21"/>
          <w:szCs w:val="21"/>
          <w:highlight w:val="none"/>
          <w:lang w:val="en-US" w:eastAsia="zh-CN"/>
        </w:rPr>
        <w:t xml:space="preserve">提供服务</w:t>
      </w:r>
      <w:r>
        <w:rPr>
          <w:rFonts w:hint="eastAsia" w:ascii="宋体" w:hAnsi="宋体" w:eastAsia="宋体" w:cs="宋体"/>
          <w:color w:val="auto"/>
          <w:sz w:val="21"/>
          <w:szCs w:val="21"/>
          <w:highlight w:val="none"/>
        </w:rPr>
        <w:t xml:space="preserve">不合格从而影响甲方按期正常使用的，甲方有权解除合同，乙方向甲方偿付合同总价款5 %的违约金，违约金不足以补偿损失的甲方有权要求乙方补足。</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乙方逾期不能</w:t>
      </w:r>
      <w:r>
        <w:rPr>
          <w:rFonts w:hint="eastAsia" w:ascii="宋体" w:hAnsi="宋体" w:eastAsia="宋体" w:cs="宋体"/>
          <w:color w:val="auto"/>
          <w:sz w:val="21"/>
          <w:szCs w:val="21"/>
          <w:highlight w:val="none"/>
          <w:lang w:val="en-US" w:eastAsia="zh-CN"/>
        </w:rPr>
        <w:t xml:space="preserve">按时完成服务</w:t>
      </w:r>
      <w:r>
        <w:rPr>
          <w:rFonts w:hint="eastAsia" w:ascii="宋体" w:hAnsi="宋体" w:eastAsia="宋体" w:cs="宋体"/>
          <w:color w:val="auto"/>
          <w:sz w:val="21"/>
          <w:szCs w:val="21"/>
          <w:highlight w:val="none"/>
        </w:rPr>
        <w:t xml:space="preserve">的，应在</w:t>
      </w:r>
      <w:r>
        <w:rPr>
          <w:rFonts w:hint="eastAsia" w:ascii="宋体" w:hAnsi="宋体" w:eastAsia="宋体" w:cs="宋体"/>
          <w:color w:val="auto"/>
          <w:sz w:val="21"/>
          <w:szCs w:val="21"/>
          <w:highlight w:val="none"/>
          <w:lang w:val="en-US" w:eastAsia="zh-CN"/>
        </w:rPr>
        <w:t xml:space="preserve">提供服务</w:t>
      </w:r>
      <w:r>
        <w:rPr>
          <w:rFonts w:hint="eastAsia" w:ascii="宋体" w:hAnsi="宋体" w:eastAsia="宋体" w:cs="宋体"/>
          <w:color w:val="auto"/>
          <w:sz w:val="21"/>
          <w:szCs w:val="21"/>
          <w:highlight w:val="none"/>
        </w:rPr>
        <w:t xml:space="preserve">前与甲方协商，甲方仍需求的，乙方应立即</w:t>
      </w:r>
      <w:r>
        <w:rPr>
          <w:rFonts w:hint="eastAsia" w:ascii="宋体" w:hAnsi="宋体" w:eastAsia="宋体" w:cs="宋体"/>
          <w:color w:val="auto"/>
          <w:sz w:val="21"/>
          <w:szCs w:val="21"/>
          <w:highlight w:val="none"/>
          <w:lang w:val="en-US" w:eastAsia="zh-CN"/>
        </w:rPr>
        <w:t xml:space="preserve">提供服务</w:t>
      </w:r>
      <w:r>
        <w:rPr>
          <w:rFonts w:hint="eastAsia" w:ascii="宋体" w:hAnsi="宋体" w:eastAsia="宋体" w:cs="宋体"/>
          <w:color w:val="auto"/>
          <w:sz w:val="21"/>
          <w:szCs w:val="21"/>
          <w:highlight w:val="none"/>
        </w:rPr>
        <w:t xml:space="preserve">并应按照逾期</w:t>
      </w:r>
      <w:r>
        <w:rPr>
          <w:rFonts w:hint="eastAsia" w:ascii="宋体" w:hAnsi="宋体" w:eastAsia="宋体" w:cs="宋体"/>
          <w:color w:val="auto"/>
          <w:sz w:val="21"/>
          <w:szCs w:val="21"/>
          <w:highlight w:val="none"/>
          <w:lang w:val="en-US" w:eastAsia="zh-CN"/>
        </w:rPr>
        <w:t xml:space="preserve">提供服务</w:t>
      </w:r>
      <w:r>
        <w:rPr>
          <w:rFonts w:hint="eastAsia" w:ascii="宋体" w:hAnsi="宋体" w:eastAsia="宋体" w:cs="宋体"/>
          <w:color w:val="auto"/>
          <w:sz w:val="21"/>
          <w:szCs w:val="21"/>
          <w:highlight w:val="none"/>
        </w:rPr>
        <w:t xml:space="preserve">部分款</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每天万分之四支付逾期</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违约金，同时承担甲方因此遭致的损失费用。</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  不可抗力</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因不可抗力不能履行合同的，根据不可抗力的影响，部分或者全部免除责任。但合同一方迟延履行后发生不可抗力的，不能免除责任。</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合同一方因不可抗力不能履行合同的，应当及时通知对方，以减轻可能给对方造成的损失，并应当在合理期限内提供证明。</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七、索赔</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  索赔：</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16.1如在</w:t>
      </w:r>
      <w:r>
        <w:rPr>
          <w:rFonts w:hint="eastAsia" w:ascii="宋体" w:hAnsi="宋体" w:eastAsia="宋体" w:cs="宋体"/>
          <w:color w:val="auto"/>
          <w:sz w:val="21"/>
          <w:szCs w:val="21"/>
          <w:highlight w:val="none"/>
          <w:lang w:val="en-US" w:eastAsia="zh-CN"/>
        </w:rPr>
        <w:t xml:space="preserve">提供服务</w:t>
      </w:r>
      <w:r>
        <w:rPr>
          <w:rFonts w:hint="eastAsia" w:ascii="宋体" w:hAnsi="宋体" w:eastAsia="宋体" w:cs="宋体"/>
          <w:color w:val="auto"/>
          <w:sz w:val="21"/>
          <w:szCs w:val="21"/>
          <w:highlight w:val="none"/>
        </w:rPr>
        <w:t xml:space="preserve">使用过程中，甲方发现</w:t>
      </w:r>
      <w:r>
        <w:rPr>
          <w:rFonts w:hint="eastAsia" w:ascii="宋体" w:hAnsi="宋体" w:eastAsia="宋体" w:cs="宋体"/>
          <w:color w:val="auto"/>
          <w:sz w:val="21"/>
          <w:szCs w:val="21"/>
          <w:highlight w:val="none"/>
          <w:lang w:val="en-US" w:eastAsia="zh-CN"/>
        </w:rPr>
        <w:t xml:space="preserve">提供的服务</w:t>
      </w:r>
      <w:r>
        <w:rPr>
          <w:rFonts w:hint="eastAsia" w:ascii="宋体" w:hAnsi="宋体" w:eastAsia="宋体" w:cs="宋体"/>
          <w:color w:val="auto"/>
          <w:sz w:val="21"/>
          <w:szCs w:val="21"/>
          <w:highlight w:val="none"/>
        </w:rPr>
        <w:t xml:space="preserve">与合同内容有不符或者根据甲方按国家标准或行业标准自己检验的结果或当地技监部门的检验结果，或者在</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内容、规格与合同不符或证实</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是有缺陷的，包括潜在缺陷等时，有权向乙方提出索赔，乙方在收到甲方索赔通知后2-5天内应免费</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或弥补相应的缺陷。如果乙方在收到通知后5天内没有弥补缺陷，甲方可采取必要的补救措施，但风险和费用将由乙方承担，同时甲方对乙方行使的其它权利不受影响。甲方因补救措施所承担的应由乙方承担的费用，有权在甲方应支付给乙方的款项中直接扣除。</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16.2索赔方式除上述规定之外，甲方还有权选择以下方式进行索赔：</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（1）乙方同意</w:t>
      </w:r>
      <w:r>
        <w:rPr>
          <w:rFonts w:hint="eastAsia" w:ascii="宋体" w:hAnsi="宋体" w:eastAsia="宋体" w:cs="宋体"/>
          <w:color w:val="auto"/>
          <w:sz w:val="21"/>
          <w:szCs w:val="21"/>
          <w:highlight w:val="none"/>
          <w:lang w:val="en-US" w:eastAsia="zh-CN"/>
        </w:rPr>
        <w:t xml:space="preserve">终止服务的</w:t>
      </w:r>
      <w:r>
        <w:rPr>
          <w:rFonts w:hint="eastAsia" w:ascii="宋体" w:hAnsi="宋体" w:eastAsia="宋体" w:cs="宋体"/>
          <w:color w:val="auto"/>
          <w:sz w:val="21"/>
          <w:szCs w:val="21"/>
          <w:highlight w:val="none"/>
        </w:rPr>
        <w:t xml:space="preserve">，并双倍返还定金及甲方已支付的合同款，并承担由此发生的一切损失和费用，包括甲方直接损失、利息、银行手续费、运费、保险费、仓储费、装卸费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所需的其它必要费用。</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（2）根据甲方遭受损失的数额，经甲乙双方商定降低</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的价格。</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（3）乙方应承担一切费用和风险并负担甲方所发生的一切直接费用。同时，乙方应按合同规定，相应延长</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期。</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（4）从尚未支付的合同价款扣除乙方应承担的违约金、赔偿金以及各种费用因索赔而发生的合理费用，包括律师费用。如果这些金额不足以补偿索赔金额，甲方有权向乙方提出对不足部分的补偿。</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八、履约保证金</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  履约保证金</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乙方应在本合同签订时，按采购文件的约定提供相应的履约保证金。</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如果乙方未能履行合同规定的任何义务，甲方有权从履约保证金中取得补偿。</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履约保证金（无息）将在乙方履行完合同义务后，5个工作日内退回。</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九、合同的解除和转让</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  合同的解除</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18.1有下列情形之一，合同一方可以解除合同：</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18.1.1 因不可抗力致使不能实现合同目的，未受不可抗力影响的一方有权解除合同；</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18.1.2 因合同一方违约导致合同不能履行，另一方有权解除合同；</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有权解除合同的一方，应当在违约事实或不可抗力发生之后三十天内书面通知对方以主张解除合同，合同在书面通知到达对方时解除。</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  合同的转让</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19.1本合同不得以任何形式转让，否则视为乙方违约，甲方可以单方解除本合同，由此造成甲方的损失由乙方承担赔偿（包括但不限于诉讼费、合理律师费等）。</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19.2本合同未经甲方书面同意不得以任何形式的转让或分包，否则视为乙方违约，甲方可以单方解除本合同，由此造成甲方的损失由乙方承担赔偿（包括但不限于诉讼费、合理律师费等）。</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十、合同的生效</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  合同的生效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本合同在双方签字盖章后即生效，同时还需至</w:t>
      </w:r>
      <w:r>
        <w:rPr>
          <w:rFonts w:hint="eastAsia" w:ascii="宋体" w:hAnsi="宋体" w:eastAsia="宋体" w:cs="宋体"/>
          <w:color w:val="auto"/>
          <w:sz w:val="21"/>
          <w:szCs w:val="21"/>
          <w:highlight w:val="none"/>
          <w:lang w:val="en-US" w:eastAsia="zh-CN"/>
        </w:rPr>
        <w:t xml:space="preserve">江苏启越工程管理有限公司</w:t>
      </w:r>
      <w:r>
        <w:rPr>
          <w:rFonts w:hint="eastAsia" w:ascii="宋体" w:hAnsi="宋体" w:eastAsia="宋体" w:cs="宋体"/>
          <w:color w:val="auto"/>
          <w:sz w:val="21"/>
          <w:szCs w:val="21"/>
          <w:highlight w:val="none"/>
        </w:rPr>
        <w:t xml:space="preserve">加盖备案章。</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十一、争议解决</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  争议解决</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甲乙双方因合同发生争议，应在采购代理机构的主持下进行调解，协商不成，任何一方可以向甲方所在地人民法院起诉。</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十二、附则</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合同份数。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本合同一式五份，甲方二份，乙方二份，</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一份。</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  未尽事宜</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本合同未尽事宜应按《中华人民共和国民法典》、《中华人民共和国产品质量法》、《中华人民共和国政府采购法》及其他有关政府采购的法律法规之规定解释。</w:t>
      </w:r>
      <w:r/>
    </w:p>
    <w:p>
      <w:pPr>
        <w:spacing w:line="440" w:lineRule="exact"/>
        <w:rPr>
          <w:rFonts w:ascii="宋体" w:hAnsi="宋体"/>
          <w:color w:val="auto"/>
          <w:sz w:val="24"/>
          <w:highlight w:val="none"/>
        </w:rPr>
      </w:pPr>
      <w:r>
        <w:rPr>
          <w:rFonts w:ascii="宋体" w:hAnsi="宋体"/>
          <w:color w:val="auto"/>
          <w:sz w:val="2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ascii="宋体" w:hAnsi="宋体"/>
          <w:b/>
          <w:bCs/>
          <w:color w:val="auto"/>
          <w:sz w:val="44"/>
          <w:szCs w:val="44"/>
          <w:highlight w:val="none"/>
        </w:rPr>
      </w:pPr>
      <w:r>
        <w:rPr>
          <w:rFonts w:hint="eastAsia" w:ascii="宋体" w:hAnsi="宋体"/>
          <w:b/>
          <w:bCs/>
          <w:color w:val="auto"/>
          <w:sz w:val="44"/>
          <w:szCs w:val="44"/>
          <w:highlight w:val="none"/>
        </w:rPr>
        <w:t xml:space="preserve">合同主要条款</w:t>
      </w:r>
      <w:r/>
    </w:p>
    <w:p>
      <w:pPr>
        <w:jc w:val="center"/>
        <w:spacing w:line="360" w:lineRule="auto"/>
        <w:rPr>
          <w:rFonts w:hint="eastAsia" w:hAnsi="宋体"/>
          <w:b/>
          <w:color w:val="auto"/>
          <w:sz w:val="24"/>
          <w:szCs w:val="24"/>
          <w:highlight w:val="none"/>
        </w:rPr>
      </w:pPr>
      <w:r>
        <w:rPr>
          <w:rFonts w:hint="eastAsia" w:hAnsi="宋体"/>
          <w:b/>
          <w:color w:val="auto"/>
          <w:sz w:val="24"/>
          <w:szCs w:val="24"/>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甲方（需方）：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（以下简称甲方）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（以下简称乙方）</w:t>
      </w:r>
      <w:r/>
    </w:p>
    <w:p>
      <w:pPr>
        <w:ind w:firstLine="420"/>
        <w:spacing w:line="360" w:lineRule="auto"/>
        <w:rPr>
          <w:rFonts w:hint="eastAsia" w:ascii="宋体" w:hAnsi="宋体" w:eastAsia="宋体" w:cs="宋体"/>
          <w:b/>
          <w:color w:val="auto"/>
          <w:sz w:val="21"/>
          <w:szCs w:val="21"/>
          <w:highlight w:val="none"/>
          <w:lang w:bidi="ar"/>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招标编号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号招标文件及该文件的投标文件和</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通知书，甲乙双方就此次中标的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事宜，签订本合同书。</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一、项目概况：</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（一）服务期限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年，自</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日至</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 </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（二）合同金额及支付方式</w:t>
      </w:r>
      <w:r>
        <w:rPr>
          <w:rFonts w:hint="eastAsia" w:ascii="宋体" w:hAnsi="宋体" w:eastAsia="宋体" w:cs="宋体"/>
          <w:b/>
          <w:bCs/>
          <w:color w:val="auto"/>
          <w:sz w:val="21"/>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合同金额：配送产品单价按</w:t>
      </w:r>
      <w:r>
        <w:rPr>
          <w:rFonts w:hint="eastAsia" w:ascii="宋体" w:hAnsi="宋体" w:eastAsia="宋体" w:cs="宋体"/>
          <w:color w:val="auto"/>
          <w:sz w:val="21"/>
          <w:szCs w:val="21"/>
          <w:highlight w:val="none"/>
          <w:lang w:eastAsia="zh-CN"/>
        </w:rPr>
        <w:t xml:space="preserve">娄东民生发布的</w:t>
      </w:r>
      <w:r>
        <w:rPr>
          <w:rFonts w:hint="eastAsia" w:ascii="宋体" w:hAnsi="宋体" w:eastAsia="宋体" w:cs="宋体"/>
          <w:color w:val="auto"/>
          <w:sz w:val="21"/>
          <w:szCs w:val="21"/>
          <w:highlight w:val="none"/>
        </w:rPr>
        <w:t xml:space="preserve">太仓市中心菜场</w:t>
      </w:r>
      <w:r>
        <w:rPr>
          <w:rFonts w:hint="eastAsia" w:ascii="宋体" w:hAnsi="宋体" w:eastAsia="宋体" w:cs="宋体"/>
          <w:color w:val="auto"/>
          <w:sz w:val="21"/>
          <w:szCs w:val="21"/>
          <w:highlight w:val="none"/>
          <w:lang w:eastAsia="zh-CN"/>
        </w:rPr>
        <w:t xml:space="preserve">当天</w:t>
      </w:r>
      <w:r>
        <w:rPr>
          <w:rFonts w:hint="eastAsia" w:ascii="宋体" w:hAnsi="宋体" w:eastAsia="宋体" w:cs="宋体"/>
          <w:color w:val="auto"/>
          <w:sz w:val="21"/>
          <w:szCs w:val="21"/>
          <w:highlight w:val="none"/>
        </w:rPr>
        <w:t xml:space="preserve">价</w:t>
      </w:r>
      <w:r>
        <w:rPr>
          <w:rFonts w:hint="eastAsia" w:ascii="宋体" w:hAnsi="宋体" w:eastAsia="宋体" w:cs="宋体"/>
          <w:color w:val="auto"/>
          <w:sz w:val="21"/>
          <w:szCs w:val="21"/>
          <w:highlight w:val="none"/>
          <w:lang w:eastAsia="zh-CN"/>
        </w:rPr>
        <w:t xml:space="preserve">格的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%，数量按实际发生结算。</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支付方式：每月10号前向采购人出具对账单，经采购人确认无误后出具发票进行结算。</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结算方式：</w:t>
      </w:r>
      <w:r>
        <w:rPr>
          <w:rFonts w:hint="eastAsia" w:ascii="宋体" w:hAnsi="宋体" w:eastAsia="宋体" w:cs="宋体"/>
          <w:color w:val="auto"/>
          <w:sz w:val="21"/>
          <w:szCs w:val="21"/>
          <w:highlight w:val="none"/>
          <w:lang w:eastAsia="zh-CN"/>
        </w:rPr>
        <w:t xml:space="preserve">按太仓市娄东民生（http://122.193.93.203:8088/）公布的中心菜场当天价格乘以中标折扣率</w:t>
      </w:r>
      <w:r>
        <w:rPr>
          <w:rFonts w:hint="eastAsia" w:ascii="宋体" w:hAnsi="宋体" w:eastAsia="宋体" w:cs="宋体"/>
          <w:color w:val="auto"/>
          <w:sz w:val="21"/>
          <w:szCs w:val="21"/>
          <w:highlight w:val="none"/>
          <w:lang w:val="en-US" w:eastAsia="zh-CN"/>
        </w:rPr>
        <w:t xml:space="preserve">的单价按实结算</w:t>
      </w:r>
      <w:r>
        <w:rPr>
          <w:rFonts w:hint="eastAsia" w:ascii="宋体" w:hAnsi="宋体" w:eastAsia="宋体" w:cs="宋体"/>
          <w:color w:val="auto"/>
          <w:sz w:val="21"/>
          <w:szCs w:val="21"/>
          <w:highlight w:val="none"/>
          <w:lang w:eastAsia="zh-CN"/>
        </w:rPr>
        <w:t xml:space="preserve">；未公布当天价格的按上一日价格乘以中标折扣率的</w:t>
      </w:r>
      <w:r>
        <w:rPr>
          <w:rFonts w:hint="eastAsia" w:ascii="宋体" w:hAnsi="宋体" w:eastAsia="宋体" w:cs="宋体"/>
          <w:color w:val="auto"/>
          <w:sz w:val="21"/>
          <w:szCs w:val="21"/>
          <w:highlight w:val="none"/>
          <w:lang w:val="en-US" w:eastAsia="zh-CN"/>
        </w:rPr>
        <w:t xml:space="preserve">单价按实结算，结算费用按月度考核分数扣除相应罚款，具体扣款详见采购需求。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eastAsia="zh-CN"/>
        </w:rPr>
        <w:t xml:space="preserve">注：若太仓市娄东民生公布的中心菜场当天价格中</w:t>
      </w:r>
      <w:r>
        <w:rPr>
          <w:rFonts w:hint="eastAsia" w:ascii="宋体" w:hAnsi="宋体" w:eastAsia="宋体" w:cs="宋体"/>
          <w:color w:val="auto"/>
          <w:sz w:val="21"/>
          <w:szCs w:val="21"/>
          <w:highlight w:val="none"/>
        </w:rPr>
        <w:t xml:space="preserve">未</w:t>
      </w:r>
      <w:r>
        <w:rPr>
          <w:rFonts w:hint="eastAsia" w:ascii="宋体" w:hAnsi="宋体" w:eastAsia="宋体" w:cs="宋体"/>
          <w:color w:val="auto"/>
          <w:sz w:val="21"/>
          <w:szCs w:val="21"/>
          <w:highlight w:val="none"/>
          <w:lang w:eastAsia="zh-CN"/>
        </w:rPr>
        <w:t xml:space="preserve">包含供货产品的价格，按照中心菜场的市场平均价结算。</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eastAsia="zh-CN"/>
        </w:rPr>
        <w:t xml:space="preserve">（三）配送</w:t>
      </w:r>
      <w:r>
        <w:rPr>
          <w:rFonts w:hint="eastAsia" w:ascii="宋体" w:hAnsi="宋体" w:eastAsia="宋体" w:cs="宋体"/>
          <w:b/>
          <w:bCs/>
          <w:color w:val="auto"/>
          <w:sz w:val="21"/>
          <w:szCs w:val="21"/>
          <w:highlight w:val="none"/>
          <w:lang w:val="en-US" w:eastAsia="zh-CN"/>
        </w:rPr>
        <w:t xml:space="preserve">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详见招标文件及投标文件中乙方所做的承诺。</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二、双方责任</w:t>
      </w:r>
      <w:r>
        <w:rPr>
          <w:rFonts w:hint="eastAsia" w:ascii="宋体" w:hAnsi="宋体" w:eastAsia="宋体" w:cs="宋体"/>
          <w:b/>
          <w:bCs/>
          <w:color w:val="auto"/>
          <w:sz w:val="21"/>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供货商必须具有有效期内的《</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"http://www.baidu.com/s?wd=%E9%A3%9F%E5%93%81%E7%BB%8F%E8%90%A5%E8%AE%B8%E5%8F%AF%E8%AF%81&amp;tn=SE_PcZhidaonwhc_ngpagmjz&amp;rsv_dl=gh_pc_zhidao" \t "_blank"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食品经营许可证</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工商营业执照以及其他相关证照，且经营状况良好。乙方员工凭健康证上岗，健康证原件经甲方查验后退还，复印件提交甲方留存备案。</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2、乙方所供食品，必须符合国家规定的食品标准，确保食品品质。如出现配送食品卫生质量</w:t>
      </w:r>
      <w:r>
        <w:rPr>
          <w:rFonts w:hint="eastAsia" w:ascii="宋体" w:hAnsi="宋体" w:eastAsia="宋体" w:cs="宋体"/>
          <w:color w:val="auto"/>
          <w:sz w:val="21"/>
          <w:szCs w:val="21"/>
          <w:highlight w:val="none"/>
          <w:lang w:eastAsia="zh-CN"/>
        </w:rPr>
        <w:t xml:space="preserve">不合格</w:t>
      </w:r>
      <w:r>
        <w:rPr>
          <w:rFonts w:hint="eastAsia" w:ascii="宋体" w:hAnsi="宋体" w:eastAsia="宋体" w:cs="宋体"/>
          <w:color w:val="auto"/>
          <w:sz w:val="21"/>
          <w:szCs w:val="21"/>
          <w:highlight w:val="none"/>
        </w:rPr>
        <w:t xml:space="preserve">，由乙方无条件退货或换货，并向甲方赔偿相应的经济损失，造成严重后果的，乙方应承担全部经济纠纷及法律责任。</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甲方在规定的时间内以电子形式将食品需求传达给乙方。乙方必须根据甲方提出的食品、品牌、规格、数量和质量要求送货，不得随意更换食品品牌及规格。乙方应最大努力按双方约定的时间把食品（原材料）配送到位，以确保甲方准时开展工作。</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存在质量问题的食品乙方要主动负责召回，并承担采购人相应的损失。因所供应食品的质量问题引起食物中毒等食源性疾病的发生或其他事故由乙方负全部责任，并承担由此引起的全部经济纠纷及相应的法律责任。</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、甲方食堂所用食品原料全部由乙方供应，甲方在协议期内不得另行采购（零碎配料除外）。如有特殊情况则由采购人自行采购食品。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、甲方收到对账单确认无误后由乙方出具发票，在收到发票十个工作日之内付清货款，不得拖欠。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、乙方向甲方提供供货商资质证明、食品的检验合格证或者检验报告，甲方建立食品索证制度及食品验收制度，做好索证登记工作，对食品安排专人进行验收。加强食品库房管理。</w:t>
      </w:r>
      <w:r/>
    </w:p>
    <w:p>
      <w:pPr>
        <w:numPr>
          <w:ilvl w:val="0"/>
          <w:numId w:val="0"/>
        </w:num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8、因特殊情况需要临时增加配送食材时，乙方按照甲方要求时限提供配送服务</w:t>
      </w:r>
      <w:r/>
    </w:p>
    <w:p>
      <w:pPr>
        <w:numPr>
          <w:ilvl w:val="0"/>
          <w:numId w:val="0"/>
        </w:num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9、春节期间因市场休市等因素无法保障每天配送，乙方需提前告知甲方，双方共同商定配送时间。 </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10、甲方有权按照乙方提供食品的数量、质量、卫生、新鲜程度及相关检验 文件（动物检疫证明、农产品农药残留证明）等进行验收。 </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11、甲方有权指定乙方在规定时间、地点将配送品种送达，乙方没有按照甲方提出的要求落实，甲方有权拒收、退货且不承担任何责任。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12、甲方有权对不符合标准要求的农副产品作退货处理，乙方在规定时限内补货。 </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13、乙方在送货过程中出现错送、漏送、少送、多送，甲方有权要求乙方按照甲方提出的要求，立即整改，造成的损失由乙方承担。 </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14、甲方对乙方提供的发票有权进行真伪检验，如果发现乙方提供假发票， 甲方将立即终止与乙方的合作，与当月考核挂钩，扣除相应费用，由此造成的经济损失由乙方全部负责，甲方不承担任何法律责任。 </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15、甲方有权对乙方配送的农副产品进行农残和质量检测。 </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16、遇疫情等突发情况，甲方紧急制订相关防控要求，乙方须无条件执行， 拒不执行的，与当月考核挂钩，扣除相应费用，由于乙方不执行相关要求对甲方造成的损失，全部由乙方承担。 </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17、如乙方因疫情封控等因素或所配送的农副产品多次不符合甲方需求，以及甲方有应急保障需要乙方不能满足，甲方有权改用签订合同的其他配送公司紧急保障农副产品需求。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18、乙方要按照甲方规定时间、地点，准时将食材配送到位，不能影响甲方开餐前的准备工作。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19、乙方要按照甲方要求，在食品卫生、质量、防疫等方面严把质量关，从源头杜绝危害食品。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20、乙方提供食品符合国家食品卫生检疫，符合国家农产品质量法，食品药品监督管理法，食品包装上有清楚的食品标识、质检标识、质量标识和生产日期。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21、乙方不能提供腐烂、病变等对人体有害的食品，一经发现，乙方将承担所有经济损失，若甲方在验收时货品质量规格无误，但因甲方在储存过程中操作不当造成的上述货品质量问题，不归属乙方责任。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22、乙方每周提供一次农副产品目录，为甲方了解掌握市场行情和农副产品上新情况提供参考。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23、乙方配送的肉类、禽类必须出具动物防疫检疫部门的相关证明。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24、乙方在供货中严禁出现缺斤少两、以次充好或掺假等现象，一旦发现弄虚作假，情节较轻的，与当月考核挂钩，扣除相应费用，情节较重的，甲方有权终止合同。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25、乙方提供的发票必须是由国家税务部门领取的正规票据，并且发票单位名称和乙方公司名称要一致。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、如有未尽事宜，则由采购人、配送公司另行协商决定。</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三、服务要求：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1.投标人必须确保供应主副食品符合国家无公害食品质量标准和国家食品安全标准，对于没有国家标准的应符合行业标准或企业标准，其中国家有强制性技术标准要求的产品，还应符合国家强制性技术标准。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2.中标人应严格遵守相关法律法规的相关规定，一经发现供应以下食品，除全部退货外，将取消中标人的供货资格，没收全部未结清款项， 中标人并承担由此造成的经济责任和法律责任：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（1）腐败变质、油脂酸败、霉变、生虫、污秽不洁、混有异物或者其他感官性状异常，对人体健康有害的；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（2）含有毒、有害物质或者被有害物质污染，对人体健康有害的；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（3）含有致病性寄生虫 ，微生物或者微生物含量超过国家限定标准的；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（4）未经动物检疫部门检疫、检验或者检疫、检验不合格的肉类及其制品；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（5）病死、毒死或者死因不明的禽、蓄、兽、水产动物等及其制品；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（6）掺假、掺杂、伪造，影响营养、卫生的；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（7）用非食品原料加工的，加入非食品用化学物质或者将非食品当作食品的；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（8）超过保质期限的；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（9）使用有毒塑料制品包装食材的。 </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四、服务承诺： </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乙方在合同约定的期限内选派相对固定的配送人员和车辆，按照甲方服务需求进行配送。</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、违约责任</w:t>
      </w:r>
      <w:r>
        <w:rPr>
          <w:rFonts w:hint="eastAsia" w:ascii="宋体" w:hAnsi="宋体" w:eastAsia="宋体" w:cs="宋体"/>
          <w:b/>
          <w:bCs/>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乙方有以下情况发生，甲方有权中止乙方的承包资格。</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（1）商品短斤缺两、以次充好、擅自提价等经指令整改后还屡有发生；</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（2）因商品质量问题退换三次及其以上；</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发生</w:t>
      </w:r>
      <w:r>
        <w:rPr>
          <w:rFonts w:hint="eastAsia" w:ascii="宋体" w:hAnsi="宋体" w:eastAsia="宋体" w:cs="宋体"/>
          <w:color w:val="auto"/>
          <w:sz w:val="21"/>
          <w:szCs w:val="21"/>
          <w:highlight w:val="none"/>
        </w:rPr>
        <w:t xml:space="preserve">食物中毒等食源性疾病或其他事故；</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（4）乙方不服从或不配合甲方管理人员的工作安排。</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、不可抗力</w:t>
      </w:r>
      <w:r>
        <w:rPr>
          <w:rFonts w:hint="eastAsia" w:ascii="宋体" w:hAnsi="宋体" w:eastAsia="宋体" w:cs="宋体"/>
          <w:b/>
          <w:bCs/>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因不可抗力不能履行合同的，根据不可抗力的影响，部分或者全部免除责任。但合同一方迟延履行后发生不可抗力的，不能免除责任。</w:t>
      </w:r>
      <w:r/>
    </w:p>
    <w:p>
      <w:pPr>
        <w:ind w:right="0" w:firstLine="420"/>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w:t>
      </w:r>
      <w:r>
        <w:rPr>
          <w:rFonts w:hint="eastAsia" w:ascii="宋体" w:hAnsi="宋体" w:eastAsia="宋体" w:cs="宋体"/>
          <w:b w:val="0"/>
          <w:bCs w:val="0"/>
          <w:color w:val="auto"/>
          <w:sz w:val="21"/>
          <w:szCs w:val="21"/>
          <w:highlight w:val="none"/>
        </w:rPr>
        <w:t xml:space="preserve">的损失，并应当在合理期限内提供证明。</w:t>
      </w:r>
      <w:r/>
    </w:p>
    <w:p>
      <w:pPr>
        <w:ind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eastAsia="zh-CN"/>
        </w:rPr>
        <w:t xml:space="preserve">、履约保证金：</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1、乙方应缴纳中标合同总金额</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%的履约保证金，在合同签订前交至甲方指定账户中。</w:t>
      </w:r>
      <w:r>
        <w:rPr>
          <w:rFonts w:hint="eastAsia" w:ascii="宋体" w:hAnsi="宋体" w:eastAsia="宋体" w:cs="宋体"/>
          <w:color w:val="auto"/>
          <w:sz w:val="21"/>
          <w:szCs w:val="21"/>
          <w:highlight w:val="none"/>
          <w:lang w:eastAsia="zh-CN"/>
        </w:rPr>
        <w:t xml:space="preserve">（本项目无须递交履约保证金）</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2、如乙方未能履行合同规定的义务，甲方有权从履约保证金中取得补偿。</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3、履约保证金待合同全部履行完毕后五个工作日内由甲方全额退回（不计息）。</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、索赔</w:t>
      </w:r>
      <w:r>
        <w:rPr>
          <w:rFonts w:hint="eastAsia" w:ascii="宋体" w:hAnsi="宋体" w:eastAsia="宋体" w:cs="宋体"/>
          <w:b/>
          <w:bCs/>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1、甲方有权根据当地产品质量检验机构或其它有权部门出具的检验证书向乙方提出索赔。</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2、在本合同规定的检验期和质量保证期内，如果乙方对甲方提出的索赔或差异有责任，则乙方应按甲方同意的下列一种或多种方式解决索赔事宜：</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2.1、乙方同意退款，并按合同规定的货币将货款退还给甲方，并承担由此发生的一切损失和费用，包括利息、银行手续费、运费、保险费、检验费、仓储费、装卸费以及为保护退回标的物所需的其它必要费用。</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2.2、根据服务和货物的低劣程度、损坏程度以及甲方遭受损失的数额，经双方协商确定降低标的物的价格。</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2.3、用符合规格、质量和</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要求的</w:t>
      </w:r>
      <w:r>
        <w:rPr>
          <w:rFonts w:hint="eastAsia" w:ascii="宋体" w:hAnsi="宋体" w:eastAsia="宋体" w:cs="宋体"/>
          <w:color w:val="auto"/>
          <w:sz w:val="21"/>
          <w:szCs w:val="21"/>
          <w:highlight w:val="none"/>
          <w:lang w:eastAsia="zh-CN"/>
        </w:rPr>
        <w:t xml:space="preserve">原材料</w:t>
      </w:r>
      <w:r>
        <w:rPr>
          <w:rFonts w:hint="eastAsia" w:ascii="宋体" w:hAnsi="宋体" w:eastAsia="宋体" w:cs="宋体"/>
          <w:color w:val="auto"/>
          <w:sz w:val="21"/>
          <w:szCs w:val="21"/>
          <w:highlight w:val="none"/>
        </w:rPr>
        <w:t xml:space="preserve">来更换有缺陷的部分，乙方应承担一切费用和风险并负担甲方所发生的一切直接费用。同时，乙方应按合同规定，相应延长被更换</w:t>
      </w:r>
      <w:r>
        <w:rPr>
          <w:rFonts w:hint="eastAsia" w:ascii="宋体" w:hAnsi="宋体" w:eastAsia="宋体" w:cs="宋体"/>
          <w:color w:val="auto"/>
          <w:sz w:val="21"/>
          <w:szCs w:val="21"/>
          <w:highlight w:val="none"/>
          <w:lang w:eastAsia="zh-CN"/>
        </w:rPr>
        <w:t xml:space="preserve">原材料</w:t>
      </w:r>
      <w:r>
        <w:rPr>
          <w:rFonts w:hint="eastAsia" w:ascii="宋体" w:hAnsi="宋体" w:eastAsia="宋体" w:cs="宋体"/>
          <w:color w:val="auto"/>
          <w:sz w:val="21"/>
          <w:szCs w:val="21"/>
          <w:highlight w:val="none"/>
        </w:rPr>
        <w:t xml:space="preserve">的质量保证期。</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4、甲方提出索赔的书面材料应报政府采购监督管理部门备案。同时乙方同意的索赔方案也应报政府采购监督管理部门备案。</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、合同的解除和转让</w:t>
      </w:r>
      <w:r>
        <w:rPr>
          <w:rFonts w:hint="eastAsia" w:ascii="宋体" w:hAnsi="宋体" w:eastAsia="宋体" w:cs="宋体"/>
          <w:b/>
          <w:bCs/>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1、合同的解除</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1.1有下列情形之一，合同一方可以解除合同：</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1.1.1因不可抗力致使不能实现合同目的，未受不可抗力影响的一方有权解除合同；</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1.1.2因合同一方违约导致合同不能履行，另一方有权解除合同；</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有权解除合同的一方，应当在违约事实或不可抗力发生之后三十天内书面通知对方以主张解除合同，合同在书面通知到达对方时解除。</w:t>
      </w:r>
      <w:r/>
    </w:p>
    <w:p>
      <w:pPr>
        <w:pStyle w:val="936"/>
        <w:numPr>
          <w:ilvl w:val="0"/>
          <w:numId w:val="0"/>
        </w:numPr>
        <w:ind w:right="0" w:firstLine="50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2、合同的终止</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服务期满一年合同自动终止。</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最终</w:t>
      </w:r>
      <w:r>
        <w:rPr>
          <w:rFonts w:hint="eastAsia" w:ascii="宋体" w:hAnsi="宋体" w:eastAsia="宋体" w:cs="宋体"/>
          <w:color w:val="auto"/>
          <w:sz w:val="21"/>
          <w:szCs w:val="21"/>
          <w:highlight w:val="none"/>
          <w:lang w:val="en-US" w:eastAsia="zh-CN"/>
        </w:rPr>
        <w:t xml:space="preserve">结算金额达到142万元合同自动终止。</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、合同的转让</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、合同的生效</w:t>
      </w:r>
      <w:r>
        <w:rPr>
          <w:rFonts w:hint="eastAsia" w:ascii="宋体" w:hAnsi="宋体" w:eastAsia="宋体" w:cs="宋体"/>
          <w:b/>
          <w:bCs/>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本合同在双方签字盖章后即生效。</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、争议解决</w:t>
      </w:r>
      <w:r>
        <w:rPr>
          <w:rFonts w:hint="eastAsia" w:ascii="宋体" w:hAnsi="宋体" w:eastAsia="宋体" w:cs="宋体"/>
          <w:b/>
          <w:bCs/>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甲乙双方因合同发生争议，应在招标代理机构的主持下进行调解，协商不成，任何一方可以向</w:t>
      </w:r>
      <w:r>
        <w:rPr>
          <w:rFonts w:hint="eastAsia" w:ascii="宋体" w:hAnsi="宋体" w:eastAsia="宋体" w:cs="宋体"/>
          <w:color w:val="auto"/>
          <w:sz w:val="21"/>
          <w:szCs w:val="21"/>
          <w:highlight w:val="none"/>
          <w:lang w:val="en-US" w:eastAsia="zh-CN"/>
        </w:rPr>
        <w:t xml:space="preserve">太仓市</w:t>
      </w:r>
      <w:r>
        <w:rPr>
          <w:rFonts w:hint="eastAsia" w:ascii="宋体" w:hAnsi="宋体" w:eastAsia="宋体" w:cs="宋体"/>
          <w:color w:val="auto"/>
          <w:sz w:val="21"/>
          <w:szCs w:val="21"/>
          <w:highlight w:val="none"/>
        </w:rPr>
        <w:t xml:space="preserve">人民法院起诉。</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rPr>
        <w:t xml:space="preserve">、附则</w:t>
      </w:r>
      <w:r>
        <w:rPr>
          <w:rFonts w:hint="eastAsia" w:ascii="宋体" w:hAnsi="宋体" w:eastAsia="宋体" w:cs="宋体"/>
          <w:b/>
          <w:bCs/>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合同份数。</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份，甲方、乙方各两份、招标代理机构一份。</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2、未尽事宜</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中华人民共和国政府采购法》及其它有关法律法规的规定执行。可双方在不违背本合同和招标文件的原则下协商解决，协商结果以书面形式盖章记录在案，作为本合同的附件，与本合同具有同等效力，但需向招标代理机构提交一份备存。</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1"/>
        <w:ind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en-US" w:eastAsia="zh-CN"/>
        </w:rPr>
        <w:t xml:space="preserve">盖</w:t>
      </w:r>
      <w:r>
        <w:rPr>
          <w:rFonts w:hint="eastAsia" w:ascii="宋体" w:hAnsi="宋体" w:eastAsia="宋体" w:cs="宋体"/>
          <w:color w:val="auto"/>
          <w:sz w:val="21"/>
          <w:szCs w:val="21"/>
          <w:highlight w:val="none"/>
        </w:rPr>
        <w:t xml:space="preserve">章：                                  乙方</w:t>
      </w:r>
      <w:r>
        <w:rPr>
          <w:rFonts w:hint="eastAsia" w:ascii="宋体" w:hAnsi="宋体" w:eastAsia="宋体" w:cs="宋体"/>
          <w:color w:val="auto"/>
          <w:sz w:val="21"/>
          <w:szCs w:val="21"/>
          <w:highlight w:val="none"/>
          <w:lang w:val="en-US" w:eastAsia="zh-CN"/>
        </w:rPr>
        <w:t xml:space="preserve">盖</w:t>
      </w:r>
      <w:r>
        <w:rPr>
          <w:rFonts w:hint="eastAsia" w:ascii="宋体" w:hAnsi="宋体" w:eastAsia="宋体" w:cs="宋体"/>
          <w:color w:val="auto"/>
          <w:sz w:val="21"/>
          <w:szCs w:val="21"/>
          <w:highlight w:val="none"/>
        </w:rPr>
        <w:t xml:space="preserve">章：            </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代表人：              </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日期：         </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备案</w:t>
      </w:r>
      <w:r>
        <w:rPr>
          <w:rFonts w:hint="eastAsia" w:ascii="宋体" w:hAnsi="宋体" w:eastAsia="宋体" w:cs="宋体"/>
          <w:color w:val="auto"/>
          <w:sz w:val="21"/>
          <w:szCs w:val="21"/>
          <w:highlight w:val="none"/>
          <w:lang w:val="en-US" w:eastAsia="zh-CN" w:bidi="ar"/>
        </w:rPr>
        <w:t xml:space="preserve">方</w:t>
      </w:r>
      <w:r>
        <w:rPr>
          <w:rFonts w:hint="eastAsia" w:ascii="宋体" w:hAnsi="宋体" w:eastAsia="宋体" w:cs="宋体"/>
          <w:color w:val="auto"/>
          <w:sz w:val="21"/>
          <w:szCs w:val="21"/>
          <w:highlight w:val="none"/>
          <w:lang w:bidi="ar"/>
        </w:rPr>
        <w:t xml:space="preserve">：</w:t>
      </w:r>
      <w:r/>
    </w:p>
    <w:p>
      <w:pPr>
        <w:jc w:val="both"/>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both"/>
        <w:rPr>
          <w:rFonts w:hint="eastAsia"/>
          <w:color w:val="auto"/>
          <w:sz w:val="21"/>
          <w:szCs w:val="21"/>
          <w:highlight w:val="none"/>
        </w:rPr>
      </w:pPr>
      <w:r>
        <w:rPr>
          <w:rFonts w:hint="eastAsia"/>
          <w:color w:val="auto"/>
          <w:sz w:val="21"/>
          <w:szCs w:val="21"/>
          <w:highlight w:val="none"/>
        </w:rPr>
      </w:r>
      <w:r/>
    </w:p>
    <w:p>
      <w:pPr>
        <w:jc w:val="center"/>
        <w:rPr>
          <w:rFonts w:hint="eastAsia"/>
          <w:color w:val="auto"/>
          <w:sz w:val="21"/>
          <w:szCs w:val="21"/>
          <w:highlight w:val="none"/>
        </w:rPr>
      </w:pPr>
      <w:r>
        <w:rPr>
          <w:rFonts w:hint="eastAsia"/>
          <w:color w:val="auto"/>
          <w:sz w:val="21"/>
          <w:szCs w:val="21"/>
          <w:highlight w:val="none"/>
        </w:rPr>
      </w:r>
      <w:r/>
    </w:p>
    <w:p>
      <w:pPr>
        <w:jc w:val="center"/>
        <w:rPr>
          <w:rFonts w:ascii="宋体" w:hAnsi="宋体" w:cs="宋体"/>
          <w:color w:val="auto"/>
          <w:sz w:val="21"/>
          <w:szCs w:val="21"/>
          <w:highlight w:val="none"/>
        </w:rPr>
      </w:pPr>
      <w:r>
        <w:rPr>
          <w:rFonts w:hint="eastAsia"/>
          <w:color w:val="auto"/>
          <w:sz w:val="21"/>
          <w:szCs w:val="21"/>
          <w:highlight w:val="none"/>
        </w:rPr>
        <w:t xml:space="preserve">（全文完)</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58"/>
      </w:rPr>
      <w:framePr w:wrap="around" w:vAnchor="text" w:hAnchor="margin" w:xAlign="center" w:y="2"/>
    </w:pPr>
    <w:r>
      <w:fldChar w:fldCharType="begin"/>
    </w:r>
    <w:r>
      <w:rPr>
        <w:rStyle w:val="958"/>
      </w:rPr>
      <w:instrText xml:space="preserve">PAGE  </w:instrText>
    </w:r>
    <w:r>
      <w:fldChar w:fldCharType="separate"/>
    </w:r>
    <w:r>
      <w:rPr>
        <w:rStyle w:val="958"/>
      </w:rPr>
      <w:t xml:space="preserve">0</w:t>
    </w:r>
    <w:r>
      <w:fldChar w:fldCharType="end"/>
    </w:r>
    <w:r/>
  </w:p>
  <w:p>
    <w:pPr>
      <w:pStyle w:val="94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fldChar w:fldCharType="begin"/>
    </w:r>
    <w:r>
      <w:instrText xml:space="preserve">PAGE   \* MERGEFORMAT</w:instrText>
    </w:r>
    <w:r>
      <w:fldChar w:fldCharType="separate"/>
    </w:r>
    <w:r>
      <w:rPr>
        <w:lang w:val="zh-CN"/>
      </w:rPr>
      <w:t xml:space="preserve">47</w:t>
    </w:r>
    <w:r>
      <w:fldChar w:fldCharType="end"/>
    </w:r>
    <w:r/>
  </w:p>
  <w:p>
    <w:pPr>
      <w:pStyle w:val="9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fldChar w:fldCharType="begin"/>
    </w:r>
    <w:r>
      <w:instrText xml:space="preserve">PAGE   \* MERGEFORMAT</w:instrText>
    </w:r>
    <w:r>
      <w:fldChar w:fldCharType="separate"/>
    </w:r>
    <w:r>
      <w:rPr>
        <w:lang w:val="zh-CN"/>
      </w:rPr>
      <w:t xml:space="preserve">1</w:t>
    </w:r>
    <w: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招标编号： </w:t>
    </w:r>
    <w:r>
      <w:rPr>
        <w:rFonts w:hint="eastAsia"/>
        <w:lang w:eastAsia="zh-CN"/>
      </w:rPr>
      <w:t xml:space="preserve">JSZC-320585-SZTZ-G2024-0015</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JSZC-320585-SZTZ-G2024-0015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20"/>
      <w:isLgl w:val="false"/>
      <w:suff w:val="nothing"/>
      <w:lvlText w:val="%1、"/>
      <w:lvlJc w:val="left"/>
      <w:pPr>
        <w:ind w:left="0" w:firstLine="0"/>
      </w:pPr>
      <w:rPr>
        <w:rFonts w:hint="eastAsia"/>
      </w:rPr>
    </w:lvl>
    <w:lvl w:ilvl="1">
      <w:start w:val="1"/>
      <w:numFmt w:val="chineseCounting"/>
      <w:pStyle w:val="921"/>
      <w:isLgl w:val="false"/>
      <w:suff w:val="nothing"/>
      <w:lvlText w:val="（%2）"/>
      <w:lvlJc w:val="left"/>
      <w:pPr>
        <w:ind w:left="0" w:firstLine="0"/>
      </w:pPr>
      <w:rPr>
        <w:rFonts w:hint="eastAsia"/>
      </w:rPr>
    </w:lvl>
    <w:lvl w:ilvl="2">
      <w:start w:val="1"/>
      <w:numFmt w:val="decimal"/>
      <w:pStyle w:val="922"/>
      <w:isLgl w:val="false"/>
      <w:suff w:val="nothing"/>
      <w:lvlText w:val="%3．"/>
      <w:lvlJc w:val="left"/>
      <w:pPr>
        <w:ind w:left="0" w:firstLine="400"/>
      </w:pPr>
      <w:rPr>
        <w:rFonts w:hint="eastAsia"/>
      </w:rPr>
    </w:lvl>
    <w:lvl w:ilvl="3">
      <w:start w:val="1"/>
      <w:numFmt w:val="decimal"/>
      <w:pStyle w:val="923"/>
      <w:isLgl w:val="false"/>
      <w:suff w:val="nothing"/>
      <w:lvlText w:val="（%4）"/>
      <w:lvlJc w:val="left"/>
      <w:pPr>
        <w:ind w:left="0" w:firstLine="402"/>
      </w:pPr>
      <w:rPr>
        <w:rFonts w:hint="eastAsia"/>
      </w:rPr>
    </w:lvl>
    <w:lvl w:ilvl="4">
      <w:start w:val="1"/>
      <w:numFmt w:val="decimalEnclosedCircleChinese"/>
      <w:pStyle w:val="924"/>
      <w:isLgl w:val="false"/>
      <w:suff w:val="nothing"/>
      <w:lvlText w:val="%5"/>
      <w:lvlJc w:val="left"/>
      <w:pPr>
        <w:ind w:left="0" w:firstLine="402"/>
      </w:pPr>
      <w:rPr>
        <w:rFonts w:hint="eastAsia"/>
      </w:rPr>
    </w:lvl>
    <w:lvl w:ilvl="5">
      <w:start w:val="1"/>
      <w:numFmt w:val="decimal"/>
      <w:pStyle w:val="925"/>
      <w:isLgl w:val="false"/>
      <w:suff w:val="nothing"/>
      <w:lvlText w:val="%6）"/>
      <w:lvlJc w:val="left"/>
      <w:pPr>
        <w:ind w:left="0" w:firstLine="402"/>
      </w:pPr>
      <w:rPr>
        <w:rFonts w:hint="eastAsia"/>
      </w:rPr>
    </w:lvl>
    <w:lvl w:ilvl="6">
      <w:start w:val="1"/>
      <w:numFmt w:val="lowerLetter"/>
      <w:pStyle w:val="926"/>
      <w:isLgl w:val="false"/>
      <w:suff w:val="nothing"/>
      <w:lvlText w:val="%7．"/>
      <w:lvlJc w:val="left"/>
      <w:pPr>
        <w:ind w:left="0" w:firstLine="402"/>
      </w:pPr>
      <w:rPr>
        <w:rFonts w:hint="eastAsia"/>
      </w:rPr>
    </w:lvl>
    <w:lvl w:ilvl="7">
      <w:start w:val="1"/>
      <w:numFmt w:val="lowerLetter"/>
      <w:pStyle w:val="927"/>
      <w:isLgl w:val="false"/>
      <w:suff w:val="nothing"/>
      <w:lvlText w:val="%8）"/>
      <w:lvlJc w:val="left"/>
      <w:pPr>
        <w:ind w:left="0" w:firstLine="402"/>
      </w:pPr>
      <w:rPr>
        <w:rFonts w:hint="eastAsia"/>
      </w:rPr>
    </w:lvl>
    <w:lvl w:ilvl="8">
      <w:start w:val="1"/>
      <w:numFmt w:val="lowerRoman"/>
      <w:pStyle w:val="928"/>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1017"/>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998"/>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29"/>
    <w:link w:val="920"/>
    <w:uiPriority w:val="9"/>
    <w:rPr>
      <w:rFonts w:ascii="Arial" w:hAnsi="Arial" w:eastAsia="Arial" w:cs="Arial"/>
      <w:sz w:val="40"/>
      <w:szCs w:val="40"/>
    </w:rPr>
  </w:style>
  <w:style w:type="character" w:styleId="760">
    <w:name w:val="Heading 2 Char"/>
    <w:basedOn w:val="929"/>
    <w:link w:val="921"/>
    <w:uiPriority w:val="9"/>
    <w:rPr>
      <w:rFonts w:ascii="Arial" w:hAnsi="Arial" w:eastAsia="Arial" w:cs="Arial"/>
      <w:sz w:val="34"/>
    </w:rPr>
  </w:style>
  <w:style w:type="character" w:styleId="761">
    <w:name w:val="Heading 3 Char"/>
    <w:basedOn w:val="929"/>
    <w:link w:val="922"/>
    <w:uiPriority w:val="9"/>
    <w:rPr>
      <w:rFonts w:ascii="Arial" w:hAnsi="Arial" w:eastAsia="Arial" w:cs="Arial"/>
      <w:sz w:val="30"/>
      <w:szCs w:val="30"/>
    </w:rPr>
  </w:style>
  <w:style w:type="character" w:styleId="762">
    <w:name w:val="Heading 4 Char"/>
    <w:basedOn w:val="929"/>
    <w:link w:val="923"/>
    <w:uiPriority w:val="9"/>
    <w:rPr>
      <w:rFonts w:ascii="Arial" w:hAnsi="Arial" w:eastAsia="Arial" w:cs="Arial"/>
      <w:b/>
      <w:bCs/>
      <w:sz w:val="26"/>
      <w:szCs w:val="26"/>
    </w:rPr>
  </w:style>
  <w:style w:type="character" w:styleId="763">
    <w:name w:val="Heading 5 Char"/>
    <w:basedOn w:val="929"/>
    <w:link w:val="924"/>
    <w:uiPriority w:val="9"/>
    <w:rPr>
      <w:rFonts w:ascii="Arial" w:hAnsi="Arial" w:eastAsia="Arial" w:cs="Arial"/>
      <w:b/>
      <w:bCs/>
      <w:sz w:val="24"/>
      <w:szCs w:val="24"/>
    </w:rPr>
  </w:style>
  <w:style w:type="character" w:styleId="764">
    <w:name w:val="Heading 6 Char"/>
    <w:basedOn w:val="929"/>
    <w:link w:val="925"/>
    <w:uiPriority w:val="9"/>
    <w:rPr>
      <w:rFonts w:ascii="Arial" w:hAnsi="Arial" w:eastAsia="Arial" w:cs="Arial"/>
      <w:b/>
      <w:bCs/>
      <w:sz w:val="22"/>
      <w:szCs w:val="22"/>
    </w:rPr>
  </w:style>
  <w:style w:type="character" w:styleId="765">
    <w:name w:val="Heading 7 Char"/>
    <w:basedOn w:val="929"/>
    <w:link w:val="926"/>
    <w:uiPriority w:val="9"/>
    <w:rPr>
      <w:rFonts w:ascii="Arial" w:hAnsi="Arial" w:eastAsia="Arial" w:cs="Arial"/>
      <w:b/>
      <w:bCs/>
      <w:i/>
      <w:iCs/>
      <w:sz w:val="22"/>
      <w:szCs w:val="22"/>
    </w:rPr>
  </w:style>
  <w:style w:type="character" w:styleId="766">
    <w:name w:val="Heading 8 Char"/>
    <w:basedOn w:val="929"/>
    <w:link w:val="927"/>
    <w:uiPriority w:val="9"/>
    <w:rPr>
      <w:rFonts w:ascii="Arial" w:hAnsi="Arial" w:eastAsia="Arial" w:cs="Arial"/>
      <w:i/>
      <w:iCs/>
      <w:sz w:val="22"/>
      <w:szCs w:val="22"/>
    </w:rPr>
  </w:style>
  <w:style w:type="character" w:styleId="767">
    <w:name w:val="Heading 9 Char"/>
    <w:basedOn w:val="929"/>
    <w:link w:val="928"/>
    <w:uiPriority w:val="9"/>
    <w:rPr>
      <w:rFonts w:ascii="Arial" w:hAnsi="Arial" w:eastAsia="Arial" w:cs="Arial"/>
      <w:i/>
      <w:iCs/>
      <w:sz w:val="21"/>
      <w:szCs w:val="21"/>
    </w:rPr>
  </w:style>
  <w:style w:type="paragraph" w:styleId="768">
    <w:name w:val="List Paragraph"/>
    <w:basedOn w:val="919"/>
    <w:uiPriority w:val="34"/>
    <w:qFormat/>
    <w:pPr>
      <w:contextualSpacing/>
      <w:ind w:left="720"/>
    </w:pPr>
  </w:style>
  <w:style w:type="character" w:styleId="769">
    <w:name w:val="Title Char"/>
    <w:basedOn w:val="929"/>
    <w:link w:val="953"/>
    <w:uiPriority w:val="10"/>
    <w:rPr>
      <w:sz w:val="48"/>
      <w:szCs w:val="48"/>
    </w:rPr>
  </w:style>
  <w:style w:type="character" w:styleId="770">
    <w:name w:val="Subtitle Char"/>
    <w:basedOn w:val="929"/>
    <w:link w:val="948"/>
    <w:uiPriority w:val="11"/>
    <w:rPr>
      <w:sz w:val="24"/>
      <w:szCs w:val="24"/>
    </w:rPr>
  </w:style>
  <w:style w:type="paragraph" w:styleId="771">
    <w:name w:val="Quote"/>
    <w:basedOn w:val="919"/>
    <w:next w:val="919"/>
    <w:link w:val="772"/>
    <w:uiPriority w:val="29"/>
    <w:qFormat/>
    <w:pPr>
      <w:ind w:left="720" w:right="720"/>
    </w:pPr>
    <w:rPr>
      <w:i/>
    </w:rPr>
  </w:style>
  <w:style w:type="character" w:styleId="772">
    <w:name w:val="Quote Char"/>
    <w:link w:val="771"/>
    <w:uiPriority w:val="29"/>
    <w:rPr>
      <w:i/>
    </w:rPr>
  </w:style>
  <w:style w:type="paragraph" w:styleId="773">
    <w:name w:val="Intense Quote"/>
    <w:basedOn w:val="919"/>
    <w:next w:val="91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9"/>
    <w:link w:val="945"/>
    <w:uiPriority w:val="99"/>
  </w:style>
  <w:style w:type="character" w:styleId="776">
    <w:name w:val="Footer Char"/>
    <w:basedOn w:val="929"/>
    <w:link w:val="943"/>
    <w:uiPriority w:val="99"/>
  </w:style>
  <w:style w:type="paragraph" w:styleId="777">
    <w:name w:val="Caption"/>
    <w:basedOn w:val="919"/>
    <w:next w:val="919"/>
    <w:uiPriority w:val="35"/>
    <w:semiHidden/>
    <w:unhideWhenUsed/>
    <w:qFormat/>
    <w:pPr>
      <w:spacing w:line="276" w:lineRule="auto"/>
    </w:pPr>
    <w:rPr>
      <w:b/>
      <w:bCs/>
      <w:color w:val="4f81bd" w:themeColor="accent1"/>
      <w:sz w:val="18"/>
      <w:szCs w:val="18"/>
    </w:rPr>
  </w:style>
  <w:style w:type="character" w:styleId="778">
    <w:name w:val="Caption Char"/>
    <w:basedOn w:val="777"/>
    <w:link w:val="943"/>
    <w:uiPriority w:val="99"/>
  </w:style>
  <w:style w:type="table" w:styleId="779">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19"/>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9"/>
    <w:uiPriority w:val="99"/>
    <w:unhideWhenUsed/>
    <w:rPr>
      <w:vertAlign w:val="superscript"/>
    </w:rPr>
  </w:style>
  <w:style w:type="paragraph" w:styleId="907">
    <w:name w:val="endnote text"/>
    <w:basedOn w:val="919"/>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9"/>
    <w:uiPriority w:val="99"/>
    <w:semiHidden/>
    <w:unhideWhenUsed/>
    <w:rPr>
      <w:vertAlign w:val="superscript"/>
    </w:rPr>
  </w:style>
  <w:style w:type="paragraph" w:styleId="910">
    <w:name w:val="toc 2"/>
    <w:basedOn w:val="919"/>
    <w:next w:val="919"/>
    <w:uiPriority w:val="39"/>
    <w:unhideWhenUsed/>
    <w:pPr>
      <w:ind w:left="283" w:right="0" w:firstLine="0"/>
      <w:spacing w:after="57"/>
    </w:pPr>
  </w:style>
  <w:style w:type="paragraph" w:styleId="911">
    <w:name w:val="toc 3"/>
    <w:basedOn w:val="919"/>
    <w:next w:val="919"/>
    <w:uiPriority w:val="39"/>
    <w:unhideWhenUsed/>
    <w:pPr>
      <w:ind w:left="567"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31"/>
    <w:uiPriority w:val="0"/>
    <w:qFormat/>
    <w:rPr>
      <w:rFonts w:ascii="Times New Roman" w:hAnsi="Times New Roman" w:eastAsia="宋体" w:cs="Times New Roman"/>
      <w:sz w:val="24"/>
      <w:szCs w:val="24"/>
      <w:lang w:val="en-US" w:eastAsia="zh-CN" w:bidi="ar-SA"/>
    </w:rPr>
  </w:style>
  <w:style w:type="paragraph" w:styleId="920">
    <w:name w:val="Heading 1"/>
    <w:basedOn w:val="919"/>
    <w:next w:val="919"/>
    <w:link w:val="963"/>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21">
    <w:name w:val="Heading 2"/>
    <w:basedOn w:val="919"/>
    <w:next w:val="919"/>
    <w:link w:val="964"/>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22">
    <w:name w:val="Heading 3"/>
    <w:basedOn w:val="919"/>
    <w:next w:val="932"/>
    <w:uiPriority w:val="0"/>
    <w:qFormat/>
    <w:pPr>
      <w:numPr>
        <w:ilvl w:val="2"/>
        <w:numId w:val="1"/>
      </w:numPr>
      <w:keepLines/>
      <w:keepNext/>
      <w:spacing w:before="260" w:after="260" w:line="416" w:lineRule="auto"/>
      <w:outlineLvl w:val="2"/>
    </w:pPr>
    <w:rPr>
      <w:b/>
      <w:bCs/>
      <w:sz w:val="32"/>
      <w:szCs w:val="32"/>
    </w:rPr>
  </w:style>
  <w:style w:type="paragraph" w:styleId="923">
    <w:name w:val="Heading 4"/>
    <w:basedOn w:val="919"/>
    <w:next w:val="91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24">
    <w:name w:val="Heading 5"/>
    <w:basedOn w:val="919"/>
    <w:next w:val="919"/>
    <w:uiPriority w:val="0"/>
    <w:qFormat/>
    <w:pPr>
      <w:numPr>
        <w:ilvl w:val="4"/>
        <w:numId w:val="1"/>
      </w:numPr>
      <w:keepLines/>
      <w:keepNext/>
      <w:spacing w:before="280" w:after="290" w:line="376" w:lineRule="auto"/>
      <w:outlineLvl w:val="4"/>
    </w:pPr>
    <w:rPr>
      <w:b/>
      <w:bCs/>
      <w:sz w:val="28"/>
      <w:szCs w:val="28"/>
    </w:rPr>
  </w:style>
  <w:style w:type="paragraph" w:styleId="925">
    <w:name w:val="Heading 6"/>
    <w:basedOn w:val="919"/>
    <w:next w:val="919"/>
    <w:uiPriority w:val="0"/>
    <w:qFormat/>
    <w:pPr>
      <w:numPr>
        <w:ilvl w:val="5"/>
        <w:numId w:val="1"/>
      </w:numPr>
      <w:keepLines/>
      <w:keepNext/>
      <w:spacing w:before="240" w:after="64" w:line="320" w:lineRule="auto"/>
      <w:outlineLvl w:val="5"/>
    </w:pPr>
    <w:rPr>
      <w:rFonts w:ascii="Arial" w:hAnsi="Arial" w:eastAsia="黑体"/>
      <w:b/>
      <w:bCs/>
    </w:rPr>
  </w:style>
  <w:style w:type="paragraph" w:styleId="926">
    <w:name w:val="Heading 7"/>
    <w:basedOn w:val="919"/>
    <w:next w:val="919"/>
    <w:uiPriority w:val="0"/>
    <w:qFormat/>
    <w:pPr>
      <w:numPr>
        <w:ilvl w:val="6"/>
        <w:numId w:val="1"/>
      </w:numPr>
      <w:jc w:val="center"/>
      <w:keepLines/>
      <w:keepNext/>
      <w:spacing w:before="30" w:after="10"/>
      <w:outlineLvl w:val="6"/>
    </w:pPr>
    <w:rPr>
      <w:rFonts w:eastAsia="黑体"/>
      <w:lang w:val="zh-CN"/>
    </w:rPr>
  </w:style>
  <w:style w:type="paragraph" w:styleId="927">
    <w:name w:val="Heading 8"/>
    <w:basedOn w:val="926"/>
    <w:next w:val="919"/>
    <w:uiPriority w:val="0"/>
    <w:qFormat/>
    <w:pPr>
      <w:numPr>
        <w:ilvl w:val="7"/>
      </w:numPr>
      <w:keepLines w:val="0"/>
      <w:keepNext w:val="0"/>
      <w:spacing w:before="10" w:after="30"/>
      <w:outlineLvl w:val="7"/>
    </w:pPr>
  </w:style>
  <w:style w:type="paragraph" w:styleId="928">
    <w:name w:val="Heading 9"/>
    <w:basedOn w:val="919"/>
    <w:next w:val="919"/>
    <w:uiPriority w:val="0"/>
    <w:qFormat/>
    <w:pPr>
      <w:numPr>
        <w:ilvl w:val="8"/>
        <w:numId w:val="1"/>
      </w:numPr>
      <w:keepLines/>
      <w:keepNext/>
      <w:spacing w:before="240" w:after="64" w:line="317" w:lineRule="auto"/>
      <w:outlineLvl w:val="8"/>
    </w:pPr>
    <w:rPr>
      <w:rFonts w:ascii="Arial" w:hAnsi="Arial" w:eastAsia="黑体"/>
      <w:sz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customStyle="1">
    <w:name w:val="段"/>
    <w:next w:val="919"/>
    <w:uiPriority w:val="0"/>
    <w:qFormat/>
    <w:pPr>
      <w:ind w:firstLine="200"/>
      <w:jc w:val="both"/>
    </w:pPr>
    <w:rPr>
      <w:rFonts w:ascii="宋体" w:hAnsi="Times New Roman" w:eastAsia="宋体" w:cs="Times New Roman"/>
      <w:sz w:val="21"/>
      <w:szCs w:val="22"/>
      <w:lang w:val="en-US" w:eastAsia="zh-CN" w:bidi="ar-SA"/>
    </w:rPr>
  </w:style>
  <w:style w:type="paragraph" w:styleId="932">
    <w:name w:val="Normal Indent"/>
    <w:basedOn w:val="919"/>
    <w:uiPriority w:val="0"/>
    <w:qFormat/>
    <w:pPr>
      <w:ind w:firstLine="420"/>
      <w:widowControl w:val="off"/>
    </w:pPr>
    <w:rPr>
      <w:rFonts w:eastAsia="楷体_GB2312"/>
      <w:szCs w:val="20"/>
    </w:rPr>
  </w:style>
  <w:style w:type="paragraph" w:styleId="933">
    <w:name w:val="Document Map"/>
    <w:basedOn w:val="919"/>
    <w:link w:val="965"/>
    <w:uiPriority w:val="0"/>
    <w:qFormat/>
    <w:pPr>
      <w:shd w:val="clear" w:color="auto" w:fill="000080"/>
    </w:pPr>
  </w:style>
  <w:style w:type="paragraph" w:styleId="934">
    <w:name w:val="annotation text"/>
    <w:basedOn w:val="919"/>
    <w:uiPriority w:val="0"/>
    <w:qFormat/>
  </w:style>
  <w:style w:type="paragraph" w:styleId="935">
    <w:name w:val="Body Text"/>
    <w:basedOn w:val="919"/>
    <w:next w:val="919"/>
    <w:uiPriority w:val="0"/>
    <w:qFormat/>
    <w:pPr>
      <w:spacing w:after="120"/>
    </w:pPr>
  </w:style>
  <w:style w:type="paragraph" w:styleId="936">
    <w:name w:val="Body Text Indent"/>
    <w:basedOn w:val="919"/>
    <w:next w:val="937"/>
    <w:uiPriority w:val="0"/>
    <w:qFormat/>
    <w:pPr>
      <w:ind w:right="-159" w:firstLine="246"/>
      <w:jc w:val="both"/>
      <w:spacing w:line="240" w:lineRule="atLeast"/>
      <w:widowControl w:val="off"/>
    </w:pPr>
    <w:rPr>
      <w:spacing w:val="20"/>
      <w:sz w:val="21"/>
    </w:rPr>
  </w:style>
  <w:style w:type="paragraph" w:styleId="937">
    <w:name w:val="Body Text First Indent 2"/>
    <w:basedOn w:val="936"/>
    <w:next w:val="919"/>
    <w:uiPriority w:val="99"/>
    <w:qFormat/>
    <w:pPr>
      <w:ind w:firstLine="420"/>
    </w:pPr>
  </w:style>
  <w:style w:type="paragraph" w:styleId="938">
    <w:name w:val="Block Text"/>
    <w:basedOn w:val="91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39">
    <w:name w:val="Plain Text"/>
    <w:basedOn w:val="919"/>
    <w:link w:val="966"/>
    <w:uiPriority w:val="0"/>
    <w:qFormat/>
    <w:rPr>
      <w:rFonts w:ascii="宋体" w:hAnsi="Courier New" w:eastAsia="楷体_GB2312"/>
      <w:sz w:val="26"/>
      <w:szCs w:val="20"/>
    </w:rPr>
  </w:style>
  <w:style w:type="paragraph" w:styleId="940">
    <w:name w:val="Date"/>
    <w:basedOn w:val="919"/>
    <w:next w:val="919"/>
    <w:link w:val="967"/>
    <w:uiPriority w:val="0"/>
    <w:qFormat/>
    <w:pPr>
      <w:ind w:left="100"/>
      <w:jc w:val="both"/>
      <w:widowControl w:val="off"/>
    </w:pPr>
    <w:rPr>
      <w:b/>
      <w:bCs/>
      <w:spacing w:val="20"/>
      <w:sz w:val="21"/>
    </w:rPr>
  </w:style>
  <w:style w:type="paragraph" w:styleId="941">
    <w:name w:val="Body Text Indent 2"/>
    <w:basedOn w:val="919"/>
    <w:uiPriority w:val="0"/>
    <w:qFormat/>
    <w:pPr>
      <w:ind w:firstLine="460"/>
      <w:spacing w:line="360" w:lineRule="auto"/>
    </w:pPr>
    <w:rPr>
      <w:spacing w:val="20"/>
      <w:sz w:val="21"/>
    </w:rPr>
  </w:style>
  <w:style w:type="paragraph" w:styleId="942">
    <w:name w:val="Balloon Text"/>
    <w:basedOn w:val="919"/>
    <w:uiPriority w:val="0"/>
    <w:qFormat/>
    <w:rPr>
      <w:sz w:val="18"/>
      <w:szCs w:val="18"/>
    </w:rPr>
  </w:style>
  <w:style w:type="paragraph" w:styleId="943">
    <w:name w:val="Footer"/>
    <w:basedOn w:val="919"/>
    <w:link w:val="968"/>
    <w:uiPriority w:val="99"/>
    <w:qFormat/>
    <w:pPr>
      <w:widowControl w:val="off"/>
      <w:tabs>
        <w:tab w:val="center" w:pos="4153" w:leader="none"/>
        <w:tab w:val="right" w:pos="8306" w:leader="none"/>
      </w:tabs>
    </w:pPr>
    <w:rPr>
      <w:sz w:val="18"/>
      <w:szCs w:val="18"/>
    </w:rPr>
  </w:style>
  <w:style w:type="paragraph" w:styleId="944">
    <w:name w:val="envelope return"/>
    <w:basedOn w:val="919"/>
    <w:uiPriority w:val="99"/>
    <w:unhideWhenUsed/>
    <w:qFormat/>
    <w:rPr>
      <w:rFonts w:ascii="Arial" w:hAnsi="Arial"/>
    </w:rPr>
  </w:style>
  <w:style w:type="paragraph" w:styleId="945">
    <w:name w:val="Header"/>
    <w:basedOn w:val="919"/>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46">
    <w:name w:val="toc 1"/>
    <w:basedOn w:val="919"/>
    <w:next w:val="919"/>
    <w:uiPriority w:val="0"/>
    <w:qFormat/>
    <w:pPr>
      <w:widowControl w:val="off"/>
    </w:pPr>
    <w:rPr>
      <w:rFonts w:eastAsia="楷体_GB2312"/>
      <w:szCs w:val="20"/>
    </w:rPr>
  </w:style>
  <w:style w:type="paragraph" w:styleId="947">
    <w:name w:val="toc 4"/>
    <w:basedOn w:val="919"/>
    <w:next w:val="919"/>
    <w:uiPriority w:val="39"/>
    <w:unhideWhenUsed/>
    <w:qFormat/>
    <w:pPr>
      <w:ind w:left="1260"/>
    </w:pPr>
  </w:style>
  <w:style w:type="paragraph" w:styleId="948">
    <w:name w:val="Subtitle"/>
    <w:basedOn w:val="919"/>
    <w:next w:val="919"/>
    <w:uiPriority w:val="0"/>
    <w:qFormat/>
    <w:pPr>
      <w:jc w:val="center"/>
      <w:spacing w:before="240" w:after="60" w:line="312" w:lineRule="auto"/>
      <w:outlineLvl w:val="1"/>
    </w:pPr>
    <w:rPr>
      <w:rFonts w:ascii="宋体" w:hAnsi="Courier New" w:eastAsia="楷体_GB2312"/>
      <w:sz w:val="26"/>
      <w:szCs w:val="20"/>
    </w:rPr>
  </w:style>
  <w:style w:type="paragraph" w:styleId="949">
    <w:name w:val="Body Text Indent 3"/>
    <w:basedOn w:val="919"/>
    <w:link w:val="969"/>
    <w:uiPriority w:val="0"/>
    <w:qFormat/>
    <w:pPr>
      <w:ind w:firstLine="480"/>
      <w:spacing w:line="300" w:lineRule="auto"/>
      <w:widowControl w:val="off"/>
    </w:pPr>
  </w:style>
  <w:style w:type="paragraph" w:styleId="950">
    <w:name w:val="Body Text 2"/>
    <w:basedOn w:val="919"/>
    <w:uiPriority w:val="0"/>
    <w:qFormat/>
    <w:pPr>
      <w:spacing w:after="120" w:line="480" w:lineRule="auto"/>
    </w:pPr>
  </w:style>
  <w:style w:type="paragraph" w:styleId="951">
    <w:name w:val="HTML Preformatted"/>
    <w:basedOn w:val="9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52">
    <w:name w:val="Normal (Web)"/>
    <w:basedOn w:val="919"/>
    <w:uiPriority w:val="0"/>
    <w:qFormat/>
    <w:pPr>
      <w:spacing w:before="100" w:beforeAutospacing="1" w:after="100" w:afterAutospacing="1"/>
    </w:pPr>
    <w:rPr>
      <w:rFonts w:ascii="宋体" w:hAnsi="宋体" w:cs="宋体"/>
    </w:rPr>
  </w:style>
  <w:style w:type="paragraph" w:styleId="953">
    <w:name w:val="Title"/>
    <w:basedOn w:val="919"/>
    <w:next w:val="919"/>
    <w:link w:val="970"/>
    <w:uiPriority w:val="0"/>
    <w:qFormat/>
    <w:pPr>
      <w:jc w:val="center"/>
      <w:spacing w:before="240" w:after="60"/>
      <w:outlineLvl w:val="0"/>
    </w:pPr>
    <w:rPr>
      <w:rFonts w:ascii="Cambria" w:hAnsi="Cambria"/>
      <w:b/>
      <w:bCs/>
      <w:sz w:val="32"/>
      <w:szCs w:val="32"/>
    </w:rPr>
  </w:style>
  <w:style w:type="paragraph" w:styleId="954">
    <w:name w:val="annotation subject"/>
    <w:basedOn w:val="934"/>
    <w:next w:val="934"/>
    <w:uiPriority w:val="0"/>
    <w:qFormat/>
    <w:rPr>
      <w:b/>
      <w:bCs/>
    </w:rPr>
  </w:style>
  <w:style w:type="paragraph" w:styleId="955">
    <w:name w:val="Body Text First Indent"/>
    <w:basedOn w:val="935"/>
    <w:uiPriority w:val="0"/>
    <w:qFormat/>
    <w:pPr>
      <w:ind w:firstLine="420"/>
      <w:tabs>
        <w:tab w:val="left" w:pos="5250" w:leader="none"/>
      </w:tabs>
    </w:pPr>
  </w:style>
  <w:style w:type="table" w:styleId="956">
    <w:name w:val="Table Grid"/>
    <w:basedOn w:val="9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name w:val="Strong"/>
    <w:uiPriority w:val="0"/>
    <w:qFormat/>
    <w:rPr>
      <w:b/>
      <w:bCs/>
    </w:rPr>
  </w:style>
  <w:style w:type="character" w:styleId="958">
    <w:name w:val="page number"/>
    <w:uiPriority w:val="0"/>
    <w:qFormat/>
  </w:style>
  <w:style w:type="character" w:styleId="959">
    <w:name w:val="FollowedHyperlink"/>
    <w:uiPriority w:val="0"/>
    <w:qFormat/>
    <w:rPr>
      <w:color w:val="333333"/>
      <w:u w:val="none"/>
    </w:rPr>
  </w:style>
  <w:style w:type="character" w:styleId="960">
    <w:name w:val="Hyperlink"/>
    <w:uiPriority w:val="0"/>
    <w:qFormat/>
    <w:rPr>
      <w:color w:val="333333"/>
      <w:u w:val="none"/>
    </w:rPr>
  </w:style>
  <w:style w:type="character" w:styleId="961">
    <w:name w:val="annotation reference"/>
    <w:uiPriority w:val="0"/>
    <w:qFormat/>
    <w:rPr>
      <w:sz w:val="21"/>
      <w:szCs w:val="21"/>
    </w:rPr>
  </w:style>
  <w:style w:type="paragraph" w:styleId="962" w:customStyle="1">
    <w:name w:val="正文1"/>
    <w:basedOn w:val="919"/>
    <w:next w:val="919"/>
    <w:uiPriority w:val="0"/>
    <w:qFormat/>
    <w:pPr>
      <w:ind w:firstLine="540"/>
    </w:pPr>
    <w:rPr>
      <w:szCs w:val="20"/>
    </w:rPr>
  </w:style>
  <w:style w:type="character" w:styleId="963" w:customStyle="1">
    <w:name w:val="标题 1 字符"/>
    <w:link w:val="920"/>
    <w:uiPriority w:val="0"/>
    <w:qFormat/>
    <w:rPr>
      <w:rFonts w:eastAsia="楷体_GB2312"/>
      <w:b/>
      <w:sz w:val="44"/>
      <w:szCs w:val="20"/>
    </w:rPr>
  </w:style>
  <w:style w:type="character" w:styleId="964" w:customStyle="1">
    <w:name w:val="标题 2 字符"/>
    <w:basedOn w:val="929"/>
    <w:link w:val="921"/>
    <w:uiPriority w:val="9"/>
    <w:qFormat/>
    <w:rPr>
      <w:rFonts w:ascii="Cambria" w:hAnsi="Cambria" w:eastAsia="宋体" w:cs="Times New Roman"/>
      <w:b/>
      <w:bCs/>
      <w:sz w:val="32"/>
      <w:szCs w:val="32"/>
    </w:rPr>
  </w:style>
  <w:style w:type="character" w:styleId="965" w:customStyle="1">
    <w:name w:val="文档结构图 字符"/>
    <w:link w:val="933"/>
    <w:uiPriority w:val="0"/>
    <w:qFormat/>
    <w:rPr>
      <w:sz w:val="24"/>
      <w:szCs w:val="24"/>
      <w:shd w:val="clear" w:color="auto" w:fill="000080"/>
    </w:rPr>
  </w:style>
  <w:style w:type="character" w:styleId="966" w:customStyle="1">
    <w:name w:val="纯文本 字符"/>
    <w:link w:val="939"/>
    <w:uiPriority w:val="0"/>
    <w:qFormat/>
    <w:rPr>
      <w:rFonts w:ascii="宋体" w:hAnsi="Courier New" w:eastAsia="楷体_GB2312"/>
      <w:sz w:val="26"/>
    </w:rPr>
  </w:style>
  <w:style w:type="character" w:styleId="967" w:customStyle="1">
    <w:name w:val="日期 字符"/>
    <w:link w:val="940"/>
    <w:uiPriority w:val="0"/>
    <w:qFormat/>
    <w:rPr>
      <w:b/>
      <w:bCs/>
      <w:spacing w:val="20"/>
      <w:sz w:val="21"/>
      <w:szCs w:val="24"/>
    </w:rPr>
  </w:style>
  <w:style w:type="character" w:styleId="968" w:customStyle="1">
    <w:name w:val="页脚 字符"/>
    <w:link w:val="943"/>
    <w:uiPriority w:val="99"/>
    <w:qFormat/>
    <w:rPr>
      <w:sz w:val="18"/>
      <w:szCs w:val="18"/>
    </w:rPr>
  </w:style>
  <w:style w:type="character" w:styleId="969" w:customStyle="1">
    <w:name w:val="正文文本缩进 3 字符"/>
    <w:link w:val="949"/>
    <w:uiPriority w:val="0"/>
    <w:qFormat/>
    <w:rPr>
      <w:sz w:val="24"/>
      <w:szCs w:val="24"/>
    </w:rPr>
  </w:style>
  <w:style w:type="character" w:styleId="970" w:customStyle="1">
    <w:name w:val="标题 字符"/>
    <w:link w:val="953"/>
    <w:uiPriority w:val="0"/>
    <w:qFormat/>
    <w:rPr>
      <w:rFonts w:ascii="Cambria" w:hAnsi="Cambria" w:cs="Times New Roman"/>
      <w:b/>
      <w:bCs/>
      <w:sz w:val="32"/>
      <w:szCs w:val="32"/>
    </w:rPr>
  </w:style>
  <w:style w:type="character" w:styleId="971" w:customStyle="1">
    <w:name w:val="font31"/>
    <w:basedOn w:val="929"/>
    <w:uiPriority w:val="0"/>
    <w:qFormat/>
    <w:rPr>
      <w:rFonts w:hint="eastAsia" w:ascii="宋体" w:hAnsi="宋体" w:eastAsia="宋体" w:cs="宋体"/>
      <w:color w:val="000000"/>
      <w:sz w:val="21"/>
      <w:szCs w:val="21"/>
      <w:u w:val="none"/>
    </w:rPr>
  </w:style>
  <w:style w:type="character" w:styleId="972" w:customStyle="1">
    <w:name w:val="无"/>
    <w:uiPriority w:val="0"/>
    <w:qFormat/>
  </w:style>
  <w:style w:type="character" w:styleId="973" w:customStyle="1">
    <w:name w:val="apple-converted-space"/>
    <w:uiPriority w:val="0"/>
    <w:qFormat/>
  </w:style>
  <w:style w:type="character" w:styleId="974" w:customStyle="1">
    <w:name w:val="font21"/>
    <w:basedOn w:val="929"/>
    <w:uiPriority w:val="0"/>
    <w:qFormat/>
    <w:rPr>
      <w:rFonts w:hint="eastAsia" w:ascii="宋体" w:hAnsi="宋体" w:eastAsia="宋体" w:cs="宋体"/>
      <w:color w:val="000000"/>
      <w:sz w:val="24"/>
      <w:szCs w:val="24"/>
      <w:u w:val="none"/>
    </w:rPr>
  </w:style>
  <w:style w:type="character" w:styleId="975" w:customStyle="1">
    <w:name w:val="NormalCharacter"/>
    <w:uiPriority w:val="0"/>
    <w:qFormat/>
  </w:style>
  <w:style w:type="character" w:styleId="976" w:customStyle="1">
    <w:name w:val="font11"/>
    <w:uiPriority w:val="0"/>
    <w:qFormat/>
    <w:rPr>
      <w:rFonts w:hint="eastAsia" w:ascii="宋体" w:hAnsi="宋体" w:eastAsia="宋体" w:cs="宋体"/>
      <w:color w:val="000000"/>
      <w:sz w:val="24"/>
      <w:szCs w:val="24"/>
      <w:u w:val="none"/>
    </w:rPr>
  </w:style>
  <w:style w:type="character" w:styleId="977" w:customStyle="1">
    <w:name w:val="font01"/>
    <w:uiPriority w:val="0"/>
    <w:qFormat/>
    <w:rPr>
      <w:rFonts w:hint="eastAsia" w:ascii="宋体" w:hAnsi="宋体" w:eastAsia="宋体" w:cs="宋体"/>
      <w:color w:val="000000"/>
      <w:sz w:val="24"/>
      <w:szCs w:val="24"/>
      <w:u w:val="none"/>
    </w:rPr>
  </w:style>
  <w:style w:type="character" w:styleId="978" w:customStyle="1">
    <w:name w:val="font51"/>
    <w:basedOn w:val="929"/>
    <w:uiPriority w:val="0"/>
    <w:qFormat/>
    <w:rPr>
      <w:rFonts w:hint="eastAsia" w:ascii="宋体" w:hAnsi="宋体" w:eastAsia="宋体" w:cs="宋体"/>
      <w:color w:val="000000"/>
      <w:sz w:val="24"/>
      <w:szCs w:val="24"/>
      <w:u w:val="none"/>
    </w:rPr>
  </w:style>
  <w:style w:type="character" w:styleId="979" w:customStyle="1">
    <w:name w:val="Plain Text Char"/>
    <w:link w:val="980"/>
    <w:uiPriority w:val="0"/>
    <w:qFormat/>
    <w:rPr>
      <w:rFonts w:ascii="宋体" w:hAnsi="Courier New" w:eastAsia="楷体_GB2312"/>
      <w:sz w:val="26"/>
    </w:rPr>
  </w:style>
  <w:style w:type="paragraph" w:styleId="980" w:customStyle="1">
    <w:name w:val="纯文本1"/>
    <w:basedOn w:val="919"/>
    <w:link w:val="979"/>
    <w:uiPriority w:val="0"/>
    <w:qFormat/>
    <w:pPr>
      <w:jc w:val="both"/>
      <w:widowControl w:val="off"/>
    </w:pPr>
    <w:rPr>
      <w:rFonts w:ascii="宋体" w:hAnsi="Courier New" w:eastAsia="楷体_GB2312"/>
      <w:sz w:val="26"/>
      <w:szCs w:val="20"/>
    </w:rPr>
  </w:style>
  <w:style w:type="character" w:styleId="981" w:customStyle="1">
    <w:name w:val="Andy_正文 Char"/>
    <w:link w:val="982"/>
    <w:uiPriority w:val="0"/>
    <w:qFormat/>
    <w:rPr>
      <w:rFonts w:ascii="Calibri" w:hAnsi="Calibri"/>
      <w:sz w:val="24"/>
      <w:szCs w:val="24"/>
    </w:rPr>
  </w:style>
  <w:style w:type="paragraph" w:styleId="982" w:customStyle="1">
    <w:name w:val="Andy_正文"/>
    <w:basedOn w:val="919"/>
    <w:link w:val="981"/>
    <w:uiPriority w:val="0"/>
    <w:qFormat/>
    <w:pPr>
      <w:ind w:firstLine="480"/>
      <w:jc w:val="both"/>
      <w:spacing w:line="360" w:lineRule="auto"/>
      <w:widowControl w:val="off"/>
    </w:pPr>
    <w:rPr>
      <w:rFonts w:ascii="Calibri" w:hAnsi="Calibri"/>
    </w:rPr>
  </w:style>
  <w:style w:type="paragraph" w:styleId="983" w:customStyle="1">
    <w:name w:val="H-TextFormat"/>
    <w:uiPriority w:val="0"/>
    <w:qFormat/>
    <w:rPr>
      <w:rFonts w:ascii="Arial" w:hAnsi="Arial" w:eastAsia="宋体" w:cs="Times New Roman"/>
      <w:sz w:val="22"/>
      <w:lang w:val="en-GB" w:eastAsia="en-US" w:bidi="ar-SA"/>
    </w:rPr>
  </w:style>
  <w:style w:type="paragraph" w:styleId="984" w:customStyle="1">
    <w:name w:val="Char1"/>
    <w:basedOn w:val="919"/>
    <w:uiPriority w:val="0"/>
    <w:qFormat/>
    <w:pPr>
      <w:jc w:val="both"/>
      <w:widowControl w:val="off"/>
    </w:pPr>
    <w:rPr>
      <w:rFonts w:ascii="Tahoma" w:hAnsi="Tahoma"/>
      <w:szCs w:val="20"/>
    </w:rPr>
  </w:style>
  <w:style w:type="paragraph" w:styleId="985" w:customStyle="1">
    <w:name w:val="_Style 12"/>
    <w:basedOn w:val="933"/>
    <w:uiPriority w:val="0"/>
    <w:qFormat/>
    <w:pPr>
      <w:spacing w:line="360" w:lineRule="auto"/>
    </w:pPr>
  </w:style>
  <w:style w:type="paragraph" w:styleId="986" w:customStyle="1">
    <w:name w:val="Table Paragraph"/>
    <w:basedOn w:val="919"/>
    <w:uiPriority w:val="1"/>
    <w:qFormat/>
    <w:pPr>
      <w:widowControl w:val="off"/>
    </w:pPr>
    <w:rPr>
      <w:rFonts w:ascii="宋体" w:hAnsi="宋体" w:cs="宋体"/>
      <w:sz w:val="22"/>
      <w:szCs w:val="22"/>
      <w:lang w:val="zh-CN" w:bidi="zh-CN"/>
    </w:rPr>
  </w:style>
  <w:style w:type="paragraph" w:styleId="987" w:customStyle="1">
    <w:name w:val="_Style 25"/>
    <w:basedOn w:val="919"/>
    <w:uiPriority w:val="0"/>
    <w:qFormat/>
    <w:pPr>
      <w:spacing w:after="160" w:line="240" w:lineRule="exact"/>
    </w:pPr>
    <w:rPr>
      <w:szCs w:val="20"/>
    </w:rPr>
  </w:style>
  <w:style w:type="paragraph" w:styleId="988" w:customStyle="1">
    <w:name w:val="纯文本11"/>
    <w:basedOn w:val="919"/>
    <w:uiPriority w:val="0"/>
    <w:qFormat/>
    <w:pPr>
      <w:jc w:val="both"/>
      <w:widowControl w:val="off"/>
    </w:pPr>
    <w:rPr>
      <w:rFonts w:ascii="宋体" w:hAnsi="Courier New" w:eastAsia="楷体_GB2312"/>
      <w:sz w:val="28"/>
      <w:szCs w:val="20"/>
    </w:rPr>
  </w:style>
  <w:style w:type="paragraph" w:styleId="989" w:customStyle="1">
    <w:name w:val="样式1"/>
    <w:basedOn w:val="919"/>
    <w:uiPriority w:val="0"/>
    <w:qFormat/>
    <w:pPr>
      <w:jc w:val="center"/>
    </w:pPr>
  </w:style>
  <w:style w:type="paragraph" w:styleId="990"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991" w:customStyle="1">
    <w:name w:val="Char Char Char1 Char Char Char Char"/>
    <w:basedOn w:val="919"/>
    <w:uiPriority w:val="0"/>
    <w:qFormat/>
    <w:pPr>
      <w:spacing w:after="160" w:line="240" w:lineRule="exact"/>
    </w:pPr>
  </w:style>
  <w:style w:type="paragraph" w:styleId="992" w:customStyle="1">
    <w:name w:val="表正文"/>
    <w:basedOn w:val="919"/>
    <w:next w:val="936"/>
    <w:uiPriority w:val="0"/>
    <w:qFormat/>
    <w:pPr>
      <w:ind w:left="420"/>
      <w:spacing w:after="120"/>
    </w:pPr>
    <w:rPr>
      <w:sz w:val="21"/>
    </w:rPr>
  </w:style>
  <w:style w:type="paragraph" w:styleId="993" w:customStyle="1">
    <w:name w:val="Char Char Char Char Char Char Char Char Char Char"/>
    <w:basedOn w:val="919"/>
    <w:uiPriority w:val="0"/>
    <w:qFormat/>
    <w:pPr>
      <w:ind w:left="795" w:hanging="360"/>
      <w:jc w:val="both"/>
      <w:widowControl w:val="off"/>
      <w:tabs>
        <w:tab w:val="left" w:pos="795" w:leader="none"/>
      </w:tabs>
    </w:pPr>
  </w:style>
  <w:style w:type="paragraph" w:styleId="994" w:customStyle="1">
    <w:name w:val="Char1 Char Char Char"/>
    <w:basedOn w:val="919"/>
    <w:uiPriority w:val="0"/>
    <w:qFormat/>
    <w:pPr>
      <w:jc w:val="both"/>
      <w:widowControl w:val="off"/>
    </w:pPr>
    <w:rPr>
      <w:sz w:val="21"/>
    </w:rPr>
  </w:style>
  <w:style w:type="paragraph" w:styleId="99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96">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99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98" w:customStyle="1">
    <w:name w:val="Andy_2级"/>
    <w:basedOn w:val="919"/>
    <w:uiPriority w:val="0"/>
    <w:qFormat/>
    <w:pPr>
      <w:numPr>
        <w:ilvl w:val="1"/>
        <w:numId w:val="2"/>
      </w:numPr>
      <w:ind w:left="0" w:firstLine="510"/>
      <w:spacing w:line="360" w:lineRule="auto"/>
    </w:pPr>
    <w:rPr>
      <w:rFonts w:ascii="Calibri" w:hAnsi="Calibri"/>
      <w:szCs w:val="20"/>
    </w:rPr>
  </w:style>
  <w:style w:type="paragraph" w:styleId="999" w:customStyle="1">
    <w:name w:val="p16"/>
    <w:basedOn w:val="919"/>
    <w:uiPriority w:val="0"/>
    <w:qFormat/>
    <w:rPr>
      <w:rFonts w:ascii="宋体" w:hAnsi="宋体" w:cs="宋体"/>
      <w:sz w:val="26"/>
      <w:szCs w:val="26"/>
    </w:rPr>
  </w:style>
  <w:style w:type="paragraph" w:styleId="1000" w:customStyle="1">
    <w:name w:val="纯文本3"/>
    <w:basedOn w:val="919"/>
    <w:uiPriority w:val="0"/>
    <w:qFormat/>
    <w:rPr>
      <w:rFonts w:ascii="宋体" w:hAnsi="Courier New"/>
      <w:sz w:val="26"/>
    </w:rPr>
  </w:style>
  <w:style w:type="paragraph" w:styleId="1001" w:customStyle="1">
    <w:name w:val="Char Char Char"/>
    <w:basedOn w:val="919"/>
    <w:uiPriority w:val="0"/>
    <w:qFormat/>
    <w:pPr>
      <w:ind w:left="795" w:hanging="360"/>
      <w:jc w:val="both"/>
      <w:widowControl w:val="off"/>
      <w:tabs>
        <w:tab w:val="left" w:pos="795" w:leader="none"/>
      </w:tabs>
    </w:pPr>
  </w:style>
  <w:style w:type="paragraph" w:styleId="1002" w:customStyle="1">
    <w:name w:val="样式2"/>
    <w:basedOn w:val="989"/>
    <w:uiPriority w:val="0"/>
    <w:qFormat/>
    <w:rPr>
      <w:sz w:val="21"/>
    </w:rPr>
  </w:style>
  <w:style w:type="paragraph" w:styleId="1003" w:customStyle="1">
    <w:name w:val="f正文"/>
    <w:basedOn w:val="919"/>
    <w:uiPriority w:val="0"/>
    <w:qFormat/>
    <w:pPr>
      <w:ind w:firstLine="200"/>
    </w:pPr>
  </w:style>
  <w:style w:type="paragraph" w:styleId="1004" w:customStyle="1">
    <w:name w:val="_Style 3"/>
    <w:basedOn w:val="919"/>
    <w:uiPriority w:val="0"/>
    <w:qFormat/>
    <w:pPr>
      <w:ind w:left="795" w:hanging="360"/>
      <w:jc w:val="both"/>
      <w:widowControl w:val="off"/>
      <w:tabs>
        <w:tab w:val="left" w:pos="540" w:leader="none"/>
      </w:tabs>
    </w:pPr>
  </w:style>
  <w:style w:type="paragraph" w:styleId="1005" w:customStyle="1">
    <w:name w:val="Char Char Char Char Char Char Char Char Char1 Char"/>
    <w:basedOn w:val="933"/>
    <w:uiPriority w:val="0"/>
    <w:qFormat/>
    <w:pPr>
      <w:jc w:val="both"/>
      <w:spacing w:line="360" w:lineRule="auto"/>
      <w:widowControl w:val="off"/>
    </w:pPr>
    <w:rPr>
      <w:rFonts w:ascii="Tahoma" w:hAnsi="Tahoma"/>
    </w:rPr>
  </w:style>
  <w:style w:type="paragraph" w:styleId="1006" w:customStyle="1">
    <w:name w:val="纯文本5"/>
    <w:basedOn w:val="919"/>
    <w:uiPriority w:val="0"/>
    <w:qFormat/>
    <w:rPr>
      <w:rFonts w:ascii="宋体" w:hAnsi="Courier New" w:eastAsia="楷体_GB2312"/>
      <w:sz w:val="28"/>
      <w:szCs w:val="20"/>
    </w:rPr>
  </w:style>
  <w:style w:type="paragraph" w:styleId="1007" w:customStyle="1">
    <w:name w:val="p18"/>
    <w:basedOn w:val="919"/>
    <w:uiPriority w:val="0"/>
    <w:qFormat/>
    <w:pPr>
      <w:ind w:firstLine="420"/>
    </w:pPr>
  </w:style>
  <w:style w:type="paragraph" w:styleId="1008" w:customStyle="1">
    <w:name w:val="纯文本2"/>
    <w:basedOn w:val="919"/>
    <w:uiPriority w:val="0"/>
    <w:qFormat/>
    <w:rPr>
      <w:rFonts w:ascii="宋体" w:hAnsi="Courier New"/>
    </w:rPr>
  </w:style>
  <w:style w:type="paragraph" w:styleId="1009" w:customStyle="1">
    <w:name w:val="Char Char2"/>
    <w:basedOn w:val="933"/>
    <w:uiPriority w:val="0"/>
    <w:qFormat/>
    <w:pPr>
      <w:spacing w:line="360" w:lineRule="auto"/>
    </w:pPr>
  </w:style>
  <w:style w:type="paragraph" w:styleId="1010" w:customStyle="1">
    <w:name w:val="_Style 5"/>
    <w:basedOn w:val="919"/>
    <w:uiPriority w:val="0"/>
    <w:qFormat/>
    <w:pPr>
      <w:spacing w:after="160" w:line="240" w:lineRule="exact"/>
    </w:pPr>
    <w:rPr>
      <w:szCs w:val="20"/>
    </w:rPr>
  </w:style>
  <w:style w:type="paragraph" w:styleId="1011" w:customStyle="1">
    <w:name w:val="Char Char Char Char"/>
    <w:basedOn w:val="933"/>
    <w:uiPriority w:val="0"/>
    <w:qFormat/>
    <w:pPr>
      <w:jc w:val="both"/>
      <w:spacing w:line="360" w:lineRule="auto"/>
      <w:widowControl w:val="off"/>
    </w:pPr>
    <w:rPr>
      <w:szCs w:val="20"/>
    </w:rPr>
  </w:style>
  <w:style w:type="paragraph" w:styleId="1012" w:customStyle="1">
    <w:name w:val="p0"/>
    <w:basedOn w:val="919"/>
    <w:uiPriority w:val="0"/>
    <w:qFormat/>
  </w:style>
  <w:style w:type="paragraph" w:styleId="1013" w:customStyle="1">
    <w:name w:val="Char Char Char Char Char Char Char Char Char1 Char1"/>
    <w:basedOn w:val="933"/>
    <w:uiPriority w:val="0"/>
    <w:qFormat/>
    <w:pPr>
      <w:jc w:val="both"/>
      <w:spacing w:line="360" w:lineRule="auto"/>
      <w:widowControl w:val="off"/>
    </w:pPr>
    <w:rPr>
      <w:rFonts w:ascii="Tahoma" w:hAnsi="Tahoma"/>
    </w:rPr>
  </w:style>
  <w:style w:type="paragraph" w:styleId="1014" w:customStyle="1">
    <w:name w:val="列出段落1"/>
    <w:basedOn w:val="919"/>
    <w:uiPriority w:val="0"/>
    <w:qFormat/>
    <w:pPr>
      <w:ind w:firstLine="420"/>
    </w:pPr>
    <w:rPr>
      <w:rFonts w:ascii="Calibri" w:hAnsi="Calibri" w:cs="Calibri"/>
      <w:szCs w:val="22"/>
    </w:rPr>
  </w:style>
  <w:style w:type="paragraph" w:styleId="1015" w:customStyle="1">
    <w:name w:val="纯文本111"/>
    <w:basedOn w:val="919"/>
    <w:uiPriority w:val="0"/>
    <w:qFormat/>
    <w:rPr>
      <w:rFonts w:ascii="宋体" w:hAnsi="Courier New"/>
    </w:rPr>
  </w:style>
  <w:style w:type="paragraph" w:styleId="1016" w:customStyle="1">
    <w:name w:val="列表段落1"/>
    <w:basedOn w:val="919"/>
    <w:uiPriority w:val="0"/>
    <w:qFormat/>
    <w:pPr>
      <w:ind w:firstLine="420"/>
      <w:jc w:val="both"/>
      <w:widowControl w:val="off"/>
    </w:pPr>
    <w:rPr>
      <w:rFonts w:ascii="Calibri" w:hAnsi="Calibri"/>
      <w:sz w:val="21"/>
      <w:szCs w:val="22"/>
    </w:rPr>
  </w:style>
  <w:style w:type="paragraph" w:styleId="1017" w:customStyle="1">
    <w:name w:val="Char Char3"/>
    <w:basedOn w:val="919"/>
    <w:uiPriority w:val="0"/>
    <w:qFormat/>
    <w:pPr>
      <w:numPr>
        <w:ilvl w:val="0"/>
        <w:numId w:val="3"/>
      </w:numPr>
      <w:jc w:val="both"/>
      <w:widowControl w:val="off"/>
    </w:pPr>
  </w:style>
  <w:style w:type="paragraph" w:styleId="1018" w:customStyle="1">
    <w:name w:val="Char"/>
    <w:basedOn w:val="919"/>
    <w:uiPriority w:val="0"/>
    <w:qFormat/>
    <w:pPr>
      <w:jc w:val="both"/>
      <w:widowControl w:val="off"/>
    </w:pPr>
    <w:rPr>
      <w:rFonts w:ascii="Tahoma" w:hAnsi="Tahoma" w:cs="Tahoma"/>
    </w:rPr>
  </w:style>
  <w:style w:type="paragraph" w:styleId="1019" w:customStyle="1">
    <w:name w:val="01 章标"/>
    <w:basedOn w:val="919"/>
    <w:uiPriority w:val="0"/>
    <w:qFormat/>
    <w:pPr>
      <w:ind w:firstLine="883"/>
      <w:jc w:val="center"/>
      <w:outlineLvl w:val="0"/>
    </w:pPr>
    <w:rPr>
      <w:b/>
      <w:sz w:val="44"/>
      <w:szCs w:val="44"/>
    </w:rPr>
  </w:style>
  <w:style w:type="paragraph" w:styleId="1020" w:customStyle="1">
    <w:name w:val="首行缩进"/>
    <w:basedOn w:val="919"/>
    <w:uiPriority w:val="0"/>
    <w:qFormat/>
    <w:pPr>
      <w:ind w:firstLine="480"/>
    </w:pPr>
    <w:rPr>
      <w:rFonts w:eastAsia="楷体_GB2312"/>
      <w:sz w:val="26"/>
      <w:szCs w:val="20"/>
      <w:lang w:val="zh-CN"/>
    </w:rPr>
  </w:style>
  <w:style w:type="paragraph" w:styleId="1021" w:customStyle="1">
    <w:name w:val="Other|1"/>
    <w:basedOn w:val="919"/>
    <w:uiPriority w:val="0"/>
    <w:qFormat/>
    <w:pPr>
      <w:spacing w:line="306" w:lineRule="exact"/>
    </w:pPr>
    <w:rPr>
      <w:rFonts w:ascii="宋体" w:hAnsi="宋体" w:cs="宋体"/>
      <w:sz w:val="20"/>
      <w:szCs w:val="20"/>
      <w:lang w:val="zh-TW" w:eastAsia="zh-TW" w:bidi="zh-TW"/>
    </w:rPr>
  </w:style>
  <w:style w:type="paragraph" w:styleId="1022" w:customStyle="1">
    <w:name w:val="Plain Text1"/>
    <w:basedOn w:val="919"/>
    <w:uiPriority w:val="0"/>
    <w:qFormat/>
    <w:rPr>
      <w:rFonts w:hint="eastAsia" w:ascii="宋体" w:hAnsi="Courier New"/>
    </w:rPr>
  </w:style>
  <w:style w:type="paragraph" w:styleId="1023" w:customStyle="1">
    <w:name w:val="正文2"/>
    <w:basedOn w:val="919"/>
    <w:uiPriority w:val="0"/>
    <w:qFormat/>
    <w:pPr>
      <w:ind w:firstLine="200"/>
      <w:spacing w:after="160" w:line="360" w:lineRule="auto"/>
    </w:pPr>
    <w:rPr>
      <w:rFonts w:ascii="Verdana" w:hAnsi="Verdana" w:eastAsia="黑体"/>
      <w:sz w:val="21"/>
      <w:szCs w:val="20"/>
      <w:lang w:eastAsia="en-US"/>
    </w:rPr>
  </w:style>
  <w:style w:type="paragraph" w:styleId="1024" w:customStyle="1">
    <w:name w:val="图片格式"/>
    <w:basedOn w:val="919"/>
    <w:uiPriority w:val="0"/>
    <w:qFormat/>
    <w:pPr>
      <w:jc w:val="center"/>
      <w:tabs>
        <w:tab w:val="center" w:pos="4153" w:leader="none"/>
        <w:tab w:val="right" w:pos="8306" w:leader="none"/>
      </w:tabs>
    </w:pPr>
    <w:rPr>
      <w:rFonts w:cs="宋体"/>
      <w:szCs w:val="20"/>
    </w:rPr>
  </w:style>
  <w:style w:type="paragraph" w:styleId="1025" w:customStyle="1">
    <w:name w:val="p17"/>
    <w:basedOn w:val="919"/>
    <w:uiPriority w:val="0"/>
    <w:qFormat/>
    <w:pPr>
      <w:jc w:val="both"/>
    </w:pPr>
    <w:rPr>
      <w:rFonts w:ascii="宋体" w:hAnsi="宋体" w:cs="宋体"/>
      <w:sz w:val="26"/>
      <w:szCs w:val="26"/>
    </w:rPr>
  </w:style>
  <w:style w:type="paragraph" w:styleId="1026" w:customStyle="1">
    <w:name w:val="Char2"/>
    <w:basedOn w:val="933"/>
    <w:uiPriority w:val="0"/>
    <w:qFormat/>
    <w:pPr>
      <w:jc w:val="both"/>
      <w:spacing w:line="360" w:lineRule="auto"/>
      <w:widowControl w:val="off"/>
    </w:pPr>
    <w:rPr>
      <w:sz w:val="21"/>
    </w:rPr>
  </w:style>
  <w:style w:type="paragraph" w:styleId="1027" w:customStyle="1">
    <w:name w:val="无间隔1"/>
    <w:uiPriority w:val="1"/>
    <w:qFormat/>
    <w:rPr>
      <w:rFonts w:ascii="微软雅黑." w:hAnsi="微软雅黑." w:eastAsia="宋体" w:cs="Times New Roman"/>
      <w:sz w:val="22"/>
      <w:szCs w:val="22"/>
      <w:lang w:val="en-US" w:eastAsia="zh-CN" w:bidi="ar-SA"/>
    </w:rPr>
  </w:style>
  <w:style w:type="paragraph" w:styleId="1028" w:customStyle="1">
    <w:name w:val="方案正文"/>
    <w:basedOn w:val="919"/>
    <w:uiPriority w:val="0"/>
    <w:qFormat/>
    <w:pPr>
      <w:spacing w:line="440" w:lineRule="atLeast"/>
    </w:pPr>
  </w:style>
  <w:style w:type="paragraph" w:styleId="1029" w:customStyle="1">
    <w:name w:val="*正文"/>
    <w:basedOn w:val="919"/>
    <w:uiPriority w:val="0"/>
    <w:qFormat/>
    <w:rPr>
      <w:rFonts w:ascii="宋体" w:hAnsi="宋体"/>
      <w:lang w:val="zh-CN"/>
    </w:rPr>
  </w:style>
  <w:style w:type="paragraph" w:styleId="1030" w:customStyle="1">
    <w:name w:val="正文首行缩进 21"/>
    <w:basedOn w:val="936"/>
    <w:uiPriority w:val="99"/>
    <w:qFormat/>
    <w:pPr>
      <w:ind w:firstLine="420"/>
    </w:pPr>
  </w:style>
  <w:style w:type="paragraph" w:styleId="1031" w:customStyle="1">
    <w:name w:val="普通正文"/>
    <w:basedOn w:val="919"/>
    <w:uiPriority w:val="0"/>
    <w:qFormat/>
    <w:pPr>
      <w:ind w:firstLine="480"/>
      <w:spacing w:before="120" w:after="120" w:line="360" w:lineRule="auto"/>
    </w:pPr>
    <w:rPr>
      <w:rFonts w:ascii="Arial" w:hAnsi="Arial" w:cs="Arial"/>
    </w:rPr>
  </w:style>
  <w:style w:type="paragraph" w:styleId="1032" w:customStyle="1">
    <w:name w:val="_Style 7"/>
    <w:basedOn w:val="935"/>
    <w:next w:val="955"/>
    <w:uiPriority w:val="0"/>
    <w:qFormat/>
    <w:pPr>
      <w:ind w:firstLine="420"/>
    </w:pPr>
    <w:rPr>
      <w:rFonts w:ascii="Calibri" w:hAnsi="Calibri"/>
    </w:rPr>
  </w:style>
  <w:style w:type="paragraph" w:styleId="1033" w:customStyle="1">
    <w:name w:val="目录 51"/>
    <w:next w:val="919"/>
    <w:uiPriority w:val="0"/>
    <w:qFormat/>
    <w:pPr>
      <w:ind w:left="1275"/>
      <w:jc w:val="both"/>
    </w:pPr>
    <w:rPr>
      <w:rFonts w:ascii="Times New Roman" w:hAnsi="Times New Roman" w:eastAsia="宋体" w:cs="Times New Roman"/>
      <w:sz w:val="21"/>
      <w:lang w:val="en-US" w:eastAsia="zh-CN" w:bidi="ar-SA"/>
    </w:rPr>
  </w:style>
  <w:style w:type="paragraph" w:styleId="1034" w:customStyle="1">
    <w:name w:val="列表段落11"/>
    <w:basedOn w:val="919"/>
    <w:uiPriority w:val="34"/>
    <w:qFormat/>
    <w:pPr>
      <w:ind w:firstLine="420"/>
    </w:pPr>
  </w:style>
  <w:style w:type="paragraph" w:styleId="1035" w:customStyle="1">
    <w:name w:val="Table Text"/>
    <w:basedOn w:val="919"/>
    <w:uiPriority w:val="0"/>
    <w:semiHidden/>
    <w:qFormat/>
    <w:rPr>
      <w:rFonts w:ascii="宋体" w:hAnsi="宋体" w:cs="宋体"/>
      <w:sz w:val="21"/>
      <w:szCs w:val="21"/>
      <w:lang w:eastAsia="en-US"/>
    </w:rPr>
  </w:style>
  <w:style w:type="table" w:styleId="1036" w:customStyle="1">
    <w:name w:val="Table Normal"/>
    <w:uiPriority w:val="0"/>
    <w:semiHidden/>
    <w:unhideWhenUsed/>
    <w:qFormat/>
    <w:tblPr>
      <w:tblCellMar>
        <w:left w:w="0" w:type="dxa"/>
        <w:top w:w="0" w:type="dxa"/>
        <w:right w:w="0" w:type="dxa"/>
        <w:bottom w:w="0" w:type="dxa"/>
      </w:tblCellMar>
    </w:tblPr>
  </w:style>
  <w:style w:type="paragraph" w:styleId="1037"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4</cp:revision>
  <dcterms:created xsi:type="dcterms:W3CDTF">2024-04-25T08:17:00Z</dcterms:created>
  <dcterms:modified xsi:type="dcterms:W3CDTF">2024-05-29T03:11:15Z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7ABACAE0E5B9489387AB961817C3249D_13</vt:lpwstr>
  </property>
</Properties>
</file>