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项目编号：JSZC-320000-UTCC-G2024-0014</w:t>
      </w:r>
      <w:r/>
    </w:p>
    <w:p>
      <w:pPr>
        <w:ind w:left="0" w:right="0" w:firstLine="96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96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96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8"/>
        </w:rPr>
        <w:t xml:space="preserve">面向工业互联网的虚拟货币“挖矿”治理公共服务平台采购项目</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招 标 文 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招标人：江苏省未来网络创新研究院</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招标代理机构：中邮通建设咨询有限公司</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2024年05月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line="170"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570" w:history="1">
        <w:r>
          <w:rPr>
            <w:rStyle w:val="808"/>
            <w:rFonts w:ascii="FangSong" w:hAnsi="FangSong" w:eastAsia="FangSong" w:cs="FangSong"/>
            <w:color w:val="0000ee"/>
            <w:sz w:val="24"/>
            <w:u w:val="single"/>
          </w:rPr>
          <w:t xml:space="preserve">第一章</w:t>
        </w:r>
        <w:r>
          <w:rPr>
            <w:rStyle w:val="808"/>
            <w:rFonts w:ascii="FangSong" w:hAnsi="FangSong" w:eastAsia="FangSong" w:cs="FangSong"/>
            <w:color w:val="0000ee"/>
            <w:sz w:val="24"/>
            <w:u w:val="none"/>
          </w:rPr>
          <w:t xml:space="preserve"> </w:t>
        </w:r>
        <w:r>
          <w:rPr>
            <w:rStyle w:val="808"/>
            <w:rFonts w:ascii="FangSong" w:hAnsi="FangSong" w:eastAsia="FangSong" w:cs="FangSong"/>
            <w:color w:val="0000ee"/>
            <w:sz w:val="24"/>
            <w:u w:val="single"/>
          </w:rPr>
          <w:t xml:space="preserve">招标公告</w:t>
        </w:r>
      </w:hyperlink>
      <w:r/>
      <w:r/>
    </w:p>
    <w:p>
      <w:pPr>
        <w:ind w:left="0" w:right="0" w:firstLine="420"/>
        <w:jc w:val="both"/>
        <w:spacing w:before="0" w:after="0" w:line="170"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152" w:history="1">
        <w:r>
          <w:rPr>
            <w:rStyle w:val="808"/>
            <w:rFonts w:ascii="FangSong" w:hAnsi="FangSong" w:eastAsia="FangSong" w:cs="FangSong"/>
            <w:color w:val="0000ee"/>
            <w:sz w:val="24"/>
            <w:u w:val="single"/>
          </w:rPr>
          <w:t xml:space="preserve">第二章</w:t>
        </w:r>
        <w:r>
          <w:rPr>
            <w:rStyle w:val="808"/>
            <w:rFonts w:ascii="FangSong" w:hAnsi="FangSong" w:eastAsia="FangSong" w:cs="FangSong"/>
            <w:color w:val="0000ee"/>
            <w:sz w:val="24"/>
            <w:u w:val="none"/>
          </w:rPr>
          <w:t xml:space="preserve"> </w:t>
        </w:r>
        <w:r>
          <w:rPr>
            <w:rStyle w:val="808"/>
            <w:rFonts w:ascii="FangSong" w:hAnsi="FangSong" w:eastAsia="FangSong" w:cs="FangSong"/>
            <w:color w:val="0000ee"/>
            <w:sz w:val="24"/>
            <w:u w:val="single"/>
          </w:rPr>
          <w:t xml:space="preserve">供应商须知</w:t>
        </w:r>
      </w:hyperlink>
      <w:r/>
      <w:r/>
    </w:p>
    <w:p>
      <w:pPr>
        <w:ind w:left="0" w:right="0" w:firstLine="420"/>
        <w:jc w:val="both"/>
        <w:spacing w:before="0" w:after="0" w:line="170"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7995" w:history="1">
        <w:r>
          <w:rPr>
            <w:rStyle w:val="808"/>
            <w:rFonts w:ascii="FangSong" w:hAnsi="FangSong" w:eastAsia="FangSong" w:cs="FangSong"/>
            <w:color w:val="0000ee"/>
            <w:sz w:val="24"/>
            <w:u w:val="single"/>
          </w:rPr>
          <w:t xml:space="preserve">第三章评标标准</w:t>
        </w:r>
      </w:hyperlink>
      <w:r/>
      <w:r/>
    </w:p>
    <w:p>
      <w:pPr>
        <w:ind w:left="0" w:right="0" w:firstLine="420"/>
        <w:jc w:val="both"/>
        <w:spacing w:before="0" w:after="0" w:line="17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3396" w:history="1">
        <w:r>
          <w:rPr>
            <w:rStyle w:val="808"/>
            <w:rFonts w:ascii="FangSong" w:hAnsi="FangSong" w:eastAsia="FangSong" w:cs="FangSong"/>
            <w:color w:val="0000ee"/>
            <w:sz w:val="24"/>
            <w:u w:val="single"/>
          </w:rPr>
          <w:t xml:space="preserve">第四章</w:t>
        </w:r>
        <w:r>
          <w:rPr>
            <w:rStyle w:val="808"/>
            <w:rFonts w:ascii="FangSong" w:hAnsi="FangSong" w:eastAsia="FangSong" w:cs="FangSong"/>
            <w:color w:val="0000ee"/>
            <w:sz w:val="24"/>
            <w:u w:val="none"/>
          </w:rPr>
          <w:t xml:space="preserve"> </w:t>
        </w:r>
        <w:r>
          <w:rPr>
            <w:rStyle w:val="808"/>
            <w:rFonts w:ascii="FangSong" w:hAnsi="FangSong" w:eastAsia="FangSong" w:cs="FangSong"/>
            <w:color w:val="0000ee"/>
            <w:sz w:val="24"/>
            <w:u w:val="single"/>
          </w:rPr>
          <w:t xml:space="preserve">采购需求</w:t>
        </w:r>
      </w:hyperlink>
      <w:r/>
      <w:r/>
    </w:p>
    <w:p>
      <w:pPr>
        <w:ind w:left="0" w:right="0" w:firstLine="420"/>
        <w:jc w:val="both"/>
        <w:spacing w:before="0" w:after="0" w:line="17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598" w:history="1">
        <w:r>
          <w:rPr>
            <w:rStyle w:val="808"/>
            <w:rFonts w:ascii="FangSong" w:hAnsi="FangSong" w:eastAsia="FangSong" w:cs="FangSong"/>
            <w:color w:val="0000ee"/>
            <w:sz w:val="24"/>
            <w:u w:val="single"/>
          </w:rPr>
          <w:t xml:space="preserve">第五章</w:t>
        </w:r>
        <w:r>
          <w:rPr>
            <w:rStyle w:val="808"/>
            <w:rFonts w:ascii="FangSong" w:hAnsi="FangSong" w:eastAsia="FangSong" w:cs="FangSong"/>
            <w:color w:val="0000ee"/>
            <w:sz w:val="24"/>
            <w:u w:val="none"/>
          </w:rPr>
          <w:t xml:space="preserve"> </w:t>
        </w:r>
        <w:r>
          <w:rPr>
            <w:rStyle w:val="808"/>
            <w:rFonts w:ascii="FangSong" w:hAnsi="FangSong" w:eastAsia="FangSong" w:cs="FangSong"/>
            <w:color w:val="0000ee"/>
            <w:sz w:val="24"/>
            <w:u w:val="single"/>
          </w:rPr>
          <w:t xml:space="preserve">主要条款及格式</w:t>
        </w:r>
      </w:hyperlink>
      <w:r/>
      <w:r/>
    </w:p>
    <w:p>
      <w:pPr>
        <w:ind w:left="0" w:right="0" w:firstLine="420"/>
        <w:jc w:val="both"/>
        <w:spacing w:before="0" w:after="0" w:line="17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647" w:history="1">
        <w:r>
          <w:rPr>
            <w:rStyle w:val="808"/>
            <w:rFonts w:ascii="FangSong" w:hAnsi="FangSong" w:eastAsia="FangSong" w:cs="FangSong"/>
            <w:color w:val="0000ee"/>
            <w:sz w:val="24"/>
            <w:u w:val="single"/>
          </w:rPr>
          <w:t xml:space="preserve">第六章</w:t>
        </w:r>
        <w:r>
          <w:rPr>
            <w:rStyle w:val="808"/>
            <w:rFonts w:ascii="FangSong" w:hAnsi="FangSong" w:eastAsia="FangSong" w:cs="FangSong"/>
            <w:color w:val="0000ee"/>
            <w:sz w:val="24"/>
            <w:u w:val="none"/>
          </w:rPr>
          <w:t xml:space="preserve"> </w:t>
        </w:r>
        <w:r>
          <w:rPr>
            <w:rStyle w:val="808"/>
            <w:rFonts w:ascii="FangSong" w:hAnsi="FangSong" w:eastAsia="FangSong" w:cs="FangSong"/>
            <w:color w:val="0000ee"/>
            <w:sz w:val="24"/>
            <w:u w:val="single"/>
          </w:rPr>
          <w:t xml:space="preserve">附件</w:t>
        </w:r>
      </w:hyperlink>
      <w:r/>
      <w:r/>
    </w:p>
    <w:p>
      <w:pPr>
        <w:ind w:left="0" w:right="0" w:firstLine="560"/>
        <w:jc w:val="both"/>
        <w:spacing w:before="0" w:after="0" w:line="1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723"/>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第一章</w:t>
      </w:r>
      <w:r>
        <w:rPr>
          <w:rFonts w:ascii="FangSong" w:hAnsi="FangSong" w:eastAsia="FangSong" w:cs="FangSong"/>
          <w:b/>
          <w:color w:val="000000"/>
          <w:sz w:val="24"/>
        </w:rPr>
        <w:t xml:space="preserve">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项目概况:面向工业互联网的虚拟货币“挖矿”治理公共服务平台采购项目;</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u w:val="single"/>
        </w:rPr>
        <w:t xml:space="preserve">面向工业互联网的虚拟货币“挖矿”治理公共服务平台采购项目</w:t>
      </w:r>
      <w:r>
        <w:rPr>
          <w:rFonts w:ascii="FangSong" w:hAnsi="FangSong" w:eastAsia="FangSong" w:cs="FangSong"/>
          <w:color w:val="000000"/>
          <w:sz w:val="24"/>
        </w:rPr>
        <w:t xml:space="preserve">的潜在投标人应在（</w:t>
      </w:r>
      <w:r>
        <w:rPr>
          <w:rFonts w:ascii="FangSong" w:hAnsi="FangSong" w:eastAsia="FangSong" w:cs="FangSong"/>
          <w:color w:val="000000"/>
          <w:sz w:val="24"/>
          <w:u w:val="single"/>
        </w:rPr>
        <w:t xml:space="preserve">南京市鼓楼区南祖师庵7号和顺楼4楼403室 </w:t>
      </w:r>
      <w:r>
        <w:rPr>
          <w:rFonts w:ascii="FangSong" w:hAnsi="FangSong" w:eastAsia="FangSong" w:cs="FangSong"/>
          <w:color w:val="000000"/>
          <w:sz w:val="24"/>
        </w:rPr>
        <w:t xml:space="preserve">）获取招标文件，并于2024年6月17日14点30分（北京时间）前递交投标文件。</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1.1项目编号：JSZC-320000-UTCC-G2024-0014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1.2项目名称：面向工业互联网的虚拟货币“挖矿”治理公共服务平台采购项目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1.3预算金额：150万元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1.4最高限价：</w:t>
      </w:r>
      <w:r>
        <w:rPr>
          <w:rFonts w:ascii="FangSong" w:hAnsi="FangSong" w:eastAsia="FangSong" w:cs="FangSong"/>
          <w:color w:val="000000"/>
          <w:sz w:val="24"/>
        </w:rPr>
        <w:t xml:space="preserve">本项目设置最高限价，最高限价为150万元，投标人的含税报价超过最高限价及分项报价（详见采购需求）超过分项最高限价，均否决其投标。</w:t>
      </w:r>
      <w:r>
        <w:rPr>
          <w:sz w:val="22"/>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1.5采购需求</w:t>
      </w:r>
      <w:r>
        <w:rPr>
          <w:rFonts w:ascii="FangSong" w:hAnsi="FangSong" w:eastAsia="FangSong" w:cs="FangSong"/>
          <w:color w:val="000000"/>
          <w:sz w:val="24"/>
          <w:u w:val="none"/>
        </w:rPr>
        <w:t xml:space="preserve">：</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34"/>
        <w:gridCol w:w="2668"/>
        <w:gridCol w:w="813"/>
        <w:gridCol w:w="1007"/>
        <w:gridCol w:w="2108"/>
      </w:tblGrid>
      <w:tr>
        <w:trPr>
          <w:trHeight w:val="7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8" w:type="dxa"/>
            <w:vAlign w:val="center"/>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分项最高限价（万元）</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域名解析数据分析系统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信息核查系统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智能流量分析系统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1.6交货时间期限：在合同签订后20天内完成所有软件的部署。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1.7保修期：3年，从验收完成之日起。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1.8本项目不接受联合体投标。</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二、★申请人的资格要求：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2.1满足《中华人民共和国政府采购法》第二十二条规定，并提供下列材料</w:t>
      </w:r>
      <w:r>
        <w:rPr>
          <w:rFonts w:ascii="FangSong" w:hAnsi="FangSong" w:eastAsia="FangSong" w:cs="FangSong"/>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1、法人或者其他组织的营业执照等证明文件，自然人的身份证明（复印件并加盖公章）。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2、上一年度的年度财务状况报告（复印件并加盖公章，成立不满一年不需提供）。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3、依法缴纳税收和社会保障资金的相关材料（距提交投标文件截止之日前一年内任意一月相关证明材料复印件并加盖公章）。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4、具备履行合同所必需的设备和专业技术能力的书面声明。</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5、供应商在参加政府采购活动前3年内因违法经营被禁止在一定期限内参加政府采购活动，期限届满的，可以参加政府采购活动。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w:t>
      </w:r>
      <w:r>
        <w:rPr>
          <w:rFonts w:ascii="FangSong" w:hAnsi="FangSong" w:eastAsia="FangSong" w:cs="FangSong"/>
          <w:color w:val="000000"/>
          <w:sz w:val="24"/>
        </w:rPr>
        <w:t xml:space="preserve"> 单位负责人为同一人或者存在直接控股、管理关系的不同供应商，不得参加同一合同项下的政府采购活动。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w:t>
      </w:r>
      <w:r>
        <w:rPr>
          <w:rFonts w:ascii="FangSong" w:hAnsi="FangSong" w:eastAsia="FangSong" w:cs="FangSong"/>
          <w:color w:val="000000"/>
          <w:sz w:val="24"/>
        </w:rPr>
        <w:t xml:space="preserve">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w:t>
      </w:r>
      <w:r>
        <w:rPr>
          <w:rFonts w:ascii="FangSong" w:hAnsi="FangSong" w:eastAsia="FangSong" w:cs="FangSong"/>
          <w:color w:val="000000"/>
          <w:sz w:val="24"/>
        </w:rPr>
        <w:t xml:space="preserve"> 供应商应当从采购代理机构合法获得招标项目的招标文件。</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w:t>
      </w:r>
      <w:r>
        <w:rPr>
          <w:rFonts w:ascii="FangSong" w:hAnsi="FangSong" w:eastAsia="FangSong" w:cs="FangSong"/>
          <w:color w:val="000000"/>
          <w:sz w:val="24"/>
        </w:rPr>
        <w:t xml:space="preserve"> 勘察现场或答疑：无</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w:t>
      </w:r>
      <w:r>
        <w:rPr>
          <w:rFonts w:ascii="FangSong" w:hAnsi="FangSong" w:eastAsia="FangSong" w:cs="FangSong"/>
          <w:color w:val="000000"/>
          <w:sz w:val="24"/>
        </w:rPr>
        <w:t xml:space="preserve">.落实政府采购政策需满足的资格要求：无</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w:t>
      </w:r>
      <w:r>
        <w:rPr>
          <w:rFonts w:ascii="FangSong" w:hAnsi="FangSong" w:eastAsia="FangSong" w:cs="FangSong"/>
          <w:color w:val="000000"/>
          <w:sz w:val="24"/>
        </w:rPr>
        <w:t xml:space="preserve">是否接受进口货物投标：否</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w:t>
      </w:r>
      <w:r>
        <w:rPr>
          <w:rFonts w:ascii="FangSong" w:hAnsi="FangSong" w:eastAsia="FangSong" w:cs="FangSong"/>
          <w:color w:val="000000"/>
          <w:sz w:val="24"/>
        </w:rPr>
        <w:t xml:space="preserve">本项目的特定资格要求：无</w:t>
      </w:r>
      <w:r/>
    </w:p>
    <w:p>
      <w:pPr>
        <w:pStyle w:val="652"/>
        <w:numPr>
          <w:ilvl w:val="1"/>
          <w:numId w:val="1"/>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（1）招标文件获取时间：2024年5月28日上午9时至2024年6月03日下午17时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（2）招标文件获取方式：投标人向招标人了解有关信息并有意购买招标文件的，应登录“邮E招”电子招标采购平台（https://www.youezhao.cn/）的 “帮助中心”下载《供应商操作手册》并注册，注册完成后在平台内选择本项目报名，然后按照提示下载招标文件。选择项目必须在招标文件获取时间内完成；</w:t>
      </w:r>
      <w:r/>
    </w:p>
    <w:p>
      <w:pPr>
        <w:pStyle w:val="652"/>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投标文件接收开始时间：2024年6月17日下午14:00（北京时间）；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投标文件接收截止时间：2024年6月17日下午14:30（北京时间）；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投标文件接收地点：南京市鼓楼区南祖师庵7号和顺楼407。</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五、公告期限</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自公告发布之日起5个工作日。</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提供电子版投标文件1份（一般应为PDF格式、U盘形式（单独封装）、随纸质正本文件一并提交）。当电子版文件和纸质正本文件不一致时，以纸质正本文件为准。电子版文件用于辅助评标和存档，投标人需承担前述不一致造成的不利后果。</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招标人：江苏省未来网络创新研究院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 南京市江宁区秣周东路12号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联系人：徐工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电话：025-57926635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招标代理机构：中邮通建设咨询有限公司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联系人：张璐（报名联系人）、高凌静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电话：18338685528、18502525380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邮政编码：210003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电子邮箱：18652522530@163.com</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地址：南京市鼓楼区南祖师庵7号和顺楼403室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第二章 </w:t>
      </w:r>
      <w:r>
        <w:rPr>
          <w:rFonts w:ascii="FangSong" w:hAnsi="FangSong" w:eastAsia="FangSong" w:cs="FangSong"/>
          <w:b/>
          <w:color w:val="000000"/>
          <w:sz w:val="24"/>
          <w:u w:val="none"/>
        </w:rPr>
        <w:t xml:space="preserve">供应商须知</w:t>
      </w:r>
      <w:r/>
    </w:p>
    <w:p>
      <w:pPr>
        <w:ind w:left="0" w:right="0" w:firstLine="4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 则</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1、适用法律</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2、定义</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2.1“采购人”是指依法进行政府采购的国家机关、事业单位、团体组织。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2.2“供应商（供应商）”是指参加投标竞争，并符合招标文件规定资格条件的法人、其他组织或者自然人。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2.3“采购代理机构”是指集中采购机构和集中采购机构以外的采购代理机构，集中采购机构以外的采购代理机构，是从事采购代理业务的社会中介机构。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2.4“货物和服务”指本招标文件中所述产品及相关服务。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2.5“用户或使用单位”是指使用货物，接受服务的单位。</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3、政策功能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3.1中小企业政策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小企业应当符合《政府采购促进中小企业发展暂行办法》（财库〔2011〕181号）第二条、《关于政府采购支持监狱企业发展有关问题的通知》（财库〔2014〕68号）第一条或《关于促进残疾人就业政府采购政策的通知》（财库〔2017〕141号）第一条的规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（5）中小企业依据《政府采购促进中小企业发展暂行办法》（财库〔2011〕181号）规定的政策获取政府采购合同后，小型、微型企业不得分包或转包给大型、中型企业，中型企业不得分包或转包给大型企业。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3.2节能产品政策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（1）拟采购产品属于节能产品政府采购清单规定必须强制采购的，实行强制采购。</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（2）拟采购产品属于节能产品政府采购清单规定优先采购的，在技术、服务等指标同等条件下，实行优先采购，优先采购的评审标准详见本招标文件第三章。</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（3）参加政府采购活动的节能产品供应商应当提供产品在《节能产品政府采购清单》中相应的页面。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3.3环境标志产品政策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（1）拟采购产品属于环境标志产品政府采购清单规定优先采购的，在性能、技术、服务等指标同等条件下，实行优先采购，优先采购的评审标准详见本招标文件第三章。</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（2）参加政府采购活动的环境标志产品应当提供产品在《环境标志产品政府采购清单》中相应的页面。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3.4进口产品政策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（1）除招标公告载明接受进口产品参加外，不允许进口产品参加。进口产品认定依照《财政部关于政府采购进口产品管理有关问题的通知》（财办库〔2008〕248号）的规定。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（2）允许进口产品参加的，满足需求的国内产品可以参加。</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（3）允许进口产品参加的，优先采购向我国企业转让技术、与我国企业签订消化吸收再创新方案的供应商的进口产品。</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3.5未按要求提供相关材料的，不享受相关政策。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3.6招标文件中要求的产品品牌或型号，是采购人根据项目所要实现的功能推荐的品牌或型号，仅供供应商参考，并不是限制条件。</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二、招标文件构成</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4、招标文件组成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招标文件包括以下主要内容：投标邀请；供应商须知（包括投标文件的密封、签署、盖章要求等）；供应商应当提交的资格、资信证明文件；为落实政府采购政策，采购标的需满足的要求，以及供应商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w:t>
      </w:r>
      <w:r>
        <w:rPr>
          <w:rFonts w:ascii="FangSong" w:hAnsi="FangSong" w:eastAsia="FangSong" w:cs="FangSong"/>
          <w:color w:val="000000"/>
          <w:sz w:val="24"/>
        </w:rPr>
        <w:t xml:space="preserve">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招标的最小单位是包。招标货物数量及技术要求中未分包的，供应商对要求提供的货物和服务不得部分投标；招标货物数量及技术要求中已经分包的，可以以包为单位投标。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 采购代理机构如果要求供应商按照招标文件规定提交备选供应商案的，供应商可以提交备选方案；否则，备选方案将被拒绝。</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5、招标文件的澄清或者修改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5.2采购人或者采购代理机构在招标文件要求提交投标文件截止时间三日前，有权决定延长投标截止时间和开标时间，并在原采购信息发布媒体上发布变更公告。</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三、投标文件的编制</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6、投标文件的语言、计量单位、货币和编制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6.2供应商所使用的计量单位应为国家法定计量单位。</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6.3供应商应用人民币报价。投标产品如果是进口产品的，应提供人民币与</w:t>
      </w:r>
      <w:r>
        <w:rPr>
          <w:rFonts w:ascii="FangSong" w:hAnsi="FangSong" w:eastAsia="FangSong" w:cs="FangSong"/>
          <w:b/>
          <w:color w:val="000000"/>
          <w:sz w:val="24"/>
        </w:rPr>
        <w:t xml:space="preserve">外币之间的汇率；报价单位为“元”。</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6.4投标文件应字迹清楚、内容齐全、不得涂改。如有修改，修改处须有供应商公章或投标专用章和法定代表人或其授权的供应商代表签字。</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6.5投标文件应按照招标文件规定的顺序，统一用A4规格幅面打印、装订成册并编制目录，由于编排混乱导致投标文件被误读或查找不到，责任由供应商承担。</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6.6供应商应在投标文件中写清相应的项目编号、项目名称、供应商全称、地址、电话、传真等。</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6.7供应商根据招标文件载明的标的采购项目实际情况，拟在中标后将中标项目的非主体、非关键性工作交由他人完成的，应当在投标文件中载明。</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7、投标文件的组成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7.1供应商应当根据招标文件要求编制投标文件，投标文件应对招标文件提出的要求和条件作出实质性响应，并在《商务条款偏离表》和《技术规格偏离表》等处逐条标明满足与否。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 投标文件由商务部分、技术部分、价格部分以及其他部分组成。</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8、投标文件的商务部分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8.1商务部分是证明供应商有资格参加投标和中标后有能力履行合同的文件，这些文件应能满足招标的要求，包括但不限于下列文件（</w:t>
      </w:r>
      <w:r>
        <w:rPr>
          <w:rFonts w:ascii="FangSong" w:hAnsi="FangSong" w:eastAsia="FangSong" w:cs="FangSong"/>
          <w:b/>
          <w:color w:val="000000"/>
          <w:sz w:val="24"/>
        </w:rPr>
        <w:t xml:space="preserve">（1）-（5）所述材料如提供不全或不满足招标文件的实质性要求，评标委员会有权否决供应商的投标</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（1）投标函（投标申请及声明）（</w:t>
      </w:r>
      <w:r>
        <w:rPr>
          <w:rFonts w:ascii="FangSong" w:hAnsi="FangSong" w:eastAsia="FangSong" w:cs="FangSong"/>
          <w:b/>
          <w:color w:val="000000"/>
          <w:sz w:val="24"/>
        </w:rPr>
        <w:t xml:space="preserve">格式见附件</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（2）法定代表人授权委托书及委托代理人的身份证明文件的复印件（</w:t>
      </w:r>
      <w:r>
        <w:rPr>
          <w:rFonts w:ascii="FangSong" w:hAnsi="FangSong" w:eastAsia="FangSong" w:cs="FangSong"/>
          <w:b/>
          <w:color w:val="000000"/>
          <w:sz w:val="24"/>
        </w:rPr>
        <w:t xml:space="preserve">格式见附件</w:t>
      </w:r>
      <w:r>
        <w:rPr>
          <w:rFonts w:ascii="FangSong" w:hAnsi="FangSong" w:eastAsia="FangSong" w:cs="FangSong"/>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（3）供应商资格资信证明文件：</w:t>
      </w:r>
      <w:r/>
    </w:p>
    <w:p>
      <w:pPr>
        <w:numPr>
          <w:ilvl w:val="1"/>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第一章投标邀请中 3.1《中华人民共和国政府采购法》规定的资格条件证明文件；</w:t>
      </w:r>
      <w:r/>
    </w:p>
    <w:p>
      <w:pPr>
        <w:numPr>
          <w:ilvl w:val="1"/>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第一章投标邀请中 3.2 采购人根据采购项目的特殊要求规定的特定条件证明文件；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（4）开标一览表（</w:t>
      </w:r>
      <w:r>
        <w:rPr>
          <w:rFonts w:ascii="FangSong" w:hAnsi="FangSong" w:eastAsia="FangSong" w:cs="FangSong"/>
          <w:b/>
          <w:color w:val="000000"/>
          <w:sz w:val="24"/>
        </w:rPr>
        <w:t xml:space="preserve">格式见附件</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（5）《商务条款偏离表》；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（6）分项报价表（</w:t>
      </w:r>
      <w:r>
        <w:rPr>
          <w:rFonts w:ascii="FangSong" w:hAnsi="FangSong" w:eastAsia="FangSong" w:cs="FangSong"/>
          <w:b/>
          <w:color w:val="000000"/>
          <w:sz w:val="24"/>
        </w:rPr>
        <w:t xml:space="preserve">格式见附件</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（7）第三章评标标准中对应的其它所需证明材料（如有自行添加）；</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（8）要求采购人提供的配合（如有自拟并自行添加）；</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（9）其它（供应商认为有必要提供的声明和文件，如有，自行拟定并添加）。</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9、投标文件的技术部分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（1）技术说明或服务方案；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（4）供应商拟投入本项目的设备、人员情况一览表；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（5）供应商认为需要提供的其他技术资料。</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10、投标文件的价格部分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10.1价格部分是对采购标的价格构成的说明，招标文件如无特别说明，每一项货物及服务仅接受一个价格。</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10.2报价应包含本次招标标的有关的所有费用，以及技术资料、支付给员工的工资和国家强制缴纳的各种社会保障资金，以及供应商认为需要的其他费用等</w:t>
      </w:r>
      <w:r>
        <w:rPr>
          <w:rFonts w:ascii="FangSong" w:hAnsi="FangSong" w:eastAsia="FangSong" w:cs="FangSong"/>
          <w:b/>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10.3供应商的任何错漏、优惠、竞争性报价不得作为减轻责任、减少服务、增加收费、降低质量的理由。</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FangSong" w:hAnsi="FangSong" w:eastAsia="FangSong" w:cs="FangSong"/>
          <w:b/>
          <w:color w:val="000000"/>
          <w:sz w:val="24"/>
        </w:rPr>
        <w:t xml:space="preserve">无效投标处理</w:t>
      </w:r>
      <w:r>
        <w:rPr>
          <w:rFonts w:ascii="FangSong" w:hAnsi="FangSong" w:eastAsia="FangSong" w:cs="FangSong"/>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 供应商应在《开标一览表》、《分项报价》等标明投标货物和服务的单价、总价以及分项报价。供应商系</w:t>
      </w:r>
      <w:r>
        <w:rPr>
          <w:rFonts w:ascii="FangSong" w:hAnsi="FangSong" w:eastAsia="FangSong" w:cs="FangSong"/>
          <w:b/>
          <w:color w:val="000000"/>
          <w:sz w:val="24"/>
        </w:rPr>
        <w:t xml:space="preserve">小型、微型企业，并提供本企业制造的货物、承担的工程或者服务，</w:t>
      </w:r>
      <w:r>
        <w:rPr>
          <w:rFonts w:ascii="FangSong" w:hAnsi="FangSong" w:eastAsia="FangSong" w:cs="FangSong"/>
          <w:color w:val="000000"/>
          <w:sz w:val="24"/>
        </w:rPr>
        <w:t xml:space="preserve">或者提供其他小型、微型企业制造的货物，须在《开标一览表》、《分项报价》中注明。</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 《开标一览表》一式两份，一份装订在投标文件中，一份单独封装，并标明“开标一览表”字样，随投标文件一并递交，以便唱标时使用。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10.7本项目预算为：详见第一章</w:t>
      </w:r>
      <w:r>
        <w:rPr>
          <w:rFonts w:ascii="FangSong" w:hAnsi="FangSong" w:eastAsia="FangSong" w:cs="FangSong"/>
          <w:color w:val="000000"/>
          <w:sz w:val="24"/>
        </w:rPr>
        <w:t xml:space="preserve">。</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11、投标文件的其他部分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其他部分由供应商根据编制投标文件需要提供的其他相关文件组成。</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12、投标保证金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本项目不适用。</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13、投标有效期</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自开标之日起</w:t>
      </w:r>
      <w:r>
        <w:rPr>
          <w:rFonts w:ascii="FangSong" w:hAnsi="FangSong" w:eastAsia="FangSong" w:cs="FangSong"/>
          <w:b/>
          <w:color w:val="000000"/>
          <w:sz w:val="24"/>
        </w:rPr>
        <w:t xml:space="preserve">90</w:t>
      </w:r>
      <w:r>
        <w:rPr>
          <w:rFonts w:ascii="FangSong" w:hAnsi="FangSong" w:eastAsia="FangSong" w:cs="FangSong"/>
          <w:color w:val="000000"/>
          <w:sz w:val="24"/>
        </w:rPr>
        <w:t xml:space="preserve">天内投标有效</w:t>
      </w:r>
      <w:r>
        <w:rPr>
          <w:rFonts w:ascii="FangSong" w:hAnsi="FangSong" w:eastAsia="FangSong" w:cs="FangSong"/>
          <w:b/>
          <w:color w:val="000000"/>
          <w:sz w:val="24"/>
        </w:rPr>
        <w:t xml:space="preserve">，投标有效期从提交投标文件的截止之日起算。投标文件中承诺的投标有效期应当不少于招标文件中载明的投标有效期。</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特殊情况下，在原投标有效期截止之前，采购代理机构可要求供应商同意延长投标有效期，这种要求与答复均应以书面形式提交。接受延长投标有效期的供应商将不会要求和允许修正其投标。</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14、投标文件签署</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投标文件的正本和副本均应由供应商法人代表或经正式授权并对供应商有约束力的委托代理人签字，如果它们之间内容有差异，则以正本为准。</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15、投标费用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供应商应承担所有与准备和参加投标有关的费用，无论采购结果如何，采购代理机构和采购人在任何情况下均无义务和责任承担这些费用。</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15.2 招标代理服务费：</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纳金额：由中标人支付。招标代理服务费根据《国家计委关于印发〈招标代理服务收费管理暂行办法〉的通知（计价格[2002]1980号文）》、《国家发展改革委办公厅关于招标代理服务收费有关问题的通知（发改办价格[2003]857号文）》和《国家发展改革委关于降低部分建设项目收费标准规范收费行为等有关问题的通知（发改价格[2011]534号文》的规定下浮45%（即5.5折）计算。</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交纳方式：R银行电汇R网银汇款</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交纳时限：中标人在领取中标通知书时须向招标代理支付中标服务费。</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15.3开标公证费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本项目不适用。</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四、投标文件的递交</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16、投标文件的密封和递交</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16.1供应商的投标文件一式贰份（正本一份、副本一份），同时应提供电子版投标文件壹份（一般应为PDF格式、U盘形式（单独封装）、随纸质正本文件一并提交）。</w:t>
      </w:r>
      <w:r>
        <w:rPr>
          <w:rFonts w:ascii="FangSong" w:hAnsi="FangSong" w:eastAsia="FangSong" w:cs="FangSong"/>
          <w:color w:val="000000"/>
          <w:sz w:val="24"/>
        </w:rPr>
        <w:t xml:space="preserve">当电子版文件和纸质正本文件不一致时，以纸质正本文件为准。每套投标文件须清楚标明“正本”、“副本”。如果它们之间内容有差异，以正本为准。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w:t>
      </w:r>
      <w:r>
        <w:rPr>
          <w:rFonts w:ascii="FangSong" w:hAnsi="FangSong" w:eastAsia="FangSong" w:cs="FangSong"/>
          <w:b/>
          <w:color w:val="000000"/>
          <w:sz w:val="24"/>
        </w:rPr>
        <w:t xml:space="preserve">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采购代理机构、评标委员会认为需要时，供应商应提供原件供核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 投标文件不应有涂改、增删之处，如必须修改时，修改处必须有供应商法定代表人或授权代表签字。</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16.4投标文件提倡按照A4幅面打印或复印并进行装订，如有资料超过A4幅面折叠成A4幅面；投标文件装订提倡采用胶装的形式。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16.5 供应商应当在招标文件要求提交投标文件的截止时间前，将投标文件密封送达投标地点。任何单位和个人不得在开标前开启投标文件。</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17、有下列情形的投标文件将被拒收：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17.1逾期送达的；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17.2未按照招标文件要求密封的。</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18、投标文件的修改和撤回</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供应商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投标截止时间之后，投标文件不得撤回。</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19、诚实信用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19.1供应商应当遵循公平竞争的原则，不得恶意串通，不得妨碍其他供应商的竞争行为，不得损害采购人或者其他供应商的合法权益。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19.2在评标过程中发现供应商有上述情形的，评标委员会应当认定其投标无效，并书面报告本级财政部门。</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五、开标、评标与定标</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20、开标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采购代理机构将在招标文件确定的时间和地点进行公开开标。供应商应委派代表准时参加，参加开标的代表须签名报到以证明其出席。</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20.2开标时，应当由供应商或者其推选的代表检查投标文件的密封情况；经确认无误后，由采购人或者采购代理机构工作人员当众拆封，宣布供应商名称、投标价格和招标文件规定的需要宣布的其他内容。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20.3供应商不足3家的，不得开标。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20.4开标过程由采购代理机构负责记录，由参加开标的各供应商代表和相关工作人员签字确认后随采购文件一并存档。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及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20.5供应商未参加开标的，视同认可开标结果。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20.6公开招标数额标准以上的采购项目，投标截止后供应商不足3家或者通过资格审查或符合性审查的供应商不足3家的，除采购任务取消情形外，按照以下方式处理：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（1）招标文件存在不合理条款或者招标程序不符合规定的，采购人、采购代理机构改正后依法重新招标；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21、评标</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21.1 评标委员会</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21.1.1</w:t>
      </w:r>
      <w:r>
        <w:rPr>
          <w:rFonts w:ascii="FangSong" w:hAnsi="FangSong" w:eastAsia="FangSong" w:cs="FangSong"/>
          <w:color w:val="000000"/>
          <w:sz w:val="24"/>
        </w:rPr>
        <w:t xml:space="preserve">评标委员会负责具体评标事务，并独立履行下列职责：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（一）审查、评价投标文件是否符合招标文件的商务、技术等实质性要求；</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（二）要求供应商对投标文件有关事项作出澄清或者说明；</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（三）对投标文件进行比较和评价；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（四）确定中标候选人名单，以及根据采购人委托直接确定中标人；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（五）向采购人、采购代理机构或者有关部门报告评标中发现的违法行为。</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21.1.2 </w:t>
      </w:r>
      <w:r>
        <w:rPr>
          <w:rFonts w:ascii="FangSong" w:hAnsi="FangSong" w:eastAsia="FangSong" w:cs="FangSong"/>
          <w:color w:val="000000"/>
          <w:sz w:val="24"/>
        </w:rPr>
        <w:t xml:space="preserve">评标委员会由采购人代表和有关技术、经济等方面的专家组成，独立开展评审工作。</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21.2  评标程序</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21.2.1 投标文件的资格性检查。</w:t>
      </w:r>
      <w:r>
        <w:rPr>
          <w:rFonts w:ascii="FangSong" w:hAnsi="FangSong" w:eastAsia="FangSong" w:cs="FangSong"/>
          <w:color w:val="000000"/>
          <w:sz w:val="24"/>
        </w:rPr>
        <w:t xml:space="preserve">公开招标采购项目开标结束后，采购人或者采购代理机构应当依法对供应商的资格进行审查。合格供应商不足3家的，不得评标。投标文件有下列情况之一的，在资格性、符合性检查时按照无效投标处理：</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（1）未按照招标文件规定要求密封、签署、盖章的；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（2）不具备招标文件中规定资格要求的；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（3）报价超过招标文件中规定的预算金额或者最高限价的；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（4）投标文件含有采购人不能接受的附加条件的；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（5）不同供应商的投标文件由同一单位或者个人编制；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（6）不同供应商委托同一单位或者个人办理投标事宜；</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（7）不同供应商的投标文件载明的项目管理成员或者联系人员为同一人；</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（8）不同供应商的投标文件异常一致或者投标报价呈规律性差异；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（9）不同供应商的投标文件相互混装；</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（10）服务承诺和付款条件未响应招标要求的；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（11）提供虚假材料的（包括营业执照、财务报表、资格证明文件等）；</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（13）投标文件内容不全或不符合招标文件中规定的其它实质性要求的；</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（14）法律、法规和招标文件规定的其他无效情形。</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21.2.2投标文件的符合性审查</w:t>
      </w:r>
      <w:r>
        <w:rPr>
          <w:rFonts w:ascii="FangSong" w:hAnsi="FangSong" w:eastAsia="FangSong" w:cs="FangSong"/>
          <w:color w:val="000000"/>
          <w:sz w:val="24"/>
        </w:rPr>
        <w:t xml:space="preserve">。评标委员会对通过资格性检查的供应商的投标文件进行符合性审查，以确定其是否满足招标文件的实质性要求。</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21.2.2.1 实质性要求是指本招标文件中用带星号（“«”）、“必须”或“应（应当）”等其他文字说明的商务和技术要求。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21.2.2.2</w:t>
      </w:r>
      <w:r>
        <w:rPr>
          <w:rFonts w:ascii="FangSong" w:hAnsi="FangSong" w:eastAsia="FangSong" w:cs="FangSong"/>
          <w:color w:val="000000"/>
          <w:sz w:val="24"/>
        </w:rPr>
        <w:t xml:space="preserve">有下列情形之一的予以废标：</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（1）符合专业条件的供应商或者对招标文件作实质性响应的供应商不足三家的；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（2）出现影响采购公正的违法、违规行为的；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（3）供应商的报价均超过了采购预算，采购人不能支付的；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（4）因重大变故，采购任务取消的。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在评标期间，出现符合资格性检查的供应商或者对招标文件作出实质性响应的供应商不足三家情形的，比照</w:t>
      </w:r>
      <w:r>
        <w:rPr>
          <w:rFonts w:ascii="FangSong" w:hAnsi="FangSong" w:eastAsia="FangSong" w:cs="FangSong"/>
          <w:b/>
          <w:color w:val="000000"/>
          <w:sz w:val="24"/>
        </w:rPr>
        <w:t xml:space="preserve">20.6</w:t>
      </w:r>
      <w:r>
        <w:rPr>
          <w:rFonts w:ascii="FangSong" w:hAnsi="FangSong" w:eastAsia="FangSong" w:cs="FangSong"/>
          <w:color w:val="000000"/>
          <w:sz w:val="24"/>
        </w:rPr>
        <w:t xml:space="preserve">款执行。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21.2.3</w:t>
      </w:r>
      <w:r>
        <w:rPr>
          <w:rFonts w:ascii="FangSong" w:hAnsi="FangSong" w:eastAsia="FangSong" w:cs="FangSong"/>
          <w:b/>
          <w:color w:val="000000"/>
          <w:sz w:val="24"/>
        </w:rPr>
        <w:t xml:space="preserve">澄清有关问题</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21.2.3.1对于投标文件中含义不明确、同类问题表述不一致或者有明显文字和计算错误的内容，评标委员会应当以书面形式要求供应商作出必要的澄清、说明或者补正。</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21.2.3.2供应商的澄清、说明或者补正应当采用书面形式，并加盖公章，或者由法定代表人或其授权代表签字。供应商的澄清、说明或者补正不得超出投标文件的范围或者改变投标文件的实质性内容。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21.2.3.3投标文件报价出现前后不一致的，除招标文件另有规定外，按照下列规定修正：</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投标文件中开标一览表（报价表）内容与投标文件中相应内容不一致的，以开标一览表（报价表）为准；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同时出现两种以上不一致的，按照前款规定的顺序修正。</w:t>
      </w:r>
      <w:r>
        <w:rPr>
          <w:rFonts w:ascii="FangSong" w:hAnsi="FangSong" w:eastAsia="FangSong" w:cs="FangSong"/>
          <w:b/>
          <w:color w:val="000000"/>
          <w:sz w:val="24"/>
        </w:rPr>
        <w:t xml:space="preserve">修正后的报价按照前款规定经供应商确认后产生约束力，供应商不确认的，其投标无效。</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21.2.3.4评标委员会认为供应商的报价明显低于其他通过符合性审查供应商的报价，有可能影响产品质量或者不能诚信履约的，将要求其在评标现场合理的时间内提供书面说明，必要时提交相关证明材料；</w:t>
      </w:r>
      <w:r>
        <w:rPr>
          <w:rFonts w:ascii="FangSong" w:hAnsi="FangSong" w:eastAsia="FangSong" w:cs="FangSong"/>
          <w:b/>
          <w:color w:val="000000"/>
          <w:sz w:val="24"/>
        </w:rPr>
        <w:t xml:space="preserve">供应商不能证明其报价合理性的，评标委员会将其作为无效投标处理。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21.2.4</w:t>
      </w:r>
      <w:r>
        <w:rPr>
          <w:rFonts w:ascii="FangSong" w:hAnsi="FangSong" w:eastAsia="FangSong" w:cs="FangSong"/>
          <w:b/>
          <w:color w:val="000000"/>
          <w:sz w:val="24"/>
        </w:rPr>
        <w:t xml:space="preserve">比较与评价。</w:t>
      </w:r>
      <w:r>
        <w:rPr>
          <w:rFonts w:ascii="FangSong" w:hAnsi="FangSong" w:eastAsia="FangSong" w:cs="FangSong"/>
          <w:color w:val="000000"/>
          <w:sz w:val="24"/>
        </w:rPr>
        <w:t xml:space="preserve">评标委员会应当按照招标文件中规定的评标方法和标准，对符合性审查合格的投标文件进行商务和技术评估，综合比较与评价。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21.2.5相同品牌产品的投标</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非单一产品采购项目，确定核心产品的方法在招标文件技术需求中载明。多家供应商提供的核心产品品牌相同的，按前两款规定处理。</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21.3 评标方法和标准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21.3.1评标方法分为最低评标价法和综合评分法。本次招标的评标方法和标准，详见本招标文件第三章。</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21.3.2最低评标价法，是指投标文件满足招标文件全部实质性要求，且投标报价最低的供应商为中标候选人的评标方法。</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采用最低评标价法评标时，除了算术修正和落实政府采购政策需进行的价格扣除外，不对供应商的投标价格进行任何调整。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21.3.3综合评分法，是指投标文件满足招标文件全部实质性要求，且按照评审因素的量化指标评审得分最高的供应商为中标候选人的评标方法。</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评审因素，包括价格、技术、商务等。</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评标时，评标委员会各成员应当独立对每个供应商的投标文件进行评价，并汇总每个供应商的得分。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价格分采用低价优先法计算，即满足招标文件要求且投标价格最低的投标报价为评标基准价，其价格分为满分。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评标总得分＝F1×A1＋F2×A2＋……＋Fn×An</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F1、F2……Fn分别为各项评审因素的得分；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A1、A2、……An 分别为各项评审因素所占的权重(A1＋A2＋……＋An＝1)。</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因落实政府采购政策进行价格调整的，以调整后的价格计算评标基准价和投标报价。</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22、确定中标供应商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 采用最低评标价法的，评标结果按投标报价由低到高顺序排列。投标报价相同的并列。投标文件满足招标文件全部实质性要求且投标报价最低的供应商为排名第一的中标候选人。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 中标人确定后，在省级以上财政部门指定的媒体上公告中标结果，中标公告期为1个工作日，公告的同时向中标供应商发出中标通知书。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22.4 中标通知书对采购人和中标供应商具有同等法律效力。</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22.5 中标通知书发出后，采购人或中标供应商拒绝签订合同的，拒绝签订合同的一方应向另一方支付补偿金，以及为招标、投标所发生的有关费用和双方商定的其他补偿。</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22.6 中标通知书发出后，中标供应商无正当理由不与采购人签订合同的，投标保证金不予退还；情节严重的，由财政部门将其列入不良行为记录名单，在一至三年内禁止参加政府采购活动，并予以通报。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22.7 所有投标文件不论中标与否，均不退回。</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23、编写评标报告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23.1评标委员会根据全体评标成员签字的原始评标记录和评标结果编写评标报告。</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24、评标过程的保密性</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 采购人和采购代理机构将采取必要措施，保证评标在严格保密的情况下进行。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 任何单位和个人不得非法干预、影响评标办法的确定，以及评标过程和结果。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 凡是与审查、澄清、评价和比较投标的有关资料等，均不向供应商及与评标无关的其他人员透露。</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六、签订合同</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25、签订合同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25.2采购人不得向中标人提出任何不合理的要求作为签订合同的条件。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25.3中标人拒绝与采购人签订合同的，采购人可以按照评审报告推荐的中标或者成交候选人名单排序，确定下一候选人为中标或者成交供应商，也可以重新开展政府采购活动。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25.5 采购人与中标人应当根据合同的约定依法履行合同义务。</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七、质疑和投诉</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26、质疑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26.1供应商对招标活动事项有疑问的，可以向采购代理机构提出询问，采购代理机构将依法作出答复，但答复的内容不涉及商业秘密</w:t>
      </w:r>
      <w:r>
        <w:rPr>
          <w:rFonts w:ascii="FangSong" w:hAnsi="FangSong" w:eastAsia="FangSong" w:cs="FangSong"/>
          <w:b/>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以联合体形式参加政府采购活动的，其质疑应当由组成联合体的所有供应商共同提出。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26.3供应商认为采购文件、采购过程和中标结果使自己的合法权益受到损害的，可以在知道或者应知其权益受到损害之日起七个工作日内，将质疑文件原件送达采购人或采购代理机构。</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供应商必须在法定质疑期内一次性提出针对同一采购程序环节的质疑。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26.4 供应商提出质疑应当提交质疑函和必要的证明材料。质疑函应当包括下列内容：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（一）供应商的姓名或者名称、地址、邮编、联系人及联系电话；</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（二）质疑项目的名称、编号；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（三）具体、明确的质疑事项和与质疑事项相关的请求（具体条款）；</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（四）事实依据（具体条款）；</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（五）必要的法律依据（具体条款）；</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（六）提出质疑的日期。</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质疑函应当使用中文。相关当事人提供外文书证或者外国语视听资料的，应当附有中文译本，由翻译机构盖章或者翻译人员签名。</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26.5质疑函应当现场提交至采购代理机构联系人处，提交时应出示有效身份证明。未按上述要求提交质疑函的，质疑不予受理。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26.7采购代理机构在收到供应商的书面质疑后将及时组织调查核实，在</w:t>
      </w:r>
      <w:r>
        <w:rPr>
          <w:rFonts w:ascii="FangSong" w:hAnsi="FangSong" w:eastAsia="FangSong" w:cs="FangSong"/>
          <w:b/>
          <w:color w:val="000000"/>
          <w:sz w:val="24"/>
        </w:rPr>
        <w:t xml:space="preserve">七个工作日内</w:t>
      </w:r>
      <w:r>
        <w:rPr>
          <w:rFonts w:ascii="FangSong" w:hAnsi="FangSong" w:eastAsia="FangSong" w:cs="FangSong"/>
          <w:color w:val="000000"/>
          <w:sz w:val="24"/>
        </w:rPr>
        <w:t xml:space="preserve">作出答复，并以书面或在网站公告形式通知质疑供应商和其他有关供应商，答复的内容不涉及商业秘密。</w:t>
      </w:r>
      <w:r/>
    </w:p>
    <w:p>
      <w:pPr>
        <w:ind w:left="450" w:right="0" w:hanging="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任何单位和个人对代理机构在招标采购活动中的违法行为，有权控告和检举，联系电话：（招标代理机构质量管理部门，联系人： ）（招标代理机构纪检监察部门，联系人： ）。</w:t>
      </w:r>
      <w:r/>
    </w:p>
    <w:p>
      <w:pPr>
        <w:ind w:left="0" w:right="0" w:firstLine="482"/>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27、投诉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27.2供应商投诉应当有明确的请求和必要的证明材料。供应商投诉的事项不得超出已质疑事项的范围。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27.3投诉人对政府采购监督管理部门的投诉处理决定不服或者政府采购监督管理部门逾期未作处理的，可以依法申请行政复议或者向人民法院提起行政诉讼。</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 投诉人有下列行为之一的，属于严重失信行为，由财政部门列入不良行为记录名单，禁止其一至三年内参加政府采购活动。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（1）投诉人在全国范围12个月内三次以上投诉查无实据的；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（2）采用捏造事实、提供虚假材料或者以非法手段取得证明材料等方式进行虚假、恶意投诉。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证据来源的合法性存在明显疑问，投诉人无法证明其取得方式合法的，视为以非法手段取得证明材料。</w:t>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第三章评标标准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2"/>
        <w:gridCol w:w="1467"/>
        <w:gridCol w:w="708"/>
        <w:gridCol w:w="5888"/>
      </w:tblGrid>
      <w:tr>
        <w:trPr>
          <w:trHeight w:val="360"/>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评价标准</w:t>
            </w:r>
            <w:r/>
          </w:p>
        </w:tc>
      </w:tr>
      <w:tr>
        <w:trPr>
          <w:trHeight w:val="97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经评审符合招标文件要求且投标价格最低的投标报价为评标基准价，其价格为满分。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其它投标人的投标报价得分=（评标基准价/投标报价）×30，保留2位小数。</w:t>
            </w:r>
            <w:r/>
          </w:p>
        </w:tc>
      </w:tr>
      <w:tr>
        <w:trPr>
          <w:trHeight w:val="18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技术要求响应</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需对第四章采购需求中的全部要求进行应答，其中标★项为必须满足项，如有任意一项不满足视为无效投标。标“▲”项需进行详细应答（提供符合功能要求的具体方案或系统截图）否则视作负偏离，如有负偏离每项扣3分；其余如有负偏离每项扣1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要求提供证明材料的须按照要求提供，否则视为负偏离。</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产品功能演示</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投标人应根据采购需求提供以下功能演示的视频，演示时间不超过15分钟，采用ppt、word、图片、静态页面等其他方式制作演示视频的得分*0.5。具体演示要求及得分情况如下：</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流量采集（3分）：界面可视化展示DNS采集策略、采集字段、日志输出命名的设置以及采集设备的CPU、内存、存储空间、日志生成量、上传量等数据变化趋势；域名流量采集形成的日志支持IPv4和IPv6地址格式。满足要求得3分，否则该项不得分。</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P地址流量分析(4分)：分析结果至少包含IP地址、IP归属者、点击次数、服务域名数、服务域数、服务公司数、服务流量、平均流速；支持按照单个地址（IPv4/IPv6）、地址段的数据查询。满足要求得4分，否则该项不得分。</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流量行为分析（3分）：支持出口/链路/用户/内容等类型的监控对象设置；监控对象数量支持100条以上的管理；分析模型支持对源端口、目的端口、协议类型、数据包数量、字节数等设置与分析。满足要求得3分，否则该项不得分。</w:t>
            </w:r>
            <w:r/>
          </w:p>
        </w:tc>
      </w:tr>
      <w:tr>
        <w:trPr>
          <w:trHeight w:val="1861"/>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安装调试方案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投标人提供项目实施方案、人员配备、现场沟通机制及业务部署测试时效性保障措施。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上述方案措施齐全、方案合理，得5分；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方案措施较齐全、方案基本符合，得3分；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方案措施不全面、方案一般，得1分；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r>
      <w:tr>
        <w:trPr>
          <w:trHeight w:val="170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投标人提供售后服务整体方案，包括对用户故障的响应、处理、定期巡检等情况的有效性等，提供技术培训服务。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上述方案措施齐全、方案合理，得5分；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方案措施较齐全、方案基本符合，得3分；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方案措施不全面、方案一般，得1分；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r>
      <w:tr>
        <w:trPr>
          <w:trHeight w:val="154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培训计划</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根据投标人所提供的培训计划、培训内容等进行综合评比。上述方案措施齐全、方案合理，得5分；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方案措施较齐全、方案基本符合，得3分；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方案措施不全面、方案一般，得1分；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未提供不得分。</w:t>
            </w:r>
            <w:r/>
          </w:p>
        </w:tc>
      </w:tr>
      <w:tr>
        <w:trPr>
          <w:trHeight w:val="8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交付时间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满足招标文件要求的交付时间（签订合同后20天）不得分，每提前2天交付得1分，最高得5分。</w:t>
            </w:r>
            <w:r/>
          </w:p>
        </w:tc>
      </w:tr>
      <w:tr>
        <w:trPr>
          <w:trHeight w:val="1068"/>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满足招标文件要求质保期（验收完成之日起3年）不得分，每增加一年得2.5分，最高得5分。</w:t>
            </w:r>
            <w:r/>
          </w:p>
        </w:tc>
      </w:tr>
      <w:tr>
        <w:trPr>
          <w:trHeight w:val="154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自2021年1月1日起类似项目的合同业绩，每个得1分，最高得5分。需提供体现合同主要内容的清晰复印件并加盖公章（至少包含封面、首页、合同标的及金额页、签字盖章页），或结算单等其他证明文件，未提供或关键页不全、不清晰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说明：所有认证、证明和业绩均以有效清晰的证明文件的复印件为依据，原件备查。</w:t>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内以比特币为代表的虚拟货币不具备法偿性和强制性等货币属性，不具有与货币等同的法律地位，不能且不应作为货币在市场上流通使用。因此，此类虚拟货币的发行、炒作、交易和“挖矿”行为将扰乱国家金融秩序并导致算力资源和电力资源的巨大浪费。面向工业互联网场景，通过搭建虚拟货币挖矿检测系统，建立综合治理技术能力，解决虚拟货币“挖矿”活动发现难、核验难、溯源难等问题，系统上线主要实现以下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利用虚拟货币“挖矿”技术原理、运作模式、互联网通信方式等特征，从域名解析的维度发现虚拟货币“挖矿”行为，提升对虚拟货币“挖矿”行为的监测及治理水平，输出针对工业企业的虚拟货币“挖矿”行为事件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备对网络设备的全方位监控和数据采集分析的能力，通过对工业网络中的挖矿流量进行智能分析，基于流量模式分析识别可能的攻击行为。并对网络流量进行安全性评估，实现恶意流量、异常端口等的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3、针对工业企业的虚拟货币挖矿信息进行核查，提高工业互联网网络安全防护水平。</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本次采购面向工业互联网的虚拟货币检测系统主要包括3个子系统：</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2"/>
        <w:gridCol w:w="3290"/>
        <w:gridCol w:w="1185"/>
        <w:gridCol w:w="2012"/>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0" w:type="dxa"/>
            <w:vAlign w:val="top"/>
            <w:textDirection w:val="lrTb"/>
            <w:noWrap w:val="false"/>
          </w:tcPr>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0"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域名解析数据分析系统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0"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智能流量分析系统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0"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信息核查系统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项目属性：货物类项目</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建设总体要求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采用组件化设计；支持本地化部署，客户端通过浏览器即可方便使用，尽可能降低系统的维护和使用成本，便于系统今后的扩展和维护。具体要求包括：</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标准化原则：在系统平台、技术等选型时符合国际标准、工业标准、行业标准。</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易用性原则：用户操作界面应尽可能的直观简洁。采用B/S结构使用浏览器即可运行</w:t>
      </w:r>
      <w:r>
        <w:rPr>
          <w:rFonts w:ascii="FangSong" w:hAnsi="FangSong" w:eastAsia="FangSong" w:cs="FangSong"/>
          <w:color w:val="000000"/>
          <w:sz w:val="24"/>
          <w:u w:val="none"/>
        </w:rPr>
        <w:t xml:space="preserve">操作，浏览器需支持主流</w:t>
      </w:r>
      <w:r>
        <w:rPr>
          <w:rFonts w:ascii="FangSong" w:hAnsi="FangSong" w:eastAsia="FangSong" w:cs="FangSong"/>
          <w:color w:val="000000"/>
          <w:sz w:val="24"/>
        </w:rPr>
        <w:t xml:space="preserve">品牌（火狐、谷歌、360等）。</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可维护性原则：系统应支持灵活易用的图形化操作、表单设计，提供齐全的网络及设备管理能力。</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系统环境采用主流Linux系统版本，CentOS 7.9、Ubuntu 16.04、龙蜥开源Anolis OS7.9等。</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数据库须为主流的数据库，包括MySQL、</w:t>
      </w:r>
      <w:r>
        <w:rPr>
          <w:rFonts w:ascii="FangSong" w:hAnsi="FangSong" w:eastAsia="FangSong" w:cs="FangSong"/>
          <w:color w:val="000000"/>
          <w:sz w:val="24"/>
          <w:u w:val="none"/>
        </w:rPr>
        <w:t xml:space="preserve">Oracle、SQLite等，正常支持至少千万级的数据总量。</w:t>
      </w:r>
      <w:r/>
    </w:p>
    <w:p>
      <w:pPr>
        <w:numPr>
          <w:ilvl w:val="0"/>
          <w:numId w:val="4"/>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与各类网络及网络设备的交互应采用主流的接口协议。</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功能需求</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子系统：域名解析数据分析系统</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▲域名解析流量采集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支持各个网络节点部署域名流量采集模块，采用规范化、标准化的采集技术，实现域名流量数据的抓取、过滤、分向、对准、解析、统计以及最后的日志压缩输出能力。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1）支持提供采集策略的可视化配置采集配置包含不限于：采集网卡配置，日志文件格式配置、ftp、sftp、启停配置等策略配置数据。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2）提供每台采集设备运行的实时状态情况，包括不限于：CPU、内存、存储空间等硬件设备情况，同时应包含：采集进程、采集性能大小、采集运行时长等业务情况。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3）提供DNS采集方案说明，日志格式要求如下：用户IP|请求域名|解析时间|A记录解析地址|解析结果代码|请求DNS记录类型|CNAME|AAAA记录解析地址|业务IP|解析时延。字段说明：</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2192"/>
        <w:gridCol w:w="4229"/>
      </w:tblGrid>
      <w:tr>
        <w:trPr>
          <w:trHeight w:val="3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字段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含义</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用户IP地址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要求支持IPv4和IPv6用户地址</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请求域名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解析时间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采用北京时间，时间格式为yyyyMMddhhmmss</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A记录解析地址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A记录解析结果，如解析失败，该字段可以为空，如果有多个IP地址，各IP地址间用英文的“;”分隔</w:t>
            </w:r>
            <w:r/>
          </w:p>
        </w:tc>
      </w:tr>
      <w:tr>
        <w:trPr>
          <w:trHeight w:val="22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解析结果代码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0为成功；</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1为格式错误，域名服务器无法解析该请求；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2为服务器错误，域名服务器由于自身错误而不能处理该请求；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3为域名未找到，只有授权服务器返回的该信息才有意义，表示请求中的域名不存在；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4为未实现，表示域名服务器不支持请求的类型；</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5为拒绝，表示域名服务器因为某种策略而拒绝应答</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6~15保留</w:t>
            </w: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请求DNS记录类型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用户请求类型，如A、AAAA、、 CNAME，用十进制数标识，其中1-A，28-AAAA,5-CNAME</w:t>
            </w: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CNAME域名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用户请求域名的所有CNAME域名，按照顺序存放，以英文“;”分割</w:t>
            </w: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AAAA记录解析地址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AAAA记录解析结果，如解析失败，该字段可以为空，如果有多个IPv6地址，各IPv6地址间用英文的“;”分隔</w:t>
            </w: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业务IP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提供服务的DNS服务器IP地址</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解析时延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top"/>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缓存服务器响应用户请求的时间</w:t>
            </w:r>
            <w:r/>
          </w:p>
        </w:tc>
      </w:tr>
    </w:tbl>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w:t>
      </w:r>
      <w:r>
        <w:rPr>
          <w:rFonts w:ascii="FangSong" w:hAnsi="FangSong" w:eastAsia="FangSong" w:cs="FangSong"/>
          <w:b/>
          <w:color w:val="000000"/>
          <w:sz w:val="24"/>
        </w:rPr>
        <w:t xml:space="preserve">域名解析监控</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监控是指对网络中发生的域名解析请求和响应进行实时监测和记录的过程。域名解析数据分析系统能够快速捕获多种不同工业企业网络中发生的域名解析请求和响应，为工业互联网提供域名活动状态追踪的能力。</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支持解析请求次数、时间段解析活动统计，能够追踪并统计每个域名的解析请求次数，并对每个域名在不同时间段内的解析活动进行统计，发现工作时间外的异常活动。</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支持解析成功率监测，能够监测每个域名解析的成功率，及时发现解析失败或异常情况，提高系统可靠性。</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支持黑名单域名标识，能够对已知黑名单域名进行标识，支持恶意域名的快速检测。</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异常域名检测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异常域名检测是指对工业互联网域名解析中出现的异常或不正常情况进行识别和监测的过程。域名解析数据分析系统能够通过及时识别和处理异常域名，提高网络的整体安全性。防范恶意域名的访问有助于减少潜在的攻击和数据泄漏风险，保护工业互联网系统的正常运行。</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支持黑名单匹配，系统支持维护恶意域名的黑名单，并对解析请求的域名进行匹配，以确定是否为黑名单中的异常域名。</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域名格式异常检查、频繁解析检测，支持检查域名是否符合正常的域名格式，排除因拼写错误或伪装而导致的异常域名，并且能够监测同一域名的解析请求频率，识别频繁解析的域名，可能是恶意活动的标志。</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支持异常域名警报通知，系统支持在检测到异常域名时，及时发送警报通知给系统管理员，以便能够迅速采取措施。</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▲IP地址分析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IP地址分析指对域名解析过程中获得的IP地址进行深入研究和评估的过程。通过分析解析得到的IP地址识别与虚拟货币挖矿等恶意活动相关的IP地址，例如已知的挖矿池、恶意软件服务器等，为工业企业提供了识别潜在威胁和有效响应安全事件的关键信息。</w:t>
      </w:r>
      <w:r/>
    </w:p>
    <w:p>
      <w:pPr>
        <w:numPr>
          <w:ilvl w:val="0"/>
          <w:numId w:val="7"/>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支持IP地址反查，能够反查解析得到的IP地址，获取与之相关的域名信息，以了解该IP地址是否与虚拟货币挖矿等恶意活动相关。</w:t>
      </w:r>
      <w:r/>
    </w:p>
    <w:p>
      <w:pPr>
        <w:numPr>
          <w:ilvl w:val="0"/>
          <w:numId w:val="7"/>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支持IP地址归属地分析，提供IP地址的归属地信息，帮助系统识别异常的地理位置关联，从而提供定位潜在攻击来源的线索。</w:t>
      </w:r>
      <w:r/>
    </w:p>
    <w:p>
      <w:pPr>
        <w:numPr>
          <w:ilvl w:val="0"/>
          <w:numId w:val="7"/>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支持黑名单IP匹配，系统支持维护黑名单IP地址列表，以便快速匹配解析得到的IP地址，识别已知的与恶意活动相关的IP地址。</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安全事件警报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安全事件警报是指在监测系统中检测到可能的安全威胁或异常行为时，系统生成并发送通知给相关的管理员或安全团队的过程，有助于保护工业企业系统免受各种网络安全风险。</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支持异常域名警报，检测到异常的域名解析活动时支持生成警报通知，以及时通知管理员。</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支持多形式告警通知，允许管理员根据需要确定告警方式，如电子邮件、短信或集成到安全信息与事件管理系统（SIEM）中。</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支持对不同类型的安全事件进行级别划分，以便管理员可以更好地优先处理不同严重程度的威胁。</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▲域名流量统计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域名流量统计功能是指对工业互联网系统中域名解析活动的流量进行收集、分析和汇总的能力。系统能够更全面地监测和管理工业互联网中的域名解析流量，提高对虚拟货币挖矿等恶意活动的检测和防范能力。</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支持源IP地址流量统计，统计每个域名解析请求的来源IP地址，帮助分析解析活动的来源分布情况。</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支持基本历史记录查询，方便查找特定时间范围内的域名解析活动。</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子系统：智能流量分析系统</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网元管理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网元管理能够为工业企业提供工业网络中网络设备的集中管理功能，工业网络智能流量分析系统通过控制和管理网元设备来进行流量的转发和调度。</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支持对网元设备信息的新增、修改及删除操作。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支持网元的批量导入操作。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支持对网元标识、状态、角色、ip、设备型号等信息进行查看展示，支持对网元标识、ip及设备型号进行搜索查询操作。</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端口管理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端口管理负责为工业网络中的网元设备提供对应的端口信息管理工作，系统需要根据网元设备的端口来进行流量的收集和链路构建。</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支持对设备端口信息的新增、修改及删除操作。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支持端口的批量导入操作。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支持对设备名称、端口标识、名称、ip、带宽等信息进行查看展示，支持对端口标识、ip及所属设备进行搜索查询操作。</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链路管理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通过网元设备以及网元端口的相关信息，链路管理可以为智能流量分析系统提供工业网络网元设备之间的链路管理功能。</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支持对链路信息的新增、修改及删除操作。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支持链路的批量导入操作。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支持对链路名、状态、本端设备、本端端口、远端设备、远端端口、链路带宽等信息进行查看展示。</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支持对链路名称、设备名称、设备型号进行搜索查询操作。</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恶意流量检测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恶意流量检测是指对网络通信中的数据流进行深度分析，以识别和阻止与虚拟货币挖矿等恶意活动相关的异常或恶意网络流量，旨在提高工业系统的安全性和防御能力。</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支持识别正常流量模式，并检测出与虚拟货币挖矿等恶意活动不符的异常流量模式。</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支持对网络流量进行协议分析，识别可能包含挖矿行为的非标准或异常协议使用。</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支持深入检查网络数据包内容，识别携带有恶意挖矿代码或命令的数据包。</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▲异常流量行为分析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异常流量行为分析是指对网络流量中不符合正常行为模式的数据进行深入研究，以便识别潜在的虚拟货币挖矿等恶意活动，从而提高系统的安全防御能力。</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支持建立正常流量行为的基线模型，以便识别与基线不符的异常流量。</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支持检测大规模的数据传输行为，识别可能涉及到虚拟货币挖矿等异常活动的流量。</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支持监测并识别频繁建立连接的行为，可能提示恶意行为的存在，如扫描或攻击。</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▲挖矿流量特征提取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挖矿流量特征提取是指从网络通信中提取与虚拟货币挖矿行为相关的特定模式、协议、数据包大小等标志性特征，以帮助系统识别和分析潜在的挖矿活动，从而提高恶意挖矿行为的检测精度。</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支持对网络流量中挖矿协议的识别和解析，以提取协议级别的挖矿特征。</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支持数据包大小特征提取，系统能够提取与挖矿活动相关的数据包大小模式，包括典型挖矿通信的数据包大小范围。</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支持提取流量中涉及的挖矿算法的特征，以识别不同挖矿行为所使用的特定算法。</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▲异常端口和协议检测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异常端口和协议检测是指对工业互联网系统中网络通信中使用的非常规端口和协议进行监测和识别，以便及时发现潜在的虚拟货币挖矿等恶意活动，提高系统的安全性和防御能力。</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支持常见端口白名单，维护一个常见端口白名单，用于排除正常通信中使用的端口，减少误报。</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支持非常规端口监测，系统能够监测网络通信中使用的非常规端口，识别可能涉及到虚拟货币挖矿等异常活动的端口使用。</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FLOW流量采集与记录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流量日志记录是指对工业互联网系统中的网络通信流量进行详细记录，以提供对流量行为的审计、调查和分析，从而增强对潜在恶意活动的监测和安全防御能力。</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支持详细流量记录，能够对网络通信流量的详细记录，包括源IP地址、目标IP地址、端口号、协议类型、数据包大小等关键信息。</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支持用户标识记录，能提供对流量关联用户的标识，有助于分析工业互联网系统中用户的网络活动。</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支持日志字段的选择，允许管理员根据实际需求选择采集的流量字段，以适应不同的监测和审计要求。</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系统配置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系统配置为智能流量分析系统提供包括外接控制系统、设备类型、特定客户信息以及定时任务等相关的统一配置管理功能。</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支持对外接控制系统的新增、编辑、删除操作。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支持对设备类型信息包括型号、类别、厂家、管理系统及描述的展示、修改及删除操作。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支持对特定的地址网段信息进行新增、修改、删除操作。</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支持对定时循环任务进行新增、修改、删除操作，支持对定时任务名称、定时任务周期、任务状态进行展示。</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子系统：信息核查系统</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▲挖矿信息来源分析</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挖矿信息来源分析是指对工业互联网系统中可能涉及虚拟货币挖矿的各类数据源进行深入分析，包括网络流量、系统日志、外部数据源等，以全面了解挖矿活动的数据背景，为准确识别和响应挖矿威胁提供基础信息。</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支持系统日志解析，解析系统产生的日志文件，包括操作系统、应用程序和安全设备的日志，提取可能与挖矿相关的信息。</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支持外部数据源整合，整合外部数据源，如区块链交易数据、威胁情报数据等，以获取与虚拟货币挖矿相关的外部信息。</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支持挖矿软件和脚本检测，分析系统中存在的软件和脚本，识别可能用于挖矿的工具，并记录相关信息。</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▲挖矿关键词检索</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挖矿关键词检索是指在工业互联网系统的日志、通信记录等信息中，通过搜索关键词相关于虚拟货币挖矿的术语，以发现并定位可能涉及挖矿活动的记录，提高挖矿威胁的识别准确性。</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支持关键词列表定义，允许管理员定义挖矿关键词列表，包括与虚拟货币挖矿活动相关的术语、缩写、常见命令等。</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支持多关键词联合检索，实现同时检索多个关键词，以提高检测的综合性和灵活性。</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支持通配符和模糊匹配，支持通配符和模糊匹配功能，以应对不同的挖矿关键词表达形式和变体。</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威胁情报集成</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威胁情报集成是指将外部的有关虚拟货币挖矿等安全威胁的信息，如攻击模式、恶意软件特征等整合到工业互联网系统中，以增强系统的实时监测和及时响应能力，提高对潜在威胁的防范水平。</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支持外部威胁情报源订阅，允许系统管理员订阅并集成来自外部安全服务提供商、开源情报共享平台等的威胁情报数据。</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支持定期更新威胁情报，实现定期自动或手动更新威胁情报数据，以确保系统始终使用最新的安全信息。</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支持多源情报整合，整合多个威胁情报源的信息，包括攻击模式、恶意软件特征、IP地址黑名单等，形成综合的威胁情报数据库。</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历史数据查询与可视化</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历史数据查询与可视化是指通过对工业互联网系统中的历史数据进行检索和呈现，以便系统管理员了解过去的安全事件、挖矿活动趋势，并通过可视化展示提供直观的安全态势分析。</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支持时间范围选择，允许管理员选择特定时间范围进行历史数据查询，以便查看特定时段的安全事件和挖矿活动</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支持多维数据查询，实现多维度的历史数据查询，包括流量、日志、威胁情报等，以满足不同查询需求。</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支持关键词查询，提供关键词查询功能，使管理员能够根据特定关键词检索与挖矿活动相关的历史记录。</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信息核查结果报告生成</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信息核查结果报告生成是指根据信息核查系统对虚拟货币挖矿相关信息的分析与核查结果，自动生成详实的报告，提供给管理员，以便全面了解挖矿活动、相关证据及建议的应对措施，从而支持系统安全决策。</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支持报告模板定制，允许管理员定制报告模板，以满足不同的信息核查需求和格式要求。</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支持关键信息摘要，提供报告中关键信息的摘要，让管理员能够快速了解核查结果的要点。</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支持证据展示，在报告中展示挖矿活动相关的证据，包括流量记录、日志截图、域名解析信息等。</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告警监控</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信息核查系统需要能够支持对网络数据异常情况下的告警通知能力，便于运维管理人员第一时间进行处理。</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支持通过邮件、短信等方式对系统告警信息进行发送管理。</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支持对不同用户进行个性化的告警通知方式设置，支持对告警等级的通知触发阈值设置。</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支持对告警配置的查询、新增、编辑、删除等管理操作。</w:t>
      </w:r>
      <w:r/>
    </w:p>
    <w:p>
      <w:pPr>
        <w:pStyle w:val="652"/>
        <w:numPr>
          <w:ilvl w:val="1"/>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非功能需求</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▲系统性能要求</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具备对接100个节点以上的流量采集、处理与分析的能力。</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域名解析流量采集性能要求：单台通用服务器配置（CPU：主频不低于 3.10GHz，80线程；内存：256G；万兆网卡）情况下，须满足DNS采集性能不低于500万QPS。</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FLOW流量采集性能要求：单台通用服务器配置（CPU：主频不低于 3.10GHz，80线程；内存：256G；万兆网卡）情况下，须满足Flow采集性能不低于1000万/秒的Flow条目数。</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知识产权要求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投标人提供的软件如为第三方产品，应提供其来源及授权、详细产品资料（包括软件结构、功能模块等），并明确提出后续服务保证，若发生版权纠纷，由投标人无条件承担全部责任。</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安装调试要求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要求项目建设团队在投标文件中提供各子系统具体时间安排进度表并遵照实施。实施方式为驻场实施。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1）安装和调试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调试由投标人负责，并提出软件调试的内容、项目、指标和方法，并提供相应工具，投标人有责任对采购人技术人员提出的问题做出解答。调试应进行详细记录，系统调试结束后，由投标人技术人员签字后交给采购人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在部署验证时,投标人应提供测试方案,测试方案中要求可参考招标文件中技术规范且不得低于投标文件中投标人的应答，工程实施后，将据此进行测试。</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★验收及文档交付要求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试运行：设备安装、调试达到技术规范书规定的指标并可以开通业务时，在买卖双方共同确认并进行相关指标测试后，经采购人同意，设备进入试运行期，在试运行期间投标人有义务协助采购人进行系统稳定性、压力、功能、系统可维护能力等方面的测试。测试期间，如果出现系统瘫痪等重大运行故障，双方须共同分析原因并提出改进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2）验收：试运行一个月稳定后，在安装测试通过后方可进行验收测试。采购人根据合同及技术规范书, 经双方确认后形成验收文件作为验收依据。验收测试合格后, 采购人出具验收合格报告。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3）投标人需要提供的技术文件至少包括：</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成品软件程序及源代码</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用户使用手册</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系统部署手册</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验收报告</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培训要求</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系统实施后，提供《用户使用手册》、《系统部署手册》及相关培训资料（中文）提供给采购人，并免费培训工作人员3－4人，使其能够掌握产品的基本原理和使用方法。</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提供系统的功能使用操作及基本维护培训。</w:t>
      </w:r>
      <w:r/>
    </w:p>
    <w:p>
      <w:pPr>
        <w:numPr>
          <w:ilvl w:val="0"/>
          <w:numId w:val="2"/>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请提供详细的培训方案。</w:t>
      </w:r>
      <w:r/>
    </w:p>
    <w:p>
      <w:pPr>
        <w:numPr>
          <w:ilvl w:val="0"/>
          <w:numId w:val="2"/>
        </w:numPr>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相关费用由投标人承担。</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维保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管理和运维：投标人需提供系统软件的基本维护，包括安装调试、软件升级等。监督系统运行状态，解答处理采购人在操作过程中遇到的技术问题，对采购人日常反馈的问题进行及时整理汇总，对系统存在bug进行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技术指导和支持：投标人需指导采购人正确使用系统，排查并解决系统运行中的其他问题，为采购人开展技术开发、运维等工作提供技术支持。定期或根据用户要求，投标人需对系统进行检查，数据备份。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投标人经采购人许可后，方可通过网络远程登录用户的系统。对系统进行的任何配置、数据改动及其它可能对系统和业务造成不良影响的操作，必需经采购人确认后方可进行，并提供书面记录。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投标人应根据系统的业务和工作流程变化，更新用户使用手册。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服务方式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投标人承诺中标后在维保期内组建不少于4人专门团队提供南京本地化驻点服务，保证系统出现异常时的响应和解决速度，提供服务承诺函。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期内除现场服务外，应同时提供对系统问题的电话解答及电话支持；通过电话进行有关应用系统故障的检查及解决。提供服务的时段为7*24小时，对特殊情况双方另行商定。对采购人电话立即响应，并在半个工作日内给出答复或解决方案；不能在半个工作日内给出答复或解决方案的，应提前向采购人说明情况并约定进一步的处理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期内，当系统运行环境出现严重故障，或因更换服务器等原因需要重新搭建系统数据库，投标人应提供部署建议，并通过远程或现场协助采购人完成数据库安装和数据迁移，对系统进行完整性检查并跟踪运行情况。</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★3、售后服务时间要求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修期3年：从验收完成之日起，投标人应为其软件提供3年的保修期，保修期间投标人应为本工程所提供的所有软件提供保修服务。在保修期内，如果系统发生故障，投标人要调查故障原因并修复直至满足最终验收指标和性能的要求，或者更换整个或部分有缺陷的软硬件。以上都应是完全免费的。</w:t>
      </w:r>
      <w:r/>
    </w:p>
    <w:p>
      <w:pPr>
        <w:pStyle w:val="654"/>
        <w:numPr>
          <w:ilvl w:val="2"/>
          <w:numId w:val="1"/>
        </w:numPr>
        <w:jc w:val="both"/>
        <w:spacing w:before="260" w:after="260" w:line="5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★商务要求</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保修期：3年，从验收完成之日起</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交付期：在合同签订后20天内完成所有软件的部署</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（1）合同签订后，乙方开具合同总额30%的收据，同时提交付款申请书后原则上10个工作日内甲方支付30%预付款。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完成所有软件部署、甲方验收合格且对甲方人员进行相关培训（具体培训以投标文件中承诺为准）后，乙方开具合同总额100%的增值税专用发票、同时提交付款申请书后原则上10个工作日内，甲方支付合同总额67%的金额给乙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（3）甲方签署验收合格报告之日起所有软件正常运行一年时间经甲方确认后，乙方提交付款申请书后原则上10个工作日内，甲方支付合同总额3%的金额给乙方。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（4）系统维护：自甲方对乙方提供的全部服务验收之日起，3年内免费提供维护服务（系统运行期间的问题改修和版本升级）。</w:t>
      </w:r>
      <w:r/>
    </w:p>
    <w:p>
      <w:pPr>
        <w:ind w:left="48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第五章 采购合同主要条款及格式</w:t>
      </w:r>
      <w:r/>
    </w:p>
    <w:p>
      <w:pPr>
        <w:ind w:left="0" w:right="0" w:firstLine="88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面向工业互联网的虚拟货币“挖矿”治理公共服务平台采购项目采购合同</w:t>
      </w:r>
      <w:r/>
    </w:p>
    <w:p>
      <w:pPr>
        <w:ind w:left="0" w:right="0" w:firstLine="560"/>
        <w:jc w:val="both"/>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甲方（采购人）：江苏省未来网络创新研究院  </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法定代表人：刘韵洁</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rPr>
          <w:rFonts w:ascii="FangSong" w:hAnsi="FangSong" w:eastAsia="FangSong" w:cs="FangSong"/>
          <w:color w:val="000000"/>
          <w:sz w:val="24"/>
        </w:rPr>
        <w:t xml:space="preserve">12320100589403821X</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地址：南京市江宁区秣周东路7号</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乙方（投标人）： </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                            </w:t>
      </w:r>
      <w:r/>
    </w:p>
    <w:p>
      <w:pPr>
        <w:ind w:left="0" w:right="0" w:firstLine="482"/>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地址：</w:t>
      </w:r>
      <w:r/>
    </w:p>
    <w:p>
      <w:pPr>
        <w:ind w:left="0" w:right="0" w:firstLine="56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2280"/>
        <w:jc w:val="both"/>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签约时间：2024年   月</w:t>
      </w:r>
      <w:r/>
    </w:p>
    <w:p>
      <w:pPr>
        <w:ind w:left="0" w:right="0" w:firstLine="560"/>
        <w:jc w:val="center"/>
        <w:spacing w:before="48" w:after="48"/>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签约地点：江苏省南京市江宁区</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甲乙双方本着相互信任、真诚合作、共同发展的原则，根据《中华人民共和国民法典》《中华人民共和国著作权法》等相关的法律、法规的规定，就 XXX软件 （以下简称“标的软件”）采购项目的实施和使用等事宜，在友好协商的基础上共同制定如下合同内容，供双方信守：</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一、合同标的</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5"/>
        <w:gridCol w:w="2532"/>
        <w:gridCol w:w="1280"/>
        <w:gridCol w:w="1035"/>
        <w:gridCol w:w="1280"/>
      </w:tblGrid>
      <w:tr>
        <w:trPr>
          <w:trHeight w:val="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562"/>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562"/>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主要技术参数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562"/>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w:t>
            </w:r>
            <w:r/>
          </w:p>
          <w:p>
            <w:pPr>
              <w:ind w:left="0" w:right="0" w:firstLine="560"/>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562"/>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103" w:right="0" w:firstLine="562"/>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总价</w:t>
            </w:r>
            <w:r/>
          </w:p>
          <w:p>
            <w:pPr>
              <w:ind w:left="0" w:right="0" w:firstLine="560"/>
              <w:jc w:val="center"/>
              <w:spacing w:before="48" w:after="48"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560"/>
              <w:jc w:val="both"/>
              <w:spacing w:before="48" w:after="48"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2" w:type="dxa"/>
            <w:vAlign w:val="center"/>
            <w:textDirection w:val="lrTb"/>
            <w:noWrap w:val="false"/>
          </w:tcPr>
          <w:p>
            <w:pPr>
              <w:ind w:left="0" w:right="0" w:firstLine="560"/>
              <w:jc w:val="center"/>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560"/>
              <w:jc w:val="center"/>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560"/>
              <w:jc w:val="center"/>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560"/>
              <w:jc w:val="center"/>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7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7" w:type="dxa"/>
            <w:vAlign w:val="center"/>
            <w:vMerge w:val="restart"/>
            <w:textDirection w:val="lrTb"/>
            <w:noWrap w:val="false"/>
          </w:tcPr>
          <w:p>
            <w:pPr>
              <w:ind w:left="0" w:right="0" w:firstLine="562"/>
              <w:jc w:val="center"/>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合同总价款（含税，税率）</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562"/>
              <w:jc w:val="both"/>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小写：</w:t>
            </w:r>
            <w:r/>
          </w:p>
        </w:tc>
      </w:tr>
      <w:tr>
        <w:trPr>
          <w:trHeight w:val="549"/>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562"/>
              <w:jc w:val="both"/>
              <w:spacing w:before="48" w:after="48"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大写：</w:t>
            </w:r>
            <w:r/>
          </w:p>
        </w:tc>
      </w:tr>
    </w:tbl>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备注：本合同中详细配置及主要技术参数（或服务具体要求）以乙方投标文件为准。若国家对增值税税率进行调低时，上述价款按13%的税率还原成不含税价后再按开票时的税率进行支付含税价款。</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二、双方权利和义务</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1、乙方按照本合同、甲方的招标文件以及乙方的投标文件要求按时提供产品及服务,按时完成附件中所有功能并保证甲方正常使用，甲方按照合同要求按时支付合同总价款。</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承诺，甲方不因使用标的软件受到任何第三方的任何追究（包括但不限于知识产权侵权等），否则因此产生的所有法律责任由乙方承担，包括民事赔偿、行政、刑事等责任均由乙方承担。若甲方先行赔付，则有权向乙方追偿以上所有损失和赔偿。</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三、产品交付</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1、乙方向甲方交付的软件最终项目成果应达到甲方的所有需求指标，具体内容以甲方招标文件所列明的技术指标为准。</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上述交付应逐项经甲方验收合格才视为本合同中乙方提供的产品已达到合格标准。否则，有任意一项不符合甲方要求即视为不合格。</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2、交付时间：合同订立后20天。所有产品安装调试完毕、验收合格并交付给需方的日期为交货时间。</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3、交付地点：甲方指定地点</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四、售后服务</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1、维保服务期：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年，从甲方验收合格之日起计算。维保范围：包括但不限于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等。</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2、乙方在维保服务期内负责提供必要的技术支持与维护。</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3、自交付之日起计算。乙方将提供免费的电话、网络咨询以及软件升级服务等。</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4、在服务质保期内，乙方应向甲方提供每周七天、每天二十四小时的技术支持服务响应。服务类型包括但不限于远程诊断、上门维修、定期巡检等。</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5、乙方接到故障报告后，在1小时内提供解决方法，若未能排除故障，乙方保证在2小时内派资深工程师到现场排除故障。</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五、付款方式</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（1）合同签订后，乙方开具合同总额30%的收据，同时提交付款申请书后原则上10个工作日内甲方支付30%预付款；</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完成所有软件部署、甲方验收合格且对甲方人员进行相关培训（具体培训以投标文件中承诺为准）后，乙方开具合同总额100%的增值税专用发票、同时提交付款申请书后原则上10个工作日内，甲方支付合同总额67%的金额给乙方。；</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（3）甲方签署验收合格报告之日起所有软件正常运行一年时间经甲方确认后，乙方提交付款申请书后原则上10个工作日内，甲方支付合同总额3%的金额给乙方。</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系统维护费：自甲方对乙方提供的全部服务验收之日起，</w:t>
      </w:r>
      <w:r>
        <w:rPr>
          <w:rFonts w:ascii="FangSong" w:hAnsi="FangSong" w:eastAsia="FangSong" w:cs="FangSong"/>
          <w:color w:val="000000"/>
          <w:sz w:val="24"/>
          <w:u w:val="single"/>
        </w:rPr>
        <w:t xml:space="preserve">3</w:t>
      </w:r>
      <w:r>
        <w:rPr>
          <w:rFonts w:ascii="FangSong" w:hAnsi="FangSong" w:eastAsia="FangSong" w:cs="FangSong"/>
          <w:color w:val="000000"/>
          <w:sz w:val="24"/>
        </w:rPr>
        <w:t xml:space="preserve">年内免费提供维护服务（系统运行期间的问题改修和版本升级），在维保服务期结束之后,如有需要双方可签订合同。 </w:t>
      </w:r>
      <w:r/>
    </w:p>
    <w:p>
      <w:pPr>
        <w:ind w:left="0" w:right="0" w:firstLine="3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甲方开票信息：</w:t>
      </w:r>
      <w:r/>
    </w:p>
    <w:p>
      <w:pPr>
        <w:ind w:left="42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称：江苏省未来网络创新研究院</w:t>
      </w:r>
      <w:r/>
    </w:p>
    <w:p>
      <w:pPr>
        <w:ind w:left="42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 号：12320100589403821X </w:t>
      </w:r>
      <w:r/>
    </w:p>
    <w:p>
      <w:pPr>
        <w:ind w:left="42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地址、电话：江宁开发区将军大道37号  025-57926722</w:t>
      </w:r>
      <w:r/>
    </w:p>
    <w:p>
      <w:pPr>
        <w:ind w:left="42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银行、账号：中国银行南京江宁经济开发区支行478059814337</w:t>
      </w:r>
      <w:r/>
    </w:p>
    <w:p>
      <w:pPr>
        <w:ind w:left="0" w:right="0" w:firstLine="3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乙方账号信息：</w:t>
      </w:r>
      <w:r/>
    </w:p>
    <w:p>
      <w:pPr>
        <w:ind w:left="0" w:right="0" w:firstLine="3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 名： </w:t>
      </w:r>
      <w:r/>
    </w:p>
    <w:p>
      <w:pPr>
        <w:ind w:left="0" w:right="0" w:firstLine="3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银行账户：</w:t>
      </w:r>
      <w:r/>
    </w:p>
    <w:p>
      <w:pPr>
        <w:ind w:left="0" w:right="0" w:firstLine="3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开户银行地址： </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六、知识产权</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1、乙方所提供的软件是受法律保护的商业软件。它适用的法律包括《计算机软件保护条例》《中华人民共和国著作权法》和《中华人民共和国专利法》等法律法规。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因在本合同规定下使用该系统而导致第三方对甲方提起诉讼或控告,指控甲方侵犯包括但不限于著作权、商业秘密、专利权或商标权等合法权利，乙方应积极应诉或协助甲方并处理相关的事务，一切费用由乙方承担。只要甲方将任何此类索赔以书面形式通知乙方并授权乙方予以处理，乙方将为最后的判决或解决方案支付甲方产生的所有费用。乙方也可以自行决定对此类索赔进行解决，并保证甲方的权益不受到任何侵害。若因甲方受到第三方索赔，甲方有权向乙方追偿。</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七、违约责任条款</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当按时完成本合同约定的各项义务，并对系统的正常运行承担全部责任。若系统不能正常运行或验收不合格，造成甲方损失的，甲方未支付的费用无需再支付，并有权要求乙方退还已付全部费用，并赔偿甲方的全部损失。如甲方因使用本软件而产生的任何间接、特殊、意外或全部损失，乙方将还应当协助甲方恢复软件及系统等正常运行，并视乙方责任大小向甲方承担赔偿责任。</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2、乙方应当按照提供的时间进度表完成并完善相关工作，如不能在规定的时间内完成，每逾期一日乙方向甲方按天支付合同总价的0.5%的违约金。如乙方逾期交付达</w:t>
      </w:r>
      <w:r>
        <w:rPr>
          <w:rFonts w:ascii="Calibri" w:hAnsi="Calibri" w:eastAsia="Calibri" w:cs="Calibri"/>
          <w:color w:val="000000"/>
          <w:sz w:val="24"/>
        </w:rPr>
        <w:t xml:space="preserve"> </w:t>
      </w:r>
      <w:r>
        <w:rPr>
          <w:rFonts w:ascii="FangSong" w:hAnsi="FangSong" w:eastAsia="FangSong" w:cs="FangSong"/>
          <w:color w:val="000000"/>
          <w:sz w:val="24"/>
        </w:rPr>
        <w:t xml:space="preserve">10</w:t>
      </w:r>
      <w:r>
        <w:rPr>
          <w:rFonts w:ascii="Calibri" w:hAnsi="Calibri" w:eastAsia="Calibri" w:cs="Calibri"/>
          <w:color w:val="000000"/>
          <w:sz w:val="24"/>
        </w:rPr>
        <w:t xml:space="preserve"> </w:t>
      </w:r>
      <w:r>
        <w:rPr>
          <w:rFonts w:ascii="FangSong" w:hAnsi="FangSong" w:eastAsia="FangSong" w:cs="FangSong"/>
          <w:color w:val="000000"/>
          <w:sz w:val="24"/>
        </w:rPr>
        <w:t xml:space="preserve">天，甲方有权解除合同，解除合同的通知自到达乙方时生效，乙方应当退还已收取的全部费用，同时，除逾期部分违约金外，乙方还应当向甲方支付合同总价款的20%违约金并赔偿甲方的全部损失（包括直接或间接损失）。</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当乙方按照甲方的要求完成和完善软件并交付后,甲方不可无理由拖欠乙方的费用，如有上述现象,乙方有权停止向甲方提供服务。甲方每逾期一天支付相应合同价款，甲方应当向乙方支付每天应付未付款项的0.3%的违约金，但此项违约金最高不得超过应付未付款项总额的5%。</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若本合同约定的违约金不足以弥补给甲方造成的损失，乙方应当承担赔偿责任直至填补甲方所有损失，该损失包括但不限于违约金、损害赔偿金和实现债权的费用（包括但不限于律师费、诉讼费、保全费、执行费等）等。</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5、若乙方不履行本合同义务或履行义务不符合合同约定、甲方要求的，除本合同另有约定之外乙方应当退还所有甲方支付的全部费用，并支付总价的20%的违约金。</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八、合同的解除与变更</w:t>
      </w:r>
      <w:r/>
    </w:p>
    <w:p>
      <w:pPr>
        <w:ind w:left="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1.在本合同履行过程中，经甲乙双方协商一致，可以解除本合同；可以对本合同的条款进行变更，形成书面补充协议，若不能就变更达成一致意见的，应当按照本合同条款执行。</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2.本合同乙方发生以下情形之一的，甲方有权解除本合同：</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（1）乙方丧失履约能力或明确表示不能为甲方提供标的软件的。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（2）乙方未按本合同的约定的时间进行交付超过10天的。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（3）若乙方指派的负责人或技术人员未实际参与本合同工作或者乙方擅自更换上述人员，经甲方通知后10天内仍未纠正或已严重影响本合同履行的。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（4）乙方的工作进度或者工作内容不符合本合同约定，经甲方通知后10天内仍未纠正的。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（5）乙方提交的软件经两次验收后仍不合格的。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（6）乙方违反合同约定擅自将其合同义务转委托给第三人的。</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（7）乙方存在其他违约行为的。</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九、保密条款</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密信息的保护：保密信息是指甲、乙方各自专有的、且提供给对方的并明确标有“保密”字样的信息，包括但不限于本合同及其签订、许可软件、数据等。甲乙双方承认保密信息构成有价值的商业秘密。双方同意严格按照本合同的规定使用对方的保密信息，未经对方的事先书面许可，不得向第三方，或允许向第三方直接或间接地透露保密信息。若因一方的泄密行为导致另一方遭受损失的，则泄密方除应承担违约责任外，还需对信息所有方的一切损失承担赔偿责任。无论本合同变更、解除或终止，本条款保持有效。</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十、争议解决</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由本合同引起的或与本合同有关的任何争议，双方应当友到好协商解决；如不能通过友好协商解决争议，双方同意将争议提交甲方所在地人民法院诉讼解决。</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十一、其他</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1、本合同受中国境内法律的约束。</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2、合同生效：本合同自双方授权代表签字并盖章之日起生效。</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3、合同期限：双方履行完本合同项下各自的义务后，本合同自行终止（合同提前终止除外），但本合同项下明确规定继续有效的条款除外。</w:t>
      </w:r>
      <w:r/>
    </w:p>
    <w:p>
      <w:pPr>
        <w:ind w:left="0" w:right="0" w:firstLine="60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4、合同终止：如合同任何一方违反了本合同所规定的任何义务，则除了采取其他任何可采取的补救措施之外，双方可以协商一致解除本合同并按上述约定承担违约责任。</w:t>
      </w:r>
      <w:r/>
    </w:p>
    <w:p>
      <w:pPr>
        <w:ind w:left="0" w:right="0" w:firstLine="482"/>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十二、附件</w:t>
      </w:r>
      <w:r/>
    </w:p>
    <w:p>
      <w:pPr>
        <w:ind w:left="0" w:right="0" w:firstLine="480"/>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1、本合同附件为本合同不可分割的组成部分，与本合同具有同等效力。附件有：</w:t>
      </w:r>
      <w:r/>
    </w:p>
    <w:p>
      <w:pPr>
        <w:numPr>
          <w:ilvl w:val="1"/>
          <w:numId w:val="3"/>
        </w:numPr>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中标（成交）通知书；</w:t>
      </w:r>
      <w:r/>
    </w:p>
    <w:p>
      <w:pPr>
        <w:ind w:left="0" w:right="0" w:firstLine="480"/>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1.2、甲方发布的编号为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的招标文件（包含但不限于该文件的补充通知、澄清文件等）；</w:t>
      </w:r>
      <w:r/>
    </w:p>
    <w:p>
      <w:pPr>
        <w:ind w:left="0" w:right="0" w:firstLine="480"/>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1.3、乙方针对上述招标文件递交的投标文件（包含但不限于该文件的澄清文件、修改说明等）。</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（以下无正文）</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（本页是编号为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合同的签署页，无正文）</w:t>
      </w:r>
      <w:r/>
    </w:p>
    <w:p>
      <w:pPr>
        <w:ind w:left="0" w:right="0" w:firstLine="480"/>
        <w:jc w:val="both"/>
        <w:spacing w:before="48" w:after="48"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0"/>
        <w:gridCol w:w="45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甲方：江苏省未来网络创新研究院</w:t>
            </w:r>
            <w:r/>
          </w:p>
          <w:p>
            <w:pPr>
              <w:ind w:left="0" w:right="0" w:firstLine="60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（盖章）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地址:南京市江宁区秣周东路7号</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税号：12320100589403821X</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开户银行：中国银行南京江宁经济开发区支行</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账号：478059814337</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电话:025-57926663</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p>
          <w:p>
            <w:pPr>
              <w:ind w:left="0" w:right="0" w:firstLine="560"/>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签订日期：    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top"/>
            <w:textDirection w:val="lrTb"/>
            <w:noWrap w:val="false"/>
          </w:tcPr>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乙方：（盖章）</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税号：</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48" w:after="48"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签订日期：    年    月     日</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第六章 附件</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供应商：（盖单位章）</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法定代表人或其委托代理人：（签字）</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月日</w:t>
      </w:r>
      <w:r/>
    </w:p>
    <w:p>
      <w:pPr>
        <w:ind w:left="0" w:right="0" w:firstLine="56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312" w:after="312"/>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目录</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（注：供应商根据附件顺序编制投标文件并制作目录（须生成页码））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附件一、投标申请及声明格式</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投标申请及声明</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致：中邮通建设咨询有限公司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项目名称）</w:t>
      </w:r>
      <w:r>
        <w:rPr>
          <w:rFonts w:ascii="Calibri" w:hAnsi="Calibri" w:eastAsia="Calibri" w:cs="Calibri"/>
          <w:color w:val="000000"/>
          <w:sz w:val="24"/>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（项目编号）投标邀请，正式授权下述签字人</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(姓名和职务)代表供应商</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（供应商名称），提交投标文件。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我们的资格条件完全符合政府采购法和本次招标要求</w:t>
      </w:r>
      <w:r>
        <w:rPr>
          <w:rFonts w:ascii="FangSong" w:hAnsi="FangSong" w:eastAsia="FangSong" w:cs="FangSong"/>
          <w:color w:val="000000"/>
          <w:sz w:val="24"/>
        </w:rPr>
        <w:t xml:space="preserve">，我们同意并向贵方提供了与投标有关的所有证据和资料。</w:t>
      </w:r>
      <w:r/>
    </w:p>
    <w:p>
      <w:pPr>
        <w:ind w:left="147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2、按招标要求，我们的投标总报价为（大写）</w:t>
      </w:r>
      <w:r>
        <w:rPr>
          <w:rFonts w:ascii="Calibri" w:hAnsi="Calibri" w:eastAsia="Calibri" w:cs="Calibri"/>
          <w:b/>
          <w:color w:val="000000"/>
          <w:sz w:val="24"/>
          <w:u w:val="single"/>
        </w:rPr>
        <w:t xml:space="preserve">        </w:t>
      </w:r>
      <w:r>
        <w:rPr>
          <w:rFonts w:ascii="FangSong" w:hAnsi="FangSong" w:eastAsia="FangSong" w:cs="FangSong"/>
          <w:color w:val="000000"/>
          <w:sz w:val="24"/>
        </w:rPr>
        <w:t xml:space="preserve">元人民币。</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3、本项目交付时间为：</w:t>
      </w:r>
      <w:r>
        <w:rPr>
          <w:rFonts w:ascii="FangSong" w:hAnsi="FangSong" w:eastAsia="FangSong" w:cs="FangSong"/>
          <w:color w:val="000000"/>
          <w:sz w:val="24"/>
          <w:u w:val="single"/>
        </w:rPr>
        <w:t xml:space="preserve">  满足招标文件要求</w:t>
      </w:r>
      <w:r>
        <w:rPr>
          <w:rFonts w:ascii="FangSong" w:hAnsi="FangSong" w:eastAsia="FangSong" w:cs="FangSong"/>
          <w:color w:val="000000"/>
          <w:sz w:val="24"/>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4、我们已详细阅读全部招标文件及其有效补充文件，我们放弃对招标文件任何误解的权利，提交投标文件后，</w:t>
      </w:r>
      <w:r>
        <w:rPr>
          <w:rFonts w:ascii="FangSong" w:hAnsi="FangSong" w:eastAsia="FangSong" w:cs="FangSong"/>
          <w:b/>
          <w:color w:val="000000"/>
          <w:sz w:val="24"/>
        </w:rPr>
        <w:t xml:space="preserve">不对招标文件本身提出质疑</w:t>
      </w:r>
      <w:r>
        <w:rPr>
          <w:rFonts w:ascii="FangSong" w:hAnsi="FangSong" w:eastAsia="FangSong" w:cs="FangSong"/>
          <w:color w:val="000000"/>
          <w:sz w:val="24"/>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w:t>
      </w:r>
      <w:r>
        <w:rPr>
          <w:rFonts w:ascii="Calibri" w:hAnsi="Calibri" w:eastAsia="Calibri" w:cs="Calibri"/>
          <w:color w:val="000000"/>
          <w:sz w:val="24"/>
        </w:rPr>
        <w:t xml:space="preserve">   </w:t>
      </w:r>
      <w:r>
        <w:rPr>
          <w:rFonts w:ascii="FangSong" w:hAnsi="FangSong" w:eastAsia="FangSong" w:cs="FangSong"/>
          <w:color w:val="000000"/>
          <w:sz w:val="24"/>
        </w:rPr>
        <w:t xml:space="preserve">址：</w:t>
      </w:r>
      <w:r>
        <w:rPr>
          <w:rFonts w:ascii="Calibri" w:hAnsi="Calibri" w:eastAsia="Calibri" w:cs="Calibri"/>
          <w:color w:val="000000"/>
          <w:sz w:val="24"/>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w:t>
      </w:r>
      <w:r>
        <w:rPr>
          <w:rFonts w:ascii="Calibri" w:hAnsi="Calibri" w:eastAsia="Calibri" w:cs="Calibri"/>
          <w:color w:val="000000"/>
          <w:sz w:val="24"/>
        </w:rPr>
        <w:t xml:space="preserve">   </w:t>
      </w:r>
      <w:r>
        <w:rPr>
          <w:rFonts w:ascii="FangSong" w:hAnsi="FangSong" w:eastAsia="FangSong" w:cs="FangSong"/>
          <w:color w:val="000000"/>
          <w:sz w:val="24"/>
        </w:rPr>
        <w:t xml:space="preserve">话：</w:t>
      </w:r>
      <w:r>
        <w:rPr>
          <w:rFonts w:ascii="Calibri" w:hAnsi="Calibri" w:eastAsia="Calibri" w:cs="Calibri"/>
          <w:color w:val="000000"/>
          <w:sz w:val="24"/>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w:t>
      </w:r>
      <w:r>
        <w:rPr>
          <w:rFonts w:ascii="Calibri" w:hAnsi="Calibri" w:eastAsia="Calibri" w:cs="Calibri"/>
          <w:color w:val="000000"/>
          <w:sz w:val="24"/>
        </w:rPr>
        <w:t xml:space="preserve">   </w:t>
      </w:r>
      <w:r>
        <w:rPr>
          <w:rFonts w:ascii="FangSong" w:hAnsi="FangSong" w:eastAsia="FangSong" w:cs="FangSong"/>
          <w:color w:val="000000"/>
          <w:sz w:val="24"/>
        </w:rPr>
        <w:t xml:space="preserve">真：</w:t>
      </w:r>
      <w:r>
        <w:rPr>
          <w:rFonts w:ascii="Calibri" w:hAnsi="Calibri" w:eastAsia="Calibri" w:cs="Calibri"/>
          <w:color w:val="000000"/>
          <w:sz w:val="24"/>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供应商授权代表姓名（签字）：</w:t>
      </w:r>
      <w:r>
        <w:rPr>
          <w:rFonts w:ascii="Calibri" w:hAnsi="Calibri" w:eastAsia="Calibri" w:cs="Calibri"/>
          <w:color w:val="000000"/>
          <w:sz w:val="24"/>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期：</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年</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月</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致：中邮通建设咨询有限公司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本授权书声明：注册于</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（供应商住址）的</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（供应商名称）法定代表人</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（法定代表人姓名、职务）代表本公司授权在下面签字的</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（供应商代表姓名、职务）为本公司的合法代理人，就贵方组织的</w:t>
      </w:r>
      <w:r>
        <w:rPr>
          <w:rFonts w:ascii="Calibri" w:hAnsi="Calibri" w:eastAsia="Calibri" w:cs="Calibri"/>
          <w:b/>
          <w:color w:val="000000"/>
          <w:sz w:val="24"/>
          <w:u w:val="single"/>
        </w:rPr>
        <w:t xml:space="preserve">                   </w:t>
      </w:r>
      <w:r>
        <w:rPr>
          <w:rFonts w:ascii="FangSong" w:hAnsi="FangSong" w:eastAsia="FangSong" w:cs="FangSong"/>
          <w:color w:val="000000"/>
          <w:sz w:val="24"/>
        </w:rPr>
        <w:t xml:space="preserve">（项目名称），</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（项目编号）投标，以本公司名义处理一切与之有关的事务。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本授权书于</w:t>
      </w:r>
      <w:r>
        <w:rPr>
          <w:rFonts w:ascii="Calibri" w:hAnsi="Calibri" w:eastAsia="Calibri" w:cs="Calibri"/>
          <w:color w:val="000000"/>
          <w:sz w:val="24"/>
        </w:rPr>
        <w:t xml:space="preserve">    </w:t>
      </w:r>
      <w:r>
        <w:rPr>
          <w:rFonts w:ascii="FangSong" w:hAnsi="FangSong" w:eastAsia="FangSong" w:cs="FangSong"/>
          <w:color w:val="000000"/>
          <w:sz w:val="24"/>
        </w:rPr>
        <w:t xml:space="preserve">年</w:t>
      </w:r>
      <w:r>
        <w:rPr>
          <w:rFonts w:ascii="Calibri" w:hAnsi="Calibri" w:eastAsia="Calibri" w:cs="Calibri"/>
          <w:color w:val="000000"/>
          <w:sz w:val="24"/>
        </w:rPr>
        <w:t xml:space="preserve">  </w:t>
      </w:r>
      <w:r>
        <w:rPr>
          <w:rFonts w:ascii="FangSong" w:hAnsi="FangSong" w:eastAsia="FangSong" w:cs="FangSong"/>
          <w:color w:val="000000"/>
          <w:sz w:val="24"/>
        </w:rPr>
        <w:t xml:space="preserve">月</w:t>
      </w:r>
      <w:r>
        <w:rPr>
          <w:rFonts w:ascii="Calibri" w:hAnsi="Calibri" w:eastAsia="Calibri" w:cs="Calibri"/>
          <w:color w:val="000000"/>
          <w:sz w:val="24"/>
        </w:rPr>
        <w:t xml:space="preserve">  </w:t>
      </w:r>
      <w:r>
        <w:rPr>
          <w:rFonts w:ascii="FangSong" w:hAnsi="FangSong" w:eastAsia="FangSong" w:cs="FangSong"/>
          <w:color w:val="000000"/>
          <w:sz w:val="24"/>
        </w:rPr>
        <w:t xml:space="preserve">日签字生效，特此声明。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FangSong" w:hAnsi="FangSong" w:eastAsia="FangSong" w:cs="FangSong"/>
          <w:color w:val="000000"/>
          <w:sz w:val="24"/>
        </w:rPr>
        <w:t xml:space="preserve">法定代表人签字：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授权委托人签字：</w:t>
      </w:r>
      <w:r>
        <w:rPr>
          <w:rFonts w:ascii="Calibri" w:hAnsi="Calibri" w:eastAsia="Calibri" w:cs="Calibri"/>
          <w:color w:val="000000"/>
          <w:sz w:val="24"/>
        </w:rPr>
        <w:t xml:space="preserve">                   </w:t>
      </w:r>
      <w:r/>
    </w:p>
    <w:p>
      <w:pPr>
        <w:ind w:left="0" w:right="0" w:firstLine="9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r>
      <w:r>
        <w:rPr>
          <w:rFonts w:ascii="Calibri" w:hAnsi="Calibri" w:eastAsia="Calibri" w:cs="Calibri"/>
          <w:color w:val="000000"/>
          <w:sz w:val="24"/>
        </w:rPr>
        <w:t xml:space="preserve">     </w:t>
      </w:r>
      <w:r>
        <w:rPr>
          <w:rFonts w:ascii="FangSong" w:hAnsi="FangSong" w:eastAsia="FangSong" w:cs="FangSong"/>
          <w:color w:val="000000"/>
          <w:sz w:val="24"/>
        </w:rPr>
        <w:t xml:space="preserve">期：</w:t>
      </w:r>
      <w:r>
        <w:rPr>
          <w:rFonts w:ascii="Calibri" w:hAnsi="Calibri" w:eastAsia="Calibri" w:cs="Calibri"/>
          <w:color w:val="000000"/>
          <w:sz w:val="24"/>
        </w:rPr>
        <w:t xml:space="preserve">        </w:t>
      </w:r>
      <w:r>
        <w:rPr>
          <w:rFonts w:ascii="FangSong" w:hAnsi="FangSong" w:eastAsia="FangSong" w:cs="FangSong"/>
          <w:color w:val="000000"/>
          <w:sz w:val="24"/>
        </w:rPr>
        <w:t xml:space="preserve">年</w:t>
      </w:r>
      <w:r>
        <w:rPr>
          <w:rFonts w:ascii="Calibri" w:hAnsi="Calibri" w:eastAsia="Calibri" w:cs="Calibri"/>
          <w:color w:val="000000"/>
          <w:sz w:val="24"/>
        </w:rPr>
        <w:t xml:space="preserve">    </w:t>
      </w:r>
      <w:r>
        <w:rPr>
          <w:rFonts w:ascii="FangSong" w:hAnsi="FangSong" w:eastAsia="FangSong" w:cs="FangSong"/>
          <w:color w:val="000000"/>
          <w:sz w:val="24"/>
        </w:rPr>
        <w:t xml:space="preserve">月</w:t>
      </w:r>
      <w:r>
        <w:rPr>
          <w:rFonts w:ascii="Calibri" w:hAnsi="Calibri" w:eastAsia="Calibri" w:cs="Calibri"/>
          <w:color w:val="000000"/>
          <w:sz w:val="24"/>
        </w:rPr>
        <w:t xml:space="preserve">    </w:t>
      </w:r>
      <w:r>
        <w:rPr>
          <w:rFonts w:ascii="FangSong" w:hAnsi="FangSong" w:eastAsia="FangSong" w:cs="FangSong"/>
          <w:color w:val="000000"/>
          <w:sz w:val="24"/>
        </w:rPr>
        <w:t xml:space="preserve">日</w:t>
      </w:r>
      <w:r/>
    </w:p>
    <w:p>
      <w:pPr>
        <w:ind w:left="0" w:right="0" w:firstLine="9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附件三、报价表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开标一览表</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4"/>
        <w:gridCol w:w="847"/>
        <w:gridCol w:w="4610"/>
        <w:gridCol w:w="1286"/>
      </w:tblGrid>
      <w:tr>
        <w:trPr>
          <w:trHeight w:val="829"/>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投标含税总价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     人民币                  </w:t>
            </w:r>
            <w:r/>
          </w:p>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     人民币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交货期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7" w:type="dxa"/>
            <w:vAlign w:val="center"/>
            <w:textDirection w:val="lrTb"/>
            <w:noWrap w:val="false"/>
          </w:tcPr>
          <w:p>
            <w:pPr>
              <w:ind w:left="0" w:right="0" w:firstLine="48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保修期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7" w:type="dxa"/>
            <w:vAlign w:val="center"/>
            <w:textDirection w:val="lrTb"/>
            <w:noWrap w:val="false"/>
          </w:tcPr>
          <w:p>
            <w:pPr>
              <w:ind w:left="0" w:right="0" w:firstLine="48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7" w:type="dxa"/>
            <w:vAlign w:val="center"/>
            <w:textDirection w:val="lrTb"/>
            <w:noWrap w:val="false"/>
          </w:tcPr>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54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1、本项目仅接受一个价格，不得填报有选择性报价方案。若有优惠条款须注明，但不得影响报价，影响产品整体功能。</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2、“供应商是否属于小微型企业”栏内填写“是”或“否”。如填写“是”，供应商需提供《中小企业声明函》、《残疾人福利性单位声明函》、《属于监狱企业的证明文件》； </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如未按要求提供、填写，或相关内容表述不清前后矛盾的，不享受价格扣除。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附件四、分项报价表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2210"/>
        <w:gridCol w:w="830"/>
        <w:gridCol w:w="880"/>
        <w:gridCol w:w="1440"/>
        <w:gridCol w:w="1073"/>
        <w:gridCol w:w="1711"/>
      </w:tblGrid>
      <w:tr>
        <w:trPr>
          <w:trHeight w:val="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top"/>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分项不含税报价（万元）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top"/>
            <w:textDirection w:val="lrTb"/>
            <w:noWrap w:val="false"/>
          </w:tcPr>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分项含税报价（万元）</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域名解析数据分析系统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信息核查系统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智能流量分析系统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注:1.如果按单价计算的结果与总价不一致,以单价为准修正总价。</w:t>
      </w:r>
      <w:r/>
    </w:p>
    <w:p>
      <w:pPr>
        <w:numPr>
          <w:ilvl w:val="0"/>
          <w:numId w:val="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如果不提供详细分项报价将视为没有实质性响应招标文件。</w:t>
      </w:r>
      <w:r/>
    </w:p>
    <w:p>
      <w:pPr>
        <w:numPr>
          <w:ilvl w:val="0"/>
          <w:numId w:val="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报价四舍五入保留2位小数。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项目名称：项目编号：</w:t>
      </w:r>
      <w:r>
        <w:rPr>
          <w:rFonts w:ascii="Calibri" w:hAnsi="Calibri" w:eastAsia="Calibri" w:cs="Calibri"/>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说明：如果行数不够，请自行增加。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1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项目名称：项目编号：</w:t>
      </w:r>
      <w:r>
        <w:rPr>
          <w:rFonts w:ascii="Calibri" w:hAnsi="Calibri" w:eastAsia="Calibri" w:cs="Calibri"/>
          <w:color w:val="000000"/>
          <w:sz w:val="24"/>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2"/>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说明：如果行数不够，请自行增加。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附件七、方案</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技术方案及服务承诺应根据招标人对项目的要求、评标标准的要求及项目本身的特点编写，内容应包括但不限于以下内容：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附件八、拟参与本项目服务人员一览表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拟参与本项目服务人员一览表</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874"/>
        <w:gridCol w:w="646"/>
        <w:gridCol w:w="691"/>
        <w:gridCol w:w="1106"/>
        <w:gridCol w:w="908"/>
        <w:gridCol w:w="995"/>
        <w:gridCol w:w="969"/>
        <w:gridCol w:w="860"/>
        <w:gridCol w:w="829"/>
        <w:gridCol w:w="8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执业</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附件九、 供应商类似业绩情况表</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类似业绩情况表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获奖</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签约及服务</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投标单位（盖章）：</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rPr>
          <w:rFonts w:ascii="FangSong" w:hAnsi="FangSong" w:eastAsia="FangSong" w:cs="FangSong"/>
          <w:color w:val="000000"/>
          <w:sz w:val="24"/>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rPr>
          <w:rFonts w:ascii="Calibri" w:hAnsi="Calibri" w:eastAsia="Calibri" w:cs="Calibri"/>
          <w:color w:val="000000"/>
          <w:sz w:val="24"/>
          <w:u w:val="single"/>
        </w:rPr>
        <w:t xml:space="preserve">                    </w:t>
      </w: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附件十：企业声明函格式</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中小企业声明函（货物）</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（单位名称）的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（项目名称）采购活动。提供的货物全部由符合政策要求的中小企业制造。相关企业（含联合体中的中小企业、签订分包意向协议的中小企业）的具体情况如下:</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w:t>
      </w:r>
      <w:r>
        <w:rPr>
          <w:rFonts w:ascii="FangSong" w:hAnsi="FangSong" w:eastAsia="FangSong" w:cs="FangSong"/>
          <w:color w:val="000000"/>
          <w:sz w:val="24"/>
          <w:u w:val="single"/>
        </w:rP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（标的名称），属于（采购文件中明确的所属行业）行业;制造商为_</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（企业名称），从业人员____人，</w:t>
      </w:r>
      <w:r>
        <w:rPr>
          <w:rFonts w:ascii="Calibri" w:hAnsi="Calibri" w:eastAsia="Calibri" w:cs="Calibri"/>
          <w:color w:val="000000"/>
          <w:sz w:val="24"/>
        </w:rPr>
        <w:t xml:space="preserve"> </w:t>
      </w:r>
      <w:r>
        <w:rPr>
          <w:rFonts w:ascii="FangSong" w:hAnsi="FangSong" w:eastAsia="FangSong" w:cs="FangSong"/>
          <w:color w:val="000000"/>
          <w:sz w:val="24"/>
        </w:rPr>
        <w:t xml:space="preserve">营业收入为_</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__</w:t>
      </w:r>
      <w:r>
        <w:rPr>
          <w:rFonts w:ascii="Calibri" w:hAnsi="Calibri" w:eastAsia="Calibri" w:cs="Calibri"/>
          <w:color w:val="000000"/>
          <w:sz w:val="24"/>
        </w:rPr>
        <w:t xml:space="preserve"> </w:t>
      </w:r>
      <w:r>
        <w:rPr>
          <w:rFonts w:ascii="FangSong" w:hAnsi="FangSong" w:eastAsia="FangSong" w:cs="FangSong"/>
          <w:color w:val="000000"/>
          <w:sz w:val="24"/>
        </w:rPr>
        <w:t xml:space="preserve">万元，资产总额为___</w:t>
      </w:r>
      <w:r>
        <w:rPr>
          <w:rFonts w:ascii="Calibri" w:hAnsi="Calibri" w:eastAsia="Calibri" w:cs="Calibri"/>
          <w:color w:val="000000"/>
          <w:sz w:val="24"/>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      </w:t>
      </w:r>
      <w:r>
        <w:rPr>
          <w:rFonts w:ascii="Calibri" w:hAnsi="Calibri" w:eastAsia="Calibri" w:cs="Calibri"/>
          <w:color w:val="000000"/>
          <w:sz w:val="24"/>
        </w:rPr>
        <w:t xml:space="preserve"> </w:t>
      </w:r>
      <w:r>
        <w:rPr>
          <w:rFonts w:ascii="FangSong" w:hAnsi="FangSong" w:eastAsia="FangSong" w:cs="FangSong"/>
          <w:color w:val="000000"/>
          <w:sz w:val="24"/>
        </w:rPr>
        <w:t xml:space="preserve">（中型企业、小型企业、微型企业）；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（标的名称），属于（采购文件中明确的所属行业）行业；制造商为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（企业名称），从业人员</w:t>
      </w:r>
      <w:r>
        <w:rPr>
          <w:rFonts w:ascii="FangSong" w:hAnsi="FangSong" w:eastAsia="FangSong" w:cs="FangSong"/>
          <w:color w:val="000000"/>
          <w:sz w:val="24"/>
          <w:u w:val="single"/>
        </w:rPr>
        <w:t xml:space="preserve">__  </w:t>
      </w:r>
      <w:r>
        <w:rPr>
          <w:rFonts w:ascii="FangSong" w:hAnsi="FangSong" w:eastAsia="FangSong" w:cs="FangSong"/>
          <w:color w:val="000000"/>
          <w:sz w:val="24"/>
        </w:rPr>
        <w:t xml:space="preserve">人，</w:t>
      </w:r>
      <w:r>
        <w:rPr>
          <w:rFonts w:ascii="Calibri" w:hAnsi="Calibri" w:eastAsia="Calibri" w:cs="Calibri"/>
          <w:color w:val="000000"/>
          <w:sz w:val="24"/>
        </w:rPr>
        <w:t xml:space="preserve"> </w:t>
      </w:r>
      <w:r>
        <w:rPr>
          <w:rFonts w:ascii="FangSong" w:hAnsi="FangSong" w:eastAsia="FangSong" w:cs="FangSong"/>
          <w:color w:val="000000"/>
          <w:sz w:val="24"/>
        </w:rPr>
        <w:t xml:space="preserve">营业收入为__</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_万元，资产总额为___万元，</w:t>
      </w:r>
      <w:r>
        <w:rPr>
          <w:rFonts w:ascii="Calibri" w:hAnsi="Calibri" w:eastAsia="Calibri" w:cs="Calibri"/>
          <w:color w:val="000000"/>
          <w:sz w:val="24"/>
        </w:rPr>
        <w:t xml:space="preserve"> </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（中型企业、小型企业、微型企业）；</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以上企业，不属于大企业的分支机构，不存在控股股东为大企业的情形，也不存在与大企业的负责人为同一人的情形。</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本企业对上述声明内容的真实性负责。如有虚假，将依法承担相应责任。</w:t>
      </w:r>
      <w:r/>
    </w:p>
    <w:p>
      <w:pPr>
        <w:pStyle w:val="656"/>
        <w:numPr>
          <w:ilvl w:val="3"/>
          <w:numId w:val="1"/>
        </w:numPr>
        <w:jc w:val="both"/>
        <w:spacing w:before="280" w:after="290" w:line="43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企业名称(盖章):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残疾人福利性单位声明函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57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单位名称（盖章）：</w:t>
      </w:r>
      <w:r/>
    </w:p>
    <w:p>
      <w:pPr>
        <w:ind w:left="0" w:right="0" w:firstLine="57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（提供由省级以上监狱管理局、戒毒管理局(含新疆生产建设兵团)出具的属于监狱企业的证明文件）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节能产品认证文件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（提供产品在《节能产品政府采购清单》中相应的页面）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环境标志产品认证文件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（提供产品在《环境标志产品政府采购清单》中相应的页面）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进口产品转让技术、消化吸收再创新方案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（对于允许进口产品参加的项目）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附件十一、无重大违法记录声明格式</w:t>
      </w:r>
      <w:r/>
    </w:p>
    <w:p>
      <w:pPr>
        <w:ind w:left="0" w:right="0" w:firstLine="56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中邮通建设咨询有限公司：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我单位（供应商名称）郑重声明：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参加政府采购活动前3年内在经营活动中（在下划线上如实填写：有或没有）重大违法记录。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83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声明人：（公章）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w:t>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附件十二、资格资信证明文件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附件十三、 本地化服务承诺函</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承诺函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江苏省未来网络创新研究院：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我公司承诺：中标后在维保期内组建不少于4人专门团队提供南京本地化驻点服务，保证系统出现异常时的响应和解决速度。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本单位对上述承诺的真实性负责。如有虚假，将依法承担相应责任。</w:t>
      </w:r>
      <w:r/>
    </w:p>
    <w:p>
      <w:pPr>
        <w:ind w:left="0" w:right="0" w:firstLine="57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单位名称（盖章）：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附件十四、其他</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690" w:hanging="480"/>
      </w:pPr>
    </w:lvl>
    <w:lvl w:ilvl="1">
      <w:start w:val="1"/>
      <w:numFmt w:val="lowerLetter"/>
      <w:isLgl w:val="false"/>
      <w:suff w:val="tab"/>
      <w:lvlText w:val="%2)"/>
      <w:lvlJc w:val="left"/>
      <w:pPr>
        <w:ind w:left="1170" w:hanging="480"/>
      </w:pPr>
    </w:lvl>
    <w:lvl w:ilvl="2">
      <w:start w:val="1"/>
      <w:numFmt w:val="decimal"/>
      <w:isLgl w:val="false"/>
      <w:suff w:val="tab"/>
      <w:lvlText w:val="%3."/>
      <w:lvlJc w:val="right"/>
      <w:pPr>
        <w:ind w:left="1650" w:hanging="480"/>
      </w:pPr>
    </w:lvl>
    <w:lvl w:ilvl="3">
      <w:start w:val="1"/>
      <w:numFmt w:val="decimal"/>
      <w:isLgl w:val="false"/>
      <w:suff w:val="tab"/>
      <w:lvlText w:val="%4."/>
      <w:lvlJc w:val="left"/>
      <w:pPr>
        <w:ind w:left="2130" w:hanging="480"/>
      </w:pPr>
    </w:lvl>
    <w:lvl w:ilvl="4">
      <w:start w:val="1"/>
      <w:numFmt w:val="lowerLetter"/>
      <w:isLgl w:val="false"/>
      <w:suff w:val="tab"/>
      <w:lvlText w:val="%5)"/>
      <w:lvlJc w:val="left"/>
      <w:pPr>
        <w:ind w:left="2610" w:hanging="480"/>
      </w:pPr>
    </w:lvl>
    <w:lvl w:ilvl="5">
      <w:start w:val="1"/>
      <w:numFmt w:val="decimal"/>
      <w:isLgl w:val="false"/>
      <w:suff w:val="tab"/>
      <w:lvlText w:val="%6."/>
      <w:lvlJc w:val="right"/>
      <w:pPr>
        <w:ind w:left="3090" w:hanging="480"/>
      </w:pPr>
    </w:lvl>
    <w:lvl w:ilvl="6">
      <w:start w:val="1"/>
      <w:numFmt w:val="decimal"/>
      <w:isLgl w:val="false"/>
      <w:suff w:val="tab"/>
      <w:lvlText w:val="%7."/>
      <w:lvlJc w:val="left"/>
      <w:pPr>
        <w:ind w:left="3570" w:hanging="480"/>
      </w:pPr>
    </w:lvl>
    <w:lvl w:ilvl="7">
      <w:start w:val="1"/>
      <w:numFmt w:val="lowerLetter"/>
      <w:isLgl w:val="false"/>
      <w:suff w:val="tab"/>
      <w:lvlText w:val="%8)"/>
      <w:lvlJc w:val="left"/>
      <w:pPr>
        <w:ind w:left="4050" w:hanging="480"/>
      </w:pPr>
    </w:lvl>
    <w:lvl w:ilvl="8">
      <w:start w:val="1"/>
      <w:numFmt w:val="decimal"/>
      <w:isLgl w:val="false"/>
      <w:suff w:val="tab"/>
      <w:lvlText w:val="%9."/>
      <w:lvlJc w:val="right"/>
      <w:pPr>
        <w:ind w:left="4530" w:hanging="480"/>
      </w:pPr>
    </w:lvl>
  </w:abstractNum>
  <w:abstractNum w:abstractNumId="5">
    <w:multiLevelType w:val="hybridMultilevel"/>
    <w:lvl w:ilvl="0">
      <w:start w:val="1"/>
      <w:numFmt w:val="decimal"/>
      <w:isLgl w:val="false"/>
      <w:suff w:val="tab"/>
      <w:lvlText w:val="%1)"/>
      <w:lvlJc w:val="left"/>
      <w:pPr>
        <w:ind w:left="690" w:hanging="480"/>
      </w:pPr>
    </w:lvl>
    <w:lvl w:ilvl="1">
      <w:start w:val="1"/>
      <w:numFmt w:val="lowerLetter"/>
      <w:isLgl w:val="false"/>
      <w:suff w:val="tab"/>
      <w:lvlText w:val="%2)"/>
      <w:lvlJc w:val="left"/>
      <w:pPr>
        <w:ind w:left="1170" w:hanging="480"/>
      </w:pPr>
    </w:lvl>
    <w:lvl w:ilvl="2">
      <w:start w:val="1"/>
      <w:numFmt w:val="decimal"/>
      <w:isLgl w:val="false"/>
      <w:suff w:val="tab"/>
      <w:lvlText w:val="%3."/>
      <w:lvlJc w:val="right"/>
      <w:pPr>
        <w:ind w:left="1650" w:hanging="480"/>
      </w:pPr>
    </w:lvl>
    <w:lvl w:ilvl="3">
      <w:start w:val="1"/>
      <w:numFmt w:val="decimal"/>
      <w:isLgl w:val="false"/>
      <w:suff w:val="tab"/>
      <w:lvlText w:val="%4."/>
      <w:lvlJc w:val="left"/>
      <w:pPr>
        <w:ind w:left="2130" w:hanging="480"/>
      </w:pPr>
    </w:lvl>
    <w:lvl w:ilvl="4">
      <w:start w:val="1"/>
      <w:numFmt w:val="lowerLetter"/>
      <w:isLgl w:val="false"/>
      <w:suff w:val="tab"/>
      <w:lvlText w:val="%5)"/>
      <w:lvlJc w:val="left"/>
      <w:pPr>
        <w:ind w:left="2610" w:hanging="480"/>
      </w:pPr>
    </w:lvl>
    <w:lvl w:ilvl="5">
      <w:start w:val="1"/>
      <w:numFmt w:val="decimal"/>
      <w:isLgl w:val="false"/>
      <w:suff w:val="tab"/>
      <w:lvlText w:val="%6."/>
      <w:lvlJc w:val="right"/>
      <w:pPr>
        <w:ind w:left="3090" w:hanging="480"/>
      </w:pPr>
    </w:lvl>
    <w:lvl w:ilvl="6">
      <w:start w:val="1"/>
      <w:numFmt w:val="decimal"/>
      <w:isLgl w:val="false"/>
      <w:suff w:val="tab"/>
      <w:lvlText w:val="%7."/>
      <w:lvlJc w:val="left"/>
      <w:pPr>
        <w:ind w:left="3570" w:hanging="480"/>
      </w:pPr>
    </w:lvl>
    <w:lvl w:ilvl="7">
      <w:start w:val="1"/>
      <w:numFmt w:val="lowerLetter"/>
      <w:isLgl w:val="false"/>
      <w:suff w:val="tab"/>
      <w:lvlText w:val="%8)"/>
      <w:lvlJc w:val="left"/>
      <w:pPr>
        <w:ind w:left="4050" w:hanging="480"/>
      </w:pPr>
    </w:lvl>
    <w:lvl w:ilvl="8">
      <w:start w:val="1"/>
      <w:numFmt w:val="decimal"/>
      <w:isLgl w:val="false"/>
      <w:suff w:val="tab"/>
      <w:lvlText w:val="%9."/>
      <w:lvlJc w:val="right"/>
      <w:pPr>
        <w:ind w:left="4530" w:hanging="480"/>
      </w:pPr>
    </w:lvl>
  </w:abstractNum>
  <w:abstractNum w:abstractNumId="6">
    <w:multiLevelType w:val="hybridMultilevel"/>
    <w:lvl w:ilvl="0">
      <w:start w:val="1"/>
      <w:numFmt w:val="decimal"/>
      <w:isLgl w:val="false"/>
      <w:suff w:val="tab"/>
      <w:lvlText w:val="%1)"/>
      <w:lvlJc w:val="left"/>
      <w:pPr>
        <w:ind w:left="690" w:hanging="480"/>
      </w:pPr>
    </w:lvl>
    <w:lvl w:ilvl="1">
      <w:start w:val="1"/>
      <w:numFmt w:val="lowerLetter"/>
      <w:isLgl w:val="false"/>
      <w:suff w:val="tab"/>
      <w:lvlText w:val="%2)"/>
      <w:lvlJc w:val="left"/>
      <w:pPr>
        <w:ind w:left="1170" w:hanging="480"/>
      </w:pPr>
    </w:lvl>
    <w:lvl w:ilvl="2">
      <w:start w:val="1"/>
      <w:numFmt w:val="decimal"/>
      <w:isLgl w:val="false"/>
      <w:suff w:val="tab"/>
      <w:lvlText w:val="%3."/>
      <w:lvlJc w:val="right"/>
      <w:pPr>
        <w:ind w:left="1650" w:hanging="480"/>
      </w:pPr>
    </w:lvl>
    <w:lvl w:ilvl="3">
      <w:start w:val="1"/>
      <w:numFmt w:val="decimal"/>
      <w:isLgl w:val="false"/>
      <w:suff w:val="tab"/>
      <w:lvlText w:val="%4."/>
      <w:lvlJc w:val="left"/>
      <w:pPr>
        <w:ind w:left="2130" w:hanging="480"/>
      </w:pPr>
    </w:lvl>
    <w:lvl w:ilvl="4">
      <w:start w:val="1"/>
      <w:numFmt w:val="lowerLetter"/>
      <w:isLgl w:val="false"/>
      <w:suff w:val="tab"/>
      <w:lvlText w:val="%5)"/>
      <w:lvlJc w:val="left"/>
      <w:pPr>
        <w:ind w:left="2610" w:hanging="480"/>
      </w:pPr>
    </w:lvl>
    <w:lvl w:ilvl="5">
      <w:start w:val="1"/>
      <w:numFmt w:val="decimal"/>
      <w:isLgl w:val="false"/>
      <w:suff w:val="tab"/>
      <w:lvlText w:val="%6."/>
      <w:lvlJc w:val="right"/>
      <w:pPr>
        <w:ind w:left="3090" w:hanging="480"/>
      </w:pPr>
    </w:lvl>
    <w:lvl w:ilvl="6">
      <w:start w:val="1"/>
      <w:numFmt w:val="decimal"/>
      <w:isLgl w:val="false"/>
      <w:suff w:val="tab"/>
      <w:lvlText w:val="%7."/>
      <w:lvlJc w:val="left"/>
      <w:pPr>
        <w:ind w:left="3570" w:hanging="480"/>
      </w:pPr>
    </w:lvl>
    <w:lvl w:ilvl="7">
      <w:start w:val="1"/>
      <w:numFmt w:val="lowerLetter"/>
      <w:isLgl w:val="false"/>
      <w:suff w:val="tab"/>
      <w:lvlText w:val="%8)"/>
      <w:lvlJc w:val="left"/>
      <w:pPr>
        <w:ind w:left="4050" w:hanging="480"/>
      </w:pPr>
    </w:lvl>
    <w:lvl w:ilvl="8">
      <w:start w:val="1"/>
      <w:numFmt w:val="decimal"/>
      <w:isLgl w:val="false"/>
      <w:suff w:val="tab"/>
      <w:lvlText w:val="%9."/>
      <w:lvlJc w:val="right"/>
      <w:pPr>
        <w:ind w:left="4530" w:hanging="480"/>
      </w:pPr>
    </w:lvl>
  </w:abstractNum>
  <w:abstractNum w:abstractNumId="7">
    <w:multiLevelType w:val="hybridMultilevel"/>
    <w:lvl w:ilvl="0">
      <w:start w:val="1"/>
      <w:numFmt w:val="decimal"/>
      <w:isLgl w:val="false"/>
      <w:suff w:val="tab"/>
      <w:lvlText w:val="%1)"/>
      <w:lvlJc w:val="left"/>
      <w:pPr>
        <w:ind w:left="690" w:hanging="480"/>
      </w:pPr>
    </w:lvl>
    <w:lvl w:ilvl="1">
      <w:start w:val="1"/>
      <w:numFmt w:val="lowerLetter"/>
      <w:isLgl w:val="false"/>
      <w:suff w:val="tab"/>
      <w:lvlText w:val="%2)"/>
      <w:lvlJc w:val="left"/>
      <w:pPr>
        <w:ind w:left="1170" w:hanging="480"/>
      </w:pPr>
    </w:lvl>
    <w:lvl w:ilvl="2">
      <w:start w:val="1"/>
      <w:numFmt w:val="decimal"/>
      <w:isLgl w:val="false"/>
      <w:suff w:val="tab"/>
      <w:lvlText w:val="%3."/>
      <w:lvlJc w:val="right"/>
      <w:pPr>
        <w:ind w:left="1650" w:hanging="480"/>
      </w:pPr>
    </w:lvl>
    <w:lvl w:ilvl="3">
      <w:start w:val="1"/>
      <w:numFmt w:val="decimal"/>
      <w:isLgl w:val="false"/>
      <w:suff w:val="tab"/>
      <w:lvlText w:val="%4."/>
      <w:lvlJc w:val="left"/>
      <w:pPr>
        <w:ind w:left="2130" w:hanging="480"/>
      </w:pPr>
    </w:lvl>
    <w:lvl w:ilvl="4">
      <w:start w:val="1"/>
      <w:numFmt w:val="lowerLetter"/>
      <w:isLgl w:val="false"/>
      <w:suff w:val="tab"/>
      <w:lvlText w:val="%5)"/>
      <w:lvlJc w:val="left"/>
      <w:pPr>
        <w:ind w:left="2610" w:hanging="480"/>
      </w:pPr>
    </w:lvl>
    <w:lvl w:ilvl="5">
      <w:start w:val="1"/>
      <w:numFmt w:val="decimal"/>
      <w:isLgl w:val="false"/>
      <w:suff w:val="tab"/>
      <w:lvlText w:val="%6."/>
      <w:lvlJc w:val="right"/>
      <w:pPr>
        <w:ind w:left="3090" w:hanging="480"/>
      </w:pPr>
    </w:lvl>
    <w:lvl w:ilvl="6">
      <w:start w:val="1"/>
      <w:numFmt w:val="decimal"/>
      <w:isLgl w:val="false"/>
      <w:suff w:val="tab"/>
      <w:lvlText w:val="%7."/>
      <w:lvlJc w:val="left"/>
      <w:pPr>
        <w:ind w:left="3570" w:hanging="480"/>
      </w:pPr>
    </w:lvl>
    <w:lvl w:ilvl="7">
      <w:start w:val="1"/>
      <w:numFmt w:val="lowerLetter"/>
      <w:isLgl w:val="false"/>
      <w:suff w:val="tab"/>
      <w:lvlText w:val="%8)"/>
      <w:lvlJc w:val="left"/>
      <w:pPr>
        <w:ind w:left="4050" w:hanging="480"/>
      </w:pPr>
    </w:lvl>
    <w:lvl w:ilvl="8">
      <w:start w:val="1"/>
      <w:numFmt w:val="decimal"/>
      <w:isLgl w:val="false"/>
      <w:suff w:val="tab"/>
      <w:lvlText w:val="%9."/>
      <w:lvlJc w:val="right"/>
      <w:pPr>
        <w:ind w:left="4530"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6"/>
    <w:next w:val="826"/>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826"/>
    <w:next w:val="826"/>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826"/>
    <w:next w:val="826"/>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826"/>
    <w:next w:val="826"/>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826"/>
    <w:next w:val="826"/>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826"/>
    <w:next w:val="82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826"/>
    <w:next w:val="826"/>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826"/>
    <w:next w:val="826"/>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826"/>
    <w:next w:val="826"/>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basedOn w:val="8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9">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0">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1">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2">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3">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1">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4">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5">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6">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7">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8">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2">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3">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4">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5">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6">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5">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6">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7">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8">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9">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0">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2">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3">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4">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5">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6">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7">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9">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3">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qFormat/>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No Spacing"/>
    <w:basedOn w:val="826"/>
    <w:uiPriority w:val="1"/>
    <w:qFormat/>
    <w:pPr>
      <w:spacing w:after="0" w:line="240" w:lineRule="auto"/>
    </w:pPr>
  </w:style>
  <w:style w:type="paragraph" w:styleId="830">
    <w:name w:val="List Paragraph"/>
    <w:basedOn w:val="826"/>
    <w:uiPriority w:val="34"/>
    <w:qFormat/>
    <w:pPr>
      <w:contextualSpacing/>
      <w:ind w:left="720"/>
    </w:pPr>
  </w:style>
  <w:style w:type="character" w:styleId="831"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7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15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99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9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9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4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高凌静</cp:lastModifiedBy>
  <cp:revision>2</cp:revision>
  <dcterms:modified xsi:type="dcterms:W3CDTF">2024-05-27T02:19:10Z</dcterms:modified>
</cp:coreProperties>
</file>