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jc w:val="both"/>
        <w:rPr>
          <w:rFonts w:eastAsia="黑体"/>
          <w:b/>
          <w:bCs/>
          <w:color w:val="auto"/>
          <w:sz w:val="84"/>
          <w:highlight w:val="none"/>
        </w:rPr>
      </w:pPr>
      <w:r>
        <w:rPr>
          <w:rFonts w:eastAsia="黑体"/>
          <w:b/>
          <w:bCs/>
          <w:color w:val="auto"/>
          <w:sz w:val="84"/>
          <w:highlight w:val="none"/>
        </w:rPr>
      </w:r>
      <w:r/>
    </w:p>
    <w:p>
      <w:pPr>
        <w:pStyle w:val="1026"/>
        <w:ind w:firstLine="0"/>
        <w:jc w:val="center"/>
        <w:rPr>
          <w:rFonts w:eastAsia="黑体"/>
          <w:b/>
          <w:bCs/>
          <w:color w:val="auto"/>
          <w:sz w:val="84"/>
          <w:highlight w:val="none"/>
        </w:rPr>
      </w:pPr>
      <w:r>
        <w:rPr>
          <w:rFonts w:hint="eastAsia" w:eastAsia="黑体"/>
          <w:b/>
          <w:bCs/>
          <w:color w:val="auto"/>
          <w:sz w:val="84"/>
          <w:highlight w:val="none"/>
        </w:rPr>
        <w:t xml:space="preserve">招　标　文　件</w:t>
      </w:r>
      <w:r/>
    </w:p>
    <w:p>
      <w:pPr>
        <w:pStyle w:val="1026"/>
        <w:ind w:firstLine="0"/>
        <w:jc w:val="center"/>
        <w:rPr>
          <w:b/>
          <w:bCs/>
          <w:color w:val="auto"/>
          <w:sz w:val="32"/>
          <w:highlight w:val="none"/>
        </w:rPr>
      </w:pPr>
      <w:r>
        <w:rPr>
          <w:b/>
          <w:bCs/>
          <w:color w:val="auto"/>
          <w:sz w:val="32"/>
          <w:highlight w:val="none"/>
        </w:rPr>
      </w:r>
      <w:r/>
    </w:p>
    <w:p>
      <w:pPr>
        <w:pStyle w:val="1026"/>
        <w:ind w:firstLine="0"/>
        <w:jc w:val="center"/>
        <w:rPr>
          <w:b/>
          <w:bCs/>
          <w:color w:val="auto"/>
          <w:sz w:val="32"/>
          <w:highlight w:val="none"/>
        </w:rPr>
      </w:pPr>
      <w:r>
        <w:rPr>
          <w:b/>
          <w:bCs/>
          <w:color w:val="auto"/>
          <w:sz w:val="32"/>
          <w:highlight w:val="none"/>
        </w:rPr>
      </w:r>
      <w:r/>
    </w:p>
    <w:p>
      <w:pPr>
        <w:pStyle w:val="1026"/>
        <w:ind w:firstLine="0"/>
        <w:jc w:val="center"/>
        <w:rPr>
          <w:b/>
          <w:bCs/>
          <w:color w:val="auto"/>
          <w:sz w:val="32"/>
          <w:highlight w:val="none"/>
        </w:rPr>
      </w:pPr>
      <w:r>
        <w:rPr>
          <w:b/>
          <w:bCs/>
          <w:color w:val="auto"/>
          <w:sz w:val="32"/>
          <w:highlight w:val="none"/>
        </w:rPr>
      </w:r>
      <w:r/>
    </w:p>
    <w:p>
      <w:pPr>
        <w:pStyle w:val="1026"/>
        <w:ind w:left="638" w:firstLine="0"/>
        <w:jc w:val="both"/>
        <w:rPr>
          <w:rFonts w:hint="eastAsia" w:eastAsia="宋体"/>
          <w:b/>
          <w:bCs/>
          <w:color w:val="auto"/>
          <w:sz w:val="32"/>
          <w:highlight w:val="none"/>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东海县农高区种植智慧园区项目</w:t>
      </w:r>
      <w:r/>
    </w:p>
    <w:p>
      <w:pPr>
        <w:pStyle w:val="1026"/>
        <w:ind w:left="638" w:firstLine="0"/>
        <w:jc w:val="both"/>
        <w:rPr>
          <w:rFonts w:hint="eastAsia" w:eastAsia="宋体"/>
          <w:b/>
          <w:bCs/>
          <w:color w:val="auto"/>
          <w:sz w:val="32"/>
          <w:highlight w:val="non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JSZC-320722-JSMW-G2025-0003</w:t>
      </w:r>
      <w:r/>
    </w:p>
    <w:p>
      <w:pPr>
        <w:ind w:firstLine="643"/>
        <w:rPr>
          <w:color w:val="auto"/>
          <w:highlight w:val="none"/>
        </w:rPr>
      </w:pPr>
      <w:r>
        <w:rPr>
          <w:color w:val="auto"/>
          <w:highlight w:val="none"/>
        </w:rPr>
      </w:r>
      <w:r/>
    </w:p>
    <w:p>
      <w:pPr>
        <w:ind w:firstLine="643"/>
        <w:rPr>
          <w:color w:val="auto"/>
          <w:highlight w:val="none"/>
        </w:rPr>
      </w:pPr>
      <w:r>
        <w:rPr>
          <w:color w:val="auto"/>
          <w:highlight w:val="none"/>
        </w:rPr>
      </w:r>
      <w:r/>
    </w:p>
    <w:p>
      <w:pPr>
        <w:ind w:firstLine="643"/>
        <w:rPr>
          <w:b/>
          <w:color w:val="auto"/>
          <w:sz w:val="30"/>
          <w:szCs w:val="30"/>
          <w:highlight w:val="none"/>
        </w:rPr>
      </w:pPr>
      <w:r>
        <w:rPr>
          <w:rFonts w:hint="eastAsia"/>
          <w:color w:val="auto"/>
          <w:highlight w:val="none"/>
        </w:rPr>
        <w:t xml:space="preserve">         </w:t>
      </w:r>
      <w:r>
        <w:rPr>
          <w:rFonts w:hint="eastAsia"/>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pStyle w:val="1026"/>
        <w:ind w:firstLine="0"/>
        <w:spacing w:before="0" w:after="0"/>
        <w:rPr>
          <w:rFonts w:hint="eastAsia" w:ascii="宋体" w:hAnsi="宋体"/>
          <w:color w:val="auto"/>
          <w:highlight w:val="none"/>
        </w:rPr>
      </w:pPr>
      <w:r>
        <w:rPr>
          <w:rFonts w:hint="eastAsia" w:ascii="宋体" w:hAnsi="宋体"/>
          <w:color w:val="auto"/>
          <w:highlight w:val="none"/>
        </w:rPr>
      </w:r>
      <w:r/>
    </w:p>
    <w:p>
      <w:pPr>
        <w:pStyle w:val="1026"/>
        <w:ind w:firstLine="0"/>
        <w:spacing w:before="0" w:after="0"/>
        <w:rPr>
          <w:rFonts w:hint="eastAsia" w:ascii="宋体" w:hAnsi="宋体"/>
          <w:color w:val="auto"/>
          <w:highlight w:val="none"/>
        </w:rPr>
      </w:pPr>
      <w:r>
        <w:rPr>
          <w:rFonts w:hint="eastAsia" w:ascii="宋体" w:hAnsi="宋体"/>
          <w:color w:val="auto"/>
          <w:highlight w:val="none"/>
        </w:rPr>
      </w:r>
      <w:r/>
    </w:p>
    <w:p>
      <w:pPr>
        <w:pStyle w:val="1026"/>
        <w:ind w:firstLine="0"/>
        <w:spacing w:before="0" w:after="0"/>
        <w:rPr>
          <w:rFonts w:hint="eastAsia" w:ascii="宋体" w:hAnsi="宋体"/>
          <w:color w:val="auto"/>
          <w:highlight w:val="none"/>
        </w:rPr>
      </w:pPr>
      <w:r>
        <w:rPr>
          <w:rFonts w:hint="eastAsia" w:ascii="宋体" w:hAnsi="宋体"/>
          <w:color w:val="auto"/>
          <w:highlight w:val="none"/>
        </w:rPr>
      </w:r>
      <w:r/>
    </w:p>
    <w:p>
      <w:pPr>
        <w:pStyle w:val="1026"/>
        <w:ind w:firstLine="0"/>
        <w:spacing w:before="0" w:after="0"/>
        <w:rPr>
          <w:rFonts w:hint="eastAsia" w:ascii="宋体" w:hAnsi="宋体"/>
          <w:color w:val="auto"/>
          <w:highlight w:val="none"/>
        </w:rPr>
      </w:pPr>
      <w:r>
        <w:rPr>
          <w:rFonts w:hint="eastAsia" w:ascii="宋体" w:hAnsi="宋体"/>
          <w:color w:val="auto"/>
          <w:highlight w:val="none"/>
        </w:rPr>
      </w:r>
      <w:r/>
    </w:p>
    <w:p>
      <w:pPr>
        <w:pStyle w:val="1026"/>
        <w:ind w:firstLine="0"/>
        <w:spacing w:before="0" w:after="0"/>
        <w:rPr>
          <w:rFonts w:hint="eastAsia" w:ascii="宋体" w:hAnsi="宋体"/>
          <w:color w:val="auto"/>
          <w:highlight w:val="none"/>
        </w:rPr>
      </w:pPr>
      <w:r>
        <w:rPr>
          <w:rFonts w:hint="eastAsia" w:ascii="宋体" w:hAnsi="宋体"/>
          <w:color w:val="auto"/>
          <w:highlight w:val="none"/>
        </w:rPr>
      </w:r>
      <w:r/>
    </w:p>
    <w:p>
      <w:pPr>
        <w:jc w:val="center"/>
        <w:spacing w:line="60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采购人：</w:t>
      </w:r>
      <w:r>
        <w:rPr>
          <w:rFonts w:hint="eastAsia" w:ascii="宋体" w:hAnsi="宋体"/>
          <w:bCs/>
          <w:color w:val="auto"/>
          <w:sz w:val="32"/>
          <w:szCs w:val="32"/>
          <w:highlight w:val="none"/>
          <w:lang w:eastAsia="zh-CN"/>
        </w:rPr>
        <w:t xml:space="preserve">江苏连云港省级农业高新技术产业示范区管理办公室</w:t>
      </w:r>
      <w:r/>
    </w:p>
    <w:p>
      <w:pPr>
        <w:jc w:val="center"/>
        <w:spacing w:line="60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江苏铭沃工程咨询有限公司</w:t>
      </w:r>
      <w:r/>
    </w:p>
    <w:p>
      <w:pPr>
        <w:pStyle w:val="1026"/>
        <w:ind w:firstLine="0"/>
        <w:jc w:val="center"/>
        <w:spacing w:line="600" w:lineRule="auto"/>
        <w:rPr>
          <w:b/>
          <w:bCs/>
          <w:color w:val="auto"/>
          <w:sz w:val="32"/>
          <w:highlight w:val="none"/>
        </w:rPr>
      </w:pPr>
      <w:r>
        <w:rPr>
          <w:rFonts w:hint="eastAsia" w:ascii="宋体" w:hAnsi="宋体" w:cs="宋体"/>
          <w:bCs/>
          <w:color w:val="auto"/>
          <w:sz w:val="32"/>
          <w:szCs w:val="32"/>
          <w:highlight w:val="none"/>
        </w:rPr>
        <w:t xml:space="preserve">202</w:t>
      </w:r>
      <w:r>
        <w:rPr>
          <w:rFonts w:hint="eastAsia" w:ascii="宋体" w:hAnsi="宋体" w:cs="宋体"/>
          <w:bCs/>
          <w:color w:val="auto"/>
          <w:sz w:val="32"/>
          <w:szCs w:val="32"/>
          <w:highlight w:val="none"/>
          <w:lang w:val="en-US" w:eastAsia="zh-CN"/>
        </w:rPr>
        <w:t xml:space="preserve">5</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3</w:t>
      </w:r>
      <w:r>
        <w:rPr>
          <w:rFonts w:hint="eastAsia" w:ascii="宋体" w:hAnsi="宋体" w:cs="宋体"/>
          <w:bCs/>
          <w:color w:val="auto"/>
          <w:sz w:val="32"/>
          <w:szCs w:val="32"/>
          <w:highlight w:val="none"/>
        </w:rPr>
        <w:t xml:space="preserve">月</w:t>
      </w:r>
      <w:r/>
    </w:p>
    <w:p>
      <w:pPr>
        <w:jc w:val="center"/>
        <w:spacing w:before="120" w:after="120" w:line="480" w:lineRule="auto"/>
        <w:rPr>
          <w:rFonts w:ascii="黑体" w:hAnsi="Arial" w:eastAsia="黑体"/>
          <w:b/>
          <w:color w:val="auto"/>
          <w:sz w:val="44"/>
          <w:highlight w:val="none"/>
        </w:rPr>
      </w:pPr>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4"/>
        </w:numPr>
        <w:spacing w:line="480" w:lineRule="auto"/>
        <w:rPr>
          <w:rFonts w:ascii="黑体" w:hAnsi="Showcard Gothic" w:eastAsia="黑体"/>
          <w:color w:val="auto"/>
          <w:sz w:val="32"/>
          <w:highlight w:val="none"/>
        </w:rPr>
        <w:outlineLvl w:val="0"/>
      </w:pPr>
      <w:r>
        <w:rPr>
          <w:rFonts w:hint="eastAsia" w:ascii="黑体" w:hAnsi="宋体" w:eastAsia="黑体"/>
          <w:color w:val="auto"/>
          <w:sz w:val="36"/>
          <w:highlight w:val="none"/>
        </w:rPr>
        <w:t xml:space="preserve">招标公告</w:t>
      </w:r>
      <w:r>
        <w:rPr>
          <w:rFonts w:hint="eastAsia" w:ascii="黑体" w:hAnsi="Showcard Gothic" w:eastAsia="黑体"/>
          <w:color w:val="auto"/>
          <w:sz w:val="36"/>
          <w:highlight w:val="none"/>
        </w:rPr>
        <w:t xml:space="preserve">…………………………………… </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  </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评审方法与评审标准</w:t>
      </w:r>
      <w:r>
        <w:rPr>
          <w:rFonts w:hint="eastAsia" w:ascii="黑体" w:hAnsi="Showcard Gothic" w:eastAsia="黑体"/>
          <w:color w:val="auto"/>
          <w:sz w:val="36"/>
          <w:highlight w:val="none"/>
        </w:rPr>
        <w:t xml:space="preserve">………………………</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响应文件格式</w:t>
      </w:r>
      <w:r>
        <w:rPr>
          <w:rFonts w:hint="eastAsia" w:ascii="黑体" w:hAnsi="Showcard Gothic" w:eastAsia="黑体"/>
          <w:color w:val="auto"/>
          <w:sz w:val="36"/>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2"/>
        <w:rPr>
          <w:rFonts w:ascii="黑体" w:eastAsia="黑体"/>
          <w:color w:val="auto"/>
          <w:sz w:val="44"/>
          <w:szCs w:val="44"/>
          <w:highlight w:val="none"/>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bookmarkStart w:id="6" w:name="_Toc1635"/>
      <w:r/>
      <w:bookmarkStart w:id="7" w:name="_Toc2933"/>
      <w:r/>
      <w:r/>
    </w:p>
    <w:p>
      <w:pPr>
        <w:pStyle w:val="942"/>
        <w:numPr>
          <w:ilvl w:val="0"/>
          <w:numId w:val="5"/>
        </w:numPr>
        <w:spacing w:line="520" w:lineRule="exact"/>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 </w:t>
      </w:r>
      <w:bookmarkEnd w:id="0"/>
      <w:r>
        <w:rPr>
          <w:rFonts w:hint="eastAsia" w:ascii="宋体" w:hAnsi="宋体" w:eastAsia="宋体" w:cs="宋体"/>
          <w:b/>
          <w:bCs/>
          <w:color w:val="auto"/>
          <w:sz w:val="40"/>
          <w:szCs w:val="40"/>
          <w:highlight w:val="none"/>
        </w:rPr>
        <w:t xml:space="preserve">投标邀请</w:t>
      </w:r>
      <w:bookmarkEnd w:id="6"/>
      <w:r/>
      <w:bookmarkEnd w:id="7"/>
      <w:r/>
      <w:r/>
    </w:p>
    <w:p>
      <w:pPr>
        <w:rPr>
          <w:color w:val="auto"/>
          <w:highlight w:val="none"/>
        </w:rPr>
      </w:pPr>
      <w:r>
        <w:rPr>
          <w:color w:val="auto"/>
          <w:highlight w:val="none"/>
        </w:rPr>
      </w:r>
      <w:r/>
    </w:p>
    <w:p>
      <w:pPr>
        <w:ind w:firstLine="480"/>
        <w:jc w:val="lef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江苏连云港省级农业高新技术产业示范区管理办公室</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江苏铭沃工程咨询有限公司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东海县农高区种植智慧园区项目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JSZC-320722-JSMW-G2025-0003</w:t>
      </w:r>
      <w:r>
        <w:rPr>
          <w:rFonts w:hint="eastAsia" w:ascii="宋体" w:hAnsi="宋体" w:cs="宋体"/>
          <w:color w:val="auto"/>
          <w:sz w:val="24"/>
          <w:szCs w:val="24"/>
          <w:highlight w:val="none"/>
        </w:rPr>
        <w:t xml:space="preserve">)项目进行公开招标采购，欢迎符合条件的供应商投标。</w:t>
      </w:r>
      <w:r/>
    </w:p>
    <w:p>
      <w:pPr>
        <w:ind w:firstLine="480"/>
        <w:spacing w:line="52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520" w:lineRule="exact"/>
        <w:rPr>
          <w:rFonts w:hint="eastAsia"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东海县农高区种植智慧园区项目</w:t>
      </w:r>
      <w:r>
        <w:rPr>
          <w:rFonts w:hint="eastAsia" w:ascii="宋体" w:hAnsi="宋体" w:cs="宋体"/>
          <w:color w:val="auto"/>
          <w:sz w:val="24"/>
          <w:szCs w:val="24"/>
          <w:highlight w:val="none"/>
        </w:rPr>
        <w:t xml:space="preserve">招标项目的潜在投标人可在</w:t>
      </w:r>
      <w:r>
        <w:rPr>
          <w:rFonts w:hint="eastAsia" w:ascii="宋体" w:hAnsi="宋体" w:cs="宋体"/>
          <w:color w:val="auto"/>
          <w:sz w:val="24"/>
          <w:szCs w:val="24"/>
          <w:highlight w:val="none"/>
          <w:u w:val="single"/>
        </w:rPr>
        <w:t xml:space="preserve">“江苏政府采购网”“苏采云系统”内自行免费下载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03</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26</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北京时间）前</w:t>
      </w:r>
      <w:r>
        <w:rPr>
          <w:rFonts w:hint="eastAsia" w:ascii="宋体" w:hAnsi="宋体" w:cs="宋体"/>
          <w:color w:val="auto"/>
          <w:sz w:val="24"/>
          <w:szCs w:val="24"/>
          <w:highlight w:val="none"/>
          <w:u w:val="single"/>
        </w:rPr>
        <w:t xml:space="preserve">上传电子投标文件</w:t>
      </w:r>
      <w:r>
        <w:rPr>
          <w:rFonts w:hint="eastAsia" w:ascii="宋体" w:hAnsi="宋体" w:cs="宋体"/>
          <w:color w:val="auto"/>
          <w:sz w:val="24"/>
          <w:szCs w:val="24"/>
          <w:highlight w:val="none"/>
        </w:rPr>
        <w:t xml:space="preserve">。</w:t>
      </w:r>
      <w:r/>
    </w:p>
    <w:p>
      <w:pPr>
        <w:pStyle w:val="944"/>
        <w:ind w:firstLine="498"/>
        <w:spacing w:before="145" w:after="145" w:line="520" w:lineRule="exact"/>
        <w:rPr>
          <w:color w:val="auto"/>
          <w:highlight w:val="none"/>
        </w:rPr>
      </w:pPr>
      <w:r/>
      <w:bookmarkStart w:id="8" w:name="_Toc35393621"/>
      <w:r/>
      <w:bookmarkStart w:id="9" w:name="_Toc16002"/>
      <w:r/>
      <w:bookmarkStart w:id="10" w:name="_Toc28359002"/>
      <w:r/>
      <w:bookmarkStart w:id="11" w:name="_Toc35393790"/>
      <w:r/>
      <w:bookmarkStart w:id="12" w:name="_Toc28359079"/>
      <w:r/>
      <w:bookmarkStart w:id="13" w:name="_Toc21136"/>
      <w:r/>
      <w:bookmarkStart w:id="14" w:name="_Toc38985263"/>
      <w:r/>
      <w:bookmarkStart w:id="15" w:name="_Hlk24379207"/>
      <w:r>
        <w:rPr>
          <w:rFonts w:hint="eastAsia"/>
          <w:color w:val="auto"/>
          <w:highlight w:val="none"/>
        </w:rPr>
        <w:t xml:space="preserve">一、项目基本情况</w:t>
      </w:r>
      <w:bookmarkEnd w:id="8"/>
      <w:r/>
      <w:bookmarkEnd w:id="9"/>
      <w:r/>
      <w:bookmarkEnd w:id="10"/>
      <w:r/>
      <w:bookmarkEnd w:id="11"/>
      <w:r/>
      <w:bookmarkEnd w:id="12"/>
      <w:r/>
      <w:bookmarkEnd w:id="13"/>
      <w:r/>
      <w:bookmarkEnd w:id="14"/>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JSZC-320722-JSMW-G2025-0003</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bookmarkEnd w:id="15"/>
      <w:r>
        <w:rPr>
          <w:rFonts w:hint="eastAsia" w:ascii="宋体" w:hAnsi="宋体" w:cs="宋体"/>
          <w:color w:val="auto"/>
          <w:sz w:val="24"/>
          <w:szCs w:val="24"/>
          <w:highlight w:val="none"/>
          <w:lang w:eastAsia="zh-CN"/>
        </w:rPr>
        <w:t xml:space="preserve">东海县农高区种植智慧园区项目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4.预算金额：人民币</w:t>
      </w:r>
      <w:r>
        <w:rPr>
          <w:rFonts w:hint="eastAsia" w:ascii="宋体" w:hAnsi="宋体"/>
          <w:color w:val="auto"/>
          <w:sz w:val="24"/>
          <w:szCs w:val="24"/>
          <w:highlight w:val="none"/>
          <w:lang w:val="en-US" w:eastAsia="zh-CN"/>
        </w:rPr>
        <w:t xml:space="preserve">196.5</w:t>
      </w:r>
      <w:r>
        <w:rPr>
          <w:rFonts w:hint="eastAsia" w:ascii="宋体" w:hAnsi="宋体" w:cs="宋体"/>
          <w:color w:val="auto"/>
          <w:sz w:val="24"/>
          <w:szCs w:val="24"/>
          <w:highlight w:val="none"/>
        </w:rPr>
        <w:t xml:space="preserve">万元</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olor w:val="auto"/>
          <w:sz w:val="24"/>
          <w:szCs w:val="24"/>
          <w:highlight w:val="none"/>
        </w:rPr>
        <w:t xml:space="preserve">最高限价</w:t>
      </w:r>
      <w:r>
        <w:rPr>
          <w:rFonts w:hint="eastAsia" w:ascii="宋体" w:hAnsi="宋体"/>
          <w:color w:val="auto"/>
          <w:sz w:val="24"/>
          <w:szCs w:val="24"/>
          <w:highlight w:val="none"/>
          <w:lang w:val="en-US" w:eastAsia="zh-CN"/>
        </w:rPr>
        <w:t xml:space="preserve">为人民币196.5万元</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江苏东海现代农业（稻麦）科技示范园智慧化维保扩容、七河生物菌菇生产园区智慧化维保扩容、东海现代农业产业园区数字化维保扩容、智慧农业产业园智能化扩容改造、农高区物联网信息中心智能化扩容改造及其他相关服务</w:t>
      </w:r>
      <w:r>
        <w:rPr>
          <w:rFonts w:hint="eastAsia" w:ascii="宋体" w:hAnsi="宋体" w:cs="宋体"/>
          <w:color w:val="auto"/>
          <w:sz w:val="24"/>
          <w:szCs w:val="24"/>
          <w:highlight w:val="none"/>
        </w:rPr>
        <w:t xml:space="preserve">，具体要求详见项目需求；</w:t>
      </w:r>
      <w:r/>
    </w:p>
    <w:p>
      <w:pPr>
        <w:ind w:firstLine="480"/>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对项目需求、综合评分部分的询问、质疑请与采购人联系，由采购人负责答复。</w:t>
      </w:r>
      <w:r/>
    </w:p>
    <w:p>
      <w:pPr>
        <w:ind w:firstLine="480"/>
        <w:spacing w:line="520" w:lineRule="exact"/>
        <w:rPr>
          <w:rFonts w:hint="eastAsia" w:ascii="宋体" w:hAnsi="宋体"/>
          <w:color w:val="auto"/>
          <w:sz w:val="24"/>
          <w:szCs w:val="28"/>
          <w:highlight w:val="none"/>
        </w:rPr>
      </w:pPr>
      <w:r/>
      <w:bookmarkStart w:id="16" w:name="_Toc38985264"/>
      <w:r/>
      <w:bookmarkStart w:id="17" w:name="_Toc28359080"/>
      <w:r/>
      <w:bookmarkStart w:id="18" w:name="_Toc35393622"/>
      <w:r/>
      <w:bookmarkStart w:id="19" w:name="_Toc3796"/>
      <w:r/>
      <w:bookmarkStart w:id="20" w:name="_Toc1258"/>
      <w:r/>
      <w:bookmarkStart w:id="21" w:name="_Toc35393791"/>
      <w:r/>
      <w:bookmarkStart w:id="22" w:name="_Toc28359003"/>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150日历天</w:t>
      </w:r>
      <w:r>
        <w:rPr>
          <w:rFonts w:hint="eastAsia" w:ascii="宋体" w:hAnsi="宋体"/>
          <w:color w:val="auto"/>
          <w:sz w:val="24"/>
          <w:szCs w:val="28"/>
          <w:highlight w:val="none"/>
        </w:rPr>
        <w:t xml:space="preserve">。</w:t>
      </w:r>
      <w:r/>
    </w:p>
    <w:p>
      <w:pPr>
        <w:ind w:firstLine="480"/>
        <w:spacing w:line="520" w:lineRule="exact"/>
        <w:rPr>
          <w:rFonts w:ascii="宋体" w:hAnsi="宋体"/>
          <w:color w:val="auto"/>
          <w:sz w:val="24"/>
          <w:szCs w:val="24"/>
          <w:highlight w:val="none"/>
        </w:rPr>
      </w:pPr>
      <w:r>
        <w:rPr>
          <w:rFonts w:hint="eastAsia" w:ascii="宋体" w:hAnsi="宋体" w:cs="宋体"/>
          <w:color w:val="auto"/>
          <w:sz w:val="24"/>
          <w:szCs w:val="24"/>
          <w:highlight w:val="none"/>
        </w:rPr>
        <w:t xml:space="preserve">8.本次招标接受联合体投标</w:t>
      </w:r>
      <w:bookmarkEnd w:id="16"/>
      <w:r/>
      <w:bookmarkEnd w:id="17"/>
      <w:r/>
      <w:bookmarkEnd w:id="18"/>
      <w:r/>
      <w:bookmarkEnd w:id="19"/>
      <w:r/>
      <w:bookmarkEnd w:id="20"/>
      <w:r/>
      <w:bookmarkEnd w:id="21"/>
      <w:r/>
      <w:bookmarkEnd w:id="22"/>
      <w:r>
        <w:rPr>
          <w:rFonts w:hint="eastAsia" w:ascii="宋体" w:hAnsi="宋体" w:cs="宋体"/>
          <w:color w:val="auto"/>
          <w:sz w:val="24"/>
          <w:szCs w:val="24"/>
          <w:highlight w:val="none"/>
          <w:lang w:eastAsia="zh-CN"/>
        </w:rPr>
        <w:t xml:space="preserve">：</w:t>
      </w:r>
      <w:r>
        <w:rPr>
          <w:rFonts w:hint="eastAsia" w:ascii="宋体" w:hAnsi="宋体"/>
          <w:color w:val="auto"/>
          <w:sz w:val="24"/>
          <w:szCs w:val="24"/>
          <w:highlight w:val="none"/>
        </w:rPr>
        <w:t xml:space="preserve">组成联合体的供应商必须签订联合体协议</w:t>
      </w:r>
      <w:r>
        <w:rPr>
          <w:rFonts w:hint="eastAsia" w:ascii="宋体" w:hAnsi="宋体"/>
          <w:b/>
          <w:color w:val="auto"/>
          <w:sz w:val="24"/>
          <w:szCs w:val="24"/>
          <w:highlight w:val="none"/>
        </w:rPr>
        <w:t xml:space="preserve">（以联合体投标的须提供）</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ascii="宋体" w:hAnsi="宋体"/>
          <w:b w:val="0"/>
          <w:bCs w:val="0"/>
          <w:color w:val="auto"/>
          <w:sz w:val="24"/>
          <w:szCs w:val="24"/>
          <w:highlight w:val="none"/>
        </w:rPr>
        <w:t xml:space="preserve">1</w:t>
      </w:r>
      <w:r>
        <w:rPr>
          <w:rFonts w:hint="eastAsia" w:ascii="宋体" w:hAnsi="宋体"/>
          <w:b w:val="0"/>
          <w:bCs w:val="0"/>
          <w:color w:val="auto"/>
          <w:sz w:val="24"/>
          <w:szCs w:val="24"/>
          <w:highlight w:val="none"/>
        </w:rPr>
        <w:t xml:space="preserve">）联合体各成员之间应签订《联合体协议书》，供应商的响应文件及中标后签署的合同书，对联合体的每一成员均有法律约束力。联合体成员数不超过2家，联合体各成员之间签订的联合体协议书应与响应文件一起递交。</w:t>
      </w:r>
      <w:r/>
    </w:p>
    <w:p>
      <w:pPr>
        <w:ind w:firstLine="480"/>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）参加联合体的各成员不得再以自己名义单独投标，也不得同时参加两个联合体投标。如有违反将取消该联合体及联合体各成员的投标资格。</w:t>
      </w:r>
      <w:r/>
    </w:p>
    <w:p>
      <w:pPr>
        <w:ind w:firstLine="480"/>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ascii="宋体" w:hAnsi="宋体"/>
          <w:b w:val="0"/>
          <w:bCs w:val="0"/>
          <w:color w:val="auto"/>
          <w:sz w:val="24"/>
          <w:szCs w:val="24"/>
          <w:highlight w:val="none"/>
        </w:rPr>
        <w:t xml:space="preserve">3</w:t>
      </w:r>
      <w:r>
        <w:rPr>
          <w:rFonts w:hint="eastAsia" w:ascii="宋体" w:hAnsi="宋体"/>
          <w:b w:val="0"/>
          <w:bCs w:val="0"/>
          <w:color w:val="auto"/>
          <w:sz w:val="24"/>
          <w:szCs w:val="24"/>
          <w:highlight w:val="none"/>
        </w:rPr>
        <w:t xml:space="preserve">）联合体各成员之间签订的联合体协议书应明确联合体牵头人，联合体牵头人作为投标全权代表，代表所有联合体成员负责执行一切与该项目招投标活动有关的事项，项目负责人须由联合体牵头人拟派。</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b w:val="0"/>
          <w:bCs w:val="0"/>
          <w:color w:val="auto"/>
          <w:sz w:val="24"/>
          <w:szCs w:val="24"/>
          <w:highlight w:val="none"/>
        </w:rPr>
        <w:t xml:space="preserve">（</w:t>
      </w:r>
      <w:r>
        <w:rPr>
          <w:rFonts w:ascii="宋体" w:hAnsi="宋体"/>
          <w:b w:val="0"/>
          <w:bCs w:val="0"/>
          <w:color w:val="auto"/>
          <w:sz w:val="24"/>
          <w:szCs w:val="24"/>
          <w:highlight w:val="none"/>
        </w:rPr>
        <w:t xml:space="preserve">4</w:t>
      </w:r>
      <w:r>
        <w:rPr>
          <w:rFonts w:hint="eastAsia" w:ascii="宋体" w:hAnsi="宋体"/>
          <w:b w:val="0"/>
          <w:bCs w:val="0"/>
          <w:color w:val="auto"/>
          <w:sz w:val="24"/>
          <w:szCs w:val="24"/>
          <w:highlight w:val="none"/>
        </w:rPr>
        <w:t xml:space="preserve">）联合体组成后不得再发生变化；中标后，未经采购人书面同意，联合体的成员结构、相互关系等均不得变动。</w:t>
      </w:r>
      <w:r/>
    </w:p>
    <w:p>
      <w:pPr>
        <w:ind w:firstLine="498"/>
        <w:keepLines/>
        <w:keepNext/>
        <w:spacing w:before="145" w:after="145" w:line="480" w:lineRule="exact"/>
        <w:rPr>
          <w:b/>
          <w:bCs/>
          <w:color w:val="auto"/>
          <w:sz w:val="32"/>
          <w:szCs w:val="32"/>
          <w:highlight w:val="none"/>
        </w:rPr>
        <w:outlineLvl w:val="1"/>
      </w:pPr>
      <w:r/>
      <w:bookmarkStart w:id="23" w:name="_Toc28359004"/>
      <w:r/>
      <w:bookmarkStart w:id="24" w:name="_Toc35393623"/>
      <w:r/>
      <w:bookmarkStart w:id="25" w:name="_Toc28359081"/>
      <w:r/>
      <w:bookmarkStart w:id="26" w:name="_Toc21470"/>
      <w:r/>
      <w:bookmarkStart w:id="27" w:name="_Toc38985265"/>
      <w:r/>
      <w:bookmarkStart w:id="28" w:name="_Toc35393792"/>
      <w:r/>
      <w:bookmarkStart w:id="29" w:name="_Toc22630"/>
      <w:r>
        <w:rPr>
          <w:rFonts w:hint="eastAsia"/>
          <w:b/>
          <w:bCs/>
          <w:color w:val="auto"/>
          <w:sz w:val="32"/>
          <w:szCs w:val="32"/>
          <w:highlight w:val="none"/>
        </w:rPr>
        <w:t xml:space="preserve">二、申请人的资格要求：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满足《中华人民共和国政府采购法》第二十二条规定，并提供下列材料：</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rPr>
          <w:rFonts w:hint="eastAsia" w:ascii="宋体" w:hAnsi="宋体"/>
          <w:b/>
          <w:bCs/>
          <w:color w:val="auto"/>
          <w:sz w:val="24"/>
          <w:szCs w:val="24"/>
          <w:highlight w:val="none"/>
        </w:rPr>
        <w:t xml:space="preserve">（如是联合体投标，联合体成员均需提供）</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1.2具有良好的商业信誉和健全的财务会计制度（</w:t>
      </w:r>
      <w:r>
        <w:rPr>
          <w:rFonts w:hint="eastAsia" w:ascii="宋体" w:hAnsi="宋体"/>
          <w:color w:val="auto"/>
          <w:sz w:val="24"/>
          <w:szCs w:val="24"/>
          <w:highlight w:val="none"/>
          <w:lang w:val="en-US" w:eastAsia="zh-CN"/>
        </w:rPr>
        <w:t xml:space="preserve">符合要求的</w:t>
      </w:r>
      <w:r>
        <w:rPr>
          <w:rFonts w:hint="eastAsia" w:ascii="宋体" w:hAnsi="宋体"/>
          <w:color w:val="auto"/>
          <w:sz w:val="24"/>
          <w:szCs w:val="24"/>
          <w:highlight w:val="none"/>
        </w:rPr>
        <w:t xml:space="preserve">可以提供《财务状况报告及税收、社会保障资金缴纳情况承诺函》</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如是联合体投标，联合体成员均需提供</w:t>
      </w:r>
      <w:r>
        <w:rPr>
          <w:rFonts w:hint="eastAsia" w:ascii="宋体" w:hAnsi="宋体"/>
          <w:color w:val="auto"/>
          <w:sz w:val="24"/>
          <w:szCs w:val="24"/>
          <w:highlight w:val="none"/>
        </w:rPr>
        <w:t xml:space="preserve">）；</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1.3依法缴纳税收和社会保障资金的相关证明材料（</w:t>
      </w:r>
      <w:r>
        <w:rPr>
          <w:rFonts w:hint="eastAsia" w:ascii="宋体" w:hAnsi="宋体"/>
          <w:color w:val="auto"/>
          <w:sz w:val="24"/>
          <w:szCs w:val="24"/>
          <w:highlight w:val="none"/>
          <w:lang w:val="en-US" w:eastAsia="zh-CN"/>
        </w:rPr>
        <w:t xml:space="preserve">符合要求的</w:t>
      </w:r>
      <w:r>
        <w:rPr>
          <w:rFonts w:hint="eastAsia" w:ascii="宋体" w:hAnsi="宋体"/>
          <w:color w:val="auto"/>
          <w:sz w:val="24"/>
          <w:szCs w:val="24"/>
          <w:highlight w:val="none"/>
        </w:rPr>
        <w:t xml:space="preserve">可以提供《财务状况报告及税收、社会保障资金缴纳情况承诺函》</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如是联合体投标，联合体成员均需提供</w:t>
      </w:r>
      <w:r>
        <w:rPr>
          <w:rFonts w:hint="eastAsia" w:ascii="宋体" w:hAnsi="宋体"/>
          <w:color w:val="auto"/>
          <w:sz w:val="24"/>
          <w:szCs w:val="24"/>
          <w:highlight w:val="none"/>
        </w:rPr>
        <w:t xml:space="preserve">）；</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rPr>
          <w:rFonts w:hint="eastAsia" w:ascii="宋体" w:hAnsi="宋体"/>
          <w:b/>
          <w:bCs/>
          <w:color w:val="auto"/>
          <w:sz w:val="24"/>
          <w:szCs w:val="24"/>
          <w:highlight w:val="none"/>
        </w:rPr>
        <w:t xml:space="preserve">（如是联合体投标，联合体成员均需提供）</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rPr>
          <w:rFonts w:hint="eastAsia" w:ascii="宋体" w:hAnsi="宋体"/>
          <w:b/>
          <w:bCs/>
          <w:color w:val="auto"/>
          <w:sz w:val="24"/>
          <w:szCs w:val="24"/>
          <w:highlight w:val="none"/>
        </w:rPr>
        <w:t xml:space="preserve">（如是联合体投标，联合体成员均需提供）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cs="宋体"/>
          <w:b/>
          <w:bCs/>
          <w:color w:val="auto"/>
          <w:sz w:val="24"/>
          <w:szCs w:val="24"/>
          <w:highlight w:val="none"/>
        </w:rPr>
        <w:t xml:space="preserve">如是联合体投标，联合体成员均需</w:t>
      </w:r>
      <w:r>
        <w:rPr>
          <w:rFonts w:hint="eastAsia" w:ascii="宋体" w:hAnsi="宋体" w:cs="宋体"/>
          <w:b/>
          <w:bCs/>
          <w:color w:val="auto"/>
          <w:sz w:val="24"/>
          <w:szCs w:val="24"/>
          <w:highlight w:val="none"/>
          <w:lang w:val="en-US" w:eastAsia="zh-CN"/>
        </w:rPr>
        <w:t xml:space="preserve">满足</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投标文件中无需提供证明材料）。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本项目的特定资格要求：</w:t>
      </w:r>
      <w:r>
        <w:rPr>
          <w:rFonts w:hint="eastAsia" w:ascii="宋体" w:hAnsi="宋体"/>
          <w:color w:val="auto"/>
          <w:sz w:val="24"/>
          <w:highlight w:val="none"/>
        </w:rPr>
        <w:t xml:space="preserve">无</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5.法律法规规定的其他条件。</w:t>
      </w:r>
      <w:r/>
    </w:p>
    <w:p>
      <w:pPr>
        <w:pStyle w:val="944"/>
        <w:ind w:firstLine="498"/>
        <w:spacing w:before="145" w:after="145" w:line="520" w:lineRule="exact"/>
        <w:rPr>
          <w:color w:val="auto"/>
          <w:highlight w:val="none"/>
        </w:rPr>
      </w:pPr>
      <w:r>
        <w:rPr>
          <w:rFonts w:hint="eastAsia"/>
          <w:color w:val="auto"/>
          <w:highlight w:val="none"/>
        </w:rPr>
        <w:t xml:space="preserve">三、获取招标文件</w:t>
      </w:r>
      <w:bookmarkEnd w:id="23"/>
      <w:r/>
      <w:bookmarkEnd w:id="24"/>
      <w:r/>
      <w:bookmarkEnd w:id="25"/>
      <w:r/>
      <w:bookmarkEnd w:id="26"/>
      <w:r/>
      <w:bookmarkEnd w:id="27"/>
      <w:r/>
      <w:bookmarkEnd w:id="28"/>
      <w:r/>
      <w:bookmarkEnd w:id="29"/>
      <w:r/>
      <w:r/>
    </w:p>
    <w:p>
      <w:pPr>
        <w:ind w:firstLine="540"/>
        <w:spacing w:line="519" w:lineRule="atLeast"/>
        <w:rPr>
          <w:color w:val="auto"/>
          <w:highlight w:val="none"/>
        </w:rPr>
        <w:pBdr>
          <w:top w:val="none" w:color="000000" w:sz="0" w:space="0"/>
          <w:left w:val="none" w:color="000000" w:sz="0" w:space="0"/>
          <w:bottom w:val="none" w:color="000000" w:sz="0" w:space="0"/>
          <w:right w:val="none" w:color="000000" w:sz="0" w:space="0"/>
        </w:pBdr>
      </w:pPr>
      <w:r/>
      <w:bookmarkStart w:id="30" w:name="_Toc28359005"/>
      <w:r/>
      <w:bookmarkStart w:id="31" w:name="_Toc28359082"/>
      <w:r/>
      <w:bookmarkStart w:id="32" w:name="_Toc35393624"/>
      <w:r/>
      <w:bookmarkStart w:id="33" w:name="_Toc35393793"/>
      <w:r/>
      <w:bookmarkStart w:id="34" w:name="_Toc38985266"/>
      <w:r>
        <w:rPr>
          <w:rFonts w:hint="eastAsia" w:ascii="宋体" w:hAnsi="宋体" w:cs="宋体"/>
          <w:color w:val="auto"/>
          <w:sz w:val="24"/>
          <w:szCs w:val="24"/>
          <w:highlight w:val="none"/>
        </w:rPr>
        <w:t xml:space="preserve">1.时间：</w:t>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03</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05</w:t>
      </w:r>
      <w:r>
        <w:rPr>
          <w:rFonts w:ascii="宋体" w:hAnsi="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03</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ascii="宋体" w:hAnsi="宋体" w:cs="宋体"/>
          <w:color w:val="auto"/>
          <w:sz w:val="24"/>
          <w:highlight w:val="none"/>
        </w:rPr>
        <w:t xml:space="preserve">日每天上午</w:t>
      </w:r>
      <w:r>
        <w:rPr>
          <w:rFonts w:ascii="Arial" w:hAnsi="Arial" w:eastAsia="Arial" w:cs="Arial"/>
          <w:color w:val="auto"/>
          <w:sz w:val="24"/>
          <w:highlight w:val="none"/>
        </w:rPr>
        <w:t xml:space="preserve">0:00-12:00</w:t>
      </w:r>
      <w:r>
        <w:rPr>
          <w:rFonts w:ascii="宋体" w:hAnsi="宋体" w:cs="宋体"/>
          <w:color w:val="auto"/>
          <w:sz w:val="24"/>
          <w:highlight w:val="none"/>
        </w:rPr>
        <w:t xml:space="preserve">，</w:t>
      </w:r>
      <w:r>
        <w:rPr>
          <w:rFonts w:ascii="Arial" w:hAnsi="Arial" w:eastAsia="Arial" w:cs="Arial"/>
          <w:color w:val="auto"/>
          <w:sz w:val="24"/>
          <w:highlight w:val="none"/>
        </w:rPr>
        <w:t xml:space="preserve">12:00-23:59</w:t>
      </w:r>
      <w:r>
        <w:rPr>
          <w:rFonts w:ascii="宋体" w:hAnsi="宋体" w:cs="宋体"/>
          <w:color w:val="auto"/>
          <w:sz w:val="24"/>
          <w:highlight w:val="none"/>
        </w:rPr>
        <w:t xml:space="preserve">（北京时间，法定节假日除外）</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2.方式：在“江苏政府采购网”自行免费下载招标文件。</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①登录http://jszfcg.jsczt.cn/或进入江苏政府采购网，点击“苏采云”进入系统。</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③潜在投标人访问“苏采云”系统的网络地址和方法：“苏采云”系统的网址：http://jszfcg.jsczt.cn/</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⑥招标代理机构(采购代理机构)将数据电文形式的招标文件加载至“苏采云”系统，供潜在投标人下载或者查阅。</w:t>
      </w:r>
      <w:r/>
    </w:p>
    <w:p>
      <w:pPr>
        <w:ind w:firstLine="54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⑦请潜在投标人提前安装相应的控件(详见《江苏省政府采购管理交易系统(苏采云)供应商操作手册》)并使用谷歌浏览器登录“苏采云”系统参与不见面开评标。</w:t>
      </w:r>
      <w:r/>
    </w:p>
    <w:p>
      <w:pPr>
        <w:pStyle w:val="944"/>
        <w:ind w:firstLine="498"/>
        <w:spacing w:before="145" w:after="145" w:line="520" w:lineRule="exact"/>
        <w:rPr>
          <w:color w:val="auto"/>
          <w:highlight w:val="none"/>
        </w:rPr>
      </w:pPr>
      <w:r/>
      <w:bookmarkStart w:id="35" w:name="_Toc19306"/>
      <w:r/>
      <w:bookmarkStart w:id="36" w:name="_Toc20677"/>
      <w:r>
        <w:rPr>
          <w:rFonts w:hint="eastAsia"/>
          <w:color w:val="auto"/>
          <w:highlight w:val="none"/>
        </w:rPr>
        <w:t xml:space="preserve">四、提交投标文件</w:t>
      </w:r>
      <w:bookmarkEnd w:id="30"/>
      <w:r/>
      <w:bookmarkEnd w:id="31"/>
      <w:r>
        <w:rPr>
          <w:rFonts w:hint="eastAsia"/>
          <w:color w:val="auto"/>
          <w:highlight w:val="none"/>
        </w:rPr>
        <w:t xml:space="preserve">截止时间、开标时间和地点</w:t>
      </w:r>
      <w:bookmarkEnd w:id="32"/>
      <w:r/>
      <w:bookmarkEnd w:id="33"/>
      <w:r/>
      <w:bookmarkEnd w:id="34"/>
      <w:r/>
      <w:bookmarkEnd w:id="35"/>
      <w:r/>
      <w:bookmarkEnd w:id="36"/>
      <w:r/>
      <w:r/>
    </w:p>
    <w:p>
      <w:pPr>
        <w:ind w:firstLine="480"/>
        <w:spacing w:line="52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03</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0分（北京时间）</w:t>
      </w:r>
      <w:r/>
    </w:p>
    <w:p>
      <w:pPr>
        <w:ind w:firstLine="480"/>
        <w:spacing w:line="52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pStyle w:val="944"/>
        <w:ind w:firstLine="498"/>
        <w:spacing w:before="145" w:after="145" w:line="520" w:lineRule="exact"/>
        <w:rPr>
          <w:color w:val="auto"/>
          <w:highlight w:val="none"/>
        </w:rPr>
      </w:pPr>
      <w:r/>
      <w:bookmarkStart w:id="37" w:name="_Toc28359084"/>
      <w:r/>
      <w:bookmarkStart w:id="38" w:name="_Toc35393625"/>
      <w:r/>
      <w:bookmarkStart w:id="39" w:name="_Toc14305"/>
      <w:r/>
      <w:bookmarkStart w:id="40" w:name="_Toc5821"/>
      <w:r/>
      <w:bookmarkStart w:id="41" w:name="_Toc35393794"/>
      <w:r/>
      <w:bookmarkStart w:id="42" w:name="_Toc38985267"/>
      <w:r/>
      <w:bookmarkStart w:id="43" w:name="_Toc28359007"/>
      <w:r>
        <w:rPr>
          <w:rFonts w:hint="eastAsia"/>
          <w:color w:val="auto"/>
          <w:highlight w:val="none"/>
        </w:rPr>
        <w:t xml:space="preserve">五、公告期限</w:t>
      </w:r>
      <w:bookmarkEnd w:id="37"/>
      <w:r/>
      <w:bookmarkEnd w:id="38"/>
      <w:r/>
      <w:bookmarkEnd w:id="39"/>
      <w:r/>
      <w:bookmarkEnd w:id="40"/>
      <w:r/>
      <w:bookmarkEnd w:id="41"/>
      <w:r/>
      <w:bookmarkEnd w:id="42"/>
      <w:r/>
      <w:bookmarkEnd w:id="43"/>
      <w:r/>
      <w:r/>
    </w:p>
    <w:p>
      <w:pPr>
        <w:ind w:firstLine="480"/>
        <w:spacing w:line="520" w:lineRule="exact"/>
        <w:rPr>
          <w:rFonts w:hint="eastAsia" w:ascii="宋体" w:hAnsi="宋体" w:cs="宋体"/>
          <w:color w:val="auto"/>
          <w:sz w:val="24"/>
          <w:szCs w:val="24"/>
          <w:highlight w:val="none"/>
        </w:rPr>
      </w:pPr>
      <w:r/>
      <w:bookmarkStart w:id="44" w:name="_Toc35393795"/>
      <w:r/>
      <w:bookmarkStart w:id="45" w:name="_Toc38985268"/>
      <w:r/>
      <w:bookmarkStart w:id="46" w:name="_Toc35393626"/>
      <w:r>
        <w:rPr>
          <w:rFonts w:hint="eastAsia" w:ascii="宋体" w:hAnsi="宋体" w:cs="宋体"/>
          <w:color w:val="auto"/>
          <w:sz w:val="24"/>
          <w:szCs w:val="24"/>
          <w:highlight w:val="none"/>
        </w:rPr>
        <w:t xml:space="preserve">招标公告及招标文件公告期限为自本公告发布之日起5个工作日。</w:t>
      </w:r>
      <w:r/>
    </w:p>
    <w:p>
      <w:pPr>
        <w:pStyle w:val="944"/>
        <w:ind w:firstLine="498"/>
        <w:spacing w:before="145" w:after="145" w:line="520" w:lineRule="exact"/>
        <w:rPr>
          <w:color w:val="auto"/>
          <w:highlight w:val="none"/>
        </w:rPr>
      </w:pPr>
      <w:r/>
      <w:bookmarkStart w:id="47" w:name="_Toc19730"/>
      <w:r/>
      <w:bookmarkStart w:id="48" w:name="_Toc22483"/>
      <w:r>
        <w:rPr>
          <w:rFonts w:hint="eastAsia"/>
          <w:color w:val="auto"/>
          <w:highlight w:val="none"/>
        </w:rPr>
        <w:t xml:space="preserve">六、其他补充事宜</w:t>
      </w:r>
      <w:bookmarkEnd w:id="44"/>
      <w:r/>
      <w:bookmarkEnd w:id="45"/>
      <w:r/>
      <w:bookmarkEnd w:id="46"/>
      <w:r/>
      <w:bookmarkEnd w:id="47"/>
      <w:r/>
      <w:bookmarkEnd w:id="48"/>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i/>
          <w:iCs/>
          <w:color w:val="auto"/>
          <w:sz w:val="24"/>
          <w:szCs w:val="24"/>
          <w:highlight w:val="none"/>
          <w:u w:val="single"/>
        </w:rPr>
        <w:t xml:space="preserve">本招标文件中斜体且有下划线部分为实质性要求和条件</w:t>
      </w:r>
      <w:r>
        <w:rPr>
          <w:rFonts w:hint="eastAsia" w:ascii="宋体" w:hAnsi="宋体"/>
          <w:color w:val="auto"/>
          <w:spacing w:val="-6"/>
          <w:sz w:val="24"/>
          <w:highlight w:val="none"/>
        </w:rPr>
        <w:t xml:space="preserve">，如不满足将按无效响应处理</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投标文件编制或提交失误，由此造成的一切损失由供应商自行承担。</w:t>
      </w:r>
      <w:r/>
    </w:p>
    <w:p>
      <w:pPr>
        <w:pStyle w:val="944"/>
        <w:ind w:firstLine="498"/>
        <w:spacing w:before="145" w:after="145" w:line="520" w:lineRule="exact"/>
        <w:rPr>
          <w:color w:val="auto"/>
          <w:highlight w:val="none"/>
        </w:rPr>
      </w:pPr>
      <w:r/>
      <w:bookmarkStart w:id="49" w:name="_Toc35393796"/>
      <w:r/>
      <w:bookmarkStart w:id="50" w:name="_Toc26205"/>
      <w:r/>
      <w:bookmarkStart w:id="51" w:name="_Toc35393627"/>
      <w:r/>
      <w:bookmarkStart w:id="52" w:name="_Toc28359008"/>
      <w:r/>
      <w:bookmarkStart w:id="53" w:name="_Toc38985269"/>
      <w:r/>
      <w:bookmarkStart w:id="54" w:name="_Toc28359085"/>
      <w:r/>
      <w:bookmarkStart w:id="55" w:name="_Toc5783"/>
      <w:r>
        <w:rPr>
          <w:rFonts w:hint="eastAsia"/>
          <w:color w:val="auto"/>
          <w:highlight w:val="none"/>
        </w:rPr>
        <w:t xml:space="preserve">七、本次招标联系方式</w:t>
      </w:r>
      <w:bookmarkEnd w:id="49"/>
      <w:r/>
      <w:bookmarkEnd w:id="50"/>
      <w:r/>
      <w:bookmarkEnd w:id="51"/>
      <w:r/>
      <w:bookmarkEnd w:id="52"/>
      <w:r/>
      <w:bookmarkEnd w:id="53"/>
      <w:r/>
      <w:bookmarkEnd w:id="54"/>
      <w:r/>
      <w:bookmarkEnd w:id="55"/>
      <w:r/>
      <w:r/>
    </w:p>
    <w:p>
      <w:pPr>
        <w:ind w:firstLine="480"/>
        <w:jc w:val="left"/>
        <w:spacing w:line="360" w:lineRule="auto"/>
        <w:rPr>
          <w:rFonts w:hint="eastAsia" w:ascii="宋体" w:hAnsi="宋体"/>
          <w:color w:val="auto"/>
          <w:sz w:val="24"/>
          <w:szCs w:val="24"/>
          <w:highlight w:val="none"/>
        </w:rPr>
      </w:pPr>
      <w:r/>
      <w:bookmarkStart w:id="56" w:name="OLE_LINK3"/>
      <w:r/>
      <w:bookmarkStart w:id="57" w:name="_Toc25874"/>
      <w:r/>
      <w:bookmarkStart w:id="58" w:name="_Toc5164"/>
      <w:r>
        <w:rPr>
          <w:rFonts w:hint="eastAsia" w:ascii="宋体" w:hAnsi="宋体"/>
          <w:color w:val="auto"/>
          <w:sz w:val="24"/>
          <w:szCs w:val="24"/>
          <w:highlight w:val="none"/>
        </w:rPr>
        <w:t xml:space="preserve">1.采购人信息</w:t>
      </w:r>
      <w:r/>
    </w:p>
    <w:p>
      <w:pPr>
        <w:ind w:firstLine="480"/>
        <w:jc w:val="left"/>
        <w:spacing w:line="360" w:lineRule="auto"/>
        <w:rPr>
          <w:rFonts w:hint="eastAsia" w:ascii="宋体" w:hAnsi="宋体" w:eastAsia="宋体"/>
          <w:color w:val="auto"/>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江苏连云港省级农业高新技术产业示范区管理办公室</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val="en-US" w:eastAsia="zh-CN"/>
        </w:rPr>
        <w:t xml:space="preserve">东海县麒麟大道88号福如东海大厦16楼 </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r>
        <w:rPr>
          <w:rFonts w:hint="eastAsia" w:ascii="宋体" w:hAnsi="宋体" w:cs="Times New Roman"/>
          <w:color w:val="auto"/>
          <w:sz w:val="24"/>
          <w:szCs w:val="24"/>
          <w:highlight w:val="none"/>
          <w:lang w:val="en-US" w:eastAsia="zh-CN"/>
        </w:rPr>
        <w:t xml:space="preserve">15366693716</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2.采购代</w:t>
      </w:r>
      <w:r>
        <w:rPr>
          <w:rFonts w:hint="eastAsia" w:ascii="宋体" w:hAnsi="宋体" w:eastAsia="宋体" w:cs="Times New Roman"/>
          <w:color w:val="auto"/>
          <w:sz w:val="24"/>
          <w:szCs w:val="24"/>
          <w:highlight w:val="none"/>
        </w:rPr>
        <w:t xml:space="preserve">理机构信息</w:t>
      </w:r>
      <w:bookmarkEnd w:id="56"/>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 系 人：朱倩楠</w:t>
      </w:r>
      <w:r>
        <w:rPr>
          <w:rFonts w:hint="eastAsia" w:ascii="宋体" w:hAnsi="宋体" w:eastAsia="宋体" w:cs="Times New Roman"/>
          <w:color w:val="auto"/>
          <w:sz w:val="24"/>
          <w:szCs w:val="24"/>
          <w:highlight w:val="none"/>
        </w:rPr>
        <w:tab/>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联系电话：15950726858</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联系地址：东海县秀水街20号</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480"/>
        <w:jc w:val="left"/>
        <w:spacing w:line="360" w:lineRule="auto"/>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rPr>
        <w:t xml:space="preserve">项目联系人：</w:t>
      </w:r>
      <w:r>
        <w:rPr>
          <w:rFonts w:hint="eastAsia" w:ascii="宋体" w:hAnsi="宋体" w:cs="Times New Roman"/>
          <w:color w:val="auto"/>
          <w:sz w:val="24"/>
          <w:szCs w:val="24"/>
          <w:highlight w:val="none"/>
          <w:lang w:val="en-US" w:eastAsia="zh-CN"/>
        </w:rPr>
        <w:t xml:space="preserve">张部长</w:t>
      </w:r>
      <w:r>
        <w:rPr>
          <w:rFonts w:hint="eastAsia" w:ascii="宋体" w:hAnsi="宋体" w:eastAsia="宋体" w:cs="Times New Roman"/>
          <w:color w:val="auto"/>
          <w:sz w:val="24"/>
          <w:szCs w:val="24"/>
          <w:highlight w:val="none"/>
          <w:lang w:val="en-US" w:eastAsia="zh-CN"/>
        </w:rPr>
        <w:t xml:space="preserve">       </w:t>
      </w:r>
      <w:r/>
    </w:p>
    <w:p>
      <w:pPr>
        <w:ind w:firstLine="480"/>
        <w:jc w:val="left"/>
        <w:spacing w:line="360" w:lineRule="auto"/>
        <w:rPr>
          <w:rFonts w:hint="eastAsia"/>
          <w:color w:val="auto"/>
          <w:highlight w:val="none"/>
        </w:rPr>
      </w:pPr>
      <w:r>
        <w:rPr>
          <w:rFonts w:hint="eastAsia"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val="en-US" w:eastAsia="zh-CN"/>
        </w:rPr>
        <w:t xml:space="preserve">15366693716</w:t>
      </w:r>
      <w:r>
        <w:rPr>
          <w:rFonts w:hint="eastAsia"/>
          <w:color w:val="auto"/>
          <w:highlight w:val="none"/>
          <w:lang w:val="en-US" w:eastAsia="zh-CN"/>
        </w:rPr>
        <w:t xml:space="preserve">       </w:t>
      </w:r>
      <w:r/>
    </w:p>
    <w:p>
      <w:pPr>
        <w:pStyle w:val="944"/>
        <w:ind w:firstLine="498"/>
        <w:spacing w:before="145" w:after="145" w:line="520" w:lineRule="exact"/>
        <w:rPr>
          <w:color w:val="auto"/>
          <w:highlight w:val="none"/>
        </w:rPr>
      </w:pPr>
      <w:r>
        <w:rPr>
          <w:rFonts w:hint="eastAsia"/>
          <w:color w:val="auto"/>
          <w:highlight w:val="none"/>
        </w:rPr>
        <w:t xml:space="preserve">八、其他</w:t>
      </w:r>
      <w:bookmarkEnd w:id="57"/>
      <w:r/>
      <w:bookmarkEnd w:id="58"/>
      <w:r/>
      <w:r/>
    </w:p>
    <w:p>
      <w:pPr>
        <w:ind w:firstLine="480"/>
        <w:spacing w:line="520" w:lineRule="exact"/>
        <w:tabs>
          <w:tab w:val="left" w:pos="900" w:leader="none"/>
        </w:tabs>
        <w:rPr>
          <w:rFonts w:hint="eastAsia" w:ascii="宋体" w:hAnsi="宋体"/>
          <w:bCs/>
          <w:color w:val="auto"/>
          <w:sz w:val="24"/>
          <w:szCs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根据省财政厅《关于更换全省政府采购交易系统CA数字证书和电子签章的通知》（苏财购〔2023〕101号），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2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2.有关本次招标的事项若存在变动或修改，敬请及时关注</w:t>
      </w:r>
      <w:r>
        <w:rPr>
          <w:rFonts w:hint="eastAsia" w:ascii="宋体" w:hAnsi="宋体"/>
          <w:bCs/>
          <w:color w:val="auto"/>
          <w:sz w:val="24"/>
          <w:szCs w:val="24"/>
          <w:highlight w:val="none"/>
          <w:lang w:eastAsia="zh-CN"/>
        </w:rPr>
        <w:t xml:space="preserve">江苏铭沃工程咨询有限公司</w:t>
      </w:r>
      <w:r>
        <w:rPr>
          <w:rFonts w:hint="eastAsia" w:ascii="宋体" w:hAnsi="宋体"/>
          <w:bCs/>
          <w:color w:val="auto"/>
          <w:sz w:val="24"/>
          <w:szCs w:val="24"/>
          <w:highlight w:val="none"/>
        </w:rPr>
        <w:t xml:space="preserve">在“</w:t>
      </w:r>
      <w:r>
        <w:rPr>
          <w:rFonts w:hint="eastAsia" w:ascii="宋体" w:hAnsi="宋体"/>
          <w:b/>
          <w:color w:val="auto"/>
          <w:sz w:val="24"/>
          <w:szCs w:val="24"/>
          <w:highlight w:val="none"/>
        </w:rPr>
        <w:t xml:space="preserve">江苏政府采购网</w:t>
      </w:r>
      <w:r>
        <w:rPr>
          <w:rFonts w:hint="eastAsia" w:ascii="宋体" w:hAnsi="宋体"/>
          <w:bCs/>
          <w:color w:val="auto"/>
          <w:sz w:val="24"/>
          <w:szCs w:val="24"/>
          <w:highlight w:val="none"/>
        </w:rPr>
        <w:t xml:space="preserve">”发布的更正公告。</w:t>
      </w:r>
      <w:r/>
    </w:p>
    <w:p>
      <w:pPr>
        <w:ind w:firstLine="480"/>
        <w:spacing w:line="52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3.本次招标不收取投标保证金。</w:t>
      </w:r>
      <w:r/>
    </w:p>
    <w:p>
      <w:pPr>
        <w:pStyle w:val="943"/>
        <w:rPr>
          <w:rFonts w:ascii="黑体" w:eastAsia="黑体"/>
          <w:b w:val="0"/>
          <w:bCs w:val="0"/>
          <w:color w:val="auto"/>
          <w:highlight w:val="none"/>
        </w:rPr>
      </w:pPr>
      <w:r>
        <w:rPr>
          <w:rFonts w:ascii="宋体" w:hAnsi="宋体"/>
          <w:color w:val="auto"/>
          <w:sz w:val="24"/>
          <w:szCs w:val="24"/>
          <w:highlight w:val="none"/>
        </w:rPr>
        <w:br w:type="page" w:clear="all"/>
      </w:r>
      <w:bookmarkStart w:id="59" w:name="_Toc120614211"/>
      <w:r/>
      <w:bookmarkStart w:id="60" w:name="_Toc18854"/>
      <w:r/>
      <w:bookmarkStart w:id="61" w:name="_Toc28147"/>
      <w:r/>
      <w:bookmarkStart w:id="272" w:name="_GoBack"/>
      <w:r/>
      <w:bookmarkEnd w:id="272"/>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59"/>
      <w:r/>
      <w:bookmarkStart w:id="62" w:name="_Toc16938518"/>
      <w:r/>
      <w:bookmarkStart w:id="63" w:name="_Toc120614213"/>
      <w:r/>
      <w:bookmarkStart w:id="64" w:name="_Toc20823274"/>
      <w:r/>
      <w:bookmarkStart w:id="65" w:name="_Toc513029202"/>
      <w:r>
        <w:rPr>
          <w:rFonts w:hint="eastAsia" w:ascii="黑体" w:hAnsi="Times New Roman" w:eastAsia="黑体" w:cs="Times New Roman"/>
          <w:b w:val="0"/>
          <w:bCs w:val="0"/>
          <w:color w:val="auto"/>
          <w:highlight w:val="none"/>
        </w:rPr>
        <w:t xml:space="preserve">投标人须知</w:t>
      </w:r>
      <w:bookmarkEnd w:id="60"/>
      <w:r/>
      <w:bookmarkEnd w:id="61"/>
      <w:r/>
      <w:bookmarkEnd w:id="62"/>
      <w:r/>
      <w:bookmarkEnd w:id="63"/>
      <w:r/>
      <w:bookmarkEnd w:id="64"/>
      <w:r/>
      <w:bookmarkEnd w:id="65"/>
      <w:r/>
      <w:r/>
    </w:p>
    <w:p>
      <w:pPr>
        <w:pStyle w:val="944"/>
        <w:ind w:firstLine="498"/>
        <w:spacing w:before="145" w:after="145" w:line="520" w:lineRule="exact"/>
        <w:rPr>
          <w:rFonts w:hint="eastAsia" w:ascii="宋体" w:hAnsi="宋体" w:cs="宋体"/>
          <w:color w:val="auto"/>
          <w:highlight w:val="none"/>
        </w:rPr>
      </w:pPr>
      <w:r/>
      <w:bookmarkStart w:id="66" w:name="_Toc20823275"/>
      <w:r/>
      <w:bookmarkStart w:id="67" w:name="_Toc1598"/>
      <w:r/>
      <w:bookmarkStart w:id="68" w:name="_Toc6848"/>
      <w:r/>
      <w:bookmarkStart w:id="69" w:name="_Toc513029203"/>
      <w:r/>
      <w:bookmarkStart w:id="70" w:name="_Toc16938519"/>
      <w:r/>
      <w:bookmarkStart w:id="71" w:name="_Toc120614214"/>
      <w:r>
        <w:rPr>
          <w:rFonts w:hint="eastAsia" w:ascii="宋体" w:hAnsi="宋体" w:cs="宋体"/>
          <w:color w:val="auto"/>
          <w:highlight w:val="none"/>
        </w:rPr>
        <w:t xml:space="preserve">一、总则</w:t>
      </w:r>
      <w:bookmarkEnd w:id="66"/>
      <w:r/>
      <w:bookmarkEnd w:id="67"/>
      <w:r/>
      <w:bookmarkEnd w:id="68"/>
      <w:r/>
      <w:bookmarkEnd w:id="69"/>
      <w:r/>
      <w:bookmarkEnd w:id="70"/>
      <w:r/>
      <w:bookmarkEnd w:id="71"/>
      <w:r/>
      <w:r/>
    </w:p>
    <w:p>
      <w:pPr>
        <w:pStyle w:val="946"/>
        <w:ind w:firstLine="420"/>
        <w:spacing w:before="0" w:after="0" w:line="520" w:lineRule="exact"/>
        <w:rPr>
          <w:rFonts w:hint="eastAsia" w:ascii="宋体" w:hAnsi="宋体" w:eastAsia="宋体" w:cs="宋体"/>
          <w:b w:val="0"/>
          <w:bCs w:val="0"/>
          <w:color w:val="auto"/>
          <w:highlight w:val="none"/>
        </w:rPr>
      </w:pPr>
      <w:r/>
      <w:bookmarkStart w:id="72" w:name="_Hlt16619475"/>
      <w:r/>
      <w:bookmarkEnd w:id="72"/>
      <w:r/>
      <w:bookmarkStart w:id="73" w:name="_Toc458694821"/>
      <w:r/>
      <w:bookmarkStart w:id="74" w:name="_Toc513029204"/>
      <w:r/>
      <w:bookmarkStart w:id="75" w:name="_Toc16938520"/>
      <w:r/>
      <w:bookmarkStart w:id="76" w:name="_Toc20823276"/>
      <w:r>
        <w:rPr>
          <w:rFonts w:hint="eastAsia" w:ascii="宋体" w:hAnsi="宋体" w:eastAsia="宋体" w:cs="宋体"/>
          <w:b w:val="0"/>
          <w:bCs w:val="0"/>
          <w:color w:val="auto"/>
          <w:highlight w:val="none"/>
        </w:rPr>
        <w:t xml:space="preserve">1</w:t>
      </w:r>
      <w:bookmarkEnd w:id="73"/>
      <w:r>
        <w:rPr>
          <w:rFonts w:hint="eastAsia" w:ascii="宋体" w:hAnsi="宋体" w:eastAsia="宋体" w:cs="宋体"/>
          <w:b w:val="0"/>
          <w:bCs w:val="0"/>
          <w:color w:val="auto"/>
          <w:highlight w:val="none"/>
        </w:rPr>
        <w:t xml:space="preserve">、招标方式</w:t>
      </w:r>
      <w:bookmarkEnd w:id="74"/>
      <w:r/>
      <w:bookmarkEnd w:id="75"/>
      <w:r/>
      <w:bookmarkEnd w:id="76"/>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pStyle w:val="946"/>
        <w:ind w:firstLine="420"/>
        <w:spacing w:before="0" w:after="0" w:line="520" w:lineRule="exact"/>
        <w:rPr>
          <w:rFonts w:hint="eastAsia" w:ascii="宋体" w:hAnsi="宋体" w:eastAsia="宋体" w:cs="宋体"/>
          <w:b w:val="0"/>
          <w:bCs w:val="0"/>
          <w:color w:val="auto"/>
          <w:highlight w:val="none"/>
        </w:rPr>
      </w:pPr>
      <w:r/>
      <w:bookmarkStart w:id="77" w:name="_Toc16938521"/>
      <w:r/>
      <w:bookmarkStart w:id="78" w:name="_Toc513029205"/>
      <w:r/>
      <w:bookmarkStart w:id="79" w:name="_Toc20823277"/>
      <w:r>
        <w:rPr>
          <w:rFonts w:hint="eastAsia" w:ascii="宋体" w:hAnsi="宋体" w:eastAsia="宋体" w:cs="宋体"/>
          <w:b w:val="0"/>
          <w:bCs w:val="0"/>
          <w:color w:val="auto"/>
          <w:highlight w:val="none"/>
        </w:rPr>
        <w:t xml:space="preserve">2、合格的投标人</w:t>
      </w:r>
      <w:bookmarkEnd w:id="77"/>
      <w:r/>
      <w:bookmarkEnd w:id="78"/>
      <w:r/>
      <w:bookmarkEnd w:id="7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pStyle w:val="946"/>
        <w:ind w:firstLine="420"/>
        <w:spacing w:before="0" w:after="0" w:line="520" w:lineRule="exact"/>
        <w:rPr>
          <w:rFonts w:hint="eastAsia" w:ascii="宋体" w:hAnsi="宋体" w:eastAsia="宋体" w:cs="宋体"/>
          <w:b w:val="0"/>
          <w:bCs w:val="0"/>
          <w:color w:val="auto"/>
          <w:highlight w:val="none"/>
        </w:rPr>
      </w:pPr>
      <w:r/>
      <w:bookmarkStart w:id="80" w:name="_Toc20823278"/>
      <w:r/>
      <w:bookmarkStart w:id="81" w:name="_Toc513029206"/>
      <w:r/>
      <w:bookmarkStart w:id="82" w:name="_Toc16938522"/>
      <w:r>
        <w:rPr>
          <w:rFonts w:hint="eastAsia" w:ascii="宋体" w:hAnsi="宋体" w:eastAsia="宋体" w:cs="宋体"/>
          <w:b w:val="0"/>
          <w:bCs w:val="0"/>
          <w:color w:val="auto"/>
          <w:highlight w:val="none"/>
        </w:rPr>
        <w:t xml:space="preserve">3、适用法律</w:t>
      </w:r>
      <w:bookmarkEnd w:id="80"/>
      <w:r/>
      <w:bookmarkEnd w:id="81"/>
      <w:r/>
      <w:bookmarkEnd w:id="8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pStyle w:val="946"/>
        <w:ind w:firstLine="420"/>
        <w:spacing w:before="0" w:after="0" w:line="520" w:lineRule="exact"/>
        <w:rPr>
          <w:rFonts w:hint="eastAsia" w:ascii="宋体" w:hAnsi="宋体" w:eastAsia="宋体" w:cs="宋体"/>
          <w:b w:val="0"/>
          <w:bCs w:val="0"/>
          <w:color w:val="auto"/>
          <w:highlight w:val="none"/>
        </w:rPr>
      </w:pPr>
      <w:r/>
      <w:bookmarkStart w:id="83" w:name="_Toc462564067"/>
      <w:r/>
      <w:bookmarkStart w:id="84" w:name="_Toc16938523"/>
      <w:r/>
      <w:bookmarkStart w:id="85" w:name="_Toc513029207"/>
      <w:r/>
      <w:bookmarkStart w:id="86" w:name="_Toc20823279"/>
      <w:r>
        <w:rPr>
          <w:rFonts w:hint="eastAsia" w:ascii="宋体" w:hAnsi="宋体" w:eastAsia="宋体" w:cs="宋体"/>
          <w:b w:val="0"/>
          <w:bCs w:val="0"/>
          <w:color w:val="auto"/>
          <w:highlight w:val="none"/>
        </w:rPr>
        <w:t xml:space="preserve">4、投标费用</w:t>
      </w:r>
      <w:bookmarkEnd w:id="83"/>
      <w:r/>
      <w:bookmarkEnd w:id="84"/>
      <w:r/>
      <w:bookmarkEnd w:id="85"/>
      <w:r/>
      <w:bookmarkEnd w:id="86"/>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color w:val="auto"/>
          <w:sz w:val="24"/>
          <w:highlight w:val="none"/>
          <w:lang w:eastAsia="zh-CN"/>
        </w:rPr>
        <w:t xml:space="preserve">江苏铭沃工程咨询有限公司</w:t>
      </w:r>
      <w:r>
        <w:rPr>
          <w:rFonts w:hint="eastAsia" w:ascii="宋体" w:hAnsi="宋体" w:cs="宋体"/>
          <w:color w:val="auto"/>
          <w:sz w:val="24"/>
          <w:highlight w:val="none"/>
        </w:rPr>
        <w:t xml:space="preserve">（以下简称采购代理机构）在任何情况下均无义务和责任承担这些费用。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4.2 本次招标采购代理服务费：苏招协[2022]2号文标准计取；以上费用最终由中标人在领取中标通知书时一次性支付，投标人须将此部分费用综合考虑在报价中，不得单列。</w:t>
      </w:r>
      <w:r/>
    </w:p>
    <w:p>
      <w:pPr>
        <w:pStyle w:val="946"/>
        <w:ind w:firstLine="602"/>
        <w:spacing w:before="0" w:after="0" w:line="520" w:lineRule="exact"/>
        <w:rPr>
          <w:rFonts w:hint="eastAsia" w:ascii="宋体" w:hAnsi="宋体" w:eastAsia="宋体" w:cs="宋体"/>
          <w:b w:val="0"/>
          <w:bCs w:val="0"/>
          <w:color w:val="auto"/>
          <w:highlight w:val="none"/>
        </w:rPr>
      </w:pPr>
      <w:r>
        <w:rPr>
          <w:rFonts w:hint="eastAsia" w:ascii="宋体" w:hAnsi="宋体" w:eastAsia="宋体" w:cs="宋体"/>
          <w:color w:val="auto"/>
          <w:sz w:val="30"/>
          <w:highlight w:val="none"/>
        </w:rPr>
        <w:t xml:space="preserve">5、</w:t>
      </w:r>
      <w:r>
        <w:rPr>
          <w:rFonts w:hint="eastAsia" w:ascii="宋体" w:hAnsi="宋体" w:eastAsia="宋体" w:cs="宋体"/>
          <w:b w:val="0"/>
          <w:bCs w:val="0"/>
          <w:color w:val="auto"/>
          <w:highlight w:val="none"/>
        </w:rPr>
        <w:t xml:space="preserve">招标文件的约束力</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5.1 投标人一旦参加本项目采购活动，即被认为接受了本招标文件的规定和约束。</w:t>
      </w:r>
      <w:r/>
    </w:p>
    <w:p>
      <w:pPr>
        <w:pStyle w:val="944"/>
        <w:ind w:firstLine="321"/>
        <w:spacing w:before="145" w:after="145" w:line="520" w:lineRule="exact"/>
        <w:rPr>
          <w:rFonts w:hint="eastAsia" w:ascii="宋体" w:hAnsi="宋体" w:cs="宋体"/>
          <w:color w:val="auto"/>
          <w:highlight w:val="none"/>
        </w:rPr>
      </w:pPr>
      <w:r/>
      <w:bookmarkStart w:id="87" w:name="_Toc20823281"/>
      <w:r/>
      <w:bookmarkStart w:id="88" w:name="_Toc13550"/>
      <w:r/>
      <w:bookmarkStart w:id="89" w:name="_Toc16938525"/>
      <w:r/>
      <w:bookmarkStart w:id="90" w:name="_Toc513029209"/>
      <w:r/>
      <w:bookmarkStart w:id="91" w:name="_Toc120614215"/>
      <w:r/>
      <w:bookmarkStart w:id="92" w:name="_Toc2081"/>
      <w:r>
        <w:rPr>
          <w:rFonts w:hint="eastAsia" w:ascii="宋体" w:hAnsi="宋体" w:cs="宋体"/>
          <w:color w:val="auto"/>
          <w:highlight w:val="none"/>
        </w:rPr>
        <w:t xml:space="preserve">二、招标文件</w:t>
      </w:r>
      <w:bookmarkEnd w:id="87"/>
      <w:r/>
      <w:bookmarkEnd w:id="88"/>
      <w:r/>
      <w:bookmarkEnd w:id="89"/>
      <w:r/>
      <w:bookmarkEnd w:id="90"/>
      <w:r/>
      <w:bookmarkEnd w:id="91"/>
      <w:r/>
      <w:bookmarkEnd w:id="92"/>
      <w:r/>
      <w:r/>
    </w:p>
    <w:p>
      <w:pPr>
        <w:pStyle w:val="946"/>
        <w:ind w:firstLine="420"/>
        <w:spacing w:before="0" w:after="0" w:line="520" w:lineRule="exact"/>
        <w:rPr>
          <w:rFonts w:hint="eastAsia" w:ascii="宋体" w:hAnsi="宋体" w:eastAsia="宋体" w:cs="宋体"/>
          <w:b w:val="0"/>
          <w:bCs w:val="0"/>
          <w:color w:val="auto"/>
          <w:highlight w:val="none"/>
        </w:rPr>
      </w:pPr>
      <w:r/>
      <w:bookmarkStart w:id="93" w:name="_Toc513029210"/>
      <w:r/>
      <w:bookmarkStart w:id="94" w:name="_Toc20823282"/>
      <w:r/>
      <w:bookmarkStart w:id="95" w:name="_Toc16938526"/>
      <w:r>
        <w:rPr>
          <w:rFonts w:hint="eastAsia" w:ascii="宋体" w:hAnsi="宋体" w:eastAsia="宋体" w:cs="宋体"/>
          <w:b w:val="0"/>
          <w:bCs w:val="0"/>
          <w:color w:val="auto"/>
          <w:highlight w:val="none"/>
        </w:rPr>
        <w:t xml:space="preserve">6、招标文件构成</w:t>
      </w:r>
      <w:bookmarkEnd w:id="93"/>
      <w:r/>
      <w:bookmarkEnd w:id="94"/>
      <w:r/>
      <w:bookmarkEnd w:id="95"/>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6.1 招标文件由以下部分组成：</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请仔细检查招标文件是否齐全，如有缺漏请立即与采购代理机构联系解决。</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ind w:firstLine="560"/>
        <w:spacing w:before="0" w:after="0" w:line="520" w:lineRule="exact"/>
        <w:rPr>
          <w:rFonts w:hint="eastAsia" w:ascii="宋体" w:hAnsi="宋体" w:eastAsia="宋体" w:cs="宋体"/>
          <w:b w:val="0"/>
          <w:bCs w:val="0"/>
          <w:color w:val="auto"/>
          <w:highlight w:val="none"/>
        </w:rPr>
      </w:pPr>
      <w:r/>
      <w:bookmarkStart w:id="96" w:name="_Toc20823283"/>
      <w:r/>
      <w:bookmarkStart w:id="97" w:name="_Toc16938527"/>
      <w:r/>
      <w:bookmarkStart w:id="98" w:name="_Toc462564070"/>
      <w:r/>
      <w:bookmarkStart w:id="99" w:name="_Toc513029211"/>
      <w:r>
        <w:rPr>
          <w:rFonts w:hint="eastAsia" w:ascii="宋体" w:hAnsi="宋体" w:eastAsia="宋体" w:cs="宋体"/>
          <w:b w:val="0"/>
          <w:bCs w:val="0"/>
          <w:color w:val="auto"/>
          <w:highlight w:val="none"/>
        </w:rPr>
        <w:t xml:space="preserve">7、招标文件的澄清</w:t>
      </w:r>
      <w:bookmarkEnd w:id="96"/>
      <w:r/>
      <w:bookmarkEnd w:id="97"/>
      <w:r/>
      <w:bookmarkEnd w:id="98"/>
      <w:r/>
      <w:bookmarkEnd w:id="99"/>
      <w:r/>
      <w:r/>
    </w:p>
    <w:p>
      <w:pPr>
        <w:ind w:firstLine="480"/>
        <w:spacing w:line="520" w:lineRule="exact"/>
        <w:rPr>
          <w:rFonts w:hint="eastAsia" w:ascii="宋体" w:hAnsi="宋体" w:cs="宋体"/>
          <w:color w:val="auto"/>
          <w:sz w:val="24"/>
          <w:szCs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任何要求对招标文件进行澄清的投标人，应在投标截止期十日前按招标公告中的通讯地址，以书面形式通知采购代理机构或采购人。</w:t>
      </w:r>
      <w:r/>
    </w:p>
    <w:p>
      <w:pPr>
        <w:pStyle w:val="946"/>
        <w:ind w:firstLine="560"/>
        <w:spacing w:before="0" w:after="0" w:line="520" w:lineRule="exact"/>
        <w:rPr>
          <w:rFonts w:hint="eastAsia" w:ascii="宋体" w:hAnsi="宋体" w:eastAsia="宋体" w:cs="宋体"/>
          <w:b w:val="0"/>
          <w:bCs w:val="0"/>
          <w:color w:val="auto"/>
          <w:highlight w:val="none"/>
        </w:rPr>
      </w:pPr>
      <w:r/>
      <w:bookmarkStart w:id="100" w:name="_Toc16938528"/>
      <w:r/>
      <w:bookmarkStart w:id="101" w:name="_Toc462564071"/>
      <w:r/>
      <w:bookmarkStart w:id="102" w:name="_Toc20823284"/>
      <w:r/>
      <w:bookmarkStart w:id="103" w:name="_Toc513029212"/>
      <w:r>
        <w:rPr>
          <w:rFonts w:hint="eastAsia" w:ascii="宋体" w:hAnsi="宋体" w:eastAsia="宋体" w:cs="宋体"/>
          <w:b w:val="0"/>
          <w:bCs w:val="0"/>
          <w:color w:val="auto"/>
          <w:highlight w:val="none"/>
        </w:rPr>
        <w:t xml:space="preserve">8、招标文件的修改</w:t>
      </w:r>
      <w:bookmarkEnd w:id="100"/>
      <w:r/>
      <w:bookmarkEnd w:id="101"/>
      <w:r/>
      <w:bookmarkEnd w:id="102"/>
      <w:r/>
      <w:bookmarkEnd w:id="103"/>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8.1 在投标截止时间前，采购人可以对招标文件进行修改。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8.2 采购人有权按照法定的要求推迟投标截止日期和开标日期。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8.3 招标文件的修改将在江苏政府采购网公布，补充文件将作为招标文件的组成部分，并对投标人具有约束力。</w:t>
      </w:r>
      <w:r/>
    </w:p>
    <w:p>
      <w:pPr>
        <w:pStyle w:val="944"/>
        <w:ind w:firstLine="482"/>
        <w:spacing w:before="145" w:after="145" w:line="520" w:lineRule="exact"/>
        <w:rPr>
          <w:rFonts w:hint="eastAsia" w:ascii="宋体" w:hAnsi="宋体" w:cs="宋体"/>
          <w:color w:val="auto"/>
          <w:highlight w:val="none"/>
        </w:rPr>
      </w:pPr>
      <w:r/>
      <w:bookmarkStart w:id="104" w:name="_Toc18646"/>
      <w:r/>
      <w:bookmarkStart w:id="105" w:name="_Toc462564072"/>
      <w:r/>
      <w:bookmarkStart w:id="106" w:name="_Toc513029213"/>
      <w:r/>
      <w:bookmarkStart w:id="107" w:name="_Toc120614216"/>
      <w:r/>
      <w:bookmarkStart w:id="108" w:name="_Toc18017"/>
      <w:r/>
      <w:bookmarkStart w:id="109" w:name="_Toc20823285"/>
      <w:r/>
      <w:bookmarkStart w:id="110" w:name="_Toc16938529"/>
      <w:r>
        <w:rPr>
          <w:rFonts w:hint="eastAsia" w:ascii="宋体" w:hAnsi="宋体" w:cs="宋体"/>
          <w:color w:val="auto"/>
          <w:highlight w:val="none"/>
        </w:rPr>
        <w:t xml:space="preserve">三、投标文件的编制</w:t>
      </w:r>
      <w:bookmarkEnd w:id="104"/>
      <w:r/>
      <w:bookmarkEnd w:id="105"/>
      <w:r/>
      <w:bookmarkEnd w:id="106"/>
      <w:r/>
      <w:bookmarkEnd w:id="107"/>
      <w:r/>
      <w:bookmarkEnd w:id="108"/>
      <w:r/>
      <w:bookmarkEnd w:id="109"/>
      <w:r/>
      <w:bookmarkEnd w:id="110"/>
      <w:r/>
      <w:r/>
    </w:p>
    <w:p>
      <w:pPr>
        <w:pStyle w:val="946"/>
        <w:ind w:firstLine="560"/>
        <w:spacing w:before="0" w:after="0" w:line="520" w:lineRule="exact"/>
        <w:rPr>
          <w:rFonts w:hint="eastAsia" w:ascii="宋体" w:hAnsi="宋体" w:eastAsia="宋体" w:cs="宋体"/>
          <w:bCs w:val="0"/>
          <w:color w:val="auto"/>
          <w:highlight w:val="none"/>
        </w:rPr>
      </w:pPr>
      <w:r/>
      <w:bookmarkStart w:id="111" w:name="_Toc462564073"/>
      <w:r/>
      <w:bookmarkStart w:id="112" w:name="_Toc16938530"/>
      <w:r/>
      <w:bookmarkStart w:id="113" w:name="_Toc20823286"/>
      <w:r/>
      <w:bookmarkStart w:id="114" w:name="_Toc513029214"/>
      <w:r>
        <w:rPr>
          <w:rFonts w:hint="eastAsia" w:ascii="宋体" w:hAnsi="宋体" w:eastAsia="宋体" w:cs="宋体"/>
          <w:b w:val="0"/>
          <w:bCs w:val="0"/>
          <w:color w:val="auto"/>
          <w:highlight w:val="none"/>
        </w:rPr>
        <w:t xml:space="preserve">9、投标文件的语言及度量衡单位</w:t>
      </w:r>
      <w:bookmarkEnd w:id="111"/>
      <w:r/>
      <w:bookmarkEnd w:id="112"/>
      <w:r/>
      <w:bookmarkEnd w:id="113"/>
      <w:r/>
      <w:bookmarkEnd w:id="114"/>
      <w:r/>
      <w:r/>
    </w:p>
    <w:p>
      <w:pPr>
        <w:ind w:firstLine="480"/>
        <w:spacing w:line="520" w:lineRule="exact"/>
        <w:rPr>
          <w:rFonts w:hint="eastAsia"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投标人提交的投标文件以及投标人与采购人、采购代理机构就有关投标的所有来往通知、函件和文件均应使用简体中文。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p>
    <w:p>
      <w:pPr>
        <w:pStyle w:val="946"/>
        <w:ind w:firstLine="420"/>
        <w:spacing w:before="0" w:after="0" w:line="520" w:lineRule="exact"/>
        <w:rPr>
          <w:rFonts w:hint="eastAsia" w:ascii="宋体" w:hAnsi="宋体" w:eastAsia="宋体" w:cs="宋体"/>
          <w:b w:val="0"/>
          <w:bCs w:val="0"/>
          <w:color w:val="auto"/>
          <w:highlight w:val="none"/>
        </w:rPr>
      </w:pPr>
      <w:r/>
      <w:bookmarkStart w:id="115" w:name="_Toc462564074"/>
      <w:r/>
      <w:bookmarkStart w:id="116" w:name="_Toc513029215"/>
      <w:r/>
      <w:bookmarkStart w:id="117" w:name="_Toc20823287"/>
      <w:r/>
      <w:bookmarkStart w:id="118" w:name="_Toc16938531"/>
      <w:r>
        <w:rPr>
          <w:rFonts w:hint="eastAsia" w:ascii="宋体" w:hAnsi="宋体" w:eastAsia="宋体" w:cs="宋体"/>
          <w:b w:val="0"/>
          <w:bCs w:val="0"/>
          <w:color w:val="auto"/>
          <w:highlight w:val="none"/>
        </w:rPr>
        <w:t xml:space="preserve">10、投标文件构成</w:t>
      </w:r>
      <w:bookmarkEnd w:id="115"/>
      <w:r/>
      <w:bookmarkEnd w:id="116"/>
      <w:r/>
      <w:bookmarkEnd w:id="117"/>
      <w:r/>
      <w:bookmarkEnd w:id="11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如标书制作工具中格式和内容与“江苏政府采购网”发布的招标文件不一致，请以“江苏政府采购网”发布的招标文件为准。</w:t>
      </w:r>
      <w:r/>
    </w:p>
    <w:p>
      <w:pPr>
        <w:pStyle w:val="946"/>
        <w:ind w:firstLine="420"/>
        <w:spacing w:before="0" w:after="0" w:line="520" w:lineRule="exact"/>
        <w:rPr>
          <w:rFonts w:hint="eastAsia" w:ascii="宋体" w:hAnsi="宋体" w:eastAsia="宋体" w:cs="宋体"/>
          <w:b w:val="0"/>
          <w:bCs w:val="0"/>
          <w:color w:val="auto"/>
          <w:highlight w:val="none"/>
        </w:rPr>
      </w:pPr>
      <w:r/>
      <w:bookmarkStart w:id="119" w:name="_Hlt26668975"/>
      <w:r/>
      <w:bookmarkEnd w:id="119"/>
      <w:r/>
      <w:bookmarkStart w:id="120" w:name="_Hlt26670360"/>
      <w:r/>
      <w:bookmarkEnd w:id="120"/>
      <w:r/>
      <w:bookmarkStart w:id="121" w:name="_Hlt26954838"/>
      <w:r/>
      <w:bookmarkEnd w:id="121"/>
      <w:r/>
      <w:bookmarkStart w:id="122" w:name="_Toc513029216"/>
      <w:r/>
      <w:bookmarkStart w:id="123" w:name="_Toc14577357"/>
      <w:r/>
      <w:bookmarkStart w:id="124" w:name="_Toc513029219"/>
      <w:r/>
      <w:bookmarkStart w:id="125" w:name="_Toc14577354"/>
      <w:r/>
      <w:bookmarkStart w:id="126" w:name="_Toc49090509"/>
      <w:r/>
      <w:bookmarkStart w:id="127" w:name="_Toc49090507"/>
      <w:r>
        <w:rPr>
          <w:rFonts w:hint="eastAsia" w:ascii="宋体" w:hAnsi="宋体" w:eastAsia="宋体" w:cs="宋体"/>
          <w:b w:val="0"/>
          <w:bCs w:val="0"/>
          <w:color w:val="auto"/>
          <w:highlight w:val="none"/>
        </w:rPr>
        <w:t xml:space="preserve">11、证明投标人及投标标的符合招标文件规定的文件</w:t>
      </w:r>
      <w:bookmarkEnd w:id="122"/>
      <w:r/>
      <w:bookmarkEnd w:id="123"/>
      <w:r/>
      <w:bookmarkEnd w:id="124"/>
      <w:r/>
      <w:bookmarkEnd w:id="125"/>
      <w:r/>
      <w:bookmarkEnd w:id="126"/>
      <w:r/>
      <w:bookmarkEnd w:id="127"/>
      <w:r/>
      <w:r/>
    </w:p>
    <w:p>
      <w:pPr>
        <w:ind w:firstLine="480"/>
        <w:spacing w:line="520" w:lineRule="exact"/>
        <w:rPr>
          <w:rFonts w:hint="eastAsia" w:ascii="宋体" w:hAnsi="宋体" w:cs="宋体"/>
          <w:color w:val="auto"/>
          <w:sz w:val="24"/>
          <w:highlight w:val="none"/>
        </w:rPr>
      </w:pPr>
      <w:r/>
      <w:bookmarkStart w:id="128" w:name="_Toc14577355"/>
      <w:r/>
      <w:bookmarkStart w:id="129" w:name="_Toc49090508"/>
      <w:r>
        <w:rPr>
          <w:rFonts w:hint="eastAsia" w:ascii="宋体" w:hAnsi="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pStyle w:val="946"/>
        <w:ind w:firstLine="420"/>
        <w:spacing w:before="0" w:after="0"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12、投标分项报价</w:t>
      </w:r>
      <w:bookmarkEnd w:id="128"/>
      <w:r/>
      <w:bookmarkStart w:id="130" w:name="_Hlt26670373"/>
      <w:r/>
      <w:bookmarkEnd w:id="130"/>
      <w:r>
        <w:rPr>
          <w:rFonts w:hint="eastAsia" w:ascii="宋体" w:hAnsi="宋体" w:eastAsia="宋体" w:cs="宋体"/>
          <w:b w:val="0"/>
          <w:bCs w:val="0"/>
          <w:color w:val="auto"/>
          <w:highlight w:val="none"/>
        </w:rPr>
        <w:t xml:space="preserve">表</w:t>
      </w:r>
      <w:bookmarkEnd w:id="12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12.1 投</w:t>
      </w:r>
      <w:bookmarkStart w:id="131" w:name="_Hlt26954840"/>
      <w:r/>
      <w:bookmarkEnd w:id="131"/>
      <w:r>
        <w:rPr>
          <w:rFonts w:hint="eastAsia" w:ascii="宋体" w:hAnsi="宋体" w:cs="宋体"/>
          <w:color w:val="auto"/>
          <w:sz w:val="24"/>
          <w:highlight w:val="none"/>
        </w:rPr>
        <w:t xml:space="preserve">标人应按照招标文件规定格式填报投标分项报价表</w:t>
      </w:r>
      <w:bookmarkStart w:id="132" w:name="_Hlt26670399"/>
      <w:r/>
      <w:bookmarkEnd w:id="132"/>
      <w:r>
        <w:rPr>
          <w:rFonts w:hint="eastAsia" w:ascii="宋体" w:hAnsi="宋体" w:cs="宋体"/>
          <w:color w:val="auto"/>
          <w:sz w:val="24"/>
          <w:highlight w:val="none"/>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pStyle w:val="946"/>
        <w:ind w:firstLine="420"/>
        <w:spacing w:before="0" w:after="0" w:line="520" w:lineRule="exact"/>
        <w:rPr>
          <w:rFonts w:hint="eastAsia" w:ascii="宋体" w:hAnsi="宋体" w:eastAsia="宋体" w:cs="宋体"/>
          <w:b w:val="0"/>
          <w:bCs w:val="0"/>
          <w:color w:val="auto"/>
          <w:highlight w:val="none"/>
        </w:rPr>
      </w:pPr>
      <w:r/>
      <w:bookmarkStart w:id="133" w:name="_Hlt26670482"/>
      <w:r/>
      <w:bookmarkEnd w:id="133"/>
      <w:r/>
      <w:bookmarkStart w:id="134" w:name="_Hlt26954848"/>
      <w:r/>
      <w:bookmarkEnd w:id="134"/>
      <w:r/>
      <w:bookmarkStart w:id="135" w:name="_Hlt26670403"/>
      <w:r/>
      <w:bookmarkEnd w:id="135"/>
      <w:r/>
      <w:bookmarkStart w:id="136" w:name="_Hlt26670486"/>
      <w:r/>
      <w:bookmarkEnd w:id="136"/>
      <w:r/>
      <w:bookmarkStart w:id="137" w:name="_Hlt26668983"/>
      <w:r/>
      <w:bookmarkEnd w:id="137"/>
      <w:r/>
      <w:bookmarkStart w:id="138" w:name="_Hlt26954846"/>
      <w:r/>
      <w:bookmarkEnd w:id="138"/>
      <w:r/>
      <w:bookmarkStart w:id="139" w:name="_Hlt26954731"/>
      <w:r/>
      <w:bookmarkEnd w:id="139"/>
      <w:r/>
      <w:bookmarkStart w:id="140" w:name="_Hlt26954842"/>
      <w:r/>
      <w:bookmarkEnd w:id="140"/>
      <w:r/>
      <w:bookmarkStart w:id="141" w:name="_Hlt26954844"/>
      <w:r/>
      <w:bookmarkEnd w:id="141"/>
      <w:r/>
      <w:bookmarkStart w:id="142" w:name="_Hlt26670425"/>
      <w:r/>
      <w:bookmarkEnd w:id="142"/>
      <w:r>
        <w:rPr>
          <w:rFonts w:hint="eastAsia" w:ascii="宋体" w:hAnsi="宋体" w:eastAsia="宋体" w:cs="宋体"/>
          <w:b w:val="0"/>
          <w:bCs w:val="0"/>
          <w:color w:val="auto"/>
          <w:highlight w:val="none"/>
        </w:rPr>
        <w:t xml:space="preserve">13、技术要求响应及偏离表、商务要求响应及偏离表</w:t>
      </w:r>
      <w:r/>
    </w:p>
    <w:p>
      <w:pPr>
        <w:ind w:firstLine="480"/>
        <w:spacing w:line="52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13.1 投标人需对招标文件中的技术要求与商务要求逐项作出响应或偏离，并说明原因。</w:t>
      </w:r>
      <w:r/>
    </w:p>
    <w:p>
      <w:pPr>
        <w:ind w:firstLine="480"/>
        <w:spacing w:line="52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13.2 投标人可在投标文件中提供认为需要的其他技术文件或说明。</w:t>
      </w:r>
      <w:r/>
    </w:p>
    <w:p>
      <w:pPr>
        <w:pStyle w:val="946"/>
        <w:ind w:firstLine="420"/>
        <w:spacing w:before="0" w:after="0" w:line="520" w:lineRule="exact"/>
        <w:rPr>
          <w:rFonts w:hint="eastAsia" w:ascii="宋体" w:hAnsi="宋体" w:eastAsia="宋体" w:cs="宋体"/>
          <w:b w:val="0"/>
          <w:bCs w:val="0"/>
          <w:color w:val="auto"/>
          <w:highlight w:val="none"/>
        </w:rPr>
      </w:pPr>
      <w:r/>
      <w:bookmarkStart w:id="143" w:name="_Toc14577359"/>
      <w:r/>
      <w:bookmarkStart w:id="144" w:name="_Toc49090510"/>
      <w:r>
        <w:rPr>
          <w:rFonts w:hint="eastAsia" w:ascii="宋体" w:hAnsi="宋体" w:eastAsia="宋体" w:cs="宋体"/>
          <w:b w:val="0"/>
          <w:bCs w:val="0"/>
          <w:color w:val="auto"/>
          <w:highlight w:val="none"/>
        </w:rPr>
        <w:t xml:space="preserve">14、投标函和开标一览表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14.1 投标人应按照招标文件中提供的格式完整、正确填写投标函、开标一览表。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43"/>
      <w:r/>
      <w:bookmarkEnd w:id="144"/>
      <w:r/>
      <w:r/>
    </w:p>
    <w:p>
      <w:pPr>
        <w:pStyle w:val="946"/>
        <w:ind w:firstLine="420"/>
        <w:spacing w:before="0" w:after="0" w:line="520" w:lineRule="exact"/>
        <w:rPr>
          <w:rFonts w:hint="eastAsia" w:ascii="宋体" w:hAnsi="宋体" w:eastAsia="宋体" w:cs="宋体"/>
          <w:b w:val="0"/>
          <w:bCs w:val="0"/>
          <w:color w:val="auto"/>
          <w:highlight w:val="none"/>
        </w:rPr>
      </w:pPr>
      <w:r/>
      <w:bookmarkStart w:id="145" w:name="_Hlt26670489"/>
      <w:r/>
      <w:bookmarkEnd w:id="145"/>
      <w:r/>
      <w:bookmarkStart w:id="146" w:name="_Hlt26954734"/>
      <w:r/>
      <w:bookmarkEnd w:id="146"/>
      <w:r/>
      <w:bookmarkStart w:id="147" w:name="_Hlt26954850"/>
      <w:r/>
      <w:bookmarkEnd w:id="147"/>
      <w:r/>
      <w:bookmarkStart w:id="148" w:name="_Toc14577360"/>
      <w:r/>
      <w:bookmarkStart w:id="149" w:name="_Toc49090511"/>
      <w:r>
        <w:rPr>
          <w:rFonts w:hint="eastAsia" w:ascii="宋体" w:hAnsi="宋体" w:eastAsia="宋体" w:cs="宋体"/>
          <w:b w:val="0"/>
          <w:bCs w:val="0"/>
          <w:color w:val="auto"/>
          <w:highlight w:val="none"/>
        </w:rPr>
        <w:t xml:space="preserve">15、投标有效期</w:t>
      </w:r>
      <w:bookmarkEnd w:id="148"/>
      <w:r/>
      <w:bookmarkEnd w:id="149"/>
      <w:r/>
      <w:r/>
    </w:p>
    <w:p>
      <w:pPr>
        <w:ind w:firstLine="480"/>
        <w:spacing w:line="52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投标有效期为采购人规定的开标之日后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。投标有效期比规定短的将被视为未实质性响应招标文件而予以拒绝。</w:t>
      </w:r>
      <w:r/>
    </w:p>
    <w:p>
      <w:pPr>
        <w:pStyle w:val="946"/>
        <w:ind w:firstLine="420"/>
        <w:spacing w:before="0" w:after="0"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16、投标有效期的延长</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16.1 在特殊情况下，</w:t>
      </w:r>
      <w:r>
        <w:rPr>
          <w:rFonts w:hint="eastAsia" w:ascii="宋体" w:hAnsi="宋体" w:cs="宋体"/>
          <w:bCs/>
          <w:color w:val="auto"/>
          <w:sz w:val="24"/>
          <w:highlight w:val="none"/>
        </w:rPr>
        <w:t xml:space="preserve">采购人</w:t>
      </w:r>
      <w:r>
        <w:rPr>
          <w:rFonts w:hint="eastAsia" w:ascii="宋体" w:hAnsi="宋体" w:cs="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highlight w:val="none"/>
        </w:rPr>
        <w:t xml:space="preserve">采购人</w:t>
      </w:r>
      <w:r>
        <w:rPr>
          <w:rFonts w:hint="eastAsia" w:ascii="宋体" w:hAnsi="宋体" w:cs="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44"/>
        <w:ind w:firstLine="482"/>
        <w:spacing w:before="145" w:after="145" w:line="520" w:lineRule="exact"/>
        <w:rPr>
          <w:rFonts w:hint="eastAsia" w:ascii="宋体" w:hAnsi="宋体" w:cs="宋体"/>
          <w:color w:val="auto"/>
          <w:highlight w:val="none"/>
        </w:rPr>
      </w:pPr>
      <w:r/>
      <w:bookmarkStart w:id="150" w:name="_Hlt26954852"/>
      <w:r/>
      <w:bookmarkEnd w:id="150"/>
      <w:r/>
      <w:bookmarkStart w:id="151" w:name="_Hlt26954739"/>
      <w:r/>
      <w:bookmarkEnd w:id="151"/>
      <w:r/>
      <w:bookmarkStart w:id="152" w:name="_Toc20823296"/>
      <w:r/>
      <w:bookmarkStart w:id="153" w:name="_Toc22817"/>
      <w:r/>
      <w:bookmarkStart w:id="154" w:name="_Toc120614217"/>
      <w:r/>
      <w:bookmarkStart w:id="155" w:name="_Toc16170"/>
      <w:r/>
      <w:bookmarkStart w:id="156" w:name="_Toc513029224"/>
      <w:r/>
      <w:bookmarkStart w:id="157" w:name="_Toc16938540"/>
      <w:r>
        <w:rPr>
          <w:rFonts w:hint="eastAsia" w:ascii="宋体" w:hAnsi="宋体" w:cs="宋体"/>
          <w:color w:val="auto"/>
          <w:highlight w:val="none"/>
        </w:rPr>
        <w:t xml:space="preserve">四、投标文件的递交</w:t>
      </w:r>
      <w:bookmarkEnd w:id="152"/>
      <w:r/>
      <w:bookmarkEnd w:id="153"/>
      <w:r/>
      <w:bookmarkEnd w:id="154"/>
      <w:r/>
      <w:bookmarkEnd w:id="155"/>
      <w:r/>
      <w:bookmarkEnd w:id="156"/>
      <w:r/>
      <w:bookmarkEnd w:id="157"/>
      <w:r/>
      <w:r/>
    </w:p>
    <w:p>
      <w:pPr>
        <w:pStyle w:val="946"/>
        <w:ind w:firstLine="560"/>
        <w:spacing w:before="0" w:after="0" w:line="520" w:lineRule="exact"/>
        <w:rPr>
          <w:rFonts w:hint="eastAsia" w:ascii="宋体" w:hAnsi="宋体" w:eastAsia="宋体" w:cs="宋体"/>
          <w:b w:val="0"/>
          <w:bCs w:val="0"/>
          <w:color w:val="auto"/>
          <w:highlight w:val="none"/>
        </w:rPr>
      </w:pPr>
      <w:r/>
      <w:bookmarkStart w:id="158" w:name="_Toc20823297"/>
      <w:r/>
      <w:bookmarkStart w:id="159" w:name="_Toc513029225"/>
      <w:r/>
      <w:bookmarkStart w:id="160" w:name="_Toc462564084"/>
      <w:r/>
      <w:bookmarkStart w:id="161" w:name="_Toc16938541"/>
      <w:r>
        <w:rPr>
          <w:rFonts w:hint="eastAsia" w:ascii="宋体" w:hAnsi="宋体" w:eastAsia="宋体" w:cs="宋体"/>
          <w:b w:val="0"/>
          <w:bCs w:val="0"/>
          <w:color w:val="auto"/>
          <w:highlight w:val="none"/>
        </w:rPr>
        <w:t xml:space="preserve">17、投标文件</w:t>
      </w:r>
      <w:bookmarkEnd w:id="158"/>
      <w:r/>
      <w:bookmarkEnd w:id="159"/>
      <w:r/>
      <w:bookmarkEnd w:id="160"/>
      <w:r/>
      <w:bookmarkEnd w:id="161"/>
      <w:r>
        <w:rPr>
          <w:rFonts w:hint="eastAsia" w:ascii="宋体" w:hAnsi="宋体" w:eastAsia="宋体" w:cs="宋体"/>
          <w:b w:val="0"/>
          <w:bCs w:val="0"/>
          <w:color w:val="auto"/>
          <w:highlight w:val="none"/>
        </w:rPr>
        <w:t xml:space="preserve">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162" w:name="_Toc513029226"/>
      <w:r/>
      <w:bookmarkStart w:id="163" w:name="_Toc16938542"/>
      <w:r/>
      <w:bookmarkStart w:id="164" w:name="_Toc20823298"/>
      <w:r/>
      <w:r/>
    </w:p>
    <w:p>
      <w:pPr>
        <w:pStyle w:val="946"/>
        <w:ind w:firstLine="420"/>
        <w:spacing w:before="0" w:after="0"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18、投标截止</w:t>
      </w:r>
      <w:bookmarkEnd w:id="162"/>
      <w:r/>
      <w:bookmarkEnd w:id="163"/>
      <w:r/>
      <w:bookmarkEnd w:id="164"/>
      <w:r>
        <w:rPr>
          <w:rFonts w:hint="eastAsia" w:ascii="宋体" w:hAnsi="宋体" w:eastAsia="宋体" w:cs="宋体"/>
          <w:b w:val="0"/>
          <w:bCs w:val="0"/>
          <w:color w:val="auto"/>
          <w:highlight w:val="none"/>
        </w:rPr>
        <w:t xml:space="preserve">时间</w:t>
      </w:r>
      <w:r/>
    </w:p>
    <w:p>
      <w:pPr>
        <w:ind w:firstLine="482"/>
        <w:spacing w:line="52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 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pStyle w:val="946"/>
        <w:ind w:firstLine="420"/>
        <w:spacing w:before="0" w:after="0" w:line="520" w:lineRule="exact"/>
        <w:rPr>
          <w:rFonts w:hint="eastAsia" w:ascii="宋体" w:hAnsi="宋体" w:eastAsia="宋体" w:cs="宋体"/>
          <w:b w:val="0"/>
          <w:bCs w:val="0"/>
          <w:color w:val="auto"/>
          <w:highlight w:val="none"/>
        </w:rPr>
      </w:pPr>
      <w:r/>
      <w:bookmarkStart w:id="165" w:name="_Toc513029227"/>
      <w:r/>
      <w:bookmarkStart w:id="166" w:name="_Toc20823299"/>
      <w:r/>
      <w:bookmarkStart w:id="167" w:name="_Toc16938543"/>
      <w:r>
        <w:rPr>
          <w:rFonts w:hint="eastAsia" w:ascii="宋体" w:hAnsi="宋体" w:eastAsia="宋体" w:cs="宋体"/>
          <w:b w:val="0"/>
          <w:bCs w:val="0"/>
          <w:color w:val="auto"/>
          <w:highlight w:val="none"/>
        </w:rPr>
        <w:t xml:space="preserve">19、投标文件</w:t>
      </w:r>
      <w:bookmarkEnd w:id="165"/>
      <w:r/>
      <w:bookmarkEnd w:id="166"/>
      <w:r/>
      <w:bookmarkEnd w:id="167"/>
      <w:r>
        <w:rPr>
          <w:rFonts w:hint="eastAsia" w:ascii="宋体" w:hAnsi="宋体" w:eastAsia="宋体" w:cs="宋体"/>
          <w:b w:val="0"/>
          <w:bCs w:val="0"/>
          <w:color w:val="auto"/>
          <w:highlight w:val="none"/>
        </w:rPr>
        <w:t xml:space="preserve">的拒收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19.1采购人或采购代理机构拒绝接收在其规定的投标截止时间后上传的任何投标文件。</w:t>
      </w:r>
      <w:r/>
    </w:p>
    <w:p>
      <w:pPr>
        <w:pStyle w:val="946"/>
        <w:ind w:firstLine="420"/>
        <w:spacing w:before="0" w:after="0" w:line="520" w:lineRule="exact"/>
        <w:rPr>
          <w:rFonts w:hint="eastAsia" w:ascii="宋体" w:hAnsi="宋体" w:eastAsia="宋体" w:cs="宋体"/>
          <w:b w:val="0"/>
          <w:bCs w:val="0"/>
          <w:color w:val="auto"/>
          <w:highlight w:val="none"/>
        </w:rPr>
      </w:pPr>
      <w:r/>
      <w:bookmarkStart w:id="168" w:name="_Toc20823300"/>
      <w:r/>
      <w:bookmarkStart w:id="169" w:name="_Toc16938544"/>
      <w:r/>
      <w:bookmarkStart w:id="170" w:name="_Toc513029228"/>
      <w:r>
        <w:rPr>
          <w:rFonts w:hint="eastAsia" w:ascii="宋体" w:hAnsi="宋体" w:eastAsia="宋体" w:cs="宋体"/>
          <w:b w:val="0"/>
          <w:bCs w:val="0"/>
          <w:color w:val="auto"/>
          <w:highlight w:val="none"/>
        </w:rPr>
        <w:t xml:space="preserve">20、投标文件的撤回和修改</w:t>
      </w:r>
      <w:bookmarkEnd w:id="168"/>
      <w:r/>
      <w:bookmarkEnd w:id="169"/>
      <w:r/>
      <w:bookmarkEnd w:id="170"/>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21.1.1 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21.1.2 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20.2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20.2.2 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20.3 在投标截止时间至招标文件中规定的投标有效期满之间的这段时间内，投标人不得撤回其投标。</w:t>
      </w:r>
      <w:r/>
    </w:p>
    <w:p>
      <w:pPr>
        <w:pStyle w:val="944"/>
        <w:ind w:firstLine="482"/>
        <w:spacing w:before="145" w:after="145" w:line="520" w:lineRule="exact"/>
        <w:rPr>
          <w:rFonts w:hint="eastAsia" w:ascii="宋体" w:hAnsi="宋体" w:cs="宋体"/>
          <w:color w:val="auto"/>
          <w:highlight w:val="none"/>
        </w:rPr>
      </w:pPr>
      <w:r/>
      <w:bookmarkStart w:id="171" w:name="_Toc109"/>
      <w:r/>
      <w:bookmarkStart w:id="172" w:name="_Toc20823301"/>
      <w:r/>
      <w:bookmarkStart w:id="173" w:name="_Toc120614218"/>
      <w:r/>
      <w:bookmarkStart w:id="174" w:name="_Toc16938545"/>
      <w:r/>
      <w:bookmarkStart w:id="175" w:name="_Toc9761"/>
      <w:r/>
      <w:bookmarkStart w:id="176" w:name="_Toc513029229"/>
      <w:r>
        <w:rPr>
          <w:rFonts w:hint="eastAsia" w:ascii="宋体" w:hAnsi="宋体" w:cs="宋体"/>
          <w:color w:val="auto"/>
          <w:highlight w:val="none"/>
        </w:rPr>
        <w:t xml:space="preserve">五、开标与评标</w:t>
      </w:r>
      <w:bookmarkEnd w:id="171"/>
      <w:r/>
      <w:bookmarkEnd w:id="172"/>
      <w:r/>
      <w:bookmarkEnd w:id="173"/>
      <w:r/>
      <w:bookmarkEnd w:id="174"/>
      <w:r/>
      <w:bookmarkEnd w:id="175"/>
      <w:r/>
      <w:bookmarkEnd w:id="176"/>
      <w:r/>
      <w:r/>
    </w:p>
    <w:p>
      <w:pPr>
        <w:pStyle w:val="946"/>
        <w:ind w:firstLine="420"/>
        <w:spacing w:before="0" w:after="0" w:line="520" w:lineRule="exact"/>
        <w:rPr>
          <w:rFonts w:hint="eastAsia" w:ascii="宋体" w:hAnsi="宋体" w:eastAsia="宋体" w:cs="宋体"/>
          <w:b w:val="0"/>
          <w:bCs w:val="0"/>
          <w:color w:val="auto"/>
          <w:highlight w:val="none"/>
        </w:rPr>
      </w:pPr>
      <w:r/>
      <w:bookmarkStart w:id="177" w:name="_Toc16938546"/>
      <w:r/>
      <w:bookmarkStart w:id="178" w:name="_Toc20823302"/>
      <w:r/>
      <w:bookmarkStart w:id="179" w:name="_Toc513029230"/>
      <w:r>
        <w:rPr>
          <w:rFonts w:hint="eastAsia" w:ascii="宋体" w:hAnsi="宋体" w:eastAsia="宋体" w:cs="宋体"/>
          <w:b w:val="0"/>
          <w:bCs w:val="0"/>
          <w:color w:val="auto"/>
          <w:highlight w:val="none"/>
        </w:rPr>
        <w:t xml:space="preserve">21、开标</w:t>
      </w:r>
      <w:bookmarkEnd w:id="177"/>
      <w:r/>
      <w:bookmarkEnd w:id="178"/>
      <w:r/>
      <w:bookmarkEnd w:id="17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946"/>
        <w:ind w:firstLine="420"/>
        <w:spacing w:before="0" w:after="0" w:line="520" w:lineRule="exact"/>
        <w:rPr>
          <w:rFonts w:hint="eastAsia" w:ascii="宋体" w:hAnsi="宋体" w:eastAsia="宋体" w:cs="宋体"/>
          <w:b w:val="0"/>
          <w:bCs w:val="0"/>
          <w:color w:val="auto"/>
          <w:highlight w:val="none"/>
        </w:rPr>
      </w:pPr>
      <w:r/>
      <w:bookmarkStart w:id="180" w:name="_Toc20823303"/>
      <w:r/>
      <w:bookmarkStart w:id="181" w:name="_Toc513029231"/>
      <w:r/>
      <w:bookmarkStart w:id="182" w:name="_Toc16938547"/>
      <w:r>
        <w:rPr>
          <w:rFonts w:hint="eastAsia" w:ascii="宋体" w:hAnsi="宋体" w:eastAsia="宋体" w:cs="宋体"/>
          <w:b w:val="0"/>
          <w:bCs w:val="0"/>
          <w:color w:val="auto"/>
          <w:highlight w:val="none"/>
        </w:rPr>
        <w:t xml:space="preserve">22、评标委员会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22.1 开标后，采购人将立即组织评标委员会（以下简称评委会）进行评标。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22.2 评委会由采购人代表和有关技术、经济等方面的专家组成，且人员构成符合政府采购有关规定。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pStyle w:val="946"/>
        <w:ind w:firstLine="420"/>
        <w:spacing w:before="0" w:after="0"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23、评标过程的保密与公正</w:t>
      </w:r>
      <w:bookmarkEnd w:id="180"/>
      <w:r/>
      <w:bookmarkEnd w:id="181"/>
      <w:r/>
      <w:bookmarkEnd w:id="18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 采购人、采购代理机构和评标委员会不向未中标的投标人解释未中标原因，也不公布评标过程中的相关细节。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 采用综合评分法的项目，未中标的投标人可于中标结果公告期限届满之日起通过苏采云系统查看自己的评审得分及排序情况。</w:t>
      </w:r>
      <w:r/>
    </w:p>
    <w:p>
      <w:pPr>
        <w:pStyle w:val="946"/>
        <w:ind w:firstLine="420"/>
        <w:spacing w:before="0" w:after="0" w:line="520" w:lineRule="exact"/>
        <w:rPr>
          <w:rFonts w:hint="eastAsia" w:ascii="宋体" w:hAnsi="宋体" w:eastAsia="宋体" w:cs="宋体"/>
          <w:b w:val="0"/>
          <w:bCs w:val="0"/>
          <w:color w:val="auto"/>
          <w:highlight w:val="none"/>
        </w:rPr>
      </w:pPr>
      <w:r/>
      <w:bookmarkStart w:id="183" w:name="_Toc16938548"/>
      <w:r/>
      <w:bookmarkStart w:id="184" w:name="_Toc513029232"/>
      <w:r/>
      <w:bookmarkStart w:id="185" w:name="_Toc20823304"/>
      <w:r>
        <w:rPr>
          <w:rFonts w:hint="eastAsia" w:ascii="宋体" w:hAnsi="宋体" w:eastAsia="宋体" w:cs="宋体"/>
          <w:b w:val="0"/>
          <w:bCs w:val="0"/>
          <w:color w:val="auto"/>
          <w:highlight w:val="none"/>
        </w:rPr>
        <w:t xml:space="preserve">24、投标文件的澄清</w:t>
      </w:r>
      <w:bookmarkEnd w:id="183"/>
      <w:r/>
      <w:bookmarkEnd w:id="184"/>
      <w:r/>
      <w:bookmarkEnd w:id="185"/>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24.3 接到评委会澄清、说明和补正要求的投标人如未按规定做出澄清、说明和补正，其风险由投标人自行承担。</w:t>
      </w:r>
      <w:r/>
    </w:p>
    <w:p>
      <w:pPr>
        <w:pStyle w:val="946"/>
        <w:ind w:firstLine="420"/>
        <w:spacing w:before="0" w:after="0" w:line="520" w:lineRule="exact"/>
        <w:rPr>
          <w:rFonts w:hint="eastAsia" w:ascii="宋体" w:hAnsi="宋体" w:eastAsia="宋体" w:cs="宋体"/>
          <w:b w:val="0"/>
          <w:bCs w:val="0"/>
          <w:color w:val="auto"/>
          <w:highlight w:val="none"/>
        </w:rPr>
      </w:pPr>
      <w:r/>
      <w:bookmarkStart w:id="186" w:name="_Toc16938549"/>
      <w:r/>
      <w:bookmarkStart w:id="187" w:name="_Toc513029233"/>
      <w:r/>
      <w:bookmarkStart w:id="188" w:name="_Toc20823305"/>
      <w:r>
        <w:rPr>
          <w:rFonts w:hint="eastAsia" w:ascii="宋体" w:hAnsi="宋体" w:eastAsia="宋体" w:cs="宋体"/>
          <w:b w:val="0"/>
          <w:bCs w:val="0"/>
          <w:color w:val="auto"/>
          <w:highlight w:val="none"/>
        </w:rPr>
        <w:t xml:space="preserve">25、对投标文件的初审</w:t>
      </w:r>
      <w:bookmarkEnd w:id="186"/>
      <w:r/>
      <w:bookmarkEnd w:id="187"/>
      <w:r/>
      <w:bookmarkEnd w:id="18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rPr>
        <w:t xml:space="preserve">采购人</w:t>
      </w:r>
      <w:r>
        <w:rPr>
          <w:rFonts w:hint="eastAsia" w:ascii="宋体" w:hAnsi="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宋体" w:hAnsi="宋体" w:cs="宋体"/>
          <w:color w:val="auto"/>
          <w:sz w:val="24"/>
          <w:highlight w:val="none"/>
        </w:rPr>
      </w:pPr>
      <w:r/>
      <w:bookmarkStart w:id="189" w:name="_Toc16938550"/>
      <w:r/>
      <w:bookmarkStart w:id="190" w:name="_Toc513029234"/>
      <w:r/>
      <w:bookmarkStart w:id="191" w:name="_Toc20823306"/>
      <w:r>
        <w:rPr>
          <w:rFonts w:hint="eastAsia" w:ascii="宋体" w:hAnsi="宋体" w:cs="宋体"/>
          <w:color w:val="auto"/>
          <w:sz w:val="24"/>
          <w:highlight w:val="none"/>
        </w:rPr>
        <w:t xml:space="preserve">25.6投标人在开、评标全过程中应保持通讯畅通，及时登录苏采云系统查阅、答复相关信息，并安排专人与采购人、采购代理机构及评标委员会联系。</w:t>
      </w:r>
      <w:r/>
    </w:p>
    <w:p>
      <w:pPr>
        <w:pStyle w:val="946"/>
        <w:ind w:firstLine="420"/>
        <w:spacing w:before="0" w:after="0"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w:t>
      </w:r>
      <w:bookmarkEnd w:id="189"/>
      <w:r/>
      <w:bookmarkEnd w:id="190"/>
      <w:r/>
      <w:bookmarkEnd w:id="191"/>
      <w:r>
        <w:rPr>
          <w:rFonts w:hint="eastAsia" w:ascii="宋体" w:hAnsi="宋体" w:eastAsia="宋体" w:cs="宋体"/>
          <w:b w:val="0"/>
          <w:bCs w:val="0"/>
          <w:color w:val="auto"/>
          <w:highlight w:val="none"/>
        </w:rPr>
        <w:t xml:space="preserve">无效投标条款和废标条款</w:t>
      </w:r>
      <w:r/>
    </w:p>
    <w:p>
      <w:pPr>
        <w:ind w:firstLine="480"/>
        <w:spacing w:line="520" w:lineRule="exact"/>
        <w:rPr>
          <w:rFonts w:hint="eastAsia" w:ascii="宋体" w:hAnsi="宋体" w:cs="宋体"/>
          <w:color w:val="auto"/>
          <w:sz w:val="24"/>
          <w:highlight w:val="none"/>
        </w:rPr>
      </w:pPr>
      <w:r/>
      <w:bookmarkStart w:id="192" w:name="_Toc20823307"/>
      <w:r/>
      <w:bookmarkStart w:id="193" w:name="_Toc513029235"/>
      <w:r/>
      <w:bookmarkStart w:id="194" w:name="_Toc16938551"/>
      <w:r>
        <w:rPr>
          <w:rFonts w:hint="eastAsia" w:ascii="宋体" w:hAnsi="宋体" w:cs="宋体"/>
          <w:color w:val="auto"/>
          <w:sz w:val="24"/>
          <w:highlight w:val="none"/>
        </w:rPr>
        <w:t xml:space="preserve">26.1无效投标条款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26.1.1 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26.1.2 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bCs/>
          <w:color w:val="auto"/>
          <w:sz w:val="24"/>
          <w:highlight w:val="none"/>
        </w:rPr>
        <w:t xml:space="preserve">（</w:t>
      </w:r>
      <w:r>
        <w:rPr>
          <w:rFonts w:hint="eastAsia" w:ascii="宋体" w:hAnsi="宋体"/>
          <w:bCs/>
          <w:i/>
          <w:color w:val="auto"/>
          <w:sz w:val="24"/>
          <w:highlight w:val="none"/>
          <w:u w:val="single"/>
        </w:rPr>
        <w:t xml:space="preserve">本招标文件中斜体且有下划线部分为实质性要求和条件）。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26.1.9 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26.1.11 投标文件未按照招标文件要求加盖CA电子公章的。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26.2.1符合专业条件的供应商或者对招标文件作实质响应的供应商不足三家的。26.2.2出现影响采购公正的违法、违规行为的。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26.2.5 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26.3 投标截止时间结束后参加投标的供应商不足三家的处理：</w:t>
      </w:r>
      <w:r/>
    </w:p>
    <w:p>
      <w:pPr>
        <w:ind w:firstLine="480"/>
        <w:spacing w:line="52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44"/>
        <w:ind w:firstLine="482"/>
        <w:spacing w:before="145" w:after="145" w:line="520" w:lineRule="exact"/>
        <w:rPr>
          <w:rFonts w:hint="eastAsia" w:ascii="宋体" w:hAnsi="宋体" w:cs="宋体"/>
          <w:color w:val="auto"/>
          <w:highlight w:val="none"/>
        </w:rPr>
      </w:pPr>
      <w:r/>
      <w:bookmarkStart w:id="195" w:name="_Toc120614219"/>
      <w:r/>
      <w:bookmarkStart w:id="196" w:name="_Toc31095"/>
      <w:r/>
      <w:bookmarkStart w:id="197" w:name="_Toc3443"/>
      <w:r>
        <w:rPr>
          <w:rFonts w:hint="eastAsia" w:ascii="宋体" w:hAnsi="宋体" w:cs="宋体"/>
          <w:color w:val="auto"/>
          <w:highlight w:val="none"/>
        </w:rPr>
        <w:t xml:space="preserve">六、</w:t>
      </w:r>
      <w:bookmarkEnd w:id="192"/>
      <w:r/>
      <w:bookmarkEnd w:id="193"/>
      <w:r/>
      <w:bookmarkEnd w:id="194"/>
      <w:r>
        <w:rPr>
          <w:rFonts w:hint="eastAsia" w:ascii="宋体" w:hAnsi="宋体" w:cs="宋体"/>
          <w:color w:val="auto"/>
          <w:highlight w:val="none"/>
        </w:rPr>
        <w:t xml:space="preserve">定标</w:t>
      </w:r>
      <w:bookmarkEnd w:id="195"/>
      <w:r/>
      <w:bookmarkEnd w:id="196"/>
      <w:r/>
      <w:bookmarkEnd w:id="197"/>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bookmarkStart w:id="198" w:name="_Toc513029238"/>
      <w:r/>
      <w:bookmarkStart w:id="199" w:name="_Toc20823310"/>
      <w:r/>
      <w:bookmarkStart w:id="200" w:name="_Toc16938554"/>
      <w:r>
        <w:rPr>
          <w:rFonts w:hint="eastAsia" w:ascii="宋体" w:hAnsi="宋体" w:eastAsia="宋体" w:cs="宋体"/>
          <w:b w:val="0"/>
          <w:color w:val="auto"/>
          <w:sz w:val="30"/>
          <w:szCs w:val="30"/>
          <w:highlight w:val="none"/>
        </w:rPr>
        <w:t xml:space="preserve">27、</w:t>
      </w:r>
      <w:bookmarkEnd w:id="198"/>
      <w:r>
        <w:rPr>
          <w:rFonts w:hint="eastAsia" w:ascii="宋体" w:hAnsi="宋体" w:eastAsia="宋体" w:cs="宋体"/>
          <w:b w:val="0"/>
          <w:color w:val="auto"/>
          <w:sz w:val="30"/>
          <w:szCs w:val="30"/>
          <w:highlight w:val="none"/>
        </w:rPr>
        <w:t xml:space="preserve">确定</w:t>
      </w:r>
      <w:bookmarkEnd w:id="199"/>
      <w:r/>
      <w:bookmarkEnd w:id="200"/>
      <w:r>
        <w:rPr>
          <w:rFonts w:hint="eastAsia" w:ascii="宋体" w:hAnsi="宋体" w:eastAsia="宋体" w:cs="宋体"/>
          <w:b w:val="0"/>
          <w:color w:val="auto"/>
          <w:sz w:val="30"/>
          <w:szCs w:val="30"/>
          <w:highlight w:val="none"/>
        </w:rPr>
        <w:t xml:space="preserve">中标单位</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27.1</w:t>
      </w:r>
      <w:r>
        <w:rPr>
          <w:rFonts w:hint="eastAsia" w:ascii="宋体" w:hAnsi="宋体"/>
          <w:color w:val="auto"/>
          <w:sz w:val="24"/>
          <w:szCs w:val="24"/>
          <w:highlight w:val="none"/>
        </w:rPr>
        <w:t xml:space="preserve">评标委员会按照评审得分由高到低顺序推荐3名中标候选人。</w:t>
      </w:r>
      <w:r>
        <w:rPr>
          <w:rFonts w:hint="eastAsia" w:ascii="宋体" w:hAnsi="宋体" w:cs="宋体"/>
          <w:color w:val="auto"/>
          <w:sz w:val="24"/>
          <w:highlight w:val="none"/>
        </w:rPr>
        <w:t xml:space="preserve"> </w:t>
      </w:r>
      <w:r/>
    </w:p>
    <w:p>
      <w:pPr>
        <w:ind w:firstLine="480"/>
        <w:spacing w:line="520" w:lineRule="exact"/>
        <w:rPr>
          <w:rFonts w:hint="eastAsia" w:ascii="宋体" w:hAnsi="宋体"/>
          <w:color w:val="auto"/>
          <w:sz w:val="24"/>
          <w:szCs w:val="24"/>
          <w:highlight w:val="none"/>
        </w:rPr>
      </w:pPr>
      <w:r>
        <w:rPr>
          <w:rFonts w:hint="eastAsia" w:ascii="宋体" w:hAnsi="宋体" w:cs="宋体"/>
          <w:color w:val="auto"/>
          <w:sz w:val="24"/>
          <w:highlight w:val="none"/>
        </w:rPr>
        <w:t xml:space="preserve">27.2 </w:t>
      </w:r>
      <w:r>
        <w:rPr>
          <w:rFonts w:hint="eastAsia" w:ascii="宋体" w:hAnsi="宋体"/>
          <w:color w:val="auto"/>
          <w:sz w:val="24"/>
          <w:szCs w:val="24"/>
          <w:highlight w:val="none"/>
        </w:rPr>
        <w:t xml:space="preserve">根据采购人的授权，由评标委员会直接确定排名第一的中标候选人为中标人。</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 采购人或采购代理机构将在“江苏政府采购网”发布中标公告，公告期限为1个工作日。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  若有充分证据证明，中标人出现下列情况之一的，一经查实，将被取消中标资格：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27.4.2向采购人、采购代理机构行贿或者提供其他不正当利益的。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spacing w:line="520" w:lineRule="exact"/>
        <w:rPr>
          <w:rFonts w:hint="eastAsia" w:ascii="宋体" w:hAnsi="宋体" w:cs="宋体"/>
          <w:color w:val="auto"/>
          <w:sz w:val="24"/>
          <w:highlight w:val="none"/>
        </w:rPr>
      </w:pPr>
      <w:r/>
      <w:bookmarkStart w:id="201" w:name="_Toc200451960"/>
      <w:r>
        <w:rPr>
          <w:rFonts w:hint="eastAsia" w:ascii="宋体" w:hAnsi="宋体" w:cs="宋体"/>
          <w:color w:val="auto"/>
          <w:sz w:val="24"/>
          <w:highlight w:val="none"/>
        </w:rPr>
        <w:t xml:space="preserve">27.5 有下列情形之一的，视为投标人串通投标，投标无效：</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27.5.3 不同投标人的投标文件载明的项目管理成员或者联系人员为同一人。</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27.5.4不同投标人的投标文件异常一致或者投标报价呈规律性差异。</w:t>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rPr>
          <w:rFonts w:hint="eastAsia" w:ascii="宋体" w:hAnsi="宋体" w:eastAsia="宋体" w:cs="宋体"/>
          <w:b w:val="0"/>
          <w:color w:val="auto"/>
          <w:sz w:val="30"/>
          <w:szCs w:val="30"/>
          <w:highlight w:val="none"/>
        </w:rPr>
        <w:t xml:space="preserve">28、质疑处理</w:t>
      </w:r>
      <w:bookmarkEnd w:id="20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采购人提出质疑。上述应知其权益受到损害之日，是指：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520" w:lineRule="exact"/>
        <w:rPr>
          <w:rFonts w:hint="eastAsia" w:ascii="宋体" w:hAnsi="宋体" w:cs="宋体"/>
          <w:b/>
          <w:color w:val="auto"/>
          <w:sz w:val="24"/>
          <w:szCs w:val="24"/>
          <w:highlight w:val="none"/>
        </w:rPr>
      </w:pPr>
      <w:r>
        <w:rPr>
          <w:rFonts w:hint="eastAsia" w:ascii="宋体" w:hAnsi="宋体" w:cs="宋体"/>
          <w:color w:val="auto"/>
          <w:sz w:val="24"/>
          <w:highlight w:val="none"/>
        </w:rPr>
        <w:t xml:space="preserve">采购人及采购代理机构只接收以纸质原件形式送达的质疑，供应商可以通过现场递交或邮寄方式提交质疑。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采购人质疑接收人及联系方式见招标文件第一章。</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 以下情形的质疑不予受理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28.5.1 内容不符合《政府采购质疑和投诉办法》第十二条规定的质疑。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28.5.2 超出政府采购法定期限的质疑。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28.5.3 以传真、电子邮件等方式递交的非原件形式的质疑。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28.5.4 未参加投标活动的供应商或在投标活动中自身权益未受到损害的供应商所提出的质疑。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rPr>
          <w:rFonts w:hint="eastAsia" w:ascii="宋体" w:hAnsi="宋体" w:eastAsia="宋体" w:cs="宋体"/>
          <w:b w:val="0"/>
          <w:color w:val="auto"/>
          <w:sz w:val="30"/>
          <w:szCs w:val="30"/>
          <w:highlight w:val="none"/>
        </w:rPr>
        <w:t xml:space="preserve">29、中标通知书</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中标结果确定后，采购代理机构将向中标人发出中标通知书。</w:t>
      </w:r>
      <w:r>
        <w:rPr>
          <w:rFonts w:hint="eastAsia" w:ascii="宋体" w:hAnsi="宋体" w:cs="宋体"/>
          <w:b/>
          <w:bCs/>
          <w:color w:val="auto"/>
          <w:sz w:val="24"/>
          <w:szCs w:val="24"/>
          <w:highlight w:val="none"/>
        </w:rPr>
        <w:t xml:space="preserve">中标供应商在领取中标通知书时，需提供一正三副与电子投标文件一致的纸质打印投标文件，须封面、骑缝加盖公章。</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44"/>
        <w:spacing w:before="145" w:after="145" w:line="520" w:lineRule="exact"/>
        <w:rPr>
          <w:rFonts w:hint="eastAsia" w:ascii="宋体" w:hAnsi="宋体" w:cs="宋体"/>
          <w:color w:val="auto"/>
          <w:highlight w:val="none"/>
        </w:rPr>
      </w:pPr>
      <w:r/>
      <w:bookmarkStart w:id="202" w:name="_Toc20823308"/>
      <w:r/>
      <w:bookmarkStart w:id="203" w:name="_Toc513029236"/>
      <w:r/>
      <w:bookmarkStart w:id="204" w:name="_Toc12848"/>
      <w:r/>
      <w:bookmarkStart w:id="205" w:name="_Toc31566"/>
      <w:r/>
      <w:bookmarkStart w:id="206" w:name="_Toc120614220"/>
      <w:r/>
      <w:bookmarkStart w:id="207" w:name="_Toc16938552"/>
      <w:r>
        <w:rPr>
          <w:rFonts w:hint="eastAsia" w:ascii="宋体" w:hAnsi="宋体" w:cs="宋体"/>
          <w:color w:val="auto"/>
          <w:highlight w:val="none"/>
        </w:rPr>
        <w:t xml:space="preserve">七、授予合同</w:t>
      </w:r>
      <w:bookmarkEnd w:id="202"/>
      <w:r/>
      <w:bookmarkEnd w:id="203"/>
      <w:r/>
      <w:bookmarkEnd w:id="204"/>
      <w:r/>
      <w:bookmarkEnd w:id="205"/>
      <w:r/>
      <w:bookmarkEnd w:id="206"/>
      <w:r/>
      <w:bookmarkEnd w:id="207"/>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bookmarkStart w:id="208" w:name="_Toc20823309"/>
      <w:r/>
      <w:bookmarkStart w:id="209" w:name="_Toc16938553"/>
      <w:r/>
      <w:bookmarkStart w:id="210" w:name="_Toc513029237"/>
      <w:r>
        <w:rPr>
          <w:rFonts w:hint="eastAsia" w:ascii="宋体" w:hAnsi="宋体" w:eastAsia="宋体" w:cs="宋体"/>
          <w:b w:val="0"/>
          <w:color w:val="auto"/>
          <w:sz w:val="30"/>
          <w:szCs w:val="30"/>
          <w:highlight w:val="none"/>
        </w:rPr>
        <w:t xml:space="preserve">30. 签订合同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30.2 招标文件、中标人的投标文件及招标过程中有关澄清、承诺文件均应作为合同附件。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30.3 签订合同后，</w:t>
      </w:r>
      <w:r>
        <w:rPr>
          <w:rFonts w:hint="eastAsia" w:ascii="宋体" w:hAnsi="宋体" w:cs="宋体"/>
          <w:i/>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w:t>
      </w:r>
      <w:r>
        <w:rPr>
          <w:rFonts w:hint="eastAsia" w:ascii="宋体" w:hAnsi="宋体" w:cs="宋体"/>
          <w:color w:val="auto"/>
          <w:sz w:val="24"/>
          <w:highlight w:val="none"/>
        </w:rPr>
        <w:t xml:space="preserve">也不得采用分包的形式履行合同，否则采购人有权终止合同。转包或分包造成采购人损失的，中标人应承担相应赔偿责任。</w:t>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rPr>
          <w:rFonts w:hint="eastAsia" w:ascii="宋体" w:hAnsi="宋体" w:eastAsia="宋体" w:cs="宋体"/>
          <w:b w:val="0"/>
          <w:color w:val="auto"/>
          <w:sz w:val="30"/>
          <w:szCs w:val="30"/>
          <w:highlight w:val="none"/>
        </w:rPr>
        <w:t xml:space="preserve">31、服务（包含与服务相关的货物）的追加</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08"/>
      <w:r/>
      <w:bookmarkEnd w:id="209"/>
      <w:r/>
      <w:bookmarkEnd w:id="210"/>
      <w:r/>
      <w:r/>
    </w:p>
    <w:p>
      <w:pPr>
        <w:pStyle w:val="946"/>
        <w:ind w:firstLine="600"/>
        <w:spacing w:before="0" w:after="0" w:line="520" w:lineRule="exact"/>
        <w:rPr>
          <w:rFonts w:hint="eastAsia" w:ascii="宋体" w:hAnsi="宋体" w:eastAsia="宋体" w:cs="宋体"/>
          <w:b w:val="0"/>
          <w:color w:val="auto"/>
          <w:sz w:val="30"/>
          <w:szCs w:val="30"/>
          <w:highlight w:val="none"/>
        </w:rPr>
        <w:outlineLvl w:val="9"/>
      </w:pPr>
      <w:r/>
      <w:bookmarkStart w:id="211" w:name="_Toc513029242"/>
      <w:r/>
      <w:bookmarkStart w:id="212" w:name="_Toc479757207"/>
      <w:r/>
      <w:bookmarkStart w:id="213" w:name="_Toc20823314"/>
      <w:r/>
      <w:bookmarkStart w:id="214" w:name="_Toc16938558"/>
      <w:r/>
      <w:bookmarkStart w:id="215" w:name="_Toc120614221"/>
      <w:r>
        <w:rPr>
          <w:rFonts w:hint="eastAsia" w:ascii="宋体" w:hAnsi="宋体" w:eastAsia="宋体" w:cs="宋体"/>
          <w:b w:val="0"/>
          <w:color w:val="auto"/>
          <w:sz w:val="30"/>
          <w:szCs w:val="30"/>
          <w:highlight w:val="none"/>
        </w:rPr>
        <w:t xml:space="preserve">32、政府采购履约资金扶持政策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中标人可凭政府采购合同办理融资贷款，详情请见江苏政府采购网“政采贷”专栏。</w:t>
      </w:r>
      <w:r/>
    </w:p>
    <w:p>
      <w:pPr>
        <w:numPr>
          <w:ilvl w:val="0"/>
          <w:numId w:val="6"/>
        </w:numPr>
        <w:keepLines/>
        <w:keepNext/>
        <w:spacing w:line="520" w:lineRule="exact"/>
        <w:rPr>
          <w:rFonts w:hint="eastAsia" w:ascii="宋体" w:hAnsi="宋体" w:cs="宋体"/>
          <w:b/>
          <w:bCs/>
          <w:color w:val="auto"/>
          <w:sz w:val="32"/>
          <w:szCs w:val="32"/>
          <w:highlight w:val="none"/>
        </w:rPr>
        <w:outlineLvl w:val="2"/>
      </w:pPr>
      <w:r/>
      <w:bookmarkStart w:id="216" w:name="_Toc27845"/>
      <w:r/>
      <w:bookmarkStart w:id="217" w:name="_Toc23014"/>
      <w:r/>
      <w:bookmarkStart w:id="218" w:name="_Toc19843"/>
      <w:r>
        <w:rPr>
          <w:rFonts w:hint="eastAsia" w:ascii="宋体" w:hAnsi="宋体" w:cs="宋体"/>
          <w:b/>
          <w:bCs/>
          <w:color w:val="auto"/>
          <w:sz w:val="32"/>
          <w:szCs w:val="32"/>
          <w:highlight w:val="none"/>
        </w:rPr>
        <w:t xml:space="preserve">政策功能</w:t>
      </w:r>
      <w:bookmarkEnd w:id="216"/>
      <w:r/>
      <w:bookmarkEnd w:id="217"/>
      <w:r/>
      <w:bookmarkEnd w:id="218"/>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val="en-US" w:eastAsia="zh-CN"/>
        </w:rPr>
        <w:t xml:space="preserve">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1、小微型企业价格扣除</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（1）本项目对小型和微型企业产品给予10%的扣除价格，用扣除后的价格参与评审。</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（2）供应商需按照采购文件的要求提供相应的《小微企业声明函》。</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（3）企业标准请参照《关于印发中小企业划型标准规定的通知》（工信部联企业[2011]300号）文件规定自行填写。</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2、残疾人福利单位价格扣除</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（1）本项目对残疾人福利性单位视同小型、微型企业，给予10%的价格扣除，用扣除后的价格参与评审。</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（2）残疾人福利单位需按照采购文件的要求提供《残疾人福利性单位声明函》。</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（3）残疾人福利单位标准请参照《关于促进残疾人就业政府采购政策的通知》（财库〔2017〕141号）。</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3、监狱和戒毒企业价格扣除</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（1）本项目对监狱和戒毒企业（简称监狱企业）视同小型、微型企业，给予10%的价格扣除，用扣除后的价格参与评审。</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（3）监狱企业标准请参照《关于政府采购支持监狱企业发展有关问题的通知》（财库[2014]68号）。</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4、残疾人福利单位、监狱企业属于小型、微型企业的，不重复享受政策。</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59"/>
        <w:ind w:firstLine="482"/>
        <w:spacing w:line="480" w:lineRule="exact"/>
        <w:rPr>
          <w:rFonts w:hint="eastAsia" w:hAnsi="宋体" w:cs="宋体"/>
          <w:bCs/>
          <w:color w:val="auto"/>
          <w:sz w:val="30"/>
          <w:szCs w:val="30"/>
          <w:highlight w:val="none"/>
        </w:rPr>
      </w:pPr>
      <w:r>
        <w:rPr>
          <w:rFonts w:hint="eastAsia" w:hAnsi="宋体" w:cs="宋体"/>
          <w:bCs/>
          <w:color w:val="auto"/>
          <w:sz w:val="30"/>
          <w:szCs w:val="30"/>
          <w:highlight w:val="none"/>
        </w:rPr>
        <w:t xml:space="preserve">33.2支持绿色发展</w:t>
      </w:r>
      <w:r/>
    </w:p>
    <w:p>
      <w:pPr>
        <w:pStyle w:val="1059"/>
        <w:ind w:firstLine="480"/>
        <w:spacing w:line="480" w:lineRule="exact"/>
        <w:rPr>
          <w:color w:val="auto"/>
          <w:highlight w:val="none"/>
        </w:rPr>
      </w:pPr>
      <w:r>
        <w:rPr>
          <w:rFonts w:hint="eastAsia"/>
          <w:color w:val="auto"/>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1059"/>
        <w:ind w:firstLine="480"/>
        <w:spacing w:line="480" w:lineRule="exact"/>
        <w:rPr>
          <w:color w:val="auto"/>
          <w:highlight w:val="none"/>
        </w:rPr>
      </w:pPr>
      <w:r>
        <w:rPr>
          <w:rFonts w:hint="eastAsia"/>
          <w:color w:val="auto"/>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93"/>
        <w:ind w:firstLine="480"/>
        <w:spacing w:line="480" w:lineRule="exact"/>
        <w:rPr>
          <w:rFonts w:ascii="宋体" w:hAnsi="Times New Roman"/>
          <w:color w:val="auto"/>
          <w:sz w:val="24"/>
          <w:szCs w:val="22"/>
          <w:highlight w:val="none"/>
        </w:rPr>
      </w:pPr>
      <w:r>
        <w:rPr>
          <w:rFonts w:hint="eastAsia" w:ascii="宋体" w:hAnsi="Times New Roman"/>
          <w:color w:val="auto"/>
          <w:sz w:val="24"/>
          <w:szCs w:val="22"/>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jc w:val="center"/>
        <w:spacing w:line="360" w:lineRule="auto"/>
        <w:rPr>
          <w:rFonts w:hint="eastAsia" w:ascii="宋体" w:hAnsi="宋体"/>
          <w:b/>
          <w:bCs/>
          <w:color w:val="auto"/>
          <w:sz w:val="52"/>
          <w:szCs w:val="24"/>
          <w:highlight w:val="none"/>
        </w:rPr>
        <w:outlineLvl w:val="0"/>
      </w:pPr>
      <w:r>
        <w:rPr>
          <w:rFonts w:hint="eastAsia" w:ascii="黑体" w:eastAsia="黑体"/>
          <w:bCs/>
          <w:color w:val="auto"/>
          <w:sz w:val="44"/>
          <w:highlight w:val="none"/>
        </w:rPr>
        <w:br w:type="page" w:clear="all"/>
      </w:r>
      <w:bookmarkStart w:id="219" w:name="_Toc20997"/>
      <w:r/>
      <w:bookmarkStart w:id="220" w:name="_Toc20691"/>
      <w:r>
        <w:rPr>
          <w:rFonts w:hint="eastAsia" w:ascii="黑体" w:eastAsia="黑体"/>
          <w:color w:val="auto"/>
          <w:sz w:val="44"/>
          <w:szCs w:val="44"/>
          <w:highlight w:val="none"/>
        </w:rPr>
        <w:t xml:space="preserve">第三章 </w:t>
      </w:r>
      <w:bookmarkEnd w:id="211"/>
      <w:r/>
      <w:bookmarkEnd w:id="212"/>
      <w:r/>
      <w:bookmarkEnd w:id="213"/>
      <w:r/>
      <w:bookmarkEnd w:id="214"/>
      <w:r/>
      <w:bookmarkEnd w:id="215"/>
      <w:r/>
      <w:bookmarkEnd w:id="219"/>
      <w:r/>
      <w:bookmarkEnd w:id="220"/>
      <w:r/>
      <w:bookmarkStart w:id="221" w:name="_Hlt16619350"/>
      <w:r/>
      <w:bookmarkStart w:id="222" w:name="_Toc16938590"/>
      <w:r/>
      <w:bookmarkStart w:id="223" w:name="_Toc20823346"/>
      <w:r/>
      <w:bookmarkStart w:id="224" w:name="_Toc120614244"/>
      <w:r/>
      <w:bookmarkStart w:id="225" w:name="_Toc462564139"/>
      <w:r/>
      <w:bookmarkStart w:id="226" w:name="_Toc479757211"/>
      <w:r>
        <w:rPr>
          <w:rFonts w:hint="eastAsia" w:ascii="宋体" w:hAnsi="宋体"/>
          <w:b/>
          <w:bCs/>
          <w:color w:val="auto"/>
          <w:sz w:val="52"/>
          <w:szCs w:val="24"/>
          <w:highlight w:val="none"/>
        </w:rPr>
        <w:t xml:space="preserve">连云港市政府采购</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t xml:space="preserve">                                                 </w:t>
      </w:r>
      <w:r/>
    </w:p>
    <w:p>
      <w:pPr>
        <w:jc w:val="center"/>
        <w:spacing w:line="360" w:lineRule="auto"/>
        <w:rPr>
          <w:rFonts w:hint="eastAsia" w:ascii="宋体" w:hAnsi="宋体"/>
          <w:b/>
          <w:bCs/>
          <w:color w:val="auto"/>
          <w:sz w:val="44"/>
          <w:szCs w:val="24"/>
          <w:highlight w:val="none"/>
        </w:rPr>
      </w:pPr>
      <w:r>
        <w:rPr>
          <w:rFonts w:hint="eastAsia" w:ascii="宋体" w:hAnsi="宋体"/>
          <w:b/>
          <w:bCs/>
          <w:color w:val="auto"/>
          <w:sz w:val="44"/>
          <w:szCs w:val="24"/>
          <w:highlight w:val="none"/>
          <w:u w:val="single"/>
        </w:rPr>
        <w:t xml:space="preserve">                    </w:t>
      </w:r>
      <w:r>
        <w:rPr>
          <w:rFonts w:hint="eastAsia" w:ascii="宋体" w:hAnsi="宋体"/>
          <w:b/>
          <w:bCs/>
          <w:color w:val="auto"/>
          <w:sz w:val="44"/>
          <w:szCs w:val="24"/>
          <w:highlight w:val="none"/>
        </w:rPr>
        <w:t xml:space="preserve">合同</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307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ind w:firstLine="880"/>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hint="eastAsia" w:ascii="宋体" w:hAnsi="宋体"/>
          <w:color w:val="auto"/>
          <w:sz w:val="44"/>
          <w:szCs w:val="24"/>
          <w:highlight w:val="none"/>
        </w:rPr>
      </w:pPr>
      <w:r>
        <w:rPr>
          <w:rFonts w:hint="eastAsia" w:ascii="宋体" w:hAnsi="宋体"/>
          <w:color w:val="auto"/>
          <w:sz w:val="44"/>
          <w:szCs w:val="24"/>
          <w:highlight w:val="none"/>
        </w:rPr>
      </w:r>
      <w:r/>
    </w:p>
    <w:p>
      <w:pPr>
        <w:ind w:firstLine="880"/>
        <w:spacing w:line="360" w:lineRule="auto"/>
        <w:rPr>
          <w:rFonts w:hint="eastAsia" w:ascii="宋体" w:hAnsi="宋体"/>
          <w:color w:val="auto"/>
          <w:sz w:val="44"/>
          <w:szCs w:val="24"/>
          <w:highlight w:val="none"/>
        </w:rPr>
      </w:pPr>
      <w:r>
        <w:rPr>
          <w:rFonts w:hint="eastAsia" w:ascii="宋体" w:hAnsi="宋体"/>
          <w:color w:val="auto"/>
          <w:sz w:val="44"/>
          <w:szCs w:val="24"/>
          <w:highlight w:val="none"/>
        </w:rPr>
      </w:r>
      <w:r/>
    </w:p>
    <w:p>
      <w:pPr>
        <w:ind w:firstLine="880"/>
        <w:spacing w:line="360" w:lineRule="auto"/>
        <w:rPr>
          <w:rFonts w:hint="eastAsia" w:ascii="宋体" w:hAnsi="宋体"/>
          <w:color w:val="auto"/>
          <w:sz w:val="44"/>
          <w:szCs w:val="24"/>
          <w:highlight w:val="none"/>
        </w:rPr>
      </w:pPr>
      <w:r>
        <w:rPr>
          <w:rFonts w:hint="eastAsia" w:ascii="宋体" w:hAnsi="宋体"/>
          <w:color w:val="auto"/>
          <w:sz w:val="44"/>
          <w:szCs w:val="24"/>
          <w:highlight w:val="none"/>
        </w:rPr>
      </w:r>
      <w:r/>
    </w:p>
    <w:p>
      <w:pPr>
        <w:ind w:firstLine="1758"/>
        <w:spacing w:line="360" w:lineRule="auto"/>
        <w:rPr>
          <w:rFonts w:hint="eastAsia" w:ascii="宋体" w:hAnsi="宋体"/>
          <w:b/>
          <w:bCs/>
          <w:color w:val="auto"/>
          <w:sz w:val="44"/>
          <w:szCs w:val="24"/>
          <w:highlight w:val="none"/>
        </w:rPr>
      </w:pPr>
      <w:r>
        <w:rPr>
          <w:rFonts w:hint="eastAsia" w:ascii="宋体" w:hAnsi="宋体"/>
          <w:b/>
          <w:bCs/>
          <w:color w:val="auto"/>
          <w:sz w:val="44"/>
          <w:szCs w:val="24"/>
          <w:highlight w:val="none"/>
        </w:rPr>
        <w:t xml:space="preserve">采购人：</w:t>
      </w:r>
      <w:r/>
    </w:p>
    <w:p>
      <w:pPr>
        <w:ind w:firstLine="1758"/>
        <w:spacing w:line="360" w:lineRule="auto"/>
        <w:rPr>
          <w:rFonts w:hint="eastAsia" w:ascii="宋体" w:hAnsi="宋体"/>
          <w:b/>
          <w:bCs/>
          <w:color w:val="auto"/>
          <w:sz w:val="44"/>
          <w:szCs w:val="24"/>
          <w:highlight w:val="none"/>
        </w:rPr>
      </w:pPr>
      <w:r>
        <w:rPr>
          <w:rFonts w:hint="eastAsia" w:ascii="宋体" w:hAnsi="宋体"/>
          <w:b/>
          <w:bCs/>
          <w:color w:val="auto"/>
          <w:sz w:val="44"/>
          <w:szCs w:val="24"/>
          <w:highlight w:val="none"/>
        </w:rPr>
        <w:t xml:space="preserve">中标人：</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20"/>
        <w:spacing w:line="360" w:lineRule="auto"/>
        <w:rPr>
          <w:rFonts w:hint="eastAsia" w:ascii="宋体" w:hAnsi="宋体"/>
          <w:color w:val="auto"/>
          <w:sz w:val="28"/>
          <w:szCs w:val="24"/>
          <w:highlight w:val="none"/>
        </w:rPr>
      </w:pPr>
      <w:r>
        <w:rPr>
          <w:rFonts w:ascii="宋体" w:hAnsi="宋体"/>
          <w:color w:val="auto"/>
          <w:szCs w:val="24"/>
          <w:highlight w:val="none"/>
        </w:rPr>
        <w:br w:type="page" w:clear="all"/>
      </w:r>
      <w:r/>
    </w:p>
    <w:p>
      <w:pPr>
        <w:ind w:left="359" w:firstLine="198"/>
        <w:jc w:val="center"/>
        <w:rPr>
          <w:rFonts w:hint="eastAsia" w:ascii="宋体" w:hAnsi="宋体"/>
          <w:color w:val="auto"/>
          <w:sz w:val="28"/>
          <w:szCs w:val="24"/>
          <w:highlight w:val="none"/>
        </w:rPr>
      </w:pPr>
      <w:r>
        <w:rPr>
          <w:rFonts w:hint="eastAsia" w:ascii="宋体" w:hAnsi="宋体"/>
          <w:color w:val="auto"/>
          <w:sz w:val="28"/>
          <w:szCs w:val="24"/>
          <w:highlight w:val="none"/>
        </w:rPr>
        <w:t xml:space="preserve">目  录</w:t>
      </w:r>
      <w:r/>
    </w:p>
    <w:p>
      <w:pPr>
        <w:ind w:left="359" w:firstLine="198"/>
        <w:spacing w:line="360" w:lineRule="auto"/>
        <w:tabs>
          <w:tab w:val="left" w:pos="1170" w:leader="none"/>
        </w:tabs>
        <w:rPr>
          <w:rFonts w:hint="eastAsia" w:ascii="宋体" w:hAnsi="宋体"/>
          <w:color w:val="auto"/>
          <w:sz w:val="28"/>
          <w:szCs w:val="24"/>
          <w:highlight w:val="none"/>
        </w:rPr>
      </w:pPr>
      <w:r>
        <w:rPr>
          <w:rFonts w:ascii="宋体" w:hAnsi="宋体"/>
          <w:color w:val="auto"/>
          <w:sz w:val="28"/>
          <w:szCs w:val="24"/>
          <w:highlight w:val="none"/>
        </w:rPr>
        <w:tab/>
      </w:r>
      <w:r/>
    </w:p>
    <w:p>
      <w:pPr>
        <w:numPr>
          <w:ilvl w:val="0"/>
          <w:numId w:val="7"/>
        </w:numPr>
        <w:ind w:left="357"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合同书</w:t>
      </w:r>
      <w:r/>
    </w:p>
    <w:p>
      <w:pPr>
        <w:numPr>
          <w:ilvl w:val="0"/>
          <w:numId w:val="7"/>
        </w:numPr>
        <w:ind w:left="357"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中标通知书</w:t>
      </w:r>
      <w:r/>
    </w:p>
    <w:p>
      <w:pPr>
        <w:numPr>
          <w:ilvl w:val="0"/>
          <w:numId w:val="7"/>
        </w:numPr>
        <w:ind w:left="357"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履约保证金缴纳证明</w:t>
      </w:r>
      <w:r/>
    </w:p>
    <w:p>
      <w:pPr>
        <w:numPr>
          <w:ilvl w:val="0"/>
          <w:numId w:val="7"/>
        </w:numPr>
        <w:ind w:left="357"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项目更改及补充文件</w:t>
      </w:r>
      <w:r/>
    </w:p>
    <w:p>
      <w:pPr>
        <w:numPr>
          <w:ilvl w:val="0"/>
          <w:numId w:val="7"/>
        </w:numPr>
        <w:ind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投标报价表</w:t>
      </w:r>
      <w:r/>
    </w:p>
    <w:p>
      <w:pPr>
        <w:numPr>
          <w:ilvl w:val="0"/>
          <w:numId w:val="7"/>
        </w:numPr>
        <w:ind w:firstLine="543"/>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中标单位澄清函</w:t>
      </w:r>
      <w:r/>
    </w:p>
    <w:p>
      <w:pPr>
        <w:ind w:firstLine="420"/>
        <w:jc w:val="left"/>
        <w:spacing w:line="560" w:lineRule="exact"/>
        <w:rPr>
          <w:rFonts w:hint="eastAsia" w:ascii="宋体" w:hAnsi="宋体"/>
          <w:bCs/>
          <w:color w:val="auto"/>
          <w:sz w:val="24"/>
          <w:szCs w:val="24"/>
          <w:highlight w:val="none"/>
        </w:rPr>
      </w:pPr>
      <w:r>
        <w:rPr>
          <w:color w:val="auto"/>
          <w:szCs w:val="24"/>
          <w:highlight w:val="none"/>
        </w:rPr>
        <w:br w:type="page" w:clear="all"/>
      </w:r>
      <w:r>
        <w:rPr>
          <w:rFonts w:hint="eastAsia" w:ascii="宋体" w:hAnsi="宋体"/>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b/>
          <w:color w:val="auto"/>
          <w:sz w:val="32"/>
          <w:szCs w:val="32"/>
          <w:highlight w:val="none"/>
        </w:rPr>
      </w:pPr>
      <w:r>
        <w:rPr>
          <w:b/>
          <w:color w:val="auto"/>
          <w:sz w:val="32"/>
          <w:szCs w:val="32"/>
          <w:highlight w:val="none"/>
        </w:rPr>
      </w:r>
      <w:r/>
    </w:p>
    <w:p>
      <w:pPr>
        <w:jc w:val="center"/>
        <w:spacing w:line="560" w:lineRule="exact"/>
        <w:rPr>
          <w:rFonts w:hint="eastAsia" w:ascii="宋体" w:hAnsi="宋体"/>
          <w:bCs/>
          <w:color w:val="auto"/>
          <w:sz w:val="24"/>
          <w:szCs w:val="24"/>
          <w:highlight w:val="none"/>
        </w:rPr>
      </w:pPr>
      <w:r>
        <w:rPr>
          <w:rFonts w:hint="eastAsia"/>
          <w:b/>
          <w:color w:val="auto"/>
          <w:sz w:val="32"/>
          <w:szCs w:val="32"/>
          <w:highlight w:val="none"/>
        </w:rPr>
        <w:t xml:space="preserve">政府采购合同</w:t>
      </w:r>
      <w:r/>
    </w:p>
    <w:p>
      <w:pPr>
        <w:ind w:firstLine="480"/>
        <w:jc w:val="left"/>
        <w:spacing w:line="52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甲方：</w:t>
      </w:r>
      <w:r>
        <w:rPr>
          <w:rFonts w:hint="eastAsia" w:ascii="宋体" w:hAnsi="宋体"/>
          <w:b/>
          <w:color w:val="auto"/>
          <w:sz w:val="24"/>
          <w:szCs w:val="24"/>
          <w:highlight w:val="none"/>
          <w:lang w:eastAsia="zh-CN"/>
        </w:rPr>
        <w:t xml:space="preserve">江苏连云港省级农业高新技术产业示范区管理办公室</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乙方：（卖方）_________</w:t>
      </w:r>
      <w:r/>
    </w:p>
    <w:p>
      <w:pPr>
        <w:ind w:firstLine="480"/>
        <w:jc w:val="left"/>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甲、乙双方根据</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日</w:t>
      </w:r>
      <w:r>
        <w:rPr>
          <w:rFonts w:hint="eastAsia" w:ascii="宋体" w:hAnsi="宋体"/>
          <w:b/>
          <w:color w:val="auto"/>
          <w:sz w:val="24"/>
          <w:szCs w:val="24"/>
          <w:highlight w:val="none"/>
          <w:u w:val="single"/>
          <w:lang w:val="en-US" w:eastAsia="zh-CN"/>
        </w:rPr>
        <w:t xml:space="preserve">      </w:t>
      </w:r>
      <w:r>
        <w:rPr>
          <w:rFonts w:ascii="宋体" w:hAnsi="宋体"/>
          <w:b/>
          <w:color w:val="auto"/>
          <w:sz w:val="24"/>
          <w:szCs w:val="24"/>
          <w:highlight w:val="none"/>
          <w:u w:val="single"/>
        </w:rPr>
        <w:t xml:space="preserve"> </w:t>
      </w:r>
      <w:r>
        <w:rPr>
          <w:rFonts w:ascii="宋体" w:hAnsi="宋体"/>
          <w:color w:val="auto"/>
          <w:sz w:val="24"/>
          <w:szCs w:val="24"/>
          <w:highlight w:val="none"/>
        </w:rPr>
        <w:t xml:space="preserve">项目（</w:t>
      </w:r>
      <w:r>
        <w:rPr>
          <w:rFonts w:hint="eastAsia" w:ascii="宋体" w:hAnsi="宋体"/>
          <w:color w:val="auto"/>
          <w:sz w:val="24"/>
          <w:szCs w:val="24"/>
          <w:highlight w:val="none"/>
        </w:rPr>
        <w:t xml:space="preserve">标段</w:t>
      </w:r>
      <w:r>
        <w:rPr>
          <w:rFonts w:ascii="宋体" w:hAnsi="宋体"/>
          <w:color w:val="auto"/>
          <w:sz w:val="24"/>
          <w:szCs w:val="24"/>
          <w:highlight w:val="none"/>
        </w:rPr>
        <w:t xml:space="preserve">编号：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招标的结果，签订本合同。</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一、采购标的</w:t>
      </w:r>
      <w:r/>
    </w:p>
    <w:p>
      <w:pPr>
        <w:ind w:firstLine="480"/>
        <w:jc w:val="left"/>
        <w:spacing w:line="520" w:lineRule="exact"/>
        <w:rPr>
          <w:rFonts w:hint="eastAsia" w:ascii="宋体" w:hAnsi="宋体"/>
          <w:color w:val="auto"/>
          <w:sz w:val="24"/>
          <w:szCs w:val="24"/>
          <w:highlight w:val="none"/>
          <w:u w:val="single"/>
        </w:rPr>
      </w:pPr>
      <w:r>
        <w:rPr>
          <w:rFonts w:ascii="宋体" w:hAnsi="宋体"/>
          <w:color w:val="auto"/>
          <w:sz w:val="24"/>
          <w:szCs w:val="24"/>
          <w:highlight w:val="none"/>
        </w:rPr>
        <w:t xml:space="preserve">1.1 产品/服务内容：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jc w:val="left"/>
        <w:spacing w:line="520" w:lineRule="exact"/>
        <w:rPr>
          <w:rFonts w:hint="eastAsia" w:ascii="宋体" w:hAnsi="宋体"/>
          <w:color w:val="auto"/>
          <w:sz w:val="24"/>
          <w:szCs w:val="24"/>
          <w:highlight w:val="none"/>
          <w:u w:val="single"/>
        </w:rPr>
      </w:pPr>
      <w:r>
        <w:rPr>
          <w:rFonts w:ascii="宋体" w:hAnsi="宋体"/>
          <w:color w:val="auto"/>
          <w:sz w:val="24"/>
          <w:szCs w:val="24"/>
          <w:highlight w:val="none"/>
        </w:rPr>
        <w:t xml:space="preserve">1.2 服务期限：</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jc w:val="left"/>
        <w:spacing w:line="520" w:lineRule="exact"/>
        <w:rPr>
          <w:rFonts w:hint="eastAsia" w:ascii="宋体" w:hAnsi="宋体"/>
          <w:color w:val="auto"/>
          <w:sz w:val="24"/>
          <w:szCs w:val="24"/>
          <w:highlight w:val="none"/>
          <w:u w:val="single"/>
        </w:rPr>
      </w:pPr>
      <w:r>
        <w:rPr>
          <w:rFonts w:ascii="宋体" w:hAnsi="宋体"/>
          <w:color w:val="auto"/>
          <w:sz w:val="24"/>
          <w:szCs w:val="24"/>
          <w:highlight w:val="none"/>
        </w:rPr>
        <w:t xml:space="preserve">1.3 补充条款：</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二、合同金额</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2.1 本合同金额为（大写）：_________________元整（</w:t>
      </w:r>
      <w:r>
        <w:rPr>
          <w:rFonts w:hint="eastAsia" w:ascii="宋体" w:hAnsi="宋体"/>
          <w:color w:val="auto"/>
          <w:sz w:val="24"/>
          <w:szCs w:val="24"/>
          <w:highlight w:val="none"/>
        </w:rPr>
        <w:t xml:space="preserve">¥</w:t>
      </w:r>
      <w:r>
        <w:rPr>
          <w:rFonts w:ascii="宋体" w:hAnsi="宋体"/>
          <w:color w:val="auto"/>
          <w:sz w:val="24"/>
          <w:szCs w:val="24"/>
          <w:highlight w:val="none"/>
        </w:rPr>
        <w:t xml:space="preserve">__________）人民币。</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三、技术资料</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乙方应按招标文件规定的时间向甲方提供有关技术资料。</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四、知识产权</w:t>
      </w:r>
      <w:r/>
    </w:p>
    <w:p>
      <w:pPr>
        <w:ind w:firstLine="480"/>
        <w:jc w:val="left"/>
        <w:spacing w:line="520" w:lineRule="exact"/>
        <w:rPr>
          <w:rFonts w:hint="eastAsia" w:ascii="宋体" w:hAnsi="宋体"/>
          <w:color w:val="auto"/>
          <w:sz w:val="24"/>
          <w:szCs w:val="24"/>
          <w:highlight w:val="none"/>
        </w:rPr>
      </w:pPr>
      <w:r>
        <w:rPr>
          <w:rFonts w:hint="eastAsia" w:hAnsi="宋体"/>
          <w:color w:val="auto"/>
          <w:sz w:val="24"/>
          <w:szCs w:val="24"/>
          <w:highlight w:val="none"/>
        </w:rPr>
        <w:t xml:space="preserve">4.1 </w:t>
      </w:r>
      <w:r>
        <w:rPr>
          <w:rFonts w:hAnsi="宋体"/>
          <w:color w:val="auto"/>
          <w:sz w:val="24"/>
          <w:szCs w:val="24"/>
          <w:highlight w:val="none"/>
        </w:rPr>
        <w:t xml:space="preserve">乙</w:t>
      </w:r>
      <w:r>
        <w:rPr>
          <w:rFonts w:hint="eastAsia" w:ascii="宋体" w:hAnsi="宋体"/>
          <w:color w:val="auto"/>
          <w:sz w:val="24"/>
          <w:szCs w:val="24"/>
          <w:highlight w:val="none"/>
        </w:rPr>
        <w:t xml:space="preserve">方应保证甲方在使用、接受本合同</w:t>
      </w:r>
      <w:r>
        <w:rPr>
          <w:rFonts w:hAnsi="宋体"/>
          <w:color w:val="auto"/>
          <w:sz w:val="24"/>
          <w:szCs w:val="24"/>
          <w:highlight w:val="none"/>
        </w:rPr>
        <w:t xml:space="preserve">中产品和服务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20" w:lineRule="exact"/>
        <w:rPr>
          <w:rFonts w:hint="eastAsia" w:ascii="宋体" w:hAnsi="宋体"/>
          <w:color w:val="auto"/>
          <w:sz w:val="24"/>
          <w:szCs w:val="24"/>
          <w:highlight w:val="none"/>
          <w:u w:val="single"/>
        </w:rPr>
      </w:pPr>
      <w:r>
        <w:rPr>
          <w:rFonts w:ascii="宋体" w:hAnsi="宋体"/>
          <w:b/>
          <w:color w:val="auto"/>
          <w:sz w:val="24"/>
          <w:szCs w:val="24"/>
          <w:highlight w:val="none"/>
        </w:rPr>
        <w:t xml:space="preserve">五、产权担保</w:t>
      </w:r>
      <w:r/>
    </w:p>
    <w:p>
      <w:pPr>
        <w:ind w:firstLine="480"/>
        <w:jc w:val="left"/>
        <w:spacing w:line="52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5.1 </w:t>
      </w:r>
      <w:r>
        <w:rPr>
          <w:rFonts w:ascii="宋体" w:hAnsi="宋体"/>
          <w:color w:val="auto"/>
          <w:sz w:val="24"/>
          <w:szCs w:val="24"/>
          <w:highlight w:val="none"/>
        </w:rPr>
        <w:t xml:space="preserve">乙方保证所交付标的的所有权完全属于乙方且无任何抵押、查封等产权瑕疵。</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六、履约保证金</w:t>
      </w:r>
      <w:r/>
    </w:p>
    <w:p>
      <w:pPr>
        <w:ind w:firstLine="480"/>
        <w:spacing w:line="520" w:lineRule="exact"/>
        <w:rPr>
          <w:rFonts w:hint="eastAsia" w:ascii="宋体" w:hAnsi="宋体"/>
          <w:color w:val="auto"/>
          <w:sz w:val="24"/>
          <w:szCs w:val="24"/>
          <w:highlight w:val="none"/>
        </w:rPr>
      </w:pPr>
      <w:r>
        <w:rPr>
          <w:rFonts w:hint="eastAsia" w:ascii="宋体" w:hAnsi="宋体" w:cs="宋体"/>
          <w:bCs/>
          <w:color w:val="auto"/>
          <w:sz w:val="24"/>
          <w:szCs w:val="24"/>
          <w:highlight w:val="none"/>
          <w:lang w:val="zh-TW" w:eastAsia="zh-TW"/>
        </w:rPr>
        <w:t xml:space="preserve">本项目</w:t>
      </w:r>
      <w:r>
        <w:rPr>
          <w:rFonts w:hint="eastAsia" w:ascii="宋体" w:hAnsi="宋体" w:cs="宋体"/>
          <w:bCs/>
          <w:color w:val="auto"/>
          <w:sz w:val="24"/>
          <w:szCs w:val="24"/>
          <w:highlight w:val="none"/>
          <w:lang w:val="en-US" w:eastAsia="zh-CN"/>
        </w:rPr>
        <w:t xml:space="preserve">不</w:t>
      </w:r>
      <w:r>
        <w:rPr>
          <w:rFonts w:hint="eastAsia" w:ascii="宋体" w:hAnsi="宋体" w:cs="宋体"/>
          <w:bCs/>
          <w:color w:val="auto"/>
          <w:sz w:val="24"/>
          <w:szCs w:val="24"/>
          <w:highlight w:val="none"/>
          <w:lang w:val="zh-TW" w:eastAsia="zh-TW"/>
        </w:rPr>
        <w:t xml:space="preserve">收取履约保证金</w:t>
      </w:r>
      <w:r>
        <w:rPr>
          <w:rFonts w:hint="eastAsia" w:ascii="宋体" w:hAnsi="宋体" w:cs="宋体"/>
          <w:bCs/>
          <w:color w:val="auto"/>
          <w:sz w:val="24"/>
          <w:szCs w:val="24"/>
          <w:highlight w:val="none"/>
        </w:rPr>
        <w:t xml:space="preserve">。</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七、转包或分包</w:t>
      </w:r>
      <w:r/>
    </w:p>
    <w:p>
      <w:pPr>
        <w:ind w:firstLine="480"/>
        <w:jc w:val="left"/>
        <w:spacing w:line="52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7.1</w:t>
      </w:r>
      <w:r>
        <w:rPr>
          <w:rFonts w:hint="eastAsia" w:ascii="宋体" w:hAnsi="宋体"/>
          <w:color w:val="auto"/>
          <w:sz w:val="24"/>
          <w:szCs w:val="24"/>
          <w:highlight w:val="none"/>
        </w:rPr>
        <w:t xml:space="preserve"> 本合同范围内产品或服务，应由乙方直接供应，不得转让他人供应；</w:t>
      </w:r>
      <w:r/>
    </w:p>
    <w:p>
      <w:pPr>
        <w:ind w:firstLine="480"/>
        <w:jc w:val="left"/>
        <w:spacing w:line="52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7.2 </w:t>
      </w:r>
      <w:r>
        <w:rPr>
          <w:rFonts w:hint="eastAsia" w:ascii="宋体" w:hAnsi="宋体"/>
          <w:color w:val="auto"/>
          <w:sz w:val="24"/>
          <w:szCs w:val="24"/>
          <w:highlight w:val="none"/>
        </w:rPr>
        <w:t xml:space="preserve">除非得到甲方的书面同意，乙方不得部分分包给他人供应。</w:t>
      </w:r>
      <w:r/>
    </w:p>
    <w:p>
      <w:pPr>
        <w:ind w:firstLine="480"/>
        <w:jc w:val="left"/>
        <w:spacing w:line="52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 如有转让和未经甲方同意的分包行为，甲方有权给予终止合同。 </w:t>
      </w:r>
      <w:r/>
    </w:p>
    <w:p>
      <w:pPr>
        <w:ind w:firstLine="482"/>
        <w:jc w:val="left"/>
        <w:spacing w:line="520" w:lineRule="exact"/>
        <w:rPr>
          <w:rFonts w:hint="eastAsia" w:ascii="宋体" w:hAnsi="宋体"/>
          <w:color w:val="auto"/>
          <w:sz w:val="24"/>
          <w:szCs w:val="24"/>
          <w:highlight w:val="none"/>
        </w:rPr>
      </w:pPr>
      <w:r>
        <w:rPr>
          <w:rFonts w:ascii="宋体" w:hAnsi="宋体"/>
          <w:b/>
          <w:color w:val="auto"/>
          <w:sz w:val="24"/>
          <w:szCs w:val="24"/>
          <w:highlight w:val="none"/>
        </w:rPr>
        <w:t xml:space="preserve">八、</w:t>
      </w:r>
      <w:r>
        <w:rPr>
          <w:rFonts w:hint="eastAsia" w:ascii="宋体" w:hAnsi="宋体"/>
          <w:b/>
          <w:color w:val="auto"/>
          <w:sz w:val="24"/>
          <w:szCs w:val="24"/>
          <w:highlight w:val="none"/>
        </w:rPr>
        <w:t xml:space="preserve">服务期</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 服务期</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w:t>
      </w:r>
      <w:r/>
    </w:p>
    <w:p>
      <w:pPr>
        <w:ind w:firstLine="482"/>
        <w:jc w:val="left"/>
        <w:spacing w:line="520" w:lineRule="exact"/>
        <w:rPr>
          <w:b/>
          <w:color w:val="auto"/>
          <w:sz w:val="24"/>
          <w:szCs w:val="24"/>
          <w:highlight w:val="none"/>
        </w:rPr>
      </w:pPr>
      <w:r>
        <w:rPr>
          <w:rFonts w:hAnsi="宋体"/>
          <w:b/>
          <w:color w:val="auto"/>
          <w:sz w:val="24"/>
          <w:szCs w:val="24"/>
          <w:highlight w:val="none"/>
        </w:rPr>
        <w:t xml:space="preserve">九、交付期、交付方式及交付地点</w:t>
      </w:r>
      <w:r/>
    </w:p>
    <w:p>
      <w:pPr>
        <w:ind w:firstLine="480"/>
        <w:jc w:val="left"/>
        <w:spacing w:line="520" w:lineRule="exact"/>
        <w:rPr>
          <w:rFonts w:hint="eastAsia" w:ascii="宋体" w:hAnsi="宋体"/>
          <w:color w:val="auto"/>
          <w:sz w:val="24"/>
          <w:szCs w:val="24"/>
          <w:highlight w:val="none"/>
        </w:rPr>
      </w:pPr>
      <w:r>
        <w:rPr>
          <w:rFonts w:ascii="宋体" w:hAnsi="宋体"/>
          <w:bCs/>
          <w:color w:val="auto"/>
          <w:sz w:val="24"/>
          <w:szCs w:val="24"/>
          <w:highlight w:val="none"/>
        </w:rPr>
        <w:t xml:space="preserve">9.1</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 付 期：</w:t>
      </w:r>
      <w:r>
        <w:rPr>
          <w:rFonts w:ascii="宋体" w:hAnsi="宋体"/>
          <w:color w:val="auto"/>
          <w:sz w:val="24"/>
          <w:szCs w:val="24"/>
          <w:highlight w:val="none"/>
        </w:rPr>
        <w:t xml:space="preserve">_________。   </w:t>
      </w:r>
      <w:r/>
    </w:p>
    <w:p>
      <w:pPr>
        <w:ind w:firstLine="480"/>
        <w:jc w:val="left"/>
        <w:spacing w:line="520" w:lineRule="exact"/>
        <w:rPr>
          <w:rFonts w:hint="eastAsia" w:ascii="宋体" w:hAnsi="宋体"/>
          <w:bCs/>
          <w:color w:val="auto"/>
          <w:sz w:val="24"/>
          <w:szCs w:val="24"/>
          <w:highlight w:val="none"/>
        </w:rPr>
      </w:pPr>
      <w:r>
        <w:rPr>
          <w:rFonts w:ascii="宋体" w:hAnsi="宋体"/>
          <w:bCs/>
          <w:color w:val="auto"/>
          <w:sz w:val="24"/>
          <w:szCs w:val="24"/>
          <w:highlight w:val="none"/>
        </w:rPr>
        <w:t xml:space="preserve">9.2</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交付方式：</w:t>
      </w:r>
      <w:r>
        <w:rPr>
          <w:rFonts w:ascii="宋体" w:hAnsi="宋体"/>
          <w:color w:val="auto"/>
          <w:sz w:val="24"/>
          <w:szCs w:val="24"/>
          <w:highlight w:val="none"/>
        </w:rPr>
        <w:t xml:space="preserve">_________。</w:t>
      </w:r>
      <w:r/>
    </w:p>
    <w:p>
      <w:pPr>
        <w:ind w:firstLine="480"/>
        <w:jc w:val="left"/>
        <w:spacing w:line="520" w:lineRule="exact"/>
        <w:rPr>
          <w:rFonts w:hint="eastAsia" w:ascii="宋体" w:hAnsi="宋体"/>
          <w:b/>
          <w:color w:val="auto"/>
          <w:sz w:val="24"/>
          <w:szCs w:val="24"/>
          <w:highlight w:val="none"/>
        </w:rPr>
      </w:pPr>
      <w:r>
        <w:rPr>
          <w:rFonts w:ascii="宋体" w:hAnsi="宋体"/>
          <w:bCs/>
          <w:color w:val="auto"/>
          <w:sz w:val="24"/>
          <w:szCs w:val="24"/>
          <w:highlight w:val="none"/>
        </w:rPr>
        <w:t xml:space="preserve">9.3</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交付地点：</w:t>
      </w:r>
      <w:r>
        <w:rPr>
          <w:rFonts w:ascii="宋体" w:hAnsi="宋体"/>
          <w:color w:val="auto"/>
          <w:sz w:val="24"/>
          <w:szCs w:val="24"/>
          <w:highlight w:val="none"/>
        </w:rPr>
        <w:t xml:space="preserve">_________。</w:t>
      </w:r>
      <w:r/>
    </w:p>
    <w:p>
      <w:pPr>
        <w:ind w:firstLine="482"/>
        <w:jc w:val="left"/>
        <w:spacing w:line="520" w:lineRule="exact"/>
        <w:rPr>
          <w:b/>
          <w:color w:val="auto"/>
          <w:sz w:val="24"/>
          <w:szCs w:val="24"/>
          <w:highlight w:val="none"/>
        </w:rPr>
      </w:pPr>
      <w:r>
        <w:rPr>
          <w:rFonts w:hAnsi="宋体"/>
          <w:b/>
          <w:color w:val="auto"/>
          <w:sz w:val="24"/>
          <w:szCs w:val="24"/>
          <w:highlight w:val="none"/>
        </w:rPr>
        <w:t xml:space="preserve">十、合同款支付</w:t>
      </w:r>
      <w:r/>
    </w:p>
    <w:p>
      <w:pPr>
        <w:ind w:firstLine="480"/>
        <w:jc w:val="left"/>
        <w:spacing w:line="520" w:lineRule="exact"/>
        <w:rPr>
          <w:rFonts w:hint="eastAsia" w:hAnsi="宋体"/>
          <w:color w:val="auto"/>
          <w:sz w:val="24"/>
          <w:szCs w:val="24"/>
          <w:highlight w:val="none"/>
        </w:rPr>
      </w:pPr>
      <w:r>
        <w:rPr>
          <w:rFonts w:ascii="宋体" w:hAnsi="宋体"/>
          <w:bCs/>
          <w:color w:val="auto"/>
          <w:sz w:val="24"/>
          <w:szCs w:val="24"/>
          <w:highlight w:val="none"/>
        </w:rPr>
        <w:t xml:space="preserve">10.1</w:t>
      </w:r>
      <w:r>
        <w:rPr>
          <w:rFonts w:hint="eastAsia" w:ascii="宋体" w:hAnsi="宋体"/>
          <w:bCs/>
          <w:color w:val="auto"/>
          <w:sz w:val="24"/>
          <w:szCs w:val="24"/>
          <w:highlight w:val="none"/>
        </w:rPr>
        <w:t xml:space="preserve"> </w:t>
      </w:r>
      <w:r>
        <w:rPr>
          <w:rFonts w:hAnsi="宋体"/>
          <w:bCs/>
          <w:color w:val="auto"/>
          <w:sz w:val="24"/>
          <w:szCs w:val="24"/>
          <w:highlight w:val="none"/>
        </w:rPr>
        <w:t xml:space="preserve">付款方式：</w:t>
      </w:r>
      <w:r>
        <w:rPr>
          <w:rFonts w:hAnsi="宋体"/>
          <w:color w:val="auto"/>
          <w:sz w:val="24"/>
          <w:szCs w:val="24"/>
          <w:highlight w:val="none"/>
          <w:u w:val="single"/>
        </w:rPr>
        <w:t xml:space="preserve">        </w:t>
      </w:r>
      <w:r>
        <w:rPr>
          <w:rFonts w:hAnsi="宋体"/>
          <w:color w:val="auto"/>
          <w:sz w:val="24"/>
          <w:szCs w:val="24"/>
          <w:highlight w:val="none"/>
        </w:rPr>
        <w:t xml:space="preserve">。</w:t>
      </w:r>
      <w:r/>
    </w:p>
    <w:p>
      <w:pPr>
        <w:ind w:firstLine="480"/>
        <w:jc w:val="left"/>
        <w:spacing w:line="520" w:lineRule="exact"/>
        <w:rPr>
          <w:bCs/>
          <w:color w:val="auto"/>
          <w:sz w:val="24"/>
          <w:szCs w:val="24"/>
          <w:highlight w:val="none"/>
        </w:rPr>
      </w:pPr>
      <w:r>
        <w:rPr>
          <w:rFonts w:ascii="宋体" w:hAnsi="宋体"/>
          <w:bCs/>
          <w:color w:val="auto"/>
          <w:sz w:val="24"/>
          <w:szCs w:val="24"/>
          <w:highlight w:val="none"/>
        </w:rPr>
        <w:t xml:space="preserve">10.2</w:t>
      </w:r>
      <w:r>
        <w:rPr>
          <w:rFonts w:hint="eastAsia" w:ascii="宋体" w:hAnsi="宋体"/>
          <w:bCs/>
          <w:color w:val="auto"/>
          <w:sz w:val="24"/>
          <w:szCs w:val="24"/>
          <w:highlight w:val="none"/>
        </w:rPr>
        <w:t xml:space="preserve"> </w:t>
      </w:r>
      <w:r>
        <w:rPr>
          <w:rFonts w:hAnsi="宋体"/>
          <w:color w:val="auto"/>
          <w:sz w:val="24"/>
          <w:szCs w:val="24"/>
          <w:highlight w:val="none"/>
        </w:rPr>
        <w:t xml:space="preserve">当采购数量与实际使用数量不一致时，乙方根据实际使用量提供</w:t>
      </w:r>
      <w:r>
        <w:rPr>
          <w:rFonts w:ascii="宋体" w:hAnsi="宋体"/>
          <w:color w:val="auto"/>
          <w:sz w:val="24"/>
          <w:szCs w:val="24"/>
          <w:highlight w:val="none"/>
        </w:rPr>
        <w:t xml:space="preserve">产品和服务</w:t>
      </w:r>
      <w:r>
        <w:rPr>
          <w:rFonts w:hAnsi="宋体"/>
          <w:color w:val="auto"/>
          <w:sz w:val="24"/>
          <w:szCs w:val="24"/>
          <w:highlight w:val="none"/>
        </w:rPr>
        <w:t xml:space="preserve">，合同的最终结算金额按实际使用量乘以中标单价进行计算。</w:t>
      </w:r>
      <w:r/>
    </w:p>
    <w:p>
      <w:pPr>
        <w:ind w:firstLine="482"/>
        <w:jc w:val="left"/>
        <w:spacing w:line="520" w:lineRule="exact"/>
        <w:rPr>
          <w:b/>
          <w:color w:val="auto"/>
          <w:sz w:val="24"/>
          <w:szCs w:val="24"/>
          <w:highlight w:val="none"/>
        </w:rPr>
      </w:pPr>
      <w:r>
        <w:rPr>
          <w:rFonts w:hAnsi="宋体"/>
          <w:b/>
          <w:color w:val="auto"/>
          <w:sz w:val="24"/>
          <w:szCs w:val="24"/>
          <w:highlight w:val="none"/>
        </w:rPr>
        <w:t xml:space="preserve">十一</w:t>
      </w:r>
      <w:r>
        <w:rPr>
          <w:rFonts w:hint="eastAsia"/>
          <w:b/>
          <w:color w:val="auto"/>
          <w:sz w:val="24"/>
          <w:szCs w:val="24"/>
          <w:highlight w:val="none"/>
        </w:rPr>
        <w:t xml:space="preserve">、</w:t>
      </w:r>
      <w:r>
        <w:rPr>
          <w:rFonts w:hAnsi="宋体"/>
          <w:b/>
          <w:color w:val="auto"/>
          <w:sz w:val="24"/>
          <w:szCs w:val="24"/>
          <w:highlight w:val="none"/>
        </w:rPr>
        <w:t xml:space="preserve">税费</w:t>
      </w:r>
      <w:r/>
    </w:p>
    <w:p>
      <w:pPr>
        <w:ind w:firstLine="480"/>
        <w:jc w:val="left"/>
        <w:spacing w:line="520" w:lineRule="exact"/>
        <w:rPr>
          <w:rFonts w:hint="eastAsia" w:ascii="宋体" w:hAnsi="宋体" w:eastAsia="仿宋_GB2312"/>
          <w:color w:val="auto"/>
          <w:sz w:val="24"/>
          <w:szCs w:val="24"/>
          <w:highlight w:val="none"/>
        </w:rPr>
      </w:pPr>
      <w:r>
        <w:rPr>
          <w:rFonts w:hint="eastAsia" w:ascii="宋体" w:hAnsi="宋体"/>
          <w:color w:val="auto"/>
          <w:sz w:val="24"/>
          <w:szCs w:val="24"/>
          <w:highlight w:val="none"/>
        </w:rPr>
        <w:t xml:space="preserve">11.1 本合同执行中相关的一切税费均由乙方负担。</w:t>
      </w:r>
      <w:r/>
    </w:p>
    <w:p>
      <w:pPr>
        <w:ind w:firstLine="482"/>
        <w:jc w:val="left"/>
        <w:spacing w:line="520" w:lineRule="exact"/>
        <w:rPr>
          <w:rFonts w:hint="eastAsia" w:ascii="宋体" w:hAnsi="宋体"/>
          <w:color w:val="auto"/>
          <w:sz w:val="24"/>
          <w:szCs w:val="24"/>
          <w:highlight w:val="none"/>
        </w:rPr>
      </w:pPr>
      <w:r>
        <w:rPr>
          <w:rFonts w:ascii="宋体" w:hAnsi="宋体"/>
          <w:b/>
          <w:color w:val="auto"/>
          <w:sz w:val="24"/>
          <w:szCs w:val="24"/>
          <w:highlight w:val="none"/>
        </w:rPr>
        <w:t xml:space="preserve">十二、质量保证及售后服务</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12.1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乙方应按招标文件规定和响应文件承诺的性能、技术要求、质量标准向甲方提供产品或服务。</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12.2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乙方提供的产品或服务在质保期内因其本身出现质量问题，根据实际情况，经双方协商，可按以下办法处理：</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（1）更换：由乙方承担所发生的全部费用。</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（2）合同终止处理：合同终止，并退还甲方支付的合同款，同时应承担由此产生的所有费用，甲方不承担发生任何费用。</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12.3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如在使用过程中发生质量问题，乙方在接到甲方通知后在</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小时内到达甲方现场。</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12.4</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在质保期内，乙方应对产品或服务出现的质量及安全问题负责处理解决并承担一切费用。</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十三、验收</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甲方依法组织履约验收工作。</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对于实际使用人和甲方分离的项目，甲方邀请实际使用人参与验收。</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十四、违约责任</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甲方无正当理由拒收的，甲方向乙方偿付拒收货款总值的百分之五违约金。</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rPr>
          <w:rFonts w:ascii="宋体" w:hAnsi="宋体"/>
          <w:color w:val="auto"/>
          <w:sz w:val="24"/>
          <w:szCs w:val="24"/>
          <w:highlight w:val="none"/>
        </w:rPr>
        <w:t xml:space="preserve">.2 甲方无故逾期验收和办理合同款支付手续的,甲方应按逾期付款总额每日万分之五向乙方支付违约金。</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rPr>
          <w:rFonts w:ascii="宋体" w:hAnsi="宋体"/>
          <w:color w:val="auto"/>
          <w:sz w:val="24"/>
          <w:szCs w:val="24"/>
          <w:highlight w:val="none"/>
        </w:rPr>
        <w:t xml:space="preserve">.3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rPr>
          <w:rFonts w:ascii="宋体" w:hAnsi="宋体"/>
          <w:color w:val="auto"/>
          <w:sz w:val="24"/>
          <w:szCs w:val="24"/>
          <w:highlight w:val="none"/>
        </w:rPr>
        <w:t xml:space="preserve">.4 乙方所交的</w:t>
      </w:r>
      <w:r>
        <w:rPr>
          <w:rFonts w:hint="eastAsia" w:ascii="宋体" w:hAnsi="宋体" w:cs="Courier New"/>
          <w:color w:val="auto"/>
          <w:sz w:val="24"/>
          <w:szCs w:val="24"/>
          <w:highlight w:val="none"/>
        </w:rPr>
        <w:t xml:space="preserve">合同标</w:t>
      </w:r>
      <w:r>
        <w:rPr>
          <w:rFonts w:hint="eastAsia" w:ascii="宋体" w:hAnsi="宋体"/>
          <w:color w:val="auto"/>
          <w:sz w:val="24"/>
          <w:szCs w:val="24"/>
          <w:highlight w:val="none"/>
        </w:rPr>
        <w:t xml:space="preserve">内容</w:t>
      </w:r>
      <w:r>
        <w:rPr>
          <w:rFonts w:ascii="宋体" w:hAnsi="宋体"/>
          <w:color w:val="auto"/>
          <w:sz w:val="24"/>
          <w:szCs w:val="24"/>
          <w:highlight w:val="none"/>
        </w:rPr>
        <w:t xml:space="preserve">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、不可抗力事件处理</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rPr>
          <w:rFonts w:ascii="宋体" w:hAnsi="宋体"/>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rPr>
          <w:rFonts w:ascii="宋体" w:hAnsi="宋体"/>
          <w:color w:val="auto"/>
          <w:sz w:val="24"/>
          <w:szCs w:val="24"/>
          <w:highlight w:val="none"/>
        </w:rPr>
        <w:t xml:space="preserve">.2 不可抗力事件发生后，应立即通知对方，并寄送有关权威机构出具的证明。</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不可抗力事件延续120天以上，双方应通过友好协商，确定是否继续履行合同。</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六</w:t>
      </w:r>
      <w:r>
        <w:rPr>
          <w:rFonts w:ascii="宋体" w:hAnsi="宋体"/>
          <w:b/>
          <w:color w:val="auto"/>
          <w:sz w:val="24"/>
          <w:szCs w:val="24"/>
          <w:highlight w:val="none"/>
        </w:rPr>
        <w:t xml:space="preserve">、争议解决</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6</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双方在执行合同中所发生的一切争议，应通过协商解决。如协商不成，按下列第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种方式解决：</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（1）向连云港仲裁委员会申请仲裁。</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（2）向合同签订地法院起诉，合同签订地在此约定为连云港市。</w:t>
      </w:r>
      <w:r/>
    </w:p>
    <w:p>
      <w:pPr>
        <w:ind w:firstLine="482"/>
        <w:jc w:val="left"/>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、合同生效及其它</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合同经双方法定代表人或委托代理人签字并加盖单位公章后生效。</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本合同未尽事宜，遵照《中华人民共和国民法典》有关条文执行。</w:t>
      </w:r>
      <w:r/>
    </w:p>
    <w:p>
      <w:pPr>
        <w:ind w:firstLine="480"/>
        <w:jc w:val="left"/>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本合同正本一式</w:t>
      </w:r>
      <w:r>
        <w:rPr>
          <w:rFonts w:hint="eastAsia" w:ascii="宋体" w:hAnsi="宋体"/>
          <w:color w:val="auto"/>
          <w:sz w:val="24"/>
          <w:szCs w:val="24"/>
          <w:highlight w:val="none"/>
          <w:u w:val="single"/>
        </w:rPr>
        <w:t xml:space="preserve"> 伍 </w:t>
      </w:r>
      <w:r>
        <w:rPr>
          <w:rFonts w:ascii="宋体" w:hAnsi="宋体"/>
          <w:color w:val="auto"/>
          <w:sz w:val="24"/>
          <w:szCs w:val="24"/>
          <w:highlight w:val="none"/>
        </w:rPr>
        <w:t xml:space="preserve">份，具有同等法律效力，甲方</w:t>
      </w:r>
      <w:r>
        <w:rPr>
          <w:rFonts w:hint="eastAsia" w:ascii="宋体" w:hAnsi="宋体"/>
          <w:color w:val="auto"/>
          <w:sz w:val="24"/>
          <w:szCs w:val="24"/>
          <w:highlight w:val="none"/>
        </w:rPr>
        <w:t xml:space="preserve">执</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份、乙方</w:t>
      </w:r>
      <w:r>
        <w:rPr>
          <w:rFonts w:hint="eastAsia" w:ascii="宋体" w:hAnsi="宋体"/>
          <w:color w:val="auto"/>
          <w:sz w:val="24"/>
          <w:szCs w:val="24"/>
          <w:highlight w:val="none"/>
        </w:rPr>
        <w:t xml:space="preserve">执</w:t>
      </w:r>
      <w:r>
        <w:rPr>
          <w:rFonts w:hint="eastAsia" w:ascii="宋体" w:hAnsi="宋体"/>
          <w:color w:val="auto"/>
          <w:sz w:val="24"/>
          <w:szCs w:val="24"/>
          <w:highlight w:val="none"/>
          <w:u w:val="single"/>
        </w:rPr>
        <w:t xml:space="preserve"> 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份、财政监管部门执</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份。</w:t>
      </w:r>
      <w:r/>
    </w:p>
    <w:p>
      <w:pPr>
        <w:ind w:firstLine="36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甲方：                                  乙方：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地址：                                  地址：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                            法定代表人：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委托代理人：                            委托代理人：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电话：                                  电话：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传真：                                  传真：                     </w:t>
      </w:r>
      <w:r/>
    </w:p>
    <w:p>
      <w:pPr>
        <w:ind w:firstLine="48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签订日期：      年  月  日</w:t>
      </w:r>
      <w:r/>
    </w:p>
    <w:p>
      <w:pPr>
        <w:pStyle w:val="979"/>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979"/>
        <w:jc w:val="center"/>
        <w:spacing w:before="120" w:after="120" w:line="0" w:lineRule="atLeast"/>
        <w:rPr>
          <w:rFonts w:hint="eastAsia" w:hAnsi="宋体"/>
          <w:color w:val="auto"/>
          <w:sz w:val="24"/>
          <w:szCs w:val="24"/>
          <w:highlight w:val="none"/>
        </w:rPr>
        <w:outlineLvl w:val="0"/>
      </w:pPr>
      <w:r>
        <w:rPr>
          <w:rFonts w:ascii="黑体" w:eastAsia="黑体"/>
          <w:bCs/>
          <w:color w:val="auto"/>
          <w:sz w:val="44"/>
          <w:highlight w:val="none"/>
        </w:rPr>
        <w:br w:type="page" w:clear="all"/>
      </w:r>
      <w:bookmarkStart w:id="227" w:name="_Toc21086"/>
      <w:r>
        <w:rPr>
          <w:rFonts w:hint="eastAsia" w:ascii="黑体" w:hAnsi="Times New Roman" w:eastAsia="黑体" w:cs="Times New Roman"/>
          <w:color w:val="auto"/>
          <w:sz w:val="44"/>
          <w:szCs w:val="44"/>
          <w:highlight w:val="none"/>
        </w:rPr>
        <w:t xml:space="preserve">第</w:t>
      </w:r>
      <w:bookmarkEnd w:id="221"/>
      <w:r>
        <w:rPr>
          <w:rFonts w:hint="eastAsia" w:ascii="黑体" w:hAnsi="Times New Roman" w:eastAsia="黑体" w:cs="Times New Roman"/>
          <w:color w:val="auto"/>
          <w:sz w:val="44"/>
          <w:szCs w:val="44"/>
          <w:highlight w:val="none"/>
        </w:rPr>
        <w:t xml:space="preserve">四章 采购需求</w:t>
      </w:r>
      <w:bookmarkEnd w:id="222"/>
      <w:r/>
      <w:bookmarkEnd w:id="223"/>
      <w:r/>
      <w:bookmarkEnd w:id="224"/>
      <w:r/>
      <w:bookmarkEnd w:id="227"/>
      <w:r/>
      <w:r/>
    </w:p>
    <w:p>
      <w:pPr>
        <w:ind w:firstLine="482"/>
        <w:spacing w:line="520" w:lineRule="exact"/>
        <w:rPr>
          <w:rFonts w:hint="eastAsia" w:ascii="宋体" w:hAnsi="宋体"/>
          <w:b/>
          <w:color w:val="auto"/>
          <w:sz w:val="24"/>
          <w:highlight w:val="none"/>
        </w:rPr>
      </w:pPr>
      <w:r/>
      <w:bookmarkStart w:id="228" w:name="_Toc26554093"/>
      <w:r/>
      <w:bookmarkStart w:id="229" w:name="_Toc49090575"/>
      <w:r>
        <w:rPr>
          <w:rFonts w:hint="eastAsia" w:ascii="宋体" w:hAnsi="宋体"/>
          <w:b/>
          <w:color w:val="auto"/>
          <w:sz w:val="24"/>
          <w:highlight w:val="none"/>
        </w:rPr>
        <w:t xml:space="preserve">说明：本项目采购方式为公开招标，项目属性为</w:t>
      </w:r>
      <w:r>
        <w:rPr>
          <w:rFonts w:hint="eastAsia" w:ascii="宋体" w:hAnsi="宋体"/>
          <w:b/>
          <w:color w:val="auto"/>
          <w:sz w:val="24"/>
          <w:highlight w:val="none"/>
          <w:u w:val="single"/>
        </w:rPr>
        <w:t xml:space="preserve">服务</w:t>
      </w:r>
      <w:r>
        <w:rPr>
          <w:rFonts w:hint="eastAsia" w:ascii="宋体" w:hAnsi="宋体"/>
          <w:b/>
          <w:color w:val="auto"/>
          <w:sz w:val="24"/>
          <w:highlight w:val="none"/>
        </w:rPr>
        <w:t xml:space="preserve">，</w:t>
      </w:r>
      <w:r>
        <w:rPr>
          <w:rFonts w:hint="eastAsia" w:ascii="宋体" w:hAnsi="宋体" w:cs="宋体"/>
          <w:b/>
          <w:color w:val="auto"/>
          <w:sz w:val="24"/>
          <w:highlight w:val="none"/>
        </w:rPr>
        <w:t xml:space="preserve">采购标的对应的中小企业划分标准所属行业为</w:t>
      </w:r>
      <w:r>
        <w:rPr>
          <w:rFonts w:hint="eastAsia" w:ascii="宋体" w:hAnsi="宋体"/>
          <w:b/>
          <w:bCs/>
          <w:color w:val="auto"/>
          <w:sz w:val="24"/>
          <w:highlight w:val="none"/>
          <w:u w:val="single"/>
        </w:rPr>
        <w:t xml:space="preserve">其他未列明行业</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tbl>
      <w:tblPr>
        <w:tblStyle w:val="7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689" w:type="dxa"/>
            <w:textDirection w:val="lrTb"/>
            <w:noWrap w:val="false"/>
          </w:tcPr>
          <w:p>
            <w:pPr>
              <w:spacing w:line="360" w:lineRule="auto"/>
              <w:rPr>
                <w:color w:val="auto"/>
                <w:sz w:val="24"/>
                <w:szCs w:val="24"/>
                <w:highlight w:val="none"/>
              </w:rPr>
              <w:outlineLvl w:val="1"/>
            </w:pPr>
            <w:r>
              <w:rPr>
                <w:rFonts w:hint="eastAsia" w:ascii="宋体" w:hAnsi="宋体" w:cs="宋体"/>
                <w:i/>
                <w:iCs/>
                <w:color w:val="auto"/>
                <w:sz w:val="24"/>
                <w:highlight w:val="none"/>
                <w:u w:val="single"/>
              </w:rPr>
              <w:t xml:space="preserve">服务期限：</w:t>
            </w:r>
            <w:r>
              <w:rPr>
                <w:rFonts w:hint="eastAsia" w:ascii="宋体" w:hAnsi="宋体" w:cs="宋体"/>
                <w:i/>
                <w:iCs/>
                <w:color w:val="auto"/>
                <w:sz w:val="24"/>
                <w:highlight w:val="none"/>
                <w:u w:val="single"/>
                <w:lang w:val="en-US" w:eastAsia="zh-CN"/>
              </w:rPr>
              <w:t xml:space="preserve">150日历天</w:t>
            </w:r>
            <w:r>
              <w:rPr>
                <w:rFonts w:hint="eastAsia" w:ascii="宋体" w:hAnsi="宋体" w:cs="宋体"/>
                <w:i/>
                <w:iCs/>
                <w:color w:val="auto"/>
                <w:sz w:val="24"/>
                <w:highlight w:val="none"/>
                <w:u w:val="single"/>
              </w:rPr>
              <w:t xml:space="preserve">。</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shd w:val="clear" w:color="auto" w:fill="auto"/>
            <w:tcW w:w="7689" w:type="dxa"/>
            <w:vAlign w:val="top"/>
            <w:textDirection w:val="lrTb"/>
            <w:noWrap w:val="false"/>
          </w:tcPr>
          <w:p>
            <w:pPr>
              <w:jc w:val="left"/>
              <w:spacing w:line="360" w:lineRule="auto"/>
              <w:widowControl/>
              <w:rPr>
                <w:rFonts w:hint="eastAsia" w:ascii="宋体" w:hAnsi="宋体" w:eastAsia="宋体" w:cs="宋体"/>
                <w:i/>
                <w:iCs/>
                <w:color w:val="auto"/>
                <w:sz w:val="24"/>
                <w:szCs w:val="21"/>
                <w:highlight w:val="none"/>
                <w:u w:val="single"/>
                <w:lang w:val="en-US" w:eastAsia="zh-CN" w:bidi="ar"/>
              </w:rPr>
            </w:pPr>
            <w:r>
              <w:rPr>
                <w:rFonts w:hint="eastAsia" w:ascii="宋体" w:hAnsi="宋体" w:cs="宋体"/>
                <w:i/>
                <w:iCs/>
                <w:color w:val="auto"/>
                <w:sz w:val="24"/>
                <w:highlight w:val="none"/>
                <w:u w:val="single"/>
                <w:lang w:bidi="ar"/>
              </w:rPr>
              <w:t xml:space="preserve">付款方式：服务期结束</w:t>
            </w:r>
            <w:r>
              <w:rPr>
                <w:rFonts w:hint="eastAsia" w:ascii="宋体" w:hAnsi="宋体" w:cs="宋体"/>
                <w:i/>
                <w:iCs/>
                <w:color w:val="auto"/>
                <w:sz w:val="24"/>
                <w:highlight w:val="none"/>
                <w:u w:val="single"/>
                <w:lang w:val="en-US" w:eastAsia="zh-CN" w:bidi="ar"/>
              </w:rPr>
              <w:t xml:space="preserve">且经采购人验收合格后一次性付清全部合同价款</w:t>
            </w:r>
            <w:r>
              <w:rPr>
                <w:rFonts w:hint="eastAsia" w:ascii="宋体" w:hAnsi="宋体" w:cs="宋体"/>
                <w:i/>
                <w:iCs/>
                <w:color w:val="auto"/>
                <w:sz w:val="24"/>
                <w:highlight w:val="none"/>
                <w:u w:val="single"/>
                <w:lang w:bidi="ar"/>
              </w:rPr>
              <w:t xml:space="preserve">。付款前成交人需提供正式发票。</w:t>
            </w:r>
            <w:r/>
          </w:p>
        </w:tc>
      </w:tr>
      <w:tr>
        <w:trPr>
          <w:jc w:val="center"/>
        </w:trPr>
        <w:tc>
          <w:tcPr>
            <w:tcW w:w="816" w:type="dxa"/>
            <w:textDirection w:val="lrTb"/>
            <w:noWrap w:val="false"/>
          </w:tcPr>
          <w:p>
            <w:pPr>
              <w:jc w:val="center"/>
              <w:spacing w:line="500" w:lineRule="exact"/>
              <w:rPr>
                <w:rFonts w:eastAsiaTheme="minorEastAsia"/>
                <w:color w:val="auto"/>
                <w:sz w:val="24"/>
                <w:szCs w:val="24"/>
                <w:highlight w:val="none"/>
              </w:rPr>
            </w:pPr>
            <w:r>
              <w:rPr>
                <w:rFonts w:hint="eastAsia"/>
                <w:color w:val="auto"/>
                <w:sz w:val="24"/>
                <w:szCs w:val="24"/>
                <w:highlight w:val="none"/>
              </w:rPr>
              <w:t xml:space="preserve">3</w:t>
            </w:r>
            <w:r/>
          </w:p>
        </w:tc>
        <w:tc>
          <w:tcPr>
            <w:shd w:val="clear" w:color="auto" w:fill="auto"/>
            <w:tcW w:w="7689" w:type="dxa"/>
            <w:vAlign w:val="top"/>
            <w:textDirection w:val="lrTb"/>
            <w:noWrap w:val="false"/>
          </w:tcPr>
          <w:p>
            <w:pPr>
              <w:jc w:val="left"/>
              <w:spacing w:line="360" w:lineRule="auto"/>
              <w:rPr>
                <w:rFonts w:hint="eastAsia" w:ascii="宋体" w:hAnsi="宋体" w:eastAsia="宋体" w:cs="宋体"/>
                <w:i/>
                <w:iCs/>
                <w:color w:val="auto"/>
                <w:sz w:val="24"/>
                <w:szCs w:val="21"/>
                <w:highlight w:val="none"/>
                <w:u w:val="single"/>
                <w:lang w:val="en-US" w:eastAsia="zh-CN" w:bidi="ar"/>
              </w:rPr>
            </w:pPr>
            <w:r>
              <w:rPr>
                <w:rFonts w:hint="eastAsia" w:ascii="宋体" w:hAnsi="宋体" w:cs="宋体"/>
                <w:i/>
                <w:iCs/>
                <w:color w:val="auto"/>
                <w:sz w:val="24"/>
                <w:highlight w:val="none"/>
                <w:u w:val="single"/>
                <w:lang w:bidi="ar"/>
              </w:rPr>
              <w:t xml:space="preserve">履约保证金：</w:t>
            </w:r>
            <w:r>
              <w:rPr>
                <w:rFonts w:hint="eastAsia" w:ascii="宋体" w:hAnsi="宋体" w:cs="宋体"/>
                <w:i/>
                <w:iCs/>
                <w:color w:val="auto"/>
                <w:sz w:val="24"/>
                <w:highlight w:val="none"/>
                <w:u w:val="single"/>
                <w:lang w:val="en-US" w:eastAsia="zh-CN" w:bidi="ar"/>
              </w:rPr>
              <w:t xml:space="preserve">本项目不收取履约保证金</w:t>
            </w:r>
            <w:r/>
          </w:p>
        </w:tc>
      </w:tr>
      <w:tr>
        <w:trPr>
          <w:jc w:val="center"/>
        </w:trPr>
        <w:tc>
          <w:tcPr>
            <w:tcW w:w="816" w:type="dxa"/>
            <w:textDirection w:val="lrTb"/>
            <w:noWrap w:val="false"/>
          </w:tcPr>
          <w:p>
            <w:pPr>
              <w:jc w:val="center"/>
              <w:spacing w:line="50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4</w:t>
            </w:r>
            <w:r/>
          </w:p>
        </w:tc>
        <w:tc>
          <w:tcPr>
            <w:shd w:val="clear" w:color="auto" w:fill="auto"/>
            <w:tcW w:w="7689" w:type="dxa"/>
            <w:vAlign w:val="top"/>
            <w:textDirection w:val="lrTb"/>
            <w:noWrap w:val="false"/>
          </w:tcPr>
          <w:p>
            <w:pPr>
              <w:keepLines/>
              <w:keepNext/>
              <w:pageBreakBefore w:val="0"/>
              <w:spacing w:before="0" w:after="0" w:line="360" w:lineRule="auto"/>
              <w:widowControl w:val="off"/>
              <w:rPr>
                <w:rFonts w:hint="eastAsia" w:ascii="宋体" w:hAnsi="宋体" w:cs="宋体"/>
                <w:i/>
                <w:iCs/>
                <w:color w:val="auto"/>
                <w:sz w:val="24"/>
                <w:highlight w:val="none"/>
                <w:u w:val="single"/>
                <w:lang w:bidi="ar"/>
              </w:rPr>
              <w:outlineLvl w:val="9"/>
            </w:pPr>
            <w:r>
              <w:rPr>
                <w:rFonts w:hint="eastAsia" w:ascii="宋体" w:hAnsi="宋体" w:eastAsia="宋体" w:cs="宋体"/>
                <w:b w:val="0"/>
                <w:i/>
                <w:iCs/>
                <w:color w:val="auto"/>
                <w:sz w:val="24"/>
                <w:szCs w:val="24"/>
                <w:highlight w:val="none"/>
                <w:u w:val="single"/>
                <w:lang w:val="en-US" w:eastAsia="zh-CN" w:bidi="ar-SA"/>
              </w:rPr>
              <w:t xml:space="preserve">供应商提供承诺书，承诺本项目中涉及的硬件及软件，需提供3年的免费维保服务。（承诺函格式自拟，服务内容详见招标文件-采购需求-3.6维保服务）</w:t>
            </w:r>
            <w:r/>
          </w:p>
        </w:tc>
      </w:tr>
      <w:tr>
        <w:trPr>
          <w:jc w:val="center"/>
        </w:trPr>
        <w:tc>
          <w:tcPr>
            <w:tcW w:w="816" w:type="dxa"/>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5</w:t>
            </w:r>
            <w:r/>
          </w:p>
        </w:tc>
        <w:tc>
          <w:tcPr>
            <w:shd w:val="clear" w:color="auto" w:fill="auto"/>
            <w:tcW w:w="7689" w:type="dxa"/>
            <w:vAlign w:val="top"/>
            <w:textDirection w:val="lrTb"/>
            <w:noWrap w:val="false"/>
          </w:tcPr>
          <w:p>
            <w:pPr>
              <w:spacing w:line="360" w:lineRule="auto"/>
              <w:rPr>
                <w:rFonts w:hint="eastAsia" w:ascii="宋体" w:hAnsi="宋体" w:eastAsia="宋体" w:cs="宋体"/>
                <w:b w:val="0"/>
                <w:i/>
                <w:iCs/>
                <w:color w:val="auto"/>
                <w:sz w:val="24"/>
                <w:szCs w:val="24"/>
                <w:highlight w:val="none"/>
                <w:u w:val="single"/>
                <w:lang w:val="en-US" w:eastAsia="zh-CN" w:bidi="ar-SA"/>
              </w:rPr>
            </w:pPr>
            <w:r>
              <w:rPr>
                <w:rFonts w:hint="eastAsia" w:ascii="宋体" w:hAnsi="宋体" w:cs="宋体"/>
                <w:i/>
                <w:iCs/>
                <w:color w:val="auto"/>
                <w:sz w:val="24"/>
                <w:highlight w:val="none"/>
                <w:u w:val="single"/>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提供承诺</w:t>
            </w:r>
            <w:r>
              <w:rPr>
                <w:rFonts w:hint="eastAsia" w:ascii="宋体" w:hAnsi="宋体" w:cs="宋体"/>
                <w:i/>
                <w:iCs/>
                <w:color w:val="auto"/>
                <w:sz w:val="24"/>
                <w:highlight w:val="none"/>
                <w:u w:val="single"/>
                <w:lang w:eastAsia="zh-CN"/>
              </w:rPr>
              <w:t xml:space="preserve">）</w:t>
            </w:r>
            <w:r/>
          </w:p>
        </w:tc>
      </w:tr>
    </w:tbl>
    <w:p>
      <w:pPr>
        <w:pStyle w:val="1026"/>
        <w:ind w:firstLine="205"/>
        <w:jc w:val="both"/>
        <w:keepLines w:val="0"/>
        <w:keepNext w:val="0"/>
        <w:pageBreakBefore w:val="0"/>
        <w:spacing w:before="0" w:after="0" w:line="360" w:lineRule="auto"/>
        <w:widowControl w:val="off"/>
        <w:rPr>
          <w:rFonts w:ascii="Times New Roman" w:hAnsi="Times New Roman"/>
          <w:b/>
          <w:bCs/>
          <w:color w:val="auto"/>
          <w:highlight w:val="none"/>
        </w:rPr>
        <w:outlineLvl w:val="1"/>
      </w:pPr>
      <w:r>
        <w:rPr>
          <w:rFonts w:ascii="Times New Roman" w:hAnsi="Times New Roman"/>
          <w:b/>
          <w:bCs/>
          <w:color w:val="auto"/>
          <w:highlight w:val="none"/>
        </w:rPr>
        <w:t xml:space="preserve">一、项目概</w:t>
      </w:r>
      <w:r>
        <w:rPr>
          <w:rFonts w:hint="eastAsia" w:ascii="Times New Roman" w:hAnsi="Times New Roman"/>
          <w:b/>
          <w:bCs/>
          <w:color w:val="auto"/>
          <w:highlight w:val="none"/>
        </w:rPr>
        <w:t xml:space="preserve">况</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2020年11月19日，《省政府关于同意建设江苏连云港省级农业高新技术产业示范区的(苏政复[2020 〕112号)正式下发，批准建设江苏连云港省级农业高新技术产业示批复》范区。</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农高区以“绿色外向”农业为建设主题。按照“核心区-示范区-辐射区”布局。核心区定位是农业国际交流合作实验区，其中农产品精深加工和科研办公区，规划面积6.06平方公里。示范区定位是地理标志产品可视农业推广区，规划面积32.01平方公里。辐射区覆盖东海县整个行政区域范围。</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东海县农高区种植智慧园区项目实施地点包括五个项目区，分别是七河香菇、智慧农业产业园、物联网信息中心、东海现代农业（稻麦）科技示范园和东海现代农业产业园区，区位图如下：</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七河香菇</w:t>
      </w:r>
      <w:r>
        <w:rPr>
          <w:rFonts w:hint="eastAsia" w:ascii="Times New Roman" w:hAnsi="Times New Roman" w:eastAsia="宋体" w:cs="Times New Roman"/>
          <w:color w:val="auto"/>
          <w:sz w:val="24"/>
          <w:szCs w:val="24"/>
          <w:highlight w:val="none"/>
          <w:lang w:eastAsia="zh-CN"/>
        </w:rPr>
        <w:t xml:space="preserve">项目区</w:t>
      </w:r>
      <w:r>
        <w:rPr>
          <w:rFonts w:hint="eastAsia" w:ascii="Times New Roman" w:hAnsi="Times New Roman" w:eastAsia="宋体" w:cs="Times New Roman"/>
          <w:color w:val="auto"/>
          <w:sz w:val="24"/>
          <w:szCs w:val="24"/>
          <w:highlight w:val="none"/>
        </w:rPr>
        <w:t xml:space="preserve">(118.6</w:t>
      </w:r>
      <w:r>
        <w:rPr>
          <w:rFonts w:hint="eastAsia" w:ascii="Times New Roman" w:hAnsi="Times New Roman" w:eastAsia="宋体" w:cs="Times New Roman"/>
          <w:color w:val="auto"/>
          <w:sz w:val="24"/>
          <w:szCs w:val="24"/>
          <w:highlight w:val="none"/>
          <w:lang w:val="en-US" w:eastAsia="zh-CN"/>
        </w:rPr>
        <w:t xml:space="preserve">84872</w:t>
      </w:r>
      <w:r>
        <w:rPr>
          <w:rFonts w:hint="eastAsia" w:ascii="Times New Roman" w:hAnsi="Times New Roman" w:eastAsia="宋体" w:cs="Times New Roman"/>
          <w:color w:val="auto"/>
          <w:sz w:val="24"/>
          <w:szCs w:val="24"/>
          <w:highlight w:val="none"/>
        </w:rPr>
        <w:t xml:space="preserve">°E</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34.53</w:t>
      </w:r>
      <w:r>
        <w:rPr>
          <w:rFonts w:hint="eastAsia" w:ascii="Times New Roman" w:hAnsi="Times New Roman" w:eastAsia="宋体" w:cs="Times New Roman"/>
          <w:color w:val="auto"/>
          <w:sz w:val="24"/>
          <w:szCs w:val="24"/>
          <w:highlight w:val="none"/>
          <w:lang w:val="en-US" w:eastAsia="zh-CN"/>
        </w:rPr>
        <w:t xml:space="preserve">2500</w:t>
      </w:r>
      <w:r>
        <w:rPr>
          <w:rFonts w:hint="eastAsia" w:ascii="Times New Roman" w:hAnsi="Times New Roman" w:eastAsia="宋体" w:cs="Times New Roman"/>
          <w:color w:val="auto"/>
          <w:sz w:val="24"/>
          <w:szCs w:val="24"/>
          <w:highlight w:val="none"/>
        </w:rPr>
        <w:t xml:space="preserve">°N)、</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智慧产业园</w:t>
      </w:r>
      <w:r>
        <w:rPr>
          <w:rFonts w:hint="eastAsia" w:ascii="Times New Roman" w:hAnsi="Times New Roman" w:eastAsia="宋体" w:cs="Times New Roman"/>
          <w:color w:val="auto"/>
          <w:sz w:val="24"/>
          <w:szCs w:val="24"/>
          <w:highlight w:val="none"/>
          <w:lang w:eastAsia="zh-CN"/>
        </w:rPr>
        <w:t xml:space="preserve">项目区</w:t>
      </w:r>
      <w:r>
        <w:rPr>
          <w:rFonts w:hint="eastAsia" w:ascii="Times New Roman" w:hAnsi="Times New Roman" w:eastAsia="宋体" w:cs="Times New Roman"/>
          <w:color w:val="auto"/>
          <w:sz w:val="24"/>
          <w:szCs w:val="24"/>
          <w:highlight w:val="none"/>
        </w:rPr>
        <w:t xml:space="preserve">（118.69083</w:t>
      </w:r>
      <w:r>
        <w:rPr>
          <w:rFonts w:hint="eastAsia"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rPr>
        <w:t xml:space="preserve">°E</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34.5</w:t>
      </w:r>
      <w:r>
        <w:rPr>
          <w:rFonts w:hint="eastAsia" w:ascii="Times New Roman" w:hAnsi="Times New Roman" w:eastAsia="宋体" w:cs="Times New Roman"/>
          <w:color w:val="auto"/>
          <w:sz w:val="24"/>
          <w:szCs w:val="24"/>
          <w:highlight w:val="none"/>
          <w:lang w:val="en-US" w:eastAsia="zh-CN"/>
        </w:rPr>
        <w:t xml:space="preserve">35019</w:t>
      </w:r>
      <w:r>
        <w:rPr>
          <w:rFonts w:hint="eastAsia" w:ascii="Times New Roman" w:hAnsi="Times New Roman" w:eastAsia="宋体" w:cs="Times New Roman"/>
          <w:color w:val="auto"/>
          <w:sz w:val="24"/>
          <w:szCs w:val="24"/>
          <w:highlight w:val="none"/>
        </w:rPr>
        <w:t xml:space="preserve">°N）</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物联网信息中心项目区(118.700</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27°E</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34.5091</w:t>
      </w:r>
      <w:r>
        <w:rPr>
          <w:rFonts w:hint="eastAsia" w:ascii="Times New Roman" w:hAnsi="Times New Roman" w:eastAsia="宋体" w:cs="Times New Roman"/>
          <w:color w:val="auto"/>
          <w:sz w:val="24"/>
          <w:szCs w:val="24"/>
          <w:highlight w:val="none"/>
          <w:lang w:val="en-US" w:eastAsia="zh-CN"/>
        </w:rPr>
        <w:t xml:space="preserve">39</w:t>
      </w:r>
      <w:r>
        <w:rPr>
          <w:rFonts w:hint="eastAsia" w:ascii="Times New Roman" w:hAnsi="Times New Roman" w:eastAsia="宋体" w:cs="Times New Roman"/>
          <w:color w:val="auto"/>
          <w:sz w:val="24"/>
          <w:szCs w:val="24"/>
          <w:highlight w:val="none"/>
        </w:rPr>
        <w:t xml:space="preserve">°N)。</w:t>
      </w:r>
      <w:r/>
    </w:p>
    <w:p>
      <w:pPr>
        <w:ind w:firstLine="178"/>
        <w:jc w:val="center"/>
        <w:keepLines w:val="0"/>
        <w:keepNext w:val="0"/>
        <w:pageBreakBefore w:val="0"/>
        <w:spacing w:line="360" w:lineRule="auto"/>
        <w:widowControl w:val="off"/>
        <w:rPr>
          <w:b/>
          <w:color w:val="auto"/>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2604135</wp:posOffset>
                </wp:positionH>
                <wp:positionV relativeFrom="paragraph">
                  <wp:posOffset>547370</wp:posOffset>
                </wp:positionV>
                <wp:extent cx="276225" cy="266065"/>
                <wp:effectExtent l="4445" t="4445" r="5080" b="15240"/>
                <wp:wrapNone/>
                <wp:docPr id="1" name="椭圆 55"/>
                <wp:cNvGraphicFramePr/>
                <a:graphic xmlns:a="http://schemas.openxmlformats.org/drawingml/2006/main">
                  <a:graphicData uri="http://schemas.microsoft.com/office/word/2010/wordprocessingShape">
                    <wps:wsp>
                      <wps:cNvPr id="0" name=""/>
                      <wps:cNvSpPr/>
                      <wps:spPr bwMode="auto">
                        <a:xfrm>
                          <a:off x="0" y="0"/>
                          <a:ext cx="276225" cy="266065"/>
                        </a:xfrm>
                        <a:prstGeom prst="ellipse">
                          <a:avLst/>
                        </a:prstGeom>
                        <a:solidFill>
                          <a:srgbClr val="C0504D"/>
                        </a:solid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 type="#_x0000_t3" style="position:absolute;z-index:251659264;o:allowoverlap:true;o:allowincell:true;mso-position-horizontal-relative:text;margin-left:205.0pt;mso-position-horizontal:absolute;mso-position-vertical-relative:text;margin-top:43.1pt;mso-position-vertical:absolute;width:21.8pt;height:20.9pt;mso-wrap-distance-left:9.0pt;mso-wrap-distance-top:0.0pt;mso-wrap-distance-right:9.0pt;mso-wrap-distance-bottom:0.0pt;visibility:visible;" fillcolor="#C0504D"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1814195</wp:posOffset>
                </wp:positionH>
                <wp:positionV relativeFrom="paragraph">
                  <wp:posOffset>2369185</wp:posOffset>
                </wp:positionV>
                <wp:extent cx="3140710" cy="542925"/>
                <wp:effectExtent l="0" t="0" r="0" b="0"/>
                <wp:wrapNone/>
                <wp:docPr id="2" name="文本框 63"/>
                <wp:cNvGraphicFramePr/>
                <a:graphic xmlns:a="http://schemas.openxmlformats.org/drawingml/2006/main">
                  <a:graphicData uri="http://schemas.microsoft.com/office/word/2010/wordprocessingShape">
                    <wps:wsp>
                      <wps:cNvPr id="0" name=""/>
                      <wps:cNvSpPr txBox="1"/>
                      <wps:spPr bwMode="auto">
                        <a:xfrm>
                          <a:off x="0" y="0"/>
                          <a:ext cx="3140710" cy="542925"/>
                        </a:xfrm>
                        <a:prstGeom prst="rect">
                          <a:avLst/>
                        </a:prstGeom>
                        <a:noFill/>
                        <a:ln>
                          <a:noFill/>
                        </a:ln>
                        <a:effectLst/>
                      </wps:spPr>
                      <wps:txbx>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物联网信息中心项目区</w:t>
                            </w:r>
                            <w:r/>
                          </w:p>
                        </w:txbxContent>
                      </wps:txbx>
                      <wps:bodyPr upright="1"/>
                    </wps:wsp>
                  </a:graphicData>
                </a:graphic>
              </wp:anchor>
            </w:drawing>
          </mc:Choice>
          <mc:Fallback>
            <w:pict>
              <v:shape id="shape 1" o:spid="_x0000_s1" o:spt="202" type="#_x0000_t202" style="position:absolute;z-index:251664384;o:allowoverlap:true;o:allowincell:true;mso-position-horizontal-relative:text;margin-left:142.8pt;mso-position-horizontal:absolute;mso-position-vertical-relative:text;margin-top:186.5pt;mso-position-vertical:absolute;width:247.3pt;height:42.8pt;mso-wrap-distance-left:9.0pt;mso-wrap-distance-top:0.0pt;mso-wrap-distance-right:9.0pt;mso-wrap-distance-bottom:0.0pt;visibility:visible;" filled="f" stroked="f">
                <v:textbox inset="0,0,0,0">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物联网信息中心项目区</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3575685</wp:posOffset>
                </wp:positionH>
                <wp:positionV relativeFrom="paragraph">
                  <wp:posOffset>2223770</wp:posOffset>
                </wp:positionV>
                <wp:extent cx="276225" cy="266065"/>
                <wp:effectExtent l="4445" t="4445" r="5080" b="15240"/>
                <wp:wrapNone/>
                <wp:docPr id="3" name="椭圆 64"/>
                <wp:cNvGraphicFramePr/>
                <a:graphic xmlns:a="http://schemas.openxmlformats.org/drawingml/2006/main">
                  <a:graphicData uri="http://schemas.microsoft.com/office/word/2010/wordprocessingShape">
                    <wps:wsp>
                      <wps:cNvPr id="0" name=""/>
                      <wps:cNvSpPr/>
                      <wps:spPr bwMode="auto">
                        <a:xfrm>
                          <a:off x="0" y="0"/>
                          <a:ext cx="276225" cy="266065"/>
                        </a:xfrm>
                        <a:prstGeom prst="ellipse">
                          <a:avLst/>
                        </a:prstGeom>
                        <a:solidFill>
                          <a:srgbClr val="C0504D"/>
                        </a:solid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 type="#_x0000_t3" style="position:absolute;z-index:251661312;o:allowoverlap:true;o:allowincell:true;mso-position-horizontal-relative:text;margin-left:281.6pt;mso-position-horizontal:absolute;mso-position-vertical-relative:text;margin-top:175.1pt;mso-position-vertical:absolute;width:21.8pt;height:20.9pt;mso-wrap-distance-left:9.0pt;mso-wrap-distance-top:0.0pt;mso-wrap-distance-right:9.0pt;mso-wrap-distance-bottom:0.0pt;visibility:visible;" fillcolor="#C0504D"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1766570</wp:posOffset>
                </wp:positionH>
                <wp:positionV relativeFrom="paragraph">
                  <wp:posOffset>826135</wp:posOffset>
                </wp:positionV>
                <wp:extent cx="2313305" cy="542925"/>
                <wp:effectExtent l="0" t="0" r="0" b="0"/>
                <wp:wrapNone/>
                <wp:docPr id="4" name="文本框 62"/>
                <wp:cNvGraphicFramePr/>
                <a:graphic xmlns:a="http://schemas.openxmlformats.org/drawingml/2006/main">
                  <a:graphicData uri="http://schemas.microsoft.com/office/word/2010/wordprocessingShape">
                    <wps:wsp>
                      <wps:cNvPr id="0" name=""/>
                      <wps:cNvSpPr txBox="1"/>
                      <wps:spPr bwMode="auto">
                        <a:xfrm>
                          <a:off x="0" y="0"/>
                          <a:ext cx="2313305" cy="542925"/>
                        </a:xfrm>
                        <a:prstGeom prst="rect">
                          <a:avLst/>
                        </a:prstGeom>
                        <a:noFill/>
                        <a:ln>
                          <a:noFill/>
                        </a:ln>
                        <a:effectLst/>
                      </wps:spPr>
                      <wps:txbx>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七河香菇项目区</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139.1pt;mso-position-horizontal:absolute;mso-position-vertical-relative:text;margin-top:65.0pt;mso-position-vertical:absolute;width:182.1pt;height:42.8pt;mso-wrap-distance-left:9.0pt;mso-wrap-distance-top:0.0pt;mso-wrap-distance-right:9.0pt;mso-wrap-distance-bottom:0.0pt;visibility:visible;" filled="f" stroked="f">
                <v:textbox inset="0,0,0,0">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七河香菇项目区</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813435</wp:posOffset>
                </wp:positionH>
                <wp:positionV relativeFrom="paragraph">
                  <wp:posOffset>6985</wp:posOffset>
                </wp:positionV>
                <wp:extent cx="2999105" cy="542925"/>
                <wp:effectExtent l="0" t="0" r="0" b="0"/>
                <wp:wrapNone/>
                <wp:docPr id="5" name="文本框 65"/>
                <wp:cNvGraphicFramePr/>
                <a:graphic xmlns:a="http://schemas.openxmlformats.org/drawingml/2006/main">
                  <a:graphicData uri="http://schemas.microsoft.com/office/word/2010/wordprocessingShape">
                    <wps:wsp>
                      <wps:cNvPr id="0" name=""/>
                      <wps:cNvSpPr txBox="1"/>
                      <wps:spPr bwMode="auto">
                        <a:xfrm>
                          <a:off x="0" y="0"/>
                          <a:ext cx="2999105" cy="542925"/>
                        </a:xfrm>
                        <a:prstGeom prst="rect">
                          <a:avLst/>
                        </a:prstGeom>
                        <a:noFill/>
                        <a:ln>
                          <a:noFill/>
                        </a:ln>
                        <a:effectLst/>
                      </wps:spPr>
                      <wps:txbx>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智慧农业产业园项目区</w:t>
                            </w:r>
                            <w:r/>
                          </w:p>
                        </w:txbxContent>
                      </wps:txbx>
                      <wps:bodyPr upright="1"/>
                    </wps:wsp>
                  </a:graphicData>
                </a:graphic>
              </wp:anchor>
            </w:drawing>
          </mc:Choice>
          <mc:Fallback>
            <w:pict>
              <v:shape id="shape 4" o:spid="_x0000_s4" o:spt="202" type="#_x0000_t202" style="position:absolute;z-index:251663360;o:allowoverlap:true;o:allowincell:true;mso-position-horizontal-relative:text;margin-left:64.0pt;mso-position-horizontal:absolute;mso-position-vertical-relative:text;margin-top:0.5pt;mso-position-vertical:absolute;width:236.1pt;height:42.8pt;mso-wrap-distance-left:9.0pt;mso-wrap-distance-top:0.0pt;mso-wrap-distance-right:9.0pt;mso-wrap-distance-bottom:0.0pt;visibility:visible;" filled="f" stroked="f">
                <v:textbox inset="0,0,0,0">
                  <w:txbxContent>
                    <w:p>
                      <w:pPr>
                        <w:ind w:firstLine="723"/>
                        <w:rPr>
                          <w:rFonts w:ascii="黑体" w:hAnsi="黑体" w:eastAsia="黑体" w:cs="黑体"/>
                          <w:b/>
                          <w:bCs/>
                          <w:color w:val="ffffff"/>
                          <w:sz w:val="36"/>
                          <w:szCs w:val="36"/>
                        </w:rPr>
                      </w:pPr>
                      <w:r>
                        <w:rPr>
                          <w:rFonts w:hint="eastAsia" w:ascii="黑体" w:hAnsi="黑体" w:eastAsia="黑体" w:cs="黑体"/>
                          <w:b/>
                          <w:bCs/>
                          <w:color w:val="ffffff"/>
                          <w:sz w:val="36"/>
                          <w:szCs w:val="36"/>
                        </w:rPr>
                        <w:t xml:space="preserve">智慧农业产业园项目区</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2937510</wp:posOffset>
                </wp:positionH>
                <wp:positionV relativeFrom="paragraph">
                  <wp:posOffset>204470</wp:posOffset>
                </wp:positionV>
                <wp:extent cx="276225" cy="266065"/>
                <wp:effectExtent l="4445" t="4445" r="5080" b="15240"/>
                <wp:wrapNone/>
                <wp:docPr id="6" name="椭圆 54"/>
                <wp:cNvGraphicFramePr/>
                <a:graphic xmlns:a="http://schemas.openxmlformats.org/drawingml/2006/main">
                  <a:graphicData uri="http://schemas.microsoft.com/office/word/2010/wordprocessingShape">
                    <wps:wsp>
                      <wps:cNvPr id="0" name=""/>
                      <wps:cNvSpPr/>
                      <wps:spPr bwMode="auto">
                        <a:xfrm>
                          <a:off x="0" y="0"/>
                          <a:ext cx="276225" cy="266065"/>
                        </a:xfrm>
                        <a:prstGeom prst="ellipse">
                          <a:avLst/>
                        </a:prstGeom>
                        <a:solidFill>
                          <a:srgbClr val="C0504D"/>
                        </a:solid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 type="#_x0000_t3" style="position:absolute;z-index:251660288;o:allowoverlap:true;o:allowincell:true;mso-position-horizontal-relative:text;margin-left:231.3pt;mso-position-horizontal:absolute;mso-position-vertical-relative:text;margin-top:16.1pt;mso-position-vertical:absolute;width:21.8pt;height:20.9pt;mso-wrap-distance-left:9.0pt;mso-wrap-distance-top:0.0pt;mso-wrap-distance-right:9.0pt;mso-wrap-distance-bottom:0.0pt;visibility:visible;" fillcolor="#C0504D" strokecolor="#000000" strokeweight="0.75pt">
                <v:stroke dashstyle="solid"/>
              </v:shape>
            </w:pict>
          </mc:Fallback>
        </mc:AlternateContent>
      </w:r>
      <w:r>
        <w:rPr>
          <w:rFonts w:hint="eastAsia"/>
          <w:b/>
          <w:color w:val="auto"/>
          <w:szCs w:val="28"/>
          <w:highlight w:val="none"/>
        </w:rPr>
        <mc:AlternateContent>
          <mc:Choice Requires="wpg">
            <w:drawing>
              <wp:inline xmlns:wp="http://schemas.openxmlformats.org/drawingml/2006/wordprocessingDrawing" distT="0" distB="0" distL="0" distR="0">
                <wp:extent cx="3103245" cy="2818765"/>
                <wp:effectExtent l="0" t="0" r="1905" b="635"/>
                <wp:docPr id="7" name="图片 4" descr="b97ece95e32a6b2f44c102bf160b7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97ece95e32a6b2f44c102bf160b7e8"/>
                        <pic:cNvPicPr>
                          <a:picLocks noChangeAspect="1"/>
                        </pic:cNvPicPr>
                        <pic:nvPr/>
                      </pic:nvPicPr>
                      <pic:blipFill>
                        <a:blip r:embed="rId14"/>
                        <a:stretch/>
                      </pic:blipFill>
                      <pic:spPr bwMode="auto">
                        <a:xfrm>
                          <a:off x="0" y="0"/>
                          <a:ext cx="3103245" cy="281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4.3pt;height:221.9pt;mso-wrap-distance-left:0.0pt;mso-wrap-distance-top:0.0pt;mso-wrap-distance-right:0.0pt;mso-wrap-distance-bottom:0.0pt;" stroked="f">
                <v:path textboxrect="0,0,0,0"/>
                <v:imagedata r:id="rId14" o:title=""/>
              </v:shape>
            </w:pict>
          </mc:Fallback>
        </mc:AlternateConten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东海现代农业（稻麦）科技示范园项目区</w:t>
      </w:r>
      <w:r/>
    </w:p>
    <w:p>
      <w:pPr>
        <w:ind w:left="0" w:firstLine="178"/>
        <w:jc w:val="center"/>
        <w:keepLines w:val="0"/>
        <w:keepNext w:val="0"/>
        <w:pageBreakBefore w:val="0"/>
        <w:spacing w:line="360" w:lineRule="auto"/>
        <w:widowControl w:val="off"/>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2701290" cy="3641725"/>
                <wp:effectExtent l="0" t="0" r="3810" b="1587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2701290" cy="3641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7pt;height:286.8pt;mso-wrap-distance-left:0.0pt;mso-wrap-distance-top:0.0pt;mso-wrap-distance-right:0.0pt;mso-wrap-distance-bottom:0.0pt;" stroked="f">
                <v:path textboxrect="0,0,0,0"/>
                <v:imagedata r:id="rId15" o:title=""/>
              </v:shape>
            </w:pict>
          </mc:Fallback>
        </mc:AlternateContent>
      </w:r>
      <w:r/>
    </w:p>
    <w:p>
      <w:pPr>
        <w:ind w:firstLine="204"/>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（地块一 西北角118.956165</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E,34.467812</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N;东北角118.959094E,34.467701</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N；东南118.958895</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E,34.462491</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N；西南角118.955979</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E,34.462485</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N)</w:t>
      </w:r>
      <w:r/>
    </w:p>
    <w:p>
      <w:pPr>
        <w:ind w:left="0" w:firstLine="178"/>
        <w:jc w:val="center"/>
        <w:keepLines w:val="0"/>
        <w:keepNext w:val="0"/>
        <w:pageBreakBefore w:val="0"/>
        <w:spacing w:line="360" w:lineRule="auto"/>
        <w:widowControl w:val="off"/>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1718945" cy="3412490"/>
                <wp:effectExtent l="0" t="0" r="14604" b="1651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1718944" cy="341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3pt;height:268.7pt;mso-wrap-distance-left:0.0pt;mso-wrap-distance-top:0.0pt;mso-wrap-distance-right:0.0pt;mso-wrap-distance-bottom:0.0pt;" stroked="f">
                <v:path textboxrect="0,0,0,0"/>
                <v:imagedata r:id="rId16" o:title=""/>
              </v:shape>
            </w:pict>
          </mc:Fallback>
        </mc:AlternateContent>
      </w:r>
      <w:r/>
    </w:p>
    <w:p>
      <w:pPr>
        <w:ind w:firstLine="204"/>
        <w:jc w:val="left"/>
        <w:keepLines w:val="0"/>
        <w:keepNext w:val="0"/>
        <w:pageBreakBefore w:val="0"/>
        <w:spacing w:line="360" w:lineRule="auto"/>
        <w:widowControl w:val="off"/>
        <w:rPr>
          <w:rFonts w:hint="default"/>
          <w:color w:val="auto"/>
          <w:szCs w:val="28"/>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（地块二 西北角118.938534°E,34.528110°N；东北角118.942054°E,34.526187°N；东南118.941040°E,34.515161°N；西南角118.937039°E,34.515531°N)</w:t>
      </w:r>
      <w:r/>
    </w:p>
    <w:p>
      <w:pPr>
        <w:ind w:left="0" w:firstLine="179"/>
        <w:keepLines w:val="0"/>
        <w:keepNext w:val="0"/>
        <w:pageBreakBefore w:val="0"/>
        <w:spacing w:line="360" w:lineRule="auto"/>
        <w:widowControl w:val="off"/>
        <w:rPr>
          <w:rFonts w:hint="eastAsia"/>
          <w:b/>
          <w:bCs/>
          <w:color w:val="auto"/>
          <w:szCs w:val="28"/>
          <w:highlight w:val="none"/>
        </w:rPr>
      </w:pPr>
      <w:r>
        <w:rPr>
          <w:rFonts w:hint="eastAsia"/>
          <w:b/>
          <w:bCs/>
          <w:color w:val="auto"/>
          <w:szCs w:val="28"/>
          <w:highlight w:val="none"/>
        </w:rPr>
        <w:t xml:space="preserve">东海现代农业产业园项目区</w:t>
      </w:r>
      <w:r/>
    </w:p>
    <w:p>
      <w:pPr>
        <w:ind w:left="0" w:firstLine="178"/>
        <w:jc w:val="center"/>
        <w:keepLines w:val="0"/>
        <w:keepNext w:val="0"/>
        <w:pageBreakBefore w:val="0"/>
        <w:spacing w:line="360" w:lineRule="auto"/>
        <w:widowControl w:val="off"/>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3549015" cy="2599690"/>
                <wp:effectExtent l="0" t="0" r="13335" b="1016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3549015" cy="25996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79.4pt;height:204.7pt;mso-wrap-distance-left:0.0pt;mso-wrap-distance-top:0.0pt;mso-wrap-distance-right:0.0pt;mso-wrap-distance-bottom:0.0pt;" stroked="f">
                <v:path textboxrect="0,0,0,0"/>
                <v:imagedata r:id="rId17" o:title=""/>
              </v:shape>
            </w:pict>
          </mc:Fallback>
        </mc:AlternateContent>
      </w:r>
      <w:r/>
    </w:p>
    <w:p>
      <w:pPr>
        <w:ind w:firstLine="204"/>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(西北118.502180°E,34.546553°N;东北118.504756°E,34.546367°N;</w:t>
      </w:r>
      <w:r/>
    </w:p>
    <w:p>
      <w:pPr>
        <w:ind w:firstLine="204"/>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东南118.504681°E,34.545638°N;西南118.502114°E,34.545851°N.)</w:t>
      </w:r>
      <w:r/>
    </w:p>
    <w:p>
      <w:pPr>
        <w:ind w:firstLine="482"/>
        <w:rPr>
          <w:rFonts w:hint="eastAsia" w:ascii="宋体" w:hAnsi="宋体" w:eastAsia="宋体" w:cs="宋体"/>
          <w:b/>
          <w:color w:val="auto"/>
          <w:sz w:val="24"/>
          <w:szCs w:val="24"/>
          <w:highlight w:val="none"/>
          <w:lang w:eastAsia="zh-CN"/>
        </w:rPr>
        <w:outlineLvl w:val="1"/>
      </w:pP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服务</w:t>
      </w:r>
      <w:r>
        <w:rPr>
          <w:rFonts w:hint="eastAsia" w:ascii="宋体" w:hAnsi="宋体" w:cs="宋体"/>
          <w:b/>
          <w:color w:val="auto"/>
          <w:sz w:val="24"/>
          <w:szCs w:val="24"/>
          <w:highlight w:val="none"/>
        </w:rPr>
        <w:t xml:space="preserve">（标的）</w:t>
      </w:r>
      <w:r>
        <w:rPr>
          <w:rFonts w:hint="eastAsia" w:ascii="宋体" w:hAnsi="宋体" w:eastAsia="宋体" w:cs="Times New Roman"/>
          <w:b/>
          <w:color w:val="auto"/>
          <w:sz w:val="24"/>
          <w:highlight w:val="none"/>
        </w:rPr>
        <w:t xml:space="preserve">配套</w:t>
      </w:r>
      <w:r>
        <w:rPr>
          <w:rFonts w:hint="eastAsia" w:ascii="宋体" w:hAnsi="宋体" w:eastAsia="宋体" w:cs="Times New Roman"/>
          <w:b/>
          <w:color w:val="auto"/>
          <w:sz w:val="24"/>
          <w:highlight w:val="none"/>
          <w:lang w:val="en-US" w:eastAsia="zh-CN"/>
        </w:rPr>
        <w:t xml:space="preserve">软硬件</w:t>
      </w:r>
      <w:r>
        <w:rPr>
          <w:rFonts w:hint="eastAsia" w:ascii="宋体" w:hAnsi="宋体" w:cs="宋体"/>
          <w:b/>
          <w:color w:val="auto"/>
          <w:sz w:val="24"/>
          <w:szCs w:val="24"/>
          <w:highlight w:val="none"/>
          <w:lang w:val="en-US" w:eastAsia="zh-CN"/>
        </w:rPr>
        <w:t xml:space="preserve">内容</w:t>
      </w:r>
      <w:r/>
    </w:p>
    <w:tbl>
      <w:tblPr>
        <w:tblStyle w:val="71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5"/>
        <w:gridCol w:w="1004"/>
        <w:gridCol w:w="668"/>
        <w:gridCol w:w="829"/>
        <w:gridCol w:w="712"/>
        <w:gridCol w:w="4449"/>
        <w:gridCol w:w="666"/>
        <w:gridCol w:w="426"/>
      </w:tblGrid>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点位</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模块</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子模块</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设备参数/功能描述</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江苏东海现代农业（稻麦）科技示范园</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江苏东海现代农业（稻麦）科技示范园智慧化维保扩容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数字化环境监测</w:t>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气象监测站</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1.风速：量程：0m/s-60m/s,分辨率：0.1m/s，精度：±(0.5m/s+0.03V）（V为实际风速）；</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2.风向：量程：0-360°,分辨率：1%，精度：±5°；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Times New Roman" w:hAnsi="Times New Roman" w:eastAsia="宋体" w:cs="宋体"/>
                <w:color w:val="auto"/>
                <w:sz w:val="18"/>
                <w:szCs w:val="18"/>
                <w:highlight w:val="none"/>
                <w:lang w:val="en-US"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3.空气温度：量程：-30℃-85℃,分辨率：0.1℃，精度：±0.2℃；</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Times New Roman" w:hAnsi="Times New Roman" w:eastAsia="宋体" w:cs="宋体"/>
                <w:color w:val="auto"/>
                <w:sz w:val="18"/>
                <w:szCs w:val="18"/>
                <w:highlight w:val="none"/>
                <w:lang w:val="en-US"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4.空气湿度：量程：0-100%,分辨率：0.1%，精度：±3%；</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5.气压：量程：450hPa-1100hPa,分辨率：0.1hPa，精度：±0.3hPa；</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6.降水量：量程：0mm/min-4mm/min（0.1mm/翻斗）或0mm-400mm(称重),分辨率：0.1mm，精度：±4%；</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7.日照：量程：0-200000Lux，精度：±5%；</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8.输出信号 RS485(ModBus协议)，数据采集模块、传输模块；采用4G无线传输，含3年流量；</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Times New Roman" w:hAnsi="Times New Roman" w:eastAsia="宋体" w:cs="宋体"/>
                <w:color w:val="auto"/>
                <w:sz w:val="18"/>
                <w:szCs w:val="18"/>
                <w:highlight w:val="none"/>
                <w:lang w:val="en-US"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9.响应时间：小于1秒；</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10.太阳能供电系统：含不小于60W光伏板、38AH锂电池、集成控制器，输出电压12V，满足阴雨天连续工作20天以上；</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11.立杆：镀锌钢管，含预埋件和必要的安装配件；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12.防护箱：用于安装采集模块、传输模块或电源系统；</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13.避雷装置：避雷针 角钢 </w:t>
            </w:r>
            <w:r>
              <w:rPr>
                <w:rFonts w:hint="eastAsia" w:ascii="宋体" w:hAnsi="宋体" w:eastAsia="宋体" w:cs="宋体"/>
                <w:color w:val="auto"/>
                <w:sz w:val="18"/>
                <w:szCs w:val="18"/>
                <w:highlight w:val="none"/>
                <w:u w:val="none"/>
                <w:lang w:val="en-US" w:eastAsia="zh-CN" w:bidi="ar"/>
              </w:rPr>
              <w:t xml:space="preserve"> 避雷线；</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14.设备安装调试，基础浇筑，相关辅材等。</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18"/>
                <w:szCs w:val="18"/>
                <w:highlight w:val="none"/>
                <w:lang w:val="en-US" w:eastAsia="zh-CN"/>
              </w:rPr>
              <w:t xml:space="preserve">注：标注▲项需提供具有CMA认证的检验报告原件扫描件（需加盖有投标人公章），检验报告内容需体现该项参数要求。</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土壤监测站</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1.pH传感器：量程：3-9PH，分辨率：0.1，响应时间 ≤10s，输出信号 RS485(ModBus 协议)；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Times New Roman" w:hAnsi="Times New Roman" w:eastAsia="宋体" w:cs="宋体"/>
                <w:color w:val="auto"/>
                <w:sz w:val="18"/>
                <w:szCs w:val="18"/>
                <w:highlight w:val="none"/>
                <w:lang w:val="en-US" w:eastAsia="zh-CN"/>
              </w:rPr>
              <w:t xml:space="preserve">▲2</w:t>
            </w:r>
            <w:r>
              <w:rPr>
                <w:rFonts w:hint="eastAsia" w:ascii="宋体" w:hAnsi="宋体" w:eastAsia="宋体" w:cs="宋体"/>
                <w:i w:val="0"/>
                <w:iCs w:val="0"/>
                <w:color w:val="auto"/>
                <w:sz w:val="18"/>
                <w:szCs w:val="18"/>
                <w:highlight w:val="none"/>
                <w:u w:val="none"/>
                <w:lang w:val="en-US" w:eastAsia="zh-CN" w:bidi="ar"/>
              </w:rPr>
              <w:t xml:space="preserve">.温度测量范围：-30℃~70℃，精度：±0.2℃；</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Times New Roman" w:hAnsi="Times New Roman" w:eastAsia="宋体" w:cs="宋体"/>
                <w:color w:val="auto"/>
                <w:sz w:val="18"/>
                <w:szCs w:val="18"/>
                <w:highlight w:val="none"/>
                <w:lang w:val="en-US" w:eastAsia="zh-CN"/>
              </w:rPr>
              <w:t xml:space="preserve">▲3</w:t>
            </w:r>
            <w:r>
              <w:rPr>
                <w:rFonts w:hint="eastAsia" w:ascii="宋体" w:hAnsi="宋体" w:eastAsia="宋体" w:cs="宋体"/>
                <w:i w:val="0"/>
                <w:iCs w:val="0"/>
                <w:color w:val="auto"/>
                <w:sz w:val="18"/>
                <w:szCs w:val="18"/>
                <w:highlight w:val="none"/>
                <w:u w:val="none"/>
                <w:lang w:val="en-US" w:eastAsia="zh-CN" w:bidi="ar"/>
              </w:rPr>
              <w:t xml:space="preserve">.湿度测量范围：0~100%；</w:t>
            </w:r>
            <w:r/>
          </w:p>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Times New Roman" w:hAnsi="Times New Roman" w:eastAsia="宋体" w:cs="宋体"/>
                <w:color w:val="auto"/>
                <w:sz w:val="18"/>
                <w:szCs w:val="18"/>
                <w:highlight w:val="none"/>
                <w:lang w:val="en-US" w:eastAsia="zh-CN"/>
              </w:rPr>
              <w:t xml:space="preserve">▲4.工作电压：5-24V宽电压；</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5.提供三层土壤温湿度监测；</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6.采用4G无线传输，含3年流量；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7.太阳能供电：含光伏板、锂电池、控制器；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8.含土壤监测设备支架；</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9.含：基础浇筑、1.2米立杆安装，采集箱、网关、辅材。</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18"/>
                <w:szCs w:val="18"/>
                <w:highlight w:val="none"/>
                <w:lang w:val="en-US" w:eastAsia="zh-CN"/>
              </w:rPr>
              <w:t xml:space="preserve">注：标注▲项需提供具有CMA认证的检验报告原件扫描件（需加盖有投标人公章），检验报告内容需体现该项参数要求。</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视频监控设备</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1、400万红外高清球机，焦距 4.7- 110mm，23倍光学,红外100米,支持智能侦测、智能录像、智能编码等智能功能，支持H.265编码；</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2、太阳能光伏板、电池、控制器，含横臂和必要的安装配件；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3、存储卡：不小于256G存储卡；</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4、流量卡：3年视频流量卡，每月不少于30G流量。</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智能化设施应用</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全景摄像机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1.采用全景细节一体化设计，全景采用不低于8个镜头拼接成不小于360度全景画面，细节内置大倍率高速变焦镜头；</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2.全景采用8个不低于200万像素1/1.8英寸CMOS图像传感器；细节采用1个不低于200万像素1/1.8英寸CMOS图像传感器；</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3.全景通道:支持流光和宽动态同时开启；</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4.内置2颗GPU芯片，支持深度学习算法，有效提升检测准确率；</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5.全景：2.8mm; 细节可见光：5.5mm～220mm</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全景垂直视场角103°；</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6.细节变倍:40倍；</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7.在IE浏览器下，具有电子防抖设置选项；</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8.细节可见光：最大补光距离≥400米；</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9.补光灯数量：不少于7颗（红外灯）；</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▲10.设备自带防水透气膜，内部水气可通过防水透气膜排出，外部的水气无法进入；</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▲11.设备可输出1路分辨率为8192×1800、帧率设置为30fps、水平视场角为360°的全景拼接视频；</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设备可将任意连续的2个至8个视频画面基本进行无缝拼接显示，设备支持全景剪裁功能，可对全景画面进行框选裁剪，只显示框选内的画面，且检测框可拖拽，剪裁分辨率根据主码流，子码流和第三码流进行设置；</w:t>
            </w:r>
            <w:r/>
          </w:p>
          <w:p>
            <w:pPr>
              <w:numPr>
                <w:ilvl w:val="0"/>
                <w:numId w:val="0"/>
              </w:num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▲13.设备自带水平仪可检测设备安装是否倾斜；</w:t>
            </w:r>
            <w:r/>
          </w:p>
          <w:p>
            <w:pPr>
              <w:numPr>
                <w:ilvl w:val="0"/>
                <w:numId w:val="0"/>
              </w:num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14.全景支持不低于3种智能资源切换：周界防范、人群分布图、车辆密度；</w:t>
            </w:r>
            <w:r/>
          </w:p>
          <w:p>
            <w:pPr>
              <w:numPr>
                <w:ilvl w:val="0"/>
                <w:numId w:val="0"/>
              </w:num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15.细节支持不低于3种智能资源切换：周界防范、视频结构化、人脸检测；</w:t>
            </w:r>
            <w:r/>
          </w:p>
          <w:p>
            <w:pPr>
              <w:numPr>
                <w:ilvl w:val="0"/>
                <w:numId w:val="0"/>
              </w:num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16.设备支持自动标定、自动拼接功能，自动标定时间少于3min；</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17.可设置在5G/4G/3G蜂窝网络问自动/手动切换；</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18.具有2.4GWLAN和5GWLAN设置选项；</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19.支持全景不低于报警7进3出，音频2进2出，1路BNC，1路RS485功能（可设置波特率），支持不小于512G Micro SD卡；</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20.DC36V供电方式；</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21.支持IP66防护等级。</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18"/>
                <w:szCs w:val="18"/>
                <w:highlight w:val="none"/>
                <w:lang w:val="en-US" w:eastAsia="zh-CN"/>
              </w:rPr>
              <w:t xml:space="preserve">注：标注▲项需提供公安部出具</w:t>
            </w:r>
            <w:r>
              <w:rPr>
                <w:rFonts w:hint="eastAsia" w:ascii="宋体" w:hAnsi="宋体" w:cs="宋体"/>
                <w:color w:val="auto"/>
                <w:sz w:val="18"/>
                <w:szCs w:val="18"/>
                <w:highlight w:val="none"/>
                <w:lang w:val="en-US" w:eastAsia="zh-CN"/>
              </w:rPr>
              <w:t xml:space="preserve">或</w:t>
            </w:r>
            <w:r>
              <w:rPr>
                <w:rFonts w:hint="eastAsia" w:ascii="宋体" w:hAnsi="宋体" w:eastAsia="宋体" w:cs="宋体"/>
                <w:color w:val="auto"/>
                <w:sz w:val="18"/>
                <w:szCs w:val="18"/>
                <w:highlight w:val="none"/>
                <w:lang w:val="en-US" w:eastAsia="zh-CN"/>
              </w:rPr>
              <w:t xml:space="preserve">CMA认证的检验报告原件扫描件（需加盖有投标人公章），检验报告内容需体现该项参数要求。</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宽带200M</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宽带200M接入，3年</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流水线产能智能监测系统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智能AI摄像头，识别育秧流水线流程中监控内容。</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基本参数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处理器 高性能处理器/NNIE AI 加速算力硬件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DDR 2~4Gb（可选）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Flash 1~4Gb（可选）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传感器 200W 1/2.8 "逐行扫描 CMOS</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最低照度 0.01Lux@(F1.2,AGCON)</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快门 1/80 秒至 1/100,00 秒</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镜头接口 M12 螺纹（一体机）/CS 镜头（专业款）</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日夜参数 自适应</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 动 态 支持</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数字降噪 自动调节</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视频/音频</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编码格式 H.265/H.264/MJpeg</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视频尺寸 1920(H)*1080(V)、1280(H)*720(V)、640(H)*360(V)、320*240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帧率 25fps</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OSD</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检测区域设定</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划界设定</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区域当前物体数量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累计进/出数量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轨迹</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物体识别框/调试信息</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当日物体进入报表（数量/小时）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内嵌喇叭/自带语音库/各种操作语音提示/各种报警语音预警可选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TTS 语音合成</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语音播报进出数量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男女声可选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自定义汉字语音播报</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 算法功能</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识别模式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本地识别/跟踪计数算法</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无需外网/云端</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无需后端盒子</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识别内容</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有效区域内物体总数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设定识别区域出去物体总数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设定识别区域进入物体总数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跟踪轨迹</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滞留分析</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识别速率 &gt;15 帧/S(全幅检测)</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RS485 通讯/报警接口</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报警继电器 常开或常闭输出（可定制/非标配）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RS485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 MODBUS RTU、MODBUS ASII 查询（非标配，可定制）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支持主动推送（当前数量，进出数量）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 RS485 串口图片抓拍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 RS485 串口触发，HTTP POST 推送抓拍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支持串口清零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支持串口校时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通讯接口 1 个 RJ45，10M/100M 自适应以太网口</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信息化提档维保</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产能监测与工人绩效系统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人员信息录入</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录入登记流水线工作人员的个人信息，包括姓名、年龄、流水线职位、基础薪资等基础信息。</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流水线排班</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根据流水线编号、职位、时间等信息，配置工作时段内各人员的排班表。</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流水线产能监测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接收流水线计数传感器传回的各流水线的实时产能，以时间为单位进行产能登记，支持手动更正产能数量。</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产能与绩效统计</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根据产能监测数据自动计算单位时间内产能效率与总产能。</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根据每条流水线当日的总产能与当日配置的排班表，自动计算出不同员工在一定时间段内产生的总绩效，可自有配置薪资计算公式，自动计算员工工资。</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物联设备数据交换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园区在用以及本次新部署安装的物联网设备产生的各类型监测数据，通过研发标准数据接口，与农高区物联网信息中心原系统无障碍数据交换。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平台数据交换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平明育秧中心已自行建设了一套育秧中心管理平台，为避免重复建设，计划以平台对接的方式，将原有系统的展示界面以及相关数据无缝对接至农高区物联网信息中心中。</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七河生物菌菇生产园区</w:t>
            </w:r>
            <w:r/>
          </w:p>
        </w:tc>
      </w:tr>
      <w:tr>
        <w:trPr>
          <w:trHeight w:val="23"/>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0" w:type="auto"/>
            <w:vAlign w:val="center"/>
            <w:vMerge w:val="restart"/>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七河生物菌菇生产园区智慧化维保扩容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生产设施智能化维保扩容</w:t>
            </w:r>
            <w:r/>
          </w:p>
        </w:tc>
        <w:tc>
          <w:tcPr>
            <w:gridSpan w:val="2"/>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二维码标签纸</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三防热敏标签纸</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超高频RFID智能手持终端</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搭载Impinj E710芯片，标签群读峰值≥1000张/秒；</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处理器：八核64位，主频2.0GHz；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内存：2+16GB；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显示屏：5.5寸IPS高清显示屏，分辨率720*1440,；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触控屏：工业级电容屏，支持多点触控、带手套触摸；</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操作系统：安卓10.0系统；</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输出功率:0-33dBm；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工作协议：ISO18000-6C；</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读卡距离：0-15米；</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工作频率：865-868MHz，902-928MHz；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提供演示读卡软件，可生成EXCEL数据表格，保存至本地后，再通过USB连接电脑导出查阅；</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多种通讯传输方式，4G全网通，支持双卡双待，支持2.4G/5G双频WIFI、蓝牙传输，大幅降低网络延迟；</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IP65级防水防尘，可因对各种场景及恶劣环境下移动工作需求。</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智能电子秤</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量程*感量：300KG*20G；</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仪表尺寸：不小于304*205*145mm；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显示：不小于4.3英寸彩屏显示，分辨率480*272PX；</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秤杆高度：不小于600mm；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台秤尺寸：420*520mm；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台秤材质：压铸铝磅体，不锈钢秤盘；</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打印机：内置58mm打印机，兼容标签和票据纸；</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供电：AC适配器（100-240VAC/12V2500mA）标配电池（7.4V/5200mAh）；</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接口：RS232*1，USB2.0*1，RJ45*1，Loadcell*1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柔性抗金属标签超高频RFID</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防水PET材质封装，具有柔韧性强、防水、耐刮耐磨等特性；</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MR6-P/U8芯片，以抗金属干扰的思路设计而成，可以紧贴金属表面不收干扰；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读距约7米，标签无需对准读卡器，进入识别范围后即可自动实现远距离读取数据；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标签采用3M背胶，粘合效果好，具有优秀的防水性、耐温性、初粘性和持久粘性，再高湿度条件下不会发生折皱；</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工作频率：860-960MHz；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工作协议：IOS18000-6C；</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保存耐温：-40℃~+100℃；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擦写次数：可擦写10万次；</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保存期限：数据保存10年。</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15000</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超高频RFID读写器</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工作频率：865-868MHz，902-928MHz；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工作模式：主动模式；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工作协议：IOS18000-6C；</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读卡距离：0-10CM；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通讯接口：USB；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工作提示：蜂鸣器、LED灯；</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工作电压：DC 5V；</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设备功耗：小于4W；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存储环境：-40℃~+125℃；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机身材质：ABS外壳，亚克力面板。</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冷库通道RFID识别系统</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RFID多通道读写器</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工作频率：865-868MHz，902-928MHz；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射频芯片：Impinj E710；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输出功率：0-33dBm；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工作提示：蜂鸣器、LED灯；</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工作协议：IOS18000-6C；</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通讯接口：USB、RS232、RS485、TCP/IP；</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工作模式：主动模式，应答模式；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工作电压：DC 9-24V 3A；</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设备功耗：≤3W。</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超高频RFID天线</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天线增益：9dBi；</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极化方式：圆极化；</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工作频率：860-940MHz；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阻抗：50Ω；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驻波比：≤1.3；</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轴比：≤2dB；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最大功率：50W；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接口规格：N型外螺纹内孔；</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材质工艺：ABS外壳+铝合金背板；</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工作温度：-40℃~+55℃。</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生产管理信息化维保扩容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原料仓储管理系统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原料种类设置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设置所需原材料的种类。</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供应商设置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设置原材料供应商的信息，包括供应商名称、原材料种类等。</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原料日均消耗量设置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设置每种原材料日均消耗量，以便于统计库存原料足够维持的天数。</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入库登记</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原材料到货入库时，登记入库信息，包括供应商、时间、种类、重量、存储仓库等。</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消耗登记</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登记原材料消耗信息，包括时间、种类、重量、存储仓库等。</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仓储统计</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①　入库统计：以日、周、月等维度统计各种类原材料入库量。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②　消耗统计：以日、周、月等维度统计各种类原材料的消耗量。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③　库存统计：统计当前仓库各种类原材料的剩余量，并统计每种原材足够使用的时间。</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菌棒冷库管理管理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出入库管理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成品菌棒出/入库时通过识别门识别货架上的RFID标签进行自动出/入库货架登记，完成以货架为基础单位的菌棒成品出入库管理。</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实时记录不同冷库成品菌棒库存数量，包括菌棒品种、入库时间、批次等数据信息。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库存盘点</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支持对库存进行全面的盘点，包括盘点时间、盘点人、盘点结果等信息，根据盘点结果自动生产库存盘点报表。</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库存预警</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机制设置，支持根据入库品种、数量、时间等数据项分别设置库存预警阈值以及不同的预警方式；库存预警：实时库存情况触发预警时，根据预设机制发布报警，报警可选择系统内预警、手机短信通知等不同方式。</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数据报表分析</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全面展示库存系统的数据状况，为库存管理提供决策支持。系统根据库存记录数据自动生成库存数量、库存周转率、销售等不同报表，以表格、图像等不同方式展示，支持编辑、导出等功能。</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菌菇采收管理系统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采收扫码登记</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采收人员通过智能电子称对置物框上的二维码进行扫码称重，并录入采收相关信息，上传采收成果，采收记录包括采收人员、采收时间、品种、产品等级、数量等信息。</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统计分析</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采收统计：按天、周、月等不同维度统计不同人员采收的品种、等级、数量等信息。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菌菇管理移动端</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信息查询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支持通过手机扫码、电子称扫码与智能手持机RFID识别，读取菌菇置物框或菌棒流转架录入信息，包括采收登记记录、出库记录和历史记录。</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采收登记</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采收人员进行采收信息录入，包括采收人员、采收时间、品种、产品等级、数量等信息。支持内置智能电子称中，与电子称的扫码枪和称重数据进行绑定。</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批量库存盘点</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结合智能手持扫码机上RFID识别功能，快速批量读取流转架信息，对冷库库存进行快速盘点，并自动计算盘点结果。</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数据协同与决策支持</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物联数据交换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将七河生物现有的物联设备，通过接口的数据传输方式，统一对接实时上传至农高区物联网信息中心平台中。</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企业平台对接</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园区将现有生产管理平台中相关的生产、销售数据等数据，统一对接实时上传至农高区物联网信息中心平台中。将原有系统组织架构、用户信息等对接至本项目园区平台。将系统中的生产及库存相关数据通过</w:t>
            </w:r>
            <w:r>
              <w:rPr>
                <w:rFonts w:hint="eastAsia" w:ascii="宋体" w:hAnsi="宋体" w:cs="宋体"/>
                <w:i w:val="0"/>
                <w:iCs w:val="0"/>
                <w:color w:val="auto"/>
                <w:sz w:val="18"/>
                <w:szCs w:val="18"/>
                <w:highlight w:val="none"/>
                <w:u w:val="none"/>
                <w:lang w:val="en-US" w:eastAsia="zh-CN" w:bidi="ar"/>
              </w:rPr>
              <w:t xml:space="preserve">交换</w:t>
            </w:r>
            <w:r>
              <w:rPr>
                <w:rFonts w:hint="eastAsia" w:ascii="宋体" w:hAnsi="宋体" w:eastAsia="宋体" w:cs="宋体"/>
                <w:i w:val="0"/>
                <w:iCs w:val="0"/>
                <w:color w:val="auto"/>
                <w:sz w:val="18"/>
                <w:szCs w:val="18"/>
                <w:highlight w:val="none"/>
                <w:u w:val="none"/>
                <w:lang w:val="en-US" w:eastAsia="zh-CN" w:bidi="ar"/>
              </w:rPr>
              <w:t xml:space="preserve">数据接口的方式，实时传输给七河生物现有的生产管理平台中。</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七河生物菌菇园区可视化管理系统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对各园区内不同功能区全景三维建模，并展示园区当年度综合情况，包括生产情况、销售情况、园区分布等。</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通过对接布置在园区内的各类传感器（如温湿度传感器、光照传感器、土壤水分传感器、土壤养分传感器、二氧化碳浓度传感器等），实时采集并结合三维模型进行数据展示。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东海现代农业产业园</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东海现代农业产业园区数字化维保扩容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数字化温室环境监测维保扩容</w:t>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温室环境监测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1.空气温湿度传感器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温度量程：-30℃-85℃,分辨率：0.1℃，精度：±0.2℃；</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湿度量程：5%-100%，分辨率：3°，最大允许误差：±3%；</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输出信号 RS485（ModBus协议）。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2.光照强度传感器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光照强度传感器：光照度量程：0-200000Lux，精度：±7%；</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输出信号 RS485(ModBus协议)。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3.二氧化碳浓度传感器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二氧化碳含量传感器：量程：0～5000ppm，分辨率1ppm；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输出信号 RS485(ModBus协议)。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4.数据采集网关</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数据采集、数据无线传输、集成箱、电源</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18"/>
                <w:szCs w:val="18"/>
                <w:highlight w:val="none"/>
                <w:lang w:val="en-US" w:eastAsia="zh-CN"/>
              </w:rPr>
              <w:t xml:space="preserve">注：标注▲项需提供具有CMA认证的检验报告原件扫描件（需加盖有投标人公章），检验报告内容需体现该项参数要求。</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土壤墒情监测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土壤温度测量范围：-30℃~70℃ ,分辨率：0. 1 ℃ ,精度： ±0.2 ℃</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土壤湿度测量范围：0~ 100%，分辨率：0. 1%，精度：±0.2%</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1、400万红外高清球机，焦距 4.7- 110mm，23倍光学,红外100米,支持智能侦测、智能录像、智能编码等智能功能，支持H.265编码；</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2、支架等必要的安装配件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3、存储卡：不小于256G存储卡；</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4、流量卡：3年视频流量卡，每月不少于30G流量。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5、基础浇筑、安装调试、相关辅材</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生产设施智能化维保扩容</w:t>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喷灌系统改造维保</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1.拆除原有损坏的喷头，统一堆放至园区内指定地点；</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2.新装喷淋系统喷头800个，</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安装接口：6.0内锥接口，</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喷水孔径：1.5mm，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喷洒角度：360度旋转，</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参考半径：3-5米；</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3.管道维护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喷淋管道维护所需的施工及相关辅材</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智能环境控制柜改造维保</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1.控制设备启停：支持手自切换，实现三位立体控制现场手动控制、自身策略自动控制，远程电脑或移动终端控制；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2.具备边缘计算功能的控制器内置PID算法，既可接收物云数据指令，可脱离云端自成系统独立运行，最大限度地减少了物联网系统因云端通信因素而造成控制中断风险和大大减少了物联网系统部署周期和</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连接成本</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3.输入电压：AC220V；</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4.防护措施：内置过流、过压、防雷击</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18"/>
                <w:szCs w:val="18"/>
                <w:highlight w:val="none"/>
                <w:lang w:val="en-US" w:eastAsia="zh-CN"/>
              </w:rPr>
              <w:t xml:space="preserve">注：标注▲项需提供具有CMA认证的检验报告原件扫描件（需加盖有投标人公章），检验报告内容需体现该项参数要求。</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移动端应用程序维保扩容</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生产管理移动端</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拓展</w:t>
            </w:r>
            <w:r>
              <w:rPr>
                <w:rFonts w:hint="eastAsia" w:ascii="宋体" w:hAnsi="宋体" w:eastAsia="宋体" w:cs="宋体"/>
                <w:i w:val="0"/>
                <w:iCs w:val="0"/>
                <w:color w:val="auto"/>
                <w:sz w:val="18"/>
                <w:szCs w:val="18"/>
                <w:highlight w:val="none"/>
                <w:u w:val="none"/>
                <w:lang w:val="en-US" w:eastAsia="zh-CN" w:bidi="ar"/>
              </w:rPr>
              <w:t xml:space="preserve">一套移动端应用，实现在手机端实时查看温室环境参数的变化和远程控制温室各类设备，支持对单个温室进行单独控制。</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园区生产监测可视化管理系统</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对各园区内不同功能区全景三维建模，并展示园区当年度综合情况，包括生产情况、销售情况、园区分布等。</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实时监测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通过对接布置在园区内的各类传感器（如温湿度传感器、光照传感器、土壤水分传感器、土壤养分传感器、二氧化碳浓度传感器等），实时采集并结合三维模型进行数据展示。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自动化调控</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根据环境监测数据，远程智能控制喷灌系统、施肥系统、保温系统等农业设施，如适时启动灌溉、调节温室温度和湿度、控制遮阳网的开闭等。</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智慧农业产业园</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智慧农业产业园智能化扩容改造</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智能化设施设备维护扩容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视频监控设备扩容改造</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红外筒型网络摄像机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成像器件：1/2.8英寸逐行扫描CMOS图像传感器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有效像素：200万</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镜头参数：视场角（水平）：4mm：84.3°；6mm：53.8°；8mm：40.3°；12mm：27.2°</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视场角（垂直）：4mm：42.8°；6mm：29.3°；8mm：22.2°；12mm：14.9°</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视场角（倾斜）：4mm：103.7°；6mm：66.1°；8mm：49.6°；12mm：33.4°</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电子快门：1-1/10000秒纠错</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日夜切换方式：自动红外滤片切换</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白平衡：自动/手动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增益：自动/手动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宽动态：120dB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降噪：2D、3D</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分辨率：1920×1080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压缩格式：超级265、H.265、H.264、MJPEG</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视频帧率：30fps</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网络协议：L2TP、IPv4、IGMP、ICMP、ARP、TCP、DHCP、PPPoE、RTP、RTSP、DNS、DDNS、NTP、FTP、HTTP、HTTPS、SIP、SNMP等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防护等级：IP66</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电源电压：DC 12V±15%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电源功率：≤7.5W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立杆、设备支架、网线等辅助材料</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红外球形网络摄像机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产品外形：球形</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成像色彩：彩色</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存储方式：网络存储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有效像素：500万</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镜头参数：5~165mm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最低照度：0.003lux(F1.5~F4.0，AGC ON)，0lux(开启红外)</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动态侦测：120dB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分辨率：5MP（2880*1620）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压缩格式：H.265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视频帧率：30FPS</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压缩码率：双码流，最大码流6路；</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网络接口：10M/100M自适应网口</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防护等级：IP66，支持4KV防雷</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电源电压 DC12V（±10%)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电源功率 29W MAX；</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光学变倍：33倍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红外补光150米，音频1入1出，告警2入1出</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内存卡：256G；</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立杆、设备支架、网线等辅助材料</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智能喷淋系统维护扩容</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1.拆除原有损坏的喷头；</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2.新装喷淋系统喷头400个，</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安装接口：6.0内锥接口，</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喷水孔径：1.5mm，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喷洒角度：360度旋转，</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参考半径：3-5米；</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3.喷淋管道维护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喷淋管道疏通修复。</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滴灌系统维护扩容</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1.拆除原有损坏的支管、毛细管、滴箭；</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2.更换支管：支管1500米，PE20；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3.更换滴箭及毛细管：带稳流器滴箭套装，滴箭6000个，每个毛细管长度不小于50cm。</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水肥系统扩容改造</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1.拆除原有已损坏的水肥机；</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2.更换物联网水肥一体机参数：</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1)物联网屏，</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2)1.5Kw立式泵，</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3)2通道吸肥口，进口高频电磁阀，</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4)带EC/PH传感器，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5)精准配肥功能，</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6)支持EC混肥和水肥比混肥两种模式，方便用户计量管理。 EC混肥自动模式下采用模糊PID智能控制，稳定ec和ph数值，</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7)可预留进行数据实时监测的端口（包含土壤、气象、压力、流量等数据），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color w:val="auto"/>
                <w:sz w:val="18"/>
                <w:szCs w:val="18"/>
                <w:highlight w:val="none"/>
                <w:u w:val="none"/>
                <w:lang w:val="en-US" w:eastAsia="zh-CN" w:bidi="ar"/>
              </w:rPr>
              <w:t xml:space="preserve">8)支持现场本地控制，后台联网、手机app操控，设定阈值自动控制；</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3.增加水泵一台，与现有水泵切换一用一备。水泵:功率不小于11000W;流量不小于20m’/h;扬程不小于30米;电压380V。</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生产管理移动端</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拓展</w:t>
            </w:r>
            <w:r>
              <w:rPr>
                <w:rFonts w:hint="eastAsia" w:ascii="宋体" w:hAnsi="宋体" w:eastAsia="宋体" w:cs="宋体"/>
                <w:i w:val="0"/>
                <w:iCs w:val="0"/>
                <w:color w:val="auto"/>
                <w:sz w:val="18"/>
                <w:szCs w:val="18"/>
                <w:highlight w:val="none"/>
                <w:u w:val="none"/>
                <w:lang w:val="en-US" w:eastAsia="zh-CN" w:bidi="ar"/>
              </w:rPr>
              <w:t xml:space="preserve">一套移动端应用，实现在手机端实时查看温室环境参数的变化和远程控制温室各类设备，支持根据分配用户权限对不同大棚的监控查看及设备控制权限。</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物联数据交换</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将园区现有的物联设备，通过接口的数据传输方式，统一对接实时上传至农高区物联网信息中心平台中。</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园区可视化管理系统</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对各园区内不同功能区全景三维建模，并展示园区当年度综合情况，包括生产情况、经营情况、园区分布等。</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实时监测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通过对接布置在园区内的各类传感器（如温湿度传感器、光照传感器、土壤水分传感器、土壤养分传感器、二氧化碳浓度传感器等），实时采集并结合三维模型进行数据监测。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农高区物联网信息中心</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农高区物联网信息中心智能化扩容改造</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物联网中心智能交互系统维护扩容</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指挥交互系统维护扩容</w:t>
            </w:r>
            <w:r/>
          </w:p>
        </w:tc>
        <w:tc>
          <w:tcPr>
            <w:shd w:val="clear" w:color="auto" w:fill="auto"/>
            <w:tcW w:w="0" w:type="auto"/>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面板尺寸：46吋</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拼缝3.5mm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分辨率：1920*1080</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色彩数：16.7M</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刷新率：60Hz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响应时间：8ms</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语音交互系统</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无线麦克风</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1.传输方式：无线</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2.频带宽度：50MHz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3.最大偏频：±48KHz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4.信噪比：＞90DB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5.工作电压：3V</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6.供电方式：内置可充电电池，支持USB充电线直冲</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7.配件：充电电池，防滑圈，充电线，话筒帽，转接头</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1.低音：6.5寸 </w:t>
            </w:r>
            <w:r>
              <w:rPr>
                <w:rFonts w:hint="eastAsia" w:ascii="宋体" w:hAnsi="宋体" w:eastAsia="宋体" w:cs="宋体"/>
                <w:color w:val="auto"/>
                <w:sz w:val="18"/>
                <w:szCs w:val="18"/>
                <w:highlight w:val="none"/>
                <w:u w:val="none"/>
                <w:lang w:val="en-US" w:eastAsia="zh-CN" w:bidi="ar"/>
              </w:rPr>
              <w:t xml:space="preserve"> 同轴喇叭 80磁25芯玻纤盆</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2.高音：20芯钕铁盆</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3.额定功率：30W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4.峰值功率：60W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5.灵敏度：90dB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6.频率响应：20Hz-20KHz</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7.额定阻抗：8Ω</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8.输入方式：线柱。</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9.设备安装调试</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trHeight w:val="23"/>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功放机</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安全保护：短路保护，过载保护，高温保护，限幅保护，直流保护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独立4通道功率放大器</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输出功率：立体声8欧：150W×4 </w:t>
            </w:r>
            <w:r>
              <w:rPr>
                <w:rFonts w:hint="eastAsia" w:ascii="宋体" w:hAnsi="宋体" w:eastAsia="宋体" w:cs="宋体"/>
                <w:color w:val="auto"/>
                <w:sz w:val="18"/>
                <w:szCs w:val="18"/>
                <w:highlight w:val="none"/>
                <w:u w:val="none"/>
                <w:lang w:val="en-US" w:eastAsia="zh-CN" w:bidi="ar"/>
              </w:rPr>
              <w:t xml:space="preserve">  (8W/1KHz  RMS THD+N 1%)</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最小输出阻抗：</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立体声模式：2.8W-3 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桥接模式：8 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输入阻抗：10K-20K</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输入灵敏度：1V (8W/1KHz </w:t>
            </w:r>
            <w:r>
              <w:rPr>
                <w:rFonts w:hint="eastAsia" w:ascii="宋体" w:hAnsi="宋体" w:eastAsia="宋体" w:cs="宋体"/>
                <w:color w:val="auto"/>
                <w:sz w:val="18"/>
                <w:szCs w:val="18"/>
                <w:highlight w:val="none"/>
                <w:u w:val="none"/>
                <w:lang w:val="en-US" w:eastAsia="zh-CN" w:bidi="ar"/>
              </w:rPr>
              <w:t xml:space="preserve"> RMS THD+N 1%)</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最大输入信号幅度：5.2V</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信噪比：≥80dB（8W/1KHz </w:t>
            </w:r>
            <w:r>
              <w:rPr>
                <w:rFonts w:hint="eastAsia" w:ascii="宋体" w:hAnsi="宋体" w:eastAsia="宋体" w:cs="宋体"/>
                <w:color w:val="auto"/>
                <w:sz w:val="18"/>
                <w:szCs w:val="18"/>
                <w:highlight w:val="none"/>
                <w:u w:val="none"/>
                <w:lang w:val="en-US" w:eastAsia="zh-CN" w:bidi="ar"/>
              </w:rPr>
              <w:t xml:space="preserve"> RMS THD+N 1%）</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频率响应：±1dB（20Hz~20KHz 70%功率）</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电压增益：68dB（8W/1KHz </w:t>
            </w:r>
            <w:r>
              <w:rPr>
                <w:rFonts w:hint="eastAsia" w:ascii="宋体" w:hAnsi="宋体" w:eastAsia="宋体" w:cs="宋体"/>
                <w:color w:val="auto"/>
                <w:sz w:val="18"/>
                <w:szCs w:val="18"/>
                <w:highlight w:val="none"/>
                <w:u w:val="none"/>
                <w:lang w:val="en-US" w:eastAsia="zh-CN" w:bidi="ar"/>
              </w:rPr>
              <w:t xml:space="preserve"> RMS THD+N 1%）</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上升速率：36V/uS（8W/10KHz </w:t>
            </w:r>
            <w:r>
              <w:rPr>
                <w:rFonts w:hint="eastAsia" w:ascii="宋体" w:hAnsi="宋体" w:eastAsia="宋体" w:cs="宋体"/>
                <w:color w:val="auto"/>
                <w:sz w:val="18"/>
                <w:szCs w:val="18"/>
                <w:highlight w:val="none"/>
                <w:u w:val="none"/>
                <w:lang w:val="en-US" w:eastAsia="zh-CN" w:bidi="ar"/>
              </w:rPr>
              <w:t xml:space="preserve"> RMS THD+N 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可视化多元数据采集设备</w:t>
            </w:r>
            <w:r/>
          </w:p>
        </w:tc>
        <w:tc>
          <w:tcPr>
            <w:gridSpan w:val="2"/>
            <w:shd w:val="clear" w:color="auto" w:fill="auto"/>
            <w:tcW w:w="0" w:type="auto"/>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航拍无人机、存储设备、操作员培训，相机稳定器等</w:t>
            </w:r>
            <w:r/>
          </w:p>
        </w:tc>
        <w:tc>
          <w:tcPr>
            <w:shd w:val="clear" w:color="auto" w:fill="auto"/>
            <w:tcW w:w="0" w:type="auto"/>
            <w:vAlign w:val="center"/>
            <w:textDirection w:val="lrTb"/>
            <w:noWrap w:val="false"/>
          </w:tcPr>
          <w:p>
            <w:pPr>
              <w:jc w:val="both"/>
              <w:keepLines w:val="0"/>
              <w:keepNext w:val="0"/>
              <w:widowControl/>
              <w:rPr>
                <w:rFonts w:hint="eastAsia" w:ascii="Times New Roman" w:hAnsi="Times New Roman" w:eastAsia="宋体" w:cs="Times New Roman"/>
                <w:color w:val="auto"/>
                <w:sz w:val="18"/>
                <w:szCs w:val="18"/>
                <w:highlight w:val="none"/>
              </w:rPr>
              <w:suppressLineNumbers w:val="0"/>
            </w:pPr>
            <w:r>
              <w:rPr>
                <w:rFonts w:hint="eastAsia" w:ascii="Times New Roman" w:hAnsi="Times New Roman" w:eastAsia="宋体" w:cs="Times New Roman"/>
                <w:color w:val="auto"/>
                <w:sz w:val="18"/>
                <w:szCs w:val="18"/>
                <w:highlight w:val="none"/>
                <w:lang w:val="en-US" w:eastAsia="zh-CN"/>
              </w:rPr>
              <w:t xml:space="preserve">1.</w:t>
            </w:r>
            <w:r>
              <w:rPr>
                <w:rFonts w:hint="eastAsia" w:ascii="Times New Roman" w:hAnsi="Times New Roman" w:eastAsia="宋体" w:cs="Times New Roman"/>
                <w:color w:val="auto"/>
                <w:sz w:val="18"/>
                <w:szCs w:val="18"/>
                <w:highlight w:val="none"/>
              </w:rPr>
              <w:t xml:space="preserve">长 21</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毫米，宽 </w:t>
            </w:r>
            <w:r>
              <w:rPr>
                <w:rFonts w:hint="eastAsia" w:ascii="Times New Roman" w:hAnsi="Times New Roman" w:eastAsia="宋体" w:cs="Times New Roman"/>
                <w:color w:val="auto"/>
                <w:sz w:val="18"/>
                <w:szCs w:val="18"/>
                <w:highlight w:val="none"/>
                <w:lang w:val="en-US" w:eastAsia="zh-CN"/>
              </w:rPr>
              <w:t xml:space="preserve">100</w:t>
            </w:r>
            <w:r>
              <w:rPr>
                <w:rFonts w:hint="eastAsia"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毫米，高</w:t>
            </w:r>
            <w:r>
              <w:rPr>
                <w:rFonts w:hint="eastAsia" w:ascii="Times New Roman" w:hAnsi="Times New Roman" w:eastAsia="宋体" w:cs="Times New Roman"/>
                <w:color w:val="auto"/>
                <w:sz w:val="18"/>
                <w:szCs w:val="18"/>
                <w:highlight w:val="none"/>
                <w:lang w:val="en-US" w:eastAsia="zh-CN"/>
              </w:rPr>
              <w:t xml:space="preserve">90</w:t>
            </w:r>
            <w:r>
              <w:rPr>
                <w:rFonts w:hint="eastAsia"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 毫米，展开（不带桨）：长 26</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毫米，宽 325±</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毫米，高 10</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毫米；</w:t>
            </w:r>
            <w:r>
              <w:rPr>
                <w:rFonts w:hint="eastAsia" w:ascii="Times New Roman" w:hAnsi="Times New Roman" w:eastAsia="宋体" w:cs="Times New Roman"/>
                <w:color w:val="auto"/>
                <w:sz w:val="18"/>
                <w:szCs w:val="18"/>
                <w:highlight w:val="none"/>
                <w:lang w:val="en-US" w:eastAsia="zh-CN"/>
              </w:rPr>
              <w:t xml:space="preserve">机重：不低于720g;</w:t>
            </w:r>
            <w:r>
              <w:rPr>
                <w:rFonts w:hint="eastAsia" w:ascii="Times New Roman" w:hAnsi="Times New Roman" w:eastAsia="宋体" w:cs="Times New Roman"/>
                <w:color w:val="auto"/>
                <w:sz w:val="18"/>
                <w:szCs w:val="18"/>
                <w:highlight w:val="none"/>
              </w:rPr>
              <w:br/>
            </w:r>
            <w:r>
              <w:rPr>
                <w:rFonts w:hint="eastAsia" w:ascii="Times New Roman" w:hAnsi="Times New Roman" w:eastAsia="宋体" w:cs="Times New Roman"/>
                <w:color w:val="auto"/>
                <w:sz w:val="18"/>
                <w:szCs w:val="18"/>
                <w:highlight w:val="none"/>
              </w:rPr>
              <w:t xml:space="preserve">2.最大升降速度：10米/秒；</w:t>
            </w:r>
            <w:r>
              <w:rPr>
                <w:rFonts w:hint="eastAsia" w:ascii="Times New Roman" w:hAnsi="Times New Roman" w:eastAsia="宋体" w:cs="Times New Roman"/>
                <w:color w:val="auto"/>
                <w:sz w:val="18"/>
                <w:szCs w:val="18"/>
                <w:highlight w:val="none"/>
              </w:rPr>
              <w:br/>
            </w:r>
            <w:r>
              <w:rPr>
                <w:rFonts w:hint="eastAsia" w:ascii="Times New Roman" w:hAnsi="Times New Roman" w:eastAsia="宋体" w:cs="Times New Roman"/>
                <w:color w:val="auto"/>
                <w:sz w:val="18"/>
                <w:szCs w:val="18"/>
                <w:highlight w:val="none"/>
              </w:rPr>
              <w:t xml:space="preserve">3.最长飞行时间：</w:t>
            </w:r>
            <w:r>
              <w:rPr>
                <w:rFonts w:hint="eastAsia" w:ascii="Times New Roman" w:hAnsi="Times New Roman" w:eastAsia="宋体" w:cs="Times New Roman"/>
                <w:color w:val="auto"/>
                <w:sz w:val="18"/>
                <w:szCs w:val="18"/>
                <w:highlight w:val="none"/>
                <w:lang w:val="en-US" w:eastAsia="zh-CN"/>
              </w:rPr>
              <w:t xml:space="preserve">不低于</w:t>
            </w:r>
            <w:r>
              <w:rPr>
                <w:rFonts w:hint="eastAsia" w:ascii="Times New Roman" w:hAnsi="Times New Roman" w:eastAsia="宋体" w:cs="Times New Roman"/>
                <w:color w:val="auto"/>
                <w:sz w:val="18"/>
                <w:szCs w:val="18"/>
                <w:highlight w:val="none"/>
              </w:rPr>
              <w:t xml:space="preserve">45分钟；</w:t>
            </w:r>
            <w:r>
              <w:rPr>
                <w:rFonts w:hint="eastAsia" w:ascii="Times New Roman" w:hAnsi="Times New Roman" w:eastAsia="宋体" w:cs="Times New Roman"/>
                <w:color w:val="auto"/>
                <w:sz w:val="18"/>
                <w:szCs w:val="18"/>
                <w:highlight w:val="none"/>
              </w:rPr>
              <w:br/>
            </w:r>
            <w:r>
              <w:rPr>
                <w:rFonts w:hint="eastAsia" w:ascii="Times New Roman" w:hAnsi="Times New Roman" w:eastAsia="宋体" w:cs="Times New Roman"/>
                <w:color w:val="auto"/>
                <w:sz w:val="18"/>
                <w:szCs w:val="18"/>
                <w:highlight w:val="none"/>
              </w:rPr>
              <w:t xml:space="preserve">4.最大续航里程：</w:t>
            </w:r>
            <w:r>
              <w:rPr>
                <w:rFonts w:hint="eastAsia" w:ascii="Times New Roman" w:hAnsi="Times New Roman" w:eastAsia="宋体" w:cs="Times New Roman"/>
                <w:color w:val="auto"/>
                <w:sz w:val="18"/>
                <w:szCs w:val="18"/>
                <w:highlight w:val="none"/>
                <w:lang w:val="en-US" w:eastAsia="zh-CN"/>
              </w:rPr>
              <w:t xml:space="preserve">不低于</w:t>
            </w:r>
            <w:r>
              <w:rPr>
                <w:rFonts w:hint="eastAsia" w:ascii="Times New Roman" w:hAnsi="Times New Roman" w:eastAsia="宋体" w:cs="Times New Roman"/>
                <w:color w:val="auto"/>
                <w:sz w:val="18"/>
                <w:szCs w:val="18"/>
                <w:highlight w:val="none"/>
              </w:rPr>
              <w:t xml:space="preserve">3</w:t>
            </w:r>
            <w:r>
              <w:rPr>
                <w:rFonts w:hint="eastAsia" w:ascii="Times New Roman" w:hAnsi="Times New Roman" w:eastAsia="宋体" w:cs="Times New Roman"/>
                <w:color w:val="auto"/>
                <w:sz w:val="18"/>
                <w:szCs w:val="18"/>
                <w:highlight w:val="none"/>
                <w:lang w:val="en-US" w:eastAsia="zh-CN"/>
              </w:rPr>
              <w:t xml:space="preserve">0</w:t>
            </w:r>
            <w:r>
              <w:rPr>
                <w:rFonts w:hint="eastAsia" w:ascii="Times New Roman" w:hAnsi="Times New Roman" w:eastAsia="宋体" w:cs="Times New Roman"/>
                <w:color w:val="auto"/>
                <w:sz w:val="18"/>
                <w:szCs w:val="18"/>
                <w:highlight w:val="none"/>
              </w:rPr>
              <w:t xml:space="preserve">公里；</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5.最大抗风速度：12米/秒；</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6.卫星导航系统：GPS + Galileo + BeiDou；</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7.机载内存：不小于42GB；</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8.影像传感器   广角相机：1 英寸 CMOS，有效像素 5000 万，中长焦相机：1/1.3 英寸 CMOS，有效像素 4800 万；</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9.镜头：广角相机  视角（FOV）：84°，等效焦距：24 mm，光圈：f/1.8；</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中长焦相机  视角（FOV）：35°，等效焦距：70 mm，光圈：f/2.8；</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10.图片格式：JPEG/DNG（RAW）；</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11.视频格式：MP4（MPEG-4 AVC/H.264，HEVC/H.265）；</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12.数字变焦  广角相机：1 倍至 2.9 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中长焦相机：3 倍至 9 倍；</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13.感知系统类型：全向双目视觉系统，辅以机身前视激光雷达和底部红外传感器；</w:t>
            </w:r>
            <w:r/>
          </w:p>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14.配备带屏遥控器，自带 5.5 英寸1080p 700 尼特高亮屏;含 ND镜套装、2 块电池、充电管家、单肩包等配件。</w:t>
            </w:r>
            <w:r/>
          </w:p>
          <w:p>
            <w:pPr>
              <w:jc w:val="left"/>
              <w:spacing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15</w:t>
            </w:r>
            <w:r>
              <w:rPr>
                <w:rFonts w:hint="default" w:ascii="宋体" w:hAnsi="宋体" w:eastAsia="宋体" w:cs="宋体"/>
                <w:color w:val="auto"/>
                <w:sz w:val="18"/>
                <w:szCs w:val="18"/>
                <w:highlight w:val="none"/>
                <w:lang w:val="en-US" w:eastAsia="zh-CN" w:bidi="ar-SA"/>
              </w:rPr>
              <w:t xml:space="preserve">.</w:t>
            </w:r>
            <w:r>
              <w:rPr>
                <w:rFonts w:hint="eastAsia" w:ascii="宋体" w:hAnsi="宋体" w:eastAsia="宋体" w:cs="宋体"/>
                <w:color w:val="auto"/>
                <w:sz w:val="18"/>
                <w:szCs w:val="18"/>
                <w:highlight w:val="none"/>
                <w:lang w:val="en-US" w:eastAsia="zh-CN" w:bidi="ar-SA"/>
              </w:rPr>
              <w:t xml:space="preserve">采购人操作员培训（供应商提供一次操作培训服务）</w:t>
            </w:r>
            <w:r/>
          </w:p>
          <w:p>
            <w:pPr>
              <w:jc w:val="both"/>
              <w:keepLines w:val="0"/>
              <w:keepNext w:val="0"/>
              <w:widowControl/>
              <w:rPr>
                <w:rFonts w:hint="eastAsia" w:ascii="Times New Roman" w:hAnsi="Times New Roman" w:eastAsia="宋体" w:cs="Times New Roman"/>
                <w:color w:val="auto"/>
                <w:sz w:val="18"/>
                <w:szCs w:val="18"/>
                <w:highlight w:val="none"/>
                <w:lang w:eastAsia="zh-CN"/>
              </w:rPr>
              <w:suppressLineNumbers w:val="0"/>
            </w:pPr>
            <w:r>
              <w:rPr>
                <w:rFonts w:hint="eastAsia" w:ascii="Times New Roman" w:hAnsi="Times New Roman" w:eastAsia="宋体" w:cs="Times New Roman"/>
                <w:color w:val="auto"/>
                <w:sz w:val="18"/>
                <w:szCs w:val="18"/>
                <w:highlight w:val="none"/>
              </w:rPr>
              <w:t xml:space="preserve">1</w:t>
            </w:r>
            <w:r>
              <w:rPr>
                <w:rFonts w:hint="eastAsia" w:ascii="Times New Roman" w:hAnsi="Times New Roman" w:eastAsia="宋体" w:cs="Times New Roman"/>
                <w:color w:val="auto"/>
                <w:sz w:val="18"/>
                <w:szCs w:val="18"/>
                <w:highlight w:val="none"/>
                <w:lang w:val="en-US" w:eastAsia="zh-CN"/>
              </w:rPr>
              <w:t xml:space="preserve">6</w:t>
            </w:r>
            <w:r>
              <w:rPr>
                <w:rFonts w:hint="eastAsia" w:ascii="Times New Roman" w:hAnsi="Times New Roman" w:eastAsia="宋体" w:cs="Times New Roman"/>
                <w:color w:val="auto"/>
                <w:sz w:val="18"/>
                <w:szCs w:val="18"/>
                <w:highlight w:val="none"/>
              </w:rPr>
              <w:t xml:space="preserve">.移动存储设备</w:t>
            </w:r>
            <w:r>
              <w:rPr>
                <w:rFonts w:hint="eastAsia" w:ascii="Times New Roman" w:hAnsi="Times New Roman" w:eastAsia="宋体" w:cs="Times New Roman"/>
                <w:color w:val="auto"/>
                <w:sz w:val="18"/>
                <w:szCs w:val="18"/>
                <w:highlight w:val="none"/>
                <w:lang w:eastAsia="zh-CN"/>
              </w:rPr>
              <w:t xml:space="preserve">（</w:t>
            </w:r>
            <w:r>
              <w:rPr>
                <w:rFonts w:hint="eastAsia" w:ascii="Times New Roman" w:hAnsi="Times New Roman" w:eastAsia="宋体" w:cs="Times New Roman"/>
                <w:color w:val="auto"/>
                <w:sz w:val="18"/>
                <w:szCs w:val="18"/>
                <w:highlight w:val="none"/>
                <w:lang w:val="en-US" w:eastAsia="zh-CN"/>
              </w:rPr>
              <w:t xml:space="preserve">无人机高速存储卡128G内存2张/台及以上、4T固态硬盘2个/台及以上；</w:t>
            </w:r>
            <w:r>
              <w:rPr>
                <w:rFonts w:hint="eastAsia" w:ascii="Times New Roman" w:hAnsi="Times New Roman" w:eastAsia="宋体" w:cs="Times New Roman"/>
                <w:color w:val="auto"/>
                <w:sz w:val="18"/>
                <w:szCs w:val="18"/>
                <w:highlight w:val="none"/>
                <w:lang w:eastAsia="zh-CN"/>
              </w:rPr>
              <w:t xml:space="preserve">）</w:t>
            </w:r>
            <w:r/>
          </w:p>
          <w:p>
            <w:pPr>
              <w:ind w:left="0" w:right="0"/>
              <w:jc w:val="left"/>
              <w:keepLines w:val="0"/>
              <w:keepNext w:val="0"/>
              <w:spacing w:before="0" w:beforeAutospacing="0" w:after="0" w:afterAutospacing="0" w:line="260" w:lineRule="atLeast"/>
              <w:widowControl/>
              <w:rPr>
                <w:rFonts w:hint="eastAsia" w:ascii="Arial" w:hAnsi="Arial" w:eastAsia="Arial" w:cs="Arial"/>
                <w:color w:val="auto"/>
                <w:sz w:val="18"/>
                <w:szCs w:val="18"/>
                <w:highlight w:val="none"/>
                <w:lang w:val="en-US" w:eastAsia="zh-CN" w:bidi="ar-SA"/>
              </w:rPr>
              <w:pBdr>
                <w:top w:val="none" w:color="auto" w:sz="0" w:space="0"/>
                <w:left w:val="none" w:color="auto" w:sz="0" w:space="0"/>
                <w:bottom w:val="none" w:color="auto" w:sz="0" w:space="0"/>
                <w:right w:val="none" w:color="auto" w:sz="0" w:space="0"/>
              </w:pBdr>
              <w:outlineLvl w:val="1"/>
              <w:suppressLineNumbers w:val="0"/>
            </w:pPr>
            <w:r>
              <w:rPr>
                <w:rFonts w:hint="eastAsia" w:ascii="Times New Roman" w:hAnsi="Times New Roman" w:eastAsia="宋体" w:cs="Times New Roman"/>
                <w:color w:val="auto"/>
                <w:sz w:val="18"/>
                <w:szCs w:val="18"/>
                <w:highlight w:val="none"/>
                <w:lang w:val="en-US" w:eastAsia="zh-CN" w:bidi="ar-SA"/>
              </w:rPr>
              <w:t xml:space="preserve">17.</w:t>
            </w:r>
            <w:r>
              <w:rPr>
                <w:rFonts w:hint="default" w:ascii="Times New Roman" w:hAnsi="Times New Roman" w:eastAsia="宋体" w:cs="Times New Roman"/>
                <w:color w:val="auto"/>
                <w:sz w:val="18"/>
                <w:szCs w:val="18"/>
                <w:highlight w:val="none"/>
                <w:lang w:val="en-US" w:eastAsia="zh-CN" w:bidi="ar-SA"/>
              </w:rPr>
              <w:t xml:space="preserve">相机</w:t>
            </w:r>
            <w:r>
              <w:rPr>
                <w:rFonts w:hint="eastAsia" w:ascii="Times New Roman" w:hAnsi="Times New Roman" w:eastAsia="宋体" w:cs="Times New Roman"/>
                <w:color w:val="auto"/>
                <w:sz w:val="18"/>
                <w:szCs w:val="18"/>
                <w:highlight w:val="none"/>
                <w:lang w:val="en-US" w:eastAsia="zh-CN" w:bidi="ar-SA"/>
              </w:rPr>
              <w:t xml:space="preserve">手持</w:t>
            </w:r>
            <w:r>
              <w:rPr>
                <w:rFonts w:hint="default" w:ascii="Times New Roman" w:hAnsi="Times New Roman" w:eastAsia="宋体" w:cs="Times New Roman"/>
                <w:color w:val="auto"/>
                <w:sz w:val="18"/>
                <w:szCs w:val="18"/>
                <w:highlight w:val="none"/>
                <w:lang w:val="en-US" w:eastAsia="zh-CN" w:bidi="ar-SA"/>
              </w:rPr>
              <w:t xml:space="preserve">稳定器</w:t>
            </w:r>
            <w:r>
              <w:rPr>
                <w:rFonts w:hint="eastAsia" w:ascii="Times New Roman" w:hAnsi="Times New Roman" w:eastAsia="宋体" w:cs="Times New Roman"/>
                <w:color w:val="auto"/>
                <w:sz w:val="18"/>
                <w:szCs w:val="18"/>
                <w:highlight w:val="none"/>
                <w:lang w:val="en-US" w:eastAsia="zh-CN" w:bidi="ar-SA"/>
              </w:rPr>
              <w:t xml:space="preserve">1台（包含云台主体、手柄及延长脚架、双层快装板、镜头控制电机、收纳包及其它相关配件等），</w:t>
            </w:r>
            <w:r>
              <w:rPr>
                <w:rFonts w:hint="default" w:ascii="Times New Roman" w:hAnsi="Times New Roman" w:eastAsia="宋体" w:cs="Times New Roman"/>
                <w:color w:val="auto"/>
                <w:sz w:val="18"/>
                <w:szCs w:val="18"/>
                <w:highlight w:val="none"/>
                <w:lang w:val="en-US" w:eastAsia="zh-CN" w:bidi="ar-SA"/>
              </w:rPr>
              <w:t xml:space="preserve">采用三轴云台设计，云台收纳时尺寸</w:t>
            </w:r>
            <w:r>
              <w:rPr>
                <w:rFonts w:hint="eastAsia" w:ascii="Times New Roman" w:hAnsi="Times New Roman" w:eastAsia="宋体" w:cs="Times New Roman"/>
                <w:color w:val="auto"/>
                <w:sz w:val="18"/>
                <w:szCs w:val="18"/>
                <w:highlight w:val="none"/>
                <w:lang w:val="en-US" w:eastAsia="zh-CN" w:bidi="ar-SA"/>
              </w:rPr>
              <w:t xml:space="preserve">约</w:t>
            </w:r>
            <w:r>
              <w:rPr>
                <w:rFonts w:hint="default" w:ascii="Times New Roman" w:hAnsi="Times New Roman" w:eastAsia="宋体" w:cs="Times New Roman"/>
                <w:color w:val="auto"/>
                <w:sz w:val="18"/>
                <w:szCs w:val="18"/>
                <w:highlight w:val="none"/>
                <w:lang w:val="en-US" w:eastAsia="zh-CN" w:bidi="ar-SA"/>
              </w:rPr>
              <w:t xml:space="preserve">为：长2</w:t>
            </w:r>
            <w:r>
              <w:rPr>
                <w:rFonts w:hint="eastAsia" w:ascii="Times New Roman" w:hAnsi="Times New Roman" w:eastAsia="宋体" w:cs="Times New Roman"/>
                <w:color w:val="auto"/>
                <w:sz w:val="18"/>
                <w:szCs w:val="18"/>
                <w:highlight w:val="none"/>
                <w:lang w:val="en-US" w:eastAsia="zh-CN" w:bidi="ar-SA"/>
              </w:rPr>
              <w:t xml:space="preserve">60</w:t>
            </w:r>
            <w:r>
              <w:rPr>
                <w:rFonts w:hint="default" w:ascii="Times New Roman" w:hAnsi="Times New Roman" w:eastAsia="宋体" w:cs="Times New Roman"/>
                <w:color w:val="auto"/>
                <w:sz w:val="18"/>
                <w:szCs w:val="18"/>
                <w:highlight w:val="none"/>
                <w:lang w:val="en-US" w:eastAsia="zh-CN" w:bidi="ar-SA"/>
              </w:rPr>
              <w:t xml:space="preserve">mm</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宽230mm</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高</w:t>
            </w:r>
            <w:r>
              <w:rPr>
                <w:rFonts w:hint="eastAsia" w:ascii="Times New Roman" w:hAnsi="Times New Roman" w:eastAsia="宋体" w:cs="Times New Roman"/>
                <w:color w:val="auto"/>
                <w:sz w:val="18"/>
                <w:szCs w:val="18"/>
                <w:highlight w:val="none"/>
                <w:lang w:val="en-US" w:eastAsia="zh-CN" w:bidi="ar-SA"/>
              </w:rPr>
              <w:t xml:space="preserve">70</w:t>
            </w:r>
            <w:r>
              <w:rPr>
                <w:rFonts w:hint="default" w:ascii="Times New Roman" w:hAnsi="Times New Roman" w:eastAsia="宋体" w:cs="Times New Roman"/>
                <w:color w:val="auto"/>
                <w:sz w:val="18"/>
                <w:szCs w:val="18"/>
                <w:highlight w:val="none"/>
                <w:lang w:val="en-US" w:eastAsia="zh-CN" w:bidi="ar-SA"/>
              </w:rPr>
              <w:t xml:space="preserve">mm（不含相机、手柄、手柄延长脚架）</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云台重量约为990g</w:t>
            </w:r>
            <w:r>
              <w:rPr>
                <w:rFonts w:hint="eastAsia" w:ascii="Times New Roman" w:hAnsi="Times New Roman" w:eastAsia="宋体" w:cs="Times New Roman"/>
                <w:color w:val="auto"/>
                <w:sz w:val="18"/>
                <w:szCs w:val="18"/>
                <w:highlight w:val="none"/>
                <w:lang w:val="en-US" w:eastAsia="zh-CN" w:bidi="ar-SA"/>
              </w:rPr>
              <w:t xml:space="preserve">，承重约3Kg。</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0" w:type="auto"/>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台/套</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农业产业可视化综合管理系统</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大厅展示系统维护扩容</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对物联网信息中心大厅中的展示系统进行维护扩容，包括大厅的装潢维护，展板内容设计与宣传墙进行内容更换安装。</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研发一套移动端应用程序，以适配移动端页面的显示形式，查看查询农高区各园区的园区综合态势、物联设备运行数据等。</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园区可视化管理系统</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根据农高区32公里范围内的农业产业发展情况进行定制</w:t>
            </w:r>
            <w:r>
              <w:rPr>
                <w:rFonts w:hint="eastAsia" w:ascii="宋体" w:hAnsi="宋体" w:cs="宋体"/>
                <w:i w:val="0"/>
                <w:iCs w:val="0"/>
                <w:color w:val="auto"/>
                <w:sz w:val="18"/>
                <w:szCs w:val="18"/>
                <w:highlight w:val="none"/>
                <w:u w:val="none"/>
                <w:lang w:val="en-US" w:eastAsia="zh-CN" w:bidi="ar"/>
              </w:rPr>
              <w:t xml:space="preserve">拓展</w:t>
            </w:r>
            <w:r>
              <w:rPr>
                <w:rFonts w:hint="eastAsia" w:ascii="宋体" w:hAnsi="宋体" w:eastAsia="宋体" w:cs="宋体"/>
                <w:i w:val="0"/>
                <w:iCs w:val="0"/>
                <w:color w:val="auto"/>
                <w:sz w:val="18"/>
                <w:szCs w:val="18"/>
                <w:highlight w:val="none"/>
                <w:u w:val="none"/>
                <w:lang w:val="en-US" w:eastAsia="zh-CN" w:bidi="ar"/>
              </w:rPr>
              <w:t xml:space="preserve">农高区智慧园区可视化管理系统，以三维地图+三维园区（不包括已有平台进行对接的园区）的方式，结合物联监测，自动化控制，园区综合态势等主体进行定制</w:t>
            </w:r>
            <w:r>
              <w:rPr>
                <w:rFonts w:hint="eastAsia" w:ascii="宋体" w:hAnsi="宋体" w:cs="宋体"/>
                <w:i w:val="0"/>
                <w:iCs w:val="0"/>
                <w:color w:val="auto"/>
                <w:sz w:val="18"/>
                <w:szCs w:val="18"/>
                <w:highlight w:val="none"/>
                <w:u w:val="none"/>
                <w:lang w:val="en-US" w:eastAsia="zh-CN" w:bidi="ar"/>
              </w:rPr>
              <w:t xml:space="preserve">拓展</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物联监测后台管理系统</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设备信息管理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用于管理物联网设备，包含名称、编码、经纬度、基地、舱室、设备类型、运行状态、资产状态信息，支持设备的查询、增加和删除。</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设备信息查看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用于查看单个采集设备的环境采集信息，可查看实时、历史环境信息，包括参数名称、参数值、时间、预警类型、预警内容等信息。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设备控制</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用于生产管理员远程控制设备，包含参数类型（控制）、参数名称、远程开关等信息，支持进行某参数远程开关操作。</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设备预警</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展示设备历史预警信息，包含时间、编码、名称、基地、舱室、预警类型、预警内容（参数名称+参数值+单位）等信息。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预警阈值</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用于进行预警信息配置，包含参数名称、单位、合理范围等信息。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自动化策略</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配置设备的云端远程自动化控制策略，可按照感知参数维度以及固定时间周期维度设置。包含参数名称、定时策略、智能策略。定时策略：执行（单次、每周、每月）、时间段、智能策略：参数名称、单位、开机值、关机值等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管理各个行业的涉农主体，按不同分类如：供应商、项目业主、涉农企业和政府单位等，具体包括主体的名称、地址、企业电话、法人信息、涉及产业、联系人、平台管理员等内容。</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联系人管理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管理涉农主体、基地内的联系人的姓名、电话、职位、职责、邮箱等信息，可对成员信息进行新增、编辑和删除。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可设置联系人为生产管理员，并配置默认密码。设置为生产管理员后可登录手机端远程查看设备信息。</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物联网参数管理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根据物联网设备的参数类型，将参数分类为环境感知或控制类，生成唯一标识、信令参数</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参数集模版管理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定制常见的参数集模板，支持设定数值合理范围和阈值，便于调用</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地块管理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地块信息管理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管理地块名称、关联产业（种植业、林业、渔业、畜牧业、副业）、行政区域、地理位置、面积、负责人，并支持增删改查等操作</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设备报修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报修信息查看</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施工方用户登陆系统后可查看报修信息</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报修跟踪处理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可对报修信息进行跟进操作，维修进度跟踪</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MQTT服务器管理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MQTT服务器管理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设定统一的地址（IP、域名）和服务端口，用于物联网设备通过网关，统一进行数据上传，便于判断设备的状态（未运行/运行中/已废弃），和查看连接服务器的设备列表。新增服务自动化部署脚本。</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大数据基础支撑底座</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物联网数据库</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设计体系化的数据库数据结构，为农业物联网提供基础数据库存储服务。</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第三方物联网对接</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通过提供统一的接口文档、数据格式，支持第三方物联网系统通过接口，按要求传输数据，进行数据对接</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农业平台对接</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按政策要求，将平台的数据、设备数据对接现有的相关省市级农业平台，进行数据收集、数据清洗、数据对接和数据上传。</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系统仪表盘</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系统数据统计</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多维度统计项目信息、设备信息、环境采集信息、省平台对接信息、维修处理信息</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系统设置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角色管理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管理系统角色，可进行增加、删除、修改等操作。</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菜单管理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管理系统菜单，可进行增加、删除、修改等操作。</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用户管理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建立统一的用户中心，管理平台的用户信息，统一注册、登陆接口。</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gridSpan w:val="8"/>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其他相关服务</w:t>
            </w:r>
            <w:r/>
          </w:p>
        </w:tc>
      </w:tr>
      <w:tr>
        <w:trPr>
          <w:trHeight w:val="1840"/>
        </w:trPr>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其他相关服务</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云服务器租赁与管理</w:t>
            </w:r>
            <w:r/>
          </w:p>
        </w:tc>
        <w:tc>
          <w:tcPr>
            <w:gridSpan w:val="2"/>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云服务器租赁与管理</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1、服务器2台配置如下：</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主服务器：通用计算增强型，8核16Gib，50G系统盘，1T数据盘；</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业务服务器：通用计算增强型，8核16Gib，50G系统盘；</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2、共享宽带15M；</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r>
      <w:tr>
        <w:trPr>
          <w:trHeight w:val="23"/>
        </w:trPr>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W w:w="0" w:type="auto"/>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维保服务</w:t>
            </w:r>
            <w:r/>
          </w:p>
        </w:tc>
        <w:tc>
          <w:tcPr>
            <w:gridSpan w:val="2"/>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软硬件维保服务</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免费硬件维护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个项目维保过程中，从现场数据采集、数据传输、数据清洗、数据应用过程中，经历多个节点，任何环节出现问题，都会导致系统应用异常，需定期检查传感器、摄像头、网关的数据传输线路、供电情况，出现异常立刻维修。本项目所有硬件质保期限为3年，三年后根据实际设备运行情况进行单独维修。</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免费软件维护</w:t>
            </w:r>
            <w:r/>
          </w:p>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通过科学的运维管理机制，安排专业的运维人员，定期对软件平台进行检查，定期登录网站检查采集的传感器数据，视频信息是否正常等，软件平台3年免费维保使用。</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r>
    </w:tbl>
    <w:p>
      <w:pPr>
        <w:ind w:firstLine="482"/>
        <w:rPr>
          <w:rFonts w:eastAsia="仿宋"/>
          <w:b/>
          <w:bCs/>
          <w:color w:val="auto"/>
          <w:sz w:val="28"/>
          <w:szCs w:val="28"/>
          <w:highlight w:val="none"/>
        </w:rPr>
        <w:outlineLvl w:val="9"/>
      </w:pPr>
      <w:r>
        <w:rPr>
          <w:rFonts w:eastAsia="仿宋"/>
          <w:b/>
          <w:bCs/>
          <w:color w:val="auto"/>
          <w:sz w:val="28"/>
          <w:szCs w:val="28"/>
          <w:highlight w:val="none"/>
        </w:rPr>
      </w:r>
      <w:r/>
    </w:p>
    <w:p>
      <w:pPr>
        <w:numPr>
          <w:ilvl w:val="0"/>
          <w:numId w:val="0"/>
        </w:numPr>
        <w:ind w:firstLine="205"/>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bookmarkStart w:id="230" w:name="_Toc32172"/>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rPr>
        <w:t xml:space="preserve">服务技术要求：</w:t>
      </w:r>
      <w:r/>
    </w:p>
    <w:p>
      <w:pPr>
        <w:pStyle w:val="710"/>
        <w:ind w:left="0" w:firstLine="205"/>
        <w:pageBreakBefore w:val="0"/>
        <w:spacing w:before="0"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bookmarkStart w:id="231" w:name="_Toc25293"/>
      <w:r>
        <w:rPr>
          <w:rFonts w:hint="eastAsia" w:ascii="Times New Roman" w:hAnsi="Times New Roman" w:eastAsia="宋体" w:cs="Times New Roman"/>
          <w:b/>
          <w:bCs/>
          <w:color w:val="auto"/>
          <w:sz w:val="24"/>
          <w:szCs w:val="24"/>
          <w:highlight w:val="none"/>
          <w:lang w:val="en-US" w:eastAsia="zh-CN" w:bidi="ar-SA"/>
        </w:rPr>
        <w:t xml:space="preserve">3.1江苏东海现代农业（稻麦）科技示范园智慧化</w:t>
      </w:r>
      <w:bookmarkEnd w:id="231"/>
      <w:r>
        <w:rPr>
          <w:rFonts w:hint="eastAsia" w:ascii="宋体" w:hAnsi="宋体" w:eastAsia="宋体" w:cs="宋体"/>
          <w:color w:val="auto"/>
          <w:sz w:val="24"/>
          <w:szCs w:val="24"/>
          <w:highlight w:val="none"/>
          <w:lang w:val="en-US" w:eastAsia="zh-CN"/>
        </w:rPr>
        <w:t xml:space="preserve">维保扩容</w:t>
      </w:r>
      <w:r/>
    </w:p>
    <w:p>
      <w:pPr>
        <w:numPr>
          <w:ilvl w:val="0"/>
          <w:numId w:val="8"/>
        </w:numPr>
        <w:ind w:left="0" w:firstLine="204"/>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数字化环境监测</w:t>
      </w:r>
      <w:r/>
    </w:p>
    <w:p>
      <w:pPr>
        <w:numPr>
          <w:ilvl w:val="0"/>
          <w:numId w:val="9"/>
        </w:numPr>
        <w:ind w:left="0" w:firstLine="480"/>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气象监测站</w:t>
      </w:r>
      <w:r/>
    </w:p>
    <w:p>
      <w:pPr>
        <w:ind w:left="0"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在江苏东海现代农业（稻麦）科技示范园秧苗田边安装1套气象监测站，该气象站采用4G无线传输，太阳能供电。</w:t>
      </w:r>
      <w:r/>
    </w:p>
    <w:p>
      <w:pPr>
        <w:numPr>
          <w:ilvl w:val="0"/>
          <w:numId w:val="9"/>
        </w:numPr>
        <w:ind w:left="0" w:firstLine="480"/>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土壤监测站</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在江苏东海现代农业（稻麦）科技示范园秧苗田内安装3套土壤监测站。该气象站采用4G无线传输，太阳能供电。</w:t>
      </w:r>
      <w:r/>
    </w:p>
    <w:p>
      <w:pPr>
        <w:numPr>
          <w:ilvl w:val="0"/>
          <w:numId w:val="9"/>
        </w:numPr>
        <w:ind w:left="0" w:firstLine="480"/>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视频监控设备</w:t>
      </w:r>
      <w:r/>
    </w:p>
    <w:p>
      <w:pPr>
        <w:ind w:left="0"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购置10套视频监控设备，对秧田与农场环境进行实时监控。</w:t>
      </w:r>
      <w:r/>
    </w:p>
    <w:p>
      <w:pPr>
        <w:numPr>
          <w:ilvl w:val="0"/>
          <w:numId w:val="8"/>
        </w:numPr>
        <w:ind w:left="0" w:firstLine="480"/>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智能化设施应用</w:t>
      </w:r>
      <w:r/>
    </w:p>
    <w:p>
      <w:pPr>
        <w:numPr>
          <w:ilvl w:val="0"/>
          <w:numId w:val="10"/>
        </w:numPr>
        <w:ind w:left="0" w:firstLine="480"/>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全景摄像机</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在园区瞭望塔顶端安装2台高清鹰眼摄像头，全天候监测瞭望塔周围作物，对植物生长期进行实时监测。</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宽带200M</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为切实提升园区信息化建设水平，建设一条带宽不低于200M的高速宽带网络。流水线产能智能监测系统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在</w:t>
      </w:r>
      <w:r>
        <w:rPr>
          <w:rFonts w:hint="eastAsia" w:ascii="Times New Roman" w:hAnsi="Times New Roman" w:eastAsia="宋体" w:cs="Times New Roman"/>
          <w:color w:val="auto"/>
          <w:sz w:val="24"/>
          <w:szCs w:val="24"/>
          <w:highlight w:val="none"/>
          <w:lang w:val="en-US" w:eastAsia="zh-CN" w:bidi="ar-SA"/>
        </w:rPr>
        <w:t xml:space="preserve">园内育秧中心厂区每条智能化育秧流水线上加装1套产能监测设备，共10套，用以监测记录每条流水线育秧盘的产能。</w:t>
      </w:r>
      <w:r/>
    </w:p>
    <w:p>
      <w:pPr>
        <w:numPr>
          <w:ilvl w:val="0"/>
          <w:numId w:val="8"/>
        </w:numPr>
        <w:ind w:left="0" w:firstLine="480"/>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信息化提档维保</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产能监测与工人绩效系统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研发一套产能监测与工人绩效系统，实现自动化秧盘流水线的产能监测，同时根据产线工人职位与分工统计出每个工人单位时间内产生的绩效。</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数据协同共享</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物联设备</w:t>
      </w:r>
      <w:r>
        <w:rPr>
          <w:rFonts w:hint="eastAsia" w:cs="Times New Roman"/>
          <w:color w:val="auto"/>
          <w:sz w:val="24"/>
          <w:szCs w:val="24"/>
          <w:highlight w:val="none"/>
          <w:lang w:val="en-US" w:eastAsia="zh-CN" w:bidi="ar-SA"/>
        </w:rPr>
        <w:t xml:space="preserve">数据交换</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园区</w:t>
      </w:r>
      <w:r>
        <w:rPr>
          <w:rFonts w:hint="eastAsia" w:ascii="Times New Roman" w:hAnsi="Times New Roman" w:eastAsia="宋体" w:cs="Times New Roman"/>
          <w:color w:val="auto"/>
          <w:sz w:val="24"/>
          <w:szCs w:val="24"/>
          <w:highlight w:val="none"/>
          <w:lang w:val="en-US" w:eastAsia="zh-CN" w:bidi="ar-SA"/>
        </w:rPr>
        <w:t xml:space="preserve">在用以及</w:t>
      </w:r>
      <w:r>
        <w:rPr>
          <w:rFonts w:hint="default" w:ascii="Times New Roman" w:hAnsi="Times New Roman" w:eastAsia="宋体" w:cs="Times New Roman"/>
          <w:color w:val="auto"/>
          <w:sz w:val="24"/>
          <w:szCs w:val="24"/>
          <w:highlight w:val="none"/>
          <w:lang w:val="en-US" w:eastAsia="zh-CN" w:bidi="ar-SA"/>
        </w:rPr>
        <w:t xml:space="preserve">本次新部署安装的物联网设备</w:t>
      </w:r>
      <w:r>
        <w:rPr>
          <w:rFonts w:hint="eastAsia" w:ascii="Times New Roman" w:hAnsi="Times New Roman" w:eastAsia="宋体" w:cs="Times New Roman"/>
          <w:color w:val="auto"/>
          <w:sz w:val="24"/>
          <w:szCs w:val="24"/>
          <w:highlight w:val="none"/>
          <w:lang w:val="en-US" w:eastAsia="zh-CN" w:bidi="ar-SA"/>
        </w:rPr>
        <w:t xml:space="preserve">产生的各类型监测数据，通过研发标准数据接口，</w:t>
      </w:r>
      <w:r>
        <w:rPr>
          <w:rFonts w:hint="eastAsia" w:cs="Times New Roman"/>
          <w:color w:val="auto"/>
          <w:sz w:val="24"/>
          <w:szCs w:val="24"/>
          <w:highlight w:val="none"/>
          <w:lang w:val="en-US" w:eastAsia="zh-CN" w:bidi="ar-SA"/>
        </w:rPr>
        <w:t xml:space="preserve">与</w:t>
      </w:r>
      <w:r>
        <w:rPr>
          <w:rFonts w:hint="default" w:ascii="Times New Roman" w:hAnsi="Times New Roman" w:eastAsia="宋体" w:cs="Times New Roman"/>
          <w:color w:val="auto"/>
          <w:sz w:val="24"/>
          <w:szCs w:val="24"/>
          <w:highlight w:val="none"/>
          <w:lang w:val="en-US" w:eastAsia="zh-CN" w:bidi="ar-SA"/>
        </w:rPr>
        <w:t xml:space="preserve">农高区物联网信息中心原系统无障碍数据交换。</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平台</w:t>
      </w:r>
      <w:r>
        <w:rPr>
          <w:rFonts w:hint="eastAsia" w:cs="Times New Roman"/>
          <w:color w:val="auto"/>
          <w:sz w:val="24"/>
          <w:szCs w:val="24"/>
          <w:highlight w:val="none"/>
          <w:lang w:val="en-US" w:eastAsia="zh-CN" w:bidi="ar-SA"/>
        </w:rPr>
        <w:t xml:space="preserve">数据交换</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将</w:t>
      </w:r>
      <w:r>
        <w:rPr>
          <w:rFonts w:hint="eastAsia" w:ascii="Times New Roman" w:hAnsi="Times New Roman" w:eastAsia="宋体" w:cs="Times New Roman"/>
          <w:color w:val="auto"/>
          <w:sz w:val="24"/>
          <w:szCs w:val="24"/>
          <w:highlight w:val="none"/>
          <w:lang w:val="en-US" w:eastAsia="zh-CN" w:bidi="ar-SA"/>
        </w:rPr>
        <w:t xml:space="preserve">江苏东海现代农业（稻麦）科技示范园已自行建设了一套育秧中心管理平台，为避免重复建设，计划以平台对接的方式，将原有系统的展示界面以及相关数据无缝对接至农高区物联网信息中心中。</w:t>
      </w:r>
      <w:r/>
    </w:p>
    <w:p>
      <w:pPr>
        <w:ind w:left="0" w:firstLine="48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bookmarkStart w:id="232" w:name="_Toc20601"/>
      <w:r/>
      <w:r/>
    </w:p>
    <w:p>
      <w:pPr>
        <w:ind w:left="0" w:firstLine="482"/>
        <w:keepLines/>
        <w:keepNext/>
        <w:pageBreakBefore w:val="0"/>
        <w:spacing w:before="0" w:after="0" w:line="360" w:lineRule="auto"/>
        <w:widowControl w:val="off"/>
        <w:rPr>
          <w:rFonts w:hint="eastAsia" w:ascii="Times New Roman" w:hAnsi="Times New Roman" w:eastAsia="宋体" w:cs="Times New Roman"/>
          <w:b/>
          <w:bCs/>
          <w:color w:val="auto"/>
          <w:sz w:val="24"/>
          <w:szCs w:val="24"/>
          <w:highlight w:val="none"/>
          <w:lang w:val="en-US" w:eastAsia="zh-CN" w:bidi="ar-SA"/>
        </w:rPr>
        <w:outlineLvl w:val="9"/>
      </w:pPr>
      <w:r>
        <w:rPr>
          <w:rFonts w:hint="eastAsia" w:ascii="Times New Roman" w:hAnsi="Times New Roman" w:eastAsia="宋体" w:cs="Times New Roman"/>
          <w:b/>
          <w:bCs/>
          <w:color w:val="auto"/>
          <w:sz w:val="24"/>
          <w:szCs w:val="24"/>
          <w:highlight w:val="none"/>
          <w:lang w:val="en-US" w:eastAsia="zh-CN" w:bidi="ar-SA"/>
        </w:rPr>
        <w:t xml:space="preserve">3.2七河生物菌菇生产园区智慧化</w:t>
      </w:r>
      <w:bookmarkEnd w:id="232"/>
      <w:r>
        <w:rPr>
          <w:rFonts w:hint="eastAsia" w:ascii="Times New Roman" w:hAnsi="Times New Roman" w:eastAsia="宋体" w:cs="Times New Roman"/>
          <w:b/>
          <w:bCs/>
          <w:color w:val="auto"/>
          <w:sz w:val="24"/>
          <w:szCs w:val="24"/>
          <w:highlight w:val="none"/>
          <w:lang w:val="en-US" w:eastAsia="zh-CN" w:bidi="ar-SA"/>
        </w:rPr>
        <w:t xml:space="preserve">维保扩容</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生产设施智能化</w:t>
      </w:r>
      <w:r>
        <w:rPr>
          <w:rFonts w:hint="eastAsia" w:ascii="Times New Roman" w:hAnsi="Times New Roman" w:eastAsia="宋体" w:cs="Times New Roman"/>
          <w:b/>
          <w:bCs/>
          <w:color w:val="auto"/>
          <w:sz w:val="24"/>
          <w:szCs w:val="24"/>
          <w:highlight w:val="none"/>
          <w:lang w:val="en-US" w:eastAsia="zh-CN" w:bidi="ar-SA"/>
        </w:rPr>
        <w:t xml:space="preserve">维保扩容</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二维码标签纸</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计划购置15000张二维码标签纸，配合二维码打印机，完成采收置物框二维码标签打印。</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超高频RFID智能手持终端</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购置8台超高频RFID智能手持终端，配合二维码标签与RFID芯片对园区置物框及流转货架进行跟踪管理。</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智能电子称</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购置8台智能电子称，以信息化方式登记成本菌菇采收环节菌菇重量，提高管理水平与生产效率。</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柔性抗金属标签超高频RFID</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购置15000个柔性抗金属标签超高频RFID，对每个流转架进行单独编号，配合通道射频识别系统，对流转架的各生产环节流转进行自动追踪管理。</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超高频RFID读写器</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购置2台超高频RFID读写器，对RFID标签的编号、数据等进行录入变更。</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冷库通道RFID识别系统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购置8套冷库通道RFID识别系统，安装于冷库通道处，实现流转架在进出通道时能够自动识别登记。</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生产管理信息化维保扩容</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原料仓储管理系统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一套原料仓储管理软件系统，以信息化手段提升原料采购与使用环节的管理水平。</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菌棒冷库管理</w:t>
      </w:r>
      <w:r>
        <w:rPr>
          <w:rFonts w:hint="eastAsia" w:ascii="Times New Roman" w:hAnsi="Times New Roman" w:eastAsia="宋体" w:cs="Times New Roman"/>
          <w:color w:val="auto"/>
          <w:sz w:val="24"/>
          <w:szCs w:val="24"/>
          <w:highlight w:val="none"/>
          <w:lang w:val="en-US" w:eastAsia="zh-CN" w:bidi="ar-SA"/>
        </w:rPr>
        <w:t xml:space="preserve">系统</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一套菌棒冷库管理软件系统，结合RFID标签识别对流转架进出冷库实现的自动登记，提升菌棒冷库的管理水平</w:t>
      </w:r>
      <w:r>
        <w:rPr>
          <w:rFonts w:hint="eastAsia" w:cs="Times New Roman"/>
          <w:color w:val="auto"/>
          <w:sz w:val="24"/>
          <w:szCs w:val="24"/>
          <w:highlight w:val="none"/>
          <w:lang w:val="en-US" w:eastAsia="zh-CN" w:bidi="ar-SA"/>
        </w:rPr>
        <w:t xml:space="preserve">。</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菌菇采收管理系统</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一套菌菇采收软件管理系统，实现采收环节信息化，提升采收效率与采收管理水平。</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菌菇管理移动端</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一套菌菇管理移动端应用，对不同人员开放不同功能权限，部署于智能电子称于手持扫码机内，实现快速查询置物框与流转架信息、高效采收登记与快速库存盘点。</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数据协同与决策支持</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数据协同共享</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物联数据</w:t>
      </w:r>
      <w:r>
        <w:rPr>
          <w:rFonts w:hint="eastAsia" w:cs="Times New Roman"/>
          <w:color w:val="auto"/>
          <w:sz w:val="24"/>
          <w:szCs w:val="24"/>
          <w:highlight w:val="none"/>
          <w:lang w:val="en-US" w:eastAsia="zh-CN" w:bidi="ar-SA"/>
        </w:rPr>
        <w:t xml:space="preserve">交换</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将七河生物现有的物联设备，通过接口的数据传输方式，统一对接实时上传至农高区物联网信息中心平台中。</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企业平台对接</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园区将现有生产管理平台中相关的生产、销售数据等数据，统一对接实时上传至农高区物联网信息中心平台中。将原有系统组织架构、用户信息等对接至本项目园区平台。将系统中的生产及库存相关数据通过</w:t>
      </w:r>
      <w:r>
        <w:rPr>
          <w:rFonts w:hint="eastAsia" w:cs="Times New Roman"/>
          <w:color w:val="auto"/>
          <w:sz w:val="24"/>
          <w:szCs w:val="24"/>
          <w:highlight w:val="none"/>
          <w:lang w:val="en-US" w:eastAsia="zh-CN" w:bidi="ar-SA"/>
        </w:rPr>
        <w:t xml:space="preserve">交换</w:t>
      </w:r>
      <w:r>
        <w:rPr>
          <w:rFonts w:hint="default" w:ascii="Times New Roman" w:hAnsi="Times New Roman" w:eastAsia="宋体" w:cs="Times New Roman"/>
          <w:color w:val="auto"/>
          <w:sz w:val="24"/>
          <w:szCs w:val="24"/>
          <w:highlight w:val="none"/>
          <w:lang w:val="en-US" w:eastAsia="zh-CN" w:bidi="ar-SA"/>
        </w:rPr>
        <w:t xml:space="preserve">数据接口的方式，实时传输给七河生物现有的生产管理平台中。</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七河生物菌菇园区可视化管理系统</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综合态势</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对各园区内不同功能区全景三维建模，并展示园区当年度综合情况，包括生产情况、销售情况、园区分布等。</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物联监测</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通过对接布置在园区内的各类传感器（如温湿度传感器、光照传感器、土壤水分传感器、土壤养分传感器、二氧化碳浓度传感器等），实时采集并结合三维模型进行数据展示。</w:t>
      </w:r>
      <w:r/>
    </w:p>
    <w:p>
      <w:pPr>
        <w:ind w:left="0" w:firstLine="48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bookmarkStart w:id="233" w:name="_Toc20202"/>
      <w:r/>
      <w:r/>
    </w:p>
    <w:p>
      <w:pPr>
        <w:ind w:left="0" w:firstLine="482"/>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bidi="ar-SA"/>
        </w:rPr>
        <w:outlineLvl w:val="9"/>
      </w:pPr>
      <w:r>
        <w:rPr>
          <w:rFonts w:hint="eastAsia" w:ascii="Times New Roman" w:hAnsi="Times New Roman" w:eastAsia="宋体" w:cs="Times New Roman"/>
          <w:b/>
          <w:bCs/>
          <w:color w:val="auto"/>
          <w:sz w:val="24"/>
          <w:szCs w:val="24"/>
          <w:highlight w:val="none"/>
          <w:lang w:val="en-US" w:eastAsia="zh-CN" w:bidi="ar-SA"/>
        </w:rPr>
        <w:t xml:space="preserve">3.3东海现代农业产业园区数字化</w:t>
      </w:r>
      <w:bookmarkEnd w:id="233"/>
      <w:r>
        <w:rPr>
          <w:rFonts w:hint="eastAsia" w:ascii="Times New Roman" w:hAnsi="Times New Roman" w:eastAsia="宋体" w:cs="Times New Roman"/>
          <w:b/>
          <w:bCs/>
          <w:color w:val="auto"/>
          <w:sz w:val="24"/>
          <w:szCs w:val="24"/>
          <w:highlight w:val="none"/>
          <w:lang w:val="en-US" w:eastAsia="zh-CN" w:bidi="ar-SA"/>
        </w:rPr>
        <w:t xml:space="preserve">维保扩容</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数字化温室环境监测维保扩容</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温室环境监测</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安装3套温室环境监测设备，实现温室环境自动化监测。</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土壤墒情监测</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安装3套土壤墒情监测设备，实现温室环境自动化监测。</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视频监控</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在3个玻璃大棚内新增3套视频监控设备，实现对大棚内画面实时监控。</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监控设备具备实时视频监控、云台控制（上下左右旋转）、变焦调节、夜视功能、移动侦测、报警通知、远程访问、视频录像与回放等功能。</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移动端小程序维保扩容</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功能描述</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建设一套微信小程序，用以在手机端实时查看温室环境参数的变化和远程控制温室各类设备。</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生产设施智能化维保扩容</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喷灌系统改造维保扩容</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更换气雾式喷头800个以及对现有喷淋管道进行维护。</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智能环境控制柜改造维保</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对园区中3个玻璃温室智能控制柜进行维保改造。</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移动端应用程序维保扩容</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default" w:ascii="Times New Roman" w:hAnsi="Times New Roman" w:eastAsia="宋体" w:cs="Times New Roman"/>
          <w:color w:val="auto"/>
          <w:sz w:val="24"/>
          <w:szCs w:val="24"/>
          <w:highlight w:val="none"/>
          <w:lang w:val="en-US" w:eastAsia="zh-CN" w:bidi="ar-SA"/>
        </w:rPr>
        <w:t xml:space="preserve">一套</w:t>
      </w:r>
      <w:r>
        <w:rPr>
          <w:rFonts w:hint="eastAsia" w:ascii="Times New Roman" w:hAnsi="Times New Roman" w:eastAsia="宋体" w:cs="Times New Roman"/>
          <w:color w:val="auto"/>
          <w:sz w:val="24"/>
          <w:szCs w:val="24"/>
          <w:highlight w:val="none"/>
          <w:lang w:val="en-US" w:eastAsia="zh-CN" w:bidi="ar-SA"/>
        </w:rPr>
        <w:t xml:space="preserve">移动端应用</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实现</w:t>
      </w:r>
      <w:r>
        <w:rPr>
          <w:rFonts w:hint="default" w:ascii="Times New Roman" w:hAnsi="Times New Roman" w:eastAsia="宋体" w:cs="Times New Roman"/>
          <w:color w:val="auto"/>
          <w:sz w:val="24"/>
          <w:szCs w:val="24"/>
          <w:highlight w:val="none"/>
          <w:lang w:val="en-US" w:eastAsia="zh-CN" w:bidi="ar-SA"/>
        </w:rPr>
        <w:t xml:space="preserve">在手机端实时查看温室环境参数的变化和远程控制温室各类设备，</w:t>
      </w:r>
      <w:r>
        <w:rPr>
          <w:rFonts w:hint="eastAsia" w:ascii="Times New Roman" w:hAnsi="Times New Roman" w:eastAsia="宋体" w:cs="Times New Roman"/>
          <w:color w:val="auto"/>
          <w:sz w:val="24"/>
          <w:szCs w:val="24"/>
          <w:highlight w:val="none"/>
          <w:lang w:val="en-US" w:eastAsia="zh-CN" w:bidi="ar-SA"/>
        </w:rPr>
        <w:t xml:space="preserve">支持对单个温室进行单独控制</w:t>
      </w:r>
      <w:r>
        <w:rPr>
          <w:rFonts w:hint="default" w:ascii="Times New Roman" w:hAnsi="Times New Roman" w:eastAsia="宋体" w:cs="Times New Roman"/>
          <w:color w:val="auto"/>
          <w:sz w:val="24"/>
          <w:szCs w:val="24"/>
          <w:highlight w:val="none"/>
          <w:lang w:val="en-US" w:eastAsia="zh-CN" w:bidi="ar-SA"/>
        </w:rPr>
        <w:t xml:space="preserve">。</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园区生产监测可视化管理系统</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本项目通过打造一套园区物联管理系统，对园区内现有以及新增数字化实施进行信息化管理。</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综合态势</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对各园区内不同功能区全景三维建模，并展示园区当年度综合情况。</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实时监测</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通过对接布置在园区内的各类传感器，实时采集并结合三维模型进行数据展示。</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自动化调控</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根据环境监测数据，远程智能控制喷灌系统、施肥系统、保温系统等农业设施，如适时启动灌溉、调节温室温度和湿度、控制遮阳网的开闭等。</w:t>
      </w:r>
      <w:r/>
    </w:p>
    <w:p>
      <w:pPr>
        <w:ind w:left="0" w:firstLine="480"/>
        <w:keepLines w:val="0"/>
        <w:keepNext/>
        <w:pageBreakBefore w:val="0"/>
        <w:spacing w:before="0" w:after="0"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bookmarkStart w:id="234" w:name="_Toc26561"/>
      <w:r/>
      <w:r/>
    </w:p>
    <w:p>
      <w:pPr>
        <w:pStyle w:val="710"/>
        <w:ind w:left="0" w:firstLine="482"/>
        <w:keepLines w:val="0"/>
        <w:keepNext/>
        <w:pageBreakBefore w:val="0"/>
        <w:spacing w:before="0"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3.4</w:t>
      </w:r>
      <w:bookmarkEnd w:id="234"/>
      <w:r>
        <w:rPr>
          <w:rFonts w:hint="eastAsia" w:ascii="宋体" w:hAnsi="宋体" w:cs="宋体"/>
          <w:b/>
          <w:bCs/>
          <w:color w:val="auto"/>
          <w:sz w:val="24"/>
          <w:szCs w:val="24"/>
          <w:highlight w:val="none"/>
          <w:lang w:val="en-US" w:eastAsia="zh-CN"/>
        </w:rPr>
        <w:t xml:space="preserve">智慧农业产业园智能化扩容改造</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智能化设施设备维护扩容</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视频监控设备扩容改造</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目前，园区正在使用的部分视频监控设备已出现老化和损坏现象，这不仅影响了农业生产监测的效率，还增加了潜在的安全隐患。因此，购置四套红外筒型网络摄像机、四套红外球形网络摄像机以及对应所需的配件、辅材等，用于替换已损坏的视频监控设备或作为备用，确保其他老化设备在损坏掉线后能够迅速进行维护更换。</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喷淋系统维护</w:t>
      </w:r>
      <w:r>
        <w:rPr>
          <w:rFonts w:hint="default" w:ascii="Times New Roman" w:hAnsi="Times New Roman" w:eastAsia="宋体" w:cs="Times New Roman"/>
          <w:color w:val="auto"/>
          <w:sz w:val="24"/>
          <w:szCs w:val="24"/>
          <w:highlight w:val="none"/>
          <w:lang w:val="en-US" w:eastAsia="zh-CN" w:bidi="ar-SA"/>
        </w:rPr>
        <w:t xml:space="preserve">扩容</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当前园区F号玻璃温室内整个喷淋系统进行维护</w:t>
      </w:r>
      <w:r>
        <w:rPr>
          <w:rFonts w:hint="default" w:ascii="Times New Roman" w:hAnsi="Times New Roman" w:eastAsia="宋体" w:cs="Times New Roman"/>
          <w:color w:val="auto"/>
          <w:sz w:val="24"/>
          <w:szCs w:val="24"/>
          <w:highlight w:val="none"/>
          <w:lang w:val="en-US" w:eastAsia="zh-CN" w:bidi="ar-SA"/>
        </w:rPr>
        <w:t xml:space="preserve">扩容</w:t>
      </w:r>
      <w:r>
        <w:rPr>
          <w:rFonts w:hint="eastAsia" w:ascii="Times New Roman" w:hAnsi="Times New Roman" w:eastAsia="宋体" w:cs="Times New Roman"/>
          <w:color w:val="auto"/>
          <w:sz w:val="24"/>
          <w:szCs w:val="24"/>
          <w:highlight w:val="none"/>
          <w:lang w:val="en-US" w:eastAsia="zh-CN" w:bidi="ar-SA"/>
        </w:rPr>
        <w:t xml:space="preserve">，使喷淋系统能够正常使用。现需整体更换喷头，并对整个喷淋管道进行维护保养。</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滴灌系统维护</w:t>
      </w:r>
      <w:r>
        <w:rPr>
          <w:rFonts w:hint="default" w:ascii="Times New Roman" w:hAnsi="Times New Roman" w:eastAsia="宋体" w:cs="Times New Roman"/>
          <w:color w:val="auto"/>
          <w:sz w:val="24"/>
          <w:szCs w:val="24"/>
          <w:highlight w:val="none"/>
          <w:lang w:val="en-US" w:eastAsia="zh-CN" w:bidi="ar-SA"/>
        </w:rPr>
        <w:t xml:space="preserve">扩容</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当前园区F号玻璃温室内的灌溉经过多年使用，水肥控制装置以、灌溉管道以及滴箭都继续维修更换，以保证生产能够正常进行。</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F号玻璃温室当前的滴灌系统已无法正常使用，需要进行维护</w:t>
      </w:r>
      <w:r>
        <w:rPr>
          <w:rFonts w:hint="default" w:ascii="Times New Roman" w:hAnsi="Times New Roman" w:eastAsia="宋体" w:cs="Times New Roman"/>
          <w:color w:val="auto"/>
          <w:sz w:val="24"/>
          <w:szCs w:val="24"/>
          <w:highlight w:val="none"/>
          <w:lang w:val="en-US" w:eastAsia="zh-CN" w:bidi="ar-SA"/>
        </w:rPr>
        <w:t xml:space="preserve">扩容</w:t>
      </w:r>
      <w:r>
        <w:rPr>
          <w:rFonts w:hint="eastAsia" w:ascii="Times New Roman" w:hAnsi="Times New Roman" w:eastAsia="宋体" w:cs="Times New Roman"/>
          <w:color w:val="auto"/>
          <w:sz w:val="24"/>
          <w:szCs w:val="24"/>
          <w:highlight w:val="none"/>
          <w:lang w:val="en-US" w:eastAsia="zh-CN" w:bidi="ar-SA"/>
        </w:rPr>
        <w:t xml:space="preserve">，保证滴灌系统正常运转。</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水肥系统</w:t>
      </w:r>
      <w:r>
        <w:rPr>
          <w:rFonts w:hint="default" w:ascii="Times New Roman" w:hAnsi="Times New Roman" w:eastAsia="宋体" w:cs="Times New Roman"/>
          <w:color w:val="auto"/>
          <w:sz w:val="24"/>
          <w:szCs w:val="24"/>
          <w:highlight w:val="none"/>
          <w:lang w:val="en-US" w:eastAsia="zh-CN" w:bidi="ar-SA"/>
        </w:rPr>
        <w:t xml:space="preserve">扩容</w:t>
      </w:r>
      <w:r>
        <w:rPr>
          <w:rFonts w:hint="eastAsia" w:ascii="Times New Roman" w:hAnsi="Times New Roman" w:eastAsia="宋体" w:cs="Times New Roman"/>
          <w:color w:val="auto"/>
          <w:sz w:val="24"/>
          <w:szCs w:val="24"/>
          <w:highlight w:val="none"/>
          <w:lang w:val="en-US" w:eastAsia="zh-CN" w:bidi="ar-SA"/>
        </w:rPr>
        <w:t xml:space="preserve">改造</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当前F号玻璃温室内的水肥系统经过多年的使用，其中线路控制系统及相关设备已出现老化现象，导致无法正常进行水肥灌溉，先打算将原有水肥机进行拆除，更换一套物联网水肥一体机，满足当前作物的灌溉需要。</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生产管理移动端</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default" w:ascii="Times New Roman" w:hAnsi="Times New Roman" w:eastAsia="宋体" w:cs="Times New Roman"/>
          <w:color w:val="auto"/>
          <w:sz w:val="24"/>
          <w:szCs w:val="24"/>
          <w:highlight w:val="none"/>
          <w:lang w:val="en-US" w:eastAsia="zh-CN" w:bidi="ar-SA"/>
        </w:rPr>
        <w:t xml:space="preserve">一套</w:t>
      </w:r>
      <w:r>
        <w:rPr>
          <w:rFonts w:hint="eastAsia" w:ascii="Times New Roman" w:hAnsi="Times New Roman" w:eastAsia="宋体" w:cs="Times New Roman"/>
          <w:color w:val="auto"/>
          <w:sz w:val="24"/>
          <w:szCs w:val="24"/>
          <w:highlight w:val="none"/>
          <w:lang w:val="en-US" w:eastAsia="zh-CN" w:bidi="ar-SA"/>
        </w:rPr>
        <w:t xml:space="preserve">移动端应用</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实现</w:t>
      </w:r>
      <w:r>
        <w:rPr>
          <w:rFonts w:hint="default" w:ascii="Times New Roman" w:hAnsi="Times New Roman" w:eastAsia="宋体" w:cs="Times New Roman"/>
          <w:color w:val="auto"/>
          <w:sz w:val="24"/>
          <w:szCs w:val="24"/>
          <w:highlight w:val="none"/>
          <w:lang w:val="en-US" w:eastAsia="zh-CN" w:bidi="ar-SA"/>
        </w:rPr>
        <w:t xml:space="preserve">在手机端实时查看温室环境参数的变化和远程控制温室各类设备，</w:t>
      </w:r>
      <w:r>
        <w:rPr>
          <w:rFonts w:hint="eastAsia" w:ascii="Times New Roman" w:hAnsi="Times New Roman" w:eastAsia="宋体" w:cs="Times New Roman"/>
          <w:color w:val="auto"/>
          <w:sz w:val="24"/>
          <w:szCs w:val="24"/>
          <w:highlight w:val="none"/>
          <w:lang w:val="en-US" w:eastAsia="zh-CN" w:bidi="ar-SA"/>
        </w:rPr>
        <w:t xml:space="preserve">支持根据</w:t>
      </w:r>
      <w:r>
        <w:rPr>
          <w:rFonts w:hint="default" w:ascii="Times New Roman" w:hAnsi="Times New Roman" w:eastAsia="宋体" w:cs="Times New Roman"/>
          <w:color w:val="auto"/>
          <w:sz w:val="24"/>
          <w:szCs w:val="24"/>
          <w:highlight w:val="none"/>
          <w:lang w:val="en-US" w:eastAsia="zh-CN" w:bidi="ar-SA"/>
        </w:rPr>
        <w:t xml:space="preserve">分配用户</w:t>
      </w:r>
      <w:r>
        <w:rPr>
          <w:rFonts w:hint="eastAsia" w:ascii="Times New Roman" w:hAnsi="Times New Roman" w:eastAsia="宋体" w:cs="Times New Roman"/>
          <w:color w:val="auto"/>
          <w:sz w:val="24"/>
          <w:szCs w:val="24"/>
          <w:highlight w:val="none"/>
          <w:lang w:val="en-US" w:eastAsia="zh-CN" w:bidi="ar-SA"/>
        </w:rPr>
        <w:t xml:space="preserve">权限</w:t>
      </w:r>
      <w:r>
        <w:rPr>
          <w:rFonts w:hint="default" w:ascii="Times New Roman" w:hAnsi="Times New Roman" w:eastAsia="宋体" w:cs="Times New Roman"/>
          <w:color w:val="auto"/>
          <w:sz w:val="24"/>
          <w:szCs w:val="24"/>
          <w:highlight w:val="none"/>
          <w:lang w:val="en-US" w:eastAsia="zh-CN" w:bidi="ar-SA"/>
        </w:rPr>
        <w:t xml:space="preserve">对不同大棚的监控查看及设备控制权限。</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数据协同共享</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物联数据交换</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将园区现有的物联设备，通过接口的数据传输方式，统一对接实时上传至农高区物联网信息中心平台中。</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园区生产可视化管理系统</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综合态势</w:t>
      </w:r>
      <w:r/>
    </w:p>
    <w:p>
      <w:pPr>
        <w:ind w:left="0" w:firstLine="480"/>
        <w:keepLines w:val="0"/>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对各园区内不同功能区全景三维建模，并展示园区当年度综合情况，包括生产情况、经营情况、园区分布等。</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实时监测</w:t>
      </w:r>
      <w:r/>
    </w:p>
    <w:p>
      <w:pPr>
        <w:ind w:left="0" w:firstLine="480"/>
        <w:keepLines w:val="0"/>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通过对接布置在园区内的各类传感器（如温湿度传感器、光照传感器、土壤水分传感器、土壤养分传感器、二氧化碳浓度传感器等），实时采集并结合三维模型进行数据监测。</w:t>
      </w:r>
      <w:r/>
    </w:p>
    <w:p>
      <w:pPr>
        <w:ind w:left="0" w:firstLine="480"/>
        <w:keepLines/>
        <w:keepNext/>
        <w:pageBreakBefore w:val="0"/>
        <w:spacing w:before="0" w:after="0"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bookmarkStart w:id="235" w:name="_Toc26248"/>
      <w:r/>
      <w:r/>
    </w:p>
    <w:p>
      <w:pPr>
        <w:pStyle w:val="710"/>
        <w:ind w:left="0" w:firstLine="482"/>
        <w:keepLines/>
        <w:keepNext/>
        <w:pageBreakBefore w:val="0"/>
        <w:spacing w:before="0"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3.5农高区物联网信息中心智能化扩容改造</w:t>
      </w:r>
      <w:bookmarkEnd w:id="235"/>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物联网中心智能交互系统</w:t>
      </w:r>
      <w:r>
        <w:rPr>
          <w:rFonts w:hint="eastAsia" w:ascii="Times New Roman" w:hAnsi="Times New Roman" w:eastAsia="宋体" w:cs="Times New Roman"/>
          <w:color w:val="auto"/>
          <w:sz w:val="24"/>
          <w:szCs w:val="24"/>
          <w:highlight w:val="none"/>
          <w:lang w:val="en-US" w:eastAsia="zh-CN" w:bidi="ar-SA"/>
        </w:rPr>
        <w:t xml:space="preserve">维护扩容</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指挥交互系统维护扩容</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对现有交互系统的显示屏幕进行维护更换。原有交互系统由12块显示屏拼接而成，单块显示屏长度约100cm，高度约60cm。</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语音交互系统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新增语音交互系统，完整物联网信息中心的语音讲解功能。语音系统中包含2只无线麦克风，2台音响设备以及1台功放设备。</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可视化多元数据采集设备</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航拍无人机</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新购置两台先进的航拍无人机。无人机将配备高分辨率的摄像头，具备自动巡航功能，并且能够进行高质量的拍摄。通过先进的技术手段，农业管理人员将能够在不同的农忙季节迅速而准确地了解和掌握辖区内各个农业生产主体的农作物生长情况和作业进度。</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农业产业可视化综合管理系统</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大厅展示系统维护</w:t>
      </w:r>
      <w:r>
        <w:rPr>
          <w:rFonts w:hint="eastAsia" w:ascii="Times New Roman" w:hAnsi="Times New Roman" w:eastAsia="宋体" w:cs="Times New Roman"/>
          <w:color w:val="auto"/>
          <w:sz w:val="24"/>
          <w:szCs w:val="24"/>
          <w:highlight w:val="none"/>
          <w:lang w:val="en-US" w:eastAsia="zh-CN" w:bidi="ar-SA"/>
        </w:rPr>
        <w:t xml:space="preserve">扩容</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对物联网信息中心大厅中的展示系统进行维护扩容，包括大厅的装潢维护，展板内容设计与宣传墙进行内容更换安装。</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移动端应用程序</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研发一套移动端应用程序，以适配移动端页面的显示形式，查看查询农高区各园区的园区综合态势、物联设备运行数据等。</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园区可视化管理系统</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定制</w:t>
      </w: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农高区智慧园区可视化管理系统</w:t>
      </w:r>
      <w:r>
        <w:rPr>
          <w:rFonts w:hint="default" w:ascii="Times New Roman" w:hAnsi="Times New Roman" w:eastAsia="宋体" w:cs="Times New Roman"/>
          <w:color w:val="auto"/>
          <w:sz w:val="24"/>
          <w:szCs w:val="24"/>
          <w:highlight w:val="none"/>
          <w:lang w:val="en-US" w:eastAsia="zh-CN" w:bidi="ar-SA"/>
        </w:rPr>
        <w:t xml:space="preserve">，以三维地图+三维园区（不包括已有平台进行对接的园区）的方式，结合物联监测，自动化控制，园区综合态势等主体进行定制</w:t>
      </w:r>
      <w:r>
        <w:rPr>
          <w:rFonts w:hint="eastAsia" w:cs="Times New Roman"/>
          <w:color w:val="auto"/>
          <w:sz w:val="24"/>
          <w:szCs w:val="24"/>
          <w:highlight w:val="none"/>
          <w:lang w:val="en-US" w:eastAsia="zh-CN" w:bidi="ar-SA"/>
        </w:rPr>
        <w:t xml:space="preserve">拓展</w:t>
      </w:r>
      <w:r>
        <w:rPr>
          <w:rFonts w:hint="default" w:ascii="Times New Roman" w:hAnsi="Times New Roman" w:eastAsia="宋体" w:cs="Times New Roman"/>
          <w:color w:val="auto"/>
          <w:sz w:val="24"/>
          <w:szCs w:val="24"/>
          <w:highlight w:val="none"/>
          <w:lang w:val="en-US" w:eastAsia="zh-CN" w:bidi="ar-SA"/>
        </w:rPr>
        <w:t xml:space="preserve">。</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z w:val="24"/>
          <w:szCs w:val="24"/>
          <w:highlight w:val="none"/>
          <w:lang w:val="en-US" w:eastAsia="zh-CN" w:bidi="ar-SA"/>
        </w:rPr>
        <w:t xml:space="preserve">物联监测后台管理系统</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拓展</w:t>
      </w:r>
      <w:r>
        <w:rPr>
          <w:rFonts w:hint="eastAsia" w:ascii="Times New Roman" w:hAnsi="Times New Roman" w:eastAsia="宋体" w:cs="Times New Roman"/>
          <w:color w:val="auto"/>
          <w:sz w:val="24"/>
          <w:szCs w:val="24"/>
          <w:highlight w:val="none"/>
          <w:lang w:val="en-US" w:eastAsia="zh-CN" w:bidi="ar-SA"/>
        </w:rPr>
        <w:t xml:space="preserve">一套物联监测后台管理系统，根据省物联网数据格式标准，汇集农高区各园区内的物联网设备数据，对各类数据进行统一管理。</w:t>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bookmarkStart w:id="236" w:name="_Toc360"/>
      <w:r>
        <w:rPr>
          <w:rFonts w:hint="eastAsia" w:ascii="Times New Roman" w:hAnsi="Times New Roman" w:eastAsia="宋体" w:cs="Times New Roman"/>
          <w:color w:val="auto"/>
          <w:sz w:val="24"/>
          <w:szCs w:val="24"/>
          <w:highlight w:val="none"/>
          <w:lang w:val="en-US" w:eastAsia="zh-CN" w:bidi="ar-SA"/>
        </w:rPr>
        <w:t xml:space="preserve">其他相关服务</w:t>
      </w:r>
      <w:bookmarkEnd w:id="236"/>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bookmarkStart w:id="237" w:name="_Toc24532"/>
      <w:r>
        <w:rPr>
          <w:rFonts w:hint="eastAsia" w:ascii="Times New Roman" w:hAnsi="Times New Roman" w:eastAsia="宋体" w:cs="Times New Roman"/>
          <w:color w:val="auto"/>
          <w:sz w:val="24"/>
          <w:szCs w:val="24"/>
          <w:highlight w:val="none"/>
          <w:lang w:val="en-US" w:eastAsia="zh-CN" w:bidi="ar-SA"/>
        </w:rPr>
        <w:t xml:space="preserve">项目部署与运维</w:t>
      </w:r>
      <w:bookmarkEnd w:id="237"/>
      <w:r/>
      <w:r/>
    </w:p>
    <w:p>
      <w:pPr>
        <w:ind w:left="0" w:firstLine="480"/>
        <w:keepLines/>
        <w:keepNext/>
        <w:pageBreakBefore w:val="0"/>
        <w:spacing w:before="0" w:after="0" w:line="360" w:lineRule="auto"/>
        <w:widowControl w:val="off"/>
        <w:rPr>
          <w:rFonts w:hint="default"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云服务器租赁与管理</w:t>
      </w:r>
      <w:r/>
    </w:p>
    <w:p>
      <w:pPr>
        <w:ind w:left="0" w:firstLine="480"/>
        <w:keepLines/>
        <w:keepNext/>
        <w:pageBreakBefore w:val="0"/>
        <w:spacing w:before="0" w:after="0"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本项目需配套3年云服务器的租赁与管理服务。</w:t>
      </w:r>
      <w:r/>
    </w:p>
    <w:p>
      <w:pPr>
        <w:ind w:left="0" w:firstLine="48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r/>
    </w:p>
    <w:p>
      <w:pPr>
        <w:pStyle w:val="710"/>
        <w:ind w:left="0" w:firstLine="482"/>
        <w:keepLines/>
        <w:keepNext/>
        <w:pageBreakBefore w:val="0"/>
        <w:spacing w:before="0"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3.6维保服务</w:t>
      </w:r>
      <w:r/>
    </w:p>
    <w:p>
      <w:pPr>
        <w:ind w:left="0" w:firstLine="480"/>
        <w:keepLines/>
        <w:keepNext/>
        <w:pageBreakBefore w:val="0"/>
        <w:spacing w:before="0" w:after="0" w:line="360" w:lineRule="auto"/>
        <w:widowControl w:val="off"/>
        <w:rPr>
          <w:rFonts w:hint="eastAsia" w:ascii="Times New Roman" w:hAnsi="Times New Roman" w:eastAsia="宋体" w:cs="Times New Roman"/>
          <w:i/>
          <w:iCs/>
          <w:color w:val="auto"/>
          <w:sz w:val="24"/>
          <w:szCs w:val="24"/>
          <w:highlight w:val="none"/>
          <w:u w:val="singl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本项目中涉及的硬件及软件，需提供3年的免费维保服务。</w:t>
      </w:r>
      <w:r>
        <w:rPr>
          <w:rFonts w:hint="eastAsia" w:ascii="宋体" w:hAnsi="宋体" w:eastAsia="宋体" w:cs="宋体"/>
          <w:b w:val="0"/>
          <w:i/>
          <w:iCs/>
          <w:color w:val="auto"/>
          <w:sz w:val="24"/>
          <w:szCs w:val="24"/>
          <w:highlight w:val="none"/>
          <w:u w:val="single"/>
          <w:lang w:val="en-US" w:eastAsia="zh-CN" w:bidi="ar-SA"/>
        </w:rPr>
        <w:t xml:space="preserve">供应商提供承诺书，承诺本项目中涉及的硬件及软件，需提供3年的免费维保服务。（承诺函格式自拟）</w:t>
      </w:r>
      <w:r>
        <w:rPr>
          <w:rFonts w:hint="eastAsia" w:ascii="Times New Roman" w:hAnsi="Times New Roman" w:eastAsia="宋体" w:cs="Times New Roman"/>
          <w:i/>
          <w:iCs/>
          <w:color w:val="auto"/>
          <w:sz w:val="24"/>
          <w:szCs w:val="24"/>
          <w:highlight w:val="none"/>
          <w:u w:val="single"/>
          <w:lang w:val="en-US" w:eastAsia="zh-CN" w:bidi="ar-SA"/>
        </w:rPr>
        <w:t xml:space="preserve">服务内容包括：</w:t>
      </w:r>
      <w:r/>
    </w:p>
    <w:p>
      <w:pPr>
        <w:ind w:left="0" w:firstLine="480"/>
        <w:keepLines/>
        <w:keepNext/>
        <w:pageBreakBefore w:val="0"/>
        <w:spacing w:before="0" w:after="0" w:line="360" w:lineRule="auto"/>
        <w:widowControl w:val="off"/>
        <w:rPr>
          <w:rFonts w:hint="default" w:ascii="Times New Roman" w:hAnsi="Times New Roman" w:eastAsia="宋体" w:cs="Times New Roman"/>
          <w:i/>
          <w:iCs/>
          <w:color w:val="auto"/>
          <w:sz w:val="24"/>
          <w:szCs w:val="24"/>
          <w:highlight w:val="none"/>
          <w:u w:val="single"/>
          <w:lang w:val="en-US" w:eastAsia="zh-CN" w:bidi="ar-SA"/>
        </w:rPr>
        <w:outlineLvl w:val="9"/>
      </w:pPr>
      <w:r>
        <w:rPr>
          <w:rFonts w:hint="default" w:ascii="Times New Roman" w:hAnsi="Times New Roman" w:eastAsia="宋体" w:cs="Times New Roman"/>
          <w:i/>
          <w:iCs/>
          <w:color w:val="auto"/>
          <w:sz w:val="24"/>
          <w:szCs w:val="24"/>
          <w:highlight w:val="none"/>
          <w:u w:val="single"/>
          <w:lang w:val="en-US" w:eastAsia="zh-CN" w:bidi="ar-SA"/>
        </w:rPr>
        <w:t xml:space="preserve">硬件维护</w:t>
      </w:r>
      <w:r/>
    </w:p>
    <w:p>
      <w:pPr>
        <w:ind w:left="0" w:firstLine="480"/>
        <w:keepLines/>
        <w:keepNext/>
        <w:pageBreakBefore w:val="0"/>
        <w:spacing w:before="0" w:after="0" w:line="360" w:lineRule="auto"/>
        <w:widowControl w:val="off"/>
        <w:rPr>
          <w:rFonts w:hint="default" w:ascii="Times New Roman" w:hAnsi="Times New Roman" w:eastAsia="宋体" w:cs="Times New Roman"/>
          <w:i/>
          <w:iCs/>
          <w:color w:val="auto"/>
          <w:sz w:val="24"/>
          <w:szCs w:val="24"/>
          <w:highlight w:val="none"/>
          <w:u w:val="single"/>
          <w:lang w:val="en-US" w:eastAsia="zh-CN" w:bidi="ar-SA"/>
        </w:rPr>
        <w:outlineLvl w:val="9"/>
      </w:pPr>
      <w:r>
        <w:rPr>
          <w:rFonts w:hint="default" w:ascii="Times New Roman" w:hAnsi="Times New Roman" w:eastAsia="宋体" w:cs="Times New Roman"/>
          <w:i/>
          <w:iCs/>
          <w:color w:val="auto"/>
          <w:sz w:val="24"/>
          <w:szCs w:val="24"/>
          <w:highlight w:val="none"/>
          <w:u w:val="single"/>
          <w:lang w:val="en-US" w:eastAsia="zh-CN" w:bidi="ar-SA"/>
        </w:rPr>
        <w:t xml:space="preserve">整个项目维保过程中，从现场数据采集、数据传输、数据清洗、数据应用过程中，经历多个节点，任何环节出现问题，都会导致系统应用异常，需定期检查传感器、摄像头、网关的数据传输线路、供电情况，出现异常立刻维修。本项目所有硬件质保期限为3年，三年后根据实际设备运行情况进行单独维修。</w:t>
      </w:r>
      <w:r/>
    </w:p>
    <w:p>
      <w:pPr>
        <w:ind w:left="0" w:firstLine="480"/>
        <w:keepLines/>
        <w:keepNext/>
        <w:pageBreakBefore w:val="0"/>
        <w:spacing w:before="0" w:after="0" w:line="360" w:lineRule="auto"/>
        <w:widowControl w:val="off"/>
        <w:rPr>
          <w:rFonts w:hint="default" w:ascii="Times New Roman" w:hAnsi="Times New Roman" w:eastAsia="宋体" w:cs="Times New Roman"/>
          <w:i/>
          <w:iCs/>
          <w:color w:val="auto"/>
          <w:sz w:val="24"/>
          <w:szCs w:val="24"/>
          <w:highlight w:val="none"/>
          <w:u w:val="single"/>
          <w:lang w:val="en-US" w:eastAsia="zh-CN" w:bidi="ar-SA"/>
        </w:rPr>
        <w:outlineLvl w:val="9"/>
      </w:pPr>
      <w:r>
        <w:rPr>
          <w:rFonts w:hint="default" w:ascii="Times New Roman" w:hAnsi="Times New Roman" w:eastAsia="宋体" w:cs="Times New Roman"/>
          <w:i/>
          <w:iCs/>
          <w:color w:val="auto"/>
          <w:sz w:val="24"/>
          <w:szCs w:val="24"/>
          <w:highlight w:val="none"/>
          <w:u w:val="single"/>
          <w:lang w:val="en-US" w:eastAsia="zh-CN" w:bidi="ar-SA"/>
        </w:rPr>
        <w:t xml:space="preserve">软件维护</w:t>
      </w:r>
      <w:r/>
    </w:p>
    <w:p>
      <w:pPr>
        <w:ind w:left="0" w:firstLine="480"/>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rPr>
        <w:outlineLvl w:val="9"/>
      </w:pPr>
      <w:r>
        <w:rPr>
          <w:rFonts w:hint="default" w:ascii="Times New Roman" w:hAnsi="Times New Roman" w:eastAsia="宋体" w:cs="Times New Roman"/>
          <w:i/>
          <w:iCs/>
          <w:color w:val="auto"/>
          <w:sz w:val="24"/>
          <w:szCs w:val="24"/>
          <w:highlight w:val="none"/>
          <w:u w:val="single"/>
          <w:lang w:val="en-US" w:eastAsia="zh-CN" w:bidi="ar-SA"/>
        </w:rPr>
        <w:t xml:space="preserve">通过科学的运维管理机制，安排专业的运维人员，定期对软件平台进行检查，定期登录网站检查采集的传感器数据，视频信息是否正常等，软件平台3年免费维保</w:t>
      </w:r>
      <w:r>
        <w:rPr>
          <w:rFonts w:hint="eastAsia" w:ascii="Times New Roman" w:hAnsi="Times New Roman" w:eastAsia="宋体" w:cs="Times New Roman"/>
          <w:i/>
          <w:iCs/>
          <w:color w:val="auto"/>
          <w:sz w:val="24"/>
          <w:szCs w:val="24"/>
          <w:highlight w:val="none"/>
          <w:u w:val="single"/>
          <w:lang w:val="en-US" w:eastAsia="zh-CN" w:bidi="ar-SA"/>
        </w:rPr>
        <w:t xml:space="preserve">服务</w:t>
      </w:r>
      <w:r>
        <w:rPr>
          <w:rFonts w:hint="default" w:ascii="Times New Roman" w:hAnsi="Times New Roman" w:eastAsia="宋体" w:cs="Times New Roman"/>
          <w:i/>
          <w:iCs/>
          <w:color w:val="auto"/>
          <w:sz w:val="24"/>
          <w:szCs w:val="24"/>
          <w:highlight w:val="none"/>
          <w:u w:val="single"/>
          <w:lang w:val="en-US" w:eastAsia="zh-CN" w:bidi="ar-SA"/>
        </w:rPr>
        <w:t xml:space="preserve">。</w:t>
      </w:r>
      <w:r/>
    </w:p>
    <w:p>
      <w:pPr>
        <w:ind w:left="0" w:firstLine="480"/>
        <w:pageBreakBefore w:val="0"/>
        <w:spacing w:line="360" w:lineRule="auto"/>
        <w:widowControl w:val="off"/>
        <w:rPr>
          <w:rFonts w:hint="default" w:ascii="宋体" w:hAnsi="宋体" w:eastAsia="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注：具体建设内容详见“服务（标的）配套软硬件内容”</w:t>
      </w:r>
      <w:bookmarkEnd w:id="230"/>
      <w:r/>
      <w:r/>
    </w:p>
    <w:p>
      <w:pPr>
        <w:ind w:left="0" w:firstLine="482"/>
        <w:jc w:val="both"/>
        <w:pageBreakBefore w:val="0"/>
        <w:spacing w:line="360" w:lineRule="auto"/>
        <w:widowControl w:val="off"/>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、项目</w:t>
      </w:r>
      <w:r>
        <w:rPr>
          <w:rFonts w:ascii="宋体" w:hAnsi="宋体" w:eastAsia="宋体" w:cs="宋体"/>
          <w:b/>
          <w:color w:val="auto"/>
          <w:sz w:val="24"/>
          <w:szCs w:val="24"/>
          <w:highlight w:val="none"/>
        </w:rPr>
        <w:t xml:space="preserve">实施</w:t>
      </w:r>
      <w:r>
        <w:rPr>
          <w:rFonts w:hint="eastAsia" w:ascii="宋体" w:hAnsi="宋体" w:eastAsia="宋体" w:cs="宋体"/>
          <w:b/>
          <w:color w:val="auto"/>
          <w:sz w:val="24"/>
          <w:szCs w:val="24"/>
          <w:highlight w:val="none"/>
        </w:rPr>
        <w:t xml:space="preserve">要求</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1.需求明确与分析</w:t>
      </w:r>
      <w:r/>
    </w:p>
    <w:p>
      <w:pPr>
        <w:ind w:left="0" w:firstLine="480"/>
        <w:jc w:val="both"/>
        <w:pageBreakBefore w:val="0"/>
        <w:spacing w:line="360" w:lineRule="auto"/>
        <w:widowControl w:val="off"/>
        <w:tabs>
          <w:tab w:val="left" w:pos="720" w:leader="none"/>
        </w:tabs>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：在项目启动阶段，需与客户充分沟通，明确项目目标、功能需求、性能要求等，形成详细的需求文档。</w:t>
      </w:r>
      <w:r/>
    </w:p>
    <w:p>
      <w:pPr>
        <w:ind w:left="0" w:firstLine="480"/>
        <w:jc w:val="both"/>
        <w:pageBreakBefore w:val="0"/>
        <w:spacing w:line="360" w:lineRule="auto"/>
        <w:widowControl w:val="off"/>
        <w:tabs>
          <w:tab w:val="left" w:pos="720" w:leader="none"/>
        </w:tabs>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：通过问卷调查、访谈、原型设计等方式收集需求，并进行需求评审，确保需求的准确性和完整性。</w:t>
      </w:r>
      <w:r/>
    </w:p>
    <w:p>
      <w:pPr>
        <w:ind w:left="0" w:firstLine="480"/>
        <w:jc w:val="both"/>
        <w:pageBreakBefore w:val="0"/>
        <w:spacing w:line="360" w:lineRule="auto"/>
        <w:widowControl w:val="off"/>
        <w:tabs>
          <w:tab w:val="left" w:pos="720" w:leader="none"/>
        </w:tabs>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：需求规格说明书、原型图等。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2.项目计划与进度</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：根据项目规模、复杂度和资源情况，制定详细的项目计划，包括时间节点、任务分配、里程碑等。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：使用项目管理工具进行计划编制和跟踪，确保项目进度透明、可控。</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：项目计划表、甘特图等。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3.技术选型与架构</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：根据项目需求，选择合适的技术栈和架构方案，确保系统的可扩展性、可维护性和安全性。</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：进行技术调研和评估，确定技术选型，并设计系统架构图。</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：技术选型报告、系统架构图等。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4.团队组建与分工</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：根据项目需求，组建跨职能团队，明确各成员的职责和分工。</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：根据团队成员的技能和经验，进行合理的任务分配和角色定位。</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：团队组建方案、任务分配表等。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5.质量控制与测试</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：建立质量控制体系，制定测试计划和测试策略，确保软件质量。</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：进行单元测试、集成测试、系统测试等，记录测试结果，及时修复问题。</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：测试计划、测试报告、缺陷跟踪表等。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6. 风险管理与应对</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：识别项目中的潜在风险，制定风险应对措施，确保项目顺利进行。</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：建立风险清单，定期评估风险状态，采取相应的应对措施。</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：风险清单、风险应对计划等。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7.资源配置与管理</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：根据项目需求，合理配置和管理资源，包括人力资源、设备资源、资金资源等。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：制定资源需求计划，监控资源使用情况，确保资源有效利用。</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：资源需求计划、资源使用报告等。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8.沟通与文档规范</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要求</w:t>
      </w:r>
      <w:r>
        <w:rPr>
          <w:rFonts w:hint="eastAsia" w:asciiTheme="minorEastAsia" w:hAnsiTheme="minorEastAsia"/>
          <w:color w:val="auto"/>
          <w:sz w:val="24"/>
          <w:szCs w:val="24"/>
          <w:highlight w:val="none"/>
        </w:rPr>
        <w:t xml:space="preserve">：建立有效的沟通机制，确保项目团队成员之间的信息畅通；制定文档编写规范，确保文档的质量和可读性。</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实施</w:t>
      </w:r>
      <w:r>
        <w:rPr>
          <w:rFonts w:hint="eastAsia" w:asciiTheme="minorEastAsia" w:hAnsiTheme="minorEastAsia"/>
          <w:color w:val="auto"/>
          <w:sz w:val="24"/>
          <w:szCs w:val="24"/>
          <w:highlight w:val="none"/>
        </w:rPr>
        <w:t xml:space="preserve">：定期召开项目会议，使用项目管理工具进行信息同步；制定文档模板和编写指南。</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输出</w:t>
      </w:r>
      <w:r>
        <w:rPr>
          <w:rFonts w:hint="eastAsia" w:asciiTheme="minorEastAsia" w:hAnsiTheme="minorEastAsia"/>
          <w:color w:val="auto"/>
          <w:sz w:val="24"/>
          <w:szCs w:val="24"/>
          <w:highlight w:val="none"/>
        </w:rPr>
        <w:t xml:space="preserve">：会议纪要、项目周报、文档模板等。</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9.其他</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根据采购人的具体需求提供定制化的服务方案，包括但不限于服务体系、服务承诺、服务范围等，明确服务的质量和响应时间标准，项目人员及其各自的角色、职责，并确保服务方案与现有的技术架构兼容。</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应急响应方案，包括但不限于安全应急方案等。明确方案的适用范围，根据突发事件的严重程度和影响范围，设定不同级别的应急预案。在网络发生故障时，能够迅速响应并采取措施，启动应急预案，，制定并测试应急响应计划，以最小化服务中断的影响。在紧急情况下，确保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保持有效沟通。定期组织应急响应培训，提高运维人员的应急响应意识和能力。</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定期对文档进行审查和更新，确保文档内容的时效性和适用性。建立和维护一个知识库，包括文档的分类、编号、存储、备份、更新等各个环节，确保文档的有序性和可追溯性。</w:t>
      </w:r>
      <w:r/>
    </w:p>
    <w:p>
      <w:pPr>
        <w:ind w:left="0" w:firstLine="482"/>
        <w:jc w:val="both"/>
        <w:pageBreakBefore w:val="0"/>
        <w:spacing w:line="360" w:lineRule="auto"/>
        <w:widowControl w:val="off"/>
        <w:rPr>
          <w:rFonts w:asciiTheme="minorEastAsia" w:hAnsiTheme="minorEastAsia"/>
          <w:b/>
          <w:color w:val="auto"/>
          <w:sz w:val="24"/>
          <w:highlight w:val="none"/>
        </w:rPr>
        <w:outlineLvl w:val="1"/>
      </w:pPr>
      <w:r>
        <w:rPr>
          <w:rFonts w:hint="eastAsia" w:asciiTheme="minorEastAsia" w:hAnsiTheme="minorEastAsia"/>
          <w:b/>
          <w:color w:val="auto"/>
          <w:sz w:val="24"/>
          <w:highlight w:val="none"/>
          <w:lang w:val="en-US" w:eastAsia="zh-CN"/>
        </w:rPr>
        <w:t xml:space="preserve">五</w:t>
      </w:r>
      <w:r>
        <w:rPr>
          <w:rFonts w:asciiTheme="minorEastAsia" w:hAnsiTheme="minorEastAsia"/>
          <w:b/>
          <w:color w:val="auto"/>
          <w:sz w:val="24"/>
          <w:highlight w:val="none"/>
        </w:rPr>
        <w:t xml:space="preserve">、</w:t>
      </w:r>
      <w:r>
        <w:rPr>
          <w:rFonts w:hint="eastAsia" w:asciiTheme="minorEastAsia" w:hAnsiTheme="minorEastAsia"/>
          <w:b/>
          <w:color w:val="auto"/>
          <w:sz w:val="24"/>
          <w:highlight w:val="none"/>
        </w:rPr>
        <w:t xml:space="preserve">人员配备要求</w:t>
      </w:r>
      <w:r/>
    </w:p>
    <w:p>
      <w:pPr>
        <w:pStyle w:val="726"/>
        <w:ind w:left="0" w:firstLine="480"/>
        <w:jc w:val="both"/>
        <w:pageBreakBefore w:val="0"/>
        <w:spacing w:after="0" w:line="360" w:lineRule="auto"/>
        <w:widowControl w:val="off"/>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本项目配备项目组成员负责所有设备安装、网络调试，质保期内售后服务等工作，同时配合院方做好验收工作。</w:t>
      </w:r>
      <w:r/>
    </w:p>
    <w:p>
      <w:pPr>
        <w:pStyle w:val="726"/>
        <w:ind w:left="0" w:firstLine="480"/>
        <w:jc w:val="both"/>
        <w:pageBreakBefore w:val="0"/>
        <w:spacing w:after="0" w:line="360" w:lineRule="auto"/>
        <w:widowControl w:val="off"/>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负责人：协调项目全过程的各项工作，把握项目进度、质量把控、产品验收、包装运输、指导安装、调试及验收等，有信息安全管理、网络运行维护等相关经验，及时与采购人对接工作，指导项目团队成员认真完成每一项工作。</w:t>
      </w:r>
      <w:r/>
    </w:p>
    <w:p>
      <w:pPr>
        <w:ind w:left="0" w:firstLine="480"/>
        <w:jc w:val="both"/>
        <w:pageBreakBefore w:val="0"/>
        <w:spacing w:line="360" w:lineRule="auto"/>
        <w:widowControl w:val="off"/>
        <w:rPr>
          <w:rFonts w:hint="default" w:ascii="宋体" w:hAnsi="宋体" w:cs="宋体"/>
          <w:b w:val="0"/>
          <w:bCs w:val="0"/>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项目组成人员需为专业人员且具有参与类似项目的经验，以保证项目实施质量。负责网络的运行维护，根据业务需求调整设备配置。</w:t>
      </w:r>
      <w:r>
        <w:rPr>
          <w:rFonts w:hint="eastAsia" w:ascii="宋体" w:hAnsi="宋体" w:eastAsia="宋体" w:cs="宋体"/>
          <w:color w:val="auto"/>
          <w:sz w:val="24"/>
          <w:szCs w:val="24"/>
          <w:highlight w:val="none"/>
        </w:rPr>
        <w:t xml:space="preserve">系统分析人员负责系统需求分析、架构设计，确保系统满足业务需求并高效运行。系统架构设计人员规划设计系统的整体架构，确保系统的可扩展性、稳定性和安全性。</w:t>
      </w:r>
      <w:r>
        <w:rPr>
          <w:rFonts w:hint="eastAsia" w:cs="宋体" w:asciiTheme="minorEastAsia" w:hAnsiTheme="minorEastAsia"/>
          <w:color w:val="auto"/>
          <w:sz w:val="24"/>
          <w:szCs w:val="24"/>
          <w:highlight w:val="none"/>
        </w:rPr>
        <w:t xml:space="preserve">负责网络系统的建设、维护与管理。负责信息安全管理，制定信息安全标准及相关指引和流程等。</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rPr>
        <w:t xml:space="preserve">服务标准（或成果要求）：</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.1提升农业种植产业数字化水平：通过大数据、物联网、云计算等技术的应用，推动农业数据云平台在农业生产、营销、管理、服务各环节深度融合应用。</w:t>
      </w:r>
      <w:r/>
    </w:p>
    <w:p>
      <w:pPr>
        <w:ind w:left="0" w:firstLine="480"/>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.2提供科学决策支持：通过数据分析，为政府制定农业政策、规划农业产业发展、优化农业资源配置等提供科学依据，面向政府提供农业、农村科学决策支持。</w:t>
      </w:r>
      <w:r/>
    </w:p>
    <w:p>
      <w:pPr>
        <w:ind w:left="0" w:firstLine="480"/>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3提升服务水平：面向公众提供知识库等信息服务，帮助农民和公众了解农业知识、掌握农业技术、提高农业素养。提供农产品质量安全追溯、农产品流通等服务，保障消费者权益，提升农产品品质和市场竞争力。</w:t>
      </w:r>
      <w:r/>
    </w:p>
    <w:p>
      <w:pPr>
        <w:ind w:left="0"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.3促进农业科技创新：通过数据分析和挖掘，发现农业生产中的问题和瓶颈，推动农业技术研发和应用。为农业科技创新提供数据支持和服务保障，加速科技成果转化和应用。</w:t>
      </w:r>
      <w:r/>
    </w:p>
    <w:p>
      <w:pPr>
        <w:ind w:left="0" w:firstLine="482"/>
        <w:jc w:val="left"/>
        <w:pageBreakBefore w:val="0"/>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、保密和知识产权归属</w:t>
      </w:r>
      <w:r/>
    </w:p>
    <w:p>
      <w:pPr>
        <w:ind w:left="0"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.1投标人在成交后，需与采购人签订保密协议，对开发</w:t>
      </w:r>
      <w:r>
        <w:rPr>
          <w:rFonts w:hint="eastAsia" w:ascii="宋体" w:hAnsi="宋体" w:cs="宋体"/>
          <w:color w:val="auto"/>
          <w:sz w:val="24"/>
          <w:highlight w:val="none"/>
          <w:lang w:val="en-US" w:eastAsia="zh-CN"/>
        </w:rPr>
        <w:t xml:space="preserve">拓展</w:t>
      </w:r>
      <w:r>
        <w:rPr>
          <w:rFonts w:hint="eastAsia" w:ascii="宋体" w:hAnsi="宋体" w:cs="宋体"/>
          <w:color w:val="auto"/>
          <w:sz w:val="24"/>
          <w:highlight w:val="none"/>
        </w:rPr>
        <w:t xml:space="preserve">中涉及的相关信息和业务产生的数据信息履行保密义务。</w:t>
      </w:r>
      <w:r/>
    </w:p>
    <w:p>
      <w:pPr>
        <w:ind w:left="0"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.2本项目建设涉及的所有成果、知识产权归采购人所有，中标人不得在项目实施过程中获取的相关内容及成果用于其它用途。 </w:t>
      </w:r>
      <w:r/>
    </w:p>
    <w:p>
      <w:pPr>
        <w:ind w:left="0" w:firstLine="48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i/>
          <w:iCs/>
          <w:color w:val="auto"/>
          <w:sz w:val="24"/>
          <w:highlight w:val="none"/>
          <w:u w:val="single"/>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提供承诺</w:t>
      </w:r>
      <w:r>
        <w:rPr>
          <w:rFonts w:hint="eastAsia" w:ascii="宋体" w:hAnsi="宋体" w:cs="宋体"/>
          <w:i/>
          <w:iCs/>
          <w:color w:val="auto"/>
          <w:sz w:val="24"/>
          <w:highlight w:val="none"/>
          <w:u w:val="single"/>
          <w:lang w:eastAsia="zh-CN"/>
        </w:rPr>
        <w:t xml:space="preserve">）</w:t>
      </w:r>
      <w:r/>
    </w:p>
    <w:p>
      <w:pPr>
        <w:ind w:left="0" w:firstLine="482"/>
        <w:pageBreakBefore w:val="0"/>
        <w:spacing w:line="360" w:lineRule="auto"/>
        <w:widowControl w:val="off"/>
        <w:rPr>
          <w:rFonts w:asciiTheme="minorEastAsia" w:hAnsiTheme="minorEastAsia"/>
          <w:b/>
          <w:color w:val="auto"/>
          <w:sz w:val="24"/>
          <w:highlight w:val="none"/>
        </w:rPr>
        <w:outlineLvl w:val="1"/>
      </w:pPr>
      <w:r>
        <w:rPr>
          <w:rFonts w:hint="eastAsia" w:ascii="宋体" w:hAnsi="宋体" w:cs="宋体"/>
          <w:b/>
          <w:color w:val="auto"/>
          <w:sz w:val="24"/>
          <w:szCs w:val="24"/>
          <w:highlight w:val="none"/>
          <w:lang w:val="en-US" w:eastAsia="zh-CN"/>
        </w:rPr>
        <w:t xml:space="preserve">八、</w:t>
      </w:r>
      <w:r>
        <w:rPr>
          <w:rFonts w:hint="eastAsia" w:asciiTheme="minorEastAsia" w:hAnsiTheme="minorEastAsia"/>
          <w:b/>
          <w:color w:val="auto"/>
          <w:sz w:val="24"/>
          <w:highlight w:val="none"/>
        </w:rPr>
        <w:t xml:space="preserve">培训要求</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1.中标人应负责对采购人单位相关使用人员进行全面的技术培训，</w:t>
      </w:r>
      <w:r>
        <w:rPr>
          <w:color w:val="auto"/>
          <w:sz w:val="24"/>
          <w:szCs w:val="32"/>
          <w:highlight w:val="none"/>
        </w:rPr>
        <w:t xml:space="preserve">主要内容侧重于系统的使用及系统的基本维护、常见问题及解决办法等</w:t>
      </w:r>
      <w:r>
        <w:rPr>
          <w:rFonts w:hint="eastAsia"/>
          <w:color w:val="auto"/>
          <w:sz w:val="24"/>
          <w:szCs w:val="32"/>
          <w:highlight w:val="none"/>
        </w:rPr>
        <w:t xml:space="preserve">，</w:t>
      </w:r>
      <w:r>
        <w:rPr>
          <w:rFonts w:hint="eastAsia" w:asciiTheme="minorEastAsia" w:hAnsiTheme="minorEastAsia"/>
          <w:color w:val="auto"/>
          <w:sz w:val="24"/>
          <w:szCs w:val="24"/>
          <w:highlight w:val="none"/>
        </w:rPr>
        <w:t xml:space="preserve">保证使用人员能独立进行日常维护管理和简易故障处理等工作，以便所使用的软件产品能够正常、安全地运行。 </w:t>
      </w:r>
      <w:r/>
    </w:p>
    <w:p>
      <w:pPr>
        <w:ind w:left="0" w:firstLine="480"/>
        <w:jc w:val="both"/>
        <w:pageBreakBefore w:val="0"/>
        <w:spacing w:line="360" w:lineRule="auto"/>
        <w:widowControl w:val="off"/>
        <w:rPr>
          <w:rFonts w:ascii="宋体" w:hAnsi="宋体" w:eastAsia="宋体" w:cs="Times New Roman"/>
          <w:bCs/>
          <w:color w:val="auto"/>
          <w:sz w:val="24"/>
          <w:szCs w:val="24"/>
          <w:highlight w:val="none"/>
        </w:rPr>
      </w:pPr>
      <w:r>
        <w:rPr>
          <w:rFonts w:hint="eastAsia" w:asciiTheme="minorEastAsia" w:hAnsiTheme="minorEastAsia"/>
          <w:color w:val="auto"/>
          <w:sz w:val="24"/>
          <w:szCs w:val="24"/>
          <w:highlight w:val="none"/>
        </w:rPr>
        <w:t xml:space="preserve">2.中标人的培训对象为系统管理员和系统使用人员，中标人需提供培训教材，</w:t>
      </w:r>
      <w:r>
        <w:rPr>
          <w:rFonts w:hint="eastAsia"/>
          <w:color w:val="auto"/>
          <w:sz w:val="24"/>
          <w:szCs w:val="32"/>
          <w:highlight w:val="none"/>
        </w:rPr>
        <w:t xml:space="preserve">并提供理论与实操相结合的多样化培训方式</w:t>
      </w:r>
      <w:r>
        <w:rPr>
          <w:color w:val="auto"/>
          <w:sz w:val="24"/>
          <w:szCs w:val="32"/>
          <w:highlight w:val="none"/>
        </w:rPr>
        <w:t xml:space="preserve">。采购人负责对培训质量的监控，并有权对培训内容提出改正意见</w:t>
      </w:r>
      <w:r>
        <w:rPr>
          <w:rFonts w:hint="eastAsia"/>
          <w:color w:val="auto"/>
          <w:sz w:val="24"/>
          <w:szCs w:val="32"/>
          <w:highlight w:val="none"/>
        </w:rPr>
        <w:t xml:space="preserve">。</w:t>
      </w:r>
      <w:r/>
    </w:p>
    <w:p>
      <w:pPr>
        <w:ind w:left="0" w:firstLine="482"/>
        <w:jc w:val="both"/>
        <w:pageBreakBefore w:val="0"/>
        <w:spacing w:line="360" w:lineRule="auto"/>
        <w:widowControl w:val="off"/>
        <w:rPr>
          <w:rFonts w:asciiTheme="minorEastAsia" w:hAnsiTheme="minorEastAsia"/>
          <w:color w:val="auto"/>
          <w:sz w:val="24"/>
          <w:szCs w:val="24"/>
          <w:highlight w:val="none"/>
        </w:rPr>
        <w:outlineLvl w:val="1"/>
      </w:pPr>
      <w:r>
        <w:rPr>
          <w:rFonts w:hint="eastAsia" w:asciiTheme="minorEastAsia" w:hAnsiTheme="minorEastAsia"/>
          <w:b/>
          <w:color w:val="auto"/>
          <w:sz w:val="24"/>
          <w:highlight w:val="none"/>
          <w:lang w:val="en-US" w:eastAsia="zh-CN"/>
        </w:rPr>
        <w:t xml:space="preserve">九</w:t>
      </w:r>
      <w:r>
        <w:rPr>
          <w:rFonts w:hint="eastAsia" w:asciiTheme="minorEastAsia" w:hAnsiTheme="minorEastAsia"/>
          <w:b/>
          <w:color w:val="auto"/>
          <w:sz w:val="24"/>
          <w:highlight w:val="none"/>
        </w:rPr>
        <w:t xml:space="preserve">、</w:t>
      </w:r>
      <w:r>
        <w:rPr>
          <w:rFonts w:cs="宋体" w:asciiTheme="minorEastAsia" w:hAnsiTheme="minorEastAsia"/>
          <w:b/>
          <w:color w:val="auto"/>
          <w:sz w:val="24"/>
          <w:szCs w:val="24"/>
          <w:highlight w:val="none"/>
        </w:rPr>
        <w:t xml:space="preserve">售后服务要求</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问题记录与分类</w:t>
      </w:r>
      <w:r>
        <w:rPr>
          <w:rFonts w:hint="eastAsia" w:asciiTheme="minorEastAsia" w:hAnsiTheme="minorEastAsia"/>
          <w:color w:val="auto"/>
          <w:sz w:val="24"/>
          <w:szCs w:val="24"/>
          <w:highlight w:val="none"/>
        </w:rPr>
        <w:t xml:space="preserve">：采购人通过电话、邮件、在线客服等途径反馈问题，售后服务团队需及时记录并归类。</w:t>
      </w:r>
      <w:r>
        <w:rPr>
          <w:rFonts w:asciiTheme="minorEastAsia" w:hAnsiTheme="minorEastAsia"/>
          <w:color w:val="auto"/>
          <w:sz w:val="24"/>
          <w:szCs w:val="24"/>
          <w:highlight w:val="none"/>
        </w:rPr>
        <w:t xml:space="preserve">解决方案制定与实施</w:t>
      </w:r>
      <w:r>
        <w:rPr>
          <w:rFonts w:hint="eastAsia" w:asciiTheme="minorEastAsia" w:hAnsiTheme="minorEastAsia"/>
          <w:color w:val="auto"/>
          <w:sz w:val="24"/>
          <w:szCs w:val="24"/>
          <w:highlight w:val="none"/>
        </w:rPr>
        <w:t xml:space="preserve">：根据问题性质，技术团队制定相应的解决方案，并在第一时间通知采购人。安排技术工程师根据解决方案实施服务，确保问题得到妥善解决。</w:t>
      </w:r>
      <w:r/>
    </w:p>
    <w:p>
      <w:pPr>
        <w:ind w:left="0" w:firstLine="480"/>
        <w:jc w:val="both"/>
        <w:pageBreakBefore w:val="0"/>
        <w:spacing w:line="360" w:lineRule="auto"/>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服务跟踪与评估</w:t>
      </w:r>
      <w:r>
        <w:rPr>
          <w:rFonts w:hint="eastAsia" w:asciiTheme="minorEastAsia" w:hAnsiTheme="minorEastAsia"/>
          <w:color w:val="auto"/>
          <w:sz w:val="24"/>
          <w:szCs w:val="24"/>
          <w:highlight w:val="none"/>
        </w:rPr>
        <w:t xml:space="preserve">：对每次服务进行跟踪和评估，确保采购人对服务结果满意。对于不满意的服务，需持续改进直至采购人满意。</w:t>
      </w:r>
      <w:r/>
    </w:p>
    <w:p>
      <w:pPr>
        <w:ind w:left="0" w:firstLine="480"/>
        <w:jc w:val="both"/>
        <w:pageBreakBefore w:val="0"/>
        <w:spacing w:line="360" w:lineRule="auto"/>
        <w:widowControl w:val="off"/>
        <w:rPr>
          <w:rFonts w:cs="Times New Roman"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维修响应速度</w:t>
      </w:r>
      <w:r>
        <w:rPr>
          <w:rFonts w:hint="eastAsia" w:asciiTheme="minorEastAsia" w:hAnsiTheme="minorEastAsia"/>
          <w:color w:val="auto"/>
          <w:sz w:val="24"/>
          <w:szCs w:val="24"/>
          <w:highlight w:val="none"/>
        </w:rPr>
        <w:t xml:space="preserve">：设立快速响应机制，确保采购人提交维修请求后能在最快时间内得到回复和安排。硬件设备</w:t>
      </w:r>
      <w:r>
        <w:rPr>
          <w:rFonts w:hint="eastAsia" w:cs="Times New Roman" w:asciiTheme="minorEastAsia" w:hAnsiTheme="minorEastAsia"/>
          <w:color w:val="auto"/>
          <w:sz w:val="24"/>
          <w:szCs w:val="24"/>
          <w:highlight w:val="none"/>
        </w:rPr>
        <w:t xml:space="preserve">在1小时内响应，24小时日内解决使用单位提出的维修要求。若超过1个工作日无法解决，由中标人提供性能不低于故障产品的备用产品供采购人使用直至设备维修完成。</w:t>
      </w:r>
      <w:r/>
    </w:p>
    <w:p>
      <w:pPr>
        <w:ind w:left="0" w:firstLine="480"/>
        <w:jc w:val="both"/>
        <w:pageBreakBefore w:val="0"/>
        <w:spacing w:line="360" w:lineRule="auto"/>
        <w:widowControl w:val="off"/>
        <w:rPr>
          <w:rFonts w:ascii="宋体" w:hAnsi="宋体" w:cs="宋体"/>
          <w:color w:val="auto"/>
          <w:sz w:val="24"/>
          <w:szCs w:val="24"/>
          <w:highlight w:val="none"/>
        </w:rPr>
      </w:pP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.运行维护要求：</w:t>
      </w:r>
      <w:r>
        <w:rPr>
          <w:rFonts w:ascii="宋体" w:hAnsi="宋体" w:cs="宋体"/>
          <w:color w:val="auto"/>
          <w:sz w:val="24"/>
          <w:szCs w:val="24"/>
          <w:highlight w:val="none"/>
        </w:rPr>
        <w:t xml:space="preserve">全年7*24小时提供运维服务。运维</w:t>
      </w:r>
      <w:r>
        <w:rPr>
          <w:rFonts w:hint="eastAsia" w:ascii="宋体" w:hAnsi="宋体" w:cs="宋体"/>
          <w:color w:val="auto"/>
          <w:sz w:val="24"/>
          <w:szCs w:val="24"/>
          <w:highlight w:val="none"/>
        </w:rPr>
        <w:t xml:space="preserve">服务</w:t>
      </w:r>
      <w:r>
        <w:rPr>
          <w:rFonts w:ascii="宋体" w:hAnsi="宋体" w:cs="宋体"/>
          <w:color w:val="auto"/>
          <w:sz w:val="24"/>
          <w:szCs w:val="24"/>
          <w:highlight w:val="none"/>
        </w:rPr>
        <w:t xml:space="preserve">范围为本项目</w:t>
      </w:r>
      <w:r>
        <w:rPr>
          <w:rFonts w:hint="eastAsia" w:ascii="宋体" w:hAnsi="宋体" w:cs="宋体"/>
          <w:color w:val="auto"/>
          <w:sz w:val="24"/>
          <w:szCs w:val="24"/>
          <w:highlight w:val="none"/>
        </w:rPr>
        <w:t xml:space="preserve">所有服务内容</w:t>
      </w:r>
      <w:r>
        <w:rPr>
          <w:rFonts w:ascii="宋体" w:hAnsi="宋体" w:cs="宋体"/>
          <w:color w:val="auto"/>
          <w:sz w:val="24"/>
          <w:szCs w:val="24"/>
          <w:highlight w:val="none"/>
        </w:rPr>
        <w:t xml:space="preserve">。</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具体运维服务内容包括但不限于以下内容：</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本项目</w:t>
      </w:r>
      <w:r>
        <w:rPr>
          <w:rFonts w:hint="eastAsia" w:ascii="宋体" w:hAnsi="宋体" w:cs="宋体"/>
          <w:color w:val="auto"/>
          <w:sz w:val="24"/>
          <w:szCs w:val="24"/>
          <w:highlight w:val="none"/>
        </w:rPr>
        <w:t xml:space="preserve">软硬件管理、配置、调整及优化等；</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所需网络保障</w:t>
      </w:r>
      <w:r>
        <w:rPr>
          <w:rFonts w:ascii="宋体" w:hAnsi="宋体" w:cs="宋体"/>
          <w:color w:val="auto"/>
          <w:sz w:val="24"/>
          <w:szCs w:val="24"/>
          <w:highlight w:val="none"/>
        </w:rPr>
        <w:t xml:space="preserve">；</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数据获取及回传连通性测试，确保数据及时有效使用</w:t>
      </w:r>
      <w:r>
        <w:rPr>
          <w:rFonts w:ascii="宋体" w:hAnsi="宋体" w:cs="宋体"/>
          <w:color w:val="auto"/>
          <w:sz w:val="24"/>
          <w:szCs w:val="24"/>
          <w:highlight w:val="none"/>
        </w:rPr>
        <w:t xml:space="preserve">；</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数据备份测试，保障数据完整不丢失</w:t>
      </w:r>
      <w:r>
        <w:rPr>
          <w:rFonts w:ascii="宋体" w:hAnsi="宋体" w:cs="宋体"/>
          <w:color w:val="auto"/>
          <w:sz w:val="24"/>
          <w:szCs w:val="24"/>
          <w:highlight w:val="none"/>
        </w:rPr>
        <w:t xml:space="preserve">；</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定期对</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人员进行培训</w:t>
      </w:r>
      <w:r>
        <w:rPr>
          <w:rFonts w:ascii="宋体" w:hAnsi="宋体" w:cs="宋体"/>
          <w:color w:val="auto"/>
          <w:sz w:val="24"/>
          <w:szCs w:val="24"/>
          <w:highlight w:val="none"/>
        </w:rPr>
        <w:t xml:space="preserve">；</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）做好运维日志和设备运行台账，做好设备资料收集与整理，形成运维</w:t>
      </w:r>
      <w:r>
        <w:rPr>
          <w:rFonts w:hint="eastAsia" w:ascii="宋体" w:hAnsi="宋体" w:cs="宋体"/>
          <w:color w:val="auto"/>
          <w:sz w:val="24"/>
          <w:szCs w:val="24"/>
          <w:highlight w:val="none"/>
        </w:rPr>
        <w:t xml:space="preserve">相关软硬件</w:t>
      </w:r>
      <w:r>
        <w:rPr>
          <w:rFonts w:ascii="宋体" w:hAnsi="宋体" w:cs="宋体"/>
          <w:color w:val="auto"/>
          <w:sz w:val="24"/>
          <w:szCs w:val="24"/>
          <w:highlight w:val="none"/>
        </w:rPr>
        <w:t xml:space="preserve">状况一览表。</w:t>
      </w:r>
      <w:r/>
    </w:p>
    <w:p>
      <w:pPr>
        <w:ind w:left="0" w:firstLine="480"/>
        <w:jc w:val="both"/>
        <w:pageBreakBefore w:val="0"/>
        <w:spacing w:line="360" w:lineRule="auto"/>
        <w:widowControl w:val="off"/>
        <w:rPr>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）发生系统故障、网络故障或其他周围边设备故障时，及时到现场解决故障，包括在不破坏用户重要数据的前提下重装系统。</w:t>
      </w:r>
      <w:r/>
    </w:p>
    <w:p>
      <w:pPr>
        <w:ind w:left="0" w:firstLine="482"/>
        <w:jc w:val="both"/>
        <w:pageBreakBefore w:val="0"/>
        <w:spacing w:line="360" w:lineRule="auto"/>
        <w:widowControl w:val="off"/>
        <w:rPr>
          <w:rFonts w:asciiTheme="minorEastAsia" w:hAnsiTheme="minorEastAsia"/>
          <w:b/>
          <w:color w:val="auto"/>
          <w:sz w:val="24"/>
          <w:highlight w:val="none"/>
        </w:rPr>
        <w:outlineLvl w:val="1"/>
      </w:pPr>
      <w:r>
        <w:rPr>
          <w:rFonts w:hint="eastAsia" w:asciiTheme="minorEastAsia" w:hAnsiTheme="minorEastAsia"/>
          <w:b/>
          <w:color w:val="auto"/>
          <w:sz w:val="24"/>
          <w:highlight w:val="none"/>
          <w:lang w:val="en-US" w:eastAsia="zh-CN"/>
        </w:rPr>
        <w:t xml:space="preserve">十</w:t>
      </w:r>
      <w:r>
        <w:rPr>
          <w:rFonts w:hint="eastAsia" w:asciiTheme="minorEastAsia" w:hAnsiTheme="minorEastAsia"/>
          <w:b/>
          <w:color w:val="auto"/>
          <w:sz w:val="24"/>
          <w:highlight w:val="none"/>
        </w:rPr>
        <w:t xml:space="preserve">、履约验收</w:t>
      </w:r>
      <w:r/>
    </w:p>
    <w:p>
      <w:pPr>
        <w:ind w:left="0" w:firstLine="480"/>
        <w:jc w:val="both"/>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（一）货物部分</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对采购服务（标的）产品进行批次验收。服务和调试验收的标准按行业通行标准、出厂标准和投标文件作为验收依据。中标人按照要求调试完毕并正常运行，功能满足采购清单及技术参数、技术满足质量要求及安全要求，即验收合格。</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付的服务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应将所提供服务的清单、用户手册、原厂保修卡、随机资料及配件工具等交付给采购人；中标人不能完整交付服务及本款规定的单证和工具的，视为未按合同约定交货，应负责补齐，因此导致逾期交付的，由中标人承担相关的违约责任。</w:t>
      </w:r>
      <w:r/>
    </w:p>
    <w:p>
      <w:pPr>
        <w:ind w:left="0" w:firstLine="480"/>
        <w:jc w:val="both"/>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szCs w:val="24"/>
          <w:highlight w:val="none"/>
        </w:rPr>
        <w:t xml:space="preserve">4.</w:t>
      </w:r>
      <w:r>
        <w:rPr>
          <w:rFonts w:ascii="宋体" w:hAnsi="宋体"/>
          <w:color w:val="auto"/>
          <w:sz w:val="24"/>
          <w:highlight w:val="none"/>
        </w:rPr>
        <w:t xml:space="preserve">验收时</w:t>
      </w:r>
      <w:r>
        <w:rPr>
          <w:rFonts w:ascii="宋体" w:hAnsi="宋体" w:eastAsia="宋体" w:cs="Times New Roman"/>
          <w:color w:val="auto"/>
          <w:sz w:val="24"/>
          <w:highlight w:val="none"/>
        </w:rPr>
        <w:t xml:space="preserve">中标人提交有关技术文件、</w:t>
      </w:r>
      <w:r>
        <w:rPr>
          <w:rFonts w:ascii="宋体" w:hAnsi="宋体"/>
          <w:color w:val="auto"/>
          <w:sz w:val="24"/>
          <w:highlight w:val="none"/>
        </w:rPr>
        <w:t xml:space="preserve">成果</w:t>
      </w:r>
      <w:r>
        <w:rPr>
          <w:rFonts w:ascii="宋体" w:hAnsi="宋体" w:eastAsia="宋体" w:cs="Times New Roman"/>
          <w:color w:val="auto"/>
          <w:sz w:val="24"/>
          <w:highlight w:val="none"/>
        </w:rPr>
        <w:t xml:space="preserve">资料、培训文档等所有资料。</w:t>
      </w:r>
      <w:r/>
    </w:p>
    <w:p>
      <w:pPr>
        <w:ind w:left="0" w:firstLine="480"/>
        <w:jc w:val="both"/>
        <w:pageBreakBefore w:val="0"/>
        <w:spacing w:line="36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（二）服务、软件</w:t>
      </w:r>
      <w:r>
        <w:rPr>
          <w:rFonts w:hint="eastAsia" w:ascii="宋体" w:hAnsi="宋体" w:cs="Times New Roman"/>
          <w:bCs/>
          <w:color w:val="auto"/>
          <w:sz w:val="24"/>
          <w:szCs w:val="24"/>
          <w:highlight w:val="none"/>
          <w:lang w:val="en-US" w:eastAsia="zh-CN"/>
        </w:rPr>
        <w:t xml:space="preserve">拓展</w:t>
      </w:r>
      <w:r>
        <w:rPr>
          <w:rFonts w:ascii="宋体" w:hAnsi="宋体" w:eastAsia="宋体" w:cs="Times New Roman"/>
          <w:bCs/>
          <w:color w:val="auto"/>
          <w:sz w:val="24"/>
          <w:szCs w:val="24"/>
          <w:highlight w:val="none"/>
        </w:rPr>
        <w:t xml:space="preserve">部分</w:t>
      </w:r>
      <w:r>
        <w:rPr>
          <w:rFonts w:hint="eastAsia" w:ascii="宋体" w:hAnsi="宋体" w:eastAsia="宋体" w:cs="Times New Roman"/>
          <w:bCs/>
          <w:color w:val="auto"/>
          <w:sz w:val="24"/>
          <w:szCs w:val="24"/>
          <w:highlight w:val="none"/>
        </w:rPr>
        <w:t xml:space="preserve">部分</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1.功能完整性验收</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：确保软件所有模块按照需求规格说明书完整实现，功能逻辑正确，符合预期效果。</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：逐项核对需求规格说明书中的功能点，通过用户操作和演示验证功能的正确性和完整性。</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：所有功能点必须被准确实现，无明显功能遗漏或错误。</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2.性能表现验收</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：评估软件的响应时间、处理速度、资源占用等性能指标。</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：通过性能测试工具或自定义脚本，模拟实际应用场景下的负载情况，测量软件在关键性能指标上的表现。</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：软件应满足预定的性能目标，如响应时间不超过设定阈值，资源占用合理等。</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3.安全性评估验收</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：检查软件的安全机制，包括访问控制、数据加密、安全漏洞等。</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：通过安全测试工具和专业人员的审查，验证软件在安全方面的表现和漏洞防范能力。</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：软件应具备必要的安全措施，能够有效防止常见安全威胁，确保数据安全和用户隐私。</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4.可靠性测试验收</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：评估软件的稳定性和可靠性，包括异常处理、容错能力、崩溃恢复等。</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：通过压力测试、稳定性测试等方法，模拟各种异常和错误情况，观察软件的反应和处理能力。</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：软件应具备良好的容错机制和稳定性，能够在异常情况下正确恢复，保障系统连续运行。</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5.易用性体验验收</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：评估软件的用户界面、操作流程和交互体验。</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：通过用户反馈和用户体验测试，收集用户对软件易用性的评价和意见。</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：软件应具备良好的用户界面设计和简洁的操作流程，方便用户快速上手和使用。</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6.兼容性评估验收</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：验证软件在不同操作系统、浏览器、硬件环境等条件下的兼容性和适应性。</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：在多种平台上运行软件，检查是否存在兼容性问题或异常情况。</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：软件应能够在预定范围内保持高度的兼容性，确保在不同环境下稳定运行。</w:t>
      </w:r>
      <w:r/>
    </w:p>
    <w:p>
      <w:pPr>
        <w:ind w:left="0" w:firstLine="480"/>
        <w:jc w:val="both"/>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7.文档完整性验收</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rPr>
        <w:t xml:space="preserve">：检查项目相关文档的完整性和准确性，包括需求文档、设计文档、测试报告等。</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验收方法</w:t>
      </w:r>
      <w:r>
        <w:rPr>
          <w:rFonts w:hint="eastAsia" w:ascii="宋体" w:hAnsi="宋体" w:eastAsia="宋体" w:cs="Times New Roman"/>
          <w:color w:val="auto"/>
          <w:sz w:val="24"/>
          <w:szCs w:val="24"/>
          <w:highlight w:val="none"/>
        </w:rPr>
        <w:t xml:space="preserve">：逐一审核文档内容，核对文档与实际情况的一致性。</w:t>
      </w:r>
      <w:r/>
    </w:p>
    <w:p>
      <w:pPr>
        <w:ind w:left="0" w:firstLine="480"/>
        <w:jc w:val="both"/>
        <w:pageBreakBefore w:val="0"/>
        <w:spacing w:line="360" w:lineRule="auto"/>
        <w:widowControl w:val="off"/>
        <w:tabs>
          <w:tab w:val="left" w:pos="72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验收标准</w:t>
      </w:r>
      <w:r>
        <w:rPr>
          <w:rFonts w:hint="eastAsia" w:ascii="宋体" w:hAnsi="宋体" w:eastAsia="宋体" w:cs="Times New Roman"/>
          <w:color w:val="auto"/>
          <w:sz w:val="24"/>
          <w:szCs w:val="24"/>
          <w:highlight w:val="none"/>
        </w:rPr>
        <w:t xml:space="preserve">：所有项目相关文档应完整、准确、可读性强，方便后续维护和</w:t>
      </w:r>
      <w:r>
        <w:rPr>
          <w:rFonts w:hint="eastAsia" w:ascii="宋体" w:hAnsi="宋体" w:cs="Times New Roman"/>
          <w:color w:val="auto"/>
          <w:sz w:val="24"/>
          <w:szCs w:val="24"/>
          <w:highlight w:val="none"/>
          <w:lang w:val="en-US" w:eastAsia="zh-CN"/>
        </w:rPr>
        <w:t xml:space="preserve">扩容</w:t>
      </w:r>
      <w:r>
        <w:rPr>
          <w:rFonts w:hint="eastAsia" w:ascii="宋体" w:hAnsi="宋体" w:eastAsia="宋体" w:cs="Times New Roman"/>
          <w:color w:val="auto"/>
          <w:sz w:val="24"/>
          <w:szCs w:val="24"/>
          <w:highlight w:val="none"/>
        </w:rPr>
        <w:t xml:space="preserve">工作。</w:t>
      </w:r>
      <w:r/>
    </w:p>
    <w:p>
      <w:pPr>
        <w:ind w:left="0" w:firstLine="482"/>
        <w:jc w:val="both"/>
        <w:pageBreakBefore w:val="0"/>
        <w:spacing w:line="360" w:lineRule="auto"/>
        <w:widowControl w:val="off"/>
        <w:rPr>
          <w:rFonts w:asciiTheme="minorEastAsia" w:hAnsiTheme="minorEastAsia"/>
          <w:b/>
          <w:color w:val="auto"/>
          <w:sz w:val="24"/>
          <w:highlight w:val="none"/>
        </w:rPr>
        <w:outlineLvl w:val="1"/>
      </w:pPr>
      <w:r>
        <w:rPr>
          <w:rFonts w:hint="eastAsia" w:asciiTheme="minorEastAsia" w:hAnsiTheme="minorEastAsia"/>
          <w:b/>
          <w:color w:val="auto"/>
          <w:sz w:val="24"/>
          <w:highlight w:val="none"/>
        </w:rPr>
        <w:t xml:space="preserve">十</w:t>
      </w:r>
      <w:r>
        <w:rPr>
          <w:rFonts w:hint="eastAsia" w:asciiTheme="minorEastAsia" w:hAnsiTheme="minorEastAsia"/>
          <w:b/>
          <w:color w:val="auto"/>
          <w:sz w:val="24"/>
          <w:highlight w:val="none"/>
          <w:lang w:val="en-US" w:eastAsia="zh-CN"/>
        </w:rPr>
        <w:t xml:space="preserve">一</w:t>
      </w:r>
      <w:r>
        <w:rPr>
          <w:rFonts w:hint="eastAsia" w:asciiTheme="minorEastAsia" w:hAnsiTheme="minorEastAsia"/>
          <w:b/>
          <w:color w:val="auto"/>
          <w:sz w:val="24"/>
          <w:highlight w:val="none"/>
        </w:rPr>
        <w:t xml:space="preserve">、商品包装及快递包装要求</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（一）商品包装环保要求</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1.商品包装层数不得超过3层，空隙率不大于40%；</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4.商品包装印刷使用的油墨中挥发性有机化合物(VOCs)含量应不大于 5%（以重量计）；5.塑料材质商品包装上呈现的印刷颜色不得超过6色；</w:t>
      </w:r>
      <w:r/>
    </w:p>
    <w:p>
      <w:pPr>
        <w:ind w:left="0"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 75%以上的可再生纤维原料生产；</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（二）快递包装环保要求</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1.快递包装中重金属（铅、汞、镉、六价铬）总量应不大于 100mg/kg；</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2.快递包装印刷使用的油墨中不应添加邻苯二甲酸酯，其挥发性有机化合物(VOCs)含量应不大于5%（以重量计）；</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3.快递包装中使用纸基材的包装材料，纸基材中的有机氯的含量应不大于 150 mg/kg；</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5.快递中使用的塑料包装袋不得使用聚氯乙烯作为原料，且原料应为单一材质制成，生物分解率大于60%；</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6.快递中使用的充气类填充物不得使用聚氯乙烯作为原料，且原料为单一材质制成，生物分解率大于60%；</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7.快递中使用的集装袋应为单一材质制成，其重复使用次数应不小于 80 次；</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8.快递中应使用幅宽不大于45mm 的生物降解胶带；</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9.快递包装中不得使用溶剂型胶粘剂；</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10.快递应使用电子面单；</w:t>
      </w:r>
      <w:r/>
    </w:p>
    <w:p>
      <w:pPr>
        <w:ind w:left="0" w:firstLine="480"/>
        <w:jc w:val="both"/>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11.直接使用商品包装作为快递包装的商品，其商品包装满足《商品包装政府采购需求标准（试行）》即可；</w:t>
      </w:r>
      <w:r/>
    </w:p>
    <w:p>
      <w:pPr>
        <w:ind w:left="0" w:firstLine="480"/>
        <w:jc w:val="both"/>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12.快递包装产品质量和封装方式应符合相关国家或行业标准技术指标要求。</w:t>
      </w:r>
      <w:r/>
    </w:p>
    <w:p>
      <w:pPr>
        <w:ind w:left="0" w:firstLine="482"/>
        <w:pageBreakBefore w:val="0"/>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十二</w:t>
      </w:r>
      <w:r>
        <w:rPr>
          <w:rFonts w:hint="eastAsia" w:ascii="宋体" w:hAnsi="宋体" w:cs="宋体"/>
          <w:b/>
          <w:color w:val="auto"/>
          <w:sz w:val="24"/>
          <w:szCs w:val="24"/>
          <w:highlight w:val="none"/>
        </w:rPr>
        <w:t xml:space="preserve">、付款方式与履约保证金</w:t>
      </w:r>
      <w:r/>
    </w:p>
    <w:p>
      <w:pPr>
        <w:ind w:left="0" w:firstLine="480"/>
        <w:keepLines w:val="0"/>
        <w:keepNext w:val="0"/>
        <w:pageBreakBefore w:val="0"/>
        <w:spacing w:line="360" w:lineRule="auto"/>
        <w:widowControl w:val="off"/>
        <w:rPr>
          <w:rFonts w:hint="eastAsia" w:ascii="宋体" w:hAnsi="宋体" w:cs="宋体"/>
          <w:bCs/>
          <w:i/>
          <w:iCs/>
          <w:color w:val="auto"/>
          <w:sz w:val="24"/>
          <w:szCs w:val="24"/>
          <w:highlight w:val="none"/>
          <w:u w:val="single"/>
        </w:rPr>
        <w:outlineLvl w:val="1"/>
      </w:pPr>
      <w:r>
        <w:rPr>
          <w:rFonts w:hint="eastAsia" w:ascii="宋体" w:hAnsi="宋体" w:cs="宋体"/>
          <w:bCs/>
          <w:i/>
          <w:iCs/>
          <w:color w:val="auto"/>
          <w:sz w:val="24"/>
          <w:szCs w:val="24"/>
          <w:highlight w:val="none"/>
          <w:u w:val="single"/>
        </w:rPr>
        <w:t xml:space="preserve">1、付款方式：</w:t>
      </w:r>
      <w:r>
        <w:rPr>
          <w:rFonts w:hint="eastAsia" w:ascii="宋体" w:hAnsi="宋体" w:cs="宋体"/>
          <w:i/>
          <w:iCs/>
          <w:color w:val="auto"/>
          <w:sz w:val="24"/>
          <w:highlight w:val="none"/>
          <w:u w:val="single"/>
          <w:lang w:bidi="ar"/>
        </w:rPr>
        <w:t xml:space="preserve">服务期结束</w:t>
      </w:r>
      <w:r>
        <w:rPr>
          <w:rFonts w:hint="eastAsia" w:ascii="宋体" w:hAnsi="宋体" w:cs="宋体"/>
          <w:i/>
          <w:iCs/>
          <w:color w:val="auto"/>
          <w:sz w:val="24"/>
          <w:highlight w:val="none"/>
          <w:u w:val="single"/>
          <w:lang w:val="en-US" w:eastAsia="zh-CN" w:bidi="ar"/>
        </w:rPr>
        <w:t xml:space="preserve">且经采购人验收合格后一次性付清全部合同价款</w:t>
      </w:r>
      <w:r>
        <w:rPr>
          <w:rFonts w:hint="eastAsia" w:ascii="宋体" w:hAnsi="宋体" w:cs="宋体"/>
          <w:i/>
          <w:iCs/>
          <w:color w:val="auto"/>
          <w:sz w:val="24"/>
          <w:highlight w:val="none"/>
          <w:u w:val="single"/>
          <w:lang w:bidi="ar"/>
        </w:rPr>
        <w:t xml:space="preserve">。付款前成交人需提供正式发票。</w:t>
      </w:r>
      <w:r/>
    </w:p>
    <w:p>
      <w:pPr>
        <w:ind w:left="0" w:firstLine="480"/>
        <w:jc w:val="left"/>
        <w:keepLines w:val="0"/>
        <w:keepNext w:val="0"/>
        <w:pageBreakBefore w:val="0"/>
        <w:spacing w:line="360" w:lineRule="auto"/>
        <w:widowControl w:val="off"/>
        <w:rPr>
          <w:rFonts w:hint="eastAsia" w:ascii="宋体" w:hAnsi="宋体" w:eastAsia="宋体" w:cs="宋体"/>
          <w:bCs/>
          <w:i/>
          <w:iCs/>
          <w:color w:val="auto"/>
          <w:sz w:val="24"/>
          <w:szCs w:val="24"/>
          <w:highlight w:val="none"/>
          <w:u w:val="single"/>
          <w:lang w:val="en-US" w:eastAsia="zh-CN"/>
        </w:rPr>
      </w:pPr>
      <w:r>
        <w:rPr>
          <w:rFonts w:hint="eastAsia" w:ascii="宋体" w:hAnsi="宋体" w:cs="宋体"/>
          <w:bCs/>
          <w:i/>
          <w:iCs/>
          <w:color w:val="auto"/>
          <w:sz w:val="24"/>
          <w:szCs w:val="24"/>
          <w:highlight w:val="none"/>
          <w:u w:val="single"/>
        </w:rPr>
        <w:t xml:space="preserve">2、履约保证金：</w:t>
      </w:r>
      <w:r>
        <w:rPr>
          <w:rFonts w:hint="eastAsia" w:ascii="宋体" w:hAnsi="宋体" w:cs="宋体"/>
          <w:bCs/>
          <w:i/>
          <w:iCs/>
          <w:color w:val="auto"/>
          <w:sz w:val="24"/>
          <w:szCs w:val="24"/>
          <w:highlight w:val="none"/>
          <w:u w:val="single"/>
          <w:lang w:val="en-US" w:eastAsia="zh-CN"/>
        </w:rPr>
        <w:t xml:space="preserve">本项目不收取</w:t>
      </w:r>
      <w:r>
        <w:rPr>
          <w:rFonts w:hint="eastAsia" w:ascii="宋体" w:hAnsi="宋体" w:cs="宋体"/>
          <w:bCs/>
          <w:i/>
          <w:iCs/>
          <w:color w:val="auto"/>
          <w:sz w:val="24"/>
          <w:szCs w:val="24"/>
          <w:highlight w:val="none"/>
          <w:u w:val="single"/>
        </w:rPr>
        <w:t xml:space="preserve">履约保证金</w:t>
      </w:r>
      <w:r>
        <w:rPr>
          <w:rFonts w:hint="eastAsia" w:ascii="宋体" w:hAnsi="宋体" w:cs="宋体"/>
          <w:bCs/>
          <w:i/>
          <w:iCs/>
          <w:color w:val="auto"/>
          <w:sz w:val="24"/>
          <w:szCs w:val="24"/>
          <w:highlight w:val="none"/>
          <w:u w:val="single"/>
          <w:lang w:eastAsia="zh-CN"/>
        </w:rPr>
        <w:t xml:space="preserve">。</w:t>
      </w:r>
      <w:r/>
    </w:p>
    <w:p>
      <w:pPr>
        <w:ind w:left="0" w:firstLine="482"/>
        <w:pageBreakBefore w:val="0"/>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十三</w:t>
      </w:r>
      <w:r>
        <w:rPr>
          <w:rFonts w:hint="eastAsia" w:ascii="宋体" w:hAnsi="宋体" w:cs="宋体"/>
          <w:b/>
          <w:color w:val="auto"/>
          <w:sz w:val="24"/>
          <w:szCs w:val="24"/>
          <w:highlight w:val="none"/>
        </w:rPr>
        <w:t xml:space="preserve">、响应报价要求</w:t>
      </w:r>
      <w:r/>
    </w:p>
    <w:p>
      <w:pPr>
        <w:ind w:left="0" w:firstLine="480"/>
        <w:jc w:val="both"/>
        <w:pageBreakBefore w:val="0"/>
        <w:spacing w:line="360" w:lineRule="auto"/>
        <w:widowControl w:val="off"/>
        <w:rPr>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投标报价须包含但不限于全部服务的软硬件设备、</w:t>
      </w:r>
      <w:r>
        <w:rPr>
          <w:rFonts w:hint="eastAsia" w:ascii="宋体" w:hAnsi="宋体"/>
          <w:color w:val="auto"/>
          <w:sz w:val="24"/>
          <w:highlight w:val="none"/>
          <w:lang w:val="en-US" w:eastAsia="zh-CN"/>
        </w:rPr>
        <w:t xml:space="preserve">拓展、开发</w:t>
      </w:r>
      <w:r>
        <w:rPr>
          <w:rFonts w:hint="eastAsia" w:ascii="宋体" w:hAnsi="宋体"/>
          <w:color w:val="auto"/>
          <w:sz w:val="24"/>
          <w:highlight w:val="none"/>
        </w:rPr>
        <w:t xml:space="preserve">、测试、</w:t>
      </w:r>
      <w:r>
        <w:rPr>
          <w:rFonts w:hint="eastAsia" w:ascii="宋体" w:hAnsi="宋体" w:cs="宋体"/>
          <w:b/>
          <w:bCs/>
          <w:color w:val="auto"/>
          <w:sz w:val="24"/>
          <w:szCs w:val="24"/>
          <w:highlight w:val="none"/>
          <w:lang w:val="en-US" w:eastAsia="zh-CN"/>
        </w:rPr>
        <w:t xml:space="preserve">系统对接调试费用、</w:t>
      </w:r>
      <w:r>
        <w:rPr>
          <w:rFonts w:hint="eastAsia" w:ascii="宋体" w:hAnsi="宋体"/>
          <w:color w:val="auto"/>
          <w:sz w:val="24"/>
          <w:highlight w:val="none"/>
        </w:rPr>
        <w:t xml:space="preserve">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color w:val="auto"/>
          <w:sz w:val="24"/>
          <w:highlight w:val="none"/>
        </w:rPr>
        <w:t xml:space="preserve">本项目报价不得超过预算价。应根据国家收费标准并结合市场实际进行报价，总价包干。</w:t>
      </w:r>
      <w:r/>
    </w:p>
    <w:p>
      <w:pPr>
        <w:ind w:left="0" w:firstLine="482"/>
        <w:pageBreakBefore w:val="0"/>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十四</w:t>
      </w:r>
      <w:r>
        <w:rPr>
          <w:rFonts w:hint="eastAsia" w:ascii="宋体" w:hAnsi="宋体" w:cs="宋体"/>
          <w:b/>
          <w:color w:val="auto"/>
          <w:sz w:val="24"/>
          <w:szCs w:val="24"/>
          <w:highlight w:val="none"/>
        </w:rPr>
        <w:t xml:space="preserve">、其他</w:t>
      </w:r>
      <w:r/>
    </w:p>
    <w:p>
      <w:pPr>
        <w:ind w:lef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本项目报价不得超过最高限价。</w:t>
      </w:r>
      <w:r/>
    </w:p>
    <w:p>
      <w:pPr>
        <w:ind w:left="0"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rPr>
          <w:rFonts w:ascii="宋体" w:hAnsi="宋体" w:cs="宋体"/>
          <w:color w:val="auto"/>
          <w:sz w:val="24"/>
          <w:highlight w:val="none"/>
        </w:rPr>
        <w:br w:type="page" w:clear="all"/>
      </w:r>
      <w:r/>
    </w:p>
    <w:p>
      <w:pPr>
        <w:pStyle w:val="942"/>
        <w:rPr>
          <w:rFonts w:ascii="黑体" w:eastAsia="黑体"/>
          <w:bCs/>
          <w:color w:val="auto"/>
          <w:sz w:val="44"/>
          <w:highlight w:val="none"/>
        </w:rPr>
      </w:pPr>
      <w:r/>
      <w:bookmarkStart w:id="238" w:name="_Toc32632"/>
      <w:r/>
      <w:bookmarkStart w:id="239" w:name="_Toc3139"/>
      <w:r/>
      <w:bookmarkStart w:id="240" w:name="_Toc120614281"/>
      <w:r>
        <w:rPr>
          <w:rFonts w:hint="eastAsia" w:ascii="黑体" w:eastAsia="黑体"/>
          <w:color w:val="auto"/>
          <w:sz w:val="44"/>
          <w:szCs w:val="44"/>
          <w:highlight w:val="none"/>
        </w:rPr>
        <w:t xml:space="preserve">第五章评标方法与评标标准</w:t>
      </w:r>
      <w:bookmarkEnd w:id="238"/>
      <w:r/>
      <w:bookmarkEnd w:id="239"/>
      <w:r/>
      <w:r/>
    </w:p>
    <w:p>
      <w:pPr>
        <w:rPr>
          <w:color w:val="auto"/>
          <w:highlight w:val="none"/>
        </w:rPr>
      </w:pPr>
      <w:r>
        <w:rPr>
          <w:color w:val="auto"/>
          <w:highlight w:val="none"/>
        </w:rPr>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hint="eastAsia"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before="120" w:after="120" w:line="500" w:lineRule="exact"/>
        <w:rPr>
          <w:b/>
          <w:bCs/>
          <w:color w:val="auto"/>
          <w:sz w:val="24"/>
          <w:szCs w:val="24"/>
          <w:highlight w:val="none"/>
        </w:rPr>
      </w:pPr>
      <w:r>
        <w:rPr>
          <w:b/>
          <w:bCs/>
          <w:color w:val="auto"/>
          <w:sz w:val="24"/>
          <w:szCs w:val="24"/>
          <w:highlight w:val="none"/>
        </w:rPr>
        <w:t xml:space="preserve">1、价格分：</w:t>
      </w:r>
      <w:r>
        <w:rPr>
          <w:rFonts w:hint="eastAsia"/>
          <w:b/>
          <w:bCs/>
          <w:color w:val="auto"/>
          <w:sz w:val="24"/>
          <w:szCs w:val="24"/>
          <w:highlight w:val="none"/>
          <w:lang w:val="en-US" w:eastAsia="zh-CN"/>
        </w:rPr>
        <w:t xml:space="preserve">10</w:t>
      </w:r>
      <w:r>
        <w:rPr>
          <w:b/>
          <w:bCs/>
          <w:color w:val="auto"/>
          <w:sz w:val="24"/>
          <w:szCs w:val="24"/>
          <w:highlight w:val="none"/>
        </w:rPr>
        <w:t xml:space="preserve">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投标报价得分=（评标基准价/投标报价）×</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ind w:firstLine="42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评标过程中，不得去掉报价中的最高报价和最低报价。</w:t>
      </w:r>
      <w:r/>
    </w:p>
    <w:p>
      <w:pPr>
        <w:ind w:left="420"/>
        <w:spacing w:line="500" w:lineRule="exact"/>
        <w:rPr>
          <w:color w:val="auto"/>
          <w:sz w:val="24"/>
          <w:szCs w:val="24"/>
          <w:highlight w:val="none"/>
        </w:rPr>
      </w:pPr>
      <w:r>
        <w:rPr>
          <w:b/>
          <w:color w:val="auto"/>
          <w:sz w:val="24"/>
          <w:szCs w:val="24"/>
          <w:highlight w:val="none"/>
        </w:rPr>
        <w:t xml:space="preserve">2.商务技术分：</w:t>
      </w:r>
      <w:r>
        <w:rPr>
          <w:rFonts w:hint="eastAsia"/>
          <w:b/>
          <w:color w:val="auto"/>
          <w:sz w:val="24"/>
          <w:szCs w:val="24"/>
          <w:highlight w:val="none"/>
          <w:lang w:val="en-US" w:eastAsia="zh-CN"/>
        </w:rPr>
        <w:t xml:space="preserve">90</w:t>
      </w:r>
      <w:r>
        <w:rPr>
          <w:b/>
          <w:color w:val="auto"/>
          <w:sz w:val="24"/>
          <w:szCs w:val="24"/>
          <w:highlight w:val="none"/>
        </w:rPr>
        <w:t xml:space="preserve">分</w:t>
      </w:r>
      <w:r/>
    </w:p>
    <w:tbl>
      <w:tblPr>
        <w:tblStyle w:val="719"/>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666"/>
        <w:gridCol w:w="1173"/>
        <w:gridCol w:w="856"/>
        <w:gridCol w:w="5843"/>
      </w:tblGrid>
      <w:tr>
        <w:trPr>
          <w:cantSplit/>
          <w:jc w:val="center"/>
          <w:trHeight w:val="101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5"/>
        </w:trPr>
        <w:tc>
          <w:tcPr>
            <w:tcBorders>
              <w:left w:val="single" w:color="auto" w:sz="4" w:space="0"/>
              <w:right w:val="single" w:color="auto" w:sz="4" w:space="0"/>
            </w:tcBorders>
            <w:tcW w:w="883" w:type="dxa"/>
            <w:vAlign w:val="center"/>
            <w:vMerge w:val="restart"/>
            <w:textDirection w:val="lrTb"/>
            <w:noWrap w:val="false"/>
          </w:tcPr>
          <w:p>
            <w:pPr>
              <w:jc w:val="left"/>
              <w:widowControl/>
              <w:rPr>
                <w:rFonts w:hint="eastAsia" w:ascii="宋体" w:hAnsi="宋体"/>
                <w:color w:val="auto"/>
                <w:sz w:val="24"/>
                <w:szCs w:val="24"/>
                <w:highlight w:val="none"/>
              </w:rPr>
            </w:pPr>
            <w:r/>
            <w:bookmarkStart w:id="241" w:name="_Hlk155964454"/>
            <w:r>
              <w:rPr>
                <w:rFonts w:hint="eastAsia" w:ascii="宋体" w:hAnsi="宋体"/>
                <w:color w:val="auto"/>
                <w:sz w:val="24"/>
                <w:szCs w:val="24"/>
                <w:highlight w:val="none"/>
              </w:rPr>
              <w:t xml:space="preserve">主观评审因素（35分）</w:t>
            </w:r>
            <w:r/>
          </w:p>
        </w:tc>
        <w:tc>
          <w:tcPr>
            <w:tcBorders>
              <w:left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left w:val="single" w:color="auto" w:sz="4" w:space="0"/>
              <w:right w:val="single" w:color="auto" w:sz="4" w:space="0"/>
            </w:tcBorders>
            <w:tcW w:w="1173" w:type="dxa"/>
            <w:vAlign w:val="center"/>
            <w:textDirection w:val="lrTb"/>
            <w:noWrap w:val="false"/>
          </w:tcPr>
          <w:p>
            <w:pPr>
              <w:pStyle w:val="1070"/>
              <w:jc w:val="center"/>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需求分析</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jc w:val="center"/>
              <w:rPr>
                <w:rFonts w:hint="eastAsia" w:ascii="Times New Roman" w:hAnsi="Times New Roman" w:eastAsia="宋体"/>
                <w:b w:val="0"/>
                <w:bCs/>
                <w:color w:val="auto"/>
                <w:szCs w:val="24"/>
                <w:highlight w:val="none"/>
              </w:rPr>
            </w:pPr>
            <w:r>
              <w:rPr>
                <w:rFonts w:ascii="Times New Roman" w:hAnsi="Times New Roman"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left"/>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供应商根据对项目建设内容的理解，提供问题分析、必要性分析、系统功能需求分析、系统性能需求分析。</w:t>
            </w:r>
            <w:r/>
          </w:p>
          <w:p>
            <w:pPr>
              <w:pStyle w:val="1070"/>
              <w:jc w:val="left"/>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（1）需求分析阐述清晰，需求明确，针对性强的，得5分；</w:t>
            </w:r>
            <w:r/>
          </w:p>
          <w:p>
            <w:pPr>
              <w:pStyle w:val="1070"/>
              <w:jc w:val="left"/>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（2）需求分析阐述较清晰，需求较明确，针对性较强的，得3分；</w:t>
            </w:r>
            <w:r/>
          </w:p>
          <w:p>
            <w:pPr>
              <w:pStyle w:val="1070"/>
              <w:jc w:val="left"/>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（3）需求分析阐述一般，需求明确性一般，针对性一般的，得1分；</w:t>
            </w:r>
            <w:r/>
          </w:p>
          <w:p>
            <w:pPr>
              <w:pStyle w:val="1070"/>
              <w:jc w:val="left"/>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lang w:val="en-US" w:eastAsia="zh-CN"/>
              </w:rPr>
              <w:t xml:space="preserve">（4）未做出工作说明的，得0分。</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1070"/>
              <w:jc w:val="center"/>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技术方案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jc w:val="center"/>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left"/>
              <w:rPr>
                <w:rFonts w:ascii="Times New Roman" w:hAnsi="Times New Roman" w:eastAsia="宋体"/>
                <w:b w:val="0"/>
                <w:bCs/>
                <w:color w:val="auto"/>
                <w:szCs w:val="24"/>
                <w:highlight w:val="none"/>
              </w:rPr>
            </w:pPr>
            <w:r/>
            <w:bookmarkStart w:id="242" w:name="_Hlk155964521"/>
            <w:r>
              <w:rPr>
                <w:rFonts w:hint="eastAsia" w:ascii="Times New Roman" w:hAnsi="Times New Roman" w:eastAsia="宋体"/>
                <w:b w:val="0"/>
                <w:bCs/>
                <w:color w:val="auto"/>
                <w:szCs w:val="24"/>
                <w:highlight w:val="none"/>
              </w:rPr>
              <w:t xml:space="preserve">评标委员会对比投标人提供的技术方案进行综合打分，包括技术方案是否科学</w:t>
            </w:r>
            <w:r>
              <w:rPr>
                <w:rFonts w:ascii="Times New Roman" w:hAnsi="Times New Roman" w:eastAsia="宋体"/>
                <w:b w:val="0"/>
                <w:bCs/>
                <w:color w:val="auto"/>
                <w:szCs w:val="24"/>
                <w:highlight w:val="none"/>
              </w:rPr>
              <w:t xml:space="preserve">严谨</w:t>
            </w:r>
            <w:r>
              <w:rPr>
                <w:rFonts w:hint="eastAsia" w:ascii="Times New Roman" w:hAnsi="Times New Roman" w:eastAsia="宋体"/>
                <w:b w:val="0"/>
                <w:bCs/>
                <w:color w:val="auto"/>
                <w:szCs w:val="24"/>
                <w:highlight w:val="none"/>
              </w:rPr>
              <w:t xml:space="preserve">、详实可行。</w:t>
            </w:r>
            <w:r/>
          </w:p>
          <w:p>
            <w:pPr>
              <w:pStyle w:val="1070"/>
              <w:jc w:val="left"/>
              <w:rPr>
                <w:rFonts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技术</w:t>
            </w:r>
            <w:r>
              <w:rPr>
                <w:rFonts w:ascii="Times New Roman" w:hAnsi="Times New Roman" w:eastAsia="宋体"/>
                <w:b w:val="0"/>
                <w:bCs/>
                <w:color w:val="auto"/>
                <w:szCs w:val="24"/>
                <w:highlight w:val="none"/>
              </w:rPr>
              <w:t xml:space="preserve">方案科学</w:t>
            </w:r>
            <w:r>
              <w:rPr>
                <w:rFonts w:hint="eastAsia" w:ascii="Times New Roman" w:hAnsi="Times New Roman" w:eastAsia="宋体"/>
                <w:b w:val="0"/>
                <w:bCs/>
                <w:color w:val="auto"/>
                <w:szCs w:val="24"/>
                <w:highlight w:val="none"/>
              </w:rPr>
              <w:t xml:space="preserve">严谨</w:t>
            </w:r>
            <w:r>
              <w:rPr>
                <w:rFonts w:ascii="Times New Roman" w:hAnsi="Times New Roman" w:eastAsia="宋体"/>
                <w:b w:val="0"/>
                <w:bCs/>
                <w:color w:val="auto"/>
                <w:szCs w:val="24"/>
                <w:highlight w:val="none"/>
              </w:rPr>
              <w:t xml:space="preserve">、</w:t>
            </w:r>
            <w:r>
              <w:rPr>
                <w:rFonts w:hint="eastAsia" w:ascii="Times New Roman" w:hAnsi="Times New Roman" w:eastAsia="宋体"/>
                <w:b w:val="0"/>
                <w:bCs/>
                <w:color w:val="auto"/>
                <w:szCs w:val="24"/>
                <w:highlight w:val="none"/>
              </w:rPr>
              <w:t xml:space="preserve">详实可行，</w:t>
            </w:r>
            <w:r>
              <w:rPr>
                <w:rFonts w:ascii="Times New Roman" w:hAnsi="Times New Roman" w:eastAsia="宋体"/>
                <w:b w:val="0"/>
                <w:bCs/>
                <w:color w:val="auto"/>
                <w:szCs w:val="24"/>
                <w:highlight w:val="none"/>
              </w:rPr>
              <w:t xml:space="preserve">工作流程合理的</w:t>
            </w:r>
            <w:r>
              <w:rPr>
                <w:rFonts w:hint="eastAsia" w:ascii="Times New Roman" w:hAnsi="Times New Roman" w:eastAsia="宋体"/>
                <w:b w:val="0"/>
                <w:bCs/>
                <w:color w:val="auto"/>
                <w:szCs w:val="24"/>
                <w:highlight w:val="none"/>
              </w:rPr>
              <w:t xml:space="preserve">，</w:t>
            </w:r>
            <w:r>
              <w:rPr>
                <w:rFonts w:ascii="Times New Roman" w:hAnsi="Times New Roman" w:eastAsia="宋体"/>
                <w:b w:val="0"/>
                <w:bCs/>
                <w:color w:val="auto"/>
                <w:szCs w:val="24"/>
                <w:highlight w:val="none"/>
              </w:rPr>
              <w:t xml:space="preserve">得</w:t>
            </w:r>
            <w:r>
              <w:rPr>
                <w:rFonts w:hint="eastAsia" w:ascii="Times New Roman" w:hAnsi="Times New Roman" w:eastAsia="宋体"/>
                <w:b w:val="0"/>
                <w:bCs/>
                <w:color w:val="auto"/>
                <w:szCs w:val="24"/>
                <w:highlight w:val="none"/>
              </w:rPr>
              <w:t xml:space="preserve">5</w:t>
            </w:r>
            <w:r>
              <w:rPr>
                <w:rFonts w:ascii="Times New Roman" w:hAnsi="Times New Roman" w:eastAsia="宋体"/>
                <w:b w:val="0"/>
                <w:bCs/>
                <w:color w:val="auto"/>
                <w:szCs w:val="24"/>
                <w:highlight w:val="none"/>
              </w:rPr>
              <w:t xml:space="preserve">分</w:t>
            </w:r>
            <w:bookmarkEnd w:id="242"/>
            <w:r>
              <w:rPr>
                <w:rFonts w:ascii="Times New Roman" w:hAnsi="Times New Roman" w:eastAsia="宋体"/>
                <w:b w:val="0"/>
                <w:bCs/>
                <w:color w:val="auto"/>
                <w:szCs w:val="24"/>
                <w:highlight w:val="none"/>
              </w:rPr>
              <w:t xml:space="preserve">；</w:t>
            </w:r>
            <w:r/>
          </w:p>
          <w:p>
            <w:pPr>
              <w:pStyle w:val="1070"/>
              <w:jc w:val="left"/>
              <w:rPr>
                <w:rFonts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技术方案基本科学相对可行，工作流程较合理的，得3分；</w:t>
            </w:r>
            <w:r/>
          </w:p>
          <w:p>
            <w:pPr>
              <w:pStyle w:val="1070"/>
              <w:jc w:val="left"/>
              <w:rPr>
                <w:rFonts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方案笼统，体系不全，工作流程不足的，得</w:t>
            </w:r>
            <w:r>
              <w:rPr>
                <w:rFonts w:ascii="Times New Roman" w:hAnsi="Times New Roman" w:eastAsia="宋体"/>
                <w:b w:val="0"/>
                <w:bCs/>
                <w:color w:val="auto"/>
                <w:szCs w:val="24"/>
                <w:highlight w:val="none"/>
              </w:rPr>
              <w:t xml:space="preserve">1</w:t>
            </w:r>
            <w:r>
              <w:rPr>
                <w:rFonts w:hint="eastAsia" w:ascii="Times New Roman" w:hAnsi="Times New Roman" w:eastAsia="宋体"/>
                <w:b w:val="0"/>
                <w:bCs/>
                <w:color w:val="auto"/>
                <w:szCs w:val="24"/>
                <w:highlight w:val="none"/>
              </w:rPr>
              <w:t xml:space="preserve">分；</w:t>
            </w:r>
            <w:r/>
          </w:p>
          <w:p>
            <w:pPr>
              <w:pStyle w:val="1070"/>
              <w:jc w:val="left"/>
              <w:rPr>
                <w:rFonts w:hint="eastAsia" w:ascii="Times New Roman" w:hAnsi="Times New Roman" w:eastAsia="宋体"/>
                <w:b w:val="0"/>
                <w:bCs/>
                <w:color w:val="auto"/>
                <w:szCs w:val="24"/>
                <w:highlight w:val="none"/>
              </w:rPr>
            </w:pPr>
            <w:r>
              <w:rPr>
                <w:rFonts w:ascii="Times New Roman" w:hAnsi="Times New Roman" w:eastAsia="宋体"/>
                <w:b w:val="0"/>
                <w:bCs/>
                <w:color w:val="auto"/>
                <w:szCs w:val="24"/>
                <w:highlight w:val="none"/>
              </w:rPr>
              <w:t xml:space="preserve">（</w:t>
            </w:r>
            <w:r>
              <w:rPr>
                <w:rFonts w:hint="eastAsia" w:ascii="Times New Roman" w:hAnsi="Times New Roman" w:eastAsia="宋体"/>
                <w:b w:val="0"/>
                <w:bCs/>
                <w:color w:val="auto"/>
                <w:szCs w:val="24"/>
                <w:highlight w:val="none"/>
              </w:rPr>
              <w:t xml:space="preserve">4</w:t>
            </w:r>
            <w:r>
              <w:rPr>
                <w:rFonts w:ascii="Times New Roman" w:hAnsi="Times New Roman" w:eastAsia="宋体"/>
                <w:b w:val="0"/>
                <w:bCs/>
                <w:color w:val="auto"/>
                <w:szCs w:val="24"/>
                <w:highlight w:val="none"/>
              </w:rPr>
              <w:t xml:space="preserve">）未做出</w:t>
            </w:r>
            <w:r>
              <w:rPr>
                <w:rFonts w:hint="eastAsia" w:ascii="Times New Roman" w:hAnsi="Times New Roman" w:eastAsia="宋体"/>
                <w:b w:val="0"/>
                <w:bCs/>
                <w:color w:val="auto"/>
                <w:szCs w:val="24"/>
                <w:highlight w:val="none"/>
              </w:rPr>
              <w:t xml:space="preserve">工作</w:t>
            </w:r>
            <w:r>
              <w:rPr>
                <w:rFonts w:ascii="Times New Roman" w:hAnsi="Times New Roman" w:eastAsia="宋体"/>
                <w:b w:val="0"/>
                <w:bCs/>
                <w:color w:val="auto"/>
                <w:szCs w:val="24"/>
                <w:highlight w:val="none"/>
              </w:rPr>
              <w:t xml:space="preserve">说明的</w:t>
            </w:r>
            <w:r>
              <w:rPr>
                <w:rFonts w:hint="eastAsia" w:ascii="Times New Roman" w:hAnsi="Times New Roman" w:eastAsia="宋体"/>
                <w:b w:val="0"/>
                <w:bCs/>
                <w:color w:val="auto"/>
                <w:szCs w:val="24"/>
                <w:highlight w:val="none"/>
              </w:rPr>
              <w:t xml:space="preserve">，</w:t>
            </w:r>
            <w:r>
              <w:rPr>
                <w:rFonts w:ascii="Times New Roman" w:hAnsi="Times New Roman" w:eastAsia="宋体"/>
                <w:b w:val="0"/>
                <w:bCs/>
                <w:color w:val="auto"/>
                <w:szCs w:val="24"/>
                <w:highlight w:val="none"/>
              </w:rPr>
              <w:t xml:space="preserve">得</w:t>
            </w:r>
            <w:r>
              <w:rPr>
                <w:rFonts w:hint="eastAsia" w:ascii="Times New Roman" w:hAnsi="Times New Roman" w:eastAsia="宋体"/>
                <w:b w:val="0"/>
                <w:bCs/>
                <w:color w:val="auto"/>
                <w:szCs w:val="24"/>
                <w:highlight w:val="none"/>
              </w:rPr>
              <w:t xml:space="preserve">0</w:t>
            </w:r>
            <w:r>
              <w:rPr>
                <w:rFonts w:ascii="Times New Roman" w:hAnsi="Times New Roman" w:eastAsia="宋体"/>
                <w:b w:val="0"/>
                <w:bCs/>
                <w:color w:val="auto"/>
                <w:szCs w:val="24"/>
                <w:highlight w:val="none"/>
              </w:rPr>
              <w:t xml:space="preserve">分。</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1070"/>
              <w:rPr>
                <w:rFonts w:hint="eastAsia" w:ascii="宋体" w:hAnsi="宋体" w:eastAsia="宋体" w:cs="Times New Roman"/>
                <w:b w:val="0"/>
                <w:color w:val="auto"/>
                <w:szCs w:val="24"/>
                <w:highlight w:val="none"/>
              </w:rPr>
            </w:pPr>
            <w:r>
              <w:rPr>
                <w:rFonts w:eastAsia="宋体"/>
                <w:b w:val="0"/>
                <w:bCs/>
                <w:color w:val="auto"/>
                <w:szCs w:val="24"/>
                <w:highlight w:val="none"/>
              </w:rPr>
              <w:t xml:space="preserve">质量保证措施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rPr>
                <w:rFonts w:hint="eastAsia" w:ascii="宋体" w:hAnsi="宋体" w:eastAsia="宋体" w:cs="Times New Roman"/>
                <w:b w:val="0"/>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both"/>
              <w:rPr>
                <w:rFonts w:eastAsia="宋体"/>
                <w:b w:val="0"/>
                <w:bCs/>
                <w:color w:val="auto"/>
                <w:szCs w:val="24"/>
                <w:highlight w:val="none"/>
              </w:rPr>
            </w:pPr>
            <w:r/>
            <w:bookmarkStart w:id="243" w:name="_Hlk155964529"/>
            <w:r>
              <w:rPr>
                <w:rFonts w:hint="eastAsia" w:eastAsia="宋体"/>
                <w:b w:val="0"/>
                <w:bCs/>
                <w:color w:val="auto"/>
                <w:szCs w:val="24"/>
                <w:highlight w:val="none"/>
              </w:rPr>
              <w:t xml:space="preserve">评标委员会对比投标人提供的项目成果</w:t>
            </w:r>
            <w:r>
              <w:rPr>
                <w:rFonts w:eastAsia="宋体"/>
                <w:b w:val="0"/>
                <w:bCs/>
                <w:color w:val="auto"/>
                <w:szCs w:val="24"/>
                <w:highlight w:val="none"/>
              </w:rPr>
              <w:t xml:space="preserve">质量保证措施</w:t>
            </w:r>
            <w:r>
              <w:rPr>
                <w:rFonts w:hint="eastAsia" w:eastAsia="宋体"/>
                <w:b w:val="0"/>
                <w:bCs/>
                <w:color w:val="auto"/>
                <w:szCs w:val="24"/>
                <w:highlight w:val="none"/>
              </w:rPr>
              <w:t xml:space="preserve">进行综合打分。</w:t>
            </w:r>
            <w:r/>
          </w:p>
          <w:p>
            <w:pPr>
              <w:pStyle w:val="1070"/>
              <w:numPr>
                <w:ilvl w:val="0"/>
                <w:numId w:val="11"/>
              </w:numPr>
              <w:jc w:val="both"/>
              <w:rPr>
                <w:rFonts w:eastAsia="宋体"/>
                <w:b w:val="0"/>
                <w:bCs/>
                <w:color w:val="auto"/>
                <w:szCs w:val="24"/>
                <w:highlight w:val="none"/>
              </w:rPr>
            </w:pPr>
            <w:r>
              <w:rPr>
                <w:rFonts w:eastAsia="宋体"/>
                <w:b w:val="0"/>
                <w:bCs/>
                <w:color w:val="auto"/>
                <w:szCs w:val="24"/>
                <w:highlight w:val="none"/>
              </w:rPr>
              <w:t xml:space="preserve">质量</w:t>
            </w:r>
            <w:r>
              <w:rPr>
                <w:rFonts w:hint="eastAsia" w:eastAsia="宋体"/>
                <w:b w:val="0"/>
                <w:bCs/>
                <w:color w:val="auto"/>
                <w:szCs w:val="24"/>
                <w:highlight w:val="none"/>
              </w:rPr>
              <w:t xml:space="preserve">保证措施</w:t>
            </w:r>
            <w:r>
              <w:rPr>
                <w:rFonts w:eastAsia="宋体"/>
                <w:b w:val="0"/>
                <w:bCs/>
                <w:color w:val="auto"/>
                <w:szCs w:val="24"/>
                <w:highlight w:val="none"/>
              </w:rPr>
              <w:t xml:space="preserve">详细全面科学可行、</w:t>
            </w:r>
            <w:r>
              <w:rPr>
                <w:rFonts w:hint="eastAsia" w:eastAsia="宋体"/>
                <w:b w:val="0"/>
                <w:bCs/>
                <w:color w:val="auto"/>
                <w:szCs w:val="24"/>
                <w:highlight w:val="none"/>
              </w:rPr>
              <w:t xml:space="preserve">符合要求</w:t>
            </w:r>
            <w:r>
              <w:rPr>
                <w:rFonts w:eastAsia="宋体"/>
                <w:b w:val="0"/>
                <w:bCs/>
                <w:color w:val="auto"/>
                <w:szCs w:val="24"/>
                <w:highlight w:val="none"/>
              </w:rPr>
              <w:t xml:space="preserve">度高</w:t>
            </w:r>
            <w:r>
              <w:rPr>
                <w:rFonts w:hint="eastAsia" w:eastAsia="宋体"/>
                <w:b w:val="0"/>
                <w:bCs/>
                <w:color w:val="auto"/>
                <w:szCs w:val="24"/>
                <w:highlight w:val="none"/>
              </w:rPr>
              <w:t xml:space="preserve">、有针对性的，得</w:t>
            </w:r>
            <w:r>
              <w:rPr>
                <w:rFonts w:eastAsia="宋体"/>
                <w:b w:val="0"/>
                <w:bCs/>
                <w:color w:val="auto"/>
                <w:szCs w:val="24"/>
                <w:highlight w:val="none"/>
              </w:rPr>
              <w:t xml:space="preserve">5分</w:t>
            </w:r>
            <w:bookmarkEnd w:id="243"/>
            <w:r>
              <w:rPr>
                <w:rFonts w:eastAsia="宋体"/>
                <w:b w:val="0"/>
                <w:bCs/>
                <w:color w:val="auto"/>
                <w:szCs w:val="24"/>
                <w:highlight w:val="none"/>
              </w:rPr>
              <w:t xml:space="preserve">；</w:t>
            </w:r>
            <w:r/>
          </w:p>
          <w:p>
            <w:pPr>
              <w:pStyle w:val="1070"/>
              <w:numPr>
                <w:ilvl w:val="0"/>
                <w:numId w:val="11"/>
              </w:numPr>
              <w:jc w:val="both"/>
              <w:rPr>
                <w:rFonts w:eastAsia="宋体"/>
                <w:b w:val="0"/>
                <w:bCs/>
                <w:color w:val="auto"/>
                <w:szCs w:val="24"/>
                <w:highlight w:val="none"/>
              </w:rPr>
            </w:pPr>
            <w:r>
              <w:rPr>
                <w:rFonts w:hint="eastAsia" w:eastAsia="宋体"/>
                <w:b w:val="0"/>
                <w:bCs/>
                <w:color w:val="auto"/>
                <w:szCs w:val="24"/>
                <w:highlight w:val="none"/>
              </w:rPr>
              <w:t xml:space="preserve">措施</w:t>
            </w:r>
            <w:r>
              <w:rPr>
                <w:rFonts w:eastAsia="宋体"/>
                <w:b w:val="0"/>
                <w:bCs/>
                <w:color w:val="auto"/>
                <w:szCs w:val="24"/>
                <w:highlight w:val="none"/>
              </w:rPr>
              <w:t xml:space="preserve">较全面合理、满足需求度较高、亮点和针对性</w:t>
            </w:r>
            <w:r>
              <w:rPr>
                <w:rFonts w:hint="eastAsia" w:eastAsia="宋体"/>
                <w:b w:val="0"/>
                <w:bCs/>
                <w:color w:val="auto"/>
                <w:szCs w:val="24"/>
                <w:highlight w:val="none"/>
              </w:rPr>
              <w:t xml:space="preserve">不足的，</w:t>
            </w:r>
            <w:r>
              <w:rPr>
                <w:rFonts w:eastAsia="宋体"/>
                <w:b w:val="0"/>
                <w:bCs/>
                <w:color w:val="auto"/>
                <w:szCs w:val="24"/>
                <w:highlight w:val="none"/>
              </w:rPr>
              <w:t xml:space="preserve">得3分；</w:t>
            </w:r>
            <w:r/>
          </w:p>
          <w:p>
            <w:pPr>
              <w:pStyle w:val="1070"/>
              <w:numPr>
                <w:ilvl w:val="0"/>
                <w:numId w:val="11"/>
              </w:numPr>
              <w:jc w:val="both"/>
              <w:rPr>
                <w:rFonts w:eastAsia="宋体"/>
                <w:b w:val="0"/>
                <w:bCs/>
                <w:color w:val="auto"/>
                <w:szCs w:val="24"/>
                <w:highlight w:val="none"/>
              </w:rPr>
            </w:pPr>
            <w:r>
              <w:rPr>
                <w:rFonts w:hint="eastAsia" w:eastAsia="宋体"/>
                <w:b w:val="0"/>
                <w:bCs/>
                <w:color w:val="auto"/>
                <w:szCs w:val="24"/>
                <w:highlight w:val="none"/>
              </w:rPr>
              <w:t xml:space="preserve">措施存在</w:t>
            </w:r>
            <w:r>
              <w:rPr>
                <w:rFonts w:eastAsia="宋体"/>
                <w:b w:val="0"/>
                <w:bCs/>
                <w:color w:val="auto"/>
                <w:szCs w:val="24"/>
                <w:highlight w:val="none"/>
              </w:rPr>
              <w:t xml:space="preserve">明显不足、不利于项目实施</w:t>
            </w:r>
            <w:r>
              <w:rPr>
                <w:rFonts w:hint="eastAsia" w:eastAsia="宋体"/>
                <w:b w:val="0"/>
                <w:bCs/>
                <w:color w:val="auto"/>
                <w:szCs w:val="24"/>
                <w:highlight w:val="none"/>
              </w:rPr>
              <w:t xml:space="preserve">和开展</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得1分</w:t>
            </w:r>
            <w:r>
              <w:rPr>
                <w:rFonts w:hint="eastAsia" w:eastAsia="宋体"/>
                <w:b w:val="0"/>
                <w:bCs/>
                <w:color w:val="auto"/>
                <w:szCs w:val="24"/>
                <w:highlight w:val="none"/>
              </w:rPr>
              <w:t xml:space="preserve">；</w:t>
            </w:r>
            <w:r/>
          </w:p>
          <w:p>
            <w:pPr>
              <w:pStyle w:val="1070"/>
              <w:jc w:val="both"/>
              <w:rPr>
                <w:rFonts w:hint="eastAsia" w:ascii="宋体" w:hAnsi="宋体" w:eastAsia="宋体" w:cs="Times New Roman"/>
                <w:b w:val="0"/>
                <w:color w:val="auto"/>
                <w:szCs w:val="24"/>
                <w:highlight w:val="none"/>
              </w:rPr>
            </w:pP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bookmarkEnd w:id="241"/>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bookmarkStart w:id="244" w:name="_Hlk155964488"/>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1070"/>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工作进度安排</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rPr>
                <w:rFonts w:hint="eastAsia" w:ascii="宋体" w:hAnsi="宋体" w:eastAsia="宋体" w:cs="Times New Roman"/>
                <w:b w:val="0"/>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both"/>
              <w:rPr>
                <w:rFonts w:eastAsia="宋体"/>
                <w:b w:val="0"/>
                <w:bCs/>
                <w:color w:val="auto"/>
                <w:szCs w:val="24"/>
                <w:highlight w:val="none"/>
              </w:rPr>
            </w:pPr>
            <w:r/>
            <w:bookmarkStart w:id="245" w:name="_Hlk155964537"/>
            <w:r>
              <w:rPr>
                <w:rFonts w:hint="eastAsia" w:eastAsia="宋体"/>
                <w:b w:val="0"/>
                <w:bCs/>
                <w:color w:val="auto"/>
                <w:szCs w:val="24"/>
                <w:highlight w:val="none"/>
              </w:rPr>
              <w:t xml:space="preserve">评标委员会对比投标人提供的工作进度安排进行综合打分。</w:t>
            </w:r>
            <w:r/>
          </w:p>
          <w:p>
            <w:pPr>
              <w:pStyle w:val="1070"/>
              <w:numPr>
                <w:ilvl w:val="0"/>
                <w:numId w:val="12"/>
              </w:numPr>
              <w:jc w:val="both"/>
              <w:rPr>
                <w:rFonts w:eastAsia="宋体"/>
                <w:b w:val="0"/>
                <w:bCs/>
                <w:color w:val="auto"/>
                <w:szCs w:val="24"/>
                <w:highlight w:val="none"/>
              </w:rPr>
            </w:pPr>
            <w:r>
              <w:rPr>
                <w:rFonts w:hint="eastAsia" w:eastAsia="宋体"/>
                <w:b w:val="0"/>
                <w:bCs/>
                <w:color w:val="auto"/>
                <w:szCs w:val="24"/>
                <w:highlight w:val="none"/>
              </w:rPr>
              <w:t xml:space="preserve">工作进度安排详细、可行的，得</w:t>
            </w:r>
            <w:r>
              <w:rPr>
                <w:rFonts w:eastAsia="宋体"/>
                <w:b w:val="0"/>
                <w:bCs/>
                <w:color w:val="auto"/>
                <w:szCs w:val="24"/>
                <w:highlight w:val="none"/>
              </w:rPr>
              <w:t xml:space="preserve">5分</w:t>
            </w:r>
            <w:bookmarkEnd w:id="245"/>
            <w:r>
              <w:rPr>
                <w:rFonts w:eastAsia="宋体"/>
                <w:b w:val="0"/>
                <w:bCs/>
                <w:color w:val="auto"/>
                <w:szCs w:val="24"/>
                <w:highlight w:val="none"/>
              </w:rPr>
              <w:t xml:space="preserve">；</w:t>
            </w:r>
            <w:r/>
          </w:p>
          <w:p>
            <w:pPr>
              <w:pStyle w:val="1070"/>
              <w:numPr>
                <w:ilvl w:val="0"/>
                <w:numId w:val="12"/>
              </w:numPr>
              <w:jc w:val="both"/>
              <w:rPr>
                <w:rFonts w:eastAsia="宋体"/>
                <w:b w:val="0"/>
                <w:bCs/>
                <w:color w:val="auto"/>
                <w:szCs w:val="24"/>
                <w:highlight w:val="none"/>
              </w:rPr>
            </w:pPr>
            <w:r>
              <w:rPr>
                <w:rFonts w:hint="eastAsia" w:eastAsia="宋体"/>
                <w:b w:val="0"/>
                <w:bCs/>
                <w:color w:val="auto"/>
                <w:szCs w:val="24"/>
                <w:highlight w:val="none"/>
              </w:rPr>
              <w:t xml:space="preserve">进度安排基本合理、较可行</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得3分；</w:t>
            </w:r>
            <w:r/>
          </w:p>
          <w:p>
            <w:pPr>
              <w:pStyle w:val="1070"/>
              <w:numPr>
                <w:ilvl w:val="0"/>
                <w:numId w:val="12"/>
              </w:numPr>
              <w:jc w:val="both"/>
              <w:rPr>
                <w:rFonts w:eastAsia="宋体"/>
                <w:b w:val="0"/>
                <w:bCs/>
                <w:color w:val="auto"/>
                <w:szCs w:val="24"/>
                <w:highlight w:val="none"/>
              </w:rPr>
            </w:pPr>
            <w:r>
              <w:rPr>
                <w:rFonts w:eastAsia="宋体"/>
                <w:b w:val="0"/>
                <w:bCs/>
                <w:color w:val="auto"/>
                <w:szCs w:val="24"/>
                <w:highlight w:val="none"/>
              </w:rPr>
              <w:t xml:space="preserve">存在明显不足、有所欠缺的</w:t>
            </w:r>
            <w:r>
              <w:rPr>
                <w:rFonts w:hint="eastAsia" w:eastAsia="宋体"/>
                <w:b w:val="0"/>
                <w:bCs/>
                <w:color w:val="auto"/>
                <w:szCs w:val="24"/>
                <w:highlight w:val="none"/>
              </w:rPr>
              <w:t xml:space="preserve">，</w:t>
            </w:r>
            <w:r>
              <w:rPr>
                <w:rFonts w:eastAsia="宋体"/>
                <w:b w:val="0"/>
                <w:bCs/>
                <w:color w:val="auto"/>
                <w:szCs w:val="24"/>
                <w:highlight w:val="none"/>
              </w:rPr>
              <w:t xml:space="preserve">得1</w:t>
            </w:r>
            <w:r>
              <w:rPr>
                <w:rFonts w:hint="eastAsia" w:eastAsia="宋体"/>
                <w:b w:val="0"/>
                <w:bCs/>
                <w:color w:val="auto"/>
                <w:szCs w:val="24"/>
                <w:highlight w:val="none"/>
              </w:rPr>
              <w:t xml:space="preserve">分；</w:t>
            </w:r>
            <w:r/>
          </w:p>
          <w:p>
            <w:pPr>
              <w:pStyle w:val="1070"/>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1070"/>
              <w:rPr>
                <w:rFonts w:eastAsia="宋体"/>
                <w:b w:val="0"/>
                <w:bCs/>
                <w:color w:val="auto"/>
                <w:szCs w:val="24"/>
                <w:highlight w:val="none"/>
              </w:rPr>
            </w:pPr>
            <w:r>
              <w:rPr>
                <w:rFonts w:hint="eastAsia" w:eastAsia="宋体"/>
                <w:b w:val="0"/>
                <w:bCs/>
                <w:color w:val="auto"/>
                <w:szCs w:val="24"/>
                <w:highlight w:val="none"/>
              </w:rPr>
              <w:t xml:space="preserve">重点难点分析</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rPr>
                <w:rFonts w:eastAsia="宋体"/>
                <w:b w:val="0"/>
                <w:bCs/>
                <w:color w:val="auto"/>
                <w:szCs w:val="24"/>
                <w:highlight w:val="none"/>
              </w:rPr>
            </w:pPr>
            <w:r>
              <w:rPr>
                <w:rFonts w:hint="eastAsia"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both"/>
              <w:rPr>
                <w:rFonts w:eastAsia="宋体"/>
                <w:b w:val="0"/>
                <w:bCs/>
                <w:color w:val="auto"/>
                <w:szCs w:val="24"/>
                <w:highlight w:val="none"/>
              </w:rPr>
            </w:pPr>
            <w:r>
              <w:rPr>
                <w:rFonts w:hint="eastAsia" w:eastAsia="宋体"/>
                <w:b w:val="0"/>
                <w:bCs/>
                <w:color w:val="auto"/>
                <w:szCs w:val="24"/>
                <w:highlight w:val="none"/>
              </w:rPr>
              <w:t xml:space="preserve">评标委员会对比投标人提供的重点难点分析进行综合打分。</w:t>
            </w:r>
            <w:r/>
          </w:p>
          <w:p>
            <w:pPr>
              <w:pStyle w:val="1070"/>
              <w:numPr>
                <w:ilvl w:val="0"/>
                <w:numId w:val="0"/>
              </w:numPr>
              <w:jc w:val="both"/>
              <w:rPr>
                <w:rFonts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（1）</w:t>
            </w:r>
            <w:r>
              <w:rPr>
                <w:rFonts w:hint="eastAsia" w:eastAsia="宋体"/>
                <w:b w:val="0"/>
                <w:bCs/>
                <w:color w:val="auto"/>
                <w:szCs w:val="24"/>
                <w:highlight w:val="none"/>
              </w:rPr>
              <w:t xml:space="preserve">重难点分析详细、可行的，得</w:t>
            </w:r>
            <w:r>
              <w:rPr>
                <w:rFonts w:eastAsia="宋体"/>
                <w:b w:val="0"/>
                <w:bCs/>
                <w:color w:val="auto"/>
                <w:szCs w:val="24"/>
                <w:highlight w:val="none"/>
              </w:rPr>
              <w:t xml:space="preserve">5分；</w:t>
            </w:r>
            <w:r/>
          </w:p>
          <w:p>
            <w:pPr>
              <w:pStyle w:val="1070"/>
              <w:numPr>
                <w:ilvl w:val="0"/>
                <w:numId w:val="0"/>
              </w:numPr>
              <w:jc w:val="both"/>
              <w:rPr>
                <w:rFonts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（2）</w:t>
            </w:r>
            <w:r>
              <w:rPr>
                <w:rFonts w:hint="eastAsia" w:eastAsia="宋体"/>
                <w:b w:val="0"/>
                <w:bCs/>
                <w:color w:val="auto"/>
                <w:szCs w:val="24"/>
                <w:highlight w:val="none"/>
              </w:rPr>
              <w:t xml:space="preserve">重难点分析基本合理、较可行</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得3分；</w:t>
            </w:r>
            <w:r/>
          </w:p>
          <w:p>
            <w:pPr>
              <w:pStyle w:val="1070"/>
              <w:numPr>
                <w:ilvl w:val="0"/>
                <w:numId w:val="0"/>
              </w:numPr>
              <w:jc w:val="both"/>
              <w:rPr>
                <w:rFonts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（3）</w:t>
            </w:r>
            <w:r>
              <w:rPr>
                <w:rFonts w:hint="eastAsia" w:eastAsia="宋体"/>
                <w:b w:val="0"/>
                <w:bCs/>
                <w:color w:val="auto"/>
                <w:szCs w:val="24"/>
                <w:highlight w:val="none"/>
              </w:rPr>
              <w:t xml:space="preserve">重难点分析</w:t>
            </w:r>
            <w:r>
              <w:rPr>
                <w:rFonts w:eastAsia="宋体"/>
                <w:b w:val="0"/>
                <w:bCs/>
                <w:color w:val="auto"/>
                <w:szCs w:val="24"/>
                <w:highlight w:val="none"/>
              </w:rPr>
              <w:t xml:space="preserve">明显不足、有所欠缺的</w:t>
            </w:r>
            <w:r>
              <w:rPr>
                <w:rFonts w:hint="eastAsia" w:eastAsia="宋体"/>
                <w:b w:val="0"/>
                <w:bCs/>
                <w:color w:val="auto"/>
                <w:szCs w:val="24"/>
                <w:highlight w:val="none"/>
              </w:rPr>
              <w:t xml:space="preserve">，</w:t>
            </w:r>
            <w:r>
              <w:rPr>
                <w:rFonts w:eastAsia="宋体"/>
                <w:b w:val="0"/>
                <w:bCs/>
                <w:color w:val="auto"/>
                <w:szCs w:val="24"/>
                <w:highlight w:val="none"/>
              </w:rPr>
              <w:t xml:space="preserve">得1</w:t>
            </w:r>
            <w:r>
              <w:rPr>
                <w:rFonts w:hint="eastAsia" w:eastAsia="宋体"/>
                <w:b w:val="0"/>
                <w:bCs/>
                <w:color w:val="auto"/>
                <w:szCs w:val="24"/>
                <w:highlight w:val="none"/>
              </w:rPr>
              <w:t xml:space="preserve">分；</w:t>
            </w:r>
            <w:r/>
          </w:p>
          <w:p>
            <w:pPr>
              <w:pStyle w:val="1070"/>
              <w:jc w:val="both"/>
              <w:rPr>
                <w:rFonts w:eastAsia="宋体"/>
                <w:b w:val="0"/>
                <w:bCs/>
                <w:color w:val="auto"/>
                <w:szCs w:val="24"/>
                <w:highlight w:val="none"/>
              </w:rPr>
            </w:pP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left w:val="single" w:color="auto" w:sz="4" w:space="0"/>
              <w:bottom w:val="single" w:color="auto" w:sz="4" w:space="0"/>
              <w:right w:val="single" w:color="auto" w:sz="4" w:space="0"/>
            </w:tcBorders>
            <w:tcW w:w="1173"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pacing w:val="-2"/>
                <w:sz w:val="24"/>
                <w:szCs w:val="21"/>
                <w:highlight w:val="none"/>
              </w:rPr>
            </w:pPr>
            <w:r>
              <w:rPr>
                <w:rFonts w:hint="eastAsia" w:ascii="宋体" w:hAnsi="宋体" w:eastAsia="宋体" w:cs="宋体"/>
                <w:color w:val="auto"/>
                <w:spacing w:val="-2"/>
                <w:sz w:val="24"/>
                <w:szCs w:val="21"/>
                <w:highlight w:val="none"/>
              </w:rPr>
              <w:t xml:space="preserve">培训方案</w:t>
            </w:r>
            <w:r/>
          </w:p>
          <w:p>
            <w:pPr>
              <w:pStyle w:val="1070"/>
              <w:rPr>
                <w:rFonts w:hint="eastAsia" w:eastAsia="宋体"/>
                <w:b w:val="0"/>
                <w:bCs/>
                <w:color w:val="auto"/>
                <w:szCs w:val="24"/>
                <w:highlight w:val="none"/>
                <w:lang w:eastAsia="zh-CN"/>
              </w:rPr>
            </w:pPr>
            <w:r>
              <w:rPr>
                <w:rFonts w:hint="eastAsia" w:eastAsia="宋体"/>
                <w:b w:val="0"/>
                <w:bCs/>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rPr>
                <w:rFonts w:eastAsia="宋体"/>
                <w:b w:val="0"/>
                <w:bCs/>
                <w:color w:val="auto"/>
                <w:szCs w:val="24"/>
                <w:highlight w:val="none"/>
              </w:rPr>
            </w:pPr>
            <w:r>
              <w:rPr>
                <w:rFonts w:hint="eastAsia"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both"/>
              <w:rPr>
                <w:rFonts w:hint="eastAsia" w:eastAsia="宋体"/>
                <w:b w:val="0"/>
                <w:bCs/>
                <w:color w:val="auto"/>
                <w:szCs w:val="24"/>
                <w:highlight w:val="none"/>
              </w:rPr>
            </w:pPr>
            <w:r>
              <w:rPr>
                <w:rFonts w:hint="eastAsia" w:eastAsia="宋体"/>
                <w:b w:val="0"/>
                <w:bCs/>
                <w:color w:val="auto"/>
                <w:szCs w:val="24"/>
                <w:highlight w:val="none"/>
              </w:rPr>
              <w:t xml:space="preserve">投标人结合项目需求提供培训方案，内容包括但不限于培训计划、培训内容、培训对象等。</w:t>
            </w:r>
            <w:r/>
          </w:p>
          <w:p>
            <w:pPr>
              <w:pStyle w:val="1070"/>
              <w:jc w:val="both"/>
              <w:rPr>
                <w:rFonts w:hint="eastAsia"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（1）</w:t>
            </w:r>
            <w:r>
              <w:rPr>
                <w:rFonts w:hint="eastAsia" w:eastAsia="宋体"/>
                <w:b w:val="0"/>
                <w:bCs/>
                <w:color w:val="auto"/>
                <w:szCs w:val="24"/>
                <w:highlight w:val="none"/>
              </w:rPr>
              <w:t xml:space="preserve">内容丰富，科学合理，培训形式多样，具有可操作性的得5分；</w:t>
            </w:r>
            <w:r/>
          </w:p>
          <w:p>
            <w:pPr>
              <w:pStyle w:val="1070"/>
              <w:jc w:val="both"/>
              <w:rPr>
                <w:rFonts w:hint="eastAsia"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w:t>
            </w:r>
            <w:r>
              <w:rPr>
                <w:rFonts w:hint="eastAsia" w:eastAsia="宋体" w:cstheme="minorBidi"/>
                <w:b w:val="0"/>
                <w:bCs/>
                <w:color w:val="auto"/>
                <w:sz w:val="24"/>
                <w:szCs w:val="24"/>
                <w:highlight w:val="none"/>
                <w:lang w:val="en-US" w:eastAsia="zh-CN" w:bidi="ar-SA"/>
              </w:rPr>
              <w:t xml:space="preserve">2</w:t>
            </w:r>
            <w:r>
              <w:rPr>
                <w:rFonts w:hint="default" w:ascii="Times New Roman" w:hAnsi="Times New Roman" w:eastAsia="宋体" w:cstheme="minorBidi"/>
                <w:b w:val="0"/>
                <w:bCs/>
                <w:color w:val="auto"/>
                <w:sz w:val="24"/>
                <w:szCs w:val="24"/>
                <w:highlight w:val="none"/>
                <w:lang w:val="en-US" w:eastAsia="zh-CN" w:bidi="ar-SA"/>
              </w:rPr>
              <w:t xml:space="preserve">）</w:t>
            </w:r>
            <w:r>
              <w:rPr>
                <w:rFonts w:hint="eastAsia" w:eastAsia="宋体"/>
                <w:b w:val="0"/>
                <w:bCs/>
                <w:color w:val="auto"/>
                <w:szCs w:val="24"/>
                <w:highlight w:val="none"/>
              </w:rPr>
              <w:t xml:space="preserve">内容较丰富，较合理，培训形式较多样，可操作性较强的得</w:t>
            </w:r>
            <w:r>
              <w:rPr>
                <w:rFonts w:hint="eastAsia" w:eastAsia="宋体"/>
                <w:b w:val="0"/>
                <w:bCs/>
                <w:color w:val="auto"/>
                <w:szCs w:val="24"/>
                <w:highlight w:val="none"/>
                <w:lang w:val="en-US" w:eastAsia="zh-CN"/>
              </w:rPr>
              <w:t xml:space="preserve">3</w:t>
            </w:r>
            <w:r>
              <w:rPr>
                <w:rFonts w:hint="eastAsia" w:eastAsia="宋体"/>
                <w:b w:val="0"/>
                <w:bCs/>
                <w:color w:val="auto"/>
                <w:szCs w:val="24"/>
                <w:highlight w:val="none"/>
              </w:rPr>
              <w:t xml:space="preserve">分；</w:t>
            </w:r>
            <w:r/>
          </w:p>
          <w:p>
            <w:pPr>
              <w:pStyle w:val="1070"/>
              <w:jc w:val="both"/>
              <w:rPr>
                <w:rFonts w:hint="eastAsia" w:eastAsia="宋体"/>
                <w:b w:val="0"/>
                <w:bCs/>
                <w:color w:val="auto"/>
                <w:szCs w:val="24"/>
                <w:highlight w:val="none"/>
              </w:rPr>
            </w:pPr>
            <w:r>
              <w:rPr>
                <w:rFonts w:hint="default" w:ascii="Times New Roman" w:hAnsi="Times New Roman" w:eastAsia="宋体" w:cstheme="minorBidi"/>
                <w:b w:val="0"/>
                <w:bCs/>
                <w:color w:val="auto"/>
                <w:sz w:val="24"/>
                <w:szCs w:val="24"/>
                <w:highlight w:val="none"/>
                <w:lang w:val="en-US" w:eastAsia="zh-CN" w:bidi="ar-SA"/>
              </w:rPr>
              <w:t xml:space="preserve">（</w:t>
            </w:r>
            <w:r>
              <w:rPr>
                <w:rFonts w:hint="eastAsia" w:eastAsia="宋体" w:cstheme="minorBidi"/>
                <w:b w:val="0"/>
                <w:bCs/>
                <w:color w:val="auto"/>
                <w:sz w:val="24"/>
                <w:szCs w:val="24"/>
                <w:highlight w:val="none"/>
                <w:lang w:val="en-US" w:eastAsia="zh-CN" w:bidi="ar-SA"/>
              </w:rPr>
              <w:t xml:space="preserve">3</w:t>
            </w:r>
            <w:r>
              <w:rPr>
                <w:rFonts w:hint="default" w:ascii="Times New Roman" w:hAnsi="Times New Roman" w:eastAsia="宋体" w:cstheme="minorBidi"/>
                <w:b w:val="0"/>
                <w:bCs/>
                <w:color w:val="auto"/>
                <w:sz w:val="24"/>
                <w:szCs w:val="24"/>
                <w:highlight w:val="none"/>
                <w:lang w:val="en-US" w:eastAsia="zh-CN" w:bidi="ar-SA"/>
              </w:rPr>
              <w:t xml:space="preserve">）</w:t>
            </w:r>
            <w:r>
              <w:rPr>
                <w:rFonts w:hint="eastAsia" w:eastAsia="宋体"/>
                <w:b w:val="0"/>
                <w:bCs/>
                <w:color w:val="auto"/>
                <w:szCs w:val="24"/>
                <w:highlight w:val="none"/>
              </w:rPr>
              <w:t xml:space="preserve">内容简单，合理性一般，形式单一，可操作性一般的得</w:t>
            </w:r>
            <w:r>
              <w:rPr>
                <w:rFonts w:hint="eastAsia" w:eastAsia="宋体"/>
                <w:b w:val="0"/>
                <w:bCs/>
                <w:color w:val="auto"/>
                <w:szCs w:val="24"/>
                <w:highlight w:val="none"/>
                <w:lang w:val="en-US" w:eastAsia="zh-CN"/>
              </w:rPr>
              <w:t xml:space="preserve">1</w:t>
            </w:r>
            <w:r>
              <w:rPr>
                <w:rFonts w:hint="eastAsia" w:eastAsia="宋体"/>
                <w:b w:val="0"/>
                <w:bCs/>
                <w:color w:val="auto"/>
                <w:szCs w:val="24"/>
                <w:highlight w:val="none"/>
              </w:rPr>
              <w:t xml:space="preserve">分；</w:t>
            </w:r>
            <w:r/>
          </w:p>
          <w:p>
            <w:pPr>
              <w:pStyle w:val="1070"/>
              <w:jc w:val="both"/>
              <w:rPr>
                <w:rFonts w:eastAsia="宋体"/>
                <w:b w:val="0"/>
                <w:bCs/>
                <w:color w:val="auto"/>
                <w:szCs w:val="24"/>
                <w:highlight w:val="none"/>
              </w:rPr>
            </w:pP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left w:val="single" w:color="auto" w:sz="4" w:space="0"/>
              <w:bottom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1070"/>
              <w:rPr>
                <w:rFonts w:eastAsia="宋体"/>
                <w:b w:val="0"/>
                <w:bCs/>
                <w:color w:val="auto"/>
                <w:szCs w:val="24"/>
                <w:highlight w:val="none"/>
              </w:rPr>
            </w:pPr>
            <w:r>
              <w:rPr>
                <w:rFonts w:hint="eastAsia" w:eastAsia="宋体"/>
                <w:b w:val="0"/>
                <w:bCs/>
                <w:color w:val="auto"/>
                <w:szCs w:val="24"/>
                <w:highlight w:val="none"/>
                <w:lang w:val="en-US" w:eastAsia="zh-CN"/>
              </w:rPr>
              <w:t xml:space="preserve">售后</w:t>
            </w:r>
            <w:r>
              <w:rPr>
                <w:rFonts w:eastAsia="宋体"/>
                <w:b w:val="0"/>
                <w:bCs/>
                <w:color w:val="auto"/>
                <w:szCs w:val="24"/>
                <w:highlight w:val="none"/>
              </w:rPr>
              <w:t xml:space="preserve">服务</w:t>
            </w:r>
            <w:r>
              <w:rPr>
                <w:rFonts w:hint="eastAsia" w:eastAsia="宋体"/>
                <w:b w:val="0"/>
                <w:bCs/>
                <w:color w:val="auto"/>
                <w:szCs w:val="24"/>
                <w:highlight w:val="none"/>
              </w:rPr>
              <w:t xml:space="preserve">体系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rPr>
                <w:rFonts w:eastAsia="宋体"/>
                <w:b w:val="0"/>
                <w:bCs/>
                <w:color w:val="auto"/>
                <w:szCs w:val="24"/>
                <w:highlight w:val="none"/>
              </w:rPr>
            </w:pPr>
            <w:r>
              <w:rPr>
                <w:rFonts w:hint="eastAsia" w:eastAsia="宋体"/>
                <w:b w:val="0"/>
                <w:bCs/>
                <w:color w:val="auto"/>
                <w:szCs w:val="24"/>
                <w:highlight w:val="none"/>
              </w:rPr>
              <w:t xml:space="preserve">5</w:t>
            </w:r>
            <w:bookmarkEnd w:id="244"/>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jc w:val="both"/>
              <w:rPr>
                <w:rFonts w:hint="eastAsia" w:eastAsia="宋体"/>
                <w:b w:val="0"/>
                <w:bCs/>
                <w:color w:val="auto"/>
                <w:szCs w:val="24"/>
                <w:highlight w:val="none"/>
              </w:rPr>
            </w:pPr>
            <w:r>
              <w:rPr>
                <w:rFonts w:hint="eastAsia" w:eastAsia="宋体"/>
                <w:b w:val="0"/>
                <w:bCs/>
                <w:color w:val="auto"/>
                <w:szCs w:val="24"/>
                <w:highlight w:val="none"/>
              </w:rPr>
              <w:t xml:space="preserve">投标人在项目建设完成后，可提供全面具体的售后服务体系。投标文件提供售后服务方案，包括具体服务内容、服务承诺、服务响应时间、技术支持体系、培训等内容。 </w:t>
            </w:r>
            <w:r/>
          </w:p>
          <w:p>
            <w:pPr>
              <w:pStyle w:val="1070"/>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1</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售后服务方案内容全面具体，服务响应及时，培训方案得当</w:t>
            </w:r>
            <w:r>
              <w:rPr>
                <w:rFonts w:hint="eastAsia" w:eastAsia="宋体"/>
                <w:b w:val="0"/>
                <w:bCs/>
                <w:color w:val="auto"/>
                <w:szCs w:val="24"/>
                <w:highlight w:val="none"/>
                <w:lang w:val="en-US" w:eastAsia="zh-CN"/>
              </w:rPr>
              <w:t xml:space="preserve">得5</w:t>
            </w:r>
            <w:r>
              <w:rPr>
                <w:rFonts w:hint="eastAsia" w:eastAsia="宋体"/>
                <w:b w:val="0"/>
                <w:bCs/>
                <w:color w:val="auto"/>
                <w:szCs w:val="24"/>
                <w:highlight w:val="none"/>
              </w:rPr>
              <w:t xml:space="preserve">分；</w:t>
            </w:r>
            <w:r/>
          </w:p>
          <w:p>
            <w:pPr>
              <w:pStyle w:val="1070"/>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2</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售后服务方案内容比较全面，服务响应与培训基本满足招标需求</w:t>
            </w:r>
            <w:r>
              <w:rPr>
                <w:rFonts w:hint="eastAsia" w:eastAsia="宋体"/>
                <w:b w:val="0"/>
                <w:bCs/>
                <w:color w:val="auto"/>
                <w:szCs w:val="24"/>
                <w:highlight w:val="none"/>
                <w:lang w:val="en-US" w:eastAsia="zh-CN"/>
              </w:rPr>
              <w:t xml:space="preserve">得3</w:t>
            </w:r>
            <w:r>
              <w:rPr>
                <w:rFonts w:hint="eastAsia" w:eastAsia="宋体"/>
                <w:b w:val="0"/>
                <w:bCs/>
                <w:color w:val="auto"/>
                <w:szCs w:val="24"/>
                <w:highlight w:val="none"/>
              </w:rPr>
              <w:t xml:space="preserve">分；</w:t>
            </w:r>
            <w:r/>
          </w:p>
          <w:p>
            <w:pPr>
              <w:pStyle w:val="1070"/>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3</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售后服务保障基本完善</w:t>
            </w:r>
            <w:r>
              <w:rPr>
                <w:rFonts w:hint="eastAsia" w:eastAsia="宋体"/>
                <w:b w:val="0"/>
                <w:bCs/>
                <w:color w:val="auto"/>
                <w:szCs w:val="24"/>
                <w:highlight w:val="none"/>
                <w:lang w:val="en-US" w:eastAsia="zh-CN"/>
              </w:rPr>
              <w:t xml:space="preserve">得1</w:t>
            </w:r>
            <w:r>
              <w:rPr>
                <w:rFonts w:hint="eastAsia" w:eastAsia="宋体"/>
                <w:b w:val="0"/>
                <w:bCs/>
                <w:color w:val="auto"/>
                <w:szCs w:val="24"/>
                <w:highlight w:val="none"/>
              </w:rPr>
              <w:t xml:space="preserve">分；</w:t>
            </w:r>
            <w:r/>
          </w:p>
          <w:p>
            <w:pPr>
              <w:pStyle w:val="1070"/>
              <w:jc w:val="both"/>
              <w:rPr>
                <w:rFonts w:eastAsia="宋体"/>
                <w:b w:val="0"/>
                <w:bCs/>
                <w:color w:val="auto"/>
                <w:szCs w:val="24"/>
                <w:highlight w:val="none"/>
              </w:rPr>
            </w:pP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top w:val="single" w:color="auto" w:sz="4" w:space="0"/>
              <w:left w:val="single" w:color="auto" w:sz="4" w:space="0"/>
              <w:right w:val="single" w:color="auto" w:sz="4" w:space="0"/>
            </w:tcBorders>
            <w:tcW w:w="883" w:type="dxa"/>
            <w:vAlign w:val="center"/>
            <w:vMerge w:val="restart"/>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客观评审因（</w:t>
            </w:r>
            <w:r>
              <w:rPr>
                <w:rFonts w:hint="eastAsia" w:ascii="宋体" w:hAnsi="宋体"/>
                <w:color w:val="auto"/>
                <w:sz w:val="24"/>
                <w:szCs w:val="24"/>
                <w:highlight w:val="none"/>
                <w:lang w:val="en-US" w:eastAsia="zh-CN"/>
              </w:rPr>
              <w:t xml:space="preserve">55</w:t>
            </w:r>
            <w:r>
              <w:rPr>
                <w:rFonts w:hint="eastAsia" w:ascii="宋体" w:hAnsi="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70"/>
              <w:numPr>
                <w:ilvl w:val="0"/>
                <w:numId w:val="0"/>
              </w:numPr>
              <w:jc w:val="both"/>
              <w:rPr>
                <w:rFonts w:hint="default" w:ascii="Times New Roman" w:hAnsi="Times New Roman"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参数响应</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numPr>
                <w:ilvl w:val="0"/>
                <w:numId w:val="0"/>
              </w:numPr>
              <w:jc w:val="both"/>
              <w:rPr>
                <w:rFonts w:hint="default" w:ascii="Times New Roman" w:hAnsi="Times New Roman"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numPr>
                <w:ilvl w:val="0"/>
                <w:numId w:val="0"/>
              </w:numPr>
              <w:jc w:val="both"/>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t xml:space="preserve">标▲</w:t>
            </w:r>
            <w:r>
              <w:rPr>
                <w:rFonts w:hint="eastAsia" w:eastAsia="宋体"/>
                <w:b w:val="0"/>
                <w:bCs/>
                <w:color w:val="auto"/>
                <w:szCs w:val="24"/>
                <w:highlight w:val="none"/>
                <w:lang w:val="en-US" w:eastAsia="zh-CN"/>
              </w:rPr>
              <w:t xml:space="preserve">项</w:t>
            </w:r>
            <w:r>
              <w:rPr>
                <w:rFonts w:hint="eastAsia" w:ascii="Times New Roman" w:hAnsi="Times New Roman" w:eastAsia="宋体"/>
                <w:b w:val="0"/>
                <w:bCs/>
                <w:color w:val="auto"/>
                <w:szCs w:val="24"/>
                <w:highlight w:val="none"/>
                <w:lang w:val="en-US" w:eastAsia="zh-CN"/>
              </w:rPr>
              <w:t xml:space="preserve">的参数为重要技术指标，每有一项不满足扣</w:t>
            </w:r>
            <w:r>
              <w:rPr>
                <w:rFonts w:hint="eastAsia" w:eastAsia="宋体"/>
                <w:b w:val="0"/>
                <w:bCs/>
                <w:color w:val="auto"/>
                <w:szCs w:val="24"/>
                <w:highlight w:val="none"/>
                <w:lang w:val="en-US" w:eastAsia="zh-CN"/>
              </w:rPr>
              <w:t xml:space="preserve">2</w:t>
            </w:r>
            <w:r>
              <w:rPr>
                <w:rFonts w:hint="eastAsia" w:ascii="Times New Roman" w:hAnsi="Times New Roman" w:eastAsia="宋体"/>
                <w:b w:val="0"/>
                <w:bCs/>
                <w:color w:val="auto"/>
                <w:szCs w:val="24"/>
                <w:highlight w:val="none"/>
                <w:lang w:val="en-US" w:eastAsia="zh-CN"/>
              </w:rPr>
              <w:t xml:space="preserve">分，直至扣完为止。</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rPr>
                <w:rFonts w:hint="eastAsia" w:ascii="宋体" w:hAnsi="宋体"/>
                <w:color w:val="auto"/>
                <w:sz w:val="24"/>
                <w:szCs w:val="24"/>
                <w:highlight w:val="none"/>
              </w:rPr>
            </w:pPr>
            <w:r/>
            <w:bookmarkStart w:id="246" w:name="OLE_LINK1"/>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70"/>
              <w:numPr>
                <w:ilvl w:val="0"/>
                <w:numId w:val="0"/>
              </w:numPr>
              <w:ind w:left="0" w:firstLine="0"/>
              <w:jc w:val="both"/>
              <w:rPr>
                <w:rFonts w:hint="eastAsia" w:ascii="Times New Roman" w:hAnsi="Times New Roman" w:eastAsia="宋体" w:cstheme="minorBidi"/>
                <w:b w:val="0"/>
                <w:bCs/>
                <w:color w:val="auto"/>
                <w:sz w:val="24"/>
                <w:szCs w:val="24"/>
                <w:highlight w:val="none"/>
                <w:lang w:val="en-US" w:eastAsia="zh-CN" w:bidi="ar-SA"/>
              </w:rPr>
            </w:pPr>
            <w:r>
              <w:rPr>
                <w:rFonts w:hint="eastAsia" w:ascii="Times New Roman" w:hAnsi="Times New Roman" w:eastAsia="宋体"/>
                <w:b w:val="0"/>
                <w:bCs/>
                <w:color w:val="auto"/>
                <w:szCs w:val="24"/>
                <w:highlight w:val="none"/>
              </w:rPr>
              <w:t xml:space="preserve">体系</w:t>
            </w:r>
            <w:r>
              <w:rPr>
                <w:rFonts w:hint="eastAsia" w:eastAsia="宋体"/>
                <w:b w:val="0"/>
                <w:bCs/>
                <w:color w:val="auto"/>
                <w:szCs w:val="24"/>
                <w:highlight w:val="none"/>
                <w:lang w:val="en-US" w:eastAsia="zh-CN"/>
              </w:rPr>
              <w:t xml:space="preserve">证书</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numPr>
                <w:ilvl w:val="0"/>
                <w:numId w:val="0"/>
              </w:numPr>
              <w:ind w:left="0" w:firstLine="0"/>
              <w:jc w:val="both"/>
              <w:rPr>
                <w:rFonts w:hint="default" w:ascii="Times New Roman" w:hAnsi="Times New Roman" w:eastAsia="宋体" w:cstheme="minorBidi"/>
                <w:b w:val="0"/>
                <w:bCs/>
                <w:color w:val="auto"/>
                <w:sz w:val="24"/>
                <w:szCs w:val="24"/>
                <w:highlight w:val="none"/>
                <w:lang w:val="en-US" w:eastAsia="zh-CN" w:bidi="ar-SA"/>
              </w:rPr>
            </w:pPr>
            <w:r>
              <w:rPr>
                <w:rFonts w:hint="eastAsia" w:eastAsia="宋体"/>
                <w:b w:val="0"/>
                <w:bCs/>
                <w:color w:val="auto"/>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numPr>
                <w:ilvl w:val="0"/>
                <w:numId w:val="0"/>
              </w:numPr>
              <w:ind w:left="0" w:firstLine="0"/>
              <w:jc w:val="both"/>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投标人具有质量管理体系认证、环境管理体系认证、职业健康安全体系认证，以上证书每提供1个得</w:t>
            </w:r>
            <w:r>
              <w:rPr>
                <w:rFonts w:hint="eastAsia" w:eastAsia="宋体"/>
                <w:b w:val="0"/>
                <w:bCs/>
                <w:color w:val="auto"/>
                <w:szCs w:val="24"/>
                <w:highlight w:val="none"/>
                <w:lang w:val="en-US" w:eastAsia="zh-CN"/>
              </w:rPr>
              <w:t xml:space="preserve">3</w:t>
            </w:r>
            <w:r>
              <w:rPr>
                <w:rFonts w:hint="eastAsia" w:ascii="Times New Roman" w:hAnsi="Times New Roman" w:eastAsia="宋体"/>
                <w:b w:val="0"/>
                <w:bCs/>
                <w:color w:val="auto"/>
                <w:szCs w:val="24"/>
                <w:highlight w:val="none"/>
              </w:rPr>
              <w:t xml:space="preserve">分，最多得</w:t>
            </w:r>
            <w:r>
              <w:rPr>
                <w:rFonts w:hint="eastAsia" w:eastAsia="宋体"/>
                <w:b w:val="0"/>
                <w:bCs/>
                <w:color w:val="auto"/>
                <w:szCs w:val="24"/>
                <w:highlight w:val="none"/>
                <w:lang w:val="en-US" w:eastAsia="zh-CN"/>
              </w:rPr>
              <w:t xml:space="preserve">9</w:t>
            </w:r>
            <w:r>
              <w:rPr>
                <w:rFonts w:hint="eastAsia" w:ascii="Times New Roman" w:hAnsi="Times New Roman" w:eastAsia="宋体"/>
                <w:b w:val="0"/>
                <w:bCs/>
                <w:color w:val="auto"/>
                <w:szCs w:val="24"/>
                <w:highlight w:val="none"/>
              </w:rPr>
              <w:t xml:space="preserve">分</w:t>
            </w:r>
            <w:r/>
          </w:p>
          <w:p>
            <w:pPr>
              <w:pStyle w:val="1070"/>
              <w:numPr>
                <w:ilvl w:val="0"/>
                <w:numId w:val="0"/>
              </w:numPr>
              <w:ind w:left="0" w:firstLine="0"/>
              <w:jc w:val="both"/>
              <w:rPr>
                <w:rFonts w:hint="default" w:ascii="Times New Roman" w:hAnsi="Times New Roman" w:eastAsia="宋体" w:cstheme="minorBidi"/>
                <w:b w:val="0"/>
                <w:bCs/>
                <w:color w:val="auto"/>
                <w:sz w:val="24"/>
                <w:szCs w:val="24"/>
                <w:highlight w:val="none"/>
                <w:lang w:val="en-US" w:eastAsia="zh-CN" w:bidi="ar-SA"/>
              </w:rPr>
            </w:pPr>
            <w:r>
              <w:rPr>
                <w:rFonts w:hint="eastAsia" w:eastAsia="宋体"/>
                <w:b w:val="0"/>
                <w:bCs/>
                <w:color w:val="auto"/>
                <w:szCs w:val="24"/>
                <w:highlight w:val="none"/>
                <w:lang w:val="en-US" w:eastAsia="zh-CN"/>
              </w:rPr>
              <w:t xml:space="preserve">注：投标文件中提供相关证书原件扫描件上传至投标文件中，标书中的相关证书须在有效期内，否则不得分。</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70"/>
              <w:numPr>
                <w:ilvl w:val="0"/>
                <w:numId w:val="0"/>
              </w:numPr>
              <w:ind w:left="0" w:firstLine="0"/>
              <w:jc w:val="both"/>
              <w:rPr>
                <w:rFonts w:hint="default" w:ascii="Times New Roman" w:hAnsi="Times New Roman" w:eastAsia="宋体" w:cstheme="minorBidi"/>
                <w:b w:val="0"/>
                <w:bCs/>
                <w:color w:val="auto"/>
                <w:sz w:val="24"/>
                <w:szCs w:val="24"/>
                <w:highlight w:val="none"/>
                <w:lang w:val="en-US" w:eastAsia="zh-CN" w:bidi="ar-SA"/>
              </w:rPr>
            </w:pPr>
            <w:r>
              <w:rPr>
                <w:rFonts w:hint="eastAsia" w:eastAsia="宋体"/>
                <w:b w:val="0"/>
                <w:bCs/>
                <w:color w:val="auto"/>
                <w:szCs w:val="24"/>
                <w:highlight w:val="none"/>
                <w:lang w:val="en-US" w:eastAsia="zh-CN"/>
              </w:rPr>
              <w:t xml:space="preserve">软件著作权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numPr>
                <w:ilvl w:val="0"/>
                <w:numId w:val="0"/>
              </w:numPr>
              <w:ind w:left="0" w:firstLine="0"/>
              <w:jc w:val="both"/>
              <w:rPr>
                <w:rFonts w:hint="default" w:ascii="Times New Roman" w:hAnsi="Times New Roman" w:eastAsia="宋体" w:cstheme="minorBidi"/>
                <w:b w:val="0"/>
                <w:bCs/>
                <w:color w:val="auto"/>
                <w:sz w:val="24"/>
                <w:szCs w:val="24"/>
                <w:highlight w:val="none"/>
                <w:lang w:val="en-US" w:eastAsia="zh-CN" w:bidi="ar-SA"/>
              </w:rPr>
            </w:pPr>
            <w:r>
              <w:rPr>
                <w:rFonts w:hint="eastAsia" w:eastAsia="宋体" w:cstheme="minorBidi"/>
                <w:b w:val="0"/>
                <w:bCs/>
                <w:color w:val="auto"/>
                <w:sz w:val="24"/>
                <w:szCs w:val="24"/>
                <w:highlight w:val="none"/>
                <w:lang w:val="en-US" w:eastAsia="zh-CN" w:bidi="ar-SA"/>
              </w:rPr>
              <w:t xml:space="preserve">14</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numPr>
                <w:ilvl w:val="0"/>
                <w:numId w:val="0"/>
              </w:numPr>
              <w:ind w:left="0" w:firstLine="0"/>
              <w:jc w:val="both"/>
              <w:rPr>
                <w:rFonts w:hint="eastAsia"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所投软件产品供应商具有种植智慧农业类似软件著作权证书的，有一个证书得 2分，最高得14分。</w:t>
            </w:r>
            <w:r/>
          </w:p>
          <w:p>
            <w:pPr>
              <w:pStyle w:val="1070"/>
              <w:numPr>
                <w:ilvl w:val="0"/>
                <w:numId w:val="0"/>
              </w:numPr>
              <w:ind w:left="0" w:firstLine="0"/>
              <w:jc w:val="both"/>
              <w:rPr>
                <w:rFonts w:hint="eastAsia"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注：包含但不限于农情信息精准智能采集系统类、农田建设监管信息系统类、农业田块管理系统类、农作物生长周期管理系统类、数农云“一张图”管理平台类、种植作业管理系统类、数农云大数据综合管理平台类等相关软件著作权证书。(提供软件著作权证书原件扫描件，否则不得分)</w:t>
            </w:r>
            <w:bookmarkEnd w:id="246"/>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70"/>
              <w:numPr>
                <w:ilvl w:val="0"/>
                <w:numId w:val="0"/>
              </w:numPr>
              <w:jc w:val="both"/>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rPr>
              <w:t xml:space="preserve">项目人员</w:t>
            </w:r>
            <w:r/>
          </w:p>
          <w:p>
            <w:pPr>
              <w:pStyle w:val="1070"/>
              <w:numPr>
                <w:ilvl w:val="0"/>
                <w:numId w:val="0"/>
              </w:numPr>
              <w:jc w:val="both"/>
              <w:rPr>
                <w:rFonts w:hint="eastAsia" w:ascii="Times New Roman" w:hAnsi="Times New Roman" w:eastAsia="宋体"/>
                <w:b w:val="0"/>
                <w:bCs/>
                <w:color w:val="auto"/>
                <w:szCs w:val="24"/>
                <w:highlight w:val="none"/>
                <w:lang w:val="en-US" w:eastAsia="zh-CN"/>
              </w:rPr>
            </w:pPr>
            <w:r>
              <w:rPr>
                <w:rFonts w:hint="eastAsia" w:ascii="Times New Roman" w:hAnsi="Times New Roman" w:eastAsia="宋体"/>
                <w:b w:val="0"/>
                <w:bCs/>
                <w:color w:val="auto"/>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1070"/>
              <w:numPr>
                <w:ilvl w:val="0"/>
                <w:numId w:val="0"/>
              </w:numPr>
              <w:jc w:val="both"/>
              <w:rPr>
                <w:rFonts w:hint="default" w:ascii="Times New Roman" w:hAnsi="Times New Roman"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1070"/>
              <w:numPr>
                <w:ilvl w:val="0"/>
                <w:numId w:val="0"/>
              </w:numPr>
              <w:ind w:left="0" w:firstLine="0"/>
              <w:jc w:val="both"/>
              <w:rPr>
                <w:rFonts w:hint="eastAsia" w:ascii="Times New Roman" w:hAnsi="Times New Roman" w:eastAsia="宋体" w:cstheme="minorBidi"/>
                <w:b w:val="0"/>
                <w:bCs/>
                <w:color w:val="auto"/>
                <w:sz w:val="24"/>
                <w:szCs w:val="24"/>
                <w:highlight w:val="none"/>
                <w:lang w:val="en-US" w:eastAsia="zh-CN" w:bidi="ar-SA"/>
              </w:rPr>
            </w:pPr>
            <w:r>
              <w:rPr>
                <w:rFonts w:hint="eastAsia" w:ascii="Times New Roman" w:hAnsi="Times New Roman" w:eastAsia="宋体" w:cstheme="minorBidi"/>
                <w:b w:val="0"/>
                <w:bCs/>
                <w:color w:val="auto"/>
                <w:sz w:val="24"/>
                <w:szCs w:val="24"/>
                <w:highlight w:val="none"/>
                <w:lang w:val="en-US" w:eastAsia="zh-CN" w:bidi="ar-SA"/>
              </w:rPr>
              <w:t xml:space="preserve">1、项目负责人具有信息系统项目管理师证书得1分，具有数据库管理(中级)及以上证书得1分，具有软件开发(中级)及以上证书得1分，本项最高得3分;</w:t>
            </w:r>
            <w:r/>
          </w:p>
          <w:p>
            <w:pPr>
              <w:pStyle w:val="1070"/>
              <w:numPr>
                <w:ilvl w:val="0"/>
                <w:numId w:val="0"/>
              </w:numPr>
              <w:ind w:left="0" w:firstLine="0"/>
              <w:jc w:val="both"/>
              <w:rPr>
                <w:rFonts w:hint="eastAsia" w:ascii="Times New Roman" w:hAnsi="Times New Roman" w:eastAsia="宋体" w:cstheme="minorBidi"/>
                <w:b w:val="0"/>
                <w:bCs/>
                <w:color w:val="auto"/>
                <w:sz w:val="24"/>
                <w:szCs w:val="24"/>
                <w:highlight w:val="none"/>
                <w:lang w:val="en-US" w:eastAsia="zh-CN" w:bidi="ar-SA"/>
              </w:rPr>
            </w:pPr>
            <w:r>
              <w:rPr>
                <w:rFonts w:hint="eastAsia" w:ascii="Times New Roman" w:hAnsi="Times New Roman" w:eastAsia="宋体" w:cstheme="minorBidi"/>
                <w:b w:val="0"/>
                <w:bCs/>
                <w:color w:val="auto"/>
                <w:sz w:val="24"/>
                <w:szCs w:val="24"/>
                <w:highlight w:val="none"/>
                <w:lang w:val="en-US" w:eastAsia="zh-CN" w:bidi="ar-SA"/>
              </w:rPr>
              <w:t xml:space="preserve">2、技术负责人具备网络或通信类高级及以上证书，得3分，本项最高得3分</w:t>
            </w:r>
            <w:r/>
          </w:p>
          <w:p>
            <w:pPr>
              <w:pStyle w:val="1070"/>
              <w:numPr>
                <w:ilvl w:val="0"/>
                <w:numId w:val="0"/>
              </w:numPr>
              <w:ind w:left="0" w:firstLine="0"/>
              <w:jc w:val="both"/>
              <w:rPr>
                <w:rFonts w:hint="eastAsia" w:ascii="Times New Roman" w:hAnsi="Times New Roman" w:eastAsia="宋体" w:cstheme="minorBidi"/>
                <w:b w:val="0"/>
                <w:bCs/>
                <w:color w:val="auto"/>
                <w:sz w:val="24"/>
                <w:szCs w:val="24"/>
                <w:highlight w:val="none"/>
                <w:lang w:val="en-US" w:eastAsia="zh-CN" w:bidi="ar-SA"/>
              </w:rPr>
            </w:pPr>
            <w:r>
              <w:rPr>
                <w:rFonts w:hint="eastAsia" w:ascii="Times New Roman" w:hAnsi="Times New Roman" w:eastAsia="宋体" w:cstheme="minorBidi"/>
                <w:b w:val="0"/>
                <w:bCs/>
                <w:color w:val="auto"/>
                <w:sz w:val="24"/>
                <w:szCs w:val="24"/>
                <w:highlight w:val="none"/>
                <w:lang w:val="en-US" w:eastAsia="zh-CN" w:bidi="ar-SA"/>
              </w:rPr>
              <w:t xml:space="preserve">3、项目组成员具备网络或通信类中级证书1分，本项最高得 2分。</w:t>
            </w:r>
            <w:r/>
          </w:p>
          <w:p>
            <w:pPr>
              <w:pStyle w:val="1070"/>
              <w:numPr>
                <w:ilvl w:val="0"/>
                <w:numId w:val="0"/>
              </w:numPr>
              <w:ind w:left="0" w:firstLine="0"/>
              <w:jc w:val="both"/>
              <w:rPr>
                <w:rFonts w:hint="eastAsia" w:ascii="Times New Roman" w:hAnsi="Times New Roman" w:eastAsia="宋体"/>
                <w:b w:val="0"/>
                <w:bCs/>
                <w:color w:val="auto"/>
                <w:szCs w:val="24"/>
                <w:highlight w:val="none"/>
              </w:rPr>
            </w:pPr>
            <w:r>
              <w:rPr>
                <w:rFonts w:hint="eastAsia" w:ascii="Times New Roman" w:hAnsi="Times New Roman" w:eastAsia="宋体" w:cstheme="minorBidi"/>
                <w:b w:val="0"/>
                <w:bCs/>
                <w:color w:val="auto"/>
                <w:sz w:val="24"/>
                <w:szCs w:val="24"/>
                <w:highlight w:val="none"/>
                <w:lang w:val="en-US" w:eastAsia="zh-CN" w:bidi="ar-SA"/>
              </w:rPr>
              <w:t xml:space="preserve">投标文件提供相关证书扫描件或电子件，同时提供2024年6月(含)以来任意一个月由投标人为其缴纳社保证明，未提供不得分。</w:t>
            </w:r>
            <w:r/>
          </w:p>
        </w:tc>
      </w:tr>
    </w:tbl>
    <w:p>
      <w:pPr>
        <w:rPr>
          <w:b/>
          <w:bCs/>
          <w:color w:val="auto"/>
          <w:sz w:val="24"/>
          <w:szCs w:val="24"/>
          <w:highlight w:val="none"/>
        </w:rPr>
      </w:pPr>
      <w:r>
        <w:rPr>
          <w:b/>
          <w:bCs/>
          <w:color w:val="auto"/>
          <w:sz w:val="24"/>
          <w:szCs w:val="24"/>
          <w:highlight w:val="none"/>
        </w:rPr>
      </w:r>
      <w:r/>
    </w:p>
    <w:p>
      <w:pPr>
        <w:pStyle w:val="942"/>
        <w:rPr>
          <w:rFonts w:ascii="黑体" w:eastAsia="黑体"/>
          <w:bCs/>
          <w:color w:val="auto"/>
          <w:sz w:val="44"/>
          <w:highlight w:val="none"/>
        </w:rPr>
      </w:pPr>
      <w:r>
        <w:rPr>
          <w:rFonts w:hint="eastAsia"/>
          <w:color w:val="auto"/>
          <w:highlight w:val="none"/>
        </w:rPr>
        <w:br w:type="page" w:clear="all"/>
      </w:r>
      <w:bookmarkStart w:id="247" w:name="_Toc25769"/>
      <w:r/>
      <w:bookmarkStart w:id="248" w:name="_Toc29928"/>
      <w:r>
        <w:rPr>
          <w:rFonts w:hint="eastAsia" w:ascii="黑体" w:eastAsia="黑体"/>
          <w:color w:val="auto"/>
          <w:sz w:val="44"/>
          <w:szCs w:val="44"/>
          <w:highlight w:val="none"/>
        </w:rPr>
        <w:t xml:space="preserve">第六章  投标</w:t>
      </w:r>
      <w:bookmarkEnd w:id="228"/>
      <w:r/>
      <w:bookmarkEnd w:id="229"/>
      <w:r/>
      <w:bookmarkEnd w:id="240"/>
      <w:r>
        <w:rPr>
          <w:rFonts w:hint="eastAsia" w:ascii="黑体" w:eastAsia="黑体"/>
          <w:color w:val="auto"/>
          <w:sz w:val="44"/>
          <w:szCs w:val="44"/>
          <w:highlight w:val="none"/>
        </w:rPr>
        <w:t xml:space="preserve">文件格式</w:t>
      </w:r>
      <w:bookmarkEnd w:id="247"/>
      <w:r/>
      <w:bookmarkEnd w:id="248"/>
      <w:r>
        <w:rPr>
          <w:rFonts w:hint="eastAsia" w:ascii="黑体" w:eastAsia="黑体"/>
          <w:color w:val="auto"/>
          <w:sz w:val="44"/>
          <w:szCs w:val="44"/>
          <w:highlight w:val="none"/>
        </w:rPr>
        <w:t xml:space="preserve"> </w:t>
      </w:r>
      <w:bookmarkEnd w:id="225"/>
      <w:r/>
      <w:bookmarkEnd w:id="226"/>
      <w:r/>
      <w:r/>
    </w:p>
    <w:p>
      <w:pPr>
        <w:jc w:val="center"/>
        <w:rPr>
          <w:rFonts w:hint="eastAsia" w:ascii="宋体" w:hAnsi="宋体"/>
          <w:b/>
          <w:color w:val="auto"/>
          <w:sz w:val="72"/>
          <w:highlight w:val="none"/>
        </w:rPr>
      </w:pPr>
      <w:r/>
      <w:bookmarkStart w:id="249" w:name="_Toc120614282"/>
      <w:r/>
      <w:bookmarkEnd w:id="249"/>
      <w:r/>
      <w:bookmarkStart w:id="250" w:name="_Toc49090576"/>
      <w:r/>
      <w:bookmarkEnd w:id="250"/>
      <w:r/>
      <w:bookmarkStart w:id="251" w:name="_Toc26554094"/>
      <w:r/>
      <w:bookmarkEnd w:id="251"/>
      <w:r/>
      <w:bookmarkStart w:id="252" w:name="_Hlt26671244"/>
      <w:r/>
      <w:bookmarkEnd w:id="252"/>
      <w:r/>
      <w:bookmarkStart w:id="253" w:name="_Hlt26955039"/>
      <w:r/>
      <w:bookmarkEnd w:id="253"/>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连 云 港 市 政 府 采 购</w:t>
      </w:r>
      <w:r/>
    </w:p>
    <w:p>
      <w:pPr>
        <w:jc w:val="center"/>
        <w:rPr>
          <w:rFonts w:hint="eastAsia" w:ascii="宋体" w:hAnsi="宋体"/>
          <w:b/>
          <w:color w:val="auto"/>
          <w:sz w:val="72"/>
          <w:szCs w:val="84"/>
          <w:highlight w:val="none"/>
        </w:rPr>
      </w:pPr>
      <w:r>
        <w:rPr>
          <w:rFonts w:hint="eastAsia" w:ascii="宋体" w:hAnsi="宋体"/>
          <w:b/>
          <w:color w:val="auto"/>
          <w:sz w:val="72"/>
          <w:szCs w:val="84"/>
          <w:highlight w:val="none"/>
        </w:rPr>
      </w:r>
      <w:r/>
    </w:p>
    <w:p>
      <w:pPr>
        <w:jc w:val="center"/>
        <w:rPr>
          <w:rFonts w:hint="eastAsia" w:ascii="宋体" w:hAnsi="宋体"/>
          <w:b/>
          <w:color w:val="auto"/>
          <w:sz w:val="72"/>
          <w:szCs w:val="84"/>
          <w:highlight w:val="none"/>
        </w:rPr>
      </w:pPr>
      <w:r>
        <w:rPr>
          <w:rFonts w:hint="eastAsia" w:ascii="宋体" w:hAnsi="宋体"/>
          <w:b/>
          <w:color w:val="auto"/>
          <w:sz w:val="72"/>
          <w:szCs w:val="84"/>
          <w:highlight w:val="none"/>
        </w:rPr>
        <w:t xml:space="preserve">投标文件</w:t>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t xml:space="preserve">项 目 名 称：【项目名称】 </w:t>
      </w:r>
      <w:r/>
    </w:p>
    <w:p>
      <w:pPr>
        <w:ind w:firstLine="964"/>
        <w:rPr>
          <w:rFonts w:hint="eastAsia" w:ascii="宋体" w:hAnsi="宋体"/>
          <w:b/>
          <w:color w:val="auto"/>
          <w:sz w:val="32"/>
          <w:szCs w:val="32"/>
          <w:highlight w:val="none"/>
          <w:u w:val="single"/>
        </w:rPr>
      </w:pPr>
      <w:r>
        <w:rPr>
          <w:rFonts w:hint="eastAsia" w:ascii="宋体" w:hAnsi="宋体"/>
          <w:b/>
          <w:color w:val="auto"/>
          <w:sz w:val="32"/>
          <w:szCs w:val="32"/>
          <w:highlight w:val="none"/>
        </w:rPr>
        <w:t xml:space="preserve">项 目 编 号：</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项目</w:t>
      </w:r>
      <w:r>
        <w:rPr>
          <w:rFonts w:ascii="宋体" w:hAnsi="宋体"/>
          <w:b/>
          <w:color w:val="auto"/>
          <w:sz w:val="32"/>
          <w:szCs w:val="32"/>
          <w:highlight w:val="none"/>
        </w:rPr>
        <w:t xml:space="preserve">编号】 </w:t>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t xml:space="preserve">投标人名称：</w:t>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t xml:space="preserve">投标人地址： </w:t>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964"/>
        <w:rPr>
          <w:rFonts w:hint="eastAsia" w:ascii="宋体" w:hAnsi="宋体"/>
          <w:b/>
          <w:color w:val="auto"/>
          <w:sz w:val="32"/>
          <w:szCs w:val="32"/>
          <w:highlight w:val="none"/>
        </w:rPr>
      </w:pPr>
      <w:r>
        <w:rPr>
          <w:rFonts w:hint="eastAsia" w:ascii="宋体" w:hAnsi="宋体"/>
          <w:b/>
          <w:color w:val="auto"/>
          <w:sz w:val="32"/>
          <w:szCs w:val="32"/>
          <w:highlight w:val="none"/>
        </w:rPr>
        <w:t xml:space="preserve">委托代理人：（委托代理时填写）              </w:t>
      </w:r>
      <w:r/>
    </w:p>
    <w:p>
      <w:pPr>
        <w:rPr>
          <w:color w:val="auto"/>
          <w:sz w:val="24"/>
          <w:highlight w:val="none"/>
        </w:rPr>
      </w:pPr>
      <w:r>
        <w:rPr>
          <w:rFonts w:hint="eastAsia" w:ascii="宋体" w:hAnsi="宋体"/>
          <w:b/>
          <w:color w:val="auto"/>
          <w:sz w:val="32"/>
          <w:szCs w:val="32"/>
          <w:highlight w:val="none"/>
        </w:rPr>
        <w:t xml:space="preserve">      日      期：</w:t>
      </w:r>
      <w:r>
        <w:rPr>
          <w:rFonts w:ascii="宋体" w:hAnsi="宋体"/>
          <w:b/>
          <w:color w:val="auto"/>
          <w:sz w:val="24"/>
          <w:highlight w:val="none"/>
        </w:rPr>
        <w:t xml:space="preserve"> </w:t>
      </w:r>
      <w:r/>
    </w:p>
    <w:p>
      <w:pPr>
        <w:pStyle w:val="793"/>
        <w:rPr>
          <w:rFonts w:ascii="Times New Roman" w:hAnsi="Times New Roman"/>
          <w:color w:val="auto"/>
          <w:sz w:val="24"/>
          <w:highlight w:val="none"/>
        </w:rPr>
      </w:pPr>
      <w:r>
        <w:rPr>
          <w:rFonts w:ascii="Times New Roman" w:hAnsi="Times New Roman"/>
          <w:color w:val="auto"/>
          <w:sz w:val="24"/>
          <w:highlight w:val="none"/>
        </w:rPr>
      </w:r>
      <w:r/>
    </w:p>
    <w:p>
      <w:pPr>
        <w:pStyle w:val="793"/>
        <w:rPr>
          <w:rFonts w:ascii="Times New Roman" w:hAnsi="Times New Roman"/>
          <w:color w:val="auto"/>
          <w:sz w:val="24"/>
          <w:highlight w:val="none"/>
        </w:rPr>
      </w:pPr>
      <w:r>
        <w:rPr>
          <w:rFonts w:ascii="Times New Roman" w:hAnsi="Times New Roman"/>
          <w:color w:val="auto"/>
          <w:sz w:val="24"/>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一、法人或者其他组织的营业执照等证明文件，自然人的身份证明（如是联合体投标，联合体成员均需提供）</w:t>
      </w:r>
      <w:r/>
    </w:p>
    <w:p>
      <w:pPr>
        <w:ind w:left="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二、具有良好的商业信誉和健全的财务会计制度（根据连财购〔2023〕4号文件精神，可提供《财务状况报告及税收、社会保障资金缴纳情况承诺函》</w:t>
      </w:r>
      <w:r>
        <w:rPr>
          <w:rFonts w:hint="eastAsia" w:ascii="宋体" w:hAnsi="宋体"/>
          <w:i/>
          <w:color w:val="auto"/>
          <w:sz w:val="24"/>
          <w:szCs w:val="24"/>
          <w:highlight w:val="none"/>
          <w:u w:val="single"/>
          <w:lang w:eastAsia="zh-CN"/>
        </w:rPr>
        <w:t xml:space="preserve">，（如是联合体投标，联合体成员均需提供</w:t>
      </w:r>
      <w:r>
        <w:rPr>
          <w:rFonts w:hint="eastAsia" w:ascii="宋体" w:hAnsi="宋体"/>
          <w:i/>
          <w:color w:val="auto"/>
          <w:sz w:val="24"/>
          <w:szCs w:val="24"/>
          <w:highlight w:val="none"/>
          <w:u w:val="single"/>
        </w:rPr>
        <w:t xml:space="preserve">）</w:t>
      </w:r>
      <w:r/>
    </w:p>
    <w:p>
      <w:pPr>
        <w:ind w:left="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三、依法缴纳税收和社会保障资金的相关证明材料（根据连财购〔2023〕4号文件精神，可提供《财务状况报告及税收、社会保障资金缴纳情况承诺函》</w:t>
      </w:r>
      <w:r>
        <w:rPr>
          <w:rFonts w:hint="eastAsia" w:ascii="宋体" w:hAnsi="宋体"/>
          <w:i/>
          <w:color w:val="auto"/>
          <w:sz w:val="24"/>
          <w:szCs w:val="24"/>
          <w:highlight w:val="none"/>
          <w:u w:val="single"/>
          <w:lang w:eastAsia="zh-CN"/>
        </w:rPr>
        <w:t xml:space="preserve">，（如是联合体投标，联合体成员均需提供</w:t>
      </w:r>
      <w:r>
        <w:rPr>
          <w:rFonts w:hint="eastAsia" w:ascii="宋体" w:hAnsi="宋体"/>
          <w:i/>
          <w:color w:val="auto"/>
          <w:sz w:val="24"/>
          <w:szCs w:val="24"/>
          <w:highlight w:val="none"/>
          <w:u w:val="single"/>
        </w:rPr>
        <w:t xml:space="preserve">）；</w:t>
      </w:r>
      <w:r/>
    </w:p>
    <w:p>
      <w:pPr>
        <w:ind w:firstLine="482"/>
        <w:spacing w:line="360" w:lineRule="auto"/>
        <w:rPr>
          <w:rFonts w:hint="eastAsia" w:ascii="宋体" w:hAnsi="宋体" w:eastAsia="宋体" w:cs="Times New Roman"/>
          <w:i/>
          <w:color w:val="auto"/>
          <w:sz w:val="24"/>
          <w:szCs w:val="24"/>
          <w:highlight w:val="none"/>
          <w:u w:val="single"/>
          <w:lang w:eastAsia="zh-CN"/>
        </w:rPr>
      </w:pPr>
      <w:r>
        <w:rPr>
          <w:rFonts w:hint="eastAsia" w:ascii="宋体" w:hAnsi="宋体"/>
          <w:i/>
          <w:color w:val="auto"/>
          <w:sz w:val="24"/>
          <w:szCs w:val="24"/>
          <w:highlight w:val="none"/>
          <w:u w:val="single"/>
        </w:rPr>
        <w:t xml:space="preserve">四、具备履行合同所必需的设备和专业技术能力的书面声明</w:t>
      </w:r>
      <w:r>
        <w:rPr>
          <w:rFonts w:hint="eastAsia" w:ascii="宋体" w:hAnsi="宋体" w:eastAsia="宋体" w:cs="Times New Roman"/>
          <w:i/>
          <w:color w:val="auto"/>
          <w:sz w:val="24"/>
          <w:szCs w:val="24"/>
          <w:highlight w:val="none"/>
          <w:u w:val="single"/>
          <w:lang w:eastAsia="zh-CN"/>
        </w:rPr>
        <w:t xml:space="preserve">（</w:t>
      </w:r>
      <w:r>
        <w:rPr>
          <w:rFonts w:hint="eastAsia" w:ascii="宋体" w:hAnsi="宋体" w:eastAsia="宋体" w:cs="Times New Roman"/>
          <w:i/>
          <w:color w:val="auto"/>
          <w:sz w:val="24"/>
          <w:szCs w:val="24"/>
          <w:highlight w:val="none"/>
          <w:u w:val="single"/>
        </w:rPr>
        <w:t xml:space="preserve">如是联合体投标，联合体成员均需提供</w:t>
      </w:r>
      <w:r>
        <w:rPr>
          <w:rFonts w:hint="eastAsia" w:ascii="宋体" w:hAnsi="宋体" w:eastAsia="宋体" w:cs="Times New Roman"/>
          <w:i/>
          <w:color w:val="auto"/>
          <w:sz w:val="24"/>
          <w:szCs w:val="24"/>
          <w:highlight w:val="none"/>
          <w:u w:val="single"/>
          <w:lang w:eastAsia="zh-CN"/>
        </w:rPr>
        <w:t xml:space="preserve">）</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五、参加政府采购活动前 3 年内在经营活动中没有重大违法记录的书面声明（如是联合体投标，联合体成员均需提供）</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六、特定资格要求的证明文件（如果本项目设置特定资格要求，则需要提供）</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七、法人授权书</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八、投标函</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九、小微企业声明函（如是联合体投标，联合体成员均需提供）</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十、残疾人福利性单位声明函</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十一、投标分项报价表</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十二、技术要求响应及偏离表</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十三、商务要求响应及偏离表</w:t>
      </w:r>
      <w:r/>
    </w:p>
    <w:p>
      <w:pPr>
        <w:ind w:firstLine="480"/>
        <w:spacing w:line="360" w:lineRule="auto"/>
        <w:rPr>
          <w:rFonts w:hint="default" w:ascii="宋体" w:hAnsi="宋体" w:eastAsia="宋体"/>
          <w:i/>
          <w:color w:val="auto"/>
          <w:sz w:val="24"/>
          <w:szCs w:val="24"/>
          <w:highlight w:val="none"/>
          <w:u w:val="single"/>
          <w:lang w:val="en-US" w:eastAsia="zh-CN"/>
        </w:rPr>
      </w:pPr>
      <w:r>
        <w:rPr>
          <w:rFonts w:hint="eastAsia" w:ascii="宋体" w:hAnsi="宋体"/>
          <w:i w:val="0"/>
          <w:iCs/>
          <w:color w:val="auto"/>
          <w:sz w:val="24"/>
          <w:szCs w:val="24"/>
          <w:highlight w:val="none"/>
          <w:u w:val="none"/>
          <w:lang w:val="en-US" w:eastAsia="zh-CN"/>
        </w:rPr>
        <w:t xml:space="preserve">十四、联合体协议</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十</w:t>
      </w:r>
      <w:r>
        <w:rPr>
          <w:rFonts w:hint="eastAsia" w:ascii="宋体" w:hAnsi="宋体"/>
          <w:i/>
          <w:color w:val="auto"/>
          <w:sz w:val="24"/>
          <w:szCs w:val="24"/>
          <w:highlight w:val="none"/>
          <w:u w:val="single"/>
          <w:lang w:val="en-US" w:eastAsia="zh-CN"/>
        </w:rPr>
        <w:t xml:space="preserve">五</w:t>
      </w:r>
      <w:r>
        <w:rPr>
          <w:rFonts w:hint="eastAsia" w:ascii="宋体" w:hAnsi="宋体"/>
          <w:i/>
          <w:color w:val="auto"/>
          <w:sz w:val="24"/>
          <w:szCs w:val="24"/>
          <w:highlight w:val="none"/>
          <w:u w:val="single"/>
        </w:rPr>
        <w:t xml:space="preserve">、开标一览表</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十</w:t>
      </w:r>
      <w:r>
        <w:rPr>
          <w:rFonts w:hint="eastAsia" w:ascii="宋体" w:hAnsi="宋体"/>
          <w:iCs/>
          <w:color w:val="auto"/>
          <w:sz w:val="24"/>
          <w:szCs w:val="24"/>
          <w:highlight w:val="none"/>
          <w:lang w:val="en-US" w:eastAsia="zh-CN"/>
        </w:rPr>
        <w:t xml:space="preserve">六</w:t>
      </w:r>
      <w:r>
        <w:rPr>
          <w:rFonts w:hint="eastAsia" w:ascii="宋体" w:hAnsi="宋体"/>
          <w:iCs/>
          <w:color w:val="auto"/>
          <w:sz w:val="24"/>
          <w:szCs w:val="24"/>
          <w:highlight w:val="none"/>
        </w:rPr>
        <w:t xml:space="preserve">、其他材料</w:t>
      </w:r>
      <w:r/>
    </w:p>
    <w:p>
      <w:pPr>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iCs/>
          <w:color w:val="auto"/>
          <w:sz w:val="32"/>
          <w:szCs w:val="32"/>
          <w:highlight w:val="none"/>
        </w:rPr>
        <w:outlineLvl w:val="1"/>
      </w:pPr>
      <w:r>
        <w:rPr>
          <w:rFonts w:hint="eastAsia" w:ascii="宋体" w:hAnsi="宋体"/>
          <w:iCs/>
          <w:color w:val="auto"/>
          <w:sz w:val="32"/>
          <w:szCs w:val="32"/>
          <w:highlight w:val="none"/>
        </w:rPr>
        <w:t xml:space="preserve">一、法人或者其他组织的营业执照等证明文件，自然人的身份证明（如是联合体投标，联合体成员均需提供）</w:t>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iCs/>
          <w:color w:val="auto"/>
          <w:sz w:val="32"/>
          <w:szCs w:val="32"/>
          <w:highlight w:val="none"/>
        </w:rPr>
      </w:pPr>
      <w:r>
        <w:rPr>
          <w:rFonts w:hint="eastAsia" w:ascii="宋体" w:hAnsi="宋体"/>
          <w:color w:val="auto"/>
          <w:sz w:val="24"/>
          <w:highlight w:val="none"/>
        </w:rPr>
        <w:br w:type="page" w:clear="all"/>
      </w:r>
      <w:r>
        <w:rPr>
          <w:rFonts w:hint="eastAsia" w:ascii="宋体" w:hAnsi="宋体"/>
          <w:iCs/>
          <w:color w:val="auto"/>
          <w:sz w:val="32"/>
          <w:szCs w:val="32"/>
          <w:highlight w:val="none"/>
        </w:rPr>
        <w:t xml:space="preserve">二、具有良好的商业信誉和健全的财务会计制度（根据连财购〔2023〕4号文件精神，可提供《财务状况报告及税收、社会保障资金缴纳情况承诺函》</w:t>
      </w:r>
      <w:r>
        <w:rPr>
          <w:rFonts w:hint="eastAsia" w:ascii="宋体" w:hAnsi="宋体"/>
          <w:iCs/>
          <w:color w:val="auto"/>
          <w:sz w:val="32"/>
          <w:szCs w:val="32"/>
          <w:highlight w:val="none"/>
          <w:lang w:eastAsia="zh-CN"/>
        </w:rPr>
        <w:t xml:space="preserve">）</w:t>
      </w:r>
      <w:r/>
    </w:p>
    <w:p>
      <w:pPr>
        <w:jc w:val="center"/>
        <w:spacing w:line="360" w:lineRule="auto"/>
        <w:rPr>
          <w:rFonts w:hint="eastAsia" w:ascii="宋体" w:hAnsi="宋体"/>
          <w:bCs/>
          <w:color w:val="auto"/>
          <w:sz w:val="36"/>
          <w:szCs w:val="36"/>
          <w:highlight w:val="none"/>
        </w:rPr>
      </w:pPr>
      <w:r>
        <w:rPr>
          <w:rFonts w:hint="eastAsia" w:ascii="宋体" w:hAnsi="宋体"/>
          <w:bCs/>
          <w:color w:val="auto"/>
          <w:sz w:val="36"/>
          <w:szCs w:val="36"/>
          <w:highlight w:val="none"/>
        </w:rPr>
        <w:t xml:space="preserve">财务状况报告及税收、社会保障资金</w:t>
      </w:r>
      <w:r/>
    </w:p>
    <w:p>
      <w:pPr>
        <w:jc w:val="center"/>
        <w:spacing w:line="360" w:lineRule="auto"/>
        <w:rPr>
          <w:rFonts w:hint="eastAsia" w:ascii="宋体" w:hAnsi="宋体"/>
          <w:bCs/>
          <w:color w:val="auto"/>
          <w:sz w:val="36"/>
          <w:szCs w:val="36"/>
          <w:highlight w:val="none"/>
        </w:rPr>
      </w:pPr>
      <w:r>
        <w:rPr>
          <w:rFonts w:hint="eastAsia" w:ascii="宋体" w:hAnsi="宋体"/>
          <w:bCs/>
          <w:color w:val="auto"/>
          <w:sz w:val="36"/>
          <w:szCs w:val="36"/>
          <w:highlight w:val="none"/>
        </w:rPr>
        <w:t xml:space="preserve">缴纳情况承诺函</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1067"/>
          <w:rFonts w:hint="eastAsia" w:ascii="宋体" w:hAnsi="宋体"/>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ind w:firstLine="481"/>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rPr>
        <w:t xml:space="preserve">如是联合体投标，联合体成员均需提供</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Cs/>
          <w:color w:val="auto"/>
          <w:sz w:val="32"/>
          <w:szCs w:val="32"/>
          <w:highlight w:val="none"/>
        </w:rPr>
        <w:outlineLvl w:val="1"/>
      </w:pPr>
      <w:r>
        <w:rPr>
          <w:rFonts w:hint="eastAsia" w:ascii="宋体" w:hAnsi="宋体"/>
          <w:i/>
          <w:color w:val="auto"/>
          <w:sz w:val="32"/>
          <w:szCs w:val="32"/>
          <w:highlight w:val="none"/>
          <w:u w:val="single"/>
        </w:rPr>
        <w:br w:type="page" w:clear="all"/>
      </w:r>
      <w:r>
        <w:rPr>
          <w:rFonts w:hint="eastAsia" w:ascii="宋体" w:hAnsi="宋体"/>
          <w:iCs/>
          <w:color w:val="auto"/>
          <w:sz w:val="32"/>
          <w:szCs w:val="32"/>
          <w:highlight w:val="none"/>
        </w:rPr>
        <w:t xml:space="preserve">三、依法缴纳税收和社会保障资金的相关证明材料（根据连财购〔2023〕4号文件精神，可提供《财务状况报告及税收、社会保障资金缴纳情况承诺函》</w:t>
      </w:r>
      <w:r>
        <w:rPr>
          <w:rFonts w:hint="eastAsia" w:ascii="宋体" w:hAnsi="宋体"/>
          <w:iCs/>
          <w:color w:val="auto"/>
          <w:sz w:val="32"/>
          <w:szCs w:val="32"/>
          <w:highlight w:val="none"/>
          <w:lang w:eastAsia="zh-CN"/>
        </w:rPr>
        <w:t xml:space="preserve">）</w:t>
      </w:r>
      <w:r>
        <w:rPr>
          <w:rFonts w:hint="eastAsia" w:ascii="宋体" w:hAnsi="宋体"/>
          <w:iCs/>
          <w:color w:val="auto"/>
          <w:sz w:val="32"/>
          <w:szCs w:val="32"/>
          <w:highlight w:val="none"/>
        </w:rPr>
        <w:t xml:space="preserve">；</w:t>
      </w:r>
      <w:r/>
    </w:p>
    <w:p>
      <w:pPr>
        <w:jc w:val="center"/>
        <w:spacing w:line="360" w:lineRule="auto"/>
        <w:rPr>
          <w:rFonts w:hint="eastAsia" w:ascii="宋体" w:hAnsi="宋体"/>
          <w:bCs/>
          <w:color w:val="auto"/>
          <w:sz w:val="36"/>
          <w:szCs w:val="36"/>
          <w:highlight w:val="none"/>
        </w:rPr>
      </w:pPr>
      <w:r/>
      <w:bookmarkStart w:id="254" w:name="_Toc120614284"/>
      <w:r>
        <w:rPr>
          <w:rFonts w:hint="eastAsia" w:ascii="宋体" w:hAnsi="宋体"/>
          <w:bCs/>
          <w:color w:val="auto"/>
          <w:sz w:val="36"/>
          <w:szCs w:val="36"/>
          <w:highlight w:val="none"/>
        </w:rPr>
        <w:t xml:space="preserve">财务状况报告及税收、社会保障资金</w:t>
      </w:r>
      <w:r/>
    </w:p>
    <w:p>
      <w:pPr>
        <w:jc w:val="center"/>
        <w:spacing w:line="360" w:lineRule="auto"/>
        <w:rPr>
          <w:rFonts w:hint="eastAsia" w:ascii="宋体" w:hAnsi="宋体"/>
          <w:bCs/>
          <w:color w:val="auto"/>
          <w:sz w:val="36"/>
          <w:szCs w:val="36"/>
          <w:highlight w:val="none"/>
        </w:rPr>
      </w:pPr>
      <w:r>
        <w:rPr>
          <w:rFonts w:hint="eastAsia" w:ascii="宋体" w:hAnsi="宋体"/>
          <w:bCs/>
          <w:color w:val="auto"/>
          <w:sz w:val="36"/>
          <w:szCs w:val="36"/>
          <w:highlight w:val="none"/>
        </w:rPr>
        <w:t xml:space="preserve">缴纳情况承诺函</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1067"/>
          <w:rFonts w:hint="eastAsia" w:ascii="宋体" w:hAnsi="宋体"/>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ind w:firstLine="481"/>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rPr>
        <w:t xml:space="preserve">如是联合体投标，联合体成员均需提供</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Cs/>
          <w:color w:val="auto"/>
          <w:sz w:val="32"/>
          <w:szCs w:val="32"/>
          <w:highlight w:val="none"/>
        </w:rPr>
        <w:outlineLvl w:val="1"/>
      </w:pPr>
      <w:r>
        <w:rPr>
          <w:rFonts w:hint="eastAsia" w:ascii="宋体" w:hAnsi="宋体"/>
          <w:i/>
          <w:color w:val="auto"/>
          <w:sz w:val="32"/>
          <w:szCs w:val="32"/>
          <w:highlight w:val="none"/>
          <w:u w:val="single"/>
        </w:rPr>
        <w:br w:type="page" w:clear="all"/>
      </w:r>
      <w:r>
        <w:rPr>
          <w:rFonts w:hint="eastAsia" w:ascii="宋体" w:hAnsi="宋体"/>
          <w:iCs/>
          <w:color w:val="auto"/>
          <w:sz w:val="32"/>
          <w:szCs w:val="32"/>
          <w:highlight w:val="none"/>
        </w:rPr>
        <w:t xml:space="preserve">四、具备履行合同所必需的设备和专业技术能力的书面声明</w:t>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ind w:firstLine="492"/>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9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rPr>
        <w:t xml:space="preserve">如是联合体投标，联合体成员均需提供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iCs/>
          <w:color w:val="auto"/>
          <w:sz w:val="32"/>
          <w:szCs w:val="32"/>
          <w:highlight w:val="none"/>
        </w:rPr>
        <w:outlineLvl w:val="1"/>
      </w:pPr>
      <w:r>
        <w:rPr>
          <w:rFonts w:hint="eastAsia" w:ascii="宋体" w:hAnsi="宋体"/>
          <w:i/>
          <w:color w:val="auto"/>
          <w:sz w:val="32"/>
          <w:szCs w:val="32"/>
          <w:highlight w:val="none"/>
          <w:u w:val="single"/>
        </w:rPr>
        <w:br w:type="page" w:clear="all"/>
      </w:r>
      <w:r>
        <w:rPr>
          <w:rFonts w:hint="eastAsia" w:ascii="宋体" w:hAnsi="宋体"/>
          <w:iCs/>
          <w:color w:val="auto"/>
          <w:sz w:val="32"/>
          <w:szCs w:val="32"/>
          <w:highlight w:val="none"/>
        </w:rPr>
        <w:t xml:space="preserve">五、参加政府采购活动前 3 年内在经营活动中没有重大违法记录的书面声明</w:t>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81"/>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法定代表人或其委托代理人（签名或签章）：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ind w:firstLine="481"/>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rPr>
        <w:t xml:space="preserve">如是联合体投标，联合体成员均需提供</w:t>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hint="eastAsia" w:ascii="宋体" w:hAnsi="宋体"/>
          <w:iCs/>
          <w:color w:val="auto"/>
          <w:sz w:val="32"/>
          <w:szCs w:val="32"/>
          <w:highlight w:val="none"/>
        </w:rPr>
        <w:outlineLvl w:val="1"/>
      </w:pPr>
      <w:r>
        <w:rPr>
          <w:rFonts w:hint="eastAsia" w:ascii="宋体" w:hAnsi="宋体"/>
          <w:i/>
          <w:color w:val="auto"/>
          <w:sz w:val="32"/>
          <w:szCs w:val="32"/>
          <w:highlight w:val="none"/>
          <w:u w:val="single"/>
        </w:rPr>
        <w:br w:type="page" w:clear="all"/>
      </w:r>
      <w:r>
        <w:rPr>
          <w:rFonts w:hint="eastAsia" w:ascii="宋体" w:hAnsi="宋体"/>
          <w:iCs/>
          <w:color w:val="auto"/>
          <w:sz w:val="32"/>
          <w:szCs w:val="32"/>
          <w:highlight w:val="none"/>
        </w:rPr>
        <w:t xml:space="preserve">六、特定资格要求的证明文件</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Cs/>
          <w:color w:val="auto"/>
          <w:sz w:val="32"/>
          <w:szCs w:val="32"/>
          <w:highlight w:val="none"/>
        </w:rPr>
        <w:outlineLvl w:val="1"/>
      </w:pPr>
      <w:r>
        <w:rPr>
          <w:rFonts w:hint="eastAsia" w:ascii="宋体" w:hAnsi="宋体"/>
          <w:i/>
          <w:color w:val="auto"/>
          <w:sz w:val="32"/>
          <w:szCs w:val="32"/>
          <w:highlight w:val="none"/>
          <w:u w:val="single"/>
        </w:rPr>
        <w:br w:type="page" w:clear="all"/>
      </w:r>
      <w:r>
        <w:rPr>
          <w:rFonts w:hint="eastAsia" w:ascii="宋体" w:hAnsi="宋体"/>
          <w:iCs/>
          <w:color w:val="auto"/>
          <w:sz w:val="32"/>
          <w:szCs w:val="32"/>
          <w:highlight w:val="none"/>
        </w:rPr>
        <w:t xml:space="preserve">七、法人授权书</w:t>
      </w:r>
      <w:r/>
    </w:p>
    <w:p>
      <w:pPr>
        <w:pStyle w:val="1041"/>
        <w:ind w:firstLine="480"/>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pStyle w:val="1041"/>
        <w:ind w:firstLine="48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highlight w:val="none"/>
          <w:u w:val="single"/>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pStyle w:val="1041"/>
        <w:ind w:firstLine="48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041"/>
        <w:ind w:firstLine="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r/>
    </w:p>
    <w:p>
      <w:pPr>
        <w:pStyle w:val="1041"/>
        <w:ind w:firstLine="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被授权人联系电话：（手机）</w:t>
      </w:r>
      <w:r>
        <w:rPr>
          <w:rFonts w:hint="eastAsia" w:ascii="宋体" w:hAnsi="宋体"/>
          <w:color w:val="auto"/>
          <w:sz w:val="24"/>
          <w:szCs w:val="24"/>
          <w:highlight w:val="none"/>
          <w:u w:val="single"/>
        </w:rPr>
        <w:t xml:space="preserve">                          </w:t>
      </w:r>
      <w:r/>
    </w:p>
    <w:p>
      <w:pPr>
        <w:pStyle w:val="1041"/>
        <w:ind w:firstLine="120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pStyle w:val="1041"/>
        <w:ind w:firstLine="480"/>
        <w:spacing w:line="360" w:lineRule="auto"/>
        <w:tabs>
          <w:tab w:val="clear"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单位地址：</w:t>
      </w:r>
      <w:r>
        <w:rPr>
          <w:rFonts w:hint="eastAsia" w:ascii="宋体" w:hAnsi="宋体"/>
          <w:color w:val="auto"/>
          <w:sz w:val="24"/>
          <w:szCs w:val="24"/>
          <w:highlight w:val="none"/>
          <w:u w:val="single"/>
        </w:rPr>
        <w:t xml:space="preserve">                                         </w:t>
      </w:r>
      <w:r/>
    </w:p>
    <w:p>
      <w:pPr>
        <w:pStyle w:val="1041"/>
        <w:ind w:firstLine="480"/>
        <w:spacing w:line="360" w:lineRule="auto"/>
        <w:tabs>
          <w:tab w:val="clear" w:pos="360" w:leader="none"/>
        </w:tabs>
        <w:rPr>
          <w:rFonts w:hint="eastAsia" w:ascii="宋体" w:hAnsi="宋体"/>
          <w:color w:val="auto"/>
          <w:sz w:val="24"/>
          <w:szCs w:val="24"/>
          <w:highlight w:val="none"/>
        </w:rPr>
      </w:pPr>
      <w:r/>
      <w:bookmarkStart w:id="255" w:name="_格式3__银行出具的资信证明"/>
      <w:r/>
      <w:bookmarkEnd w:id="255"/>
      <w:r/>
      <w:bookmarkStart w:id="256" w:name="_Hlt26671380"/>
      <w:r/>
      <w:bookmarkEnd w:id="256"/>
      <w:r/>
      <w:bookmarkStart w:id="257" w:name="_Hlt26955070"/>
      <w:r/>
      <w:bookmarkEnd w:id="257"/>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p>
    <w:p>
      <w:pPr>
        <w:pStyle w:val="945"/>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945"/>
        <w:ind w:firstLine="0"/>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43"/>
        <w:jc w:val="both"/>
        <w:rPr>
          <w:rFonts w:hint="eastAsia" w:ascii="宋体" w:hAnsi="宋体" w:eastAsia="宋体" w:cs="Times New Roman"/>
          <w:b w:val="0"/>
          <w:bCs w:val="0"/>
          <w:iCs/>
          <w:color w:val="auto"/>
          <w:sz w:val="32"/>
          <w:szCs w:val="32"/>
          <w:highlight w:val="none"/>
        </w:rPr>
      </w:pPr>
      <w:r>
        <w:rPr>
          <w:rFonts w:hint="eastAsia" w:ascii="宋体" w:hAnsi="宋体" w:eastAsia="宋体"/>
          <w:bCs w:val="0"/>
          <w:color w:val="auto"/>
          <w:sz w:val="24"/>
          <w:highlight w:val="none"/>
        </w:rPr>
        <w:br w:type="page" w:clear="all"/>
      </w:r>
      <w:r>
        <w:rPr>
          <w:rFonts w:hint="eastAsia" w:ascii="宋体" w:hAnsi="宋体" w:eastAsia="宋体" w:cs="Times New Roman"/>
          <w:b w:val="0"/>
          <w:bCs w:val="0"/>
          <w:iCs/>
          <w:color w:val="auto"/>
          <w:sz w:val="32"/>
          <w:szCs w:val="32"/>
          <w:highlight w:val="none"/>
        </w:rPr>
        <w:t xml:space="preserve">八、投标函</w:t>
      </w:r>
      <w:r/>
    </w:p>
    <w:p>
      <w:pPr>
        <w:pStyle w:val="1026"/>
        <w:ind w:firstLine="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highlight w:val="none"/>
          <w:u w:val="single"/>
        </w:rPr>
        <w:t xml:space="preserve">采购人名称</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highlight w:val="none"/>
          <w:u w:val="single"/>
        </w:rPr>
        <w:t xml:space="preserve">          </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5.同意向贵方提供贵方可能另外要求的与投标有关的任何证据或资料，并保证我方已提供和将要提供的文件是真实的、准确的。</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6.一旦我方中标,我方将根据招标文件的规定，严格履行合同的责任和义务,并保证在招标文件规定的时间完成项目，交付买方验收、使用。</w:t>
      </w:r>
      <w:r/>
    </w:p>
    <w:p>
      <w:pPr>
        <w:pStyle w:val="1026"/>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7.与本投标有关的正式通讯地址为：</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26"/>
        <w:ind w:left="420"/>
        <w:jc w:val="both"/>
        <w:spacing w:before="0" w:after="0"/>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hint="eastAsia" w:ascii="宋体" w:hAnsi="宋体"/>
          <w:b/>
          <w:color w:val="auto"/>
          <w:sz w:val="32"/>
          <w:szCs w:val="32"/>
          <w:highlight w:val="none"/>
        </w:rPr>
        <w:outlineLvl w:val="1"/>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九、小微企业声明函（服务）（项目编号：</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（项目名称）（项目编号：</w:t>
      </w:r>
      <w:r>
        <w:rPr>
          <w:rFonts w:hint="eastAsia" w:ascii="宋体" w:hAnsi="宋体"/>
          <w:color w:val="auto"/>
          <w:sz w:val="24"/>
          <w:highlight w:val="none"/>
          <w:u w:val="single"/>
        </w:rPr>
        <w:t xml:space="preserve">          </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eastAsia="zh-CN"/>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从业人员、营业收入、资产总额填报上一年度数据，无上一年度数据的新成立企业可不填报。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供应商如为联合体参加</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，牵头人和联合体成员均须提供本承诺函。供应商如不提供此声明函，价格将不做相应扣除。</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、请供应商如实填写，所填内容将作为评审的依据，如填写不完整或不一致或填写有误，将承担一切不利后果。</w:t>
      </w:r>
      <w:r/>
    </w:p>
    <w:p>
      <w:pPr>
        <w:ind w:firstLine="36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本项目属性为服务，声明函中不对其中涉及的货物的承接商作出要求。</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、中标人的《中小企业声明函》随中标结果公开，接受社会监督。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60" w:lineRule="exact"/>
        <w:rPr>
          <w:rFonts w:hint="eastAsia" w:ascii="宋体" w:hAnsi="宋体"/>
          <w:b/>
          <w:color w:val="auto"/>
          <w:sz w:val="32"/>
          <w:szCs w:val="32"/>
          <w:highlight w:val="none"/>
        </w:rPr>
        <w:outlineLvl w:val="1"/>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十、残疾人福利性单位声明函（项目编号：</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）采购活动由本单位提供服务。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360" w:lineRule="auto"/>
        <w:rPr>
          <w:rFonts w:hint="eastAsia" w:ascii="宋体" w:hAnsi="宋体"/>
          <w:color w:val="auto"/>
          <w:spacing w:val="6"/>
          <w:sz w:val="30"/>
          <w:szCs w:val="30"/>
          <w:highlight w:val="none"/>
        </w:rPr>
      </w:pPr>
      <w:r>
        <w:rPr>
          <w:rFonts w:hint="eastAsia" w:ascii="宋体" w:hAnsi="宋体"/>
          <w:color w:val="auto"/>
          <w:spacing w:val="6"/>
          <w:sz w:val="30"/>
          <w:szCs w:val="30"/>
          <w:highlight w:val="none"/>
        </w:rPr>
      </w:r>
      <w:r/>
    </w:p>
    <w:p>
      <w:pPr>
        <w:ind w:right="1560" w:firstLine="624"/>
        <w:jc w:val="center"/>
        <w:spacing w:line="360" w:lineRule="auto"/>
        <w:tabs>
          <w:tab w:val="left" w:pos="4860" w:leader="none"/>
        </w:tabs>
        <w:rPr>
          <w:rFonts w:hint="eastAsia" w:ascii="宋体" w:hAnsi="宋体"/>
          <w:color w:val="auto"/>
          <w:spacing w:val="6"/>
          <w:sz w:val="30"/>
          <w:szCs w:val="30"/>
          <w:highlight w:val="none"/>
        </w:rPr>
      </w:pPr>
      <w:r>
        <w:rPr>
          <w:rFonts w:hint="eastAsia" w:ascii="宋体" w:hAnsi="宋体"/>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360" w:lineRule="auto"/>
        <w:tabs>
          <w:tab w:val="left" w:pos="4860" w:leader="none"/>
        </w:tabs>
        <w:rPr>
          <w:rFonts w:hint="eastAsia"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numPr>
          <w:ilvl w:val="0"/>
          <w:numId w:val="0"/>
        </w:numPr>
        <w:jc w:val="center"/>
        <w:rPr>
          <w:rFonts w:hint="eastAsia" w:ascii="宋体" w:hAnsi="宋体"/>
          <w:b/>
          <w:color w:val="auto"/>
          <w:sz w:val="32"/>
          <w:szCs w:val="32"/>
          <w:highlight w:val="none"/>
        </w:rPr>
        <w:outlineLvl w:val="1"/>
      </w:pPr>
      <w:r>
        <w:rPr>
          <w:rFonts w:hint="eastAsia" w:ascii="宋体" w:hAnsi="宋体" w:eastAsia="宋体" w:cs="Times New Roman"/>
          <w:b/>
          <w:color w:val="auto"/>
          <w:sz w:val="32"/>
          <w:szCs w:val="32"/>
          <w:highlight w:val="none"/>
          <w:lang w:val="en-US" w:eastAsia="zh-CN" w:bidi="ar-SA"/>
        </w:rPr>
        <w:t xml:space="preserve">十一、</w:t>
      </w: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投标分项报价表（项目编号：</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w:t>
      </w:r>
      <w:r/>
    </w:p>
    <w:p>
      <w:pPr>
        <w:numPr>
          <w:ilvl w:val="0"/>
          <w:numId w:val="0"/>
        </w:numPr>
        <w:jc w:val="right"/>
        <w:rPr>
          <w:rFonts w:hint="default" w:ascii="宋体" w:hAnsi="宋体" w:eastAsia="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单位：元</w:t>
      </w:r>
      <w:r/>
    </w:p>
    <w:tbl>
      <w:tblPr>
        <w:tblStyle w:val="719"/>
        <w:tblW w:w="9072" w:type="dxa"/>
        <w:tblInd w:w="9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8"/>
        <w:gridCol w:w="1008"/>
        <w:gridCol w:w="1008"/>
        <w:gridCol w:w="1008"/>
        <w:gridCol w:w="1008"/>
        <w:gridCol w:w="1008"/>
        <w:gridCol w:w="1008"/>
        <w:gridCol w:w="1008"/>
        <w:gridCol w:w="1008"/>
      </w:tblGrid>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点位</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模块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子模块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W w:w="1008"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W w:w="1008"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合价</w:t>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江苏东海现代农业（稻麦）科技示范园</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江苏东海现代农业（稻麦）科技示范园智慧化维保扩容</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数字化环境监测</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气象监测站</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土壤监测站</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视频监控设备</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智能化设施应用</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全景摄像机</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宽带200M</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流水线产能智能监测系统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信息化提档维保</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产能监测与工人绩效系统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人员信息录入</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流水线排班</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流水线产能监测</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产能与绩效统计</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物联设备数据交换</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平台数据交换</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七河生物菌菇生产园区</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七河生物菌菇生产园区智慧化维保扩容</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生产设施智能化维保扩容</w:t>
            </w:r>
            <w:r/>
          </w:p>
        </w:tc>
        <w:tc>
          <w:tcPr>
            <w:gridSpan w:val="2"/>
            <w:shd w:val="clear" w:color="auto" w:fill="auto"/>
            <w:tcW w:w="20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二维码标签纸</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15000</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超高频RFID智能手持终端</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智能电子秤</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柔性抗金属标签超高频RFID</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15000</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超高频RFID读写器</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冷库通道RFID识别系统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RFID多通道读写器</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超高频RFID天线</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生产管理信息化维保扩容</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原料仓储管理系统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原料种类设置</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供应商设置</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原料日均消耗量设置</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入库登记</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消耗登记</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仓储统计</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菌棒冷库管理管理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出入库管理</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库存管理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库存盘点</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库存预警</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数据报表分析</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菌菇采收管理系统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采收扫码登记</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统计分析</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菌菇管理移动端</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信息查询</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采收登记</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批量库存盘点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数据协同与决策支持</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物联数据交换</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企业平台对接</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七河生物菌菇园区可视化管理系统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物联监测</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东海现代农业产业园</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东海现代农业产业园区数字化维保扩容</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数字化温室环境监测维保扩容</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温室环境监测</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土壤墒情监测</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生产设施智能化维保扩容</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喷灌系统改造维保</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智能环境控制柜改造维保</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移动端应用程序维保扩容</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生产管理移动端</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园区生产监测可视化管理系统</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实时监测</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自动化调控</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智慧农业产业园</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智慧农业产业园智能化扩容改造</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智能化设施设备维护扩容</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视频监控设备扩容改造</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红外筒型网络摄像机</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红外球形网络摄像机</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智能喷淋系统维护扩容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滴灌系统维护扩容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水肥系统扩容改造</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生产管理移动端</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数据协同共享</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物联数据交换</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园区可视化管理系统</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综合态势</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实时监测</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农高区物联网信息中心</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农高区物联网信息中心智能化扩容改造</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物联网中心智能交互系统维护扩容</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指挥交互系统维护扩容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语音交互系统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无线麦克风</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功放机</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可视化多元数据采集设备</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航拍无人机、存储设备、操作员培训，相机稳定器等</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008"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rPr>
                <w:rFonts w:hint="eastAsia" w:ascii="宋体" w:hAnsi="宋体" w:cs="宋体"/>
                <w:i w:val="0"/>
                <w:iCs w:val="0"/>
                <w:color w:val="auto"/>
                <w:sz w:val="18"/>
                <w:szCs w:val="18"/>
                <w:highlight w:val="none"/>
                <w:u w:val="none"/>
                <w:lang w:val="en-US" w:eastAsia="zh-CN" w:bidi="ar"/>
              </w:rPr>
              <w:t xml:space="preserve">/套</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农业产业可视化综合管理系统</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大厅展示系统维护扩容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移动端应用程序</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园区可视化管理系统</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物联监测后台管理系统</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设备信息管理</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设备信息查看</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设备控制</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设备预警</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预警阈值</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自动化策略</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主体管理</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联系人管理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物联网参数管理</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参数集模版管理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地块管理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地块信息管理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设备报修</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报修信息查看</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报修跟踪处理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MQTT服务器管理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MQTT服务器管理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大数据基础支撑底座</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物联网数据库</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第三方物联网对接</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农业平台对接</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系统仪表盘</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系统数据统计</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系统设置</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角色管理</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008"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菜单管理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用户管理</w:t>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1008"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
        </w:trPr>
        <w:tc>
          <w:tcPr>
            <w:gridSpan w:val="7"/>
            <w:shd w:val="clear" w:color="auto" w:fill="auto"/>
            <w:tcW w:w="705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其他相关服务</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trHeight w:val="23"/>
        </w:trPr>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其他相关服务</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云服务器租赁与管理</w:t>
            </w:r>
            <w:r/>
          </w:p>
        </w:tc>
        <w:tc>
          <w:tcPr>
            <w:gridSpan w:val="2"/>
            <w:shd w:val="clear" w:color="auto" w:fill="auto"/>
            <w:tcW w:w="20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云服务器租赁与管理</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0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3"/>
        </w:trPr>
        <w:tc>
          <w:tcPr>
            <w:gridSpan w:val="5"/>
            <w:shd w:val="clear" w:color="auto" w:fill="auto"/>
            <w:tcW w:w="5040"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合计（元）</w:t>
            </w:r>
            <w:r/>
          </w:p>
        </w:tc>
        <w:tc>
          <w:tcPr>
            <w:gridSpan w:val="4"/>
            <w:shd w:val="clear" w:color="auto" w:fill="auto"/>
            <w:tcW w:w="4032"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numPr>
          <w:ilvl w:val="0"/>
          <w:numId w:val="0"/>
        </w:numPr>
        <w:jc w:val="center"/>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numPr>
          <w:ilvl w:val="0"/>
          <w:numId w:val="0"/>
        </w:numPr>
        <w:jc w:val="center"/>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rPr>
          <w:rFonts w:hint="eastAsia" w:ascii="宋体" w:hAnsi="宋体"/>
          <w:color w:val="auto"/>
          <w:sz w:val="24"/>
          <w:szCs w:val="21"/>
          <w:highlight w:val="none"/>
        </w:rPr>
      </w:pPr>
      <w:r>
        <w:rPr>
          <w:rFonts w:hint="eastAsia" w:ascii="宋体" w:hAnsi="宋体"/>
          <w:color w:val="auto"/>
          <w:sz w:val="24"/>
          <w:szCs w:val="24"/>
          <w:highlight w:val="none"/>
        </w:rPr>
        <w:t xml:space="preserve">备注：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jc w:val="lef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outlineLvl w:val="1"/>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十二、技术要求响应及偏离表（项目编号：</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bookmarkEnd w:id="254"/>
      <w:r/>
      <w:r/>
    </w:p>
    <w:p>
      <w:pP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b/>
          <w:color w:val="auto"/>
          <w:sz w:val="32"/>
          <w:szCs w:val="32"/>
          <w:highlight w:val="none"/>
        </w:rPr>
        <w:outlineLvl w:val="1"/>
      </w:pPr>
      <w:r/>
      <w:bookmarkStart w:id="258" w:name="_Hlt26955054"/>
      <w:r/>
      <w:bookmarkEnd w:id="258"/>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十三、商务要求响应及偏离表（项目编号：</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59" w:name="_Hlt26955064"/>
            <w:r/>
            <w:bookmarkEnd w:id="259"/>
            <w:r/>
            <w:bookmarkStart w:id="260" w:name="_Hlt26782999"/>
            <w:r/>
            <w:bookmarkEnd w:id="260"/>
            <w:r/>
            <w:bookmarkStart w:id="261" w:name="_Hlt24879081"/>
            <w:r/>
            <w:bookmarkEnd w:id="261"/>
            <w:r/>
            <w:bookmarkStart w:id="262" w:name="_Hlt26609391"/>
            <w:r/>
            <w:bookmarkEnd w:id="262"/>
            <w:r/>
            <w:bookmarkStart w:id="263" w:name="_Hlt26955056"/>
            <w:r/>
            <w:bookmarkEnd w:id="263"/>
            <w:r/>
            <w:bookmarkStart w:id="264" w:name="_Hlt26671372"/>
            <w:r/>
            <w:bookmarkEnd w:id="264"/>
            <w:r/>
            <w:bookmarkStart w:id="265" w:name="_Hlt26671343"/>
            <w:r/>
            <w:bookmarkEnd w:id="265"/>
            <w:r/>
            <w:bookmarkStart w:id="266" w:name="_Hlt26580838"/>
            <w:r/>
            <w:bookmarkEnd w:id="266"/>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b/>
          <w:color w:val="auto"/>
          <w:sz w:val="36"/>
          <w:highlight w:val="none"/>
        </w:rPr>
      </w:pPr>
      <w:r/>
      <w:bookmarkStart w:id="267" w:name="_Hlt26609389"/>
      <w:r/>
      <w:bookmarkEnd w:id="267"/>
      <w:r/>
      <w:bookmarkStart w:id="268" w:name="_Hlt26955066"/>
      <w:r/>
      <w:bookmarkEnd w:id="268"/>
      <w:r/>
      <w:bookmarkStart w:id="269" w:name="_Hlt26671374"/>
      <w:r/>
      <w:bookmarkEnd w:id="269"/>
      <w:r/>
      <w:bookmarkStart w:id="270" w:name="_Toc462564146"/>
      <w:r/>
      <w:r/>
    </w:p>
    <w:p>
      <w:pP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color w:val="auto"/>
          <w:sz w:val="32"/>
          <w:highlight w:val="none"/>
        </w:rPr>
      </w:pPr>
      <w:r>
        <w:rPr>
          <w:rFonts w:hint="eastAsia" w:ascii="宋体" w:hAnsi="宋体"/>
          <w:color w:val="auto"/>
          <w:sz w:val="32"/>
          <w:highlight w:val="none"/>
        </w:rPr>
      </w:r>
      <w:bookmarkEnd w:id="270"/>
      <w:r/>
      <w:r/>
    </w:p>
    <w:p>
      <w:pPr>
        <w:pStyle w:val="945"/>
        <w:ind w:firstLine="0"/>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b/>
          <w:color w:val="auto"/>
          <w:sz w:val="32"/>
          <w:szCs w:val="32"/>
          <w:highlight w:val="none"/>
        </w:rPr>
      </w:pPr>
      <w:r/>
      <w:bookmarkStart w:id="271" w:name="_格式2__法定代表人授权书"/>
      <w:r/>
      <w:bookmarkEnd w:id="271"/>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黑体" w:hAnsi="黑体" w:eastAsia="黑体"/>
          <w:b/>
          <w:color w:val="auto"/>
          <w:sz w:val="32"/>
          <w:szCs w:val="32"/>
          <w:highlight w:val="none"/>
        </w:rPr>
      </w:pPr>
      <w:r>
        <w:rPr>
          <w:rFonts w:hint="eastAsia" w:ascii="宋体" w:hAnsi="宋体"/>
          <w:b/>
          <w:i/>
          <w:color w:val="auto"/>
          <w:sz w:val="32"/>
          <w:szCs w:val="32"/>
          <w:highlight w:val="none"/>
          <w:u w:val="single"/>
        </w:rPr>
        <w:br w:type="page" w:clear="all"/>
      </w:r>
      <w:r/>
    </w:p>
    <w:p>
      <w:pPr>
        <w:rPr>
          <w:rFonts w:hint="eastAsia" w:ascii="宋体" w:hAnsi="宋体" w:eastAsia="宋体" w:cs="Times New Roman"/>
          <w:iCs/>
          <w:color w:val="auto"/>
          <w:sz w:val="32"/>
          <w:szCs w:val="32"/>
          <w:highlight w:val="none"/>
        </w:rPr>
        <w:outlineLvl w:val="1"/>
      </w:pPr>
      <w:r>
        <w:rPr>
          <w:rFonts w:hint="eastAsia" w:ascii="宋体" w:hAnsi="宋体" w:eastAsia="宋体" w:cs="Times New Roman"/>
          <w:iCs/>
          <w:color w:val="auto"/>
          <w:sz w:val="32"/>
          <w:szCs w:val="32"/>
          <w:highlight w:val="none"/>
        </w:rPr>
        <w:t xml:space="preserve">十</w:t>
      </w:r>
      <w:r>
        <w:rPr>
          <w:rFonts w:hint="eastAsia" w:ascii="宋体" w:hAnsi="宋体" w:eastAsia="宋体" w:cs="Times New Roman"/>
          <w:iCs/>
          <w:color w:val="auto"/>
          <w:sz w:val="32"/>
          <w:szCs w:val="32"/>
          <w:highlight w:val="none"/>
          <w:lang w:val="en-US" w:eastAsia="zh-CN"/>
        </w:rPr>
        <w:t xml:space="preserve">四</w:t>
      </w:r>
      <w:r>
        <w:rPr>
          <w:rFonts w:hint="eastAsia" w:ascii="宋体" w:hAnsi="宋体" w:eastAsia="宋体" w:cs="Times New Roman"/>
          <w:iCs/>
          <w:color w:val="auto"/>
          <w:sz w:val="32"/>
          <w:szCs w:val="32"/>
          <w:highlight w:val="none"/>
        </w:rPr>
        <w:t xml:space="preserve">、联合体协议（</w:t>
      </w:r>
      <w:r>
        <w:rPr>
          <w:rFonts w:hint="eastAsia" w:ascii="宋体" w:hAnsi="宋体" w:cs="Times New Roman"/>
          <w:iCs/>
          <w:color w:val="auto"/>
          <w:sz w:val="32"/>
          <w:szCs w:val="32"/>
          <w:highlight w:val="none"/>
          <w:lang w:val="en-US" w:eastAsia="zh-CN"/>
        </w:rPr>
        <w:t xml:space="preserve">如有</w:t>
      </w:r>
      <w:r>
        <w:rPr>
          <w:rFonts w:hint="eastAsia" w:ascii="宋体" w:hAnsi="宋体" w:eastAsia="宋体" w:cs="Times New Roman"/>
          <w:iCs/>
          <w:color w:val="auto"/>
          <w:sz w:val="32"/>
          <w:szCs w:val="32"/>
          <w:highlight w:val="none"/>
        </w:rPr>
        <w:t xml:space="preserve">）（分包号：</w:t>
      </w:r>
      <w:r>
        <w:rPr>
          <w:rFonts w:hint="eastAsia" w:ascii="宋体" w:hAnsi="宋体" w:cs="Times New Roman"/>
          <w:iCs/>
          <w:color w:val="auto"/>
          <w:sz w:val="32"/>
          <w:szCs w:val="32"/>
          <w:highlight w:val="none"/>
          <w:u w:val="single"/>
          <w:lang w:val="en-US" w:eastAsia="zh-CN"/>
        </w:rPr>
        <w:t xml:space="preserve">   </w:t>
      </w:r>
      <w:r>
        <w:rPr>
          <w:rFonts w:hint="eastAsia" w:ascii="宋体" w:hAnsi="宋体" w:eastAsia="宋体" w:cs="Times New Roman"/>
          <w:iCs/>
          <w:color w:val="auto"/>
          <w:sz w:val="32"/>
          <w:szCs w:val="32"/>
          <w:highlight w:val="none"/>
        </w:rPr>
        <w:t xml:space="preserve">）</w:t>
      </w:r>
      <w:r/>
    </w:p>
    <w:p>
      <w:pPr>
        <w:jc w:val="center"/>
        <w:rPr>
          <w:rFonts w:hint="eastAsia" w:ascii="宋体" w:hAnsi="宋体" w:eastAsia="宋体" w:cs="Times New Roman"/>
          <w:iCs/>
          <w:color w:val="auto"/>
          <w:sz w:val="28"/>
          <w:szCs w:val="28"/>
          <w:highlight w:val="none"/>
        </w:rPr>
        <w:outlineLvl w:val="1"/>
      </w:pPr>
      <w:r>
        <w:rPr>
          <w:rFonts w:hint="eastAsia" w:ascii="宋体" w:hAnsi="宋体" w:eastAsia="宋体" w:cs="Times New Roman"/>
          <w:iCs/>
          <w:color w:val="auto"/>
          <w:sz w:val="28"/>
          <w:szCs w:val="28"/>
          <w:highlight w:val="none"/>
        </w:rPr>
        <w:t xml:space="preserve">联合协议</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牵头人名称：</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pacing w:val="15"/>
          <w:sz w:val="24"/>
          <w:highlight w:val="none"/>
        </w:rPr>
        <w:t xml:space="preserve">法定住</w:t>
      </w:r>
      <w:r>
        <w:rPr>
          <w:rFonts w:hint="eastAsia" w:ascii="仿宋" w:hAnsi="仿宋" w:eastAsia="仿宋"/>
          <w:color w:val="auto"/>
          <w:sz w:val="24"/>
          <w:highlight w:val="none"/>
        </w:rPr>
        <w:t xml:space="preserve">所：</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成员名称：</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pacing w:val="15"/>
          <w:sz w:val="24"/>
          <w:highlight w:val="none"/>
        </w:rPr>
        <w:t xml:space="preserve">法定住</w:t>
      </w:r>
      <w:r>
        <w:rPr>
          <w:rFonts w:hint="eastAsia" w:ascii="仿宋" w:hAnsi="仿宋" w:eastAsia="仿宋"/>
          <w:color w:val="auto"/>
          <w:sz w:val="24"/>
          <w:highlight w:val="none"/>
        </w:rPr>
        <w:t xml:space="preserve">所：</w:t>
      </w:r>
      <w:r>
        <w:rPr>
          <w:rFonts w:hint="eastAsia" w:ascii="仿宋" w:hAnsi="仿宋" w:eastAsia="仿宋"/>
          <w:color w:val="auto"/>
          <w:sz w:val="24"/>
          <w:highlight w:val="none"/>
          <w:u w:val="single"/>
        </w:rPr>
        <w:t xml:space="preserve">                                                        </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鉴于上述各成员单位经过友好协商，自愿组成</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（联合体名称）联合体，共同参加</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（采购人名称）（以下简称采购人）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项目（项目名称）。现就有关事宜订立如下协议：</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（单位名称）为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（联合体名称）牵头人。</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在本次采购活动中，联合体牵头人合法代表联合体各成员负责本项目响应文件编制、提交及参与磋商活动，代表联合体提交和接收相关的资料、信息及指示，并处理磋商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3、联合体将严格按照磋商文件的各项要求，联合体成员共同承担合同规定的一切义务和责任，联合体各成员单位按照内部职责的划分，承担各自所负的责任和风险，并向采购人承担连带责任。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4.联合体各成员单位内部的职责分工如下：</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按照本条上述分工，联合体成员单位各自所承担的合同工作量比例如下：</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41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 联合体成交后，联合体各成员将共同与采购人签订合同订立。联合体牵头人负责合同实施阶段的主办、组织和协调工作。</w:t>
      </w:r>
      <w:r/>
    </w:p>
    <w:p>
      <w:pPr>
        <w:ind w:firstLine="38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6.本联合协议是合同的附件，对联合体各成员单位有合同约束力。</w:t>
      </w:r>
      <w:r/>
    </w:p>
    <w:p>
      <w:pPr>
        <w:ind w:firstLine="38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7.本协议书自签署之日起生效，联合体未成交或者合同履行完毕后自动失效。</w:t>
      </w:r>
      <w:r/>
    </w:p>
    <w:p>
      <w:pPr>
        <w:ind w:firstLine="38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8.本协议在执行期间，如有未尽事宜，由采购人、缔约方协商，签订协议，且在法律上与本协议有同等效力。</w:t>
      </w:r>
      <w:r/>
    </w:p>
    <w:p>
      <w:pPr>
        <w:ind w:firstLine="38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9.本协议书一式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份，联合体成员和采购人各执一份。</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牵头人名称：</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（公章）            </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（签字或盖章）    </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成员名称：</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（公章）</w:t>
      </w:r>
      <w:r/>
    </w:p>
    <w:p>
      <w:pPr>
        <w:jc w:val="right"/>
        <w:spacing w:line="360" w:lineRule="auto"/>
        <w:rPr>
          <w:color w:val="auto"/>
          <w:highlight w:val="non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（签字或盖章）</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p>
    <w:p>
      <w:pPr>
        <w:pStyle w:val="751"/>
        <w:jc w:val="righ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月   日</w:t>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pStyle w:val="751"/>
        <w:rPr>
          <w:rFonts w:hint="eastAsia"/>
          <w:color w:val="auto"/>
          <w:highlight w:val="none"/>
        </w:rPr>
        <w:outlineLvl w:val="9"/>
      </w:pPr>
      <w:r>
        <w:rPr>
          <w:rFonts w:hint="eastAsia"/>
          <w:color w:val="auto"/>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9"/>
      </w:pPr>
      <w:r>
        <w:rPr>
          <w:rFonts w:hint="eastAsia" w:ascii="宋体" w:hAnsi="宋体"/>
          <w:iCs/>
          <w:color w:val="auto"/>
          <w:sz w:val="32"/>
          <w:szCs w:val="32"/>
          <w:highlight w:val="none"/>
        </w:rPr>
      </w:r>
      <w:r/>
    </w:p>
    <w:p>
      <w:pPr>
        <w:rPr>
          <w:rFonts w:hint="eastAsia" w:ascii="宋体" w:hAnsi="宋体"/>
          <w:iCs/>
          <w:color w:val="auto"/>
          <w:sz w:val="32"/>
          <w:szCs w:val="32"/>
          <w:highlight w:val="none"/>
        </w:rPr>
        <w:outlineLvl w:val="1"/>
      </w:pPr>
      <w:r>
        <w:rPr>
          <w:rFonts w:hint="eastAsia" w:ascii="宋体" w:hAnsi="宋体"/>
          <w:iCs/>
          <w:color w:val="auto"/>
          <w:sz w:val="32"/>
          <w:szCs w:val="32"/>
          <w:highlight w:val="none"/>
        </w:rPr>
        <w:t xml:space="preserve">十</w:t>
      </w:r>
      <w:r>
        <w:rPr>
          <w:rFonts w:hint="eastAsia" w:ascii="宋体" w:hAnsi="宋体"/>
          <w:iCs/>
          <w:color w:val="auto"/>
          <w:sz w:val="32"/>
          <w:szCs w:val="32"/>
          <w:highlight w:val="none"/>
          <w:lang w:val="en-US" w:eastAsia="zh-CN"/>
        </w:rPr>
        <w:t xml:space="preserve">五</w:t>
      </w:r>
      <w:r>
        <w:rPr>
          <w:rFonts w:hint="eastAsia" w:ascii="宋体" w:hAnsi="宋体"/>
          <w:iCs/>
          <w:color w:val="auto"/>
          <w:sz w:val="32"/>
          <w:szCs w:val="32"/>
          <w:highlight w:val="none"/>
        </w:rPr>
        <w:t xml:space="preserve">、开标一览表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78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78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78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招标编号：                                   标段编号：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26"/>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iCs/>
          <w:color w:val="auto"/>
          <w:sz w:val="32"/>
          <w:szCs w:val="32"/>
          <w:highlight w:val="none"/>
        </w:rPr>
        <w:outlineLvl w:val="1"/>
      </w:pPr>
      <w:r>
        <w:rPr>
          <w:rFonts w:hint="eastAsia" w:ascii="宋体" w:hAnsi="宋体"/>
          <w:b/>
          <w:iCs/>
          <w:color w:val="auto"/>
          <w:sz w:val="32"/>
          <w:szCs w:val="32"/>
          <w:highlight w:val="none"/>
        </w:rPr>
        <w:br w:type="page" w:clear="all"/>
      </w:r>
      <w:r>
        <w:rPr>
          <w:rFonts w:hint="eastAsia" w:ascii="宋体" w:hAnsi="宋体"/>
          <w:b/>
          <w:iCs/>
          <w:color w:val="auto"/>
          <w:sz w:val="32"/>
          <w:szCs w:val="32"/>
          <w:highlight w:val="none"/>
        </w:rPr>
        <w:t xml:space="preserve">十</w:t>
      </w:r>
      <w:r>
        <w:rPr>
          <w:rFonts w:hint="eastAsia" w:ascii="宋体" w:hAnsi="宋体"/>
          <w:b/>
          <w:iCs/>
          <w:color w:val="auto"/>
          <w:sz w:val="32"/>
          <w:szCs w:val="32"/>
          <w:highlight w:val="none"/>
          <w:lang w:val="en-US" w:eastAsia="zh-CN"/>
        </w:rPr>
        <w:t xml:space="preserve">六</w:t>
      </w:r>
      <w:r>
        <w:rPr>
          <w:rFonts w:hint="eastAsia" w:ascii="宋体" w:hAnsi="宋体"/>
          <w:b/>
          <w:iCs/>
          <w:color w:val="auto"/>
          <w:sz w:val="32"/>
          <w:szCs w:val="32"/>
          <w:highlight w:val="none"/>
        </w:rPr>
        <w:t xml:space="preserve">、其他材料</w:t>
      </w:r>
      <w:r/>
    </w:p>
    <w:p>
      <w:pPr>
        <w:jc w:val="center"/>
        <w:spacing w:line="520" w:lineRule="exact"/>
        <w:rPr>
          <w:rFonts w:hint="eastAsia" w:ascii="宋体" w:hAnsi="宋体"/>
          <w:bCs/>
          <w:color w:val="auto"/>
          <w:sz w:val="36"/>
          <w:szCs w:val="28"/>
          <w:highlight w:val="none"/>
        </w:rPr>
      </w:pPr>
      <w:r>
        <w:rPr>
          <w:rFonts w:hint="eastAsia" w:ascii="宋体" w:hAnsi="宋体"/>
          <w:bCs/>
          <w:color w:val="auto"/>
          <w:sz w:val="36"/>
          <w:szCs w:val="28"/>
          <w:highlight w:val="none"/>
        </w:rPr>
        <w:t xml:space="preserve">其他材料</w:t>
      </w:r>
      <w:r/>
    </w:p>
    <w:p>
      <w:pPr>
        <w:ind w:firstLine="420"/>
        <w:spacing w:line="520" w:lineRule="exact"/>
        <w:rPr>
          <w:rFonts w:hint="eastAsia" w:ascii="宋体" w:hAnsi="宋体"/>
          <w:color w:val="auto"/>
          <w:sz w:val="28"/>
          <w:szCs w:val="22"/>
          <w:highlight w:val="none"/>
        </w:rPr>
      </w:pPr>
      <w:r>
        <w:rPr>
          <w:rFonts w:hint="eastAsia" w:ascii="宋体" w:hAnsi="宋体"/>
          <w:color w:val="auto"/>
          <w:sz w:val="28"/>
          <w:szCs w:val="22"/>
          <w:highlight w:val="none"/>
        </w:rPr>
      </w:r>
      <w:r/>
    </w:p>
    <w:p>
      <w:pPr>
        <w:ind w:firstLine="315"/>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供应商认为有必要提供的材料或评分标准中需要提供的材料。</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质疑函范本</w:t>
      </w:r>
      <w:r/>
    </w:p>
    <w:p>
      <w:pPr>
        <w:spacing w:before="29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一、质疑供应商基本信息</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质疑供应商：</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邮编：</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授权代表：</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邮编：</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二、质疑项目基本情况</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质疑项目的名称：</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质疑项目的编号：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标段号：</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采购人名称：</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采购文件获取日期：</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三、质疑事项具体内容</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质疑事项1：</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事实依据：</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法律依据：</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质疑事项2</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四、与质疑事项相关的质疑请求</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请求：</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3.质疑供应商若对项目的某一标段进行质疑，质疑函中应列明具体标段编号。</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45"/>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45"/>
        <w:rPr>
          <w:color w:val="auto"/>
          <w:sz w:val="24"/>
          <w:szCs w:val="24"/>
          <w:highlight w:val="none"/>
        </w:rPr>
      </w:pPr>
      <w:r>
        <w:rPr>
          <w:color w:val="auto"/>
          <w:sz w:val="24"/>
          <w:szCs w:val="24"/>
          <w:highlight w:val="none"/>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PMingLiU">
    <w:panose1 w:val="02020500000000000000"/>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4"/>
        <w:rFonts w:hint="eastAsia" w:ascii="宋体" w:hAnsi="宋体" w:cs="宋体"/>
      </w:rPr>
      <w:framePr w:wrap="around" w:vAnchor="text" w:hAnchor="margin" w:xAlign="center" w:y="1"/>
    </w:pPr>
    <w:r>
      <w:rPr>
        <w:rFonts w:hint="eastAsia" w:ascii="宋体" w:hAnsi="宋体" w:cs="宋体"/>
      </w:rPr>
      <w:fldChar w:fldCharType="begin"/>
    </w:r>
    <w:r>
      <w:rPr>
        <w:rStyle w:val="1014"/>
        <w:rFonts w:hint="eastAsia" w:ascii="宋体" w:hAnsi="宋体" w:cs="宋体"/>
      </w:rPr>
      <w:instrText xml:space="preserve">PAGE  </w:instrText>
    </w:r>
    <w:r>
      <w:rPr>
        <w:rFonts w:hint="eastAsia" w:ascii="宋体" w:hAnsi="宋体" w:cs="宋体"/>
      </w:rPr>
      <w:fldChar w:fldCharType="separate"/>
    </w:r>
    <w:r>
      <w:rPr>
        <w:rStyle w:val="1014"/>
        <w:rFonts w:hint="eastAsia" w:ascii="宋体" w:hAnsi="宋体" w:cs="宋体"/>
      </w:rPr>
      <w:t xml:space="preserve">３５</w:t>
    </w:r>
    <w:r>
      <w:rPr>
        <w:rFonts w:hint="eastAsia" w:ascii="宋体" w:hAnsi="宋体" w:cs="宋体"/>
      </w:rPr>
      <w:fldChar w:fldCharType="end"/>
    </w:r>
    <w:r/>
  </w:p>
  <w:p>
    <w:pPr>
      <w:pStyle w:val="988"/>
      <w:jc w:val="center"/>
      <w:rPr>
        <w:b/>
        <w:i/>
      </w:rPr>
    </w:pPr>
    <w:r>
      <w:rPr>
        <w:b/>
        <w:i/>
        <w:sz w:val="20"/>
      </w:rPr>
      <w:t xml:space="preserve"> </w:t>
    </w:r>
    <w:r>
      <w:rPr>
        <w:rFonts w:hint="eastAsia"/>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6"/>
  </w:num>
  <w:num w:numId="7">
    <w:abstractNumId w:val="8"/>
  </w:num>
  <w:num w:numId="8">
    <w:abstractNumId w:val="10"/>
  </w:num>
  <w:num w:numId="9">
    <w:abstractNumId w:val="7"/>
  </w:num>
  <w:num w:numId="10">
    <w:abstractNumId w:val="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link w:val="794"/>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95"/>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801"/>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802"/>
    <w:uiPriority w:val="9"/>
    <w:unhideWhenUsed/>
    <w:qFormat/>
    <w:pPr>
      <w:keepLines/>
      <w:keepNext/>
      <w:spacing w:before="320" w:after="200"/>
      <w:outlineLvl w:val="8"/>
    </w:pPr>
    <w:rPr>
      <w:rFonts w:ascii="Arial" w:hAnsi="Arial" w:eastAsia="Arial" w:cs="Arial"/>
      <w:i/>
      <w:iCs/>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table of authorities"/>
    <w:basedOn w:val="708"/>
    <w:next w:val="708"/>
    <w:uiPriority w:val="0"/>
    <w:unhideWhenUsed/>
    <w:qFormat/>
    <w:pPr>
      <w:ind w:left="420"/>
    </w:pPr>
  </w:style>
  <w:style w:type="paragraph" w:styleId="722">
    <w:name w:val="Normal Indent"/>
    <w:basedOn w:val="708"/>
    <w:uiPriority w:val="0"/>
    <w:qFormat/>
    <w:pPr>
      <w:ind w:firstLine="420"/>
    </w:pPr>
    <w:rPr>
      <w:szCs w:val="22"/>
    </w:r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8"/>
    <w:uiPriority w:val="99"/>
    <w:semiHidden/>
    <w:unhideWhenUsed/>
    <w:qFormat/>
    <w:pPr>
      <w:jc w:val="left"/>
    </w:pPr>
  </w:style>
  <w:style w:type="paragraph" w:styleId="725">
    <w:name w:val="Body Text"/>
    <w:basedOn w:val="708"/>
    <w:next w:val="708"/>
    <w:uiPriority w:val="0"/>
    <w:qFormat/>
    <w:rPr>
      <w:rFonts w:eastAsia="楷体_GB2312"/>
      <w:b/>
      <w:bCs/>
      <w:color w:val="ff0000"/>
      <w:sz w:val="32"/>
      <w:szCs w:val="32"/>
      <w:lang w:val="zh-CN"/>
    </w:rPr>
  </w:style>
  <w:style w:type="paragraph" w:styleId="726">
    <w:name w:val="Body Text Indent"/>
    <w:basedOn w:val="708"/>
    <w:uiPriority w:val="99"/>
    <w:semiHidden/>
    <w:unhideWhenUsed/>
    <w:qFormat/>
    <w:pPr>
      <w:ind w:left="420"/>
      <w:spacing w:after="120"/>
    </w:p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Plain Text"/>
    <w:basedOn w:val="708"/>
    <w:uiPriority w:val="0"/>
    <w:qFormat/>
    <w:rPr>
      <w:rFonts w:ascii="宋体" w:hAnsi="Courier New"/>
      <w:szCs w:val="20"/>
    </w:rPr>
  </w:style>
  <w:style w:type="paragraph" w:styleId="730">
    <w:name w:val="toc 8"/>
    <w:basedOn w:val="708"/>
    <w:next w:val="708"/>
    <w:uiPriority w:val="39"/>
    <w:unhideWhenUsed/>
    <w:qFormat/>
    <w:pPr>
      <w:ind w:left="1984"/>
      <w:spacing w:after="57"/>
    </w:pPr>
  </w:style>
  <w:style w:type="paragraph" w:styleId="731">
    <w:name w:val="endnote text"/>
    <w:basedOn w:val="708"/>
    <w:link w:val="940"/>
    <w:uiPriority w:val="99"/>
    <w:semiHidden/>
    <w:unhideWhenUsed/>
    <w:qFormat/>
    <w:rPr>
      <w:sz w:val="20"/>
    </w:rPr>
  </w:style>
  <w:style w:type="paragraph" w:styleId="732">
    <w:name w:val="Footer"/>
    <w:basedOn w:val="708"/>
    <w:link w:val="813"/>
    <w:uiPriority w:val="99"/>
    <w:unhideWhenUsed/>
    <w:qFormat/>
    <w:pPr>
      <w:tabs>
        <w:tab w:val="center" w:pos="7143" w:leader="none"/>
        <w:tab w:val="right" w:pos="14287" w:leader="none"/>
      </w:tabs>
    </w:pPr>
  </w:style>
  <w:style w:type="paragraph" w:styleId="733">
    <w:name w:val="Header"/>
    <w:basedOn w:val="708"/>
    <w:link w:val="811"/>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806"/>
    <w:uiPriority w:val="11"/>
    <w:qFormat/>
    <w:pPr>
      <w:spacing w:before="200" w:after="200"/>
    </w:pPr>
    <w:rPr>
      <w:sz w:val="24"/>
      <w:szCs w:val="24"/>
    </w:rPr>
  </w:style>
  <w:style w:type="paragraph" w:styleId="737">
    <w:name w:val="footnote text"/>
    <w:basedOn w:val="708"/>
    <w:link w:val="939"/>
    <w:uiPriority w:val="99"/>
    <w:semiHidden/>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Body Text 2"/>
    <w:basedOn w:val="708"/>
    <w:next w:val="725"/>
    <w:uiPriority w:val="0"/>
    <w:qFormat/>
    <w:pPr>
      <w:spacing w:line="560" w:lineRule="exact"/>
    </w:pPr>
    <w:rPr>
      <w:rFonts w:ascii="仿宋_GB2312" w:eastAsia="仿宋_GB2312"/>
      <w:sz w:val="28"/>
      <w:szCs w:val="30"/>
    </w:rPr>
  </w:style>
  <w:style w:type="paragraph" w:styleId="743">
    <w:name w:val="List Continue 2"/>
    <w:basedOn w:val="708"/>
    <w:next w:val="708"/>
    <w:uiPriority w:val="0"/>
    <w:qFormat/>
    <w:pPr>
      <w:ind w:left="840"/>
      <w:spacing w:after="120"/>
    </w:pPr>
  </w:style>
  <w:style w:type="paragraph" w:styleId="744">
    <w:name w:val="Normal (Web)"/>
    <w:basedOn w:val="708"/>
    <w:uiPriority w:val="99"/>
    <w:qFormat/>
    <w:pPr>
      <w:jc w:val="left"/>
      <w:widowControl/>
    </w:pPr>
    <w:rPr>
      <w:rFonts w:ascii="宋体" w:hAnsi="宋体" w:cs="宋体"/>
      <w:color w:val="000000"/>
      <w:sz w:val="24"/>
      <w:szCs w:val="24"/>
    </w:rPr>
  </w:style>
  <w:style w:type="paragraph" w:styleId="745">
    <w:name w:val="Title"/>
    <w:basedOn w:val="708"/>
    <w:next w:val="708"/>
    <w:link w:val="805"/>
    <w:uiPriority w:val="10"/>
    <w:qFormat/>
    <w:pPr>
      <w:contextualSpacing/>
      <w:spacing w:before="300" w:after="200"/>
    </w:pPr>
    <w:rPr>
      <w:sz w:val="48"/>
      <w:szCs w:val="48"/>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uiPriority w:val="22"/>
    <w:qFormat/>
    <w:rPr>
      <w:b/>
      <w:bCs/>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标题 211"/>
    <w:basedOn w:val="708"/>
    <w:next w:val="708"/>
    <w:uiPriority w:val="1"/>
    <w:qFormat/>
    <w:pPr>
      <w:ind w:left="551"/>
      <w:jc w:val="center"/>
      <w:outlineLvl w:val="1"/>
    </w:pPr>
    <w:rPr>
      <w:rFonts w:ascii="Microsoft JhengHei" w:hAnsi="Microsoft JhengHei" w:eastAsia="Microsoft JhengHei" w:cs="Microsoft JhengHei"/>
      <w:b/>
      <w:bCs/>
      <w:sz w:val="32"/>
      <w:szCs w:val="32"/>
    </w:rPr>
  </w:style>
  <w:style w:type="character" w:styleId="752" w:customStyle="1">
    <w:name w:val="Heading 1 Char"/>
    <w:basedOn w:val="718"/>
    <w:uiPriority w:val="9"/>
    <w:qFormat/>
    <w:rPr>
      <w:rFonts w:ascii="Arial" w:hAnsi="Arial" w:eastAsia="Arial" w:cs="Arial"/>
      <w:sz w:val="40"/>
      <w:szCs w:val="40"/>
    </w:rPr>
  </w:style>
  <w:style w:type="character" w:styleId="753" w:customStyle="1">
    <w:name w:val="Heading 2 Char"/>
    <w:basedOn w:val="718"/>
    <w:uiPriority w:val="9"/>
    <w:qFormat/>
    <w:rPr>
      <w:rFonts w:ascii="Arial" w:hAnsi="Arial" w:eastAsia="Arial" w:cs="Arial"/>
      <w:sz w:val="34"/>
    </w:rPr>
  </w:style>
  <w:style w:type="character" w:styleId="754" w:customStyle="1">
    <w:name w:val="Heading 3 Char"/>
    <w:basedOn w:val="718"/>
    <w:uiPriority w:val="9"/>
    <w:qFormat/>
    <w:rPr>
      <w:rFonts w:ascii="Arial" w:hAnsi="Arial" w:eastAsia="Arial" w:cs="Arial"/>
      <w:sz w:val="30"/>
      <w:szCs w:val="30"/>
    </w:rPr>
  </w:style>
  <w:style w:type="character" w:styleId="755" w:customStyle="1">
    <w:name w:val="Heading 4 Char"/>
    <w:basedOn w:val="718"/>
    <w:uiPriority w:val="9"/>
    <w:qFormat/>
    <w:rPr>
      <w:rFonts w:ascii="Arial" w:hAnsi="Arial" w:eastAsia="Arial" w:cs="Arial"/>
      <w:b/>
      <w:bCs/>
      <w:sz w:val="26"/>
      <w:szCs w:val="26"/>
    </w:rPr>
  </w:style>
  <w:style w:type="character" w:styleId="756" w:customStyle="1">
    <w:name w:val="Heading 5 Char"/>
    <w:basedOn w:val="718"/>
    <w:uiPriority w:val="9"/>
    <w:qFormat/>
    <w:rPr>
      <w:rFonts w:ascii="Arial" w:hAnsi="Arial" w:eastAsia="Arial" w:cs="Arial"/>
      <w:b/>
      <w:bCs/>
      <w:sz w:val="24"/>
      <w:szCs w:val="24"/>
    </w:rPr>
  </w:style>
  <w:style w:type="character" w:styleId="757" w:customStyle="1">
    <w:name w:val="Heading 6 Char"/>
    <w:basedOn w:val="718"/>
    <w:uiPriority w:val="9"/>
    <w:qFormat/>
    <w:rPr>
      <w:rFonts w:ascii="Arial" w:hAnsi="Arial" w:eastAsia="Arial" w:cs="Arial"/>
      <w:b/>
      <w:bCs/>
      <w:sz w:val="22"/>
      <w:szCs w:val="22"/>
    </w:rPr>
  </w:style>
  <w:style w:type="character" w:styleId="758" w:customStyle="1">
    <w:name w:val="Heading 7 Char"/>
    <w:basedOn w:val="718"/>
    <w:uiPriority w:val="9"/>
    <w:qFormat/>
    <w:rPr>
      <w:rFonts w:ascii="Arial" w:hAnsi="Arial" w:eastAsia="Arial" w:cs="Arial"/>
      <w:b/>
      <w:bCs/>
      <w:i/>
      <w:iCs/>
      <w:sz w:val="22"/>
      <w:szCs w:val="22"/>
    </w:rPr>
  </w:style>
  <w:style w:type="character" w:styleId="759" w:customStyle="1">
    <w:name w:val="Heading 8 Char"/>
    <w:basedOn w:val="718"/>
    <w:uiPriority w:val="9"/>
    <w:qFormat/>
    <w:rPr>
      <w:rFonts w:ascii="Arial" w:hAnsi="Arial" w:eastAsia="Arial" w:cs="Arial"/>
      <w:i/>
      <w:iCs/>
      <w:sz w:val="22"/>
      <w:szCs w:val="22"/>
    </w:rPr>
  </w:style>
  <w:style w:type="character" w:styleId="760" w:customStyle="1">
    <w:name w:val="Heading 9 Char"/>
    <w:basedOn w:val="718"/>
    <w:uiPriority w:val="9"/>
    <w:qFormat/>
    <w:rPr>
      <w:rFonts w:ascii="Arial" w:hAnsi="Arial" w:eastAsia="Arial" w:cs="Arial"/>
      <w:i/>
      <w:iCs/>
      <w:sz w:val="21"/>
      <w:szCs w:val="21"/>
    </w:rPr>
  </w:style>
  <w:style w:type="character" w:styleId="761" w:customStyle="1">
    <w:name w:val="Title Char"/>
    <w:basedOn w:val="718"/>
    <w:uiPriority w:val="10"/>
    <w:qFormat/>
    <w:rPr>
      <w:sz w:val="48"/>
      <w:szCs w:val="48"/>
    </w:rPr>
  </w:style>
  <w:style w:type="character" w:styleId="762" w:customStyle="1">
    <w:name w:val="Subtitle Char"/>
    <w:basedOn w:val="718"/>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18"/>
    <w:uiPriority w:val="99"/>
    <w:qFormat/>
  </w:style>
  <w:style w:type="character" w:styleId="766" w:customStyle="1">
    <w:name w:val="Caption Char"/>
    <w:uiPriority w:val="99"/>
    <w:qFormat/>
  </w:style>
  <w:style w:type="table" w:styleId="767"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BodyText1I2"/>
    <w:basedOn w:val="790"/>
    <w:next w:val="792"/>
    <w:uiPriority w:val="0"/>
    <w:qFormat/>
    <w:pPr>
      <w:ind w:left="420" w:firstLine="420"/>
      <w:spacing w:after="120"/>
    </w:pPr>
  </w:style>
  <w:style w:type="paragraph" w:styleId="790" w:customStyle="1">
    <w:name w:val="BodyTextIndent"/>
    <w:basedOn w:val="708"/>
    <w:next w:val="791"/>
    <w:uiPriority w:val="0"/>
    <w:qFormat/>
    <w:pPr>
      <w:ind w:firstLine="900"/>
    </w:pPr>
    <w:rPr>
      <w:sz w:val="28"/>
    </w:rPr>
  </w:style>
  <w:style w:type="paragraph" w:styleId="791" w:customStyle="1">
    <w:name w:val="NormalIndent"/>
    <w:basedOn w:val="708"/>
    <w:next w:val="790"/>
    <w:uiPriority w:val="0"/>
    <w:qFormat/>
    <w:pPr>
      <w:ind w:firstLine="420"/>
    </w:pPr>
  </w:style>
  <w:style w:type="paragraph" w:styleId="792" w:customStyle="1">
    <w:name w:val="UserStyle_14"/>
    <w:basedOn w:val="708"/>
    <w:next w:val="708"/>
    <w:uiPriority w:val="0"/>
    <w:qFormat/>
    <w:pPr>
      <w:jc w:val="center"/>
      <w:spacing w:before="280" w:after="280" w:line="100" w:lineRule="exact"/>
    </w:pPr>
    <w:rPr>
      <w:b/>
      <w:sz w:val="20"/>
    </w:rPr>
  </w:style>
  <w:style w:type="paragraph" w:styleId="793"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794" w:customStyle="1">
    <w:name w:val="标题 1 字符"/>
    <w:link w:val="709"/>
    <w:uiPriority w:val="9"/>
    <w:qFormat/>
    <w:rPr>
      <w:rFonts w:ascii="Arial" w:hAnsi="Arial" w:eastAsia="Arial" w:cs="Arial"/>
      <w:sz w:val="40"/>
      <w:szCs w:val="40"/>
    </w:rPr>
  </w:style>
  <w:style w:type="character" w:styleId="795" w:customStyle="1">
    <w:name w:val="标题 2 字符"/>
    <w:link w:val="710"/>
    <w:uiPriority w:val="9"/>
    <w:qFormat/>
    <w:rPr>
      <w:rFonts w:ascii="Arial" w:hAnsi="Arial" w:eastAsia="Arial" w:cs="Arial"/>
      <w:sz w:val="34"/>
    </w:rPr>
  </w:style>
  <w:style w:type="character" w:styleId="796" w:customStyle="1">
    <w:name w:val="标题 3 字符"/>
    <w:link w:val="711"/>
    <w:uiPriority w:val="9"/>
    <w:qFormat/>
    <w:rPr>
      <w:rFonts w:ascii="Arial" w:hAnsi="Arial" w:eastAsia="Arial" w:cs="Arial"/>
      <w:sz w:val="30"/>
      <w:szCs w:val="30"/>
    </w:rPr>
  </w:style>
  <w:style w:type="character" w:styleId="797" w:customStyle="1">
    <w:name w:val="标题 4 字符"/>
    <w:link w:val="712"/>
    <w:uiPriority w:val="9"/>
    <w:qFormat/>
    <w:rPr>
      <w:rFonts w:ascii="Arial" w:hAnsi="Arial" w:eastAsia="Arial" w:cs="Arial"/>
      <w:b/>
      <w:bCs/>
      <w:sz w:val="26"/>
      <w:szCs w:val="26"/>
    </w:rPr>
  </w:style>
  <w:style w:type="character" w:styleId="798" w:customStyle="1">
    <w:name w:val="标题 5 字符"/>
    <w:link w:val="713"/>
    <w:uiPriority w:val="9"/>
    <w:qFormat/>
    <w:rPr>
      <w:rFonts w:ascii="Arial" w:hAnsi="Arial" w:eastAsia="Arial" w:cs="Arial"/>
      <w:b/>
      <w:bCs/>
      <w:sz w:val="24"/>
      <w:szCs w:val="24"/>
    </w:rPr>
  </w:style>
  <w:style w:type="character" w:styleId="799" w:customStyle="1">
    <w:name w:val="标题 6 字符"/>
    <w:link w:val="714"/>
    <w:uiPriority w:val="9"/>
    <w:qFormat/>
    <w:rPr>
      <w:rFonts w:ascii="Arial" w:hAnsi="Arial" w:eastAsia="Arial" w:cs="Arial"/>
      <w:b/>
      <w:bCs/>
      <w:sz w:val="22"/>
      <w:szCs w:val="22"/>
    </w:rPr>
  </w:style>
  <w:style w:type="character" w:styleId="800" w:customStyle="1">
    <w:name w:val="标题 7 字符"/>
    <w:link w:val="715"/>
    <w:uiPriority w:val="9"/>
    <w:qFormat/>
    <w:rPr>
      <w:rFonts w:ascii="Arial" w:hAnsi="Arial" w:eastAsia="Arial" w:cs="Arial"/>
      <w:b/>
      <w:bCs/>
      <w:i/>
      <w:iCs/>
      <w:sz w:val="22"/>
      <w:szCs w:val="22"/>
    </w:rPr>
  </w:style>
  <w:style w:type="character" w:styleId="801" w:customStyle="1">
    <w:name w:val="标题 8 字符"/>
    <w:link w:val="716"/>
    <w:uiPriority w:val="9"/>
    <w:qFormat/>
    <w:rPr>
      <w:rFonts w:ascii="Arial" w:hAnsi="Arial" w:eastAsia="Arial" w:cs="Arial"/>
      <w:i/>
      <w:iCs/>
      <w:sz w:val="22"/>
      <w:szCs w:val="22"/>
    </w:rPr>
  </w:style>
  <w:style w:type="character" w:styleId="802" w:customStyle="1">
    <w:name w:val="标题 9 字符"/>
    <w:link w:val="717"/>
    <w:uiPriority w:val="9"/>
    <w:qFormat/>
    <w:rPr>
      <w:rFonts w:ascii="Arial" w:hAnsi="Arial" w:eastAsia="Arial" w:cs="Arial"/>
      <w:i/>
      <w:iCs/>
      <w:sz w:val="21"/>
      <w:szCs w:val="21"/>
    </w:rPr>
  </w:style>
  <w:style w:type="paragraph" w:styleId="803">
    <w:name w:val="List Paragraph"/>
    <w:basedOn w:val="708"/>
    <w:uiPriority w:val="34"/>
    <w:qFormat/>
    <w:pPr>
      <w:contextualSpacing/>
      <w:ind w:left="720"/>
    </w:p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字符"/>
    <w:link w:val="745"/>
    <w:uiPriority w:val="10"/>
    <w:qFormat/>
    <w:rPr>
      <w:sz w:val="48"/>
      <w:szCs w:val="48"/>
    </w:rPr>
  </w:style>
  <w:style w:type="character" w:styleId="806" w:customStyle="1">
    <w:name w:val="副标题 字符"/>
    <w:link w:val="736"/>
    <w:uiPriority w:val="11"/>
    <w:qFormat/>
    <w:rPr>
      <w:sz w:val="24"/>
      <w:szCs w:val="24"/>
    </w:rPr>
  </w:style>
  <w:style w:type="paragraph" w:styleId="807">
    <w:name w:val="Quote"/>
    <w:basedOn w:val="708"/>
    <w:next w:val="708"/>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08"/>
    <w:next w:val="708"/>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33"/>
    <w:uiPriority w:val="99"/>
    <w:qFormat/>
  </w:style>
  <w:style w:type="character" w:styleId="812" w:customStyle="1">
    <w:name w:val="Footer Char"/>
    <w:uiPriority w:val="99"/>
    <w:qFormat/>
  </w:style>
  <w:style w:type="character" w:styleId="813" w:customStyle="1">
    <w:name w:val="页脚 字符"/>
    <w:link w:val="732"/>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37"/>
    <w:uiPriority w:val="99"/>
    <w:qFormat/>
    <w:rPr>
      <w:sz w:val="18"/>
    </w:rPr>
  </w:style>
  <w:style w:type="character" w:styleId="940" w:customStyle="1">
    <w:name w:val="尾注文本 字符"/>
    <w:link w:val="731"/>
    <w:uiPriority w:val="99"/>
    <w:qFormat/>
    <w:rPr>
      <w:sz w:val="20"/>
    </w:r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708"/>
    <w:next w:val="708"/>
    <w:link w:val="954"/>
    <w:uiPriority w:val="0"/>
    <w:qFormat/>
    <w:pPr>
      <w:jc w:val="center"/>
      <w:keepNext/>
      <w:outlineLvl w:val="0"/>
    </w:pPr>
    <w:rPr>
      <w:rFonts w:ascii="楷体_GB2312" w:eastAsia="楷体_GB2312"/>
      <w:sz w:val="28"/>
      <w:szCs w:val="28"/>
    </w:rPr>
  </w:style>
  <w:style w:type="paragraph" w:styleId="943" w:customStyle="1">
    <w:name w:val="标题 21"/>
    <w:basedOn w:val="708"/>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标题 31"/>
    <w:basedOn w:val="708"/>
    <w:next w:val="945"/>
    <w:link w:val="956"/>
    <w:uiPriority w:val="0"/>
    <w:qFormat/>
    <w:pPr>
      <w:keepLines/>
      <w:keepNext/>
      <w:spacing w:before="260" w:after="260" w:line="416" w:lineRule="auto"/>
      <w:outlineLvl w:val="2"/>
    </w:pPr>
    <w:rPr>
      <w:b/>
      <w:bCs/>
      <w:sz w:val="32"/>
      <w:szCs w:val="32"/>
    </w:rPr>
  </w:style>
  <w:style w:type="paragraph" w:styleId="945" w:customStyle="1">
    <w:name w:val="正文缩进1"/>
    <w:basedOn w:val="708"/>
    <w:link w:val="957"/>
    <w:uiPriority w:val="0"/>
    <w:qFormat/>
    <w:pPr>
      <w:ind w:firstLine="420"/>
    </w:pPr>
  </w:style>
  <w:style w:type="paragraph" w:styleId="946" w:customStyle="1">
    <w:name w:val="标题 41"/>
    <w:basedOn w:val="708"/>
    <w:next w:val="945"/>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08"/>
    <w:next w:val="945"/>
    <w:link w:val="959"/>
    <w:uiPriority w:val="0"/>
    <w:qFormat/>
    <w:pPr>
      <w:keepNext/>
      <w:outlineLvl w:val="4"/>
    </w:pPr>
    <w:rPr>
      <w:rFonts w:ascii="宋体"/>
      <w:color w:val="000000"/>
      <w:sz w:val="28"/>
      <w:szCs w:val="28"/>
    </w:rPr>
  </w:style>
  <w:style w:type="paragraph" w:styleId="948" w:customStyle="1">
    <w:name w:val="标题 61"/>
    <w:basedOn w:val="708"/>
    <w:next w:val="708"/>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customStyle="1">
    <w:name w:val="标题 71"/>
    <w:basedOn w:val="708"/>
    <w:next w:val="708"/>
    <w:link w:val="961"/>
    <w:uiPriority w:val="0"/>
    <w:qFormat/>
    <w:pPr>
      <w:numPr>
        <w:ilvl w:val="6"/>
        <w:numId w:val="1"/>
      </w:numPr>
      <w:keepLines/>
      <w:keepNext/>
      <w:spacing w:before="240" w:after="64" w:line="320" w:lineRule="auto"/>
      <w:outlineLvl w:val="6"/>
    </w:pPr>
    <w:rPr>
      <w:b/>
      <w:bCs/>
      <w:sz w:val="24"/>
      <w:szCs w:val="24"/>
    </w:rPr>
  </w:style>
  <w:style w:type="paragraph" w:styleId="950" w:customStyle="1">
    <w:name w:val="标题 81"/>
    <w:basedOn w:val="708"/>
    <w:next w:val="708"/>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customStyle="1">
    <w:name w:val="标题 91"/>
    <w:basedOn w:val="708"/>
    <w:next w:val="708"/>
    <w:link w:val="963"/>
    <w:uiPriority w:val="0"/>
    <w:qFormat/>
    <w:pPr>
      <w:numPr>
        <w:ilvl w:val="8"/>
        <w:numId w:val="1"/>
      </w:numPr>
      <w:keepLines/>
      <w:keepNext/>
      <w:spacing w:before="240" w:after="64" w:line="320" w:lineRule="auto"/>
      <w:outlineLvl w:val="8"/>
    </w:pPr>
    <w:rPr>
      <w:rFonts w:ascii="Arial" w:hAnsi="Arial" w:eastAsia="黑体"/>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character" w:styleId="954" w:customStyle="1">
    <w:name w:val="标题 1 Char"/>
    <w:link w:val="942"/>
    <w:uiPriority w:val="0"/>
    <w:qFormat/>
    <w:rPr>
      <w:rFonts w:ascii="楷体_GB2312" w:hAnsi="Times New Roman" w:eastAsia="楷体_GB2312" w:cs="Times New Roman"/>
      <w:sz w:val="28"/>
      <w:szCs w:val="28"/>
    </w:rPr>
  </w:style>
  <w:style w:type="character" w:styleId="955" w:customStyle="1">
    <w:name w:val="标题 2 Char"/>
    <w:link w:val="943"/>
    <w:uiPriority w:val="0"/>
    <w:qFormat/>
    <w:rPr>
      <w:rFonts w:ascii="Arial" w:hAnsi="Arial" w:eastAsia="幼圆" w:cs="Arial"/>
      <w:b/>
      <w:bCs/>
      <w:sz w:val="44"/>
      <w:szCs w:val="44"/>
    </w:rPr>
  </w:style>
  <w:style w:type="character" w:styleId="956" w:customStyle="1">
    <w:name w:val="标题 3 Char"/>
    <w:link w:val="944"/>
    <w:uiPriority w:val="0"/>
    <w:qFormat/>
    <w:rPr>
      <w:rFonts w:ascii="Times New Roman" w:hAnsi="Times New Roman" w:eastAsia="宋体" w:cs="Times New Roman"/>
      <w:b/>
      <w:bCs/>
      <w:sz w:val="32"/>
      <w:szCs w:val="32"/>
    </w:rPr>
  </w:style>
  <w:style w:type="character" w:styleId="957" w:customStyle="1">
    <w:name w:val="正文缩进 Char"/>
    <w:link w:val="945"/>
    <w:uiPriority w:val="0"/>
    <w:qFormat/>
    <w:rPr>
      <w:rFonts w:ascii="Times New Roman" w:hAnsi="Times New Roman" w:eastAsia="宋体" w:cs="Times New Roman"/>
      <w:szCs w:val="21"/>
    </w:rPr>
  </w:style>
  <w:style w:type="character" w:styleId="958" w:customStyle="1">
    <w:name w:val="标题 4 Char"/>
    <w:link w:val="946"/>
    <w:uiPriority w:val="0"/>
    <w:qFormat/>
    <w:rPr>
      <w:rFonts w:ascii="Arial" w:hAnsi="Arial" w:eastAsia="黑体" w:cs="Arial"/>
      <w:b/>
      <w:bCs/>
      <w:sz w:val="28"/>
      <w:szCs w:val="28"/>
    </w:rPr>
  </w:style>
  <w:style w:type="character" w:styleId="959" w:customStyle="1">
    <w:name w:val="标题 5 Char"/>
    <w:link w:val="947"/>
    <w:uiPriority w:val="0"/>
    <w:qFormat/>
    <w:rPr>
      <w:rFonts w:ascii="宋体" w:hAnsi="Times New Roman" w:eastAsia="宋体" w:cs="Times New Roman"/>
      <w:color w:val="000000"/>
      <w:sz w:val="28"/>
      <w:szCs w:val="28"/>
    </w:rPr>
  </w:style>
  <w:style w:type="character" w:styleId="960" w:customStyle="1">
    <w:name w:val="标题 6 Char"/>
    <w:link w:val="948"/>
    <w:uiPriority w:val="0"/>
    <w:qFormat/>
    <w:rPr>
      <w:rFonts w:ascii="Arial" w:hAnsi="Arial" w:eastAsia="黑体" w:cs="Times New Roman"/>
      <w:b/>
      <w:bCs/>
      <w:sz w:val="24"/>
      <w:szCs w:val="24"/>
    </w:rPr>
  </w:style>
  <w:style w:type="character" w:styleId="961" w:customStyle="1">
    <w:name w:val="标题 7 Char"/>
    <w:link w:val="949"/>
    <w:uiPriority w:val="0"/>
    <w:qFormat/>
    <w:rPr>
      <w:rFonts w:ascii="Times New Roman" w:hAnsi="Times New Roman" w:eastAsia="宋体" w:cs="Times New Roman"/>
      <w:b/>
      <w:bCs/>
      <w:sz w:val="24"/>
      <w:szCs w:val="24"/>
    </w:rPr>
  </w:style>
  <w:style w:type="character" w:styleId="962" w:customStyle="1">
    <w:name w:val="标题 8 Char"/>
    <w:link w:val="950"/>
    <w:uiPriority w:val="0"/>
    <w:qFormat/>
    <w:rPr>
      <w:rFonts w:ascii="Arial" w:hAnsi="Arial" w:eastAsia="黑体" w:cs="Times New Roman"/>
      <w:sz w:val="24"/>
      <w:szCs w:val="24"/>
    </w:rPr>
  </w:style>
  <w:style w:type="character" w:styleId="963" w:customStyle="1">
    <w:name w:val="标题 9 Char"/>
    <w:link w:val="951"/>
    <w:uiPriority w:val="0"/>
    <w:qFormat/>
    <w:rPr>
      <w:rFonts w:ascii="Arial" w:hAnsi="Arial" w:eastAsia="黑体" w:cs="Times New Roman"/>
      <w:szCs w:val="21"/>
    </w:rPr>
  </w:style>
  <w:style w:type="paragraph" w:styleId="964" w:customStyle="1">
    <w:name w:val="列表 31"/>
    <w:basedOn w:val="708"/>
    <w:uiPriority w:val="0"/>
    <w:qFormat/>
    <w:pPr>
      <w:ind w:left="100" w:hanging="200"/>
    </w:pPr>
  </w:style>
  <w:style w:type="paragraph" w:styleId="965" w:customStyle="1">
    <w:name w:val="目录 71"/>
    <w:basedOn w:val="708"/>
    <w:next w:val="708"/>
    <w:uiPriority w:val="0"/>
    <w:semiHidden/>
    <w:qFormat/>
    <w:pPr>
      <w:ind w:left="1260"/>
      <w:jc w:val="left"/>
    </w:pPr>
  </w:style>
  <w:style w:type="paragraph" w:styleId="966" w:customStyle="1">
    <w:name w:val="文档结构图1"/>
    <w:basedOn w:val="708"/>
    <w:link w:val="967"/>
    <w:uiPriority w:val="0"/>
    <w:semiHidden/>
    <w:qFormat/>
    <w:pPr>
      <w:shd w:val="clear" w:color="auto" w:fill="000080"/>
    </w:p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08"/>
    <w:link w:val="969"/>
    <w:uiPriority w:val="0"/>
    <w:semiHidden/>
    <w:qFormat/>
    <w:pPr>
      <w:jc w:val="left"/>
    </w:pPr>
  </w:style>
  <w:style w:type="character" w:styleId="969" w:customStyle="1">
    <w:name w:val="批注文字 Char"/>
    <w:link w:val="968"/>
    <w:uiPriority w:val="0"/>
    <w:semiHidden/>
    <w:qFormat/>
    <w:rPr>
      <w:rFonts w:ascii="Times New Roman" w:hAnsi="Times New Roman" w:eastAsia="宋体" w:cs="Times New Roman"/>
      <w:szCs w:val="21"/>
    </w:rPr>
  </w:style>
  <w:style w:type="paragraph" w:styleId="970" w:customStyle="1">
    <w:name w:val="正文文本 31"/>
    <w:basedOn w:val="708"/>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
    <w:basedOn w:val="708"/>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paragraph" w:styleId="974" w:customStyle="1">
    <w:name w:val="正文文本缩进1"/>
    <w:basedOn w:val="708"/>
    <w:link w:val="975"/>
    <w:uiPriority w:val="0"/>
    <w:qFormat/>
    <w:pPr>
      <w:ind w:firstLine="645"/>
    </w:pPr>
    <w:rPr>
      <w:rFonts w:ascii="楷体_GB2312" w:eastAsia="楷体_GB2312"/>
      <w:sz w:val="32"/>
      <w:szCs w:val="32"/>
    </w:rPr>
  </w:style>
  <w:style w:type="character" w:styleId="975" w:customStyle="1">
    <w:name w:val="正文文本缩进 Char"/>
    <w:link w:val="974"/>
    <w:uiPriority w:val="0"/>
    <w:qFormat/>
    <w:rPr>
      <w:rFonts w:ascii="楷体_GB2312" w:hAnsi="Times New Roman" w:eastAsia="楷体_GB2312" w:cs="Times New Roman"/>
      <w:sz w:val="32"/>
      <w:szCs w:val="32"/>
    </w:rPr>
  </w:style>
  <w:style w:type="paragraph" w:styleId="976" w:customStyle="1">
    <w:name w:val="列表 21"/>
    <w:basedOn w:val="708"/>
    <w:uiPriority w:val="0"/>
    <w:qFormat/>
    <w:pPr>
      <w:ind w:left="100" w:hanging="200"/>
    </w:pPr>
  </w:style>
  <w:style w:type="paragraph" w:styleId="977" w:customStyle="1">
    <w:name w:val="目录 51"/>
    <w:basedOn w:val="708"/>
    <w:next w:val="708"/>
    <w:uiPriority w:val="0"/>
    <w:semiHidden/>
    <w:qFormat/>
    <w:pPr>
      <w:ind w:left="840"/>
      <w:jc w:val="left"/>
    </w:pPr>
  </w:style>
  <w:style w:type="paragraph" w:styleId="978" w:customStyle="1">
    <w:name w:val="目录 31"/>
    <w:basedOn w:val="708"/>
    <w:next w:val="708"/>
    <w:uiPriority w:val="0"/>
    <w:semiHidden/>
    <w:qFormat/>
    <w:pPr>
      <w:ind w:left="420"/>
      <w:jc w:val="left"/>
    </w:pPr>
    <w:rPr>
      <w:i/>
      <w:iCs/>
      <w:szCs w:val="24"/>
    </w:rPr>
  </w:style>
  <w:style w:type="paragraph" w:styleId="979" w:customStyle="1">
    <w:name w:val="纯文本1"/>
    <w:basedOn w:val="708"/>
    <w:link w:val="980"/>
    <w:uiPriority w:val="0"/>
    <w:qFormat/>
    <w:rPr>
      <w:rFonts w:ascii="宋体" w:hAnsi="Courier New" w:cs="Courier New"/>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708"/>
    <w:next w:val="708"/>
    <w:uiPriority w:val="0"/>
    <w:semiHidden/>
    <w:qFormat/>
    <w:pPr>
      <w:ind w:left="1470"/>
      <w:jc w:val="left"/>
    </w:pPr>
  </w:style>
  <w:style w:type="paragraph" w:styleId="982" w:customStyle="1">
    <w:name w:val="日期1"/>
    <w:basedOn w:val="708"/>
    <w:next w:val="708"/>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708"/>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708"/>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708"/>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708"/>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08"/>
    <w:next w:val="708"/>
    <w:uiPriority w:val="0"/>
    <w:semiHidden/>
    <w:qFormat/>
    <w:pPr>
      <w:ind w:left="630"/>
      <w:jc w:val="left"/>
    </w:pPr>
  </w:style>
  <w:style w:type="paragraph" w:styleId="994" w:customStyle="1">
    <w:name w:val="列表1"/>
    <w:basedOn w:val="708"/>
    <w:uiPriority w:val="0"/>
    <w:qFormat/>
    <w:pPr>
      <w:ind w:left="200" w:hanging="200"/>
    </w:pPr>
  </w:style>
  <w:style w:type="paragraph" w:styleId="995" w:customStyle="1">
    <w:name w:val="目录 61"/>
    <w:basedOn w:val="708"/>
    <w:next w:val="708"/>
    <w:uiPriority w:val="0"/>
    <w:semiHidden/>
    <w:qFormat/>
    <w:pPr>
      <w:ind w:left="1050"/>
      <w:jc w:val="left"/>
    </w:pPr>
  </w:style>
  <w:style w:type="paragraph" w:styleId="996" w:customStyle="1">
    <w:name w:val="正文文本缩进 31"/>
    <w:basedOn w:val="708"/>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708"/>
    <w:next w:val="708"/>
    <w:uiPriority w:val="0"/>
    <w:semiHidden/>
    <w:qFormat/>
    <w:pPr>
      <w:ind w:left="840" w:hanging="420"/>
    </w:pPr>
  </w:style>
  <w:style w:type="paragraph" w:styleId="999" w:customStyle="1">
    <w:name w:val="目录 21"/>
    <w:basedOn w:val="708"/>
    <w:next w:val="708"/>
    <w:uiPriority w:val="0"/>
    <w:semiHidden/>
    <w:qFormat/>
    <w:pPr>
      <w:ind w:left="210"/>
      <w:jc w:val="left"/>
    </w:pPr>
    <w:rPr>
      <w:smallCaps/>
      <w:szCs w:val="24"/>
    </w:rPr>
  </w:style>
  <w:style w:type="paragraph" w:styleId="1000" w:customStyle="1">
    <w:name w:val="目录 91"/>
    <w:basedOn w:val="708"/>
    <w:next w:val="708"/>
    <w:uiPriority w:val="0"/>
    <w:semiHidden/>
    <w:qFormat/>
    <w:pPr>
      <w:ind w:left="1680"/>
      <w:jc w:val="left"/>
    </w:pPr>
  </w:style>
  <w:style w:type="paragraph" w:styleId="1001" w:customStyle="1">
    <w:name w:val="正文文本 21"/>
    <w:basedOn w:val="708"/>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HTML 预设格式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4"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1005" w:customStyle="1">
    <w:name w:val="索引 11"/>
    <w:basedOn w:val="708"/>
    <w:next w:val="708"/>
    <w:uiPriority w:val="0"/>
    <w:semiHidden/>
    <w:qFormat/>
    <w:pPr>
      <w:spacing w:line="240" w:lineRule="atLeast"/>
    </w:pPr>
    <w:rPr>
      <w:b/>
      <w:bCs/>
    </w:rPr>
  </w:style>
  <w:style w:type="paragraph" w:styleId="1006" w:customStyle="1">
    <w:name w:val="批注主题1"/>
    <w:basedOn w:val="968"/>
    <w:next w:val="968"/>
    <w:link w:val="1007"/>
    <w:uiPriority w:val="0"/>
    <w:semiHidden/>
    <w:qFormat/>
    <w:rPr>
      <w:b/>
      <w:bCs/>
    </w:rPr>
  </w:style>
  <w:style w:type="character" w:styleId="1007" w:customStyle="1">
    <w:name w:val="批注主题 Char"/>
    <w:link w:val="1006"/>
    <w:uiPriority w:val="0"/>
    <w:semiHidden/>
    <w:qFormat/>
    <w:rPr>
      <w:rFonts w:ascii="Times New Roman" w:hAnsi="Times New Roman" w:eastAsia="宋体" w:cs="Times New Roman"/>
      <w:b/>
      <w:bCs/>
      <w:szCs w:val="21"/>
    </w:rPr>
  </w:style>
  <w:style w:type="paragraph" w:styleId="1008" w:customStyle="1">
    <w:name w:val="正文首行缩进1"/>
    <w:basedOn w:val="708"/>
    <w:link w:val="1009"/>
    <w:uiPriority w:val="0"/>
    <w:qFormat/>
    <w:pPr>
      <w:ind w:firstLine="200"/>
      <w:spacing w:line="360" w:lineRule="auto"/>
    </w:pPr>
    <w:rPr>
      <w:rFonts w:ascii="仿宋_GB2312" w:eastAsia="仿宋_GB2312"/>
      <w:sz w:val="30"/>
      <w:szCs w:val="30"/>
    </w:rPr>
  </w:style>
  <w:style w:type="character" w:styleId="1009" w:customStyle="1">
    <w:name w:val="正文首行缩进 Char"/>
    <w:link w:val="1008"/>
    <w:uiPriority w:val="0"/>
    <w:qFormat/>
    <w:rPr>
      <w:rFonts w:ascii="仿宋_GB2312" w:hAnsi="Times New Roman" w:eastAsia="仿宋_GB2312" w:cs="Times New Roman"/>
      <w:sz w:val="30"/>
      <w:szCs w:val="30"/>
    </w:rPr>
  </w:style>
  <w:style w:type="paragraph" w:styleId="1010" w:customStyle="1">
    <w:name w:val="正文首行缩进 21"/>
    <w:basedOn w:val="974"/>
    <w:link w:val="1011"/>
    <w:uiPriority w:val="0"/>
    <w:qFormat/>
    <w:pPr>
      <w:ind w:firstLine="420"/>
      <w:spacing w:line="360" w:lineRule="auto"/>
    </w:pPr>
    <w:rPr>
      <w:rFonts w:ascii="宋体" w:hAnsi="宋体" w:eastAsia="宋体"/>
      <w:sz w:val="21"/>
      <w:szCs w:val="20"/>
    </w:rPr>
  </w:style>
  <w:style w:type="character" w:styleId="1011" w:customStyle="1">
    <w:name w:val="正文首行缩进 2 Char"/>
    <w:link w:val="1010"/>
    <w:uiPriority w:val="0"/>
    <w:qFormat/>
    <w:rPr>
      <w:rFonts w:ascii="宋体" w:hAnsi="宋体" w:eastAsia="宋体" w:cs="Times New Roman"/>
      <w:sz w:val="32"/>
      <w:szCs w:val="20"/>
    </w:rPr>
  </w:style>
  <w:style w:type="table" w:styleId="1012" w:customStyle="1">
    <w:name w:val="网格型1"/>
    <w:basedOn w:val="953"/>
    <w:uiPriority w:val="0"/>
    <w:qFormat/>
    <w:pPr>
      <w:jc w:val="both"/>
      <w:widowControl w:val="off"/>
    </w:pPr>
    <w:tblPr/>
  </w:style>
  <w:style w:type="character" w:styleId="1013" w:customStyle="1">
    <w:name w:val="要点1"/>
    <w:uiPriority w:val="0"/>
    <w:qFormat/>
    <w:rPr>
      <w:b/>
      <w:bCs/>
    </w:rPr>
  </w:style>
  <w:style w:type="character" w:styleId="1014" w:customStyle="1">
    <w:name w:val="页码1"/>
    <w:uiPriority w:val="0"/>
    <w:qFormat/>
  </w:style>
  <w:style w:type="character" w:styleId="1015" w:customStyle="1">
    <w:name w:val="已访问的超链接1"/>
    <w:uiPriority w:val="0"/>
    <w:qFormat/>
    <w:rPr>
      <w:color w:val="800080"/>
      <w:u w:val="single"/>
    </w:rPr>
  </w:style>
  <w:style w:type="character" w:styleId="1016" w:customStyle="1">
    <w:name w:val="强调1"/>
    <w:basedOn w:val="952"/>
    <w:uiPriority w:val="20"/>
    <w:qFormat/>
    <w:rPr>
      <w:i/>
    </w:rPr>
  </w:style>
  <w:style w:type="character" w:styleId="1017" w:customStyle="1">
    <w:name w:val="超链接1"/>
    <w:uiPriority w:val="0"/>
    <w:qFormat/>
    <w:rPr>
      <w:color w:val="0000ff"/>
      <w:u w:val="single"/>
    </w:rPr>
  </w:style>
  <w:style w:type="character" w:styleId="1018" w:customStyle="1">
    <w:name w:val="批注引用1"/>
    <w:uiPriority w:val="0"/>
    <w:semiHidden/>
    <w:qFormat/>
    <w:rPr>
      <w:sz w:val="21"/>
      <w:szCs w:val="21"/>
    </w:rPr>
  </w:style>
  <w:style w:type="character" w:styleId="1019" w:customStyle="1">
    <w:name w:val="二级目录 Char"/>
    <w:link w:val="1020"/>
    <w:uiPriority w:val="0"/>
    <w:qFormat/>
    <w:rPr>
      <w:b/>
      <w:sz w:val="30"/>
      <w:szCs w:val="28"/>
    </w:rPr>
  </w:style>
  <w:style w:type="paragraph" w:styleId="1020" w:customStyle="1">
    <w:name w:val="二级目录"/>
    <w:next w:val="708"/>
    <w:link w:val="101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708"/>
    <w:link w:val="1022"/>
    <w:uiPriority w:val="0"/>
    <w:qFormat/>
    <w:pPr>
      <w:contextualSpacing/>
      <w:ind w:left="720"/>
      <w:jc w:val="left"/>
      <w:widowControl/>
    </w:pPr>
    <w:rPr>
      <w:rFonts w:ascii="Calibri" w:hAnsi="Calibri"/>
      <w:sz w:val="24"/>
      <w:szCs w:val="24"/>
      <w:lang w:eastAsia="en-US" w:bidi="en-US"/>
    </w:rPr>
  </w:style>
  <w:style w:type="character" w:styleId="1024"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25" w:customStyle="1">
    <w:name w:val="table_lines"/>
    <w:basedOn w:val="708"/>
    <w:uiPriority w:val="0"/>
    <w:qFormat/>
    <w:pPr>
      <w:jc w:val="left"/>
      <w:widowControl/>
    </w:pPr>
    <w:rPr>
      <w:sz w:val="20"/>
      <w:szCs w:val="20"/>
      <w:lang w:val="de-DE" w:eastAsia="de-DE"/>
    </w:rPr>
  </w:style>
  <w:style w:type="paragraph" w:styleId="1026"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27"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31"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Char Char Char Char"/>
    <w:basedOn w:val="966"/>
    <w:uiPriority w:val="0"/>
    <w:qFormat/>
    <w:pPr>
      <w:spacing w:line="360" w:lineRule="auto"/>
    </w:pPr>
    <w:rPr>
      <w:rFonts w:ascii="Tahoma" w:hAnsi="Tahoma"/>
      <w:sz w:val="24"/>
      <w:szCs w:val="24"/>
    </w:rPr>
  </w:style>
  <w:style w:type="paragraph" w:styleId="103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4"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35" w:customStyle="1">
    <w:name w:val="列出段落2"/>
    <w:basedOn w:val="708"/>
    <w:uiPriority w:val="0"/>
    <w:qFormat/>
    <w:pPr>
      <w:ind w:firstLine="200"/>
    </w:pPr>
    <w:rPr>
      <w:szCs w:val="20"/>
    </w:rPr>
  </w:style>
  <w:style w:type="paragraph" w:styleId="1036"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Body Text(ch)"/>
    <w:basedOn w:val="708"/>
    <w:next w:val="972"/>
    <w:uiPriority w:val="0"/>
    <w:qFormat/>
    <w:pPr>
      <w:spacing w:after="120"/>
    </w:pPr>
    <w:rPr>
      <w:rFonts w:ascii="宋体" w:hAnsi="Arial"/>
      <w:bCs/>
      <w:iCs/>
      <w:szCs w:val="24"/>
    </w:rPr>
  </w:style>
  <w:style w:type="paragraph" w:styleId="1038"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3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Char Char Char1"/>
    <w:basedOn w:val="966"/>
    <w:uiPriority w:val="0"/>
    <w:qFormat/>
    <w:pPr>
      <w:spacing w:line="360" w:lineRule="auto"/>
    </w:pPr>
    <w:rPr>
      <w:rFonts w:ascii="Tahoma" w:hAnsi="Tahoma"/>
      <w:sz w:val="24"/>
      <w:szCs w:val="24"/>
    </w:rPr>
  </w:style>
  <w:style w:type="paragraph" w:styleId="1041" w:customStyle="1">
    <w:name w:val="Char"/>
    <w:basedOn w:val="708"/>
    <w:uiPriority w:val="0"/>
    <w:qFormat/>
    <w:pPr>
      <w:ind w:firstLine="200"/>
      <w:tabs>
        <w:tab w:val="left" w:pos="360" w:leader="none"/>
      </w:tabs>
    </w:pPr>
    <w:rPr>
      <w:sz w:val="28"/>
      <w:szCs w:val="30"/>
    </w:rPr>
  </w:style>
  <w:style w:type="paragraph" w:styleId="1042"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Char1"/>
    <w:basedOn w:val="966"/>
    <w:uiPriority w:val="0"/>
    <w:qFormat/>
    <w:rPr>
      <w:rFonts w:ascii="Tahoma" w:hAnsi="Tahoma"/>
      <w:sz w:val="24"/>
      <w:szCs w:val="24"/>
    </w:rPr>
  </w:style>
  <w:style w:type="paragraph" w:styleId="1044" w:customStyle="1">
    <w:name w:val="列出段落"/>
    <w:basedOn w:val="708"/>
    <w:uiPriority w:val="0"/>
    <w:qFormat/>
    <w:pPr>
      <w:contextualSpacing/>
      <w:ind w:left="720"/>
      <w:jc w:val="left"/>
      <w:widowControl/>
    </w:pPr>
    <w:rPr>
      <w:rFonts w:ascii="Calibri" w:hAnsi="Calibri"/>
      <w:sz w:val="24"/>
      <w:szCs w:val="24"/>
      <w:lang w:eastAsia="en-US" w:bidi="en-US"/>
    </w:rPr>
  </w:style>
  <w:style w:type="paragraph" w:styleId="1045" w:customStyle="1">
    <w:name w:val="4"/>
    <w:basedOn w:val="708"/>
    <w:next w:val="996"/>
    <w:uiPriority w:val="0"/>
    <w:qFormat/>
    <w:pPr>
      <w:ind w:firstLine="420"/>
      <w:spacing w:line="360" w:lineRule="auto"/>
    </w:pPr>
    <w:rPr>
      <w:color w:val="ff0000"/>
      <w:sz w:val="24"/>
      <w:szCs w:val="24"/>
    </w:rPr>
  </w:style>
  <w:style w:type="paragraph" w:styleId="1046"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708"/>
    <w:uiPriority w:val="0"/>
    <w:qFormat/>
    <w:pPr>
      <w:spacing w:line="360" w:lineRule="auto"/>
    </w:pPr>
    <w:rPr>
      <w:sz w:val="24"/>
      <w:szCs w:val="20"/>
    </w:rPr>
  </w:style>
  <w:style w:type="paragraph" w:styleId="1048" w:customStyle="1">
    <w:name w:val="样式1"/>
    <w:basedOn w:val="708"/>
    <w:uiPriority w:val="0"/>
    <w:qFormat/>
    <w:pPr>
      <w:numPr>
        <w:ilvl w:val="0"/>
        <w:numId w:val="3"/>
      </w:numPr>
    </w:pPr>
    <w:rPr>
      <w:rFonts w:ascii="宋体" w:hAnsi="宋体"/>
    </w:rPr>
  </w:style>
  <w:style w:type="paragraph" w:styleId="104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0"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53"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55" w:customStyle="1">
    <w:name w:val="table_1stline"/>
    <w:basedOn w:val="708"/>
    <w:uiPriority w:val="0"/>
    <w:qFormat/>
    <w:pPr>
      <w:jc w:val="left"/>
      <w:spacing w:before="120"/>
      <w:widowControl/>
    </w:pPr>
    <w:rPr>
      <w:bCs/>
      <w:sz w:val="20"/>
      <w:szCs w:val="20"/>
      <w:lang w:val="de-DE" w:eastAsia="de-DE"/>
    </w:rPr>
  </w:style>
  <w:style w:type="paragraph" w:styleId="1056"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character" w:styleId="1057" w:customStyle="1">
    <w:name w:val="font31"/>
    <w:basedOn w:val="718"/>
    <w:uiPriority w:val="0"/>
    <w:qFormat/>
    <w:rPr>
      <w:rFonts w:ascii="仿宋" w:hAnsi="仿宋" w:eastAsia="仿宋" w:cs="仿宋"/>
      <w:color w:val="000000"/>
      <w:sz w:val="21"/>
      <w:szCs w:val="21"/>
      <w:u w:val="none"/>
    </w:rPr>
  </w:style>
  <w:style w:type="paragraph" w:styleId="1058" w:customStyle="1">
    <w:name w:val="Table Paragraph"/>
    <w:basedOn w:val="708"/>
    <w:uiPriority w:val="1"/>
    <w:qFormat/>
    <w:rPr>
      <w:rFonts w:ascii="宋体" w:hAnsi="宋体" w:cs="宋体"/>
      <w:lang w:val="zh-CN" w:bidi="zh-CN"/>
    </w:rPr>
  </w:style>
  <w:style w:type="paragraph" w:styleId="1059" w:customStyle="1">
    <w:name w:val="段"/>
    <w:next w:val="70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table" w:styleId="1060" w:customStyle="1">
    <w:name w:val="Table Normal2"/>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table" w:styleId="1061" w:customStyle="1">
    <w:name w:val="Table Normal6"/>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62" w:customStyle="1">
    <w:name w:val="Table Normal3"/>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63"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table" w:styleId="1064" w:customStyle="1">
    <w:name w:val="Table Normal5"/>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65" w:customStyle="1">
    <w:name w:val="Table Normal4"/>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66" w:customStyle="1">
    <w:name w:val="表格正文"/>
    <w:basedOn w:val="708"/>
    <w:uiPriority w:val="0"/>
    <w:qFormat/>
    <w:pPr>
      <w:jc w:val="left"/>
    </w:pPr>
    <w:rPr>
      <w:sz w:val="24"/>
    </w:rPr>
  </w:style>
  <w:style w:type="character" w:styleId="1067" w:customStyle="1">
    <w:name w:val="15"/>
    <w:uiPriority w:val="0"/>
    <w:qFormat/>
    <w:rPr>
      <w:rFonts w:ascii="Times New Roman" w:hAnsi="Times New Roman" w:eastAsia="宋体"/>
      <w:sz w:val="21"/>
      <w:szCs w:val="21"/>
      <w:lang w:val="en-US" w:eastAsia="zh-CN" w:bidi="ar-SA"/>
    </w:rPr>
  </w:style>
  <w:style w:type="table" w:styleId="1068" w:customStyle="1">
    <w:name w:val="网格型3"/>
    <w:basedOn w:val="719"/>
    <w:uiPriority w:val="39"/>
    <w:qFormat/>
    <w:rPr>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9" w:customStyle="1">
    <w:name w:val="网格型31"/>
    <w:basedOn w:val="719"/>
    <w:uiPriority w:val="59"/>
    <w:qFormat/>
    <w:rPr>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0" w:customStyle="1">
    <w:name w:val="图片、表头"/>
    <w:uiPriority w:val="0"/>
    <w:qFormat/>
    <w:pPr>
      <w:jc w:val="center"/>
    </w:pPr>
    <w:rPr>
      <w:rFonts w:hint="default" w:ascii="Times New Roman" w:hAnsi="Times New Roman" w:eastAsia="仿宋" w:cstheme="minorBidi"/>
      <w:b/>
      <w:color w:val="000000"/>
      <w:sz w:val="24"/>
      <w:szCs w:val="28"/>
      <w:lang w:val="en-US" w:eastAsia="zh-CN" w:bidi="ar-SA"/>
    </w:rPr>
  </w:style>
  <w:style w:type="paragraph" w:styleId="1071" w:customStyle="1">
    <w:name w:val="正文1"/>
    <w:basedOn w:val="945"/>
    <w:uiPriority w:val="0"/>
    <w:qFormat/>
    <w:pPr>
      <w:tabs>
        <w:tab w:val="right" w:pos="9440" w:leader="dot"/>
      </w:tabs>
    </w:pPr>
    <w:rPr>
      <w:szCs w:val="24"/>
    </w:rPr>
  </w:style>
  <w:style w:type="character" w:styleId="1072" w:customStyle="1">
    <w:name w:val="font41"/>
    <w:basedOn w:val="718"/>
    <w:uiPriority w:val="0"/>
    <w:qFormat/>
    <w:rPr>
      <w:rFonts w:hint="eastAsia" w:ascii="宋体" w:hAnsi="宋体" w:eastAsia="宋体" w:cs="宋体"/>
      <w:color w:val="000000"/>
      <w:sz w:val="18"/>
      <w:szCs w:val="18"/>
      <w:u w:val="none"/>
    </w:rPr>
  </w:style>
  <w:style w:type="character" w:styleId="1073" w:customStyle="1">
    <w:name w:val="font11"/>
    <w:basedOn w:val="718"/>
    <w:uiPriority w:val="0"/>
    <w:qFormat/>
    <w:rPr>
      <w:rFonts w:hint="eastAsia" w:ascii="宋体" w:hAnsi="宋体" w:eastAsia="宋体" w:cs="宋体"/>
      <w:color w:val="000000"/>
      <w:sz w:val="18"/>
      <w:szCs w:val="18"/>
      <w:u w:val="none"/>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朱倩楠</cp:lastModifiedBy>
  <cp:revision>13</cp:revision>
  <dcterms:created xsi:type="dcterms:W3CDTF">2023-03-16T02:16:00Z</dcterms:created>
  <dcterms:modified xsi:type="dcterms:W3CDTF">2025-03-04T08:11:16Z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B07F06E57A364CA197451D7F3CA87C60_13</vt:lpwstr>
  </property>
  <property fmtid="{D5CDD505-2E9C-101B-9397-08002B2CF9AE}" pid="4" name="KSOTemplateDocerSaveRecord">
    <vt:lpwstr>eyJoZGlkIjoiN2UyNzc1MThhMjg3OGI0MTg3YzBlNTRlMDJmOGFmM2MiLCJ1c2VySWQiOiIyMzMzMDk4MzQifQ==</vt:lpwstr>
  </property>
</Properties>
</file>