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3BE3F">
      <w:pPr>
        <w:jc w:val="center"/>
        <w:outlineLvl w:val="0"/>
      </w:pPr>
      <w:r>
        <w:rPr>
          <w:rFonts w:hint="eastAsia" w:ascii="黑体" w:hAnsi="宋体" w:eastAsia="黑体" w:cs="黑体"/>
          <w:color w:val="000000"/>
          <w:sz w:val="44"/>
          <w:szCs w:val="44"/>
        </w:rPr>
        <w:t>采购需求</w:t>
      </w:r>
    </w:p>
    <w:p w14:paraId="041A7043">
      <w:pPr>
        <w:pStyle w:val="2"/>
        <w:spacing w:beforeAutospacing="0" w:afterAutospacing="0" w:line="360" w:lineRule="auto"/>
        <w:jc w:val="both"/>
      </w:pPr>
      <w:bookmarkStart w:id="0" w:name="_Toc49090575"/>
      <w:bookmarkStart w:id="1" w:name="_Toc26554093"/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000000"/>
        </w:rPr>
        <w:t>项目属性:</w:t>
      </w:r>
      <w:r>
        <w:rPr>
          <w:rFonts w:hint="eastAsia" w:ascii="宋体" w:hAnsi="宋体" w:eastAsia="宋体" w:cs="宋体"/>
          <w:color w:val="000000"/>
        </w:rPr>
        <w:t>货物类项目。</w:t>
      </w:r>
      <w:bookmarkEnd w:id="0"/>
      <w:bookmarkEnd w:id="1"/>
    </w:p>
    <w:p w14:paraId="056665BB">
      <w:pPr>
        <w:pStyle w:val="2"/>
        <w:spacing w:beforeAutospacing="0" w:afterAutospacing="0" w:line="360" w:lineRule="auto"/>
        <w:jc w:val="both"/>
        <w:rPr>
          <w:rFonts w:hint="eastAsia" w:ascii="宋体" w:hAnsi="宋体" w:eastAsia="宋体" w:cs="宋体"/>
          <w:b/>
          <w:bCs/>
          <w:color w:val="00000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</w:rPr>
        <w:t>采购需求</w:t>
      </w:r>
      <w:r>
        <w:rPr>
          <w:rFonts w:hint="eastAsia" w:ascii="宋体" w:hAnsi="宋体" w:eastAsia="宋体" w:cs="宋体"/>
          <w:b/>
          <w:bCs/>
          <w:color w:val="000000"/>
          <w:lang w:eastAsia="zh-CN"/>
        </w:rPr>
        <w:t>：</w:t>
      </w:r>
    </w:p>
    <w:p w14:paraId="3A5D42D1">
      <w:pPr>
        <w:pStyle w:val="2"/>
        <w:numPr>
          <w:ilvl w:val="0"/>
          <w:numId w:val="0"/>
        </w:numPr>
        <w:spacing w:beforeAutospacing="0" w:afterAutospacing="0" w:line="360" w:lineRule="auto"/>
        <w:ind w:leftChars="0"/>
        <w:jc w:val="both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1、采购需求中必须满足的实质性要求：</w:t>
      </w:r>
    </w:p>
    <w:p w14:paraId="5D58DE87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1.1主机和光源采用分体式设计，光源散热性好，保证图像处理器稳定性，延长主机寿命（提供产品实物图片作为证明材料）</w:t>
      </w:r>
    </w:p>
    <w:p w14:paraId="133AF4D0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1.2、配置至少包含：</w:t>
      </w:r>
    </w:p>
    <w:p w14:paraId="78572BF1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1.2.1同品牌医用内窥镜图像处理器：1台</w:t>
      </w:r>
    </w:p>
    <w:p w14:paraId="14797D0F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1.2.2同品牌医用内窥镜冷光源：1台</w:t>
      </w:r>
    </w:p>
    <w:p w14:paraId="264ADF6B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1.2.3同品牌高清电子胃镜（检查镜）1根</w:t>
      </w:r>
    </w:p>
    <w:p w14:paraId="26A3FAD5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1.2.4同品牌高清电子胃镜（治疗镜）1根</w:t>
      </w:r>
    </w:p>
    <w:p w14:paraId="1C54F6B2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1.2.5同品牌高清电子肠镜（治疗镜）1根</w:t>
      </w:r>
    </w:p>
    <w:p w14:paraId="1782AC00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1.2.6高清显示器1台</w:t>
      </w:r>
      <w:bookmarkStart w:id="2" w:name="_GoBack"/>
      <w:bookmarkEnd w:id="2"/>
    </w:p>
    <w:p w14:paraId="490BE9F2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1.2.7内镜专用台车1辆</w:t>
      </w:r>
    </w:p>
    <w:p w14:paraId="519BE134">
      <w:pPr>
        <w:pStyle w:val="2"/>
        <w:numPr>
          <w:ilvl w:val="0"/>
          <w:numId w:val="0"/>
        </w:numPr>
        <w:spacing w:beforeAutospacing="0" w:afterAutospacing="0" w:line="360" w:lineRule="auto"/>
        <w:ind w:leftChars="0"/>
        <w:jc w:val="both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2、采购标的中的核心产品：高清电子胃、肠镜。</w:t>
      </w:r>
    </w:p>
    <w:p w14:paraId="3E07EB8A">
      <w:pPr>
        <w:pStyle w:val="2"/>
        <w:numPr>
          <w:ilvl w:val="0"/>
          <w:numId w:val="0"/>
        </w:numPr>
        <w:spacing w:beforeAutospacing="0" w:afterAutospacing="0" w:line="360" w:lineRule="auto"/>
        <w:ind w:leftChars="0"/>
        <w:jc w:val="both"/>
        <w:rPr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</w:rPr>
        <w:t>采购标的对应的中小企业划分标准所属行业一览表</w:t>
      </w:r>
    </w:p>
    <w:tbl>
      <w:tblPr>
        <w:tblStyle w:val="3"/>
        <w:tblW w:w="9347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4438"/>
        <w:gridCol w:w="3852"/>
      </w:tblGrid>
      <w:tr w14:paraId="0E9B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CellSpacing w:w="0" w:type="dxa"/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76F52157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4438" w:type="dxa"/>
            <w:shd w:val="clear" w:color="auto" w:fill="auto"/>
            <w:vAlign w:val="center"/>
          </w:tcPr>
          <w:p w14:paraId="4E2FFD70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采购标的</w:t>
            </w:r>
          </w:p>
        </w:tc>
        <w:tc>
          <w:tcPr>
            <w:tcW w:w="3852" w:type="dxa"/>
            <w:shd w:val="clear" w:color="auto" w:fill="auto"/>
            <w:vAlign w:val="center"/>
          </w:tcPr>
          <w:p w14:paraId="356BBB96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对应中小企业划分标准所属行业</w:t>
            </w:r>
          </w:p>
        </w:tc>
      </w:tr>
      <w:tr w14:paraId="1212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CellSpacing w:w="0" w:type="dxa"/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179D1801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</w:t>
            </w:r>
          </w:p>
        </w:tc>
        <w:tc>
          <w:tcPr>
            <w:tcW w:w="4438" w:type="dxa"/>
            <w:shd w:val="clear" w:color="auto" w:fill="auto"/>
            <w:vAlign w:val="center"/>
          </w:tcPr>
          <w:p w14:paraId="4CCF9B1D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高清电子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胃、</w:t>
            </w: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肠镜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供货及相关伴随服务</w:t>
            </w:r>
          </w:p>
        </w:tc>
        <w:tc>
          <w:tcPr>
            <w:tcW w:w="3852" w:type="dxa"/>
            <w:shd w:val="clear" w:color="auto" w:fill="auto"/>
            <w:vAlign w:val="center"/>
          </w:tcPr>
          <w:p w14:paraId="107E111F">
            <w:pPr>
              <w:pStyle w:val="2"/>
              <w:spacing w:beforeAutospacing="0" w:afterAutospacing="0" w:line="0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工业</w:t>
            </w:r>
            <w:r>
              <w:rPr>
                <w:color w:val="auto"/>
                <w:u w:val="none"/>
              </w:rPr>
              <w:t> </w:t>
            </w:r>
          </w:p>
        </w:tc>
      </w:tr>
    </w:tbl>
    <w:p w14:paraId="12848F7C">
      <w:pPr>
        <w:pStyle w:val="2"/>
        <w:numPr>
          <w:ilvl w:val="0"/>
          <w:numId w:val="1"/>
        </w:numPr>
        <w:spacing w:beforeAutospacing="0" w:afterAutospacing="0" w:line="0" w:lineRule="atLeast"/>
        <w:jc w:val="both"/>
        <w:rPr>
          <w:b/>
          <w:bCs/>
        </w:rPr>
      </w:pPr>
      <w:r>
        <w:rPr>
          <w:rFonts w:hint="eastAsia" w:ascii="宋体" w:hAnsi="宋体" w:eastAsia="宋体" w:cs="宋体"/>
          <w:b/>
          <w:bCs/>
          <w:color w:val="000000"/>
        </w:rPr>
        <w:t>技术要求</w:t>
      </w:r>
      <w:r>
        <w:rPr>
          <w:rFonts w:hint="eastAsia" w:ascii="宋体" w:hAnsi="宋体" w:eastAsia="宋体" w:cs="宋体"/>
          <w:b/>
          <w:bCs/>
          <w:color w:val="000000"/>
          <w:lang w:eastAsia="zh-CN"/>
        </w:rPr>
        <w:t>：</w:t>
      </w:r>
    </w:p>
    <w:p w14:paraId="5895AB7D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▲1、主机和光源采用分体式设计，光源散热性好，保证图像处理器稳定性，延长主机寿命（提供产品实物图片作为证明材料）</w:t>
      </w:r>
    </w:p>
    <w:p w14:paraId="4FDF2B0A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▲2、配置至少包含：</w:t>
      </w:r>
    </w:p>
    <w:p w14:paraId="08B892ED">
      <w:pPr>
        <w:ind w:firstLine="480" w:firstLineChars="20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2.1同品牌医用内窥镜图像处理器：1台</w:t>
      </w:r>
    </w:p>
    <w:p w14:paraId="7EB7A7A2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2.2同品牌医用内窥镜冷光源：1台</w:t>
      </w:r>
    </w:p>
    <w:p w14:paraId="4779705B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2.3同品牌高清电子胃镜（检查镜）1根</w:t>
      </w:r>
    </w:p>
    <w:p w14:paraId="4131F035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2.4同品牌高清电子胃镜（治疗镜）1根</w:t>
      </w:r>
    </w:p>
    <w:p w14:paraId="77ECF687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2.5同品牌高清电子肠镜（治疗镜）1根</w:t>
      </w:r>
    </w:p>
    <w:p w14:paraId="7D3F6E52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2.6高清显示器1台</w:t>
      </w:r>
    </w:p>
    <w:p w14:paraId="6CEAA7C8">
      <w:pPr>
        <w:ind w:firstLine="480" w:firstLineChars="200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2.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内镜专用台车1辆</w:t>
      </w:r>
    </w:p>
    <w:p w14:paraId="5F4B7904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Ⅰ、图像处理器：1台</w:t>
      </w:r>
    </w:p>
    <w:p w14:paraId="6D7D5231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1、高清电子内镜设备，输出视频分辨率1920x1080，</w:t>
      </w:r>
    </w:p>
    <w:p w14:paraId="1F512D44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、信号输出方式：SDI、DVI等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至少三种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接口，</w:t>
      </w:r>
    </w:p>
    <w:p w14:paraId="748D1128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、USB端口：具有实时存储视频图像功能，可通过USB接口一键导出当前检查数据</w:t>
      </w:r>
    </w:p>
    <w:p w14:paraId="50B97EC0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可实时进行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图像保存和视频录制功能，支持图像查看、视频回放</w:t>
      </w:r>
    </w:p>
    <w:p w14:paraId="74E57892">
      <w:pPr>
        <w:ind w:firstLine="480" w:firstLineChars="200"/>
        <w:rPr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5、具有内置病例管理系统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，内存不低于1T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，可脱离外置工作站进行病例管理，可查看、编辑、保存、预览、打印病例报告以及病例报告检索（提供技术白皮书或检测报告并标明相应项，作为证明材料）</w:t>
      </w:r>
    </w:p>
    <w:p w14:paraId="6CFC6151">
      <w:pPr>
        <w:ind w:firstLine="480" w:firstLineChars="200"/>
        <w:rPr>
          <w:rFonts w:hint="eastAsia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★6、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具备特殊光染色功能，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光学染色，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非电子染色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染色模式≥3种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提供技术白皮书或检测报告并标明相应项，作为证明材料）</w:t>
      </w:r>
    </w:p>
    <w:p w14:paraId="09DEE931">
      <w:pPr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、测光模式可调节：具有平均测光/峰值测光/混合（自动)测光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模式</w:t>
      </w:r>
    </w:p>
    <w:p w14:paraId="71D4AECC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★8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、具有电子放大功能，≥3档可调，最大能放大4倍（提供技术白皮书或检测报告并标明相应项，作为证明材料）</w:t>
      </w:r>
    </w:p>
    <w:p w14:paraId="4346156F">
      <w:pPr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9、双光双画面模式：可支持实时同步显示白光与分光染色图像于同一画面同步实时显示，方便直观对比黏膜细节病灶；（提供技术白皮书或检测报告并标明相应项，作为证明材料）</w:t>
      </w:r>
    </w:p>
    <w:p w14:paraId="74421411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、镜体一键式热插拔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视频信号光纤或激光传输，速度快，抗干扰强</w:t>
      </w:r>
    </w:p>
    <w:p w14:paraId="4A89C633">
      <w:pPr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、色调调节功能：红色、蓝色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、绿色，饱和度调节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（提供技术白皮书或检测报告并标明相应项，作为证明材料）</w:t>
      </w:r>
    </w:p>
    <w:p w14:paraId="7EA15882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、轮廓调节功能：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多档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可调，可凸显强调内镜下图像的轮廓</w:t>
      </w:r>
    </w:p>
    <w:p w14:paraId="42389637">
      <w:pPr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、构造调节功能：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多档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可调</w:t>
      </w:r>
    </w:p>
    <w:p w14:paraId="269B4AF3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降噪功能：可降低图像的噪点，更好保证临床图像效果</w:t>
      </w:r>
    </w:p>
    <w:p w14:paraId="7A8A8DB2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15、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可兼容同品牌的常规胃肠镜、超细胃镜、放大胃肠镜、硬度可调肠镜（提供注册证并标明相应项，作为证明材料）</w:t>
      </w:r>
    </w:p>
    <w:p w14:paraId="4AC34D43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Ⅱ、冷光源：1台</w:t>
      </w:r>
    </w:p>
    <w:p w14:paraId="73CC4FD1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1、采用≥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路LED光源，由各路LED光源合束实现照明的医用冷光源（提供技术白皮书或检测报告并标明相应项，作为证明材料）</w:t>
      </w:r>
    </w:p>
    <w:p w14:paraId="573A66C9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2、支持白光和不少于3种特殊光源照明模式</w:t>
      </w:r>
    </w:p>
    <w:p w14:paraId="126CE2D2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3、气泵气量可调，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气泵流量具有关闭、低、中、高档可选</w:t>
      </w:r>
    </w:p>
    <w:p w14:paraId="37A01371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4、光源主灯平均使用寿命：≥20000小时（提供技术白皮书或检测报告并标明相应项，作为证明材料）</w:t>
      </w:r>
    </w:p>
    <w:p w14:paraId="78CAD1EA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5、色温：5000K-7000K</w:t>
      </w:r>
    </w:p>
    <w:p w14:paraId="3BD39316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、具有透光功能，开启后，光源以最大亮度和最小亮度闪烁输出，用于对镜体头端部的定位</w:t>
      </w:r>
    </w:p>
    <w:p w14:paraId="4933E69D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Ⅲ、高清电子胃镜（检查镜）1根</w:t>
      </w:r>
    </w:p>
    <w:p w14:paraId="73196A53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1、视角≥145°</w:t>
      </w:r>
    </w:p>
    <w:p w14:paraId="6E914F25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2、景深：2-100mm</w:t>
      </w:r>
    </w:p>
    <w:p w14:paraId="69FE17F4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★3、有效工作长度内（含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头端部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），最大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外径≤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9.2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mm，具备辅助送水功能</w:t>
      </w:r>
    </w:p>
    <w:p w14:paraId="7296CDBB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4、最小器械孔通道≥2.8mm</w:t>
      </w:r>
    </w:p>
    <w:p w14:paraId="352C4FF8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★5、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弯曲角度：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≥210°下≥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0° 左≥100° 右≥100°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（提供技术白皮书或检测报告并标明相应项，作为证明材料）</w:t>
      </w:r>
    </w:p>
    <w:p w14:paraId="0CEF4393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6、有效工作长度1050mm</w:t>
      </w:r>
    </w:p>
    <w:p w14:paraId="4CD46810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7、镜体操作部具有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不少于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4个远程控制按钮,可自定义功能</w:t>
      </w:r>
    </w:p>
    <w:p w14:paraId="2A158DBE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Ⅳ、高清电子胃镜（治疗镜）1根</w:t>
      </w:r>
    </w:p>
    <w:p w14:paraId="1B3B4971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1、视角≥145°</w:t>
      </w:r>
    </w:p>
    <w:p w14:paraId="4E7F3BA7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2、景深：2-100mm</w:t>
      </w:r>
    </w:p>
    <w:p w14:paraId="75CCF1B5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有效工作长度内（含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头端部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），最大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外径≤9.8mm，具备辅助送水功能（提供技术白皮书或检测报告并标明相应项，作为证明材料）</w:t>
      </w:r>
    </w:p>
    <w:p w14:paraId="12137CF5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4、最小器械孔通道≥3.2mm</w:t>
      </w:r>
    </w:p>
    <w:p w14:paraId="01C11C6B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5、弯曲角度：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≥210°下≥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0° 左≥100° 右≥100°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（提供技术白皮书或检测报告并标明相应项，作为证明材料）</w:t>
      </w:r>
    </w:p>
    <w:p w14:paraId="1B4300D6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6、有效工作长度1050mm</w:t>
      </w:r>
    </w:p>
    <w:p w14:paraId="24BA65B2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7、镜体操作部具有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不少于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4个远程控制按钮,可自定义功能</w:t>
      </w:r>
    </w:p>
    <w:p w14:paraId="3191D090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Ⅴ、高清电子肠镜（治疗镜）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根</w:t>
      </w:r>
    </w:p>
    <w:p w14:paraId="54BD2076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1、视角≥170°</w:t>
      </w:r>
    </w:p>
    <w:p w14:paraId="77680CA3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2、景深：2-100mm</w:t>
      </w:r>
    </w:p>
    <w:p w14:paraId="066AE119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有效工作长度内（含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头端部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），最大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外径≤1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mm，具备辅助送水功能（提供技术白皮书或检测报告并标明相应项，作为证明材料）</w:t>
      </w:r>
    </w:p>
    <w:p w14:paraId="4A9AB3A2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4、最小器械孔通道≥3.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mm</w:t>
      </w:r>
    </w:p>
    <w:p w14:paraId="04D071DC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5、弯曲角度：上180°下180°，左160°右160°</w:t>
      </w:r>
    </w:p>
    <w:p w14:paraId="08FD43CE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6、有效工作长度13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0mm</w:t>
      </w:r>
    </w:p>
    <w:p w14:paraId="3000F414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、镜体操作部具有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不少于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4个远程控制按钮,可自定义功能</w:t>
      </w:r>
    </w:p>
    <w:p w14:paraId="68A445E5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、具有硬度可调功能，镜身软硬可变，可对内镜的硬度进行调整（提供技术白皮书或检测报告并标明相应项，作为证明材料）</w:t>
      </w:r>
    </w:p>
    <w:p w14:paraId="5217B81B">
      <w:pPr>
        <w:spacing w:line="24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Ⅵ、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医用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监视器</w:t>
      </w:r>
    </w:p>
    <w:p w14:paraId="068680EF">
      <w:pPr>
        <w:spacing w:line="240" w:lineRule="auto"/>
        <w:ind w:firstLine="240" w:firstLineChars="1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分辨率：不低于1080P；</w:t>
      </w:r>
    </w:p>
    <w:p w14:paraId="5523FC2A">
      <w:pPr>
        <w:spacing w:line="240" w:lineRule="auto"/>
        <w:ind w:firstLine="240" w:firstLineChars="1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尺寸≥21英寸；</w:t>
      </w:r>
    </w:p>
    <w:p w14:paraId="5731A35A">
      <w:pPr>
        <w:spacing w:line="240" w:lineRule="auto"/>
        <w:ind w:firstLine="240" w:firstLineChars="100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屏幕工艺:彩色，液晶显示屏，防眩，硬涂层;</w:t>
      </w:r>
    </w:p>
    <w:p w14:paraId="11A71F75">
      <w:pPr>
        <w:spacing w:line="240" w:lineRule="auto"/>
        <w:ind w:firstLine="240" w:firstLineChars="10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4、图像可调:具有亮度、饱和度、清晰度、比例缩放等调节功能；</w:t>
      </w:r>
    </w:p>
    <w:p w14:paraId="5D5CBD3B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Ⅶ、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台车1辆</w:t>
      </w:r>
    </w:p>
    <w:p w14:paraId="2DE1AE0B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1、专业设计的内镜专用台车</w:t>
      </w:r>
    </w:p>
    <w:p w14:paraId="33A012E6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2、带键盘托盘</w:t>
      </w:r>
    </w:p>
    <w:p w14:paraId="03D26A09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3、层板高度多层可调</w:t>
      </w:r>
    </w:p>
    <w:p w14:paraId="4BE5389B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4、由两种方式悬挂镜体，可同时悬挂两条内镜</w:t>
      </w:r>
    </w:p>
    <w:p w14:paraId="40DD0150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5、具有显示器挂架及内镜挂架;</w:t>
      </w:r>
    </w:p>
    <w:p w14:paraId="7E4AD380">
      <w:pPr>
        <w:ind w:firstLine="480" w:firstLineChars="200"/>
        <w:rPr>
          <w:rFonts w:hint="eastAsia" w:ascii="宋体" w:hAnsi="宋体" w:eastAsia="宋体" w:cs="宋体"/>
          <w:b/>
          <w:bCs/>
          <w:color w:val="00000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6、具有防水及耐腐蚀性，安全可靠；</w:t>
      </w:r>
    </w:p>
    <w:p w14:paraId="5AC3D821">
      <w:pPr>
        <w:pStyle w:val="2"/>
        <w:numPr>
          <w:ilvl w:val="0"/>
          <w:numId w:val="0"/>
        </w:numPr>
        <w:spacing w:beforeAutospacing="0" w:afterAutospacing="0" w:line="360" w:lineRule="auto"/>
        <w:jc w:val="both"/>
        <w:rPr>
          <w:rFonts w:hint="eastAsia" w:ascii="宋体" w:hAnsi="宋体" w:eastAsia="宋体" w:cs="宋体"/>
          <w:b/>
          <w:bCs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>（二）商务要求：</w:t>
      </w:r>
    </w:p>
    <w:p w14:paraId="54BEAF16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1、财务要求：财务状况良好</w:t>
      </w:r>
    </w:p>
    <w:p w14:paraId="4797011E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2、交付时间：合同签订后30日内</w:t>
      </w:r>
    </w:p>
    <w:p w14:paraId="0D06A005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3、交付地点：盐城市盐都区大冈中心卫生院</w:t>
      </w:r>
    </w:p>
    <w:p w14:paraId="739E39D3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4、付款条件：乙方出具税务发票，由甲方支付。在财政资金到位的前提下：</w:t>
      </w:r>
    </w:p>
    <w:p w14:paraId="4639333B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合同签订后20日内支付合同总金额的30%作为预付款；货物到场且安装结束，经甲方验收合格，退还履约保证金，试用6个月后付至合同总金额的100%。</w:t>
      </w:r>
    </w:p>
    <w:p w14:paraId="37C0848F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5、包装和运输：包装完好，由供应商运输到交付地点，并安装。</w:t>
      </w:r>
    </w:p>
    <w:p w14:paraId="11EB74B1">
      <w:pPr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6、售后服务：原厂质保不少于24个月，中标后7个工作日内提供原厂针对本项目的质保函原件。</w:t>
      </w:r>
    </w:p>
    <w:p w14:paraId="4F93B7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6FBA9"/>
    <w:multiLevelType w:val="singleLevel"/>
    <w:tmpl w:val="1386FB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MGIxMjUxZDAzZGUwM2JmNTFlMDFhYzYxYzdjNGYifQ=="/>
  </w:docVars>
  <w:rsids>
    <w:rsidRoot w:val="00000000"/>
    <w:rsid w:val="349219B1"/>
    <w:rsid w:val="5B8B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2024-04-01T04:08:00Z</dcterms:created>
  <dc:creator>huawei</dc:creator>
  <cp:lastModifiedBy>江水褪铅华</cp:lastModifiedBy>
  <dcterms:modified xsi:type="dcterms:W3CDTF">2024-09-03T15:06:16Z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3841B6969A7F471EB584074AEDC0FF96_12</vt:lpwstr>
  </property>
</Properties>
</file>