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57"/>
        <w:ind w:firstLine="300"/>
        <w:spacing w:line="360" w:lineRule="auto"/>
        <w:rPr>
          <w:rFonts w:ascii="宋体" w:hAnsi="宋体"/>
          <w:sz w:val="60"/>
          <w:szCs w:val="60"/>
        </w:rPr>
      </w:pPr>
      <w:r>
        <w:rPr>
          <w:rFonts w:ascii="宋体" w:hAnsi="宋体"/>
          <w:sz w:val="60"/>
          <w:szCs w:val="60"/>
        </w:rPr>
      </w:r>
      <w:r/>
    </w:p>
    <w:p>
      <w:pPr>
        <w:pStyle w:val="857"/>
        <w:jc w:val="center"/>
        <w:rPr>
          <w:rFonts w:ascii="宋体" w:hAnsi="宋体"/>
          <w:b/>
          <w:bCs/>
          <w:sz w:val="60"/>
          <w:szCs w:val="60"/>
        </w:rPr>
      </w:pPr>
      <w:r>
        <w:rPr>
          <w:rFonts w:ascii="宋体" w:hAnsi="宋体"/>
          <w:b/>
          <w:bCs/>
          <w:sz w:val="60"/>
          <w:szCs w:val="60"/>
        </w:rPr>
        <w:t xml:space="preserve">常州市政府采购项目</w:t>
      </w:r>
      <w:r/>
    </w:p>
    <w:p>
      <w:pPr>
        <w:pStyle w:val="857"/>
        <w:jc w:val="center"/>
        <w:rPr>
          <w:rFonts w:ascii="宋体" w:hAnsi="宋体"/>
          <w:b/>
          <w:bCs/>
          <w:sz w:val="60"/>
          <w:szCs w:val="60"/>
        </w:rPr>
      </w:pPr>
      <w:r>
        <w:rPr>
          <w:rFonts w:ascii="宋体" w:hAnsi="宋体"/>
          <w:b/>
          <w:bCs/>
          <w:sz w:val="60"/>
          <w:szCs w:val="60"/>
        </w:rPr>
      </w:r>
      <w:r/>
    </w:p>
    <w:p>
      <w:pPr>
        <w:pStyle w:val="857"/>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57"/>
        <w:jc w:val="center"/>
        <w:rPr>
          <w:rFonts w:ascii="宋体" w:hAnsi="宋体"/>
          <w:b/>
          <w:bCs/>
          <w:sz w:val="60"/>
          <w:szCs w:val="60"/>
        </w:rPr>
      </w:pPr>
      <w:r>
        <w:rPr>
          <w:rFonts w:ascii="宋体" w:hAnsi="宋体"/>
          <w:b/>
          <w:bCs/>
          <w:sz w:val="60"/>
          <w:szCs w:val="60"/>
        </w:rPr>
      </w:r>
      <w:r/>
    </w:p>
    <w:p>
      <w:pPr>
        <w:pStyle w:val="857"/>
        <w:jc w:val="center"/>
        <w:rPr>
          <w:rFonts w:ascii="宋体" w:hAnsi="宋体"/>
          <w:b/>
          <w:bCs/>
          <w:sz w:val="60"/>
          <w:szCs w:val="60"/>
        </w:rPr>
      </w:pPr>
      <w:r>
        <w:rPr>
          <w:rFonts w:ascii="宋体" w:hAnsi="宋体"/>
          <w:b/>
          <w:bCs/>
          <w:sz w:val="60"/>
          <w:szCs w:val="60"/>
        </w:rPr>
      </w:r>
      <w:r/>
    </w:p>
    <w:p>
      <w:pPr>
        <w:pStyle w:val="857"/>
        <w:jc w:val="center"/>
        <w:spacing w:line="360" w:lineRule="auto"/>
        <w:rPr>
          <w:rFonts w:ascii="宋体" w:hAnsi="宋体"/>
          <w:sz w:val="60"/>
          <w:szCs w:val="60"/>
        </w:rPr>
      </w:pPr>
      <w:r>
        <w:rPr>
          <w:rFonts w:ascii="宋体" w:hAnsi="宋体"/>
          <w:sz w:val="60"/>
          <w:szCs w:val="60"/>
        </w:rPr>
      </w:r>
      <w:r/>
    </w:p>
    <w:p>
      <w:pPr>
        <w:pStyle w:val="857"/>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常州市武进中医医院医保DRG医院智慧运营系统项目</w:t>
      </w:r>
      <w:r>
        <w:rPr>
          <w:rFonts w:ascii="宋体" w:hAnsi="宋体"/>
          <w:bCs/>
          <w:sz w:val="36"/>
          <w:szCs w:val="36"/>
        </w:rPr>
      </w:r>
      <w:r/>
    </w:p>
    <w:p>
      <w:pPr>
        <w:pStyle w:val="857"/>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hint="eastAsia" w:ascii="宋体" w:hAnsi="宋体"/>
          <w:bCs/>
          <w:sz w:val="36"/>
          <w:szCs w:val="36"/>
        </w:rPr>
        <w:t xml:space="preserve">JSZC-320412-CTZB-G2025-0295</w:t>
      </w:r>
      <w:r>
        <w:rPr>
          <w:rFonts w:ascii="宋体" w:hAnsi="宋体"/>
          <w:bCs/>
          <w:sz w:val="36"/>
          <w:szCs w:val="36"/>
        </w:rPr>
      </w:r>
      <w:r/>
    </w:p>
    <w:p>
      <w:pPr>
        <w:pStyle w:val="857"/>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常州市武进中医医院</w:t>
      </w:r>
      <w:r>
        <w:rPr>
          <w:rFonts w:ascii="宋体" w:hAnsi="宋体"/>
          <w:bCs/>
          <w:sz w:val="36"/>
          <w:szCs w:val="36"/>
        </w:rPr>
      </w:r>
      <w:r/>
    </w:p>
    <w:p>
      <w:pPr>
        <w:pStyle w:val="857"/>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57"/>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57"/>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10"/>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33"/>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33"/>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33"/>
          <w:sz w:val="32"/>
          <w:szCs w:val="32"/>
        </w:rPr>
        <w:t xml:space="preserve">第三章   资</w:t>
      </w:r>
      <w:bookmarkStart w:id="1" w:name="_Hlt100754117"/>
      <w:r>
        <w:rPr>
          <w:rStyle w:val="933"/>
          <w:sz w:val="32"/>
          <w:szCs w:val="32"/>
        </w:rPr>
        <w:t xml:space="preserve">格</w:t>
      </w:r>
      <w:bookmarkEnd w:id="1"/>
      <w:r>
        <w:rPr>
          <w:rStyle w:val="933"/>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33"/>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33"/>
          <w:sz w:val="32"/>
          <w:szCs w:val="32"/>
        </w:rPr>
        <w:t xml:space="preserve">第五章   采购</w:t>
      </w:r>
      <w:bookmarkStart w:id="2" w:name="_Hlt100754102"/>
      <w:r/>
      <w:bookmarkStart w:id="3" w:name="_Hlt100754103"/>
      <w:r>
        <w:rPr>
          <w:rStyle w:val="933"/>
          <w:sz w:val="32"/>
          <w:szCs w:val="32"/>
        </w:rPr>
        <w:t xml:space="preserve">需</w:t>
      </w:r>
      <w:bookmarkEnd w:id="2"/>
      <w:r/>
      <w:bookmarkEnd w:id="3"/>
      <w:r>
        <w:rPr>
          <w:rStyle w:val="933"/>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33"/>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33"/>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910"/>
        <w:spacing w:line="720" w:lineRule="auto"/>
        <w:rPr>
          <w:b w:val="0"/>
        </w:rPr>
      </w:pPr>
      <w:r>
        <w:rPr>
          <w:b w:val="0"/>
          <w:sz w:val="32"/>
          <w:szCs w:val="32"/>
        </w:rPr>
        <w:fldChar w:fldCharType="end"/>
      </w:r>
      <w:r>
        <w:rPr>
          <w:b w:val="0"/>
        </w:rPr>
      </w:r>
      <w:r/>
    </w:p>
    <w:p>
      <w:pPr>
        <w:pStyle w:val="857"/>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57"/>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57"/>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常州市武进中医医院医保DRG医院智慧运营系统项目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025</w:t>
      </w:r>
      <w:r>
        <w:rPr>
          <w:rFonts w:hint="eastAsia" w:ascii="仿宋" w:hAnsi="仿宋" w:eastAsia="仿宋" w:cs="宋体"/>
          <w:b/>
          <w:bCs/>
          <w:sz w:val="32"/>
          <w:szCs w:val="32"/>
        </w:rPr>
        <w:t xml:space="preserve">年1</w:t>
      </w:r>
      <w:r>
        <w:rPr>
          <w:rFonts w:ascii="仿宋" w:hAnsi="仿宋" w:eastAsia="仿宋" w:cs="宋体"/>
          <w:b/>
          <w:bCs/>
          <w:sz w:val="32"/>
          <w:szCs w:val="32"/>
        </w:rPr>
        <w:t xml:space="preserve">2</w:t>
      </w:r>
      <w:r>
        <w:rPr>
          <w:rFonts w:hint="eastAsia" w:ascii="仿宋" w:hAnsi="仿宋" w:eastAsia="仿宋" w:cs="宋体"/>
          <w:b/>
          <w:bCs/>
          <w:sz w:val="32"/>
          <w:szCs w:val="32"/>
        </w:rPr>
        <w:t xml:space="preserve">月1</w:t>
      </w:r>
      <w:r>
        <w:rPr>
          <w:rFonts w:ascii="仿宋" w:hAnsi="仿宋" w:eastAsia="仿宋" w:cs="宋体"/>
          <w:b/>
          <w:bCs/>
          <w:sz w:val="32"/>
          <w:szCs w:val="32"/>
        </w:rPr>
        <w:t xml:space="preserve">5</w:t>
      </w:r>
      <w:r>
        <w:rPr>
          <w:rFonts w:hint="eastAsia" w:ascii="仿宋" w:hAnsi="仿宋" w:eastAsia="仿宋" w:cs="宋体"/>
          <w:b/>
          <w:bCs/>
          <w:sz w:val="32"/>
          <w:szCs w:val="32"/>
        </w:rPr>
        <w:t xml:space="preserve">日0</w:t>
      </w:r>
      <w:r>
        <w:rPr>
          <w:rFonts w:ascii="仿宋" w:hAnsi="仿宋" w:eastAsia="仿宋" w:cs="宋体"/>
          <w:b/>
          <w:bCs/>
          <w:sz w:val="32"/>
          <w:szCs w:val="32"/>
        </w:rPr>
        <w:t xml:space="preserve">9</w:t>
      </w:r>
      <w:r>
        <w:rPr>
          <w:rFonts w:hint="eastAsia" w:ascii="仿宋" w:hAnsi="仿宋" w:eastAsia="仿宋" w:cs="宋体"/>
          <w:b/>
          <w:bCs/>
          <w:sz w:val="32"/>
          <w:szCs w:val="32"/>
        </w:rPr>
        <w:t xml:space="preserve">点3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59"/>
        <w:ind w:firstLine="643"/>
        <w:jc w:val="left"/>
        <w:spacing w:before="240" w:line="360" w:lineRule="auto"/>
        <w:rPr>
          <w:rFonts w:ascii="仿宋" w:hAnsi="仿宋" w:eastAsia="仿宋"/>
          <w:sz w:val="32"/>
          <w:szCs w:val="32"/>
        </w:rPr>
      </w:pPr>
      <w:r/>
      <w:bookmarkStart w:id="5" w:name="_Toc35393790"/>
      <w:r/>
      <w:bookmarkStart w:id="6" w:name="_Toc28359002"/>
      <w:r/>
      <w:bookmarkStart w:id="7" w:name="_Toc35393621"/>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hint="eastAsia" w:ascii="仿宋" w:hAnsi="仿宋" w:eastAsia="仿宋"/>
          <w:sz w:val="32"/>
          <w:szCs w:val="32"/>
        </w:rPr>
        <w:t xml:space="preserve">JSZC-320412-CTZB-G2025-0295</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常州市武进中医医院医保DRG医院智慧运营系统项目</w:t>
      </w:r>
      <w:r>
        <w:rPr>
          <w:rFonts w:ascii="仿宋" w:hAnsi="仿宋" w:eastAsia="仿宋"/>
          <w:sz w:val="32"/>
          <w:szCs w:val="32"/>
        </w:rPr>
      </w:r>
      <w:r/>
    </w:p>
    <w:p>
      <w:pPr>
        <w:pStyle w:val="857"/>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5</w:t>
      </w:r>
      <w:r>
        <w:rPr>
          <w:rFonts w:ascii="仿宋" w:hAnsi="仿宋" w:eastAsia="仿宋"/>
          <w:sz w:val="32"/>
          <w:szCs w:val="32"/>
        </w:rPr>
        <w:t xml:space="preserve">8万元</w:t>
      </w:r>
      <w:r>
        <w:rPr>
          <w:rFonts w:hint="eastAsia"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5</w:t>
      </w:r>
      <w:r>
        <w:rPr>
          <w:rFonts w:ascii="仿宋" w:hAnsi="仿宋" w:eastAsia="仿宋"/>
          <w:sz w:val="32"/>
          <w:szCs w:val="32"/>
        </w:rPr>
        <w:t xml:space="preserve">8万元</w:t>
      </w:r>
      <w:r/>
    </w:p>
    <w:p>
      <w:pPr>
        <w:pStyle w:val="857"/>
        <w:ind w:firstLine="640"/>
        <w:spacing w:line="360" w:lineRule="auto"/>
        <w:rPr>
          <w:rFonts w:ascii="仿宋" w:hAnsi="仿宋" w:eastAsia="仿宋" w:cs="宋体"/>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cs="宋体"/>
          <w:sz w:val="32"/>
          <w:szCs w:val="32"/>
        </w:rPr>
        <w:t xml:space="preserve">为了响应国家和政府医保支付改革工作号召，使医院在付费方式改革下，实现管理方法精确化、管理手段智能化、管理渠道多样化，从而促进院内医保管理水平有新的更大的提升。医院拟以现有的信息化建设为基础，借力科技、创新手段，建设一个基于DRG管理为核心的医疗机构医保综合管理系统。</w:t>
      </w:r>
      <w:r>
        <w:rPr>
          <w:rFonts w:ascii="仿宋" w:hAnsi="仿宋" w:eastAsia="仿宋" w:cs="宋体"/>
          <w:sz w:val="32"/>
          <w:szCs w:val="32"/>
        </w:rPr>
      </w:r>
      <w:r/>
    </w:p>
    <w:p>
      <w:pPr>
        <w:pStyle w:val="857"/>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项目清单：</w:t>
      </w:r>
      <w:r>
        <w:rPr>
          <w:rFonts w:ascii="仿宋" w:hAnsi="仿宋" w:eastAsia="仿宋" w:cs="宋体"/>
          <w:sz w:val="32"/>
          <w:szCs w:val="32"/>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556"/>
        <w:gridCol w:w="1269"/>
        <w:gridCol w:w="1358"/>
      </w:tblGrid>
      <w:tr>
        <w:trPr>
          <w:trHeight w:val="170"/>
        </w:trPr>
        <w:tc>
          <w:tcPr>
            <w:tcW w:w="595"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序号</w:t>
            </w:r>
            <w:r>
              <w:rPr>
                <w:rFonts w:ascii="仿宋" w:hAnsi="仿宋" w:eastAsia="仿宋" w:cs="宋体"/>
                <w:sz w:val="32"/>
                <w:szCs w:val="32"/>
              </w:rPr>
            </w:r>
            <w:r/>
          </w:p>
        </w:tc>
        <w:tc>
          <w:tcPr>
            <w:tcW w:w="2991"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名称</w:t>
            </w:r>
            <w:r>
              <w:rPr>
                <w:rFonts w:ascii="仿宋" w:hAnsi="仿宋" w:eastAsia="仿宋" w:cs="宋体"/>
                <w:sz w:val="32"/>
                <w:szCs w:val="32"/>
              </w:rPr>
            </w:r>
            <w:r/>
          </w:p>
        </w:tc>
        <w:tc>
          <w:tcPr>
            <w:tcW w:w="683"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单位</w:t>
            </w:r>
            <w:r>
              <w:rPr>
                <w:rFonts w:ascii="仿宋" w:hAnsi="仿宋" w:eastAsia="仿宋" w:cs="宋体"/>
                <w:sz w:val="32"/>
                <w:szCs w:val="32"/>
              </w:rPr>
            </w:r>
            <w:r/>
          </w:p>
        </w:tc>
        <w:tc>
          <w:tcPr>
            <w:tcW w:w="731"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数量</w:t>
            </w:r>
            <w:r>
              <w:rPr>
                <w:rFonts w:ascii="仿宋" w:hAnsi="仿宋" w:eastAsia="仿宋" w:cs="宋体"/>
                <w:sz w:val="32"/>
                <w:szCs w:val="32"/>
              </w:rPr>
            </w:r>
            <w:r/>
          </w:p>
        </w:tc>
      </w:tr>
      <w:tr>
        <w:trPr>
          <w:trHeight w:val="170"/>
        </w:trPr>
        <w:tc>
          <w:tcPr>
            <w:tcW w:w="595"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1</w:t>
            </w:r>
            <w:r>
              <w:rPr>
                <w:rFonts w:ascii="仿宋" w:hAnsi="仿宋" w:eastAsia="仿宋" w:cs="宋体"/>
                <w:sz w:val="32"/>
                <w:szCs w:val="32"/>
              </w:rPr>
            </w:r>
            <w:r/>
          </w:p>
        </w:tc>
        <w:tc>
          <w:tcPr>
            <w:tcW w:w="2991"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医保DRG医院智慧运营系统（DRG 数据中心、医保 DRG 运营分析系统）</w:t>
            </w:r>
            <w:r>
              <w:rPr>
                <w:rFonts w:ascii="仿宋" w:hAnsi="仿宋" w:eastAsia="仿宋" w:cs="宋体"/>
                <w:sz w:val="32"/>
                <w:szCs w:val="32"/>
              </w:rPr>
            </w:r>
            <w:r/>
          </w:p>
        </w:tc>
        <w:tc>
          <w:tcPr>
            <w:tcW w:w="683"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项</w:t>
            </w:r>
            <w:r>
              <w:rPr>
                <w:rFonts w:ascii="仿宋" w:hAnsi="仿宋" w:eastAsia="仿宋" w:cs="宋体"/>
                <w:sz w:val="32"/>
                <w:szCs w:val="32"/>
              </w:rPr>
            </w:r>
            <w:r/>
          </w:p>
        </w:tc>
        <w:tc>
          <w:tcPr>
            <w:tcW w:w="731"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1</w:t>
            </w:r>
            <w:r>
              <w:rPr>
                <w:rFonts w:ascii="仿宋" w:hAnsi="仿宋" w:eastAsia="仿宋" w:cs="宋体"/>
                <w:sz w:val="32"/>
                <w:szCs w:val="32"/>
              </w:rPr>
            </w:r>
            <w:r/>
          </w:p>
        </w:tc>
      </w:tr>
      <w:tr>
        <w:trPr>
          <w:trHeight w:val="170"/>
        </w:trPr>
        <w:tc>
          <w:tcPr>
            <w:tcW w:w="595"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2</w:t>
            </w:r>
            <w:r>
              <w:rPr>
                <w:rFonts w:ascii="仿宋" w:hAnsi="仿宋" w:eastAsia="仿宋" w:cs="宋体"/>
                <w:sz w:val="32"/>
                <w:szCs w:val="32"/>
              </w:rPr>
            </w:r>
            <w:r/>
          </w:p>
        </w:tc>
        <w:tc>
          <w:tcPr>
            <w:tcW w:w="2991"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医保清单管理系统</w:t>
            </w:r>
            <w:r>
              <w:rPr>
                <w:rFonts w:ascii="仿宋" w:hAnsi="仿宋" w:eastAsia="仿宋" w:cs="宋体"/>
                <w:sz w:val="32"/>
                <w:szCs w:val="32"/>
              </w:rPr>
            </w:r>
            <w:r/>
          </w:p>
        </w:tc>
        <w:tc>
          <w:tcPr>
            <w:tcW w:w="683"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项</w:t>
            </w:r>
            <w:r>
              <w:rPr>
                <w:rFonts w:ascii="仿宋" w:hAnsi="仿宋" w:eastAsia="仿宋" w:cs="宋体"/>
                <w:sz w:val="32"/>
                <w:szCs w:val="32"/>
              </w:rPr>
            </w:r>
            <w:r/>
          </w:p>
        </w:tc>
        <w:tc>
          <w:tcPr>
            <w:tcW w:w="731" w:type="pct"/>
            <w:vAlign w:val="center"/>
            <w:textDirection w:val="lrTb"/>
            <w:noWrap/>
          </w:tcPr>
          <w:p>
            <w:pPr>
              <w:pStyle w:val="857"/>
              <w:jc w:val="center"/>
              <w:spacing w:line="360" w:lineRule="auto"/>
              <w:widowControl/>
              <w:rPr>
                <w:rFonts w:ascii="仿宋" w:hAnsi="仿宋" w:eastAsia="仿宋" w:cs="宋体"/>
                <w:sz w:val="32"/>
                <w:szCs w:val="32"/>
              </w:rPr>
            </w:pPr>
            <w:r>
              <w:rPr>
                <w:rFonts w:ascii="仿宋" w:hAnsi="仿宋" w:eastAsia="仿宋" w:cs="宋体"/>
                <w:sz w:val="32"/>
                <w:szCs w:val="32"/>
              </w:rPr>
              <w:t xml:space="preserve">1</w:t>
            </w:r>
            <w:r/>
          </w:p>
        </w:tc>
      </w:tr>
      <w:tr>
        <w:trPr>
          <w:trHeight w:val="170"/>
        </w:trPr>
        <w:tc>
          <w:tcPr>
            <w:tcW w:w="595"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3</w:t>
            </w:r>
            <w:r>
              <w:rPr>
                <w:rFonts w:ascii="仿宋" w:hAnsi="仿宋" w:eastAsia="仿宋" w:cs="宋体"/>
                <w:sz w:val="32"/>
                <w:szCs w:val="32"/>
              </w:rPr>
            </w:r>
            <w:r/>
          </w:p>
        </w:tc>
        <w:tc>
          <w:tcPr>
            <w:tcW w:w="2991"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结算管理系统</w:t>
            </w:r>
            <w:r>
              <w:rPr>
                <w:rFonts w:ascii="仿宋" w:hAnsi="仿宋" w:eastAsia="仿宋" w:cs="宋体"/>
                <w:sz w:val="32"/>
                <w:szCs w:val="32"/>
              </w:rPr>
            </w:r>
            <w:r/>
          </w:p>
        </w:tc>
        <w:tc>
          <w:tcPr>
            <w:tcW w:w="683"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项</w:t>
            </w:r>
            <w:r>
              <w:rPr>
                <w:rFonts w:ascii="仿宋" w:hAnsi="仿宋" w:eastAsia="仿宋" w:cs="宋体"/>
                <w:sz w:val="32"/>
                <w:szCs w:val="32"/>
              </w:rPr>
            </w:r>
            <w:r/>
          </w:p>
        </w:tc>
        <w:tc>
          <w:tcPr>
            <w:tcW w:w="731"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1</w:t>
            </w:r>
            <w:r>
              <w:rPr>
                <w:rFonts w:ascii="仿宋" w:hAnsi="仿宋" w:eastAsia="仿宋" w:cs="宋体"/>
                <w:sz w:val="32"/>
                <w:szCs w:val="32"/>
              </w:rPr>
            </w:r>
            <w:r/>
          </w:p>
        </w:tc>
      </w:tr>
      <w:tr>
        <w:trPr>
          <w:trHeight w:val="170"/>
        </w:trPr>
        <w:tc>
          <w:tcPr>
            <w:tcW w:w="595"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4</w:t>
            </w:r>
            <w:r>
              <w:rPr>
                <w:rFonts w:ascii="仿宋" w:hAnsi="仿宋" w:eastAsia="仿宋" w:cs="宋体"/>
                <w:sz w:val="32"/>
                <w:szCs w:val="32"/>
              </w:rPr>
            </w:r>
            <w:r/>
          </w:p>
        </w:tc>
        <w:tc>
          <w:tcPr>
            <w:tcW w:w="2991"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清单上传服务</w:t>
            </w:r>
            <w:r>
              <w:rPr>
                <w:rFonts w:ascii="仿宋" w:hAnsi="仿宋" w:eastAsia="仿宋" w:cs="宋体"/>
                <w:sz w:val="32"/>
                <w:szCs w:val="32"/>
              </w:rPr>
            </w:r>
            <w:r/>
          </w:p>
        </w:tc>
        <w:tc>
          <w:tcPr>
            <w:tcW w:w="683"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项</w:t>
            </w:r>
            <w:r>
              <w:rPr>
                <w:rFonts w:ascii="仿宋" w:hAnsi="仿宋" w:eastAsia="仿宋" w:cs="宋体"/>
                <w:sz w:val="32"/>
                <w:szCs w:val="32"/>
              </w:rPr>
            </w:r>
            <w:r/>
          </w:p>
        </w:tc>
        <w:tc>
          <w:tcPr>
            <w:tcW w:w="731"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1</w:t>
            </w:r>
            <w:r>
              <w:rPr>
                <w:rFonts w:ascii="仿宋" w:hAnsi="仿宋" w:eastAsia="仿宋" w:cs="宋体"/>
                <w:sz w:val="32"/>
                <w:szCs w:val="32"/>
              </w:rPr>
            </w:r>
            <w:r/>
          </w:p>
        </w:tc>
      </w:tr>
    </w:tbl>
    <w:p>
      <w:pPr>
        <w:pStyle w:val="857"/>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w:t>
      </w:r>
      <w:r>
        <w:rPr>
          <w:rFonts w:hint="eastAsia" w:ascii="仿宋" w:hAnsi="仿宋" w:eastAsia="仿宋" w:cs="宋体"/>
          <w:sz w:val="32"/>
          <w:szCs w:val="32"/>
        </w:rPr>
        <w:t xml:space="preserve">自合同签订后</w:t>
      </w:r>
      <w:r>
        <w:rPr>
          <w:rFonts w:ascii="仿宋" w:hAnsi="仿宋" w:eastAsia="仿宋" w:cs="宋体"/>
          <w:sz w:val="32"/>
          <w:szCs w:val="32"/>
        </w:rPr>
        <w:t xml:space="preserve">60</w:t>
      </w:r>
      <w:r>
        <w:rPr>
          <w:rFonts w:hint="eastAsia" w:ascii="仿宋" w:hAnsi="仿宋" w:eastAsia="仿宋" w:cs="宋体"/>
          <w:sz w:val="32"/>
          <w:szCs w:val="32"/>
        </w:rPr>
        <w:t xml:space="preserve">天内完成</w:t>
      </w:r>
      <w:r>
        <w:rPr>
          <w:rFonts w:ascii="仿宋" w:hAnsi="仿宋" w:eastAsia="仿宋" w:cs="宋体"/>
          <w:sz w:val="32"/>
          <w:szCs w:val="32"/>
        </w:rPr>
        <w:t xml:space="preserve">系统部署并交付</w:t>
      </w:r>
      <w:r>
        <w:rPr>
          <w:rFonts w:hint="eastAsia" w:ascii="仿宋" w:hAnsi="仿宋" w:eastAsia="仿宋" w:cs="宋体"/>
          <w:sz w:val="32"/>
          <w:szCs w:val="32"/>
        </w:rPr>
        <w:t xml:space="preserve">(因医院硬件环境准备、第三方系统接口对接、政策文件未下发等造成的工期延迟不计算在内)。如在规定的时间内由于供应商的原因不能交付的，供应商应承担由此给采购人造成的损失。</w:t>
      </w:r>
      <w:r>
        <w:rPr>
          <w:rFonts w:ascii="仿宋" w:hAnsi="仿宋" w:eastAsia="仿宋"/>
          <w:sz w:val="32"/>
          <w:szCs w:val="32"/>
          <w:u w:val="single"/>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59"/>
        <w:ind w:firstLine="643"/>
        <w:jc w:val="left"/>
        <w:spacing w:before="0" w:line="360" w:lineRule="auto"/>
        <w:rPr>
          <w:rFonts w:ascii="仿宋" w:hAnsi="仿宋" w:eastAsia="仿宋"/>
          <w:sz w:val="32"/>
          <w:szCs w:val="32"/>
        </w:rPr>
      </w:pPr>
      <w:r/>
      <w:bookmarkStart w:id="10" w:name="_Toc35393622"/>
      <w:r/>
      <w:bookmarkStart w:id="11" w:name="_Toc28359080"/>
      <w:r/>
      <w:bookmarkStart w:id="12" w:name="_Toc35393791"/>
      <w:r/>
      <w:bookmarkStart w:id="13" w:name="_Toc28359003"/>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57"/>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857"/>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rPr>
          <w:rFonts w:hint="eastAsia" w:ascii="仿宋" w:hAnsi="仿宋" w:eastAsia="仿宋"/>
          <w:b/>
          <w:sz w:val="32"/>
          <w:szCs w:val="32"/>
        </w:rPr>
        <w:t xml:space="preserve">。</w:t>
      </w:r>
      <w:r>
        <w:rPr>
          <w:rFonts w:ascii="仿宋" w:hAnsi="仿宋" w:eastAsia="仿宋"/>
          <w:b/>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57"/>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57"/>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57"/>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859"/>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57"/>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年11月24日</w:t>
      </w:r>
      <w:r>
        <w:rPr>
          <w:rFonts w:hint="eastAsia" w:ascii="仿宋" w:hAnsi="仿宋" w:eastAsia="仿宋"/>
          <w:sz w:val="32"/>
          <w:szCs w:val="32"/>
          <w:lang w:bidi="ar"/>
        </w:rPr>
        <w:t xml:space="preserve">至2</w:t>
      </w:r>
      <w:r>
        <w:rPr>
          <w:rFonts w:ascii="仿宋" w:hAnsi="仿宋" w:eastAsia="仿宋"/>
          <w:sz w:val="32"/>
          <w:szCs w:val="32"/>
          <w:lang w:bidi="ar"/>
        </w:rPr>
        <w:t xml:space="preserve">025</w:t>
      </w:r>
      <w:r>
        <w:rPr>
          <w:rFonts w:hint="eastAsia" w:ascii="仿宋" w:hAnsi="仿宋" w:eastAsia="仿宋" w:cs="宋体"/>
          <w:sz w:val="32"/>
          <w:szCs w:val="32"/>
        </w:rPr>
        <w:t xml:space="preserve">年12月01日</w:t>
      </w:r>
      <w:r>
        <w:rPr>
          <w:rFonts w:hint="eastAsia" w:ascii="仿宋" w:hAnsi="仿宋" w:eastAsia="仿宋"/>
          <w:sz w:val="32"/>
          <w:szCs w:val="32"/>
          <w:lang w:bidi="ar"/>
        </w:rPr>
        <w:t xml:space="preserve">（北京时间）。</w:t>
      </w:r>
      <w:r>
        <w:rPr>
          <w:rFonts w:ascii="仿宋" w:hAnsi="仿宋" w:eastAsia="仿宋"/>
          <w:sz w:val="32"/>
          <w:szCs w:val="32"/>
          <w:lang w:bidi="ar"/>
        </w:rPr>
      </w:r>
      <w:r/>
    </w:p>
    <w:p>
      <w:pPr>
        <w:pStyle w:val="857"/>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57"/>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57"/>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59"/>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57"/>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年12月15日09</w:t>
      </w:r>
      <w:r>
        <w:rPr>
          <w:rFonts w:hint="eastAsia" w:ascii="仿宋" w:hAnsi="仿宋" w:eastAsia="仿宋"/>
          <w:sz w:val="32"/>
          <w:szCs w:val="32"/>
          <w:lang w:bidi="ar"/>
        </w:rPr>
        <w:t xml:space="preserve">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57"/>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59"/>
        <w:ind w:firstLine="643"/>
        <w:jc w:val="left"/>
        <w:spacing w:before="0" w:line="360" w:lineRule="auto"/>
        <w:rPr>
          <w:rFonts w:ascii="仿宋" w:hAnsi="仿宋" w:eastAsia="仿宋"/>
          <w:sz w:val="32"/>
          <w:szCs w:val="32"/>
        </w:rPr>
      </w:pPr>
      <w:r/>
      <w:bookmarkStart w:id="22" w:name="_Toc28359007"/>
      <w:r/>
      <w:bookmarkStart w:id="23" w:name="_Toc35393625"/>
      <w:r/>
      <w:bookmarkStart w:id="24" w:name="_Toc28359084"/>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59"/>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57"/>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57"/>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57"/>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57"/>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59"/>
        <w:ind w:firstLine="643"/>
        <w:jc w:val="left"/>
        <w:spacing w:before="0" w:line="360" w:lineRule="auto"/>
        <w:rPr>
          <w:rFonts w:ascii="仿宋" w:hAnsi="仿宋" w:eastAsia="仿宋"/>
          <w:sz w:val="32"/>
          <w:szCs w:val="32"/>
        </w:rPr>
      </w:pPr>
      <w:r/>
      <w:bookmarkStart w:id="28" w:name="_Toc28359085"/>
      <w:r/>
      <w:bookmarkStart w:id="29" w:name="_Toc28359008"/>
      <w:r/>
      <w:bookmarkStart w:id="30" w:name="_Toc35393627"/>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57"/>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57"/>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w:t>
      </w:r>
      <w:r>
        <w:rPr>
          <w:rFonts w:hint="eastAsia" w:ascii="仿宋" w:hAnsi="仿宋" w:eastAsia="仿宋" w:cs="宋体"/>
          <w:sz w:val="32"/>
          <w:szCs w:val="32"/>
        </w:rPr>
        <w:t xml:space="preserve">常州市武进中医医院</w:t>
      </w:r>
      <w:r>
        <w:rPr>
          <w:rFonts w:hint="eastAsia" w:ascii="仿宋" w:hAnsi="仿宋" w:eastAsia="仿宋"/>
          <w:sz w:val="32"/>
          <w:szCs w:val="32"/>
        </w:rPr>
      </w:r>
      <w:r/>
    </w:p>
    <w:p>
      <w:pPr>
        <w:pStyle w:val="857"/>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w:t>
      </w:r>
      <w:r>
        <w:rPr>
          <w:rFonts w:hint="eastAsia" w:ascii="仿宋" w:hAnsi="仿宋" w:eastAsia="仿宋" w:cs="宋体"/>
          <w:sz w:val="32"/>
          <w:szCs w:val="32"/>
        </w:rPr>
        <w:t xml:space="preserve">常州市武进区湖塘镇人民中路699号</w:t>
      </w:r>
      <w:r>
        <w:rPr>
          <w:rFonts w:hint="eastAsia" w:ascii="仿宋" w:hAnsi="仿宋" w:eastAsia="仿宋"/>
          <w:sz w:val="32"/>
          <w:szCs w:val="32"/>
        </w:rPr>
      </w:r>
      <w:r/>
    </w:p>
    <w:p>
      <w:pPr>
        <w:pStyle w:val="857"/>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w:t>
      </w:r>
      <w:r>
        <w:rPr>
          <w:rFonts w:hint="eastAsia" w:ascii="仿宋" w:hAnsi="仿宋" w:eastAsia="仿宋" w:cs="宋体"/>
          <w:sz w:val="32"/>
          <w:szCs w:val="32"/>
        </w:rPr>
        <w:t xml:space="preserve">金老师 0519-86582523</w:t>
      </w:r>
      <w:r>
        <w:rPr>
          <w:rFonts w:hint="eastAsia" w:ascii="仿宋" w:hAnsi="仿宋" w:eastAsia="仿宋"/>
          <w:sz w:val="32"/>
          <w:szCs w:val="32"/>
        </w:rPr>
      </w:r>
      <w:r/>
    </w:p>
    <w:p>
      <w:pPr>
        <w:pStyle w:val="857"/>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57"/>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57"/>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57"/>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项目联系人：彭艳</w:t>
      </w:r>
      <w:r/>
    </w:p>
    <w:p>
      <w:pPr>
        <w:pStyle w:val="857"/>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034</w:t>
      </w:r>
      <w:r>
        <w:rPr>
          <w:rFonts w:hint="eastAsia" w:ascii="仿宋" w:hAnsi="仿宋" w:eastAsia="仿宋"/>
          <w:sz w:val="32"/>
          <w:szCs w:val="32"/>
        </w:rPr>
        <w:t xml:space="preserve">）</w:t>
      </w:r>
      <w:r>
        <w:rPr>
          <w:rFonts w:ascii="仿宋" w:hAnsi="仿宋" w:eastAsia="仿宋"/>
          <w:sz w:val="24"/>
        </w:rPr>
      </w:r>
      <w:r/>
    </w:p>
    <w:p>
      <w:pPr>
        <w:pStyle w:val="857"/>
        <w:jc w:val="center"/>
        <w:spacing w:line="360" w:lineRule="auto"/>
        <w:rPr>
          <w:rFonts w:ascii="宋体" w:hAnsi="宋体"/>
          <w:b/>
          <w:sz w:val="32"/>
          <w:szCs w:val="32"/>
        </w:rPr>
        <w:outlineLvl w:val="0"/>
      </w:pPr>
      <w:r>
        <w:rPr>
          <w:rFonts w:ascii="宋体" w:hAnsi="宋体"/>
          <w:sz w:val="24"/>
        </w:rPr>
        <w:br w:type="page" w:clear="all"/>
      </w:r>
      <w:bookmarkStart w:id="36" w:name="_Toc353825548"/>
      <w:r/>
      <w:bookmarkStart w:id="37" w:name="_Toc150774783"/>
      <w:r/>
      <w:bookmarkStart w:id="38" w:name="_Toc127161488"/>
      <w:r/>
      <w:bookmarkStart w:id="39" w:name="_Toc265228423"/>
      <w:r/>
      <w:bookmarkStart w:id="40" w:name="_Toc99301420"/>
      <w:r/>
      <w:bookmarkStart w:id="41" w:name="_Toc305158854"/>
      <w:r/>
      <w:bookmarkStart w:id="42" w:name="_Toc127151777"/>
      <w:r/>
      <w:bookmarkStart w:id="43" w:name="_Toc226965856"/>
      <w:r/>
      <w:bookmarkStart w:id="44" w:name="_Toc195842950"/>
      <w:r/>
      <w:bookmarkStart w:id="45" w:name="_Toc305158928"/>
      <w:r/>
      <w:bookmarkStart w:id="46" w:name="_Toc512937850"/>
      <w:r/>
      <w:bookmarkStart w:id="47" w:name="_Toc264969275"/>
      <w:r/>
      <w:bookmarkStart w:id="48" w:name="_Toc35387393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59"/>
        <w:spacing w:before="0" w:line="360" w:lineRule="auto"/>
        <w:tabs>
          <w:tab w:val="center" w:pos="4592" w:leader="none"/>
          <w:tab w:val="left" w:pos="7860" w:leader="none"/>
        </w:tabs>
        <w:rPr>
          <w:rFonts w:ascii="宋体" w:hAnsi="宋体" w:eastAsia="宋体"/>
          <w:sz w:val="28"/>
        </w:rPr>
      </w:pPr>
      <w:r/>
      <w:bookmarkStart w:id="49" w:name="_Toc226309763"/>
      <w:r/>
      <w:bookmarkStart w:id="50" w:name="_Toc226965792"/>
      <w:r/>
      <w:bookmarkStart w:id="51" w:name="_Toc164229360"/>
      <w:r/>
      <w:bookmarkStart w:id="52" w:name="_Toc150774619"/>
      <w:r/>
      <w:bookmarkStart w:id="53" w:name="_Toc150509270"/>
      <w:r/>
      <w:bookmarkStart w:id="54" w:name="_Toc150774724"/>
      <w:r/>
      <w:bookmarkStart w:id="55" w:name="_Toc151193761"/>
      <w:r/>
      <w:bookmarkStart w:id="56" w:name="_Toc164608788"/>
      <w:r/>
      <w:bookmarkStart w:id="57" w:name="_Toc149720812"/>
      <w:r/>
      <w:bookmarkStart w:id="58" w:name="_Toc151193833"/>
      <w:r/>
      <w:bookmarkStart w:id="59" w:name="_Toc164351613"/>
      <w:r/>
      <w:bookmarkStart w:id="60" w:name="_Toc520356144"/>
      <w:r/>
      <w:bookmarkStart w:id="61" w:name="_Toc151193617"/>
      <w:r/>
      <w:bookmarkStart w:id="62" w:name="_Toc127151519"/>
      <w:r/>
      <w:bookmarkStart w:id="63" w:name="_Toc127151720"/>
      <w:r/>
      <w:bookmarkStart w:id="64" w:name="_Toc226337215"/>
      <w:r/>
      <w:bookmarkStart w:id="65" w:name="_Toc127161433"/>
      <w:r/>
      <w:bookmarkStart w:id="66" w:name="_Toc195842884"/>
      <w:r/>
      <w:bookmarkStart w:id="67" w:name="_Toc151193907"/>
      <w:r/>
      <w:bookmarkStart w:id="68" w:name="_Toc226965709"/>
      <w:r/>
      <w:bookmarkStart w:id="69" w:name="_Toc164229214"/>
      <w:r/>
      <w:bookmarkStart w:id="70" w:name="_Toc150480757"/>
      <w:r/>
      <w:bookmarkStart w:id="71" w:name="_Toc151193689"/>
      <w:r/>
      <w:bookmarkStart w:id="72" w:name="_Toc151190146"/>
      <w:r/>
      <w:bookmarkStart w:id="73" w:name="_Toc142311021"/>
      <w:r/>
      <w:bookmarkStart w:id="74" w:name="_Toc164608633"/>
      <w:r>
        <w:rPr>
          <w:rFonts w:ascii="宋体" w:hAnsi="宋体" w:eastAsia="宋体"/>
          <w:sz w:val="28"/>
        </w:rPr>
        <w:t xml:space="preserve">投标人须知资料表</w:t>
      </w:r>
      <w:r/>
    </w:p>
    <w:p>
      <w:pPr>
        <w:pStyle w:val="857"/>
        <w:jc w:val="center"/>
        <w:rPr>
          <w:rFonts w:ascii="宋体" w:hAnsi="宋体"/>
          <w:b/>
          <w:sz w:val="28"/>
          <w:szCs w:val="28"/>
        </w:rPr>
      </w:pPr>
      <w:r>
        <w:rPr>
          <w:rFonts w:ascii="宋体" w:hAnsi="宋体"/>
          <w:b/>
          <w:sz w:val="28"/>
          <w:szCs w:val="28"/>
        </w:rPr>
      </w:r>
      <w:r/>
    </w:p>
    <w:p>
      <w:pPr>
        <w:pStyle w:val="857"/>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57"/>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7"/>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57"/>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57"/>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项目属性：</w:t>
            </w:r>
            <w:r/>
          </w:p>
          <w:p>
            <w:pPr>
              <w:pStyle w:val="857"/>
              <w:jc w:val="left"/>
              <w:rPr>
                <w:rFonts w:hint="eastAsia" w:ascii="宋体" w:hAnsi="宋体" w:cs="宋体"/>
                <w:sz w:val="24"/>
              </w:rPr>
            </w:pPr>
            <w:r>
              <w:rPr>
                <w:rFonts w:hint="eastAsia" w:ascii="宋体" w:hAnsi="宋体" w:cs="宋体"/>
                <w:sz w:val="24"/>
              </w:rPr>
              <w:t xml:space="preserve">□服务</w:t>
            </w:r>
            <w:r/>
          </w:p>
          <w:p>
            <w:pPr>
              <w:pStyle w:val="857"/>
              <w:jc w:val="left"/>
              <w:rPr>
                <w:rFonts w:hint="eastAsia" w:ascii="宋体" w:hAnsi="宋体" w:cs="宋体"/>
                <w:sz w:val="24"/>
                <w:u w:val="single"/>
              </w:rPr>
            </w:pPr>
            <w:r>
              <w:rPr>
                <w:rFonts w:hint="eastAsia" w:ascii="宋体" w:hAnsi="宋体" w:cs="宋体"/>
                <w:b/>
                <w:sz w:val="24"/>
              </w:rPr>
              <w:t xml:space="preserve">■</w:t>
            </w: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是否属于科研仪器设备采购项目：</w:t>
            </w:r>
            <w:r/>
          </w:p>
          <w:p>
            <w:pPr>
              <w:pStyle w:val="857"/>
              <w:jc w:val="left"/>
              <w:rPr>
                <w:rFonts w:hint="eastAsia" w:ascii="宋体" w:hAnsi="宋体" w:cs="宋体"/>
                <w:sz w:val="24"/>
              </w:rPr>
            </w:pPr>
            <w:r>
              <w:rPr>
                <w:rFonts w:hint="eastAsia" w:ascii="宋体" w:hAnsi="宋体" w:cs="宋体"/>
                <w:sz w:val="24"/>
              </w:rPr>
              <w:t xml:space="preserve">□是</w:t>
            </w:r>
            <w:r/>
          </w:p>
          <w:p>
            <w:pPr>
              <w:pStyle w:val="857"/>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897"/>
              <w:rPr>
                <w:rFonts w:hAnsi="宋体" w:cs="宋体"/>
                <w:sz w:val="24"/>
                <w:szCs w:val="24"/>
              </w:rPr>
            </w:pPr>
            <w:r>
              <w:rPr>
                <w:rFonts w:hAnsi="宋体" w:cs="宋体"/>
                <w:sz w:val="24"/>
                <w:szCs w:val="24"/>
              </w:rPr>
              <w:t xml:space="preserve">□关于核心产品本项目__包不适用。</w:t>
            </w:r>
            <w:r/>
          </w:p>
          <w:p>
            <w:pPr>
              <w:pStyle w:val="897"/>
              <w:rPr>
                <w:rFonts w:hAnsi="宋体" w:cs="宋体"/>
                <w:sz w:val="24"/>
                <w:szCs w:val="24"/>
              </w:rPr>
            </w:pPr>
            <w:r>
              <w:rPr>
                <w:rFonts w:hAnsi="宋体" w:cs="宋体"/>
                <w:sz w:val="24"/>
                <w:szCs w:val="24"/>
              </w:rPr>
              <w:t xml:space="preserve">□本项目__包为单一产品采购项目。</w:t>
            </w:r>
            <w:r/>
          </w:p>
          <w:p>
            <w:pPr>
              <w:pStyle w:val="857"/>
              <w:jc w:val="left"/>
              <w:rPr>
                <w:rFonts w:hint="eastAsia" w:ascii="宋体" w:hAnsi="宋体" w:cs="宋体"/>
                <w:sz w:val="24"/>
              </w:rPr>
            </w:pP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897"/>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■不组织</w:t>
            </w:r>
            <w:r/>
          </w:p>
          <w:p>
            <w:pPr>
              <w:pStyle w:val="857"/>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89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897"/>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■不召开</w:t>
            </w:r>
            <w:r/>
          </w:p>
          <w:p>
            <w:pPr>
              <w:pStyle w:val="857"/>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57"/>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投标样品递交：</w:t>
            </w:r>
            <w:r/>
          </w:p>
          <w:p>
            <w:pPr>
              <w:pStyle w:val="857"/>
              <w:jc w:val="left"/>
              <w:rPr>
                <w:rFonts w:hint="eastAsia" w:ascii="宋体" w:hAnsi="宋体" w:cs="宋体"/>
                <w:sz w:val="24"/>
              </w:rPr>
            </w:pPr>
            <w:r>
              <w:rPr>
                <w:rFonts w:hint="eastAsia" w:ascii="宋体" w:hAnsi="宋体" w:cs="宋体"/>
                <w:sz w:val="24"/>
              </w:rPr>
              <w:t xml:space="preserve">■不需要</w:t>
            </w:r>
            <w:r/>
          </w:p>
          <w:p>
            <w:pPr>
              <w:pStyle w:val="857"/>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841"/>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投标报价的特殊规定：</w:t>
            </w:r>
            <w:r/>
          </w:p>
          <w:p>
            <w:pPr>
              <w:pStyle w:val="857"/>
              <w:jc w:val="left"/>
              <w:rPr>
                <w:rFonts w:hint="eastAsia" w:ascii="宋体" w:hAnsi="宋体" w:cs="宋体"/>
                <w:sz w:val="24"/>
              </w:rPr>
            </w:pPr>
            <w:r>
              <w:rPr>
                <w:rFonts w:hint="eastAsia" w:ascii="宋体" w:hAnsi="宋体" w:cs="宋体"/>
                <w:sz w:val="24"/>
              </w:rPr>
              <w:t xml:space="preserve">■无</w:t>
            </w:r>
            <w:r/>
          </w:p>
          <w:p>
            <w:pPr>
              <w:pStyle w:val="857"/>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57"/>
              <w:jc w:val="left"/>
              <w:rPr>
                <w:rFonts w:hint="eastAsia" w:ascii="宋体" w:hAnsi="宋体" w:cs="宋体"/>
                <w:sz w:val="24"/>
              </w:rPr>
            </w:pPr>
            <w:r>
              <w:rPr>
                <w:rFonts w:hint="eastAsia" w:ascii="宋体" w:hAnsi="宋体" w:cs="宋体"/>
                <w:sz w:val="24"/>
              </w:rPr>
              <w:t xml:space="preserve">■不允许</w:t>
            </w:r>
            <w:r/>
          </w:p>
          <w:p>
            <w:pPr>
              <w:pStyle w:val="857"/>
              <w:jc w:val="left"/>
              <w:rPr>
                <w:rFonts w:hint="eastAsia" w:ascii="宋体" w:hAnsi="宋体" w:cs="宋体"/>
                <w:sz w:val="24"/>
              </w:rPr>
            </w:pPr>
            <w:r>
              <w:rPr>
                <w:rFonts w:hint="eastAsia" w:ascii="宋体" w:hAnsi="宋体" w:cs="宋体"/>
                <w:sz w:val="24"/>
              </w:rPr>
              <w:t xml:space="preserve">□允许，具体要求：</w:t>
            </w:r>
            <w:r/>
          </w:p>
          <w:p>
            <w:pPr>
              <w:pStyle w:val="857"/>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57"/>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57"/>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年12月02日11点00分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接收询问和质疑的联系方式</w:t>
            </w:r>
            <w:r/>
          </w:p>
          <w:p>
            <w:pPr>
              <w:pStyle w:val="857"/>
              <w:jc w:val="left"/>
              <w:rPr>
                <w:rFonts w:hint="eastAsia" w:ascii="宋体" w:hAnsi="宋体" w:cs="宋体"/>
                <w:sz w:val="24"/>
              </w:rPr>
            </w:pPr>
            <w:r>
              <w:rPr>
                <w:rFonts w:hint="eastAsia" w:ascii="宋体" w:hAnsi="宋体" w:cs="宋体"/>
                <w:sz w:val="24"/>
              </w:rPr>
              <w:t xml:space="preserve">联系部门：技术部；</w:t>
            </w:r>
            <w:r/>
          </w:p>
          <w:p>
            <w:pPr>
              <w:pStyle w:val="857"/>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034</w:t>
            </w:r>
            <w:r>
              <w:rPr>
                <w:rFonts w:hint="eastAsia" w:ascii="宋体" w:hAnsi="宋体" w:cs="宋体"/>
                <w:sz w:val="24"/>
              </w:rPr>
              <w:t xml:space="preserve">）；</w:t>
            </w:r>
            <w:r/>
          </w:p>
          <w:p>
            <w:pPr>
              <w:pStyle w:val="857"/>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7"/>
              <w:jc w:val="left"/>
              <w:rPr>
                <w:rFonts w:hint="eastAsia" w:ascii="宋体" w:hAnsi="宋体" w:cs="宋体"/>
                <w:b/>
                <w:sz w:val="24"/>
              </w:rPr>
            </w:pPr>
            <w:r>
              <w:rPr>
                <w:rFonts w:hint="eastAsia" w:ascii="宋体" w:hAnsi="宋体" w:cs="宋体"/>
                <w:b/>
                <w:sz w:val="24"/>
              </w:rPr>
              <w:t xml:space="preserve">（一）收费对象：</w:t>
            </w:r>
            <w:r/>
          </w:p>
          <w:p>
            <w:pPr>
              <w:pStyle w:val="857"/>
              <w:jc w:val="left"/>
              <w:rPr>
                <w:rFonts w:hint="eastAsia" w:ascii="宋体" w:hAnsi="宋体" w:cs="宋体"/>
                <w:sz w:val="24"/>
              </w:rPr>
            </w:pPr>
            <w:r>
              <w:rPr>
                <w:rFonts w:hint="eastAsia" w:ascii="宋体" w:hAnsi="宋体" w:cs="宋体"/>
                <w:sz w:val="24"/>
              </w:rPr>
              <w:t xml:space="preserve">□采购人</w:t>
            </w:r>
            <w:r/>
          </w:p>
          <w:p>
            <w:pPr>
              <w:pStyle w:val="857"/>
              <w:jc w:val="left"/>
              <w:rPr>
                <w:rFonts w:hint="eastAsia" w:ascii="宋体" w:hAnsi="宋体" w:cs="宋体"/>
                <w:sz w:val="24"/>
              </w:rPr>
            </w:pPr>
            <w:r>
              <w:rPr>
                <w:rFonts w:hint="eastAsia" w:ascii="宋体" w:hAnsi="宋体" w:cs="宋体"/>
                <w:sz w:val="24"/>
              </w:rPr>
              <w:t xml:space="preserve">■中标人</w:t>
            </w:r>
            <w:r/>
          </w:p>
          <w:p>
            <w:pPr>
              <w:pStyle w:val="857"/>
              <w:jc w:val="left"/>
              <w:rPr>
                <w:rFonts w:hint="eastAsia" w:ascii="宋体" w:hAnsi="宋体" w:cs="宋体"/>
                <w:b/>
                <w:sz w:val="24"/>
              </w:rPr>
            </w:pPr>
            <w:r>
              <w:rPr>
                <w:rFonts w:hint="eastAsia" w:ascii="宋体" w:hAnsi="宋体" w:cs="宋体"/>
                <w:b/>
                <w:sz w:val="24"/>
              </w:rPr>
              <w:t xml:space="preserve">（二）收费标准：</w:t>
            </w:r>
            <w:r/>
          </w:p>
          <w:p>
            <w:pPr>
              <w:pStyle w:val="857"/>
              <w:jc w:val="left"/>
              <w:rPr>
                <w:rFonts w:hint="eastAsia" w:ascii="宋体" w:hAnsi="宋体" w:cs="宋体"/>
                <w:sz w:val="24"/>
              </w:rPr>
            </w:pPr>
            <w:r>
              <w:rPr>
                <w:rFonts w:hint="eastAsia" w:ascii="宋体" w:hAnsi="宋体" w:cs="宋体"/>
                <w:sz w:val="24"/>
              </w:rPr>
              <w:t xml:space="preserve">成交供应商须按其成交金额的0.8%计算并支付代理费。代理费按上述计算方法不足人民币3000元的，按人民币3000元收取。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57"/>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857"/>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57"/>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57"/>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7"/>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7"/>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7"/>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7"/>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57"/>
        <w:jc w:val="center"/>
        <w:spacing w:before="240" w:after="240"/>
        <w:rPr>
          <w:rFonts w:hint="eastAsia" w:ascii="宋体" w:hAnsi="宋体" w:cs="宋体"/>
          <w:b/>
          <w:sz w:val="28"/>
          <w:szCs w:val="28"/>
        </w:rPr>
      </w:pPr>
      <w:r/>
      <w:bookmarkStart w:id="75" w:name="_Toc353873932"/>
      <w:r/>
      <w:bookmarkStart w:id="76" w:name="_Toc127151517"/>
      <w:r/>
      <w:bookmarkStart w:id="77" w:name="_Toc195842882"/>
      <w:r/>
      <w:bookmarkStart w:id="78" w:name="_Toc353825542"/>
      <w:r/>
      <w:bookmarkStart w:id="79" w:name="_Toc353873662"/>
      <w:r/>
      <w:bookmarkStart w:id="80" w:name="_Toc142311019"/>
      <w:r/>
      <w:bookmarkStart w:id="81" w:name="_Toc265228355"/>
      <w:r/>
      <w:bookmarkStart w:id="82" w:name="_Toc226965790"/>
      <w:r/>
      <w:bookmarkStart w:id="83" w:name="_Toc264969207"/>
      <w:r/>
      <w:bookmarkStart w:id="84" w:name="_Toc305158785"/>
      <w:r/>
      <w:bookmarkStart w:id="85" w:name="_Toc226337213"/>
      <w:r/>
      <w:bookmarkStart w:id="86" w:name="_Toc150480755"/>
      <w:r/>
      <w:bookmarkStart w:id="87" w:name="_Toc305158859"/>
      <w:r/>
      <w:bookmarkStart w:id="88" w:name="_Toc15077472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59"/>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0774618"/>
      <w:r/>
      <w:bookmarkStart w:id="92" w:name="_Toc305158860"/>
      <w:r/>
      <w:bookmarkStart w:id="93" w:name="_Toc151193688"/>
      <w:r/>
      <w:bookmarkStart w:id="94" w:name="_Toc150774723"/>
      <w:r/>
      <w:bookmarkStart w:id="95" w:name="_Toc150480756"/>
      <w:r/>
      <w:bookmarkStart w:id="96" w:name="_Toc195842883"/>
      <w:r/>
      <w:bookmarkStart w:id="97" w:name="_Toc151190145"/>
      <w:r/>
      <w:bookmarkStart w:id="98" w:name="_Toc151193906"/>
      <w:r/>
      <w:bookmarkStart w:id="99" w:name="_Toc142311020"/>
      <w:r/>
      <w:bookmarkStart w:id="100" w:name="_Toc226965708"/>
      <w:r/>
      <w:bookmarkStart w:id="101" w:name="_Toc305158786"/>
      <w:r/>
      <w:bookmarkStart w:id="102" w:name="_Toc226965791"/>
      <w:r/>
      <w:bookmarkStart w:id="103" w:name="_Toc151193616"/>
      <w:r/>
      <w:bookmarkStart w:id="104" w:name="_Toc151193832"/>
      <w:r/>
      <w:bookmarkStart w:id="105" w:name="_Toc150509269"/>
      <w:r/>
      <w:bookmarkStart w:id="106" w:name="_Toc226309762"/>
      <w:r/>
      <w:bookmarkStart w:id="107" w:name="_Toc265228356"/>
      <w:r/>
      <w:bookmarkStart w:id="108" w:name="_Toc226337214"/>
      <w:r/>
      <w:bookmarkStart w:id="109" w:name="_Toc151193760"/>
      <w:r/>
      <w:bookmarkStart w:id="110" w:name="_Toc26496920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4969209"/>
      <w:r/>
      <w:bookmarkStart w:id="112" w:name="_Toc265228357"/>
      <w:r/>
      <w:bookmarkStart w:id="113" w:name="_Toc30515878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0774725"/>
      <w:r/>
      <w:bookmarkStart w:id="116" w:name="_Toc142311022"/>
      <w:r/>
      <w:bookmarkStart w:id="117" w:name="_Toc151193762"/>
      <w:r/>
      <w:bookmarkStart w:id="118" w:name="_Toc226309764"/>
      <w:r/>
      <w:bookmarkStart w:id="119" w:name="_Toc164608634"/>
      <w:r/>
      <w:bookmarkStart w:id="120" w:name="_Toc164351614"/>
      <w:r/>
      <w:bookmarkStart w:id="121" w:name="_Toc226965710"/>
      <w:r/>
      <w:bookmarkStart w:id="122" w:name="_Toc150509271"/>
      <w:r/>
      <w:bookmarkStart w:id="123" w:name="_Toc151193690"/>
      <w:r/>
      <w:bookmarkStart w:id="124" w:name="_Toc149720813"/>
      <w:r/>
      <w:bookmarkStart w:id="125" w:name="_Toc164229215"/>
      <w:r/>
      <w:bookmarkStart w:id="126" w:name="_Toc127151721"/>
      <w:r/>
      <w:bookmarkStart w:id="127" w:name="_Toc151193908"/>
      <w:r/>
      <w:bookmarkStart w:id="128" w:name="_Toc164229361"/>
      <w:r/>
      <w:bookmarkStart w:id="129" w:name="_Toc127151520"/>
      <w:r/>
      <w:bookmarkStart w:id="130" w:name="_Toc195842885"/>
      <w:r/>
      <w:bookmarkStart w:id="131" w:name="_Toc164608789"/>
      <w:r/>
      <w:bookmarkStart w:id="132" w:name="_Toc127161434"/>
      <w:r/>
      <w:bookmarkStart w:id="133" w:name="_Toc265228358"/>
      <w:r/>
      <w:bookmarkStart w:id="134" w:name="_Toc226337216"/>
      <w:r/>
      <w:bookmarkStart w:id="135" w:name="_Toc151190147"/>
      <w:r/>
      <w:bookmarkStart w:id="136" w:name="_Toc150774620"/>
      <w:r/>
      <w:bookmarkStart w:id="137" w:name="_Toc151193834"/>
      <w:r/>
      <w:bookmarkStart w:id="138" w:name="_Toc151193618"/>
      <w:r/>
      <w:bookmarkStart w:id="139" w:name="_Toc264969210"/>
      <w:r/>
      <w:bookmarkStart w:id="140" w:name="_Toc226965793"/>
      <w:r/>
      <w:bookmarkStart w:id="141" w:name="_Toc305158862"/>
      <w:r/>
      <w:bookmarkStart w:id="142" w:name="_Toc150480758"/>
      <w:r/>
      <w:bookmarkStart w:id="143" w:name="_Toc305158788"/>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910"/>
      <w:r/>
      <w:bookmarkStart w:id="145" w:name="_Toc150480760"/>
      <w:r/>
      <w:bookmarkStart w:id="146" w:name="_Toc226337218"/>
      <w:r/>
      <w:bookmarkStart w:id="147" w:name="_Toc226309766"/>
      <w:r/>
      <w:bookmarkStart w:id="148" w:name="_Toc151193692"/>
      <w:r/>
      <w:bookmarkStart w:id="149" w:name="_Toc520356146"/>
      <w:r/>
      <w:bookmarkStart w:id="150" w:name="_Toc305158864"/>
      <w:r/>
      <w:bookmarkStart w:id="151" w:name="_Toc127151522"/>
      <w:r/>
      <w:bookmarkStart w:id="152" w:name="_Toc151193620"/>
      <w:r/>
      <w:bookmarkStart w:id="153" w:name="_Toc305158790"/>
      <w:r/>
      <w:bookmarkStart w:id="154" w:name="_Toc150774727"/>
      <w:r/>
      <w:bookmarkStart w:id="155" w:name="_Toc142311024"/>
      <w:r/>
      <w:bookmarkStart w:id="156" w:name="_Toc151193836"/>
      <w:r/>
      <w:bookmarkStart w:id="157" w:name="_Toc151190149"/>
      <w:r/>
      <w:bookmarkStart w:id="158" w:name="_Toc226965712"/>
      <w:r/>
      <w:bookmarkStart w:id="159" w:name="_Toc226965795"/>
      <w:r/>
      <w:bookmarkStart w:id="160" w:name="_Toc150509273"/>
      <w:r/>
      <w:bookmarkStart w:id="161" w:name="_Toc264969212"/>
      <w:r/>
      <w:bookmarkStart w:id="162" w:name="_Toc151193764"/>
      <w:r/>
      <w:bookmarkStart w:id="163" w:name="_Toc265228360"/>
      <w:r/>
      <w:bookmarkStart w:id="164" w:name="_Toc195842887"/>
      <w:r/>
      <w:bookmarkStart w:id="165" w:name="_Toc150774622"/>
      <w:r>
        <w:rPr>
          <w:rFonts w:hint="eastAsia" w:ascii="宋体" w:hAnsi="宋体" w:cs="宋体"/>
          <w:sz w:val="28"/>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57"/>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57"/>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5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5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52"/>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857"/>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7"/>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857"/>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p>
    <w:p>
      <w:pPr>
        <w:pStyle w:val="857"/>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p>
    <w:p>
      <w:pPr>
        <w:pStyle w:val="857"/>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857"/>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7"/>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52"/>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52"/>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7"/>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7"/>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57"/>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57"/>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57"/>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57"/>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57"/>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57"/>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59"/>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520356147"/>
      <w:r/>
      <w:bookmarkStart w:id="168" w:name="_Toc151193837"/>
      <w:r/>
      <w:bookmarkStart w:id="169" w:name="_Toc150774728"/>
      <w:r/>
      <w:bookmarkStart w:id="170" w:name="_Toc226337219"/>
      <w:r/>
      <w:bookmarkStart w:id="171" w:name="_Toc151193621"/>
      <w:r/>
      <w:bookmarkStart w:id="172" w:name="_Toc305158865"/>
      <w:r/>
      <w:bookmarkStart w:id="173" w:name="_Toc195842888"/>
      <w:r/>
      <w:bookmarkStart w:id="174" w:name="_Toc150774623"/>
      <w:r/>
      <w:bookmarkStart w:id="175" w:name="_Toc127161437"/>
      <w:r/>
      <w:bookmarkStart w:id="176" w:name="_Toc164229364"/>
      <w:r/>
      <w:bookmarkStart w:id="177" w:name="_Toc151193693"/>
      <w:r/>
      <w:bookmarkStart w:id="178" w:name="_Toc127151523"/>
      <w:r/>
      <w:bookmarkStart w:id="179" w:name="_Toc164608792"/>
      <w:r/>
      <w:bookmarkStart w:id="180" w:name="_Toc226309767"/>
      <w:r/>
      <w:bookmarkStart w:id="181" w:name="_Toc164229218"/>
      <w:r/>
      <w:bookmarkStart w:id="182" w:name="_Toc151193911"/>
      <w:r/>
      <w:bookmarkStart w:id="183" w:name="_Toc264969213"/>
      <w:r/>
      <w:bookmarkStart w:id="184" w:name="_Toc151193765"/>
      <w:r/>
      <w:bookmarkStart w:id="185" w:name="_Toc150509274"/>
      <w:r/>
      <w:bookmarkStart w:id="186" w:name="_Toc226965796"/>
      <w:r/>
      <w:bookmarkStart w:id="187" w:name="_Toc305158791"/>
      <w:r/>
      <w:bookmarkStart w:id="188" w:name="_Toc150480761"/>
      <w:r/>
      <w:bookmarkStart w:id="189" w:name="_Toc142311025"/>
      <w:r/>
      <w:bookmarkStart w:id="190" w:name="_Toc226965713"/>
      <w:r/>
      <w:bookmarkStart w:id="191" w:name="_Toc265228361"/>
      <w:r/>
      <w:bookmarkStart w:id="192" w:name="_Toc164351617"/>
      <w:r/>
      <w:bookmarkStart w:id="193" w:name="_Toc149720816"/>
      <w:r/>
      <w:bookmarkStart w:id="194" w:name="_Toc164608637"/>
      <w:r/>
      <w:bookmarkStart w:id="195" w:name="_Toc127151724"/>
      <w:r/>
      <w:bookmarkStart w:id="196" w:name="_Toc151190150"/>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57"/>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57"/>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59"/>
        <w:ind w:firstLine="562"/>
        <w:spacing w:before="0" w:line="360" w:lineRule="auto"/>
        <w:rPr>
          <w:rFonts w:hint="eastAsia" w:ascii="宋体" w:hAnsi="宋体" w:eastAsia="宋体" w:cs="宋体"/>
          <w:sz w:val="28"/>
        </w:rPr>
      </w:pPr>
      <w:r/>
      <w:bookmarkStart w:id="197" w:name="_Toc264969216"/>
      <w:r/>
      <w:bookmarkStart w:id="198" w:name="_Toc151193696"/>
      <w:r/>
      <w:bookmarkStart w:id="199" w:name="_Toc151190153"/>
      <w:r/>
      <w:bookmarkStart w:id="200" w:name="_Toc305158868"/>
      <w:r/>
      <w:bookmarkStart w:id="201" w:name="_Toc142311028"/>
      <w:r/>
      <w:bookmarkStart w:id="202" w:name="_Toc305158794"/>
      <w:r/>
      <w:bookmarkStart w:id="203" w:name="_Toc195842891"/>
      <w:r/>
      <w:bookmarkStart w:id="204" w:name="_Toc265228364"/>
      <w:r/>
      <w:bookmarkStart w:id="205" w:name="_Toc151193768"/>
      <w:r/>
      <w:bookmarkStart w:id="206" w:name="_Toc226337222"/>
      <w:r/>
      <w:bookmarkStart w:id="207" w:name="_Toc150480764"/>
      <w:r/>
      <w:bookmarkStart w:id="208" w:name="_Toc226309770"/>
      <w:r/>
      <w:bookmarkStart w:id="209" w:name="_Toc127151526"/>
      <w:r/>
      <w:bookmarkStart w:id="210" w:name="_Toc516367020"/>
      <w:r/>
      <w:bookmarkStart w:id="211" w:name="_Toc151193624"/>
      <w:r/>
      <w:bookmarkStart w:id="212" w:name="_Toc226965716"/>
      <w:r/>
      <w:bookmarkStart w:id="213" w:name="_Toc151193914"/>
      <w:r/>
      <w:bookmarkStart w:id="214" w:name="_Toc520356150"/>
      <w:r/>
      <w:bookmarkStart w:id="215" w:name="_Toc151193840"/>
      <w:r/>
      <w:bookmarkStart w:id="216" w:name="_Toc150509277"/>
      <w:r/>
      <w:bookmarkStart w:id="217" w:name="_Toc226965799"/>
      <w:r/>
      <w:bookmarkStart w:id="218" w:name="_Toc150774626"/>
      <w:r/>
      <w:bookmarkStart w:id="219" w:name="_Toc150774731"/>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608641"/>
      <w:r/>
      <w:bookmarkStart w:id="221" w:name="_Toc164229368"/>
      <w:r/>
      <w:bookmarkStart w:id="222" w:name="_Toc151193625"/>
      <w:r/>
      <w:bookmarkStart w:id="223" w:name="_Toc150774627"/>
      <w:r/>
      <w:bookmarkStart w:id="224" w:name="_Toc142311029"/>
      <w:r/>
      <w:bookmarkStart w:id="225" w:name="_Toc520356151"/>
      <w:r/>
      <w:bookmarkStart w:id="226" w:name="_Toc151193769"/>
      <w:r/>
      <w:bookmarkStart w:id="227" w:name="_Toc151193915"/>
      <w:r/>
      <w:bookmarkStart w:id="228" w:name="_Toc226965717"/>
      <w:r/>
      <w:bookmarkStart w:id="229" w:name="_Toc151193697"/>
      <w:r/>
      <w:bookmarkStart w:id="230" w:name="_Toc226309771"/>
      <w:r/>
      <w:bookmarkStart w:id="231" w:name="_Toc264969217"/>
      <w:r/>
      <w:bookmarkStart w:id="232" w:name="_Toc164608796"/>
      <w:r/>
      <w:bookmarkStart w:id="233" w:name="_Toc195842892"/>
      <w:r/>
      <w:bookmarkStart w:id="234" w:name="_Toc265228365"/>
      <w:r/>
      <w:bookmarkStart w:id="235" w:name="_Toc150774732"/>
      <w:r/>
      <w:bookmarkStart w:id="236" w:name="_Toc151193841"/>
      <w:r/>
      <w:bookmarkStart w:id="237" w:name="_Toc305158869"/>
      <w:r/>
      <w:bookmarkStart w:id="238" w:name="_Toc226337223"/>
      <w:r/>
      <w:bookmarkStart w:id="239" w:name="_Toc164351621"/>
      <w:r/>
      <w:bookmarkStart w:id="240" w:name="_Toc127151527"/>
      <w:r/>
      <w:bookmarkStart w:id="241" w:name="_Toc150480765"/>
      <w:r/>
      <w:bookmarkStart w:id="242" w:name="_Toc164229222"/>
      <w:r/>
      <w:bookmarkStart w:id="243" w:name="_Toc151190154"/>
      <w:r/>
      <w:bookmarkStart w:id="244" w:name="_Toc127151728"/>
      <w:r/>
      <w:bookmarkStart w:id="245" w:name="_Toc150509278"/>
      <w:r/>
      <w:bookmarkStart w:id="246" w:name="_Toc305158795"/>
      <w:r/>
      <w:bookmarkStart w:id="247" w:name="_Toc516367021"/>
      <w:r/>
      <w:bookmarkStart w:id="248" w:name="_Toc127161441"/>
      <w:r/>
      <w:bookmarkStart w:id="249" w:name="_Toc149720820"/>
      <w:r/>
      <w:bookmarkStart w:id="250" w:name="_Toc226965800"/>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1190155"/>
      <w:r/>
      <w:bookmarkStart w:id="252" w:name="_Toc164351622"/>
      <w:r/>
      <w:bookmarkStart w:id="253" w:name="_Toc305158796"/>
      <w:r/>
      <w:bookmarkStart w:id="254" w:name="_Toc150509279"/>
      <w:r/>
      <w:bookmarkStart w:id="255" w:name="_Toc142311030"/>
      <w:r/>
      <w:bookmarkStart w:id="256" w:name="_Toc164229369"/>
      <w:r/>
      <w:bookmarkStart w:id="257" w:name="_Toc164608642"/>
      <w:r/>
      <w:bookmarkStart w:id="258" w:name="_Ref467306676"/>
      <w:r/>
      <w:bookmarkStart w:id="259" w:name="_Toc516367022"/>
      <w:r/>
      <w:bookmarkStart w:id="260" w:name="_Ref467306195"/>
      <w:r/>
      <w:bookmarkStart w:id="261" w:name="_Toc265228366"/>
      <w:r/>
      <w:bookmarkStart w:id="262" w:name="_Toc151193698"/>
      <w:r/>
      <w:bookmarkStart w:id="263" w:name="_Toc150774628"/>
      <w:r/>
      <w:bookmarkStart w:id="264" w:name="_Toc149720821"/>
      <w:r/>
      <w:bookmarkStart w:id="265" w:name="_Toc150774733"/>
      <w:r/>
      <w:bookmarkStart w:id="266" w:name="_Toc264969218"/>
      <w:r/>
      <w:bookmarkStart w:id="267" w:name="_Toc195842893"/>
      <w:r/>
      <w:bookmarkStart w:id="268" w:name="_Toc151193916"/>
      <w:r/>
      <w:bookmarkStart w:id="269" w:name="_Toc151193626"/>
      <w:r/>
      <w:bookmarkStart w:id="270" w:name="_Toc151193842"/>
      <w:r/>
      <w:bookmarkStart w:id="271" w:name="_Toc164608797"/>
      <w:r/>
      <w:bookmarkStart w:id="272" w:name="_Toc226965801"/>
      <w:r/>
      <w:bookmarkStart w:id="273" w:name="_Toc520356152"/>
      <w:r/>
      <w:bookmarkStart w:id="274" w:name="_Toc127161442"/>
      <w:r/>
      <w:bookmarkStart w:id="275" w:name="_Toc127151729"/>
      <w:r/>
      <w:bookmarkStart w:id="276" w:name="_Toc151193770"/>
      <w:r/>
      <w:bookmarkStart w:id="277" w:name="_Toc127151528"/>
      <w:r/>
      <w:bookmarkStart w:id="278" w:name="_Toc226337224"/>
      <w:r/>
      <w:bookmarkStart w:id="279" w:name="_Toc150480766"/>
      <w:r/>
      <w:bookmarkStart w:id="280" w:name="_Toc226965718"/>
      <w:r/>
      <w:bookmarkStart w:id="281" w:name="_Toc226309772"/>
      <w:r/>
      <w:bookmarkStart w:id="282" w:name="_Toc164229223"/>
      <w:r/>
      <w:bookmarkStart w:id="283" w:name="_Toc305158870"/>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480768"/>
      <w:r/>
      <w:bookmarkStart w:id="286" w:name="_Toc150509281"/>
      <w:r/>
      <w:bookmarkStart w:id="287" w:name="_Toc151193628"/>
      <w:r/>
      <w:bookmarkStart w:id="288" w:name="_Toc151193918"/>
      <w:r/>
      <w:bookmarkStart w:id="289" w:name="_Toc151193700"/>
      <w:r/>
      <w:bookmarkStart w:id="290" w:name="_Toc127161444"/>
      <w:r/>
      <w:bookmarkStart w:id="291" w:name="_Toc127151530"/>
      <w:r/>
      <w:bookmarkStart w:id="292" w:name="_Toc150774735"/>
      <w:r/>
      <w:bookmarkStart w:id="293" w:name="_Toc151193844"/>
      <w:r/>
      <w:bookmarkStart w:id="294" w:name="_Toc150774630"/>
      <w:r/>
      <w:bookmarkStart w:id="295" w:name="_Toc151193772"/>
      <w:r/>
      <w:bookmarkStart w:id="296" w:name="_Toc164229371"/>
      <w:r/>
      <w:bookmarkStart w:id="297" w:name="_Toc520356155"/>
      <w:r/>
      <w:bookmarkStart w:id="298" w:name="_Toc142311032"/>
      <w:r/>
      <w:bookmarkStart w:id="299" w:name="_Toc127151731"/>
      <w:r/>
      <w:bookmarkStart w:id="300" w:name="_Toc149720823"/>
      <w:r/>
      <w:bookmarkStart w:id="301" w:name="_Toc151190157"/>
      <w:r/>
      <w:bookmarkStart w:id="302" w:name="_Toc164608799"/>
      <w:r/>
      <w:bookmarkStart w:id="303" w:name="_Toc164229225"/>
      <w:r/>
      <w:bookmarkStart w:id="304" w:name="_Toc195842895"/>
      <w:r/>
      <w:bookmarkStart w:id="305" w:name="_Toc164608644"/>
      <w:r/>
      <w:bookmarkStart w:id="306" w:name="_Toc164351624"/>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3845"/>
      <w:r/>
      <w:bookmarkStart w:id="308" w:name="_Toc127151732"/>
      <w:r/>
      <w:bookmarkStart w:id="309" w:name="_Toc164608800"/>
      <w:r/>
      <w:bookmarkStart w:id="310" w:name="_Toc195842896"/>
      <w:r/>
      <w:bookmarkStart w:id="311" w:name="_Toc164608645"/>
      <w:r/>
      <w:bookmarkStart w:id="312" w:name="_Toc520356156"/>
      <w:r/>
      <w:bookmarkStart w:id="313" w:name="_Toc164229226"/>
      <w:r/>
      <w:bookmarkStart w:id="314" w:name="_Toc142311033"/>
      <w:r/>
      <w:bookmarkStart w:id="315" w:name="_Toc305158873"/>
      <w:r/>
      <w:bookmarkStart w:id="316" w:name="_Toc151193773"/>
      <w:r/>
      <w:bookmarkStart w:id="317" w:name="_Toc127151531"/>
      <w:r/>
      <w:bookmarkStart w:id="318" w:name="_Toc226309775"/>
      <w:r/>
      <w:bookmarkStart w:id="319" w:name="_Toc150480769"/>
      <w:r/>
      <w:bookmarkStart w:id="320" w:name="_Ref467306513"/>
      <w:r/>
      <w:bookmarkStart w:id="321" w:name="_Toc265228369"/>
      <w:r/>
      <w:bookmarkStart w:id="322" w:name="_Toc150774736"/>
      <w:r/>
      <w:bookmarkStart w:id="323" w:name="_Toc164229372"/>
      <w:r/>
      <w:bookmarkStart w:id="324" w:name="_Toc151193919"/>
      <w:r/>
      <w:bookmarkStart w:id="325" w:name="_Toc226965804"/>
      <w:r/>
      <w:bookmarkStart w:id="326" w:name="_Toc226337227"/>
      <w:r/>
      <w:bookmarkStart w:id="327" w:name="_Toc151193629"/>
      <w:r/>
      <w:bookmarkStart w:id="328" w:name="_Toc226965721"/>
      <w:r/>
      <w:bookmarkStart w:id="329" w:name="_Toc305158799"/>
      <w:r/>
      <w:bookmarkStart w:id="330" w:name="_Toc127161445"/>
      <w:r/>
      <w:bookmarkStart w:id="331" w:name="_Toc149720824"/>
      <w:r/>
      <w:bookmarkStart w:id="332" w:name="_Toc151193701"/>
      <w:r/>
      <w:bookmarkStart w:id="333" w:name="_Toc150509282"/>
      <w:r/>
      <w:bookmarkStart w:id="334" w:name="_Toc151190158"/>
      <w:r/>
      <w:bookmarkStart w:id="335" w:name="_Toc150774631"/>
      <w:r/>
      <w:bookmarkStart w:id="336" w:name="_Toc264969221"/>
      <w:r/>
      <w:bookmarkStart w:id="337" w:name="_Toc16435162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57"/>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64229373"/>
      <w:r/>
      <w:bookmarkStart w:id="339" w:name="_Toc164229227"/>
      <w:r/>
      <w:bookmarkStart w:id="340" w:name="_Toc226337228"/>
      <w:r/>
      <w:bookmarkStart w:id="341" w:name="_Toc164608646"/>
      <w:r/>
      <w:bookmarkStart w:id="342" w:name="_Toc127161446"/>
      <w:r/>
      <w:bookmarkStart w:id="343" w:name="_Toc305158800"/>
      <w:r/>
      <w:bookmarkStart w:id="344" w:name="_Toc264969222"/>
      <w:r/>
      <w:bookmarkStart w:id="345" w:name="_Toc195842897"/>
      <w:r/>
      <w:bookmarkStart w:id="346" w:name="_Toc151193920"/>
      <w:r/>
      <w:bookmarkStart w:id="347" w:name="_Toc150480770"/>
      <w:r/>
      <w:bookmarkStart w:id="348" w:name="_Toc127151733"/>
      <w:r/>
      <w:bookmarkStart w:id="349" w:name="_Toc151193774"/>
      <w:r/>
      <w:bookmarkStart w:id="350" w:name="_Toc127151532"/>
      <w:r/>
      <w:bookmarkStart w:id="351" w:name="_Toc226309776"/>
      <w:r/>
      <w:bookmarkStart w:id="352" w:name="_Toc265228370"/>
      <w:r/>
      <w:bookmarkStart w:id="353" w:name="_Toc164608801"/>
      <w:r/>
      <w:bookmarkStart w:id="354" w:name="_Toc164351626"/>
      <w:r/>
      <w:bookmarkStart w:id="355" w:name="_Toc151193846"/>
      <w:r/>
      <w:bookmarkStart w:id="356" w:name="_Toc151193630"/>
      <w:r/>
      <w:bookmarkStart w:id="357" w:name="_Toc150774632"/>
      <w:r/>
      <w:bookmarkStart w:id="358" w:name="_Toc226965805"/>
      <w:r/>
      <w:bookmarkStart w:id="359" w:name="_Toc150774737"/>
      <w:r/>
      <w:bookmarkStart w:id="360" w:name="_Toc305158874"/>
      <w:r/>
      <w:bookmarkStart w:id="361" w:name="_Toc149720825"/>
      <w:r/>
      <w:bookmarkStart w:id="362" w:name="_Toc226965722"/>
      <w:r/>
      <w:bookmarkStart w:id="363" w:name="_Toc150509283"/>
      <w:r/>
      <w:bookmarkStart w:id="364" w:name="_Toc151190159"/>
      <w:r/>
      <w:bookmarkStart w:id="365" w:name="_Toc520356157"/>
      <w:r/>
      <w:bookmarkStart w:id="366" w:name="_Toc151193702"/>
      <w:r/>
      <w:bookmarkStart w:id="367" w:name="_Toc142311034"/>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520356158"/>
      <w:r/>
      <w:bookmarkStart w:id="369" w:name="_Toc150509284"/>
      <w:r/>
      <w:bookmarkStart w:id="370" w:name="_Toc151193775"/>
      <w:r/>
      <w:bookmarkStart w:id="371" w:name="_Toc142311035"/>
      <w:r/>
      <w:bookmarkStart w:id="372" w:name="_Toc164229228"/>
      <w:r/>
      <w:bookmarkStart w:id="373" w:name="_Toc151190160"/>
      <w:r/>
      <w:bookmarkStart w:id="374" w:name="_Toc264969223"/>
      <w:r/>
      <w:bookmarkStart w:id="375" w:name="_Toc305158801"/>
      <w:r/>
      <w:bookmarkStart w:id="376" w:name="_Toc149720826"/>
      <w:r/>
      <w:bookmarkStart w:id="377" w:name="_Toc164608802"/>
      <w:r/>
      <w:bookmarkStart w:id="378" w:name="_Toc164229374"/>
      <w:r/>
      <w:bookmarkStart w:id="379" w:name="_Toc127151533"/>
      <w:r/>
      <w:bookmarkStart w:id="380" w:name="_Toc164351627"/>
      <w:r/>
      <w:bookmarkStart w:id="381" w:name="_Toc150480771"/>
      <w:r/>
      <w:bookmarkStart w:id="382" w:name="_Toc127151734"/>
      <w:r/>
      <w:bookmarkStart w:id="383" w:name="_Toc151193921"/>
      <w:r/>
      <w:bookmarkStart w:id="384" w:name="_Toc151193847"/>
      <w:r/>
      <w:bookmarkStart w:id="385" w:name="_Toc226309777"/>
      <w:r/>
      <w:bookmarkStart w:id="386" w:name="_Toc127161447"/>
      <w:r/>
      <w:bookmarkStart w:id="387" w:name="_Toc150774633"/>
      <w:r/>
      <w:bookmarkStart w:id="388" w:name="_Toc226965806"/>
      <w:r/>
      <w:bookmarkStart w:id="389" w:name="_Toc305158875"/>
      <w:r/>
      <w:bookmarkStart w:id="390" w:name="_Toc226337229"/>
      <w:r/>
      <w:bookmarkStart w:id="391" w:name="_Toc195842898"/>
      <w:r/>
      <w:bookmarkStart w:id="392" w:name="_Toc164608647"/>
      <w:r/>
      <w:bookmarkStart w:id="393" w:name="_Toc226965723"/>
      <w:r/>
      <w:bookmarkStart w:id="394" w:name="_Toc151193703"/>
      <w:r/>
      <w:bookmarkStart w:id="395" w:name="_Toc265228371"/>
      <w:r/>
      <w:bookmarkStart w:id="396" w:name="_Toc151193631"/>
      <w:r/>
      <w:bookmarkStart w:id="397" w:name="_Toc150774738"/>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965807"/>
      <w:r/>
      <w:bookmarkStart w:id="399" w:name="_Toc150480772"/>
      <w:r/>
      <w:bookmarkStart w:id="400" w:name="_Toc151193632"/>
      <w:r/>
      <w:bookmarkStart w:id="401" w:name="_Toc305158802"/>
      <w:r/>
      <w:bookmarkStart w:id="402" w:name="_Toc226309778"/>
      <w:r/>
      <w:bookmarkStart w:id="403" w:name="_Toc226965724"/>
      <w:r/>
      <w:bookmarkStart w:id="404" w:name="_Toc151193848"/>
      <w:r/>
      <w:bookmarkStart w:id="405" w:name="_Toc151193922"/>
      <w:r/>
      <w:bookmarkStart w:id="406" w:name="_Toc151193704"/>
      <w:r/>
      <w:bookmarkStart w:id="407" w:name="_Toc142311036"/>
      <w:r/>
      <w:bookmarkStart w:id="408" w:name="_Toc151193776"/>
      <w:r/>
      <w:bookmarkStart w:id="409" w:name="_Toc150509285"/>
      <w:r/>
      <w:bookmarkStart w:id="410" w:name="_Toc305158876"/>
      <w:r/>
      <w:bookmarkStart w:id="411" w:name="_Toc226337230"/>
      <w:r/>
      <w:bookmarkStart w:id="412" w:name="_Toc150774634"/>
      <w:r/>
      <w:bookmarkStart w:id="413" w:name="_Toc151190161"/>
      <w:r/>
      <w:bookmarkStart w:id="414" w:name="_Toc265228372"/>
      <w:r/>
      <w:bookmarkStart w:id="415" w:name="_Toc127151534"/>
      <w:r/>
      <w:bookmarkStart w:id="416" w:name="_Toc195842899"/>
      <w:r/>
      <w:bookmarkStart w:id="417" w:name="_Toc264969224"/>
      <w:r/>
      <w:bookmarkStart w:id="418" w:name="_Toc520356159"/>
      <w:r/>
      <w:bookmarkStart w:id="419" w:name="_Toc15077473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57"/>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59"/>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1193705"/>
      <w:r/>
      <w:bookmarkStart w:id="421" w:name="_Toc127161449"/>
      <w:r/>
      <w:bookmarkStart w:id="422" w:name="_Toc164229376"/>
      <w:r/>
      <w:bookmarkStart w:id="423" w:name="_Toc265228373"/>
      <w:r/>
      <w:bookmarkStart w:id="424" w:name="_Toc150480773"/>
      <w:r/>
      <w:bookmarkStart w:id="425" w:name="_Toc264969225"/>
      <w:r/>
      <w:bookmarkStart w:id="426" w:name="_Toc164608804"/>
      <w:r/>
      <w:bookmarkStart w:id="427" w:name="_Toc305158803"/>
      <w:r/>
      <w:bookmarkStart w:id="428" w:name="_Toc149720828"/>
      <w:r/>
      <w:bookmarkStart w:id="429" w:name="_Toc151193777"/>
      <w:r/>
      <w:bookmarkStart w:id="430" w:name="_Toc164351629"/>
      <w:r/>
      <w:bookmarkStart w:id="431" w:name="_Toc305158877"/>
      <w:r/>
      <w:bookmarkStart w:id="432" w:name="_Toc195842900"/>
      <w:r/>
      <w:bookmarkStart w:id="433" w:name="_Toc151193849"/>
      <w:r/>
      <w:bookmarkStart w:id="434" w:name="_Toc164608649"/>
      <w:r/>
      <w:bookmarkStart w:id="435" w:name="_Toc150774740"/>
      <w:r/>
      <w:bookmarkStart w:id="436" w:name="_Toc142311037"/>
      <w:r/>
      <w:bookmarkStart w:id="437" w:name="_Toc150509286"/>
      <w:r/>
      <w:bookmarkStart w:id="438" w:name="_Toc226965808"/>
      <w:r/>
      <w:bookmarkStart w:id="439" w:name="_Toc150774635"/>
      <w:r/>
      <w:bookmarkStart w:id="440" w:name="_Toc151190162"/>
      <w:r/>
      <w:bookmarkStart w:id="441" w:name="_Toc127151535"/>
      <w:r/>
      <w:bookmarkStart w:id="442" w:name="_Toc226965725"/>
      <w:r/>
      <w:bookmarkStart w:id="443" w:name="_Toc520356160"/>
      <w:r/>
      <w:bookmarkStart w:id="444" w:name="_Toc226309779"/>
      <w:r/>
      <w:bookmarkStart w:id="445" w:name="_Toc151193633"/>
      <w:r/>
      <w:bookmarkStart w:id="446" w:name="_Toc164229230"/>
      <w:r/>
      <w:bookmarkStart w:id="447" w:name="_Toc151193923"/>
      <w:r/>
      <w:bookmarkStart w:id="448" w:name="_Toc226337231"/>
      <w:r/>
      <w:bookmarkStart w:id="449" w:name="_Toc127151736"/>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264969226"/>
      <w:r/>
      <w:bookmarkStart w:id="451" w:name="_Toc142311038"/>
      <w:r/>
      <w:bookmarkStart w:id="452" w:name="_Toc226965726"/>
      <w:r/>
      <w:bookmarkStart w:id="453" w:name="_Toc127161450"/>
      <w:r/>
      <w:bookmarkStart w:id="454" w:name="_Toc127151737"/>
      <w:r/>
      <w:bookmarkStart w:id="455" w:name="_Toc151193850"/>
      <w:r/>
      <w:bookmarkStart w:id="456" w:name="_Toc150774636"/>
      <w:r/>
      <w:bookmarkStart w:id="457" w:name="_Toc149720829"/>
      <w:r/>
      <w:bookmarkStart w:id="458" w:name="_Toc164351630"/>
      <w:r/>
      <w:bookmarkStart w:id="459" w:name="_Toc164608805"/>
      <w:r/>
      <w:bookmarkStart w:id="460" w:name="_Toc520356161"/>
      <w:r/>
      <w:bookmarkStart w:id="461" w:name="_Toc150480774"/>
      <w:r/>
      <w:bookmarkStart w:id="462" w:name="_Toc151193778"/>
      <w:r/>
      <w:bookmarkStart w:id="463" w:name="_Toc151193924"/>
      <w:r/>
      <w:bookmarkStart w:id="464" w:name="_Toc150509287"/>
      <w:r/>
      <w:bookmarkStart w:id="465" w:name="_Toc226309780"/>
      <w:r/>
      <w:bookmarkStart w:id="466" w:name="_Toc127151536"/>
      <w:r/>
      <w:bookmarkStart w:id="467" w:name="_Toc265228374"/>
      <w:r/>
      <w:bookmarkStart w:id="468" w:name="_Toc151190163"/>
      <w:r/>
      <w:bookmarkStart w:id="469" w:name="_Toc305158804"/>
      <w:r/>
      <w:bookmarkStart w:id="470" w:name="_Toc164608650"/>
      <w:r/>
      <w:bookmarkStart w:id="471" w:name="_Toc150774741"/>
      <w:r/>
      <w:bookmarkStart w:id="472" w:name="_Toc226337232"/>
      <w:r/>
      <w:bookmarkStart w:id="473" w:name="_Toc151193706"/>
      <w:r/>
      <w:bookmarkStart w:id="474" w:name="_Toc226965809"/>
      <w:r/>
      <w:bookmarkStart w:id="475" w:name="_Toc164229377"/>
      <w:r/>
      <w:bookmarkStart w:id="476" w:name="_Toc305158878"/>
      <w:r/>
      <w:bookmarkStart w:id="477" w:name="_Toc195842901"/>
      <w:r/>
      <w:bookmarkStart w:id="478" w:name="_Toc151193634"/>
      <w:r/>
      <w:bookmarkStart w:id="479" w:name="_Toc16422923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0480775"/>
      <w:r/>
      <w:bookmarkStart w:id="481" w:name="_Toc151193851"/>
      <w:r/>
      <w:bookmarkStart w:id="482" w:name="_Toc151193635"/>
      <w:r/>
      <w:bookmarkStart w:id="483" w:name="_Toc142311039"/>
      <w:r/>
      <w:bookmarkStart w:id="484" w:name="_Toc264969227"/>
      <w:r/>
      <w:bookmarkStart w:id="485" w:name="_Toc150774742"/>
      <w:r/>
      <w:bookmarkStart w:id="486" w:name="_Toc164351631"/>
      <w:r/>
      <w:bookmarkStart w:id="487" w:name="_Toc151193707"/>
      <w:r/>
      <w:bookmarkStart w:id="488" w:name="_Toc151190164"/>
      <w:r/>
      <w:bookmarkStart w:id="489" w:name="_Toc164229378"/>
      <w:r/>
      <w:bookmarkStart w:id="490" w:name="_Toc226337233"/>
      <w:r/>
      <w:bookmarkStart w:id="491" w:name="_Toc150509288"/>
      <w:r/>
      <w:bookmarkStart w:id="492" w:name="_Toc150774637"/>
      <w:r/>
      <w:bookmarkStart w:id="493" w:name="_Toc127151738"/>
      <w:r/>
      <w:bookmarkStart w:id="494" w:name="_Toc127161451"/>
      <w:r/>
      <w:bookmarkStart w:id="495" w:name="_Toc226309781"/>
      <w:r/>
      <w:bookmarkStart w:id="496" w:name="_Toc265228375"/>
      <w:r/>
      <w:bookmarkStart w:id="497" w:name="_Toc149720830"/>
      <w:r/>
      <w:bookmarkStart w:id="498" w:name="_Toc164608806"/>
      <w:r/>
      <w:bookmarkStart w:id="499" w:name="_Toc195842902"/>
      <w:r/>
      <w:bookmarkStart w:id="500" w:name="_Toc151193925"/>
      <w:r/>
      <w:bookmarkStart w:id="501" w:name="_Toc164608651"/>
      <w:r/>
      <w:bookmarkStart w:id="502" w:name="_Toc226965810"/>
      <w:r/>
      <w:bookmarkStart w:id="503" w:name="_Toc520356162"/>
      <w:r/>
      <w:bookmarkStart w:id="504" w:name="_Toc151193779"/>
      <w:r/>
      <w:bookmarkStart w:id="505" w:name="_Toc164229232"/>
      <w:r/>
      <w:bookmarkStart w:id="506" w:name="_Toc127151537"/>
      <w:r/>
      <w:bookmarkStart w:id="507" w:name="_Toc305158805"/>
      <w:r/>
      <w:bookmarkStart w:id="508" w:name="_Toc305158879"/>
      <w:r/>
      <w:bookmarkStart w:id="509" w:name="_Toc22696572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57"/>
        <w:ind w:firstLine="480"/>
        <w:spacing w:line="360" w:lineRule="auto"/>
        <w:rPr>
          <w:rFonts w:hint="eastAsia" w:ascii="宋体" w:hAnsi="宋体" w:cs="宋体"/>
          <w:sz w:val="24"/>
        </w:rPr>
      </w:pPr>
      <w:r>
        <w:rPr>
          <w:rFonts w:hint="eastAsia" w:ascii="宋体" w:hAnsi="宋体" w:cs="宋体"/>
          <w:sz w:val="24"/>
        </w:rPr>
      </w:r>
      <w:r/>
    </w:p>
    <w:p>
      <w:pPr>
        <w:pStyle w:val="859"/>
        <w:ind w:firstLine="562"/>
        <w:spacing w:before="0" w:line="360" w:lineRule="auto"/>
        <w:rPr>
          <w:rFonts w:hint="eastAsia" w:ascii="宋体" w:hAnsi="宋体" w:eastAsia="宋体" w:cs="宋体"/>
          <w:sz w:val="28"/>
        </w:rPr>
      </w:pPr>
      <w:r/>
      <w:bookmarkStart w:id="510" w:name="_Toc150509289"/>
      <w:r/>
      <w:bookmarkStart w:id="511" w:name="_Toc151193852"/>
      <w:r/>
      <w:bookmarkStart w:id="512" w:name="_Toc151193780"/>
      <w:r/>
      <w:bookmarkStart w:id="513" w:name="_Toc195842903"/>
      <w:r/>
      <w:bookmarkStart w:id="514" w:name="_Toc127151538"/>
      <w:r/>
      <w:bookmarkStart w:id="515" w:name="_Toc305158880"/>
      <w:r/>
      <w:bookmarkStart w:id="516" w:name="_Toc151193926"/>
      <w:r/>
      <w:bookmarkStart w:id="517" w:name="_Toc151190165"/>
      <w:r/>
      <w:bookmarkStart w:id="518" w:name="_Toc226309782"/>
      <w:r/>
      <w:bookmarkStart w:id="519" w:name="_Toc520356163"/>
      <w:r/>
      <w:bookmarkStart w:id="520" w:name="_Toc150480776"/>
      <w:r/>
      <w:bookmarkStart w:id="521" w:name="_Toc265228376"/>
      <w:r/>
      <w:bookmarkStart w:id="522" w:name="_Toc226337234"/>
      <w:r/>
      <w:bookmarkStart w:id="523" w:name="_Toc151193708"/>
      <w:r/>
      <w:bookmarkStart w:id="524" w:name="_Toc150774743"/>
      <w:r/>
      <w:bookmarkStart w:id="525" w:name="_Toc142311040"/>
      <w:r/>
      <w:bookmarkStart w:id="526" w:name="_Toc305158806"/>
      <w:r/>
      <w:bookmarkStart w:id="527" w:name="_Toc226965728"/>
      <w:r/>
      <w:bookmarkStart w:id="528" w:name="_Toc226965811"/>
      <w:r/>
      <w:bookmarkStart w:id="529" w:name="_Toc151193636"/>
      <w:r/>
      <w:bookmarkStart w:id="530" w:name="_Toc264969228"/>
      <w:r/>
      <w:bookmarkStart w:id="531" w:name="_Toc15077463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49720832"/>
      <w:r/>
      <w:bookmarkStart w:id="533" w:name="_Toc151193637"/>
      <w:r/>
      <w:bookmarkStart w:id="534" w:name="_Toc127151740"/>
      <w:r/>
      <w:bookmarkStart w:id="535" w:name="_Toc150509290"/>
      <w:r/>
      <w:bookmarkStart w:id="536" w:name="_Toc164229234"/>
      <w:r/>
      <w:bookmarkStart w:id="537" w:name="_Toc164351633"/>
      <w:r/>
      <w:bookmarkStart w:id="538" w:name="_Toc265228377"/>
      <w:r/>
      <w:bookmarkStart w:id="539" w:name="_Toc264969229"/>
      <w:r/>
      <w:bookmarkStart w:id="540" w:name="_Toc164608808"/>
      <w:r/>
      <w:bookmarkStart w:id="541" w:name="_Toc151193781"/>
      <w:r/>
      <w:bookmarkStart w:id="542" w:name="_Toc164608653"/>
      <w:r/>
      <w:bookmarkStart w:id="543" w:name="_Toc305158881"/>
      <w:r/>
      <w:bookmarkStart w:id="544" w:name="_Toc151190166"/>
      <w:r/>
      <w:bookmarkStart w:id="545" w:name="_Toc127151539"/>
      <w:r/>
      <w:bookmarkStart w:id="546" w:name="_Toc127161453"/>
      <w:r/>
      <w:bookmarkStart w:id="547" w:name="_Toc150480777"/>
      <w:r/>
      <w:bookmarkStart w:id="548" w:name="_Toc142311041"/>
      <w:r/>
      <w:bookmarkStart w:id="549" w:name="_Toc226965729"/>
      <w:r/>
      <w:bookmarkStart w:id="550" w:name="_Toc151193709"/>
      <w:r/>
      <w:bookmarkStart w:id="551" w:name="_Toc195842904"/>
      <w:r/>
      <w:bookmarkStart w:id="552" w:name="_Toc150774744"/>
      <w:r/>
      <w:bookmarkStart w:id="553" w:name="_Toc151193853"/>
      <w:r/>
      <w:bookmarkStart w:id="554" w:name="_Toc226337235"/>
      <w:r/>
      <w:bookmarkStart w:id="555" w:name="_Toc520356164"/>
      <w:r/>
      <w:bookmarkStart w:id="556" w:name="_Toc305158807"/>
      <w:r/>
      <w:bookmarkStart w:id="557" w:name="_Toc151193927"/>
      <w:r/>
      <w:bookmarkStart w:id="558" w:name="_Toc226965812"/>
      <w:r/>
      <w:bookmarkStart w:id="559" w:name="_Toc164229380"/>
      <w:r/>
      <w:bookmarkStart w:id="560" w:name="_Toc226309783"/>
      <w:r/>
      <w:bookmarkStart w:id="561" w:name="_Toc15077463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57"/>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57"/>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305158882"/>
      <w:r/>
      <w:bookmarkStart w:id="564" w:name="_Toc265228378"/>
      <w:r/>
      <w:bookmarkStart w:id="565" w:name="_Toc226965730"/>
      <w:r/>
      <w:bookmarkStart w:id="566" w:name="_Toc150509291"/>
      <w:r/>
      <w:bookmarkStart w:id="567" w:name="_Toc151193710"/>
      <w:r/>
      <w:bookmarkStart w:id="568" w:name="_Toc164608809"/>
      <w:r/>
      <w:bookmarkStart w:id="569" w:name="_Toc195842905"/>
      <w:r/>
      <w:bookmarkStart w:id="570" w:name="_Toc150774745"/>
      <w:r/>
      <w:bookmarkStart w:id="571" w:name="_Toc151193638"/>
      <w:r/>
      <w:bookmarkStart w:id="572" w:name="_Toc151190167"/>
      <w:r/>
      <w:bookmarkStart w:id="573" w:name="_Toc142311042"/>
      <w:r/>
      <w:bookmarkStart w:id="574" w:name="_Toc226965813"/>
      <w:r/>
      <w:bookmarkStart w:id="575" w:name="_Toc151193928"/>
      <w:r/>
      <w:bookmarkStart w:id="576" w:name="_Toc226309784"/>
      <w:r/>
      <w:bookmarkStart w:id="577" w:name="_Toc150480778"/>
      <w:r/>
      <w:bookmarkStart w:id="578" w:name="_Toc149720833"/>
      <w:r/>
      <w:bookmarkStart w:id="579" w:name="_Toc305158808"/>
      <w:r/>
      <w:bookmarkStart w:id="580" w:name="_Toc150774640"/>
      <w:r/>
      <w:bookmarkStart w:id="581" w:name="_Toc264969230"/>
      <w:r/>
      <w:bookmarkStart w:id="582" w:name="_Toc226337236"/>
      <w:r/>
      <w:bookmarkStart w:id="583" w:name="_Toc164229235"/>
      <w:r/>
      <w:bookmarkStart w:id="584" w:name="_Toc151193854"/>
      <w:r/>
      <w:bookmarkStart w:id="585" w:name="_Toc151193782"/>
      <w:r/>
      <w:bookmarkStart w:id="586" w:name="_Toc164608654"/>
      <w:r/>
      <w:bookmarkStart w:id="587" w:name="_Toc127151540"/>
      <w:r/>
      <w:bookmarkStart w:id="588" w:name="_Toc164351634"/>
      <w:r/>
      <w:bookmarkStart w:id="589" w:name="_Toc127161454"/>
      <w:r/>
      <w:bookmarkStart w:id="590" w:name="_Toc164229381"/>
      <w:r/>
      <w:bookmarkStart w:id="591" w:name="_Toc127151741"/>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57"/>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9"/>
        <w:ind w:firstLine="562"/>
        <w:spacing w:before="0" w:line="360" w:lineRule="auto"/>
        <w:rPr>
          <w:rFonts w:hint="eastAsia" w:ascii="宋体" w:hAnsi="宋体" w:eastAsia="宋体" w:cs="宋体"/>
          <w:sz w:val="28"/>
        </w:rPr>
      </w:pPr>
      <w:r/>
      <w:bookmarkStart w:id="594" w:name="_Toc150774645"/>
      <w:r/>
      <w:bookmarkStart w:id="595" w:name="_Toc151193933"/>
      <w:r/>
      <w:bookmarkStart w:id="596" w:name="_Toc226309789"/>
      <w:r/>
      <w:bookmarkStart w:id="597" w:name="_Toc151193859"/>
      <w:r/>
      <w:bookmarkStart w:id="598" w:name="_Toc151190172"/>
      <w:r/>
      <w:bookmarkStart w:id="599" w:name="_Toc127151545"/>
      <w:r/>
      <w:bookmarkStart w:id="600" w:name="_Toc305158887"/>
      <w:r/>
      <w:bookmarkStart w:id="601" w:name="_Toc226337241"/>
      <w:r/>
      <w:bookmarkStart w:id="602" w:name="_Toc150509296"/>
      <w:r/>
      <w:bookmarkStart w:id="603" w:name="_Toc226965735"/>
      <w:r/>
      <w:bookmarkStart w:id="604" w:name="_Toc151193787"/>
      <w:r/>
      <w:bookmarkStart w:id="605" w:name="_Toc305158813"/>
      <w:r/>
      <w:bookmarkStart w:id="606" w:name="_Toc150480783"/>
      <w:r/>
      <w:bookmarkStart w:id="607" w:name="_Toc151193643"/>
      <w:r/>
      <w:bookmarkStart w:id="608" w:name="_Toc265228383"/>
      <w:r/>
      <w:bookmarkStart w:id="609" w:name="_Toc195842910"/>
      <w:r/>
      <w:bookmarkStart w:id="610" w:name="_Toc150774750"/>
      <w:r/>
      <w:bookmarkStart w:id="611" w:name="_Toc142311047"/>
      <w:r/>
      <w:bookmarkStart w:id="612" w:name="_Toc226965818"/>
      <w:r/>
      <w:bookmarkStart w:id="613" w:name="_Toc264969235"/>
      <w:r/>
      <w:bookmarkStart w:id="614" w:name="_Toc15119371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717"/>
      <w:r/>
      <w:bookmarkStart w:id="616" w:name="_Toc226337243"/>
      <w:r/>
      <w:bookmarkStart w:id="617" w:name="_Toc151193935"/>
      <w:r/>
      <w:bookmarkStart w:id="618" w:name="_Toc226965737"/>
      <w:r/>
      <w:bookmarkStart w:id="619" w:name="_Toc151193789"/>
      <w:r/>
      <w:bookmarkStart w:id="620" w:name="_Toc226965820"/>
      <w:r/>
      <w:bookmarkStart w:id="621" w:name="_Toc164229388"/>
      <w:r/>
      <w:bookmarkStart w:id="622" w:name="_Toc151193861"/>
      <w:r/>
      <w:bookmarkStart w:id="623" w:name="_Toc127151748"/>
      <w:r/>
      <w:bookmarkStart w:id="624" w:name="_Toc151193645"/>
      <w:r/>
      <w:bookmarkStart w:id="625" w:name="_Toc151190174"/>
      <w:r/>
      <w:bookmarkStart w:id="626" w:name="_Toc264969237"/>
      <w:r/>
      <w:bookmarkStart w:id="627" w:name="_Toc164608816"/>
      <w:r/>
      <w:bookmarkStart w:id="628" w:name="_Toc164608661"/>
      <w:r/>
      <w:bookmarkStart w:id="629" w:name="_Toc127151547"/>
      <w:r/>
      <w:bookmarkStart w:id="630" w:name="_Toc164351641"/>
      <w:r/>
      <w:bookmarkStart w:id="631" w:name="_Toc149720840"/>
      <w:r/>
      <w:bookmarkStart w:id="632" w:name="_Toc150774752"/>
      <w:r/>
      <w:bookmarkStart w:id="633" w:name="_Toc127161461"/>
      <w:r/>
      <w:bookmarkStart w:id="634" w:name="_Toc305158815"/>
      <w:r/>
      <w:bookmarkStart w:id="635" w:name="_Toc226309791"/>
      <w:r/>
      <w:bookmarkStart w:id="636" w:name="_Toc142311049"/>
      <w:r/>
      <w:bookmarkStart w:id="637" w:name="_Toc305158889"/>
      <w:r/>
      <w:bookmarkStart w:id="638" w:name="_Toc265228385"/>
      <w:r/>
      <w:bookmarkStart w:id="639" w:name="_Toc150480785"/>
      <w:r/>
      <w:bookmarkStart w:id="640" w:name="_Toc195842912"/>
      <w:r/>
      <w:bookmarkStart w:id="641" w:name="_Toc164229242"/>
      <w:r/>
      <w:bookmarkStart w:id="642" w:name="_Toc150774647"/>
      <w:r/>
      <w:bookmarkStart w:id="643" w:name="_Toc150509298"/>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226309793"/>
      <w:r/>
      <w:bookmarkStart w:id="645" w:name="_Toc226337245"/>
      <w:r/>
      <w:bookmarkStart w:id="646" w:name="_Toc164608663"/>
      <w:r/>
      <w:bookmarkStart w:id="647" w:name="_Toc305158891"/>
      <w:r/>
      <w:bookmarkStart w:id="648" w:name="_Toc226965739"/>
      <w:r/>
      <w:bookmarkStart w:id="649" w:name="_Toc265228387"/>
      <w:r/>
      <w:bookmarkStart w:id="650" w:name="_Toc164229390"/>
      <w:r/>
      <w:bookmarkStart w:id="651" w:name="_Toc150480787"/>
      <w:r/>
      <w:bookmarkStart w:id="652" w:name="_Ref467307090"/>
      <w:r/>
      <w:bookmarkStart w:id="653" w:name="_Ref467306425"/>
      <w:r/>
      <w:bookmarkStart w:id="654" w:name="_Toc520356176"/>
      <w:r/>
      <w:bookmarkStart w:id="655" w:name="_Toc127151750"/>
      <w:r/>
      <w:bookmarkStart w:id="656" w:name="_Toc151193791"/>
      <w:r/>
      <w:bookmarkStart w:id="657" w:name="_Toc164229244"/>
      <w:r/>
      <w:bookmarkStart w:id="658" w:name="_Toc151193647"/>
      <w:r/>
      <w:bookmarkStart w:id="659" w:name="_Toc150509300"/>
      <w:r/>
      <w:bookmarkStart w:id="660" w:name="_Toc226965822"/>
      <w:r/>
      <w:bookmarkStart w:id="661" w:name="_Toc305158817"/>
      <w:r/>
      <w:bookmarkStart w:id="662" w:name="_Toc195842914"/>
      <w:r/>
      <w:bookmarkStart w:id="663" w:name="_Toc151190176"/>
      <w:r/>
      <w:bookmarkStart w:id="664" w:name="_Toc150774754"/>
      <w:r/>
      <w:bookmarkStart w:id="665" w:name="_Toc151193719"/>
      <w:r/>
      <w:bookmarkStart w:id="666" w:name="_Toc264969239"/>
      <w:r/>
      <w:bookmarkStart w:id="667" w:name="_Toc164608818"/>
      <w:r/>
      <w:bookmarkStart w:id="668" w:name="_Toc151193863"/>
      <w:r/>
      <w:bookmarkStart w:id="669" w:name="_Toc127161463"/>
      <w:r/>
      <w:bookmarkStart w:id="670" w:name="_Toc150774649"/>
      <w:r/>
      <w:bookmarkStart w:id="671" w:name="_Toc164351643"/>
      <w:r/>
      <w:bookmarkStart w:id="672" w:name="_Toc142311051"/>
      <w:r/>
      <w:bookmarkStart w:id="673" w:name="_Toc149720842"/>
      <w:r/>
      <w:bookmarkStart w:id="674" w:name="_Toc151193937"/>
      <w:r/>
      <w:bookmarkStart w:id="675" w:name="_Toc127151549"/>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57"/>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774755"/>
      <w:r/>
      <w:bookmarkStart w:id="677" w:name="_Toc150774650"/>
      <w:r/>
      <w:bookmarkStart w:id="678" w:name="_Toc305158892"/>
      <w:r/>
      <w:bookmarkStart w:id="679" w:name="_Toc164229391"/>
      <w:r/>
      <w:bookmarkStart w:id="680" w:name="_Toc149720843"/>
      <w:r/>
      <w:bookmarkStart w:id="681" w:name="_Toc164229245"/>
      <w:r/>
      <w:bookmarkStart w:id="682" w:name="_Toc264969240"/>
      <w:r/>
      <w:bookmarkStart w:id="683" w:name="_Toc142311052"/>
      <w:r/>
      <w:bookmarkStart w:id="684" w:name="_Toc151193648"/>
      <w:r/>
      <w:bookmarkStart w:id="685" w:name="_Toc127151550"/>
      <w:r/>
      <w:bookmarkStart w:id="686" w:name="_Toc151193864"/>
      <w:r/>
      <w:bookmarkStart w:id="687" w:name="_Toc164608819"/>
      <w:r/>
      <w:bookmarkStart w:id="688" w:name="_Ref467307204"/>
      <w:r/>
      <w:bookmarkStart w:id="689" w:name="_Ref467306377"/>
      <w:r/>
      <w:bookmarkStart w:id="690" w:name="_Toc164351644"/>
      <w:r/>
      <w:bookmarkStart w:id="691" w:name="_Ref467307062"/>
      <w:r/>
      <w:bookmarkStart w:id="692" w:name="_Toc226337246"/>
      <w:r/>
      <w:bookmarkStart w:id="693" w:name="_Toc164608664"/>
      <w:r/>
      <w:bookmarkStart w:id="694" w:name="_Toc127151751"/>
      <w:r/>
      <w:bookmarkStart w:id="695" w:name="_Toc226309794"/>
      <w:r/>
      <w:bookmarkStart w:id="696" w:name="_Toc150480788"/>
      <w:r/>
      <w:bookmarkStart w:id="697" w:name="_Toc226965740"/>
      <w:r/>
      <w:bookmarkStart w:id="698" w:name="_Toc195842915"/>
      <w:r/>
      <w:bookmarkStart w:id="699" w:name="_Toc151193720"/>
      <w:r/>
      <w:bookmarkStart w:id="700" w:name="_Toc265228388"/>
      <w:r/>
      <w:bookmarkStart w:id="701" w:name="_Ref467306978"/>
      <w:r/>
      <w:bookmarkStart w:id="702" w:name="_Toc305158818"/>
      <w:r/>
      <w:bookmarkStart w:id="703" w:name="_Toc151193792"/>
      <w:r/>
      <w:bookmarkStart w:id="704" w:name="_Toc127161464"/>
      <w:r/>
      <w:bookmarkStart w:id="705" w:name="_Toc151190177"/>
      <w:r/>
      <w:bookmarkStart w:id="706" w:name="_Toc151193938"/>
      <w:r/>
      <w:bookmarkStart w:id="707" w:name="_Toc226965823"/>
      <w:r/>
      <w:bookmarkStart w:id="708" w:name="_Toc520356175"/>
      <w:r/>
      <w:bookmarkStart w:id="709" w:name="_Toc150509301"/>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57"/>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57"/>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33"/>
          <w:rFonts w:hint="eastAsia" w:ascii="宋体" w:hAnsi="宋体" w:cs="宋体"/>
        </w:rPr>
        <w:t xml:space="preserve">http://gk</w:t>
      </w:r>
      <w:bookmarkStart w:id="710" w:name="_Hlt100654014"/>
      <w:r>
        <w:rPr>
          <w:rStyle w:val="933"/>
          <w:rFonts w:hint="eastAsia" w:ascii="宋体" w:hAnsi="宋体" w:cs="宋体"/>
        </w:rPr>
        <w:t xml:space="preserve">s</w:t>
      </w:r>
      <w:bookmarkEnd w:id="710"/>
      <w:r>
        <w:rPr>
          <w:rStyle w:val="933"/>
          <w:rFonts w:hint="eastAsia" w:ascii="宋体" w:hAnsi="宋体" w:cs="宋体"/>
        </w:rPr>
        <w:t xml:space="preserve">.m</w:t>
      </w:r>
      <w:bookmarkStart w:id="711" w:name="_Hlt100653993"/>
      <w:r/>
      <w:bookmarkStart w:id="712" w:name="_Hlt100653994"/>
      <w:r>
        <w:rPr>
          <w:rStyle w:val="933"/>
          <w:rFonts w:hint="eastAsia" w:ascii="宋体" w:hAnsi="宋体" w:cs="宋体"/>
        </w:rPr>
        <w:t xml:space="preserve">o</w:t>
      </w:r>
      <w:bookmarkEnd w:id="711"/>
      <w:r/>
      <w:bookmarkEnd w:id="712"/>
      <w:r>
        <w:rPr>
          <w:rStyle w:val="933"/>
          <w:rFonts w:hint="eastAsia" w:ascii="宋体" w:hAnsi="宋体" w:cs="宋体"/>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57"/>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7"/>
        <w:jc w:val="center"/>
        <w:spacing w:line="360" w:lineRule="auto"/>
        <w:rPr>
          <w:rFonts w:hint="eastAsia" w:ascii="宋体" w:hAnsi="宋体" w:cs="宋体"/>
          <w:b/>
          <w:sz w:val="36"/>
          <w:szCs w:val="36"/>
        </w:rPr>
        <w:outlineLvl w:val="0"/>
      </w:pPr>
      <w:r/>
      <w:bookmarkStart w:id="713" w:name="_Toc127151554"/>
      <w:r/>
      <w:bookmarkStart w:id="714" w:name="_Toc265228392"/>
      <w:r/>
      <w:bookmarkStart w:id="715" w:name="_Toc305158896"/>
      <w:r/>
      <w:bookmarkStart w:id="716" w:name="_Toc150480792"/>
      <w:r/>
      <w:bookmarkStart w:id="717" w:name="_Toc150774759"/>
      <w:r/>
      <w:bookmarkStart w:id="718" w:name="_Toc305158822"/>
      <w:r/>
      <w:bookmarkStart w:id="719" w:name="_Toc353873934"/>
      <w:r/>
      <w:bookmarkStart w:id="720" w:name="_Toc226337250"/>
      <w:r/>
      <w:bookmarkStart w:id="721" w:name="_Toc226965827"/>
      <w:r/>
      <w:bookmarkStart w:id="722" w:name="_Toc353825544"/>
      <w:r/>
      <w:bookmarkStart w:id="723" w:name="_Toc353873664"/>
      <w:r/>
      <w:bookmarkStart w:id="724" w:name="_Toc142311056"/>
      <w:r/>
      <w:bookmarkStart w:id="725" w:name="_Toc26496924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57"/>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57"/>
        <w:jc w:val="left"/>
        <w:widowControl/>
        <w:rPr>
          <w:rFonts w:hint="eastAsia" w:ascii="宋体" w:hAnsi="宋体" w:cs="宋体"/>
          <w:sz w:val="24"/>
        </w:rPr>
      </w:pPr>
      <w:r>
        <w:rPr>
          <w:rFonts w:hint="eastAsia" w:ascii="宋体" w:hAnsi="宋体" w:cs="宋体"/>
          <w:sz w:val="24"/>
        </w:rPr>
      </w:r>
      <w:r/>
    </w:p>
    <w:p>
      <w:pPr>
        <w:pStyle w:val="857"/>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57"/>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57"/>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57"/>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57"/>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57"/>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127161490"/>
      <w:r/>
      <w:bookmarkStart w:id="732" w:name="_Toc353873940"/>
      <w:r/>
      <w:bookmarkStart w:id="733" w:name="_Toc353825550"/>
      <w:r/>
      <w:bookmarkStart w:id="734" w:name="_Toc226965858"/>
      <w:r>
        <w:rPr>
          <w:rFonts w:hint="eastAsia" w:ascii="宋体" w:hAnsi="宋体" w:cs="宋体"/>
          <w:sz w:val="24"/>
        </w:rPr>
        <w:br w:type="page" w:clear="all"/>
      </w:r>
      <w:r/>
    </w:p>
    <w:p>
      <w:pPr>
        <w:pStyle w:val="857"/>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57"/>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57"/>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27151541"/>
      <w:r/>
      <w:bookmarkStart w:id="738" w:name="_Toc195842906"/>
      <w:r/>
      <w:bookmarkStart w:id="739" w:name="_Toc151190168"/>
      <w:r/>
      <w:bookmarkStart w:id="740" w:name="_Toc150774746"/>
      <w:r/>
      <w:bookmarkStart w:id="741" w:name="_Toc151193711"/>
      <w:r/>
      <w:bookmarkStart w:id="742" w:name="_Toc226965814"/>
      <w:r/>
      <w:bookmarkStart w:id="743" w:name="_Toc305158883"/>
      <w:r/>
      <w:bookmarkStart w:id="744" w:name="_Toc164229236"/>
      <w:r/>
      <w:bookmarkStart w:id="745" w:name="_Toc142311043"/>
      <w:r/>
      <w:bookmarkStart w:id="746" w:name="_Toc151193929"/>
      <w:r/>
      <w:bookmarkStart w:id="747" w:name="_Toc265228379"/>
      <w:r/>
      <w:bookmarkStart w:id="748" w:name="_Toc164351635"/>
      <w:r/>
      <w:bookmarkStart w:id="749" w:name="_Toc226309785"/>
      <w:r/>
      <w:bookmarkStart w:id="750" w:name="_Toc150774641"/>
      <w:r/>
      <w:bookmarkStart w:id="751" w:name="_Toc164608655"/>
      <w:r/>
      <w:bookmarkStart w:id="752" w:name="_Toc151193855"/>
      <w:r/>
      <w:bookmarkStart w:id="753" w:name="_Toc127161455"/>
      <w:r/>
      <w:bookmarkStart w:id="754" w:name="_Toc150509292"/>
      <w:r/>
      <w:bookmarkStart w:id="755" w:name="_Toc127151742"/>
      <w:r/>
      <w:bookmarkStart w:id="756" w:name="_Toc264969231"/>
      <w:r/>
      <w:bookmarkStart w:id="757" w:name="_Toc164229382"/>
      <w:r/>
      <w:bookmarkStart w:id="758" w:name="_Toc305158809"/>
      <w:r/>
      <w:bookmarkStart w:id="759" w:name="_Toc164608810"/>
      <w:r/>
      <w:bookmarkStart w:id="760" w:name="_Toc150480779"/>
      <w:r/>
      <w:bookmarkStart w:id="761" w:name="_Toc149720834"/>
      <w:r/>
      <w:bookmarkStart w:id="762" w:name="_Toc226337237"/>
      <w:r/>
      <w:bookmarkStart w:id="763" w:name="_Toc226965731"/>
      <w:r/>
      <w:bookmarkStart w:id="764" w:name="_Toc151193783"/>
      <w:r/>
      <w:bookmarkStart w:id="765" w:name="_Toc151193639"/>
      <w:r/>
      <w:bookmarkStart w:id="766" w:name="_Toc353825551"/>
      <w:r/>
      <w:bookmarkStart w:id="767" w:name="_Toc353873941"/>
      <w:r/>
      <w:bookmarkStart w:id="768" w:name="_Toc353873935"/>
      <w:r/>
      <w:bookmarkStart w:id="769" w:name="_Toc150480793"/>
      <w:r/>
      <w:bookmarkStart w:id="770" w:name="_Toc353873665"/>
      <w:r/>
      <w:bookmarkStart w:id="771" w:name="_Toc226965828"/>
      <w:r/>
      <w:bookmarkStart w:id="772" w:name="_Toc264969245"/>
      <w:r/>
      <w:bookmarkStart w:id="773" w:name="_Toc305158823"/>
      <w:r/>
      <w:bookmarkStart w:id="774" w:name="_Toc353825545"/>
      <w:r/>
      <w:bookmarkStart w:id="775" w:name="_Toc142311057"/>
      <w:r/>
      <w:bookmarkStart w:id="776" w:name="_Toc195842920"/>
      <w:r/>
      <w:bookmarkStart w:id="777" w:name="_Toc150774760"/>
      <w:r/>
      <w:bookmarkStart w:id="778" w:name="_Toc226337251"/>
      <w:r/>
      <w:bookmarkStart w:id="779" w:name="_Toc265228393"/>
      <w:r/>
      <w:bookmarkStart w:id="780" w:name="_Toc127151555"/>
      <w:r/>
      <w:bookmarkStart w:id="781" w:name="_Toc305158897"/>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57"/>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57"/>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57"/>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sz w:val="24"/>
        </w:rPr>
        <w:t xml:space="preserve">符合性审查要求</w:t>
      </w:r>
      <w:r>
        <w:rPr>
          <w:rFonts w:hint="eastAsia" w:ascii="宋体" w:hAnsi="宋体" w:cs="宋体"/>
          <w:b/>
          <w:color w:val="000000"/>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7"/>
              <w:jc w:val="center"/>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976" w:type="pct"/>
            <w:vAlign w:val="center"/>
            <w:textDirection w:val="lrTb"/>
            <w:noWrap w:val="false"/>
          </w:tcPr>
          <w:p>
            <w:pPr>
              <w:pStyle w:val="857"/>
              <w:jc w:val="center"/>
              <w:widowControl/>
              <w:rPr>
                <w:rFonts w:hint="eastAsia" w:ascii="宋体" w:hAnsi="宋体" w:cs="宋体"/>
                <w:b/>
                <w:color w:val="000000"/>
                <w:sz w:val="24"/>
              </w:rPr>
            </w:pPr>
            <w:r>
              <w:rPr>
                <w:rFonts w:hint="eastAsia" w:ascii="宋体" w:hAnsi="宋体" w:cs="宋体"/>
                <w:b/>
                <w:color w:val="000000"/>
                <w:sz w:val="24"/>
              </w:rPr>
              <w:t xml:space="preserve">审查因素</w:t>
            </w:r>
            <w:r/>
          </w:p>
        </w:tc>
        <w:tc>
          <w:tcPr>
            <w:tcW w:w="3620" w:type="pct"/>
            <w:vAlign w:val="center"/>
            <w:textDirection w:val="lrTb"/>
            <w:noWrap w:val="false"/>
          </w:tcPr>
          <w:p>
            <w:pPr>
              <w:pStyle w:val="857"/>
              <w:jc w:val="center"/>
              <w:widowControl/>
              <w:rPr>
                <w:rFonts w:hint="eastAsia" w:ascii="宋体" w:hAnsi="宋体" w:cs="宋体"/>
                <w:b/>
                <w:color w:val="000000"/>
                <w:sz w:val="24"/>
              </w:rPr>
            </w:pPr>
            <w:r>
              <w:rPr>
                <w:rFonts w:hint="eastAsia" w:ascii="宋体" w:hAnsi="宋体" w:cs="宋体"/>
                <w:b/>
                <w:color w:val="000000"/>
                <w:sz w:val="24"/>
              </w:rPr>
              <w:t xml:space="preserve">审查内容</w:t>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投标有效期</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签署、加盖公章</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实质性格式</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★号条款响应</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分包意向协议</w:t>
            </w:r>
            <w:r/>
          </w:p>
          <w:p>
            <w:pPr>
              <w:pStyle w:val="857"/>
              <w:jc w:val="left"/>
              <w:widowControl/>
              <w:rPr>
                <w:rFonts w:hint="eastAsia" w:ascii="宋体" w:hAnsi="宋体" w:cs="宋体"/>
                <w:color w:val="000000"/>
                <w:sz w:val="24"/>
              </w:rPr>
            </w:pPr>
            <w:r>
              <w:rPr>
                <w:rFonts w:hint="eastAsia" w:ascii="宋体" w:hAnsi="宋体" w:cs="宋体"/>
                <w:color w:val="000000"/>
                <w:sz w:val="24"/>
              </w:rPr>
              <w:t xml:space="preserve">（如有）</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11</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12</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报价合理性</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进口产品</w:t>
            </w:r>
            <w:r/>
          </w:p>
          <w:p>
            <w:pPr>
              <w:pStyle w:val="857"/>
              <w:jc w:val="left"/>
              <w:widowControl/>
              <w:rPr>
                <w:rFonts w:hint="eastAsia" w:ascii="宋体" w:hAnsi="宋体" w:cs="宋体"/>
                <w:color w:val="000000"/>
                <w:sz w:val="24"/>
              </w:rPr>
            </w:pPr>
            <w:r>
              <w:rPr>
                <w:rFonts w:hint="eastAsia" w:ascii="宋体" w:hAnsi="宋体" w:cs="宋体"/>
                <w:color w:val="000000"/>
                <w:sz w:val="24"/>
              </w:rPr>
              <w:t xml:space="preserve">（如有）</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14</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p>
          <w:p>
            <w:pPr>
              <w:pStyle w:val="857"/>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57"/>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p>
          <w:p>
            <w:pPr>
              <w:pStyle w:val="857"/>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57"/>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15</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公平竞争</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16</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串通投标</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p>
          <w:p>
            <w:pPr>
              <w:pStyle w:val="857"/>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p>
          <w:p>
            <w:pPr>
              <w:pStyle w:val="857"/>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w:t>
            </w:r>
            <w:r/>
          </w:p>
          <w:p>
            <w:pPr>
              <w:pStyle w:val="857"/>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p>
          <w:p>
            <w:pPr>
              <w:pStyle w:val="857"/>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p>
          <w:p>
            <w:pPr>
              <w:pStyle w:val="857"/>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p>
          <w:p>
            <w:pPr>
              <w:pStyle w:val="857"/>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17</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附加条件</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p>
        </w:tc>
      </w:tr>
      <w:tr>
        <w:trPr>
          <w:trHeight w:val="685"/>
        </w:trPr>
        <w:tc>
          <w:tcPr>
            <w:tcW w:w="404" w:type="pct"/>
            <w:vAlign w:val="center"/>
            <w:textDirection w:val="lrTb"/>
            <w:noWrap w:val="false"/>
          </w:tcPr>
          <w:p>
            <w:pPr>
              <w:pStyle w:val="857"/>
              <w:jc w:val="center"/>
              <w:widowControl/>
              <w:rPr>
                <w:rFonts w:hint="eastAsia" w:ascii="宋体" w:hAnsi="宋体" w:cs="宋体"/>
                <w:color w:val="000000"/>
                <w:sz w:val="24"/>
              </w:rPr>
            </w:pPr>
            <w:r>
              <w:rPr>
                <w:rFonts w:hint="eastAsia" w:ascii="宋体" w:hAnsi="宋体" w:cs="宋体"/>
                <w:color w:val="000000"/>
                <w:sz w:val="24"/>
              </w:rPr>
              <w:t xml:space="preserve">18</w:t>
            </w:r>
            <w:r/>
          </w:p>
        </w:tc>
        <w:tc>
          <w:tcPr>
            <w:tcW w:w="976"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其他无效情形</w:t>
            </w:r>
            <w:r/>
          </w:p>
        </w:tc>
        <w:tc>
          <w:tcPr>
            <w:tcW w:w="3620" w:type="pct"/>
            <w:vAlign w:val="center"/>
            <w:textDirection w:val="lrTb"/>
            <w:noWrap w:val="false"/>
          </w:tcPr>
          <w:p>
            <w:pPr>
              <w:pStyle w:val="857"/>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857"/>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ff"/>
          <w:sz w:val="24"/>
        </w:rPr>
      </w:pPr>
      <w:r>
        <w:rPr>
          <w:rFonts w:hint="eastAsia" w:ascii="宋体" w:hAnsi="宋体" w:cs="宋体"/>
          <w:color w:val="0000ff"/>
          <w:sz w:val="24"/>
        </w:rPr>
        <w:t xml:space="preserve">评审过程中出现下列情形之一的，评标委员会应当启动异常低价投标审查程序：</w:t>
      </w:r>
      <w:r/>
    </w:p>
    <w:p>
      <w:pPr>
        <w:pStyle w:val="857"/>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0000ff"/>
          <w:sz w:val="24"/>
        </w:rPr>
      </w:pPr>
      <w:r>
        <w:rPr>
          <w:rFonts w:hint="eastAsia" w:ascii="宋体" w:hAnsi="宋体" w:cs="宋体"/>
          <w:color w:val="0000ff"/>
          <w:sz w:val="24"/>
        </w:rPr>
        <w:t xml:space="preserve">投标报价低于采购项目预算50%的，即投标报价＜采购项目预算×50%；</w:t>
      </w:r>
      <w:r/>
    </w:p>
    <w:p>
      <w:pPr>
        <w:pStyle w:val="857"/>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0000ff"/>
          <w:sz w:val="24"/>
        </w:rPr>
      </w:pPr>
      <w:r>
        <w:rPr>
          <w:rFonts w:hint="eastAsia" w:ascii="宋体" w:hAnsi="宋体" w:cs="宋体"/>
          <w:color w:val="0000ff"/>
          <w:sz w:val="24"/>
        </w:rPr>
        <w:t xml:space="preserve">投标报价低于采购项目最高限价45%的，即投标报价＜采购项目最高限价×45%；</w:t>
      </w:r>
      <w:r/>
    </w:p>
    <w:p>
      <w:pPr>
        <w:pStyle w:val="857"/>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0000ff"/>
          <w:sz w:val="24"/>
        </w:rPr>
      </w:pPr>
      <w:r>
        <w:rPr>
          <w:rFonts w:hint="eastAsia" w:ascii="宋体" w:hAnsi="宋体" w:cs="宋体"/>
          <w:color w:val="0000ff"/>
          <w:sz w:val="24"/>
        </w:rPr>
        <w:t xml:space="preserve">评标委员会认定的供应商报价过低、有可能影响产品质量或者不能诚信履约的其他情形。</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ff"/>
          <w:sz w:val="24"/>
        </w:rPr>
      </w:pPr>
      <w:r>
        <w:rPr>
          <w:rFonts w:hint="eastAsia" w:ascii="宋体" w:hAnsi="宋体" w:cs="宋体"/>
          <w:color w:val="0000ff"/>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5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5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5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5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5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5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0774646"/>
      <w:r/>
      <w:bookmarkStart w:id="784" w:name="_Toc151193644"/>
      <w:r/>
      <w:bookmarkStart w:id="785" w:name="_Toc151193934"/>
      <w:r/>
      <w:bookmarkStart w:id="786" w:name="_Toc164608660"/>
      <w:r/>
      <w:bookmarkStart w:id="787" w:name="_Toc226965736"/>
      <w:r/>
      <w:bookmarkStart w:id="788" w:name="_Toc226965819"/>
      <w:r/>
      <w:bookmarkStart w:id="789" w:name="_Toc150509297"/>
      <w:r/>
      <w:bookmarkStart w:id="790" w:name="_Toc149720839"/>
      <w:r/>
      <w:bookmarkStart w:id="791" w:name="_Toc305158814"/>
      <w:r/>
      <w:bookmarkStart w:id="792" w:name="_Toc150480784"/>
      <w:r/>
      <w:bookmarkStart w:id="793" w:name="_Toc195842911"/>
      <w:r/>
      <w:bookmarkStart w:id="794" w:name="_Toc164351640"/>
      <w:r/>
      <w:bookmarkStart w:id="795" w:name="_Toc520356170"/>
      <w:r/>
      <w:bookmarkStart w:id="796" w:name="_Ref467307010"/>
      <w:r/>
      <w:bookmarkStart w:id="797" w:name="_Toc151193716"/>
      <w:r/>
      <w:bookmarkStart w:id="798" w:name="_Toc164229241"/>
      <w:r/>
      <w:bookmarkStart w:id="799" w:name="_Toc150774751"/>
      <w:r/>
      <w:bookmarkStart w:id="800" w:name="_Toc164229387"/>
      <w:r/>
      <w:bookmarkStart w:id="801" w:name="_Toc151193860"/>
      <w:r/>
      <w:bookmarkStart w:id="802" w:name="_Toc127151747"/>
      <w:r/>
      <w:bookmarkStart w:id="803" w:name="_Toc127151546"/>
      <w:r/>
      <w:bookmarkStart w:id="804" w:name="_Toc265228384"/>
      <w:r/>
      <w:bookmarkStart w:id="805" w:name="_Toc264969236"/>
      <w:r/>
      <w:bookmarkStart w:id="806" w:name="_Toc226309790"/>
      <w:r/>
      <w:bookmarkStart w:id="807" w:name="_Toc164608815"/>
      <w:r/>
      <w:bookmarkStart w:id="808" w:name="_Toc151193788"/>
      <w:r/>
      <w:bookmarkStart w:id="809" w:name="_Toc226337242"/>
      <w:r/>
      <w:bookmarkStart w:id="810" w:name="_Toc142311048"/>
      <w:r/>
      <w:bookmarkStart w:id="811" w:name="_Toc127161460"/>
      <w:r/>
      <w:bookmarkStart w:id="812" w:name="_Toc305158888"/>
      <w:r/>
      <w:bookmarkStart w:id="813" w:name="_Toc151190173"/>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89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57"/>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57"/>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857"/>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857"/>
              <w:ind w:firstLine="28"/>
              <w:jc w:val="center"/>
              <w:rPr>
                <w:rFonts w:ascii="宋体" w:hAnsi="宋体"/>
                <w:b/>
                <w:sz w:val="24"/>
              </w:rPr>
            </w:pPr>
            <w:r>
              <w:rPr>
                <w:rFonts w:ascii="宋体" w:hAnsi="宋体"/>
                <w:b/>
                <w:sz w:val="24"/>
              </w:rPr>
              <w:t xml:space="preserve">序号</w:t>
            </w:r>
            <w:r/>
          </w:p>
        </w:tc>
        <w:tc>
          <w:tcPr>
            <w:tcW w:w="1462" w:type="dxa"/>
            <w:vAlign w:val="center"/>
            <w:textDirection w:val="lrTb"/>
            <w:noWrap w:val="false"/>
          </w:tcPr>
          <w:p>
            <w:pPr>
              <w:pStyle w:val="857"/>
              <w:ind w:firstLine="28"/>
              <w:jc w:val="center"/>
              <w:rPr>
                <w:rFonts w:ascii="宋体" w:hAnsi="宋体"/>
                <w:b/>
                <w:sz w:val="24"/>
              </w:rPr>
            </w:pPr>
            <w:r>
              <w:rPr>
                <w:rFonts w:ascii="宋体" w:hAnsi="宋体"/>
                <w:b/>
                <w:sz w:val="24"/>
              </w:rPr>
              <w:t xml:space="preserve">评分因素</w:t>
            </w:r>
            <w:r/>
          </w:p>
        </w:tc>
        <w:tc>
          <w:tcPr>
            <w:tcW w:w="913" w:type="dxa"/>
            <w:vAlign w:val="center"/>
            <w:textDirection w:val="lrTb"/>
            <w:noWrap w:val="false"/>
          </w:tcPr>
          <w:p>
            <w:pPr>
              <w:pStyle w:val="857"/>
              <w:ind w:firstLine="28"/>
              <w:jc w:val="center"/>
              <w:rPr>
                <w:rFonts w:ascii="宋体" w:hAnsi="宋体"/>
                <w:b/>
                <w:sz w:val="24"/>
              </w:rPr>
            </w:pPr>
            <w:r>
              <w:rPr>
                <w:rFonts w:ascii="宋体" w:hAnsi="宋体"/>
                <w:b/>
                <w:sz w:val="24"/>
              </w:rPr>
              <w:t xml:space="preserve">分值</w:t>
            </w:r>
            <w:r/>
          </w:p>
        </w:tc>
        <w:tc>
          <w:tcPr>
            <w:tcW w:w="3978" w:type="dxa"/>
            <w:vAlign w:val="center"/>
            <w:textDirection w:val="lrTb"/>
            <w:noWrap w:val="false"/>
          </w:tcPr>
          <w:p>
            <w:pPr>
              <w:pStyle w:val="857"/>
              <w:ind w:firstLine="28"/>
              <w:jc w:val="center"/>
              <w:rPr>
                <w:rFonts w:ascii="宋体" w:hAnsi="宋体"/>
                <w:b/>
                <w:sz w:val="24"/>
              </w:rPr>
            </w:pPr>
            <w:r>
              <w:rPr>
                <w:rFonts w:ascii="宋体" w:hAnsi="宋体"/>
                <w:b/>
                <w:sz w:val="24"/>
              </w:rPr>
              <w:t xml:space="preserve">评分标准</w:t>
            </w:r>
            <w:r/>
          </w:p>
        </w:tc>
        <w:tc>
          <w:tcPr>
            <w:tcW w:w="2440" w:type="dxa"/>
            <w:vAlign w:val="center"/>
            <w:textDirection w:val="lrTb"/>
            <w:noWrap w:val="false"/>
          </w:tcPr>
          <w:p>
            <w:pPr>
              <w:pStyle w:val="1102"/>
              <w:spacing w:before="0" w:after="0" w:line="240" w:lineRule="auto"/>
              <w:rPr>
                <w:rFonts w:ascii="宋体" w:hAnsi="宋体" w:eastAsia="宋体"/>
                <w:szCs w:val="24"/>
              </w:rPr>
            </w:pPr>
            <w:r>
              <w:rPr>
                <w:rFonts w:ascii="宋体" w:hAnsi="宋体" w:eastAsia="宋体"/>
                <w:szCs w:val="24"/>
              </w:rPr>
              <w:t xml:space="preserve">说明</w:t>
            </w:r>
            <w:r/>
          </w:p>
        </w:tc>
      </w:tr>
      <w:tr>
        <w:trPr>
          <w:trHeight w:val="631"/>
        </w:trPr>
        <w:tc>
          <w:tcPr>
            <w:tcW w:w="835" w:type="dxa"/>
            <w:vAlign w:val="center"/>
            <w:textDirection w:val="lrTb"/>
            <w:noWrap w:val="false"/>
          </w:tcPr>
          <w:p>
            <w:pPr>
              <w:pStyle w:val="857"/>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913" w:type="dxa"/>
            <w:vAlign w:val="center"/>
            <w:textDirection w:val="lrTb"/>
            <w:noWrap w:val="false"/>
          </w:tcPr>
          <w:p>
            <w:pPr>
              <w:pStyle w:val="857"/>
              <w:ind w:firstLine="28"/>
              <w:jc w:val="center"/>
              <w:rPr>
                <w:rFonts w:ascii="宋体" w:hAnsi="宋体"/>
                <w:sz w:val="24"/>
              </w:rPr>
            </w:pPr>
            <w:r>
              <w:rPr>
                <w:rFonts w:ascii="宋体" w:hAnsi="宋体"/>
                <w:sz w:val="24"/>
              </w:rPr>
              <w:t xml:space="preserve">30</w:t>
            </w:r>
            <w:r/>
          </w:p>
        </w:tc>
        <w:tc>
          <w:tcPr>
            <w:tcW w:w="3978" w:type="dxa"/>
            <w:vAlign w:val="center"/>
            <w:textDirection w:val="lrTb"/>
            <w:noWrap w:val="false"/>
          </w:tcPr>
          <w:p>
            <w:pPr>
              <w:pStyle w:val="857"/>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857"/>
              <w:rPr>
                <w:rFonts w:ascii="宋体" w:hAnsi="宋体"/>
                <w:sz w:val="24"/>
              </w:rPr>
            </w:pPr>
            <w:r>
              <w:rPr>
                <w:rFonts w:ascii="宋体" w:hAnsi="宋体"/>
                <w:sz w:val="24"/>
              </w:rPr>
              <w:t xml:space="preserve">投标报价得分＝（评标基准价/投标报价）×分值。</w:t>
            </w:r>
            <w:r/>
          </w:p>
        </w:tc>
        <w:tc>
          <w:tcPr>
            <w:tcW w:w="2440" w:type="dxa"/>
            <w:vAlign w:val="center"/>
            <w:textDirection w:val="lrTb"/>
            <w:noWrap w:val="false"/>
          </w:tcPr>
          <w:p>
            <w:pPr>
              <w:pStyle w:val="857"/>
              <w:ind w:left="-38"/>
              <w:rPr>
                <w:rFonts w:ascii="宋体" w:hAnsi="宋体"/>
                <w:sz w:val="24"/>
              </w:rPr>
            </w:pPr>
            <w:r>
              <w:rPr>
                <w:rFonts w:hint="eastAsia" w:ascii="宋体" w:hAnsi="宋体"/>
                <w:sz w:val="24"/>
              </w:rPr>
              <w:t xml:space="preserve">此处投标报价指经过报价修正，及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报价</w:t>
            </w:r>
            <w:r>
              <w:rPr>
                <w:rFonts w:ascii="宋体" w:hAnsi="宋体"/>
                <w:sz w:val="24"/>
              </w:rPr>
              <w:t xml:space="preserve">，详见第</w:t>
            </w:r>
            <w:r>
              <w:rPr>
                <w:rFonts w:hint="eastAsia" w:ascii="宋体" w:hAnsi="宋体"/>
                <w:sz w:val="24"/>
              </w:rPr>
              <w:t xml:space="preserve">三</w:t>
            </w:r>
            <w:r>
              <w:rPr>
                <w:rFonts w:ascii="宋体" w:hAnsi="宋体"/>
                <w:sz w:val="24"/>
              </w:rPr>
              <w:t xml:space="preserve">章《评标方法和评标标准》</w:t>
            </w:r>
            <w:r>
              <w:rPr>
                <w:rFonts w:hint="eastAsia" w:ascii="宋体" w:hAnsi="宋体"/>
                <w:sz w:val="24"/>
              </w:rPr>
              <w:t xml:space="preserve">2</w:t>
            </w:r>
            <w:r>
              <w:rPr>
                <w:rFonts w:ascii="宋体" w:hAnsi="宋体"/>
                <w:sz w:val="24"/>
              </w:rPr>
              <w:t xml:space="preserve">.4</w:t>
            </w:r>
            <w:r>
              <w:rPr>
                <w:rFonts w:hint="eastAsia" w:ascii="宋体" w:hAnsi="宋体"/>
                <w:sz w:val="24"/>
              </w:rPr>
              <w:t xml:space="preserve">及</w:t>
            </w:r>
            <w:r>
              <w:rPr>
                <w:rFonts w:ascii="宋体" w:hAnsi="宋体"/>
                <w:sz w:val="24"/>
              </w:rPr>
              <w:t xml:space="preserve">2.5。</w:t>
            </w:r>
            <w:r/>
          </w:p>
        </w:tc>
      </w:tr>
      <w:tr>
        <w:trPr/>
        <w:tc>
          <w:tcPr>
            <w:tcW w:w="835"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1462"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913" w:type="dxa"/>
            <w:vAlign w:val="center"/>
            <w:textDirection w:val="lrTb"/>
            <w:noWrap w:val="false"/>
          </w:tcPr>
          <w:p>
            <w:pPr>
              <w:pStyle w:val="857"/>
              <w:ind w:firstLine="28"/>
              <w:jc w:val="center"/>
              <w:rPr>
                <w:rFonts w:ascii="宋体" w:hAnsi="宋体"/>
                <w:sz w:val="24"/>
              </w:rPr>
            </w:pPr>
            <w:r>
              <w:rPr>
                <w:rFonts w:ascii="宋体" w:hAnsi="宋体"/>
                <w:sz w:val="24"/>
              </w:rPr>
            </w:r>
            <w:r/>
          </w:p>
        </w:tc>
        <w:tc>
          <w:tcPr>
            <w:tcW w:w="3978" w:type="dxa"/>
            <w:vAlign w:val="center"/>
            <w:textDirection w:val="lrTb"/>
            <w:noWrap w:val="false"/>
          </w:tcPr>
          <w:p>
            <w:pPr>
              <w:pStyle w:val="857"/>
              <w:rPr>
                <w:rFonts w:ascii="宋体" w:hAnsi="宋体"/>
                <w:sz w:val="24"/>
              </w:rPr>
            </w:pPr>
            <w:r>
              <w:rPr>
                <w:rFonts w:ascii="宋体" w:hAnsi="宋体"/>
                <w:sz w:val="24"/>
              </w:rPr>
            </w:r>
            <w:r/>
          </w:p>
        </w:tc>
        <w:tc>
          <w:tcPr>
            <w:tcW w:w="2440" w:type="dxa"/>
            <w:vAlign w:val="center"/>
            <w:textDirection w:val="lrTb"/>
            <w:noWrap w:val="false"/>
          </w:tcPr>
          <w:p>
            <w:pPr>
              <w:pStyle w:val="857"/>
              <w:ind w:left="-38"/>
              <w:rPr>
                <w:rFonts w:ascii="宋体" w:hAnsi="宋体"/>
                <w:sz w:val="24"/>
              </w:rPr>
            </w:pPr>
            <w:r>
              <w:rPr>
                <w:rFonts w:ascii="宋体" w:hAnsi="宋体"/>
                <w:sz w:val="24"/>
              </w:rPr>
            </w:r>
            <w:r/>
          </w:p>
        </w:tc>
      </w:tr>
      <w:tr>
        <w:trPr/>
        <w:tc>
          <w:tcPr>
            <w:tcW w:w="835"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1462"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技术方案1</w:t>
            </w:r>
            <w:r>
              <w:rPr>
                <w:rFonts w:ascii="宋体" w:hAnsi="宋体"/>
                <w:sz w:val="24"/>
              </w:rPr>
            </w:r>
            <w:r/>
          </w:p>
        </w:tc>
        <w:tc>
          <w:tcPr>
            <w:tcW w:w="913" w:type="dxa"/>
            <w:vAlign w:val="center"/>
            <w:textDirection w:val="lrTb"/>
            <w:noWrap w:val="false"/>
          </w:tcPr>
          <w:p>
            <w:pPr>
              <w:pStyle w:val="857"/>
              <w:ind w:firstLine="28"/>
              <w:jc w:val="center"/>
              <w:rPr>
                <w:rFonts w:ascii="宋体" w:hAnsi="宋体"/>
                <w:sz w:val="24"/>
              </w:rPr>
            </w:pPr>
            <w:r>
              <w:rPr>
                <w:rFonts w:ascii="宋体" w:hAnsi="宋体"/>
                <w:sz w:val="24"/>
              </w:rPr>
              <w:t xml:space="preserve">3</w:t>
            </w:r>
            <w:r/>
          </w:p>
        </w:tc>
        <w:tc>
          <w:tcPr>
            <w:tcW w:w="3978" w:type="dxa"/>
            <w:vAlign w:val="center"/>
            <w:textDirection w:val="lrTb"/>
            <w:noWrap w:val="false"/>
          </w:tcPr>
          <w:p>
            <w:pPr>
              <w:pStyle w:val="857"/>
              <w:ind w:firstLine="480"/>
              <w:spacing w:line="360" w:lineRule="exact"/>
              <w:rPr>
                <w:rFonts w:ascii="宋体" w:hAnsi="宋体" w:cs="宋体"/>
                <w:sz w:val="24"/>
              </w:rPr>
            </w:pPr>
            <w:r>
              <w:rPr>
                <w:rFonts w:hint="eastAsia" w:ascii="宋体" w:hAnsi="宋体" w:cs="宋体"/>
                <w:sz w:val="24"/>
              </w:rPr>
              <w:t xml:space="preserve">投标人提供的技术方案，包括但不限于技术方案总体设计、DRG数据中心、应用中心、接口方案等，详细阐述系统的体系架构、实现思路和非功能性设计、安全设计。根据投标人对技术方案设计完整性以及对招标需求满足程度综合打分：</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（1）方案内容完整全面，思路清晰，体系架构合理，设计思路符合采购人需求，得</w:t>
            </w:r>
            <w:r>
              <w:rPr>
                <w:rFonts w:ascii="宋体" w:hAnsi="宋体" w:cs="宋体"/>
                <w:sz w:val="24"/>
              </w:rPr>
              <w:t xml:space="preserve">3</w:t>
            </w:r>
            <w:r>
              <w:rPr>
                <w:rFonts w:hint="eastAsia" w:ascii="宋体" w:hAnsi="宋体" w:cs="宋体"/>
                <w:sz w:val="24"/>
              </w:rPr>
              <w:t xml:space="preserve">分；</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（2）</w:t>
            </w:r>
            <w:r>
              <w:rPr>
                <w:rFonts w:hint="eastAsia" w:ascii="宋体" w:hAnsi="宋体"/>
                <w:sz w:val="24"/>
              </w:rPr>
              <w:t xml:space="preserve">方案内容较完整，思路基本清晰，体系架构合理性一般，设计思路基本符合采购人需求，得</w:t>
            </w:r>
            <w:r>
              <w:rPr>
                <w:rFonts w:ascii="宋体" w:hAnsi="宋体"/>
                <w:sz w:val="24"/>
              </w:rPr>
              <w:t xml:space="preserve">2</w:t>
            </w:r>
            <w:r>
              <w:rPr>
                <w:rFonts w:hint="eastAsia" w:ascii="宋体" w:hAnsi="宋体"/>
                <w:sz w:val="24"/>
              </w:rPr>
              <w:t xml:space="preserve">分</w:t>
            </w:r>
            <w:r>
              <w:rPr>
                <w:rFonts w:hint="eastAsia" w:ascii="宋体" w:hAnsi="宋体" w:cs="宋体"/>
                <w:sz w:val="24"/>
              </w:rPr>
              <w:t xml:space="preserve">；</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（3）</w:t>
            </w:r>
            <w:r>
              <w:rPr>
                <w:rFonts w:hint="eastAsia" w:ascii="宋体" w:hAnsi="宋体"/>
                <w:sz w:val="24"/>
              </w:rPr>
              <w:t xml:space="preserve">方案内容有缺失，思路不清晰，体系架构不合理，设计思路不符合采购人需求，得1分</w:t>
            </w:r>
            <w:r>
              <w:rPr>
                <w:rFonts w:hint="eastAsia" w:ascii="宋体" w:hAnsi="宋体" w:cs="宋体"/>
                <w:sz w:val="24"/>
              </w:rPr>
              <w:t xml:space="preserve">；</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（4）未提供</w:t>
            </w:r>
            <w:r>
              <w:rPr>
                <w:rFonts w:ascii="宋体" w:hAnsi="宋体" w:cs="宋体"/>
                <w:sz w:val="24"/>
              </w:rPr>
              <w:t xml:space="preserve">不得分。</w:t>
            </w:r>
            <w:r/>
          </w:p>
        </w:tc>
        <w:tc>
          <w:tcPr>
            <w:tcW w:w="2440" w:type="dxa"/>
            <w:vAlign w:val="center"/>
            <w:textDirection w:val="lrTb"/>
            <w:noWrap w:val="false"/>
          </w:tcPr>
          <w:p>
            <w:pPr>
              <w:pStyle w:val="857"/>
              <w:ind w:left="-38"/>
              <w:rPr>
                <w:rFonts w:ascii="宋体" w:hAnsi="宋体"/>
                <w:sz w:val="24"/>
              </w:rPr>
            </w:pPr>
            <w:r>
              <w:rPr>
                <w:rFonts w:ascii="宋体" w:hAnsi="宋体"/>
                <w:sz w:val="24"/>
              </w:rPr>
            </w:r>
            <w:r/>
          </w:p>
        </w:tc>
      </w:tr>
      <w:tr>
        <w:trPr/>
        <w:tc>
          <w:tcPr>
            <w:tcW w:w="835" w:type="dxa"/>
            <w:vAlign w:val="center"/>
            <w:textDirection w:val="lrTb"/>
            <w:noWrap w:val="false"/>
          </w:tcPr>
          <w:p>
            <w:pPr>
              <w:pStyle w:val="857"/>
              <w:ind w:firstLine="28"/>
              <w:jc w:val="center"/>
              <w:rPr>
                <w:rFonts w:ascii="宋体" w:hAnsi="宋体"/>
                <w:sz w:val="24"/>
              </w:rPr>
            </w:pPr>
            <w:r>
              <w:rPr>
                <w:rFonts w:ascii="宋体" w:hAnsi="宋体"/>
                <w:sz w:val="24"/>
              </w:rPr>
              <w:t xml:space="preserve">2.2</w:t>
            </w:r>
            <w:r/>
          </w:p>
        </w:tc>
        <w:tc>
          <w:tcPr>
            <w:tcW w:w="1462"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技术方案</w:t>
            </w:r>
            <w:r>
              <w:rPr>
                <w:rFonts w:ascii="宋体" w:hAnsi="宋体"/>
                <w:sz w:val="24"/>
              </w:rPr>
              <w:t xml:space="preserve">2</w:t>
            </w:r>
            <w:r/>
          </w:p>
        </w:tc>
        <w:tc>
          <w:tcPr>
            <w:tcW w:w="913"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3978" w:type="dxa"/>
            <w:vAlign w:val="center"/>
            <w:textDirection w:val="lrTb"/>
            <w:noWrap w:val="false"/>
          </w:tcPr>
          <w:p>
            <w:pPr>
              <w:pStyle w:val="857"/>
              <w:ind w:firstLine="480"/>
              <w:spacing w:line="360" w:lineRule="exact"/>
              <w:rPr>
                <w:rFonts w:ascii="宋体" w:hAnsi="宋体" w:cs="宋体"/>
                <w:sz w:val="24"/>
              </w:rPr>
            </w:pPr>
            <w:r>
              <w:rPr>
                <w:rFonts w:hint="eastAsia" w:ascii="宋体" w:hAnsi="宋体" w:cs="宋体"/>
                <w:sz w:val="24"/>
              </w:rPr>
              <w:t xml:space="preserve">投标人的技术方案中是否有独立的DRG数据中心，要求不能直接引用当前业务系统模型或消息模型。要通过ETL技术对原始业务数据进行抽取、转换、清洗并转存到CDR数据模型中，形成集中存储的DRG数据集。</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提供合理、详细的数据抽取方案及数据中心界面截图。</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根据投标人对数据抽取方案完整性以及数据中心的可操作性综合</w:t>
            </w:r>
            <w:r>
              <w:rPr>
                <w:rFonts w:ascii="宋体" w:hAnsi="宋体" w:cs="宋体"/>
                <w:sz w:val="24"/>
              </w:rPr>
              <w:t xml:space="preserve">打分，方案合理的得</w:t>
            </w:r>
            <w:r>
              <w:rPr>
                <w:rFonts w:hint="eastAsia" w:ascii="宋体" w:hAnsi="宋体" w:cs="宋体"/>
                <w:sz w:val="24"/>
              </w:rPr>
              <w:t xml:space="preserve">2分</w:t>
            </w:r>
            <w:r>
              <w:rPr>
                <w:rFonts w:ascii="宋体" w:hAnsi="宋体" w:cs="宋体"/>
                <w:sz w:val="24"/>
              </w:rPr>
              <w:t xml:space="preserve">，一般得</w:t>
            </w:r>
            <w:r>
              <w:rPr>
                <w:rFonts w:hint="eastAsia" w:ascii="宋体" w:hAnsi="宋体" w:cs="宋体"/>
                <w:sz w:val="24"/>
              </w:rPr>
              <w:t xml:space="preserve">1分</w:t>
            </w:r>
            <w:r>
              <w:rPr>
                <w:rFonts w:ascii="宋体" w:hAnsi="宋体" w:cs="宋体"/>
                <w:sz w:val="24"/>
              </w:rPr>
              <w:t xml:space="preserve">，未提供不得分。</w:t>
            </w:r>
            <w:r/>
          </w:p>
        </w:tc>
        <w:tc>
          <w:tcPr>
            <w:tcW w:w="2440" w:type="dxa"/>
            <w:vAlign w:val="center"/>
            <w:textDirection w:val="lrTb"/>
            <w:noWrap w:val="false"/>
          </w:tcPr>
          <w:p>
            <w:pPr>
              <w:pStyle w:val="857"/>
              <w:ind w:left="-38"/>
              <w:rPr>
                <w:rFonts w:ascii="宋体" w:hAnsi="宋体"/>
                <w:sz w:val="24"/>
              </w:rPr>
            </w:pPr>
            <w:r>
              <w:rPr>
                <w:rFonts w:ascii="宋体" w:hAnsi="宋体"/>
                <w:sz w:val="24"/>
              </w:rPr>
            </w:r>
            <w:r/>
          </w:p>
        </w:tc>
      </w:tr>
      <w:tr>
        <w:trPr/>
        <w:tc>
          <w:tcPr>
            <w:tcW w:w="835"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1462"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技术方案</w:t>
            </w:r>
            <w:r>
              <w:rPr>
                <w:rFonts w:ascii="宋体" w:hAnsi="宋体"/>
                <w:sz w:val="24"/>
              </w:rPr>
              <w:t xml:space="preserve">3</w:t>
            </w:r>
            <w:r/>
          </w:p>
        </w:tc>
        <w:tc>
          <w:tcPr>
            <w:tcW w:w="913"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3978" w:type="dxa"/>
            <w:vAlign w:val="center"/>
            <w:textDirection w:val="lrTb"/>
            <w:noWrap w:val="false"/>
          </w:tcPr>
          <w:p>
            <w:pPr>
              <w:pStyle w:val="857"/>
              <w:ind w:firstLine="480"/>
              <w:spacing w:line="360" w:lineRule="exact"/>
              <w:rPr>
                <w:rFonts w:ascii="宋体" w:hAnsi="宋体" w:cs="宋体"/>
                <w:sz w:val="24"/>
              </w:rPr>
            </w:pPr>
            <w:r>
              <w:rPr>
                <w:rFonts w:hint="eastAsia" w:ascii="宋体" w:hAnsi="宋体"/>
                <w:sz w:val="24"/>
              </w:rPr>
              <w:t xml:space="preserve">投标人提供的建设方案：对项目需求分析、组织架构、建设思路、总体实现流程、功能模块等进行详细阐述。</w:t>
            </w:r>
            <w:r>
              <w:rPr>
                <w:rFonts w:hint="eastAsia" w:ascii="宋体" w:hAnsi="宋体" w:cs="宋体"/>
                <w:sz w:val="24"/>
              </w:rPr>
              <w:t xml:space="preserve">根据投标人对建设方案设计完整性以及系统功能对招标需求满足程度综合打分：</w:t>
            </w:r>
            <w:r>
              <w:rPr>
                <w:rFonts w:ascii="宋体" w:hAnsi="宋体" w:cs="宋体"/>
                <w:sz w:val="24"/>
              </w:rPr>
            </w:r>
            <w:r/>
          </w:p>
          <w:p>
            <w:pPr>
              <w:pStyle w:val="857"/>
              <w:ind w:firstLine="480"/>
              <w:spacing w:line="360" w:lineRule="exact"/>
              <w:rPr>
                <w:rFonts w:ascii="宋体" w:hAnsi="宋体"/>
                <w:sz w:val="24"/>
              </w:rPr>
            </w:pPr>
            <w:r>
              <w:rPr>
                <w:rFonts w:hint="eastAsia" w:ascii="宋体" w:hAnsi="宋体"/>
                <w:sz w:val="24"/>
              </w:rPr>
              <w:t xml:space="preserve">（1）项目需求分析完整全面，建设思路及实现流程清晰，功能模块符合采购人需求，得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857"/>
              <w:ind w:firstLine="480"/>
              <w:spacing w:line="360" w:lineRule="exact"/>
              <w:rPr>
                <w:rFonts w:ascii="宋体" w:hAnsi="宋体"/>
                <w:sz w:val="24"/>
              </w:rPr>
            </w:pPr>
            <w:r>
              <w:rPr>
                <w:rFonts w:hint="eastAsia" w:ascii="宋体" w:hAnsi="宋体"/>
                <w:sz w:val="24"/>
              </w:rPr>
              <w:t xml:space="preserve">（2）项目需求分析完整全面，建设思路及实现流程一般，功能模块基本符合采购人需求，得2分；</w:t>
            </w:r>
            <w:r>
              <w:rPr>
                <w:rFonts w:ascii="宋体" w:hAnsi="宋体"/>
                <w:sz w:val="24"/>
              </w:rPr>
            </w:r>
            <w:r/>
          </w:p>
          <w:p>
            <w:pPr>
              <w:pStyle w:val="857"/>
              <w:ind w:firstLine="480"/>
              <w:spacing w:line="360" w:lineRule="exact"/>
              <w:rPr>
                <w:rFonts w:ascii="宋体" w:hAnsi="宋体"/>
                <w:sz w:val="24"/>
              </w:rPr>
            </w:pPr>
            <w:r>
              <w:rPr>
                <w:rFonts w:hint="eastAsia" w:ascii="宋体" w:hAnsi="宋体"/>
                <w:sz w:val="24"/>
              </w:rPr>
              <w:t xml:space="preserve">（3）项目需求分析完整全面，建设思路及实现流程不清晰、不合理，功能模块不符合采购人需求，得1分；</w:t>
            </w:r>
            <w:r>
              <w:rPr>
                <w:rFonts w:ascii="宋体" w:hAnsi="宋体"/>
                <w:sz w:val="24"/>
              </w:rPr>
            </w:r>
            <w:r/>
          </w:p>
          <w:p>
            <w:pPr>
              <w:pStyle w:val="857"/>
              <w:ind w:firstLine="480"/>
              <w:spacing w:line="360" w:lineRule="exact"/>
              <w:rPr>
                <w:rFonts w:ascii="宋体" w:hAnsi="宋体" w:cs="宋体"/>
                <w:sz w:val="24"/>
              </w:rPr>
            </w:pPr>
            <w:r>
              <w:rPr>
                <w:rFonts w:hint="eastAsia" w:ascii="宋体" w:hAnsi="宋体"/>
                <w:sz w:val="24"/>
              </w:rPr>
              <w:t xml:space="preserve">（4）未提供不得分。</w:t>
            </w:r>
            <w:r>
              <w:rPr>
                <w:rFonts w:ascii="宋体" w:hAnsi="宋体" w:cs="宋体"/>
                <w:sz w:val="24"/>
              </w:rPr>
            </w:r>
            <w:r/>
          </w:p>
        </w:tc>
        <w:tc>
          <w:tcPr>
            <w:tcW w:w="2440" w:type="dxa"/>
            <w:vAlign w:val="center"/>
            <w:textDirection w:val="lrTb"/>
            <w:noWrap w:val="false"/>
          </w:tcPr>
          <w:p>
            <w:pPr>
              <w:pStyle w:val="857"/>
              <w:ind w:left="-38"/>
              <w:rPr>
                <w:rFonts w:ascii="宋体" w:hAnsi="宋体"/>
                <w:sz w:val="24"/>
              </w:rPr>
            </w:pPr>
            <w:r>
              <w:rPr>
                <w:rFonts w:ascii="宋体" w:hAnsi="宋体"/>
                <w:sz w:val="24"/>
              </w:rPr>
            </w:r>
            <w:r/>
          </w:p>
        </w:tc>
      </w:tr>
      <w:tr>
        <w:trPr/>
        <w:tc>
          <w:tcPr>
            <w:tcW w:w="835"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2</w:t>
            </w:r>
            <w:r>
              <w:rPr>
                <w:rFonts w:ascii="宋体" w:hAnsi="宋体"/>
                <w:sz w:val="24"/>
              </w:rPr>
              <w:t xml:space="preserve">.4</w:t>
            </w:r>
            <w:r/>
          </w:p>
        </w:tc>
        <w:tc>
          <w:tcPr>
            <w:tcW w:w="1462" w:type="dxa"/>
            <w:vAlign w:val="center"/>
            <w:textDirection w:val="lrTb"/>
            <w:noWrap w:val="false"/>
          </w:tcPr>
          <w:p>
            <w:pPr>
              <w:pStyle w:val="857"/>
              <w:ind w:firstLine="28"/>
              <w:jc w:val="center"/>
              <w:rPr>
                <w:rFonts w:hint="eastAsia" w:ascii="宋体" w:hAnsi="宋体"/>
                <w:sz w:val="24"/>
              </w:rPr>
            </w:pPr>
            <w:r>
              <w:rPr>
                <w:rFonts w:hint="eastAsia" w:ascii="宋体" w:hAnsi="宋体" w:cs="宋体"/>
                <w:sz w:val="24"/>
              </w:rPr>
              <w:t xml:space="preserve">项目实施方案</w:t>
            </w:r>
            <w:r>
              <w:rPr>
                <w:rFonts w:hint="eastAsia" w:ascii="宋体" w:hAnsi="宋体"/>
                <w:sz w:val="24"/>
              </w:rPr>
            </w:r>
            <w:r/>
          </w:p>
        </w:tc>
        <w:tc>
          <w:tcPr>
            <w:tcW w:w="913" w:type="dxa"/>
            <w:vAlign w:val="center"/>
            <w:textDirection w:val="lrTb"/>
            <w:noWrap w:val="false"/>
          </w:tcPr>
          <w:p>
            <w:pPr>
              <w:pStyle w:val="857"/>
              <w:ind w:firstLine="28"/>
              <w:jc w:val="center"/>
              <w:rPr>
                <w:rFonts w:hint="eastAsia" w:ascii="宋体" w:hAnsi="宋体"/>
                <w:sz w:val="24"/>
              </w:rPr>
            </w:pPr>
            <w:r>
              <w:rPr>
                <w:rFonts w:hint="eastAsia" w:ascii="宋体" w:hAnsi="宋体"/>
                <w:sz w:val="24"/>
              </w:rPr>
              <w:t xml:space="preserve">2</w:t>
            </w:r>
            <w:r/>
          </w:p>
        </w:tc>
        <w:tc>
          <w:tcPr>
            <w:tcW w:w="3978" w:type="dxa"/>
            <w:vAlign w:val="center"/>
            <w:textDirection w:val="lrTb"/>
            <w:noWrap w:val="false"/>
          </w:tcPr>
          <w:p>
            <w:pPr>
              <w:pStyle w:val="857"/>
              <w:ind w:firstLine="480"/>
              <w:spacing w:line="360" w:lineRule="exact"/>
              <w:rPr>
                <w:rFonts w:ascii="宋体" w:hAnsi="宋体" w:cs="宋体"/>
                <w:sz w:val="24"/>
              </w:rPr>
            </w:pPr>
            <w:r>
              <w:rPr>
                <w:rFonts w:hint="eastAsia" w:ascii="宋体" w:hAnsi="宋体" w:cs="宋体"/>
                <w:sz w:val="24"/>
              </w:rPr>
              <w:t xml:space="preserve">投标人提供的项目实施方案，内容包括但限于系统实施方案、项目质量保障措施、项目实施进度安排、验收方案等是否具有科学性、合理性和可执行性。根据投标人对实施方案设计合理性、可操作性及对招标需求满足程度综合打分：</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）实施方案步骤清晰，验收、进度安排科学、合理，得2分；</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（2）实施方案步骤较清晰，验收、进度安排较科学、合理，得1分；</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（3）实施方案步骤一般，验收、进度安排一般，得0.5分；</w:t>
            </w:r>
            <w:r>
              <w:rPr>
                <w:rFonts w:ascii="宋体" w:hAnsi="宋体" w:cs="宋体"/>
                <w:sz w:val="24"/>
              </w:rPr>
            </w:r>
            <w:r/>
          </w:p>
          <w:p>
            <w:pPr>
              <w:pStyle w:val="857"/>
              <w:ind w:firstLine="480"/>
              <w:spacing w:line="360" w:lineRule="exact"/>
              <w:rPr>
                <w:rFonts w:hint="eastAsia" w:ascii="宋体" w:hAnsi="宋体"/>
                <w:sz w:val="24"/>
              </w:rPr>
            </w:pPr>
            <w:r>
              <w:rPr>
                <w:rFonts w:hint="eastAsia" w:ascii="宋体" w:hAnsi="宋体" w:cs="宋体"/>
                <w:sz w:val="24"/>
              </w:rPr>
              <w:t xml:space="preserve">（4）无实施方案，或实施方案与项目不符不得分。</w:t>
            </w:r>
            <w:r>
              <w:rPr>
                <w:rFonts w:hint="eastAsia" w:ascii="宋体" w:hAnsi="宋体"/>
                <w:sz w:val="24"/>
              </w:rPr>
            </w:r>
            <w:r/>
          </w:p>
        </w:tc>
        <w:tc>
          <w:tcPr>
            <w:tcW w:w="2440" w:type="dxa"/>
            <w:vAlign w:val="center"/>
            <w:textDirection w:val="lrTb"/>
            <w:noWrap w:val="false"/>
          </w:tcPr>
          <w:p>
            <w:pPr>
              <w:pStyle w:val="857"/>
              <w:ind w:left="-38"/>
              <w:rPr>
                <w:rFonts w:ascii="宋体" w:hAnsi="宋体"/>
                <w:sz w:val="24"/>
              </w:rPr>
            </w:pPr>
            <w:r>
              <w:rPr>
                <w:rFonts w:ascii="宋体" w:hAnsi="宋体"/>
                <w:sz w:val="24"/>
              </w:rPr>
            </w:r>
            <w:r/>
          </w:p>
        </w:tc>
      </w:tr>
      <w:tr>
        <w:trPr/>
        <w:tc>
          <w:tcPr>
            <w:tcW w:w="835"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2</w:t>
            </w:r>
            <w:r>
              <w:rPr>
                <w:rFonts w:ascii="宋体" w:hAnsi="宋体"/>
                <w:sz w:val="24"/>
              </w:rPr>
              <w:t xml:space="preserve">.5</w:t>
            </w:r>
            <w:r/>
          </w:p>
        </w:tc>
        <w:tc>
          <w:tcPr>
            <w:tcW w:w="1462" w:type="dxa"/>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rPr>
              <w:t xml:space="preserve">售后服务方案</w:t>
            </w:r>
            <w:r/>
          </w:p>
        </w:tc>
        <w:tc>
          <w:tcPr>
            <w:tcW w:w="913" w:type="dxa"/>
            <w:vAlign w:val="center"/>
            <w:textDirection w:val="lrTb"/>
            <w:noWrap w:val="false"/>
          </w:tcPr>
          <w:p>
            <w:pPr>
              <w:pStyle w:val="857"/>
              <w:ind w:firstLine="28"/>
              <w:jc w:val="center"/>
              <w:rPr>
                <w:rFonts w:hint="eastAsia" w:ascii="宋体" w:hAnsi="宋体"/>
                <w:sz w:val="24"/>
              </w:rPr>
            </w:pPr>
            <w:r>
              <w:rPr>
                <w:rFonts w:ascii="宋体" w:hAnsi="宋体"/>
                <w:sz w:val="24"/>
              </w:rPr>
              <w:t xml:space="preserve">2</w:t>
            </w:r>
            <w:r>
              <w:rPr>
                <w:rFonts w:hint="eastAsia" w:ascii="宋体" w:hAnsi="宋体"/>
                <w:sz w:val="24"/>
              </w:rPr>
            </w:r>
            <w:r/>
          </w:p>
        </w:tc>
        <w:tc>
          <w:tcPr>
            <w:tcW w:w="3978" w:type="dxa"/>
            <w:vAlign w:val="center"/>
            <w:textDirection w:val="lrTb"/>
            <w:noWrap w:val="false"/>
          </w:tcPr>
          <w:p>
            <w:pPr>
              <w:pStyle w:val="857"/>
              <w:ind w:firstLine="480"/>
              <w:spacing w:line="360" w:lineRule="exact"/>
              <w:rPr>
                <w:rFonts w:ascii="宋体" w:hAnsi="宋体" w:cs="宋体"/>
                <w:sz w:val="24"/>
              </w:rPr>
            </w:pPr>
            <w:r>
              <w:rPr>
                <w:rFonts w:hint="eastAsia" w:ascii="宋体" w:hAnsi="宋体" w:cs="宋体"/>
                <w:sz w:val="24"/>
              </w:rPr>
              <w:t xml:space="preserve">投标人提供的售后服务方案，内容包括但不限于售后服务承诺、服务保障措施、故障排除流程及维护期内外的后续技术支持和维护能力方案等内容。根据投标人对售后服务方案详尽程度及服务能力综合打分：</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（1）方案内容完整，科学合理，且措施针对性强得</w:t>
            </w:r>
            <w:r>
              <w:rPr>
                <w:rFonts w:ascii="宋体" w:hAnsi="宋体" w:cs="宋体"/>
                <w:sz w:val="24"/>
              </w:rPr>
              <w:t xml:space="preserve">2</w:t>
            </w:r>
            <w:r>
              <w:rPr>
                <w:rFonts w:hint="eastAsia" w:ascii="宋体" w:hAnsi="宋体" w:cs="宋体"/>
                <w:sz w:val="24"/>
              </w:rPr>
              <w:t xml:space="preserve">分；</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（2）方案内容基本完整，合理可行得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（3）方案内容完整性、合理性一般得</w:t>
            </w:r>
            <w:r>
              <w:rPr>
                <w:rFonts w:ascii="宋体" w:hAnsi="宋体" w:cs="宋体"/>
                <w:sz w:val="24"/>
              </w:rPr>
              <w:t xml:space="preserve">0.5</w:t>
            </w:r>
            <w:r>
              <w:rPr>
                <w:rFonts w:hint="eastAsia" w:ascii="宋体" w:hAnsi="宋体" w:cs="宋体"/>
                <w:sz w:val="24"/>
              </w:rPr>
              <w:t xml:space="preserve">分；</w:t>
            </w:r>
            <w:r>
              <w:rPr>
                <w:rFonts w:ascii="宋体" w:hAnsi="宋体" w:cs="宋体"/>
                <w:sz w:val="24"/>
              </w:rPr>
            </w:r>
            <w:r/>
          </w:p>
          <w:p>
            <w:pPr>
              <w:pStyle w:val="857"/>
              <w:ind w:firstLine="480"/>
              <w:spacing w:line="360" w:lineRule="exact"/>
              <w:rPr>
                <w:rFonts w:hint="eastAsia" w:ascii="宋体" w:hAnsi="宋体" w:cs="宋体"/>
                <w:sz w:val="24"/>
              </w:rPr>
            </w:pPr>
            <w:r>
              <w:rPr>
                <w:rFonts w:hint="eastAsia" w:ascii="宋体" w:hAnsi="宋体" w:cs="宋体"/>
                <w:sz w:val="24"/>
              </w:rPr>
              <w:t xml:space="preserve">（4）未提供方案不得分。</w:t>
            </w:r>
            <w:r/>
          </w:p>
        </w:tc>
        <w:tc>
          <w:tcPr>
            <w:tcW w:w="2440" w:type="dxa"/>
            <w:vAlign w:val="center"/>
            <w:textDirection w:val="lrTb"/>
            <w:noWrap w:val="false"/>
          </w:tcPr>
          <w:p>
            <w:pPr>
              <w:pStyle w:val="857"/>
              <w:ind w:left="-38"/>
              <w:rPr>
                <w:rFonts w:ascii="宋体" w:hAnsi="宋体"/>
                <w:sz w:val="24"/>
              </w:rPr>
            </w:pPr>
            <w:r>
              <w:rPr>
                <w:rFonts w:ascii="宋体" w:hAnsi="宋体"/>
                <w:sz w:val="24"/>
              </w:rPr>
            </w:r>
            <w:r/>
          </w:p>
        </w:tc>
      </w:tr>
      <w:tr>
        <w:trPr/>
        <w:tc>
          <w:tcPr>
            <w:tcW w:w="835"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462"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913" w:type="dxa"/>
            <w:vAlign w:val="center"/>
            <w:textDirection w:val="lrTb"/>
            <w:noWrap w:val="false"/>
          </w:tcPr>
          <w:p>
            <w:pPr>
              <w:pStyle w:val="857"/>
              <w:ind w:firstLine="28"/>
              <w:jc w:val="center"/>
              <w:rPr>
                <w:rFonts w:ascii="宋体" w:hAnsi="宋体"/>
                <w:sz w:val="24"/>
              </w:rPr>
            </w:pPr>
            <w:r>
              <w:rPr>
                <w:rFonts w:ascii="宋体" w:hAnsi="宋体"/>
                <w:sz w:val="24"/>
              </w:rPr>
            </w:r>
            <w:r/>
          </w:p>
        </w:tc>
        <w:tc>
          <w:tcPr>
            <w:tcW w:w="3978" w:type="dxa"/>
            <w:vAlign w:val="center"/>
            <w:textDirection w:val="lrTb"/>
            <w:noWrap w:val="false"/>
          </w:tcPr>
          <w:p>
            <w:pPr>
              <w:pStyle w:val="857"/>
              <w:rPr>
                <w:rFonts w:ascii="宋体" w:hAnsi="宋体"/>
                <w:sz w:val="24"/>
              </w:rPr>
            </w:pPr>
            <w:r>
              <w:rPr>
                <w:rFonts w:ascii="宋体" w:hAnsi="宋体"/>
                <w:sz w:val="24"/>
              </w:rPr>
            </w:r>
            <w:r/>
          </w:p>
        </w:tc>
        <w:tc>
          <w:tcPr>
            <w:tcW w:w="2440" w:type="dxa"/>
            <w:vAlign w:val="center"/>
            <w:textDirection w:val="lrTb"/>
            <w:noWrap w:val="false"/>
          </w:tcPr>
          <w:p>
            <w:pPr>
              <w:pStyle w:val="857"/>
              <w:ind w:left="-38"/>
              <w:rPr>
                <w:rFonts w:ascii="宋体" w:hAnsi="宋体"/>
                <w:sz w:val="24"/>
              </w:rPr>
            </w:pPr>
            <w:r>
              <w:rPr>
                <w:rFonts w:ascii="宋体" w:hAnsi="宋体"/>
                <w:sz w:val="24"/>
              </w:rPr>
            </w:r>
            <w:r/>
          </w:p>
        </w:tc>
      </w:tr>
      <w:tr>
        <w:trPr/>
        <w:tc>
          <w:tcPr>
            <w:tcW w:w="835"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1462" w:type="dxa"/>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sz w:val="24"/>
              </w:rPr>
              <w:t xml:space="preserve">产品性能、技术指标</w:t>
            </w:r>
            <w:r>
              <w:rPr>
                <w:rFonts w:ascii="宋体" w:hAnsi="宋体" w:cs="宋体"/>
                <w:bCs/>
                <w:sz w:val="24"/>
              </w:rPr>
            </w:r>
            <w:r/>
          </w:p>
        </w:tc>
        <w:tc>
          <w:tcPr>
            <w:tcW w:w="913"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1</w:t>
            </w:r>
            <w:r>
              <w:rPr>
                <w:rFonts w:ascii="宋体" w:hAnsi="宋体"/>
                <w:sz w:val="24"/>
              </w:rPr>
              <w:t xml:space="preserve">5</w:t>
            </w:r>
            <w:r/>
          </w:p>
        </w:tc>
        <w:tc>
          <w:tcPr>
            <w:tcW w:w="3978" w:type="dxa"/>
            <w:vAlign w:val="center"/>
            <w:textDirection w:val="lrTb"/>
            <w:noWrap w:val="false"/>
          </w:tcPr>
          <w:p>
            <w:pPr>
              <w:pStyle w:val="857"/>
              <w:spacing w:line="360" w:lineRule="exact"/>
              <w:rPr>
                <w:rFonts w:hint="eastAsia" w:ascii="宋体" w:hAnsi="宋体"/>
                <w:sz w:val="24"/>
              </w:rPr>
            </w:pPr>
            <w:r>
              <w:rPr>
                <w:rFonts w:hint="eastAsia" w:ascii="宋体" w:hAnsi="宋体" w:cs="宋体"/>
                <w:sz w:val="24"/>
              </w:rPr>
              <w:t xml:space="preserve">根据采购需求中“四、技术要求”中的未标注“</w:t>
            </w:r>
            <w:r>
              <w:rPr>
                <w:rFonts w:hint="eastAsia" w:ascii="宋体" w:hAnsi="宋体" w:cs="宋体"/>
                <w:color w:val="000000"/>
                <w:sz w:val="24"/>
              </w:rPr>
              <w:t xml:space="preserve">▲</w:t>
            </w:r>
            <w:r>
              <w:rPr>
                <w:rFonts w:hint="eastAsia" w:ascii="宋体" w:hAnsi="宋体" w:cs="宋体"/>
                <w:sz w:val="24"/>
              </w:rPr>
              <w:t xml:space="preserve">”项指标的响应情况进行打分，</w:t>
            </w:r>
            <w:r>
              <w:rPr>
                <w:rFonts w:hint="eastAsia" w:ascii="宋体" w:hAnsi="宋体"/>
                <w:sz w:val="24"/>
              </w:rPr>
              <w:t xml:space="preserve">完全满足或优于招要求的，得</w:t>
            </w:r>
            <w:r>
              <w:rPr>
                <w:rFonts w:ascii="宋体" w:hAnsi="宋体"/>
                <w:sz w:val="24"/>
              </w:rPr>
              <w:t xml:space="preserve">15</w:t>
            </w:r>
            <w:r>
              <w:rPr>
                <w:rFonts w:hint="eastAsia" w:ascii="宋体" w:hAnsi="宋体"/>
                <w:sz w:val="24"/>
              </w:rPr>
              <w:t xml:space="preserve">分。不符合/不响应/负偏离的，</w:t>
            </w:r>
            <w:r>
              <w:rPr>
                <w:rFonts w:hint="eastAsia" w:ascii="宋体" w:hAnsi="宋体" w:cs="宋体"/>
                <w:sz w:val="24"/>
              </w:rPr>
              <w:t xml:space="preserve">每有一项扣</w:t>
            </w:r>
            <w:r>
              <w:rPr>
                <w:rFonts w:ascii="宋体" w:hAnsi="宋体" w:cs="宋体"/>
                <w:sz w:val="24"/>
              </w:rPr>
              <w:t xml:space="preserve">0.5分，扣完为止。</w:t>
            </w:r>
            <w:r>
              <w:rPr>
                <w:rFonts w:hint="eastAsia" w:ascii="宋体" w:hAnsi="宋体"/>
                <w:sz w:val="24"/>
              </w:rPr>
            </w:r>
            <w:r/>
          </w:p>
        </w:tc>
        <w:tc>
          <w:tcPr>
            <w:tcW w:w="2440" w:type="dxa"/>
            <w:vAlign w:val="center"/>
            <w:textDirection w:val="lrTb"/>
            <w:noWrap w:val="false"/>
          </w:tcPr>
          <w:p>
            <w:pPr>
              <w:pStyle w:val="857"/>
              <w:ind w:left="-38"/>
              <w:rPr>
                <w:rFonts w:ascii="宋体" w:hAnsi="宋体"/>
                <w:sz w:val="24"/>
              </w:rPr>
            </w:pPr>
            <w:r>
              <w:rPr>
                <w:rFonts w:hint="eastAsia" w:ascii="宋体" w:hAnsi="宋体" w:cs="宋体"/>
                <w:b/>
                <w:sz w:val="24"/>
              </w:rPr>
              <w:t xml:space="preserve">提供对应功能的详细介绍、软件界面截图等真实资料作为佐证，否则不得分。</w:t>
            </w:r>
            <w:r>
              <w:rPr>
                <w:rFonts w:ascii="宋体" w:hAnsi="宋体"/>
                <w:sz w:val="24"/>
              </w:rPr>
            </w:r>
            <w:r/>
          </w:p>
        </w:tc>
      </w:tr>
      <w:tr>
        <w:trPr/>
        <w:tc>
          <w:tcPr>
            <w:tcW w:w="835" w:type="dxa"/>
            <w:vAlign w:val="center"/>
            <w:textDirection w:val="lrTb"/>
            <w:noWrap w:val="false"/>
          </w:tcPr>
          <w:p>
            <w:pPr>
              <w:pStyle w:val="857"/>
              <w:ind w:firstLine="28"/>
              <w:jc w:val="center"/>
              <w:rPr>
                <w:rFonts w:ascii="宋体" w:hAnsi="宋体"/>
                <w:sz w:val="24"/>
              </w:rPr>
            </w:pPr>
            <w:r>
              <w:rPr>
                <w:rFonts w:ascii="宋体" w:hAnsi="宋体"/>
                <w:sz w:val="24"/>
              </w:rPr>
              <w:t xml:space="preserve">3.2</w:t>
            </w:r>
            <w:r/>
          </w:p>
        </w:tc>
        <w:tc>
          <w:tcPr>
            <w:tcW w:w="1462" w:type="dxa"/>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功能演示</w:t>
            </w:r>
            <w:r>
              <w:rPr>
                <w:rFonts w:ascii="宋体" w:hAnsi="宋体" w:cs="宋体"/>
                <w:sz w:val="24"/>
              </w:rPr>
            </w:r>
            <w:r/>
          </w:p>
        </w:tc>
        <w:tc>
          <w:tcPr>
            <w:tcW w:w="913"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1</w:t>
            </w:r>
            <w:r>
              <w:rPr>
                <w:rFonts w:ascii="宋体" w:hAnsi="宋体"/>
                <w:sz w:val="24"/>
              </w:rPr>
              <w:t xml:space="preserve">5</w:t>
            </w:r>
            <w:r/>
          </w:p>
        </w:tc>
        <w:tc>
          <w:tcPr>
            <w:tcW w:w="3978" w:type="dxa"/>
            <w:vAlign w:val="center"/>
            <w:textDirection w:val="lrTb"/>
            <w:noWrap w:val="false"/>
          </w:tcPr>
          <w:p>
            <w:pPr>
              <w:pStyle w:val="857"/>
              <w:ind w:firstLine="480"/>
              <w:spacing w:line="360" w:lineRule="exact"/>
              <w:rPr>
                <w:rFonts w:ascii="宋体" w:hAnsi="宋体" w:cs="宋体"/>
                <w:sz w:val="24"/>
              </w:rPr>
            </w:pPr>
            <w:r>
              <w:rPr>
                <w:rFonts w:hint="eastAsia" w:ascii="宋体" w:hAnsi="宋体" w:cs="宋体"/>
                <w:sz w:val="24"/>
              </w:rPr>
              <w:t xml:space="preserve">针对招标文件采购需求中“四、技术要求中（二）系统功能要求”标</w:t>
            </w:r>
            <w:r>
              <w:rPr>
                <w:rFonts w:hint="eastAsia" w:ascii="宋体" w:hAnsi="宋体" w:cs="宋体"/>
                <w:color w:val="000000"/>
                <w:sz w:val="24"/>
              </w:rPr>
              <w:t xml:space="preserve">▲</w:t>
            </w:r>
            <w:r>
              <w:rPr>
                <w:rFonts w:hint="eastAsia" w:ascii="宋体" w:hAnsi="宋体" w:cs="宋体"/>
                <w:sz w:val="24"/>
              </w:rPr>
              <w:t xml:space="preserve">项进行真实系统的现场演示及现场解答，演示时间不超过15分钟。</w:t>
            </w:r>
            <w:r>
              <w:rPr>
                <w:rFonts w:ascii="宋体" w:hAnsi="宋体" w:cs="宋体"/>
                <w:sz w:val="24"/>
              </w:rPr>
            </w:r>
            <w:r/>
          </w:p>
          <w:p>
            <w:pPr>
              <w:pStyle w:val="857"/>
              <w:ind w:firstLine="480"/>
              <w:spacing w:line="360" w:lineRule="exact"/>
              <w:rPr>
                <w:rFonts w:hint="eastAsia" w:ascii="宋体" w:hAnsi="宋体" w:cs="宋体"/>
                <w:sz w:val="24"/>
              </w:rPr>
            </w:pPr>
            <w:r>
              <w:rPr>
                <w:rFonts w:hint="eastAsia" w:ascii="宋体" w:hAnsi="宋体" w:cs="宋体"/>
                <w:sz w:val="24"/>
              </w:rPr>
              <w:t xml:space="preserve">演示</w:t>
            </w:r>
            <w:r>
              <w:rPr>
                <w:rFonts w:hint="eastAsia" w:ascii="宋体" w:hAnsi="宋体" w:cs="宋体"/>
                <w:color w:val="000000"/>
                <w:sz w:val="24"/>
              </w:rPr>
              <w:t xml:space="preserve">▲</w:t>
            </w:r>
            <w:r>
              <w:rPr>
                <w:rFonts w:hint="eastAsia" w:ascii="宋体" w:hAnsi="宋体" w:cs="宋体"/>
                <w:sz w:val="24"/>
              </w:rPr>
              <w:t xml:space="preserve">项每缺少一项，扣</w:t>
            </w:r>
            <w:r>
              <w:rPr>
                <w:rFonts w:ascii="宋体" w:hAnsi="宋体" w:cs="宋体"/>
                <w:sz w:val="24"/>
              </w:rPr>
              <w:t xml:space="preserve">1分，扣完为止。</w:t>
            </w:r>
            <w:r>
              <w:rPr>
                <w:rFonts w:hint="eastAsia" w:ascii="宋体" w:hAnsi="宋体" w:cs="宋体"/>
                <w:sz w:val="24"/>
              </w:rPr>
            </w:r>
            <w:r/>
          </w:p>
        </w:tc>
        <w:tc>
          <w:tcPr>
            <w:tcW w:w="2440" w:type="dxa"/>
            <w:vAlign w:val="center"/>
            <w:textDirection w:val="lrTb"/>
            <w:noWrap w:val="false"/>
          </w:tcPr>
          <w:p>
            <w:pPr>
              <w:pStyle w:val="857"/>
              <w:ind w:left="-38"/>
              <w:rPr>
                <w:rFonts w:ascii="宋体" w:hAnsi="宋体"/>
                <w:b/>
                <w:sz w:val="24"/>
              </w:rPr>
            </w:pPr>
            <w:r>
              <w:rPr>
                <w:rFonts w:hint="eastAsia" w:ascii="宋体" w:hAnsi="宋体"/>
                <w:b/>
                <w:sz w:val="24"/>
              </w:rPr>
              <w:t xml:space="preserve">投标人须在系统中上传演示视频：功能演示要求使用真实软件录播视频或真实产品演示并录制上传至投标系统，非程序演示如PPT演示和视频演示等均不得分。未按要求提供视频的，演示部分不得分。</w:t>
            </w:r>
            <w:r>
              <w:rPr>
                <w:rFonts w:ascii="宋体" w:hAnsi="宋体"/>
                <w:b/>
                <w:sz w:val="24"/>
              </w:rPr>
            </w:r>
            <w:r/>
          </w:p>
        </w:tc>
      </w:tr>
      <w:tr>
        <w:trPr/>
        <w:tc>
          <w:tcPr>
            <w:tcW w:w="835"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3</w:t>
            </w:r>
            <w:r>
              <w:rPr>
                <w:rFonts w:ascii="宋体" w:hAnsi="宋体"/>
                <w:sz w:val="24"/>
              </w:rPr>
              <w:t xml:space="preserve">.3</w:t>
            </w:r>
            <w:r/>
          </w:p>
        </w:tc>
        <w:tc>
          <w:tcPr>
            <w:tcW w:w="1462" w:type="dxa"/>
            <w:vAlign w:val="center"/>
            <w:textDirection w:val="lrTb"/>
            <w:noWrap w:val="false"/>
          </w:tcPr>
          <w:p>
            <w:pPr>
              <w:pStyle w:val="857"/>
              <w:jc w:val="center"/>
              <w:spacing w:line="360" w:lineRule="exact"/>
              <w:rPr>
                <w:rFonts w:hint="eastAsia" w:ascii="宋体" w:hAnsi="宋体" w:cs="宋体"/>
                <w:sz w:val="24"/>
              </w:rPr>
            </w:pPr>
            <w:r>
              <w:rPr>
                <w:rFonts w:hint="eastAsia" w:ascii="宋体" w:hAnsi="宋体" w:cs="宋体"/>
                <w:sz w:val="24"/>
              </w:rPr>
              <w:t xml:space="preserve">项目团队人员实力</w:t>
            </w:r>
            <w:r/>
          </w:p>
        </w:tc>
        <w:tc>
          <w:tcPr>
            <w:tcW w:w="913" w:type="dxa"/>
            <w:vAlign w:val="center"/>
            <w:textDirection w:val="lrTb"/>
            <w:noWrap w:val="false"/>
          </w:tcPr>
          <w:p>
            <w:pPr>
              <w:pStyle w:val="857"/>
              <w:ind w:firstLine="28"/>
              <w:jc w:val="center"/>
              <w:rPr>
                <w:rFonts w:ascii="宋体" w:hAnsi="宋体"/>
                <w:sz w:val="24"/>
              </w:rPr>
            </w:pPr>
            <w:r>
              <w:rPr>
                <w:rFonts w:ascii="宋体" w:hAnsi="宋体"/>
                <w:sz w:val="24"/>
              </w:rPr>
              <w:t xml:space="preserve">6</w:t>
            </w:r>
            <w:r/>
          </w:p>
        </w:tc>
        <w:tc>
          <w:tcPr>
            <w:tcW w:w="3978" w:type="dxa"/>
            <w:vAlign w:val="center"/>
            <w:textDirection w:val="lrTb"/>
            <w:noWrap w:val="false"/>
          </w:tcPr>
          <w:p>
            <w:pPr>
              <w:pStyle w:val="1036"/>
              <w:spacing w:line="360" w:lineRule="exact"/>
              <w:rPr>
                <w:rFonts w:ascii="宋体" w:hAnsi="宋体" w:cs="宋体"/>
                <w:color w:val="000000"/>
              </w:rPr>
            </w:pPr>
            <w:r>
              <w:rPr>
                <w:rFonts w:hint="eastAsia" w:ascii="宋体" w:hAnsi="宋体" w:cs="宋体"/>
                <w:color w:val="000000"/>
              </w:rPr>
              <w:t xml:space="preserve">（1）项目组成员同时具有高级信息项目管理师证书、PMP、数据库系统工程师（中级及以上的）证书得3分，每缺少一项扣1分；</w:t>
            </w:r>
            <w:r>
              <w:rPr>
                <w:rFonts w:ascii="宋体" w:hAnsi="宋体" w:cs="宋体"/>
                <w:color w:val="000000"/>
              </w:rPr>
            </w:r>
            <w:r/>
          </w:p>
          <w:p>
            <w:pPr>
              <w:pStyle w:val="857"/>
              <w:spacing w:line="360" w:lineRule="exact"/>
              <w:rPr>
                <w:rFonts w:ascii="宋体" w:hAnsi="宋体" w:cs="宋体"/>
                <w:sz w:val="24"/>
              </w:rPr>
            </w:pPr>
            <w:r>
              <w:rPr>
                <w:rFonts w:hint="eastAsia" w:ascii="宋体" w:hAnsi="宋体" w:cs="宋体"/>
                <w:sz w:val="24"/>
              </w:rPr>
              <w:t xml:space="preserve">（2）项目组医学团队成员具有医学类硕士研究生学历</w:t>
            </w:r>
            <w:r>
              <w:rPr>
                <w:rFonts w:hint="eastAsia" w:ascii="宋体" w:hAnsi="宋体" w:cs="宋体"/>
                <w:sz w:val="24"/>
              </w:rPr>
              <w:t xml:space="preserve">并具有医学类中级及以上职称证书得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857"/>
              <w:spacing w:line="360" w:lineRule="exact"/>
              <w:rPr>
                <w:rFonts w:ascii="宋体" w:hAnsi="宋体" w:cs="宋体"/>
                <w:sz w:val="24"/>
              </w:rPr>
            </w:pPr>
            <w:r>
              <w:rPr>
                <w:rFonts w:hint="eastAsia" w:ascii="宋体" w:hAnsi="宋体" w:cs="宋体"/>
                <w:sz w:val="24"/>
              </w:rPr>
              <w:t xml:space="preserve">（3）项目组成员具有统计类中级及以上专业技术资格证书得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857"/>
              <w:spacing w:line="360" w:lineRule="exact"/>
              <w:rPr>
                <w:rFonts w:hint="eastAsia" w:ascii="宋体" w:hAnsi="宋体" w:cs="宋体"/>
                <w:sz w:val="24"/>
              </w:rPr>
            </w:pPr>
            <w:r>
              <w:rPr>
                <w:rFonts w:hint="eastAsia" w:ascii="宋体" w:hAnsi="宋体" w:cs="宋体"/>
                <w:sz w:val="24"/>
              </w:rPr>
              <w:t xml:space="preserve">（4）项目组成员具有软件设计师证书得1分。</w:t>
            </w:r>
            <w:r/>
          </w:p>
        </w:tc>
        <w:tc>
          <w:tcPr>
            <w:tcW w:w="2440" w:type="dxa"/>
            <w:vAlign w:val="center"/>
            <w:textDirection w:val="lrTb"/>
            <w:noWrap w:val="false"/>
          </w:tcPr>
          <w:p>
            <w:pPr>
              <w:pStyle w:val="857"/>
              <w:ind w:left="-38"/>
              <w:rPr>
                <w:rFonts w:hint="eastAsia" w:ascii="宋体" w:hAnsi="宋体"/>
                <w:sz w:val="24"/>
              </w:rPr>
            </w:pPr>
            <w:r>
              <w:rPr>
                <w:rFonts w:hint="eastAsia" w:ascii="宋体" w:hAnsi="宋体" w:cs="宋体"/>
                <w:b/>
                <w:sz w:val="24"/>
              </w:rPr>
              <w:t xml:space="preserve">提供符合上述要求人员的相关证书复印件及近三个月（自</w:t>
            </w:r>
            <w:r>
              <w:rPr>
                <w:rFonts w:ascii="宋体" w:hAnsi="宋体" w:cs="宋体"/>
                <w:b/>
                <w:sz w:val="24"/>
              </w:rPr>
              <w:t xml:space="preserve">开标之日往前推算</w:t>
            </w:r>
            <w:r>
              <w:rPr>
                <w:rFonts w:hint="eastAsia" w:ascii="宋体" w:hAnsi="宋体" w:cs="宋体"/>
                <w:b/>
                <w:sz w:val="24"/>
              </w:rPr>
              <w:t xml:space="preserve">）在本单位参保的社保缴费证明复印件，相同人员的证书不重复计分。</w:t>
            </w:r>
            <w:r>
              <w:rPr>
                <w:rFonts w:hint="eastAsia" w:ascii="宋体" w:hAnsi="宋体"/>
                <w:sz w:val="24"/>
              </w:rPr>
            </w:r>
            <w:r/>
          </w:p>
        </w:tc>
      </w:tr>
      <w:tr>
        <w:trPr/>
        <w:tc>
          <w:tcPr>
            <w:tcW w:w="835" w:type="dxa"/>
            <w:vAlign w:val="center"/>
            <w:textDirection w:val="lrTb"/>
            <w:noWrap w:val="false"/>
          </w:tcPr>
          <w:p>
            <w:pPr>
              <w:pStyle w:val="857"/>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4</w:t>
            </w:r>
            <w:r/>
          </w:p>
        </w:tc>
        <w:tc>
          <w:tcPr>
            <w:tcW w:w="1462" w:type="dxa"/>
            <w:vAlign w:val="center"/>
            <w:textDirection w:val="lrTb"/>
            <w:noWrap w:val="false"/>
          </w:tcPr>
          <w:p>
            <w:pPr>
              <w:pStyle w:val="857"/>
              <w:jc w:val="center"/>
              <w:spacing w:line="360" w:lineRule="exact"/>
              <w:rPr>
                <w:rFonts w:hint="eastAsia" w:ascii="宋体" w:hAnsi="宋体" w:cs="宋体"/>
                <w:sz w:val="24"/>
              </w:rPr>
            </w:pPr>
            <w:r>
              <w:rPr>
                <w:rFonts w:hint="eastAsia" w:ascii="宋体" w:hAnsi="宋体" w:cs="宋体"/>
                <w:sz w:val="24"/>
              </w:rPr>
              <w:t xml:space="preserve">企业实力1</w:t>
            </w:r>
            <w:r/>
          </w:p>
        </w:tc>
        <w:tc>
          <w:tcPr>
            <w:tcW w:w="913" w:type="dxa"/>
            <w:vAlign w:val="center"/>
            <w:textDirection w:val="lrTb"/>
            <w:noWrap w:val="false"/>
          </w:tcPr>
          <w:p>
            <w:pPr>
              <w:pStyle w:val="857"/>
              <w:ind w:firstLine="28"/>
              <w:jc w:val="center"/>
              <w:rPr>
                <w:rFonts w:hint="eastAsia" w:ascii="宋体" w:hAnsi="宋体"/>
                <w:sz w:val="24"/>
              </w:rPr>
            </w:pPr>
            <w:r>
              <w:rPr>
                <w:rFonts w:hint="eastAsia" w:ascii="宋体" w:hAnsi="宋体"/>
                <w:sz w:val="24"/>
              </w:rPr>
              <w:t xml:space="preserve">9</w:t>
            </w:r>
            <w:r/>
          </w:p>
        </w:tc>
        <w:tc>
          <w:tcPr>
            <w:tcW w:w="3978" w:type="dxa"/>
            <w:vAlign w:val="center"/>
            <w:textDirection w:val="lrTb"/>
            <w:noWrap w:val="false"/>
          </w:tcPr>
          <w:p>
            <w:pPr>
              <w:pStyle w:val="857"/>
              <w:ind w:firstLine="480"/>
              <w:spacing w:line="360" w:lineRule="exact"/>
              <w:rPr>
                <w:rFonts w:ascii="宋体" w:hAnsi="宋体" w:cs="宋体"/>
                <w:sz w:val="24"/>
              </w:rPr>
            </w:pPr>
            <w:r>
              <w:rPr>
                <w:rFonts w:hint="eastAsia" w:ascii="宋体" w:hAnsi="宋体" w:cs="宋体"/>
                <w:sz w:val="24"/>
              </w:rPr>
              <w:t xml:space="preserve">提供与本项目产品有关的测评报告和软件著作权证书：</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（1）同时具有DRGs在院监测（院内管理）系统的软件著作权证书和安全测评报告的得2分，否则不得分。</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（2）同时具有医保结算清单管理系统的软件著作权证书和安全测评报告的得2分，否则不得分。</w:t>
            </w:r>
            <w:r>
              <w:rPr>
                <w:rFonts w:ascii="宋体" w:hAnsi="宋体" w:cs="宋体"/>
                <w:sz w:val="24"/>
              </w:rPr>
            </w:r>
            <w:r/>
          </w:p>
          <w:p>
            <w:pPr>
              <w:pStyle w:val="857"/>
              <w:ind w:firstLine="480"/>
              <w:spacing w:line="360" w:lineRule="exact"/>
              <w:rPr>
                <w:rFonts w:hint="eastAsia" w:ascii="宋体" w:hAnsi="宋体" w:cs="宋体"/>
                <w:sz w:val="24"/>
              </w:rPr>
            </w:pPr>
            <w:r>
              <w:rPr>
                <w:rFonts w:hint="eastAsia" w:ascii="宋体" w:hAnsi="宋体" w:cs="宋体"/>
                <w:sz w:val="24"/>
              </w:rPr>
              <w:t xml:space="preserve">（3）具有（医疗数据中心、医生在院助手</w:t>
            </w:r>
            <w:r>
              <w:rPr>
                <w:rFonts w:ascii="宋体" w:hAnsi="宋体" w:cs="宋体"/>
                <w:sz w:val="24"/>
              </w:rPr>
              <w:t xml:space="preserve">、DRGs评价&amp;分析、</w:t>
            </w:r>
            <w:r>
              <w:rPr>
                <w:rFonts w:hint="eastAsia" w:ascii="宋体" w:hAnsi="宋体" w:cs="宋体"/>
                <w:sz w:val="24"/>
              </w:rPr>
              <w:t xml:space="preserve">医保</w:t>
            </w:r>
            <w:r>
              <w:rPr>
                <w:rFonts w:ascii="宋体" w:hAnsi="宋体" w:cs="宋体"/>
                <w:sz w:val="24"/>
              </w:rPr>
              <w:t xml:space="preserve">DRG医院智慧运营</w:t>
            </w:r>
            <w:r>
              <w:rPr>
                <w:rFonts w:hint="eastAsia" w:ascii="宋体" w:hAnsi="宋体" w:cs="宋体"/>
                <w:sz w:val="24"/>
              </w:rPr>
              <w:t xml:space="preserve">、D</w:t>
            </w:r>
            <w:r>
              <w:rPr>
                <w:rFonts w:ascii="宋体" w:hAnsi="宋体" w:cs="宋体"/>
                <w:sz w:val="24"/>
              </w:rPr>
              <w:t xml:space="preserve">RG</w:t>
            </w:r>
            <w:r>
              <w:rPr>
                <w:rFonts w:hint="eastAsia" w:ascii="宋体" w:hAnsi="宋体" w:cs="宋体"/>
                <w:sz w:val="24"/>
              </w:rPr>
              <w:t xml:space="preserve">s结算管理）软件著作权证书，每提供一个得</w:t>
            </w:r>
            <w:r>
              <w:rPr>
                <w:rFonts w:ascii="宋体" w:hAnsi="宋体" w:cs="宋体"/>
                <w:sz w:val="24"/>
              </w:rPr>
              <w:t xml:space="preserve">1</w:t>
            </w:r>
            <w:r>
              <w:rPr>
                <w:rFonts w:hint="eastAsia" w:ascii="宋体" w:hAnsi="宋体" w:cs="宋体"/>
                <w:sz w:val="24"/>
              </w:rPr>
              <w:t xml:space="preserve">分，最高得</w:t>
            </w:r>
            <w:r>
              <w:rPr>
                <w:rFonts w:ascii="宋体" w:hAnsi="宋体" w:cs="宋体"/>
                <w:sz w:val="24"/>
              </w:rPr>
              <w:t xml:space="preserve">5</w:t>
            </w:r>
            <w:r>
              <w:rPr>
                <w:rFonts w:hint="eastAsia" w:ascii="宋体" w:hAnsi="宋体" w:cs="宋体"/>
                <w:sz w:val="24"/>
              </w:rPr>
              <w:t xml:space="preserve">分。</w:t>
            </w:r>
            <w:r/>
          </w:p>
        </w:tc>
        <w:tc>
          <w:tcPr>
            <w:tcW w:w="2440" w:type="dxa"/>
            <w:vAlign w:val="center"/>
            <w:textDirection w:val="lrTb"/>
            <w:noWrap w:val="false"/>
          </w:tcPr>
          <w:p>
            <w:pPr>
              <w:pStyle w:val="857"/>
              <w:ind w:left="-38"/>
              <w:rPr>
                <w:rFonts w:hint="eastAsia" w:ascii="宋体" w:hAnsi="宋体"/>
                <w:sz w:val="24"/>
              </w:rPr>
            </w:pPr>
            <w:r>
              <w:rPr>
                <w:rFonts w:hint="eastAsia" w:ascii="宋体" w:hAnsi="宋体" w:cs="宋体"/>
                <w:b/>
                <w:sz w:val="24"/>
              </w:rPr>
              <w:t xml:space="preserve">提供以上证书或测评报告复印件加盖投标人公章，日期应在招标公告发布日之前，否则不得分。</w:t>
            </w:r>
            <w:r>
              <w:rPr>
                <w:rFonts w:hint="eastAsia" w:ascii="宋体" w:hAnsi="宋体"/>
                <w:sz w:val="24"/>
              </w:rPr>
            </w:r>
            <w:r/>
          </w:p>
        </w:tc>
      </w:tr>
      <w:tr>
        <w:trPr/>
        <w:tc>
          <w:tcPr>
            <w:tcW w:w="835"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3</w:t>
            </w:r>
            <w:r>
              <w:rPr>
                <w:rFonts w:ascii="宋体" w:hAnsi="宋体"/>
                <w:sz w:val="24"/>
              </w:rPr>
              <w:t xml:space="preserve">.5</w:t>
            </w:r>
            <w:r/>
          </w:p>
        </w:tc>
        <w:tc>
          <w:tcPr>
            <w:tcW w:w="1462" w:type="dxa"/>
            <w:vAlign w:val="center"/>
            <w:textDirection w:val="lrTb"/>
            <w:noWrap w:val="false"/>
          </w:tcPr>
          <w:p>
            <w:pPr>
              <w:pStyle w:val="857"/>
              <w:jc w:val="center"/>
              <w:spacing w:line="360" w:lineRule="exact"/>
              <w:rPr>
                <w:rFonts w:hint="eastAsia" w:ascii="宋体" w:hAnsi="宋体" w:cs="宋体"/>
                <w:sz w:val="24"/>
              </w:rPr>
            </w:pPr>
            <w:r>
              <w:rPr>
                <w:rFonts w:hint="eastAsia" w:ascii="宋体" w:hAnsi="宋体" w:cs="宋体"/>
                <w:sz w:val="24"/>
              </w:rPr>
              <w:t xml:space="preserve">企业实力2</w:t>
            </w:r>
            <w:r/>
          </w:p>
        </w:tc>
        <w:tc>
          <w:tcPr>
            <w:tcW w:w="913" w:type="dxa"/>
            <w:vAlign w:val="center"/>
            <w:textDirection w:val="lrTb"/>
            <w:noWrap w:val="false"/>
          </w:tcPr>
          <w:p>
            <w:pPr>
              <w:pStyle w:val="857"/>
              <w:ind w:firstLine="28"/>
              <w:jc w:val="center"/>
              <w:rPr>
                <w:rFonts w:hint="eastAsia" w:ascii="宋体" w:hAnsi="宋体"/>
                <w:sz w:val="24"/>
              </w:rPr>
            </w:pPr>
            <w:r>
              <w:rPr>
                <w:rFonts w:ascii="宋体" w:hAnsi="宋体"/>
                <w:sz w:val="24"/>
              </w:rPr>
              <w:t xml:space="preserve">3</w:t>
            </w:r>
            <w:r>
              <w:rPr>
                <w:rFonts w:hint="eastAsia" w:ascii="宋体" w:hAnsi="宋体"/>
                <w:sz w:val="24"/>
              </w:rPr>
            </w:r>
            <w:r/>
          </w:p>
        </w:tc>
        <w:tc>
          <w:tcPr>
            <w:tcW w:w="3978" w:type="dxa"/>
            <w:vAlign w:val="center"/>
            <w:textDirection w:val="lrTb"/>
            <w:noWrap w:val="false"/>
          </w:tcPr>
          <w:p>
            <w:pPr>
              <w:pStyle w:val="857"/>
              <w:ind w:firstLine="480"/>
              <w:spacing w:line="360" w:lineRule="exact"/>
              <w:rPr>
                <w:rFonts w:ascii="宋体" w:hAnsi="宋体" w:cs="宋体"/>
                <w:sz w:val="24"/>
              </w:rPr>
            </w:pPr>
            <w:r>
              <w:rPr>
                <w:rFonts w:hint="eastAsia" w:ascii="宋体" w:hAnsi="宋体" w:cs="宋体"/>
                <w:sz w:val="24"/>
              </w:rPr>
              <w:t xml:space="preserve">（1）投标人具有信息系统安全等级保护证明（三级及以上）得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857"/>
              <w:ind w:firstLine="480"/>
              <w:spacing w:line="360" w:lineRule="exact"/>
              <w:rPr>
                <w:rFonts w:ascii="宋体" w:hAnsi="宋体" w:cs="宋体"/>
                <w:sz w:val="24"/>
              </w:rPr>
            </w:pPr>
            <w:r>
              <w:rPr>
                <w:rFonts w:hint="eastAsia" w:ascii="宋体" w:hAnsi="宋体" w:cs="宋体"/>
                <w:sz w:val="24"/>
              </w:rPr>
              <w:t xml:space="preserve">（2）投标人具有知识产权管理体系认证证书得</w:t>
            </w:r>
            <w:r>
              <w:rPr>
                <w:rFonts w:ascii="宋体" w:hAnsi="宋体" w:cs="宋体"/>
                <w:sz w:val="24"/>
              </w:rPr>
              <w:t xml:space="preserve">1</w:t>
            </w:r>
            <w:r>
              <w:rPr>
                <w:rFonts w:hint="eastAsia" w:ascii="宋体" w:hAnsi="宋体" w:cs="宋体"/>
                <w:sz w:val="24"/>
              </w:rPr>
              <w:t xml:space="preserve">分，认证范围需包含“D</w:t>
            </w:r>
            <w:r>
              <w:rPr>
                <w:rFonts w:ascii="宋体" w:hAnsi="宋体" w:cs="宋体"/>
                <w:sz w:val="24"/>
              </w:rPr>
              <w:t xml:space="preserve">RG</w:t>
            </w:r>
            <w:r>
              <w:rPr>
                <w:rFonts w:hint="eastAsia" w:ascii="宋体" w:hAnsi="宋体" w:cs="宋体"/>
                <w:sz w:val="24"/>
              </w:rPr>
              <w:t xml:space="preserve">”关键字眼，否则此项不得分。</w:t>
            </w:r>
            <w:r>
              <w:rPr>
                <w:rFonts w:ascii="宋体" w:hAnsi="宋体" w:cs="宋体"/>
                <w:sz w:val="24"/>
              </w:rPr>
            </w:r>
            <w:r/>
          </w:p>
          <w:p>
            <w:pPr>
              <w:pStyle w:val="857"/>
              <w:ind w:firstLine="480"/>
              <w:spacing w:line="360" w:lineRule="exact"/>
              <w:rPr>
                <w:rFonts w:hint="eastAsia" w:ascii="宋体" w:hAnsi="宋体" w:cs="宋体"/>
                <w:sz w:val="24"/>
              </w:rPr>
            </w:pPr>
            <w:r>
              <w:rPr>
                <w:rFonts w:hint="eastAsia" w:ascii="宋体" w:hAnsi="宋体" w:cs="宋体"/>
                <w:sz w:val="24"/>
              </w:rPr>
              <w:t xml:space="preserve">（3）投标人具有售后服务认证证书得</w:t>
            </w:r>
            <w:r>
              <w:rPr>
                <w:rFonts w:ascii="宋体" w:hAnsi="宋体" w:cs="宋体"/>
                <w:sz w:val="24"/>
              </w:rPr>
              <w:t xml:space="preserve">1</w:t>
            </w:r>
            <w:r>
              <w:rPr>
                <w:rFonts w:hint="eastAsia" w:ascii="宋体" w:hAnsi="宋体" w:cs="宋体"/>
                <w:sz w:val="24"/>
              </w:rPr>
              <w:t xml:space="preserve">分。</w:t>
            </w:r>
            <w:r/>
          </w:p>
        </w:tc>
        <w:tc>
          <w:tcPr>
            <w:tcW w:w="2440" w:type="dxa"/>
            <w:vAlign w:val="center"/>
            <w:textDirection w:val="lrTb"/>
            <w:noWrap w:val="false"/>
          </w:tcPr>
          <w:p>
            <w:pPr>
              <w:pStyle w:val="857"/>
              <w:ind w:left="-38"/>
              <w:rPr>
                <w:rFonts w:hint="eastAsia" w:ascii="宋体" w:hAnsi="宋体"/>
                <w:sz w:val="24"/>
              </w:rPr>
            </w:pPr>
            <w:r>
              <w:rPr>
                <w:rFonts w:hint="eastAsia" w:ascii="宋体" w:hAnsi="宋体" w:cs="宋体"/>
                <w:b/>
                <w:sz w:val="24"/>
              </w:rPr>
              <w:t xml:space="preserve">提供有效期内的证书复印件加盖投标人公章，</w:t>
            </w:r>
            <w:r>
              <w:rPr>
                <w:rFonts w:hint="eastAsia" w:ascii="宋体" w:hAnsi="宋体"/>
                <w:b/>
                <w:sz w:val="24"/>
              </w:rPr>
              <w:t xml:space="preserve">否则不得分</w:t>
            </w:r>
            <w:r>
              <w:rPr>
                <w:rFonts w:hint="eastAsia" w:ascii="宋体" w:hAnsi="宋体" w:cs="宋体"/>
                <w:b/>
                <w:sz w:val="24"/>
              </w:rPr>
              <w:t xml:space="preserve">。</w:t>
            </w:r>
            <w:r>
              <w:rPr>
                <w:rFonts w:hint="eastAsia" w:ascii="宋体" w:hAnsi="宋体"/>
                <w:sz w:val="24"/>
              </w:rPr>
            </w:r>
            <w:r/>
          </w:p>
        </w:tc>
      </w:tr>
      <w:tr>
        <w:trPr/>
        <w:tc>
          <w:tcPr>
            <w:tcW w:w="835"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3</w:t>
            </w:r>
            <w:r>
              <w:rPr>
                <w:rFonts w:ascii="宋体" w:hAnsi="宋体"/>
                <w:sz w:val="24"/>
              </w:rPr>
              <w:t xml:space="preserve">.6</w:t>
            </w:r>
            <w:r/>
          </w:p>
        </w:tc>
        <w:tc>
          <w:tcPr>
            <w:tcW w:w="1462" w:type="dxa"/>
            <w:vAlign w:val="center"/>
            <w:textDirection w:val="lrTb"/>
            <w:noWrap w:val="false"/>
          </w:tcPr>
          <w:p>
            <w:pPr>
              <w:pStyle w:val="857"/>
              <w:jc w:val="center"/>
              <w:spacing w:line="360" w:lineRule="exact"/>
              <w:rPr>
                <w:rFonts w:hint="eastAsia" w:ascii="宋体" w:hAnsi="宋体" w:cs="宋体"/>
                <w:sz w:val="24"/>
              </w:rPr>
            </w:pPr>
            <w:r>
              <w:rPr>
                <w:rFonts w:hint="eastAsia" w:ascii="宋体" w:hAnsi="宋体" w:cs="宋体"/>
                <w:sz w:val="24"/>
              </w:rPr>
              <w:t xml:space="preserve">企业实力3</w:t>
            </w:r>
            <w:r/>
          </w:p>
        </w:tc>
        <w:tc>
          <w:tcPr>
            <w:tcW w:w="913" w:type="dxa"/>
            <w:vAlign w:val="center"/>
            <w:textDirection w:val="lrTb"/>
            <w:noWrap w:val="false"/>
          </w:tcPr>
          <w:p>
            <w:pPr>
              <w:pStyle w:val="857"/>
              <w:ind w:firstLine="28"/>
              <w:jc w:val="center"/>
              <w:rPr>
                <w:rFonts w:hint="eastAsia" w:ascii="宋体" w:hAnsi="宋体"/>
                <w:sz w:val="24"/>
              </w:rPr>
            </w:pPr>
            <w:r>
              <w:rPr>
                <w:rFonts w:hint="eastAsia" w:ascii="宋体" w:hAnsi="宋体"/>
                <w:sz w:val="24"/>
              </w:rPr>
              <w:t xml:space="preserve">3</w:t>
            </w:r>
            <w:r/>
          </w:p>
        </w:tc>
        <w:tc>
          <w:tcPr>
            <w:tcW w:w="3978" w:type="dxa"/>
            <w:vAlign w:val="center"/>
            <w:textDirection w:val="lrTb"/>
            <w:noWrap w:val="false"/>
          </w:tcPr>
          <w:p>
            <w:pPr>
              <w:pStyle w:val="857"/>
              <w:ind w:firstLine="480"/>
              <w:spacing w:line="360" w:lineRule="exact"/>
              <w:rPr>
                <w:rFonts w:ascii="宋体" w:hAnsi="宋体" w:cs="宋体"/>
                <w:sz w:val="24"/>
              </w:rPr>
            </w:pPr>
            <w:r>
              <w:rPr>
                <w:rFonts w:hint="eastAsia" w:ascii="宋体" w:hAnsi="宋体" w:cs="宋体"/>
                <w:sz w:val="24"/>
              </w:rPr>
              <w:t xml:space="preserve">为确保信息标准化、互联互通，数字基础设施国产化是医院信息化建设的战略共识，为护航医院数字化转型，投标人所投产品应与主流国产化操作系统和数据库具有良好的兼容性。</w:t>
            </w:r>
            <w:r>
              <w:rPr>
                <w:rFonts w:ascii="宋体" w:hAnsi="宋体" w:cs="宋体"/>
                <w:sz w:val="24"/>
              </w:rPr>
            </w:r>
            <w:r/>
          </w:p>
          <w:p>
            <w:pPr>
              <w:pStyle w:val="857"/>
              <w:ind w:firstLine="480"/>
              <w:spacing w:line="360" w:lineRule="exact"/>
              <w:rPr>
                <w:rFonts w:hint="eastAsia" w:ascii="宋体" w:hAnsi="宋体" w:cs="宋体"/>
                <w:sz w:val="24"/>
              </w:rPr>
            </w:pPr>
            <w:r>
              <w:rPr>
                <w:rFonts w:hint="eastAsia" w:ascii="宋体" w:hAnsi="宋体" w:cs="宋体"/>
                <w:sz w:val="24"/>
              </w:rPr>
              <w:t xml:space="preserve">投标人所投产品与主流国产化操作系统和数据库的兼容性互认，具有认证证书的，每提供一份得1分，最高得3分。</w:t>
            </w:r>
            <w:r/>
          </w:p>
        </w:tc>
        <w:tc>
          <w:tcPr>
            <w:tcW w:w="2440" w:type="dxa"/>
            <w:vAlign w:val="center"/>
            <w:textDirection w:val="lrTb"/>
            <w:noWrap w:val="false"/>
          </w:tcPr>
          <w:p>
            <w:pPr>
              <w:pStyle w:val="857"/>
              <w:ind w:left="-38"/>
              <w:rPr>
                <w:rFonts w:hint="eastAsia" w:ascii="宋体" w:hAnsi="宋体"/>
                <w:sz w:val="24"/>
              </w:rPr>
            </w:pPr>
            <w:r>
              <w:rPr>
                <w:rFonts w:hint="eastAsia" w:ascii="宋体" w:hAnsi="宋体" w:cs="宋体"/>
                <w:b/>
                <w:sz w:val="24"/>
              </w:rPr>
              <w:t xml:space="preserve">不同产品但是同一厂商认证的证书不重复计分。须提供证书复印件加盖投标人公章，未提供不得分。</w:t>
            </w:r>
            <w:r>
              <w:rPr>
                <w:rFonts w:hint="eastAsia" w:ascii="宋体" w:hAnsi="宋体"/>
                <w:sz w:val="24"/>
              </w:rPr>
            </w:r>
            <w:r/>
          </w:p>
        </w:tc>
      </w:tr>
      <w:tr>
        <w:trPr/>
        <w:tc>
          <w:tcPr>
            <w:tcW w:w="835"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3</w:t>
            </w:r>
            <w:r>
              <w:rPr>
                <w:rFonts w:ascii="宋体" w:hAnsi="宋体"/>
                <w:sz w:val="24"/>
              </w:rPr>
              <w:t xml:space="preserve">.7</w:t>
            </w:r>
            <w:r/>
          </w:p>
        </w:tc>
        <w:tc>
          <w:tcPr>
            <w:tcW w:w="1462" w:type="dxa"/>
            <w:vAlign w:val="center"/>
            <w:textDirection w:val="lrTb"/>
            <w:noWrap w:val="false"/>
          </w:tcPr>
          <w:p>
            <w:pPr>
              <w:pStyle w:val="857"/>
              <w:spacing w:line="360" w:lineRule="exact"/>
              <w:rPr>
                <w:rFonts w:hint="eastAsia" w:ascii="宋体" w:hAnsi="宋体" w:cs="宋体"/>
                <w:sz w:val="24"/>
              </w:rPr>
            </w:pPr>
            <w:r>
              <w:rPr>
                <w:rFonts w:hint="eastAsia" w:ascii="宋体" w:hAnsi="宋体" w:cs="宋体"/>
                <w:sz w:val="24"/>
              </w:rPr>
              <w:t xml:space="preserve">企业实力</w:t>
            </w:r>
            <w:r>
              <w:rPr>
                <w:rFonts w:ascii="宋体" w:hAnsi="宋体" w:cs="宋体"/>
                <w:sz w:val="24"/>
              </w:rPr>
              <w:t xml:space="preserve">4</w:t>
            </w:r>
            <w:r>
              <w:rPr>
                <w:rFonts w:hint="eastAsia" w:ascii="宋体" w:hAnsi="宋体" w:cs="宋体"/>
                <w:sz w:val="24"/>
              </w:rPr>
            </w:r>
            <w:r/>
          </w:p>
        </w:tc>
        <w:tc>
          <w:tcPr>
            <w:tcW w:w="913" w:type="dxa"/>
            <w:vAlign w:val="center"/>
            <w:textDirection w:val="lrTb"/>
            <w:noWrap w:val="false"/>
          </w:tcPr>
          <w:p>
            <w:pPr>
              <w:pStyle w:val="857"/>
              <w:ind w:firstLine="28"/>
              <w:jc w:val="center"/>
              <w:rPr>
                <w:rFonts w:ascii="宋体" w:hAnsi="宋体"/>
                <w:sz w:val="24"/>
              </w:rPr>
            </w:pPr>
            <w:r>
              <w:rPr>
                <w:rFonts w:ascii="宋体" w:hAnsi="宋体"/>
                <w:sz w:val="24"/>
              </w:rPr>
              <w:t xml:space="preserve">2</w:t>
            </w:r>
            <w:r/>
          </w:p>
        </w:tc>
        <w:tc>
          <w:tcPr>
            <w:tcW w:w="3978" w:type="dxa"/>
            <w:vAlign w:val="center"/>
            <w:textDirection w:val="lrTb"/>
            <w:noWrap w:val="false"/>
          </w:tcPr>
          <w:p>
            <w:pPr>
              <w:pStyle w:val="857"/>
              <w:ind w:firstLine="480"/>
              <w:spacing w:line="360" w:lineRule="exact"/>
              <w:rPr>
                <w:rFonts w:ascii="宋体" w:hAnsi="宋体" w:cs="宋体"/>
                <w:sz w:val="24"/>
              </w:rPr>
            </w:pPr>
            <w:r>
              <w:rPr>
                <w:rFonts w:hint="eastAsia" w:ascii="宋体" w:hAnsi="宋体" w:cs="宋体"/>
                <w:sz w:val="24"/>
              </w:rPr>
              <w:t xml:space="preserve">投标人是否具备配套的ETL工具，提供所需接口，可确保各种临床和管理应用效果的配置扩展实现。投标人提供所采用的应用工具的相关资质证书。</w:t>
            </w:r>
            <w:r>
              <w:rPr>
                <w:rFonts w:ascii="宋体" w:hAnsi="宋体" w:cs="宋体"/>
                <w:sz w:val="24"/>
              </w:rPr>
            </w:r>
            <w:r/>
          </w:p>
          <w:p>
            <w:pPr>
              <w:pStyle w:val="857"/>
              <w:ind w:firstLine="480"/>
              <w:spacing w:line="360" w:lineRule="exact"/>
              <w:rPr>
                <w:rFonts w:hint="eastAsia" w:ascii="宋体" w:hAnsi="宋体" w:cs="宋体"/>
                <w:sz w:val="24"/>
              </w:rPr>
            </w:pPr>
            <w:r>
              <w:rPr>
                <w:rFonts w:hint="eastAsia" w:ascii="宋体" w:hAnsi="宋体" w:cs="宋体"/>
                <w:sz w:val="24"/>
              </w:rPr>
              <w:t xml:space="preserve">提供医疗数据</w:t>
            </w:r>
            <w:r>
              <w:rPr>
                <w:rFonts w:ascii="宋体" w:hAnsi="宋体" w:cs="宋体"/>
                <w:sz w:val="24"/>
              </w:rPr>
              <w:t xml:space="preserve">ETL系统和ETL</w:t>
            </w:r>
            <w:r>
              <w:rPr>
                <w:rFonts w:hint="eastAsia" w:ascii="宋体" w:hAnsi="宋体" w:cs="宋体"/>
                <w:sz w:val="24"/>
              </w:rPr>
              <w:t xml:space="preserve">管理工具软件的资质证书或软著，每提供一</w:t>
            </w:r>
            <w:r>
              <w:rPr>
                <w:rFonts w:ascii="宋体" w:hAnsi="宋体" w:cs="宋体"/>
                <w:sz w:val="24"/>
              </w:rPr>
              <w:t xml:space="preserve">个得1</w:t>
            </w:r>
            <w:r>
              <w:rPr>
                <w:rFonts w:hint="eastAsia" w:ascii="宋体" w:hAnsi="宋体" w:cs="宋体"/>
                <w:sz w:val="24"/>
              </w:rPr>
              <w:t xml:space="preserve">分，最高</w:t>
            </w:r>
            <w:r>
              <w:rPr>
                <w:rFonts w:ascii="宋体" w:hAnsi="宋体" w:cs="宋体"/>
                <w:sz w:val="24"/>
              </w:rPr>
              <w:t xml:space="preserve">得2</w:t>
            </w:r>
            <w:r>
              <w:rPr>
                <w:rFonts w:hint="eastAsia" w:ascii="宋体" w:hAnsi="宋体" w:cs="宋体"/>
                <w:sz w:val="24"/>
              </w:rPr>
              <w:t xml:space="preserve">分；未提供不得</w:t>
            </w:r>
            <w:r>
              <w:rPr>
                <w:rFonts w:ascii="宋体" w:hAnsi="宋体" w:cs="宋体"/>
                <w:sz w:val="24"/>
              </w:rPr>
              <w:t xml:space="preserve">分</w:t>
            </w:r>
            <w:r>
              <w:rPr>
                <w:rFonts w:hint="eastAsia" w:ascii="宋体" w:hAnsi="宋体" w:cs="宋体"/>
                <w:sz w:val="24"/>
              </w:rPr>
              <w:t xml:space="preserve">。</w:t>
            </w:r>
            <w:r/>
          </w:p>
        </w:tc>
        <w:tc>
          <w:tcPr>
            <w:tcW w:w="2440" w:type="dxa"/>
            <w:vAlign w:val="center"/>
            <w:textDirection w:val="lrTb"/>
            <w:noWrap w:val="false"/>
          </w:tcPr>
          <w:p>
            <w:pPr>
              <w:pStyle w:val="857"/>
              <w:ind w:left="-38"/>
              <w:rPr>
                <w:rFonts w:hint="eastAsia" w:ascii="宋体" w:hAnsi="宋体"/>
                <w:sz w:val="24"/>
              </w:rPr>
            </w:pPr>
            <w:r>
              <w:rPr>
                <w:rFonts w:hint="eastAsia" w:ascii="宋体" w:hAnsi="宋体"/>
                <w:b/>
                <w:sz w:val="24"/>
              </w:rPr>
              <w:t xml:space="preserve">须提供相关证书复印件并加盖公章，且证书取得时间不得迟于招标公告发出时间，未提供不得分。</w:t>
            </w:r>
            <w:r>
              <w:rPr>
                <w:rFonts w:hint="eastAsia" w:ascii="宋体" w:hAnsi="宋体"/>
                <w:sz w:val="24"/>
              </w:rPr>
            </w:r>
            <w:r/>
          </w:p>
        </w:tc>
      </w:tr>
      <w:tr>
        <w:trPr/>
        <w:tc>
          <w:tcPr>
            <w:tcW w:w="835" w:type="dxa"/>
            <w:vAlign w:val="center"/>
            <w:textDirection w:val="lrTb"/>
            <w:noWrap w:val="false"/>
          </w:tcPr>
          <w:p>
            <w:pPr>
              <w:pStyle w:val="857"/>
              <w:ind w:firstLine="28"/>
              <w:jc w:val="center"/>
              <w:rPr>
                <w:rFonts w:ascii="宋体" w:hAnsi="宋体"/>
                <w:sz w:val="24"/>
              </w:rPr>
            </w:pPr>
            <w:r>
              <w:rPr>
                <w:rFonts w:hint="eastAsia" w:ascii="宋体" w:hAnsi="宋体"/>
                <w:sz w:val="24"/>
              </w:rPr>
              <w:t xml:space="preserve">3</w:t>
            </w:r>
            <w:r>
              <w:rPr>
                <w:rFonts w:ascii="宋体" w:hAnsi="宋体"/>
                <w:sz w:val="24"/>
              </w:rPr>
              <w:t xml:space="preserve">.8</w:t>
            </w:r>
            <w:r/>
          </w:p>
        </w:tc>
        <w:tc>
          <w:tcPr>
            <w:tcW w:w="1462" w:type="dxa"/>
            <w:vAlign w:val="center"/>
            <w:textDirection w:val="lrTb"/>
            <w:noWrap w:val="false"/>
          </w:tcPr>
          <w:p>
            <w:pPr>
              <w:pStyle w:val="857"/>
              <w:jc w:val="center"/>
              <w:spacing w:line="360" w:lineRule="exact"/>
              <w:rPr>
                <w:rFonts w:hint="eastAsia" w:ascii="宋体" w:hAnsi="宋体" w:cs="宋体"/>
                <w:sz w:val="24"/>
              </w:rPr>
            </w:pPr>
            <w:r>
              <w:rPr>
                <w:rFonts w:hint="eastAsia" w:ascii="宋体" w:hAnsi="宋体" w:cs="宋体"/>
                <w:sz w:val="24"/>
              </w:rPr>
              <w:t xml:space="preserve">业绩</w:t>
            </w:r>
            <w:r/>
          </w:p>
        </w:tc>
        <w:tc>
          <w:tcPr>
            <w:tcW w:w="913" w:type="dxa"/>
            <w:vAlign w:val="center"/>
            <w:textDirection w:val="lrTb"/>
            <w:noWrap w:val="false"/>
          </w:tcPr>
          <w:p>
            <w:pPr>
              <w:pStyle w:val="857"/>
              <w:ind w:firstLine="28"/>
              <w:jc w:val="center"/>
              <w:rPr>
                <w:rFonts w:hint="eastAsia" w:ascii="宋体" w:hAnsi="宋体"/>
                <w:sz w:val="24"/>
              </w:rPr>
            </w:pPr>
            <w:r>
              <w:rPr>
                <w:rFonts w:hint="eastAsia" w:ascii="宋体" w:hAnsi="宋体"/>
                <w:sz w:val="24"/>
              </w:rPr>
              <w:t xml:space="preserve">5</w:t>
            </w:r>
            <w:r/>
          </w:p>
        </w:tc>
        <w:tc>
          <w:tcPr>
            <w:tcW w:w="3978" w:type="dxa"/>
            <w:vAlign w:val="center"/>
            <w:textDirection w:val="lrTb"/>
            <w:noWrap w:val="false"/>
          </w:tcPr>
          <w:p>
            <w:pPr>
              <w:pStyle w:val="857"/>
              <w:ind w:firstLine="480"/>
              <w:spacing w:line="360" w:lineRule="exact"/>
              <w:rPr>
                <w:rFonts w:hint="eastAsia" w:ascii="宋体" w:hAnsi="宋体" w:cs="宋体"/>
                <w:sz w:val="24"/>
              </w:rPr>
            </w:pPr>
            <w:r>
              <w:rPr>
                <w:rFonts w:hint="eastAsia" w:ascii="宋体" w:hAnsi="宋体" w:cs="宋体"/>
                <w:sz w:val="24"/>
              </w:rPr>
              <w:t xml:space="preserve">提供</w:t>
            </w:r>
            <w:r>
              <w:rPr>
                <w:rFonts w:ascii="宋体" w:hAnsi="宋体" w:cs="宋体"/>
                <w:sz w:val="24"/>
              </w:rPr>
              <w:t xml:space="preserve">2020年1月1日以来三级</w:t>
            </w:r>
            <w:r>
              <w:rPr>
                <w:rFonts w:hint="eastAsia" w:ascii="宋体" w:hAnsi="宋体" w:cs="宋体"/>
                <w:sz w:val="24"/>
              </w:rPr>
              <w:t xml:space="preserve">医院</w:t>
            </w:r>
            <w:r>
              <w:rPr>
                <w:rFonts w:ascii="宋体" w:hAnsi="宋体" w:cs="宋体"/>
                <w:sz w:val="24"/>
              </w:rPr>
              <w:t xml:space="preserve">成功实施案例（即</w:t>
            </w:r>
            <w:r>
              <w:rPr>
                <w:rFonts w:hint="eastAsia" w:ascii="宋体" w:hAnsi="宋体" w:cs="宋体"/>
                <w:sz w:val="24"/>
              </w:rPr>
              <w:t xml:space="preserve">医保</w:t>
            </w:r>
            <w:r>
              <w:rPr>
                <w:rFonts w:ascii="宋体" w:hAnsi="宋体" w:cs="宋体"/>
                <w:sz w:val="24"/>
              </w:rPr>
              <w:t xml:space="preserve">DRG，非绩效DRG），每提供</w:t>
            </w:r>
            <w:r>
              <w:rPr>
                <w:rFonts w:hint="eastAsia" w:ascii="宋体" w:hAnsi="宋体" w:cs="宋体"/>
                <w:sz w:val="24"/>
              </w:rPr>
              <w:t xml:space="preserve">一</w:t>
            </w:r>
            <w:r>
              <w:rPr>
                <w:rFonts w:ascii="宋体" w:hAnsi="宋体" w:cs="宋体"/>
                <w:sz w:val="24"/>
              </w:rPr>
              <w:t xml:space="preserve">个案例得1分，最</w:t>
            </w:r>
            <w:r>
              <w:rPr>
                <w:rFonts w:hint="eastAsia" w:ascii="宋体" w:hAnsi="宋体" w:cs="宋体"/>
                <w:sz w:val="24"/>
              </w:rPr>
              <w:t xml:space="preserve">高得</w:t>
            </w:r>
            <w:r>
              <w:rPr>
                <w:rFonts w:ascii="宋体" w:hAnsi="宋体" w:cs="宋体"/>
                <w:sz w:val="24"/>
              </w:rPr>
              <w:t xml:space="preserve">5</w:t>
            </w:r>
            <w:r>
              <w:rPr>
                <w:rFonts w:hint="eastAsia" w:ascii="宋体" w:hAnsi="宋体" w:cs="宋体"/>
                <w:sz w:val="24"/>
              </w:rPr>
              <w:t xml:space="preserve">分。</w:t>
            </w:r>
            <w:r/>
          </w:p>
        </w:tc>
        <w:tc>
          <w:tcPr>
            <w:tcW w:w="2440" w:type="dxa"/>
            <w:vAlign w:val="center"/>
            <w:textDirection w:val="lrTb"/>
            <w:noWrap w:val="false"/>
          </w:tcPr>
          <w:p>
            <w:pPr>
              <w:pStyle w:val="857"/>
              <w:ind w:left="-38"/>
              <w:rPr>
                <w:rFonts w:hint="eastAsia" w:ascii="宋体" w:hAnsi="宋体"/>
                <w:sz w:val="24"/>
              </w:rPr>
            </w:pPr>
            <w:r>
              <w:rPr>
                <w:rFonts w:hint="eastAsia" w:ascii="宋体" w:hAnsi="宋体" w:cs="宋体"/>
                <w:b/>
                <w:sz w:val="24"/>
              </w:rPr>
              <w:t xml:space="preserve">响应文件中须</w:t>
            </w:r>
            <w:r>
              <w:rPr>
                <w:rFonts w:ascii="宋体" w:hAnsi="宋体" w:cs="宋体"/>
                <w:b/>
                <w:sz w:val="24"/>
              </w:rPr>
              <w:t xml:space="preserve">同时提供合同复印件与项目验收报告</w:t>
            </w:r>
            <w:r>
              <w:rPr>
                <w:rFonts w:hint="eastAsia" w:ascii="宋体" w:hAnsi="宋体" w:cs="宋体"/>
                <w:b/>
                <w:sz w:val="24"/>
              </w:rPr>
              <w:t xml:space="preserve">复印件加盖投标人公章</w:t>
            </w:r>
            <w:r>
              <w:rPr>
                <w:rFonts w:ascii="宋体" w:hAnsi="宋体" w:cs="宋体"/>
                <w:b/>
                <w:color w:val="ff0000"/>
                <w:sz w:val="24"/>
              </w:rPr>
              <w:t xml:space="preserve">，</w:t>
            </w:r>
            <w:r>
              <w:rPr>
                <w:rFonts w:hint="eastAsia" w:ascii="宋体" w:hAnsi="宋体" w:cs="宋体"/>
                <w:b/>
                <w:color w:val="ff0000"/>
                <w:sz w:val="24"/>
              </w:rPr>
              <w:t xml:space="preserve">时间以合同签订日期为准，</w:t>
            </w:r>
            <w:r>
              <w:rPr>
                <w:rFonts w:hint="eastAsia" w:ascii="宋体" w:hAnsi="宋体"/>
                <w:b/>
                <w:sz w:val="24"/>
              </w:rPr>
              <w:t xml:space="preserve">否则不得分。</w:t>
            </w:r>
            <w:r>
              <w:rPr>
                <w:rFonts w:hint="eastAsia" w:ascii="宋体" w:hAnsi="宋体"/>
                <w:sz w:val="24"/>
              </w:rPr>
            </w:r>
            <w:r/>
          </w:p>
        </w:tc>
      </w:tr>
      <w:tr>
        <w:trPr/>
        <w:tc>
          <w:tcPr>
            <w:gridSpan w:val="2"/>
            <w:tcW w:w="2297" w:type="dxa"/>
            <w:vAlign w:val="center"/>
            <w:textDirection w:val="lrTb"/>
            <w:noWrap w:val="false"/>
          </w:tcPr>
          <w:p>
            <w:pPr>
              <w:pStyle w:val="857"/>
              <w:ind w:firstLine="28"/>
              <w:jc w:val="center"/>
              <w:rPr>
                <w:rFonts w:ascii="宋体" w:hAnsi="宋体"/>
                <w:sz w:val="24"/>
              </w:rPr>
            </w:pPr>
            <w:r>
              <w:rPr>
                <w:rFonts w:ascii="宋体" w:hAnsi="宋体"/>
                <w:sz w:val="24"/>
              </w:rPr>
              <w:t xml:space="preserve">合计</w:t>
            </w:r>
            <w:r/>
          </w:p>
        </w:tc>
        <w:tc>
          <w:tcPr>
            <w:tcW w:w="913" w:type="dxa"/>
            <w:vAlign w:val="center"/>
            <w:textDirection w:val="lrTb"/>
            <w:noWrap w:val="false"/>
          </w:tcPr>
          <w:p>
            <w:pPr>
              <w:pStyle w:val="857"/>
              <w:ind w:firstLine="28"/>
              <w:jc w:val="center"/>
              <w:rPr>
                <w:rFonts w:ascii="宋体" w:hAnsi="宋体"/>
                <w:sz w:val="24"/>
              </w:rPr>
            </w:pPr>
            <w:r>
              <w:rPr>
                <w:rFonts w:ascii="宋体" w:hAnsi="宋体"/>
                <w:sz w:val="24"/>
              </w:rPr>
              <w:t xml:space="preserve">100</w:t>
            </w:r>
            <w:r/>
          </w:p>
        </w:tc>
        <w:tc>
          <w:tcPr>
            <w:gridSpan w:val="2"/>
            <w:tcW w:w="6418" w:type="dxa"/>
            <w:vAlign w:val="center"/>
            <w:textDirection w:val="lrTb"/>
            <w:noWrap w:val="false"/>
          </w:tcPr>
          <w:p>
            <w:pPr>
              <w:pStyle w:val="857"/>
              <w:rPr>
                <w:rFonts w:ascii="宋体" w:hAnsi="宋体"/>
                <w:sz w:val="24"/>
              </w:rPr>
            </w:pPr>
            <w:r>
              <w:rPr>
                <w:rFonts w:ascii="宋体" w:hAnsi="宋体"/>
                <w:sz w:val="24"/>
              </w:rPr>
            </w:r>
            <w:r/>
          </w:p>
        </w:tc>
      </w:tr>
    </w:tbl>
    <w:p>
      <w:pPr>
        <w:pStyle w:val="857"/>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857"/>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857"/>
        <w:ind w:firstLine="482"/>
        <w:spacing w:line="360" w:lineRule="exact"/>
        <w:rPr>
          <w:rFonts w:ascii="宋体" w:hAnsi="宋体" w:cs="宋体"/>
          <w:b/>
          <w:bCs/>
          <w:sz w:val="24"/>
        </w:rPr>
      </w:pPr>
      <w:r>
        <w:rPr>
          <w:rFonts w:hint="eastAsia" w:ascii="宋体" w:hAnsi="宋体" w:cs="宋体"/>
          <w:b/>
          <w:bCs/>
          <w:sz w:val="24"/>
        </w:rPr>
        <w:t xml:space="preserve">一、项目背景</w:t>
      </w:r>
      <w:r>
        <w:rPr>
          <w:rFonts w:ascii="宋体" w:hAnsi="宋体" w:cs="宋体"/>
          <w:b/>
          <w:bCs/>
          <w:sz w:val="24"/>
        </w:rPr>
      </w:r>
      <w:r/>
    </w:p>
    <w:p>
      <w:pPr>
        <w:pStyle w:val="857"/>
        <w:ind w:firstLine="480"/>
        <w:spacing w:line="360" w:lineRule="exact"/>
        <w:rPr>
          <w:rFonts w:ascii="宋体" w:hAnsi="宋体" w:cs="宋体"/>
          <w:bCs/>
          <w:sz w:val="24"/>
        </w:rPr>
      </w:pPr>
      <w:r>
        <w:rPr>
          <w:rFonts w:hint="eastAsia" w:ascii="宋体" w:hAnsi="宋体" w:cs="宋体"/>
          <w:bCs/>
          <w:sz w:val="24"/>
        </w:rPr>
        <w:t xml:space="preserve">为了响应国家和政府医保支付改革工作号召，使医院在付费方式改革下，实现管理方法精确化、管理手段智能化、管理渠道多样化，从而促进院内医保管理水平有新的更大的提升。医院拟以现有的信息化建设为基础，借力科技、创新手段，建设一个基于DRG管理为核心的医疗机构医保综合管理系统。实现医院高质量发展、医保高效能治理、患者高品质就医三方共赢。</w:t>
      </w:r>
      <w:r>
        <w:rPr>
          <w:rFonts w:ascii="宋体" w:hAnsi="宋体" w:cs="宋体"/>
          <w:bCs/>
          <w:sz w:val="24"/>
        </w:rPr>
      </w:r>
      <w:r/>
    </w:p>
    <w:p>
      <w:pPr>
        <w:pStyle w:val="857"/>
        <w:ind w:firstLine="482"/>
        <w:spacing w:line="360" w:lineRule="exact"/>
        <w:rPr>
          <w:rFonts w:ascii="宋体" w:hAnsi="宋体" w:cs="宋体"/>
          <w:b/>
          <w:bCs/>
          <w:sz w:val="24"/>
        </w:rPr>
      </w:pPr>
      <w:r>
        <w:rPr>
          <w:rFonts w:hint="eastAsia" w:ascii="宋体" w:hAnsi="宋体" w:cs="宋体"/>
          <w:b/>
          <w:bCs/>
          <w:sz w:val="24"/>
        </w:rPr>
        <w:t xml:space="preserve">二、项目清单</w:t>
      </w:r>
      <w:r>
        <w:rPr>
          <w:rFonts w:ascii="宋体" w:hAnsi="宋体" w:cs="宋体"/>
          <w:b/>
          <w:bCs/>
          <w:sz w:val="24"/>
        </w:rPr>
      </w:r>
      <w:r/>
    </w:p>
    <w:tbl>
      <w:tblPr>
        <w:tblW w:w="495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6029"/>
        <w:gridCol w:w="1111"/>
        <w:gridCol w:w="1111"/>
      </w:tblGrid>
      <w:tr>
        <w:trPr>
          <w:trHeight w:val="170"/>
        </w:trPr>
        <w:tc>
          <w:tcPr>
            <w:tcW w:w="513"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tcW w:w="3277"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标项内容</w:t>
            </w:r>
            <w:r>
              <w:rPr>
                <w:rFonts w:ascii="宋体" w:hAnsi="宋体" w:cs="宋体"/>
                <w:bCs/>
                <w:sz w:val="24"/>
              </w:rPr>
            </w:r>
            <w:r/>
          </w:p>
        </w:tc>
        <w:tc>
          <w:tcPr>
            <w:tcW w:w="604"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单位</w:t>
            </w:r>
            <w:r>
              <w:rPr>
                <w:rFonts w:ascii="宋体" w:hAnsi="宋体" w:cs="宋体"/>
                <w:bCs/>
                <w:sz w:val="24"/>
              </w:rPr>
            </w:r>
            <w:r/>
          </w:p>
        </w:tc>
        <w:tc>
          <w:tcPr>
            <w:tcW w:w="604"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数量</w:t>
            </w:r>
            <w:r>
              <w:rPr>
                <w:rFonts w:ascii="宋体" w:hAnsi="宋体" w:cs="宋体"/>
                <w:bCs/>
                <w:sz w:val="24"/>
              </w:rPr>
            </w:r>
            <w:r/>
          </w:p>
        </w:tc>
      </w:tr>
      <w:tr>
        <w:trPr>
          <w:trHeight w:val="170"/>
        </w:trPr>
        <w:tc>
          <w:tcPr>
            <w:tcW w:w="513"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tcW w:w="3277" w:type="pct"/>
            <w:vAlign w:val="center"/>
            <w:textDirection w:val="lrTb"/>
            <w:noWrap w:val="false"/>
          </w:tcPr>
          <w:p>
            <w:pPr>
              <w:pStyle w:val="857"/>
              <w:spacing w:line="360" w:lineRule="exact"/>
              <w:rPr>
                <w:rFonts w:ascii="宋体" w:hAnsi="宋体" w:cs="宋体"/>
                <w:bCs/>
                <w:sz w:val="24"/>
              </w:rPr>
            </w:pPr>
            <w:r>
              <w:rPr>
                <w:rFonts w:hint="eastAsia" w:ascii="宋体" w:hAnsi="宋体" w:cs="宋体"/>
                <w:bCs/>
                <w:sz w:val="24"/>
              </w:rPr>
              <w:t xml:space="preserve">医保DRG医院智慧运营系统（DRG数据中心、医保 DRG 运营分析系统）</w:t>
            </w:r>
            <w:r>
              <w:rPr>
                <w:rFonts w:ascii="宋体" w:hAnsi="宋体" w:cs="宋体"/>
                <w:bCs/>
                <w:sz w:val="24"/>
              </w:rPr>
            </w:r>
            <w:r/>
          </w:p>
        </w:tc>
        <w:tc>
          <w:tcPr>
            <w:tcW w:w="604"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项</w:t>
            </w:r>
            <w:r>
              <w:rPr>
                <w:rFonts w:ascii="宋体" w:hAnsi="宋体" w:cs="宋体"/>
                <w:bCs/>
                <w:sz w:val="24"/>
              </w:rPr>
            </w:r>
            <w:r/>
          </w:p>
        </w:tc>
        <w:tc>
          <w:tcPr>
            <w:tcW w:w="604"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1</w:t>
            </w:r>
            <w:r>
              <w:rPr>
                <w:rFonts w:ascii="宋体" w:hAnsi="宋体" w:cs="宋体"/>
                <w:bCs/>
                <w:sz w:val="24"/>
              </w:rPr>
            </w:r>
            <w:r/>
          </w:p>
        </w:tc>
      </w:tr>
      <w:tr>
        <w:trPr>
          <w:trHeight w:val="170"/>
        </w:trPr>
        <w:tc>
          <w:tcPr>
            <w:tcW w:w="51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3277" w:type="pct"/>
            <w:vAlign w:val="center"/>
            <w:textDirection w:val="lrTb"/>
            <w:noWrap w:val="false"/>
          </w:tcPr>
          <w:p>
            <w:pPr>
              <w:pStyle w:val="857"/>
              <w:spacing w:line="360" w:lineRule="exact"/>
              <w:rPr>
                <w:rFonts w:ascii="宋体" w:hAnsi="宋体" w:cs="宋体"/>
                <w:sz w:val="24"/>
              </w:rPr>
            </w:pPr>
            <w:r>
              <w:rPr>
                <w:rFonts w:hint="eastAsia" w:ascii="宋体" w:hAnsi="宋体" w:cs="宋体"/>
                <w:sz w:val="24"/>
              </w:rPr>
              <w:t xml:space="preserve">医保结算清单质控</w:t>
            </w:r>
            <w:r>
              <w:rPr>
                <w:rFonts w:ascii="宋体" w:hAnsi="宋体" w:cs="宋体"/>
                <w:sz w:val="24"/>
              </w:rPr>
            </w:r>
            <w:r/>
          </w:p>
        </w:tc>
        <w:tc>
          <w:tcPr>
            <w:tcW w:w="604"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项</w:t>
            </w:r>
            <w:r>
              <w:rPr>
                <w:rFonts w:ascii="宋体" w:hAnsi="宋体" w:cs="宋体"/>
                <w:sz w:val="24"/>
              </w:rPr>
            </w:r>
            <w:r/>
          </w:p>
        </w:tc>
        <w:tc>
          <w:tcPr>
            <w:tcW w:w="604"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1</w:t>
            </w:r>
            <w:r>
              <w:rPr>
                <w:rFonts w:ascii="宋体" w:hAnsi="宋体" w:cs="宋体"/>
                <w:sz w:val="24"/>
              </w:rPr>
            </w:r>
            <w:r/>
          </w:p>
        </w:tc>
      </w:tr>
      <w:tr>
        <w:trPr>
          <w:trHeight w:val="170"/>
        </w:trPr>
        <w:tc>
          <w:tcPr>
            <w:tcW w:w="51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3277" w:type="pct"/>
            <w:vAlign w:val="center"/>
            <w:textDirection w:val="lrTb"/>
            <w:noWrap w:val="false"/>
          </w:tcPr>
          <w:p>
            <w:pPr>
              <w:pStyle w:val="857"/>
              <w:jc w:val="left"/>
              <w:spacing w:line="360" w:lineRule="auto"/>
              <w:widowControl/>
              <w:rPr>
                <w:rFonts w:ascii="宋体" w:hAnsi="宋体" w:cs="等线"/>
                <w:sz w:val="24"/>
              </w:rPr>
            </w:pPr>
            <w:r>
              <w:rPr>
                <w:rFonts w:hint="eastAsia" w:ascii="宋体" w:hAnsi="宋体" w:cs="等线"/>
                <w:sz w:val="24"/>
              </w:rPr>
              <w:t xml:space="preserve">结算管理系统</w:t>
            </w:r>
            <w:r>
              <w:rPr>
                <w:rFonts w:ascii="宋体" w:hAnsi="宋体" w:cs="等线"/>
                <w:sz w:val="24"/>
              </w:rPr>
            </w:r>
            <w:r/>
          </w:p>
        </w:tc>
        <w:tc>
          <w:tcPr>
            <w:tcW w:w="604"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项</w:t>
            </w:r>
            <w:r>
              <w:rPr>
                <w:rFonts w:ascii="宋体" w:hAnsi="宋体" w:cs="宋体"/>
                <w:sz w:val="24"/>
              </w:rPr>
            </w:r>
            <w:r/>
          </w:p>
        </w:tc>
        <w:tc>
          <w:tcPr>
            <w:tcW w:w="604"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1</w:t>
            </w:r>
            <w:r>
              <w:rPr>
                <w:rFonts w:ascii="宋体" w:hAnsi="宋体" w:cs="宋体"/>
                <w:sz w:val="24"/>
              </w:rPr>
            </w:r>
            <w:r/>
          </w:p>
        </w:tc>
      </w:tr>
      <w:tr>
        <w:trPr>
          <w:trHeight w:val="170"/>
        </w:trPr>
        <w:tc>
          <w:tcPr>
            <w:tcW w:w="51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3277" w:type="pct"/>
            <w:vAlign w:val="center"/>
            <w:textDirection w:val="lrTb"/>
            <w:noWrap w:val="false"/>
          </w:tcPr>
          <w:p>
            <w:pPr>
              <w:pStyle w:val="857"/>
              <w:jc w:val="left"/>
              <w:spacing w:line="360" w:lineRule="auto"/>
              <w:widowControl/>
              <w:rPr>
                <w:rFonts w:ascii="宋体" w:hAnsi="宋体" w:cs="等线"/>
                <w:sz w:val="24"/>
              </w:rPr>
            </w:pPr>
            <w:r>
              <w:rPr>
                <w:rFonts w:hint="eastAsia" w:ascii="宋体" w:hAnsi="宋体" w:cs="等线"/>
                <w:sz w:val="24"/>
              </w:rPr>
              <w:t xml:space="preserve">清单上传服务</w:t>
            </w:r>
            <w:r>
              <w:rPr>
                <w:rFonts w:ascii="宋体" w:hAnsi="宋体" w:cs="等线"/>
                <w:sz w:val="24"/>
              </w:rPr>
            </w:r>
            <w:r/>
          </w:p>
        </w:tc>
        <w:tc>
          <w:tcPr>
            <w:tcW w:w="604"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项</w:t>
            </w:r>
            <w:r>
              <w:rPr>
                <w:rFonts w:ascii="宋体" w:hAnsi="宋体" w:cs="宋体"/>
                <w:sz w:val="24"/>
              </w:rPr>
            </w:r>
            <w:r/>
          </w:p>
        </w:tc>
        <w:tc>
          <w:tcPr>
            <w:tcW w:w="604"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1</w:t>
            </w:r>
            <w:r>
              <w:rPr>
                <w:rFonts w:ascii="宋体" w:hAnsi="宋体" w:cs="宋体"/>
                <w:sz w:val="24"/>
              </w:rPr>
            </w:r>
            <w:r/>
          </w:p>
        </w:tc>
      </w:tr>
    </w:tbl>
    <w:p>
      <w:pPr>
        <w:pStyle w:val="857"/>
        <w:ind w:firstLine="482"/>
        <w:spacing w:line="360" w:lineRule="exact"/>
        <w:rPr>
          <w:rFonts w:ascii="宋体" w:hAnsi="宋体" w:cs="宋体"/>
          <w:b/>
          <w:bCs/>
          <w:sz w:val="24"/>
        </w:rPr>
      </w:pPr>
      <w:r>
        <w:rPr>
          <w:rFonts w:hint="eastAsia" w:ascii="宋体" w:hAnsi="宋体" w:cs="宋体"/>
          <w:b/>
          <w:bCs/>
          <w:sz w:val="24"/>
        </w:rPr>
        <w:t xml:space="preserve">三、</w:t>
      </w:r>
      <w:bookmarkStart w:id="815" w:name="_Toc149209891"/>
      <w:r>
        <w:rPr>
          <w:rFonts w:hint="eastAsia" w:ascii="宋体" w:hAnsi="宋体" w:cs="宋体"/>
          <w:b/>
          <w:bCs/>
          <w:sz w:val="24"/>
        </w:rPr>
        <w:t xml:space="preserve">建设目标</w:t>
      </w:r>
      <w:bookmarkEnd w:id="815"/>
      <w:r>
        <w:rPr>
          <w:rFonts w:ascii="宋体" w:hAnsi="宋体" w:cs="宋体"/>
          <w:b/>
          <w:bCs/>
          <w:sz w:val="24"/>
        </w:rPr>
      </w:r>
      <w:r/>
    </w:p>
    <w:p>
      <w:pPr>
        <w:pStyle w:val="857"/>
        <w:ind w:firstLine="480"/>
        <w:spacing w:line="360" w:lineRule="exact"/>
        <w:rPr>
          <w:rFonts w:ascii="宋体" w:hAnsi="宋体" w:cs="宋体"/>
          <w:bCs/>
          <w:sz w:val="24"/>
        </w:rPr>
      </w:pPr>
      <w:r/>
      <w:bookmarkStart w:id="816" w:name="_Hlk32999059"/>
      <w:r>
        <w:rPr>
          <w:rFonts w:hint="eastAsia" w:ascii="宋体" w:hAnsi="宋体" w:cs="宋体"/>
          <w:bCs/>
          <w:sz w:val="24"/>
        </w:rPr>
        <w:t xml:space="preserve">根据国家和江苏省的医保支付方式改革，及常州市卫生信息化建设相关的政策和文件精神要求，并结合医院的现状情况，本项目建设需完成以下建设目标：</w:t>
      </w:r>
      <w:r>
        <w:rPr>
          <w:rFonts w:ascii="宋体" w:hAnsi="宋体" w:cs="宋体"/>
          <w:bCs/>
          <w:sz w:val="24"/>
        </w:rPr>
      </w:r>
      <w:r/>
    </w:p>
    <w:p>
      <w:pPr>
        <w:pStyle w:val="857"/>
        <w:ind w:firstLine="480"/>
        <w:spacing w:line="360" w:lineRule="exact"/>
        <w:rPr>
          <w:rFonts w:ascii="宋体" w:hAnsi="宋体" w:cs="宋体"/>
          <w:bCs/>
          <w:sz w:val="24"/>
        </w:rPr>
      </w:pPr>
      <w:r/>
      <w:bookmarkEnd w:id="816"/>
      <w:r>
        <w:rPr>
          <w:rFonts w:hint="eastAsia" w:ascii="宋体" w:hAnsi="宋体" w:cs="宋体"/>
          <w:bCs/>
          <w:sz w:val="24"/>
        </w:rPr>
        <w:t xml:space="preserve">（1）通过</w:t>
      </w:r>
      <w:r>
        <w:rPr>
          <w:rFonts w:ascii="宋体" w:hAnsi="宋体" w:cs="宋体"/>
          <w:bCs/>
          <w:sz w:val="24"/>
        </w:rPr>
        <w:t xml:space="preserve">DRGs</w:t>
      </w:r>
      <w:r>
        <w:rPr>
          <w:rFonts w:hint="eastAsia" w:ascii="宋体" w:hAnsi="宋体" w:cs="宋体"/>
          <w:bCs/>
          <w:sz w:val="24"/>
        </w:rPr>
        <w:t xml:space="preserve">数据治理服务的建模处理将临床医生使用的疾病诊断和手术操作诊断转化为医保DRGs支付政策所要求的ICD-10和ICD-9-CM3，以减少病案室人工纠错率，提升医保费用获取率。</w:t>
      </w:r>
      <w:r>
        <w:rPr>
          <w:rFonts w:ascii="宋体" w:hAnsi="宋体" w:cs="宋体"/>
          <w:bCs/>
          <w:sz w:val="24"/>
        </w:rPr>
      </w:r>
      <w:r/>
    </w:p>
    <w:p>
      <w:pPr>
        <w:pStyle w:val="857"/>
        <w:ind w:firstLine="480"/>
        <w:spacing w:line="360" w:lineRule="exact"/>
        <w:rPr>
          <w:rFonts w:ascii="宋体" w:hAnsi="宋体" w:cs="宋体"/>
          <w:bCs/>
          <w:sz w:val="24"/>
        </w:rPr>
      </w:pPr>
      <w:r>
        <w:rPr>
          <w:rFonts w:hint="eastAsia" w:ascii="宋体" w:hAnsi="宋体" w:cs="宋体"/>
          <w:bCs/>
          <w:sz w:val="24"/>
        </w:rPr>
        <w:t xml:space="preserve">（2）可根据当地统筹医保局返回的医保支付数据模拟分组器，在临床治疗过程中“事前提醒”，做到有效自身控制，避免事后（病人出院以及整个诊疗过程完成以后）来不及补救的现象，减少医院的事实性损失。</w:t>
      </w:r>
      <w:r>
        <w:rPr>
          <w:rFonts w:ascii="宋体" w:hAnsi="宋体" w:cs="宋体"/>
          <w:bCs/>
          <w:sz w:val="24"/>
        </w:rPr>
      </w:r>
      <w:r/>
    </w:p>
    <w:p>
      <w:pPr>
        <w:pStyle w:val="857"/>
        <w:ind w:firstLine="480"/>
        <w:spacing w:line="360" w:lineRule="exact"/>
        <w:rPr>
          <w:rFonts w:ascii="宋体" w:hAnsi="宋体" w:cs="宋体"/>
          <w:bCs/>
          <w:sz w:val="24"/>
        </w:rPr>
      </w:pPr>
      <w:r>
        <w:rPr>
          <w:rFonts w:hint="eastAsia" w:ascii="宋体" w:hAnsi="宋体" w:cs="宋体"/>
          <w:bCs/>
          <w:sz w:val="24"/>
        </w:rPr>
        <w:t xml:space="preserve">（3）在保障医疗质量的前提下，有效降低医疗成本，实现医院付费方式改革的信息化，给DRGs的推广提供有力支撑。</w:t>
      </w:r>
      <w:r>
        <w:rPr>
          <w:rFonts w:ascii="宋体" w:hAnsi="宋体" w:cs="宋体"/>
          <w:bCs/>
          <w:sz w:val="24"/>
        </w:rPr>
      </w:r>
      <w:r/>
    </w:p>
    <w:p>
      <w:pPr>
        <w:pStyle w:val="857"/>
        <w:ind w:firstLine="480"/>
        <w:spacing w:line="360" w:lineRule="exact"/>
        <w:rPr>
          <w:rFonts w:ascii="宋体" w:hAnsi="宋体" w:cs="宋体"/>
          <w:bCs/>
          <w:sz w:val="24"/>
        </w:rPr>
      </w:pPr>
      <w:r>
        <w:rPr>
          <w:rFonts w:hint="eastAsia" w:ascii="宋体" w:hAnsi="宋体" w:cs="宋体"/>
          <w:bCs/>
          <w:sz w:val="24"/>
        </w:rPr>
        <w:t xml:space="preserve">（4）为管理决策层提供经营决策的辅助依据，实现对医院运营情况及时监控，提前预判，从而优化资源配置，有效提高医务工作者的工作效率，提升医院整体经济效益。</w:t>
      </w:r>
      <w:r>
        <w:rPr>
          <w:rFonts w:ascii="宋体" w:hAnsi="宋体" w:cs="宋体"/>
          <w:bCs/>
          <w:sz w:val="24"/>
        </w:rPr>
      </w:r>
      <w:r/>
    </w:p>
    <w:p>
      <w:pPr>
        <w:pStyle w:val="857"/>
        <w:ind w:firstLine="480"/>
        <w:spacing w:line="360" w:lineRule="exact"/>
        <w:rPr>
          <w:rFonts w:ascii="宋体" w:hAnsi="宋体" w:cs="宋体"/>
          <w:bCs/>
          <w:sz w:val="24"/>
        </w:rPr>
      </w:pPr>
      <w:r>
        <w:rPr>
          <w:rFonts w:hint="eastAsia" w:ascii="宋体" w:hAnsi="宋体" w:cs="宋体"/>
          <w:bCs/>
          <w:sz w:val="24"/>
        </w:rPr>
        <w:t xml:space="preserve">（5）提供医保结算校对功能（即：对医保局反馈回医院的每月的</w:t>
      </w:r>
      <w:r>
        <w:rPr>
          <w:rFonts w:ascii="宋体" w:hAnsi="宋体" w:cs="宋体"/>
          <w:bCs/>
          <w:sz w:val="24"/>
        </w:rPr>
        <w:t xml:space="preserve">DRGs结算单</w:t>
      </w:r>
      <w:r>
        <w:rPr>
          <w:rFonts w:hint="eastAsia" w:ascii="宋体" w:hAnsi="宋体" w:cs="宋体"/>
          <w:bCs/>
          <w:sz w:val="24"/>
        </w:rPr>
        <w:t xml:space="preserve">数据进行核对），帮助医院医保部门减轻人工工作量，减少因为申诉不及时导致医院造成无谓损失的现象。</w:t>
      </w:r>
      <w:r>
        <w:rPr>
          <w:rFonts w:ascii="宋体" w:hAnsi="宋体" w:cs="宋体"/>
          <w:bCs/>
          <w:sz w:val="24"/>
        </w:rPr>
      </w:r>
      <w:r/>
    </w:p>
    <w:p>
      <w:pPr>
        <w:pStyle w:val="857"/>
        <w:ind w:firstLine="480"/>
        <w:spacing w:line="360" w:lineRule="exact"/>
        <w:rPr>
          <w:rFonts w:ascii="宋体" w:hAnsi="宋体" w:cs="宋体"/>
          <w:bCs/>
          <w:sz w:val="24"/>
        </w:rPr>
      </w:pPr>
      <w:r>
        <w:rPr>
          <w:rFonts w:hint="eastAsia" w:ascii="宋体" w:hAnsi="宋体" w:cs="宋体"/>
          <w:bCs/>
          <w:sz w:val="24"/>
        </w:rPr>
        <w:t xml:space="preserve">（6）在清单生成环节增加独立保存功能，真正区分病案首页和医保结算清单，以满足不同的管理和上报要求。</w:t>
      </w:r>
      <w:r>
        <w:rPr>
          <w:rFonts w:ascii="宋体" w:hAnsi="宋体" w:cs="宋体"/>
          <w:bCs/>
          <w:sz w:val="24"/>
        </w:rPr>
      </w:r>
      <w:r/>
    </w:p>
    <w:p>
      <w:pPr>
        <w:pStyle w:val="857"/>
        <w:ind w:firstLine="482"/>
        <w:spacing w:line="360" w:lineRule="exact"/>
        <w:rPr>
          <w:rFonts w:ascii="宋体" w:hAnsi="宋体" w:cs="宋体"/>
          <w:b/>
          <w:bCs/>
          <w:sz w:val="24"/>
        </w:rPr>
      </w:pPr>
      <w:r>
        <w:rPr>
          <w:rFonts w:hint="eastAsia" w:ascii="宋体" w:hAnsi="宋体" w:cs="宋体"/>
          <w:b/>
          <w:bCs/>
          <w:sz w:val="24"/>
        </w:rPr>
        <w:t xml:space="preserve">四、技术要求</w:t>
      </w:r>
      <w:r>
        <w:rPr>
          <w:rFonts w:ascii="宋体" w:hAnsi="宋体" w:cs="宋体"/>
          <w:b/>
          <w:bCs/>
          <w:sz w:val="24"/>
        </w:rPr>
      </w:r>
      <w:r/>
    </w:p>
    <w:p>
      <w:pPr>
        <w:pStyle w:val="857"/>
        <w:ind w:firstLine="482"/>
        <w:spacing w:line="360" w:lineRule="exact"/>
        <w:rPr>
          <w:rFonts w:ascii="宋体" w:hAnsi="宋体" w:cs="宋体"/>
          <w:b/>
          <w:bCs/>
          <w:sz w:val="24"/>
        </w:rPr>
      </w:pPr>
      <w:r>
        <w:rPr>
          <w:rFonts w:hint="eastAsia" w:ascii="宋体" w:hAnsi="宋体" w:cs="宋体"/>
          <w:b/>
          <w:bCs/>
          <w:sz w:val="24"/>
        </w:rPr>
        <w:t xml:space="preserve">（一）总体技术要求</w:t>
      </w:r>
      <w:r>
        <w:rPr>
          <w:rFonts w:ascii="宋体" w:hAnsi="宋体" w:cs="宋体"/>
          <w:b/>
          <w:bCs/>
          <w:sz w:val="24"/>
        </w:rPr>
      </w:r>
      <w:r/>
    </w:p>
    <w:p>
      <w:pPr>
        <w:pStyle w:val="857"/>
        <w:ind w:firstLine="480"/>
        <w:spacing w:line="360" w:lineRule="exact"/>
        <w:rPr>
          <w:rFonts w:ascii="宋体" w:hAnsi="宋体" w:cs="宋体"/>
          <w:bCs/>
          <w:sz w:val="24"/>
        </w:rPr>
      </w:pPr>
      <w:r>
        <w:rPr>
          <w:rFonts w:hint="eastAsia" w:ascii="宋体" w:hAnsi="宋体" w:cs="宋体"/>
          <w:bCs/>
          <w:sz w:val="24"/>
        </w:rPr>
        <w:t xml:space="preserve">本次项目为软件系统采购项目，网络、安全等都利用现有医院资源，不另行采购。总体技术需求如下：</w:t>
      </w:r>
      <w:r>
        <w:rPr>
          <w:rFonts w:ascii="宋体" w:hAnsi="宋体" w:cs="宋体"/>
          <w:bCs/>
          <w:sz w:val="24"/>
        </w:rPr>
      </w:r>
      <w:r/>
    </w:p>
    <w:p>
      <w:pPr>
        <w:pStyle w:val="857"/>
        <w:ind w:firstLine="480"/>
        <w:spacing w:line="360" w:lineRule="exact"/>
        <w:rPr>
          <w:rFonts w:ascii="宋体" w:hAnsi="宋体" w:cs="宋体"/>
          <w:sz w:val="24"/>
          <w:shd w:val="clear" w:color="auto" w:fill="ffffff"/>
        </w:rPr>
      </w:pPr>
      <w:r>
        <w:rPr>
          <w:rFonts w:hint="eastAsia" w:ascii="宋体" w:hAnsi="宋体" w:cs="宋体"/>
          <w:sz w:val="24"/>
          <w:shd w:val="clear" w:color="auto" w:fill="ffffff"/>
        </w:rPr>
        <w:t xml:space="preserve">1.采用多层架构的B/S结构，应用展示端建议采用HTML5技术；</w:t>
      </w:r>
      <w:r>
        <w:rPr>
          <w:rFonts w:ascii="宋体" w:hAnsi="宋体" w:cs="宋体"/>
          <w:sz w:val="24"/>
          <w:shd w:val="clear" w:color="auto" w:fill="ffffff"/>
        </w:rPr>
      </w:r>
      <w:r/>
    </w:p>
    <w:p>
      <w:pPr>
        <w:pStyle w:val="857"/>
        <w:ind w:firstLine="480"/>
        <w:spacing w:line="360" w:lineRule="exact"/>
        <w:rPr>
          <w:rFonts w:ascii="宋体" w:hAnsi="宋体" w:cs="宋体"/>
          <w:sz w:val="24"/>
          <w:shd w:val="clear" w:color="auto" w:fill="ffffff"/>
        </w:rPr>
      </w:pPr>
      <w:r>
        <w:rPr>
          <w:rFonts w:hint="eastAsia" w:ascii="宋体" w:hAnsi="宋体" w:cs="宋体"/>
          <w:sz w:val="24"/>
          <w:shd w:val="clear" w:color="auto" w:fill="ffffff"/>
        </w:rPr>
        <w:t xml:space="preserve">2</w:t>
      </w:r>
      <w:r>
        <w:rPr>
          <w:rFonts w:hint="eastAsia" w:ascii="宋体" w:hAnsi="宋体" w:cs="微软雅黑"/>
          <w:sz w:val="24"/>
          <w:shd w:val="clear" w:color="auto" w:fill="ffffff"/>
        </w:rPr>
        <w:t xml:space="preserve">.</w:t>
      </w:r>
      <w:r>
        <w:rPr>
          <w:rFonts w:hint="eastAsia" w:ascii="宋体" w:hAnsi="宋体" w:cs="宋体"/>
          <w:sz w:val="24"/>
          <w:shd w:val="clear" w:color="auto" w:fill="ffffff"/>
        </w:rPr>
        <w:t xml:space="preserve">考虑到平台将来的可扩展性，平台必须是开放式的：展示页面可视化配置，灵活增加；具有数据集，且数据集可自定义配置；</w:t>
      </w:r>
      <w:r>
        <w:rPr>
          <w:rFonts w:ascii="宋体" w:hAnsi="宋体" w:cs="宋体"/>
          <w:sz w:val="24"/>
          <w:shd w:val="clear" w:color="auto" w:fill="ffffff"/>
        </w:rPr>
      </w:r>
      <w:r/>
    </w:p>
    <w:p>
      <w:pPr>
        <w:pStyle w:val="857"/>
        <w:ind w:firstLine="480"/>
        <w:spacing w:line="360" w:lineRule="exact"/>
        <w:rPr>
          <w:rFonts w:ascii="宋体" w:hAnsi="宋体" w:cs="宋体"/>
          <w:sz w:val="24"/>
          <w:shd w:val="clear" w:color="auto" w:fill="ffffff"/>
        </w:rPr>
      </w:pPr>
      <w:r>
        <w:rPr>
          <w:rFonts w:hint="eastAsia" w:ascii="宋体" w:hAnsi="宋体" w:cs="宋体"/>
          <w:sz w:val="24"/>
          <w:shd w:val="clear" w:color="auto" w:fill="ffffff"/>
        </w:rPr>
        <w:t xml:space="preserve">3.要有数据展现引擎，可以根据医院需求灵活地配置相关管理指标的呈现；</w:t>
      </w:r>
      <w:r>
        <w:rPr>
          <w:rFonts w:ascii="宋体" w:hAnsi="宋体" w:cs="宋体"/>
          <w:sz w:val="24"/>
          <w:shd w:val="clear" w:color="auto" w:fill="ffffff"/>
        </w:rPr>
      </w:r>
      <w:r/>
    </w:p>
    <w:p>
      <w:pPr>
        <w:pStyle w:val="857"/>
        <w:ind w:firstLine="480"/>
        <w:spacing w:line="360" w:lineRule="exact"/>
        <w:rPr>
          <w:rFonts w:ascii="宋体" w:hAnsi="宋体" w:cs="宋体"/>
          <w:sz w:val="24"/>
          <w:shd w:val="clear" w:color="auto" w:fill="ffffff"/>
        </w:rPr>
      </w:pPr>
      <w:r>
        <w:rPr>
          <w:rFonts w:hint="eastAsia" w:ascii="宋体" w:hAnsi="宋体" w:cs="宋体"/>
          <w:sz w:val="24"/>
          <w:shd w:val="clear" w:color="auto" w:fill="ffffff"/>
        </w:rPr>
        <w:t xml:space="preserve">4.系统支持ORACLE数据库系统，主流大型数据库；</w:t>
      </w:r>
      <w:r>
        <w:rPr>
          <w:rFonts w:ascii="宋体" w:hAnsi="宋体" w:cs="宋体"/>
          <w:sz w:val="24"/>
          <w:shd w:val="clear" w:color="auto" w:fill="ffffff"/>
        </w:rPr>
      </w:r>
      <w:r/>
    </w:p>
    <w:p>
      <w:pPr>
        <w:pStyle w:val="857"/>
        <w:ind w:firstLine="480"/>
        <w:spacing w:line="360" w:lineRule="exact"/>
        <w:rPr>
          <w:rFonts w:ascii="宋体" w:hAnsi="宋体" w:cs="宋体"/>
          <w:sz w:val="24"/>
          <w:shd w:val="clear" w:color="auto" w:fill="ffffff"/>
        </w:rPr>
      </w:pPr>
      <w:r>
        <w:rPr>
          <w:rFonts w:hint="eastAsia" w:ascii="宋体" w:hAnsi="宋体" w:cs="宋体"/>
          <w:sz w:val="24"/>
          <w:shd w:val="clear" w:color="auto" w:fill="ffffff"/>
        </w:rPr>
        <w:t xml:space="preserve">支持主流厂商的硬件及操作系统平台；</w:t>
        <w:tab/>
      </w:r>
      <w:r>
        <w:rPr>
          <w:rFonts w:ascii="宋体" w:hAnsi="宋体" w:cs="宋体"/>
          <w:sz w:val="24"/>
          <w:shd w:val="clear" w:color="auto" w:fill="ffffff"/>
        </w:rPr>
      </w:r>
      <w:r/>
    </w:p>
    <w:p>
      <w:pPr>
        <w:pStyle w:val="857"/>
        <w:ind w:firstLine="480"/>
        <w:spacing w:line="360" w:lineRule="exact"/>
        <w:rPr>
          <w:rFonts w:ascii="宋体" w:hAnsi="宋体" w:cs="宋体"/>
          <w:sz w:val="24"/>
          <w:shd w:val="clear" w:color="auto" w:fill="ffffff"/>
        </w:rPr>
      </w:pPr>
      <w:r>
        <w:rPr>
          <w:rFonts w:hint="eastAsia" w:ascii="宋体" w:hAnsi="宋体" w:cs="宋体"/>
          <w:sz w:val="24"/>
          <w:shd w:val="clear" w:color="auto" w:fill="ffffff"/>
        </w:rPr>
        <w:t xml:space="preserve">支持Unix、Linux 、Windows操作系统，支持C/S或B/S的体系结构；</w:t>
      </w:r>
      <w:r>
        <w:rPr>
          <w:rFonts w:ascii="宋体" w:hAnsi="宋体" w:cs="宋体"/>
          <w:sz w:val="24"/>
          <w:shd w:val="clear" w:color="auto" w:fill="ffffff"/>
        </w:rPr>
      </w:r>
      <w:r/>
    </w:p>
    <w:p>
      <w:pPr>
        <w:pStyle w:val="857"/>
        <w:ind w:firstLine="480"/>
        <w:spacing w:line="360" w:lineRule="exact"/>
        <w:rPr>
          <w:rFonts w:ascii="宋体" w:hAnsi="宋体" w:cs="宋体"/>
          <w:sz w:val="24"/>
          <w:shd w:val="clear" w:color="auto" w:fill="ffffff"/>
        </w:rPr>
      </w:pPr>
      <w:r>
        <w:rPr>
          <w:rFonts w:hint="eastAsia" w:ascii="宋体" w:hAnsi="宋体" w:cs="宋体"/>
          <w:sz w:val="24"/>
          <w:shd w:val="clear" w:color="auto" w:fill="ffffff"/>
        </w:rPr>
        <w:t xml:space="preserve">支持关系模型，支持分布式处理；</w:t>
      </w:r>
      <w:r>
        <w:rPr>
          <w:rFonts w:ascii="宋体" w:hAnsi="宋体" w:cs="宋体"/>
          <w:sz w:val="24"/>
          <w:shd w:val="clear" w:color="auto" w:fill="ffffff"/>
        </w:rPr>
      </w:r>
      <w:r/>
    </w:p>
    <w:p>
      <w:pPr>
        <w:pStyle w:val="857"/>
        <w:ind w:firstLine="480"/>
        <w:spacing w:line="360" w:lineRule="exact"/>
        <w:rPr>
          <w:rFonts w:ascii="宋体" w:hAnsi="宋体" w:cs="宋体"/>
          <w:sz w:val="24"/>
          <w:shd w:val="clear" w:color="auto" w:fill="ffffff"/>
        </w:rPr>
      </w:pPr>
      <w:r>
        <w:rPr>
          <w:rFonts w:hint="eastAsia" w:ascii="宋体" w:hAnsi="宋体" w:cs="宋体"/>
          <w:sz w:val="24"/>
          <w:shd w:val="clear" w:color="auto" w:fill="ffffff"/>
        </w:rPr>
        <w:t xml:space="preserve">支持主流的网络协议（TCP/IP、IPX/SPX、NETBIOS及混合协议等）；</w:t>
      </w:r>
      <w:r>
        <w:rPr>
          <w:rFonts w:ascii="宋体" w:hAnsi="宋体" w:cs="宋体"/>
          <w:sz w:val="24"/>
          <w:shd w:val="clear" w:color="auto" w:fill="ffffff"/>
        </w:rPr>
      </w:r>
      <w:r/>
    </w:p>
    <w:p>
      <w:pPr>
        <w:pStyle w:val="857"/>
        <w:ind w:firstLine="480"/>
        <w:spacing w:line="360" w:lineRule="exact"/>
        <w:rPr>
          <w:rFonts w:ascii="宋体" w:hAnsi="宋体" w:cs="宋体"/>
          <w:sz w:val="24"/>
          <w:shd w:val="clear" w:color="auto" w:fill="ffffff"/>
        </w:rPr>
      </w:pPr>
      <w:r>
        <w:rPr>
          <w:rFonts w:hint="eastAsia" w:ascii="宋体" w:hAnsi="宋体" w:cs="宋体"/>
          <w:sz w:val="24"/>
          <w:shd w:val="clear" w:color="auto" w:fill="ffffff"/>
        </w:rPr>
        <w:t xml:space="preserve">5.提供配套的ETL工具、数据订阅工具、消息引擎、规则库、报表工具、数据共享引擎等一系列应用工具，可确保各种临床和管理应用效果的配置扩展实现。</w:t>
      </w:r>
      <w:r>
        <w:rPr>
          <w:rFonts w:ascii="宋体" w:hAnsi="宋体" w:cs="宋体"/>
          <w:sz w:val="24"/>
          <w:shd w:val="clear" w:color="auto" w:fill="ffffff"/>
        </w:rPr>
      </w:r>
      <w:r/>
    </w:p>
    <w:p>
      <w:pPr>
        <w:pStyle w:val="857"/>
        <w:ind w:firstLine="480"/>
        <w:spacing w:line="360" w:lineRule="exact"/>
        <w:rPr>
          <w:rFonts w:ascii="宋体" w:hAnsi="宋体" w:cs="宋体"/>
          <w:sz w:val="24"/>
          <w:shd w:val="clear" w:color="auto" w:fill="ffffff"/>
        </w:rPr>
      </w:pPr>
      <w:r>
        <w:rPr>
          <w:rFonts w:hint="eastAsia" w:ascii="宋体" w:hAnsi="宋体" w:cs="宋体"/>
          <w:sz w:val="24"/>
          <w:shd w:val="clear" w:color="auto" w:fill="ffffff"/>
        </w:rPr>
        <w:t xml:space="preserve">6.为确保业务系统的稳定，要求有独立的</w:t>
      </w:r>
      <w:r>
        <w:rPr>
          <w:rFonts w:ascii="宋体" w:hAnsi="宋体" w:cs="宋体"/>
          <w:sz w:val="24"/>
          <w:shd w:val="clear" w:color="auto" w:fill="ffffff"/>
        </w:rPr>
        <w:t xml:space="preserve">DRG</w:t>
      </w:r>
      <w:r>
        <w:rPr>
          <w:rFonts w:hint="eastAsia" w:ascii="宋体" w:hAnsi="宋体" w:cs="宋体"/>
          <w:sz w:val="24"/>
          <w:shd w:val="clear" w:color="auto" w:fill="ffffff"/>
        </w:rPr>
        <w:t xml:space="preserve">数据中心的数据模型,要求不能直接引用当前业务系统模型或消息模型。要通过ETL技术对原始业务数据进行抽取、转换、清洗并转存到CDR数据模型中，形成集中存储的</w:t>
      </w:r>
      <w:r>
        <w:rPr>
          <w:rFonts w:ascii="宋体" w:hAnsi="宋体" w:cs="宋体"/>
          <w:sz w:val="24"/>
          <w:shd w:val="clear" w:color="auto" w:fill="ffffff"/>
        </w:rPr>
        <w:t xml:space="preserve">DRG</w:t>
      </w:r>
      <w:r>
        <w:rPr>
          <w:rFonts w:hint="eastAsia" w:ascii="宋体" w:hAnsi="宋体" w:cs="宋体"/>
          <w:sz w:val="24"/>
          <w:shd w:val="clear" w:color="auto" w:fill="ffffff"/>
        </w:rPr>
        <w:t xml:space="preserve">数据集。</w:t>
      </w:r>
      <w:r>
        <w:rPr>
          <w:rFonts w:ascii="宋体" w:hAnsi="宋体" w:cs="宋体"/>
          <w:sz w:val="24"/>
          <w:shd w:val="clear" w:color="auto" w:fill="ffffff"/>
        </w:rPr>
      </w:r>
      <w:r/>
    </w:p>
    <w:p>
      <w:pPr>
        <w:pStyle w:val="857"/>
        <w:ind w:firstLine="482"/>
        <w:spacing w:line="360" w:lineRule="exact"/>
        <w:rPr>
          <w:rFonts w:ascii="宋体" w:hAnsi="宋体" w:cs="宋体"/>
          <w:b/>
          <w:sz w:val="24"/>
        </w:rPr>
      </w:pPr>
      <w:r>
        <w:rPr>
          <w:rFonts w:hint="eastAsia" w:ascii="宋体" w:hAnsi="宋体" w:cs="宋体"/>
          <w:b/>
          <w:sz w:val="24"/>
        </w:rPr>
        <w:t xml:space="preserve">（二）项目建设内容</w:t>
      </w:r>
      <w:r>
        <w:rPr>
          <w:rFonts w:ascii="宋体" w:hAnsi="宋体" w:cs="宋体"/>
          <w:b/>
          <w:sz w:val="24"/>
        </w:rPr>
      </w:r>
      <w:r/>
    </w:p>
    <w:p>
      <w:pPr>
        <w:pStyle w:val="857"/>
        <w:ind w:firstLine="480"/>
        <w:spacing w:line="360" w:lineRule="exact"/>
        <w:rPr>
          <w:rFonts w:ascii="宋体" w:hAnsi="宋体" w:cs="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 </w:t>
      </w:r>
      <w:r>
        <w:rPr>
          <w:rFonts w:hint="eastAsia" w:ascii="宋体" w:hAnsi="宋体" w:cs="宋体"/>
          <w:bCs/>
          <w:sz w:val="24"/>
        </w:rPr>
        <w:t xml:space="preserve">医保DRG医院智慧运营系统（</w:t>
      </w:r>
      <w:r>
        <w:rPr>
          <w:rFonts w:hint="eastAsia" w:ascii="宋体" w:hAnsi="宋体"/>
          <w:sz w:val="24"/>
        </w:rPr>
        <w:t xml:space="preserve">DRG数据中心）</w:t>
      </w:r>
      <w:r>
        <w:rPr>
          <w:rFonts w:ascii="宋体" w:hAnsi="宋体" w:cs="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077"/>
        <w:gridCol w:w="1345"/>
        <w:gridCol w:w="6058"/>
      </w:tblGrid>
      <w:tr>
        <w:trPr>
          <w:trHeight w:val="170"/>
        </w:trPr>
        <w:tc>
          <w:tcPr>
            <w:tcW w:w="435" w:type="pct"/>
            <w:vAlign w:val="top"/>
            <w:textDirection w:val="lrTb"/>
            <w:noWrap w:val="false"/>
          </w:tcPr>
          <w:p>
            <w:pPr>
              <w:pStyle w:val="857"/>
              <w:jc w:val="left"/>
              <w:spacing w:line="360" w:lineRule="exact"/>
              <w:rPr>
                <w:rFonts w:ascii="宋体" w:hAnsi="宋体" w:cs="宋体"/>
                <w:bCs/>
                <w:sz w:val="24"/>
              </w:rPr>
            </w:pPr>
            <w:r>
              <w:rPr>
                <w:rFonts w:hint="eastAsia" w:ascii="宋体" w:hAnsi="宋体" w:cs="宋体"/>
                <w:bCs/>
                <w:sz w:val="24"/>
              </w:rPr>
              <w:t xml:space="preserve">大类</w:t>
            </w:r>
            <w:r>
              <w:rPr>
                <w:rFonts w:ascii="宋体" w:hAnsi="宋体" w:cs="宋体"/>
                <w:bCs/>
                <w:sz w:val="24"/>
              </w:rPr>
            </w:r>
            <w:r/>
          </w:p>
        </w:tc>
        <w:tc>
          <w:tcPr>
            <w:tcW w:w="580" w:type="pct"/>
            <w:vAlign w:val="center"/>
            <w:textDirection w:val="lrTb"/>
            <w:noWrap w:val="false"/>
          </w:tcPr>
          <w:p>
            <w:pPr>
              <w:pStyle w:val="857"/>
              <w:jc w:val="left"/>
              <w:spacing w:line="360" w:lineRule="exact"/>
              <w:rPr>
                <w:rFonts w:ascii="宋体" w:hAnsi="宋体" w:cs="宋体"/>
                <w:bCs/>
                <w:sz w:val="24"/>
              </w:rPr>
            </w:pPr>
            <w:r>
              <w:rPr>
                <w:rFonts w:hint="eastAsia" w:ascii="宋体" w:hAnsi="宋体" w:cs="宋体"/>
                <w:bCs/>
                <w:sz w:val="24"/>
              </w:rPr>
              <w:t xml:space="preserve">模块</w:t>
            </w:r>
            <w:r>
              <w:rPr>
                <w:rFonts w:ascii="宋体" w:hAnsi="宋体" w:cs="宋体"/>
                <w:bCs/>
                <w:sz w:val="24"/>
              </w:rPr>
            </w:r>
            <w:r/>
          </w:p>
        </w:tc>
        <w:tc>
          <w:tcPr>
            <w:tcW w:w="724"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功能点</w:t>
            </w:r>
            <w:r>
              <w:rPr>
                <w:rFonts w:ascii="宋体" w:hAnsi="宋体" w:cs="宋体"/>
                <w:bCs/>
                <w:sz w:val="24"/>
              </w:rPr>
            </w:r>
            <w:r/>
          </w:p>
        </w:tc>
        <w:tc>
          <w:tcPr>
            <w:tcW w:w="3261"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详细参数</w:t>
            </w:r>
            <w:r>
              <w:rPr>
                <w:rFonts w:ascii="宋体" w:hAnsi="宋体" w:cs="宋体"/>
                <w:bCs/>
                <w:sz w:val="24"/>
              </w:rPr>
            </w:r>
            <w:r/>
          </w:p>
        </w:tc>
      </w:tr>
      <w:tr>
        <w:trPr>
          <w:cantSplit/>
          <w:trHeight w:val="170"/>
        </w:trPr>
        <w:tc>
          <w:tcPr>
            <w:tcW w:w="435" w:type="pct"/>
            <w:vAlign w:val="center"/>
            <w:vMerge w:val="restart"/>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DRG数据中心</w:t>
            </w:r>
            <w:r>
              <w:rPr>
                <w:rFonts w:ascii="宋体" w:hAnsi="宋体" w:cs="宋体"/>
                <w:sz w:val="24"/>
              </w:rPr>
            </w:r>
            <w:r/>
          </w:p>
        </w:tc>
        <w:tc>
          <w:tcPr>
            <w:tcW w:w="580"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数据配置</w:t>
            </w:r>
            <w:r>
              <w:rPr>
                <w:rFonts w:ascii="宋体" w:hAnsi="宋体" w:cs="宋体"/>
                <w:sz w:val="24"/>
              </w:rPr>
            </w:r>
            <w:r/>
          </w:p>
        </w:tc>
        <w:tc>
          <w:tcPr>
            <w:tcW w:w="724"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对各种异构数据源类型通过可视化的方式配置接入</w:t>
            </w:r>
            <w:r>
              <w:rPr>
                <w:rFonts w:ascii="宋体" w:hAnsi="宋体" w:cs="宋体"/>
                <w:sz w:val="24"/>
              </w:rPr>
            </w:r>
            <w:r/>
          </w:p>
        </w:tc>
        <w:tc>
          <w:tcPr>
            <w:tcW w:w="3261"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w:t>
            </w:r>
            <w:r>
              <w:rPr>
                <w:rFonts w:hint="eastAsia" w:ascii="宋体" w:hAnsi="宋体" w:cs="宋体"/>
                <w:sz w:val="24"/>
                <w:highlight w:val="yellow"/>
              </w:rPr>
              <w:t xml:space="preserve">支持多种数据源接入； </w:t>
              <w:br w:type="textWrapping" w:clear="all"/>
            </w:r>
            <w:r>
              <w:rPr>
                <w:rFonts w:hint="eastAsia" w:ascii="宋体" w:hAnsi="宋体" w:cs="宋体"/>
                <w:sz w:val="24"/>
              </w:rPr>
              <w:t xml:space="preserve">2.支持</w:t>
            </w:r>
            <w:r>
              <w:rPr>
                <w:rFonts w:hint="eastAsia" w:ascii="宋体" w:hAnsi="宋体" w:cs="宋体"/>
                <w:sz w:val="24"/>
              </w:rPr>
              <w:t xml:space="preserve">DB接入和WebService接入方式；</w:t>
              <w:br/>
              <w:t xml:space="preserve">3.DB接入全程可视化配置，只需要简单勾选需要同步的表即可完成数据接入任务的创建；</w:t>
              <w:br/>
              <w:t xml:space="preserve">4.支持表创建、注释、主键一键式同步；</w:t>
              <w:br/>
              <w:t xml:space="preserve">5.支持对数据源的全量同步和增量同步；</w:t>
              <w:br/>
              <w:t xml:space="preserve">6.支持WebService接入增量全量同步方式；</w:t>
              <w:br/>
              <w:t xml:space="preserve">7.支持对XML、XML&lt;Json&gt;解析，支持属性提取；</w:t>
              <w:br/>
              <w:t xml:space="preserve">8.支持按单个病人、时间区间获取数据，支持自定义请求头、请求体；</w:t>
              <w:br/>
              <w:t xml:space="preserve">9.支持发布接入数据接入方式（通过WebService主动推送数据）；</w:t>
              <w:br/>
              <w:t xml:space="preserve">10.支持文件格式的数据同步，根据文件信息自动创建实体表。</w:t>
            </w:r>
            <w:r>
              <w:rPr>
                <w:rFonts w:ascii="宋体" w:hAnsi="宋体" w:cs="宋体"/>
                <w:sz w:val="24"/>
              </w:rPr>
            </w:r>
            <w:r/>
          </w:p>
        </w:tc>
      </w:tr>
      <w:tr>
        <w:trPr>
          <w:cantSplit/>
          <w:trHeight w:val="170"/>
        </w:trPr>
        <w:tc>
          <w:tcPr>
            <w:tcW w:w="435" w:type="pct"/>
            <w:vAlign w:val="top"/>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W w:w="580"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项目管理</w:t>
            </w:r>
            <w:r>
              <w:rPr>
                <w:rFonts w:ascii="宋体" w:hAnsi="宋体" w:cs="宋体"/>
                <w:sz w:val="24"/>
              </w:rPr>
            </w:r>
            <w:r/>
          </w:p>
        </w:tc>
        <w:tc>
          <w:tcPr>
            <w:tcW w:w="724"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实现工作流自助开发，并支持对工作流的导入导出</w:t>
            </w:r>
            <w:r>
              <w:rPr>
                <w:rFonts w:ascii="宋体" w:hAnsi="宋体" w:cs="宋体"/>
                <w:sz w:val="24"/>
              </w:rPr>
            </w:r>
            <w:r/>
          </w:p>
        </w:tc>
        <w:tc>
          <w:tcPr>
            <w:tcW w:w="3261"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1.同时支持数据接入和数据模型项目的</w:t>
            </w:r>
            <w:r>
              <w:rPr>
                <w:rFonts w:hint="eastAsia" w:ascii="宋体" w:hAnsi="宋体" w:cs="宋体"/>
                <w:sz w:val="24"/>
              </w:rPr>
              <w:t xml:space="preserve">定义；</w:t>
              <w:br/>
              <w:t xml:space="preserve">2.图形化操作通过拖拉、连接的方式即可完成工作流的定义；</w:t>
              <w:br/>
              <w:t xml:space="preserve">3.支持丰富的组件库包含SQL、Spark、Python、Http节点组件，底层基于大数据组件完成同步任务；</w:t>
              <w:br/>
              <w:t xml:space="preserve">4.支持多任务同时执行不小于5个；</w:t>
              <w:br/>
              <w:t xml:space="preserve">5.在800M内存限制的条件下同步速度在每秒钟1万条以上；</w:t>
              <w:br/>
              <w:t xml:space="preserve">6.支持异常任务报警短信提醒（医院提供短信猫支持）；</w:t>
              <w:br/>
              <w:t xml:space="preserve">7.支持可视化自定义任务执行频率配置；</w:t>
              <w:br/>
              <w:t xml:space="preserve">8.支持预览最近任务执行时间；</w:t>
              <w:br/>
              <w:t xml:space="preserve">9.支持任务通知策略自定义；</w:t>
              <w:br/>
              <w:t xml:space="preserve">10.支持工作流任务的导入导出；</w:t>
              <w:br/>
              <w:t xml:space="preserve">11.支持任务重试；</w:t>
              <w:br/>
              <w:t xml:space="preserve">12.支持任务日志实时查看；</w:t>
            </w:r>
            <w:r>
              <w:rPr>
                <w:rFonts w:hint="eastAsia" w:ascii="宋体" w:hAnsi="宋体" w:cs="宋体"/>
                <w:sz w:val="24"/>
              </w:rPr>
              <w:br w:type="textWrapping" w:clear="all"/>
              <w:t xml:space="preserve">13.支持任务失败自动重试。</w:t>
            </w:r>
            <w:r>
              <w:rPr>
                <w:rFonts w:ascii="宋体" w:hAnsi="宋体" w:cs="宋体"/>
                <w:sz w:val="24"/>
              </w:rPr>
            </w:r>
            <w:r/>
          </w:p>
        </w:tc>
      </w:tr>
      <w:tr>
        <w:trPr>
          <w:cantSplit/>
          <w:trHeight w:val="561"/>
        </w:trPr>
        <w:tc>
          <w:tcPr>
            <w:tcW w:w="435" w:type="pct"/>
            <w:vAlign w:val="top"/>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W w:w="580"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资源中心</w:t>
            </w:r>
            <w:r>
              <w:rPr>
                <w:rFonts w:ascii="宋体" w:hAnsi="宋体" w:cs="宋体"/>
                <w:sz w:val="24"/>
              </w:rPr>
            </w:r>
            <w:r/>
          </w:p>
        </w:tc>
        <w:tc>
          <w:tcPr>
            <w:tcW w:w="724"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文件管理</w:t>
            </w:r>
            <w:r>
              <w:rPr>
                <w:rFonts w:ascii="宋体" w:hAnsi="宋体" w:cs="宋体"/>
                <w:sz w:val="24"/>
              </w:rPr>
            </w:r>
            <w:r/>
          </w:p>
        </w:tc>
        <w:tc>
          <w:tcPr>
            <w:tcW w:w="3261"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1.支持对任务资源信息查看。</w:t>
            </w:r>
            <w:r>
              <w:rPr>
                <w:rFonts w:ascii="宋体" w:hAnsi="宋体" w:cs="宋体"/>
                <w:sz w:val="24"/>
              </w:rPr>
            </w:r>
            <w:r/>
          </w:p>
        </w:tc>
      </w:tr>
      <w:tr>
        <w:trPr>
          <w:cantSplit/>
          <w:trHeight w:val="170"/>
        </w:trPr>
        <w:tc>
          <w:tcPr>
            <w:tcW w:w="435" w:type="pct"/>
            <w:vAlign w:val="top"/>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W w:w="580"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监控中心</w:t>
            </w:r>
            <w:r>
              <w:rPr>
                <w:rFonts w:ascii="宋体" w:hAnsi="宋体" w:cs="宋体"/>
                <w:sz w:val="24"/>
              </w:rPr>
            </w:r>
            <w:r/>
          </w:p>
        </w:tc>
        <w:tc>
          <w:tcPr>
            <w:tcW w:w="724"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对各资源服务进行监控和管理，并进行常规方式的统计</w:t>
            </w:r>
            <w:r>
              <w:rPr>
                <w:rFonts w:ascii="宋体" w:hAnsi="宋体" w:cs="宋体"/>
                <w:sz w:val="24"/>
              </w:rPr>
            </w:r>
            <w:r/>
          </w:p>
        </w:tc>
        <w:tc>
          <w:tcPr>
            <w:tcW w:w="3261"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1.支持系统连接池使用情况统计并展示；</w:t>
              <w:br w:type="textWrapping" w:clear="all"/>
              <w:t xml:space="preserve">2.支持监控数据中心的内存和CPU使用情况；</w:t>
              <w:br w:type="textWrapping" w:clear="all"/>
              <w:t xml:space="preserve">3.支持对所使用的的中间件如zookeeper服务的连接数、发送接收量等相关指标监控；</w:t>
              <w:br w:type="textWrapping" w:clear="all"/>
              <w:t xml:space="preserve">4.支持对数据库健康状态，连接数的监控；</w:t>
              <w:br w:type="textWrapping" w:clear="all"/>
              <w:t xml:space="preserve">5.支持对任务执行情况包含待执行的命令数、执行失败的命令数、待运行任务数、待杀死任务数统计并展示。</w:t>
            </w:r>
            <w:r>
              <w:rPr>
                <w:rFonts w:ascii="宋体" w:hAnsi="宋体" w:cs="宋体"/>
                <w:sz w:val="24"/>
              </w:rPr>
            </w:r>
            <w:r/>
          </w:p>
        </w:tc>
      </w:tr>
      <w:tr>
        <w:trPr>
          <w:cantSplit/>
          <w:trHeight w:val="170"/>
        </w:trPr>
        <w:tc>
          <w:tcPr>
            <w:tcW w:w="435" w:type="pct"/>
            <w:vAlign w:val="top"/>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W w:w="580"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配置中心</w:t>
            </w:r>
            <w:r>
              <w:rPr>
                <w:rFonts w:ascii="宋体" w:hAnsi="宋体" w:cs="宋体"/>
                <w:sz w:val="24"/>
              </w:rPr>
            </w:r>
            <w:r/>
          </w:p>
        </w:tc>
        <w:tc>
          <w:tcPr>
            <w:tcW w:w="724"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监控配置</w:t>
            </w:r>
            <w:r>
              <w:rPr>
                <w:rFonts w:ascii="宋体" w:hAnsi="宋体" w:cs="宋体"/>
                <w:sz w:val="24"/>
              </w:rPr>
            </w:r>
            <w:r/>
          </w:p>
        </w:tc>
        <w:tc>
          <w:tcPr>
            <w:tcW w:w="3261"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1.支持对监控规则自定义定时时间；</w:t>
              <w:br w:type="textWrapping" w:clear="all"/>
              <w:t xml:space="preserve">2.支持监控结果短信发送（医院提供短信猫支持）。</w:t>
            </w:r>
            <w:r>
              <w:rPr>
                <w:rFonts w:ascii="宋体" w:hAnsi="宋体" w:cs="宋体"/>
                <w:sz w:val="24"/>
              </w:rPr>
            </w:r>
            <w:r/>
          </w:p>
        </w:tc>
      </w:tr>
      <w:tr>
        <w:trPr>
          <w:cantSplit/>
          <w:trHeight w:val="170"/>
        </w:trPr>
        <w:tc>
          <w:tcPr>
            <w:tcW w:w="435" w:type="pct"/>
            <w:vAlign w:val="top"/>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W w:w="580"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数据质量</w:t>
            </w:r>
            <w:r>
              <w:rPr>
                <w:rFonts w:ascii="宋体" w:hAnsi="宋体" w:cs="宋体"/>
                <w:sz w:val="24"/>
              </w:rPr>
            </w:r>
            <w:r/>
          </w:p>
        </w:tc>
        <w:tc>
          <w:tcPr>
            <w:tcW w:w="724"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数据稽核</w:t>
            </w:r>
            <w:r>
              <w:rPr>
                <w:rFonts w:ascii="宋体" w:hAnsi="宋体" w:cs="宋体"/>
                <w:sz w:val="24"/>
              </w:rPr>
            </w:r>
            <w:r/>
          </w:p>
        </w:tc>
        <w:tc>
          <w:tcPr>
            <w:tcW w:w="3261"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1.支持对表数据进行自定义监控；</w:t>
              <w:br w:type="textWrapping" w:clear="all"/>
              <w:t xml:space="preserve">2.支持模板规则的配置；</w:t>
              <w:br w:type="textWrapping" w:clear="all"/>
              <w:t xml:space="preserve">3.支持规则的批量导出；</w:t>
              <w:br w:type="textWrapping" w:clear="all"/>
              <w:t xml:space="preserve">4.支持规则自定义时间执行；</w:t>
              <w:br w:type="textWrapping" w:clear="all"/>
              <w:t xml:space="preserve">5.支持质量报告实时生成；</w:t>
              <w:br w:type="textWrapping" w:clear="all"/>
              <w:t xml:space="preserve">6.支持质检分数实时查询；</w:t>
              <w:br w:type="textWrapping" w:clear="all"/>
              <w:t xml:space="preserve">7.支持自定义稽核异常说明。</w:t>
            </w:r>
            <w:r>
              <w:rPr>
                <w:rFonts w:ascii="宋体" w:hAnsi="宋体" w:cs="宋体"/>
                <w:sz w:val="24"/>
              </w:rPr>
            </w:r>
            <w:r/>
          </w:p>
        </w:tc>
      </w:tr>
    </w:tbl>
    <w:p>
      <w:pPr>
        <w:pStyle w:val="857"/>
        <w:ind w:firstLine="480"/>
        <w:jc w:val="left"/>
        <w:spacing w:line="36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rPr>
        <w:t xml:space="preserve"> 医保DRG医院智慧运营系统（</w:t>
      </w:r>
      <w:r>
        <w:rPr>
          <w:rFonts w:hint="eastAsia" w:ascii="宋体" w:hAnsi="宋体" w:cs="宋体"/>
          <w:sz w:val="24"/>
        </w:rPr>
        <w:t xml:space="preserve">医保DRG运营分析系统）</w:t>
      </w:r>
      <w:r>
        <w:rPr>
          <w:rFonts w:ascii="宋体" w:hAnsi="宋体" w:cs="宋体"/>
          <w:sz w:val="24"/>
        </w:rPr>
      </w:r>
      <w:r/>
    </w:p>
    <w:tbl>
      <w:tblPr>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929"/>
        <w:gridCol w:w="1061"/>
        <w:gridCol w:w="1194"/>
        <w:gridCol w:w="6104"/>
      </w:tblGrid>
      <w:tr>
        <w:trPr>
          <w:trHeight w:val="170"/>
          <w:tblHeader/>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pStyle w:val="857"/>
              <w:jc w:val="center"/>
              <w:spacing w:line="360" w:lineRule="exact"/>
              <w:rPr>
                <w:rFonts w:ascii="宋体" w:hAnsi="宋体" w:cs="宋体"/>
                <w:bCs/>
                <w:color w:val="000000"/>
                <w:sz w:val="24"/>
              </w:rPr>
            </w:pPr>
            <w:r/>
            <w:bookmarkStart w:id="817" w:name="_Hlk148601236"/>
            <w:r>
              <w:rPr>
                <w:rFonts w:hint="eastAsia" w:ascii="宋体" w:hAnsi="宋体" w:cs="宋体"/>
                <w:bCs/>
                <w:color w:val="000000"/>
                <w:sz w:val="24"/>
              </w:rPr>
              <w:t xml:space="preserve">大类</w:t>
            </w:r>
            <w:r>
              <w:rPr>
                <w:rFonts w:ascii="宋体" w:hAnsi="宋体" w:cs="宋体"/>
                <w:bCs/>
                <w:color w:val="000000"/>
                <w:sz w:val="24"/>
              </w:rPr>
            </w:r>
            <w:r/>
          </w:p>
        </w:tc>
        <w:tc>
          <w:tcPr>
            <w:tcBorders>
              <w:top w:val="single" w:color="000000" w:sz="4" w:space="0"/>
              <w:left w:val="none" w:color="000000" w:sz="4" w:space="0"/>
              <w:bottom w:val="single" w:color="000000" w:sz="4" w:space="0"/>
              <w:right w:val="single" w:color="000000" w:sz="4" w:space="0"/>
            </w:tcBorders>
            <w:tcW w:w="571" w:type="pct"/>
            <w:vAlign w:val="center"/>
            <w:textDirection w:val="lrTb"/>
            <w:noWrap w:val="false"/>
          </w:tcPr>
          <w:p>
            <w:pPr>
              <w:pStyle w:val="857"/>
              <w:jc w:val="center"/>
              <w:spacing w:line="360" w:lineRule="exact"/>
              <w:rPr>
                <w:rFonts w:ascii="宋体" w:hAnsi="宋体" w:cs="宋体"/>
                <w:bCs/>
                <w:color w:val="000000"/>
                <w:sz w:val="24"/>
              </w:rPr>
            </w:pPr>
            <w:r>
              <w:rPr>
                <w:rFonts w:hint="eastAsia" w:ascii="宋体" w:hAnsi="宋体" w:cs="宋体"/>
                <w:bCs/>
                <w:color w:val="000000"/>
                <w:sz w:val="24"/>
              </w:rPr>
              <w:t xml:space="preserve">模块</w:t>
            </w:r>
            <w:r>
              <w:rPr>
                <w:rFonts w:ascii="宋体" w:hAnsi="宋体" w:cs="宋体"/>
                <w:bCs/>
                <w:color w:val="000000"/>
                <w:sz w:val="24"/>
              </w:rPr>
            </w:r>
            <w:r/>
          </w:p>
        </w:tc>
        <w:tc>
          <w:tcPr>
            <w:tcBorders>
              <w:top w:val="singl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bCs/>
                <w:color w:val="000000"/>
                <w:sz w:val="24"/>
              </w:rPr>
            </w:pPr>
            <w:r>
              <w:rPr>
                <w:rFonts w:hint="eastAsia" w:ascii="宋体" w:hAnsi="宋体" w:cs="宋体"/>
                <w:bCs/>
                <w:color w:val="000000"/>
                <w:sz w:val="24"/>
              </w:rPr>
              <w:t xml:space="preserve">功能点</w:t>
            </w:r>
            <w:r>
              <w:rPr>
                <w:rFonts w:ascii="宋体" w:hAnsi="宋体" w:cs="宋体"/>
                <w:bCs/>
                <w:color w:val="000000"/>
                <w:sz w:val="24"/>
              </w:rPr>
            </w:r>
            <w:r/>
          </w:p>
        </w:tc>
        <w:tc>
          <w:tcPr>
            <w:tcBorders>
              <w:top w:val="singl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center"/>
              <w:spacing w:line="360" w:lineRule="exact"/>
              <w:rPr>
                <w:rFonts w:ascii="宋体" w:hAnsi="宋体" w:cs="宋体"/>
                <w:bCs/>
                <w:color w:val="000000"/>
                <w:sz w:val="24"/>
              </w:rPr>
            </w:pPr>
            <w:r>
              <w:rPr>
                <w:rFonts w:hint="eastAsia" w:ascii="宋体" w:hAnsi="宋体" w:cs="宋体"/>
                <w:bCs/>
                <w:color w:val="000000"/>
                <w:sz w:val="24"/>
              </w:rPr>
              <w:t xml:space="preserve">详细参数</w:t>
            </w:r>
            <w:r>
              <w:rPr>
                <w:rFonts w:ascii="宋体" w:hAnsi="宋体" w:cs="宋体"/>
                <w:bCs/>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在院管理</w:t>
            </w:r>
            <w:r>
              <w:rPr>
                <w:rFonts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214" w:type="pct"/>
            <w:vAlign w:val="center"/>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医生助手（在院DRG分组监测接口）</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1) 提供全院病例DRG分组预测与预警信息，包括费用异常预警、病历质控预警、不合理入院预警，预警条件支持自定义设置；</w:t>
              <w:br w:type="textWrapping" w:clear="all"/>
              <w:t xml:space="preserve">2) 提供病例当前实时DRG预测分组信息，以及住院费用进度条，直观了解费用消耗情况；</w:t>
              <w:br w:type="textWrapping" w:clear="all"/>
              <w:t xml:space="preserve">3) 支持查看患者基本信息、诊断</w:t>
            </w:r>
            <w:r>
              <w:rPr>
                <w:rFonts w:hint="eastAsia" w:ascii="宋体" w:hAnsi="宋体" w:cs="宋体"/>
                <w:color w:val="000000"/>
                <w:sz w:val="24"/>
              </w:rPr>
              <w:t xml:space="preserve">、手术，以及历史住院的DRG分组与诊断/手术信息；</w:t>
              <w:br/>
              <w:t xml:space="preserve">4)支持在院期间查看各个费用结构及费用标杆值，并能下钻查看各费用项目明细，包括药品、耗材、检查检验等；</w:t>
              <w:br/>
              <w:t xml:space="preserve">5)支持大数据模拟分组，通过调整主诊断、次诊断、主手术、次手术进行模拟分组，对中医分组支持主病主症模拟分组；</w:t>
              <w:br/>
              <w:t xml:space="preserve">6) 支持病例按多种结算方式进行预测对比，包括病组结算、中医结算，并优先展示结算金额最高的结算方式；</w:t>
              <w:br/>
              <w:t xml:space="preserve">7) 支持输入主诊断后，智能推荐相匹配的常用手术；</w:t>
              <w:br/>
              <w:t xml:space="preserve">8) ▲支持按照地区医保结算规则进行适配，包括新技术、特殊药品耗材追加、基础病组同病同价等。</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restart"/>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事中监测分析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在院监测</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[病例范围：当前在院患者]</w:t>
              <w:br w:type="textWrapping" w:clear="all"/>
              <w:t xml:space="preserve">1) 提供全院病例DRG分组预测与预警信息，包括费用异常预警、病历质控预警、不合理入院预警，预警条件支持自定义设</w:t>
            </w:r>
            <w:r>
              <w:rPr>
                <w:rFonts w:hint="eastAsia" w:ascii="宋体" w:hAnsi="宋体" w:cs="宋体"/>
                <w:color w:val="000000"/>
                <w:sz w:val="24"/>
              </w:rPr>
              <w:t xml:space="preserve">置；</w:t>
              <w:br/>
              <w:t xml:space="preserve">2) 提供病例当前实时DRG预测分组信息，以及住院费用进度条，直观了解费用消耗情况；</w:t>
              <w:br/>
              <w:t xml:space="preserve">3) 支持查看患者基本信息、诊断、手术，以及历史住院的DRG分组与诊断/手术信息；</w:t>
              <w:br/>
              <w:t xml:space="preserve">4) 支持在院期间查看各个费用结构及费用标杆值，并能下钻查看各费用项目明细，包括药品、耗材、检查检验等；</w:t>
              <w:br/>
              <w:t xml:space="preserve">5) 支持多种筛选条件查找数据：包括结算方式、病例类型（费用极高、费用极低、正常病例等）、医保类型等；</w:t>
              <w:br/>
              <w:t xml:space="preserve">6) 支持筛选特殊病例：包括15天再入院、基础病组、中途出院结算、住院天数超高、24小时出入院、新技术病例等；</w:t>
              <w:br/>
              <w:t xml:space="preserve">7) 支持按姓</w:t>
            </w:r>
            <w:r>
              <w:rPr>
                <w:rFonts w:hint="eastAsia" w:ascii="宋体" w:hAnsi="宋体" w:cs="宋体"/>
                <w:color w:val="000000"/>
                <w:sz w:val="24"/>
              </w:rPr>
              <w:t xml:space="preserve">名、住院号、患者ID、床位号等搜索病例；</w:t>
              <w:br/>
              <w:t xml:space="preserve">8) 支持从科室、医疗组、病区、医生等维度查看预警病例；</w:t>
              <w:br/>
              <w:t xml:space="preserve">9) 列表字段支持用户自定义显示与排列，包含表头字段是否显示以及固定列设置，支持列表所有数据下载；</w:t>
              <w:br/>
              <w:t xml:space="preserve">10) ▲支持大数据模拟分组，通过调整主诊断、次诊断、主手术、次手术进行模拟分组，对中医分组支持主病主症模拟分组；</w:t>
              <w:br/>
              <w:t xml:space="preserve">11) 支持病例按多种结算方式进行预测对比，包括病组结算、中医结算，并优先展示结算金额最高的结算方式；</w:t>
              <w:br/>
              <w:t xml:space="preserve">12) 支持按照地区医保结算规则进行适配，包括新技术、特殊药品耗材追加、基础病组同病同价等。</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提交前病例监测</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[病例范围：出院但未将病历提交病案室归档的病例]</w:t>
              <w:br w:type="textWrapping" w:clear="all"/>
              <w:t xml:space="preserve">1) 提供全院病例DRG分组预测与预警信息，包括费用异常预警、病历质控预警、不合理入院预警，预警条件支持自定</w:t>
            </w:r>
            <w:r>
              <w:rPr>
                <w:rFonts w:hint="eastAsia" w:ascii="宋体" w:hAnsi="宋体" w:cs="宋体"/>
                <w:color w:val="000000"/>
                <w:sz w:val="24"/>
              </w:rPr>
              <w:t xml:space="preserve">义设置；</w:t>
              <w:br/>
              <w:t xml:space="preserve">2) 提供病例当前实时DRG预测分组信息，以及住院费用进度条，直观了解费用消耗情况；</w:t>
              <w:br/>
              <w:t xml:space="preserve">3) 支持查看患者基本信息、诊断、手术，以及历史住院的DRG分组与诊断/手术信息；</w:t>
              <w:br/>
              <w:t xml:space="preserve">4) 支持在院期间查看各个费用结构及费用标杆值，并能下钻查看各费用项目明细，包括药品、耗材、检查检验等；</w:t>
              <w:br/>
              <w:t xml:space="preserve">5) 支持多种筛选条件查找数据：包括结算方式、病例类型（费用极高、费用极低、正常病例等）、医保类型等；</w:t>
              <w:br/>
              <w:t xml:space="preserve">6) 支持筛选特殊病例：包括15天再入院、基础病组、中途出院结算、住院天数超高、24小时出入院、新技术病例等；</w:t>
              <w:br/>
              <w:t xml:space="preserve">7) 支持</w:t>
            </w:r>
            <w:r>
              <w:rPr>
                <w:rFonts w:hint="eastAsia" w:ascii="宋体" w:hAnsi="宋体" w:cs="宋体"/>
                <w:color w:val="000000"/>
                <w:sz w:val="24"/>
              </w:rPr>
              <w:t xml:space="preserve">按姓名、住院号、患者ID、床位号等搜索病例；</w:t>
              <w:br/>
              <w:t xml:space="preserve">8) 支持从科室、医疗组、病区、医生等维度查看预警病例；</w:t>
              <w:br/>
              <w:t xml:space="preserve">9) ▲列表字段支持用户自定义显示与排列，包含表头字段是否显示以及固定列设置，支持列表所有数据下载；</w:t>
              <w:br/>
              <w:t xml:space="preserve">10)支持大数据模拟分组，通过调整主诊断、次诊断、主手术、次手术进行模拟分组，对中医分组支持主病主症模拟分组；</w:t>
              <w:br/>
              <w:t xml:space="preserve">11)支持病例按多种结算方式进行预测对比，包括病组结算、中医结算，并优先展示结算金额最高的结算方式；</w:t>
              <w:br/>
              <w:t xml:space="preserve">12) 支持按照地区医保结算规则进行适配，包括新技术、特殊药品耗材追加、基础病组同病同价等。</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已提交病例分析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[病例范围：出院已提交病案归档，但未与医保局结算的病例]</w:t>
              <w:br w:type="textWrapping" w:clear="all"/>
              <w:t xml:space="preserve">1) 支持对比查看临床与病案编码后病例的诊断、手术、DRG分组数据，并对不一致数据进行颜色标记；</w:t>
              <w:br w:type="textWrapping" w:clear="all"/>
              <w:t xml:space="preserve">2) 支持多种筛选条件查找数据：包括结算方式、病例类型（费用极高、费用极</w:t>
            </w:r>
            <w:r>
              <w:rPr>
                <w:rFonts w:hint="eastAsia" w:ascii="宋体" w:hAnsi="宋体" w:cs="宋体"/>
                <w:color w:val="000000"/>
                <w:sz w:val="24"/>
              </w:rPr>
              <w:t xml:space="preserve">低、正常病例等）、医保类型等；</w:t>
              <w:br/>
              <w:t xml:space="preserve">3) 支持筛选特殊病例：包括15天再入院、基础病组、中途出院结算、住院天数超高、24小时出入院、新技术病例等；</w:t>
              <w:br/>
              <w:t xml:space="preserve">4) 支持按姓名、住院号、患者ID、床位号等搜索病例；</w:t>
              <w:br/>
              <w:t xml:space="preserve">5) 列表字段支持用户自定义显示与排列，包含表头字段是否显示以及固定列设置，支持列表所有数据下载；</w:t>
              <w:br/>
              <w:t xml:space="preserve">6) 支持大数据模拟分组，通过调整主诊断、次诊断、主手术、次手术进行模拟分组，对中医分组支持主病主症模拟分组；</w:t>
              <w:br/>
              <w:t xml:space="preserve">7) 支持病例按多种结算方式进行预测对比，包括病组结算、中医结算，并优先展示结算金额最高的结算方式。</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DRG运营分析</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restart"/>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DRG驾驶舱</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医院DRG整体情况</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展示筛选时间段内全院病例数、总结余、CMI、病组数等DRG核心数据，所有统计图均支持放大和下载。</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全院超支结余分析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展示筛选时间段内的超支结余趋势、超支结余科室分布、病例类型分布、费用极高极低病例占比趋势，支持下钻。</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全院费用构成分析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展示筛选时间段内各费用类型的金额及占比、药占比、耗占比、检查检验占比、医疗服务占比趋势，支持按病例类型选择统计范围。</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全院资源使用效率分析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展示筛选时间段内次均费用、次均付费权重与平均住院日趋势，支持与去年同期比较。</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全院病组构成分析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▲展示筛选时间段内CMI趋势，各RW区间病组分布情况，RW区间支持自定义调整和下钻。</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restart"/>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科室综合分析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bookmarkStart w:id="818" w:name="RANGE!C12"/>
            <w:r>
              <w:rPr>
                <w:rFonts w:hint="eastAsia" w:ascii="宋体" w:hAnsi="宋体" w:cs="宋体"/>
                <w:color w:val="000000"/>
                <w:sz w:val="24"/>
              </w:rPr>
              <w:t xml:space="preserve">科室对比分析</w:t>
            </w:r>
            <w:bookmarkEnd w:id="818"/>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1) 展示科室病例数、结余、病组数、CMI、入组率、药耗占比等相关指标数据对比，支持数据下钻；</w:t>
              <w:br w:type="textWrapping" w:clear="all"/>
              <w:t xml:space="preserve">2) 提供按主题进行分析，包括</w:t>
            </w:r>
            <w:r>
              <w:rPr>
                <w:rFonts w:hint="eastAsia" w:ascii="宋体" w:hAnsi="宋体" w:cs="宋体"/>
                <w:color w:val="000000"/>
                <w:sz w:val="24"/>
              </w:rPr>
              <w:t xml:space="preserve">运行指标监控、超支结余、费用构成、出院带药、不合理入院五大主题；</w:t>
              <w:br/>
              <w:t xml:space="preserve">3) 支持年/季/月筛选和自定义时间区间、病例范围、超支/结余科室筛选；</w:t>
              <w:br/>
              <w:t xml:space="preserve">4) 支持根据不同用户设置重点关注科室，并能够快速筛选和查看重点科室数据；</w:t>
              <w:br/>
              <w:t xml:space="preserve">5) 支持运行目标与标杆数据对比，其中标杆数据根据历史数据自动生成，支持自定义修改标杆值，支持快速筛选超标科室；</w:t>
              <w:br/>
              <w:t xml:space="preserve">6) ▲支持二级科室管理，可以按照出院科室、管理科室分布查看和统计数据；</w:t>
              <w:br/>
              <w:t xml:space="preserve">7) 列表字段支持用户自定义显示与排列，包含表头字段是否显示以及固定列设置，支持查看指标同比，列表数据下载。</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科室主页（科室下钻分析）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[单科室下DRG运营数据统计分析]</w:t>
              <w:br w:type="textWrapping" w:clear="all"/>
              <w:t xml:space="preserve">1) 总览：支</w:t>
            </w:r>
            <w:r>
              <w:rPr>
                <w:rFonts w:hint="eastAsia" w:ascii="宋体" w:hAnsi="宋体" w:cs="宋体"/>
                <w:color w:val="000000"/>
                <w:sz w:val="24"/>
              </w:rPr>
              <w:t xml:space="preserve">持科室多选，展示科室所选时间段内DRG核心数据概览，包含病例数、CMI、结余、药耗占比、人头人次比、N天再入院、病组构成、平均住院日等；</w:t>
              <w:br/>
              <w:t xml:space="preserve">2) 超支结余分析：展示科室超支结余/次均结余趋势、超支结余病组分布及趋势、超支结余病例分布及趋势、病例类型分布、费用极高极低病例占比趋势；支持下钻；</w:t>
              <w:br/>
              <w:t xml:space="preserve">3) 费用构成分析：展示科室在各个费用类型的金额及占比，药耗占比趋势，支持按病例类型选择统计范围；</w:t>
              <w:br/>
              <w:t xml:space="preserve">4) 病组构成分析：通过矩阵象限，分析科室优势病组、劣势病组；支持数据对比与下钻，对不同象限的病组提供分析结论；</w:t>
              <w:br/>
              <w:t xml:space="preserve">5) 资</w:t>
            </w:r>
            <w:r>
              <w:rPr>
                <w:rFonts w:hint="eastAsia" w:ascii="宋体" w:hAnsi="宋体" w:cs="宋体"/>
                <w:color w:val="000000"/>
                <w:sz w:val="24"/>
              </w:rPr>
              <w:t xml:space="preserve">源使用效率分析：展示科室平均住院日趋势、次均费用趋势、时间消耗指数、费用消耗指数，支持与去年次均费用对比；</w:t>
              <w:br/>
              <w:t xml:space="preserve">6) 病历质量分析：展示质控前后分组不一致病例数趋势、付费权重差趋势、结余差趋势；</w:t>
              <w:br/>
              <w:t xml:space="preserve">7) 病组列表：同科室下不同病组DRG运营数据对比，支持下载；</w:t>
              <w:br/>
              <w:t xml:space="preserve">8) 医疗组列表：同科室下不同医疗组DRG运营数据对比，支持下载；</w:t>
              <w:br/>
              <w:t xml:space="preserve">9) 医生列表：同科室下不同医生DRG运营数据对比，支持下载；</w:t>
              <w:br/>
              <w:t xml:space="preserve">10) 病例列表：展示科室所选时间段内所有病例数据，支持按医疗组、病组、医生筛选、查看病例详情、模拟分组，支持表格数据下载。</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restart"/>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病组综合分析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病组对比分析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1) 展示各DRG病组病例数、结余、RW、药耗占比、时间消耗指数、费用消耗指数等</w:t>
            </w:r>
            <w:r>
              <w:rPr>
                <w:rFonts w:hint="eastAsia" w:ascii="宋体" w:hAnsi="宋体" w:cs="宋体"/>
                <w:color w:val="000000"/>
                <w:sz w:val="24"/>
              </w:rPr>
              <w:t xml:space="preserve">相关指标数据对比，支持下钻；</w:t>
              <w:br/>
              <w:t xml:space="preserve">2) 支持按主题进行分析，包括运行指标监控、超支结余、费用构成、RW区间分布，其中RW区间支持自定义设置；</w:t>
              <w:br/>
              <w:t xml:space="preserve">3) 支持年/季/月筛选和自定义时间区间、病例范围、超支/结余科室筛选；</w:t>
              <w:br/>
              <w:t xml:space="preserve">4) ▲支持运行目标与标杆数据对比，其中标杆数据根据历史数据自动生成，支持自定义修改标杆值，支持快速筛选超标病组；</w:t>
              <w:br/>
              <w:t xml:space="preserve">5) 列表字段支持用户自定义显示与排列，包含表头字段是否显示以及固定列设置，支持查看指标同比，列表数据下载；</w:t>
              <w:br/>
              <w:t xml:space="preserve">6) 支持根据不同用户设置重点关注病组，并能够快速筛选和查看重点病组数据。</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病组主页（病组下钻分析）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[单病组下DRG运营数据统计分析]</w:t>
              <w:br w:type="textWrapping" w:clear="all"/>
              <w:t xml:space="preserve">1) 总览：支持病组多选，展示病组在所选时间段内DRG核心数据概览，包含总病例数、RW、结余、药耗占比、病组构成、平均住院日等；</w:t>
              <w:br w:type="textWrapping" w:clear="all"/>
              <w:t xml:space="preserve">2) 超支结余分析：展示病组超支结余/次</w:t>
            </w:r>
            <w:r>
              <w:rPr>
                <w:rFonts w:hint="eastAsia" w:ascii="宋体" w:hAnsi="宋体" w:cs="宋体"/>
                <w:color w:val="000000"/>
                <w:sz w:val="24"/>
              </w:rPr>
              <w:t xml:space="preserve">均结余趋势、超支结余病例分布及趋势、病例类型分布、费用极高极低病例占比趋势；支持下钻；</w:t>
              <w:br/>
              <w:t xml:space="preserve">3) 费用构成分析：展示病组各个费用类型的金额、占比及超支影响率，药耗占比趋势，支持按病例类型选择统计范围；</w:t>
              <w:br/>
              <w:t xml:space="preserve">4) 资源使用效率分析：展示病组平均住院日趋势、次均费用趋势、时间消耗指数、费用消耗指数；</w:t>
              <w:br/>
              <w:t xml:space="preserve">5) 科室列表：同病组下不同科室DRG运营数据对比，支持下载；</w:t>
              <w:br/>
              <w:t xml:space="preserve">6) 医疗组列表：同病组下不同医疗组DRG运营数据对比，支持下载；</w:t>
              <w:br/>
              <w:t xml:space="preserve">7) 病例列表：所选病组所选时间段内所有病例数据，支持筛选、查看病例详情、模拟分组、下载。</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restart"/>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医疗组综合分析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医疗组对比分析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1) 展示医疗组病例数、结余、病组数、CMI、入组率、药耗占比等DRG相关指标数据对比，支持数据下钻；</w:t>
              <w:br w:type="textWrapping" w:clear="all"/>
              <w:t xml:space="preserve">2) 支持快捷筛选，包括超支医疗组、结余医疗组、环比结余增加、减少等，支持年/季/月筛选和自定义时间区间、病例范围筛选；</w:t>
              <w:br w:type="textWrapping" w:clear="all"/>
              <w:t xml:space="preserve">3) 支持根据不同用户设置重点关注科室，并能够快速筛选和查看重点科室数据；</w:t>
              <w:br w:type="textWrapping" w:clear="all"/>
              <w:t xml:space="preserve">4) 列表字段支持用户自定义显示与排列，包含表头字段是否显示以及固定列设置，支持查看指标同比，列表数据下载。</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医疗组主页（医疗组下钻分析）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[单医疗组下DRG运营数据统计分析]</w:t>
              <w:br w:type="textWrapping" w:clear="all"/>
              <w:t xml:space="preserve">1) 总览：支持医疗组多选，展示医疗组在所选时间段内DRG核心数据概览，包含病例数、CMI、总权重、结余、药耗占比、病组构成、平均住院日等；</w:t>
              <w:br w:type="textWrapping" w:clear="all"/>
              <w:t xml:space="preserve">2) 超支结余分析：展示医疗组超支结余/次均结余趋势、超支结余病组分布及趋势、超支结余病例分布及趋势、病例类型分布、费用极高极低病例占比趋势；支持下钻；</w:t>
              <w:br w:type="textWrapping" w:clear="all"/>
              <w:t xml:space="preserve">3) 费用构成分析：展示医</w:t>
            </w:r>
            <w:r>
              <w:rPr>
                <w:rFonts w:hint="eastAsia" w:ascii="宋体" w:hAnsi="宋体" w:cs="宋体"/>
                <w:color w:val="000000"/>
                <w:sz w:val="24"/>
              </w:rPr>
              <w:t xml:space="preserve">疗组各个费用类型的金额及占比，药耗占比趋势，支持按病例类型选择统计范围；</w:t>
              <w:br/>
              <w:t xml:space="preserve">4) 病组构成分析：通过矩阵象限，分析所选医疗组优势病组、劣势病组；支持数据对比与下钻，对不同象限的病组提供分析结论；</w:t>
              <w:br/>
              <w:t xml:space="preserve">5) 资源使用效率分析：展示医疗组平均住院日趋势、次均费用趋势、时间消耗指数、费用消耗指数；</w:t>
              <w:br/>
              <w:t xml:space="preserve">6) 病组列表：同医疗组下不同病组DRG运营数据对比，支持下载；</w:t>
              <w:br/>
              <w:t xml:space="preserve">7) 医生列表：同医疗组下不同医生DRG运营数据对比，支持下载；</w:t>
              <w:br/>
              <w:t xml:space="preserve">8) 病例列表：所选医疗组所选时间段内所有病例数据，支持筛选、查看病例详情、模拟分组、下载。</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214" w:type="pct"/>
            <w:vAlign w:val="center"/>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医生综合对比分析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1) 展示医生病例数、结余、CMI、次均费用、付费总权重、人头人次比、病组数、费用极高极低病例占比等DRG相关指标数据对比，支持数据下钻；</w:t>
              <w:br w:type="textWrapping" w:clear="all"/>
              <w:t xml:space="preserve">2) 支持快捷筛选，包括超支医生、结余医生、环比结余增加、减少、费用极高极低病例占比高/低于全院平均等；支持年/季/月筛选和自定义时间区间、病例范围筛选、按医疗组筛选病例；支持模糊搜索医生；</w:t>
              <w:br w:type="textWrapping" w:clear="all"/>
              <w:t xml:space="preserve">3) 列表字段支持用户自定义显示与排列，包含表头字段是否显示以及固定列设置，列表数据下载。</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restart"/>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专题分析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费用分摊分析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▲[根据患者在各临床开单科室产生的费用占比，将DRG结余按比例分摊统计分析]</w:t>
              <w:br w:type="textWrapping" w:clear="all"/>
              <w:t xml:space="preserve">1) 展示按出院科室与按费用产生科室结余对比；</w:t>
              <w:br w:type="textWrapping" w:clear="all"/>
              <w:t xml:space="preserve">2) 支持查看产生费用分摊病例明细，及病例在各科室的费用情况，支持下载；</w:t>
              <w:br w:type="textWrapping" w:clear="all"/>
              <w:t xml:space="preserve">3) 支持按时间、科室、病例范围等筛选，支持表格按不同字段排序。</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学科发展分析-学科覆盖度分析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▲展示各MDC中医院病组/病例相对地区全部病组的覆盖度、各MDC医院病组/病例占比（覆盖度），以此反映医院学科广度，支持数据下载。</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学科发展分析-科室评价</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▲通过矩阵象限，分析在医保DRG下相对优势的科室、劣势的科室；支持指标组合维度切换、原点自定义；支持数据下钻与下载。</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学科发展分析-病组评价</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▲通过矩阵象限，分析在医保DRG下医院的优势病组、劣势病组；支持指标组合维度切换；支持病组范围自定义，支持数据下钻与下载。</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病例性质分析</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1) 展示各个统筹区、各个医保类型的病例数量及比例；</w:t>
              <w:br w:type="textWrapping" w:clear="all"/>
              <w:t xml:space="preserve">2) 支持按照统筹区、医保类型分析全院及科室的核心指标，包括病例数、医疗总费用、次均费用、结余、平均住院日、CMI、药占比、耗占比、医技占比等；</w:t>
              <w:br w:type="textWrapping" w:clear="all"/>
              <w:t xml:space="preserve">3) 支持表格数据排序和下载。</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214" w:type="pct"/>
            <w:vAlign w:val="center"/>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病例数据综合查询与下载</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1) 展示病例明细数据，支持查看详情，包含DRG分组、诊断/手术、费用占比及明细等信息；</w:t>
              <w:br w:type="textWrapping" w:clear="all"/>
              <w:t xml:space="preserve">2) 支持按病例类型、15天再入院、科室、结余范围等条件组合筛选；支持按住院号、患者姓名、病案号、主诊主手等模糊搜索病例；</w:t>
              <w:br w:type="textWrapping" w:clear="all"/>
              <w:t xml:space="preserve">3) 支持表格数据排序和筛选，支持15天再入院及其上次关联病例的数据下载；</w:t>
              <w:br w:type="textWrapping" w:clear="all"/>
              <w:t xml:space="preserve">4) 支持大数据模拟分组，通过调整主诊断、次诊断、主手术、次手术进行模拟分组；</w:t>
              <w:br w:type="textWrapping" w:clear="all"/>
              <w:t xml:space="preserve">5) 支持病例按多种结算方式进行预测对比，包括病组结算、中医结算，并优先展示结算金额最高的结算方式。</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214" w:type="pct"/>
            <w:vAlign w:val="center"/>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指标综合查询与下载</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1) 提供各个主题的指标下载，包括医疗服务能力、费用控制、DRG结算指标、费用控制等；</w:t>
              <w:br w:type="textWrapping" w:clear="all"/>
              <w:t xml:space="preserve">2) 支持指标自定义选择数据范围、时间范围、导出维度（全院/科室/病组等）；</w:t>
              <w:br w:type="textWrapping" w:clear="all"/>
              <w:t xml:space="preserve">3) 支持保存指标报表模板，方便同一报表重复下载；</w:t>
              <w:br w:type="textWrapping" w:clear="all"/>
              <w:t xml:space="preserve">4) 支持导出DRG系统点击量统计指标，维度支持全院、科室、操作工号。</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系统管理</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restart"/>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系统设置</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费用构成规则设置</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支持自定义设置费用分类，系统根据该分类进行费用相关指标的统计和分析。</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风险审核规则</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支持自定义设置费用异常、不合理入院、再入院、体检入院等预警病例的条件。</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结算单导入设置</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支持结算导入字段映射和处理。</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标杆设置</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支持自定义设置病组和科室的标杆值。</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事中费用预警设置</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自定义费用极高风险预警、费用极低风险预警、超支风险三类费用预警的规则与生效范围。</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病例详情设置</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支持自定义病例详情控费进度条的展示形式，以及详情页的字段信息、指标展示。</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right w:val="single" w:color="000000" w:sz="4" w:space="0"/>
            </w:tcBorders>
            <w:tcW w:w="571" w:type="pct"/>
            <w:vAlign w:val="center"/>
            <w:vMerge w:val="restart"/>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账号权限管理</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管理科室设置</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支持按出院科室设置大科室，满足医院二级科室管理。</w:t>
            </w:r>
            <w:r>
              <w:rPr>
                <w:rFonts w:ascii="宋体" w:hAnsi="宋体" w:cs="宋体"/>
                <w:color w:val="000000"/>
                <w:sz w:val="24"/>
              </w:rPr>
            </w:r>
            <w:r/>
          </w:p>
        </w:tc>
      </w:tr>
      <w:tr>
        <w:trPr>
          <w:cantSplit/>
          <w:trHeight w:val="170"/>
        </w:trPr>
        <w:tc>
          <w:tcPr>
            <w:tcBorders>
              <w:top w:val="non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left w:val="single" w:color="000000" w:sz="4" w:space="0"/>
              <w:bottom w:val="single" w:color="000000" w:sz="4" w:space="0"/>
              <w:right w:val="single" w:color="000000" w:sz="4" w:space="0"/>
            </w:tcBorders>
            <w:tcW w:w="571"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角色与数据权限</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3286"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支持根据医院需要，按照院级、科级、医生不同角色设置菜单和数据权限。</w:t>
            </w:r>
            <w:r>
              <w:rPr>
                <w:rFonts w:ascii="宋体" w:hAnsi="宋体" w:cs="宋体"/>
                <w:color w:val="000000"/>
                <w:sz w:val="24"/>
              </w:rPr>
            </w:r>
            <w:r/>
          </w:p>
        </w:tc>
      </w:tr>
    </w:tbl>
    <w:p>
      <w:pPr>
        <w:pStyle w:val="889"/>
        <w:spacing w:line="360" w:lineRule="exact"/>
      </w:pPr>
      <w:r/>
      <w:bookmarkEnd w:id="817"/>
      <w:r>
        <w:rPr>
          <w:rFonts w:hint="eastAsia"/>
        </w:rPr>
        <w:t xml:space="preserve">3</w:t>
      </w:r>
      <w:r>
        <w:t xml:space="preserve">.</w:t>
      </w:r>
      <w:r>
        <w:rPr>
          <w:rFonts w:hint="eastAsia"/>
        </w:rPr>
        <w:t xml:space="preserve">医保结算清单质控</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063"/>
        <w:gridCol w:w="1194"/>
        <w:gridCol w:w="6106"/>
      </w:tblGrid>
      <w:tr>
        <w:trPr>
          <w:tblHeader/>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大类</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模块</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功能点</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center"/>
              <w:spacing w:line="360" w:lineRule="exact"/>
              <w:rPr>
                <w:rFonts w:ascii="宋体" w:hAnsi="宋体" w:cs="宋体"/>
                <w:bCs/>
                <w:sz w:val="24"/>
              </w:rPr>
            </w:pPr>
            <w:r>
              <w:rPr>
                <w:rFonts w:hint="eastAsia" w:ascii="宋体" w:hAnsi="宋体" w:cs="宋体"/>
                <w:bCs/>
                <w:sz w:val="24"/>
              </w:rPr>
              <w:t xml:space="preserve">详细参数</w:t>
            </w:r>
            <w:r>
              <w:rPr>
                <w:rFonts w:ascii="宋体" w:hAnsi="宋体" w:cs="宋体"/>
                <w:bCs/>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医保结算清单质控</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restart"/>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清单任务总览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管理指标统计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支持统计筛选时间段内的审核完成率、首次上报合格率。</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清单任务统计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支持展示已生成清单的数量，包含通过病案首页数据生成的清单数量和对特殊患者自动补充生产的清单数量；</w:t>
              <w:br w:type="textWrapping" w:clear="all"/>
              <w:t xml:space="preserve">2) 支持根据医院实际配置的审核流程节点，分别展示清单初审、清单复审、清单终审任务节点中具体的清单审核状态及数量，支持下钻到对应清单列表；</w:t>
              <w:br w:type="textWrapping" w:clear="all"/>
              <w:t xml:space="preserve">3) 支持按院内结算日期、出院日期统计筛选时间段内以上清单的数量及状态。</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restart"/>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上报前清单审核</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清单生成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支持自动获取医院各系统相关数据，生成待审核结算清单，自动对结算清单进行全量质检质控；</w:t>
              <w:br w:type="textWrapping" w:clear="all"/>
              <w:t xml:space="preserve">2) ▲支持对血液透析的患者自动生成结算清单，对于母婴同室的婴儿自动拆分结算清单，并提供全量质检质控。</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清单操作</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 支持自定义设置清单列表展示数量，如20条/页、50条/页、100条/页；</w:t>
              <w:br w:type="textWrapping" w:clear="all"/>
            </w:r>
            <w:r>
              <w:rPr>
                <w:rFonts w:ascii="宋体" w:hAnsi="宋体" w:cs="宋体"/>
                <w:sz w:val="24"/>
              </w:rPr>
              <w:t xml:space="preserve">2</w:t>
            </w:r>
            <w:r>
              <w:rPr>
                <w:rFonts w:hint="eastAsia" w:ascii="宋体" w:hAnsi="宋体" w:cs="宋体"/>
                <w:sz w:val="24"/>
              </w:rPr>
              <w:t xml:space="preserve">) 支持对清单标记疑问病例，并在列表内进行差异化标识展示，支持搜索查询；</w:t>
              <w:br w:type="textWrapping" w:clear="all"/>
            </w:r>
            <w:r>
              <w:rPr>
                <w:rFonts w:ascii="宋体" w:hAnsi="宋体" w:cs="宋体"/>
                <w:sz w:val="24"/>
              </w:rPr>
              <w:t xml:space="preserve">3</w:t>
            </w:r>
            <w:r>
              <w:rPr>
                <w:rFonts w:hint="eastAsia" w:ascii="宋体" w:hAnsi="宋体" w:cs="宋体"/>
                <w:sz w:val="24"/>
              </w:rPr>
              <w:t xml:space="preserve">) 支持在列表内对于已读清单和未读清单进行差异化展示，支持搜索查询；</w:t>
              <w:br w:type="textWrapping" w:clear="all"/>
            </w:r>
            <w:r>
              <w:rPr>
                <w:rFonts w:ascii="宋体" w:hAnsi="宋体" w:cs="宋体"/>
                <w:sz w:val="24"/>
              </w:rPr>
              <w:t xml:space="preserve">4</w:t>
            </w:r>
            <w:r>
              <w:rPr>
                <w:rFonts w:hint="eastAsia" w:ascii="宋体" w:hAnsi="宋体" w:cs="宋体"/>
                <w:sz w:val="24"/>
              </w:rPr>
              <w:t xml:space="preserve">) 支持对符合再入院条件的患者进行差异化标识展示，支持查看上次住院信息，支持搜索查询；</w:t>
              <w:br w:type="textWrapping" w:clear="all"/>
            </w:r>
            <w:r>
              <w:rPr>
                <w:rFonts w:ascii="宋体" w:hAnsi="宋体" w:cs="宋体"/>
                <w:sz w:val="24"/>
              </w:rPr>
              <w:t xml:space="preserve">5</w:t>
            </w:r>
            <w:r>
              <w:rPr>
                <w:rFonts w:hint="eastAsia" w:ascii="宋体" w:hAnsi="宋体" w:cs="宋体"/>
                <w:sz w:val="24"/>
              </w:rPr>
              <w:t xml:space="preserve">) 支持对与病案首页不一致的清单进行标注，支持查看病案首页与结算清单不一致的具体对比情况；</w:t>
              <w:br w:type="textWrapping" w:clear="all"/>
            </w:r>
            <w:r>
              <w:rPr>
                <w:rFonts w:ascii="宋体" w:hAnsi="宋体" w:cs="宋体"/>
                <w:sz w:val="24"/>
              </w:rPr>
              <w:t xml:space="preserve">6</w:t>
            </w:r>
            <w:r>
              <w:rPr>
                <w:rFonts w:hint="eastAsia" w:ascii="宋体" w:hAnsi="宋体" w:cs="宋体"/>
                <w:sz w:val="24"/>
              </w:rPr>
              <w:t xml:space="preserve">) 支持查看每份清单的基本信息，包括患者信息、病案号、住院号、住院医师、入组情况、预计结余、病例类型等信息；支持按费用类型查看费用明细，并展示费用分布情况和费用占比。</w:t>
            </w:r>
            <w:r>
              <w:rPr>
                <w:rFonts w:hint="eastAsia" w:ascii="宋体" w:hAnsi="宋体" w:cs="宋体"/>
                <w:bCs/>
                <w:sz w:val="24"/>
              </w:rPr>
              <w:t xml:space="preserve">支持对于入组异常患者展示入组解析；</w:t>
            </w:r>
            <w:r>
              <w:rPr>
                <w:rFonts w:hint="eastAsia" w:ascii="宋体" w:hAnsi="宋体" w:cs="宋体"/>
                <w:sz w:val="24"/>
              </w:rPr>
              <w:br w:type="textWrapping" w:clear="all"/>
            </w:r>
            <w:r>
              <w:rPr>
                <w:rFonts w:ascii="宋体" w:hAnsi="宋体" w:cs="宋体"/>
                <w:sz w:val="24"/>
              </w:rPr>
              <w:t xml:space="preserve">7</w:t>
            </w:r>
            <w:r>
              <w:rPr>
                <w:rFonts w:hint="eastAsia" w:ascii="宋体" w:hAnsi="宋体" w:cs="宋体"/>
                <w:sz w:val="24"/>
              </w:rPr>
              <w:t xml:space="preserve">) 支持展示清单质检结果，对不同预警级别差异化展示；支持展示诊断手术信息；支持展示清单批注信息并进行操作；</w:t>
              <w:br w:type="textWrapping" w:clear="all"/>
            </w:r>
            <w:r>
              <w:rPr>
                <w:rFonts w:ascii="宋体" w:hAnsi="宋体" w:cs="宋体"/>
                <w:sz w:val="24"/>
              </w:rPr>
              <w:t xml:space="preserve">8</w:t>
            </w:r>
            <w:r>
              <w:rPr>
                <w:rFonts w:hint="eastAsia" w:ascii="宋体" w:hAnsi="宋体" w:cs="宋体"/>
                <w:sz w:val="24"/>
              </w:rPr>
              <w:t xml:space="preserve">) ▲支持通过大数据分析建立多维度优选策略，在保证清单合规的前提下提供结算更多组合的参考；支持通过大数据对疑似手术缺漏进行提醒，提供对应的优选组合，并对缺漏手术进行差异化标识；</w:t>
              <w:br w:type="textWrapping" w:clear="all"/>
            </w:r>
            <w:r>
              <w:rPr>
                <w:rFonts w:ascii="宋体" w:hAnsi="宋体" w:cs="宋体"/>
                <w:sz w:val="24"/>
              </w:rPr>
              <w:t xml:space="preserve">9</w:t>
            </w:r>
            <w:r>
              <w:rPr>
                <w:rFonts w:hint="eastAsia" w:ascii="宋体" w:hAnsi="宋体" w:cs="宋体"/>
                <w:sz w:val="24"/>
              </w:rPr>
              <w:t xml:space="preserve">) 支持下钻查看清单详情，定位展示对应的质控问题点，支持对诊断、手术信息进行编辑，包括顺序调整、新增、删除、修改；支持在调整清单内容后模拟质检，比对查看新旧分组预测与质控结果信息；支持保存修改后的清单，保存后清单将停止自动刷新；</w:t>
              <w:br w:type="textWrapping" w:clear="all"/>
              <w:t xml:space="preserve">1</w:t>
            </w:r>
            <w:r>
              <w:rPr>
                <w:rFonts w:ascii="宋体" w:hAnsi="宋体" w:cs="宋体"/>
                <w:sz w:val="24"/>
              </w:rPr>
              <w:t xml:space="preserve">0</w:t>
            </w:r>
            <w:r>
              <w:rPr>
                <w:rFonts w:hint="eastAsia" w:ascii="宋体" w:hAnsi="宋体" w:cs="宋体"/>
                <w:sz w:val="24"/>
              </w:rPr>
              <w:t xml:space="preserve">) 支持对已修改的清单，手动开启清单自动更新； </w:t>
              <w:br w:type="textWrapping" w:clear="all"/>
              <w:t xml:space="preserve">1</w:t>
            </w:r>
            <w:r>
              <w:rPr>
                <w:rFonts w:ascii="宋体" w:hAnsi="宋体" w:cs="宋体"/>
                <w:sz w:val="24"/>
              </w:rPr>
              <w:t xml:space="preserve">1</w:t>
            </w:r>
            <w:r>
              <w:rPr>
                <w:rFonts w:hint="eastAsia" w:ascii="宋体" w:hAnsi="宋体" w:cs="宋体"/>
                <w:sz w:val="24"/>
              </w:rPr>
              <w:t xml:space="preserve">) 支持对不适用的清单规则进行关闭，并记录关闭理由；支持针对于个别患者无需修改的规则进行关闭，并记录关闭理由；</w:t>
              <w:br w:type="textWrapping" w:clear="all"/>
              <w:t xml:space="preserve">1</w:t>
            </w:r>
            <w:r>
              <w:rPr>
                <w:rFonts w:ascii="宋体" w:hAnsi="宋体" w:cs="宋体"/>
                <w:sz w:val="24"/>
              </w:rPr>
              <w:t xml:space="preserve">1</w:t>
            </w:r>
            <w:r>
              <w:rPr>
                <w:rFonts w:hint="eastAsia" w:ascii="宋体" w:hAnsi="宋体" w:cs="宋体"/>
                <w:sz w:val="24"/>
              </w:rPr>
              <w:t xml:space="preserve">) 支持查看清单编辑日志，日志记录所有操作人员、时间、操作内容，可查看修改前后对比，支持查看与初始清单的对比；</w:t>
              <w:br w:type="textWrapping" w:clear="all"/>
              <w:t xml:space="preserve">1</w:t>
            </w:r>
            <w:r>
              <w:rPr>
                <w:rFonts w:ascii="宋体" w:hAnsi="宋体" w:cs="宋体"/>
                <w:sz w:val="24"/>
              </w:rPr>
              <w:t xml:space="preserve">2</w:t>
            </w:r>
            <w:r>
              <w:rPr>
                <w:rFonts w:hint="eastAsia" w:ascii="宋体" w:hAnsi="宋体" w:cs="宋体"/>
                <w:sz w:val="24"/>
              </w:rPr>
              <w:t xml:space="preserve">) 支持对清单发起批注信息，选择发送至指定用户，支持立即发送或暂不发送仅保存；</w:t>
              <w:br w:type="textWrapping" w:clear="all"/>
              <w:t xml:space="preserve">1</w:t>
            </w:r>
            <w:r>
              <w:rPr>
                <w:rFonts w:ascii="宋体" w:hAnsi="宋体" w:cs="宋体"/>
                <w:sz w:val="24"/>
              </w:rPr>
              <w:t xml:space="preserve">3</w:t>
            </w:r>
            <w:r>
              <w:rPr>
                <w:rFonts w:hint="eastAsia" w:ascii="宋体" w:hAnsi="宋体" w:cs="宋体"/>
                <w:sz w:val="24"/>
              </w:rPr>
              <w:t xml:space="preserve">) 支持通过调整主次诊断、手术顺序对清单进行模拟入组，比对查看新旧分组预测与质控结果信息，支持将模拟分组结果快捷添加至批注或详情页；</w:t>
            </w:r>
            <w:r>
              <w:rPr>
                <w:rFonts w:ascii="宋体" w:hAnsi="宋体" w:cs="宋体"/>
                <w:sz w:val="24"/>
              </w:rPr>
            </w:r>
            <w:r/>
          </w:p>
          <w:p>
            <w:pPr>
              <w:pStyle w:val="857"/>
              <w:jc w:val="left"/>
              <w:spacing w:line="360" w:lineRule="exact"/>
              <w:rPr>
                <w:rFonts w:ascii="宋体" w:hAnsi="宋体" w:cs="宋体"/>
                <w:sz w:val="24"/>
              </w:rPr>
            </w:pPr>
            <w:r>
              <w:rPr>
                <w:rFonts w:ascii="宋体" w:hAnsi="宋体" w:cs="宋体"/>
                <w:sz w:val="24"/>
              </w:rPr>
              <w:t xml:space="preserve">14</w:t>
            </w:r>
            <w:r>
              <w:rPr>
                <w:rFonts w:hint="eastAsia" w:ascii="宋体" w:hAnsi="宋体" w:cs="宋体"/>
                <w:sz w:val="24"/>
              </w:rPr>
              <w:t xml:space="preserve">) 支持通过手动刷新HIS实时信息，更新待审核清单数据 。</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我的清单</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numPr>
                <w:ilvl w:val="0"/>
                <w:numId w:val="14"/>
              </w:numPr>
              <w:jc w:val="left"/>
              <w:spacing w:line="360" w:lineRule="exact"/>
              <w:widowControl/>
              <w:rPr>
                <w:rFonts w:ascii="宋体" w:hAnsi="宋体" w:cs="宋体"/>
                <w:sz w:val="24"/>
              </w:rPr>
            </w:pPr>
            <w:r>
              <w:rPr>
                <w:rFonts w:hint="eastAsia" w:ascii="宋体" w:hAnsi="宋体" w:cs="宋体"/>
                <w:sz w:val="24"/>
              </w:rPr>
              <w:t xml:space="preserve">支持按分配的数据权限，查看本人负责的全部流程节点下的所有结算清单；</w:t>
            </w:r>
            <w:r>
              <w:rPr>
                <w:rFonts w:ascii="宋体" w:hAnsi="宋体" w:cs="宋体"/>
                <w:sz w:val="24"/>
              </w:rPr>
            </w:r>
            <w:r/>
          </w:p>
          <w:p>
            <w:pPr>
              <w:pStyle w:val="857"/>
              <w:numPr>
                <w:ilvl w:val="0"/>
                <w:numId w:val="14"/>
              </w:numPr>
              <w:jc w:val="left"/>
              <w:spacing w:line="360" w:lineRule="exact"/>
              <w:widowControl/>
              <w:rPr>
                <w:rFonts w:ascii="宋体" w:hAnsi="宋体" w:cs="宋体"/>
                <w:sz w:val="24"/>
              </w:rPr>
            </w:pPr>
            <w:r>
              <w:rPr>
                <w:rFonts w:hint="eastAsia" w:ascii="宋体" w:hAnsi="宋体" w:cs="宋体"/>
                <w:sz w:val="24"/>
              </w:rPr>
              <w:t xml:space="preserve">支持查看结算清单当前审核状态，支持按姓名、住院号、病案号、医生、分组、主诊断、主手术进行搜索，支持下载导出列表；</w:t>
            </w:r>
            <w:r>
              <w:rPr>
                <w:rFonts w:ascii="宋体" w:hAnsi="宋体" w:cs="宋体"/>
                <w:sz w:val="24"/>
              </w:rPr>
            </w:r>
            <w:r/>
          </w:p>
          <w:p>
            <w:pPr>
              <w:pStyle w:val="857"/>
              <w:numPr>
                <w:ilvl w:val="0"/>
                <w:numId w:val="14"/>
              </w:numPr>
              <w:jc w:val="left"/>
              <w:spacing w:line="360" w:lineRule="exact"/>
              <w:widowControl/>
              <w:rPr>
                <w:rFonts w:ascii="宋体" w:hAnsi="宋体" w:cs="宋体"/>
                <w:sz w:val="24"/>
              </w:rPr>
            </w:pPr>
            <w:r>
              <w:rPr>
                <w:rFonts w:hint="eastAsia" w:ascii="宋体" w:hAnsi="宋体" w:cs="宋体"/>
                <w:sz w:val="24"/>
              </w:rPr>
              <w:t xml:space="preserve">支持对于重点问题主动进行推送，如已审核清单被退回、收到批注消息、清单数据源头发生变更。</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待审核清单</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支持按分配的数据权限，查看本人负责的所有待审核的结算清单；</w:t>
              <w:br w:type="textWrapping" w:clear="all"/>
              <w:t xml:space="preserve">2) 支持对待审核清单操作审核通过，支持批量勾选操作审核通过，支持一键全部审核通过；已审核通过的清单根据审核流程配置，自动分配进入下一节点审核人员的待审核列表，并自动保存固化清单数据；</w:t>
              <w:br w:type="textWrapping" w:clear="all"/>
              <w:t xml:space="preserve">3) 支持设置自定义校验条件，对符合条件的清单自动审核通过并进入本人审核通过列表，未通过审核的清单进入待审核列表等待人工处理审核；</w:t>
              <w:br w:type="textWrapping" w:clear="all"/>
              <w:t xml:space="preserve">4) 支持对审核不通过的清单进行退回操作，可选择退回至指定流程的待审核列表；</w:t>
              <w:br w:type="textWrapping" w:clear="all"/>
              <w:t xml:space="preserve">5) 支持下载导出本人所有待审核清单列表。</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审核通过清单</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支持查看所有本人审核通过的清单；</w:t>
              <w:br w:type="textWrapping" w:clear="all"/>
              <w:t xml:space="preserve">2) 支持批量勾选撤销本人已审核通过的清单，撤销审核后的清单变为本人待审核状态；</w:t>
              <w:br w:type="textWrapping" w:clear="all"/>
              <w:t xml:space="preserve">3) 支持下载导出本人所有审核通过清单列表。</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审核退回清单</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支持查看所有本人被审核退回的清单；</w:t>
              <w:br w:type="textWrapping" w:clear="all"/>
              <w:t xml:space="preserve">2) 支持重新对清单进行审核通过操作，重新进入下一节点审核人员的待审核列表；</w:t>
              <w:br w:type="textWrapping" w:clear="all"/>
              <w:t xml:space="preserve">3) 支持下载导出本人所有审核被退回清单列表。</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超时未审核清单</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根据每个审核节点设置的时限要求，系统自动将超过时限的清单置为超时未审核；</w:t>
              <w:br w:type="textWrapping" w:clear="all"/>
              <w:t xml:space="preserve">2) 支持查看所有本人超时未审核的清单；</w:t>
              <w:br w:type="textWrapping" w:clear="all"/>
              <w:t xml:space="preserve">3) 支持对清单进行审核通过操作，进入下一节点审核人员的待审核列表；</w:t>
              <w:br w:type="textWrapping" w:clear="all"/>
              <w:t xml:space="preserve">4) 支持下载导出本人所有超时未审核清单列表。</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自定义快捷筛选</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支持按照病例类型、质控问题、异常住院、特殊患者、费用相关条件类型，选择对应的指标，组合形成自定义快捷筛类型，针对每个审核环节，筛选出对应的清单列表；</w:t>
              <w:br w:type="textWrapping" w:clear="all"/>
              <w:t xml:space="preserve">2) 支持对筛选类型进行重命名；</w:t>
              <w:br w:type="textWrapping" w:clear="all"/>
              <w:t xml:space="preserve">3) 支持自定义添加多个快捷筛选类型；</w:t>
              <w:br w:type="textWrapping" w:clear="all"/>
              <w:t xml:space="preserve">4) 支持初始化重点问题清单的快捷筛选类型；</w:t>
              <w:br w:type="textWrapping" w:clear="all"/>
              <w:t xml:space="preserve">5) 支持下载导出快捷筛选类型下的清单列表。</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其他筛选</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支持对未读清单、疑问病例的筛选；</w:t>
              <w:br w:type="textWrapping" w:clear="all"/>
              <w:t xml:space="preserve">2) 支持筛选与病案首页不一致的清单；</w:t>
              <w:br w:type="textWrapping" w:clear="all"/>
              <w:t xml:space="preserve">3) 支持筛选与初始清单不一致的清单，区分因数据源变更、清单调整变更原因导致的不一致清单。</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消息中心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支持分类查看当前用户收到的、发起的、仅保存的批注，同时支持按照待处理、已接受、不接受进行分类筛选；</w:t>
              <w:br w:type="textWrapping" w:clear="all"/>
              <w:t xml:space="preserve">2) 支持对于整改批注消息进行处理，选择是否接受，支持填写不接受理由；</w:t>
              <w:br w:type="textWrapping" w:clear="all"/>
              <w:t xml:space="preserve">3) 消息列表支持直接打开清单详情页，支持对清单进行编辑与审核操作；</w:t>
              <w:br w:type="textWrapping" w:clear="all"/>
              <w:t xml:space="preserve">4) 支持在收到批注、批注回复消息时在系统内主动弹窗提示。</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restart"/>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清单质量分析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问题分布情况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支持以月、季、年为统计区间，按院内结算时间或出院时间、科室、医疗组等维度分析问题清单。</w:t>
              <w:br w:type="textWrapping" w:clear="all"/>
              <w:t xml:space="preserve">1) 支持按重要性、质控内容、影响范围维度查看问题清单分布概况，包括强制性问题、提示性问题、编码问题、非编码问题、影响入组问题、可能影响入组问题、不影响入组问题清单的数量和占比；</w:t>
              <w:br w:type="textWrapping" w:clear="all"/>
              <w:t xml:space="preserve">2) 支持按问题清单类型，查看各科室的分布情况及占比，支持查看科室下对应的清单问题类型分布及占比情况，可下钻查看对应的清单详情；</w:t>
              <w:br w:type="textWrapping" w:clear="all"/>
              <w:t xml:space="preserve">3) 支持按主治医师、编码员分析问题清单的数量，可下钻查看对应的清单详情，支持下载导出列表。</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问题清单趋势</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支持多维度筛选条件，通过图表展示问题清单数量、占比的变化趋势。</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restart"/>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清单成就分析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清单调整情况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支持以月、季、年为统计区间，按院内结算时间或出院时间、科室、医疗组等维度分析清单调整情况。</w:t>
              <w:br w:type="textWrapping" w:clear="all"/>
              <w:t xml:space="preserve">1) 支持多维度筛选结算清单，可视化展示已调整清单和未调整清单的具体数量及占比；</w:t>
              <w:br w:type="textWrapping" w:clear="all"/>
              <w:t xml:space="preserve">2) 支持对已调整清单进行分类筛选，包括调整前后分组不一致、主要诊断不一致、其它诊断不一致、主要手术不一致、其它手术不一致；</w:t>
              <w:br w:type="textWrapping" w:clear="all"/>
              <w:t xml:space="preserve">3) 支持查看调整清单分类的具体数量及占比，支持查看每一分类下具体科室和病例情况，支持查看具体科室清单调整前后权重差、结余差、修正问题数，支持查看清单调整前后具体对比，支持下载导出列表。</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清单调整前后对比分析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支持多维度筛选条件，通过图表展示清单调整前后结余分析、质控问题分析，支持查看总权重、结余差、修正问题数。</w:t>
            </w:r>
            <w:r>
              <w:rPr>
                <w:rFonts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restart"/>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系统设置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医保结算清单质控规则</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1) 系统提供专家知识库规则、DRG专项规则，费用专项规则，通过实时质控保证清单的完整性、逻辑性和准确性；</w:t>
              <w:br w:type="textWrapping" w:clear="all"/>
              <w:t xml:space="preserve">2) 支持个性化开启/关闭质控规则，支持批量启用/停用；</w:t>
              <w:br w:type="textWrapping" w:clear="all"/>
              <w:t xml:space="preserve">3) 支持个性化配置质控规则的强制性/提示性属性，强制性规则校验不通过时，不允许提交结算清单。</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2" w:type="pct"/>
            <w:vAlign w:val="center"/>
            <w:vMerge w:val="continue"/>
            <w:textDirection w:val="lrTb"/>
            <w:noWrap w:val="false"/>
          </w:tcPr>
          <w:p>
            <w:pPr>
              <w:pStyle w:val="857"/>
              <w:jc w:val="left"/>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▲清单流程设置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支持根据医院实际情况，自定</w:t>
            </w:r>
            <w:r>
              <w:rPr>
                <w:rFonts w:hint="eastAsia" w:ascii="宋体" w:hAnsi="宋体" w:cs="宋体"/>
                <w:sz w:val="24"/>
              </w:rPr>
              <w:t xml:space="preserve">义配置结算清单管理流程；</w:t>
              <w:br/>
              <w:t xml:space="preserve">1) 支持个性化配置结算清单管理全流程，例如：生成-初审-上报、生成-初审-复审-上报、生成-初审-复审-终审-上报；</w:t>
              <w:br/>
              <w:t xml:space="preserve">2) 支持在结算清单管理流程节点中配置对应角色和用户；</w:t>
              <w:br/>
              <w:t xml:space="preserve">3) 流程节点支持多种审核类型，包括全量人工审核、人工+条件自动审核、无条件自动审核；</w:t>
              <w:br/>
              <w:t xml:space="preserve">4) 支持按照患者结算时间、出院时间、上报日期设置审核时限；支持对审核超时的清单配置进入下一流程或保持当前流程；</w:t>
              <w:br/>
              <w:t xml:space="preserve">5) 支持按病例类型、质控问题、异常入院的维度配置自动审核条件；满足校验条件通过的清单可自动进入下一个流程。</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pStyle w:val="857"/>
              <w:jc w:val="center"/>
              <w:spacing w:line="360" w:lineRule="exact"/>
              <w:rPr>
                <w:rFonts w:ascii="宋体" w:hAnsi="宋体" w:cs="宋体"/>
                <w:sz w:val="24"/>
              </w:rPr>
            </w:pPr>
            <w:r>
              <w:rPr>
                <w:rFonts w:ascii="宋体" w:hAnsi="宋体" w:cs="宋体"/>
                <w:sz w:val="24"/>
              </w:rPr>
              <w:t xml:space="preserve">结算清单开放</w:t>
            </w:r>
            <w:r>
              <w:rPr>
                <w:rFonts w:hint="eastAsia" w:ascii="宋体" w:hAnsi="宋体" w:cs="宋体"/>
                <w:sz w:val="24"/>
              </w:rPr>
              <w:t xml:space="preserve">标准</w:t>
            </w:r>
            <w:r>
              <w:rPr>
                <w:rFonts w:ascii="宋体" w:hAnsi="宋体" w:cs="宋体"/>
                <w:sz w:val="24"/>
              </w:rPr>
              <w:t xml:space="preserve">接口</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以标准视图方式提供质控完成的清单数据，支持</w:t>
            </w:r>
            <w:r>
              <w:rPr>
                <w:rFonts w:ascii="宋体" w:hAnsi="宋体" w:cs="宋体"/>
                <w:sz w:val="24"/>
              </w:rPr>
              <w:t xml:space="preserve">HIS及第三方调用获取并上传医保局。</w:t>
            </w:r>
            <w:r/>
          </w:p>
        </w:tc>
      </w:tr>
      <w:tr>
        <w:trPr>
          <w:cantSplit/>
        </w:trPr>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pStyle w:val="857"/>
              <w:jc w:val="center"/>
              <w:spacing w:line="360" w:lineRule="exact"/>
              <w:rPr>
                <w:rFonts w:ascii="宋体" w:hAnsi="宋体" w:cs="宋体"/>
                <w:sz w:val="24"/>
              </w:rPr>
            </w:pP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pStyle w:val="857"/>
              <w:jc w:val="center"/>
              <w:spacing w:line="360" w:lineRule="exact"/>
              <w:rPr>
                <w:rFonts w:ascii="宋体" w:hAnsi="宋体" w:cs="宋体"/>
                <w:sz w:val="24"/>
              </w:rPr>
            </w:pPr>
            <w:r>
              <w:rPr>
                <w:rFonts w:hint="eastAsia" w:ascii="宋体" w:hAnsi="宋体" w:cs="宋体"/>
                <w:sz w:val="24"/>
              </w:rPr>
              <w:t xml:space="preserve">患者分组信息开放标准接口</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pStyle w:val="857"/>
              <w:jc w:val="left"/>
              <w:spacing w:line="360" w:lineRule="exact"/>
              <w:rPr>
                <w:rFonts w:ascii="宋体" w:hAnsi="宋体" w:cs="宋体"/>
                <w:sz w:val="24"/>
              </w:rPr>
            </w:pPr>
            <w:r>
              <w:rPr>
                <w:rFonts w:hint="eastAsia" w:ascii="宋体" w:hAnsi="宋体" w:cs="宋体"/>
                <w:sz w:val="24"/>
              </w:rPr>
              <w:t xml:space="preserve">以标准视图或服务的方式将患者模拟分组信息返回HIS，包括DRG分组名称、DRG分组编码、权重、费率、支付标准、病例类型、目标值等；满足互联互通四甲、电子病历五级评审中数据共享相关要求。</w:t>
            </w:r>
            <w:r>
              <w:rPr>
                <w:rFonts w:ascii="宋体" w:hAnsi="宋体" w:cs="宋体"/>
                <w:sz w:val="24"/>
              </w:rPr>
            </w:r>
            <w:r/>
          </w:p>
        </w:tc>
      </w:tr>
    </w:tbl>
    <w:p>
      <w:pPr>
        <w:pStyle w:val="857"/>
        <w:ind w:firstLine="482"/>
        <w:jc w:val="left"/>
        <w:spacing w:line="360" w:lineRule="exact"/>
        <w:rPr>
          <w:rFonts w:ascii="宋体" w:hAnsi="宋体" w:cs="宋体"/>
          <w:b/>
          <w:sz w:val="24"/>
        </w:rPr>
      </w:pPr>
      <w:r>
        <w:rPr>
          <w:rFonts w:hint="eastAsia" w:ascii="宋体" w:hAnsi="宋体" w:cs="宋体"/>
          <w:b/>
          <w:sz w:val="24"/>
        </w:rPr>
        <w:t xml:space="preserve">4.结算管理系统</w:t>
      </w:r>
      <w:r>
        <w:rPr>
          <w:rFonts w:ascii="宋体" w:hAnsi="宋体" w:cs="宋体"/>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328"/>
        <w:gridCol w:w="6782"/>
      </w:tblGrid>
      <w:tr>
        <w:trPr>
          <w:trHeight w:val="170"/>
        </w:trPr>
        <w:tc>
          <w:tcPr>
            <w:gridSpan w:val="2"/>
            <w:tcW w:w="1349" w:type="pct"/>
            <w:vAlign w:val="center"/>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功能点</w:t>
            </w:r>
            <w:r>
              <w:rPr>
                <w:rFonts w:ascii="宋体" w:hAnsi="宋体" w:cs="宋体"/>
                <w:color w:val="000000"/>
                <w:sz w:val="24"/>
              </w:rPr>
            </w:r>
            <w:r/>
          </w:p>
        </w:tc>
        <w:tc>
          <w:tcPr>
            <w:tcW w:w="3651"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详细参数</w:t>
            </w:r>
            <w:r>
              <w:rPr>
                <w:rFonts w:ascii="宋体" w:hAnsi="宋体" w:cs="宋体"/>
                <w:color w:val="000000"/>
                <w:sz w:val="24"/>
              </w:rPr>
            </w:r>
            <w:r/>
          </w:p>
        </w:tc>
      </w:tr>
      <w:tr>
        <w:trPr>
          <w:trHeight w:val="170"/>
        </w:trPr>
        <w:tc>
          <w:tcPr>
            <w:gridSpan w:val="2"/>
            <w:tcW w:w="1349" w:type="pct"/>
            <w:vAlign w:val="center"/>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结算导入管理</w:t>
            </w:r>
            <w:r>
              <w:rPr>
                <w:rFonts w:ascii="宋体" w:hAnsi="宋体" w:cs="宋体"/>
                <w:color w:val="000000"/>
                <w:sz w:val="24"/>
              </w:rPr>
            </w:r>
            <w:r/>
          </w:p>
        </w:tc>
        <w:tc>
          <w:tcPr>
            <w:tcW w:w="3651"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1) 支持导入医保局下发的月度/年度结算单，支持导入后异常数据的手动处理，导入后系统以导入数据为准进行分析；</w:t>
              <w:br w:type="textWrapping" w:clear="all"/>
              <w:t xml:space="preserve">2) 支持根据不同类型灵活设置费率。</w:t>
            </w:r>
            <w:r>
              <w:rPr>
                <w:rFonts w:ascii="宋体" w:hAnsi="宋体" w:cs="宋体"/>
                <w:color w:val="000000"/>
                <w:sz w:val="24"/>
              </w:rPr>
            </w:r>
            <w:r/>
          </w:p>
        </w:tc>
      </w:tr>
      <w:tr>
        <w:trPr>
          <w:cantSplit/>
          <w:trHeight w:val="170"/>
        </w:trPr>
        <w:tc>
          <w:tcPr>
            <w:tcW w:w="634" w:type="pct"/>
            <w:vAlign w:val="center"/>
            <w:vMerge w:val="restart"/>
            <w:textDirection w:val="lrTb"/>
            <w:noWrap w:val="false"/>
          </w:tcPr>
          <w:p>
            <w:pPr>
              <w:pStyle w:val="857"/>
              <w:jc w:val="center"/>
              <w:spacing w:line="360" w:lineRule="exact"/>
              <w:rPr>
                <w:rFonts w:ascii="宋体" w:hAnsi="宋体" w:cs="宋体"/>
                <w:color w:val="000000"/>
                <w:sz w:val="24"/>
              </w:rPr>
            </w:pPr>
            <w:r>
              <w:rPr>
                <w:rFonts w:hint="eastAsia" w:ascii="宋体" w:hAnsi="宋体" w:cs="宋体"/>
                <w:color w:val="000000"/>
                <w:sz w:val="24"/>
              </w:rPr>
              <w:t xml:space="preserve">DRG结算核对</w:t>
            </w:r>
            <w:r>
              <w:rPr>
                <w:rFonts w:ascii="宋体" w:hAnsi="宋体" w:cs="宋体"/>
                <w:color w:val="000000"/>
                <w:sz w:val="24"/>
              </w:rPr>
            </w:r>
            <w:r/>
          </w:p>
        </w:tc>
        <w:tc>
          <w:tcPr>
            <w:tcW w:w="715"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重点病例分组核对</w:t>
            </w:r>
            <w:r>
              <w:rPr>
                <w:rFonts w:ascii="宋体" w:hAnsi="宋体" w:cs="宋体"/>
                <w:color w:val="000000"/>
                <w:sz w:val="24"/>
              </w:rPr>
            </w:r>
            <w:r/>
          </w:p>
        </w:tc>
        <w:tc>
          <w:tcPr>
            <w:tcW w:w="3651"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1) 支持按分组不一致、含特殊药品耗材、是否已查阅、院内已申诉、病例类型、特殊结算病例等条件筛选，可快速定位重点病例；</w:t>
              <w:br w:type="textWrapping" w:clear="all"/>
              <w:t xml:space="preserve">2) 支持查看病例DRG预分组与医保结算分组对比，支持查看诊断/手术、费用明细、病历文书等数据，用于核对分组，判断是否需要申诉；</w:t>
              <w:br w:type="textWrapping" w:clear="all"/>
              <w:t xml:space="preserve">3) 支持大数据模拟分组，通过调整主诊断、次诊断、主手术、次手术进行模拟分组；</w:t>
              <w:br w:type="textWrapping" w:clear="all"/>
              <w:t xml:space="preserve">4) 支持按科室统计超支结余，表格字段用户自定义显示与排列，包含表头字段是否显示以及固定列设置，支持列表数据下载；</w:t>
              <w:br w:type="textWrapping" w:clear="all"/>
              <w:t xml:space="preserve">5) 提供医保分组与预测分组一致率的统计。</w:t>
            </w:r>
            <w:r>
              <w:rPr>
                <w:rFonts w:ascii="宋体" w:hAnsi="宋体" w:cs="宋体"/>
                <w:color w:val="000000"/>
                <w:sz w:val="24"/>
              </w:rPr>
            </w:r>
            <w:r/>
          </w:p>
        </w:tc>
      </w:tr>
      <w:tr>
        <w:trPr>
          <w:cantSplit/>
          <w:trHeight w:val="170"/>
        </w:trPr>
        <w:tc>
          <w:tcPr>
            <w:tcW w:w="634" w:type="pct"/>
            <w:vAlign w:val="center"/>
            <w:vMerge w:val="continue"/>
            <w:textDirection w:val="lrTb"/>
            <w:noWrap w:val="false"/>
          </w:tcPr>
          <w:p>
            <w:pPr>
              <w:pStyle w:val="857"/>
              <w:jc w:val="left"/>
              <w:spacing w:line="360" w:lineRule="exact"/>
              <w:rPr>
                <w:rFonts w:ascii="宋体" w:hAnsi="宋体" w:cs="宋体"/>
                <w:color w:val="000000"/>
                <w:sz w:val="24"/>
              </w:rPr>
            </w:pPr>
            <w:r>
              <w:rPr>
                <w:rFonts w:ascii="宋体" w:hAnsi="宋体" w:cs="宋体"/>
                <w:color w:val="000000"/>
                <w:sz w:val="24"/>
              </w:rPr>
            </w:r>
            <w:r/>
          </w:p>
        </w:tc>
        <w:tc>
          <w:tcPr>
            <w:tcW w:w="715"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病例申诉</w:t>
            </w:r>
            <w:r>
              <w:rPr>
                <w:rFonts w:ascii="宋体" w:hAnsi="宋体" w:cs="宋体"/>
                <w:color w:val="000000"/>
                <w:sz w:val="24"/>
              </w:rPr>
            </w:r>
            <w:r/>
          </w:p>
        </w:tc>
        <w:tc>
          <w:tcPr>
            <w:tcW w:w="3651" w:type="pct"/>
            <w:vAlign w:val="center"/>
            <w:textDirection w:val="lrTb"/>
            <w:noWrap w:val="false"/>
          </w:tcPr>
          <w:p>
            <w:pPr>
              <w:pStyle w:val="857"/>
              <w:jc w:val="left"/>
              <w:spacing w:line="360" w:lineRule="exact"/>
              <w:rPr>
                <w:rFonts w:ascii="宋体" w:hAnsi="宋体" w:cs="宋体"/>
                <w:color w:val="000000"/>
                <w:sz w:val="24"/>
              </w:rPr>
            </w:pPr>
            <w:r>
              <w:rPr>
                <w:rFonts w:hint="eastAsia" w:ascii="宋体" w:hAnsi="宋体" w:cs="宋体"/>
                <w:color w:val="000000"/>
                <w:sz w:val="24"/>
              </w:rPr>
              <w:t xml:space="preserve">1) ▲支持病例申诉流程，支持医生填写申诉资料及上传图片，支持医保办对申诉进行修改、确认操作；</w:t>
              <w:br w:type="textWrapping" w:clear="all"/>
              <w:t xml:space="preserve">2) 支持查看与下载病例申诉汇总；</w:t>
              <w:br w:type="textWrapping" w:clear="all"/>
              <w:t xml:space="preserve">3) ▲申诉反馈：支持查看申诉前后分组数据对比。</w:t>
            </w:r>
            <w:r>
              <w:rPr>
                <w:rFonts w:ascii="宋体" w:hAnsi="宋体" w:cs="宋体"/>
                <w:color w:val="000000"/>
                <w:sz w:val="24"/>
              </w:rPr>
            </w:r>
            <w:r/>
          </w:p>
        </w:tc>
      </w:tr>
    </w:tbl>
    <w:p>
      <w:pPr>
        <w:pStyle w:val="857"/>
        <w:ind w:firstLine="482"/>
        <w:jc w:val="left"/>
        <w:spacing w:line="360" w:lineRule="exact"/>
        <w:rPr>
          <w:rFonts w:ascii="宋体" w:hAnsi="宋体" w:cs="宋体"/>
          <w:b/>
          <w:sz w:val="24"/>
        </w:rPr>
      </w:pPr>
      <w:r>
        <w:rPr>
          <w:rFonts w:hint="eastAsia" w:ascii="宋体" w:hAnsi="宋体" w:cs="宋体"/>
          <w:b/>
          <w:sz w:val="24"/>
        </w:rPr>
        <w:t xml:space="preserve">5.清单上传服务</w:t>
      </w:r>
      <w:r>
        <w:rPr>
          <w:rFonts w:ascii="宋体" w:hAnsi="宋体" w:cs="宋体"/>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8034"/>
      </w:tblGrid>
      <w:tr>
        <w:trPr>
          <w:tblHeader/>
        </w:trPr>
        <w:tc>
          <w:tcPr>
            <w:tcW w:w="675" w:type="pct"/>
            <w:vAlign w:val="center"/>
            <w:textDirection w:val="lrTb"/>
            <w:noWrap w:val="false"/>
          </w:tcPr>
          <w:p>
            <w:pPr>
              <w:pStyle w:val="857"/>
              <w:jc w:val="center"/>
              <w:widowControl/>
              <w:rPr>
                <w:rFonts w:ascii="宋体" w:hAnsi="宋体" w:cs="宋体"/>
                <w:b/>
                <w:bCs/>
                <w:sz w:val="24"/>
              </w:rPr>
            </w:pPr>
            <w:r>
              <w:rPr>
                <w:rFonts w:hint="eastAsia" w:ascii="宋体" w:hAnsi="宋体" w:cs="宋体"/>
                <w:b/>
                <w:bCs/>
                <w:sz w:val="24"/>
              </w:rPr>
              <w:t xml:space="preserve">模块</w:t>
            </w:r>
            <w:r>
              <w:rPr>
                <w:rFonts w:ascii="宋体" w:hAnsi="宋体" w:cs="宋体"/>
                <w:b/>
                <w:bCs/>
                <w:sz w:val="24"/>
              </w:rPr>
            </w:r>
            <w:r/>
          </w:p>
        </w:tc>
        <w:tc>
          <w:tcPr>
            <w:tcW w:w="4325" w:type="pct"/>
            <w:vAlign w:val="center"/>
            <w:textDirection w:val="lrTb"/>
            <w:noWrap w:val="false"/>
          </w:tcPr>
          <w:p>
            <w:pPr>
              <w:pStyle w:val="857"/>
              <w:jc w:val="center"/>
              <w:widowControl/>
              <w:rPr>
                <w:rFonts w:ascii="宋体" w:hAnsi="宋体" w:cs="宋体"/>
                <w:b/>
                <w:bCs/>
                <w:sz w:val="24"/>
              </w:rPr>
            </w:pPr>
            <w:r>
              <w:rPr>
                <w:rFonts w:hint="eastAsia" w:ascii="宋体" w:hAnsi="宋体" w:cs="宋体"/>
                <w:b/>
                <w:bCs/>
                <w:sz w:val="24"/>
              </w:rPr>
              <w:t xml:space="preserve">详细参数</w:t>
            </w:r>
            <w:r>
              <w:rPr>
                <w:rFonts w:ascii="宋体" w:hAnsi="宋体" w:cs="宋体"/>
                <w:b/>
                <w:bCs/>
                <w:sz w:val="24"/>
              </w:rPr>
            </w:r>
            <w:r/>
          </w:p>
        </w:tc>
      </w:tr>
      <w:tr>
        <w:trPr/>
        <w:tc>
          <w:tcPr>
            <w:tcW w:w="675" w:type="pct"/>
            <w:vAlign w:val="center"/>
            <w:textDirection w:val="lrTb"/>
            <w:noWrap w:val="false"/>
          </w:tcPr>
          <w:p>
            <w:pPr>
              <w:pStyle w:val="857"/>
              <w:jc w:val="center"/>
              <w:widowControl/>
              <w:rPr>
                <w:rFonts w:ascii="宋体" w:hAnsi="宋体" w:cs="宋体"/>
                <w:sz w:val="24"/>
              </w:rPr>
            </w:pPr>
            <w:r>
              <w:rPr>
                <w:rFonts w:ascii="宋体" w:hAnsi="宋体" w:cs="宋体"/>
                <w:sz w:val="24"/>
              </w:rPr>
              <w:t xml:space="preserve">医保上报管理</w:t>
            </w:r>
            <w:r/>
          </w:p>
        </w:tc>
        <w:tc>
          <w:tcPr>
            <w:tcW w:w="4325" w:type="pct"/>
            <w:vAlign w:val="center"/>
            <w:textDirection w:val="lrTb"/>
            <w:noWrap w:val="false"/>
          </w:tcPr>
          <w:p>
            <w:pPr>
              <w:pStyle w:val="857"/>
              <w:jc w:val="left"/>
              <w:widowControl/>
              <w:rPr>
                <w:rFonts w:ascii="宋体" w:hAnsi="宋体" w:cs="宋体"/>
                <w:sz w:val="24"/>
              </w:rPr>
            </w:pPr>
            <w:r>
              <w:rPr>
                <w:rFonts w:ascii="宋体" w:hAnsi="宋体" w:cs="宋体"/>
                <w:sz w:val="24"/>
              </w:rPr>
              <w:t xml:space="preserve">1)</w:t>
              <w:tab/>
              <w:t xml:space="preserve">提供清单上传可视化界面，方便医院对清单上报进行管理；</w:t>
            </w:r>
            <w:r/>
          </w:p>
          <w:p>
            <w:pPr>
              <w:pStyle w:val="857"/>
              <w:jc w:val="left"/>
              <w:widowControl/>
              <w:rPr>
                <w:rFonts w:ascii="宋体" w:hAnsi="宋体" w:cs="宋体"/>
                <w:sz w:val="24"/>
              </w:rPr>
            </w:pPr>
            <w:r>
              <w:rPr>
                <w:rFonts w:ascii="宋体" w:hAnsi="宋体" w:cs="宋体"/>
                <w:sz w:val="24"/>
              </w:rPr>
              <w:t xml:space="preserve">2)</w:t>
              <w:tab/>
              <w:t xml:space="preserve">支持按姓名、住院号、病案号、医生、主诊断、主手术等搜索清单；</w:t>
            </w:r>
            <w:r/>
          </w:p>
          <w:p>
            <w:pPr>
              <w:pStyle w:val="857"/>
              <w:jc w:val="left"/>
              <w:widowControl/>
              <w:rPr>
                <w:rFonts w:ascii="宋体" w:hAnsi="宋体" w:cs="宋体"/>
                <w:sz w:val="24"/>
              </w:rPr>
            </w:pPr>
            <w:r>
              <w:rPr>
                <w:rFonts w:ascii="宋体" w:hAnsi="宋体" w:cs="宋体"/>
                <w:sz w:val="24"/>
              </w:rPr>
              <w:t xml:space="preserve">3)</w:t>
              <w:tab/>
              <w:t xml:space="preserve">支持手动上报和定时自动上报，支持批量一键上报，对自动上传失败的结算清单进行手动上报；</w:t>
            </w:r>
            <w:r/>
          </w:p>
          <w:p>
            <w:pPr>
              <w:pStyle w:val="857"/>
              <w:jc w:val="left"/>
              <w:widowControl/>
              <w:rPr>
                <w:rFonts w:ascii="宋体" w:hAnsi="宋体" w:cs="宋体"/>
                <w:sz w:val="24"/>
              </w:rPr>
            </w:pPr>
            <w:r>
              <w:rPr>
                <w:rFonts w:ascii="宋体" w:hAnsi="宋体" w:cs="宋体"/>
                <w:sz w:val="24"/>
              </w:rPr>
              <w:t xml:space="preserve">4)</w:t>
              <w:tab/>
              <w:t xml:space="preserve">支持对未上传清单进行批量退回操作，可选择退回至指定审核流程；</w:t>
            </w:r>
            <w:r/>
          </w:p>
          <w:p>
            <w:pPr>
              <w:pStyle w:val="857"/>
              <w:jc w:val="left"/>
              <w:widowControl/>
              <w:rPr>
                <w:rFonts w:ascii="宋体" w:hAnsi="宋体" w:cs="宋体"/>
                <w:sz w:val="24"/>
              </w:rPr>
            </w:pPr>
            <w:r>
              <w:rPr>
                <w:rFonts w:ascii="宋体" w:hAnsi="宋体" w:cs="宋体"/>
                <w:sz w:val="24"/>
              </w:rPr>
              <w:t xml:space="preserve">5)</w:t>
              <w:tab/>
              <w:t xml:space="preserve">支持对已上报的清单，撤销提交后重新进行上报；</w:t>
            </w:r>
            <w:r/>
          </w:p>
          <w:p>
            <w:pPr>
              <w:pStyle w:val="857"/>
              <w:jc w:val="left"/>
              <w:widowControl/>
              <w:rPr>
                <w:rFonts w:ascii="宋体" w:hAnsi="宋体" w:cs="宋体"/>
                <w:sz w:val="24"/>
              </w:rPr>
            </w:pPr>
            <w:r>
              <w:rPr>
                <w:rFonts w:ascii="宋体" w:hAnsi="宋体" w:cs="宋体"/>
                <w:sz w:val="24"/>
              </w:rPr>
              <w:t xml:space="preserve">6)</w:t>
              <w:tab/>
              <w:t xml:space="preserve">支持查看清单上报日志，包括上报时间、上报结果、接口返回信息；</w:t>
            </w:r>
            <w:r/>
          </w:p>
          <w:p>
            <w:pPr>
              <w:pStyle w:val="857"/>
              <w:jc w:val="left"/>
              <w:widowControl/>
              <w:rPr>
                <w:rFonts w:ascii="宋体" w:hAnsi="宋体" w:cs="宋体"/>
                <w:sz w:val="24"/>
              </w:rPr>
            </w:pPr>
            <w:r>
              <w:rPr>
                <w:rFonts w:ascii="宋体" w:hAnsi="宋体" w:cs="宋体"/>
                <w:sz w:val="24"/>
              </w:rPr>
              <w:t xml:space="preserve">7)</w:t>
              <w:tab/>
              <w:t xml:space="preserve">支持筛选查看自定义时间范围内上报的结算清单和对应诊断的统计情况；</w:t>
            </w:r>
            <w:r/>
          </w:p>
          <w:p>
            <w:pPr>
              <w:pStyle w:val="857"/>
              <w:jc w:val="left"/>
              <w:widowControl/>
              <w:rPr>
                <w:rFonts w:ascii="宋体" w:hAnsi="宋体" w:cs="宋体"/>
                <w:sz w:val="24"/>
              </w:rPr>
            </w:pPr>
            <w:r>
              <w:rPr>
                <w:rFonts w:ascii="宋体" w:hAnsi="宋体" w:cs="宋体"/>
                <w:sz w:val="24"/>
              </w:rPr>
              <w:t xml:space="preserve">8)</w:t>
              <w:tab/>
              <w:t xml:space="preserve">支持预览结算清单，支持下载导出pdf版结算清单，可选择默认模板和紧凑模板。</w:t>
            </w:r>
            <w:r/>
          </w:p>
        </w:tc>
      </w:tr>
      <w:tr>
        <w:trPr/>
        <w:tc>
          <w:tcPr>
            <w:tcW w:w="675" w:type="pct"/>
            <w:vAlign w:val="center"/>
            <w:textDirection w:val="lrTb"/>
            <w:noWrap w:val="false"/>
          </w:tcPr>
          <w:p>
            <w:pPr>
              <w:pStyle w:val="857"/>
              <w:jc w:val="center"/>
              <w:widowControl/>
              <w:rPr>
                <w:rFonts w:ascii="宋体" w:hAnsi="宋体" w:cs="宋体"/>
                <w:sz w:val="24"/>
              </w:rPr>
            </w:pPr>
            <w:r>
              <w:rPr>
                <w:rFonts w:ascii="宋体" w:hAnsi="宋体" w:cs="宋体"/>
                <w:sz w:val="24"/>
              </w:rPr>
              <w:t xml:space="preserve">医保结算清单上报接口</w:t>
            </w:r>
            <w:r/>
          </w:p>
        </w:tc>
        <w:tc>
          <w:tcPr>
            <w:tcW w:w="4325" w:type="pct"/>
            <w:vAlign w:val="center"/>
            <w:textDirection w:val="lrTb"/>
            <w:noWrap w:val="false"/>
          </w:tcPr>
          <w:p>
            <w:pPr>
              <w:pStyle w:val="857"/>
              <w:jc w:val="left"/>
              <w:widowControl/>
              <w:rPr>
                <w:rFonts w:ascii="宋体" w:hAnsi="宋体" w:cs="宋体"/>
                <w:sz w:val="24"/>
              </w:rPr>
            </w:pPr>
            <w:r>
              <w:rPr>
                <w:rFonts w:ascii="宋体" w:hAnsi="宋体" w:cs="宋体"/>
                <w:sz w:val="24"/>
              </w:rPr>
              <w:t xml:space="preserve">1)</w:t>
              <w:tab/>
              <w:t xml:space="preserve">支持适配医保局端加密对接方式，适配签到接口，完成上报前的身份验证；</w:t>
            </w:r>
            <w:r/>
          </w:p>
          <w:p>
            <w:pPr>
              <w:pStyle w:val="857"/>
              <w:jc w:val="left"/>
              <w:widowControl/>
              <w:rPr>
                <w:rFonts w:ascii="宋体" w:hAnsi="宋体" w:cs="宋体"/>
                <w:sz w:val="24"/>
              </w:rPr>
            </w:pPr>
            <w:r>
              <w:rPr>
                <w:rFonts w:ascii="宋体" w:hAnsi="宋体" w:cs="宋体"/>
                <w:sz w:val="24"/>
              </w:rPr>
              <w:t xml:space="preserve">2)</w:t>
              <w:tab/>
              <w:t xml:space="preserve">支持对接医保局端医疗保障基金结算清单信息上传接口，支持将所有完成审核的清单上传至医保局；</w:t>
            </w:r>
            <w:r/>
          </w:p>
          <w:p>
            <w:pPr>
              <w:pStyle w:val="857"/>
              <w:jc w:val="left"/>
              <w:widowControl/>
              <w:rPr>
                <w:rFonts w:ascii="宋体" w:hAnsi="宋体" w:cs="宋体"/>
                <w:sz w:val="24"/>
              </w:rPr>
            </w:pPr>
            <w:r>
              <w:rPr>
                <w:rFonts w:ascii="宋体" w:hAnsi="宋体" w:cs="宋体"/>
                <w:sz w:val="24"/>
              </w:rPr>
              <w:t xml:space="preserve">3)</w:t>
              <w:tab/>
              <w:t xml:space="preserve">支持对接医保局端医疗保障基金结算清单信息状态修改接口，修改结算清单提交状态；</w:t>
            </w:r>
            <w:r/>
          </w:p>
          <w:p>
            <w:pPr>
              <w:pStyle w:val="857"/>
              <w:jc w:val="left"/>
              <w:widowControl/>
              <w:rPr>
                <w:rFonts w:ascii="宋体" w:hAnsi="宋体" w:cs="宋体"/>
                <w:sz w:val="24"/>
              </w:rPr>
            </w:pPr>
            <w:r>
              <w:rPr>
                <w:rFonts w:ascii="宋体" w:hAnsi="宋体" w:cs="宋体"/>
                <w:sz w:val="24"/>
              </w:rPr>
              <w:t xml:space="preserve">4)</w:t>
              <w:tab/>
              <w:t xml:space="preserve">支持对接医保局端医疗保障基金结算清单信息查询接口，获取医保局端返回的上报结果；</w:t>
            </w:r>
            <w:r/>
          </w:p>
          <w:p>
            <w:pPr>
              <w:pStyle w:val="857"/>
              <w:jc w:val="left"/>
              <w:widowControl/>
              <w:rPr>
                <w:rFonts w:ascii="宋体" w:hAnsi="宋体" w:cs="宋体"/>
                <w:sz w:val="24"/>
              </w:rPr>
            </w:pPr>
            <w:r>
              <w:rPr>
                <w:rFonts w:ascii="宋体" w:hAnsi="宋体" w:cs="宋体"/>
                <w:sz w:val="24"/>
              </w:rPr>
              <w:t xml:space="preserve">5)</w:t>
              <w:tab/>
              <w:t xml:space="preserve">支持对不同院区配置不同的上报参数，使用不同的定点医疗机构编码、定点医疗机构名称、就医地医保区划，完成不同院区数据的上报。</w:t>
            </w:r>
            <w:r/>
          </w:p>
        </w:tc>
      </w:tr>
      <w:tr>
        <w:trPr/>
        <w:tc>
          <w:tcPr>
            <w:tcW w:w="675" w:type="pct"/>
            <w:vAlign w:val="center"/>
            <w:textDirection w:val="lrTb"/>
            <w:noWrap w:val="false"/>
          </w:tcPr>
          <w:p>
            <w:pPr>
              <w:pStyle w:val="857"/>
              <w:jc w:val="center"/>
              <w:widowControl/>
              <w:rPr>
                <w:rFonts w:ascii="宋体" w:hAnsi="宋体" w:cs="宋体"/>
                <w:sz w:val="24"/>
              </w:rPr>
            </w:pPr>
            <w:r>
              <w:rPr>
                <w:rFonts w:ascii="宋体" w:hAnsi="宋体" w:cs="宋体"/>
                <w:sz w:val="24"/>
              </w:rPr>
              <w:t xml:space="preserve">医保结算清单上报服务</w:t>
            </w:r>
            <w:r/>
          </w:p>
        </w:tc>
        <w:tc>
          <w:tcPr>
            <w:tcW w:w="4325" w:type="pct"/>
            <w:vAlign w:val="center"/>
            <w:textDirection w:val="lrTb"/>
            <w:noWrap w:val="false"/>
          </w:tcPr>
          <w:p>
            <w:pPr>
              <w:pStyle w:val="857"/>
              <w:jc w:val="left"/>
              <w:widowControl/>
              <w:rPr>
                <w:rFonts w:ascii="宋体" w:hAnsi="宋体" w:cs="宋体"/>
                <w:sz w:val="24"/>
              </w:rPr>
            </w:pPr>
            <w:r>
              <w:rPr>
                <w:rFonts w:ascii="宋体" w:hAnsi="宋体" w:cs="宋体"/>
                <w:sz w:val="24"/>
              </w:rPr>
              <w:t xml:space="preserve">1)</w:t>
              <w:tab/>
              <w:t xml:space="preserve">根据医保局结算清单上传要求，为医院提供在要求的时限内完成结算清单上传至医保局的全流程上传服务；</w:t>
            </w:r>
            <w:r/>
          </w:p>
          <w:p>
            <w:pPr>
              <w:pStyle w:val="857"/>
              <w:jc w:val="left"/>
              <w:widowControl/>
              <w:rPr>
                <w:rFonts w:ascii="宋体" w:hAnsi="宋体" w:cs="宋体"/>
                <w:sz w:val="24"/>
              </w:rPr>
            </w:pPr>
            <w:r>
              <w:rPr>
                <w:rFonts w:ascii="宋体" w:hAnsi="宋体" w:cs="宋体"/>
                <w:sz w:val="24"/>
              </w:rPr>
              <w:t xml:space="preserve">2)</w:t>
              <w:tab/>
              <w:t xml:space="preserve">支持对清单上传过程中发生的问题进行自动化识别，分派任务至指定服务工程师进行及时处理，可视化跟踪问题处理进度和完成情况；</w:t>
            </w:r>
            <w:r/>
          </w:p>
          <w:p>
            <w:pPr>
              <w:pStyle w:val="857"/>
              <w:jc w:val="left"/>
              <w:widowControl/>
              <w:rPr>
                <w:rFonts w:ascii="宋体" w:hAnsi="宋体" w:cs="宋体"/>
                <w:sz w:val="24"/>
              </w:rPr>
            </w:pPr>
            <w:r>
              <w:rPr>
                <w:rFonts w:ascii="宋体" w:hAnsi="宋体" w:cs="宋体"/>
                <w:sz w:val="24"/>
              </w:rPr>
              <w:t xml:space="preserve">3)</w:t>
              <w:tab/>
              <w:t xml:space="preserve">提供因患者或其他非技术原因，需要医院重新生成清单并上传的处理服务，如：自费转医保、医保反交易、跨月冲销等情况；</w:t>
            </w:r>
            <w:r/>
          </w:p>
          <w:p>
            <w:pPr>
              <w:pStyle w:val="857"/>
              <w:jc w:val="left"/>
              <w:widowControl/>
              <w:rPr>
                <w:rFonts w:ascii="宋体" w:hAnsi="宋体" w:cs="宋体"/>
                <w:sz w:val="24"/>
              </w:rPr>
            </w:pPr>
            <w:r>
              <w:rPr>
                <w:rFonts w:ascii="宋体" w:hAnsi="宋体" w:cs="宋体"/>
                <w:sz w:val="24"/>
              </w:rPr>
              <w:t xml:space="preserve">4)</w:t>
              <w:tab/>
              <w:t xml:space="preserve">提供上传失败清单的问题定位、协调处理、重新上传、补传服务，确保每一份有效清单均成功上传至医保局。</w:t>
            </w:r>
            <w:r/>
          </w:p>
        </w:tc>
      </w:tr>
    </w:tbl>
    <w:p>
      <w:pPr>
        <w:pStyle w:val="857"/>
        <w:ind w:firstLine="482"/>
        <w:jc w:val="left"/>
        <w:spacing w:line="360" w:lineRule="exact"/>
        <w:rPr>
          <w:rFonts w:ascii="宋体" w:hAnsi="宋体" w:cs="宋体"/>
          <w:b/>
          <w:sz w:val="24"/>
        </w:rPr>
      </w:pPr>
      <w:r>
        <w:rPr>
          <w:rFonts w:hint="eastAsia" w:ascii="宋体" w:hAnsi="宋体" w:cs="宋体"/>
          <w:b/>
          <w:sz w:val="24"/>
        </w:rPr>
        <w:t xml:space="preserve">五、报价方式</w:t>
      </w:r>
      <w:r>
        <w:rPr>
          <w:rFonts w:ascii="宋体" w:hAnsi="宋体" w:cs="宋体"/>
          <w:b/>
          <w:sz w:val="24"/>
        </w:rPr>
      </w:r>
      <w:r/>
    </w:p>
    <w:p>
      <w:pPr>
        <w:pStyle w:val="857"/>
        <w:ind w:firstLine="480"/>
        <w:spacing w:line="360" w:lineRule="exact"/>
        <w:tabs>
          <w:tab w:val="left" w:pos="284" w:leader="none"/>
        </w:tabs>
        <w:rPr>
          <w:rFonts w:ascii="宋体" w:hAnsi="宋体" w:cs="宋体"/>
          <w:sz w:val="24"/>
        </w:rPr>
      </w:pPr>
      <w:r>
        <w:rPr>
          <w:rFonts w:hint="eastAsia" w:ascii="宋体" w:hAnsi="宋体"/>
          <w:sz w:val="24"/>
        </w:rPr>
        <w:t xml:space="preserve">本项目投标报价为</w:t>
      </w:r>
      <w:r>
        <w:rPr>
          <w:rFonts w:hint="eastAsia" w:ascii="宋体" w:hAnsi="宋体"/>
          <w:b/>
          <w:sz w:val="24"/>
          <w:u w:val="single"/>
        </w:rPr>
        <w:t xml:space="preserve">固定总价</w:t>
      </w:r>
      <w:r>
        <w:rPr>
          <w:rFonts w:hint="eastAsia" w:ascii="宋体" w:hAnsi="宋体"/>
          <w:sz w:val="24"/>
        </w:rPr>
        <w:t xml:space="preserve">，投标报价</w:t>
      </w:r>
      <w:r>
        <w:rPr>
          <w:rFonts w:hint="eastAsia" w:ascii="宋体" w:hAnsi="宋体" w:cs="宋体"/>
          <w:sz w:val="24"/>
        </w:rPr>
        <w:t xml:space="preserve">应包括采购文件所确定的采购范围相应服务的提供、人员（包括工资和补贴）、办公场所及设施、运输费、基础费、安装调试、检测费、培训、保险、劳保、管理、各种税费、利润、税金、政策性文件规定及合同包含的所有风险、责任等各项应有费用，以及为完成该项服务项目所涉及到的一切相关费用，采购人不再支付其他任何费用。</w:t>
      </w:r>
      <w:r>
        <w:rPr>
          <w:rFonts w:ascii="宋体" w:hAnsi="宋体" w:cs="宋体"/>
          <w:sz w:val="24"/>
        </w:rPr>
      </w:r>
      <w:r/>
    </w:p>
    <w:p>
      <w:pPr>
        <w:pStyle w:val="857"/>
        <w:ind w:firstLine="482"/>
        <w:jc w:val="left"/>
        <w:spacing w:line="360" w:lineRule="exact"/>
        <w:rPr>
          <w:rFonts w:ascii="宋体" w:hAnsi="宋体" w:cs="宋体"/>
          <w:b/>
          <w:sz w:val="24"/>
        </w:rPr>
      </w:pPr>
      <w:r>
        <w:rPr>
          <w:rFonts w:hint="eastAsia" w:ascii="宋体" w:hAnsi="宋体" w:cs="宋体"/>
          <w:b/>
          <w:sz w:val="24"/>
        </w:rPr>
        <w:t xml:space="preserve">六、交货及安装要求</w:t>
      </w:r>
      <w:r>
        <w:rPr>
          <w:rFonts w:ascii="宋体" w:hAnsi="宋体" w:cs="宋体"/>
          <w:b/>
          <w:sz w:val="24"/>
        </w:rPr>
      </w:r>
      <w:r/>
    </w:p>
    <w:p>
      <w:pPr>
        <w:pStyle w:val="857"/>
        <w:ind w:firstLine="480"/>
        <w:jc w:val="left"/>
        <w:spacing w:line="360" w:lineRule="exact"/>
        <w:rPr>
          <w:rFonts w:ascii="宋体" w:hAnsi="宋体" w:cs="宋体"/>
          <w:sz w:val="24"/>
        </w:rPr>
      </w:pPr>
      <w:r>
        <w:rPr>
          <w:rFonts w:hint="eastAsia" w:ascii="宋体" w:hAnsi="宋体" w:cs="宋体"/>
          <w:sz w:val="24"/>
        </w:rPr>
        <w:t xml:space="preserve">1.交货日期：自合同签订后60天内完成系统部署并交付(因医院硬件环境准备、第三方系统接口对接、政策文件未下发等造成的工期延迟不计算在内)。如在规定的时间内由于中标人的原因不能交付的，中标人应承担由此给采购人造成的损失。</w:t>
      </w:r>
      <w:r>
        <w:rPr>
          <w:rFonts w:ascii="宋体" w:hAnsi="宋体" w:cs="宋体"/>
          <w:sz w:val="24"/>
        </w:rPr>
      </w:r>
      <w:r/>
    </w:p>
    <w:p>
      <w:pPr>
        <w:pStyle w:val="857"/>
        <w:ind w:firstLine="480"/>
        <w:jc w:val="left"/>
        <w:spacing w:line="360" w:lineRule="exact"/>
        <w:rPr>
          <w:rFonts w:ascii="宋体" w:hAnsi="宋体" w:cs="宋体"/>
          <w:sz w:val="24"/>
        </w:rPr>
      </w:pPr>
      <w:r>
        <w:rPr>
          <w:rFonts w:hint="eastAsia" w:ascii="宋体" w:hAnsi="宋体" w:cs="宋体"/>
          <w:sz w:val="24"/>
        </w:rPr>
        <w:t xml:space="preserve">2.交货地点：采购人</w:t>
      </w:r>
      <w:r>
        <w:rPr>
          <w:rFonts w:ascii="宋体" w:hAnsi="宋体" w:cs="宋体"/>
          <w:sz w:val="24"/>
        </w:rPr>
        <w:t xml:space="preserve">指定地点</w:t>
      </w:r>
      <w:r>
        <w:rPr>
          <w:rFonts w:hint="eastAsia" w:ascii="宋体" w:hAnsi="宋体" w:cs="宋体"/>
          <w:sz w:val="24"/>
        </w:rPr>
        <w:t xml:space="preserve">。</w:t>
      </w:r>
      <w:r>
        <w:rPr>
          <w:rFonts w:ascii="宋体" w:hAnsi="宋体" w:cs="宋体"/>
          <w:sz w:val="24"/>
        </w:rPr>
      </w:r>
      <w:r/>
    </w:p>
    <w:p>
      <w:pPr>
        <w:pStyle w:val="857"/>
        <w:ind w:firstLine="480"/>
        <w:jc w:val="left"/>
        <w:spacing w:line="36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安装标准：符合我国国家有关技术规范要求和技术标准。</w:t>
      </w:r>
      <w:r>
        <w:rPr>
          <w:rFonts w:ascii="宋体" w:hAnsi="宋体" w:cs="宋体"/>
          <w:sz w:val="24"/>
        </w:rPr>
      </w:r>
      <w:r/>
    </w:p>
    <w:p>
      <w:pPr>
        <w:pStyle w:val="857"/>
        <w:ind w:firstLine="480"/>
        <w:jc w:val="left"/>
        <w:spacing w:line="36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投标人应在投标文件中提供其安装调试过程中医院需配合的内容。</w:t>
      </w:r>
      <w:r>
        <w:rPr>
          <w:rFonts w:ascii="宋体" w:hAnsi="宋体" w:cs="宋体"/>
          <w:sz w:val="24"/>
        </w:rPr>
      </w:r>
      <w:r/>
    </w:p>
    <w:p>
      <w:pPr>
        <w:pStyle w:val="857"/>
        <w:ind w:firstLine="480"/>
        <w:jc w:val="left"/>
        <w:spacing w:line="36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在项目实施过程中，向采购人提供齐全的电子版和书面的操作说明等文档。</w:t>
      </w:r>
      <w:r>
        <w:rPr>
          <w:rFonts w:ascii="宋体" w:hAnsi="宋体" w:cs="宋体"/>
          <w:sz w:val="24"/>
        </w:rPr>
      </w:r>
      <w:r/>
    </w:p>
    <w:p>
      <w:pPr>
        <w:pStyle w:val="857"/>
        <w:ind w:firstLine="482"/>
        <w:jc w:val="left"/>
        <w:spacing w:line="360" w:lineRule="exact"/>
        <w:rPr>
          <w:rFonts w:ascii="宋体" w:hAnsi="宋体" w:cs="宋体"/>
          <w:b/>
          <w:sz w:val="24"/>
        </w:rPr>
      </w:pPr>
      <w:r>
        <w:rPr>
          <w:rFonts w:hint="eastAsia" w:ascii="宋体" w:hAnsi="宋体" w:cs="宋体"/>
          <w:b/>
          <w:sz w:val="24"/>
        </w:rPr>
        <w:t xml:space="preserve">七、验收标准</w:t>
      </w:r>
      <w:r>
        <w:rPr>
          <w:rFonts w:ascii="宋体" w:hAnsi="宋体" w:cs="宋体"/>
          <w:b/>
          <w:sz w:val="24"/>
        </w:rPr>
      </w:r>
      <w:r/>
    </w:p>
    <w:p>
      <w:pPr>
        <w:pStyle w:val="857"/>
        <w:ind w:firstLine="480"/>
        <w:jc w:val="left"/>
        <w:spacing w:line="36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投标人应提供项目相关软件、设备的有效验收文件，经采购人认可后，作为验收标准。采购人对项目验收合格后，双方共同签署验收合格证书并加盖公章。验收中发现软件、设备达不到验收标准或合同规定的性能指标，中标人必须修改相应内容，以满足采购人需求。</w:t>
      </w:r>
      <w:r>
        <w:rPr>
          <w:rFonts w:ascii="宋体" w:hAnsi="宋体" w:cs="宋体"/>
          <w:sz w:val="24"/>
        </w:rPr>
      </w:r>
      <w:r/>
    </w:p>
    <w:p>
      <w:pPr>
        <w:pStyle w:val="857"/>
        <w:ind w:firstLine="480"/>
        <w:jc w:val="left"/>
        <w:spacing w:line="36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自合同签订后，2个月内完成系统的初试，试运行正常一个月后，组织项目终验。</w:t>
      </w:r>
      <w:r>
        <w:rPr>
          <w:rFonts w:ascii="宋体" w:hAnsi="宋体" w:cs="宋体"/>
          <w:sz w:val="24"/>
        </w:rPr>
      </w:r>
      <w:r/>
    </w:p>
    <w:p>
      <w:pPr>
        <w:pStyle w:val="857"/>
        <w:ind w:firstLine="480"/>
        <w:jc w:val="left"/>
        <w:spacing w:line="360" w:lineRule="exact"/>
        <w:rPr>
          <w:rFonts w:ascii="宋体" w:hAnsi="宋体" w:cs="宋体"/>
          <w:sz w:val="24"/>
        </w:rPr>
      </w:pPr>
      <w:r>
        <w:rPr>
          <w:rFonts w:ascii="宋体" w:hAnsi="宋体" w:cs="宋体"/>
          <w:sz w:val="24"/>
        </w:rPr>
        <w:t xml:space="preserve">3.</w:t>
      </w:r>
      <w:r>
        <w:rPr>
          <w:rFonts w:hint="eastAsia" w:ascii="宋体" w:hAnsi="宋体" w:cs="宋体"/>
          <w:sz w:val="24"/>
        </w:rPr>
        <w:t xml:space="preserve">验收费用由供应商负责，如项目验收采购人需请第三方监理公司，则第三方监理公司的费用由采购人自身承担。</w:t>
      </w:r>
      <w:r>
        <w:rPr>
          <w:rFonts w:ascii="宋体" w:hAnsi="宋体" w:cs="宋体"/>
          <w:sz w:val="24"/>
        </w:rPr>
      </w:r>
      <w:r/>
    </w:p>
    <w:p>
      <w:pPr>
        <w:pStyle w:val="857"/>
        <w:ind w:firstLine="480"/>
        <w:jc w:val="left"/>
        <w:spacing w:line="360" w:lineRule="exact"/>
        <w:rPr>
          <w:rFonts w:ascii="宋体" w:hAnsi="宋体" w:cs="宋体"/>
          <w:sz w:val="24"/>
        </w:rPr>
      </w:pPr>
      <w:r>
        <w:rPr>
          <w:rFonts w:ascii="宋体" w:hAnsi="宋体" w:cs="宋体"/>
          <w:sz w:val="24"/>
        </w:rPr>
        <w:t xml:space="preserve">4.</w:t>
      </w:r>
      <w:r>
        <w:rPr>
          <w:rFonts w:hint="eastAsia" w:ascii="宋体" w:hAnsi="宋体" w:cs="宋体"/>
          <w:sz w:val="24"/>
        </w:rPr>
        <w:t xml:space="preserve">因本项目采购人实际新增或系统升级引起的软件功能与现有招标建设内容要求有所出入的，不作为不符合或不满足采购人要求的条件，应视为项目合格。</w:t>
      </w:r>
      <w:r>
        <w:rPr>
          <w:rFonts w:ascii="宋体" w:hAnsi="宋体" w:cs="宋体"/>
          <w:sz w:val="24"/>
        </w:rPr>
      </w:r>
      <w:r/>
    </w:p>
    <w:p>
      <w:pPr>
        <w:pStyle w:val="857"/>
        <w:ind w:firstLine="482"/>
        <w:jc w:val="left"/>
        <w:spacing w:line="360" w:lineRule="exact"/>
        <w:rPr>
          <w:rFonts w:ascii="宋体" w:hAnsi="宋体" w:cs="宋体"/>
          <w:b/>
          <w:sz w:val="24"/>
        </w:rPr>
      </w:pPr>
      <w:r>
        <w:rPr>
          <w:rFonts w:hint="eastAsia" w:ascii="宋体" w:hAnsi="宋体" w:cs="宋体"/>
          <w:b/>
          <w:sz w:val="24"/>
        </w:rPr>
        <w:t xml:space="preserve">八、维保期及售后服务</w:t>
      </w:r>
      <w:r>
        <w:rPr>
          <w:rFonts w:ascii="宋体" w:hAnsi="宋体" w:cs="宋体"/>
          <w:b/>
          <w:sz w:val="24"/>
        </w:rPr>
      </w:r>
      <w:r/>
    </w:p>
    <w:p>
      <w:pPr>
        <w:pStyle w:val="857"/>
        <w:ind w:firstLine="482"/>
        <w:spacing w:line="360" w:lineRule="exact"/>
        <w:rPr>
          <w:rFonts w:ascii="宋体" w:hAnsi="宋体" w:cs="宋体"/>
          <w:b/>
          <w:sz w:val="24"/>
        </w:rPr>
      </w:pPr>
      <w:r>
        <w:rPr>
          <w:rFonts w:hint="eastAsia" w:ascii="宋体" w:hAnsi="宋体" w:cs="宋体"/>
          <w:b/>
          <w:sz w:val="24"/>
        </w:rPr>
        <w:t xml:space="preserve">（一）维保期</w:t>
      </w:r>
      <w:r>
        <w:rPr>
          <w:rFonts w:ascii="宋体" w:hAnsi="宋体" w:cs="宋体"/>
          <w:b/>
          <w:sz w:val="24"/>
        </w:rPr>
      </w:r>
      <w:r/>
    </w:p>
    <w:p>
      <w:pPr>
        <w:pStyle w:val="857"/>
        <w:ind w:firstLine="480"/>
        <w:spacing w:line="360" w:lineRule="exact"/>
        <w:rPr>
          <w:rFonts w:ascii="宋体" w:hAnsi="宋体"/>
          <w:sz w:val="24"/>
        </w:rPr>
      </w:pPr>
      <w:r>
        <w:rPr>
          <w:rFonts w:hint="eastAsia" w:ascii="宋体" w:hAnsi="宋体"/>
          <w:sz w:val="24"/>
        </w:rPr>
        <w:t xml:space="preserve">整体系统验收合格后免费</w:t>
      </w:r>
      <w:r>
        <w:rPr>
          <w:rFonts w:hint="eastAsia" w:ascii="宋体" w:hAnsi="宋体"/>
          <w:sz w:val="24"/>
          <w:highlight w:val="yellow"/>
        </w:rPr>
        <w:t xml:space="preserve">维保2年</w:t>
      </w:r>
      <w:r>
        <w:rPr>
          <w:rFonts w:hint="eastAsia" w:ascii="宋体" w:hAnsi="宋体"/>
          <w:sz w:val="24"/>
        </w:rPr>
        <w:t xml:space="preserve">。</w:t>
      </w:r>
      <w:r>
        <w:rPr>
          <w:rFonts w:ascii="宋体" w:hAnsi="宋体"/>
          <w:sz w:val="24"/>
        </w:rPr>
      </w:r>
      <w:r/>
    </w:p>
    <w:p>
      <w:pPr>
        <w:pStyle w:val="857"/>
        <w:ind w:firstLine="482"/>
        <w:spacing w:line="360" w:lineRule="exact"/>
        <w:rPr>
          <w:rFonts w:ascii="宋体" w:hAnsi="宋体" w:cs="宋体"/>
          <w:b/>
          <w:sz w:val="24"/>
        </w:rPr>
      </w:pPr>
      <w:r>
        <w:rPr>
          <w:rFonts w:hint="eastAsia" w:ascii="宋体" w:hAnsi="宋体" w:cs="宋体"/>
          <w:b/>
          <w:sz w:val="24"/>
        </w:rPr>
        <w:t xml:space="preserve">（二）售后服务</w:t>
      </w:r>
      <w:r>
        <w:rPr>
          <w:rFonts w:ascii="宋体" w:hAnsi="宋体" w:cs="宋体"/>
          <w:b/>
          <w:sz w:val="24"/>
        </w:rPr>
      </w:r>
      <w:r/>
    </w:p>
    <w:p>
      <w:pPr>
        <w:pStyle w:val="857"/>
        <w:ind w:firstLine="480"/>
        <w:spacing w:line="360" w:lineRule="exact"/>
        <w:rPr>
          <w:rFonts w:ascii="宋体" w:hAnsi="宋体"/>
          <w:sz w:val="24"/>
        </w:rPr>
      </w:pPr>
      <w:r>
        <w:rPr>
          <w:rFonts w:hint="eastAsia" w:ascii="宋体" w:hAnsi="宋体" w:cs="宋体"/>
          <w:sz w:val="24"/>
        </w:rPr>
        <w:t xml:space="preserve">1.</w:t>
      </w:r>
      <w:r>
        <w:rPr>
          <w:rFonts w:hint="eastAsia" w:ascii="宋体" w:hAnsi="宋体"/>
          <w:sz w:val="24"/>
        </w:rPr>
        <w:t xml:space="preserve">投标人所承诺的服务内容应包括：供应商的服务响应及维修等承诺，详细说明服务能力、服务时间、人员配备、系统故障响应、诊断、应急处理、维修和相应的设备更换计划等；供应商的技术支持和相应软件的升级承诺等。</w:t>
      </w:r>
      <w:r>
        <w:rPr>
          <w:rFonts w:ascii="宋体" w:hAnsi="宋体"/>
          <w:sz w:val="24"/>
        </w:rPr>
      </w:r>
      <w:r/>
    </w:p>
    <w:p>
      <w:pPr>
        <w:pStyle w:val="857"/>
        <w:ind w:firstLine="480"/>
        <w:spacing w:line="360" w:lineRule="exact"/>
        <w:rPr>
          <w:rFonts w:ascii="宋体" w:hAnsi="宋体"/>
          <w:sz w:val="24"/>
        </w:rPr>
      </w:pPr>
      <w:r>
        <w:rPr>
          <w:rFonts w:ascii="宋体" w:hAnsi="宋体"/>
          <w:sz w:val="24"/>
        </w:rPr>
        <w:t xml:space="preserve">2.</w:t>
      </w:r>
      <w:r>
        <w:rPr>
          <w:rFonts w:hint="eastAsia" w:ascii="宋体" w:hAnsi="宋体"/>
          <w:sz w:val="24"/>
        </w:rPr>
        <w:t xml:space="preserve">在系统的服务期内，投标人应确保系统的正常使用。在接到采购人服务要求后应立即做出回应，并在承诺的服务时间内实施服务。</w:t>
      </w:r>
      <w:r>
        <w:rPr>
          <w:rFonts w:ascii="宋体" w:hAnsi="宋体"/>
          <w:sz w:val="24"/>
        </w:rPr>
      </w:r>
      <w:r/>
    </w:p>
    <w:p>
      <w:pPr>
        <w:pStyle w:val="857"/>
        <w:ind w:firstLine="480"/>
        <w:spacing w:line="360" w:lineRule="exact"/>
        <w:rPr>
          <w:rFonts w:ascii="宋体" w:hAnsi="宋体"/>
          <w:sz w:val="24"/>
        </w:rPr>
      </w:pPr>
      <w:r>
        <w:rPr>
          <w:rFonts w:ascii="宋体" w:hAnsi="宋体"/>
          <w:sz w:val="24"/>
        </w:rPr>
        <w:t xml:space="preserve">3.</w:t>
      </w:r>
      <w:r>
        <w:rPr>
          <w:rFonts w:hint="eastAsia" w:ascii="宋体" w:hAnsi="宋体"/>
          <w:sz w:val="24"/>
        </w:rPr>
        <w:t xml:space="preserve">7×24小时的免费上门保修服务半小时内响应，</w:t>
      </w:r>
      <w:r>
        <w:rPr>
          <w:rFonts w:ascii="宋体" w:hAnsi="宋体"/>
          <w:sz w:val="24"/>
        </w:rPr>
        <w:t xml:space="preserve">4</w:t>
      </w:r>
      <w:r>
        <w:rPr>
          <w:rFonts w:hint="eastAsia" w:ascii="宋体" w:hAnsi="宋体"/>
          <w:sz w:val="24"/>
        </w:rPr>
        <w:t xml:space="preserve">小时内到达现场，24小时内解决故障。</w:t>
      </w:r>
      <w:r>
        <w:rPr>
          <w:rFonts w:ascii="宋体" w:hAnsi="宋体"/>
          <w:sz w:val="24"/>
        </w:rPr>
      </w:r>
      <w:r/>
    </w:p>
    <w:p>
      <w:pPr>
        <w:pStyle w:val="857"/>
        <w:ind w:firstLine="480"/>
        <w:spacing w:line="360" w:lineRule="exact"/>
        <w:rPr>
          <w:rFonts w:ascii="宋体" w:hAnsi="宋体"/>
          <w:sz w:val="24"/>
        </w:rPr>
      </w:pPr>
      <w:r>
        <w:rPr>
          <w:rFonts w:ascii="宋体" w:hAnsi="宋体"/>
          <w:sz w:val="24"/>
        </w:rPr>
        <w:t xml:space="preserve">4.</w:t>
      </w:r>
      <w:r>
        <w:rPr>
          <w:rFonts w:hint="eastAsia" w:ascii="宋体" w:hAnsi="宋体"/>
          <w:sz w:val="24"/>
        </w:rPr>
        <w:t xml:space="preserve">热线电话服务提供技术咨询、故障诊断、故障排除、以及现场支持等具体的技术支持工作，并对客户投诉做出相应处理。</w:t>
      </w:r>
      <w:r>
        <w:rPr>
          <w:rFonts w:ascii="宋体" w:hAnsi="宋体"/>
          <w:sz w:val="24"/>
        </w:rPr>
      </w:r>
      <w:r/>
    </w:p>
    <w:p>
      <w:pPr>
        <w:pStyle w:val="857"/>
        <w:ind w:firstLine="480"/>
        <w:spacing w:line="360" w:lineRule="exact"/>
        <w:rPr>
          <w:rFonts w:ascii="宋体" w:hAnsi="宋体" w:cs="宋体"/>
          <w:sz w:val="24"/>
        </w:rPr>
      </w:pPr>
      <w:r>
        <w:rPr>
          <w:rFonts w:ascii="宋体" w:hAnsi="宋体"/>
          <w:sz w:val="24"/>
        </w:rPr>
        <w:t xml:space="preserve">5.</w:t>
      </w:r>
      <w:r>
        <w:rPr>
          <w:rFonts w:hint="eastAsia" w:ascii="宋体" w:hAnsi="宋体"/>
          <w:sz w:val="24"/>
        </w:rPr>
        <w:t xml:space="preserve">定期巡检及调优系统，复杂的运行环境等种种原因会造成系统性能的逐渐下降。通过定期的技术检查，可及时排除故障隐患，以免问题发生后影响业务运作，还能及时调优系统性能，使系统始终处于高效率运行状态。</w:t>
      </w:r>
      <w:r>
        <w:rPr>
          <w:rFonts w:ascii="宋体" w:hAnsi="宋体" w:cs="宋体"/>
          <w:sz w:val="24"/>
        </w:rPr>
      </w:r>
      <w:r/>
    </w:p>
    <w:p>
      <w:pPr>
        <w:pStyle w:val="857"/>
        <w:ind w:firstLine="482"/>
        <w:spacing w:line="360" w:lineRule="exact"/>
        <w:rPr>
          <w:rFonts w:ascii="宋体" w:hAnsi="宋体" w:cs="宋体"/>
          <w:b/>
          <w:sz w:val="24"/>
        </w:rPr>
      </w:pPr>
      <w:r>
        <w:rPr>
          <w:rFonts w:hint="eastAsia" w:ascii="宋体" w:hAnsi="宋体" w:cs="宋体"/>
          <w:b/>
          <w:sz w:val="24"/>
        </w:rPr>
        <w:t xml:space="preserve">（三）培训</w:t>
      </w:r>
      <w:r>
        <w:rPr>
          <w:rFonts w:ascii="宋体" w:hAnsi="宋体" w:cs="宋体"/>
          <w:b/>
          <w:sz w:val="24"/>
        </w:rPr>
      </w:r>
      <w:r/>
    </w:p>
    <w:p>
      <w:pPr>
        <w:pStyle w:val="857"/>
        <w:ind w:firstLine="480"/>
        <w:spacing w:line="360" w:lineRule="exact"/>
        <w:rPr>
          <w:rFonts w:ascii="宋体" w:hAnsi="宋体"/>
          <w:sz w:val="24"/>
        </w:rPr>
      </w:pPr>
      <w:r>
        <w:rPr>
          <w:rFonts w:hint="eastAsia" w:ascii="宋体" w:hAnsi="宋体"/>
          <w:sz w:val="24"/>
        </w:rPr>
        <w:t xml:space="preserve">投标人应制定详细的培训计划，对使用人员进行操作及相关技术培训。中标人负责采购人的现场技术培训，包括产品的功能、部署条件、部署步骤和注意事项、产品升级、日常维护事项等方面，使采购人达到能独立进行管理、维护测试和故障处理等工作，以使所提供的软件产品能够正常、安全的运行。</w:t>
      </w:r>
      <w:r>
        <w:rPr>
          <w:rFonts w:ascii="宋体" w:hAnsi="宋体"/>
          <w:sz w:val="24"/>
        </w:rPr>
      </w:r>
      <w:r/>
    </w:p>
    <w:p>
      <w:pPr>
        <w:pStyle w:val="857"/>
        <w:ind w:firstLine="482"/>
        <w:jc w:val="left"/>
        <w:spacing w:line="360" w:lineRule="exact"/>
        <w:rPr>
          <w:rFonts w:ascii="宋体" w:hAnsi="宋体" w:cs="宋体"/>
          <w:b/>
          <w:sz w:val="24"/>
        </w:rPr>
      </w:pPr>
      <w:r>
        <w:rPr>
          <w:rFonts w:hint="eastAsia" w:ascii="宋体" w:hAnsi="宋体" w:cs="宋体"/>
          <w:b/>
          <w:sz w:val="24"/>
        </w:rPr>
        <w:t xml:space="preserve">九、付款方式</w:t>
      </w:r>
      <w:r>
        <w:rPr>
          <w:rFonts w:ascii="宋体" w:hAnsi="宋体" w:cs="宋体"/>
          <w:b/>
          <w:sz w:val="24"/>
        </w:rPr>
      </w:r>
      <w:r/>
    </w:p>
    <w:p>
      <w:pPr>
        <w:pStyle w:val="857"/>
        <w:ind w:firstLine="480"/>
        <w:spacing w:line="360" w:lineRule="exact"/>
        <w:rPr>
          <w:rFonts w:ascii="宋体" w:hAnsi="宋体"/>
          <w:sz w:val="24"/>
        </w:rPr>
      </w:pPr>
      <w:r>
        <w:rPr>
          <w:rFonts w:hint="eastAsia" w:ascii="宋体" w:hAnsi="宋体"/>
          <w:sz w:val="24"/>
        </w:rPr>
        <w:t xml:space="preserve">合同签订后15日内采购人向中标人支付合同总额的</w:t>
      </w:r>
      <w:r>
        <w:rPr>
          <w:rFonts w:ascii="宋体" w:hAnsi="宋体"/>
          <w:sz w:val="24"/>
        </w:rPr>
        <w:t xml:space="preserve">30</w:t>
      </w:r>
      <w:r>
        <w:rPr>
          <w:rFonts w:hint="eastAsia" w:ascii="宋体" w:hAnsi="宋体"/>
          <w:sz w:val="24"/>
        </w:rPr>
        <w:t xml:space="preserve">%的预付款；系统到货完成安装调试、投入运行、并经验收合格后，采购人向中标人支付合同总额的</w:t>
      </w:r>
      <w:r>
        <w:rPr>
          <w:rFonts w:ascii="宋体" w:hAnsi="宋体"/>
          <w:sz w:val="24"/>
        </w:rPr>
        <w:t xml:space="preserve">7</w:t>
      </w:r>
      <w:r>
        <w:rPr>
          <w:rFonts w:hint="eastAsia" w:ascii="宋体" w:hAnsi="宋体"/>
          <w:sz w:val="24"/>
        </w:rPr>
        <w:t xml:space="preserve">0%货款。</w:t>
      </w:r>
      <w:r>
        <w:rPr>
          <w:rFonts w:ascii="宋体" w:hAnsi="宋体"/>
          <w:sz w:val="24"/>
        </w:rPr>
      </w:r>
      <w:r/>
    </w:p>
    <w:p>
      <w:pPr>
        <w:pStyle w:val="952"/>
        <w:contextualSpacing/>
        <w:ind w:firstLine="480"/>
        <w:jc w:val="left"/>
        <w:spacing w:line="360" w:lineRule="auto"/>
        <w:rPr>
          <w:rFonts w:ascii="宋体" w:hAnsi="宋体"/>
          <w:sz w:val="24"/>
          <w:szCs w:val="24"/>
        </w:rPr>
      </w:pPr>
      <w:r>
        <w:rPr>
          <w:rFonts w:ascii="宋体" w:hAnsi="宋体"/>
          <w:sz w:val="24"/>
          <w:szCs w:val="24"/>
        </w:rPr>
      </w:r>
      <w:r/>
    </w:p>
    <w:p>
      <w:pPr>
        <w:pStyle w:val="857"/>
        <w:spacing w:line="440" w:lineRule="exact"/>
        <w:rPr>
          <w:rFonts w:ascii="宋体" w:hAnsi="宋体"/>
          <w:b/>
        </w:rPr>
      </w:pPr>
      <w:r>
        <w:rPr>
          <w:rFonts w:ascii="宋体" w:hAnsi="宋体"/>
          <w:b/>
        </w:rPr>
      </w:r>
      <w:r/>
    </w:p>
    <w:p>
      <w:pPr>
        <w:pStyle w:val="857"/>
        <w:rPr>
          <w:rFonts w:ascii="宋体" w:hAnsi="宋体"/>
          <w:bCs/>
        </w:rPr>
      </w:pPr>
      <w:r>
        <w:rPr>
          <w:rFonts w:ascii="宋体" w:hAnsi="宋体"/>
          <w:bCs/>
        </w:rPr>
      </w:r>
      <w:r/>
    </w:p>
    <w:p>
      <w:pPr>
        <w:pStyle w:val="857"/>
        <w:rPr>
          <w:rFonts w:ascii="宋体" w:hAnsi="宋体"/>
        </w:rPr>
      </w:pPr>
      <w:r>
        <w:rPr>
          <w:rFonts w:ascii="宋体" w:hAnsi="宋体"/>
        </w:rPr>
      </w:r>
      <w:r/>
    </w:p>
    <w:p>
      <w:pPr>
        <w:pStyle w:val="857"/>
        <w:jc w:val="left"/>
        <w:widowControl/>
        <w:rPr>
          <w:rFonts w:ascii="宋体" w:hAnsi="宋体"/>
          <w:b/>
          <w:sz w:val="36"/>
          <w:szCs w:val="36"/>
        </w:rPr>
      </w:pPr>
      <w:r>
        <w:rPr>
          <w:rFonts w:ascii="宋体" w:hAnsi="宋体"/>
          <w:b/>
          <w:sz w:val="36"/>
          <w:szCs w:val="36"/>
        </w:rPr>
      </w:r>
      <w:r/>
    </w:p>
    <w:p>
      <w:pPr>
        <w:pStyle w:val="857"/>
        <w:jc w:val="center"/>
        <w:spacing w:line="360" w:lineRule="auto"/>
        <w:rPr>
          <w:rFonts w:ascii="宋体" w:hAnsi="宋体"/>
          <w:b/>
          <w:sz w:val="36"/>
          <w:szCs w:val="36"/>
        </w:rPr>
        <w:outlineLvl w:val="0"/>
      </w:pPr>
      <w:r/>
      <w:bookmarkStart w:id="819" w:name="_Toc99301425"/>
      <w:r>
        <w:rPr>
          <w:rFonts w:ascii="宋体" w:hAnsi="宋体"/>
          <w:b/>
          <w:sz w:val="36"/>
          <w:szCs w:val="36"/>
        </w:rPr>
        <w:br w:type="page" w:clear="all"/>
        <w:t xml:space="preserve">第六章   拟签订的合同文本</w:t>
      </w:r>
      <w:bookmarkEnd w:id="819"/>
      <w:r>
        <w:rPr>
          <w:rFonts w:ascii="宋体" w:hAnsi="宋体"/>
          <w:b/>
          <w:sz w:val="36"/>
          <w:szCs w:val="36"/>
        </w:rPr>
      </w:r>
      <w:r/>
    </w:p>
    <w:p>
      <w:pPr>
        <w:pStyle w:val="897"/>
        <w:spacing w:line="360" w:lineRule="auto"/>
        <w:rPr>
          <w:rFonts w:hAnsi="宋体" w:cs="宋体"/>
          <w:color w:val="000000"/>
          <w:sz w:val="24"/>
          <w:szCs w:val="24"/>
        </w:rPr>
      </w:pPr>
      <w:r>
        <w:rPr>
          <w:rFonts w:hAnsi="宋体" w:cs="宋体"/>
          <w:b/>
          <w:color w:val="000000"/>
          <w:sz w:val="24"/>
          <w:szCs w:val="24"/>
          <w:lang w:val="zh-CN"/>
        </w:rPr>
        <w:t xml:space="preserve">采购人（以下称甲</w:t>
      </w:r>
      <w:r>
        <w:rPr>
          <w:rFonts w:hAnsi="宋体" w:cs="宋体"/>
          <w:b/>
          <w:color w:val="000000"/>
          <w:sz w:val="24"/>
          <w:szCs w:val="24"/>
        </w:rPr>
        <w:t xml:space="preserve">方）:                         </w:t>
      </w:r>
      <w:r>
        <w:rPr>
          <w:rFonts w:hAnsi="宋体" w:cs="宋体"/>
          <w:color w:val="000000"/>
          <w:sz w:val="24"/>
          <w:szCs w:val="24"/>
        </w:rPr>
        <w:t xml:space="preserve">合同编号：</w:t>
      </w:r>
      <w:r/>
    </w:p>
    <w:p>
      <w:pPr>
        <w:pStyle w:val="897"/>
        <w:spacing w:line="360" w:lineRule="auto"/>
        <w:rPr>
          <w:rFonts w:hAnsi="宋体" w:cs="宋体"/>
          <w:color w:val="000000"/>
          <w:sz w:val="24"/>
          <w:szCs w:val="24"/>
          <w:u w:val="single"/>
        </w:rPr>
      </w:pPr>
      <w:r>
        <w:rPr>
          <w:rFonts w:hAnsi="宋体" w:cs="宋体"/>
          <w:b/>
          <w:color w:val="000000"/>
          <w:sz w:val="24"/>
          <w:szCs w:val="24"/>
        </w:rPr>
        <w:t xml:space="preserve">投标人（</w:t>
      </w:r>
      <w:r>
        <w:rPr>
          <w:rFonts w:hAnsi="宋体" w:cs="宋体"/>
          <w:b/>
          <w:color w:val="000000"/>
          <w:sz w:val="24"/>
          <w:szCs w:val="24"/>
          <w:lang w:val="zh-CN"/>
        </w:rPr>
        <w:t xml:space="preserve">以下称</w:t>
      </w:r>
      <w:r>
        <w:rPr>
          <w:rFonts w:hAnsi="宋体" w:cs="宋体"/>
          <w:b/>
          <w:color w:val="000000"/>
          <w:sz w:val="24"/>
          <w:szCs w:val="24"/>
        </w:rPr>
        <w:t xml:space="preserve">乙方）:                         </w:t>
      </w:r>
      <w:r>
        <w:rPr>
          <w:rFonts w:hAnsi="宋体" w:cs="宋体"/>
          <w:color w:val="000000"/>
          <w:sz w:val="24"/>
          <w:szCs w:val="24"/>
        </w:rPr>
        <w:t xml:space="preserve">签订地点：</w:t>
      </w:r>
      <w:r>
        <w:rPr>
          <w:rFonts w:hAnsi="宋体" w:cs="宋体"/>
          <w:color w:val="000000"/>
          <w:sz w:val="24"/>
          <w:szCs w:val="24"/>
          <w:u w:val="single"/>
        </w:rPr>
      </w:r>
      <w:r/>
    </w:p>
    <w:p>
      <w:pPr>
        <w:pStyle w:val="872"/>
        <w:ind w:firstLine="5520"/>
        <w:spacing w:line="360" w:lineRule="auto"/>
        <w:rPr>
          <w:rFonts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r>
        <w:rPr>
          <w:rFonts w:hAnsi="宋体" w:cs="宋体"/>
          <w:b/>
          <w:color w:val="000000"/>
        </w:rPr>
      </w:r>
      <w:r/>
    </w:p>
    <w:p>
      <w:pPr>
        <w:pStyle w:val="897"/>
        <w:ind w:firstLine="480"/>
        <w:spacing w:line="360" w:lineRule="auto"/>
        <w:rPr>
          <w:rFonts w:hAnsi="宋体" w:cs="宋体"/>
          <w:color w:val="000000"/>
          <w:sz w:val="24"/>
          <w:szCs w:val="24"/>
        </w:rPr>
      </w:pPr>
      <w:r>
        <w:rPr>
          <w:rFonts w:hAnsi="宋体" w:cs="宋体"/>
          <w:color w:val="000000"/>
          <w:sz w:val="24"/>
          <w:szCs w:val="24"/>
        </w:rPr>
        <w:t xml:space="preserve">甲乙双方依据《中华人民共和国民法典》以及有关法律、法规的规定，经协商一致，订立本合同，以便共同遵守。</w:t>
      </w:r>
      <w:r/>
    </w:p>
    <w:p>
      <w:pPr>
        <w:pStyle w:val="897"/>
        <w:ind w:firstLine="482"/>
        <w:spacing w:line="360" w:lineRule="auto"/>
        <w:rPr>
          <w:rFonts w:hAnsi="宋体" w:cs="宋体"/>
          <w:b/>
          <w:color w:val="000000"/>
          <w:sz w:val="24"/>
          <w:szCs w:val="24"/>
        </w:rPr>
      </w:pPr>
      <w:r>
        <w:rPr>
          <w:rFonts w:hAnsi="宋体" w:cs="宋体"/>
          <w:b/>
          <w:color w:val="000000"/>
          <w:sz w:val="24"/>
          <w:szCs w:val="24"/>
        </w:rPr>
        <w:t xml:space="preserve">第一条 合同标的</w:t>
      </w:r>
      <w:r/>
    </w:p>
    <w:p>
      <w:pPr>
        <w:pStyle w:val="857"/>
        <w:ind w:firstLine="480"/>
        <w:jc w:val="left"/>
        <w:spacing w:line="360" w:lineRule="auto"/>
        <w:widowControl/>
        <w:rPr>
          <w:rFonts w:hint="eastAsia" w:ascii="宋体" w:hAnsi="宋体" w:cs="宋体"/>
          <w:sz w:val="24"/>
          <w:lang w:val="zh-CN"/>
        </w:rPr>
      </w:pPr>
      <w:r>
        <w:rPr>
          <w:rFonts w:hint="eastAsia" w:ascii="宋体" w:hAnsi="宋体" w:cs="宋体"/>
          <w:color w:val="000000"/>
          <w:sz w:val="24"/>
          <w:lang w:val="zh-CN"/>
        </w:rPr>
        <w:t xml:space="preserve">乙方根据甲方需求提供医保DRG医院智慧运营系统，</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p>
    <w:p>
      <w:pPr>
        <w:pStyle w:val="857"/>
        <w:ind w:firstLine="480"/>
        <w:jc w:val="left"/>
        <w:spacing w:line="360" w:lineRule="auto"/>
        <w:widowControl/>
        <w:rPr>
          <w:rFonts w:ascii="宋体" w:hAnsi="宋体" w:cs="宋体"/>
          <w:sz w:val="24"/>
        </w:rPr>
      </w:pPr>
      <w:r>
        <w:rPr>
          <w:rFonts w:hint="eastAsia" w:ascii="宋体" w:hAnsi="宋体" w:cs="宋体"/>
          <w:sz w:val="24"/>
        </w:rPr>
        <w:t xml:space="preserve">1、项目清单：</w:t>
      </w:r>
      <w:r>
        <w:rPr>
          <w:rFonts w:ascii="宋体" w:hAnsi="宋体" w:cs="宋体"/>
          <w:sz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556"/>
        <w:gridCol w:w="1269"/>
        <w:gridCol w:w="1358"/>
      </w:tblGrid>
      <w:tr>
        <w:trPr>
          <w:trHeight w:val="170"/>
        </w:trPr>
        <w:tc>
          <w:tcPr>
            <w:tcW w:w="595"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序号</w:t>
            </w:r>
            <w:r>
              <w:rPr>
                <w:rFonts w:ascii="仿宋" w:hAnsi="仿宋" w:eastAsia="仿宋" w:cs="宋体"/>
                <w:sz w:val="32"/>
                <w:szCs w:val="32"/>
              </w:rPr>
            </w:r>
            <w:r/>
          </w:p>
        </w:tc>
        <w:tc>
          <w:tcPr>
            <w:tcW w:w="2991"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名称</w:t>
            </w:r>
            <w:r>
              <w:rPr>
                <w:rFonts w:ascii="仿宋" w:hAnsi="仿宋" w:eastAsia="仿宋" w:cs="宋体"/>
                <w:sz w:val="32"/>
                <w:szCs w:val="32"/>
              </w:rPr>
            </w:r>
            <w:r/>
          </w:p>
        </w:tc>
        <w:tc>
          <w:tcPr>
            <w:tcW w:w="683"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单位</w:t>
            </w:r>
            <w:r>
              <w:rPr>
                <w:rFonts w:ascii="仿宋" w:hAnsi="仿宋" w:eastAsia="仿宋" w:cs="宋体"/>
                <w:sz w:val="32"/>
                <w:szCs w:val="32"/>
              </w:rPr>
            </w:r>
            <w:r/>
          </w:p>
        </w:tc>
        <w:tc>
          <w:tcPr>
            <w:tcW w:w="731"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数量</w:t>
            </w:r>
            <w:r>
              <w:rPr>
                <w:rFonts w:ascii="仿宋" w:hAnsi="仿宋" w:eastAsia="仿宋" w:cs="宋体"/>
                <w:sz w:val="32"/>
                <w:szCs w:val="32"/>
              </w:rPr>
            </w:r>
            <w:r/>
          </w:p>
        </w:tc>
      </w:tr>
      <w:tr>
        <w:trPr>
          <w:trHeight w:val="170"/>
        </w:trPr>
        <w:tc>
          <w:tcPr>
            <w:tcW w:w="595"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1</w:t>
            </w:r>
            <w:r>
              <w:rPr>
                <w:rFonts w:ascii="仿宋" w:hAnsi="仿宋" w:eastAsia="仿宋" w:cs="宋体"/>
                <w:sz w:val="32"/>
                <w:szCs w:val="32"/>
              </w:rPr>
            </w:r>
            <w:r/>
          </w:p>
        </w:tc>
        <w:tc>
          <w:tcPr>
            <w:tcW w:w="2991"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医保DRG医院智慧运营系统（DRG 数据中心、医保 DRG 运营分析系统）</w:t>
            </w:r>
            <w:r>
              <w:rPr>
                <w:rFonts w:ascii="仿宋" w:hAnsi="仿宋" w:eastAsia="仿宋" w:cs="宋体"/>
                <w:sz w:val="32"/>
                <w:szCs w:val="32"/>
              </w:rPr>
            </w:r>
            <w:r/>
          </w:p>
        </w:tc>
        <w:tc>
          <w:tcPr>
            <w:tcW w:w="683"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项</w:t>
            </w:r>
            <w:r>
              <w:rPr>
                <w:rFonts w:ascii="仿宋" w:hAnsi="仿宋" w:eastAsia="仿宋" w:cs="宋体"/>
                <w:sz w:val="32"/>
                <w:szCs w:val="32"/>
              </w:rPr>
            </w:r>
            <w:r/>
          </w:p>
        </w:tc>
        <w:tc>
          <w:tcPr>
            <w:tcW w:w="731"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1</w:t>
            </w:r>
            <w:r>
              <w:rPr>
                <w:rFonts w:ascii="仿宋" w:hAnsi="仿宋" w:eastAsia="仿宋" w:cs="宋体"/>
                <w:sz w:val="32"/>
                <w:szCs w:val="32"/>
              </w:rPr>
            </w:r>
            <w:r/>
          </w:p>
        </w:tc>
      </w:tr>
      <w:tr>
        <w:trPr>
          <w:trHeight w:val="170"/>
        </w:trPr>
        <w:tc>
          <w:tcPr>
            <w:tcW w:w="595"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2</w:t>
            </w:r>
            <w:r>
              <w:rPr>
                <w:rFonts w:ascii="仿宋" w:hAnsi="仿宋" w:eastAsia="仿宋" w:cs="宋体"/>
                <w:sz w:val="32"/>
                <w:szCs w:val="32"/>
              </w:rPr>
            </w:r>
            <w:r/>
          </w:p>
        </w:tc>
        <w:tc>
          <w:tcPr>
            <w:tcW w:w="2991"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医保清单管理系统</w:t>
            </w:r>
            <w:r>
              <w:rPr>
                <w:rFonts w:ascii="仿宋" w:hAnsi="仿宋" w:eastAsia="仿宋" w:cs="宋体"/>
                <w:sz w:val="32"/>
                <w:szCs w:val="32"/>
              </w:rPr>
            </w:r>
            <w:r/>
          </w:p>
        </w:tc>
        <w:tc>
          <w:tcPr>
            <w:tcW w:w="683"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项</w:t>
            </w:r>
            <w:r>
              <w:rPr>
                <w:rFonts w:ascii="仿宋" w:hAnsi="仿宋" w:eastAsia="仿宋" w:cs="宋体"/>
                <w:sz w:val="32"/>
                <w:szCs w:val="32"/>
              </w:rPr>
            </w:r>
            <w:r/>
          </w:p>
        </w:tc>
        <w:tc>
          <w:tcPr>
            <w:tcW w:w="731" w:type="pct"/>
            <w:vAlign w:val="center"/>
            <w:textDirection w:val="lrTb"/>
            <w:noWrap/>
          </w:tcPr>
          <w:p>
            <w:pPr>
              <w:pStyle w:val="857"/>
              <w:jc w:val="center"/>
              <w:spacing w:line="360" w:lineRule="auto"/>
              <w:widowControl/>
              <w:rPr>
                <w:rFonts w:ascii="仿宋" w:hAnsi="仿宋" w:eastAsia="仿宋" w:cs="宋体"/>
                <w:sz w:val="32"/>
                <w:szCs w:val="32"/>
              </w:rPr>
            </w:pPr>
            <w:r>
              <w:rPr>
                <w:rFonts w:ascii="仿宋" w:hAnsi="仿宋" w:eastAsia="仿宋" w:cs="宋体"/>
                <w:sz w:val="32"/>
                <w:szCs w:val="32"/>
              </w:rPr>
              <w:t xml:space="preserve">1</w:t>
            </w:r>
            <w:r/>
          </w:p>
        </w:tc>
      </w:tr>
      <w:tr>
        <w:trPr>
          <w:trHeight w:val="170"/>
        </w:trPr>
        <w:tc>
          <w:tcPr>
            <w:tcW w:w="595"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3</w:t>
            </w:r>
            <w:r>
              <w:rPr>
                <w:rFonts w:ascii="仿宋" w:hAnsi="仿宋" w:eastAsia="仿宋" w:cs="宋体"/>
                <w:sz w:val="32"/>
                <w:szCs w:val="32"/>
              </w:rPr>
            </w:r>
            <w:r/>
          </w:p>
        </w:tc>
        <w:tc>
          <w:tcPr>
            <w:tcW w:w="2991"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结算管理系统</w:t>
            </w:r>
            <w:r>
              <w:rPr>
                <w:rFonts w:ascii="仿宋" w:hAnsi="仿宋" w:eastAsia="仿宋" w:cs="宋体"/>
                <w:sz w:val="32"/>
                <w:szCs w:val="32"/>
              </w:rPr>
            </w:r>
            <w:r/>
          </w:p>
        </w:tc>
        <w:tc>
          <w:tcPr>
            <w:tcW w:w="683"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项</w:t>
            </w:r>
            <w:r>
              <w:rPr>
                <w:rFonts w:ascii="仿宋" w:hAnsi="仿宋" w:eastAsia="仿宋" w:cs="宋体"/>
                <w:sz w:val="32"/>
                <w:szCs w:val="32"/>
              </w:rPr>
            </w:r>
            <w:r/>
          </w:p>
        </w:tc>
        <w:tc>
          <w:tcPr>
            <w:tcW w:w="731"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1</w:t>
            </w:r>
            <w:r>
              <w:rPr>
                <w:rFonts w:ascii="仿宋" w:hAnsi="仿宋" w:eastAsia="仿宋" w:cs="宋体"/>
                <w:sz w:val="32"/>
                <w:szCs w:val="32"/>
              </w:rPr>
            </w:r>
            <w:r/>
          </w:p>
        </w:tc>
      </w:tr>
      <w:tr>
        <w:trPr>
          <w:trHeight w:val="170"/>
        </w:trPr>
        <w:tc>
          <w:tcPr>
            <w:tcW w:w="595"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4</w:t>
            </w:r>
            <w:r>
              <w:rPr>
                <w:rFonts w:ascii="仿宋" w:hAnsi="仿宋" w:eastAsia="仿宋" w:cs="宋体"/>
                <w:sz w:val="32"/>
                <w:szCs w:val="32"/>
              </w:rPr>
            </w:r>
            <w:r/>
          </w:p>
        </w:tc>
        <w:tc>
          <w:tcPr>
            <w:tcW w:w="2991"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清单上传服务</w:t>
            </w:r>
            <w:r>
              <w:rPr>
                <w:rFonts w:ascii="仿宋" w:hAnsi="仿宋" w:eastAsia="仿宋" w:cs="宋体"/>
                <w:sz w:val="32"/>
                <w:szCs w:val="32"/>
              </w:rPr>
            </w:r>
            <w:r/>
          </w:p>
        </w:tc>
        <w:tc>
          <w:tcPr>
            <w:tcW w:w="683" w:type="pct"/>
            <w:vAlign w:val="center"/>
            <w:textDirection w:val="lrTb"/>
            <w:noWrap w:val="false"/>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项</w:t>
            </w:r>
            <w:r>
              <w:rPr>
                <w:rFonts w:ascii="仿宋" w:hAnsi="仿宋" w:eastAsia="仿宋" w:cs="宋体"/>
                <w:sz w:val="32"/>
                <w:szCs w:val="32"/>
              </w:rPr>
            </w:r>
            <w:r/>
          </w:p>
        </w:tc>
        <w:tc>
          <w:tcPr>
            <w:tcW w:w="731" w:type="pct"/>
            <w:vAlign w:val="center"/>
            <w:textDirection w:val="lrTb"/>
            <w:noWrap/>
          </w:tcPr>
          <w:p>
            <w:pPr>
              <w:pStyle w:val="857"/>
              <w:jc w:val="center"/>
              <w:spacing w:line="360" w:lineRule="auto"/>
              <w:widowControl/>
              <w:rPr>
                <w:rFonts w:ascii="仿宋" w:hAnsi="仿宋" w:eastAsia="仿宋" w:cs="宋体"/>
                <w:sz w:val="32"/>
                <w:szCs w:val="32"/>
              </w:rPr>
            </w:pPr>
            <w:r>
              <w:rPr>
                <w:rFonts w:hint="eastAsia" w:ascii="仿宋" w:hAnsi="仿宋" w:eastAsia="仿宋" w:cs="宋体"/>
                <w:sz w:val="32"/>
                <w:szCs w:val="32"/>
              </w:rPr>
              <w:t xml:space="preserve">1</w:t>
            </w:r>
            <w:r>
              <w:rPr>
                <w:rFonts w:ascii="仿宋" w:hAnsi="仿宋" w:eastAsia="仿宋" w:cs="宋体"/>
                <w:sz w:val="32"/>
                <w:szCs w:val="32"/>
              </w:rPr>
            </w:r>
            <w:r/>
          </w:p>
        </w:tc>
      </w:tr>
    </w:tbl>
    <w:p>
      <w:pPr>
        <w:pStyle w:val="897"/>
        <w:ind w:firstLine="482"/>
        <w:spacing w:line="360" w:lineRule="auto"/>
        <w:rPr>
          <w:rFonts w:hAnsi="宋体" w:cs="宋体"/>
          <w:b/>
          <w:sz w:val="24"/>
          <w:szCs w:val="24"/>
        </w:rPr>
      </w:pPr>
      <w:r>
        <w:rPr>
          <w:rFonts w:hAnsi="宋体" w:cs="宋体"/>
          <w:b/>
          <w:sz w:val="24"/>
          <w:szCs w:val="24"/>
        </w:rPr>
        <w:t xml:space="preserve">2、技术要求（见附件）</w:t>
      </w:r>
      <w:r>
        <w:rPr>
          <w:rFonts w:hAnsi="宋体" w:cs="宋体"/>
          <w:b/>
          <w:sz w:val="24"/>
          <w:szCs w:val="24"/>
        </w:rPr>
      </w:r>
      <w:r/>
    </w:p>
    <w:p>
      <w:pPr>
        <w:pStyle w:val="897"/>
        <w:ind w:firstLine="482"/>
        <w:spacing w:line="360" w:lineRule="auto"/>
        <w:rPr>
          <w:rFonts w:hAnsi="宋体" w:cs="宋体"/>
          <w:b/>
          <w:sz w:val="24"/>
          <w:szCs w:val="24"/>
        </w:rPr>
      </w:pPr>
      <w:r>
        <w:rPr>
          <w:rFonts w:hAnsi="宋体" w:cs="宋体"/>
          <w:b/>
          <w:sz w:val="24"/>
          <w:szCs w:val="24"/>
        </w:rPr>
        <w:t xml:space="preserve">第二条 合同价格</w:t>
      </w:r>
      <w:r/>
    </w:p>
    <w:p>
      <w:pPr>
        <w:pStyle w:val="897"/>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p>
    <w:p>
      <w:pPr>
        <w:pStyle w:val="897"/>
        <w:ind w:firstLine="480"/>
        <w:spacing w:line="360" w:lineRule="auto"/>
        <w:rPr>
          <w:rFonts w:hAnsi="宋体" w:cs="宋体"/>
          <w:sz w:val="24"/>
          <w:szCs w:val="24"/>
        </w:rPr>
      </w:pPr>
      <w:r>
        <w:rPr>
          <w:rFonts w:hAnsi="宋体" w:cs="宋体"/>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897"/>
        <w:ind w:firstLine="482"/>
        <w:spacing w:line="360" w:lineRule="auto"/>
        <w:rPr>
          <w:rFonts w:hAnsi="宋体" w:cs="宋体"/>
          <w:b/>
          <w:sz w:val="24"/>
          <w:szCs w:val="24"/>
        </w:rPr>
      </w:pPr>
      <w:r>
        <w:rPr>
          <w:rFonts w:hAnsi="宋体" w:cs="宋体"/>
          <w:b/>
          <w:sz w:val="24"/>
          <w:szCs w:val="24"/>
        </w:rPr>
        <w:t xml:space="preserve">第三条 合同履行期限</w:t>
      </w:r>
      <w:r>
        <w:rPr>
          <w:rFonts w:hAnsi="宋体" w:cs="宋体"/>
          <w:b/>
          <w:sz w:val="24"/>
          <w:szCs w:val="24"/>
        </w:rPr>
      </w:r>
      <w:r/>
    </w:p>
    <w:p>
      <w:pPr>
        <w:pStyle w:val="897"/>
        <w:ind w:firstLine="480"/>
        <w:spacing w:line="360" w:lineRule="auto"/>
        <w:rPr>
          <w:rFonts w:hAnsi="宋体" w:cs="宋体"/>
          <w:sz w:val="24"/>
          <w:szCs w:val="24"/>
        </w:rPr>
      </w:pPr>
      <w:r>
        <w:rPr>
          <w:rFonts w:hAnsi="宋体" w:cs="宋体"/>
          <w:sz w:val="24"/>
          <w:szCs w:val="24"/>
        </w:rPr>
        <w:t xml:space="preserve">1、建设期限：自合同签订</w:t>
      </w:r>
      <w:r>
        <w:rPr>
          <w:rFonts w:hAnsi="宋体" w:cs="宋体"/>
          <w:sz w:val="24"/>
          <w:szCs w:val="24"/>
          <w:u w:val="single"/>
        </w:rPr>
        <w:t xml:space="preserve">后     天</w:t>
      </w:r>
      <w:r>
        <w:rPr>
          <w:rFonts w:hAnsi="宋体" w:cs="宋体"/>
          <w:sz w:val="24"/>
          <w:szCs w:val="24"/>
        </w:rPr>
        <w:t xml:space="preserve">内完成系统部署并交付(因医院硬件环境准备、第三方系统接口对接、政策文件未下发等造成的工期延迟不计算在内)。如在规定的时间内由于供应商的原因不能交付的，供应商应承担由此给采购人造成的损失。</w:t>
      </w:r>
      <w:r/>
    </w:p>
    <w:p>
      <w:pPr>
        <w:pStyle w:val="897"/>
        <w:ind w:firstLine="480"/>
        <w:spacing w:line="360" w:lineRule="auto"/>
        <w:rPr>
          <w:rFonts w:hAnsi="宋体"/>
          <w:sz w:val="24"/>
        </w:rPr>
      </w:pPr>
      <w:r>
        <w:rPr>
          <w:rFonts w:hAnsi="宋体" w:cs="宋体"/>
          <w:sz w:val="24"/>
          <w:szCs w:val="24"/>
        </w:rPr>
        <w:t xml:space="preserve">2、免费维保期：</w:t>
      </w:r>
      <w:r>
        <w:rPr>
          <w:rFonts w:hAnsi="宋体"/>
          <w:sz w:val="24"/>
        </w:rPr>
        <w:t xml:space="preserve">整体系统验收合格后免费</w:t>
      </w:r>
      <w:r>
        <w:rPr>
          <w:rFonts w:hAnsi="宋体"/>
          <w:sz w:val="24"/>
          <w:highlight w:val="yellow"/>
        </w:rPr>
        <w:t xml:space="preserve">维保 </w:t>
      </w:r>
      <w:r>
        <w:rPr>
          <w:rFonts w:hAnsi="宋体"/>
          <w:sz w:val="24"/>
          <w:highlight w:val="yellow"/>
          <w:u w:val="single"/>
        </w:rPr>
        <w:t xml:space="preserve">     </w:t>
      </w:r>
      <w:r>
        <w:rPr>
          <w:rFonts w:hAnsi="宋体"/>
          <w:sz w:val="24"/>
          <w:highlight w:val="yellow"/>
        </w:rPr>
        <w:t xml:space="preserve">年</w:t>
      </w:r>
      <w:r>
        <w:rPr>
          <w:rFonts w:hAnsi="宋体"/>
          <w:sz w:val="24"/>
        </w:rPr>
        <w:t xml:space="preserve">。</w:t>
      </w:r>
      <w:r/>
    </w:p>
    <w:p>
      <w:pPr>
        <w:pStyle w:val="897"/>
        <w:ind w:firstLine="480"/>
        <w:spacing w:line="360" w:lineRule="auto"/>
        <w:rPr>
          <w:rFonts w:hAnsi="宋体"/>
          <w:sz w:val="24"/>
        </w:rPr>
      </w:pPr>
      <w:r>
        <w:rPr>
          <w:rFonts w:hAnsi="宋体"/>
          <w:sz w:val="24"/>
        </w:rPr>
        <w:t xml:space="preserve">3、售后服务内容：</w:t>
      </w:r>
      <w:r/>
    </w:p>
    <w:p>
      <w:pPr>
        <w:pStyle w:val="857"/>
        <w:ind w:firstLine="480"/>
        <w:spacing w:line="360" w:lineRule="exact"/>
        <w:rPr>
          <w:rFonts w:ascii="宋体" w:hAnsi="宋体"/>
          <w:sz w:val="24"/>
        </w:rPr>
      </w:pPr>
      <w:r>
        <w:rPr>
          <w:rFonts w:hint="eastAsia" w:ascii="宋体" w:hAnsi="宋体" w:cs="宋体"/>
          <w:sz w:val="24"/>
        </w:rPr>
        <w:t xml:space="preserve">1）</w:t>
      </w:r>
      <w:r>
        <w:rPr>
          <w:rFonts w:hint="eastAsia" w:ascii="宋体" w:hAnsi="宋体"/>
          <w:sz w:val="24"/>
        </w:rPr>
        <w:t xml:space="preserve">投标人所承诺的服务内容应包括：供应商的服务响应及维修等承诺，详细说明服务能力、服务时间、人员配备、系统故障响应、诊断、应急处理、维修和相应的设备更换计划等；供应商的技术支持和相应软件的升级承诺等。</w:t>
      </w:r>
      <w:r>
        <w:rPr>
          <w:rFonts w:ascii="宋体" w:hAnsi="宋体"/>
          <w:sz w:val="24"/>
        </w:rPr>
      </w:r>
      <w:r/>
    </w:p>
    <w:p>
      <w:pPr>
        <w:pStyle w:val="857"/>
        <w:ind w:firstLine="480"/>
        <w:spacing w:line="360" w:lineRule="exact"/>
        <w:rPr>
          <w:rFonts w:ascii="宋体" w:hAnsi="宋体"/>
          <w:sz w:val="24"/>
        </w:rPr>
      </w:pPr>
      <w:r>
        <w:rPr>
          <w:rFonts w:ascii="宋体" w:hAnsi="宋体"/>
          <w:sz w:val="24"/>
        </w:rPr>
        <w:t xml:space="preserve">2</w:t>
      </w:r>
      <w:r>
        <w:rPr>
          <w:rFonts w:hint="eastAsia" w:ascii="宋体" w:hAnsi="宋体" w:cs="宋体"/>
          <w:sz w:val="24"/>
        </w:rPr>
        <w:t xml:space="preserve">）</w:t>
      </w:r>
      <w:r>
        <w:rPr>
          <w:rFonts w:hint="eastAsia" w:ascii="宋体" w:hAnsi="宋体"/>
          <w:sz w:val="24"/>
        </w:rPr>
        <w:t xml:space="preserve">在系统的服务期内，投标人应确保系统的正常使用。在接到采购人服务要求后应立即做出回应，并在承诺的服务时间内实施服务。</w:t>
      </w:r>
      <w:r>
        <w:rPr>
          <w:rFonts w:ascii="宋体" w:hAnsi="宋体"/>
          <w:sz w:val="24"/>
        </w:rPr>
      </w:r>
      <w:r/>
    </w:p>
    <w:p>
      <w:pPr>
        <w:pStyle w:val="857"/>
        <w:ind w:firstLine="480"/>
        <w:spacing w:line="360" w:lineRule="exact"/>
        <w:rPr>
          <w:rFonts w:ascii="宋体" w:hAnsi="宋体"/>
          <w:sz w:val="24"/>
        </w:rPr>
      </w:pPr>
      <w:r>
        <w:rPr>
          <w:rFonts w:ascii="宋体" w:hAnsi="宋体"/>
          <w:sz w:val="24"/>
        </w:rPr>
        <w:t xml:space="preserve">3</w:t>
      </w:r>
      <w:r>
        <w:rPr>
          <w:rFonts w:hint="eastAsia" w:ascii="宋体" w:hAnsi="宋体" w:cs="宋体"/>
          <w:sz w:val="24"/>
        </w:rPr>
        <w:t xml:space="preserve">）</w:t>
      </w:r>
      <w:r>
        <w:rPr>
          <w:rFonts w:hint="eastAsia" w:ascii="宋体" w:hAnsi="宋体"/>
          <w:sz w:val="24"/>
        </w:rPr>
        <w:t xml:space="preserve">7×24小时的免费上门保修服务半小时内响应，</w:t>
      </w:r>
      <w:r>
        <w:rPr>
          <w:rFonts w:ascii="宋体" w:hAnsi="宋体"/>
          <w:sz w:val="24"/>
        </w:rPr>
        <w:t xml:space="preserve">4</w:t>
      </w:r>
      <w:r>
        <w:rPr>
          <w:rFonts w:hint="eastAsia" w:ascii="宋体" w:hAnsi="宋体"/>
          <w:sz w:val="24"/>
        </w:rPr>
        <w:t xml:space="preserve">小时内到达现场，24小时内解决故障。</w:t>
      </w:r>
      <w:r>
        <w:rPr>
          <w:rFonts w:ascii="宋体" w:hAnsi="宋体"/>
          <w:sz w:val="24"/>
        </w:rPr>
      </w:r>
      <w:r/>
    </w:p>
    <w:p>
      <w:pPr>
        <w:pStyle w:val="857"/>
        <w:ind w:firstLine="480"/>
        <w:spacing w:line="360" w:lineRule="exact"/>
        <w:rPr>
          <w:rFonts w:ascii="宋体" w:hAnsi="宋体"/>
          <w:sz w:val="24"/>
        </w:rPr>
      </w:pPr>
      <w:r>
        <w:rPr>
          <w:rFonts w:ascii="宋体" w:hAnsi="宋体"/>
          <w:sz w:val="24"/>
        </w:rPr>
        <w:t xml:space="preserve">4</w:t>
      </w:r>
      <w:r>
        <w:rPr>
          <w:rFonts w:hint="eastAsia" w:ascii="宋体" w:hAnsi="宋体" w:cs="宋体"/>
          <w:sz w:val="24"/>
        </w:rPr>
        <w:t xml:space="preserve">）</w:t>
      </w:r>
      <w:r>
        <w:rPr>
          <w:rFonts w:hint="eastAsia" w:ascii="宋体" w:hAnsi="宋体"/>
          <w:sz w:val="24"/>
        </w:rPr>
        <w:t xml:space="preserve">热线电话服务提供技术咨询、故障诊断、故障排除、以及现场支持等具体的技术支持工作，并对客户投诉做出相应处理。</w:t>
      </w:r>
      <w:r>
        <w:rPr>
          <w:rFonts w:ascii="宋体" w:hAnsi="宋体"/>
          <w:sz w:val="24"/>
        </w:rPr>
      </w:r>
      <w:r/>
    </w:p>
    <w:p>
      <w:pPr>
        <w:pStyle w:val="897"/>
        <w:ind w:firstLine="480"/>
        <w:spacing w:line="360" w:lineRule="auto"/>
        <w:rPr>
          <w:rFonts w:hAnsi="宋体"/>
          <w:sz w:val="24"/>
        </w:rPr>
      </w:pPr>
      <w:r>
        <w:rPr>
          <w:rFonts w:hAnsi="宋体"/>
          <w:sz w:val="24"/>
        </w:rPr>
        <w:t xml:space="preserve">5</w:t>
      </w:r>
      <w:r>
        <w:rPr>
          <w:rFonts w:hAnsi="宋体" w:cs="宋体"/>
          <w:sz w:val="24"/>
        </w:rPr>
        <w:t xml:space="preserve">）</w:t>
      </w:r>
      <w:r>
        <w:rPr>
          <w:rFonts w:hAnsi="宋体"/>
          <w:sz w:val="24"/>
        </w:rPr>
        <w:t xml:space="preserve">定期巡检及调优系统，复杂的运行环境等种种原因会造成系统性能的逐渐下降。通过定期的技术检查，可及时排除故障隐患，以免问题发生后影响业务运作，还能及时调优系统性能，使系统始终处于高效率运行状态。</w:t>
      </w:r>
      <w:r>
        <w:rPr>
          <w:rFonts w:hAnsi="宋体"/>
          <w:sz w:val="24"/>
        </w:rPr>
      </w:r>
      <w:r/>
    </w:p>
    <w:p>
      <w:pPr>
        <w:pStyle w:val="897"/>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897"/>
        <w:ind w:firstLine="480"/>
        <w:spacing w:line="360" w:lineRule="auto"/>
        <w:rPr>
          <w:rFonts w:hAnsi="宋体" w:cs="宋体"/>
          <w:color w:val="000000"/>
          <w:sz w:val="24"/>
          <w:szCs w:val="24"/>
        </w:rPr>
      </w:pPr>
      <w:r>
        <w:rPr>
          <w:rFonts w:hAnsi="宋体" w:cs="宋体"/>
          <w:sz w:val="24"/>
          <w:szCs w:val="24"/>
        </w:rPr>
        <w:t xml:space="preserve">下列与本次采购活动有关的文件及有</w:t>
      </w:r>
      <w:r>
        <w:rPr>
          <w:rFonts w:hAnsi="宋体" w:cs="宋体"/>
          <w:color w:val="000000"/>
          <w:sz w:val="24"/>
          <w:szCs w:val="24"/>
        </w:rPr>
        <w:t xml:space="preserve">关附件是本合同不可分割的组成部分，与本合同具有同等法律效力，这些文件包括但不限于：</w:t>
      </w:r>
      <w:r/>
    </w:p>
    <w:p>
      <w:pPr>
        <w:pStyle w:val="897"/>
        <w:ind w:firstLine="480"/>
        <w:spacing w:line="360" w:lineRule="auto"/>
        <w:rPr>
          <w:rFonts w:hAnsi="宋体" w:cs="宋体"/>
          <w:color w:val="000000"/>
          <w:sz w:val="24"/>
          <w:szCs w:val="24"/>
        </w:rPr>
      </w:pPr>
      <w:r>
        <w:rPr>
          <w:rFonts w:hAnsi="宋体" w:cs="宋体"/>
          <w:color w:val="000000"/>
          <w:sz w:val="24"/>
          <w:szCs w:val="24"/>
        </w:rPr>
        <w:t xml:space="preserve">（1）招标采购文件（编号：   ）           （2）乙方提供的投标文件； </w:t>
      </w:r>
      <w:r/>
    </w:p>
    <w:p>
      <w:pPr>
        <w:pStyle w:val="897"/>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857"/>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3.结算原则：固定总价</w:t>
      </w:r>
      <w:r>
        <w:rPr>
          <w:rFonts w:ascii="宋体" w:hAnsi="宋体" w:cs="宋体"/>
          <w:b/>
          <w:sz w:val="24"/>
        </w:rPr>
      </w:r>
      <w:r/>
    </w:p>
    <w:p>
      <w:pPr>
        <w:pStyle w:val="857"/>
        <w:ind w:firstLine="482"/>
        <w:spacing w:line="360" w:lineRule="auto"/>
        <w:rPr>
          <w:rFonts w:ascii="宋体" w:hAnsi="宋体" w:cs="宋体"/>
          <w:b/>
          <w:sz w:val="24"/>
        </w:rPr>
      </w:pPr>
      <w:r>
        <w:rPr>
          <w:rFonts w:hint="eastAsia" w:ascii="宋体" w:hAnsi="宋体" w:cs="宋体"/>
          <w:b/>
          <w:sz w:val="24"/>
        </w:rPr>
        <w:t xml:space="preserve">4.付款方式：合同签订后15日内甲方向乙方支付合同总额的30%的预付款；系统到货完成安装调试、投入运行、并经验收合格后，甲方向乙方支付合同总额的70%货款。</w:t>
      </w:r>
      <w:r>
        <w:rPr>
          <w:rFonts w:ascii="宋体" w:hAnsi="宋体" w:cs="宋体"/>
          <w:b/>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第六条 违约责任</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1.如乙方不能按约定进行服务的，甲方有权解除合同，乙方交纳的全部履约保证金不予退还，同时有权要求乙方按照合同总价5%的标准支付违约金，解除合同的通知自发出之日生效。</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 。</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3.乙方未按本合同规定向甲方交付履约保证金的，甲方有权拒绝签订本合同，同时乙方应按应交付履约保证金的100%向甲方支付违约金。</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4.乙方未按本合同的规定和“服务承诺”提供伴随服务的，甲方有权提前解除本合同，同时乙方应按合同总价款的5 %向甲方承担违约责任。</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6.乙方投标属虚假承诺，或是由于乙方的过错造成合同无法继续履行的，除乙方已交履约保证金不予退还外，还应向甲方支付不少于合同总价30%违约金，若该违约金不足以弥补甲方损失，则应当赔偿甲方所有损失。</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7.其他未尽事宜，以《民法典》等有关法律法规规定为准，无相关规定的，双方协商解决。</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857"/>
        <w:ind w:firstLine="482"/>
        <w:spacing w:line="360" w:lineRule="auto"/>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857"/>
        <w:ind w:firstLine="480"/>
        <w:spacing w:line="360" w:lineRule="auto"/>
        <w:rPr>
          <w:rFonts w:ascii="宋体" w:hAnsi="宋体" w:cs="宋体"/>
          <w:color w:val="000000"/>
          <w:sz w:val="24"/>
        </w:rPr>
      </w:pPr>
      <w:r>
        <w:rPr>
          <w:rFonts w:hint="eastAsia" w:ascii="宋体" w:hAnsi="宋体" w:cs="宋体"/>
          <w:sz w:val="24"/>
        </w:rPr>
        <w:t xml:space="preserve">3.本合同应按照中华人民共和国的现行法律进行解释。</w:t>
      </w:r>
      <w:r>
        <w:rPr>
          <w:rFonts w:ascii="宋体" w:hAnsi="宋体" w:cs="宋体"/>
          <w:color w:val="000000"/>
          <w:sz w:val="24"/>
        </w:rPr>
      </w:r>
      <w:r/>
    </w:p>
    <w:p>
      <w:pPr>
        <w:pStyle w:val="857"/>
        <w:jc w:val="left"/>
        <w:spacing w:line="360" w:lineRule="auto"/>
        <w:rPr>
          <w:rFonts w:ascii="宋体" w:hAnsi="宋体" w:cs="宋体"/>
          <w:b/>
          <w:bCs/>
          <w:color w:val="000000"/>
          <w:sz w:val="24"/>
        </w:rPr>
      </w:pPr>
      <w:r>
        <w:rPr>
          <w:rFonts w:ascii="宋体" w:hAnsi="宋体" w:cs="宋体"/>
          <w:b/>
          <w:bCs/>
          <w:color w:val="000000"/>
          <w:sz w:val="24"/>
        </w:rPr>
      </w:r>
      <w:r/>
    </w:p>
    <w:p>
      <w:pPr>
        <w:pStyle w:val="857"/>
        <w:jc w:val="left"/>
        <w:spacing w:line="360" w:lineRule="auto"/>
        <w:rPr>
          <w:rFonts w:ascii="宋体" w:hAnsi="宋体" w:cs="宋体"/>
          <w:color w:val="000000"/>
          <w:sz w:val="24"/>
        </w:rPr>
      </w:pPr>
      <w:r>
        <w:rPr>
          <w:rFonts w:hint="eastAsia" w:ascii="宋体" w:hAnsi="宋体" w:cs="宋体"/>
          <w:b/>
          <w:bCs/>
          <w:color w:val="000000"/>
          <w:sz w:val="24"/>
        </w:rPr>
        <w:t xml:space="preserve">甲    方</w:t>
      </w:r>
      <w:r>
        <w:rPr>
          <w:rFonts w:hint="eastAsia" w:ascii="宋体" w:hAnsi="宋体" w:cs="宋体"/>
          <w:color w:val="000000"/>
          <w:sz w:val="24"/>
        </w:rPr>
        <w:t xml:space="preserve">：                               </w:t>
      </w:r>
      <w:r>
        <w:rPr>
          <w:rFonts w:hint="eastAsia" w:ascii="宋体" w:hAnsi="宋体" w:cs="宋体"/>
          <w:b/>
          <w:bCs/>
          <w:color w:val="000000"/>
          <w:sz w:val="24"/>
        </w:rPr>
        <w:t xml:space="preserve">乙    方</w:t>
      </w:r>
      <w:r>
        <w:rPr>
          <w:rFonts w:hint="eastAsia" w:ascii="宋体" w:hAnsi="宋体" w:cs="宋体"/>
          <w:color w:val="000000"/>
          <w:sz w:val="24"/>
        </w:rPr>
        <w:t xml:space="preserve">：</w:t>
      </w:r>
      <w:r>
        <w:rPr>
          <w:rFonts w:ascii="宋体" w:hAnsi="宋体" w:cs="宋体"/>
          <w:color w:val="000000"/>
          <w:sz w:val="24"/>
        </w:rPr>
      </w:r>
      <w:r/>
    </w:p>
    <w:p>
      <w:pPr>
        <w:pStyle w:val="857"/>
        <w:spacing w:line="360" w:lineRule="auto"/>
        <w:rPr>
          <w:rFonts w:ascii="宋体" w:hAnsi="宋体" w:cs="宋体"/>
          <w:color w:val="000000"/>
          <w:sz w:val="24"/>
          <w:u w:val="single"/>
        </w:rPr>
      </w:pPr>
      <w:r>
        <w:rPr>
          <w:rFonts w:hint="eastAsia" w:ascii="宋体" w:hAnsi="宋体" w:cs="宋体"/>
          <w:color w:val="000000"/>
          <w:sz w:val="24"/>
        </w:rPr>
        <w:t xml:space="preserve">单位名称（章）：                          单位名称（章）：</w:t>
      </w:r>
      <w:r>
        <w:rPr>
          <w:rFonts w:ascii="宋体" w:hAnsi="宋体" w:cs="宋体"/>
          <w:color w:val="000000"/>
          <w:sz w:val="24"/>
          <w:u w:val="single"/>
        </w:rPr>
      </w:r>
      <w:r/>
    </w:p>
    <w:p>
      <w:pPr>
        <w:pStyle w:val="857"/>
        <w:spacing w:line="360" w:lineRule="auto"/>
        <w:rPr>
          <w:rFonts w:ascii="宋体" w:hAnsi="宋体" w:cs="宋体"/>
          <w:color w:val="000000"/>
          <w:sz w:val="24"/>
          <w:u w:val="single"/>
        </w:rPr>
      </w:pPr>
      <w:r>
        <w:rPr>
          <w:rFonts w:hint="eastAsia" w:ascii="宋体" w:hAnsi="宋体" w:cs="宋体"/>
          <w:color w:val="000000"/>
          <w:sz w:val="24"/>
        </w:rPr>
        <w:t xml:space="preserve">单位地址：                               单位地址：</w:t>
      </w:r>
      <w:r>
        <w:rPr>
          <w:rFonts w:ascii="宋体" w:hAnsi="宋体" w:cs="宋体"/>
          <w:color w:val="000000"/>
          <w:sz w:val="24"/>
          <w:u w:val="single"/>
        </w:rPr>
      </w:r>
      <w:r/>
    </w:p>
    <w:p>
      <w:pPr>
        <w:pStyle w:val="857"/>
        <w:spacing w:line="360" w:lineRule="auto"/>
        <w:rPr>
          <w:rFonts w:ascii="宋体" w:hAnsi="宋体" w:cs="宋体"/>
          <w:color w:val="000000"/>
          <w:sz w:val="24"/>
        </w:rPr>
      </w:pPr>
      <w:r>
        <w:rPr>
          <w:rFonts w:hint="eastAsia" w:ascii="宋体" w:hAnsi="宋体" w:cs="宋体"/>
          <w:color w:val="000000"/>
          <w:sz w:val="24"/>
        </w:rPr>
        <w:t xml:space="preserve">法定代表人：       委托代理人：          法定代表人：     委托代理人：                            </w:t>
      </w:r>
      <w:r>
        <w:rPr>
          <w:rFonts w:ascii="宋体" w:hAnsi="宋体" w:cs="宋体"/>
          <w:color w:val="000000"/>
          <w:sz w:val="24"/>
        </w:rPr>
      </w:r>
      <w:r/>
    </w:p>
    <w:p>
      <w:pPr>
        <w:pStyle w:val="857"/>
        <w:spacing w:line="360" w:lineRule="auto"/>
        <w:rPr>
          <w:rFonts w:ascii="宋体" w:hAnsi="宋体" w:cs="宋体"/>
          <w:color w:val="000000"/>
          <w:sz w:val="24"/>
        </w:rPr>
      </w:pPr>
      <w:r>
        <w:rPr>
          <w:rFonts w:hint="eastAsia" w:ascii="宋体" w:hAnsi="宋体" w:cs="宋体"/>
          <w:color w:val="000000"/>
          <w:sz w:val="24"/>
        </w:rPr>
        <w:t xml:space="preserve">电话：                                   电话：            传真：</w:t>
      </w:r>
      <w:r>
        <w:rPr>
          <w:rFonts w:ascii="宋体" w:hAnsi="宋体" w:cs="宋体"/>
          <w:color w:val="000000"/>
          <w:sz w:val="24"/>
        </w:rPr>
      </w:r>
      <w:r/>
    </w:p>
    <w:p>
      <w:pPr>
        <w:pStyle w:val="857"/>
        <w:spacing w:line="360" w:lineRule="auto"/>
        <w:rPr>
          <w:rFonts w:ascii="宋体" w:hAnsi="宋体" w:cs="宋体"/>
          <w:color w:val="000000"/>
          <w:sz w:val="24"/>
        </w:rPr>
      </w:pPr>
      <w:r>
        <w:rPr>
          <w:rFonts w:hint="eastAsia" w:ascii="宋体" w:hAnsi="宋体" w:cs="宋体"/>
          <w:color w:val="000000"/>
          <w:sz w:val="24"/>
        </w:rPr>
        <w:t xml:space="preserve">传真：                                   开户银行：        账号：</w:t>
      </w:r>
      <w:r>
        <w:rPr>
          <w:rFonts w:ascii="宋体" w:hAnsi="宋体" w:cs="宋体"/>
          <w:color w:val="000000"/>
          <w:sz w:val="24"/>
        </w:rPr>
      </w:r>
      <w:r/>
    </w:p>
    <w:p>
      <w:pPr>
        <w:pStyle w:val="857"/>
        <w:jc w:val="center"/>
        <w:spacing w:line="360" w:lineRule="auto"/>
        <w:rPr>
          <w:rFonts w:ascii="宋体" w:hAnsi="宋体"/>
          <w:b/>
          <w:sz w:val="36"/>
          <w:szCs w:val="36"/>
        </w:rPr>
      </w:pPr>
      <w:r>
        <w:rPr>
          <w:rFonts w:ascii="宋体" w:hAnsi="宋体" w:cs="宋体"/>
          <w:color w:val="000000"/>
          <w:sz w:val="24"/>
        </w:rPr>
        <w:br w:type="page" w:clear="all"/>
      </w:r>
      <w:bookmarkStart w:id="820" w:name="_Toc99301426"/>
      <w:r>
        <w:rPr>
          <w:rFonts w:ascii="宋体" w:hAnsi="宋体"/>
          <w:b/>
          <w:sz w:val="36"/>
          <w:szCs w:val="36"/>
        </w:rPr>
        <w:t xml:space="preserve">第七章   投标文件格式</w:t>
      </w:r>
      <w:bookmarkEnd w:id="820"/>
      <w:r>
        <w:rPr>
          <w:rFonts w:ascii="宋体" w:hAnsi="宋体"/>
          <w:b/>
          <w:sz w:val="36"/>
          <w:szCs w:val="36"/>
        </w:rPr>
      </w:r>
      <w:r/>
    </w:p>
    <w:p>
      <w:pPr>
        <w:pStyle w:val="857"/>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7"/>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7"/>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5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57"/>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57"/>
        <w:jc w:val="left"/>
        <w:widowControl/>
        <w:rPr>
          <w:rFonts w:ascii="宋体" w:hAnsi="宋体"/>
          <w:sz w:val="24"/>
        </w:rPr>
      </w:pPr>
      <w:r>
        <w:rPr>
          <w:rFonts w:ascii="宋体" w:hAnsi="宋体"/>
          <w:sz w:val="24"/>
        </w:rPr>
        <w:br w:type="page" w:clear="all"/>
      </w:r>
      <w:r/>
    </w:p>
    <w:p>
      <w:pPr>
        <w:pStyle w:val="857"/>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57"/>
        <w:rPr>
          <w:rFonts w:ascii="宋体" w:hAnsi="宋体"/>
          <w:b/>
          <w:spacing w:val="20"/>
          <w:szCs w:val="21"/>
        </w:rPr>
      </w:pPr>
      <w:r>
        <w:rPr>
          <w:rFonts w:ascii="宋体" w:hAnsi="宋体"/>
          <w:b/>
          <w:spacing w:val="20"/>
          <w:szCs w:val="21"/>
        </w:rPr>
      </w:r>
      <w:r/>
    </w:p>
    <w:p>
      <w:pPr>
        <w:pStyle w:val="857"/>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57"/>
        <w:jc w:val="center"/>
        <w:rPr>
          <w:rFonts w:ascii="宋体" w:hAnsi="宋体"/>
          <w:szCs w:val="21"/>
        </w:rPr>
      </w:pPr>
      <w:r>
        <w:rPr>
          <w:rFonts w:ascii="宋体" w:hAnsi="宋体"/>
          <w:szCs w:val="21"/>
        </w:rPr>
      </w:r>
      <w:r/>
    </w:p>
    <w:p>
      <w:pPr>
        <w:pStyle w:val="857"/>
        <w:jc w:val="center"/>
        <w:rPr>
          <w:rFonts w:ascii="宋体" w:hAnsi="宋体"/>
          <w:b/>
          <w:spacing w:val="60"/>
          <w:sz w:val="84"/>
          <w:szCs w:val="84"/>
        </w:rPr>
      </w:pPr>
      <w:r>
        <w:rPr>
          <w:rFonts w:ascii="宋体" w:hAnsi="宋体"/>
          <w:b/>
          <w:spacing w:val="60"/>
          <w:sz w:val="84"/>
          <w:szCs w:val="84"/>
        </w:rPr>
        <w:t xml:space="preserve">投 标 文 件</w:t>
      </w:r>
      <w:r/>
    </w:p>
    <w:p>
      <w:pPr>
        <w:pStyle w:val="857"/>
        <w:ind w:firstLine="963"/>
        <w:rPr>
          <w:rFonts w:hint="eastAsia" w:ascii="宋体" w:hAnsi="宋体"/>
          <w:b/>
          <w:spacing w:val="60"/>
          <w:sz w:val="52"/>
          <w:szCs w:val="52"/>
        </w:rPr>
      </w:pPr>
      <w:r>
        <w:rPr>
          <w:rFonts w:hint="eastAsia" w:ascii="宋体" w:hAnsi="宋体"/>
          <w:b/>
          <w:spacing w:val="60"/>
          <w:sz w:val="52"/>
          <w:szCs w:val="52"/>
        </w:rPr>
      </w:r>
      <w:r/>
    </w:p>
    <w:p>
      <w:pPr>
        <w:pStyle w:val="857"/>
        <w:ind w:firstLine="963"/>
        <w:rPr>
          <w:rFonts w:hint="eastAsia" w:ascii="宋体" w:hAnsi="宋体"/>
          <w:b/>
          <w:spacing w:val="60"/>
          <w:sz w:val="52"/>
          <w:szCs w:val="52"/>
        </w:rPr>
      </w:pPr>
      <w:r>
        <w:rPr>
          <w:rFonts w:hint="eastAsia" w:ascii="宋体" w:hAnsi="宋体"/>
          <w:b/>
          <w:spacing w:val="60"/>
          <w:sz w:val="52"/>
          <w:szCs w:val="52"/>
        </w:rPr>
      </w:r>
      <w:r/>
    </w:p>
    <w:p>
      <w:pPr>
        <w:pStyle w:val="857"/>
        <w:ind w:firstLine="542"/>
        <w:rPr>
          <w:rFonts w:ascii="宋体" w:hAnsi="宋体"/>
          <w:b/>
          <w:spacing w:val="20"/>
          <w:sz w:val="32"/>
          <w:szCs w:val="32"/>
        </w:rPr>
      </w:pPr>
      <w:r>
        <w:rPr>
          <w:rFonts w:ascii="宋体" w:hAnsi="宋体"/>
          <w:b/>
          <w:spacing w:val="20"/>
          <w:sz w:val="32"/>
          <w:szCs w:val="32"/>
        </w:rPr>
      </w:r>
      <w:r/>
    </w:p>
    <w:p>
      <w:pPr>
        <w:pStyle w:val="857"/>
        <w:ind w:firstLine="542"/>
        <w:rPr>
          <w:rFonts w:ascii="宋体" w:hAnsi="宋体"/>
          <w:b/>
          <w:spacing w:val="20"/>
          <w:sz w:val="32"/>
          <w:szCs w:val="32"/>
        </w:rPr>
      </w:pPr>
      <w:r>
        <w:rPr>
          <w:rFonts w:ascii="宋体" w:hAnsi="宋体"/>
          <w:b/>
          <w:spacing w:val="20"/>
          <w:sz w:val="32"/>
          <w:szCs w:val="32"/>
        </w:rPr>
      </w:r>
      <w:r/>
    </w:p>
    <w:p>
      <w:pPr>
        <w:pStyle w:val="85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7"/>
        <w:jc w:val="center"/>
        <w:rPr>
          <w:rFonts w:ascii="宋体" w:hAnsi="宋体"/>
          <w:b/>
          <w:sz w:val="32"/>
          <w:szCs w:val="32"/>
        </w:rPr>
      </w:pPr>
      <w:r>
        <w:rPr>
          <w:rFonts w:ascii="宋体" w:hAnsi="宋体"/>
          <w:b/>
          <w:sz w:val="32"/>
          <w:szCs w:val="32"/>
        </w:rPr>
      </w:r>
      <w:r/>
    </w:p>
    <w:p>
      <w:pPr>
        <w:pStyle w:val="857"/>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57"/>
        <w:rPr>
          <w:rFonts w:ascii="宋体" w:hAnsi="宋体"/>
          <w:b/>
        </w:rPr>
      </w:pPr>
      <w:r>
        <w:rPr>
          <w:rFonts w:ascii="宋体" w:hAnsi="宋体"/>
          <w:b/>
        </w:rPr>
      </w:r>
      <w:r/>
    </w:p>
    <w:p>
      <w:pPr>
        <w:pStyle w:val="857"/>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860"/>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85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致：常州市城投建设工程招标有限公司</w:t>
      </w:r>
      <w:r>
        <w:rPr>
          <w:rFonts w:hAnsi="宋体"/>
        </w:rPr>
      </w:r>
      <w:r/>
    </w:p>
    <w:p>
      <w:pPr>
        <w:pStyle w:val="872"/>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72"/>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72"/>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72"/>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72"/>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72"/>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72"/>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72"/>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72"/>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72"/>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72"/>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72"/>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72"/>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72"/>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72"/>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                                            投标人：（加盖公章）</w:t>
      </w:r>
      <w:r>
        <w:rPr>
          <w:rFonts w:hAnsi="宋体"/>
        </w:rPr>
      </w:r>
      <w:r/>
    </w:p>
    <w:p>
      <w:pPr>
        <w:pStyle w:val="872"/>
        <w:ind w:firstLine="480"/>
        <w:spacing w:line="460" w:lineRule="exact"/>
        <w:rPr>
          <w:rFonts w:hAnsi="宋体"/>
        </w:rPr>
      </w:pPr>
      <w:r>
        <w:rPr>
          <w:rFonts w:hint="eastAsia" w:hAnsi="宋体"/>
        </w:rPr>
        <w:t xml:space="preserve">                                           法定代表人（或单位负责人）签字或盖章：</w:t>
      </w:r>
      <w:r>
        <w:rPr>
          <w:rFonts w:hAnsi="宋体"/>
        </w:rPr>
      </w:r>
      <w:r/>
    </w:p>
    <w:p>
      <w:pPr>
        <w:pStyle w:val="872"/>
        <w:ind w:firstLine="4920"/>
        <w:spacing w:line="460" w:lineRule="exact"/>
        <w:rPr>
          <w:rFonts w:hint="eastAsia" w:hAnsi="宋体"/>
        </w:rPr>
      </w:pPr>
      <w:r>
        <w:rPr>
          <w:rFonts w:hint="eastAsia" w:hAnsi="宋体"/>
        </w:rPr>
        <w:t xml:space="preserve">日期：    年    月    日</w:t>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57"/>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57"/>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p>
    <w:p>
      <w:pPr>
        <w:pStyle w:val="857"/>
        <w:spacing w:line="360" w:lineRule="auto"/>
        <w:rPr>
          <w:rFonts w:ascii="宋体" w:hAnsi="宋体"/>
          <w:b/>
          <w:color w:val="000000"/>
          <w:sz w:val="24"/>
          <w:szCs w:val="20"/>
        </w:rPr>
        <w:outlineLvl w:val="2"/>
      </w:pPr>
      <w:r>
        <w:rPr>
          <w:rFonts w:ascii="宋体" w:hAnsi="宋体"/>
          <w:b/>
          <w:color w:val="000000"/>
          <w:sz w:val="24"/>
          <w:szCs w:val="20"/>
        </w:rPr>
        <w:t xml:space="preserve">2-1</w:t>
      </w:r>
      <w:r>
        <w:rPr>
          <w:rFonts w:hint="eastAsia" w:ascii="宋体" w:hAnsi="宋体"/>
          <w:b/>
          <w:color w:val="000000"/>
          <w:sz w:val="24"/>
          <w:szCs w:val="20"/>
        </w:rPr>
        <w:t xml:space="preserve"> </w:t>
      </w:r>
      <w:r>
        <w:rPr>
          <w:rFonts w:ascii="宋体" w:hAnsi="宋体"/>
          <w:b/>
          <w:sz w:val="24"/>
        </w:rPr>
        <w:t xml:space="preserve">其它落实政府采购政策的资格要求</w:t>
      </w:r>
      <w:r>
        <w:rPr>
          <w:rFonts w:ascii="宋体" w:hAnsi="宋体"/>
          <w:b/>
          <w:color w:val="000000"/>
          <w:sz w:val="24"/>
          <w:szCs w:val="20"/>
        </w:rPr>
        <w:t xml:space="preserve">（如有）</w:t>
      </w:r>
      <w:r/>
    </w:p>
    <w:p>
      <w:pPr>
        <w:pStyle w:val="857"/>
        <w:jc w:val="left"/>
        <w:widowControl/>
        <w:rPr>
          <w:rFonts w:ascii="宋体" w:hAnsi="宋体"/>
          <w:sz w:val="24"/>
        </w:rPr>
      </w:pPr>
      <w:r>
        <w:rPr>
          <w:rFonts w:ascii="宋体" w:hAnsi="宋体"/>
          <w:sz w:val="24"/>
        </w:rPr>
      </w:r>
      <w:r/>
    </w:p>
    <w:p>
      <w:pPr>
        <w:pStyle w:val="857"/>
        <w:spacing w:line="360" w:lineRule="auto"/>
        <w:rPr>
          <w:rFonts w:ascii="宋体" w:hAnsi="宋体"/>
          <w:b/>
          <w:sz w:val="24"/>
        </w:rPr>
        <w:outlineLvl w:val="2"/>
      </w:pPr>
      <w:r>
        <w:rPr>
          <w:rFonts w:ascii="宋体" w:hAnsi="宋体"/>
          <w:b/>
          <w:color w:val="000000"/>
          <w:sz w:val="24"/>
          <w:szCs w:val="20"/>
        </w:rPr>
        <w:t xml:space="preserve">3 本项目的特定资格要求（如有）</w:t>
      </w:r>
      <w:r>
        <w:rPr>
          <w:rFonts w:ascii="宋体" w:hAnsi="宋体"/>
          <w:b/>
          <w:sz w:val="24"/>
        </w:rPr>
      </w:r>
      <w:r/>
    </w:p>
    <w:p>
      <w:pPr>
        <w:pStyle w:val="857"/>
        <w:spacing w:line="360" w:lineRule="auto"/>
        <w:rPr>
          <w:rFonts w:hint="eastAsia" w:ascii="宋体" w:hAnsi="宋体"/>
          <w:b/>
          <w:color w:val="000000"/>
          <w:sz w:val="24"/>
          <w:szCs w:val="20"/>
        </w:rPr>
        <w:outlineLvl w:val="2"/>
      </w:pPr>
      <w:r>
        <w:rPr>
          <w:rFonts w:ascii="宋体" w:hAnsi="宋体"/>
          <w:b/>
          <w:color w:val="000000"/>
          <w:sz w:val="24"/>
          <w:szCs w:val="20"/>
        </w:rPr>
        <w:t xml:space="preserve">3-1 其他特定资格要求</w:t>
      </w:r>
      <w:r>
        <w:rPr>
          <w:rFonts w:hint="eastAsia" w:ascii="宋体" w:hAnsi="宋体"/>
          <w:b/>
          <w:color w:val="000000"/>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1" w:name="_Toc142311058"/>
      <w:r/>
      <w:bookmarkStart w:id="822" w:name="_Ref467988698"/>
      <w:r/>
      <w:bookmarkStart w:id="823" w:name="_Toc195842921"/>
      <w:r/>
      <w:bookmarkStart w:id="824" w:name="_Toc150774761"/>
      <w:r/>
      <w:bookmarkStart w:id="825" w:name="_Toc520356217"/>
      <w:r/>
      <w:bookmarkStart w:id="826" w:name="_Toc226965829"/>
      <w:r/>
      <w:bookmarkStart w:id="827" w:name="_Toc226965746"/>
      <w:r/>
      <w:bookmarkStart w:id="828" w:name="_Toc150480794"/>
      <w:r/>
      <w:bookmarkStart w:id="829" w:name="_Toc226309800"/>
      <w:r/>
      <w:bookmarkStart w:id="830" w:name="_Toc226337252"/>
      <w:r/>
      <w:bookmarkStart w:id="831" w:name="_Toc127151556"/>
      <w:r/>
      <w:bookmarkStart w:id="832" w:name="_Toc480942349"/>
      <w:r>
        <w:rPr>
          <w:rFonts w:hint="eastAsia" w:ascii="宋体" w:hAnsi="宋体"/>
          <w:b/>
          <w:sz w:val="32"/>
          <w:szCs w:val="32"/>
        </w:rPr>
      </w:r>
      <w:r/>
    </w:p>
    <w:p>
      <w:pPr>
        <w:pStyle w:val="857"/>
        <w:jc w:val="center"/>
        <w:widowControl/>
        <w:rPr>
          <w:rFonts w:hint="eastAsia" w:ascii="宋体" w:hAnsi="宋体"/>
          <w:b/>
          <w:sz w:val="32"/>
          <w:szCs w:val="32"/>
        </w:rPr>
      </w:pPr>
      <w:r>
        <w:rPr>
          <w:rFonts w:hint="eastAsia" w:ascii="宋体" w:hAnsi="宋体"/>
          <w:b/>
          <w:sz w:val="32"/>
          <w:szCs w:val="32"/>
        </w:rPr>
      </w:r>
      <w:r/>
    </w:p>
    <w:p>
      <w:pPr>
        <w:pStyle w:val="857"/>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ascii="宋体" w:hAnsi="宋体"/>
          <w:b/>
          <w:color w:val="000000"/>
          <w:sz w:val="24"/>
        </w:rPr>
        <w:t xml:space="preserve">函</w:t>
      </w:r>
      <w:r>
        <w:rPr>
          <w:rFonts w:ascii="宋体" w:hAnsi="宋体"/>
          <w:b/>
          <w:color w:val="000000"/>
          <w:sz w:val="24"/>
          <w:szCs w:val="20"/>
        </w:rPr>
        <w:t xml:space="preserve">（实质性格式）</w:t>
      </w:r>
      <w:r/>
    </w:p>
    <w:p>
      <w:pPr>
        <w:pStyle w:val="857"/>
        <w:spacing w:line="360" w:lineRule="auto"/>
        <w:tabs>
          <w:tab w:val="left" w:pos="5580" w:leader="none"/>
        </w:tabs>
        <w:rPr>
          <w:rFonts w:ascii="宋体" w:hAnsi="宋体"/>
          <w:color w:val="000000"/>
          <w:sz w:val="24"/>
        </w:rPr>
      </w:pPr>
      <w:r>
        <w:rPr>
          <w:rFonts w:ascii="宋体" w:hAnsi="宋体"/>
          <w:color w:val="000000"/>
          <w:sz w:val="24"/>
        </w:rPr>
      </w:r>
      <w:r/>
    </w:p>
    <w:p>
      <w:pPr>
        <w:pStyle w:val="857"/>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857"/>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857"/>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7"/>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p>
    <w:p>
      <w:pPr>
        <w:pStyle w:val="857"/>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p>
    <w:p>
      <w:pPr>
        <w:pStyle w:val="857"/>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sz w:val="24"/>
        </w:rPr>
        <w:t xml:space="preserve">60</w:t>
      </w:r>
      <w:r>
        <w:rPr>
          <w:rFonts w:ascii="宋体" w:hAnsi="宋体"/>
          <w:color w:val="000000"/>
          <w:sz w:val="24"/>
          <w:szCs w:val="20"/>
        </w:rPr>
        <w:t xml:space="preserve">个日历日。</w:t>
      </w:r>
      <w:r/>
    </w:p>
    <w:p>
      <w:pPr>
        <w:pStyle w:val="857"/>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p>
    <w:p>
      <w:pPr>
        <w:pStyle w:val="857"/>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p>
    <w:p>
      <w:pPr>
        <w:pStyle w:val="857"/>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857"/>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p>
    <w:p>
      <w:pPr>
        <w:pStyle w:val="857"/>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p>
    <w:p>
      <w:pPr>
        <w:pStyle w:val="857"/>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7"/>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p>
    <w:p>
      <w:pPr>
        <w:pStyle w:val="857"/>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p>
    <w:p>
      <w:pPr>
        <w:pStyle w:val="857"/>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7"/>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p>
    <w:p>
      <w:pPr>
        <w:pStyle w:val="857"/>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p>
    <w:p>
      <w:pPr>
        <w:pStyle w:val="857"/>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857"/>
        <w:jc w:val="left"/>
        <w:widowControl/>
        <w:rPr>
          <w:rFonts w:hint="eastAsia" w:ascii="宋体" w:hAnsi="宋体"/>
          <w:b/>
          <w:color w:val="000000"/>
          <w:sz w:val="24"/>
        </w:rPr>
      </w:pPr>
      <w:r/>
      <w:bookmarkStart w:id="833" w:name="_Hlt520355938"/>
      <w:r/>
      <w:bookmarkEnd w:id="833"/>
      <w:r/>
      <w:bookmarkStart w:id="834" w:name="_Hlt520356243"/>
      <w:r/>
      <w:bookmarkEnd w:id="834"/>
      <w:r>
        <w:rPr>
          <w:rFonts w:ascii="宋体" w:hAnsi="宋体"/>
          <w:color w:val="000000"/>
          <w:sz w:val="24"/>
        </w:rPr>
        <w:br w:type="page" w:clear="all"/>
      </w:r>
      <w:r>
        <w:rPr>
          <w:rFonts w:hint="eastAsia" w:ascii="宋体" w:hAnsi="宋体"/>
          <w:b/>
          <w:color w:val="000000"/>
          <w:sz w:val="24"/>
        </w:rPr>
      </w:r>
      <w:r/>
    </w:p>
    <w:p>
      <w:pPr>
        <w:pStyle w:val="857"/>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857"/>
        <w:jc w:val="center"/>
        <w:spacing w:line="360" w:lineRule="auto"/>
        <w:rPr>
          <w:rFonts w:hint="eastAsia" w:ascii="宋体" w:hAnsi="宋体"/>
          <w:b/>
          <w:sz w:val="32"/>
          <w:szCs w:val="32"/>
        </w:rPr>
      </w:pPr>
      <w:r>
        <w:rPr>
          <w:rFonts w:hint="eastAsia" w:ascii="宋体" w:hAnsi="宋体"/>
          <w:b/>
          <w:sz w:val="32"/>
          <w:szCs w:val="32"/>
        </w:rPr>
      </w:r>
      <w:r/>
    </w:p>
    <w:p>
      <w:pPr>
        <w:pStyle w:val="85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7"/>
        <w:spacing w:line="560" w:lineRule="exact"/>
        <w:rPr>
          <w:rFonts w:ascii="宋体" w:hAnsi="宋体"/>
          <w:sz w:val="24"/>
        </w:rPr>
      </w:pPr>
      <w:r>
        <w:rPr>
          <w:rFonts w:ascii="宋体" w:hAnsi="宋体"/>
          <w:sz w:val="24"/>
        </w:rPr>
      </w:r>
      <w:r/>
    </w:p>
    <w:p>
      <w:pPr>
        <w:pStyle w:val="889"/>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7"/>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5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7"/>
        <w:jc w:val="left"/>
        <w:widowControl/>
        <w:rPr>
          <w:rFonts w:hint="eastAsia" w:ascii="宋体" w:hAnsi="宋体"/>
          <w:color w:val="000000"/>
          <w:sz w:val="24"/>
        </w:rPr>
      </w:pPr>
      <w:r>
        <w:rPr>
          <w:rFonts w:hint="eastAsia" w:ascii="宋体" w:hAnsi="宋体"/>
          <w:color w:val="000000"/>
          <w:sz w:val="24"/>
        </w:rPr>
      </w:r>
      <w:r/>
    </w:p>
    <w:p>
      <w:pPr>
        <w:pStyle w:val="857"/>
        <w:jc w:val="left"/>
        <w:widowControl/>
        <w:rPr>
          <w:rFonts w:hint="eastAsia" w:ascii="宋体" w:hAnsi="宋体"/>
          <w:color w:val="000000"/>
          <w:sz w:val="24"/>
        </w:rPr>
      </w:pPr>
      <w:r>
        <w:rPr>
          <w:rFonts w:hint="eastAsia" w:ascii="宋体" w:hAnsi="宋体"/>
          <w:color w:val="000000"/>
          <w:sz w:val="24"/>
        </w:rPr>
      </w:r>
      <w:r/>
    </w:p>
    <w:p>
      <w:pPr>
        <w:pStyle w:val="857"/>
        <w:jc w:val="left"/>
        <w:widowControl/>
        <w:rPr>
          <w:rFonts w:hint="eastAsia" w:ascii="宋体" w:hAnsi="宋体"/>
          <w:color w:val="000000"/>
          <w:sz w:val="24"/>
        </w:rPr>
      </w:pPr>
      <w:r>
        <w:rPr>
          <w:rFonts w:hint="eastAsia" w:ascii="宋体" w:hAnsi="宋体"/>
          <w:color w:val="000000"/>
          <w:sz w:val="24"/>
        </w:rPr>
      </w:r>
      <w:r/>
    </w:p>
    <w:p>
      <w:pPr>
        <w:pStyle w:val="857"/>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pStyle w:val="857"/>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57"/>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57"/>
        <w:jc w:val="left"/>
        <w:widowControl/>
        <w:rPr>
          <w:rFonts w:hint="eastAsia" w:ascii="宋体" w:hAnsi="宋体"/>
          <w:color w:val="000000"/>
          <w:sz w:val="24"/>
        </w:rPr>
      </w:pPr>
      <w:r>
        <w:rPr>
          <w:rFonts w:hint="eastAsia" w:ascii="宋体" w:hAnsi="宋体"/>
          <w:color w:val="000000"/>
          <w:sz w:val="24"/>
        </w:rPr>
      </w:r>
      <w:r/>
    </w:p>
    <w:p>
      <w:pPr>
        <w:pStyle w:val="857"/>
        <w:jc w:val="left"/>
        <w:widowControl/>
        <w:rPr>
          <w:rFonts w:hint="eastAsia" w:ascii="宋体" w:hAnsi="宋体"/>
          <w:color w:val="000000"/>
          <w:sz w:val="24"/>
        </w:rPr>
      </w:pPr>
      <w:r>
        <w:rPr>
          <w:rFonts w:hint="eastAsia" w:ascii="宋体" w:hAnsi="宋体"/>
          <w:color w:val="000000"/>
          <w:sz w:val="24"/>
        </w:rPr>
      </w:r>
      <w:r/>
    </w:p>
    <w:p>
      <w:pPr>
        <w:pStyle w:val="857"/>
        <w:spacing w:line="360" w:lineRule="auto"/>
        <w:rPr>
          <w:rFonts w:ascii="宋体" w:hAnsi="宋体"/>
          <w:b/>
          <w:color w:val="ff0000"/>
          <w:sz w:val="24"/>
        </w:rPr>
        <w:outlineLvl w:val="2"/>
      </w:pPr>
      <w:r>
        <w:rPr>
          <w:rFonts w:hint="eastAsia" w:ascii="宋体" w:hAnsi="宋体"/>
          <w:b/>
          <w:color w:val="ff0000"/>
          <w:sz w:val="24"/>
        </w:rPr>
        <w:t xml:space="preserve">3</w:t>
      </w:r>
      <w:r>
        <w:rPr>
          <w:rFonts w:ascii="宋体" w:hAnsi="宋体"/>
          <w:b/>
          <w:color w:val="ff0000"/>
          <w:sz w:val="24"/>
        </w:rPr>
        <w:t xml:space="preserve">  </w:t>
      </w:r>
      <w:r>
        <w:rPr>
          <w:rFonts w:hint="eastAsia" w:ascii="宋体" w:hAnsi="宋体"/>
          <w:b/>
          <w:color w:val="ff0000"/>
          <w:sz w:val="24"/>
        </w:rPr>
        <w:t xml:space="preserve">授权委托书（实质性格式）</w:t>
      </w:r>
      <w:r>
        <w:rPr>
          <w:rFonts w:ascii="宋体" w:hAnsi="宋体"/>
          <w:b/>
          <w:color w:val="ff0000"/>
          <w:sz w:val="24"/>
        </w:rPr>
      </w:r>
      <w:r/>
    </w:p>
    <w:p>
      <w:pPr>
        <w:pStyle w:val="857"/>
        <w:jc w:val="center"/>
        <w:rPr>
          <w:rFonts w:hint="eastAsia" w:ascii="宋体" w:hAnsi="宋体"/>
          <w:b/>
          <w:sz w:val="32"/>
          <w:szCs w:val="32"/>
        </w:rPr>
      </w:pPr>
      <w:r>
        <w:rPr>
          <w:rFonts w:hint="eastAsia" w:ascii="宋体" w:hAnsi="宋体"/>
          <w:b/>
          <w:sz w:val="32"/>
          <w:szCs w:val="32"/>
        </w:rPr>
      </w:r>
      <w:r/>
    </w:p>
    <w:p>
      <w:pPr>
        <w:pStyle w:val="1110"/>
        <w:jc w:val="center"/>
        <w:spacing w:line="480" w:lineRule="auto"/>
        <w:rPr>
          <w:rFonts w:cs="宋体"/>
          <w:sz w:val="24"/>
        </w:rPr>
      </w:pPr>
      <w:r>
        <w:rPr>
          <w:rFonts w:hint="eastAsia"/>
          <w:b/>
          <w:sz w:val="36"/>
          <w:szCs w:val="36"/>
        </w:rPr>
        <w:t xml:space="preserve">授权委托书</w:t>
      </w:r>
      <w:r>
        <w:rPr>
          <w:rFonts w:cs="宋体"/>
          <w:sz w:val="24"/>
        </w:rPr>
      </w:r>
      <w:r/>
    </w:p>
    <w:p>
      <w:pPr>
        <w:pStyle w:val="857"/>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57"/>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57"/>
        <w:spacing w:line="400" w:lineRule="exact"/>
        <w:rPr>
          <w:rFonts w:hint="eastAsia" w:ascii="宋体" w:hAnsi="宋体" w:cs="宋体"/>
          <w:szCs w:val="21"/>
        </w:rPr>
      </w:pPr>
      <w:r>
        <w:rPr>
          <w:rFonts w:hint="eastAsia" w:ascii="宋体" w:hAnsi="宋体" w:cs="宋体"/>
          <w:szCs w:val="21"/>
        </w:rPr>
      </w:r>
      <w:r/>
    </w:p>
    <w:p>
      <w:pPr>
        <w:pStyle w:val="857"/>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57"/>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36"/>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57"/>
        <w:spacing w:line="400" w:lineRule="exact"/>
        <w:rPr>
          <w:rFonts w:ascii="宋体" w:hAnsi="宋体" w:cs="宋体"/>
          <w:sz w:val="24"/>
        </w:rPr>
      </w:pPr>
      <w:r>
        <w:rPr>
          <w:rFonts w:ascii="宋体" w:hAnsi="宋体" w:cs="宋体"/>
          <w:sz w:val="24"/>
        </w:rPr>
      </w:r>
      <w:r/>
    </w:p>
    <w:p>
      <w:pPr>
        <w:pStyle w:val="889"/>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tc>
      </w:tr>
    </w:tbl>
    <w:p>
      <w:pPr>
        <w:pStyle w:val="889"/>
        <w:ind w:right="-46"/>
        <w:spacing w:line="583" w:lineRule="auto"/>
        <w:rPr>
          <w:rFonts w:hint="eastAsia"/>
          <w:b/>
          <w:bCs/>
        </w:rPr>
      </w:pPr>
      <w:r>
        <w:rPr>
          <w:rFonts w:hint="eastAsia"/>
          <w:b/>
          <w:bCs/>
        </w:rPr>
        <w:t xml:space="preserve">投标人近三个月内任意一个月（自开标之日往前推）为其缴纳社保的记录</w:t>
      </w:r>
      <w:r/>
    </w:p>
    <w:p>
      <w:pPr>
        <w:pStyle w:val="857"/>
        <w:spacing w:line="360" w:lineRule="auto"/>
        <w:rPr>
          <w:rFonts w:hint="eastAsia" w:ascii="宋体" w:hAnsi="宋体" w:cs="宋体"/>
          <w:szCs w:val="21"/>
        </w:rPr>
      </w:pPr>
      <w:r>
        <w:rPr>
          <w:rFonts w:hint="eastAsia" w:ascii="宋体" w:hAnsi="宋体" w:cs="宋体"/>
          <w:szCs w:val="21"/>
        </w:rPr>
      </w:r>
      <w:r/>
    </w:p>
    <w:p>
      <w:pPr>
        <w:pStyle w:val="857"/>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57"/>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10"/>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57"/>
        <w:jc w:val="left"/>
        <w:widowControl/>
        <w:rPr>
          <w:rFonts w:hint="eastAsia" w:ascii="宋体" w:hAnsi="宋体"/>
          <w:color w:val="000000"/>
          <w:sz w:val="24"/>
        </w:rPr>
      </w:pPr>
      <w:r>
        <w:rPr>
          <w:rFonts w:hint="eastAsia" w:ascii="宋体" w:hAnsi="宋体"/>
          <w:color w:val="000000"/>
          <w:sz w:val="24"/>
        </w:rPr>
      </w:r>
      <w:r/>
    </w:p>
    <w:p>
      <w:pPr>
        <w:pStyle w:val="857"/>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857"/>
        <w:ind w:firstLine="321"/>
        <w:jc w:val="center"/>
        <w:spacing w:line="560" w:lineRule="exact"/>
        <w:rPr>
          <w:rFonts w:hint="eastAsia" w:ascii="宋体" w:hAnsi="宋体"/>
          <w:b/>
          <w:sz w:val="32"/>
          <w:szCs w:val="32"/>
        </w:rPr>
      </w:pPr>
      <w:r>
        <w:rPr>
          <w:rFonts w:hint="eastAsia" w:ascii="宋体" w:hAnsi="宋体"/>
          <w:b/>
          <w:sz w:val="32"/>
          <w:szCs w:val="32"/>
        </w:rPr>
      </w:r>
      <w:r/>
    </w:p>
    <w:p>
      <w:pPr>
        <w:pStyle w:val="857"/>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57"/>
        <w:ind w:firstLine="640"/>
        <w:rPr>
          <w:rFonts w:ascii="宋体" w:hAnsi="宋体"/>
        </w:rPr>
      </w:pPr>
      <w:r>
        <w:rPr>
          <w:rFonts w:ascii="宋体" w:hAnsi="宋体"/>
        </w:rPr>
      </w:r>
      <w:r/>
    </w:p>
    <w:p>
      <w:pPr>
        <w:pStyle w:val="85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pStyle w:val="85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857"/>
        <w:spacing w:line="360" w:lineRule="auto"/>
        <w:rPr>
          <w:rFonts w:ascii="宋体" w:hAnsi="宋体"/>
          <w:b/>
          <w:color w:val="000000"/>
          <w:sz w:val="24"/>
          <w:szCs w:val="20"/>
        </w:rPr>
        <w:outlineLvl w:val="2"/>
      </w:pPr>
      <w:r/>
      <w:bookmarkStart w:id="835" w:name="_Hlt520343392"/>
      <w:r/>
      <w:bookmarkEnd w:id="835"/>
      <w:r/>
      <w:bookmarkStart w:id="836" w:name="_Hlt520273711"/>
      <w:r/>
      <w:bookmarkEnd w:id="836"/>
      <w:r/>
      <w:bookmarkStart w:id="837" w:name="_Hlt520355504"/>
      <w:r/>
      <w:bookmarkEnd w:id="837"/>
      <w:r/>
      <w:bookmarkStart w:id="838" w:name="_Hlt520350918"/>
      <w:r/>
      <w:bookmarkEnd w:id="838"/>
      <w:r/>
      <w:bookmarkStart w:id="839" w:name="_Hlt520274065"/>
      <w:r/>
      <w:bookmarkEnd w:id="839"/>
      <w:r/>
      <w:bookmarkStart w:id="840" w:name="_Hlt520343000"/>
      <w:r/>
      <w:bookmarkEnd w:id="840"/>
      <w:r/>
      <w:bookmarkStart w:id="841" w:name="_Hlt520271212"/>
      <w:r/>
      <w:bookmarkEnd w:id="841"/>
      <w:r/>
      <w:bookmarkStart w:id="842" w:name="_Hlt520274121"/>
      <w:r/>
      <w:bookmarkEnd w:id="842"/>
      <w:r/>
      <w:bookmarkStart w:id="843" w:name="_Hlt520274407"/>
      <w:r/>
      <w:bookmarkEnd w:id="843"/>
      <w:r/>
      <w:bookmarkStart w:id="844" w:name="_Hlt520274393"/>
      <w:r/>
      <w:bookmarkEnd w:id="844"/>
      <w:r/>
      <w:bookmarkStart w:id="845" w:name="_Toc226337253"/>
      <w:r/>
      <w:bookmarkStart w:id="846" w:name="_Toc195842922"/>
      <w:r/>
      <w:bookmarkStart w:id="847" w:name="_Toc520356218"/>
      <w:r/>
      <w:bookmarkStart w:id="848" w:name="_Toc305158825"/>
      <w:r/>
      <w:bookmarkStart w:id="849" w:name="_Toc127151557"/>
      <w:r/>
      <w:bookmarkStart w:id="850" w:name="_Toc226309801"/>
      <w:r/>
      <w:bookmarkStart w:id="851" w:name="_Toc226965747"/>
      <w:r/>
      <w:bookmarkStart w:id="852" w:name="_Ref467988705"/>
      <w:r/>
      <w:bookmarkStart w:id="853" w:name="_Toc264969247"/>
      <w:r/>
      <w:bookmarkStart w:id="854" w:name="_Toc480942350"/>
      <w:r/>
      <w:bookmarkStart w:id="855" w:name="_Toc142311059"/>
      <w:r/>
      <w:bookmarkStart w:id="856" w:name="_Toc226965830"/>
      <w:r/>
      <w:bookmarkStart w:id="857" w:name="_Toc150774762"/>
      <w:r/>
      <w:bookmarkStart w:id="858" w:name="_Toc305158899"/>
      <w:r/>
      <w:bookmarkStart w:id="859" w:name="_Toc265228395"/>
      <w:r/>
      <w:bookmarkStart w:id="860" w:name="_Toc150480795"/>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ascii="宋体" w:hAnsi="宋体"/>
          <w:b/>
          <w:color w:val="000000"/>
          <w:sz w:val="24"/>
        </w:rPr>
        <w:t xml:space="preserve">（实质性格式）</w:t>
      </w:r>
      <w:r>
        <w:rPr>
          <w:rFonts w:ascii="宋体" w:hAnsi="宋体"/>
          <w:b/>
          <w:color w:val="000000"/>
          <w:sz w:val="24"/>
          <w:szCs w:val="20"/>
        </w:rPr>
      </w:r>
      <w:r/>
    </w:p>
    <w:p>
      <w:pPr>
        <w:pStyle w:val="857"/>
        <w:jc w:val="center"/>
        <w:spacing w:line="360" w:lineRule="exact"/>
        <w:rPr>
          <w:rFonts w:ascii="宋体" w:hAnsi="宋体"/>
          <w:b/>
          <w:color w:val="000000"/>
          <w:sz w:val="36"/>
          <w:szCs w:val="36"/>
        </w:rPr>
      </w:pPr>
      <w:r/>
      <w:bookmarkStart w:id="861" w:name="_Toc305158826"/>
      <w:r/>
      <w:bookmarkStart w:id="862" w:name="_Toc195842923"/>
      <w:r/>
      <w:bookmarkStart w:id="863" w:name="_Toc164608827"/>
      <w:r/>
      <w:bookmarkStart w:id="864" w:name="_Toc226337254"/>
      <w:r/>
      <w:bookmarkStart w:id="865" w:name="_Toc226965748"/>
      <w:r/>
      <w:bookmarkStart w:id="866" w:name="_Toc265228396"/>
      <w:r/>
      <w:bookmarkStart w:id="867" w:name="_Toc226965831"/>
      <w:r/>
      <w:bookmarkStart w:id="868" w:name="_Toc164608672"/>
      <w:r/>
      <w:bookmarkStart w:id="869" w:name="_Toc264969248"/>
      <w:r/>
      <w:bookmarkStart w:id="870" w:name="_Toc305158900"/>
      <w:r/>
      <w:bookmarkStart w:id="871" w:name="_Toc226309802"/>
      <w:r>
        <w:rPr>
          <w:rFonts w:hint="eastAsia" w:ascii="宋体" w:hAnsi="宋体"/>
          <w:b/>
          <w:color w:val="000000"/>
          <w:sz w:val="36"/>
          <w:szCs w:val="36"/>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Pr>
          <w:rFonts w:ascii="宋体" w:hAnsi="宋体"/>
          <w:b/>
          <w:color w:val="000000"/>
          <w:sz w:val="36"/>
          <w:szCs w:val="36"/>
        </w:rPr>
      </w:r>
      <w:r/>
    </w:p>
    <w:p>
      <w:pPr>
        <w:pStyle w:val="857"/>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857"/>
        <w:jc w:val="left"/>
        <w:spacing w:line="360" w:lineRule="auto"/>
        <w:tabs>
          <w:tab w:val="left" w:pos="1800" w:leader="none"/>
          <w:tab w:val="left" w:pos="5580" w:leader="none"/>
        </w:tabs>
        <w:rPr>
          <w:rFonts w:ascii="宋体" w:hAnsi="宋体"/>
          <w:i/>
          <w:color w:val="ff0000"/>
          <w:sz w:val="24"/>
        </w:rPr>
      </w:pPr>
      <w:r>
        <w:rPr>
          <w:rFonts w:hint="eastAsia" w:ascii="宋体" w:hAnsi="宋体"/>
          <w:i/>
          <w:color w:val="ff0000"/>
          <w:sz w:val="24"/>
        </w:rPr>
        <w:t xml:space="preserve">（格式示例：适用于投报总价的项目）</w:t>
      </w:r>
      <w:r>
        <w:rPr>
          <w:rFonts w:ascii="宋体" w:hAnsi="宋体"/>
          <w:i/>
          <w:color w:val="ff0000"/>
          <w:sz w:val="24"/>
        </w:rPr>
      </w:r>
      <w:r/>
    </w:p>
    <w:p>
      <w:pPr>
        <w:pStyle w:val="857"/>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57"/>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57"/>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r>
    </w:tbl>
    <w:p>
      <w:pPr>
        <w:pStyle w:val="857"/>
        <w:jc w:val="left"/>
        <w:rPr>
          <w:rFonts w:ascii="宋体" w:hAnsi="宋体"/>
          <w:color w:val="000000"/>
          <w:sz w:val="24"/>
        </w:rPr>
      </w:pPr>
      <w:r>
        <w:rPr>
          <w:rFonts w:ascii="宋体" w:hAnsi="宋体"/>
          <w:color w:val="000000"/>
          <w:sz w:val="24"/>
        </w:rPr>
      </w:r>
      <w:r/>
    </w:p>
    <w:p>
      <w:pPr>
        <w:pStyle w:val="857"/>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p>
    <w:p>
      <w:pPr>
        <w:pStyle w:val="857"/>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p>
    <w:p>
      <w:pPr>
        <w:pStyle w:val="857"/>
        <w:spacing w:before="25" w:after="25" w:line="360" w:lineRule="auto"/>
        <w:rPr>
          <w:rFonts w:ascii="宋体" w:hAnsi="宋体"/>
          <w:color w:val="000000"/>
          <w:sz w:val="24"/>
          <w:lang w:val="zh-CN"/>
        </w:rPr>
      </w:pPr>
      <w:r>
        <w:rPr>
          <w:rFonts w:ascii="宋体" w:hAnsi="宋体"/>
          <w:color w:val="000000"/>
          <w:sz w:val="24"/>
          <w:lang w:val="zh-CN"/>
        </w:rPr>
      </w:r>
      <w:r/>
    </w:p>
    <w:p>
      <w:pPr>
        <w:pStyle w:val="857"/>
        <w:spacing w:before="25" w:after="25" w:line="360" w:lineRule="auto"/>
        <w:rPr>
          <w:rFonts w:ascii="宋体" w:hAnsi="宋体"/>
          <w:color w:val="000000"/>
          <w:sz w:val="24"/>
          <w:lang w:val="zh-CN"/>
        </w:rPr>
      </w:pPr>
      <w:r>
        <w:rPr>
          <w:rFonts w:ascii="宋体" w:hAnsi="宋体"/>
          <w:color w:val="000000"/>
          <w:sz w:val="24"/>
          <w:lang w:val="zh-CN"/>
        </w:rPr>
        <w:t xml:space="preserve">                         </w:t>
      </w:r>
      <w:r/>
    </w:p>
    <w:p>
      <w:pPr>
        <w:pStyle w:val="85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pStyle w:val="85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857"/>
        <w:spacing w:line="360" w:lineRule="auto"/>
        <w:rPr>
          <w:rFonts w:ascii="宋体" w:hAnsi="宋体"/>
          <w:b/>
          <w:color w:val="000000"/>
          <w:sz w:val="24"/>
          <w:szCs w:val="20"/>
        </w:rPr>
        <w:outlineLvl w:val="2"/>
      </w:pPr>
      <w:r/>
      <w:bookmarkStart w:id="872" w:name="_Toc142311060"/>
      <w:r/>
      <w:bookmarkStart w:id="873" w:name="_Toc226309803"/>
      <w:r/>
      <w:bookmarkStart w:id="874" w:name="_Toc305158901"/>
      <w:r/>
      <w:bookmarkStart w:id="875" w:name="_Toc150774763"/>
      <w:r/>
      <w:bookmarkStart w:id="876" w:name="_Toc305158827"/>
      <w:r/>
      <w:bookmarkStart w:id="877" w:name="_Toc195842924"/>
      <w:r/>
      <w:bookmarkStart w:id="878" w:name="_Toc127151558"/>
      <w:r/>
      <w:bookmarkStart w:id="879" w:name="_Toc226965832"/>
      <w:r/>
      <w:bookmarkStart w:id="880" w:name="_Toc150480796"/>
      <w:r/>
      <w:bookmarkStart w:id="881" w:name="_Toc265228397"/>
      <w:r/>
      <w:bookmarkStart w:id="882" w:name="_Toc264969249"/>
      <w:r/>
      <w:bookmarkStart w:id="883" w:name="_Toc226337255"/>
      <w:r/>
      <w:bookmarkStart w:id="884" w:name="_Toc226965749"/>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ascii="宋体" w:hAnsi="宋体"/>
          <w:b/>
          <w:color w:val="000000"/>
          <w:sz w:val="24"/>
        </w:rPr>
        <w:t xml:space="preserve">（实质性格式）</w:t>
      </w:r>
      <w:r>
        <w:rPr>
          <w:rFonts w:ascii="宋体" w:hAnsi="宋体"/>
          <w:b/>
          <w:color w:val="000000"/>
          <w:sz w:val="24"/>
          <w:szCs w:val="20"/>
        </w:rPr>
      </w:r>
      <w:r/>
    </w:p>
    <w:p>
      <w:pPr>
        <w:pStyle w:val="857"/>
        <w:jc w:val="center"/>
        <w:spacing w:line="360" w:lineRule="exact"/>
        <w:rPr>
          <w:rFonts w:ascii="宋体" w:hAnsi="宋体"/>
          <w:color w:val="000000"/>
          <w:sz w:val="36"/>
          <w:szCs w:val="36"/>
        </w:rPr>
      </w:pPr>
      <w:r>
        <w:rPr>
          <w:rFonts w:ascii="宋体" w:hAnsi="宋体"/>
          <w:color w:val="000000"/>
          <w:sz w:val="36"/>
          <w:szCs w:val="36"/>
        </w:rPr>
      </w:r>
      <w:r/>
    </w:p>
    <w:p>
      <w:pPr>
        <w:pStyle w:val="857"/>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857"/>
        <w:jc w:val="center"/>
        <w:spacing w:line="260" w:lineRule="exact"/>
        <w:rPr>
          <w:rFonts w:ascii="宋体" w:hAnsi="宋体"/>
          <w:color w:val="000000"/>
          <w:sz w:val="36"/>
          <w:szCs w:val="36"/>
        </w:rPr>
      </w:pPr>
      <w:r>
        <w:rPr>
          <w:rFonts w:ascii="宋体" w:hAnsi="宋体"/>
          <w:color w:val="000000"/>
          <w:sz w:val="36"/>
          <w:szCs w:val="36"/>
        </w:rPr>
      </w:r>
      <w:r/>
    </w:p>
    <w:p>
      <w:pPr>
        <w:pStyle w:val="857"/>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57"/>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bl>
    <w:p>
      <w:pPr>
        <w:pStyle w:val="857"/>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857"/>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857"/>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p>
    <w:p>
      <w:pPr>
        <w:pStyle w:val="857"/>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p>
    <w:p>
      <w:pPr>
        <w:pStyle w:val="857"/>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p>
    <w:p>
      <w:pPr>
        <w:pStyle w:val="857"/>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p>
    <w:p>
      <w:pPr>
        <w:pStyle w:val="857"/>
        <w:spacing w:before="25" w:after="25" w:line="360" w:lineRule="auto"/>
        <w:rPr>
          <w:rFonts w:ascii="宋体" w:hAnsi="宋体"/>
          <w:color w:val="000000"/>
          <w:sz w:val="24"/>
          <w:lang w:val="zh-CN"/>
        </w:rPr>
      </w:pPr>
      <w:r>
        <w:rPr>
          <w:rFonts w:ascii="宋体" w:hAnsi="宋体"/>
          <w:color w:val="000000"/>
          <w:sz w:val="24"/>
          <w:lang w:val="zh-CN"/>
        </w:rPr>
        <w:t xml:space="preserve">                  </w:t>
      </w:r>
      <w:r/>
    </w:p>
    <w:p>
      <w:pPr>
        <w:pStyle w:val="85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pStyle w:val="85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857"/>
        <w:jc w:val="left"/>
        <w:spacing w:before="240" w:after="240"/>
        <w:rPr>
          <w:rFonts w:hint="eastAsia" w:ascii="宋体" w:hAnsi="宋体"/>
          <w:b/>
          <w:i/>
          <w:color w:val="ff0000"/>
          <w:sz w:val="24"/>
        </w:rPr>
      </w:pPr>
      <w:r>
        <w:rPr>
          <w:rFonts w:hint="eastAsia" w:ascii="宋体" w:hAnsi="宋体"/>
          <w:b/>
          <w:i/>
          <w:color w:val="ff0000"/>
          <w:sz w:val="24"/>
        </w:rPr>
      </w:r>
      <w:r/>
    </w:p>
    <w:p>
      <w:pPr>
        <w:pStyle w:val="857"/>
        <w:jc w:val="left"/>
        <w:spacing w:before="240" w:after="240"/>
        <w:rPr>
          <w:rFonts w:hint="eastAsia" w:ascii="宋体" w:hAnsi="宋体"/>
          <w:b/>
          <w:i/>
          <w:color w:val="ff0000"/>
          <w:sz w:val="24"/>
        </w:rPr>
      </w:pPr>
      <w:r>
        <w:rPr>
          <w:rFonts w:hint="eastAsia" w:ascii="宋体" w:hAnsi="宋体"/>
          <w:b/>
          <w:i/>
          <w:color w:val="ff0000"/>
          <w:sz w:val="24"/>
        </w:rPr>
      </w:r>
      <w:r/>
    </w:p>
    <w:p>
      <w:pPr>
        <w:pStyle w:val="857"/>
        <w:jc w:val="left"/>
        <w:spacing w:before="240" w:after="240"/>
        <w:rPr>
          <w:rFonts w:hint="eastAsia" w:ascii="宋体" w:hAnsi="宋体"/>
          <w:b/>
          <w:i/>
          <w:color w:val="ff0000"/>
          <w:sz w:val="24"/>
        </w:rPr>
      </w:pPr>
      <w:r>
        <w:rPr>
          <w:rFonts w:hint="eastAsia" w:ascii="宋体" w:hAnsi="宋体"/>
          <w:b/>
          <w:i/>
          <w:color w:val="ff0000"/>
          <w:sz w:val="24"/>
        </w:rPr>
      </w:r>
      <w:r/>
    </w:p>
    <w:p>
      <w:pPr>
        <w:pStyle w:val="857"/>
        <w:jc w:val="left"/>
        <w:spacing w:before="240" w:after="240"/>
        <w:rPr>
          <w:rFonts w:hint="eastAsia" w:ascii="宋体" w:hAnsi="宋体"/>
          <w:b/>
          <w:i/>
          <w:color w:val="ff0000"/>
          <w:sz w:val="24"/>
        </w:rPr>
      </w:pPr>
      <w:r>
        <w:rPr>
          <w:rFonts w:hint="eastAsia" w:ascii="宋体" w:hAnsi="宋体"/>
          <w:b/>
          <w:i/>
          <w:color w:val="ff0000"/>
          <w:sz w:val="24"/>
        </w:rPr>
      </w:r>
      <w:r/>
    </w:p>
    <w:p>
      <w:pPr>
        <w:pStyle w:val="857"/>
        <w:jc w:val="left"/>
        <w:spacing w:before="240" w:after="240"/>
        <w:rPr>
          <w:rFonts w:ascii="宋体" w:hAnsi="宋体"/>
          <w:b/>
          <w:color w:val="000000"/>
          <w:sz w:val="24"/>
          <w:szCs w:val="20"/>
        </w:rPr>
      </w:pPr>
      <w:r>
        <w:rPr>
          <w:rFonts w:ascii="宋体" w:hAnsi="宋体"/>
          <w:b/>
          <w:i/>
          <w:color w:val="ff0000"/>
          <w:sz w:val="24"/>
        </w:rPr>
        <w:br w:type="page" w:clear="all"/>
      </w:r>
      <w:bookmarkStart w:id="885" w:name="_Toc127151562"/>
      <w:r/>
      <w:bookmarkStart w:id="886" w:name="_Toc226965835"/>
      <w:r/>
      <w:bookmarkStart w:id="887" w:name="_Toc226965752"/>
      <w:r/>
      <w:bookmarkStart w:id="888" w:name="_Toc264969252"/>
      <w:r/>
      <w:bookmarkStart w:id="889" w:name="_Toc142311062"/>
      <w:r/>
      <w:bookmarkStart w:id="890" w:name="_Toc195842927"/>
      <w:r/>
      <w:bookmarkStart w:id="891" w:name="_Toc150774765"/>
      <w:r/>
      <w:bookmarkStart w:id="892" w:name="_Toc265228400"/>
      <w:r/>
      <w:bookmarkStart w:id="893" w:name="_Toc305158830"/>
      <w:r/>
      <w:bookmarkStart w:id="894" w:name="_Toc305158904"/>
      <w:r/>
      <w:bookmarkStart w:id="895" w:name="_Toc150480798"/>
      <w:r/>
      <w:bookmarkStart w:id="896" w:name="_Toc226309806"/>
      <w:r/>
      <w:bookmarkStart w:id="897" w:name="_Toc226337258"/>
      <w:r/>
      <w:bookmarkStart w:id="898" w:name="_Toc195842926"/>
      <w:r/>
      <w:bookmarkStart w:id="899" w:name="_Toc264969251"/>
      <w:r/>
      <w:bookmarkStart w:id="900" w:name="_Toc150774764"/>
      <w:r/>
      <w:bookmarkStart w:id="901" w:name="_Toc226337257"/>
      <w:r/>
      <w:bookmarkStart w:id="902" w:name="_Toc127151561"/>
      <w:r/>
      <w:bookmarkStart w:id="903" w:name="_Toc142311061"/>
      <w:r/>
      <w:bookmarkStart w:id="904" w:name="_Toc150480797"/>
      <w:r/>
      <w:bookmarkStart w:id="905" w:name="_Toc305158903"/>
      <w:r/>
      <w:bookmarkStart w:id="906" w:name="_Toc226965834"/>
      <w:r/>
      <w:bookmarkStart w:id="907" w:name="_Toc226309805"/>
      <w:r/>
      <w:bookmarkStart w:id="908" w:name="_Toc305158829"/>
      <w:r/>
      <w:bookmarkStart w:id="909" w:name="_Toc265228399"/>
      <w:r/>
      <w:bookmarkStart w:id="910" w:name="_Toc226965751"/>
      <w:r>
        <w:rPr>
          <w:rFonts w:hint="eastAsia" w:ascii="宋体" w:hAnsi="宋体"/>
          <w:b/>
          <w:color w:val="000000"/>
          <w:sz w:val="24"/>
        </w:rPr>
        <w:t xml:space="preserve">7</w:t>
      </w:r>
      <w:r>
        <w:rPr>
          <w:rFonts w:ascii="宋体" w:hAnsi="宋体"/>
          <w:b/>
          <w:color w:val="000000"/>
          <w:sz w:val="24"/>
        </w:rPr>
        <w:t xml:space="preserve">  合同条款偏离表</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ascii="宋体" w:hAnsi="宋体"/>
          <w:b/>
          <w:color w:val="000000"/>
          <w:sz w:val="24"/>
        </w:rPr>
        <w:t xml:space="preserve">（实质性格式）</w:t>
      </w:r>
      <w:r>
        <w:rPr>
          <w:rFonts w:ascii="宋体" w:hAnsi="宋体"/>
          <w:b/>
          <w:color w:val="000000"/>
          <w:sz w:val="24"/>
          <w:szCs w:val="20"/>
        </w:rPr>
      </w:r>
      <w:r/>
    </w:p>
    <w:p>
      <w:pPr>
        <w:pStyle w:val="857"/>
        <w:spacing w:line="360" w:lineRule="auto"/>
        <w:rPr>
          <w:rFonts w:ascii="宋体" w:hAnsi="宋体"/>
          <w:color w:val="000000"/>
          <w:sz w:val="24"/>
          <w:szCs w:val="20"/>
        </w:rPr>
      </w:pPr>
      <w:r>
        <w:rPr>
          <w:rFonts w:ascii="宋体" w:hAnsi="宋体"/>
          <w:color w:val="000000"/>
          <w:sz w:val="24"/>
          <w:szCs w:val="20"/>
        </w:rPr>
      </w:r>
      <w:r/>
    </w:p>
    <w:p>
      <w:pPr>
        <w:pStyle w:val="857"/>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857"/>
        <w:spacing w:line="360" w:lineRule="auto"/>
        <w:rPr>
          <w:rFonts w:ascii="宋体" w:hAnsi="宋体"/>
          <w:color w:val="000000"/>
          <w:sz w:val="24"/>
          <w:szCs w:val="20"/>
        </w:rPr>
      </w:pPr>
      <w:r>
        <w:rPr>
          <w:rFonts w:ascii="宋体" w:hAnsi="宋体"/>
          <w:color w:val="000000"/>
          <w:sz w:val="24"/>
          <w:szCs w:val="20"/>
        </w:rPr>
      </w:r>
      <w:r/>
    </w:p>
    <w:p>
      <w:pPr>
        <w:pStyle w:val="857"/>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7"/>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p>
          <w:p>
            <w:pPr>
              <w:pStyle w:val="857"/>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857"/>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p>
        </w:tc>
      </w:tr>
      <w:tr>
        <w:trPr>
          <w:trHeight w:val="930"/>
        </w:trPr>
        <w:tc>
          <w:tcPr>
            <w:tcW w:w="834"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序号</w:t>
            </w:r>
            <w:r/>
          </w:p>
        </w:tc>
        <w:tc>
          <w:tcPr>
            <w:tcW w:w="1301" w:type="dxa"/>
            <w:vAlign w:val="center"/>
            <w:textDirection w:val="lrTb"/>
            <w:noWrap w:val="false"/>
          </w:tcPr>
          <w:p>
            <w:pPr>
              <w:pStyle w:val="857"/>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p>
        </w:tc>
        <w:tc>
          <w:tcPr>
            <w:tcW w:w="2007" w:type="dxa"/>
            <w:vAlign w:val="center"/>
            <w:textDirection w:val="lrTb"/>
            <w:noWrap w:val="false"/>
          </w:tcPr>
          <w:p>
            <w:pPr>
              <w:pStyle w:val="857"/>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p>
        </w:tc>
        <w:tc>
          <w:tcPr>
            <w:tcW w:w="2008"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投标文件内容</w:t>
            </w:r>
            <w:r/>
          </w:p>
        </w:tc>
        <w:tc>
          <w:tcPr>
            <w:tcW w:w="2458"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偏离情况</w:t>
            </w:r>
            <w:r/>
          </w:p>
        </w:tc>
        <w:tc>
          <w:tcPr>
            <w:tcW w:w="788"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说明</w:t>
            </w:r>
            <w:r/>
          </w:p>
        </w:tc>
      </w:tr>
      <w:tr>
        <w:trPr>
          <w:trHeight w:val="930"/>
        </w:trPr>
        <w:tc>
          <w:tcPr>
            <w:tcW w:w="83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w:t>
            </w:r>
            <w:r/>
          </w:p>
        </w:tc>
        <w:tc>
          <w:tcPr>
            <w:tcW w:w="1301"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bl>
    <w:p>
      <w:pPr>
        <w:pStyle w:val="857"/>
        <w:jc w:val="left"/>
        <w:tabs>
          <w:tab w:val="left" w:pos="1800" w:leader="none"/>
          <w:tab w:val="left" w:pos="5580" w:leader="none"/>
        </w:tabs>
        <w:rPr>
          <w:rFonts w:ascii="宋体" w:hAnsi="宋体"/>
          <w:color w:val="000000"/>
          <w:sz w:val="24"/>
        </w:rPr>
      </w:pPr>
      <w:r>
        <w:rPr>
          <w:rFonts w:ascii="宋体" w:hAnsi="宋体"/>
          <w:color w:val="000000"/>
          <w:sz w:val="24"/>
        </w:rPr>
      </w:r>
      <w:r/>
    </w:p>
    <w:p>
      <w:pPr>
        <w:pStyle w:val="857"/>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p>
    <w:p>
      <w:pPr>
        <w:pStyle w:val="857"/>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7"/>
        <w:jc w:val="left"/>
        <w:tabs>
          <w:tab w:val="left" w:pos="1800" w:leader="none"/>
          <w:tab w:val="left" w:pos="5580" w:leader="none"/>
        </w:tabs>
        <w:rPr>
          <w:rFonts w:ascii="宋体" w:hAnsi="宋体"/>
          <w:color w:val="000000"/>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857"/>
        <w:spacing w:line="360" w:lineRule="auto"/>
        <w:rPr>
          <w:rFonts w:ascii="宋体" w:hAnsi="宋体"/>
          <w:color w:val="000000"/>
          <w:sz w:val="24"/>
          <w:szCs w:val="20"/>
        </w:rPr>
      </w:pPr>
      <w:r>
        <w:rPr>
          <w:rFonts w:ascii="宋体" w:hAnsi="宋体"/>
          <w:color w:val="000000"/>
          <w:sz w:val="24"/>
          <w:szCs w:val="20"/>
        </w:rPr>
      </w:r>
      <w:r/>
    </w:p>
    <w:p>
      <w:pPr>
        <w:pStyle w:val="857"/>
        <w:spacing w:before="25" w:after="25" w:line="360" w:lineRule="auto"/>
        <w:rPr>
          <w:rFonts w:ascii="宋体" w:hAnsi="宋体"/>
          <w:color w:val="000000"/>
          <w:sz w:val="24"/>
          <w:lang w:val="zh-CN"/>
        </w:rPr>
      </w:pPr>
      <w:r>
        <w:rPr>
          <w:rFonts w:ascii="宋体" w:hAnsi="宋体"/>
          <w:color w:val="000000"/>
          <w:sz w:val="24"/>
          <w:lang w:val="zh-CN"/>
        </w:rPr>
        <w:t xml:space="preserve">                      </w:t>
      </w:r>
      <w:r/>
    </w:p>
    <w:p>
      <w:pPr>
        <w:pStyle w:val="85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p>
    <w:p>
      <w:pPr>
        <w:pStyle w:val="85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857"/>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rFonts w:ascii="宋体" w:hAnsi="宋体"/>
          <w:b/>
          <w:color w:val="000000"/>
          <w:sz w:val="24"/>
          <w:szCs w:val="20"/>
        </w:rPr>
        <w:t xml:space="preserve">采购需求偏离表（实质性格式）</w:t>
      </w:r>
      <w:r/>
    </w:p>
    <w:p>
      <w:pPr>
        <w:pStyle w:val="857"/>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857"/>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857"/>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序号</w:t>
            </w:r>
            <w:r/>
          </w:p>
        </w:tc>
        <w:tc>
          <w:tcPr>
            <w:tcW w:w="1482"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招标文件条目号(页码)</w:t>
            </w:r>
            <w:r/>
          </w:p>
        </w:tc>
        <w:tc>
          <w:tcPr>
            <w:tcW w:w="2384"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招标文件要求</w:t>
            </w:r>
            <w:r/>
          </w:p>
        </w:tc>
        <w:tc>
          <w:tcPr>
            <w:tcW w:w="2126"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投标响应内容</w:t>
            </w:r>
            <w:r/>
          </w:p>
        </w:tc>
        <w:tc>
          <w:tcPr>
            <w:tcW w:w="1875"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偏离情况</w:t>
            </w:r>
            <w:r/>
          </w:p>
        </w:tc>
        <w:tc>
          <w:tcPr>
            <w:tcW w:w="1009"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说明</w:t>
            </w:r>
            <w:r/>
          </w:p>
        </w:tc>
      </w:tr>
      <w:tr>
        <w:trPr>
          <w:trHeight w:val="930"/>
        </w:trPr>
        <w:tc>
          <w:tcPr>
            <w:tcW w:w="775"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w:t>
            </w:r>
            <w:r/>
          </w:p>
        </w:tc>
        <w:tc>
          <w:tcPr>
            <w:tcW w:w="1482"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bl>
    <w:p>
      <w:pPr>
        <w:pStyle w:val="857"/>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857"/>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p>
    <w:p>
      <w:pPr>
        <w:pStyle w:val="857"/>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57"/>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857"/>
        <w:jc w:val="left"/>
        <w:tabs>
          <w:tab w:val="left" w:pos="1800" w:leader="none"/>
          <w:tab w:val="left" w:pos="5580" w:leader="none"/>
        </w:tabs>
        <w:rPr>
          <w:rFonts w:ascii="宋体" w:hAnsi="宋体"/>
          <w:sz w:val="24"/>
        </w:rPr>
      </w:pPr>
      <w:r>
        <w:rPr>
          <w:rFonts w:ascii="宋体" w:hAnsi="宋体"/>
          <w:sz w:val="24"/>
        </w:rPr>
      </w:r>
      <w:r/>
    </w:p>
    <w:p>
      <w:pPr>
        <w:pStyle w:val="857"/>
        <w:jc w:val="left"/>
        <w:tabs>
          <w:tab w:val="left" w:pos="1800" w:leader="none"/>
          <w:tab w:val="left" w:pos="5580" w:leader="none"/>
        </w:tabs>
        <w:rPr>
          <w:rFonts w:ascii="宋体" w:hAnsi="宋体"/>
          <w:color w:val="000000"/>
          <w:sz w:val="24"/>
        </w:rPr>
      </w:pPr>
      <w:r>
        <w:rPr>
          <w:rFonts w:ascii="宋体" w:hAnsi="宋体"/>
          <w:color w:val="000000"/>
          <w:sz w:val="24"/>
        </w:rPr>
      </w:r>
      <w:r/>
    </w:p>
    <w:p>
      <w:pPr>
        <w:pStyle w:val="857"/>
        <w:rPr>
          <w:rFonts w:ascii="宋体" w:hAnsi="宋体"/>
          <w:color w:val="000000"/>
          <w:sz w:val="24"/>
          <w:szCs w:val="20"/>
        </w:rPr>
      </w:pPr>
      <w:r>
        <w:rPr>
          <w:rFonts w:ascii="宋体" w:hAnsi="宋体"/>
          <w:color w:val="000000"/>
          <w:sz w:val="24"/>
          <w:szCs w:val="20"/>
        </w:rPr>
      </w:r>
      <w:r/>
    </w:p>
    <w:p>
      <w:pPr>
        <w:pStyle w:val="857"/>
        <w:spacing w:before="25" w:after="25" w:line="360" w:lineRule="auto"/>
        <w:rPr>
          <w:rFonts w:ascii="宋体" w:hAnsi="宋体"/>
          <w:color w:val="000000"/>
          <w:sz w:val="24"/>
          <w:lang w:val="zh-CN"/>
        </w:rPr>
      </w:pPr>
      <w:r>
        <w:rPr>
          <w:rFonts w:ascii="宋体" w:hAnsi="宋体"/>
          <w:color w:val="000000"/>
          <w:sz w:val="24"/>
          <w:lang w:val="zh-CN"/>
        </w:rPr>
        <w:t xml:space="preserve">                  </w:t>
      </w:r>
      <w:r/>
    </w:p>
    <w:p>
      <w:pPr>
        <w:pStyle w:val="85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pStyle w:val="85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857"/>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p>
    <w:p>
      <w:pPr>
        <w:pStyle w:val="857"/>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857"/>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857"/>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57"/>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857"/>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857"/>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933"/>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857"/>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57"/>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57"/>
        <w:jc w:val="left"/>
        <w:widowControl/>
        <w:rPr>
          <w:rFonts w:ascii="宋体" w:hAnsi="宋体"/>
          <w:b/>
          <w:bCs/>
          <w:color w:val="000000"/>
          <w:sz w:val="36"/>
          <w:szCs w:val="36"/>
        </w:rPr>
      </w:pPr>
      <w:r>
        <w:rPr>
          <w:rFonts w:ascii="宋体" w:hAnsi="宋体"/>
          <w:b/>
          <w:bCs/>
          <w:color w:val="000000"/>
          <w:sz w:val="24"/>
        </w:rPr>
        <w:br w:type="page" w:clear="all"/>
      </w:r>
      <w:r>
        <w:rPr>
          <w:rFonts w:ascii="宋体" w:hAnsi="宋体"/>
          <w:b/>
          <w:bCs/>
          <w:color w:val="000000"/>
          <w:sz w:val="36"/>
          <w:szCs w:val="36"/>
        </w:rPr>
      </w:r>
      <w:r/>
    </w:p>
    <w:p>
      <w:pPr>
        <w:pStyle w:val="857"/>
        <w:jc w:val="left"/>
        <w:widowControl/>
        <w:rPr>
          <w:rFonts w:ascii="宋体" w:hAnsi="宋体"/>
          <w:b/>
          <w:bCs/>
          <w:color w:val="000000"/>
          <w:sz w:val="24"/>
        </w:rPr>
      </w:pPr>
      <w:r>
        <w:rPr>
          <w:rFonts w:ascii="宋体" w:hAnsi="宋体"/>
          <w:b/>
          <w:bCs/>
          <w:color w:val="000000"/>
          <w:sz w:val="24"/>
        </w:rPr>
      </w:r>
      <w:r/>
    </w:p>
    <w:p>
      <w:pPr>
        <w:pStyle w:val="857"/>
        <w:jc w:val="center"/>
        <w:spacing w:before="240" w:after="240" w:line="360" w:lineRule="auto"/>
        <w:rPr>
          <w:rFonts w:ascii="宋体" w:hAnsi="宋体"/>
          <w:b/>
          <w:color w:val="000000"/>
          <w:sz w:val="36"/>
          <w:szCs w:val="36"/>
        </w:rPr>
      </w:pPr>
      <w:r>
        <w:rPr>
          <w:rFonts w:ascii="宋体" w:hAnsi="宋体"/>
          <w:b/>
          <w:bCs/>
          <w:color w:val="000000"/>
          <w:sz w:val="36"/>
          <w:szCs w:val="36"/>
        </w:rPr>
        <w:t xml:space="preserve">中小企业声明函（货物）格式</w:t>
      </w:r>
      <w:r>
        <w:rPr>
          <w:rFonts w:ascii="宋体" w:hAnsi="宋体"/>
          <w:b/>
          <w:color w:val="000000"/>
          <w:sz w:val="36"/>
          <w:szCs w:val="36"/>
        </w:rPr>
      </w:r>
      <w:r/>
    </w:p>
    <w:p>
      <w:pPr>
        <w:pStyle w:val="857"/>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857"/>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857"/>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857"/>
        <w:ind w:left="860"/>
        <w:jc w:val="left"/>
        <w:spacing w:line="360" w:lineRule="auto"/>
        <w:rPr>
          <w:rFonts w:ascii="宋体" w:hAnsi="宋体"/>
          <w:sz w:val="24"/>
        </w:rPr>
      </w:pPr>
      <w:r>
        <w:rPr>
          <w:rFonts w:ascii="宋体" w:hAnsi="宋体"/>
          <w:sz w:val="24"/>
        </w:rPr>
        <w:t xml:space="preserve">……</w:t>
      </w:r>
      <w:r/>
    </w:p>
    <w:p>
      <w:pPr>
        <w:pStyle w:val="857"/>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57"/>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57"/>
        <w:ind w:firstLine="504"/>
        <w:spacing w:line="360" w:lineRule="auto"/>
        <w:rPr>
          <w:rFonts w:ascii="宋体" w:hAnsi="宋体"/>
          <w:spacing w:val="6"/>
          <w:sz w:val="24"/>
        </w:rPr>
      </w:pPr>
      <w:r>
        <w:rPr>
          <w:rFonts w:ascii="宋体" w:hAnsi="宋体"/>
          <w:spacing w:val="6"/>
          <w:sz w:val="24"/>
        </w:rPr>
      </w:r>
      <w:r/>
    </w:p>
    <w:p>
      <w:pPr>
        <w:pStyle w:val="857"/>
        <w:ind w:firstLine="504"/>
        <w:spacing w:line="360" w:lineRule="auto"/>
        <w:rPr>
          <w:rFonts w:ascii="宋体" w:hAnsi="宋体"/>
          <w:spacing w:val="6"/>
          <w:sz w:val="24"/>
        </w:rPr>
      </w:pPr>
      <w:r>
        <w:rPr>
          <w:rFonts w:ascii="宋体" w:hAnsi="宋体"/>
          <w:spacing w:val="6"/>
          <w:sz w:val="24"/>
        </w:rPr>
      </w:r>
      <w:r/>
    </w:p>
    <w:p>
      <w:pPr>
        <w:pStyle w:val="857"/>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p>
    <w:p>
      <w:pPr>
        <w:pStyle w:val="857"/>
        <w:ind w:right="360" w:firstLine="480"/>
        <w:jc w:val="right"/>
        <w:spacing w:line="360" w:lineRule="auto"/>
        <w:rPr>
          <w:rFonts w:ascii="宋体" w:hAnsi="宋体"/>
          <w:color w:val="000000"/>
          <w:sz w:val="24"/>
        </w:rPr>
      </w:pPr>
      <w:r>
        <w:rPr>
          <w:rFonts w:ascii="宋体" w:hAnsi="宋体"/>
          <w:color w:val="000000"/>
          <w:sz w:val="24"/>
        </w:rPr>
        <w:t xml:space="preserve">日 期：________</w:t>
      </w:r>
      <w:r/>
    </w:p>
    <w:p>
      <w:pPr>
        <w:pStyle w:val="857"/>
        <w:ind w:right="360" w:firstLine="480"/>
        <w:jc w:val="right"/>
        <w:spacing w:line="360" w:lineRule="auto"/>
        <w:rPr>
          <w:rFonts w:ascii="宋体" w:hAnsi="宋体"/>
          <w:color w:val="000000"/>
          <w:sz w:val="24"/>
        </w:rPr>
      </w:pPr>
      <w:r>
        <w:rPr>
          <w:rFonts w:ascii="宋体" w:hAnsi="宋体"/>
          <w:color w:val="000000"/>
          <w:sz w:val="24"/>
        </w:rPr>
      </w:r>
      <w:r/>
    </w:p>
    <w:p>
      <w:pPr>
        <w:pStyle w:val="857"/>
        <w:ind w:right="360" w:firstLine="480"/>
        <w:jc w:val="right"/>
        <w:spacing w:line="360" w:lineRule="auto"/>
        <w:rPr>
          <w:rFonts w:ascii="宋体" w:hAnsi="宋体"/>
          <w:color w:val="000000"/>
          <w:sz w:val="24"/>
        </w:rPr>
      </w:pPr>
      <w:r>
        <w:rPr>
          <w:rFonts w:ascii="宋体" w:hAnsi="宋体"/>
          <w:color w:val="000000"/>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7"/>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p>
        </w:tc>
      </w:tr>
    </w:tbl>
    <w:p>
      <w:pPr>
        <w:pStyle w:val="857"/>
        <w:ind w:firstLine="420"/>
        <w:jc w:val="left"/>
        <w:rPr>
          <w:rFonts w:ascii="宋体" w:hAnsi="宋体"/>
          <w:sz w:val="24"/>
        </w:rPr>
      </w:pPr>
      <w:r>
        <w:rPr>
          <w:rFonts w:ascii="宋体" w:hAnsi="宋体"/>
          <w:sz w:val="24"/>
        </w:rPr>
      </w:r>
      <w:r/>
    </w:p>
    <w:p>
      <w:pPr>
        <w:pStyle w:val="857"/>
        <w:spacing w:line="360" w:lineRule="auto"/>
        <w:rPr>
          <w:rFonts w:ascii="宋体" w:hAnsi="宋体"/>
          <w:color w:val="000000"/>
          <w:sz w:val="24"/>
        </w:rPr>
      </w:pPr>
      <w:r>
        <w:rPr>
          <w:rFonts w:ascii="宋体" w:hAnsi="宋体"/>
          <w:color w:val="000000"/>
          <w:sz w:val="24"/>
        </w:rPr>
      </w:r>
      <w:r/>
    </w:p>
    <w:p>
      <w:pPr>
        <w:pStyle w:val="857"/>
        <w:spacing w:line="360" w:lineRule="auto"/>
        <w:rPr>
          <w:rFonts w:ascii="宋体" w:hAnsi="宋体"/>
          <w:color w:val="000000"/>
          <w:sz w:val="24"/>
          <w:szCs w:val="20"/>
        </w:rPr>
        <w:outlineLvl w:val="2"/>
      </w:pPr>
      <w:r>
        <w:rPr>
          <w:rFonts w:ascii="宋体" w:hAnsi="宋体"/>
          <w:color w:val="000000"/>
          <w:sz w:val="24"/>
          <w:szCs w:val="20"/>
        </w:rPr>
      </w:r>
      <w:r/>
    </w:p>
    <w:p>
      <w:pPr>
        <w:pStyle w:val="857"/>
        <w:jc w:val="center"/>
        <w:spacing w:before="240" w:after="240" w:line="360" w:lineRule="auto"/>
        <w:rPr>
          <w:rFonts w:ascii="宋体" w:hAnsi="宋体"/>
          <w:color w:val="000000"/>
          <w:sz w:val="36"/>
          <w:szCs w:val="36"/>
        </w:rPr>
      </w:pPr>
      <w:r>
        <w:rPr>
          <w:rFonts w:ascii="宋体" w:hAnsi="宋体"/>
          <w:b/>
          <w:bCs/>
          <w:color w:val="000000"/>
          <w:sz w:val="36"/>
          <w:szCs w:val="36"/>
        </w:rPr>
        <w:br w:type="page" w:clear="all"/>
        <w:t xml:space="preserve">残疾人福利性单位声明函格式</w:t>
      </w:r>
      <w:r>
        <w:rPr>
          <w:rFonts w:ascii="宋体" w:hAnsi="宋体"/>
          <w:color w:val="000000"/>
          <w:sz w:val="36"/>
          <w:szCs w:val="36"/>
        </w:rPr>
        <w:t xml:space="preserve"> </w:t>
      </w:r>
      <w:r/>
    </w:p>
    <w:p>
      <w:pPr>
        <w:pStyle w:val="857"/>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7"/>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57"/>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57"/>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7"/>
        <w:ind w:firstLine="504"/>
        <w:spacing w:line="588" w:lineRule="exact"/>
        <w:rPr>
          <w:rFonts w:ascii="宋体" w:hAnsi="宋体"/>
          <w:spacing w:val="6"/>
          <w:sz w:val="24"/>
        </w:rPr>
      </w:pPr>
      <w:r>
        <w:rPr>
          <w:rFonts w:ascii="宋体" w:hAnsi="宋体"/>
          <w:spacing w:val="6"/>
          <w:sz w:val="24"/>
        </w:rPr>
      </w:r>
      <w:r/>
    </w:p>
    <w:p>
      <w:pPr>
        <w:pStyle w:val="857"/>
        <w:ind w:firstLine="504"/>
        <w:spacing w:line="588" w:lineRule="exact"/>
        <w:rPr>
          <w:rFonts w:ascii="宋体" w:hAnsi="宋体"/>
          <w:spacing w:val="6"/>
          <w:sz w:val="24"/>
        </w:rPr>
      </w:pPr>
      <w:r>
        <w:rPr>
          <w:rFonts w:ascii="宋体" w:hAnsi="宋体"/>
          <w:spacing w:val="6"/>
          <w:sz w:val="24"/>
        </w:rPr>
      </w:r>
      <w:r/>
    </w:p>
    <w:p>
      <w:pPr>
        <w:pStyle w:val="857"/>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57"/>
        <w:ind w:right="1560" w:firstLine="504"/>
        <w:jc w:val="center"/>
        <w:spacing w:line="588" w:lineRule="exact"/>
        <w:tabs>
          <w:tab w:val="left" w:pos="4860" w:leader="none"/>
        </w:tabs>
        <w:rPr>
          <w:rFonts w:ascii="宋体" w:hAnsi="宋体"/>
          <w:b/>
          <w:color w:val="000000"/>
          <w:sz w:val="24"/>
        </w:rPr>
      </w:pPr>
      <w:r>
        <w:rPr>
          <w:rFonts w:ascii="宋体" w:hAnsi="宋体"/>
          <w:spacing w:val="6"/>
          <w:sz w:val="24"/>
        </w:rPr>
        <w:t xml:space="preserve">       日  期：</w:t>
      </w:r>
      <w:r>
        <w:rPr>
          <w:rFonts w:ascii="宋体" w:hAnsi="宋体"/>
          <w:b/>
          <w:color w:val="000000"/>
          <w:sz w:val="24"/>
        </w:rPr>
      </w:r>
      <w:r/>
    </w:p>
    <w:p>
      <w:pPr>
        <w:pStyle w:val="857"/>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10</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857"/>
        <w:ind w:firstLine="480"/>
        <w:spacing w:line="560" w:lineRule="exact"/>
        <w:rPr>
          <w:rFonts w:ascii="宋体" w:hAnsi="宋体"/>
          <w:color w:val="000000"/>
          <w:sz w:val="24"/>
          <w:szCs w:val="20"/>
        </w:rPr>
      </w:pPr>
      <w:r>
        <w:rPr>
          <w:rFonts w:hint="eastAsia" w:ascii="宋体" w:hAnsi="宋体"/>
          <w:color w:val="000000"/>
          <w:sz w:val="24"/>
          <w:szCs w:val="20"/>
        </w:rPr>
        <w:t xml:space="preserve">详见评标标准</w:t>
      </w:r>
      <w:r>
        <w:rPr>
          <w:rFonts w:ascii="宋体" w:hAnsi="宋体"/>
          <w:color w:val="000000"/>
          <w:sz w:val="24"/>
          <w:szCs w:val="20"/>
        </w:rPr>
      </w:r>
      <w:r/>
    </w:p>
    <w:p>
      <w:pPr>
        <w:pStyle w:val="857"/>
        <w:ind w:firstLine="480"/>
        <w:spacing w:line="560" w:lineRule="exact"/>
        <w:rPr>
          <w:rFonts w:hint="eastAsia" w:ascii="宋体" w:hAnsi="宋体"/>
          <w:color w:val="000000"/>
          <w:sz w:val="24"/>
          <w:szCs w:val="20"/>
        </w:rPr>
      </w:pPr>
      <w:r>
        <w:rPr>
          <w:rFonts w:hint="eastAsia" w:ascii="宋体" w:hAnsi="宋体"/>
          <w:color w:val="000000"/>
          <w:sz w:val="24"/>
          <w:szCs w:val="20"/>
        </w:rPr>
      </w:r>
      <w:r/>
    </w:p>
    <w:p>
      <w:pPr>
        <w:pStyle w:val="857"/>
        <w:spacing w:line="360" w:lineRule="auto"/>
        <w:rPr>
          <w:rFonts w:ascii="宋体" w:hAnsi="宋体"/>
          <w:b/>
          <w:color w:val="000000"/>
          <w:sz w:val="24"/>
        </w:rPr>
        <w:outlineLvl w:val="2"/>
      </w:pPr>
      <w:r>
        <w:rPr>
          <w:rFonts w:hint="eastAsia" w:ascii="宋体" w:hAnsi="宋体"/>
          <w:b/>
          <w:color w:val="000000"/>
          <w:sz w:val="24"/>
        </w:rPr>
        <w:t xml:space="preserve">11  参加本项目人员一览表</w:t>
      </w:r>
      <w:r>
        <w:rPr>
          <w:rFonts w:ascii="宋体" w:hAnsi="宋体"/>
          <w:b/>
          <w:color w:val="000000"/>
          <w:sz w:val="24"/>
        </w:rPr>
      </w:r>
      <w:r/>
    </w:p>
    <w:p>
      <w:pPr>
        <w:pStyle w:val="857"/>
        <w:jc w:val="center"/>
        <w:spacing w:line="360" w:lineRule="auto"/>
        <w:rPr>
          <w:rFonts w:hint="eastAsia" w:ascii="宋体" w:hAnsi="宋体"/>
          <w:b/>
          <w:sz w:val="32"/>
          <w:szCs w:val="32"/>
        </w:rPr>
      </w:pPr>
      <w:r>
        <w:rPr>
          <w:rFonts w:hint="eastAsia" w:ascii="宋体" w:hAnsi="宋体"/>
          <w:b/>
          <w:sz w:val="32"/>
          <w:szCs w:val="32"/>
        </w:rPr>
      </w:r>
      <w:r/>
    </w:p>
    <w:p>
      <w:pPr>
        <w:pStyle w:val="85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7"/>
        <w:spacing w:line="360" w:lineRule="auto"/>
        <w:rPr>
          <w:rFonts w:ascii="宋体" w:hAnsi="宋体"/>
          <w:sz w:val="22"/>
        </w:rPr>
      </w:pPr>
      <w:r>
        <w:rPr>
          <w:rFonts w:ascii="宋体" w:hAnsi="宋体"/>
          <w:sz w:val="22"/>
        </w:rPr>
      </w:r>
      <w:r/>
    </w:p>
    <w:p>
      <w:pPr>
        <w:pStyle w:val="857"/>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7"/>
        <w:tabs>
          <w:tab w:val="left" w:pos="9765" w:leader="none"/>
        </w:tabs>
        <w:rPr>
          <w:rFonts w:ascii="宋体" w:hAnsi="宋体" w:cs="宋体"/>
          <w:b/>
          <w:sz w:val="24"/>
          <w:lang w:val="zh-CN"/>
        </w:rPr>
      </w:pPr>
      <w:r>
        <w:rPr>
          <w:rFonts w:ascii="宋体" w:hAnsi="宋体" w:cs="宋体"/>
          <w:b/>
          <w:sz w:val="24"/>
          <w:lang w:val="zh-CN"/>
        </w:rPr>
      </w:r>
      <w:r/>
    </w:p>
    <w:p>
      <w:pPr>
        <w:pStyle w:val="85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57"/>
        <w:spacing w:line="360" w:lineRule="auto"/>
        <w:rPr>
          <w:rFonts w:ascii="宋体" w:hAnsi="宋体"/>
          <w:sz w:val="24"/>
        </w:rPr>
      </w:pPr>
      <w:r>
        <w:rPr>
          <w:rFonts w:ascii="宋体" w:hAnsi="宋体"/>
          <w:sz w:val="24"/>
        </w:rPr>
      </w:r>
      <w:r/>
    </w:p>
    <w:p>
      <w:pPr>
        <w:pStyle w:val="85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pStyle w:val="85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857"/>
        <w:spacing w:line="360" w:lineRule="auto"/>
        <w:rPr>
          <w:rFonts w:ascii="宋体" w:hAnsi="宋体"/>
          <w:b/>
          <w:color w:val="000000"/>
          <w:sz w:val="24"/>
          <w:szCs w:val="20"/>
        </w:rPr>
        <w:outlineLvl w:val="2"/>
      </w:pPr>
      <w:r>
        <w:rPr>
          <w:rFonts w:ascii="宋体" w:hAnsi="宋体"/>
          <w:sz w:val="22"/>
        </w:rPr>
        <w:br w:type="page" w:clear="all"/>
      </w:r>
      <w:bookmarkStart w:id="911" w:name="_Toc288738397"/>
      <w:r/>
      <w:bookmarkStart w:id="912" w:name="_Toc288738839"/>
      <w:r>
        <w:rPr>
          <w:rFonts w:hint="eastAsia" w:ascii="宋体" w:hAnsi="宋体"/>
          <w:b/>
          <w:color w:val="000000"/>
          <w:sz w:val="24"/>
        </w:rPr>
        <w:t xml:space="preserve">12  相关业绩案例一览表</w:t>
      </w:r>
      <w:r>
        <w:rPr>
          <w:rFonts w:ascii="宋体" w:hAnsi="宋体"/>
          <w:b/>
          <w:color w:val="000000"/>
          <w:sz w:val="24"/>
          <w:szCs w:val="20"/>
        </w:rPr>
      </w:r>
      <w:r/>
    </w:p>
    <w:p>
      <w:pPr>
        <w:pStyle w:val="857"/>
        <w:rPr>
          <w:rFonts w:ascii="宋体" w:hAnsi="宋体"/>
          <w:color w:val="000000"/>
          <w:sz w:val="24"/>
          <w:szCs w:val="20"/>
        </w:rPr>
      </w:pPr>
      <w:r>
        <w:rPr>
          <w:rFonts w:ascii="宋体" w:hAnsi="宋体"/>
          <w:color w:val="000000"/>
          <w:sz w:val="24"/>
          <w:szCs w:val="20"/>
        </w:rPr>
      </w:r>
      <w:r/>
    </w:p>
    <w:p>
      <w:pPr>
        <w:pStyle w:val="857"/>
        <w:jc w:val="center"/>
        <w:rPr>
          <w:rFonts w:ascii="宋体" w:hAnsi="宋体"/>
          <w:b/>
          <w:sz w:val="32"/>
          <w:szCs w:val="32"/>
        </w:rPr>
      </w:pPr>
      <w:r>
        <w:rPr>
          <w:rFonts w:hint="eastAsia" w:ascii="宋体" w:hAnsi="宋体"/>
          <w:b/>
          <w:sz w:val="32"/>
          <w:szCs w:val="32"/>
        </w:rPr>
        <w:t xml:space="preserve">相关业绩案例一览表</w:t>
      </w:r>
      <w:bookmarkEnd w:id="911"/>
      <w:r/>
      <w:bookmarkEnd w:id="912"/>
      <w:r>
        <w:rPr>
          <w:rFonts w:ascii="宋体" w:hAnsi="宋体"/>
          <w:b/>
          <w:sz w:val="32"/>
          <w:szCs w:val="32"/>
        </w:rPr>
      </w:r>
      <w:r/>
    </w:p>
    <w:p>
      <w:pPr>
        <w:pStyle w:val="857"/>
        <w:jc w:val="center"/>
        <w:spacing w:line="360" w:lineRule="auto"/>
        <w:rPr>
          <w:rFonts w:ascii="宋体" w:hAnsi="宋体"/>
          <w:b/>
          <w:sz w:val="28"/>
          <w:szCs w:val="30"/>
        </w:rPr>
      </w:pPr>
      <w:r>
        <w:rPr>
          <w:rFonts w:ascii="宋体" w:hAnsi="宋体"/>
          <w:b/>
          <w:sz w:val="28"/>
          <w:szCs w:val="30"/>
        </w:rPr>
      </w:r>
      <w:r/>
    </w:p>
    <w:p>
      <w:pPr>
        <w:pStyle w:val="857"/>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bl>
    <w:p>
      <w:pPr>
        <w:pStyle w:val="857"/>
        <w:tabs>
          <w:tab w:val="left" w:pos="9765" w:leader="none"/>
        </w:tabs>
        <w:rPr>
          <w:rFonts w:ascii="宋体" w:hAnsi="宋体" w:cs="宋体"/>
          <w:sz w:val="24"/>
          <w:lang w:val="zh-CN"/>
        </w:rPr>
      </w:pPr>
      <w:r>
        <w:rPr>
          <w:rFonts w:ascii="宋体" w:hAnsi="宋体" w:cs="宋体"/>
          <w:sz w:val="24"/>
          <w:lang w:val="zh-CN"/>
        </w:rPr>
      </w:r>
      <w:r/>
    </w:p>
    <w:p>
      <w:pPr>
        <w:pStyle w:val="857"/>
        <w:spacing w:line="360" w:lineRule="auto"/>
        <w:rPr>
          <w:rFonts w:ascii="宋体" w:hAnsi="宋体" w:cs="宋体"/>
          <w:sz w:val="24"/>
        </w:rPr>
      </w:pPr>
      <w:r>
        <w:rPr>
          <w:rFonts w:ascii="宋体" w:hAnsi="宋体" w:cs="宋体"/>
          <w:sz w:val="24"/>
        </w:rPr>
      </w:r>
      <w:r/>
    </w:p>
    <w:p>
      <w:pPr>
        <w:pStyle w:val="85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p>
    <w:p>
      <w:pPr>
        <w:pStyle w:val="85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857"/>
        <w:spacing w:line="360" w:lineRule="auto"/>
        <w:rPr>
          <w:rFonts w:ascii="宋体" w:hAnsi="宋体"/>
        </w:rPr>
        <w:outlineLvl w:val="2"/>
      </w:pPr>
      <w:r>
        <w:rPr>
          <w:rFonts w:ascii="宋体" w:hAnsi="宋体"/>
        </w:rPr>
      </w:r>
      <w:r/>
    </w:p>
    <w:p>
      <w:pPr>
        <w:pStyle w:val="857"/>
        <w:spacing w:line="360" w:lineRule="auto"/>
        <w:rPr>
          <w:rFonts w:ascii="宋体" w:hAnsi="宋体"/>
        </w:rPr>
        <w:outlineLvl w:val="2"/>
      </w:pPr>
      <w:r>
        <w:rPr>
          <w:rFonts w:ascii="宋体" w:hAnsi="宋体"/>
        </w:rPr>
      </w:r>
      <w:r/>
    </w:p>
    <w:p>
      <w:pPr>
        <w:pStyle w:val="857"/>
        <w:spacing w:line="360" w:lineRule="auto"/>
        <w:rPr>
          <w:rFonts w:ascii="宋体" w:hAnsi="宋体"/>
          <w:b/>
          <w:color w:val="000000"/>
          <w:sz w:val="24"/>
          <w:szCs w:val="20"/>
        </w:rPr>
        <w:outlineLvl w:val="2"/>
      </w:pPr>
      <w:r>
        <w:rPr>
          <w:rFonts w:hint="eastAsia" w:ascii="宋体" w:hAnsi="宋体"/>
          <w:b/>
          <w:color w:val="000000"/>
          <w:sz w:val="24"/>
        </w:rPr>
        <w:t xml:space="preserve">13</w:t>
      </w:r>
      <w:r>
        <w:rPr>
          <w:rFonts w:ascii="宋体" w:hAnsi="宋体"/>
          <w:b/>
          <w:color w:val="000000"/>
          <w:sz w:val="24"/>
        </w:rPr>
        <w:t xml:space="preserve">  招标文件要求提供或投标人认为应附的其他材料</w:t>
      </w:r>
      <w:r>
        <w:rPr>
          <w:rFonts w:ascii="宋体" w:hAnsi="宋体"/>
          <w:b/>
          <w:color w:val="000000"/>
          <w:sz w:val="24"/>
          <w:szCs w:val="20"/>
        </w:rPr>
      </w:r>
      <w:r/>
    </w:p>
    <w:p>
      <w:pPr>
        <w:pStyle w:val="857"/>
        <w:jc w:val="left"/>
        <w:widowControl/>
        <w:rPr>
          <w:rFonts w:ascii="宋体" w:hAnsi="宋体"/>
          <w:b/>
          <w:sz w:val="36"/>
          <w:szCs w:val="36"/>
        </w:rPr>
      </w:pPr>
      <w:r>
        <w:rPr>
          <w:rFonts w:ascii="宋体" w:hAnsi="宋体"/>
          <w:b/>
          <w:sz w:val="36"/>
          <w:szCs w:val="36"/>
        </w:rPr>
      </w:r>
      <w:r/>
    </w:p>
    <w:p>
      <w:pPr>
        <w:pStyle w:val="857"/>
        <w:jc w:val="left"/>
        <w:widowControl/>
        <w:rPr>
          <w:rFonts w:ascii="宋体" w:hAnsi="宋体"/>
          <w:b/>
          <w:sz w:val="36"/>
          <w:szCs w:val="36"/>
        </w:rPr>
      </w:pPr>
      <w:r>
        <w:rPr>
          <w:rFonts w:ascii="宋体" w:hAnsi="宋体"/>
          <w:b/>
          <w:sz w:val="36"/>
          <w:szCs w:val="36"/>
        </w:rPr>
      </w:r>
      <w:r/>
    </w:p>
    <w:p>
      <w:pPr>
        <w:pStyle w:val="857"/>
        <w:rPr>
          <w:rFonts w:ascii="宋体" w:hAnsi="宋体"/>
          <w:sz w:val="36"/>
          <w:szCs w:val="36"/>
        </w:rPr>
      </w:pPr>
      <w:r>
        <w:rPr>
          <w:rFonts w:ascii="宋体" w:hAnsi="宋体"/>
          <w:sz w:val="36"/>
          <w:szCs w:val="36"/>
        </w:rPr>
      </w:r>
      <w:r/>
    </w:p>
    <w:p>
      <w:pPr>
        <w:pStyle w:val="857"/>
        <w:rPr>
          <w:rFonts w:ascii="宋体" w:hAnsi="宋体"/>
          <w:sz w:val="36"/>
          <w:szCs w:val="36"/>
        </w:rPr>
      </w:pPr>
      <w:r>
        <w:rPr>
          <w:rFonts w:ascii="宋体" w:hAnsi="宋体"/>
          <w:sz w:val="36"/>
          <w:szCs w:val="36"/>
        </w:rPr>
      </w:r>
      <w:r/>
    </w:p>
    <w:p>
      <w:pPr>
        <w:pStyle w:val="857"/>
        <w:rPr>
          <w:rFonts w:ascii="宋体" w:hAnsi="宋体"/>
          <w:sz w:val="36"/>
          <w:szCs w:val="36"/>
        </w:rPr>
      </w:pPr>
      <w:r>
        <w:rPr>
          <w:rFonts w:ascii="宋体" w:hAnsi="宋体"/>
          <w:sz w:val="36"/>
          <w:szCs w:val="36"/>
        </w:rPr>
      </w:r>
      <w:r/>
    </w:p>
    <w:p>
      <w:pPr>
        <w:pStyle w:val="857"/>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57"/>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ESI黑体-GB2312">
    <w:panose1 w:val="020B0503020202020204"/>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right="360"/>
      <w:rPr>
        <w:rStyle w:val="930"/>
      </w:rPr>
      <w:framePr w:wrap="around" w:vAnchor="text" w:hAnchor="margin" w:y="1"/>
    </w:pPr>
    <w:r>
      <w:rPr>
        <w:rStyle w:val="930"/>
      </w:rPr>
    </w:r>
    <w:r/>
  </w:p>
  <w:p>
    <w:pPr>
      <w:pStyle w:val="906"/>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center" w:y="1"/>
    </w:pPr>
    <w:r>
      <w:fldChar w:fldCharType="begin"/>
    </w:r>
    <w:r>
      <w:rPr>
        <w:rStyle w:val="930"/>
      </w:rPr>
      <w:instrText xml:space="preserve">PAGE  </w:instrText>
    </w:r>
    <w:r>
      <w:fldChar w:fldCharType="end"/>
    </w:r>
    <w:r>
      <w:rPr>
        <w:rStyle w:val="930"/>
      </w:rPr>
    </w:r>
    <w:r/>
  </w:p>
  <w:p>
    <w:pPr>
      <w:pStyle w:val="90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r>
    <w:r/>
  </w:p>
  <w:p>
    <w:pPr>
      <w:pStyle w:val="90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fldChar w:fldCharType="begin"/>
    </w:r>
    <w:r>
      <w:rPr>
        <w:rStyle w:val="930"/>
      </w:rPr>
      <w:instrText xml:space="preserve">PAGE  </w:instrText>
    </w:r>
    <w:r>
      <w:rPr>
        <w:rStyle w:val="930"/>
      </w:rPr>
      <w:fldChar w:fldCharType="end"/>
    </w:r>
    <w:r>
      <w:rPr>
        <w:rStyle w:val="930"/>
      </w:rPr>
    </w:r>
    <w:r/>
  </w:p>
  <w:p>
    <w:pPr>
      <w:pStyle w:val="90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fldChar w:fldCharType="begin"/>
    </w:r>
    <w:r>
      <w:rPr>
        <w:rStyle w:val="930"/>
      </w:rPr>
      <w:instrText xml:space="preserve">PAGE  </w:instrText>
    </w:r>
    <w:r>
      <w:rPr>
        <w:rStyle w:val="930"/>
      </w:rPr>
      <w:fldChar w:fldCharType="end"/>
    </w:r>
    <w:r>
      <w:rPr>
        <w:rStyle w:val="930"/>
      </w:rPr>
    </w:r>
    <w:r/>
  </w:p>
  <w:p>
    <w:pPr>
      <w:pStyle w:val="906"/>
      <w:ind w:right="360"/>
    </w:pPr>
    <w:r/>
    <w:r/>
  </w:p>
  <w:p>
    <w:pPr>
      <w:pStyle w:val="85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p>
    <w:pPr>
      <w:pStyle w:val="85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57"/>
        <w:ind w:left="4941" w:hanging="1140"/>
        <w:tabs>
          <w:tab w:val="num" w:pos="4941" w:leader="none"/>
        </w:tabs>
      </w:pPr>
      <w:rPr>
        <w:rFonts w:hint="eastAsia"/>
      </w:rPr>
    </w:lvl>
    <w:lvl w:ilvl="1">
      <w:start w:val="1"/>
      <w:numFmt w:val="lowerLetter"/>
      <w:isLgl w:val="false"/>
      <w:suff w:val="tab"/>
      <w:lvlText w:val="%2)"/>
      <w:lvlJc w:val="left"/>
      <w:pPr>
        <w:pStyle w:val="857"/>
        <w:ind w:left="4641" w:hanging="420"/>
        <w:tabs>
          <w:tab w:val="num" w:pos="4641" w:leader="none"/>
        </w:tabs>
      </w:pPr>
    </w:lvl>
    <w:lvl w:ilvl="2">
      <w:start w:val="1"/>
      <w:numFmt w:val="lowerRoman"/>
      <w:isLgl w:val="false"/>
      <w:suff w:val="tab"/>
      <w:lvlText w:val="%3."/>
      <w:lvlJc w:val="right"/>
      <w:pPr>
        <w:pStyle w:val="857"/>
        <w:ind w:left="5061" w:hanging="420"/>
        <w:tabs>
          <w:tab w:val="num" w:pos="5061" w:leader="none"/>
        </w:tabs>
      </w:pPr>
    </w:lvl>
    <w:lvl w:ilvl="3">
      <w:start w:val="1"/>
      <w:numFmt w:val="decimal"/>
      <w:isLgl w:val="false"/>
      <w:suff w:val="tab"/>
      <w:lvlText w:val="%4."/>
      <w:lvlJc w:val="left"/>
      <w:pPr>
        <w:pStyle w:val="857"/>
        <w:ind w:left="5481" w:hanging="420"/>
        <w:tabs>
          <w:tab w:val="num" w:pos="5481" w:leader="none"/>
        </w:tabs>
      </w:pPr>
    </w:lvl>
    <w:lvl w:ilvl="4">
      <w:start w:val="1"/>
      <w:numFmt w:val="lowerLetter"/>
      <w:isLgl w:val="false"/>
      <w:suff w:val="tab"/>
      <w:lvlText w:val="%5)"/>
      <w:lvlJc w:val="left"/>
      <w:pPr>
        <w:pStyle w:val="857"/>
        <w:ind w:left="5901" w:hanging="420"/>
        <w:tabs>
          <w:tab w:val="num" w:pos="5901" w:leader="none"/>
        </w:tabs>
      </w:pPr>
    </w:lvl>
    <w:lvl w:ilvl="5">
      <w:start w:val="1"/>
      <w:numFmt w:val="lowerRoman"/>
      <w:isLgl w:val="false"/>
      <w:suff w:val="tab"/>
      <w:lvlText w:val="%6."/>
      <w:lvlJc w:val="right"/>
      <w:pPr>
        <w:pStyle w:val="857"/>
        <w:ind w:left="6321" w:hanging="420"/>
        <w:tabs>
          <w:tab w:val="num" w:pos="6321" w:leader="none"/>
        </w:tabs>
      </w:pPr>
    </w:lvl>
    <w:lvl w:ilvl="6">
      <w:start w:val="1"/>
      <w:numFmt w:val="decimal"/>
      <w:isLgl w:val="false"/>
      <w:suff w:val="tab"/>
      <w:lvlText w:val="%7."/>
      <w:lvlJc w:val="left"/>
      <w:pPr>
        <w:pStyle w:val="857"/>
        <w:ind w:left="6741" w:hanging="420"/>
        <w:tabs>
          <w:tab w:val="num" w:pos="6741" w:leader="none"/>
        </w:tabs>
      </w:pPr>
    </w:lvl>
    <w:lvl w:ilvl="7">
      <w:start w:val="1"/>
      <w:numFmt w:val="lowerLetter"/>
      <w:isLgl w:val="false"/>
      <w:suff w:val="tab"/>
      <w:lvlText w:val="%8)"/>
      <w:lvlJc w:val="left"/>
      <w:pPr>
        <w:pStyle w:val="857"/>
        <w:ind w:left="7161" w:hanging="420"/>
        <w:tabs>
          <w:tab w:val="num" w:pos="7161" w:leader="none"/>
        </w:tabs>
      </w:pPr>
    </w:lvl>
    <w:lvl w:ilvl="8">
      <w:start w:val="1"/>
      <w:numFmt w:val="lowerRoman"/>
      <w:isLgl w:val="false"/>
      <w:suff w:val="tab"/>
      <w:lvlText w:val="%9."/>
      <w:lvlJc w:val="right"/>
      <w:pPr>
        <w:pStyle w:val="857"/>
        <w:ind w:left="7581" w:hanging="420"/>
        <w:tabs>
          <w:tab w:val="num" w:pos="7581" w:leader="none"/>
        </w:tabs>
      </w:pPr>
    </w:lvl>
  </w:abstractNum>
  <w:abstractNum w:abstractNumId="2">
    <w:multiLevelType w:val="hybridMultilevel"/>
    <w:lvl w:ilvl="0">
      <w:start w:val="1"/>
      <w:numFmt w:val="decimal"/>
      <w:pStyle w:val="966"/>
      <w:isLgl w:val="false"/>
      <w:suff w:val="tab"/>
      <w:lvlText w:val="%1."/>
      <w:lvlJc w:val="left"/>
      <w:pPr>
        <w:pStyle w:val="857"/>
        <w:ind w:left="420" w:hanging="420"/>
      </w:pPr>
    </w:lvl>
    <w:lvl w:ilvl="1">
      <w:start w:val="1"/>
      <w:numFmt w:val="decimal"/>
      <w:isLgl w:val="false"/>
      <w:suff w:val="tab"/>
      <w:lvlText w:val="（%2）"/>
      <w:lvlJc w:val="left"/>
      <w:pPr>
        <w:pStyle w:val="857"/>
        <w:ind w:left="1140" w:hanging="720"/>
        <w:tabs>
          <w:tab w:val="num" w:pos="1140" w:leader="none"/>
        </w:tabs>
      </w:pPr>
      <w:rPr>
        <w:rFonts w:hint="eastAsia"/>
      </w:r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3">
    <w:multiLevelType w:val="hybridMultilevel"/>
    <w:lvl w:ilvl="0">
      <w:start w:val="1"/>
      <w:numFmt w:val="lowerLetter"/>
      <w:pStyle w:val="1041"/>
      <w:isLgl w:val="false"/>
      <w:suff w:val="tab"/>
      <w:lvlText w:val="%1)"/>
      <w:lvlJc w:val="left"/>
      <w:pPr>
        <w:pStyle w:val="857"/>
        <w:ind w:left="902" w:hanging="420"/>
      </w:pPr>
      <w:rPr>
        <w:color w:val="000000"/>
      </w:rPr>
    </w:lvl>
    <w:lvl w:ilvl="1">
      <w:start w:val="1"/>
      <w:numFmt w:val="lowerLetter"/>
      <w:isLgl w:val="false"/>
      <w:suff w:val="tab"/>
      <w:lvlText w:val="%2)"/>
      <w:lvlJc w:val="left"/>
      <w:pPr>
        <w:pStyle w:val="857"/>
        <w:ind w:left="1322" w:hanging="420"/>
      </w:pPr>
    </w:lvl>
    <w:lvl w:ilvl="2">
      <w:start w:val="1"/>
      <w:numFmt w:val="lowerRoman"/>
      <w:isLgl w:val="false"/>
      <w:suff w:val="tab"/>
      <w:lvlText w:val="%3."/>
      <w:lvlJc w:val="right"/>
      <w:pPr>
        <w:pStyle w:val="857"/>
        <w:ind w:left="1742" w:hanging="420"/>
      </w:pPr>
    </w:lvl>
    <w:lvl w:ilvl="3">
      <w:start w:val="1"/>
      <w:numFmt w:val="decimal"/>
      <w:isLgl w:val="false"/>
      <w:suff w:val="tab"/>
      <w:lvlText w:val="%4."/>
      <w:lvlJc w:val="left"/>
      <w:pPr>
        <w:pStyle w:val="857"/>
        <w:ind w:left="2162" w:hanging="420"/>
      </w:pPr>
    </w:lvl>
    <w:lvl w:ilvl="4">
      <w:start w:val="1"/>
      <w:numFmt w:val="lowerLetter"/>
      <w:isLgl w:val="false"/>
      <w:suff w:val="tab"/>
      <w:lvlText w:val="%5)"/>
      <w:lvlJc w:val="left"/>
      <w:pPr>
        <w:pStyle w:val="857"/>
        <w:ind w:left="2582" w:hanging="420"/>
      </w:pPr>
    </w:lvl>
    <w:lvl w:ilvl="5">
      <w:start w:val="1"/>
      <w:numFmt w:val="lowerRoman"/>
      <w:isLgl w:val="false"/>
      <w:suff w:val="tab"/>
      <w:lvlText w:val="%6."/>
      <w:lvlJc w:val="right"/>
      <w:pPr>
        <w:pStyle w:val="857"/>
        <w:ind w:left="3002" w:hanging="420"/>
      </w:pPr>
    </w:lvl>
    <w:lvl w:ilvl="6">
      <w:start w:val="1"/>
      <w:numFmt w:val="decimal"/>
      <w:isLgl w:val="false"/>
      <w:suff w:val="tab"/>
      <w:lvlText w:val="%7."/>
      <w:lvlJc w:val="left"/>
      <w:pPr>
        <w:pStyle w:val="857"/>
        <w:ind w:left="3422" w:hanging="420"/>
      </w:pPr>
    </w:lvl>
    <w:lvl w:ilvl="7">
      <w:start w:val="1"/>
      <w:numFmt w:val="lowerLetter"/>
      <w:isLgl w:val="false"/>
      <w:suff w:val="tab"/>
      <w:lvlText w:val="%8)"/>
      <w:lvlJc w:val="left"/>
      <w:pPr>
        <w:pStyle w:val="857"/>
        <w:ind w:left="3842" w:hanging="420"/>
      </w:pPr>
    </w:lvl>
    <w:lvl w:ilvl="8">
      <w:start w:val="1"/>
      <w:numFmt w:val="lowerRoman"/>
      <w:isLgl w:val="false"/>
      <w:suff w:val="tab"/>
      <w:lvlText w:val="%9."/>
      <w:lvlJc w:val="right"/>
      <w:pPr>
        <w:pStyle w:val="857"/>
        <w:ind w:left="4262" w:hanging="420"/>
      </w:pPr>
    </w:lvl>
  </w:abstractNum>
  <w:abstractNum w:abstractNumId="4">
    <w:multiLevelType w:val="hybridMultilevel"/>
    <w:lvl w:ilvl="0">
      <w:start w:val="1"/>
      <w:numFmt w:val="decimal"/>
      <w:pStyle w:val="1011"/>
      <w:isLgl w:val="false"/>
      <w:suff w:val="tab"/>
      <w:lvlText w:val="%1."/>
      <w:lvlJc w:val="left"/>
      <w:pPr>
        <w:pStyle w:val="85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0"/>
      <w:isLgl w:val="false"/>
      <w:suff w:val="nothing"/>
      <w:lvlText w:val="%1　"/>
      <w:lvlJc w:val="left"/>
      <w:pPr>
        <w:pStyle w:val="85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7"/>
        <w:ind w:left="-25" w:firstLine="0"/>
      </w:pPr>
      <w:rPr>
        <w:rFonts w:ascii="Times New Roman" w:hAnsi="Times New Roman" w:eastAsia="黑体"/>
        <w:b/>
        <w:i w:val="0"/>
        <w:sz w:val="28"/>
      </w:rPr>
    </w:lvl>
    <w:lvl w:ilvl="3">
      <w:start w:val="1"/>
      <w:numFmt w:val="decimal"/>
      <w:pStyle w:val="996"/>
      <w:isLgl w:val="false"/>
      <w:suff w:val="nothing"/>
      <w:lvlText w:val="%1.%2.%3.%4　"/>
      <w:lvlJc w:val="left"/>
      <w:pPr>
        <w:pStyle w:val="85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7"/>
        <w:ind w:left="-25" w:firstLine="0"/>
      </w:pPr>
      <w:rPr>
        <w:rFonts w:ascii="Times New Roman" w:hAnsi="Times New Roman" w:eastAsia="宋体"/>
        <w:b/>
        <w:i w:val="0"/>
        <w:sz w:val="28"/>
      </w:rPr>
    </w:lvl>
    <w:lvl w:ilvl="6">
      <w:start w:val="1"/>
      <w:numFmt w:val="lowerLetter"/>
      <w:pStyle w:val="1017"/>
      <w:isLgl w:val="false"/>
      <w:suff w:val="tab"/>
      <w:lvlText w:val="%7) "/>
      <w:lvlJc w:val="left"/>
      <w:pPr>
        <w:pStyle w:val="857"/>
        <w:ind w:left="-125" w:firstLine="400"/>
        <w:tabs>
          <w:tab w:val="num" w:pos="635" w:leader="none"/>
        </w:tabs>
      </w:pPr>
      <w:rPr>
        <w:rFonts w:ascii="Times New Roman" w:hAnsi="Times New Roman" w:eastAsia="宋体"/>
        <w:b/>
        <w:i w:val="0"/>
        <w:color w:val="000000"/>
        <w:sz w:val="28"/>
        <w:u w:val="none"/>
      </w:rPr>
    </w:lvl>
    <w:lvl w:ilvl="7">
      <w:start w:val="1"/>
      <w:numFmt w:val="decimal"/>
      <w:pStyle w:val="980"/>
      <w:isLgl w:val="false"/>
      <w:suff w:val="tab"/>
      <w:lvlText w:val="%8) "/>
      <w:lvlJc w:val="left"/>
      <w:pPr>
        <w:pStyle w:val="85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7"/>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57"/>
        <w:ind w:left="768" w:hanging="360"/>
        <w:tabs>
          <w:tab w:val="num" w:pos="768" w:leader="none"/>
        </w:tabs>
      </w:pPr>
      <w:rPr>
        <w:rFonts w:hint="eastAsia"/>
      </w:rPr>
    </w:lvl>
    <w:lvl w:ilvl="1">
      <w:start w:val="1"/>
      <w:numFmt w:val="decimal"/>
      <w:pStyle w:val="998"/>
      <w:isLgl w:val="false"/>
      <w:suff w:val="tab"/>
      <w:lvlText w:val="%2、"/>
      <w:lvlJc w:val="left"/>
      <w:pPr>
        <w:pStyle w:val="857"/>
        <w:ind w:left="1188" w:hanging="360"/>
        <w:tabs>
          <w:tab w:val="num" w:pos="1188" w:leader="none"/>
        </w:tabs>
      </w:pPr>
      <w:rPr>
        <w:rFonts w:hint="eastAsia"/>
      </w:rPr>
    </w:lvl>
    <w:lvl w:ilvl="2">
      <w:start w:val="1"/>
      <w:numFmt w:val="decimal"/>
      <w:isLgl w:val="false"/>
      <w:suff w:val="tab"/>
      <w:lvlText w:val="（%3）"/>
      <w:lvlJc w:val="left"/>
      <w:pPr>
        <w:pStyle w:val="857"/>
        <w:ind w:left="1968" w:hanging="720"/>
        <w:tabs>
          <w:tab w:val="num" w:pos="1968" w:leader="none"/>
        </w:tabs>
      </w:pPr>
      <w:rPr>
        <w:rFonts w:hint="eastAsia"/>
        <w:u w:val="none"/>
      </w:rPr>
    </w:lvl>
    <w:lvl w:ilvl="3">
      <w:start w:val="1"/>
      <w:numFmt w:val="decimal"/>
      <w:isLgl w:val="false"/>
      <w:suff w:val="tab"/>
      <w:lvlText w:val="%4."/>
      <w:lvlJc w:val="left"/>
      <w:pPr>
        <w:pStyle w:val="857"/>
        <w:ind w:left="2088" w:hanging="420"/>
        <w:tabs>
          <w:tab w:val="num" w:pos="2088" w:leader="none"/>
        </w:tabs>
      </w:pPr>
    </w:lvl>
    <w:lvl w:ilvl="4">
      <w:start w:val="1"/>
      <w:numFmt w:val="lowerLetter"/>
      <w:isLgl w:val="false"/>
      <w:suff w:val="tab"/>
      <w:lvlText w:val="%5)"/>
      <w:lvlJc w:val="left"/>
      <w:pPr>
        <w:pStyle w:val="857"/>
        <w:ind w:left="2508" w:hanging="420"/>
        <w:tabs>
          <w:tab w:val="num" w:pos="2508" w:leader="none"/>
        </w:tabs>
      </w:pPr>
    </w:lvl>
    <w:lvl w:ilvl="5">
      <w:start w:val="1"/>
      <w:numFmt w:val="lowerRoman"/>
      <w:isLgl w:val="false"/>
      <w:suff w:val="tab"/>
      <w:lvlText w:val="%6."/>
      <w:lvlJc w:val="right"/>
      <w:pPr>
        <w:pStyle w:val="857"/>
        <w:ind w:left="2928" w:hanging="420"/>
        <w:tabs>
          <w:tab w:val="num" w:pos="2928" w:leader="none"/>
        </w:tabs>
      </w:pPr>
    </w:lvl>
    <w:lvl w:ilvl="6">
      <w:start w:val="1"/>
      <w:numFmt w:val="decimal"/>
      <w:isLgl w:val="false"/>
      <w:suff w:val="tab"/>
      <w:lvlText w:val="%7."/>
      <w:lvlJc w:val="left"/>
      <w:pPr>
        <w:pStyle w:val="857"/>
        <w:ind w:left="3348" w:hanging="420"/>
        <w:tabs>
          <w:tab w:val="num" w:pos="3348" w:leader="none"/>
        </w:tabs>
      </w:pPr>
    </w:lvl>
    <w:lvl w:ilvl="7">
      <w:start w:val="1"/>
      <w:numFmt w:val="lowerLetter"/>
      <w:isLgl w:val="false"/>
      <w:suff w:val="tab"/>
      <w:lvlText w:val="%8)"/>
      <w:lvlJc w:val="left"/>
      <w:pPr>
        <w:pStyle w:val="857"/>
        <w:ind w:left="3768" w:hanging="420"/>
        <w:tabs>
          <w:tab w:val="num" w:pos="3768" w:leader="none"/>
        </w:tabs>
      </w:pPr>
    </w:lvl>
    <w:lvl w:ilvl="8">
      <w:start w:val="1"/>
      <w:numFmt w:val="lowerRoman"/>
      <w:isLgl w:val="false"/>
      <w:suff w:val="tab"/>
      <w:lvlText w:val="%9."/>
      <w:lvlJc w:val="right"/>
      <w:pPr>
        <w:pStyle w:val="857"/>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57"/>
        <w:ind w:left="900" w:hanging="900"/>
        <w:tabs>
          <w:tab w:val="num" w:pos="900" w:leader="none"/>
        </w:tabs>
      </w:pPr>
      <w:rPr>
        <w:rFonts w:hint="eastAsia"/>
        <w:b/>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8">
    <w:multiLevelType w:val="hybridMultilevel"/>
    <w:lvl w:ilvl="0">
      <w:start w:val="1"/>
      <w:numFmt w:val="decimal"/>
      <w:pStyle w:val="965"/>
      <w:isLgl w:val="false"/>
      <w:suff w:val="tab"/>
      <w:lvlText w:val="%1)"/>
      <w:lvlJc w:val="left"/>
      <w:pPr>
        <w:pStyle w:val="857"/>
        <w:ind w:left="420" w:hanging="420"/>
      </w:p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9">
    <w:multiLevelType w:val="hybridMultilevel"/>
    <w:lvl w:ilvl="0">
      <w:start w:val="1"/>
      <w:numFmt w:val="decimal"/>
      <w:pStyle w:val="1066"/>
      <w:isLgl w:val="false"/>
      <w:suff w:val="tab"/>
      <w:lvlText w:val="%1"/>
      <w:lvlJc w:val="left"/>
      <w:pPr>
        <w:pStyle w:val="857"/>
        <w:ind w:left="680" w:hanging="680"/>
      </w:pPr>
      <w:rPr>
        <w:rFonts w:hint="eastAsia" w:ascii="宋体" w:hAnsi="宋体" w:eastAsia="宋体"/>
      </w:rPr>
    </w:lvl>
    <w:lvl w:ilvl="1">
      <w:start w:val="1"/>
      <w:numFmt w:val="decimal"/>
      <w:pStyle w:val="1067"/>
      <w:isLgl w:val="false"/>
      <w:suff w:val="tab"/>
      <w:lvlText w:val="%1.%2"/>
      <w:lvlJc w:val="left"/>
      <w:pPr>
        <w:pStyle w:val="857"/>
        <w:ind w:left="851" w:hanging="851"/>
      </w:pPr>
      <w:rPr>
        <w:rFonts w:hint="eastAsia" w:ascii="宋体" w:hAnsi="宋体" w:eastAsia="宋体"/>
        <w:color w:val="000000"/>
      </w:rPr>
    </w:lvl>
    <w:lvl w:ilvl="2">
      <w:start w:val="1"/>
      <w:numFmt w:val="decimal"/>
      <w:pStyle w:val="1068"/>
      <w:isLgl w:val="false"/>
      <w:suff w:val="tab"/>
      <w:lvlText w:val="%1.%2.%3"/>
      <w:lvlJc w:val="left"/>
      <w:pPr>
        <w:pStyle w:val="857"/>
        <w:ind w:left="851" w:hanging="851"/>
      </w:pPr>
      <w:rPr>
        <w:rFonts w:hint="eastAsia"/>
      </w:rPr>
    </w:lvl>
    <w:lvl w:ilvl="3">
      <w:start w:val="1"/>
      <w:numFmt w:val="decimal"/>
      <w:isLgl w:val="false"/>
      <w:suff w:val="tab"/>
      <w:lvlText w:val="%1.%2.%3.%4"/>
      <w:lvlJc w:val="left"/>
      <w:pPr>
        <w:pStyle w:val="857"/>
        <w:ind w:left="680" w:hanging="680"/>
      </w:pPr>
      <w:rPr>
        <w:rFonts w:hint="eastAsia"/>
      </w:rPr>
    </w:lvl>
    <w:lvl w:ilvl="4">
      <w:start w:val="1"/>
      <w:numFmt w:val="decimal"/>
      <w:isLgl w:val="false"/>
      <w:suff w:val="tab"/>
      <w:lvlText w:val="%1.%2.%3.%4.%5"/>
      <w:lvlJc w:val="left"/>
      <w:pPr>
        <w:pStyle w:val="857"/>
        <w:ind w:left="680" w:hanging="680"/>
      </w:pPr>
      <w:rPr>
        <w:rFonts w:hint="eastAsia"/>
      </w:rPr>
    </w:lvl>
    <w:lvl w:ilvl="5">
      <w:start w:val="1"/>
      <w:numFmt w:val="decimal"/>
      <w:isLgl w:val="false"/>
      <w:suff w:val="tab"/>
      <w:lvlText w:val="%1.%2.%3.%4.%5.%6"/>
      <w:lvlJc w:val="left"/>
      <w:pPr>
        <w:pStyle w:val="857"/>
        <w:ind w:left="680" w:hanging="680"/>
      </w:pPr>
      <w:rPr>
        <w:rFonts w:hint="eastAsia"/>
      </w:rPr>
    </w:lvl>
    <w:lvl w:ilvl="6">
      <w:start w:val="1"/>
      <w:numFmt w:val="decimal"/>
      <w:isLgl w:val="false"/>
      <w:suff w:val="tab"/>
      <w:lvlText w:val="%1.%2.%3.%4.%5.%6.%7"/>
      <w:lvlJc w:val="left"/>
      <w:pPr>
        <w:pStyle w:val="857"/>
        <w:ind w:left="680" w:hanging="680"/>
      </w:pPr>
      <w:rPr>
        <w:rFonts w:hint="eastAsia"/>
      </w:rPr>
    </w:lvl>
    <w:lvl w:ilvl="7">
      <w:start w:val="1"/>
      <w:numFmt w:val="decimal"/>
      <w:isLgl w:val="false"/>
      <w:suff w:val="tab"/>
      <w:lvlText w:val="%1.%2.%3.%4.%5.%6.%7.%8"/>
      <w:lvlJc w:val="left"/>
      <w:pPr>
        <w:pStyle w:val="857"/>
        <w:ind w:left="680" w:hanging="680"/>
      </w:pPr>
      <w:rPr>
        <w:rFonts w:hint="eastAsia"/>
      </w:rPr>
    </w:lvl>
    <w:lvl w:ilvl="8">
      <w:start w:val="1"/>
      <w:numFmt w:val="decimal"/>
      <w:isLgl w:val="false"/>
      <w:suff w:val="tab"/>
      <w:lvlText w:val="%1.%2.%3.%4.%5.%6.%7.%8.%9"/>
      <w:lvlJc w:val="left"/>
      <w:pPr>
        <w:pStyle w:val="857"/>
        <w:ind w:left="680" w:hanging="680"/>
      </w:pPr>
      <w:rPr>
        <w:rFonts w:hint="eastAsia"/>
      </w:rPr>
    </w:lvl>
  </w:abstractNum>
  <w:abstractNum w:abstractNumId="10">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57"/>
        <w:ind w:left="205" w:hanging="322"/>
      </w:pPr>
      <w:rPr>
        <w:rFonts w:ascii="仿宋" w:hAnsi="仿宋" w:eastAsia="仿宋" w:cs="仿宋"/>
        <w:spacing w:val="-46"/>
        <w:sz w:val="30"/>
        <w:szCs w:val="30"/>
      </w:r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14">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2"/>
  </w:num>
  <w:num w:numId="12">
    <w:abstractNumId w:val="10"/>
  </w:num>
  <w:num w:numId="13">
    <w:abstractNumId w:val="14"/>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7"/>
    <w:next w:val="8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7"/>
    <w:next w:val="8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7"/>
    <w:next w:val="8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7"/>
    <w:next w:val="8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7"/>
    <w:next w:val="8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7"/>
    <w:next w:val="8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7"/>
    <w:next w:val="8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7"/>
    <w:next w:val="8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7"/>
    <w:next w:val="8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7"/>
    <w:next w:val="8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7"/>
    <w:next w:val="857"/>
    <w:link w:val="38"/>
    <w:uiPriority w:val="29"/>
    <w:qFormat/>
    <w:pPr>
      <w:ind w:left="720" w:right="720"/>
    </w:pPr>
    <w:rPr>
      <w:i/>
    </w:rPr>
  </w:style>
  <w:style w:type="character" w:styleId="38">
    <w:name w:val="Quote Char"/>
    <w:link w:val="37"/>
    <w:uiPriority w:val="29"/>
    <w:rPr>
      <w:i/>
    </w:rPr>
  </w:style>
  <w:style w:type="paragraph" w:styleId="39">
    <w:name w:val="Intense Quote"/>
    <w:basedOn w:val="857"/>
    <w:next w:val="8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7"/>
    <w:next w:val="8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7"/>
    <w:next w:val="857"/>
    <w:uiPriority w:val="39"/>
    <w:unhideWhenUsed/>
    <w:pPr>
      <w:ind w:left="0" w:right="0" w:firstLine="0"/>
      <w:spacing w:after="57"/>
    </w:pPr>
  </w:style>
  <w:style w:type="paragraph" w:styleId="181">
    <w:name w:val="toc 2"/>
    <w:basedOn w:val="857"/>
    <w:next w:val="857"/>
    <w:uiPriority w:val="39"/>
    <w:unhideWhenUsed/>
    <w:pPr>
      <w:ind w:left="283" w:right="0" w:firstLine="0"/>
      <w:spacing w:after="57"/>
    </w:pPr>
  </w:style>
  <w:style w:type="paragraph" w:styleId="182">
    <w:name w:val="toc 3"/>
    <w:basedOn w:val="857"/>
    <w:next w:val="857"/>
    <w:uiPriority w:val="39"/>
    <w:unhideWhenUsed/>
    <w:pPr>
      <w:ind w:left="567" w:right="0" w:firstLine="0"/>
      <w:spacing w:after="57"/>
    </w:pPr>
  </w:style>
  <w:style w:type="paragraph" w:styleId="183">
    <w:name w:val="toc 4"/>
    <w:basedOn w:val="857"/>
    <w:next w:val="857"/>
    <w:uiPriority w:val="39"/>
    <w:unhideWhenUsed/>
    <w:pPr>
      <w:ind w:left="850" w:right="0" w:firstLine="0"/>
      <w:spacing w:after="57"/>
    </w:pPr>
  </w:style>
  <w:style w:type="paragraph" w:styleId="184">
    <w:name w:val="toc 5"/>
    <w:basedOn w:val="857"/>
    <w:next w:val="857"/>
    <w:uiPriority w:val="39"/>
    <w:unhideWhenUsed/>
    <w:pPr>
      <w:ind w:left="1134" w:right="0" w:firstLine="0"/>
      <w:spacing w:after="57"/>
    </w:pPr>
  </w:style>
  <w:style w:type="paragraph" w:styleId="185">
    <w:name w:val="toc 6"/>
    <w:basedOn w:val="857"/>
    <w:next w:val="857"/>
    <w:uiPriority w:val="39"/>
    <w:unhideWhenUsed/>
    <w:pPr>
      <w:ind w:left="1417" w:right="0" w:firstLine="0"/>
      <w:spacing w:after="57"/>
    </w:pPr>
  </w:style>
  <w:style w:type="paragraph" w:styleId="186">
    <w:name w:val="toc 7"/>
    <w:basedOn w:val="857"/>
    <w:next w:val="857"/>
    <w:uiPriority w:val="39"/>
    <w:unhideWhenUsed/>
    <w:pPr>
      <w:ind w:left="1701" w:right="0" w:firstLine="0"/>
      <w:spacing w:after="57"/>
    </w:pPr>
  </w:style>
  <w:style w:type="paragraph" w:styleId="187">
    <w:name w:val="toc 8"/>
    <w:basedOn w:val="857"/>
    <w:next w:val="857"/>
    <w:uiPriority w:val="39"/>
    <w:unhideWhenUsed/>
    <w:pPr>
      <w:ind w:left="1984" w:right="0" w:firstLine="0"/>
      <w:spacing w:after="57"/>
    </w:pPr>
  </w:style>
  <w:style w:type="paragraph" w:styleId="188">
    <w:name w:val="toc 9"/>
    <w:basedOn w:val="857"/>
    <w:next w:val="8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57"/>
    <w:link w:val="857"/>
    <w:qFormat/>
    <w:pPr>
      <w:jc w:val="both"/>
      <w:widowControl w:val="off"/>
    </w:pPr>
    <w:rPr>
      <w:sz w:val="21"/>
      <w:szCs w:val="24"/>
      <w:lang w:val="en-US" w:eastAsia="zh-CN" w:bidi="ar-SA"/>
    </w:rPr>
  </w:style>
  <w:style w:type="paragraph" w:styleId="858">
    <w:name w:val="标题 1"/>
    <w:basedOn w:val="857"/>
    <w:next w:val="857"/>
    <w:link w:val="870"/>
    <w:qFormat/>
    <w:pPr>
      <w:jc w:val="center"/>
      <w:keepLines/>
      <w:keepNext/>
      <w:spacing w:before="240" w:after="120" w:line="300" w:lineRule="auto"/>
      <w:outlineLvl w:val="0"/>
    </w:pPr>
    <w:rPr>
      <w:rFonts w:ascii="宋体"/>
      <w:b/>
      <w:sz w:val="32"/>
      <w:szCs w:val="20"/>
    </w:rPr>
  </w:style>
  <w:style w:type="paragraph" w:styleId="859">
    <w:name w:val="标题 2"/>
    <w:basedOn w:val="857"/>
    <w:next w:val="872"/>
    <w:link w:val="871"/>
    <w:qFormat/>
    <w:pPr>
      <w:jc w:val="center"/>
      <w:keepLines/>
      <w:keepNext/>
      <w:spacing w:before="120" w:line="300" w:lineRule="auto"/>
      <w:outlineLvl w:val="1"/>
    </w:pPr>
    <w:rPr>
      <w:rFonts w:ascii="Arial" w:hAnsi="Arial" w:eastAsia="黑体"/>
      <w:b/>
      <w:sz w:val="30"/>
      <w:szCs w:val="20"/>
    </w:rPr>
  </w:style>
  <w:style w:type="paragraph" w:styleId="860">
    <w:name w:val="标题 3"/>
    <w:basedOn w:val="857"/>
    <w:next w:val="872"/>
    <w:link w:val="874"/>
    <w:qFormat/>
    <w:pPr>
      <w:jc w:val="left"/>
      <w:keepLines/>
      <w:keepNext/>
      <w:spacing w:before="360" w:after="120"/>
      <w:outlineLvl w:val="2"/>
    </w:pPr>
    <w:rPr>
      <w:rFonts w:ascii="宋体"/>
      <w:b/>
      <w:sz w:val="24"/>
      <w:szCs w:val="20"/>
      <w:u w:val="single"/>
    </w:rPr>
  </w:style>
  <w:style w:type="paragraph" w:styleId="861">
    <w:name w:val="标题 4"/>
    <w:basedOn w:val="857"/>
    <w:next w:val="857"/>
    <w:link w:val="875"/>
    <w:qFormat/>
    <w:pPr>
      <w:keepLines/>
      <w:keepNext/>
      <w:spacing w:before="280" w:after="290" w:line="376" w:lineRule="atLeast"/>
      <w:outlineLvl w:val="3"/>
    </w:pPr>
    <w:rPr>
      <w:rFonts w:ascii="Arial" w:hAnsi="Arial" w:eastAsia="黑体"/>
      <w:b/>
      <w:sz w:val="28"/>
      <w:szCs w:val="20"/>
    </w:rPr>
  </w:style>
  <w:style w:type="paragraph" w:styleId="862">
    <w:name w:val="标题 5"/>
    <w:basedOn w:val="857"/>
    <w:next w:val="857"/>
    <w:link w:val="876"/>
    <w:qFormat/>
    <w:pPr>
      <w:keepLines/>
      <w:keepNext/>
      <w:spacing w:before="280" w:after="290" w:line="376" w:lineRule="atLeast"/>
      <w:outlineLvl w:val="4"/>
    </w:pPr>
    <w:rPr>
      <w:b/>
      <w:sz w:val="28"/>
      <w:szCs w:val="20"/>
    </w:rPr>
  </w:style>
  <w:style w:type="paragraph" w:styleId="863">
    <w:name w:val="标题 6"/>
    <w:basedOn w:val="857"/>
    <w:next w:val="857"/>
    <w:link w:val="877"/>
    <w:qFormat/>
    <w:pPr>
      <w:keepLines/>
      <w:keepNext/>
      <w:spacing w:before="240" w:after="64" w:line="320" w:lineRule="atLeast"/>
      <w:outlineLvl w:val="5"/>
    </w:pPr>
    <w:rPr>
      <w:rFonts w:ascii="Arial" w:hAnsi="Arial" w:eastAsia="黑体"/>
      <w:b/>
      <w:sz w:val="24"/>
      <w:szCs w:val="20"/>
    </w:rPr>
  </w:style>
  <w:style w:type="paragraph" w:styleId="864">
    <w:name w:val="标题 7"/>
    <w:basedOn w:val="857"/>
    <w:next w:val="857"/>
    <w:link w:val="878"/>
    <w:qFormat/>
    <w:pPr>
      <w:keepLines/>
      <w:keepNext/>
      <w:spacing w:before="240" w:after="64" w:line="320" w:lineRule="atLeast"/>
      <w:outlineLvl w:val="6"/>
    </w:pPr>
    <w:rPr>
      <w:b/>
      <w:sz w:val="24"/>
      <w:szCs w:val="20"/>
    </w:rPr>
  </w:style>
  <w:style w:type="paragraph" w:styleId="865">
    <w:name w:val="标题 8"/>
    <w:basedOn w:val="857"/>
    <w:next w:val="857"/>
    <w:link w:val="879"/>
    <w:qFormat/>
    <w:pPr>
      <w:keepLines/>
      <w:keepNext/>
      <w:spacing w:before="240" w:after="64" w:line="320" w:lineRule="atLeast"/>
      <w:outlineLvl w:val="7"/>
    </w:pPr>
    <w:rPr>
      <w:rFonts w:ascii="Arial" w:hAnsi="Arial" w:eastAsia="黑体"/>
      <w:sz w:val="24"/>
      <w:szCs w:val="20"/>
    </w:rPr>
  </w:style>
  <w:style w:type="paragraph" w:styleId="866">
    <w:name w:val="标题 9"/>
    <w:basedOn w:val="857"/>
    <w:next w:val="857"/>
    <w:link w:val="880"/>
    <w:qFormat/>
    <w:pPr>
      <w:keepLines/>
      <w:keepNext/>
      <w:spacing w:before="240" w:after="64" w:line="320" w:lineRule="atLeast"/>
      <w:outlineLvl w:val="8"/>
    </w:pPr>
    <w:rPr>
      <w:rFonts w:ascii="Arial" w:hAnsi="Arial" w:eastAsia="黑体"/>
      <w:szCs w:val="20"/>
    </w:rPr>
  </w:style>
  <w:style w:type="character" w:styleId="867">
    <w:name w:val="默认段落字体"/>
    <w:next w:val="867"/>
    <w:link w:val="857"/>
    <w:uiPriority w:val="1"/>
    <w:unhideWhenUsed/>
    <w:qFormat/>
  </w:style>
  <w:style w:type="table" w:styleId="868">
    <w:name w:val="普通表格"/>
    <w:next w:val="868"/>
    <w:link w:val="857"/>
    <w:uiPriority w:val="99"/>
    <w:unhideWhenUsed/>
    <w:qFormat/>
    <w:tblPr/>
  </w:style>
  <w:style w:type="numbering" w:styleId="869">
    <w:name w:val="无列表"/>
    <w:next w:val="869"/>
    <w:link w:val="857"/>
    <w:uiPriority w:val="99"/>
    <w:semiHidden/>
    <w:unhideWhenUsed/>
  </w:style>
  <w:style w:type="character" w:styleId="870">
    <w:name w:val="标题 1 字符"/>
    <w:next w:val="870"/>
    <w:link w:val="858"/>
    <w:qFormat/>
    <w:rPr>
      <w:rFonts w:ascii="宋体"/>
      <w:b/>
      <w:sz w:val="32"/>
    </w:rPr>
  </w:style>
  <w:style w:type="character" w:styleId="871">
    <w:name w:val="标题 2 字符"/>
    <w:next w:val="871"/>
    <w:link w:val="859"/>
    <w:qFormat/>
    <w:rPr>
      <w:rFonts w:ascii="Arial" w:hAnsi="Arial" w:eastAsia="黑体"/>
      <w:b/>
      <w:sz w:val="30"/>
      <w:lang w:val="en-US" w:eastAsia="zh-CN" w:bidi="ar-SA"/>
    </w:rPr>
  </w:style>
  <w:style w:type="paragraph" w:styleId="872">
    <w:name w:val="正文缩进"/>
    <w:basedOn w:val="857"/>
    <w:next w:val="872"/>
    <w:link w:val="873"/>
    <w:uiPriority w:val="99"/>
    <w:qFormat/>
    <w:pPr>
      <w:ind w:firstLine="420"/>
      <w:jc w:val="left"/>
    </w:pPr>
    <w:rPr>
      <w:rFonts w:ascii="宋体"/>
      <w:sz w:val="24"/>
    </w:rPr>
  </w:style>
  <w:style w:type="character" w:styleId="873">
    <w:name w:val="正文缩进 字符1"/>
    <w:next w:val="873"/>
    <w:link w:val="872"/>
    <w:qFormat/>
    <w:rPr>
      <w:rFonts w:ascii="宋体" w:eastAsia="宋体"/>
      <w:sz w:val="24"/>
      <w:szCs w:val="24"/>
      <w:lang w:val="en-US" w:eastAsia="zh-CN" w:bidi="ar-SA"/>
    </w:rPr>
  </w:style>
  <w:style w:type="character" w:styleId="874">
    <w:name w:val="标题 3 字符"/>
    <w:next w:val="874"/>
    <w:link w:val="860"/>
    <w:qFormat/>
    <w:rPr>
      <w:rFonts w:ascii="宋体" w:eastAsia="宋体"/>
      <w:b/>
      <w:sz w:val="24"/>
      <w:u w:val="single"/>
      <w:lang w:val="en-US" w:eastAsia="zh-CN" w:bidi="ar-SA"/>
    </w:rPr>
  </w:style>
  <w:style w:type="character" w:styleId="875">
    <w:name w:val="标题 4 字符"/>
    <w:next w:val="875"/>
    <w:link w:val="861"/>
    <w:qFormat/>
    <w:rPr>
      <w:rFonts w:ascii="Arial" w:hAnsi="Arial" w:eastAsia="黑体"/>
      <w:b/>
      <w:sz w:val="28"/>
    </w:rPr>
  </w:style>
  <w:style w:type="character" w:styleId="876">
    <w:name w:val="标题 5 字符"/>
    <w:next w:val="876"/>
    <w:link w:val="862"/>
    <w:qFormat/>
    <w:rPr>
      <w:b/>
      <w:sz w:val="28"/>
    </w:rPr>
  </w:style>
  <w:style w:type="character" w:styleId="877">
    <w:name w:val="标题 6 字符"/>
    <w:next w:val="877"/>
    <w:link w:val="863"/>
    <w:qFormat/>
    <w:rPr>
      <w:rFonts w:ascii="Arial" w:hAnsi="Arial" w:eastAsia="黑体"/>
      <w:b/>
      <w:sz w:val="24"/>
    </w:rPr>
  </w:style>
  <w:style w:type="character" w:styleId="878">
    <w:name w:val="标题 7 字符"/>
    <w:next w:val="878"/>
    <w:link w:val="864"/>
    <w:qFormat/>
    <w:rPr>
      <w:b/>
      <w:sz w:val="24"/>
    </w:rPr>
  </w:style>
  <w:style w:type="character" w:styleId="879">
    <w:name w:val="标题 8 字符"/>
    <w:next w:val="879"/>
    <w:link w:val="865"/>
    <w:qFormat/>
    <w:rPr>
      <w:rFonts w:ascii="Arial" w:hAnsi="Arial" w:eastAsia="黑体"/>
      <w:sz w:val="24"/>
    </w:rPr>
  </w:style>
  <w:style w:type="character" w:styleId="880">
    <w:name w:val="标题 9 字符"/>
    <w:next w:val="880"/>
    <w:link w:val="866"/>
    <w:qFormat/>
    <w:rPr>
      <w:rFonts w:ascii="Arial" w:hAnsi="Arial" w:eastAsia="黑体"/>
      <w:sz w:val="21"/>
    </w:rPr>
  </w:style>
  <w:style w:type="paragraph" w:styleId="881">
    <w:name w:val="目录 7"/>
    <w:basedOn w:val="857"/>
    <w:next w:val="857"/>
    <w:link w:val="857"/>
    <w:qFormat/>
    <w:pPr>
      <w:ind w:left="2520"/>
    </w:pPr>
  </w:style>
  <w:style w:type="paragraph" w:styleId="882">
    <w:name w:val="题注"/>
    <w:basedOn w:val="857"/>
    <w:next w:val="857"/>
    <w:link w:val="857"/>
    <w:qFormat/>
    <w:pPr>
      <w:spacing w:line="480" w:lineRule="auto"/>
    </w:pPr>
    <w:rPr>
      <w:rFonts w:ascii="华文中宋" w:hAnsi="华文中宋" w:eastAsia="华文中宋"/>
      <w:sz w:val="36"/>
      <w:szCs w:val="20"/>
    </w:rPr>
  </w:style>
  <w:style w:type="paragraph" w:styleId="883">
    <w:name w:val="文档结构图"/>
    <w:basedOn w:val="857"/>
    <w:next w:val="883"/>
    <w:link w:val="884"/>
    <w:qFormat/>
    <w:pPr>
      <w:shd w:val="clear" w:color="auto" w:fill="000080"/>
    </w:pPr>
  </w:style>
  <w:style w:type="character" w:styleId="884">
    <w:name w:val="文档结构图 字符"/>
    <w:next w:val="884"/>
    <w:link w:val="883"/>
    <w:qFormat/>
    <w:rPr>
      <w:sz w:val="21"/>
      <w:szCs w:val="24"/>
      <w:shd w:val="clear" w:color="auto" w:fill="000080"/>
    </w:rPr>
  </w:style>
  <w:style w:type="paragraph" w:styleId="885">
    <w:name w:val="批注文字"/>
    <w:basedOn w:val="857"/>
    <w:next w:val="885"/>
    <w:link w:val="886"/>
    <w:qFormat/>
    <w:pPr>
      <w:jc w:val="left"/>
    </w:pPr>
  </w:style>
  <w:style w:type="character" w:styleId="886">
    <w:name w:val="批注文字 字符1"/>
    <w:next w:val="886"/>
    <w:link w:val="885"/>
    <w:uiPriority w:val="99"/>
    <w:qFormat/>
    <w:rPr>
      <w:sz w:val="21"/>
      <w:szCs w:val="24"/>
    </w:rPr>
  </w:style>
  <w:style w:type="paragraph" w:styleId="887">
    <w:name w:val="正文文本 3"/>
    <w:basedOn w:val="857"/>
    <w:next w:val="887"/>
    <w:link w:val="888"/>
    <w:qFormat/>
    <w:pPr>
      <w:spacing w:after="120"/>
    </w:pPr>
    <w:rPr>
      <w:sz w:val="16"/>
      <w:szCs w:val="16"/>
    </w:rPr>
  </w:style>
  <w:style w:type="character" w:styleId="888">
    <w:name w:val="正文文本 3 字符"/>
    <w:next w:val="888"/>
    <w:link w:val="887"/>
    <w:qFormat/>
    <w:rPr>
      <w:sz w:val="16"/>
      <w:szCs w:val="16"/>
    </w:rPr>
  </w:style>
  <w:style w:type="paragraph" w:styleId="889">
    <w:name w:val="正文文本"/>
    <w:basedOn w:val="857"/>
    <w:next w:val="889"/>
    <w:link w:val="890"/>
    <w:qFormat/>
    <w:pPr>
      <w:spacing w:before="120" w:line="22" w:lineRule="atLeast"/>
      <w:tabs>
        <w:tab w:val="left" w:pos="567" w:leader="none"/>
      </w:tabs>
    </w:pPr>
    <w:rPr>
      <w:rFonts w:ascii="宋体" w:hAnsi="宋体"/>
      <w:sz w:val="24"/>
    </w:rPr>
  </w:style>
  <w:style w:type="character" w:styleId="890">
    <w:name w:val="正文文本 字符1"/>
    <w:next w:val="890"/>
    <w:link w:val="889"/>
    <w:qFormat/>
    <w:rPr>
      <w:rFonts w:ascii="宋体" w:hAnsi="宋体"/>
      <w:sz w:val="24"/>
      <w:szCs w:val="24"/>
    </w:rPr>
  </w:style>
  <w:style w:type="paragraph" w:styleId="891">
    <w:name w:val="正文文本缩进"/>
    <w:basedOn w:val="857"/>
    <w:next w:val="891"/>
    <w:link w:val="892"/>
    <w:qFormat/>
    <w:pPr>
      <w:ind w:firstLine="570"/>
      <w:spacing w:line="360" w:lineRule="auto"/>
    </w:pPr>
    <w:rPr>
      <w:sz w:val="24"/>
    </w:rPr>
  </w:style>
  <w:style w:type="character" w:styleId="892">
    <w:name w:val="正文文本缩进 字符"/>
    <w:next w:val="892"/>
    <w:link w:val="891"/>
    <w:qFormat/>
    <w:rPr>
      <w:rFonts w:eastAsia="宋体"/>
      <w:sz w:val="24"/>
      <w:szCs w:val="24"/>
      <w:lang w:val="en-US" w:eastAsia="zh-CN" w:bidi="ar-SA"/>
    </w:rPr>
  </w:style>
  <w:style w:type="paragraph" w:styleId="893">
    <w:name w:val="列表 2"/>
    <w:basedOn w:val="857"/>
    <w:next w:val="893"/>
    <w:link w:val="857"/>
    <w:qFormat/>
    <w:pPr>
      <w:ind w:left="100" w:hanging="200"/>
    </w:pPr>
  </w:style>
  <w:style w:type="paragraph" w:styleId="894">
    <w:name w:val="文本块"/>
    <w:basedOn w:val="857"/>
    <w:next w:val="894"/>
    <w:link w:val="857"/>
    <w:qFormat/>
    <w:pPr>
      <w:ind w:left="480" w:right="-341" w:firstLine="513"/>
      <w:widowControl/>
    </w:pPr>
    <w:rPr>
      <w:sz w:val="24"/>
      <w:szCs w:val="20"/>
    </w:rPr>
  </w:style>
  <w:style w:type="paragraph" w:styleId="895">
    <w:name w:val="目录 5"/>
    <w:basedOn w:val="857"/>
    <w:next w:val="857"/>
    <w:link w:val="857"/>
    <w:qFormat/>
    <w:pPr>
      <w:ind w:left="1680"/>
    </w:pPr>
  </w:style>
  <w:style w:type="paragraph" w:styleId="896">
    <w:name w:val="目录 3"/>
    <w:basedOn w:val="857"/>
    <w:next w:val="857"/>
    <w:link w:val="857"/>
    <w:uiPriority w:val="39"/>
    <w:qFormat/>
    <w:pPr>
      <w:ind w:left="840"/>
    </w:pPr>
  </w:style>
  <w:style w:type="paragraph" w:styleId="897">
    <w:name w:val="纯文本"/>
    <w:basedOn w:val="857"/>
    <w:next w:val="897"/>
    <w:link w:val="898"/>
    <w:uiPriority w:val="99"/>
    <w:qFormat/>
    <w:rPr>
      <w:rFonts w:hint="eastAsia" w:ascii="宋体" w:hAnsi="Courier New"/>
      <w:szCs w:val="20"/>
    </w:rPr>
  </w:style>
  <w:style w:type="character" w:styleId="898">
    <w:name w:val="纯文本 字符2"/>
    <w:next w:val="898"/>
    <w:link w:val="897"/>
    <w:qFormat/>
    <w:rPr>
      <w:rFonts w:hint="eastAsia" w:ascii="宋体" w:hAnsi="Courier New" w:eastAsia="宋体" w:cs="宋体"/>
      <w:sz w:val="21"/>
    </w:rPr>
  </w:style>
  <w:style w:type="paragraph" w:styleId="899">
    <w:name w:val="目录 8"/>
    <w:basedOn w:val="857"/>
    <w:next w:val="857"/>
    <w:link w:val="857"/>
    <w:qFormat/>
    <w:pPr>
      <w:ind w:left="2940"/>
    </w:pPr>
  </w:style>
  <w:style w:type="paragraph" w:styleId="900">
    <w:name w:val="日期"/>
    <w:basedOn w:val="857"/>
    <w:next w:val="857"/>
    <w:link w:val="901"/>
    <w:qFormat/>
    <w:pPr>
      <w:ind w:left="100"/>
    </w:pPr>
    <w:rPr>
      <w:rFonts w:ascii="仿宋_GB2312" w:hAnsi="宋体" w:eastAsia="仿宋_GB2312"/>
      <w:color w:val="000000"/>
      <w:sz w:val="24"/>
    </w:rPr>
  </w:style>
  <w:style w:type="character" w:styleId="901">
    <w:name w:val="日期 字符"/>
    <w:next w:val="901"/>
    <w:link w:val="900"/>
    <w:qFormat/>
    <w:rPr>
      <w:rFonts w:ascii="仿宋_GB2312" w:hAnsi="宋体" w:eastAsia="仿宋_GB2312"/>
      <w:color w:val="000000"/>
      <w:sz w:val="24"/>
      <w:szCs w:val="24"/>
    </w:rPr>
  </w:style>
  <w:style w:type="paragraph" w:styleId="902">
    <w:name w:val="正文文本缩进 2"/>
    <w:basedOn w:val="857"/>
    <w:next w:val="902"/>
    <w:link w:val="903"/>
    <w:qFormat/>
    <w:pPr>
      <w:ind w:firstLine="480"/>
    </w:pPr>
    <w:rPr>
      <w:rFonts w:ascii="仿宋_GB2312" w:eastAsia="仿宋_GB2312"/>
      <w:sz w:val="24"/>
    </w:rPr>
  </w:style>
  <w:style w:type="character" w:styleId="903">
    <w:name w:val="正文文本缩进 2 字符"/>
    <w:next w:val="903"/>
    <w:link w:val="902"/>
    <w:qFormat/>
    <w:rPr>
      <w:rFonts w:ascii="仿宋_GB2312" w:eastAsia="仿宋_GB2312"/>
      <w:sz w:val="24"/>
      <w:szCs w:val="24"/>
    </w:rPr>
  </w:style>
  <w:style w:type="paragraph" w:styleId="904">
    <w:name w:val="批注框文本"/>
    <w:basedOn w:val="857"/>
    <w:next w:val="904"/>
    <w:link w:val="905"/>
    <w:qFormat/>
    <w:rPr>
      <w:sz w:val="18"/>
      <w:szCs w:val="18"/>
    </w:rPr>
  </w:style>
  <w:style w:type="character" w:styleId="905">
    <w:name w:val="批注框文本 字符"/>
    <w:next w:val="905"/>
    <w:link w:val="904"/>
    <w:qFormat/>
    <w:rPr>
      <w:sz w:val="18"/>
      <w:szCs w:val="18"/>
    </w:rPr>
  </w:style>
  <w:style w:type="paragraph" w:styleId="906">
    <w:name w:val="页脚"/>
    <w:basedOn w:val="857"/>
    <w:next w:val="906"/>
    <w:link w:val="907"/>
    <w:uiPriority w:val="99"/>
    <w:qFormat/>
    <w:pPr>
      <w:jc w:val="left"/>
      <w:tabs>
        <w:tab w:val="center" w:pos="4153" w:leader="none"/>
        <w:tab w:val="right" w:pos="8306" w:leader="none"/>
      </w:tabs>
    </w:pPr>
    <w:rPr>
      <w:rFonts w:ascii="宋体"/>
      <w:sz w:val="18"/>
      <w:szCs w:val="20"/>
    </w:rPr>
  </w:style>
  <w:style w:type="character" w:styleId="907">
    <w:name w:val="页脚 字符"/>
    <w:next w:val="907"/>
    <w:link w:val="906"/>
    <w:uiPriority w:val="99"/>
    <w:qFormat/>
    <w:rPr>
      <w:rFonts w:ascii="宋体" w:eastAsia="宋体"/>
      <w:sz w:val="18"/>
      <w:lang w:val="en-US" w:eastAsia="zh-CN" w:bidi="ar-SA"/>
    </w:rPr>
  </w:style>
  <w:style w:type="paragraph" w:styleId="908">
    <w:name w:val="页眉"/>
    <w:basedOn w:val="857"/>
    <w:next w:val="908"/>
    <w:link w:val="909"/>
    <w:qFormat/>
    <w:pPr>
      <w:jc w:val="center"/>
      <w:tabs>
        <w:tab w:val="center" w:pos="4153" w:leader="none"/>
        <w:tab w:val="right" w:pos="8306" w:leader="none"/>
      </w:tabs>
      <w:pBdr>
        <w:bottom w:val="single" w:color="000000" w:sz="6" w:space="1"/>
      </w:pBdr>
    </w:pPr>
    <w:rPr>
      <w:sz w:val="18"/>
      <w:szCs w:val="18"/>
    </w:rPr>
  </w:style>
  <w:style w:type="character" w:styleId="909">
    <w:name w:val="页眉 字符"/>
    <w:next w:val="909"/>
    <w:link w:val="908"/>
    <w:qFormat/>
    <w:rPr>
      <w:rFonts w:eastAsia="宋体"/>
      <w:sz w:val="18"/>
      <w:szCs w:val="18"/>
      <w:lang w:val="en-US" w:eastAsia="zh-CN" w:bidi="ar-SA"/>
    </w:rPr>
  </w:style>
  <w:style w:type="paragraph" w:styleId="910">
    <w:name w:val="目录 1"/>
    <w:basedOn w:val="857"/>
    <w:next w:val="857"/>
    <w:link w:val="857"/>
    <w:uiPriority w:val="39"/>
    <w:qFormat/>
    <w:pPr>
      <w:spacing w:line="300" w:lineRule="auto"/>
      <w:tabs>
        <w:tab w:val="left" w:pos="1050" w:leader="none"/>
        <w:tab w:val="right" w:pos="8937" w:leader="dot"/>
      </w:tabs>
    </w:pPr>
    <w:rPr>
      <w:rFonts w:ascii="宋体" w:hAnsi="宋体"/>
      <w:b/>
      <w:sz w:val="24"/>
    </w:rPr>
  </w:style>
  <w:style w:type="paragraph" w:styleId="911">
    <w:name w:val="目录 4"/>
    <w:basedOn w:val="857"/>
    <w:next w:val="857"/>
    <w:link w:val="857"/>
    <w:qFormat/>
    <w:pPr>
      <w:ind w:left="1260"/>
    </w:pPr>
  </w:style>
  <w:style w:type="paragraph" w:styleId="912">
    <w:name w:val="目录 6"/>
    <w:basedOn w:val="857"/>
    <w:next w:val="857"/>
    <w:link w:val="857"/>
    <w:qFormat/>
    <w:pPr>
      <w:ind w:left="2100"/>
    </w:pPr>
  </w:style>
  <w:style w:type="paragraph" w:styleId="913">
    <w:name w:val="正文文本缩进 3"/>
    <w:basedOn w:val="857"/>
    <w:next w:val="913"/>
    <w:link w:val="914"/>
    <w:qFormat/>
    <w:pPr>
      <w:ind w:left="720" w:firstLine="480"/>
      <w:jc w:val="left"/>
      <w:spacing w:before="120" w:line="22" w:lineRule="atLeast"/>
    </w:pPr>
    <w:rPr>
      <w:rFonts w:ascii="宋体"/>
      <w:sz w:val="24"/>
      <w:szCs w:val="20"/>
    </w:rPr>
  </w:style>
  <w:style w:type="character" w:styleId="914">
    <w:name w:val="正文文本缩进 3 字符"/>
    <w:next w:val="914"/>
    <w:link w:val="913"/>
    <w:qFormat/>
    <w:rPr>
      <w:rFonts w:ascii="宋体"/>
      <w:sz w:val="24"/>
    </w:rPr>
  </w:style>
  <w:style w:type="paragraph" w:styleId="915">
    <w:name w:val="目录 2"/>
    <w:basedOn w:val="857"/>
    <w:next w:val="857"/>
    <w:link w:val="857"/>
    <w:uiPriority w:val="39"/>
    <w:qFormat/>
    <w:pPr>
      <w:ind w:left="420"/>
      <w:spacing w:line="312" w:lineRule="auto"/>
      <w:tabs>
        <w:tab w:val="right" w:pos="8937" w:leader="dot"/>
      </w:tabs>
    </w:pPr>
  </w:style>
  <w:style w:type="paragraph" w:styleId="916">
    <w:name w:val="目录 9"/>
    <w:basedOn w:val="857"/>
    <w:next w:val="857"/>
    <w:link w:val="857"/>
    <w:qFormat/>
    <w:pPr>
      <w:ind w:left="3360"/>
    </w:pPr>
  </w:style>
  <w:style w:type="paragraph" w:styleId="917">
    <w:name w:val="HTML 预设格式"/>
    <w:basedOn w:val="857"/>
    <w:next w:val="917"/>
    <w:link w:val="9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8">
    <w:name w:val="HTML 预设格式 字符"/>
    <w:next w:val="918"/>
    <w:link w:val="917"/>
    <w:qFormat/>
    <w:rPr>
      <w:rFonts w:ascii="宋体" w:hAnsi="宋体" w:cs="宋体"/>
      <w:sz w:val="24"/>
      <w:szCs w:val="24"/>
    </w:rPr>
  </w:style>
  <w:style w:type="paragraph" w:styleId="919">
    <w:name w:val="普通(网站)"/>
    <w:basedOn w:val="857"/>
    <w:next w:val="919"/>
    <w:link w:val="857"/>
    <w:uiPriority w:val="99"/>
    <w:unhideWhenUsed/>
    <w:qFormat/>
    <w:pPr>
      <w:jc w:val="left"/>
      <w:spacing w:before="100" w:beforeAutospacing="1" w:after="100" w:afterAutospacing="1"/>
      <w:widowControl/>
    </w:pPr>
    <w:rPr>
      <w:rFonts w:ascii="宋体" w:hAnsi="宋体" w:cs="宋体"/>
      <w:sz w:val="24"/>
    </w:rPr>
  </w:style>
  <w:style w:type="paragraph" w:styleId="920">
    <w:name w:val="索引 1"/>
    <w:basedOn w:val="857"/>
    <w:next w:val="857"/>
    <w:link w:val="857"/>
    <w:qFormat/>
    <w:rPr>
      <w:szCs w:val="20"/>
    </w:rPr>
  </w:style>
  <w:style w:type="paragraph" w:styleId="921">
    <w:name w:val="标题"/>
    <w:basedOn w:val="857"/>
    <w:next w:val="921"/>
    <w:link w:val="922"/>
    <w:qFormat/>
    <w:pPr>
      <w:jc w:val="center"/>
      <w:outlineLvl w:val="0"/>
    </w:pPr>
    <w:rPr>
      <w:b/>
      <w:sz w:val="32"/>
      <w:szCs w:val="20"/>
    </w:rPr>
  </w:style>
  <w:style w:type="character" w:styleId="922">
    <w:name w:val="标题 字符"/>
    <w:next w:val="922"/>
    <w:link w:val="921"/>
    <w:qFormat/>
    <w:rPr>
      <w:b/>
      <w:sz w:val="32"/>
    </w:rPr>
  </w:style>
  <w:style w:type="paragraph" w:styleId="923">
    <w:name w:val="批注主题"/>
    <w:basedOn w:val="885"/>
    <w:next w:val="885"/>
    <w:link w:val="924"/>
    <w:qFormat/>
    <w:rPr>
      <w:b/>
      <w:bCs/>
    </w:rPr>
  </w:style>
  <w:style w:type="character" w:styleId="924">
    <w:name w:val="批注主题 字符"/>
    <w:next w:val="924"/>
    <w:link w:val="923"/>
    <w:qFormat/>
    <w:rPr>
      <w:rFonts w:ascii="Times New Roman" w:hAnsi="Times New Roman" w:eastAsia="宋体" w:cs="Times New Roman"/>
      <w:b/>
      <w:bCs/>
      <w:sz w:val="21"/>
      <w:szCs w:val="24"/>
      <w:lang w:val="en-US" w:eastAsia="zh-CN" w:bidi="ar-SA"/>
    </w:rPr>
  </w:style>
  <w:style w:type="paragraph" w:styleId="925">
    <w:name w:val="正文首行缩进 2"/>
    <w:basedOn w:val="891"/>
    <w:next w:val="925"/>
    <w:link w:val="926"/>
    <w:qFormat/>
    <w:pPr>
      <w:ind w:left="420" w:firstLine="420"/>
      <w:spacing w:after="120" w:line="480" w:lineRule="exact"/>
    </w:pPr>
    <w:rPr>
      <w:szCs w:val="20"/>
    </w:rPr>
  </w:style>
  <w:style w:type="character" w:styleId="926">
    <w:name w:val="正文首行缩进 2 字符"/>
    <w:next w:val="926"/>
    <w:link w:val="925"/>
    <w:qFormat/>
    <w:rPr>
      <w:rFonts w:eastAsia="宋体"/>
      <w:sz w:val="24"/>
      <w:szCs w:val="24"/>
      <w:lang w:val="en-US" w:eastAsia="zh-CN" w:bidi="ar-SA"/>
    </w:rPr>
  </w:style>
  <w:style w:type="table" w:styleId="927">
    <w:name w:val="网格型"/>
    <w:basedOn w:val="868"/>
    <w:next w:val="927"/>
    <w:link w:val="857"/>
    <w:uiPriority w:val="39"/>
    <w:qFormat/>
    <w:tblPr/>
  </w:style>
  <w:style w:type="table" w:styleId="928">
    <w:name w:val="中等深浅网格 1 - 着色 2"/>
    <w:basedOn w:val="868"/>
    <w:next w:val="928"/>
    <w:link w:val="857"/>
    <w:qFormat/>
    <w:rPr>
      <w:sz w:val="21"/>
      <w:szCs w:val="24"/>
    </w:rPr>
    <w:tblPr/>
  </w:style>
  <w:style w:type="character" w:styleId="929">
    <w:name w:val="要点"/>
    <w:next w:val="929"/>
    <w:link w:val="857"/>
    <w:qFormat/>
    <w:rPr>
      <w:b/>
      <w:bCs/>
    </w:rPr>
  </w:style>
  <w:style w:type="character" w:styleId="930">
    <w:name w:val="页码"/>
    <w:next w:val="930"/>
    <w:link w:val="857"/>
    <w:qFormat/>
  </w:style>
  <w:style w:type="character" w:styleId="931">
    <w:name w:val="访问过的超链接"/>
    <w:next w:val="931"/>
    <w:link w:val="857"/>
    <w:qFormat/>
    <w:rPr>
      <w:color w:val="800080"/>
      <w:u w:val="single"/>
    </w:rPr>
  </w:style>
  <w:style w:type="character" w:styleId="932">
    <w:name w:val="强调"/>
    <w:next w:val="932"/>
    <w:link w:val="857"/>
    <w:qFormat/>
    <w:rPr>
      <w:color w:val="cc0033"/>
    </w:rPr>
  </w:style>
  <w:style w:type="character" w:styleId="933">
    <w:name w:val="超链接"/>
    <w:next w:val="933"/>
    <w:link w:val="857"/>
    <w:uiPriority w:val="99"/>
    <w:qFormat/>
    <w:rPr>
      <w:color w:val="0000ff"/>
      <w:u w:val="single"/>
    </w:rPr>
  </w:style>
  <w:style w:type="character" w:styleId="934">
    <w:name w:val="批注引用"/>
    <w:next w:val="934"/>
    <w:link w:val="857"/>
    <w:qFormat/>
    <w:rPr>
      <w:sz w:val="21"/>
      <w:szCs w:val="21"/>
    </w:rPr>
  </w:style>
  <w:style w:type="character" w:styleId="935">
    <w:name w:val="HTML 引文"/>
    <w:next w:val="935"/>
    <w:link w:val="857"/>
    <w:qFormat/>
    <w:rPr>
      <w:i/>
      <w:iCs/>
    </w:rPr>
  </w:style>
  <w:style w:type="character" w:styleId="936">
    <w:name w:val="批注文字 字符"/>
    <w:next w:val="936"/>
    <w:link w:val="857"/>
    <w:uiPriority w:val="99"/>
    <w:qFormat/>
    <w:rPr>
      <w:rFonts w:ascii="Times New Roman" w:hAnsi="Times New Roman" w:eastAsia="宋体" w:cs="Times New Roman"/>
      <w:sz w:val="24"/>
      <w:lang w:val="en-US" w:eastAsia="zh-CN" w:bidi="ar-SA"/>
    </w:rPr>
  </w:style>
  <w:style w:type="character" w:styleId="937">
    <w:name w:val="c21"/>
    <w:next w:val="937"/>
    <w:link w:val="857"/>
    <w:qFormat/>
    <w:rPr>
      <w:rFonts w:ascii="ˎ̥" w:hAnsi="ˎ̥"/>
      <w:color w:val="000000"/>
      <w:sz w:val="20"/>
      <w:szCs w:val="20"/>
      <w:u w:val="none"/>
    </w:rPr>
  </w:style>
  <w:style w:type="character" w:styleId="938">
    <w:name w:val="title4"/>
    <w:next w:val="938"/>
    <w:link w:val="857"/>
    <w:qFormat/>
    <w:rPr>
      <w:b/>
      <w:bCs/>
      <w:color w:val="1d87b3"/>
      <w:sz w:val="15"/>
      <w:szCs w:val="15"/>
    </w:rPr>
  </w:style>
  <w:style w:type="character" w:styleId="939">
    <w:name w:val="标题 2 Char Char"/>
    <w:next w:val="939"/>
    <w:link w:val="857"/>
    <w:qFormat/>
    <w:rPr>
      <w:rFonts w:ascii="Arial" w:hAnsi="Arial" w:eastAsia="黑体"/>
      <w:b/>
      <w:bCs/>
      <w:sz w:val="32"/>
      <w:szCs w:val="32"/>
      <w:lang w:val="en-US" w:eastAsia="zh-CN" w:bidi="ar-SA"/>
    </w:rPr>
  </w:style>
  <w:style w:type="character" w:styleId="940">
    <w:name w:val="black1"/>
    <w:next w:val="940"/>
    <w:link w:val="857"/>
    <w:qFormat/>
    <w:rPr>
      <w:color w:val="000000"/>
    </w:rPr>
  </w:style>
  <w:style w:type="character" w:styleId="941">
    <w:name w:val="street-address"/>
    <w:next w:val="941"/>
    <w:link w:val="857"/>
    <w:qFormat/>
  </w:style>
  <w:style w:type="character" w:styleId="942">
    <w:name w:val="locality"/>
    <w:next w:val="942"/>
    <w:link w:val="857"/>
    <w:qFormat/>
  </w:style>
  <w:style w:type="character" w:styleId="943">
    <w:name w:val="正文文本缩进 Char1"/>
    <w:next w:val="943"/>
    <w:link w:val="944"/>
    <w:qFormat/>
    <w:rPr>
      <w:rFonts w:ascii="宋体" w:hAnsi="宋体" w:eastAsia="宋体"/>
      <w:sz w:val="24"/>
      <w:szCs w:val="24"/>
      <w:lang w:bidi="ar-SA"/>
    </w:rPr>
  </w:style>
  <w:style w:type="paragraph" w:styleId="944">
    <w:name w:val="正文文本缩进1"/>
    <w:basedOn w:val="857"/>
    <w:next w:val="944"/>
    <w:link w:val="943"/>
    <w:qFormat/>
    <w:pPr>
      <w:ind w:firstLine="480"/>
      <w:spacing w:line="480" w:lineRule="exact"/>
    </w:pPr>
    <w:rPr>
      <w:rFonts w:ascii="宋体" w:hAnsi="宋体"/>
      <w:sz w:val="24"/>
    </w:rPr>
  </w:style>
  <w:style w:type="character" w:styleId="945">
    <w:name w:val="Char Char11"/>
    <w:next w:val="945"/>
    <w:link w:val="857"/>
    <w:qFormat/>
    <w:rPr>
      <w:rFonts w:ascii="宋体" w:eastAsia="宋体"/>
      <w:b/>
      <w:sz w:val="24"/>
      <w:u w:val="single"/>
      <w:lang w:val="en-US" w:eastAsia="zh-CN" w:bidi="ar-SA"/>
    </w:rPr>
  </w:style>
  <w:style w:type="character" w:styleId="946">
    <w:name w:val="txt"/>
    <w:next w:val="946"/>
    <w:link w:val="857"/>
    <w:qFormat/>
  </w:style>
  <w:style w:type="character" w:styleId="947">
    <w:name w:val="正文缩进 Char Char"/>
    <w:next w:val="947"/>
    <w:link w:val="948"/>
    <w:qFormat/>
    <w:rPr>
      <w:rFonts w:ascii="宋体" w:eastAsia="宋体"/>
      <w:color w:val="000000"/>
      <w:sz w:val="28"/>
      <w:lang w:bidi="ar-SA"/>
    </w:rPr>
  </w:style>
  <w:style w:type="paragraph" w:styleId="948">
    <w:name w:val="正文缩进1"/>
    <w:basedOn w:val="857"/>
    <w:next w:val="948"/>
    <w:link w:val="947"/>
    <w:qFormat/>
    <w:pPr>
      <w:ind w:firstLine="567"/>
      <w:spacing w:line="480" w:lineRule="exact"/>
      <w:widowControl/>
    </w:pPr>
    <w:rPr>
      <w:rFonts w:ascii="宋体"/>
      <w:color w:val="000000"/>
      <w:sz w:val="28"/>
      <w:szCs w:val="20"/>
    </w:rPr>
  </w:style>
  <w:style w:type="character" w:styleId="949">
    <w:name w:val="普通文字1 Char1"/>
    <w:next w:val="949"/>
    <w:link w:val="857"/>
    <w:qFormat/>
    <w:rPr>
      <w:rFonts w:ascii="宋体" w:hAnsi="Courier New" w:eastAsia="宋体"/>
      <w:sz w:val="21"/>
      <w:lang w:val="en-US" w:eastAsia="zh-CN" w:bidi="ar-SA"/>
    </w:rPr>
  </w:style>
  <w:style w:type="character" w:styleId="950">
    <w:name w:val="chanpin1"/>
    <w:next w:val="950"/>
    <w:link w:val="857"/>
    <w:qFormat/>
    <w:rPr>
      <w:rFonts w:ascii="ˎ̥" w:hAnsi="ˎ̥"/>
      <w:color w:val="000000"/>
      <w:sz w:val="20"/>
      <w:szCs w:val="20"/>
      <w:u w:val="none"/>
    </w:rPr>
  </w:style>
  <w:style w:type="character" w:styleId="951">
    <w:name w:val="列出段落 字符"/>
    <w:next w:val="951"/>
    <w:link w:val="952"/>
    <w:uiPriority w:val="34"/>
    <w:qFormat/>
    <w:rPr>
      <w:rFonts w:ascii="Calibri" w:hAnsi="Calibri" w:eastAsia="宋体"/>
      <w:sz w:val="21"/>
      <w:szCs w:val="22"/>
      <w:lang w:val="en-US" w:eastAsia="zh-CN" w:bidi="ar-SA"/>
    </w:rPr>
  </w:style>
  <w:style w:type="paragraph" w:styleId="952">
    <w:name w:val="列出段落"/>
    <w:basedOn w:val="857"/>
    <w:next w:val="952"/>
    <w:link w:val="951"/>
    <w:uiPriority w:val="34"/>
    <w:qFormat/>
    <w:pPr>
      <w:ind w:firstLine="420"/>
    </w:pPr>
    <w:rPr>
      <w:rFonts w:ascii="Calibri" w:hAnsi="Calibri"/>
      <w:szCs w:val="22"/>
    </w:rPr>
  </w:style>
  <w:style w:type="character" w:styleId="953">
    <w:name w:val="标题 3 Char Char"/>
    <w:next w:val="953"/>
    <w:link w:val="857"/>
    <w:qFormat/>
    <w:rPr>
      <w:rFonts w:eastAsia="宋体"/>
      <w:b/>
      <w:bCs/>
      <w:sz w:val="32"/>
      <w:szCs w:val="32"/>
      <w:lang w:val="en-US" w:eastAsia="zh-CN" w:bidi="ar-SA"/>
    </w:rPr>
  </w:style>
  <w:style w:type="character" w:styleId="954">
    <w:name w:val="段1 Char"/>
    <w:next w:val="954"/>
    <w:link w:val="857"/>
    <w:qFormat/>
    <w:rPr>
      <w:rFonts w:ascii="宋体" w:eastAsia="宋体"/>
      <w:sz w:val="24"/>
      <w:lang w:val="en-US" w:eastAsia="zh-CN" w:bidi="ar-SA"/>
    </w:rPr>
  </w:style>
  <w:style w:type="character" w:styleId="955">
    <w:name w:val="chanpin拷贝"/>
    <w:next w:val="955"/>
    <w:link w:val="857"/>
    <w:qFormat/>
  </w:style>
  <w:style w:type="character" w:styleId="956">
    <w:name w:val="纯文本 Char1"/>
    <w:next w:val="956"/>
    <w:link w:val="857"/>
    <w:uiPriority w:val="99"/>
    <w:qFormat/>
    <w:rPr>
      <w:rFonts w:ascii="宋体" w:hAnsi="Courier New" w:eastAsia="宋体"/>
      <w:sz w:val="21"/>
      <w:lang w:val="en-US" w:eastAsia="zh-CN" w:bidi="ar-SA"/>
    </w:rPr>
  </w:style>
  <w:style w:type="character" w:styleId="957">
    <w:name w:val="apple-style-span"/>
    <w:next w:val="957"/>
    <w:link w:val="857"/>
    <w:qFormat/>
    <w:rPr>
      <w:rFonts w:cs="Times New Roman"/>
    </w:rPr>
  </w:style>
  <w:style w:type="paragraph" w:styleId="958">
    <w:name w:val="二级条标题"/>
    <w:basedOn w:val="959"/>
    <w:next w:val="857"/>
    <w:link w:val="857"/>
    <w:qFormat/>
    <w:pPr>
      <w:numPr>
        <w:ilvl w:val="0"/>
        <w:numId w:val="0"/>
      </w:numPr>
      <w:ind w:hanging="840"/>
      <w:tabs>
        <w:tab w:val="left" w:pos="360" w:leader="none"/>
        <w:tab w:val="left" w:pos="840" w:leader="none"/>
      </w:tabs>
      <w:outlineLvl w:val="2"/>
    </w:pPr>
    <w:rPr>
      <w:rFonts w:ascii="宋体" w:eastAsia="宋体"/>
      <w:b w:val="0"/>
    </w:rPr>
  </w:style>
  <w:style w:type="paragraph" w:styleId="959">
    <w:name w:val="一级条标题"/>
    <w:basedOn w:val="960"/>
    <w:next w:val="857"/>
    <w:link w:val="857"/>
    <w:qFormat/>
    <w:pPr>
      <w:numPr>
        <w:ilvl w:val="1"/>
      </w:numPr>
      <w:ind w:left="0" w:hanging="840"/>
      <w:tabs>
        <w:tab w:val="left" w:pos="360" w:leader="none"/>
        <w:tab w:val="left" w:pos="840" w:leader="none"/>
      </w:tabs>
      <w:outlineLvl w:val="1"/>
    </w:pPr>
  </w:style>
  <w:style w:type="paragraph" w:styleId="960">
    <w:name w:val="章标题"/>
    <w:next w:val="857"/>
    <w:link w:val="85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1">
    <w:name w:val="font7"/>
    <w:basedOn w:val="857"/>
    <w:next w:val="961"/>
    <w:link w:val="857"/>
    <w:qFormat/>
    <w:pPr>
      <w:jc w:val="left"/>
      <w:spacing w:before="100" w:beforeAutospacing="1" w:after="100" w:afterAutospacing="1"/>
      <w:widowControl/>
    </w:pPr>
    <w:rPr>
      <w:rFonts w:eastAsia="Arial Unicode MS"/>
      <w:b/>
      <w:bCs/>
      <w:color w:val="000000"/>
      <w:sz w:val="20"/>
      <w:szCs w:val="20"/>
    </w:rPr>
  </w:style>
  <w:style w:type="paragraph" w:styleId="962">
    <w:name w:val="字元 字元"/>
    <w:basedOn w:val="857"/>
    <w:next w:val="962"/>
    <w:link w:val="857"/>
    <w:qFormat/>
    <w:rPr>
      <w:rFonts w:ascii="Tahoma" w:hAnsi="Tahoma"/>
      <w:sz w:val="24"/>
      <w:szCs w:val="20"/>
    </w:rPr>
  </w:style>
  <w:style w:type="paragraph" w:styleId="963">
    <w:name w:val="Char3 Char Char Char"/>
    <w:basedOn w:val="857"/>
    <w:next w:val="963"/>
    <w:link w:val="857"/>
    <w:qFormat/>
    <w:rPr>
      <w:rFonts w:ascii="Tahoma" w:hAnsi="Tahoma"/>
      <w:sz w:val="24"/>
      <w:szCs w:val="20"/>
    </w:rPr>
  </w:style>
  <w:style w:type="paragraph" w:styleId="964">
    <w:name w:val="font6"/>
    <w:basedOn w:val="857"/>
    <w:next w:val="964"/>
    <w:link w:val="857"/>
    <w:qFormat/>
    <w:pPr>
      <w:jc w:val="left"/>
      <w:spacing w:before="100" w:beforeAutospacing="1" w:after="100" w:afterAutospacing="1"/>
      <w:widowControl/>
    </w:pPr>
    <w:rPr>
      <w:rFonts w:ascii="宋体" w:hAnsi="宋体" w:cs="宋体"/>
      <w:sz w:val="20"/>
      <w:szCs w:val="20"/>
    </w:rPr>
  </w:style>
  <w:style w:type="paragraph" w:styleId="965">
    <w:name w:val="项目编号2"/>
    <w:basedOn w:val="966"/>
    <w:next w:val="965"/>
    <w:link w:val="857"/>
    <w:qFormat/>
    <w:pPr>
      <w:numPr>
        <w:numId w:val="3"/>
      </w:numPr>
    </w:pPr>
  </w:style>
  <w:style w:type="paragraph" w:styleId="966">
    <w:name w:val="项目编号1"/>
    <w:basedOn w:val="857"/>
    <w:next w:val="966"/>
    <w:link w:val="857"/>
    <w:qFormat/>
    <w:pPr>
      <w:numPr>
        <w:ilvl w:val="0"/>
        <w:numId w:val="2"/>
      </w:numPr>
      <w:spacing w:before="100" w:beforeAutospacing="1" w:after="100" w:afterAutospacing="1" w:line="360" w:lineRule="auto"/>
    </w:pPr>
    <w:rPr>
      <w:sz w:val="24"/>
    </w:rPr>
  </w:style>
  <w:style w:type="paragraph" w:styleId="967">
    <w:name w:val="图中文字"/>
    <w:basedOn w:val="857"/>
    <w:next w:val="967"/>
    <w:link w:val="857"/>
    <w:qFormat/>
    <w:pPr>
      <w:jc w:val="center"/>
      <w:spacing w:line="0" w:lineRule="atLeast"/>
    </w:pPr>
    <w:rPr>
      <w:sz w:val="24"/>
      <w:szCs w:val="20"/>
    </w:rPr>
  </w:style>
  <w:style w:type="paragraph" w:styleId="968">
    <w:name w:val="xl46"/>
    <w:basedOn w:val="857"/>
    <w:next w:val="968"/>
    <w:link w:val="85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9">
    <w:name w:val="xl25"/>
    <w:basedOn w:val="857"/>
    <w:next w:val="969"/>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0">
    <w:name w:val="Char2"/>
    <w:basedOn w:val="857"/>
    <w:next w:val="970"/>
    <w:link w:val="857"/>
    <w:qFormat/>
    <w:rPr>
      <w:rFonts w:ascii="Tahoma" w:hAnsi="Tahoma"/>
      <w:sz w:val="24"/>
      <w:szCs w:val="20"/>
    </w:rPr>
  </w:style>
  <w:style w:type="paragraph" w:styleId="971">
    <w:name w:val="xl35"/>
    <w:basedOn w:val="857"/>
    <w:next w:val="971"/>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2">
    <w:name w:val="xl40"/>
    <w:basedOn w:val="857"/>
    <w:next w:val="972"/>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3">
    <w:name w:val="xl52"/>
    <w:basedOn w:val="857"/>
    <w:next w:val="973"/>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4">
    <w:name w:val="xl43"/>
    <w:basedOn w:val="857"/>
    <w:next w:val="974"/>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5">
    <w:name w:val="background1"/>
    <w:basedOn w:val="857"/>
    <w:next w:val="975"/>
    <w:link w:val="857"/>
    <w:qFormat/>
    <w:pPr>
      <w:jc w:val="left"/>
      <w:spacing w:before="100" w:beforeAutospacing="1" w:after="100" w:afterAutospacing="1"/>
      <w:widowControl/>
    </w:pPr>
    <w:rPr>
      <w:rFonts w:ascii="宋体" w:hAnsi="宋体" w:cs="宋体"/>
      <w:sz w:val="24"/>
    </w:rPr>
  </w:style>
  <w:style w:type="paragraph" w:styleId="976">
    <w:name w:val="Char Char Char Char Char Char Char"/>
    <w:basedOn w:val="857"/>
    <w:next w:val="976"/>
    <w:link w:val="857"/>
    <w:qFormat/>
    <w:pPr>
      <w:ind w:firstLine="200"/>
      <w:spacing w:line="360" w:lineRule="auto"/>
    </w:pPr>
    <w:rPr>
      <w:rFonts w:eastAsia="仿宋_GB2312"/>
      <w:sz w:val="24"/>
    </w:rPr>
  </w:style>
  <w:style w:type="paragraph" w:styleId="977">
    <w:name w:val="xl38"/>
    <w:basedOn w:val="857"/>
    <w:next w:val="977"/>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8">
    <w:name w:val="xl36"/>
    <w:basedOn w:val="857"/>
    <w:next w:val="978"/>
    <w:link w:val="85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9">
    <w:name w:val="正文 + 宋体"/>
    <w:basedOn w:val="857"/>
    <w:next w:val="979"/>
    <w:link w:val="857"/>
    <w:qFormat/>
    <w:pPr>
      <w:ind w:left="360" w:hanging="360"/>
      <w:jc w:val="left"/>
      <w:widowControl/>
    </w:pPr>
    <w:rPr>
      <w:rFonts w:ascii="宋体" w:hAnsi="宋体" w:cs="宋体"/>
      <w:b/>
      <w:bCs/>
      <w:color w:val="000000"/>
      <w:sz w:val="18"/>
      <w:szCs w:val="18"/>
    </w:rPr>
  </w:style>
  <w:style w:type="paragraph" w:styleId="980">
    <w:name w:val="正文列项_数字"/>
    <w:basedOn w:val="857"/>
    <w:next w:val="980"/>
    <w:link w:val="857"/>
    <w:qFormat/>
    <w:pPr>
      <w:numPr>
        <w:ilvl w:val="7"/>
        <w:numId w:val="1"/>
      </w:numPr>
      <w:ind w:left="680" w:hanging="150"/>
      <w:spacing w:line="460" w:lineRule="exact"/>
      <w:tabs>
        <w:tab w:val="clear" w:pos="860" w:leader="none"/>
      </w:tabs>
      <w:outlineLvl w:val="7"/>
    </w:pPr>
    <w:rPr>
      <w:rFonts w:ascii="宋体"/>
      <w:sz w:val="28"/>
      <w:szCs w:val="20"/>
    </w:rPr>
  </w:style>
  <w:style w:type="paragraph" w:styleId="981">
    <w:name w:val="xl39"/>
    <w:basedOn w:val="857"/>
    <w:next w:val="98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2">
    <w:name w:val="xl37"/>
    <w:basedOn w:val="857"/>
    <w:next w:val="982"/>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3">
    <w:name w:val="xl32"/>
    <w:basedOn w:val="857"/>
    <w:next w:val="983"/>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4">
    <w:name w:val="font8"/>
    <w:basedOn w:val="857"/>
    <w:next w:val="984"/>
    <w:link w:val="857"/>
    <w:qFormat/>
    <w:pPr>
      <w:jc w:val="left"/>
      <w:spacing w:before="100" w:beforeAutospacing="1" w:after="100" w:afterAutospacing="1"/>
      <w:widowControl/>
    </w:pPr>
    <w:rPr>
      <w:sz w:val="36"/>
      <w:szCs w:val="36"/>
    </w:rPr>
  </w:style>
  <w:style w:type="paragraph" w:styleId="985">
    <w:name w:val="Char"/>
    <w:basedOn w:val="857"/>
    <w:next w:val="985"/>
    <w:link w:val="857"/>
    <w:qFormat/>
    <w:pPr>
      <w:tabs>
        <w:tab w:val="left" w:pos="360" w:leader="none"/>
      </w:tabs>
    </w:pPr>
    <w:rPr>
      <w:sz w:val="24"/>
    </w:rPr>
  </w:style>
  <w:style w:type="paragraph" w:styleId="986">
    <w:name w:val="Char Char Char Char Char Char Char Char Char Char Char Char Char Char Char Char"/>
    <w:basedOn w:val="857"/>
    <w:next w:val="986"/>
    <w:link w:val="857"/>
    <w:qFormat/>
    <w:pPr>
      <w:jc w:val="center"/>
      <w:spacing w:after="160" w:line="240" w:lineRule="exact"/>
      <w:widowControl/>
    </w:pPr>
    <w:rPr>
      <w:rFonts w:ascii="宋体" w:hAnsi="宋体"/>
      <w:b/>
      <w:sz w:val="30"/>
      <w:szCs w:val="30"/>
      <w:lang w:eastAsia="en-US"/>
    </w:rPr>
  </w:style>
  <w:style w:type="paragraph" w:styleId="987">
    <w:name w:val="xl45"/>
    <w:basedOn w:val="857"/>
    <w:next w:val="987"/>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8">
    <w:name w:val="Char Char1 Char Char Char Char Char Char"/>
    <w:basedOn w:val="857"/>
    <w:next w:val="988"/>
    <w:link w:val="857"/>
    <w:qFormat/>
    <w:pPr>
      <w:jc w:val="left"/>
      <w:spacing w:after="160" w:line="240" w:lineRule="exact"/>
      <w:widowControl/>
    </w:pPr>
    <w:rPr>
      <w:rFonts w:ascii="Verdana" w:hAnsi="Verdana" w:eastAsia="仿宋_GB2312"/>
      <w:sz w:val="24"/>
      <w:szCs w:val="20"/>
      <w:lang w:eastAsia="en-US"/>
    </w:rPr>
  </w:style>
  <w:style w:type="paragraph" w:styleId="989">
    <w:name w:val="Char Char1"/>
    <w:basedOn w:val="883"/>
    <w:next w:val="989"/>
    <w:link w:val="857"/>
    <w:qFormat/>
    <w:rPr>
      <w:rFonts w:ascii="Tahoma" w:hAnsi="Tahoma"/>
      <w:sz w:val="24"/>
    </w:rPr>
  </w:style>
  <w:style w:type="paragraph" w:styleId="990">
    <w:name w:val="xl26"/>
    <w:basedOn w:val="857"/>
    <w:next w:val="99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1">
    <w:name w:val="xl30"/>
    <w:basedOn w:val="857"/>
    <w:next w:val="99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name w:val="xl41"/>
    <w:basedOn w:val="857"/>
    <w:next w:val="992"/>
    <w:link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3">
    <w:name w:val="样式 宋体 五号 行距: 单倍行距"/>
    <w:basedOn w:val="857"/>
    <w:next w:val="993"/>
    <w:link w:val="857"/>
    <w:qFormat/>
    <w:pPr>
      <w:jc w:val="left"/>
    </w:pPr>
    <w:rPr>
      <w:rFonts w:ascii="宋体" w:hAnsi="宋体"/>
      <w:szCs w:val="20"/>
    </w:rPr>
  </w:style>
  <w:style w:type="paragraph" w:styleId="994">
    <w:name w:val="Char1 Char Char Char1"/>
    <w:basedOn w:val="857"/>
    <w:next w:val="994"/>
    <w:link w:val="857"/>
    <w:qFormat/>
    <w:rPr>
      <w:rFonts w:ascii="Tahoma" w:hAnsi="Tahoma" w:cs="仿宋_GB2312"/>
      <w:sz w:val="24"/>
      <w:szCs w:val="28"/>
    </w:rPr>
  </w:style>
  <w:style w:type="paragraph" w:styleId="995">
    <w:name w:val="四级条标题"/>
    <w:basedOn w:val="996"/>
    <w:next w:val="857"/>
    <w:link w:val="857"/>
    <w:qFormat/>
    <w:pPr>
      <w:numPr>
        <w:ilvl w:val="4"/>
      </w:numPr>
      <w:ind w:left="0" w:hanging="840"/>
      <w:tabs>
        <w:tab w:val="left" w:pos="360" w:leader="none"/>
        <w:tab w:val="left" w:pos="840" w:leader="none"/>
      </w:tabs>
      <w:outlineLvl w:val="4"/>
    </w:pPr>
  </w:style>
  <w:style w:type="paragraph" w:styleId="996">
    <w:name w:val="三级条标题"/>
    <w:basedOn w:val="958"/>
    <w:next w:val="857"/>
    <w:link w:val="857"/>
    <w:qFormat/>
    <w:pPr>
      <w:numPr>
        <w:ilvl w:val="3"/>
        <w:numId w:val="1"/>
      </w:numPr>
      <w:ind w:left="0" w:hanging="840"/>
      <w:tabs>
        <w:tab w:val="left" w:pos="360" w:leader="none"/>
        <w:tab w:val="left" w:pos="840" w:leader="none"/>
      </w:tabs>
      <w:outlineLvl w:val="3"/>
    </w:pPr>
  </w:style>
  <w:style w:type="paragraph" w:styleId="997">
    <w:name w:val="??"/>
    <w:next w:val="997"/>
    <w:link w:val="857"/>
    <w:qFormat/>
    <w:pPr>
      <w:jc w:val="both"/>
      <w:widowControl w:val="off"/>
    </w:pPr>
    <w:rPr>
      <w:sz w:val="21"/>
      <w:lang w:val="en-US" w:eastAsia="en-US" w:bidi="ar-SA"/>
    </w:rPr>
  </w:style>
  <w:style w:type="paragraph" w:styleId="998">
    <w:name w:val="样式 标题 2 + 宋体 五号 行距: 单倍行距"/>
    <w:basedOn w:val="859"/>
    <w:next w:val="998"/>
    <w:link w:val="85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9">
    <w:name w:val="List Paragraph1"/>
    <w:basedOn w:val="857"/>
    <w:next w:val="999"/>
    <w:link w:val="857"/>
    <w:qFormat/>
    <w:pPr>
      <w:ind w:firstLine="420"/>
    </w:pPr>
    <w:rPr>
      <w:rFonts w:ascii="Calibri" w:hAnsi="Calibri"/>
      <w:szCs w:val="22"/>
    </w:rPr>
  </w:style>
  <w:style w:type="paragraph" w:styleId="1000">
    <w:name w:val="项目符号1"/>
    <w:basedOn w:val="1001"/>
    <w:next w:val="1000"/>
    <w:link w:val="857"/>
    <w:qFormat/>
    <w:pPr>
      <w:ind w:left="-25" w:firstLine="0"/>
    </w:pPr>
  </w:style>
  <w:style w:type="paragraph" w:styleId="1001">
    <w:name w:val="正文文本样式"/>
    <w:basedOn w:val="857"/>
    <w:next w:val="1001"/>
    <w:link w:val="857"/>
    <w:qFormat/>
    <w:pPr>
      <w:ind w:firstLine="482"/>
      <w:spacing w:line="360" w:lineRule="auto"/>
    </w:pPr>
    <w:rPr>
      <w:rFonts w:cs="宋体"/>
      <w:sz w:val="24"/>
      <w:szCs w:val="20"/>
    </w:rPr>
  </w:style>
  <w:style w:type="paragraph" w:styleId="1002">
    <w:name w:val="xl27"/>
    <w:basedOn w:val="857"/>
    <w:next w:val="100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3">
    <w:name w:val="font5"/>
    <w:basedOn w:val="857"/>
    <w:next w:val="1003"/>
    <w:link w:val="857"/>
    <w:qFormat/>
    <w:pPr>
      <w:jc w:val="left"/>
      <w:spacing w:before="100" w:beforeAutospacing="1" w:after="100" w:afterAutospacing="1"/>
      <w:widowControl/>
    </w:pPr>
    <w:rPr>
      <w:rFonts w:ascii="宋体" w:hAnsi="宋体" w:cs="宋体"/>
      <w:sz w:val="18"/>
      <w:szCs w:val="18"/>
    </w:rPr>
  </w:style>
  <w:style w:type="paragraph" w:styleId="1004">
    <w:name w:val="五级条标题"/>
    <w:basedOn w:val="995"/>
    <w:next w:val="857"/>
    <w:link w:val="857"/>
    <w:qFormat/>
    <w:pPr>
      <w:numPr>
        <w:ilvl w:val="5"/>
      </w:numPr>
      <w:ind w:left="0" w:hanging="840"/>
      <w:tabs>
        <w:tab w:val="left" w:pos="360" w:leader="none"/>
        <w:tab w:val="left" w:pos="840" w:leader="none"/>
      </w:tabs>
      <w:outlineLvl w:val="5"/>
    </w:pPr>
  </w:style>
  <w:style w:type="paragraph" w:styleId="1005">
    <w:name w:val="xl49"/>
    <w:basedOn w:val="857"/>
    <w:next w:val="1005"/>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6">
    <w:name w:val="文档正文"/>
    <w:basedOn w:val="857"/>
    <w:next w:val="1006"/>
    <w:link w:val="857"/>
    <w:qFormat/>
    <w:pPr>
      <w:spacing w:before="120" w:after="120" w:line="180" w:lineRule="auto"/>
    </w:pPr>
    <w:rPr>
      <w:rFonts w:ascii="Arial" w:hAnsi="Arial"/>
      <w:szCs w:val="20"/>
    </w:rPr>
  </w:style>
  <w:style w:type="paragraph" w:styleId="1007">
    <w:name w:val="xl33"/>
    <w:basedOn w:val="857"/>
    <w:next w:val="1007"/>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8">
    <w:name w:val="xl42"/>
    <w:basedOn w:val="857"/>
    <w:next w:val="1008"/>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9">
    <w:name w:val="Char Char Char1 Char"/>
    <w:basedOn w:val="857"/>
    <w:next w:val="1009"/>
    <w:link w:val="857"/>
    <w:qFormat/>
    <w:rPr>
      <w:rFonts w:ascii="Tahoma" w:hAnsi="Tahoma"/>
      <w:sz w:val="24"/>
      <w:szCs w:val="20"/>
    </w:rPr>
  </w:style>
  <w:style w:type="paragraph" w:styleId="1010">
    <w:name w:val="xl44"/>
    <w:basedOn w:val="857"/>
    <w:next w:val="1010"/>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1">
    <w:name w:val="1名"/>
    <w:basedOn w:val="857"/>
    <w:next w:val="1011"/>
    <w:link w:val="857"/>
    <w:qFormat/>
    <w:pPr>
      <w:numPr>
        <w:ilvl w:val="0"/>
        <w:numId w:val="5"/>
      </w:numPr>
      <w:spacing w:before="120"/>
      <w:tabs>
        <w:tab w:val="left" w:pos="360" w:leader="none"/>
      </w:tabs>
    </w:pPr>
    <w:rPr>
      <w:rFonts w:ascii="宋体"/>
      <w:sz w:val="28"/>
      <w:szCs w:val="20"/>
    </w:rPr>
  </w:style>
  <w:style w:type="paragraph" w:styleId="1012">
    <w:name w:val="font9"/>
    <w:basedOn w:val="857"/>
    <w:next w:val="1012"/>
    <w:link w:val="857"/>
    <w:qFormat/>
    <w:pPr>
      <w:jc w:val="left"/>
      <w:spacing w:before="100" w:beforeAutospacing="1" w:after="100" w:afterAutospacing="1"/>
      <w:widowControl/>
    </w:pPr>
    <w:rPr>
      <w:rFonts w:hint="eastAsia" w:ascii="宋体" w:hAnsi="宋体" w:cs="Arial Unicode MS"/>
      <w:color w:val="000000"/>
      <w:sz w:val="20"/>
      <w:szCs w:val="20"/>
    </w:rPr>
  </w:style>
  <w:style w:type="paragraph" w:styleId="1013">
    <w:name w:val="Char Char Char1 Char1"/>
    <w:basedOn w:val="857"/>
    <w:next w:val="1013"/>
    <w:link w:val="857"/>
    <w:qFormat/>
    <w:rPr>
      <w:rFonts w:ascii="Tahoma" w:hAnsi="Tahoma"/>
      <w:sz w:val="24"/>
      <w:szCs w:val="20"/>
    </w:rPr>
  </w:style>
  <w:style w:type="paragraph" w:styleId="1014">
    <w:name w:val="Char Char Char Char Char Char Char Char Char Char"/>
    <w:basedOn w:val="857"/>
    <w:next w:val="1014"/>
    <w:link w:val="857"/>
    <w:qFormat/>
  </w:style>
  <w:style w:type="paragraph" w:styleId="1015">
    <w:name w:val="Char Char1 Char Char Char Char Char Char Char Char"/>
    <w:basedOn w:val="857"/>
    <w:next w:val="1015"/>
    <w:link w:val="857"/>
    <w:qFormat/>
    <w:pPr>
      <w:jc w:val="left"/>
      <w:spacing w:after="160" w:line="240" w:lineRule="exact"/>
      <w:widowControl/>
    </w:pPr>
    <w:rPr>
      <w:rFonts w:ascii="Verdana" w:hAnsi="Verdana"/>
      <w:sz w:val="20"/>
      <w:szCs w:val="20"/>
      <w:lang w:eastAsia="en-US"/>
    </w:rPr>
  </w:style>
  <w:style w:type="paragraph" w:styleId="1016">
    <w:name w:val="Char1"/>
    <w:basedOn w:val="857"/>
    <w:next w:val="1016"/>
    <w:link w:val="857"/>
    <w:qFormat/>
    <w:pPr>
      <w:tabs>
        <w:tab w:val="left" w:pos="360" w:leader="none"/>
      </w:tabs>
    </w:pPr>
    <w:rPr>
      <w:sz w:val="24"/>
    </w:rPr>
  </w:style>
  <w:style w:type="paragraph" w:styleId="1017">
    <w:name w:val="正文列项_字母"/>
    <w:basedOn w:val="857"/>
    <w:next w:val="1017"/>
    <w:link w:val="857"/>
    <w:qFormat/>
    <w:pPr>
      <w:numPr>
        <w:ilvl w:val="6"/>
        <w:numId w:val="1"/>
      </w:numPr>
      <w:ind w:left="480" w:hanging="180"/>
      <w:spacing w:line="460" w:lineRule="exact"/>
      <w:tabs>
        <w:tab w:val="clear" w:pos="635" w:leader="none"/>
      </w:tabs>
      <w:outlineLvl w:val="6"/>
    </w:pPr>
    <w:rPr>
      <w:rFonts w:ascii="宋体"/>
      <w:sz w:val="28"/>
      <w:szCs w:val="20"/>
    </w:rPr>
  </w:style>
  <w:style w:type="paragraph" w:styleId="1018">
    <w:name w:val="xl28"/>
    <w:basedOn w:val="857"/>
    <w:next w:val="1018"/>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9">
    <w:name w:val="xl47"/>
    <w:basedOn w:val="857"/>
    <w:next w:val="1019"/>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0">
    <w:name w:val="默认段落字体 Para Char Char Char Char"/>
    <w:basedOn w:val="857"/>
    <w:next w:val="1020"/>
    <w:link w:val="857"/>
    <w:qFormat/>
    <w:rPr>
      <w:rFonts w:ascii="Arial" w:hAnsi="Arial" w:cs="Arial"/>
      <w:szCs w:val="21"/>
    </w:rPr>
  </w:style>
  <w:style w:type="paragraph" w:styleId="1021">
    <w:name w:val="xl48"/>
    <w:basedOn w:val="857"/>
    <w:next w:val="102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2">
    <w:name w:val="xl31"/>
    <w:basedOn w:val="857"/>
    <w:next w:val="1022"/>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3">
    <w:name w:val="xl53"/>
    <w:basedOn w:val="857"/>
    <w:next w:val="1023"/>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4">
    <w:name w:val="Char Char Char"/>
    <w:basedOn w:val="857"/>
    <w:next w:val="1024"/>
    <w:link w:val="857"/>
    <w:qFormat/>
    <w:rPr>
      <w:rFonts w:ascii="Tahoma" w:hAnsi="Tahoma"/>
      <w:sz w:val="24"/>
      <w:szCs w:val="20"/>
    </w:rPr>
  </w:style>
  <w:style w:type="paragraph" w:styleId="1025">
    <w:name w:val="xl50"/>
    <w:basedOn w:val="857"/>
    <w:next w:val="1025"/>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6">
    <w:name w:val="缺省文本"/>
    <w:basedOn w:val="857"/>
    <w:next w:val="1026"/>
    <w:link w:val="857"/>
    <w:qFormat/>
    <w:pPr>
      <w:jc w:val="left"/>
    </w:pPr>
    <w:rPr>
      <w:sz w:val="24"/>
    </w:rPr>
  </w:style>
  <w:style w:type="paragraph" w:styleId="1027">
    <w:name w:val="Char Char Char1"/>
    <w:basedOn w:val="857"/>
    <w:next w:val="1027"/>
    <w:link w:val="857"/>
    <w:qFormat/>
    <w:rPr>
      <w:rFonts w:ascii="Tahoma" w:hAnsi="Tahoma"/>
      <w:sz w:val="24"/>
      <w:szCs w:val="20"/>
    </w:rPr>
  </w:style>
  <w:style w:type="paragraph" w:styleId="1028">
    <w:name w:val="Char Char Char Char Char Char Char1"/>
    <w:basedOn w:val="857"/>
    <w:next w:val="1028"/>
    <w:link w:val="857"/>
    <w:qFormat/>
    <w:pPr>
      <w:ind w:firstLine="200"/>
      <w:spacing w:line="360" w:lineRule="auto"/>
    </w:pPr>
    <w:rPr>
      <w:rFonts w:eastAsia="仿宋_GB2312"/>
      <w:sz w:val="24"/>
    </w:rPr>
  </w:style>
  <w:style w:type="paragraph" w:styleId="1029">
    <w:name w:val="xl51"/>
    <w:basedOn w:val="857"/>
    <w:next w:val="1029"/>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样式2"/>
    <w:basedOn w:val="920"/>
    <w:next w:val="1030"/>
    <w:link w:val="857"/>
    <w:qFormat/>
    <w:pPr>
      <w:jc w:val="center"/>
      <w:spacing w:line="360" w:lineRule="auto"/>
    </w:pPr>
    <w:rPr>
      <w:sz w:val="24"/>
    </w:rPr>
  </w:style>
  <w:style w:type="paragraph" w:styleId="1031">
    <w:name w:val="xl24"/>
    <w:basedOn w:val="857"/>
    <w:next w:val="103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xl29"/>
    <w:basedOn w:val="857"/>
    <w:next w:val="103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3">
    <w:name w:val="正文 + 楷体_GB2312"/>
    <w:basedOn w:val="857"/>
    <w:next w:val="1033"/>
    <w:link w:val="857"/>
    <w:qFormat/>
    <w:pPr>
      <w:jc w:val="left"/>
      <w:widowControl/>
    </w:pPr>
    <w:rPr>
      <w:rFonts w:ascii="楷体_GB2312" w:eastAsia="楷体_GB2312" w:cs="Arial"/>
      <w:sz w:val="24"/>
    </w:rPr>
  </w:style>
  <w:style w:type="paragraph" w:styleId="1034">
    <w:name w:val="xl34"/>
    <w:basedOn w:val="857"/>
    <w:next w:val="1034"/>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5">
    <w:name w:val="1 Char Char Char Char"/>
    <w:basedOn w:val="857"/>
    <w:next w:val="1035"/>
    <w:link w:val="857"/>
    <w:qFormat/>
    <w:rPr>
      <w:rFonts w:ascii="Tahoma" w:hAnsi="Tahoma"/>
      <w:sz w:val="24"/>
      <w:szCs w:val="20"/>
    </w:rPr>
  </w:style>
  <w:style w:type="paragraph" w:styleId="1036">
    <w:name w:val="Default"/>
    <w:next w:val="1036"/>
    <w:link w:val="857"/>
    <w:qFormat/>
    <w:pPr>
      <w:widowControl w:val="off"/>
    </w:pPr>
    <w:rPr>
      <w:rFonts w:ascii="Symbol" w:hAnsi="Symbol" w:cs="Symbol"/>
      <w:color w:val="000000"/>
      <w:sz w:val="24"/>
      <w:szCs w:val="24"/>
      <w:lang w:val="en-US" w:eastAsia="zh-CN" w:bidi="ar-SA"/>
    </w:rPr>
  </w:style>
  <w:style w:type="paragraph" w:styleId="1037">
    <w:name w:val="列出段落1"/>
    <w:basedOn w:val="857"/>
    <w:next w:val="1037"/>
    <w:link w:val="857"/>
    <w:qFormat/>
    <w:pPr>
      <w:ind w:firstLine="420"/>
    </w:pPr>
    <w:rPr>
      <w:rFonts w:ascii="Calibri" w:hAnsi="Calibri"/>
      <w:szCs w:val="22"/>
    </w:rPr>
  </w:style>
  <w:style w:type="paragraph" w:styleId="1038">
    <w:name w:val="default"/>
    <w:basedOn w:val="857"/>
    <w:next w:val="1038"/>
    <w:link w:val="857"/>
    <w:qFormat/>
    <w:pPr>
      <w:jc w:val="left"/>
      <w:spacing w:before="100" w:beforeAutospacing="1" w:after="100" w:afterAutospacing="1"/>
      <w:widowControl/>
    </w:pPr>
    <w:rPr>
      <w:rFonts w:ascii="宋体" w:hAnsi="宋体" w:cs="宋体"/>
      <w:sz w:val="24"/>
    </w:rPr>
  </w:style>
  <w:style w:type="paragraph" w:styleId="1039">
    <w:name w:val="字元 字元1"/>
    <w:basedOn w:val="857"/>
    <w:next w:val="1039"/>
    <w:link w:val="857"/>
    <w:qFormat/>
    <w:rPr>
      <w:rFonts w:ascii="Tahoma" w:hAnsi="Tahoma"/>
      <w:sz w:val="24"/>
      <w:szCs w:val="20"/>
    </w:rPr>
  </w:style>
  <w:style w:type="paragraph" w:styleId="1040">
    <w:name w:val="_Style 160"/>
    <w:next w:val="1040"/>
    <w:link w:val="857"/>
    <w:qFormat/>
    <w:rPr>
      <w:sz w:val="21"/>
      <w:szCs w:val="24"/>
      <w:lang w:val="en-US" w:eastAsia="zh-CN" w:bidi="ar-SA"/>
    </w:rPr>
  </w:style>
  <w:style w:type="paragraph" w:styleId="1041">
    <w:name w:val="项目编号3"/>
    <w:basedOn w:val="1001"/>
    <w:next w:val="1041"/>
    <w:link w:val="857"/>
    <w:qFormat/>
    <w:pPr>
      <w:numPr>
        <w:ilvl w:val="0"/>
        <w:numId w:val="6"/>
      </w:numPr>
    </w:pPr>
  </w:style>
  <w:style w:type="paragraph" w:styleId="1042">
    <w:name w:val="Char21"/>
    <w:basedOn w:val="857"/>
    <w:next w:val="1042"/>
    <w:link w:val="857"/>
    <w:qFormat/>
    <w:rPr>
      <w:rFonts w:ascii="Tahoma" w:hAnsi="Tahoma"/>
      <w:sz w:val="24"/>
      <w:szCs w:val="20"/>
    </w:rPr>
  </w:style>
  <w:style w:type="paragraph" w:styleId="1043">
    <w:name w:val="表格文字"/>
    <w:basedOn w:val="891"/>
    <w:next w:val="1043"/>
    <w:link w:val="857"/>
    <w:qFormat/>
    <w:pPr>
      <w:ind w:firstLine="0"/>
      <w:spacing w:before="20" w:after="20" w:line="240" w:lineRule="auto"/>
    </w:pPr>
    <w:rPr>
      <w:rFonts w:ascii="Century Gothic" w:hAnsi="Century Gothic"/>
      <w:sz w:val="20"/>
      <w:szCs w:val="20"/>
    </w:rPr>
  </w:style>
  <w:style w:type="paragraph" w:styleId="1044">
    <w:name w:val="Char Char Char Char Char Char Char Char Char Char1"/>
    <w:basedOn w:val="857"/>
    <w:next w:val="1044"/>
    <w:link w:val="857"/>
    <w:qFormat/>
    <w:rPr>
      <w:rFonts w:ascii="宋体" w:hAnsi="宋体" w:cs="Courier New"/>
      <w:sz w:val="32"/>
      <w:szCs w:val="32"/>
    </w:rPr>
  </w:style>
  <w:style w:type="paragraph" w:styleId="1045">
    <w:name w:val="正文文本样式 加粗"/>
    <w:basedOn w:val="1001"/>
    <w:next w:val="1045"/>
    <w:link w:val="857"/>
    <w:qFormat/>
    <w:rPr>
      <w:b/>
    </w:rPr>
  </w:style>
  <w:style w:type="paragraph" w:styleId="1046">
    <w:name w:val="Char2 Char Char Char Char Char Char"/>
    <w:basedOn w:val="857"/>
    <w:next w:val="1046"/>
    <w:link w:val="857"/>
    <w:qFormat/>
    <w:pPr>
      <w:jc w:val="center"/>
      <w:spacing w:line="400" w:lineRule="exact"/>
      <w:widowControl/>
    </w:pPr>
  </w:style>
  <w:style w:type="paragraph" w:styleId="1047">
    <w:name w:val="Char Char4"/>
    <w:basedOn w:val="857"/>
    <w:next w:val="1047"/>
    <w:link w:val="857"/>
    <w:qFormat/>
    <w:pPr>
      <w:jc w:val="center"/>
      <w:spacing w:line="400" w:lineRule="exact"/>
      <w:widowControl/>
    </w:pPr>
  </w:style>
  <w:style w:type="paragraph" w:styleId="1048">
    <w:name w:val="Char3 Char Char Char1"/>
    <w:basedOn w:val="857"/>
    <w:next w:val="1048"/>
    <w:link w:val="857"/>
    <w:qFormat/>
    <w:rPr>
      <w:rFonts w:ascii="Tahoma" w:hAnsi="Tahoma"/>
      <w:sz w:val="24"/>
      <w:szCs w:val="20"/>
    </w:rPr>
  </w:style>
  <w:style w:type="paragraph" w:styleId="1049">
    <w:name w:val="无间隔"/>
    <w:next w:val="1049"/>
    <w:link w:val="857"/>
    <w:qFormat/>
    <w:pPr>
      <w:jc w:val="both"/>
      <w:widowControl w:val="off"/>
    </w:pPr>
    <w:rPr>
      <w:sz w:val="21"/>
      <w:szCs w:val="24"/>
      <w:lang w:val="en-US" w:eastAsia="zh-CN" w:bidi="ar-SA"/>
    </w:rPr>
  </w:style>
  <w:style w:type="paragraph" w:styleId="1050">
    <w:name w:val="22222222222222"/>
    <w:basedOn w:val="857"/>
    <w:next w:val="1050"/>
    <w:link w:val="857"/>
    <w:qFormat/>
    <w:pPr>
      <w:ind w:firstLine="480"/>
      <w:jc w:val="left"/>
      <w:spacing w:line="360" w:lineRule="auto"/>
      <w:widowControl/>
    </w:pPr>
    <w:rPr>
      <w:color w:val="ff0000"/>
      <w:sz w:val="24"/>
      <w:szCs w:val="20"/>
    </w:rPr>
  </w:style>
  <w:style w:type="character" w:styleId="1051">
    <w:name w:val="中等深浅网格 1 - 强调文字颜色 2 Char"/>
    <w:next w:val="1051"/>
    <w:link w:val="1052"/>
    <w:qFormat/>
    <w:rPr>
      <w:sz w:val="21"/>
      <w:szCs w:val="24"/>
      <w:lang w:val="zh-CN" w:eastAsia="zh-CN" w:bidi="ar-SA"/>
    </w:rPr>
  </w:style>
  <w:style w:type="paragraph" w:styleId="1052">
    <w:name w:val="1"/>
    <w:next w:val="1052"/>
    <w:link w:val="1051"/>
    <w:qFormat/>
    <w:rPr>
      <w:sz w:val="21"/>
      <w:szCs w:val="24"/>
      <w:lang w:val="zh-CN" w:eastAsia="zh-CN" w:bidi="ar-SA"/>
    </w:rPr>
  </w:style>
  <w:style w:type="paragraph" w:styleId="1053">
    <w:name w:val="图文"/>
    <w:basedOn w:val="857"/>
    <w:next w:val="1053"/>
    <w:link w:val="857"/>
    <w:qFormat/>
    <w:pPr>
      <w:spacing w:after="50" w:line="360" w:lineRule="auto"/>
    </w:pPr>
    <w:rPr>
      <w:sz w:val="24"/>
    </w:rPr>
  </w:style>
  <w:style w:type="paragraph" w:styleId="1054">
    <w:name w:val="xl23"/>
    <w:basedOn w:val="857"/>
    <w:next w:val="1054"/>
    <w:link w:val="857"/>
    <w:qFormat/>
    <w:pPr>
      <w:spacing w:before="100" w:beforeAutospacing="1" w:after="100" w:afterAutospacing="1" w:line="360" w:lineRule="auto"/>
      <w:widowControl/>
    </w:pPr>
    <w:rPr>
      <w:sz w:val="24"/>
      <w:szCs w:val="20"/>
    </w:rPr>
  </w:style>
  <w:style w:type="paragraph" w:styleId="1055">
    <w:name w:val="正文表格"/>
    <w:basedOn w:val="857"/>
    <w:next w:val="1055"/>
    <w:link w:val="1056"/>
    <w:qFormat/>
    <w:pPr>
      <w:jc w:val="left"/>
    </w:pPr>
    <w:rPr>
      <w:rFonts w:ascii="宋体" w:hAnsi="宋体"/>
      <w:color w:val="000000"/>
      <w:szCs w:val="21"/>
    </w:rPr>
  </w:style>
  <w:style w:type="character" w:styleId="1056">
    <w:name w:val="正文表格 Char"/>
    <w:next w:val="1056"/>
    <w:link w:val="1055"/>
    <w:qFormat/>
    <w:rPr>
      <w:rFonts w:ascii="宋体" w:hAnsi="宋体"/>
      <w:color w:val="000000"/>
      <w:sz w:val="21"/>
      <w:szCs w:val="21"/>
    </w:rPr>
  </w:style>
  <w:style w:type="paragraph" w:styleId="1057">
    <w:name w:val="正文重点"/>
    <w:basedOn w:val="857"/>
    <w:next w:val="1057"/>
    <w:link w:val="1058"/>
    <w:qFormat/>
    <w:pPr>
      <w:ind w:firstLine="482"/>
      <w:jc w:val="left"/>
      <w:spacing w:line="360" w:lineRule="auto"/>
    </w:pPr>
    <w:rPr>
      <w:b/>
      <w:sz w:val="24"/>
      <w:szCs w:val="20"/>
    </w:rPr>
  </w:style>
  <w:style w:type="character" w:styleId="1058">
    <w:name w:val="正文重点 Char"/>
    <w:next w:val="1058"/>
    <w:link w:val="1057"/>
    <w:qFormat/>
    <w:rPr>
      <w:b/>
      <w:sz w:val="24"/>
    </w:rPr>
  </w:style>
  <w:style w:type="paragraph" w:styleId="1059">
    <w:name w:val="标题1-附件"/>
    <w:basedOn w:val="858"/>
    <w:next w:val="1059"/>
    <w:link w:val="857"/>
    <w:qFormat/>
    <w:pPr>
      <w:jc w:val="left"/>
    </w:pPr>
    <w:rPr>
      <w:sz w:val="24"/>
      <w:szCs w:val="24"/>
    </w:rPr>
  </w:style>
  <w:style w:type="paragraph" w:styleId="1060">
    <w:name w:val="正文小标题"/>
    <w:basedOn w:val="857"/>
    <w:next w:val="872"/>
    <w:link w:val="1061"/>
    <w:qFormat/>
    <w:pPr>
      <w:ind w:firstLine="482"/>
      <w:jc w:val="left"/>
      <w:spacing w:before="312" w:after="312"/>
    </w:pPr>
    <w:rPr>
      <w:rFonts w:ascii="宋体" w:hAnsi="宋体"/>
      <w:b/>
      <w:i/>
      <w:color w:val="ff0000"/>
      <w:sz w:val="24"/>
      <w:szCs w:val="20"/>
    </w:rPr>
  </w:style>
  <w:style w:type="character" w:styleId="1061">
    <w:name w:val="正文小标题 Char"/>
    <w:next w:val="1061"/>
    <w:link w:val="1060"/>
    <w:qFormat/>
    <w:rPr>
      <w:rFonts w:ascii="宋体" w:hAnsi="宋体"/>
      <w:b/>
      <w:i/>
      <w:color w:val="ff0000"/>
      <w:sz w:val="24"/>
    </w:rPr>
  </w:style>
  <w:style w:type="paragraph" w:styleId="1062">
    <w:name w:val="正文大标题"/>
    <w:basedOn w:val="1060"/>
    <w:next w:val="872"/>
    <w:link w:val="1063"/>
    <w:qFormat/>
    <w:pPr>
      <w:jc w:val="center"/>
    </w:pPr>
    <w:rPr>
      <w:i w:val="0"/>
      <w:color w:val="000000"/>
      <w:sz w:val="28"/>
      <w:szCs w:val="21"/>
    </w:rPr>
  </w:style>
  <w:style w:type="character" w:styleId="1063">
    <w:name w:val="正文大标题 Char"/>
    <w:next w:val="1063"/>
    <w:link w:val="1062"/>
    <w:qFormat/>
    <w:rPr>
      <w:rFonts w:ascii="宋体" w:hAnsi="宋体"/>
      <w:b/>
      <w:color w:val="000000"/>
      <w:sz w:val="28"/>
      <w:szCs w:val="21"/>
    </w:rPr>
  </w:style>
  <w:style w:type="paragraph" w:styleId="1064">
    <w:name w:val="注释"/>
    <w:basedOn w:val="857"/>
    <w:next w:val="1064"/>
    <w:link w:val="1065"/>
    <w:qFormat/>
    <w:pPr>
      <w:ind w:left="420" w:hanging="420"/>
      <w:jc w:val="left"/>
    </w:pPr>
    <w:rPr>
      <w:rFonts w:ascii="宋体" w:hAnsi="宋体"/>
      <w:szCs w:val="21"/>
    </w:rPr>
  </w:style>
  <w:style w:type="character" w:styleId="1065">
    <w:name w:val="注释 Char"/>
    <w:next w:val="1065"/>
    <w:link w:val="1064"/>
    <w:qFormat/>
    <w:rPr>
      <w:rFonts w:ascii="宋体" w:hAnsi="宋体"/>
      <w:sz w:val="21"/>
      <w:szCs w:val="21"/>
    </w:rPr>
  </w:style>
  <w:style w:type="paragraph" w:styleId="1066">
    <w:name w:val="正文须知-1级"/>
    <w:basedOn w:val="857"/>
    <w:next w:val="857"/>
    <w:link w:val="857"/>
    <w:qFormat/>
    <w:pPr>
      <w:numPr>
        <w:ilvl w:val="0"/>
        <w:numId w:val="7"/>
      </w:numPr>
      <w:spacing w:line="300" w:lineRule="auto"/>
    </w:pPr>
    <w:rPr>
      <w:rFonts w:ascii="宋体" w:hAnsi="Calibri"/>
      <w:sz w:val="24"/>
      <w:szCs w:val="21"/>
    </w:rPr>
  </w:style>
  <w:style w:type="paragraph" w:styleId="1067">
    <w:name w:val="正文须知-2级"/>
    <w:basedOn w:val="857"/>
    <w:next w:val="1067"/>
    <w:link w:val="857"/>
    <w:qFormat/>
    <w:pPr>
      <w:numPr>
        <w:ilvl w:val="1"/>
        <w:numId w:val="7"/>
      </w:numPr>
      <w:spacing w:line="300" w:lineRule="auto"/>
    </w:pPr>
    <w:rPr>
      <w:rFonts w:ascii="宋体" w:hAnsi="Calibri"/>
      <w:sz w:val="24"/>
      <w:szCs w:val="21"/>
    </w:rPr>
  </w:style>
  <w:style w:type="paragraph" w:styleId="1068">
    <w:name w:val="正文须知-3级"/>
    <w:basedOn w:val="857"/>
    <w:next w:val="1068"/>
    <w:link w:val="857"/>
    <w:qFormat/>
    <w:pPr>
      <w:numPr>
        <w:ilvl w:val="2"/>
        <w:numId w:val="7"/>
      </w:numPr>
      <w:ind w:hanging="355"/>
      <w:spacing w:line="300" w:lineRule="auto"/>
    </w:pPr>
    <w:rPr>
      <w:rFonts w:ascii="宋体" w:hAnsi="Calibri"/>
      <w:sz w:val="24"/>
      <w:szCs w:val="21"/>
    </w:rPr>
  </w:style>
  <w:style w:type="character" w:styleId="1069">
    <w:name w:val="纯文本 字符"/>
    <w:next w:val="1069"/>
    <w:link w:val="857"/>
    <w:uiPriority w:val="99"/>
    <w:qFormat/>
    <w:rPr>
      <w:rFonts w:ascii="宋体" w:hAnsi="Courier New" w:eastAsia="宋体" w:cs="Times New Roman"/>
      <w:sz w:val="21"/>
      <w:szCs w:val="21"/>
      <w:lang w:val="en-US" w:eastAsia="zh-CN" w:bidi="ar-SA"/>
    </w:rPr>
  </w:style>
  <w:style w:type="paragraph" w:styleId="1070">
    <w:name w:val="表格1"/>
    <w:basedOn w:val="857"/>
    <w:next w:val="1070"/>
    <w:link w:val="857"/>
    <w:qFormat/>
    <w:pPr>
      <w:ind w:firstLine="480"/>
      <w:jc w:val="center"/>
    </w:pPr>
    <w:rPr>
      <w:sz w:val="24"/>
      <w:szCs w:val="20"/>
    </w:rPr>
  </w:style>
  <w:style w:type="character" w:styleId="1071">
    <w:name w:val="纯文本 字符1"/>
    <w:next w:val="1071"/>
    <w:link w:val="857"/>
    <w:qFormat/>
    <w:rPr>
      <w:rFonts w:ascii="宋体" w:hAnsi="Courier New"/>
    </w:rPr>
  </w:style>
  <w:style w:type="character" w:styleId="1072">
    <w:name w:val="bjh-p"/>
    <w:next w:val="1072"/>
    <w:link w:val="857"/>
    <w:qFormat/>
  </w:style>
  <w:style w:type="paragraph" w:styleId="1073">
    <w:name w:val="无标题条"/>
    <w:next w:val="857"/>
    <w:link w:val="857"/>
    <w:qFormat/>
    <w:pPr>
      <w:jc w:val="both"/>
    </w:pPr>
    <w:rPr>
      <w:sz w:val="21"/>
      <w:lang w:val="en-US" w:eastAsia="zh-CN" w:bidi="ar-SA"/>
    </w:rPr>
  </w:style>
  <w:style w:type="character" w:styleId="1074">
    <w:name w:val="正文格式 Char"/>
    <w:next w:val="1074"/>
    <w:link w:val="1075"/>
    <w:qFormat/>
    <w:rPr>
      <w:rFonts w:ascii="宋体" w:hAnsi="宋体"/>
      <w:sz w:val="24"/>
      <w:szCs w:val="24"/>
      <w:lang w:val="en-GB"/>
    </w:rPr>
  </w:style>
  <w:style w:type="paragraph" w:styleId="1075">
    <w:name w:val="正文格式"/>
    <w:basedOn w:val="857"/>
    <w:next w:val="1075"/>
    <w:link w:val="1074"/>
    <w:qFormat/>
    <w:pPr>
      <w:ind w:firstLine="480"/>
      <w:spacing w:line="360" w:lineRule="auto"/>
    </w:pPr>
    <w:rPr>
      <w:rFonts w:ascii="宋体" w:hAnsi="宋体"/>
      <w:sz w:val="24"/>
      <w:lang w:val="en-GB"/>
    </w:rPr>
  </w:style>
  <w:style w:type="character" w:styleId="1076">
    <w:name w:val="标题 3 Char"/>
    <w:next w:val="1076"/>
    <w:link w:val="857"/>
    <w:qFormat/>
    <w:rPr>
      <w:rFonts w:ascii="宋体" w:eastAsia="宋体"/>
      <w:b/>
      <w:sz w:val="24"/>
      <w:u w:val="single"/>
      <w:lang w:val="en-US" w:eastAsia="zh-CN" w:bidi="ar-SA"/>
    </w:rPr>
  </w:style>
  <w:style w:type="character" w:styleId="1077">
    <w:name w:val="正文缩进 Char"/>
    <w:next w:val="1077"/>
    <w:link w:val="857"/>
    <w:qFormat/>
    <w:rPr>
      <w:rFonts w:ascii="宋体" w:eastAsia="宋体"/>
      <w:sz w:val="24"/>
      <w:szCs w:val="24"/>
      <w:lang w:val="en-US" w:eastAsia="zh-CN" w:bidi="ar-SA"/>
    </w:rPr>
  </w:style>
  <w:style w:type="character" w:styleId="1078">
    <w:name w:val="Char Char111"/>
    <w:next w:val="1078"/>
    <w:link w:val="857"/>
    <w:qFormat/>
    <w:rPr>
      <w:rFonts w:ascii="宋体" w:eastAsia="宋体"/>
      <w:b/>
      <w:sz w:val="24"/>
      <w:u w:val="single"/>
      <w:lang w:val="en-US" w:eastAsia="zh-CN" w:bidi="ar-SA"/>
    </w:rPr>
  </w:style>
  <w:style w:type="character" w:styleId="1079">
    <w:name w:val="正文文本缩进 Char"/>
    <w:next w:val="1079"/>
    <w:link w:val="857"/>
    <w:qFormat/>
    <w:rPr>
      <w:rFonts w:eastAsia="宋体"/>
      <w:sz w:val="24"/>
      <w:szCs w:val="24"/>
      <w:lang w:val="en-US" w:eastAsia="zh-CN" w:bidi="ar-SA"/>
    </w:rPr>
  </w:style>
  <w:style w:type="character" w:styleId="1080">
    <w:name w:val="列出段落 Char"/>
    <w:next w:val="1080"/>
    <w:link w:val="857"/>
    <w:qFormat/>
    <w:rPr>
      <w:rFonts w:ascii="Calibri" w:hAnsi="Calibri" w:eastAsia="宋体"/>
      <w:sz w:val="21"/>
      <w:szCs w:val="22"/>
      <w:lang w:val="en-US" w:eastAsia="zh-CN" w:bidi="ar-SA"/>
    </w:rPr>
  </w:style>
  <w:style w:type="character" w:styleId="1081">
    <w:name w:val="页眉 Char"/>
    <w:next w:val="1081"/>
    <w:link w:val="857"/>
    <w:qFormat/>
    <w:rPr>
      <w:rFonts w:eastAsia="宋体"/>
      <w:sz w:val="18"/>
      <w:szCs w:val="18"/>
      <w:lang w:val="en-US" w:eastAsia="zh-CN" w:bidi="ar-SA"/>
    </w:rPr>
  </w:style>
  <w:style w:type="character" w:styleId="1082">
    <w:name w:val="标题 2 Char"/>
    <w:next w:val="1082"/>
    <w:link w:val="857"/>
    <w:qFormat/>
    <w:rPr>
      <w:rFonts w:ascii="Arial" w:hAnsi="Arial" w:eastAsia="黑体"/>
      <w:b/>
      <w:sz w:val="30"/>
      <w:lang w:val="en-US" w:eastAsia="zh-CN" w:bidi="ar-SA"/>
    </w:rPr>
  </w:style>
  <w:style w:type="paragraph" w:styleId="1083">
    <w:name w:val="字元 字元2"/>
    <w:basedOn w:val="857"/>
    <w:next w:val="1083"/>
    <w:link w:val="857"/>
    <w:qFormat/>
    <w:rPr>
      <w:rFonts w:ascii="Tahoma" w:hAnsi="Tahoma"/>
      <w:sz w:val="24"/>
      <w:szCs w:val="20"/>
    </w:rPr>
  </w:style>
  <w:style w:type="paragraph" w:styleId="1084">
    <w:name w:val="Char3 Char Char Char2"/>
    <w:basedOn w:val="857"/>
    <w:next w:val="1084"/>
    <w:link w:val="857"/>
    <w:qFormat/>
    <w:rPr>
      <w:rFonts w:ascii="Tahoma" w:hAnsi="Tahoma"/>
      <w:sz w:val="24"/>
      <w:szCs w:val="20"/>
    </w:rPr>
  </w:style>
  <w:style w:type="paragraph" w:styleId="1085">
    <w:name w:val="正文文本缩进2"/>
    <w:basedOn w:val="857"/>
    <w:next w:val="1085"/>
    <w:link w:val="857"/>
    <w:qFormat/>
    <w:pPr>
      <w:ind w:firstLine="480"/>
      <w:spacing w:line="480" w:lineRule="exact"/>
    </w:pPr>
    <w:rPr>
      <w:rFonts w:ascii="宋体" w:hAnsi="宋体"/>
      <w:sz w:val="24"/>
      <w:lang w:val="zh-CN" w:eastAsia="zh-CN"/>
    </w:rPr>
  </w:style>
  <w:style w:type="paragraph" w:styleId="1086">
    <w:name w:val="Char3"/>
    <w:basedOn w:val="857"/>
    <w:next w:val="1086"/>
    <w:link w:val="857"/>
    <w:qFormat/>
    <w:pPr>
      <w:tabs>
        <w:tab w:val="left" w:pos="360" w:leader="none"/>
      </w:tabs>
    </w:pPr>
    <w:rPr>
      <w:sz w:val="24"/>
    </w:rPr>
  </w:style>
  <w:style w:type="paragraph" w:styleId="1087">
    <w:name w:val="Char Char Char Char Char Char Char Char Char Char Char Char Char Char Char Char1"/>
    <w:basedOn w:val="857"/>
    <w:next w:val="1087"/>
    <w:link w:val="857"/>
    <w:qFormat/>
    <w:pPr>
      <w:jc w:val="center"/>
      <w:spacing w:after="160" w:line="240" w:lineRule="exact"/>
      <w:widowControl/>
    </w:pPr>
    <w:rPr>
      <w:rFonts w:ascii="宋体" w:hAnsi="宋体"/>
      <w:b/>
      <w:sz w:val="30"/>
      <w:szCs w:val="30"/>
      <w:lang w:eastAsia="en-US"/>
    </w:rPr>
  </w:style>
  <w:style w:type="paragraph" w:styleId="1088">
    <w:name w:val="Char Char1 Char Char Char Char Char Char1"/>
    <w:basedOn w:val="857"/>
    <w:next w:val="1088"/>
    <w:link w:val="857"/>
    <w:qFormat/>
    <w:pPr>
      <w:jc w:val="left"/>
      <w:spacing w:after="160" w:line="240" w:lineRule="exact"/>
      <w:widowControl/>
    </w:pPr>
    <w:rPr>
      <w:rFonts w:ascii="Verdana" w:hAnsi="Verdana" w:eastAsia="仿宋_GB2312"/>
      <w:sz w:val="24"/>
      <w:szCs w:val="20"/>
      <w:lang w:eastAsia="en-US"/>
    </w:rPr>
  </w:style>
  <w:style w:type="paragraph" w:styleId="1089">
    <w:name w:val="列出段落2"/>
    <w:basedOn w:val="857"/>
    <w:next w:val="1089"/>
    <w:link w:val="857"/>
    <w:qFormat/>
    <w:pPr>
      <w:ind w:firstLine="420"/>
    </w:pPr>
    <w:rPr>
      <w:rFonts w:ascii="Calibri" w:hAnsi="Calibri"/>
      <w:szCs w:val="22"/>
    </w:rPr>
  </w:style>
  <w:style w:type="paragraph" w:styleId="1090">
    <w:name w:val="Char Char Char1 Char2"/>
    <w:basedOn w:val="857"/>
    <w:next w:val="1090"/>
    <w:link w:val="857"/>
    <w:qFormat/>
    <w:rPr>
      <w:rFonts w:ascii="Tahoma" w:hAnsi="Tahoma"/>
      <w:sz w:val="24"/>
      <w:szCs w:val="20"/>
    </w:rPr>
  </w:style>
  <w:style w:type="paragraph" w:styleId="1091">
    <w:name w:val="Char Char Char2"/>
    <w:basedOn w:val="857"/>
    <w:next w:val="1091"/>
    <w:link w:val="857"/>
    <w:qFormat/>
    <w:rPr>
      <w:rFonts w:ascii="Tahoma" w:hAnsi="Tahoma"/>
      <w:sz w:val="24"/>
      <w:szCs w:val="20"/>
    </w:rPr>
  </w:style>
  <w:style w:type="paragraph" w:styleId="1092">
    <w:name w:val="Char Char Char Char Char Char Char2"/>
    <w:basedOn w:val="857"/>
    <w:next w:val="1092"/>
    <w:link w:val="857"/>
    <w:qFormat/>
    <w:pPr>
      <w:ind w:firstLine="200"/>
      <w:spacing w:line="360" w:lineRule="auto"/>
    </w:pPr>
    <w:rPr>
      <w:rFonts w:eastAsia="仿宋_GB2312"/>
      <w:sz w:val="24"/>
    </w:rPr>
  </w:style>
  <w:style w:type="paragraph" w:styleId="1093">
    <w:name w:val="正文缩进2"/>
    <w:basedOn w:val="857"/>
    <w:next w:val="1093"/>
    <w:link w:val="857"/>
    <w:qFormat/>
    <w:pPr>
      <w:ind w:firstLine="567"/>
      <w:spacing w:line="480" w:lineRule="exact"/>
      <w:widowControl/>
    </w:pPr>
    <w:rPr>
      <w:rFonts w:ascii="宋体"/>
      <w:color w:val="000000"/>
      <w:sz w:val="28"/>
      <w:szCs w:val="20"/>
      <w:lang w:val="zh-CN" w:eastAsia="zh-CN"/>
    </w:rPr>
  </w:style>
  <w:style w:type="paragraph" w:styleId="1094">
    <w:name w:val="Revision"/>
    <w:next w:val="1094"/>
    <w:link w:val="857"/>
    <w:qFormat/>
    <w:rPr>
      <w:sz w:val="21"/>
      <w:szCs w:val="24"/>
      <w:lang w:val="en-US" w:eastAsia="zh-CN" w:bidi="ar-SA"/>
    </w:rPr>
  </w:style>
  <w:style w:type="paragraph" w:styleId="1095">
    <w:name w:val="Char22"/>
    <w:basedOn w:val="857"/>
    <w:next w:val="1095"/>
    <w:link w:val="857"/>
    <w:qFormat/>
    <w:rPr>
      <w:rFonts w:ascii="Tahoma" w:hAnsi="Tahoma"/>
      <w:sz w:val="24"/>
      <w:szCs w:val="20"/>
    </w:rPr>
  </w:style>
  <w:style w:type="paragraph" w:styleId="1096">
    <w:name w:val="Char Char Char Char Char Char Char Char Char Char2"/>
    <w:basedOn w:val="857"/>
    <w:next w:val="1096"/>
    <w:link w:val="857"/>
    <w:qFormat/>
    <w:rPr>
      <w:rFonts w:ascii="宋体" w:hAnsi="宋体" w:cs="Courier New"/>
      <w:sz w:val="32"/>
      <w:szCs w:val="32"/>
    </w:rPr>
  </w:style>
  <w:style w:type="paragraph" w:styleId="1097">
    <w:name w:val="Char2 Char Char Char Char Char Char1"/>
    <w:basedOn w:val="857"/>
    <w:next w:val="1097"/>
    <w:link w:val="857"/>
    <w:qFormat/>
    <w:pPr>
      <w:jc w:val="center"/>
      <w:spacing w:line="400" w:lineRule="exact"/>
      <w:widowControl/>
    </w:pPr>
  </w:style>
  <w:style w:type="character" w:styleId="1098">
    <w:name w:val="页脚 Char"/>
    <w:next w:val="1098"/>
    <w:link w:val="857"/>
    <w:qFormat/>
    <w:rPr>
      <w:rFonts w:ascii="宋体" w:eastAsia="宋体"/>
      <w:sz w:val="18"/>
      <w:lang w:val="en-US" w:eastAsia="zh-CN" w:bidi="ar-SA"/>
    </w:rPr>
  </w:style>
  <w:style w:type="paragraph" w:styleId="1099">
    <w:name w:val="Char Char41"/>
    <w:basedOn w:val="857"/>
    <w:next w:val="1099"/>
    <w:link w:val="857"/>
    <w:qFormat/>
    <w:pPr>
      <w:jc w:val="center"/>
      <w:spacing w:line="400" w:lineRule="exact"/>
      <w:widowControl/>
    </w:pPr>
  </w:style>
  <w:style w:type="character" w:styleId="1100">
    <w:name w:val="批注文字 Char"/>
    <w:next w:val="1100"/>
    <w:link w:val="857"/>
    <w:uiPriority w:val="99"/>
    <w:qFormat/>
    <w:rPr>
      <w:sz w:val="21"/>
      <w:szCs w:val="24"/>
    </w:rPr>
  </w:style>
  <w:style w:type="character" w:styleId="1101">
    <w:name w:val="标题 Char"/>
    <w:next w:val="1101"/>
    <w:link w:val="857"/>
    <w:qFormat/>
    <w:rPr>
      <w:b/>
      <w:sz w:val="32"/>
    </w:rPr>
  </w:style>
  <w:style w:type="paragraph" w:styleId="1102">
    <w:name w:val="图例"/>
    <w:basedOn w:val="857"/>
    <w:next w:val="1102"/>
    <w:link w:val="857"/>
    <w:qFormat/>
    <w:pPr>
      <w:jc w:val="center"/>
      <w:spacing w:before="120" w:after="120" w:line="360" w:lineRule="auto"/>
    </w:pPr>
    <w:rPr>
      <w:rFonts w:eastAsia="仿宋_GB2312"/>
      <w:b/>
      <w:sz w:val="24"/>
      <w:szCs w:val="20"/>
    </w:rPr>
  </w:style>
  <w:style w:type="table" w:styleId="1103">
    <w:name w:val="Table Normal"/>
    <w:next w:val="1103"/>
    <w:link w:val="857"/>
    <w:uiPriority w:val="2"/>
    <w:unhideWhenUsed/>
    <w:qFormat/>
    <w:pPr>
      <w:widowControl w:val="off"/>
    </w:pPr>
    <w:rPr>
      <w:rFonts w:ascii="Calibri" w:hAnsi="Calibri"/>
      <w:sz w:val="22"/>
      <w:szCs w:val="22"/>
      <w:lang w:val="en-US" w:eastAsia="en-US" w:bidi="ar-SA"/>
    </w:rPr>
    <w:tblPr/>
  </w:style>
  <w:style w:type="paragraph" w:styleId="1104">
    <w:name w:val="Table Paragraph"/>
    <w:basedOn w:val="857"/>
    <w:next w:val="1104"/>
    <w:link w:val="857"/>
    <w:uiPriority w:val="1"/>
    <w:qFormat/>
    <w:pPr>
      <w:jc w:val="left"/>
    </w:pPr>
    <w:rPr>
      <w:rFonts w:ascii="宋体" w:hAnsi="宋体" w:cs="宋体"/>
      <w:sz w:val="22"/>
      <w:szCs w:val="22"/>
      <w:lang w:eastAsia="en-US"/>
    </w:rPr>
  </w:style>
  <w:style w:type="paragraph" w:styleId="1105">
    <w:name w:val="成文日期"/>
    <w:basedOn w:val="857"/>
    <w:next w:val="1105"/>
    <w:link w:val="1106"/>
    <w:qFormat/>
    <w:pPr>
      <w:ind w:right="400" w:firstLine="200"/>
      <w:jc w:val="right"/>
      <w:spacing w:line="570" w:lineRule="exact"/>
    </w:pPr>
    <w:rPr>
      <w:rFonts w:ascii="仿宋_GB2312" w:eastAsia="仿宋_GB2312"/>
      <w:sz w:val="32"/>
      <w:szCs w:val="20"/>
    </w:rPr>
  </w:style>
  <w:style w:type="character" w:styleId="1106">
    <w:name w:val="成文日期 Char"/>
    <w:next w:val="1106"/>
    <w:link w:val="1105"/>
    <w:rPr>
      <w:rFonts w:ascii="仿宋_GB2312" w:eastAsia="仿宋_GB2312"/>
      <w:sz w:val="32"/>
    </w:rPr>
  </w:style>
  <w:style w:type="paragraph" w:styleId="1107">
    <w:name w:val="修订"/>
    <w:next w:val="1107"/>
    <w:link w:val="857"/>
    <w:uiPriority w:val="99"/>
    <w:unhideWhenUsed/>
    <w:rPr>
      <w:sz w:val="21"/>
      <w:szCs w:val="24"/>
      <w:lang w:val="en-US" w:eastAsia="zh-CN" w:bidi="ar-SA"/>
    </w:rPr>
  </w:style>
  <w:style w:type="character" w:styleId="1108">
    <w:name w:val="正文缩进 字符"/>
    <w:next w:val="1108"/>
    <w:link w:val="857"/>
    <w:uiPriority w:val="99"/>
    <w:qFormat/>
    <w:rPr>
      <w:rFonts w:ascii="宋体" w:hAnsi="Times New Roman" w:eastAsia="宋体" w:cs="Times New Roman"/>
      <w:sz w:val="24"/>
    </w:rPr>
  </w:style>
  <w:style w:type="character" w:styleId="1109">
    <w:name w:val="正文文本 字符"/>
    <w:next w:val="1109"/>
    <w:link w:val="857"/>
    <w:qFormat/>
    <w:rPr>
      <w:rFonts w:ascii="宋体" w:hAnsi="宋体"/>
      <w:sz w:val="24"/>
      <w:szCs w:val="24"/>
    </w:rPr>
  </w:style>
  <w:style w:type="paragraph" w:styleId="1110">
    <w:name w:val="纯文本1"/>
    <w:next w:val="911"/>
    <w:link w:val="857"/>
    <w:qFormat/>
    <w:pPr>
      <w:jc w:val="both"/>
      <w:widowControl w:val="off"/>
    </w:pPr>
    <w:rPr>
      <w:rFonts w:ascii="宋体" w:hAnsi="宋体"/>
      <w:sz w:val="26"/>
      <w:szCs w:val="24"/>
      <w:lang w:val="en-US" w:eastAsia="zh-CN" w:bidi="ar-SA"/>
    </w:rPr>
  </w:style>
  <w:style w:type="paragraph" w:styleId="1111">
    <w:name w:val="AONormal"/>
    <w:next w:val="1111"/>
    <w:link w:val="857"/>
    <w:qFormat/>
    <w:pPr>
      <w:ind w:firstLine="440"/>
      <w:spacing w:line="400" w:lineRule="exact"/>
    </w:pPr>
    <w:rPr>
      <w:rFonts w:ascii="华文楷体" w:hAnsi="华文楷体" w:eastAsia="华文楷体" w:cs="华文楷体"/>
      <w:sz w:val="22"/>
      <w:szCs w:val="21"/>
      <w:lang w:val="en-US" w:eastAsia="zh-CN" w:bidi="ar-SA"/>
    </w:rPr>
  </w:style>
  <w:style w:type="character" w:styleId="18190" w:default="1">
    <w:name w:val="Default Paragraph Font"/>
    <w:uiPriority w:val="1"/>
    <w:semiHidden/>
    <w:unhideWhenUsed/>
  </w:style>
  <w:style w:type="numbering" w:styleId="18191" w:default="1">
    <w:name w:val="No List"/>
    <w:uiPriority w:val="99"/>
    <w:semiHidden/>
    <w:unhideWhenUsed/>
  </w:style>
  <w:style w:type="table" w:styleId="181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彭艳</cp:lastModifiedBy>
  <cp:revision>4</cp:revision>
  <dcterms:created xsi:type="dcterms:W3CDTF">2022-05-30T08:08:00Z</dcterms:created>
  <dcterms:modified xsi:type="dcterms:W3CDTF">2025-11-21T08:18:02Z</dcterms:modified>
  <cp:version>1048576</cp:version>
</cp:coreProperties>
</file>