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0"/>
        <w:ind w:firstLine="0"/>
        <w:rPr>
          <w:rFonts w:hint="eastAsia" w:eastAsia="黑体"/>
          <w:b/>
          <w:bCs/>
          <w:sz w:val="84"/>
          <w:shd w:val="clear" w:color="ffffff" w:fill="d9d9d9"/>
        </w:rPr>
      </w:pPr>
      <w:r>
        <w:rPr>
          <w:rFonts w:hint="eastAsia" w:eastAsia="黑体"/>
          <w:b/>
          <w:bCs/>
          <w:sz w:val="84"/>
          <w:shd w:val="clear" w:color="ffffff" w:fill="d9d9d9"/>
        </w:rPr>
      </w:r>
      <w:r/>
    </w:p>
    <w:p>
      <w:pPr>
        <w:pStyle w:val="970"/>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970"/>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70"/>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0"/>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0"/>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883"/>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项目编号：</w:t>
      </w:r>
      <w:r>
        <w:rPr>
          <w:rFonts w:hint="eastAsia" w:ascii="黑体" w:hAnsi="华文中宋" w:eastAsia="黑体"/>
          <w:bCs/>
          <w:color w:val="000000"/>
          <w:sz w:val="32"/>
          <w:szCs w:val="32"/>
          <w:lang w:eastAsia="zh-CN"/>
        </w:rPr>
        <w:t xml:space="preserve">JSZC-320200-JZCG-G2024-0280</w:t>
      </w:r>
      <w:r>
        <w:rPr>
          <w:rFonts w:hint="eastAsia" w:ascii="黑体" w:hAnsi="华文中宋" w:eastAsia="黑体"/>
          <w:bCs/>
          <w:color w:val="000000"/>
          <w:sz w:val="32"/>
          <w:szCs w:val="32"/>
          <w:lang w:eastAsia="zh-CN"/>
        </w:rPr>
      </w:r>
      <w:r/>
    </w:p>
    <w:p>
      <w:pPr>
        <w:pStyle w:val="883"/>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项目名称：</w:t>
      </w:r>
      <w:r>
        <w:rPr>
          <w:rFonts w:hint="eastAsia" w:ascii="黑体" w:hAnsi="华文中宋" w:eastAsia="黑体"/>
          <w:bCs/>
          <w:color w:val="000000"/>
          <w:sz w:val="32"/>
          <w:szCs w:val="32"/>
          <w:lang w:eastAsia="zh-CN"/>
        </w:rPr>
        <w:t xml:space="preserve">无锡市中医医院医疗服务提升（软件开发）项目</w:t>
      </w:r>
      <w:r>
        <w:rPr>
          <w:rFonts w:hint="eastAsia" w:ascii="黑体" w:hAnsi="华文中宋" w:eastAsia="黑体"/>
          <w:bCs/>
          <w:color w:val="000000"/>
          <w:sz w:val="32"/>
          <w:szCs w:val="32"/>
          <w:lang w:eastAsia="zh-CN"/>
        </w:rPr>
      </w:r>
      <w:r/>
    </w:p>
    <w:p>
      <w:pPr>
        <w:pStyle w:val="883"/>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采 购 人：</w:t>
      </w:r>
      <w:r>
        <w:rPr>
          <w:rFonts w:hint="eastAsia" w:ascii="黑体" w:hAnsi="华文中宋" w:eastAsia="黑体"/>
          <w:bCs/>
          <w:color w:val="000000"/>
          <w:sz w:val="32"/>
          <w:szCs w:val="32"/>
          <w:lang w:eastAsia="zh-CN"/>
        </w:rPr>
        <w:t xml:space="preserve">无锡市中医医院</w:t>
      </w:r>
      <w:r>
        <w:rPr>
          <w:rFonts w:hint="eastAsia" w:ascii="黑体" w:hAnsi="华文中宋" w:eastAsia="黑体"/>
          <w:bCs/>
          <w:color w:val="000000"/>
          <w:sz w:val="32"/>
          <w:szCs w:val="32"/>
          <w:lang w:eastAsia="zh-CN"/>
        </w:rPr>
      </w:r>
      <w:r/>
    </w:p>
    <w:p>
      <w:pPr>
        <w:pStyle w:val="883"/>
        <w:jc w:val="center"/>
        <w:rPr>
          <w:rFonts w:ascii="黑体" w:hAnsi="华文中宋" w:eastAsia="黑体"/>
          <w:bCs/>
          <w:color w:val="000000"/>
          <w:sz w:val="30"/>
          <w:szCs w:val="30"/>
        </w:rPr>
      </w:pPr>
      <w:r>
        <w:rPr>
          <w:rFonts w:ascii="黑体" w:hAnsi="华文中宋" w:eastAsia="黑体"/>
          <w:bCs/>
          <w:color w:val="000000"/>
          <w:sz w:val="30"/>
          <w:szCs w:val="30"/>
        </w:rPr>
      </w:r>
      <w:r/>
    </w:p>
    <w:p>
      <w:pPr>
        <w:pStyle w:val="970"/>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70"/>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70"/>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70"/>
        <w:ind w:firstLine="0"/>
        <w:jc w:val="center"/>
        <w:spacing w:before="0" w:after="0"/>
        <w:rPr>
          <w:rFonts w:hint="eastAsia" w:ascii="宋体" w:hAnsi="宋体"/>
          <w:sz w:val="32"/>
          <w:szCs w:val="32"/>
          <w:shd w:val="clear" w:color="ffffff" w:fill="d9d9d9"/>
        </w:rPr>
      </w:pPr>
      <w:r>
        <w:rPr>
          <w:rFonts w:hint="eastAsia" w:ascii="黑体" w:hAnsi="华文中宋" w:eastAsia="黑体"/>
          <w:bCs/>
          <w:color w:val="000000"/>
          <w:sz w:val="32"/>
          <w:szCs w:val="32"/>
        </w:rPr>
        <w:t xml:space="preserve">采购代理机构：无锡市公共资源交易中心</w:t>
      </w:r>
      <w:r>
        <w:rPr>
          <w:rFonts w:hint="eastAsia" w:ascii="宋体" w:hAnsi="宋体"/>
          <w:sz w:val="32"/>
          <w:szCs w:val="32"/>
          <w:shd w:val="clear" w:color="ffffff" w:fill="d9d9d9"/>
        </w:rPr>
      </w:r>
      <w:r/>
    </w:p>
    <w:p>
      <w:pPr>
        <w:pStyle w:val="970"/>
        <w:ind w:firstLine="0"/>
        <w:jc w:val="center"/>
        <w:rPr>
          <w:rFonts w:ascii="黑体" w:hAnsi="华文中宋" w:eastAsia="黑体"/>
          <w:bCs/>
          <w:color w:val="000000"/>
          <w:sz w:val="32"/>
          <w:szCs w:val="32"/>
        </w:rPr>
      </w:pPr>
      <w:r>
        <w:rPr>
          <w:rFonts w:hint="eastAsia" w:ascii="黑体" w:hAnsi="华文中宋" w:eastAsia="黑体"/>
          <w:bCs/>
          <w:color w:val="000000"/>
          <w:sz w:val="32"/>
          <w:szCs w:val="32"/>
        </w:rPr>
        <w:t xml:space="preserve">二○二</w:t>
      </w:r>
      <w:r>
        <w:rPr>
          <w:rFonts w:hint="eastAsia" w:ascii="黑体" w:hAnsi="华文中宋" w:eastAsia="黑体"/>
          <w:bCs/>
          <w:color w:val="000000"/>
          <w:sz w:val="32"/>
          <w:szCs w:val="32"/>
        </w:rPr>
        <w:t xml:space="preserve">五</w:t>
      </w:r>
      <w:r>
        <w:rPr>
          <w:rFonts w:hint="eastAsia" w:ascii="黑体" w:hAnsi="华文中宋" w:eastAsia="黑体"/>
          <w:bCs/>
          <w:color w:val="000000"/>
          <w:sz w:val="32"/>
          <w:szCs w:val="32"/>
        </w:rPr>
        <w:t xml:space="preserve">年</w:t>
      </w:r>
      <w:r>
        <w:rPr>
          <w:rFonts w:hint="eastAsia" w:ascii="黑体" w:hAnsi="华文中宋" w:eastAsia="黑体"/>
          <w:bCs/>
          <w:color w:val="000000"/>
          <w:sz w:val="32"/>
          <w:szCs w:val="32"/>
          <w:lang w:val="en-US" w:eastAsia="zh-CN"/>
        </w:rPr>
        <w:t xml:space="preserve">一</w:t>
      </w:r>
      <w:r>
        <w:rPr>
          <w:rFonts w:hint="eastAsia" w:ascii="黑体" w:hAnsi="华文中宋" w:eastAsia="黑体"/>
          <w:bCs/>
          <w:color w:val="000000"/>
          <w:sz w:val="32"/>
          <w:szCs w:val="32"/>
          <w:lang w:val="en-US" w:eastAsia="zh-CN"/>
        </w:rPr>
      </w:r>
      <w:r>
        <w:rPr>
          <w:rFonts w:hint="eastAsia" w:ascii="黑体" w:hAnsi="华文中宋" w:eastAsia="黑体"/>
          <w:bCs/>
          <w:color w:val="000000"/>
          <w:sz w:val="32"/>
          <w:szCs w:val="32"/>
        </w:rPr>
        <w:t xml:space="preserve">月</w:t>
      </w:r>
      <w:r>
        <w:rPr>
          <w:rFonts w:ascii="黑体" w:hAnsi="华文中宋" w:eastAsia="黑体"/>
          <w:bCs/>
          <w:color w:val="000000"/>
          <w:sz w:val="32"/>
          <w:szCs w:val="32"/>
        </w:rPr>
      </w:r>
      <w:r/>
    </w:p>
    <w:p>
      <w:pPr>
        <w:pStyle w:val="970"/>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20823272"/>
      <w:r/>
      <w:bookmarkStart w:id="2" w:name="_Toc479757206"/>
      <w:r/>
      <w:bookmarkStart w:id="3" w:name="_Toc523127445"/>
      <w:r/>
      <w:bookmarkStart w:id="4" w:name="_Toc513029200"/>
      <w:r/>
      <w:bookmarkStart w:id="5" w:name="_Toc16938516"/>
      <w:r>
        <w:rPr>
          <w:rFonts w:hint="eastAsia" w:ascii="黑体" w:hAnsi="黑体" w:eastAsia="黑体"/>
          <w:sz w:val="36"/>
          <w:szCs w:val="36"/>
        </w:rPr>
        <w:t xml:space="preserve">总  目  录</w:t>
      </w:r>
      <w:r>
        <w:rPr>
          <w:rFonts w:hint="eastAsia" w:ascii="黑体" w:hAnsi="黑体" w:eastAsia="黑体"/>
          <w:sz w:val="36"/>
          <w:szCs w:val="36"/>
        </w:rPr>
      </w:r>
      <w:r/>
    </w:p>
    <w:p>
      <w:pPr>
        <w:pStyle w:val="883"/>
        <w:jc w:val="center"/>
        <w:spacing w:line="480" w:lineRule="auto"/>
        <w:rPr>
          <w:rFonts w:hint="eastAsia" w:ascii="黑体" w:hAnsi="Arial" w:eastAsia="黑体"/>
          <w:sz w:val="44"/>
        </w:rPr>
        <w:outlineLvl w:val="0"/>
      </w:pPr>
      <w:r>
        <w:rPr>
          <w:rFonts w:hint="eastAsia" w:ascii="黑体" w:hAnsi="Arial" w:eastAsia="黑体"/>
          <w:sz w:val="44"/>
        </w:rPr>
      </w:r>
      <w:r/>
    </w:p>
    <w:p>
      <w:pPr>
        <w:pStyle w:val="883"/>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rPr>
          <w:rFonts w:hint="eastAsia" w:ascii="宋体" w:hAnsi="宋体"/>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rPr>
      </w:r>
      <w:r/>
    </w:p>
    <w:p>
      <w:pPr>
        <w:pStyle w:val="883"/>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883"/>
        <w:ind w:firstLine="480"/>
        <w:spacing w:line="500" w:lineRule="exact"/>
        <w:rPr>
          <w:rFonts w:ascii="宋体" w:hAnsi="宋体"/>
          <w:sz w:val="24"/>
          <w:szCs w:val="24"/>
          <w:shd w:val="clear" w:color="ffffff" w:fill="d9d9d9"/>
        </w:rPr>
      </w:pPr>
      <w:r/>
      <w:bookmarkEnd w:id="0"/>
      <w:r>
        <w:rPr>
          <w:rFonts w:hint="eastAsia" w:ascii="宋体" w:hAnsi="宋体"/>
          <w:color w:val="000000"/>
          <w:sz w:val="24"/>
          <w:szCs w:val="24"/>
        </w:rPr>
        <w:t xml:space="preserve">受</w:t>
      </w:r>
      <w:r>
        <w:rPr>
          <w:rFonts w:hint="eastAsia" w:ascii="宋体" w:hAnsi="宋体"/>
          <w:color w:val="000000"/>
          <w:sz w:val="24"/>
          <w:szCs w:val="24"/>
          <w:lang w:eastAsia="zh-CN"/>
        </w:rPr>
        <w:t xml:space="preserve">无锡市中医医院</w:t>
      </w:r>
      <w:r>
        <w:rPr>
          <w:rFonts w:hint="eastAsia" w:ascii="宋体" w:hAnsi="宋体"/>
          <w:color w:val="000000"/>
          <w:sz w:val="24"/>
          <w:szCs w:val="24"/>
        </w:rPr>
        <w:t xml:space="preserve">的委托，无锡市公共资源交易中心就</w:t>
      </w:r>
      <w:r>
        <w:rPr>
          <w:rFonts w:hint="eastAsia" w:ascii="宋体" w:hAnsi="宋体"/>
          <w:color w:val="000000"/>
          <w:sz w:val="24"/>
          <w:szCs w:val="24"/>
          <w:lang w:eastAsia="zh-CN"/>
        </w:rPr>
        <w:t xml:space="preserve">无锡市中医医院医疗服务提升（软件开发）项目</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JSZC-320200-JZCG-G2024-0280</w:t>
      </w:r>
      <w:r>
        <w:rPr>
          <w:rFonts w:hint="eastAsia" w:ascii="宋体" w:hAnsi="宋体"/>
          <w:color w:val="000000"/>
          <w:sz w:val="24"/>
          <w:szCs w:val="24"/>
        </w:rPr>
        <w:t xml:space="preserve">）进行公开招标采购，欢迎符</w:t>
      </w:r>
      <w:r>
        <w:rPr>
          <w:rFonts w:hint="eastAsia" w:ascii="宋体" w:hAnsi="宋体"/>
          <w:sz w:val="24"/>
          <w:szCs w:val="24"/>
        </w:rPr>
        <w:t xml:space="preserve">合条件的供应商投标。</w:t>
      </w:r>
      <w:r>
        <w:rPr>
          <w:rFonts w:ascii="宋体" w:hAnsi="宋体"/>
          <w:sz w:val="24"/>
          <w:szCs w:val="24"/>
          <w:shd w:val="clear" w:color="ffffff" w:fill="d9d9d9"/>
        </w:rPr>
      </w:r>
      <w:r/>
    </w:p>
    <w:p>
      <w:pPr>
        <w:pStyle w:val="883"/>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883"/>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eastAsia="zh-CN"/>
        </w:rPr>
        <w:t xml:space="preserve">无锡市中医医院医疗服务提升（软件开发）项目</w:t>
      </w:r>
      <w:r>
        <w:rPr>
          <w:rFonts w:hint="eastAsia" w:ascii="宋体" w:hAnsi="宋体"/>
          <w:color w:val="000000"/>
          <w:sz w:val="24"/>
          <w:szCs w:val="24"/>
        </w:rPr>
        <w:t xml:space="preserve">采购项目的潜在投标</w:t>
      </w:r>
      <w:r>
        <w:rPr>
          <w:rFonts w:hint="eastAsia" w:ascii="宋体" w:hAnsi="宋体"/>
          <w:sz w:val="24"/>
          <w:szCs w:val="24"/>
        </w:rPr>
        <w:t xml:space="preserve">人应在“无锡政府采购网”“江苏政府采购网”自行浏览招标文件，如有投标意向须在本招标文件有效获取期内通过登录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下载的方式依法获取招标文件，并</w:t>
      </w:r>
      <w:r>
        <w:rPr>
          <w:rFonts w:hint="eastAsia" w:ascii="宋体" w:hAnsi="宋体"/>
          <w:color w:val="000000" w:themeColor="text1"/>
          <w:sz w:val="24"/>
          <w:szCs w:val="24"/>
          <w:highlight w:val="white"/>
        </w:rPr>
        <w:t xml:space="preserve">于</w:t>
      </w:r>
      <w:r>
        <w:rPr>
          <w:rFonts w:hint="eastAsia" w:ascii="宋体" w:hAnsi="宋体"/>
          <w:color w:val="000000" w:themeColor="text1"/>
          <w:sz w:val="24"/>
          <w:szCs w:val="24"/>
          <w:highlight w:val="white"/>
        </w:rPr>
        <w:t xml:space="preserve">202</w:t>
      </w:r>
      <w:r>
        <w:rPr>
          <w:rFonts w:hint="eastAsia" w:ascii="宋体" w:hAnsi="宋体"/>
          <w:color w:val="000000" w:themeColor="text1"/>
          <w:sz w:val="24"/>
          <w:szCs w:val="24"/>
          <w:highlight w:val="white"/>
        </w:rPr>
        <w:t xml:space="preserve">5</w:t>
      </w:r>
      <w:r>
        <w:rPr>
          <w:rFonts w:hint="eastAsia" w:ascii="宋体" w:hAnsi="宋体"/>
          <w:color w:val="000000" w:themeColor="text1"/>
          <w:sz w:val="24"/>
          <w:szCs w:val="24"/>
          <w:highlight w:val="white"/>
        </w:rPr>
        <w:t xml:space="preserve">年1月24日09点30</w:t>
      </w:r>
      <w:r>
        <w:rPr>
          <w:rFonts w:hint="eastAsia" w:ascii="宋体" w:hAnsi="宋体"/>
          <w:color w:val="000000" w:themeColor="text1"/>
          <w:sz w:val="24"/>
          <w:szCs w:val="24"/>
          <w:highlight w:val="white"/>
        </w:rPr>
        <w:t xml:space="preserve">分</w:t>
      </w:r>
      <w:r>
        <w:rPr>
          <w:rFonts w:hint="eastAsia" w:ascii="宋体" w:hAnsi="宋体"/>
          <w:bCs/>
          <w:color w:val="000000" w:themeColor="text1"/>
          <w:sz w:val="24"/>
          <w:szCs w:val="24"/>
          <w:highlight w:val="white"/>
        </w:rPr>
        <w:t xml:space="preserve">（</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886"/>
        <w:ind w:firstLine="452"/>
        <w:keepLines w:val="0"/>
        <w:keepNext w:val="0"/>
        <w:spacing w:before="0" w:after="0" w:line="500" w:lineRule="exact"/>
        <w:rPr>
          <w:sz w:val="30"/>
          <w:szCs w:val="30"/>
        </w:rPr>
      </w:pPr>
      <w:r/>
      <w:bookmarkStart w:id="6" w:name="_Toc35393790"/>
      <w:r/>
      <w:bookmarkStart w:id="7" w:name="_Toc28359079"/>
      <w:r/>
      <w:bookmarkStart w:id="8" w:name="_Toc28359002"/>
      <w:r/>
      <w:bookmarkStart w:id="9" w:name="_Toc38985263"/>
      <w:r/>
      <w:bookmarkStart w:id="10" w:name="_Toc35393621"/>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883"/>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1.项目编号：</w:t>
      </w:r>
      <w:r>
        <w:rPr>
          <w:rFonts w:hint="eastAsia" w:ascii="宋体" w:hAnsi="宋体"/>
          <w:color w:val="000000"/>
          <w:sz w:val="24"/>
          <w:szCs w:val="24"/>
          <w:lang w:eastAsia="zh-CN"/>
        </w:rPr>
        <w:t xml:space="preserve">JSZC-320200-JZCG-G2024-0280</w:t>
      </w:r>
      <w:r>
        <w:rPr>
          <w:rFonts w:hint="eastAsia" w:ascii="宋体" w:hAnsi="宋体" w:eastAsia="宋体"/>
          <w:color w:val="000000"/>
          <w:sz w:val="24"/>
          <w:szCs w:val="24"/>
          <w:lang w:eastAsia="zh-CN"/>
        </w:rPr>
      </w:r>
      <w:r/>
    </w:p>
    <w:p>
      <w:pPr>
        <w:pStyle w:val="883"/>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无锡市中医医院医疗服务提升（软件开发）项目</w:t>
      </w:r>
      <w:r>
        <w:rPr>
          <w:rFonts w:hint="eastAsia" w:ascii="宋体" w:hAnsi="宋体" w:eastAsia="宋体"/>
          <w:color w:val="000000"/>
          <w:sz w:val="24"/>
          <w:szCs w:val="24"/>
          <w:lang w:eastAsia="zh-CN"/>
        </w:rPr>
      </w:r>
      <w:r/>
    </w:p>
    <w:p>
      <w:pPr>
        <w:pStyle w:val="883"/>
        <w:ind w:firstLine="480"/>
        <w:spacing w:line="500" w:lineRule="exact"/>
        <w:rPr>
          <w:rFonts w:hint="eastAsia" w:ascii="宋体" w:hAnsi="宋体"/>
          <w:color w:val="000000"/>
          <w:sz w:val="24"/>
          <w:szCs w:val="24"/>
        </w:rPr>
      </w:pPr>
      <w:r/>
      <w:bookmarkEnd w:id="11"/>
      <w:r>
        <w:rPr>
          <w:rFonts w:hint="eastAsia" w:ascii="宋体" w:hAnsi="宋体"/>
          <w:color w:val="000000"/>
          <w:sz w:val="24"/>
          <w:szCs w:val="24"/>
        </w:rPr>
        <w:t xml:space="preserve">3.项目预算金额：</w:t>
      </w:r>
      <w:r>
        <w:rPr>
          <w:rFonts w:hint="eastAsia" w:ascii="宋体" w:hAnsi="宋体"/>
          <w:color w:val="000000"/>
          <w:sz w:val="24"/>
          <w:szCs w:val="24"/>
          <w:lang w:val="en-US" w:eastAsia="zh-CN"/>
        </w:rPr>
        <w:t xml:space="preserve">74.94</w:t>
      </w:r>
      <w:r>
        <w:rPr>
          <w:rFonts w:hint="eastAsia" w:ascii="宋体" w:hAnsi="宋体"/>
          <w:color w:val="000000"/>
          <w:sz w:val="24"/>
          <w:szCs w:val="24"/>
        </w:rPr>
        <w:t xml:space="preserve">万元</w:t>
      </w:r>
      <w:r>
        <w:rPr>
          <w:rFonts w:hint="eastAsia" w:ascii="宋体" w:hAnsi="宋体"/>
          <w:color w:val="000000"/>
          <w:sz w:val="24"/>
          <w:szCs w:val="24"/>
        </w:rPr>
      </w:r>
      <w:r/>
    </w:p>
    <w:p>
      <w:pPr>
        <w:pStyle w:val="883"/>
        <w:ind w:firstLine="480"/>
        <w:spacing w:line="500" w:lineRule="exact"/>
        <w:rPr>
          <w:rFonts w:ascii="宋体" w:hAnsi="宋体"/>
          <w:color w:val="000000"/>
          <w:sz w:val="24"/>
          <w:szCs w:val="24"/>
        </w:rPr>
      </w:pPr>
      <w:r>
        <w:rPr>
          <w:rFonts w:hint="eastAsia" w:ascii="宋体" w:hAnsi="宋体"/>
          <w:color w:val="000000"/>
          <w:sz w:val="24"/>
          <w:szCs w:val="24"/>
        </w:rPr>
        <w:t xml:space="preserve">4.项目最高限价：</w:t>
      </w:r>
      <w:r>
        <w:rPr>
          <w:rFonts w:hint="eastAsia" w:ascii="宋体" w:hAnsi="宋体"/>
          <w:color w:val="000000"/>
          <w:sz w:val="24"/>
          <w:szCs w:val="24"/>
          <w:lang w:val="en-US" w:eastAsia="zh-CN"/>
        </w:rPr>
        <w:t xml:space="preserve">74.94</w:t>
      </w:r>
      <w:r>
        <w:rPr>
          <w:rFonts w:hint="eastAsia" w:ascii="宋体" w:hAnsi="宋体"/>
          <w:color w:val="000000"/>
          <w:sz w:val="24"/>
          <w:szCs w:val="24"/>
        </w:rPr>
        <w:t xml:space="preserve">万元</w:t>
      </w:r>
      <w:r>
        <w:rPr>
          <w:rFonts w:ascii="宋体" w:hAnsi="宋体"/>
          <w:color w:val="000000"/>
          <w:sz w:val="24"/>
          <w:szCs w:val="24"/>
        </w:rPr>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5.采购方式：公开招标</w:t>
      </w:r>
      <w:r>
        <w:rPr>
          <w:rFonts w:hint="eastAsia" w:ascii="宋体" w:hAnsi="宋体"/>
          <w:color w:val="000000"/>
          <w:sz w:val="24"/>
          <w:szCs w:val="24"/>
        </w:rPr>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6.采购需求：</w:t>
      </w:r>
      <w:r>
        <w:rPr>
          <w:rFonts w:hint="eastAsia" w:ascii="宋体" w:hAnsi="宋体" w:cs="宋体"/>
          <w:color w:val="000000"/>
          <w:sz w:val="24"/>
          <w:szCs w:val="24"/>
        </w:rPr>
        <w:t xml:space="preserve">详见招标文件第四章《采购需求》</w:t>
      </w:r>
      <w:r>
        <w:rPr>
          <w:rFonts w:hint="eastAsia" w:ascii="宋体" w:hAnsi="宋体"/>
          <w:color w:val="000000"/>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olor w:val="000000"/>
          <w:sz w:val="24"/>
          <w:szCs w:val="24"/>
        </w:rPr>
        <w:t xml:space="preserve">7.合同履行期限：</w:t>
      </w:r>
      <w:r>
        <w:rPr>
          <w:rFonts w:hint="eastAsia" w:ascii="宋体" w:hAnsi="宋体" w:cs="宋体"/>
          <w:color w:val="000000"/>
          <w:sz w:val="24"/>
          <w:szCs w:val="24"/>
        </w:rPr>
        <w:t xml:space="preserve">详见招标文件第四章《采购需求》</w:t>
      </w:r>
      <w:r>
        <w:rPr>
          <w:rFonts w:hint="eastAsia" w:ascii="宋体" w:hAnsi="宋体" w:cs="宋体"/>
          <w:color w:val="000000"/>
          <w:sz w:val="24"/>
          <w:szCs w:val="24"/>
        </w:rPr>
      </w:r>
      <w:r/>
    </w:p>
    <w:p>
      <w:pPr>
        <w:pStyle w:val="8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8.本项目不接受联合体投标。</w:t>
      </w:r>
      <w:r>
        <w:rPr>
          <w:rFonts w:ascii="宋体" w:hAnsi="宋体" w:cs="宋体"/>
          <w:color w:val="000000"/>
          <w:sz w:val="24"/>
          <w:szCs w:val="24"/>
        </w:rPr>
      </w:r>
      <w:r/>
    </w:p>
    <w:p>
      <w:pPr>
        <w:pStyle w:val="886"/>
        <w:ind w:firstLine="452"/>
        <w:keepLines w:val="0"/>
        <w:keepNext w:val="0"/>
        <w:spacing w:before="0" w:after="0" w:line="500" w:lineRule="exact"/>
        <w:rPr>
          <w:color w:val="000000"/>
          <w:sz w:val="30"/>
          <w:szCs w:val="30"/>
        </w:rPr>
      </w:pPr>
      <w:r/>
      <w:bookmarkStart w:id="12" w:name="_Toc28359003"/>
      <w:r/>
      <w:bookmarkStart w:id="13" w:name="_Toc35393622"/>
      <w:r/>
      <w:bookmarkStart w:id="14" w:name="_Toc35393791"/>
      <w:r/>
      <w:bookmarkStart w:id="15" w:name="_Toc38985264"/>
      <w:r/>
      <w:bookmarkStart w:id="16" w:name="_Toc28359080"/>
      <w:r>
        <w:rPr>
          <w:rFonts w:hint="eastAsia"/>
          <w:color w:val="000000"/>
          <w:sz w:val="30"/>
          <w:szCs w:val="30"/>
        </w:rPr>
        <w:t xml:space="preserve">二、申请人的资格要求</w:t>
      </w:r>
      <w:bookmarkEnd w:id="12"/>
      <w:r/>
      <w:bookmarkEnd w:id="13"/>
      <w:r/>
      <w:bookmarkEnd w:id="14"/>
      <w:r/>
      <w:bookmarkEnd w:id="15"/>
      <w:r/>
      <w:bookmarkEnd w:id="16"/>
      <w:r>
        <w:rPr>
          <w:color w:val="000000"/>
          <w:sz w:val="30"/>
          <w:szCs w:val="30"/>
        </w:rPr>
      </w:r>
      <w:r/>
    </w:p>
    <w:p>
      <w:pPr>
        <w:pStyle w:val="883"/>
        <w:ind w:firstLine="480"/>
        <w:spacing w:line="500" w:lineRule="exact"/>
        <w:rPr>
          <w:rFonts w:ascii="宋体" w:hAnsi="宋体"/>
          <w:color w:val="000000"/>
          <w:sz w:val="24"/>
          <w:szCs w:val="24"/>
        </w:rPr>
      </w:pPr>
      <w:r/>
      <w:bookmarkStart w:id="17" w:name="_Toc38985265"/>
      <w:r/>
      <w:bookmarkStart w:id="18" w:name="_Toc35393792"/>
      <w:r/>
      <w:bookmarkStart w:id="19" w:name="_Toc28359081"/>
      <w:r/>
      <w:bookmarkStart w:id="20" w:name="_Toc28359004"/>
      <w:r/>
      <w:bookmarkStart w:id="21" w:name="_Toc35393623"/>
      <w:r>
        <w:rPr>
          <w:rFonts w:hint="eastAsia" w:ascii="宋体" w:hAnsi="宋体"/>
          <w:color w:val="000000"/>
          <w:sz w:val="24"/>
          <w:szCs w:val="24"/>
        </w:rPr>
        <w:t xml:space="preserve">1.满足《中华人民共和国政府采购法》第二十二条规定；</w:t>
      </w:r>
      <w:r>
        <w:rPr>
          <w:rFonts w:ascii="宋体" w:hAnsi="宋体"/>
          <w:color w:val="000000"/>
          <w:sz w:val="24"/>
          <w:szCs w:val="24"/>
        </w:rPr>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2.落实政府采购政策需满足的资格要求：</w:t>
      </w:r>
      <w:r>
        <w:rPr>
          <w:rFonts w:hint="eastAsia" w:ascii="宋体" w:hAnsi="宋体"/>
          <w:color w:val="000000"/>
          <w:sz w:val="24"/>
          <w:szCs w:val="24"/>
        </w:rPr>
      </w:r>
      <w:r/>
    </w:p>
    <w:p>
      <w:pPr>
        <w:pStyle w:val="883"/>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2.1中小企业政策：本项目专门面向中小企业</w:t>
      </w:r>
      <w:r>
        <w:rPr>
          <w:rFonts w:hint="eastAsia" w:ascii="宋体" w:hAnsi="宋体"/>
          <w:color w:val="000000"/>
          <w:sz w:val="24"/>
          <w:szCs w:val="24"/>
          <w:lang w:eastAsia="zh-CN"/>
        </w:rPr>
        <w:t xml:space="preserve">；</w:t>
      </w:r>
      <w:r>
        <w:rPr>
          <w:rFonts w:hint="eastAsia" w:ascii="宋体" w:hAnsi="宋体" w:eastAsia="宋体"/>
          <w:color w:val="000000"/>
          <w:sz w:val="24"/>
          <w:szCs w:val="24"/>
          <w:lang w:eastAsia="zh-CN"/>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sz w:val="24"/>
          <w:szCs w:val="24"/>
        </w:rPr>
      </w:r>
      <w:r/>
    </w:p>
    <w:p>
      <w:pPr>
        <w:pStyle w:val="883"/>
        <w:ind w:firstLine="480"/>
        <w:spacing w:line="500" w:lineRule="exact"/>
        <w:rPr>
          <w:rFonts w:ascii="宋体" w:hAnsi="宋体" w:cs="宋体"/>
          <w:sz w:val="24"/>
          <w:szCs w:val="24"/>
        </w:rPr>
      </w:pPr>
      <w:r>
        <w:rPr>
          <w:rFonts w:hint="eastAsia" w:ascii="宋体" w:hAnsi="宋体"/>
          <w:sz w:val="24"/>
          <w:szCs w:val="24"/>
        </w:rPr>
        <w:t xml:space="preserve">3.本项目</w:t>
      </w:r>
      <w:r>
        <w:rPr>
          <w:rFonts w:hint="eastAsia" w:ascii="宋体" w:hAnsi="宋体"/>
          <w:color w:val="000000"/>
          <w:sz w:val="24"/>
          <w:szCs w:val="24"/>
        </w:rPr>
        <w:t xml:space="preserve">的特定资格要求：无。</w:t>
      </w:r>
      <w:r>
        <w:rPr>
          <w:rFonts w:ascii="宋体" w:hAnsi="宋体" w:cs="宋体"/>
          <w:sz w:val="24"/>
          <w:szCs w:val="24"/>
        </w:rPr>
      </w:r>
      <w:r/>
    </w:p>
    <w:p>
      <w:pPr>
        <w:pStyle w:val="886"/>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883"/>
        <w:ind w:firstLine="540"/>
        <w:spacing w:line="500" w:lineRule="exact"/>
        <w:rPr>
          <w:rFonts w:hint="eastAsia" w:ascii="宋体" w:hAnsi="宋体"/>
          <w:sz w:val="24"/>
          <w:szCs w:val="24"/>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sz w:val="24"/>
          <w:szCs w:val="24"/>
        </w:rPr>
      </w:r>
      <w:r/>
    </w:p>
    <w:p>
      <w:pPr>
        <w:pStyle w:val="883"/>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bCs/>
          <w:sz w:val="24"/>
          <w:szCs w:val="24"/>
        </w:rPr>
      </w:r>
      <w:r/>
    </w:p>
    <w:p>
      <w:pPr>
        <w:pStyle w:val="883"/>
        <w:ind w:firstLine="540"/>
        <w:spacing w:line="500" w:lineRule="exact"/>
        <w:rPr>
          <w:rStyle w:val="959"/>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“江苏省政府采购（苏采云）平台”（http://jszfcg.jscz.gov.cn/jszc/login）</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959"/>
        </w:rPr>
      </w:r>
      <w:r/>
    </w:p>
    <w:p>
      <w:pPr>
        <w:pStyle w:val="883"/>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886"/>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1.</w:t>
      </w:r>
      <w:r>
        <w:rPr>
          <w:rFonts w:hint="eastAsia" w:ascii="宋体" w:hAnsi="宋体"/>
          <w:bCs/>
          <w:color w:val="000000" w:themeColor="text1"/>
          <w:sz w:val="24"/>
          <w:szCs w:val="24"/>
          <w:highlight w:val="white"/>
        </w:rPr>
        <w:t xml:space="preserve">时间：</w:t>
      </w:r>
      <w:r>
        <w:rPr>
          <w:rFonts w:hint="eastAsia" w:ascii="宋体" w:hAnsi="宋体"/>
          <w:bCs/>
          <w:color w:val="000000" w:themeColor="text1"/>
          <w:sz w:val="24"/>
          <w:szCs w:val="24"/>
          <w:highlight w:val="white"/>
        </w:rPr>
        <w:t xml:space="preserve">202</w:t>
      </w:r>
      <w:r>
        <w:rPr>
          <w:rFonts w:hint="eastAsia" w:ascii="宋体" w:hAnsi="宋体"/>
          <w:bCs/>
          <w:color w:val="000000" w:themeColor="text1"/>
          <w:sz w:val="24"/>
          <w:szCs w:val="24"/>
          <w:highlight w:val="white"/>
        </w:rPr>
        <w:t xml:space="preserve">5</w:t>
      </w:r>
      <w:r>
        <w:rPr>
          <w:rFonts w:hint="eastAsia" w:ascii="宋体" w:hAnsi="宋体"/>
          <w:bCs/>
          <w:color w:val="000000" w:themeColor="text1"/>
          <w:sz w:val="24"/>
          <w:szCs w:val="24"/>
          <w:highlight w:val="white"/>
        </w:rPr>
        <w:t xml:space="preserve">年1月24日09点30</w:t>
      </w:r>
      <w:r>
        <w:rPr>
          <w:rFonts w:hint="eastAsia" w:ascii="宋体" w:hAnsi="宋体"/>
          <w:bCs/>
          <w:color w:val="000000" w:themeColor="text1"/>
          <w:sz w:val="24"/>
          <w:szCs w:val="24"/>
          <w:highlight w:val="white"/>
        </w:rPr>
        <w:t xml:space="preserve">分</w:t>
      </w:r>
      <w:r>
        <w:rPr>
          <w:rFonts w:hint="eastAsia" w:ascii="宋体" w:hAnsi="宋体"/>
          <w:bCs/>
          <w:sz w:val="24"/>
          <w:szCs w:val="24"/>
        </w:rPr>
        <w:t xml:space="preserve">（北京时间）</w:t>
      </w:r>
      <w:r>
        <w:rPr>
          <w:rFonts w:hint="eastAsia" w:ascii="宋体" w:hAnsi="宋体"/>
          <w:bCs/>
          <w:sz w:val="24"/>
          <w:szCs w:val="24"/>
        </w:rPr>
      </w:r>
      <w:r/>
    </w:p>
    <w:p>
      <w:pPr>
        <w:pStyle w:val="883"/>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886"/>
        <w:ind w:firstLine="452"/>
        <w:keepLines w:val="0"/>
        <w:keepNext w:val="0"/>
        <w:spacing w:before="0" w:after="0" w:line="500" w:lineRule="exact"/>
        <w:rPr>
          <w:sz w:val="30"/>
          <w:szCs w:val="30"/>
        </w:rPr>
      </w:pPr>
      <w:r/>
      <w:bookmarkStart w:id="27" w:name="_Toc28359084"/>
      <w:r/>
      <w:bookmarkStart w:id="28" w:name="_Toc38985267"/>
      <w:r/>
      <w:bookmarkStart w:id="29" w:name="_Toc28359007"/>
      <w:r/>
      <w:bookmarkStart w:id="30" w:name="_Toc35393625"/>
      <w:r/>
      <w:bookmarkStart w:id="31" w:name="_Toc35393794"/>
      <w:r>
        <w:rPr>
          <w:rFonts w:hint="eastAsia"/>
          <w:sz w:val="30"/>
          <w:szCs w:val="30"/>
        </w:rPr>
        <w:t xml:space="preserve">五、公告期限</w:t>
      </w:r>
      <w:bookmarkEnd w:id="27"/>
      <w:r/>
      <w:bookmarkEnd w:id="28"/>
      <w:r/>
      <w:bookmarkEnd w:id="29"/>
      <w:r/>
      <w:bookmarkEnd w:id="30"/>
      <w:r/>
      <w:bookmarkEnd w:id="31"/>
      <w:r>
        <w:rPr>
          <w:sz w:val="30"/>
          <w:szCs w:val="30"/>
        </w:rPr>
      </w:r>
      <w:r/>
    </w:p>
    <w:p>
      <w:pPr>
        <w:pStyle w:val="883"/>
        <w:ind w:firstLine="480"/>
        <w:spacing w:line="500" w:lineRule="exact"/>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886"/>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883"/>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86"/>
        <w:ind w:firstLine="452"/>
        <w:keepLines w:val="0"/>
        <w:keepNext w:val="0"/>
        <w:spacing w:before="0" w:after="0" w:line="500" w:lineRule="exact"/>
        <w:rPr>
          <w:sz w:val="30"/>
          <w:szCs w:val="30"/>
        </w:rPr>
      </w:pPr>
      <w:r/>
      <w:bookmarkStart w:id="35" w:name="_Toc35393627"/>
      <w:r/>
      <w:bookmarkStart w:id="36" w:name="_Toc28359008"/>
      <w:r/>
      <w:bookmarkStart w:id="37" w:name="_Toc35393796"/>
      <w:r/>
      <w:bookmarkStart w:id="38" w:name="_Toc28359085"/>
      <w:r/>
      <w:bookmarkStart w:id="39" w:name="_Toc38985269"/>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883"/>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883"/>
        <w:ind w:firstLine="480"/>
        <w:spacing w:line="500" w:lineRule="exac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名    称：</w:t>
      </w:r>
      <w:r>
        <w:rPr>
          <w:rFonts w:hint="eastAsia" w:ascii="宋体" w:hAnsi="宋体" w:cs="宋体"/>
          <w:color w:val="000000"/>
          <w:sz w:val="24"/>
          <w:szCs w:val="24"/>
          <w:lang w:eastAsia="zh-CN"/>
        </w:rPr>
        <w:t xml:space="preserve">无锡市中医医院</w:t>
      </w:r>
      <w:r>
        <w:rPr>
          <w:rFonts w:hint="eastAsia" w:ascii="宋体" w:hAnsi="宋体" w:eastAsia="宋体" w:cs="宋体"/>
          <w:color w:val="000000"/>
          <w:sz w:val="24"/>
          <w:szCs w:val="24"/>
          <w:lang w:eastAsia="zh-CN"/>
        </w:rPr>
      </w:r>
      <w:r/>
    </w:p>
    <w:p>
      <w:pPr>
        <w:pStyle w:val="8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址：无锡市中南西路8号</w:t>
      </w:r>
      <w:r>
        <w:rPr>
          <w:rFonts w:ascii="宋体" w:hAnsi="宋体" w:cs="宋体"/>
          <w:color w:val="000000"/>
          <w:sz w:val="24"/>
          <w:szCs w:val="24"/>
        </w:rPr>
      </w:r>
      <w:r/>
    </w:p>
    <w:p>
      <w:pPr>
        <w:pStyle w:val="8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40" w:name="_Toc28359009"/>
      <w:r/>
      <w:bookmarkStart w:id="41" w:name="_Toc28359086"/>
      <w:r>
        <w:rPr>
          <w:rFonts w:hint="eastAsia" w:ascii="宋体" w:hAnsi="宋体" w:cs="宋体"/>
          <w:color w:val="000000"/>
          <w:sz w:val="24"/>
          <w:szCs w:val="24"/>
        </w:rPr>
        <w:t xml:space="preserve">见“项目联系方式”</w:t>
      </w:r>
      <w:r>
        <w:rPr>
          <w:rFonts w:ascii="宋体" w:hAnsi="宋体" w:cs="宋体"/>
          <w:color w:val="000000"/>
          <w:sz w:val="24"/>
          <w:szCs w:val="24"/>
        </w:rPr>
      </w:r>
      <w:r/>
    </w:p>
    <w:p>
      <w:pPr>
        <w:pStyle w:val="8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w:t>
      </w:r>
      <w:bookmarkEnd w:id="40"/>
      <w:r/>
      <w:bookmarkEnd w:id="41"/>
      <w:r>
        <w:rPr>
          <w:rFonts w:hint="eastAsia" w:ascii="宋体" w:hAnsi="宋体" w:cs="宋体"/>
          <w:color w:val="000000"/>
          <w:sz w:val="24"/>
          <w:szCs w:val="24"/>
        </w:rPr>
        <w:t xml:space="preserve">采购代理机构信息</w:t>
      </w:r>
      <w:r>
        <w:rPr>
          <w:rFonts w:ascii="宋体" w:hAnsi="宋体" w:cs="宋体"/>
          <w:color w:val="000000"/>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名    称：无锡市公共资源交易中心</w:t>
      </w:r>
      <w:r>
        <w:rPr>
          <w:rFonts w:hint="eastAsia" w:ascii="宋体" w:hAnsi="宋体" w:cs="宋体"/>
          <w:color w:val="000000"/>
          <w:sz w:val="24"/>
          <w:szCs w:val="24"/>
        </w:rPr>
      </w:r>
      <w:r/>
    </w:p>
    <w:p>
      <w:pPr>
        <w:pStyle w:val="8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址：无锡市滨湖区观山路199号10号3楼</w:t>
      </w:r>
      <w:r>
        <w:rPr>
          <w:rFonts w:ascii="宋体" w:hAnsi="宋体" w:cs="宋体"/>
          <w:color w:val="000000"/>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联系方式：见“项目联系方式”</w:t>
      </w:r>
      <w:r>
        <w:rPr>
          <w:rFonts w:hint="eastAsia" w:ascii="宋体" w:hAnsi="宋体" w:cs="宋体"/>
          <w:color w:val="000000"/>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3.项目联系方式</w:t>
      </w:r>
      <w:r>
        <w:rPr>
          <w:rFonts w:hint="eastAsia" w:ascii="宋体" w:hAnsi="宋体" w:cs="宋体"/>
          <w:color w:val="000000"/>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采购人项目咨询联系人：童思木；电话：0510-88859999</w:t>
      </w:r>
      <w:r>
        <w:rPr>
          <w:rFonts w:hint="eastAsia" w:ascii="宋体" w:hAnsi="宋体" w:cs="宋体"/>
          <w:color w:val="000000"/>
          <w:sz w:val="24"/>
          <w:szCs w:val="24"/>
          <w:lang w:val="en-US" w:eastAsia="zh-CN"/>
        </w:rPr>
        <w:t xml:space="preserve">-</w:t>
      </w:r>
      <w:r>
        <w:rPr>
          <w:rFonts w:hint="eastAsia" w:ascii="宋体" w:hAnsi="宋体" w:cs="宋体"/>
          <w:color w:val="000000"/>
          <w:sz w:val="24"/>
          <w:szCs w:val="24"/>
        </w:rPr>
        <w:t xml:space="preserve">30200</w:t>
      </w:r>
      <w:r>
        <w:rPr>
          <w:rFonts w:hint="eastAsia" w:ascii="宋体" w:hAnsi="宋体" w:cs="宋体"/>
          <w:color w:val="000000"/>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s="宋体"/>
          <w:sz w:val="24"/>
          <w:szCs w:val="24"/>
        </w:rPr>
        <w:t xml:space="preserve">采购人质疑受理联系人</w:t>
      </w:r>
      <w:r>
        <w:rPr>
          <w:rFonts w:hint="eastAsia" w:ascii="宋体" w:hAnsi="宋体" w:cs="宋体"/>
          <w:color w:val="000000"/>
          <w:sz w:val="24"/>
          <w:szCs w:val="24"/>
        </w:rPr>
        <w:t xml:space="preserve">：潘亮亮；电话：0510</w:t>
      </w:r>
      <w:r>
        <w:rPr>
          <w:rFonts w:hint="eastAsia" w:ascii="宋体" w:hAnsi="宋体" w:cs="宋体"/>
          <w:color w:val="000000"/>
          <w:sz w:val="24"/>
          <w:szCs w:val="24"/>
          <w:lang w:val="en-US" w:eastAsia="zh-CN"/>
        </w:rPr>
        <w:t xml:space="preserve">-</w:t>
      </w:r>
      <w:r>
        <w:rPr>
          <w:rFonts w:hint="eastAsia" w:ascii="宋体" w:hAnsi="宋体" w:cs="宋体"/>
          <w:color w:val="000000"/>
          <w:sz w:val="24"/>
          <w:szCs w:val="24"/>
        </w:rPr>
        <w:t xml:space="preserve">88859999</w:t>
      </w:r>
      <w:r>
        <w:rPr>
          <w:rFonts w:hint="eastAsia" w:ascii="宋体" w:hAnsi="宋体" w:cs="宋体"/>
          <w:color w:val="000000"/>
          <w:sz w:val="24"/>
          <w:szCs w:val="24"/>
          <w:lang w:val="en-US" w:eastAsia="zh-CN"/>
        </w:rPr>
        <w:t xml:space="preserve">-</w:t>
      </w:r>
      <w:r>
        <w:rPr>
          <w:rFonts w:hint="eastAsia" w:ascii="宋体" w:hAnsi="宋体" w:cs="宋体"/>
          <w:color w:val="000000"/>
          <w:sz w:val="24"/>
          <w:szCs w:val="24"/>
        </w:rPr>
        <w:t xml:space="preserve">74003</w:t>
      </w:r>
      <w:r>
        <w:rPr>
          <w:rFonts w:hint="eastAsia" w:ascii="宋体" w:hAnsi="宋体" w:cs="宋体"/>
          <w:color w:val="000000"/>
          <w:sz w:val="24"/>
          <w:szCs w:val="24"/>
        </w:rPr>
      </w:r>
      <w:r/>
    </w:p>
    <w:p>
      <w:pPr>
        <w:pStyle w:val="883"/>
        <w:ind w:firstLine="480"/>
        <w:spacing w:line="500" w:lineRule="exact"/>
        <w:rPr>
          <w:rFonts w:ascii="宋体" w:hAnsi="宋体" w:eastAsia="宋体" w:cs="宋体"/>
          <w:color w:val="000000"/>
          <w:sz w:val="24"/>
          <w:szCs w:val="24"/>
          <w:lang w:val="en-US" w:eastAsia="zh-CN"/>
        </w:rPr>
      </w:pPr>
      <w:r>
        <w:rPr>
          <w:rFonts w:hint="eastAsia" w:ascii="宋体" w:hAnsi="宋体" w:cs="宋体"/>
          <w:color w:val="000000"/>
          <w:sz w:val="24"/>
          <w:szCs w:val="24"/>
        </w:rPr>
        <w:t xml:space="preserve">交易中心项目联系人：</w:t>
      </w:r>
      <w:r>
        <w:rPr>
          <w:rFonts w:hint="eastAsia" w:ascii="宋体" w:hAnsi="宋体" w:cs="宋体"/>
          <w:color w:val="000000"/>
          <w:sz w:val="24"/>
          <w:szCs w:val="24"/>
          <w:lang w:val="en-US" w:eastAsia="zh-CN"/>
        </w:rPr>
        <w:t xml:space="preserve">蔡文珺</w:t>
      </w:r>
      <w:r>
        <w:rPr>
          <w:rFonts w:hint="eastAsia" w:ascii="宋体" w:hAnsi="宋体" w:cs="宋体"/>
          <w:color w:val="000000"/>
          <w:sz w:val="24"/>
          <w:szCs w:val="24"/>
        </w:rPr>
        <w:t xml:space="preserve">；电话：0510-</w:t>
      </w:r>
      <w:r>
        <w:rPr>
          <w:rFonts w:hint="eastAsia" w:ascii="宋体" w:hAnsi="宋体" w:cs="宋体"/>
          <w:color w:val="000000"/>
          <w:sz w:val="24"/>
          <w:szCs w:val="24"/>
          <w:lang w:val="en-US" w:eastAsia="zh-CN"/>
        </w:rPr>
        <w:t xml:space="preserve">81827737</w:t>
      </w:r>
      <w:r>
        <w:rPr>
          <w:rFonts w:ascii="宋体" w:hAnsi="宋体" w:eastAsia="宋体" w:cs="宋体"/>
          <w:color w:val="000000"/>
          <w:sz w:val="24"/>
          <w:szCs w:val="24"/>
          <w:lang w:val="en-US" w:eastAsia="zh-CN"/>
        </w:rPr>
      </w:r>
      <w:r/>
    </w:p>
    <w:p>
      <w:pPr>
        <w:pStyle w:val="886"/>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883"/>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883"/>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883"/>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（三）有关本次采购的事项若存在变动或修改，敬请及时关注无锡市公共资源交易中心在“无锡政府采购网”“江苏政府采购网”发布的更正公告。</w:t>
      </w:r>
      <w:r>
        <w:rPr>
          <w:rFonts w:hint="eastAsia" w:ascii="宋体" w:hAnsi="宋体"/>
          <w:bCs/>
          <w:sz w:val="24"/>
          <w:szCs w:val="24"/>
        </w:rPr>
      </w:r>
      <w:r/>
    </w:p>
    <w:p>
      <w:pPr>
        <w:pStyle w:val="883"/>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（四）本次采购不收取投标保证金。</w:t>
      </w:r>
      <w:r>
        <w:rPr>
          <w:rFonts w:hint="eastAsia" w:ascii="宋体" w:hAnsi="宋体"/>
          <w:bCs/>
          <w:sz w:val="24"/>
          <w:szCs w:val="24"/>
          <w:shd w:val="clear" w:color="ffffff" w:fill="d9d9d9"/>
        </w:rPr>
      </w:r>
      <w:r/>
    </w:p>
    <w:p>
      <w:pPr>
        <w:pStyle w:val="883"/>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6938518"/>
      <w:r/>
      <w:bookmarkStart w:id="46" w:name="_Toc120614213"/>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886"/>
        <w:ind w:firstLine="452"/>
        <w:keepLines w:val="0"/>
        <w:keepNext w:val="0"/>
        <w:spacing w:before="0" w:after="0" w:line="500" w:lineRule="exact"/>
        <w:rPr>
          <w:rFonts w:hint="eastAsia"/>
          <w:sz w:val="30"/>
          <w:szCs w:val="30"/>
        </w:rPr>
      </w:pPr>
      <w:r/>
      <w:bookmarkStart w:id="47" w:name="_Toc16938519"/>
      <w:r/>
      <w:bookmarkStart w:id="48" w:name="_Toc120614214"/>
      <w:r/>
      <w:bookmarkStart w:id="49" w:name="_Toc20823275"/>
      <w:r/>
      <w:bookmarkStart w:id="50" w:name="_Toc513029203"/>
      <w:r>
        <w:rPr>
          <w:rFonts w:hint="eastAsia"/>
          <w:sz w:val="30"/>
          <w:szCs w:val="30"/>
        </w:rPr>
        <w:t xml:space="preserve">一、总则</w:t>
      </w:r>
      <w:bookmarkEnd w:id="47"/>
      <w:r/>
      <w:bookmarkEnd w:id="48"/>
      <w:r/>
      <w:bookmarkEnd w:id="49"/>
      <w:r/>
      <w:bookmarkEnd w:id="50"/>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20823276"/>
      <w:r/>
      <w:bookmarkStart w:id="53" w:name="_Toc16938520"/>
      <w:r/>
      <w:bookmarkStart w:id="54" w:name="_Toc513029204"/>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55" w:name="_Toc16938521"/>
      <w:r/>
      <w:bookmarkStart w:id="56" w:name="_Toc20823277"/>
      <w:r/>
      <w:bookmarkStart w:id="57" w:name="_Toc513029205"/>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bookmarkStart w:id="58" w:name="_Toc16938522"/>
      <w:r/>
      <w:bookmarkStart w:id="59" w:name="_Toc20823278"/>
      <w:r/>
      <w:bookmarkStart w:id="60" w:name="_Toc513029206"/>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61" w:name="_Toc513029207"/>
      <w:r/>
      <w:bookmarkStart w:id="62" w:name="_Toc16938523"/>
      <w:r/>
      <w:bookmarkStart w:id="63" w:name="_Toc462564067"/>
      <w:r/>
      <w:bookmarkStart w:id="64" w:name="_Toc20823279"/>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投标人应自行承担所有与参加投标有关的费用，无论投标过程中的做法和结果如何，无锡市公共资源交易中心（以下简称交易中心）在任何情况下均无义务和责任承担这些费用。</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886"/>
        <w:ind w:firstLine="452"/>
        <w:keepLines w:val="0"/>
        <w:keepNext w:val="0"/>
        <w:spacing w:before="0" w:after="0" w:line="500" w:lineRule="exact"/>
        <w:rPr>
          <w:rFonts w:hint="eastAsia"/>
          <w:sz w:val="30"/>
          <w:szCs w:val="30"/>
        </w:rPr>
      </w:pPr>
      <w:r/>
      <w:bookmarkStart w:id="65" w:name="_Toc20823281"/>
      <w:r/>
      <w:bookmarkStart w:id="66" w:name="_Toc16938525"/>
      <w:r/>
      <w:bookmarkStart w:id="67" w:name="_Toc513029209"/>
      <w:r/>
      <w:bookmarkStart w:id="68" w:name="_Toc120614215"/>
      <w:r>
        <w:rPr>
          <w:rFonts w:hint="eastAsia"/>
          <w:sz w:val="30"/>
          <w:szCs w:val="30"/>
        </w:rPr>
        <w:t xml:space="preserve">二、招标文件</w:t>
      </w:r>
      <w:bookmarkEnd w:id="65"/>
      <w:r/>
      <w:bookmarkEnd w:id="66"/>
      <w:r/>
      <w:bookmarkEnd w:id="67"/>
      <w:r/>
      <w:bookmarkEnd w:id="68"/>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69" w:name="_Toc20823282"/>
      <w:r/>
      <w:bookmarkStart w:id="70" w:name="_Toc513029210"/>
      <w:r/>
      <w:bookmarkStart w:id="71" w:name="_Toc16938526"/>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83"/>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883"/>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72" w:name="_Toc16938527"/>
      <w:r/>
      <w:bookmarkStart w:id="73" w:name="_Toc20823283"/>
      <w:r/>
      <w:bookmarkStart w:id="74" w:name="_Toc513029211"/>
      <w:r/>
      <w:bookmarkStart w:id="75" w:name="_Toc462564070"/>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883"/>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887"/>
        <w:ind w:firstLine="422"/>
        <w:keepLines w:val="0"/>
        <w:keepNext w:val="0"/>
        <w:spacing w:before="0" w:after="0" w:line="500" w:lineRule="exact"/>
        <w:rPr>
          <w:rFonts w:hint="eastAsia" w:ascii="宋体" w:hAnsi="宋体" w:eastAsia="宋体"/>
          <w:bCs w:val="0"/>
          <w:color w:val="000000"/>
        </w:rPr>
      </w:pPr>
      <w:r/>
      <w:bookmarkStart w:id="76" w:name="_Toc462564071"/>
      <w:r/>
      <w:bookmarkStart w:id="77" w:name="_Toc16938528"/>
      <w:r/>
      <w:bookmarkStart w:id="78" w:name="_Toc513029212"/>
      <w:r/>
      <w:bookmarkStart w:id="79" w:name="_Toc20823284"/>
      <w:r>
        <w:rPr>
          <w:rFonts w:hint="eastAsia" w:ascii="宋体" w:hAnsi="宋体" w:eastAsia="宋体"/>
          <w:bCs w:val="0"/>
          <w:color w:val="000000"/>
        </w:rPr>
        <w:t xml:space="preserve">8.招标文件的修改</w:t>
      </w:r>
      <w:bookmarkEnd w:id="76"/>
      <w:r/>
      <w:bookmarkEnd w:id="77"/>
      <w:r/>
      <w:bookmarkEnd w:id="78"/>
      <w:r/>
      <w:bookmarkEnd w:id="79"/>
      <w:r>
        <w:rPr>
          <w:rFonts w:hint="eastAsia" w:ascii="宋体" w:hAnsi="宋体" w:eastAsia="宋体"/>
          <w:bCs w:val="0"/>
          <w:color w:val="000000"/>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883"/>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886"/>
        <w:ind w:firstLine="452"/>
        <w:keepLines w:val="0"/>
        <w:keepNext w:val="0"/>
        <w:spacing w:before="0" w:after="0" w:line="500" w:lineRule="exact"/>
        <w:rPr>
          <w:rFonts w:hint="eastAsia"/>
          <w:sz w:val="30"/>
          <w:szCs w:val="30"/>
        </w:rPr>
      </w:pPr>
      <w:r/>
      <w:bookmarkStart w:id="80" w:name="_Toc462564072"/>
      <w:r/>
      <w:bookmarkStart w:id="81" w:name="_Toc120614216"/>
      <w:r/>
      <w:bookmarkStart w:id="82" w:name="_Toc513029213"/>
      <w:r/>
      <w:bookmarkStart w:id="83" w:name="_Toc20823285"/>
      <w:r/>
      <w:bookmarkStart w:id="84" w:name="_Toc16938529"/>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85" w:name="_Toc462564073"/>
      <w:r/>
      <w:bookmarkStart w:id="86" w:name="_Toc16938530"/>
      <w:r/>
      <w:bookmarkStart w:id="87" w:name="_Toc20823286"/>
      <w:r/>
      <w:bookmarkStart w:id="88" w:name="_Toc513029214"/>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89" w:name="_Toc20823287"/>
      <w:r/>
      <w:bookmarkStart w:id="90" w:name="_Toc16938531"/>
      <w:r/>
      <w:bookmarkStart w:id="91" w:name="_Toc513029215"/>
      <w:r/>
      <w:bookmarkStart w:id="92" w:name="_Toc462564074"/>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883"/>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93" w:name="_Hlt26954838"/>
      <w:r/>
      <w:bookmarkEnd w:id="93"/>
      <w:r/>
      <w:bookmarkStart w:id="94" w:name="_Hlt26670360"/>
      <w:r/>
      <w:bookmarkEnd w:id="94"/>
      <w:r/>
      <w:bookmarkStart w:id="95" w:name="_Hlt26668975"/>
      <w:r/>
      <w:bookmarkEnd w:id="95"/>
      <w:r/>
      <w:bookmarkStart w:id="96" w:name="_Toc14577357"/>
      <w:r/>
      <w:bookmarkStart w:id="97" w:name="_Toc49090509"/>
      <w:r/>
      <w:bookmarkStart w:id="98" w:name="_Toc513029219"/>
      <w:r/>
      <w:bookmarkStart w:id="99" w:name="_Toc49090507"/>
      <w:r/>
      <w:bookmarkStart w:id="100" w:name="_Toc14577354"/>
      <w:r/>
      <w:bookmarkStart w:id="101" w:name="_Toc513029216"/>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883"/>
        <w:ind w:firstLine="480"/>
        <w:spacing w:line="500" w:lineRule="exact"/>
        <w:rPr>
          <w:rFonts w:hint="eastAsia" w:ascii="宋体" w:hAnsi="宋体"/>
          <w:bCs/>
          <w:sz w:val="24"/>
        </w:rPr>
      </w:pPr>
      <w:r/>
      <w:bookmarkEnd w:id="99"/>
      <w:r/>
      <w:bookmarkEnd w:id="100"/>
      <w:r/>
      <w:bookmarkEnd w:id="101"/>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rPr>
          <w:rFonts w:hint="eastAsia" w:ascii="宋体" w:hAnsi="宋体"/>
          <w:bCs/>
          <w:sz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883"/>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887"/>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bookmarkStart w:id="108" w:name="_Hlt26670403"/>
      <w:r/>
      <w:bookmarkEnd w:id="108"/>
      <w:r/>
      <w:bookmarkStart w:id="109" w:name="_Hlt26670486"/>
      <w:r/>
      <w:bookmarkEnd w:id="109"/>
      <w:r/>
      <w:bookmarkStart w:id="110" w:name="_Hlt26954848"/>
      <w:r/>
      <w:bookmarkEnd w:id="110"/>
      <w:r/>
      <w:bookmarkStart w:id="111" w:name="_Hlt26670482"/>
      <w:r/>
      <w:bookmarkEnd w:id="111"/>
      <w:r/>
      <w:bookmarkStart w:id="112" w:name="_Hlt26954846"/>
      <w:r/>
      <w:bookmarkEnd w:id="112"/>
      <w:r/>
      <w:bookmarkStart w:id="113" w:name="_Hlt26954731"/>
      <w:r/>
      <w:bookmarkEnd w:id="113"/>
      <w:r/>
      <w:bookmarkStart w:id="114" w:name="_Hlt26954844"/>
      <w:r/>
      <w:bookmarkEnd w:id="114"/>
      <w:r/>
      <w:bookmarkStart w:id="115" w:name="_Hlt26954842"/>
      <w:r/>
      <w:bookmarkEnd w:id="115"/>
      <w:r/>
      <w:bookmarkStart w:id="116" w:name="_Hlt26668983"/>
      <w:r/>
      <w:bookmarkEnd w:id="116"/>
      <w:r/>
      <w:bookmarkStart w:id="117" w:name="_Hlt26670425"/>
      <w:r/>
      <w:bookmarkEnd w:id="117"/>
      <w:r>
        <w:rPr>
          <w:rFonts w:hint="eastAsia" w:ascii="宋体" w:hAnsi="宋体" w:eastAsia="宋体"/>
          <w:bCs w:val="0"/>
        </w:rPr>
        <w:t xml:space="preserve">14.投标偏离表</w:t>
      </w:r>
      <w:r>
        <w:rPr>
          <w:rFonts w:hint="eastAsia" w:ascii="宋体" w:hAnsi="宋体" w:eastAsia="宋体"/>
          <w:bCs w:val="0"/>
        </w:rPr>
      </w:r>
      <w:r/>
    </w:p>
    <w:p>
      <w:pPr>
        <w:pStyle w:val="883"/>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887"/>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954850"/>
      <w:r/>
      <w:bookmarkEnd w:id="119"/>
      <w:r/>
      <w:bookmarkStart w:id="120" w:name="_Hlt26670489"/>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86"/>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20823296"/>
      <w:r/>
      <w:bookmarkStart w:id="126" w:name="_Toc513029224"/>
      <w:r/>
      <w:bookmarkStart w:id="127" w:name="_Toc120614217"/>
      <w:r/>
      <w:bookmarkStart w:id="128" w:name="_Toc16938540"/>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129" w:name="_Toc513029225"/>
      <w:r/>
      <w:bookmarkStart w:id="130" w:name="_Toc462564084"/>
      <w:r/>
      <w:bookmarkStart w:id="131" w:name="_Toc20823297"/>
      <w:r/>
      <w:bookmarkStart w:id="132" w:name="_Toc16938541"/>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995"/>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20823298"/>
      <w:r/>
      <w:bookmarkStart w:id="135" w:name="_Toc16938542"/>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bookmarkStart w:id="136" w:name="_Toc513029227"/>
      <w:r/>
      <w:bookmarkStart w:id="137" w:name="_Toc16938543"/>
      <w:r/>
      <w:bookmarkStart w:id="138" w:name="_Toc20823299"/>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bookmarkStart w:id="139" w:name="_Toc16938544"/>
      <w:r/>
      <w:bookmarkStart w:id="140" w:name="_Toc20823300"/>
      <w:r/>
      <w:bookmarkStart w:id="141" w:name="_Toc513029228"/>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883"/>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883"/>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886"/>
        <w:ind w:firstLine="452"/>
        <w:keepLines w:val="0"/>
        <w:keepNext w:val="0"/>
        <w:spacing w:before="0" w:after="0" w:line="500" w:lineRule="exact"/>
        <w:rPr>
          <w:rFonts w:hint="eastAsia"/>
          <w:sz w:val="30"/>
          <w:szCs w:val="30"/>
        </w:rPr>
      </w:pPr>
      <w:r/>
      <w:bookmarkStart w:id="142" w:name="_Toc513029229"/>
      <w:r/>
      <w:bookmarkStart w:id="143" w:name="_Toc20823301"/>
      <w:r/>
      <w:bookmarkStart w:id="144" w:name="_Toc120614218"/>
      <w:r/>
      <w:bookmarkStart w:id="145" w:name="_Toc16938545"/>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146" w:name="_Toc16938546"/>
      <w:r/>
      <w:bookmarkStart w:id="147" w:name="_Toc513029230"/>
      <w:r/>
      <w:bookmarkStart w:id="148" w:name="_Toc20823302"/>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883"/>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883"/>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883"/>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149" w:name="_Toc16938547"/>
      <w:r/>
      <w:bookmarkStart w:id="150" w:name="_Toc513029231"/>
      <w:r/>
      <w:bookmarkStart w:id="151" w:name="_Toc20823303"/>
      <w:r>
        <w:rPr>
          <w:rFonts w:hint="eastAsia" w:ascii="宋体" w:hAnsi="宋体" w:eastAsia="宋体"/>
          <w:bCs w:val="0"/>
        </w:rPr>
        <w:t xml:space="preserve">22.评标委员会</w:t>
      </w:r>
      <w:r>
        <w:rPr>
          <w:rFonts w:hint="eastAsia" w:ascii="宋体" w:hAnsi="宋体" w:eastAsia="宋体"/>
          <w:bCs w:val="0"/>
        </w:rPr>
      </w:r>
      <w:r/>
    </w:p>
    <w:p>
      <w:pPr>
        <w:pStyle w:val="883"/>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22.3评委会独立工作，负责评审所有投标文件并确定中标候选人。</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883"/>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883"/>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883"/>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887"/>
        <w:ind w:firstLine="422"/>
        <w:keepLines w:val="0"/>
        <w:keepNext w:val="0"/>
        <w:spacing w:before="0" w:after="0" w:line="500" w:lineRule="exact"/>
        <w:rPr>
          <w:rFonts w:hint="eastAsia" w:ascii="宋体" w:hAnsi="宋体" w:eastAsia="宋体"/>
          <w:bCs w:val="0"/>
        </w:rPr>
      </w:pPr>
      <w:r/>
      <w:bookmarkStart w:id="152" w:name="_Toc20823304"/>
      <w:r/>
      <w:bookmarkStart w:id="153" w:name="_Toc16938548"/>
      <w:r/>
      <w:bookmarkStart w:id="154" w:name="_Toc513029232"/>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883"/>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bookmarkStart w:id="155" w:name="_Toc20823305"/>
      <w:r/>
      <w:bookmarkStart w:id="156" w:name="_Toc16938549"/>
      <w:r/>
      <w:bookmarkStart w:id="157" w:name="_Toc513029233"/>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883"/>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83"/>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83"/>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883"/>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83"/>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3"/>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3"/>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83"/>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883"/>
        <w:ind w:firstLine="420"/>
        <w:spacing w:line="500" w:lineRule="exact"/>
        <w:rPr>
          <w:rFonts w:hint="eastAsia" w:ascii="宋体" w:hAnsi="宋体"/>
          <w:sz w:val="24"/>
        </w:rPr>
      </w:pPr>
      <w:r/>
      <w:bookmarkStart w:id="158" w:name="_Toc513029234"/>
      <w:r/>
      <w:bookmarkStart w:id="159" w:name="_Toc16938550"/>
      <w:r/>
      <w:bookmarkStart w:id="160" w:name="_Toc20823306"/>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rPr>
          <w:rFonts w:hint="eastAsia" w:ascii="宋体" w:hAnsi="宋体" w:eastAsia="宋体"/>
          <w:bCs w:val="0"/>
        </w:rPr>
      </w:r>
      <w:r/>
    </w:p>
    <w:p>
      <w:pPr>
        <w:pStyle w:val="883"/>
        <w:ind w:left="479"/>
        <w:spacing w:line="500" w:lineRule="exact"/>
        <w:rPr>
          <w:rFonts w:hint="eastAsia" w:ascii="宋体" w:hAnsi="宋体"/>
          <w:bCs/>
          <w:sz w:val="24"/>
        </w:rPr>
      </w:pPr>
      <w:r/>
      <w:bookmarkStart w:id="161" w:name="_Toc513029235"/>
      <w:r/>
      <w:bookmarkStart w:id="162" w:name="_Toc20823307"/>
      <w:r/>
      <w:bookmarkStart w:id="163" w:name="_Toc16938551"/>
      <w:r>
        <w:rPr>
          <w:rFonts w:hint="eastAsia" w:ascii="宋体" w:hAnsi="宋体"/>
          <w:bCs/>
          <w:sz w:val="24"/>
        </w:rPr>
        <w:t xml:space="preserve">26.1无效投标条款</w:t>
      </w:r>
      <w:r>
        <w:rPr>
          <w:rFonts w:hint="eastAsia" w:ascii="宋体" w:hAnsi="宋体"/>
          <w:bCs/>
          <w:sz w:val="24"/>
        </w:rPr>
      </w:r>
      <w:r/>
    </w:p>
    <w:p>
      <w:pPr>
        <w:pStyle w:val="883"/>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883"/>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883"/>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883"/>
        <w:ind w:firstLine="480"/>
        <w:spacing w:line="500" w:lineRule="exact"/>
        <w:rPr>
          <w:rFonts w:hint="eastAsia" w:ascii="宋体" w:hAnsi="宋体"/>
          <w:bCs/>
          <w:sz w:val="24"/>
          <w:shd w:val="clear" w:color="ffffff" w:fill="d9d9d9"/>
        </w:rPr>
      </w:pPr>
      <w:r>
        <w:rPr>
          <w:rFonts w:hint="eastAsia" w:ascii="宋体" w:hAnsi="宋体"/>
          <w:bCs/>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sz w:val="24"/>
        </w:rPr>
        <w:t xml:space="preserve">通过</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在评标现场</w:t>
      </w:r>
      <w:r>
        <w:rPr>
          <w:rFonts w:hint="eastAsia" w:ascii="宋体" w:hAnsi="宋体"/>
          <w:sz w:val="24"/>
          <w:szCs w:val="24"/>
        </w:rPr>
        <w:t xml:space="preserve">）在给定的</w:t>
      </w:r>
      <w:r>
        <w:rPr>
          <w:rFonts w:hint="eastAsia" w:ascii="宋体" w:hAnsi="宋体"/>
          <w:bCs/>
          <w:sz w:val="24"/>
          <w:szCs w:val="24"/>
        </w:rPr>
        <w:t xml:space="preserve">合理时间内提供说明（必要时评标委员会可要求投标人提交相关证明材料）证明其报价合理性的</w:t>
      </w:r>
      <w:r>
        <w:rPr>
          <w:rFonts w:hint="eastAsia" w:ascii="宋体" w:hAnsi="宋体"/>
          <w:bCs/>
          <w:sz w:val="24"/>
        </w:rPr>
        <w:t xml:space="preserve">，评标委员会应当将其作为无效投标处理。</w:t>
      </w:r>
      <w:r>
        <w:rPr>
          <w:rFonts w:hint="eastAsia" w:ascii="宋体" w:hAnsi="宋体"/>
          <w:bCs/>
          <w:sz w:val="24"/>
          <w:shd w:val="clear" w:color="ffffff" w:fill="d9d9d9"/>
        </w:rPr>
      </w:r>
      <w:r/>
    </w:p>
    <w:p>
      <w:pPr>
        <w:pStyle w:val="883"/>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26.1.24其他法律、法规及本招标文件规定的属无效投标的情形。</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883"/>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86"/>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883"/>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交易中心将在“无锡政府采购网”“江苏政府采购网”发布中标公告，公告期限为1个工作日。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883"/>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883"/>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883"/>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886"/>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16938552"/>
      <w:r/>
      <w:bookmarkStart w:id="172" w:name="_Toc513029236"/>
      <w:r>
        <w:rPr>
          <w:rFonts w:hint="eastAsia"/>
          <w:sz w:val="30"/>
          <w:szCs w:val="30"/>
        </w:rPr>
        <w:t xml:space="preserve">七、授予合同</w:t>
      </w:r>
      <w:bookmarkEnd w:id="169"/>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513029237"/>
      <w:r/>
      <w:bookmarkStart w:id="174" w:name="_Toc16938553"/>
      <w:r/>
      <w:bookmarkStart w:id="175" w:name="_Toc20823309"/>
      <w:r>
        <w:rPr>
          <w:rFonts w:hint="eastAsia" w:ascii="宋体" w:hAnsi="宋体" w:eastAsia="宋体"/>
          <w:bCs w:val="0"/>
        </w:rPr>
        <w:t xml:space="preserve">30.签订合同</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883"/>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897"/>
        <w:jc w:val="center"/>
        <w:spacing w:line="500" w:lineRule="exact"/>
        <w:rPr>
          <w:rFonts w:hint="eastAsia" w:ascii="黑体" w:eastAsia="黑体"/>
          <w:bCs/>
          <w:sz w:val="36"/>
          <w:szCs w:val="36"/>
        </w:rPr>
      </w:pPr>
      <w:r/>
      <w:bookmarkEnd w:id="173"/>
      <w:r/>
      <w:bookmarkEnd w:id="174"/>
      <w:r/>
      <w:bookmarkEnd w:id="175"/>
      <w:r/>
      <w:bookmarkStart w:id="176" w:name="_Toc16938558"/>
      <w:r/>
      <w:bookmarkStart w:id="177" w:name="_Toc513029242"/>
      <w:r/>
      <w:bookmarkStart w:id="178" w:name="_Toc479757207"/>
      <w:r/>
      <w:bookmarkStart w:id="179" w:name="_Toc120614221"/>
      <w:r/>
      <w:bookmarkStart w:id="180" w:name="_Toc20823314"/>
      <w:r>
        <w:rPr>
          <w:rFonts w:ascii="宋体" w:hAnsi="宋体"/>
          <w:bCs/>
          <w:sz w:val="24"/>
          <w:shd w:val="clear" w:color="ffffff" w:fill="d9d9d9"/>
        </w:rPr>
        <w:br w:type="page" w:clear="all"/>
      </w:r>
      <w:r>
        <w:rPr>
          <w:rFonts w:hint="eastAsia" w:ascii="黑体" w:eastAsia="黑体"/>
          <w:bCs/>
          <w:sz w:val="36"/>
          <w:szCs w:val="36"/>
        </w:rPr>
        <w:t xml:space="preserve">第三章  合同</w:t>
      </w:r>
      <w:bookmarkEnd w:id="176"/>
      <w:r/>
      <w:bookmarkEnd w:id="177"/>
      <w:r/>
      <w:bookmarkEnd w:id="178"/>
      <w:r/>
      <w:bookmarkEnd w:id="179"/>
      <w:r/>
      <w:bookmarkEnd w:id="180"/>
      <w:r>
        <w:rPr>
          <w:rFonts w:hint="eastAsia" w:ascii="黑体" w:eastAsia="黑体"/>
          <w:bCs/>
          <w:sz w:val="36"/>
          <w:szCs w:val="36"/>
        </w:rPr>
        <w:t xml:space="preserve">文本</w:t>
      </w:r>
      <w:r>
        <w:rPr>
          <w:rFonts w:hint="eastAsia" w:ascii="黑体" w:eastAsia="黑体"/>
          <w:bCs/>
          <w:sz w:val="36"/>
          <w:szCs w:val="36"/>
        </w:rPr>
      </w:r>
      <w:r/>
    </w:p>
    <w:p>
      <w:pPr>
        <w:pStyle w:val="883"/>
        <w:ind w:firstLine="480"/>
        <w:spacing w:line="400" w:lineRule="exact"/>
        <w:rPr>
          <w:rFonts w:hint="eastAsia" w:ascii="宋体" w:hAnsi="宋体"/>
          <w:bCs/>
          <w:sz w:val="24"/>
        </w:rPr>
      </w:pPr>
      <w:r/>
      <w:bookmarkStart w:id="181" w:name="_Toc513029243"/>
      <w:r/>
      <w:bookmarkStart w:id="182" w:name="_Toc16938559"/>
      <w:r/>
      <w:bookmarkStart w:id="183" w:name="_Toc20823315"/>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883"/>
        <w:jc w:val="center"/>
        <w:spacing w:line="400" w:lineRule="exact"/>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rPr>
          <w:rFonts w:ascii="宋体" w:hAnsi="宋体"/>
          <w:b/>
          <w:bCs/>
          <w:color w:val="000000"/>
          <w:sz w:val="30"/>
          <w:szCs w:val="20"/>
        </w:rPr>
      </w:r>
      <w:r/>
    </w:p>
    <w:p>
      <w:pPr>
        <w:pStyle w:val="921"/>
        <w:spacing w:line="400" w:lineRule="exact"/>
        <w:rPr>
          <w:rFonts w:hAnsi="宋体"/>
          <w:sz w:val="24"/>
          <w:szCs w:val="24"/>
        </w:rPr>
      </w:pPr>
      <w:r>
        <w:rPr>
          <w:rFonts w:hAnsi="宋体"/>
          <w:sz w:val="24"/>
          <w:szCs w:val="24"/>
        </w:rPr>
        <w:t xml:space="preserve">项目名称：                                       项目编号：</w:t>
      </w:r>
      <w:r>
        <w:rPr>
          <w:rFonts w:hAnsi="宋体"/>
          <w:sz w:val="24"/>
          <w:szCs w:val="24"/>
        </w:rPr>
      </w:r>
      <w:r/>
    </w:p>
    <w:p>
      <w:pPr>
        <w:pStyle w:val="921"/>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921"/>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921"/>
        <w:ind w:firstLine="480"/>
        <w:spacing w:line="400" w:lineRule="exact"/>
        <w:rPr>
          <w:rFonts w:hAnsi="宋体"/>
          <w:b/>
          <w:sz w:val="24"/>
          <w:szCs w:val="24"/>
        </w:rPr>
      </w:pPr>
      <w:r>
        <w:rPr>
          <w:rFonts w:hAnsi="宋体"/>
          <w:sz w:val="24"/>
          <w:szCs w:val="24"/>
        </w:rPr>
        <w:t xml:space="preserve">甲、乙双方根据</w:t>
      </w:r>
      <w:r>
        <w:rPr>
          <w:rFonts w:hint="eastAsia" w:hAnsi="宋体"/>
          <w:sz w:val="24"/>
          <w:szCs w:val="24"/>
        </w:rPr>
        <w:t xml:space="preserve">无锡市公共资源交易中心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21"/>
        <w:ind w:firstLine="482"/>
        <w:spacing w:line="40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21"/>
        <w:ind w:firstLine="480"/>
        <w:spacing w:line="40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921"/>
        <w:ind w:firstLine="480"/>
        <w:spacing w:line="40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921"/>
        <w:ind w:firstLine="480"/>
        <w:spacing w:line="400" w:lineRule="exact"/>
        <w:rPr>
          <w:rFonts w:hAnsi="宋体"/>
          <w:sz w:val="24"/>
          <w:szCs w:val="24"/>
        </w:rPr>
      </w:pPr>
      <w:r>
        <w:rPr>
          <w:rFonts w:hint="eastAsia" w:hAnsi="宋体"/>
          <w:sz w:val="24"/>
          <w:szCs w:val="24"/>
        </w:rPr>
        <w:t xml:space="preserve">1.5 履行地点：</w:t>
      </w:r>
      <w:r>
        <w:rPr>
          <w:rFonts w:hAnsi="宋体"/>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21"/>
        <w:ind w:firstLine="482"/>
        <w:spacing w:line="400" w:lineRule="exact"/>
        <w:rPr>
          <w:rFonts w:hAnsi="宋体"/>
          <w:b/>
          <w:sz w:val="24"/>
          <w:szCs w:val="24"/>
        </w:rPr>
      </w:pPr>
      <w:r>
        <w:rPr>
          <w:rFonts w:hAnsi="宋体"/>
          <w:b/>
          <w:sz w:val="24"/>
          <w:szCs w:val="24"/>
        </w:rPr>
        <w:t xml:space="preserve">二、合同金额</w:t>
      </w:r>
      <w:r>
        <w:rPr>
          <w:rFonts w:hAnsi="宋体"/>
          <w:b/>
          <w:sz w:val="24"/>
          <w:szCs w:val="24"/>
        </w:rPr>
      </w:r>
      <w:r/>
    </w:p>
    <w:p>
      <w:pPr>
        <w:pStyle w:val="921"/>
        <w:ind w:firstLine="480"/>
        <w:spacing w:line="400" w:lineRule="exact"/>
        <w:rPr>
          <w:rFonts w:hAnsi="宋体"/>
          <w:sz w:val="24"/>
          <w:szCs w:val="24"/>
        </w:rPr>
      </w:pPr>
      <w:r>
        <w:rPr>
          <w:rFonts w:hAnsi="宋体"/>
          <w:sz w:val="24"/>
          <w:szCs w:val="24"/>
        </w:rPr>
        <w:t xml:space="preserve">2.1 本合同金额为（大写）： 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921"/>
        <w:ind w:firstLine="482"/>
        <w:spacing w:line="400" w:lineRule="exact"/>
        <w:rPr>
          <w:rFonts w:hAnsi="宋体"/>
          <w:b/>
          <w:sz w:val="24"/>
          <w:szCs w:val="24"/>
        </w:rPr>
      </w:pPr>
      <w:r>
        <w:rPr>
          <w:rFonts w:hAnsi="宋体"/>
          <w:b/>
          <w:sz w:val="24"/>
          <w:szCs w:val="24"/>
        </w:rPr>
        <w:t xml:space="preserve">三、技术资料</w:t>
      </w:r>
      <w:r>
        <w:rPr>
          <w:rFonts w:hAnsi="宋体"/>
          <w:b/>
          <w:sz w:val="24"/>
          <w:szCs w:val="24"/>
        </w:rPr>
      </w:r>
      <w:r/>
    </w:p>
    <w:p>
      <w:pPr>
        <w:pStyle w:val="921"/>
        <w:ind w:firstLine="480"/>
        <w:spacing w:line="400" w:lineRule="exact"/>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21"/>
        <w:ind w:firstLine="480"/>
        <w:spacing w:line="40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21"/>
        <w:ind w:firstLine="482"/>
        <w:spacing w:line="400" w:lineRule="exact"/>
        <w:rPr>
          <w:rFonts w:hAnsi="宋体"/>
          <w:b/>
          <w:sz w:val="24"/>
          <w:szCs w:val="24"/>
        </w:rPr>
      </w:pPr>
      <w:r>
        <w:rPr>
          <w:rFonts w:hAnsi="宋体"/>
          <w:b/>
          <w:sz w:val="24"/>
          <w:szCs w:val="24"/>
        </w:rPr>
        <w:t xml:space="preserve">四、知识产权</w:t>
      </w:r>
      <w:r>
        <w:rPr>
          <w:rFonts w:hAnsi="宋体"/>
          <w:b/>
          <w:sz w:val="24"/>
          <w:szCs w:val="24"/>
        </w:rPr>
      </w:r>
      <w:r/>
    </w:p>
    <w:p>
      <w:pPr>
        <w:pStyle w:val="921"/>
        <w:ind w:firstLine="480"/>
        <w:spacing w:line="400" w:lineRule="exact"/>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921"/>
        <w:spacing w:line="400" w:lineRule="exact"/>
        <w:rPr>
          <w:rFonts w:hint="eastAsia" w:hAnsi="宋体"/>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rPr>
          <w:rFonts w:hint="eastAsia" w:hAnsi="宋体"/>
          <w:sz w:val="24"/>
          <w:szCs w:val="24"/>
        </w:rPr>
      </w:r>
      <w:r/>
    </w:p>
    <w:p>
      <w:pPr>
        <w:pStyle w:val="921"/>
        <w:ind w:firstLine="482"/>
        <w:spacing w:line="400" w:lineRule="exact"/>
        <w:rPr>
          <w:rFonts w:hAnsi="宋体"/>
          <w:sz w:val="24"/>
          <w:szCs w:val="24"/>
          <w:u w:val="single"/>
        </w:rPr>
      </w:pPr>
      <w:r>
        <w:rPr>
          <w:rFonts w:hAnsi="宋体"/>
          <w:b/>
          <w:sz w:val="24"/>
          <w:szCs w:val="24"/>
        </w:rPr>
        <w:t xml:space="preserve">五、产权担保</w:t>
      </w:r>
      <w:r>
        <w:rPr>
          <w:rFonts w:hAnsi="宋体"/>
          <w:sz w:val="24"/>
          <w:szCs w:val="24"/>
          <w:u w:val="single"/>
        </w:rPr>
      </w:r>
      <w:r/>
    </w:p>
    <w:p>
      <w:pPr>
        <w:pStyle w:val="921"/>
        <w:ind w:firstLine="480"/>
        <w:spacing w:line="40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21"/>
        <w:ind w:firstLine="482"/>
        <w:spacing w:line="400" w:lineRule="exact"/>
        <w:rPr>
          <w:rFonts w:hAnsi="宋体"/>
          <w:b/>
          <w:sz w:val="24"/>
          <w:szCs w:val="24"/>
        </w:rPr>
      </w:pPr>
      <w:r>
        <w:rPr>
          <w:rFonts w:hAnsi="宋体"/>
          <w:b/>
          <w:sz w:val="24"/>
          <w:szCs w:val="24"/>
        </w:rPr>
        <w:t xml:space="preserve">六、履约保证金</w:t>
      </w:r>
      <w:r>
        <w:rPr>
          <w:rFonts w:hAnsi="宋体"/>
          <w:b/>
          <w:sz w:val="24"/>
          <w:szCs w:val="24"/>
        </w:rPr>
      </w:r>
      <w:r/>
    </w:p>
    <w:p>
      <w:pPr>
        <w:pStyle w:val="921"/>
        <w:ind w:firstLine="480"/>
        <w:spacing w:line="400" w:lineRule="exact"/>
        <w:rPr>
          <w:rFonts w:hint="eastAsia" w:hAnsi="宋体"/>
          <w:sz w:val="24"/>
          <w:szCs w:val="24"/>
        </w:rPr>
      </w:pPr>
      <w:r>
        <w:rPr>
          <w:rFonts w:hAnsi="宋体"/>
          <w:sz w:val="24"/>
          <w:szCs w:val="24"/>
        </w:rPr>
        <w:t xml:space="preserve">6.1 乙方交纳人民币__元作为本合同的履约保证金。</w:t>
      </w:r>
      <w:r>
        <w:rPr>
          <w:rFonts w:hint="eastAsia" w:hAnsi="宋体"/>
          <w:sz w:val="24"/>
          <w:szCs w:val="24"/>
        </w:rPr>
        <w:t xml:space="preserve">（不得超过合同金额的10%）</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6.2.1履约保证金退还方式：</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6.2.2履约保证金退还时间：</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6.2.3履约保证金退还条件：</w:t>
      </w:r>
      <w:r>
        <w:rPr>
          <w:rFonts w:hint="eastAsia" w:hAnsi="宋体"/>
          <w:sz w:val="24"/>
          <w:szCs w:val="24"/>
        </w:rPr>
      </w:r>
      <w:r/>
    </w:p>
    <w:p>
      <w:pPr>
        <w:pStyle w:val="921"/>
        <w:ind w:firstLine="480"/>
        <w:spacing w:line="400" w:lineRule="exact"/>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883"/>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83"/>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83"/>
        <w:ind w:firstLine="480"/>
        <w:spacing w:line="400" w:lineRule="exact"/>
        <w:rPr>
          <w:rFonts w:hint="eastAsia" w:ascii="宋体" w:hAnsi="宋体"/>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sz w:val="24"/>
          <w:szCs w:val="24"/>
        </w:rPr>
      </w:r>
      <w:r/>
    </w:p>
    <w:p>
      <w:pPr>
        <w:pStyle w:val="883"/>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21"/>
        <w:ind w:firstLine="482"/>
        <w:spacing w:line="40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921"/>
        <w:ind w:firstLine="480"/>
        <w:spacing w:line="400" w:lineRule="exact"/>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rPr>
          <w:rFonts w:hint="eastAsia" w:hAnsi="宋体"/>
          <w:bCs/>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8.1.1 预付款支付时间：合同签订后</w:t>
      </w:r>
      <w:r>
        <w:rPr>
          <w:rFonts w:hint="eastAsia" w:hAnsi="宋体"/>
          <w:sz w:val="24"/>
          <w:szCs w:val="24"/>
          <w:u w:val="single"/>
        </w:rPr>
        <w:t xml:space="preserve">  </w:t>
      </w:r>
      <w:r>
        <w:rPr>
          <w:rFonts w:hint="eastAsia" w:hAnsi="宋体"/>
          <w:sz w:val="24"/>
          <w:szCs w:val="24"/>
        </w:rPr>
        <w:t xml:space="preserve">日内，预付款支付比例：合同金额的</w:t>
      </w:r>
      <w:r>
        <w:rPr>
          <w:rFonts w:hint="eastAsia" w:hAnsi="宋体"/>
          <w:sz w:val="24"/>
          <w:szCs w:val="24"/>
          <w:u w:val="single"/>
        </w:rPr>
        <w:t xml:space="preserve">  </w:t>
      </w:r>
      <w:r>
        <w:rPr>
          <w:rFonts w:hint="eastAsia" w:hAnsi="宋体"/>
          <w:sz w:val="24"/>
          <w:szCs w:val="24"/>
        </w:rPr>
        <w:t xml:space="preserve">%。</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8.1.2 尾款支付时间：服务结束并验收合格,采购人收到发票后</w:t>
      </w:r>
      <w:r>
        <w:rPr>
          <w:rFonts w:hint="eastAsia" w:hAnsi="宋体"/>
          <w:sz w:val="24"/>
          <w:szCs w:val="24"/>
          <w:lang w:eastAsia="zh-CN"/>
        </w:rPr>
        <w:t xml:space="preserve">10个工作日</w:t>
      </w:r>
      <w:r>
        <w:rPr>
          <w:rFonts w:hint="eastAsia" w:hAnsi="宋体"/>
          <w:sz w:val="24"/>
          <w:szCs w:val="24"/>
        </w:rPr>
        <w:t xml:space="preserve">内，尾款支付比例：合同金额的</w:t>
      </w:r>
      <w:r>
        <w:rPr>
          <w:rFonts w:hint="eastAsia" w:hAnsi="宋体"/>
          <w:sz w:val="24"/>
          <w:szCs w:val="24"/>
          <w:u w:val="single"/>
        </w:rPr>
        <w:t xml:space="preserve">  </w:t>
      </w:r>
      <w:r>
        <w:rPr>
          <w:rFonts w:hint="eastAsia" w:hAnsi="宋体"/>
          <w:sz w:val="24"/>
          <w:szCs w:val="24"/>
        </w:rPr>
        <w:t xml:space="preserve">%。</w:t>
      </w:r>
      <w:r>
        <w:rPr>
          <w:rFonts w:hint="eastAsia" w:hAnsi="宋体"/>
          <w:sz w:val="24"/>
          <w:szCs w:val="24"/>
        </w:rPr>
      </w:r>
      <w:r/>
    </w:p>
    <w:p>
      <w:pPr>
        <w:pStyle w:val="921"/>
        <w:spacing w:line="400" w:lineRule="exact"/>
        <w:rPr>
          <w:rFonts w:hint="eastAsia" w:hAnsi="宋体"/>
          <w:bCs/>
          <w:sz w:val="24"/>
          <w:szCs w:val="24"/>
        </w:rPr>
      </w:pPr>
      <w:r>
        <w:rPr>
          <w:rFonts w:hint="eastAsia" w:hAnsi="宋体"/>
          <w:bCs/>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hint="eastAsia" w:hAnsi="宋体"/>
          <w:bCs/>
          <w:sz w:val="24"/>
          <w:szCs w:val="24"/>
        </w:rPr>
      </w:r>
      <w:r/>
    </w:p>
    <w:p>
      <w:pPr>
        <w:pStyle w:val="883"/>
        <w:ind w:firstLine="482"/>
        <w:spacing w:line="400" w:lineRule="exact"/>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83"/>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21"/>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hAnsi="宋体"/>
          <w:sz w:val="24"/>
          <w:szCs w:val="24"/>
        </w:rPr>
      </w:r>
      <w:r/>
    </w:p>
    <w:p>
      <w:pPr>
        <w:pStyle w:val="921"/>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21"/>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921"/>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921"/>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《中华人民共和国民法典》、《中华人民共和国政府采购法》</w:t>
      </w:r>
      <w:r>
        <w:rPr>
          <w:rFonts w:hAnsi="宋体"/>
          <w:sz w:val="24"/>
          <w:szCs w:val="24"/>
        </w:rPr>
        <w:t xml:space="preserve">有关条文执行。</w:t>
      </w:r>
      <w:r>
        <w:rPr>
          <w:rFonts w:hAnsi="宋体"/>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921"/>
        <w:ind w:left="480" w:hanging="480"/>
        <w:spacing w:line="400" w:lineRule="exact"/>
        <w:rPr>
          <w:rFonts w:hAnsi="宋体"/>
          <w:sz w:val="24"/>
          <w:szCs w:val="24"/>
        </w:rPr>
      </w:pPr>
      <w:r>
        <w:rPr>
          <w:rFonts w:hAnsi="宋体"/>
          <w:sz w:val="24"/>
          <w:szCs w:val="24"/>
        </w:rPr>
        <w:t xml:space="preserve">  甲方：                        乙方： </w:t>
      </w:r>
      <w:r>
        <w:rPr>
          <w:rFonts w:hAnsi="宋体"/>
          <w:sz w:val="24"/>
          <w:szCs w:val="24"/>
        </w:rPr>
      </w:r>
      <w:r/>
    </w:p>
    <w:p>
      <w:pPr>
        <w:pStyle w:val="921"/>
        <w:spacing w:line="40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21"/>
        <w:spacing w:line="40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21"/>
        <w:ind w:firstLine="240"/>
        <w:spacing w:line="400" w:lineRule="exact"/>
        <w:rPr>
          <w:rFonts w:hint="eastAsia"/>
        </w:rPr>
      </w:pPr>
      <w:r>
        <w:rPr>
          <w:rFonts w:hint="eastAsia" w:hAnsi="宋体"/>
          <w:sz w:val="24"/>
          <w:szCs w:val="24"/>
        </w:rPr>
        <w:t xml:space="preserve">联系电话：                    联系电话：          </w:t>
      </w:r>
      <w:r>
        <w:rPr>
          <w:rFonts w:hint="eastAsia"/>
        </w:rPr>
      </w:r>
      <w:r/>
    </w:p>
    <w:p>
      <w:pPr>
        <w:pStyle w:val="883"/>
        <w:ind w:firstLine="480"/>
        <w:spacing w:line="400" w:lineRule="exact"/>
        <w:rPr>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rPr>
          <w:sz w:val="24"/>
          <w:szCs w:val="24"/>
        </w:rPr>
      </w:r>
      <w:r/>
    </w:p>
    <w:p>
      <w:pPr>
        <w:pStyle w:val="883"/>
        <w:ind w:firstLine="480"/>
        <w:jc w:val="center"/>
        <w:spacing w:line="288" w:lineRule="auto"/>
        <w:rPr>
          <w:rFonts w:hint="eastAsia" w:hAnsi="宋体"/>
          <w:sz w:val="36"/>
          <w:szCs w:val="36"/>
        </w:rPr>
      </w:pPr>
      <w:r>
        <w:rPr>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62564139"/>
      <w:r/>
      <w:bookmarkStart w:id="190" w:name="_Toc479757211"/>
      <w:r>
        <w:rPr>
          <w:rFonts w:hint="eastAsia" w:ascii="黑体" w:eastAsia="黑体"/>
          <w:bCs/>
          <w:sz w:val="36"/>
          <w:szCs w:val="36"/>
        </w:rPr>
        <w:t xml:space="preserve">第</w:t>
      </w:r>
      <w:bookmarkEnd w:id="185"/>
      <w:r>
        <w:rPr>
          <w:rFonts w:hint="eastAsia" w:ascii="黑体" w:eastAsia="黑体"/>
          <w:bCs/>
          <w:sz w:val="36"/>
          <w:szCs w:val="36"/>
        </w:rPr>
        <w:t xml:space="preserve">四章 采购需求</w:t>
      </w:r>
      <w:bookmarkEnd w:id="186"/>
      <w:r/>
      <w:bookmarkEnd w:id="187"/>
      <w:r/>
      <w:bookmarkEnd w:id="188"/>
      <w:r>
        <w:rPr>
          <w:rFonts w:hint="eastAsia" w:hAnsi="宋体"/>
          <w:sz w:val="36"/>
          <w:szCs w:val="36"/>
        </w:rPr>
      </w:r>
      <w:r/>
    </w:p>
    <w:p>
      <w:pPr>
        <w:pStyle w:val="883"/>
        <w:ind w:firstLine="600"/>
        <w:jc w:val="left"/>
        <w:spacing w:line="360" w:lineRule="auto"/>
        <w:rPr>
          <w:rFonts w:hint="eastAsia" w:ascii="黑体" w:hAnsi="黑体" w:eastAsia="黑体"/>
          <w:color w:val="000000"/>
          <w:sz w:val="30"/>
          <w:szCs w:val="30"/>
        </w:rPr>
      </w:pPr>
      <w:r/>
      <w:bookmarkStart w:id="191" w:name="_Toc26554093"/>
      <w:r/>
      <w:bookmarkStart w:id="192" w:name="_Toc49090575"/>
      <w:r>
        <w:rPr>
          <w:rFonts w:hint="eastAsia" w:ascii="黑体" w:hAnsi="黑体" w:eastAsia="黑体"/>
          <w:color w:val="000000"/>
          <w:sz w:val="30"/>
          <w:szCs w:val="30"/>
        </w:rPr>
        <w:t xml:space="preserve">本项目属性：服务类项目</w:t>
      </w:r>
      <w:r>
        <w:rPr>
          <w:rFonts w:hint="eastAsia" w:ascii="黑体" w:hAnsi="黑体" w:eastAsia="黑体"/>
          <w:color w:val="000000"/>
          <w:sz w:val="30"/>
          <w:szCs w:val="30"/>
        </w:rPr>
      </w:r>
      <w:r/>
    </w:p>
    <w:p>
      <w:pPr>
        <w:pStyle w:val="883"/>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hint="eastAsia" w:ascii="宋体" w:hAnsi="宋体"/>
          <w:color w:val="000000"/>
          <w:sz w:val="24"/>
          <w:szCs w:val="24"/>
        </w:rPr>
      </w:r>
      <w:r/>
    </w:p>
    <w:p>
      <w:pPr>
        <w:pStyle w:val="88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本项目标的物所属行业：软件和信息技术服务业</w:t>
      </w:r>
      <w:r>
        <w:rPr>
          <w:rFonts w:hint="eastAsia" w:ascii="宋体" w:hAnsi="宋体"/>
          <w:bCs/>
          <w:color w:val="000000"/>
          <w:sz w:val="24"/>
          <w:szCs w:val="24"/>
        </w:rPr>
      </w:r>
      <w:r/>
    </w:p>
    <w:p>
      <w:pPr>
        <w:pStyle w:val="883"/>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rPr>
          <w:rFonts w:hint="eastAsia" w:ascii="宋体" w:hAnsi="宋体"/>
          <w:b/>
          <w:color w:val="000000"/>
          <w:sz w:val="30"/>
          <w:szCs w:val="30"/>
        </w:rPr>
      </w:r>
      <w:r/>
    </w:p>
    <w:p>
      <w:pPr>
        <w:pStyle w:val="883"/>
        <w:ind w:firstLine="562"/>
        <w:spacing w:line="360" w:lineRule="auto"/>
        <w:rPr>
          <w:rFonts w:ascii="宋体" w:hAnsi="宋体"/>
          <w:b/>
          <w:color w:val="000000"/>
          <w:sz w:val="28"/>
          <w:szCs w:val="22"/>
        </w:rPr>
        <w:outlineLvl w:val="0"/>
      </w:pPr>
      <w:r>
        <w:rPr>
          <w:rFonts w:hint="eastAsia" w:ascii="宋体" w:hAnsi="宋体"/>
          <w:b/>
          <w:color w:val="000000"/>
          <w:sz w:val="28"/>
          <w:szCs w:val="22"/>
        </w:rPr>
        <w:t xml:space="preserve">1.建设目标</w:t>
      </w:r>
      <w:r>
        <w:rPr>
          <w:rFonts w:ascii="宋体" w:hAnsi="宋体"/>
          <w:b/>
          <w:color w:val="000000"/>
          <w:sz w:val="28"/>
          <w:szCs w:val="22"/>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医院医疗服务整体提升融合项目的建设目标通常包括以下几个方面：</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(1)提升医疗服务的质量：该项目旨在通过引入先进的医疗技术和设备、改进医疗流程和标准化操作，提高医院的医疗服务质量。这包括提高医疗安全性、减少误诊率和手术风险、提高患者满意度等。</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(2)提高医疗资源的利用率：项目的目标是通过合理的资源配置和管理，提高医疗资源的利用效率。这包括优化医疗设备和设施的使用、合理调配医疗人员、改进排班系统等，以更好地满足患者的需求。</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(3)促进医患沟通与协作：该项目意在促进患者和医护人员之间的沟通与协作，提高患者与医生之间的互动和信任。可以通过引入在线预约、健康管理平台、医疗咨询服务等，加强患者与医疗团队之间的交流和合作。</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(4)强化信息化建设：该项目具有信息化建设的目标，包括电子病历、医院信息管理系统、远程医疗等。通过将医疗流程和数据数字化，可以提高医疗服务的效率、减少纸质文件的使用、改善数据管理和共享，提供更准确和便捷的医疗服务。</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(5)增强医疗服务的综合性：该项目追求将各种医疗服务综合在一起，提供更全面和科学的医疗服务。这可以包括综合门诊服务、预防保健、康复护理、心理健康支持等方面的提升，以满足不同患者的需求。</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(6)提升医院的科研能力：这个目标旨在加强医疗科研和创新能力，推动医院的学术发展和研究成果的转化。可以通过设立科研中心、建立科研基金、组织学术交流和培训等方式来实现。</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(7)加强医院的人员培训和发展：该目标追求医院人员的持续教育和专业发展，提高医务人员的技能水平和专业素养。可以通过开展培训课程、引进国际医学交流、加强师徒传承和职业发展规划等方式来实现。</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(8)推动医疗服务的国际化标准化：该项目目标是将医院的医疗服务标准与国际水平接轨，提高医疗服务的国际竞争力。可以通过引入国际认证体系、与国际医疗机构合作、接受国际医疗服务审核等方式来实现。</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(9)提升医院的品牌形象和声誉：该目标追求建立良好的医院品牌形象和声誉，通过优质的医疗服务吸引更多患者和合作伙伴。可以通过建立品牌推广和宣传策略、提供优质的服务体验、加强公共关系等方式来实现。</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总之，医院医疗服务整体提升融合项目的建设目标是多方面的，旨在数据应用安全的基础上提升医疗服务质量、优化资源利用、加强信息化建设、促进医患沟通和协作、提高科研能力、加强人员培训、推动国际化标准化、提升品牌形象和声誉，以及高效管理和合理控制成本。这些目标有助于医院提升综合竞争力和满足患者的需求。</w:t>
      </w:r>
      <w:r>
        <w:rPr>
          <w:rFonts w:hint="eastAsia" w:ascii="宋体" w:hAnsi="宋体" w:eastAsia="宋体" w:cs="宋体"/>
          <w:b w:val="0"/>
          <w:bCs w:val="0"/>
          <w:sz w:val="24"/>
          <w:szCs w:val="24"/>
          <w:lang w:eastAsia="zh-CN"/>
        </w:rPr>
      </w:r>
      <w:r/>
    </w:p>
    <w:p>
      <w:pPr>
        <w:pStyle w:val="883"/>
        <w:ind w:firstLine="562"/>
        <w:spacing w:line="360" w:lineRule="auto"/>
        <w:rPr>
          <w:rFonts w:hint="eastAsia" w:ascii="宋体" w:hAnsi="宋体" w:eastAsia="宋体" w:cs="Times New Roman"/>
          <w:b/>
          <w:color w:val="000000"/>
          <w:sz w:val="28"/>
          <w:szCs w:val="22"/>
        </w:rPr>
        <w:outlineLvl w:val="0"/>
      </w:pPr>
      <w:r>
        <w:rPr>
          <w:rFonts w:hint="eastAsia" w:ascii="宋体" w:hAnsi="宋体" w:eastAsia="宋体" w:cs="Times New Roman"/>
          <w:b/>
          <w:color w:val="000000"/>
          <w:sz w:val="28"/>
          <w:szCs w:val="22"/>
        </w:rPr>
        <w:t xml:space="preserve">2.建设内容</w:t>
      </w:r>
      <w:r>
        <w:rPr>
          <w:rFonts w:hint="eastAsia" w:ascii="宋体" w:hAnsi="宋体" w:eastAsia="宋体" w:cs="Times New Roman"/>
          <w:b/>
          <w:color w:val="000000"/>
          <w:sz w:val="28"/>
          <w:szCs w:val="22"/>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本次医疗服务提升项目包含两大核心平台的建设和提升：</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2.1急诊信息系统升级改造</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急诊信息系统主要应用于急诊区域，主要实现抢救患者的数据自动化采集、并配备了急诊专科护理表单进行电子记录。本次急诊信息系统升级，本次项目的内容主要包括以下几个部分：</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(1)新建急诊留观区护理信息系统，实现留观区床位监护设备的数据采集和床旁护理电子化记录。</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(2)急诊抢救护理信息系统升级，对接医院新版电子病历系统接口，包括获取急诊患者诊断信息、急诊医嘱信息、患者基本信息。</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(3)急诊预检分诊模块升级，新增成人、儿童分级知识库支持，新增发热门诊、肠道门诊分诊支持，对接卫健委统一的预检分级数据。</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(4)急诊抢救护理信息系统模块升级，增加交接班报表个性化定制，至少满足支持50个抢救床位的信息数据接入端口，并且支持数据展示和相关报表打印。</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(5)急诊设备数据采集升级，实现抢救区和EICU新增加的急诊设备数据对接存储，并应用到系统中。</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2.2患者移动服务平台整体优化</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本次医院患者移动服务平台整体优化，是医院在“互联网+医疗健康”便民惠民服务的纵向延伸，也是贯彻响应国家“互联网+医疗健康”的积极举措，聚焦人民群众看病就医“急难愁盼”问题，提升医院在疫情防控期间的抗风险能力，本次建设主要有以下目标：</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(1)推进“互联网+就医服务”升级，对标国家评级标准，继续优化患者就医流程，进一步提升患者就医体验，降低医院运营成本；</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(2)落实“互联网+健康管理”，创新服务模式，落实患者全生命周期的健康管理；</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(3)推进“互联网诊疗服务”，实现互联网医院与线下依托的实体机构之间的数据共享和业务协同，既要合理保留传统服务方式，也要实现线上诊疗便捷化；</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(4)建立院内院外、线上线下一体化的医疗服务流程，为智慧服务3级评级奠定建设基础。</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(5)优化业务逻辑，提升平台应用速度，提高医院服务满意度。</w:t>
      </w:r>
      <w:r>
        <w:rPr>
          <w:rFonts w:hint="eastAsia" w:ascii="宋体" w:hAnsi="宋体" w:eastAsia="宋体" w:cs="宋体"/>
          <w:b w:val="0"/>
          <w:bCs w:val="0"/>
          <w:sz w:val="24"/>
          <w:szCs w:val="24"/>
          <w:lang w:eastAsia="zh-CN"/>
        </w:rPr>
      </w:r>
      <w:r/>
    </w:p>
    <w:p>
      <w:pPr>
        <w:pStyle w:val="883"/>
        <w:ind w:firstLine="562"/>
        <w:spacing w:line="360" w:lineRule="auto"/>
        <w:rPr>
          <w:rFonts w:ascii="宋体" w:hAnsi="宋体"/>
          <w:b/>
          <w:color w:val="000000"/>
          <w:sz w:val="28"/>
          <w:szCs w:val="22"/>
        </w:rPr>
        <w:outlineLvl w:val="0"/>
      </w:pPr>
      <w:r>
        <w:rPr>
          <w:rFonts w:hint="eastAsia" w:ascii="宋体" w:hAnsi="宋体"/>
          <w:b/>
          <w:color w:val="000000"/>
          <w:sz w:val="28"/>
          <w:szCs w:val="22"/>
        </w:rPr>
        <w:t xml:space="preserve">3.建设清单</w:t>
      </w:r>
      <w:r>
        <w:rPr>
          <w:rFonts w:ascii="宋体" w:hAnsi="宋体"/>
          <w:b/>
          <w:color w:val="000000"/>
          <w:sz w:val="28"/>
          <w:szCs w:val="22"/>
        </w:rPr>
      </w:r>
      <w:r/>
    </w:p>
    <w:tbl>
      <w:tblPr>
        <w:tblW w:w="472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1"/>
        <w:gridCol w:w="2530"/>
        <w:gridCol w:w="1091"/>
        <w:gridCol w:w="3921"/>
      </w:tblGrid>
      <w:tr>
        <w:trPr>
          <w:trHeight w:val="432"/>
        </w:trPr>
        <w:tc>
          <w:tcPr>
            <w:shd w:val="clear" w:color="auto" w:fill="ffffff"/>
            <w:tcW w:w="647" w:type="dxa"/>
            <w:vAlign w:val="center"/>
            <w:textDirection w:val="lrTb"/>
            <w:noWrap w:val="false"/>
          </w:tcPr>
          <w:p>
            <w:pPr>
              <w:pStyle w:val="883"/>
              <w:jc w:val="cente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序号</w:t>
            </w:r>
            <w:r>
              <w:rPr>
                <w:rFonts w:ascii="宋体" w:hAnsi="宋体" w:cs="宋体"/>
                <w:b/>
                <w:bCs/>
                <w:color w:val="000000"/>
                <w:sz w:val="24"/>
                <w:szCs w:val="24"/>
              </w:rPr>
            </w:r>
            <w:r/>
          </w:p>
        </w:tc>
        <w:tc>
          <w:tcPr>
            <w:shd w:val="clear" w:color="auto" w:fill="ffffff"/>
            <w:tcW w:w="1460" w:type="dxa"/>
            <w:vAlign w:val="center"/>
            <w:textDirection w:val="lrTb"/>
            <w:noWrap w:val="false"/>
          </w:tcPr>
          <w:p>
            <w:pPr>
              <w:pStyle w:val="883"/>
              <w:jc w:val="cente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名称</w:t>
            </w:r>
            <w:r>
              <w:rPr>
                <w:rFonts w:ascii="宋体" w:hAnsi="宋体" w:cs="宋体"/>
                <w:b/>
                <w:bCs/>
                <w:color w:val="000000"/>
                <w:sz w:val="24"/>
                <w:szCs w:val="24"/>
              </w:rPr>
            </w:r>
            <w:r/>
          </w:p>
        </w:tc>
        <w:tc>
          <w:tcPr>
            <w:shd w:val="clear" w:color="auto" w:fill="ffffff"/>
            <w:tcW w:w="629" w:type="dxa"/>
            <w:vAlign w:val="center"/>
            <w:textDirection w:val="lrTb"/>
            <w:noWrap w:val="false"/>
          </w:tcPr>
          <w:p>
            <w:pPr>
              <w:pStyle w:val="883"/>
              <w:jc w:val="cente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数量</w:t>
            </w:r>
            <w:r>
              <w:rPr>
                <w:rFonts w:ascii="宋体" w:hAnsi="宋体" w:cs="宋体"/>
                <w:b/>
                <w:bCs/>
                <w:color w:val="000000"/>
                <w:sz w:val="24"/>
                <w:szCs w:val="24"/>
              </w:rPr>
            </w:r>
            <w:r/>
          </w:p>
        </w:tc>
        <w:tc>
          <w:tcPr>
            <w:shd w:val="clear" w:color="auto" w:fill="ffffff"/>
            <w:tcW w:w="2262" w:type="dxa"/>
            <w:vAlign w:val="center"/>
            <w:textDirection w:val="lrTb"/>
            <w:noWrap w:val="false"/>
          </w:tcPr>
          <w:p>
            <w:pPr>
              <w:pStyle w:val="883"/>
              <w:jc w:val="cente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功能指标</w:t>
            </w:r>
            <w:r>
              <w:rPr>
                <w:rFonts w:ascii="宋体" w:hAnsi="宋体" w:cs="宋体"/>
                <w:b/>
                <w:bCs/>
                <w:color w:val="000000"/>
                <w:sz w:val="24"/>
                <w:szCs w:val="24"/>
              </w:rPr>
            </w:r>
            <w:r/>
          </w:p>
        </w:tc>
      </w:tr>
      <w:tr>
        <w:trPr>
          <w:trHeight w:val="400"/>
        </w:trPr>
        <w:tc>
          <w:tcPr>
            <w:shd w:val="clear" w:color="auto" w:fill="ffffff"/>
            <w:tcW w:w="647" w:type="dxa"/>
            <w:vAlign w:val="center"/>
            <w:textDirection w:val="lrTb"/>
            <w:noWrap w:val="false"/>
          </w:tcPr>
          <w:p>
            <w:pPr>
              <w:pStyle w:val="883"/>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shd w:val="clear" w:color="auto" w:fill="ffffff"/>
            <w:tcW w:w="1460" w:type="dxa"/>
            <w:vAlign w:val="center"/>
            <w:textDirection w:val="lrTb"/>
            <w:noWrap w:val="false"/>
          </w:tcPr>
          <w:p>
            <w:pPr>
              <w:pStyle w:val="883"/>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急诊信息系统升级</w:t>
            </w:r>
            <w:r>
              <w:rPr>
                <w:rFonts w:ascii="宋体" w:hAnsi="宋体" w:cs="宋体"/>
                <w:color w:val="000000"/>
                <w:sz w:val="24"/>
                <w:szCs w:val="24"/>
              </w:rPr>
            </w:r>
            <w:r/>
          </w:p>
        </w:tc>
        <w:tc>
          <w:tcPr>
            <w:shd w:val="clear" w:color="auto" w:fill="ffffff"/>
            <w:tcW w:w="629" w:type="dxa"/>
            <w:vAlign w:val="center"/>
            <w:textDirection w:val="lrTb"/>
            <w:noWrap w:val="false"/>
          </w:tcPr>
          <w:p>
            <w:pPr>
              <w:pStyle w:val="883"/>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1套</w:t>
            </w:r>
            <w:r>
              <w:rPr>
                <w:rFonts w:ascii="宋体" w:hAnsi="宋体" w:cs="宋体"/>
                <w:color w:val="000000"/>
                <w:sz w:val="24"/>
                <w:szCs w:val="24"/>
              </w:rPr>
            </w:r>
            <w:r/>
          </w:p>
        </w:tc>
        <w:tc>
          <w:tcPr>
            <w:shd w:val="clear" w:color="auto" w:fill="ffffff"/>
            <w:tcW w:w="2262" w:type="dxa"/>
            <w:vAlign w:val="center"/>
            <w:textDirection w:val="lrTb"/>
            <w:noWrap w:val="false"/>
          </w:tcPr>
          <w:p>
            <w:pPr>
              <w:pStyle w:val="883"/>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详见“详细的功能要求”</w:t>
            </w:r>
            <w:r>
              <w:rPr>
                <w:rFonts w:ascii="宋体" w:hAnsi="宋体" w:cs="宋体"/>
                <w:color w:val="000000"/>
                <w:sz w:val="24"/>
                <w:szCs w:val="24"/>
              </w:rPr>
            </w:r>
            <w:r/>
          </w:p>
        </w:tc>
      </w:tr>
      <w:tr>
        <w:trPr>
          <w:trHeight w:val="375"/>
        </w:trPr>
        <w:tc>
          <w:tcPr>
            <w:shd w:val="clear" w:color="auto" w:fill="ffffff"/>
            <w:tcW w:w="647" w:type="dxa"/>
            <w:vAlign w:val="center"/>
            <w:textDirection w:val="lrTb"/>
            <w:noWrap w:val="false"/>
          </w:tcPr>
          <w:p>
            <w:pPr>
              <w:pStyle w:val="883"/>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shd w:val="clear" w:color="auto" w:fill="ffffff"/>
            <w:tcW w:w="1460" w:type="dxa"/>
            <w:vAlign w:val="center"/>
            <w:textDirection w:val="lrTb"/>
            <w:noWrap w:val="false"/>
          </w:tcPr>
          <w:p>
            <w:pPr>
              <w:pStyle w:val="883"/>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患者移动服务平台</w:t>
            </w:r>
            <w:r>
              <w:rPr>
                <w:rFonts w:ascii="宋体" w:hAnsi="宋体" w:cs="宋体"/>
                <w:color w:val="000000"/>
                <w:sz w:val="24"/>
                <w:szCs w:val="24"/>
              </w:rPr>
            </w:r>
            <w:r/>
          </w:p>
        </w:tc>
        <w:tc>
          <w:tcPr>
            <w:shd w:val="clear" w:color="auto" w:fill="ffffff"/>
            <w:tcW w:w="629" w:type="dxa"/>
            <w:vAlign w:val="center"/>
            <w:textDirection w:val="lrTb"/>
            <w:noWrap w:val="false"/>
          </w:tcPr>
          <w:p>
            <w:pPr>
              <w:pStyle w:val="883"/>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1套</w:t>
            </w:r>
            <w:r>
              <w:rPr>
                <w:rFonts w:ascii="宋体" w:hAnsi="宋体" w:cs="宋体"/>
                <w:color w:val="000000"/>
                <w:sz w:val="24"/>
                <w:szCs w:val="24"/>
              </w:rPr>
            </w:r>
            <w:r/>
          </w:p>
        </w:tc>
        <w:tc>
          <w:tcPr>
            <w:shd w:val="clear" w:color="auto" w:fill="ffffff"/>
            <w:tcW w:w="2262" w:type="dxa"/>
            <w:vAlign w:val="center"/>
            <w:textDirection w:val="lrTb"/>
            <w:noWrap w:val="false"/>
          </w:tcPr>
          <w:p>
            <w:pPr>
              <w:pStyle w:val="883"/>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详见“详细的功能要求”</w:t>
            </w:r>
            <w:r>
              <w:rPr>
                <w:rFonts w:ascii="宋体" w:hAnsi="宋体" w:cs="宋体"/>
                <w:color w:val="000000"/>
                <w:sz w:val="24"/>
                <w:szCs w:val="24"/>
              </w:rPr>
            </w:r>
            <w:r/>
          </w:p>
        </w:tc>
      </w:tr>
    </w:tbl>
    <w:p>
      <w:pPr>
        <w:pStyle w:val="883"/>
        <w:ind w:firstLine="361"/>
        <w:spacing w:line="240" w:lineRule="auto"/>
        <w:rPr>
          <w:rFonts w:hint="eastAsia" w:ascii="宋体" w:hAnsi="宋体"/>
          <w:b/>
          <w:color w:val="000000"/>
          <w:sz w:val="18"/>
          <w:szCs w:val="15"/>
        </w:rPr>
        <w:outlineLvl w:val="0"/>
      </w:pPr>
      <w:r>
        <w:rPr>
          <w:rFonts w:hint="eastAsia" w:ascii="宋体" w:hAnsi="宋体"/>
          <w:b/>
          <w:color w:val="000000"/>
          <w:sz w:val="18"/>
          <w:szCs w:val="15"/>
        </w:rPr>
      </w:r>
      <w:r/>
    </w:p>
    <w:p>
      <w:pPr>
        <w:pStyle w:val="883"/>
        <w:ind w:firstLine="562"/>
        <w:spacing w:line="360" w:lineRule="auto"/>
        <w:rPr>
          <w:rFonts w:ascii="宋体" w:hAnsi="宋体"/>
          <w:b/>
          <w:color w:val="000000"/>
          <w:sz w:val="28"/>
          <w:szCs w:val="22"/>
        </w:rPr>
        <w:outlineLvl w:val="0"/>
      </w:pPr>
      <w:r>
        <w:rPr>
          <w:rFonts w:hint="eastAsia" w:ascii="宋体" w:hAnsi="宋体"/>
          <w:b/>
          <w:color w:val="000000"/>
          <w:sz w:val="28"/>
          <w:szCs w:val="22"/>
        </w:rPr>
        <w:t xml:space="preserve">4.详细的功能要求</w:t>
      </w:r>
      <w:r>
        <w:rPr>
          <w:rFonts w:ascii="宋体" w:hAnsi="宋体"/>
          <w:b/>
          <w:color w:val="000000"/>
          <w:sz w:val="28"/>
          <w:szCs w:val="22"/>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bookmarkStart w:id="193" w:name="_Toc28440"/>
      <w:r>
        <w:rPr>
          <w:rFonts w:hint="eastAsia" w:ascii="宋体" w:hAnsi="宋体" w:eastAsia="宋体" w:cs="宋体"/>
          <w:b w:val="0"/>
          <w:bCs w:val="0"/>
          <w:sz w:val="24"/>
          <w:szCs w:val="24"/>
          <w:lang w:eastAsia="zh-CN"/>
        </w:rPr>
        <w:t xml:space="preserve">4.1急诊信息系统升级改造</w:t>
      </w:r>
      <w:bookmarkEnd w:id="193"/>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本次项目的内容主要包括以下几个部分：</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(1)留观病房护理信息系统的建设，按照无锡市疫情防控的要求，新增独立4间留观病房，需要进行4个床位的监护设备数据接入、扩展留观床位的护理监测和护理业务系统。</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(2)调整现有预检分诊知识库，区分成人、儿童知识库。</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(3)分诊去向和分诊列表功能调整，增加“肠道门诊”、“发热门诊”，新增统计“分诊级别调整原因”等。</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(4)新增EICU7床新设备数据采集的调试和接入。</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(5)对接卫健委统一的急诊预检分诊系统，并实现老版本急诊预检分诊的兼容。</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(5)对接新版电子病历的接口，确保急诊医嘱、诊断、基本信息等接口数据稳定。</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(7)急诊抢救护理信息系统模块升级，增加交接班报表个性化定制，至少满足支持50个抢救床位的信息数据接入端口，并且支持数据展示和相关报表打印。</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升级改造后的功能：</w:t>
      </w:r>
      <w:r>
        <w:rPr>
          <w:rFonts w:hint="eastAsia" w:ascii="宋体" w:hAnsi="宋体" w:eastAsia="宋体" w:cs="宋体"/>
          <w:b w:val="0"/>
          <w:bCs w:val="0"/>
          <w:sz w:val="24"/>
          <w:szCs w:val="24"/>
          <w:lang w:eastAsia="zh-CN"/>
        </w:rPr>
      </w:r>
      <w:r/>
    </w:p>
    <w:tbl>
      <w:tblPr>
        <w:tblW w:w="4996"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21"/>
        <w:gridCol w:w="1290"/>
        <w:gridCol w:w="5565"/>
        <w:gridCol w:w="1586"/>
      </w:tblGrid>
      <w:tr>
        <w:trPr>
          <w:trHeight w:val="300"/>
        </w:trPr>
        <w:tc>
          <w:tcPr>
            <w:shd w:val="clear" w:color="auto" w:fill="ffffff"/>
            <w:tcBorders>
              <w:top w:val="single" w:color="000000" w:sz="8" w:space="0"/>
              <w:left w:val="single" w:color="000000" w:sz="8" w:space="0"/>
              <w:bottom w:val="single" w:color="000000" w:sz="8" w:space="0"/>
              <w:right w:val="single" w:color="000000" w:sz="8" w:space="0"/>
            </w:tcBorders>
            <w:tcW w:w="393" w:type="dxa"/>
            <w:vAlign w:val="center"/>
            <w:textDirection w:val="lrTb"/>
            <w:noWrap/>
          </w:tcPr>
          <w:p>
            <w:pPr>
              <w:pStyle w:val="883"/>
              <w:jc w:val="center"/>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序号</w:t>
            </w:r>
            <w:r>
              <w:rPr>
                <w:rFonts w:hint="eastAsia" w:ascii="宋体" w:hAnsi="宋体" w:eastAsia="宋体" w:cs="宋体"/>
                <w:b/>
                <w:bCs/>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703" w:type="dxa"/>
            <w:vAlign w:val="center"/>
            <w:textDirection w:val="lrTb"/>
            <w:noWrap/>
          </w:tcPr>
          <w:p>
            <w:pPr>
              <w:pStyle w:val="883"/>
              <w:jc w:val="center"/>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模块</w:t>
            </w:r>
            <w:r>
              <w:rPr>
                <w:rFonts w:hint="eastAsia" w:ascii="宋体" w:hAnsi="宋体" w:eastAsia="宋体" w:cs="宋体"/>
                <w:b/>
                <w:bCs/>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3037" w:type="dxa"/>
            <w:vAlign w:val="center"/>
            <w:textDirection w:val="lrTb"/>
            <w:noWrap/>
          </w:tcPr>
          <w:p>
            <w:pPr>
              <w:pStyle w:val="883"/>
              <w:jc w:val="center"/>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建设内容</w:t>
            </w:r>
            <w:r>
              <w:rPr>
                <w:rFonts w:hint="eastAsia" w:ascii="宋体" w:hAnsi="宋体" w:eastAsia="宋体" w:cs="宋体"/>
                <w:b/>
                <w:bCs/>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865" w:type="dxa"/>
            <w:vAlign w:val="center"/>
            <w:textDirection w:val="lrTb"/>
            <w:noWrap/>
          </w:tcPr>
          <w:p>
            <w:pPr>
              <w:pStyle w:val="883"/>
              <w:jc w:val="center"/>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备注</w:t>
            </w:r>
            <w:r>
              <w:rPr>
                <w:rFonts w:hint="eastAsia" w:ascii="宋体" w:hAnsi="宋体" w:eastAsia="宋体" w:cs="宋体"/>
                <w:b/>
                <w:bCs/>
                <w:color w:val="000000"/>
                <w:sz w:val="21"/>
                <w:szCs w:val="21"/>
              </w:rPr>
            </w:r>
            <w:r/>
          </w:p>
        </w:tc>
      </w:tr>
      <w:tr>
        <w:trPr>
          <w:trHeight w:val="1350"/>
        </w:trPr>
        <w:tc>
          <w:tcPr>
            <w:shd w:val="clear" w:color="auto" w:fill="ffffff"/>
            <w:tcBorders>
              <w:top w:val="single" w:color="000000" w:sz="8" w:space="0"/>
              <w:left w:val="single" w:color="000000" w:sz="8" w:space="0"/>
              <w:bottom w:val="single" w:color="000000" w:sz="8" w:space="0"/>
              <w:right w:val="single" w:color="000000" w:sz="8" w:space="0"/>
            </w:tcBorders>
            <w:tcW w:w="393" w:type="dxa"/>
            <w:vAlign w:val="center"/>
            <w:textDirection w:val="lrTb"/>
            <w:noWrap/>
          </w:tcPr>
          <w:p>
            <w:pPr>
              <w:pStyle w:val="883"/>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急诊预检分诊系统升级</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3037"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急诊预检分诊系统升级，与东软系统进行接口对接，可以对患者进行建档、患者信息采集、生命体征测量自动采集、患者评分，内置分级知识库，可以进行分诊的查询和统计。支持成人和儿童不同级别的知识库支持，内置8000多种知识库（预计新增4000多种知识库模版）。同时能够支持发热门诊、肠道门诊等知识库和分级去向。支持对接新版急诊预检分诊系统，实现双向数据共享。</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865" w:type="dxa"/>
            <w:vAlign w:val="center"/>
            <w:textDirection w:val="lrTb"/>
            <w:noWrap/>
          </w:tcPr>
          <w:p>
            <w:pPr>
              <w:pStyle w:val="883"/>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810"/>
        </w:trPr>
        <w:tc>
          <w:tcPr>
            <w:shd w:val="clear" w:color="auto" w:fill="ffffff"/>
            <w:tcBorders>
              <w:top w:val="single" w:color="000000" w:sz="8" w:space="0"/>
              <w:left w:val="single" w:color="000000" w:sz="8" w:space="0"/>
              <w:bottom w:val="single" w:color="000000" w:sz="8" w:space="0"/>
              <w:right w:val="single" w:color="000000" w:sz="8" w:space="0"/>
            </w:tcBorders>
            <w:tcW w:w="393" w:type="dxa"/>
            <w:vAlign w:val="center"/>
            <w:textDirection w:val="lrTb"/>
            <w:noWrap/>
          </w:tcPr>
          <w:p>
            <w:pPr>
              <w:pStyle w:val="883"/>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急诊抢救护理系统升级</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3037"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覆盖50个抢救床位的信息数据接入端口，包含护理，包括生命体征采集、观察项监测、出入量监测、导管记录、患者病情评估、病情记录、护理文书、护理记录单、交接班等功能。</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865" w:type="dxa"/>
            <w:vAlign w:val="center"/>
            <w:textDirection w:val="lrTb"/>
            <w:noWrap/>
          </w:tcPr>
          <w:p>
            <w:pPr>
              <w:pStyle w:val="883"/>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960"/>
        </w:trPr>
        <w:tc>
          <w:tcPr>
            <w:shd w:val="clear" w:color="auto" w:fill="ffffff"/>
            <w:tcBorders>
              <w:top w:val="single" w:color="000000" w:sz="8" w:space="0"/>
              <w:left w:val="single" w:color="000000" w:sz="8" w:space="0"/>
              <w:bottom w:val="single" w:color="000000" w:sz="8" w:space="0"/>
              <w:right w:val="single" w:color="000000" w:sz="8" w:space="0"/>
            </w:tcBorders>
            <w:tcW w:w="393" w:type="dxa"/>
            <w:vAlign w:val="center"/>
            <w:textDirection w:val="lrTb"/>
            <w:noWrap/>
          </w:tcPr>
          <w:p>
            <w:pPr>
              <w:pStyle w:val="883"/>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抢救室设备采集系统升级</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3037"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实现抢救室26张床监护仪的数据采集对接、存储和使用。</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865" w:type="dxa"/>
            <w:vAlign w:val="center"/>
            <w:textDirection w:val="lrTb"/>
            <w:noWrap/>
          </w:tcPr>
          <w:p>
            <w:pPr>
              <w:pStyle w:val="883"/>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1020"/>
        </w:trPr>
        <w:tc>
          <w:tcPr>
            <w:shd w:val="clear" w:color="auto" w:fill="ffffff"/>
            <w:tcBorders>
              <w:top w:val="single" w:color="000000" w:sz="8" w:space="0"/>
              <w:left w:val="single" w:color="000000" w:sz="8" w:space="0"/>
              <w:bottom w:val="single" w:color="000000" w:sz="8" w:space="0"/>
              <w:right w:val="single" w:color="000000" w:sz="8" w:space="0"/>
            </w:tcBorders>
            <w:tcW w:w="393" w:type="dxa"/>
            <w:vAlign w:val="center"/>
            <w:textDirection w:val="lrTb"/>
            <w:noWrap/>
          </w:tcPr>
          <w:p>
            <w:pPr>
              <w:pStyle w:val="883"/>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急诊留观护理系统</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3037"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覆盖10床留观患者的护理，包括生命体征采集、观察项监测、出入量监测、导管记录、患者病情评估、病情记录、护理文书、护理记录单等功能。</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865" w:type="dxa"/>
            <w:vAlign w:val="center"/>
            <w:textDirection w:val="lrTb"/>
            <w:noWrap/>
          </w:tcPr>
          <w:p>
            <w:pPr>
              <w:pStyle w:val="883"/>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960"/>
        </w:trPr>
        <w:tc>
          <w:tcPr>
            <w:shd w:val="clear" w:color="auto" w:fill="ffffff"/>
            <w:tcBorders>
              <w:top w:val="single" w:color="000000" w:sz="8" w:space="0"/>
              <w:left w:val="single" w:color="000000" w:sz="8" w:space="0"/>
              <w:bottom w:val="single" w:color="000000" w:sz="8" w:space="0"/>
              <w:right w:val="single" w:color="000000" w:sz="8" w:space="0"/>
            </w:tcBorders>
            <w:tcW w:w="393" w:type="dxa"/>
            <w:vAlign w:val="center"/>
            <w:textDirection w:val="lrTb"/>
            <w:noWrap/>
          </w:tcPr>
          <w:p>
            <w:pPr>
              <w:pStyle w:val="883"/>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新版急诊预检分诊系统对接</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3037"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急诊患者数据源由对接原先的急诊预检分诊系统过渡到曼荼罗的急诊分诊系统，同时能够兼容老的分诊系统，开发新的接口能够获取两类数据源。</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865" w:type="dxa"/>
            <w:vAlign w:val="center"/>
            <w:textDirection w:val="lrTb"/>
            <w:noWrap/>
          </w:tcPr>
          <w:p>
            <w:pPr>
              <w:pStyle w:val="883"/>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860"/>
        </w:trPr>
        <w:tc>
          <w:tcPr>
            <w:shd w:val="clear" w:color="auto" w:fill="ffffff"/>
            <w:tcBorders>
              <w:top w:val="single" w:color="000000" w:sz="8" w:space="0"/>
              <w:left w:val="single" w:color="000000" w:sz="8" w:space="0"/>
              <w:bottom w:val="single" w:color="000000" w:sz="8" w:space="0"/>
              <w:right w:val="single" w:color="000000" w:sz="8" w:space="0"/>
            </w:tcBorders>
            <w:tcW w:w="393" w:type="dxa"/>
            <w:vAlign w:val="center"/>
            <w:textDirection w:val="lrTb"/>
            <w:noWrap/>
          </w:tcPr>
          <w:p>
            <w:pPr>
              <w:pStyle w:val="883"/>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急诊接口切换开发</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3037"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进行急诊护理系统接口调整升级开发、测试，由原先对接东软HIS的诊断、医嘱接口切换到对接曼荼罗的新版电子病历的诊断和医嘱接口，并进行数据检验测试。</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865" w:type="dxa"/>
            <w:vAlign w:val="center"/>
            <w:textDirection w:val="lrTb"/>
            <w:noWrap/>
          </w:tcPr>
          <w:p>
            <w:pPr>
              <w:pStyle w:val="883"/>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520"/>
        </w:trPr>
        <w:tc>
          <w:tcPr>
            <w:shd w:val="clear" w:color="auto" w:fill="ffffff"/>
            <w:tcBorders>
              <w:top w:val="single" w:color="000000" w:sz="8" w:space="0"/>
              <w:left w:val="single" w:color="000000" w:sz="8" w:space="0"/>
              <w:bottom w:val="single" w:color="000000" w:sz="8" w:space="0"/>
              <w:right w:val="single" w:color="000000" w:sz="8" w:space="0"/>
            </w:tcBorders>
            <w:tcW w:w="393" w:type="dxa"/>
            <w:vAlign w:val="center"/>
            <w:textDirection w:val="lrTb"/>
            <w:noWrap/>
          </w:tcPr>
          <w:p>
            <w:pPr>
              <w:pStyle w:val="883"/>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EICU设备数据集成</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3037"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实现EICU10张床监护仪的数据采集对接、存储和使用。</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865" w:type="dxa"/>
            <w:vAlign w:val="center"/>
            <w:textDirection w:val="lrTb"/>
            <w:noWrap/>
          </w:tcPr>
          <w:p>
            <w:pPr>
              <w:pStyle w:val="883"/>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540"/>
        </w:trPr>
        <w:tc>
          <w:tcPr>
            <w:shd w:val="clear" w:color="auto" w:fill="ffffff"/>
            <w:tcBorders>
              <w:top w:val="single" w:color="000000" w:sz="8" w:space="0"/>
              <w:left w:val="single" w:color="000000" w:sz="8" w:space="0"/>
              <w:bottom w:val="single" w:color="000000" w:sz="8" w:space="0"/>
              <w:right w:val="single" w:color="000000" w:sz="8" w:space="0"/>
            </w:tcBorders>
            <w:tcW w:w="393" w:type="dxa"/>
            <w:vAlign w:val="center"/>
            <w:textDirection w:val="lrTb"/>
            <w:noWrap/>
          </w:tcPr>
          <w:p>
            <w:pPr>
              <w:pStyle w:val="883"/>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EICU护理系统</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3037"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主要应用于EICU，覆盖10床患者的护理，包括生命体征采集、观察项监测、出入量监测、导管记录、患者病情评估、病情记录、护理文书、护理记录单等功能。</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865" w:type="dxa"/>
            <w:vAlign w:val="center"/>
            <w:textDirection w:val="lrTb"/>
            <w:noWrap/>
          </w:tcPr>
          <w:p>
            <w:pPr>
              <w:pStyle w:val="883"/>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285"/>
        </w:trPr>
        <w:tc>
          <w:tcPr>
            <w:shd w:val="clear" w:color="auto" w:fill="ffffff"/>
            <w:tcBorders>
              <w:top w:val="single" w:color="000000" w:sz="8" w:space="0"/>
              <w:left w:val="single" w:color="000000" w:sz="8" w:space="0"/>
              <w:bottom w:val="single" w:color="000000" w:sz="8" w:space="0"/>
              <w:right w:val="single" w:color="000000" w:sz="8" w:space="0"/>
            </w:tcBorders>
            <w:tcW w:w="393" w:type="dxa"/>
            <w:vAlign w:val="center"/>
            <w:textDirection w:val="lrTb"/>
            <w:noWrap/>
          </w:tcPr>
          <w:p>
            <w:pPr>
              <w:pStyle w:val="883"/>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留观室设备数据采集</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3037"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实现留观室4张床监护仪的数据采集对接、存储和使用。</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865" w:type="dxa"/>
            <w:vAlign w:val="center"/>
            <w:textDirection w:val="lrTb"/>
            <w:noWrap/>
          </w:tcPr>
          <w:p>
            <w:pPr>
              <w:pStyle w:val="883"/>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810"/>
        </w:trPr>
        <w:tc>
          <w:tcPr>
            <w:shd w:val="clear" w:color="auto" w:fill="ffffff"/>
            <w:tcBorders>
              <w:top w:val="single" w:color="000000" w:sz="8" w:space="0"/>
              <w:left w:val="single" w:color="000000" w:sz="8" w:space="0"/>
              <w:bottom w:val="single" w:color="000000" w:sz="8" w:space="0"/>
              <w:right w:val="single" w:color="000000" w:sz="8" w:space="0"/>
            </w:tcBorders>
            <w:tcW w:w="393" w:type="dxa"/>
            <w:vAlign w:val="center"/>
            <w:textDirection w:val="lrTb"/>
            <w:noWrap/>
          </w:tcPr>
          <w:p>
            <w:pPr>
              <w:pStyle w:val="883"/>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新增监护仪-迈瑞ePM10c对接（26套）</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3037"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ePM10c属于急诊科新采购设备，进行全新设备协议数据的解析，开发新的数据采集插件、编码、测试和发布，现场需要逐台进行插件配置和数据联调，并将采集的数据按照急诊系统字段匹配进行存储，最终数据能够显示到急诊护理单据。</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865" w:type="dxa"/>
            <w:vAlign w:val="center"/>
            <w:vMerge w:val="restart"/>
            <w:textDirection w:val="lrTb"/>
            <w:noWrap w:val="false"/>
          </w:tcPr>
          <w:p>
            <w:pPr>
              <w:pStyle w:val="883"/>
              <w:jc w:val="left"/>
              <w:spacing w:line="36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为保证设备数据采集的兼容</w:t>
            </w:r>
            <w:r>
              <w:rPr>
                <w:rFonts w:hint="eastAsia" w:ascii="宋体" w:hAnsi="宋体" w:eastAsia="宋体" w:cs="宋体"/>
                <w:color w:val="000000"/>
                <w:sz w:val="21"/>
                <w:szCs w:val="21"/>
                <w:highlight w:val="none"/>
              </w:rPr>
              <w:t xml:space="preserve">性</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投标人需出具能对接现有设备的承诺函</w:t>
            </w:r>
            <w:r>
              <w:rPr>
                <w:rFonts w:hint="eastAsia" w:ascii="宋体" w:hAnsi="宋体" w:eastAsia="宋体" w:cs="宋体"/>
                <w:color w:val="000000"/>
                <w:sz w:val="21"/>
                <w:szCs w:val="21"/>
                <w:highlight w:val="none"/>
                <w:lang w:eastAsia="zh-CN"/>
              </w:rPr>
              <w:t xml:space="preserve">，如不提供视为符合性审查不合格。</w:t>
            </w:r>
            <w:r>
              <w:rPr>
                <w:rFonts w:ascii="宋体" w:hAnsi="宋体" w:eastAsia="宋体" w:cs="宋体"/>
                <w:color w:val="000000"/>
                <w:sz w:val="21"/>
                <w:szCs w:val="21"/>
                <w:lang w:val="en-US" w:eastAsia="zh-CN"/>
              </w:rPr>
            </w:r>
            <w:r/>
          </w:p>
        </w:tc>
      </w:tr>
      <w:tr>
        <w:trPr>
          <w:trHeight w:val="540"/>
        </w:trPr>
        <w:tc>
          <w:tcPr>
            <w:shd w:val="clear" w:color="auto" w:fill="ffffff"/>
            <w:tcBorders>
              <w:top w:val="single" w:color="000000" w:sz="8" w:space="0"/>
              <w:left w:val="single" w:color="000000" w:sz="8" w:space="0"/>
              <w:bottom w:val="single" w:color="000000" w:sz="8" w:space="0"/>
              <w:right w:val="single" w:color="000000" w:sz="8" w:space="0"/>
            </w:tcBorders>
            <w:tcW w:w="393" w:type="dxa"/>
            <w:vAlign w:val="center"/>
            <w:textDirection w:val="lrTb"/>
            <w:noWrap/>
          </w:tcPr>
          <w:p>
            <w:pPr>
              <w:pStyle w:val="883"/>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新增监护仪-迈瑞imec10对接（2套）</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3037"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新增2套imec10监护仪数据的对接、联调和测试，需要现场配置插件进行数据采集并配置存储过程进行数据存储。</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865" w:type="dxa"/>
            <w:vAlign w:val="center"/>
            <w:vMerge w:val="continue"/>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1229"/>
        </w:trPr>
        <w:tc>
          <w:tcPr>
            <w:shd w:val="clear" w:color="auto" w:fill="ffffff"/>
            <w:tcBorders>
              <w:top w:val="single" w:color="000000" w:sz="8" w:space="0"/>
              <w:left w:val="single" w:color="000000" w:sz="8" w:space="0"/>
              <w:bottom w:val="single" w:color="000000" w:sz="8" w:space="0"/>
              <w:right w:val="single" w:color="000000" w:sz="8" w:space="0"/>
            </w:tcBorders>
            <w:tcW w:w="393" w:type="dxa"/>
            <w:vAlign w:val="center"/>
            <w:textDirection w:val="lrTb"/>
            <w:noWrap/>
          </w:tcPr>
          <w:p>
            <w:pPr>
              <w:pStyle w:val="883"/>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新增监护仪-飞利浦G30对接（4套）</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3037"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新增2套G30监护仪数据的对接、联调和测试，需要现场配置插件进行数据采集并配置存储过程进行数据存储。</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865" w:type="dxa"/>
            <w:vAlign w:val="center"/>
            <w:vMerge w:val="continue"/>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bookmarkStart w:id="194" w:name="_Toc16321"/>
      <w:r>
        <w:rPr>
          <w:rFonts w:hint="eastAsia" w:ascii="宋体" w:hAnsi="宋体" w:eastAsia="宋体" w:cs="宋体"/>
          <w:b w:val="0"/>
          <w:bCs w:val="0"/>
          <w:sz w:val="24"/>
          <w:szCs w:val="24"/>
          <w:lang w:eastAsia="zh-CN"/>
        </w:rPr>
        <w:t xml:space="preserve">4.2患者移动服务平台整体优化</w:t>
      </w:r>
      <w:bookmarkEnd w:id="194"/>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本次医院患者移动服务平台整体优化，是医院在“互联网+医疗健康”便民惠民服务的纵向延伸，也是贯彻响应国家“互联网+医疗健康”的积极举措，聚焦人民群众看病就医“急难愁盼”问题，提升医院抗风险能力，本次建设主要有以下目标：</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(1)推进“互联网+就医服务”升级，对标国家评级标准，继续优化患者就医流程，进一步提升患者就医体验，降低医院运营成本；</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(2)落实“互联网+健康管理”，创新服务模式，落实患者全生命周期的健康管理；</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(3)推进“互联网诊疗服务”，实现互联网医院与线下依托的实体机构之间的数据共享和业务协同，既要合理保留传统服务方式，也要实现线上诊疗便捷化；</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(4)建立院内院外、线上线下一体化的医疗服务流程，为智慧服务3级评级奠定建设基础。</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(5)优化业务逻辑，提升平台应用速度，提高医院服务满意度。</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建设功能模块清单：</w:t>
      </w:r>
      <w:r>
        <w:rPr>
          <w:rFonts w:hint="eastAsia" w:ascii="宋体" w:hAnsi="宋体" w:eastAsia="宋体" w:cs="宋体"/>
          <w:b w:val="0"/>
          <w:bCs w:val="0"/>
          <w:sz w:val="24"/>
          <w:szCs w:val="24"/>
          <w:lang w:eastAsia="zh-CN"/>
        </w:rPr>
      </w:r>
      <w:r/>
    </w:p>
    <w:tbl>
      <w:tblPr>
        <w:tblW w:w="4996" w:type="pct"/>
        <w:tblInd w:w="-108" w:type="dxa"/>
        <w:tblLayout w:type="autofit"/>
        <w:tblCellMar>
          <w:left w:w="108" w:type="dxa"/>
          <w:top w:w="0" w:type="dxa"/>
          <w:right w:w="108" w:type="dxa"/>
          <w:bottom w:w="0" w:type="dxa"/>
        </w:tblCellMar>
        <w:tblLook w:val="04A0" w:firstRow="1" w:lastRow="0" w:firstColumn="1" w:lastColumn="0" w:noHBand="0" w:noVBand="1"/>
      </w:tblPr>
      <w:tblGrid>
        <w:gridCol w:w="661"/>
        <w:gridCol w:w="876"/>
        <w:gridCol w:w="1720"/>
        <w:gridCol w:w="4323"/>
        <w:gridCol w:w="1582"/>
      </w:tblGrid>
      <w:tr>
        <w:trPr>
          <w:trHeight w:val="270"/>
        </w:trPr>
        <w:tc>
          <w:tcPr>
            <w:shd w:val="clear" w:color="auto" w:fill="ffffff"/>
            <w:tcBorders>
              <w:top w:val="single" w:color="000000" w:sz="8" w:space="0"/>
              <w:left w:val="single" w:color="000000" w:sz="8" w:space="0"/>
              <w:bottom w:val="single" w:color="000000" w:sz="8" w:space="0"/>
              <w:right w:val="single" w:color="000000" w:sz="8" w:space="0"/>
            </w:tcBorders>
            <w:tcW w:w="361" w:type="dxa"/>
            <w:vAlign w:val="center"/>
            <w:textDirection w:val="lrTb"/>
            <w:noWrap w:val="false"/>
          </w:tcPr>
          <w:p>
            <w:pPr>
              <w:pStyle w:val="883"/>
              <w:jc w:val="center"/>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序号</w:t>
            </w:r>
            <w:r>
              <w:rPr>
                <w:rFonts w:hint="eastAsia" w:ascii="宋体" w:hAnsi="宋体" w:eastAsia="宋体" w:cs="宋体"/>
                <w:b/>
                <w:bCs/>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478" w:type="dxa"/>
            <w:vAlign w:val="center"/>
            <w:textDirection w:val="lrTb"/>
            <w:noWrap w:val="false"/>
          </w:tcPr>
          <w:p>
            <w:pPr>
              <w:pStyle w:val="883"/>
              <w:jc w:val="center"/>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类别</w:t>
            </w:r>
            <w:r>
              <w:rPr>
                <w:rFonts w:hint="eastAsia" w:ascii="宋体" w:hAnsi="宋体" w:eastAsia="宋体" w:cs="宋体"/>
                <w:b/>
                <w:bCs/>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938" w:type="dxa"/>
            <w:vAlign w:val="center"/>
            <w:textDirection w:val="lrTb"/>
            <w:noWrap w:val="false"/>
          </w:tcPr>
          <w:p>
            <w:pPr>
              <w:pStyle w:val="883"/>
              <w:jc w:val="center"/>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建设模块</w:t>
            </w:r>
            <w:r>
              <w:rPr>
                <w:rFonts w:hint="eastAsia" w:ascii="宋体" w:hAnsi="宋体" w:eastAsia="宋体" w:cs="宋体"/>
                <w:b/>
                <w:bCs/>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2358" w:type="dxa"/>
            <w:vAlign w:val="center"/>
            <w:textDirection w:val="lrTb"/>
            <w:noWrap w:val="false"/>
          </w:tcPr>
          <w:p>
            <w:pPr>
              <w:pStyle w:val="883"/>
              <w:jc w:val="center"/>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模块简述</w:t>
            </w:r>
            <w:r>
              <w:rPr>
                <w:rFonts w:hint="eastAsia" w:ascii="宋体" w:hAnsi="宋体" w:eastAsia="宋体" w:cs="宋体"/>
                <w:b/>
                <w:bCs/>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863" w:type="dxa"/>
            <w:vAlign w:val="center"/>
            <w:textDirection w:val="lrTb"/>
            <w:noWrap w:val="false"/>
          </w:tcPr>
          <w:p>
            <w:pPr>
              <w:pStyle w:val="883"/>
              <w:jc w:val="center"/>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备注</w:t>
            </w:r>
            <w:r>
              <w:rPr>
                <w:rFonts w:hint="eastAsia" w:ascii="宋体" w:hAnsi="宋体" w:eastAsia="宋体" w:cs="宋体"/>
                <w:b/>
                <w:bCs/>
                <w:color w:val="000000"/>
                <w:sz w:val="21"/>
                <w:szCs w:val="21"/>
              </w:rPr>
            </w:r>
            <w:r/>
          </w:p>
        </w:tc>
      </w:tr>
      <w:tr>
        <w:trPr>
          <w:trHeight w:val="810"/>
        </w:trPr>
        <w:tc>
          <w:tcPr>
            <w:shd w:val="clear" w:color="auto" w:fill="ffffff"/>
            <w:tcBorders>
              <w:top w:val="single" w:color="000000" w:sz="8" w:space="0"/>
              <w:left w:val="single" w:color="000000" w:sz="8" w:space="0"/>
              <w:bottom w:val="single" w:color="000000" w:sz="8" w:space="0"/>
              <w:right w:val="single" w:color="000000" w:sz="8" w:space="0"/>
            </w:tcBorders>
            <w:tcW w:w="361" w:type="dxa"/>
            <w:vAlign w:val="center"/>
            <w:vMerge w:val="restart"/>
            <w:textDirection w:val="lrTb"/>
            <w:noWrap w:val="false"/>
          </w:tcPr>
          <w:p>
            <w:pPr>
              <w:pStyle w:val="883"/>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478" w:type="dxa"/>
            <w:vAlign w:val="center"/>
            <w:vMerge w:val="restart"/>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一站式门诊应用</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938"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智能导诊</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2358"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智能导诊是解决部分患者不知道挂哪个科室、哪个医生号的问题的应用。它根据患者患病身体部位、症状、问题以及医院自行维护的知识库，为患者推荐最佳的挂号科室或医生，帮助患者完成挂号。</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863" w:type="dxa"/>
            <w:vAlign w:val="center"/>
            <w:textDirection w:val="lrTb"/>
            <w:noWrap w:val="false"/>
          </w:tcPr>
          <w:p>
            <w:pPr>
              <w:pStyle w:val="88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540"/>
        </w:trPr>
        <w:tc>
          <w:tcPr>
            <w:shd w:val="clear" w:color="auto" w:fill="ffffff"/>
            <w:tcBorders>
              <w:top w:val="single" w:color="000000" w:sz="8" w:space="0"/>
              <w:left w:val="single" w:color="000000" w:sz="8" w:space="0"/>
              <w:bottom w:val="single" w:color="000000" w:sz="8" w:space="0"/>
              <w:right w:val="single" w:color="000000" w:sz="8" w:space="0"/>
            </w:tcBorders>
            <w:tcW w:w="361" w:type="dxa"/>
            <w:vAlign w:val="center"/>
            <w:vMerge w:val="continue"/>
            <w:textDirection w:val="lrTb"/>
            <w:noWrap w:val="false"/>
          </w:tcPr>
          <w:p>
            <w:pPr>
              <w:pStyle w:val="883"/>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478" w:type="dxa"/>
            <w:vAlign w:val="center"/>
            <w:vMerge w:val="continue"/>
            <w:textDirection w:val="lrTb"/>
            <w:noWrap w:val="false"/>
          </w:tcPr>
          <w:p>
            <w:pPr>
              <w:pStyle w:val="88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938"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基础信息获取（医生、科室）</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2358"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获取医院现有字典信息</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863" w:type="dxa"/>
            <w:vAlign w:val="center"/>
            <w:textDirection w:val="lrTb"/>
            <w:noWrap w:val="false"/>
          </w:tcPr>
          <w:p>
            <w:pPr>
              <w:pStyle w:val="88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540"/>
        </w:trPr>
        <w:tc>
          <w:tcPr>
            <w:shd w:val="clear" w:color="auto" w:fill="ffffff"/>
            <w:tcBorders>
              <w:top w:val="single" w:color="000000" w:sz="8" w:space="0"/>
              <w:left w:val="single" w:color="000000" w:sz="8" w:space="0"/>
              <w:bottom w:val="single" w:color="000000" w:sz="8" w:space="0"/>
              <w:right w:val="single" w:color="000000" w:sz="8" w:space="0"/>
            </w:tcBorders>
            <w:tcW w:w="361" w:type="dxa"/>
            <w:vAlign w:val="center"/>
            <w:vMerge w:val="continue"/>
            <w:textDirection w:val="lrTb"/>
            <w:noWrap w:val="false"/>
          </w:tcPr>
          <w:p>
            <w:pPr>
              <w:pStyle w:val="883"/>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478" w:type="dxa"/>
            <w:vAlign w:val="center"/>
            <w:vMerge w:val="continue"/>
            <w:textDirection w:val="lrTb"/>
            <w:noWrap w:val="false"/>
          </w:tcPr>
          <w:p>
            <w:pPr>
              <w:pStyle w:val="88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938"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在线建卡</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2358"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支持未在医院就诊过的患者，可通过线上完成建卡建档，并支持多种身份证件类型</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863" w:type="dxa"/>
            <w:vAlign w:val="center"/>
            <w:textDirection w:val="lrTb"/>
            <w:noWrap w:val="false"/>
          </w:tcPr>
          <w:p>
            <w:pPr>
              <w:pStyle w:val="88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270"/>
        </w:trPr>
        <w:tc>
          <w:tcPr>
            <w:shd w:val="clear" w:color="auto" w:fill="ffffff"/>
            <w:tcBorders>
              <w:top w:val="single" w:color="000000" w:sz="8" w:space="0"/>
              <w:left w:val="single" w:color="000000" w:sz="8" w:space="0"/>
              <w:bottom w:val="single" w:color="000000" w:sz="8" w:space="0"/>
              <w:right w:val="single" w:color="000000" w:sz="8" w:space="0"/>
            </w:tcBorders>
            <w:tcW w:w="361" w:type="dxa"/>
            <w:vAlign w:val="center"/>
            <w:vMerge w:val="continue"/>
            <w:textDirection w:val="lrTb"/>
            <w:noWrap w:val="false"/>
          </w:tcPr>
          <w:p>
            <w:pPr>
              <w:pStyle w:val="883"/>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478" w:type="dxa"/>
            <w:vAlign w:val="center"/>
            <w:vMerge w:val="continue"/>
            <w:textDirection w:val="lrTb"/>
            <w:noWrap w:val="false"/>
          </w:tcPr>
          <w:p>
            <w:pPr>
              <w:pStyle w:val="88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938"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在线绑卡</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2358"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可通过微信绑定对应医院的实体就诊卡</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863" w:type="dxa"/>
            <w:vAlign w:val="center"/>
            <w:textDirection w:val="lrTb"/>
            <w:noWrap w:val="false"/>
          </w:tcPr>
          <w:p>
            <w:pPr>
              <w:pStyle w:val="88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500"/>
        </w:trPr>
        <w:tc>
          <w:tcPr>
            <w:shd w:val="clear" w:color="auto" w:fill="ffffff"/>
            <w:tcBorders>
              <w:top w:val="single" w:color="000000" w:sz="8" w:space="0"/>
              <w:left w:val="single" w:color="000000" w:sz="8" w:space="0"/>
              <w:bottom w:val="single" w:color="000000" w:sz="8" w:space="0"/>
              <w:right w:val="single" w:color="000000" w:sz="8" w:space="0"/>
            </w:tcBorders>
            <w:tcW w:w="361" w:type="dxa"/>
            <w:vAlign w:val="center"/>
            <w:vMerge w:val="continue"/>
            <w:textDirection w:val="lrTb"/>
            <w:noWrap w:val="false"/>
          </w:tcPr>
          <w:p>
            <w:pPr>
              <w:pStyle w:val="883"/>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478" w:type="dxa"/>
            <w:vAlign w:val="center"/>
            <w:vMerge w:val="continue"/>
            <w:textDirection w:val="lrTb"/>
            <w:noWrap w:val="false"/>
          </w:tcPr>
          <w:p>
            <w:pPr>
              <w:pStyle w:val="88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938"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预约挂号</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2358" w:type="dxa"/>
            <w:vAlign w:val="center"/>
            <w:textDirection w:val="lrTb"/>
            <w:noWrap w:val="false"/>
          </w:tcPr>
          <w:p>
            <w:pPr>
              <w:pStyle w:val="883"/>
              <w:jc w:val="left"/>
              <w:spacing w:line="360" w:lineRule="auto"/>
              <w:widowControl/>
              <w:rPr>
                <w:rFonts w:hint="eastAsia"/>
                <w:lang w:val="en-US" w:eastAsia="zh-CN"/>
              </w:rPr>
            </w:pPr>
            <w:r>
              <w:rPr>
                <w:rFonts w:hint="eastAsia" w:ascii="宋体" w:hAnsi="宋体" w:eastAsia="宋体" w:cs="宋体"/>
                <w:color w:val="000000"/>
                <w:sz w:val="21"/>
                <w:szCs w:val="21"/>
              </w:rPr>
              <w:t xml:space="preserve">可以预约全院规定时间内的开放号源，选择挂号科室后，显示该科室所有出诊医生的出诊信息，并可进行预约、在线支付挂号费。预约成功后，自动向患者推送预约成功及导医信息（HIS支持就诊时间、诊室楼层位置）。就诊前一天自动推送就诊提醒，提醒患者第二天按时就诊；如有停诊，自动推送停诊通知。</w:t>
            </w:r>
            <w:r>
              <w:rPr>
                <w:rFonts w:hint="eastAsia"/>
                <w:lang w:val="en-US" w:eastAsia="zh-CN"/>
              </w:rPr>
            </w:r>
            <w:r/>
          </w:p>
        </w:tc>
        <w:tc>
          <w:tcPr>
            <w:shd w:val="clear" w:color="auto" w:fill="ffffff"/>
            <w:tcBorders>
              <w:top w:val="single" w:color="000000" w:sz="8" w:space="0"/>
              <w:left w:val="single" w:color="000000" w:sz="8" w:space="0"/>
              <w:bottom w:val="single" w:color="000000" w:sz="8" w:space="0"/>
              <w:right w:val="single" w:color="000000" w:sz="8" w:space="0"/>
            </w:tcBorders>
            <w:tcW w:w="863" w:type="dxa"/>
            <w:vAlign w:val="center"/>
            <w:textDirection w:val="lrTb"/>
            <w:noWrap w:val="false"/>
          </w:tcPr>
          <w:p>
            <w:pPr>
              <w:pStyle w:val="88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270"/>
        </w:trPr>
        <w:tc>
          <w:tcPr>
            <w:shd w:val="clear" w:color="auto" w:fill="ffffff"/>
            <w:tcBorders>
              <w:top w:val="single" w:color="000000" w:sz="8" w:space="0"/>
              <w:left w:val="single" w:color="000000" w:sz="8" w:space="0"/>
              <w:bottom w:val="single" w:color="000000" w:sz="8" w:space="0"/>
              <w:right w:val="single" w:color="000000" w:sz="8" w:space="0"/>
            </w:tcBorders>
            <w:tcW w:w="361" w:type="dxa"/>
            <w:vAlign w:val="center"/>
            <w:vMerge w:val="continue"/>
            <w:textDirection w:val="lrTb"/>
            <w:noWrap w:val="false"/>
          </w:tcPr>
          <w:p>
            <w:pPr>
              <w:pStyle w:val="883"/>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478" w:type="dxa"/>
            <w:vAlign w:val="center"/>
            <w:vMerge w:val="continue"/>
            <w:textDirection w:val="lrTb"/>
            <w:noWrap w:val="false"/>
          </w:tcPr>
          <w:p>
            <w:pPr>
              <w:pStyle w:val="88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938"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取消挂号</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2358"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在就诊日前，患者可在微信完成取消挂号操作，释放号源</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863" w:type="dxa"/>
            <w:vAlign w:val="center"/>
            <w:textDirection w:val="lrTb"/>
            <w:noWrap w:val="false"/>
          </w:tcPr>
          <w:p>
            <w:pPr>
              <w:pStyle w:val="88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270"/>
        </w:trPr>
        <w:tc>
          <w:tcPr>
            <w:shd w:val="clear" w:color="auto" w:fill="ffffff"/>
            <w:tcBorders>
              <w:top w:val="single" w:color="000000" w:sz="8" w:space="0"/>
              <w:left w:val="single" w:color="000000" w:sz="8" w:space="0"/>
              <w:bottom w:val="single" w:color="000000" w:sz="8" w:space="0"/>
              <w:right w:val="single" w:color="000000" w:sz="8" w:space="0"/>
            </w:tcBorders>
            <w:tcW w:w="361" w:type="dxa"/>
            <w:vAlign w:val="center"/>
            <w:vMerge w:val="continue"/>
            <w:textDirection w:val="lrTb"/>
            <w:noWrap w:val="false"/>
          </w:tcPr>
          <w:p>
            <w:pPr>
              <w:pStyle w:val="883"/>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478" w:type="dxa"/>
            <w:vAlign w:val="center"/>
            <w:vMerge w:val="continue"/>
            <w:textDirection w:val="lrTb"/>
            <w:noWrap w:val="false"/>
          </w:tcPr>
          <w:p>
            <w:pPr>
              <w:pStyle w:val="88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938"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诊间线上支付</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2358"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支持在医生开单后，用户收到缴费信息后，可在线支付</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863"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投标人需出具能对接现有线上医保结算功能的承诺函</w:t>
            </w:r>
            <w:r>
              <w:rPr>
                <w:rFonts w:hint="eastAsia" w:ascii="宋体" w:hAnsi="宋体" w:eastAsia="宋体" w:cs="宋体"/>
                <w:color w:val="000000"/>
                <w:sz w:val="21"/>
                <w:szCs w:val="21"/>
                <w:highlight w:val="none"/>
                <w:lang w:eastAsia="zh-CN"/>
              </w:rPr>
              <w:t xml:space="preserve">，如不提供视为符合性审查不合格</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8" w:space="0"/>
              <w:left w:val="single" w:color="000000" w:sz="8" w:space="0"/>
              <w:bottom w:val="single" w:color="000000" w:sz="8" w:space="0"/>
              <w:right w:val="single" w:color="000000" w:sz="8" w:space="0"/>
            </w:tcBorders>
            <w:tcW w:w="361" w:type="dxa"/>
            <w:vAlign w:val="center"/>
            <w:vMerge w:val="continue"/>
            <w:textDirection w:val="lrTb"/>
            <w:noWrap w:val="false"/>
          </w:tcPr>
          <w:p>
            <w:pPr>
              <w:pStyle w:val="883"/>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478" w:type="dxa"/>
            <w:vAlign w:val="center"/>
            <w:vMerge w:val="continue"/>
            <w:textDirection w:val="lrTb"/>
            <w:noWrap w:val="false"/>
          </w:tcPr>
          <w:p>
            <w:pPr>
              <w:pStyle w:val="88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938"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院内检验报告查询</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2358"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可在微信查看绑卡患者的院内已审核的检验文字报告</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863" w:type="dxa"/>
            <w:vAlign w:val="center"/>
            <w:textDirection w:val="lrTb"/>
            <w:noWrap w:val="false"/>
          </w:tcPr>
          <w:p>
            <w:pPr>
              <w:pStyle w:val="88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270"/>
        </w:trPr>
        <w:tc>
          <w:tcPr>
            <w:shd w:val="clear" w:color="auto" w:fill="ffffff"/>
            <w:tcBorders>
              <w:top w:val="single" w:color="000000" w:sz="8" w:space="0"/>
              <w:left w:val="single" w:color="000000" w:sz="8" w:space="0"/>
              <w:bottom w:val="single" w:color="000000" w:sz="8" w:space="0"/>
              <w:right w:val="single" w:color="000000" w:sz="8" w:space="0"/>
            </w:tcBorders>
            <w:tcW w:w="361" w:type="dxa"/>
            <w:vAlign w:val="center"/>
            <w:vMerge w:val="continue"/>
            <w:textDirection w:val="lrTb"/>
            <w:noWrap w:val="false"/>
          </w:tcPr>
          <w:p>
            <w:pPr>
              <w:pStyle w:val="883"/>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478" w:type="dxa"/>
            <w:vAlign w:val="center"/>
            <w:vMerge w:val="continue"/>
            <w:textDirection w:val="lrTb"/>
            <w:noWrap w:val="false"/>
          </w:tcPr>
          <w:p>
            <w:pPr>
              <w:pStyle w:val="88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938"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院内检查报告查询</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2358"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可在微信查看绑卡患者的院内已审核的检查文字报告</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863" w:type="dxa"/>
            <w:vAlign w:val="center"/>
            <w:textDirection w:val="lrTb"/>
            <w:noWrap w:val="false"/>
          </w:tcPr>
          <w:p>
            <w:pPr>
              <w:pStyle w:val="88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270"/>
        </w:trPr>
        <w:tc>
          <w:tcPr>
            <w:shd w:val="clear" w:color="auto" w:fill="ffffff"/>
            <w:tcBorders>
              <w:top w:val="single" w:color="000000" w:sz="8" w:space="0"/>
              <w:left w:val="single" w:color="000000" w:sz="8" w:space="0"/>
              <w:bottom w:val="single" w:color="000000" w:sz="8" w:space="0"/>
              <w:right w:val="single" w:color="000000" w:sz="8" w:space="0"/>
            </w:tcBorders>
            <w:tcW w:w="361" w:type="dxa"/>
            <w:vAlign w:val="center"/>
            <w:vMerge w:val="continue"/>
            <w:textDirection w:val="lrTb"/>
            <w:noWrap w:val="false"/>
          </w:tcPr>
          <w:p>
            <w:pPr>
              <w:pStyle w:val="883"/>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478" w:type="dxa"/>
            <w:vAlign w:val="center"/>
            <w:vMerge w:val="continue"/>
            <w:textDirection w:val="lrTb"/>
            <w:noWrap w:val="false"/>
          </w:tcPr>
          <w:p>
            <w:pPr>
              <w:pStyle w:val="88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938"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线上退费</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2358"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针对线上支付的订单可进行原路退回</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863" w:type="dxa"/>
            <w:vAlign w:val="center"/>
            <w:textDirection w:val="lrTb"/>
            <w:noWrap w:val="false"/>
          </w:tcPr>
          <w:p>
            <w:pPr>
              <w:pStyle w:val="88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810"/>
        </w:trPr>
        <w:tc>
          <w:tcPr>
            <w:shd w:val="clear" w:color="auto" w:fill="ffffff"/>
            <w:tcBorders>
              <w:top w:val="single" w:color="000000" w:sz="8" w:space="0"/>
              <w:left w:val="single" w:color="000000" w:sz="8" w:space="0"/>
              <w:bottom w:val="single" w:color="000000" w:sz="8" w:space="0"/>
              <w:right w:val="single" w:color="000000" w:sz="8" w:space="0"/>
            </w:tcBorders>
            <w:tcW w:w="361" w:type="dxa"/>
            <w:vAlign w:val="center"/>
            <w:vMerge w:val="continue"/>
            <w:textDirection w:val="lrTb"/>
            <w:noWrap w:val="false"/>
          </w:tcPr>
          <w:p>
            <w:pPr>
              <w:pStyle w:val="883"/>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478" w:type="dxa"/>
            <w:vAlign w:val="center"/>
            <w:vMerge w:val="continue"/>
            <w:textDirection w:val="lrTb"/>
            <w:noWrap w:val="false"/>
          </w:tcPr>
          <w:p>
            <w:pPr>
              <w:pStyle w:val="88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938"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对账管理</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2358"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为医院财务人员提供对账总览、对账明细、异常订单、已处理订单查询、订单查询功能（属于患者移动服务平台的对账管理模块流程优化）</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863"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540"/>
        </w:trPr>
        <w:tc>
          <w:tcPr>
            <w:shd w:val="clear" w:color="auto" w:fill="ffffff"/>
            <w:tcBorders>
              <w:top w:val="single" w:color="000000" w:sz="8" w:space="0"/>
              <w:left w:val="single" w:color="000000" w:sz="8" w:space="0"/>
              <w:bottom w:val="single" w:color="000000" w:sz="8" w:space="0"/>
              <w:right w:val="single" w:color="000000" w:sz="8" w:space="0"/>
            </w:tcBorders>
            <w:tcW w:w="361" w:type="dxa"/>
            <w:vAlign w:val="center"/>
            <w:vMerge w:val="continue"/>
            <w:textDirection w:val="lrTb"/>
            <w:noWrap w:val="false"/>
          </w:tcPr>
          <w:p>
            <w:pPr>
              <w:pStyle w:val="883"/>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478" w:type="dxa"/>
            <w:vAlign w:val="center"/>
            <w:vMerge w:val="continue"/>
            <w:textDirection w:val="lrTb"/>
            <w:noWrap w:val="false"/>
          </w:tcPr>
          <w:p>
            <w:pPr>
              <w:pStyle w:val="88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938"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挂号记录查询</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2358"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患者在移动端可以查看历史、当前的预约及挂号的详细信息，并可在线取消预约挂号</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863" w:type="dxa"/>
            <w:vAlign w:val="center"/>
            <w:textDirection w:val="lrTb"/>
            <w:noWrap w:val="false"/>
          </w:tcPr>
          <w:p>
            <w:pPr>
              <w:pStyle w:val="88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68"/>
        </w:trPr>
        <w:tc>
          <w:tcPr>
            <w:shd w:val="clear" w:color="auto" w:fill="ffffff"/>
            <w:tcBorders>
              <w:top w:val="single" w:color="000000" w:sz="8" w:space="0"/>
              <w:left w:val="single" w:color="000000" w:sz="8" w:space="0"/>
              <w:bottom w:val="single" w:color="000000" w:sz="8" w:space="0"/>
              <w:right w:val="single" w:color="000000" w:sz="8" w:space="0"/>
            </w:tcBorders>
            <w:tcW w:w="361" w:type="dxa"/>
            <w:vAlign w:val="center"/>
            <w:vMerge w:val="continue"/>
            <w:textDirection w:val="lrTb"/>
            <w:noWrap w:val="false"/>
          </w:tcPr>
          <w:p>
            <w:pPr>
              <w:pStyle w:val="883"/>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478" w:type="dxa"/>
            <w:vAlign w:val="center"/>
            <w:vMerge w:val="continue"/>
            <w:textDirection w:val="lrTb"/>
            <w:noWrap w:val="false"/>
          </w:tcPr>
          <w:p>
            <w:pPr>
              <w:pStyle w:val="88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938" w:type="dxa"/>
            <w:vAlign w:val="center"/>
            <w:vMerge w:val="restart"/>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获取就诊指引单信息</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2358" w:type="dxa"/>
            <w:vAlign w:val="center"/>
            <w:vMerge w:val="restart"/>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以查看患者就诊指引信息，包括取药、治疗、检验等项目地点</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863" w:type="dxa"/>
            <w:vAlign w:val="center"/>
            <w:vMerge w:val="restart"/>
            <w:textDirection w:val="lrTb"/>
            <w:noWrap w:val="false"/>
          </w:tcPr>
          <w:p>
            <w:pPr>
              <w:pStyle w:val="88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68"/>
        </w:trPr>
        <w:tc>
          <w:tcPr>
            <w:shd w:val="clear" w:color="auto" w:fill="ffffff"/>
            <w:tcBorders>
              <w:top w:val="single" w:color="000000" w:sz="8" w:space="0"/>
              <w:left w:val="single" w:color="000000" w:sz="8" w:space="0"/>
              <w:bottom w:val="single" w:color="000000" w:sz="8" w:space="0"/>
              <w:right w:val="single" w:color="000000" w:sz="8" w:space="0"/>
            </w:tcBorders>
            <w:tcW w:w="361" w:type="dxa"/>
            <w:vAlign w:val="center"/>
            <w:vMerge w:val="restart"/>
            <w:textDirection w:val="lrTb"/>
            <w:noWrap w:val="false"/>
          </w:tcPr>
          <w:p>
            <w:pPr>
              <w:pStyle w:val="883"/>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478" w:type="dxa"/>
            <w:vAlign w:val="center"/>
            <w:vMerge w:val="restart"/>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一站式住院应用</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938" w:type="dxa"/>
            <w:vAlign w:val="center"/>
            <w:vMerge w:val="restart"/>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住院预交金缴纳</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2358" w:type="dxa"/>
            <w:vAlign w:val="center"/>
            <w:vMerge w:val="restart"/>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可在线进行住院预交金充值</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863" w:type="dxa"/>
            <w:vAlign w:val="center"/>
            <w:vMerge w:val="restart"/>
            <w:textDirection w:val="lrTb"/>
            <w:noWrap w:val="false"/>
          </w:tcPr>
          <w:p>
            <w:pPr>
              <w:pStyle w:val="88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68"/>
        </w:trPr>
        <w:tc>
          <w:tcPr>
            <w:shd w:val="clear" w:color="auto" w:fill="ffffff"/>
            <w:tcBorders>
              <w:top w:val="single" w:color="000000" w:sz="8" w:space="0"/>
              <w:left w:val="single" w:color="000000" w:sz="8" w:space="0"/>
              <w:bottom w:val="single" w:color="000000" w:sz="8" w:space="0"/>
              <w:right w:val="single" w:color="000000" w:sz="8" w:space="0"/>
            </w:tcBorders>
            <w:tcW w:w="361" w:type="dxa"/>
            <w:vAlign w:val="center"/>
            <w:vMerge w:val="continue"/>
            <w:textDirection w:val="lrTb"/>
            <w:noWrap w:val="false"/>
          </w:tcPr>
          <w:p>
            <w:pPr>
              <w:pStyle w:val="883"/>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478" w:type="dxa"/>
            <w:vAlign w:val="center"/>
            <w:vMerge w:val="continue"/>
            <w:textDirection w:val="lrTb"/>
            <w:noWrap w:val="false"/>
          </w:tcPr>
          <w:p>
            <w:pPr>
              <w:pStyle w:val="88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938" w:type="dxa"/>
            <w:vAlign w:val="center"/>
            <w:vMerge w:val="restart"/>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住院预交金查询</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2358" w:type="dxa"/>
            <w:vAlign w:val="center"/>
            <w:vMerge w:val="restart"/>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可在线进行住院预交金充值记录及余额查询</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863" w:type="dxa"/>
            <w:vAlign w:val="center"/>
            <w:vMerge w:val="restart"/>
            <w:textDirection w:val="lrTb"/>
            <w:noWrap w:val="false"/>
          </w:tcPr>
          <w:p>
            <w:pPr>
              <w:pStyle w:val="88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595"/>
        </w:trPr>
        <w:tc>
          <w:tcPr>
            <w:shd w:val="clear" w:color="auto" w:fill="ffffff"/>
            <w:tcBorders>
              <w:top w:val="single" w:color="000000" w:sz="8" w:space="0"/>
              <w:left w:val="single" w:color="000000" w:sz="8" w:space="0"/>
              <w:bottom w:val="single" w:color="000000" w:sz="8" w:space="0"/>
              <w:right w:val="single" w:color="000000" w:sz="8" w:space="0"/>
            </w:tcBorders>
            <w:tcW w:w="361" w:type="dxa"/>
            <w:vAlign w:val="center"/>
            <w:vMerge w:val="continue"/>
            <w:textDirection w:val="lrTb"/>
            <w:noWrap w:val="false"/>
          </w:tcPr>
          <w:p>
            <w:pPr>
              <w:pStyle w:val="883"/>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478" w:type="dxa"/>
            <w:vAlign w:val="center"/>
            <w:vMerge w:val="continue"/>
            <w:textDirection w:val="lrTb"/>
            <w:noWrap w:val="false"/>
          </w:tcPr>
          <w:p>
            <w:pPr>
              <w:pStyle w:val="88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938"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住院每日费用清单查询</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2358"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支持住院每日清单推送及患者在线查看</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863" w:type="dxa"/>
            <w:vAlign w:val="center"/>
            <w:textDirection w:val="lrTb"/>
            <w:noWrap w:val="false"/>
          </w:tcPr>
          <w:p>
            <w:pPr>
              <w:pStyle w:val="88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00"/>
        </w:trPr>
        <w:tc>
          <w:tcPr>
            <w:shd w:val="clear" w:color="auto" w:fill="ffffff"/>
            <w:tcBorders>
              <w:top w:val="single" w:color="000000" w:sz="8" w:space="0"/>
              <w:left w:val="single" w:color="000000" w:sz="8" w:space="0"/>
              <w:bottom w:val="single" w:color="000000" w:sz="8" w:space="0"/>
              <w:right w:val="single" w:color="000000" w:sz="8" w:space="0"/>
            </w:tcBorders>
            <w:tcW w:w="361" w:type="dxa"/>
            <w:vAlign w:val="center"/>
            <w:vMerge w:val="continue"/>
            <w:textDirection w:val="lrTb"/>
            <w:noWrap w:val="false"/>
          </w:tcPr>
          <w:p>
            <w:pPr>
              <w:pStyle w:val="883"/>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478" w:type="dxa"/>
            <w:vAlign w:val="center"/>
            <w:vMerge w:val="continue"/>
            <w:textDirection w:val="lrTb"/>
            <w:noWrap w:val="false"/>
          </w:tcPr>
          <w:p>
            <w:pPr>
              <w:pStyle w:val="88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938"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住院费用汇总查询</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2358"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患者可查看住院期间的所有费用</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863" w:type="dxa"/>
            <w:vAlign w:val="center"/>
            <w:textDirection w:val="lrTb"/>
            <w:noWrap w:val="false"/>
          </w:tcPr>
          <w:p>
            <w:pPr>
              <w:pStyle w:val="88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640"/>
        </w:trPr>
        <w:tc>
          <w:tcPr>
            <w:shd w:val="clear" w:color="auto" w:fill="ffffff"/>
            <w:tcBorders>
              <w:top w:val="single" w:color="000000" w:sz="8" w:space="0"/>
              <w:left w:val="single" w:color="000000" w:sz="8" w:space="0"/>
              <w:bottom w:val="single" w:color="000000" w:sz="8" w:space="0"/>
              <w:right w:val="single" w:color="000000" w:sz="8" w:space="0"/>
            </w:tcBorders>
            <w:tcW w:w="361" w:type="dxa"/>
            <w:vAlign w:val="center"/>
            <w:vMerge w:val="continue"/>
            <w:textDirection w:val="lrTb"/>
            <w:noWrap w:val="false"/>
          </w:tcPr>
          <w:p>
            <w:pPr>
              <w:pStyle w:val="883"/>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478" w:type="dxa"/>
            <w:vAlign w:val="center"/>
            <w:vMerge w:val="continue"/>
            <w:textDirection w:val="lrTb"/>
            <w:noWrap w:val="false"/>
          </w:tcPr>
          <w:p>
            <w:pPr>
              <w:pStyle w:val="88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938"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住院费用分类明细查询</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2358"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者可查看住院期间的具体费用明细内容</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863" w:type="dxa"/>
            <w:vAlign w:val="center"/>
            <w:textDirection w:val="lrTb"/>
            <w:noWrap w:val="false"/>
          </w:tcPr>
          <w:p>
            <w:pPr>
              <w:pStyle w:val="88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270"/>
        </w:trPr>
        <w:tc>
          <w:tcPr>
            <w:shd w:val="clear" w:color="auto" w:fill="ffffff"/>
            <w:tcBorders>
              <w:top w:val="single" w:color="000000" w:sz="8" w:space="0"/>
              <w:left w:val="single" w:color="000000" w:sz="8" w:space="0"/>
              <w:bottom w:val="single" w:color="000000" w:sz="8" w:space="0"/>
              <w:right w:val="single" w:color="000000" w:sz="8" w:space="0"/>
            </w:tcBorders>
            <w:tcW w:w="361" w:type="dxa"/>
            <w:vAlign w:val="center"/>
            <w:vMerge w:val="continue"/>
            <w:textDirection w:val="lrTb"/>
            <w:noWrap w:val="false"/>
          </w:tcPr>
          <w:p>
            <w:pPr>
              <w:pStyle w:val="883"/>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478" w:type="dxa"/>
            <w:vAlign w:val="center"/>
            <w:vMerge w:val="continue"/>
            <w:textDirection w:val="lrTb"/>
            <w:noWrap w:val="false"/>
          </w:tcPr>
          <w:p>
            <w:pPr>
              <w:pStyle w:val="88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938"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患者住院业务功能检测</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2358"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校验患者的住院信息</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863" w:type="dxa"/>
            <w:vAlign w:val="center"/>
            <w:textDirection w:val="lrTb"/>
            <w:noWrap w:val="false"/>
          </w:tcPr>
          <w:p>
            <w:pPr>
              <w:pStyle w:val="88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270"/>
        </w:trPr>
        <w:tc>
          <w:tcPr>
            <w:shd w:val="clear" w:color="auto" w:fill="ffffff"/>
            <w:tcBorders>
              <w:top w:val="single" w:color="000000" w:sz="8" w:space="0"/>
              <w:left w:val="single" w:color="000000" w:sz="8" w:space="0"/>
              <w:bottom w:val="single" w:color="000000" w:sz="8" w:space="0"/>
              <w:right w:val="single" w:color="000000" w:sz="8" w:space="0"/>
            </w:tcBorders>
            <w:tcW w:w="361" w:type="dxa"/>
            <w:vAlign w:val="center"/>
            <w:vMerge w:val="continue"/>
            <w:textDirection w:val="lrTb"/>
            <w:noWrap w:val="false"/>
          </w:tcPr>
          <w:p>
            <w:pPr>
              <w:pStyle w:val="883"/>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478" w:type="dxa"/>
            <w:vAlign w:val="center"/>
            <w:vMerge w:val="continue"/>
            <w:textDirection w:val="lrTb"/>
            <w:noWrap w:val="false"/>
          </w:tcPr>
          <w:p>
            <w:pPr>
              <w:pStyle w:val="88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938"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住院患者出院带药查询</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2358"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出院患者可在线查询出院所带药品详细信息和药品用量用法</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863" w:type="dxa"/>
            <w:vAlign w:val="center"/>
            <w:textDirection w:val="lrTb"/>
            <w:noWrap w:val="false"/>
          </w:tcPr>
          <w:p>
            <w:pPr>
              <w:pStyle w:val="88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540"/>
        </w:trPr>
        <w:tc>
          <w:tcPr>
            <w:shd w:val="clear" w:color="auto" w:fill="ffffff"/>
            <w:tcBorders>
              <w:top w:val="single" w:color="000000" w:sz="8" w:space="0"/>
              <w:left w:val="single" w:color="000000" w:sz="8" w:space="0"/>
              <w:bottom w:val="single" w:color="000000" w:sz="8" w:space="0"/>
              <w:right w:val="single" w:color="000000" w:sz="8" w:space="0"/>
            </w:tcBorders>
            <w:tcW w:w="361" w:type="dxa"/>
            <w:vAlign w:val="center"/>
            <w:vMerge w:val="continue"/>
            <w:textDirection w:val="lrTb"/>
            <w:noWrap w:val="false"/>
          </w:tcPr>
          <w:p>
            <w:pPr>
              <w:pStyle w:val="883"/>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478" w:type="dxa"/>
            <w:vAlign w:val="center"/>
            <w:vMerge w:val="continue"/>
            <w:textDirection w:val="lrTb"/>
            <w:noWrap w:val="false"/>
          </w:tcPr>
          <w:p>
            <w:pPr>
              <w:pStyle w:val="88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938"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住院评价</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2358"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住院患者可对住院期间的环境、医生与护士的专业水平、态度等进行评价</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863" w:type="dxa"/>
            <w:vAlign w:val="center"/>
            <w:textDirection w:val="lrTb"/>
            <w:noWrap w:val="false"/>
          </w:tcPr>
          <w:p>
            <w:pPr>
              <w:pStyle w:val="88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540"/>
        </w:trPr>
        <w:tc>
          <w:tcPr>
            <w:shd w:val="clear" w:color="auto" w:fill="ffffff"/>
            <w:tcBorders>
              <w:top w:val="single" w:color="000000" w:sz="8" w:space="0"/>
              <w:left w:val="single" w:color="000000" w:sz="8" w:space="0"/>
              <w:bottom w:val="single" w:color="000000" w:sz="8" w:space="0"/>
              <w:right w:val="single" w:color="000000" w:sz="8" w:space="0"/>
            </w:tcBorders>
            <w:tcW w:w="361" w:type="dxa"/>
            <w:vAlign w:val="center"/>
            <w:vMerge w:val="restart"/>
            <w:textDirection w:val="lrTb"/>
            <w:noWrap w:val="false"/>
          </w:tcPr>
          <w:p>
            <w:pPr>
              <w:pStyle w:val="883"/>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478" w:type="dxa"/>
            <w:vAlign w:val="center"/>
            <w:vMerge w:val="restart"/>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便民服务功能（拓展应用）</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938"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获取患者电子发票</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2358"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患者完成线上支付后，可即时查看生成的电子发票，解决发票数量大时查询缓慢问题，可以指定时间段快速查询</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863" w:type="dxa"/>
            <w:vAlign w:val="center"/>
            <w:textDirection w:val="lrTb"/>
            <w:noWrap w:val="false"/>
          </w:tcPr>
          <w:p>
            <w:pPr>
              <w:pStyle w:val="88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540"/>
        </w:trPr>
        <w:tc>
          <w:tcPr>
            <w:shd w:val="clear" w:color="auto" w:fill="ffffff"/>
            <w:tcBorders>
              <w:top w:val="single" w:color="000000" w:sz="8" w:space="0"/>
              <w:left w:val="single" w:color="000000" w:sz="8" w:space="0"/>
              <w:bottom w:val="single" w:color="000000" w:sz="8" w:space="0"/>
              <w:right w:val="single" w:color="000000" w:sz="8" w:space="0"/>
            </w:tcBorders>
            <w:tcW w:w="361" w:type="dxa"/>
            <w:vAlign w:val="center"/>
            <w:vMerge w:val="continue"/>
            <w:textDirection w:val="lrTb"/>
            <w:noWrap w:val="false"/>
          </w:tcPr>
          <w:p>
            <w:pPr>
              <w:pStyle w:val="883"/>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478" w:type="dxa"/>
            <w:vAlign w:val="center"/>
            <w:vMerge w:val="continue"/>
            <w:textDirection w:val="lrTb"/>
            <w:noWrap w:val="false"/>
          </w:tcPr>
          <w:p>
            <w:pPr>
              <w:pStyle w:val="88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938"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新版首页</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2358"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微首页将院内服务形成就医闭环，患者可在首页完成所有的就医流程，缩小医院与患者的距离，达成一站式就医体验</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863" w:type="dxa"/>
            <w:vAlign w:val="center"/>
            <w:textDirection w:val="lrTb"/>
            <w:noWrap w:val="false"/>
          </w:tcPr>
          <w:p>
            <w:pPr>
              <w:pStyle w:val="88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270"/>
        </w:trPr>
        <w:tc>
          <w:tcPr>
            <w:shd w:val="clear" w:color="auto" w:fill="ffffff"/>
            <w:tcBorders>
              <w:top w:val="single" w:color="000000" w:sz="8" w:space="0"/>
              <w:left w:val="single" w:color="000000" w:sz="8" w:space="0"/>
              <w:bottom w:val="single" w:color="000000" w:sz="8" w:space="0"/>
              <w:right w:val="single" w:color="000000" w:sz="8" w:space="0"/>
            </w:tcBorders>
            <w:tcW w:w="361" w:type="dxa"/>
            <w:vAlign w:val="center"/>
            <w:vMerge w:val="continue"/>
            <w:textDirection w:val="lrTb"/>
            <w:noWrap w:val="false"/>
          </w:tcPr>
          <w:p>
            <w:pPr>
              <w:pStyle w:val="883"/>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478" w:type="dxa"/>
            <w:vAlign w:val="center"/>
            <w:vMerge w:val="continue"/>
            <w:textDirection w:val="lrTb"/>
            <w:noWrap w:val="false"/>
          </w:tcPr>
          <w:p>
            <w:pPr>
              <w:pStyle w:val="88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938"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服务接口V3版本升级</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2358"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升级现有1.1.2接口版本，使用最新接口版本3.8.2</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863" w:type="dxa"/>
            <w:vAlign w:val="center"/>
            <w:textDirection w:val="lrTb"/>
            <w:noWrap w:val="false"/>
          </w:tcPr>
          <w:p>
            <w:pPr>
              <w:pStyle w:val="88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540"/>
        </w:trPr>
        <w:tc>
          <w:tcPr>
            <w:shd w:val="clear" w:color="auto" w:fill="ffffff"/>
            <w:tcBorders>
              <w:top w:val="single" w:color="000000" w:sz="8" w:space="0"/>
              <w:left w:val="single" w:color="000000" w:sz="8" w:space="0"/>
              <w:bottom w:val="single" w:color="000000" w:sz="8" w:space="0"/>
              <w:right w:val="single" w:color="000000" w:sz="8" w:space="0"/>
            </w:tcBorders>
            <w:tcW w:w="361" w:type="dxa"/>
            <w:vAlign w:val="center"/>
            <w:textDirection w:val="lrTb"/>
            <w:noWrap w:val="false"/>
          </w:tcPr>
          <w:p>
            <w:pPr>
              <w:pStyle w:val="883"/>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478"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数据治理（后端治理）</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938"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过往业务数据排查，优化分类</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2358"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超68万用户应用产生数据中存在不合格数据、异常数据，业务数据排查，优化分类</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863"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highlight w:val="none"/>
              </w:rPr>
              <w:t xml:space="preserve">投标人需出具现有在用患者历史数据可正常应用的承诺函</w:t>
            </w:r>
            <w:r>
              <w:rPr>
                <w:rFonts w:hint="eastAsia" w:ascii="宋体" w:hAnsi="宋体" w:eastAsia="宋体" w:cs="宋体"/>
                <w:color w:val="000000"/>
                <w:sz w:val="21"/>
                <w:szCs w:val="21"/>
                <w:highlight w:val="none"/>
                <w:lang w:eastAsia="zh-CN"/>
              </w:rPr>
              <w:t xml:space="preserve">，如不提供视为符合性审查不合格。</w:t>
            </w:r>
            <w:r>
              <w:rPr>
                <w:rFonts w:hint="eastAsia" w:ascii="宋体" w:hAnsi="宋体" w:eastAsia="宋体" w:cs="宋体"/>
                <w:color w:val="000000"/>
                <w:sz w:val="21"/>
                <w:szCs w:val="21"/>
              </w:rPr>
            </w:r>
            <w:r/>
          </w:p>
        </w:tc>
      </w:tr>
      <w:tr>
        <w:trPr>
          <w:trHeight w:val="1350"/>
        </w:trPr>
        <w:tc>
          <w:tcPr>
            <w:shd w:val="clear" w:color="auto" w:fill="ffffff"/>
            <w:tcBorders>
              <w:top w:val="single" w:color="000000" w:sz="8" w:space="0"/>
              <w:left w:val="single" w:color="000000" w:sz="8" w:space="0"/>
              <w:bottom w:val="single" w:color="000000" w:sz="8" w:space="0"/>
              <w:right w:val="single" w:color="000000" w:sz="8" w:space="0"/>
            </w:tcBorders>
            <w:tcW w:w="361" w:type="dxa"/>
            <w:vAlign w:val="center"/>
            <w:vMerge w:val="restart"/>
            <w:textDirection w:val="lrTb"/>
            <w:noWrap w:val="false"/>
          </w:tcPr>
          <w:p>
            <w:pPr>
              <w:pStyle w:val="883"/>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478" w:type="dxa"/>
            <w:vAlign w:val="center"/>
            <w:vMerge w:val="restart"/>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医院业务系统改造升级（后端业务系统改造）</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938"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门诊挂缴查部分共计16个接口重塑</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2358"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患者信息查询接口、门诊出诊科室信息查询、医生出诊信息查询、获取优惠费用信息、号源查询、预约接口、取消预约、取号接口、预约退号、获取预约列表、获取待缴费列表、挂号记录查询、获取待缴费用明细、诊间费用结算、已缴费列表记录查询、已缴费明细记录查询；</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863"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270"/>
        </w:trPr>
        <w:tc>
          <w:tcPr>
            <w:shd w:val="clear" w:color="auto" w:fill="ffffff"/>
            <w:tcBorders>
              <w:top w:val="single" w:color="000000" w:sz="8" w:space="0"/>
              <w:left w:val="single" w:color="000000" w:sz="8" w:space="0"/>
              <w:bottom w:val="single" w:color="000000" w:sz="8" w:space="0"/>
              <w:right w:val="single" w:color="000000" w:sz="8" w:space="0"/>
            </w:tcBorders>
            <w:tcW w:w="361" w:type="dxa"/>
            <w:vAlign w:val="center"/>
            <w:vMerge w:val="continue"/>
            <w:textDirection w:val="lrTb"/>
            <w:noWrap w:val="false"/>
          </w:tcPr>
          <w:p>
            <w:pPr>
              <w:pStyle w:val="883"/>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478" w:type="dxa"/>
            <w:vAlign w:val="center"/>
            <w:vMerge w:val="continue"/>
            <w:textDirection w:val="lrTb"/>
            <w:noWrap w:val="false"/>
          </w:tcPr>
          <w:p>
            <w:pPr>
              <w:pStyle w:val="88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938"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就诊记录与指引接口重塑</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2358"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门诊就诊记录列表查询、指引单获取；</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863" w:type="dxa"/>
            <w:vAlign w:val="center"/>
            <w:textDirection w:val="lrTb"/>
            <w:noWrap w:val="false"/>
          </w:tcPr>
          <w:p>
            <w:pPr>
              <w:pStyle w:val="88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270"/>
        </w:trPr>
        <w:tc>
          <w:tcPr>
            <w:shd w:val="clear" w:color="auto" w:fill="ffffff"/>
            <w:tcBorders>
              <w:top w:val="single" w:color="000000" w:sz="8" w:space="0"/>
              <w:left w:val="single" w:color="000000" w:sz="8" w:space="0"/>
              <w:bottom w:val="single" w:color="000000" w:sz="8" w:space="0"/>
              <w:right w:val="single" w:color="000000" w:sz="8" w:space="0"/>
            </w:tcBorders>
            <w:tcW w:w="361" w:type="dxa"/>
            <w:vAlign w:val="center"/>
            <w:vMerge w:val="continue"/>
            <w:textDirection w:val="lrTb"/>
            <w:noWrap w:val="false"/>
          </w:tcPr>
          <w:p>
            <w:pPr>
              <w:pStyle w:val="883"/>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478" w:type="dxa"/>
            <w:vAlign w:val="center"/>
            <w:vMerge w:val="continue"/>
            <w:textDirection w:val="lrTb"/>
            <w:noWrap w:val="false"/>
          </w:tcPr>
          <w:p>
            <w:pPr>
              <w:pStyle w:val="88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938"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住院业务接口重塑</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2358"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住院患者查询、住院预交金缴纳、住院预交金缴纳记录查询；</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863" w:type="dxa"/>
            <w:vAlign w:val="center"/>
            <w:textDirection w:val="lrTb"/>
            <w:noWrap w:val="false"/>
          </w:tcPr>
          <w:p>
            <w:pPr>
              <w:pStyle w:val="88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540"/>
        </w:trPr>
        <w:tc>
          <w:tcPr>
            <w:shd w:val="clear" w:color="auto" w:fill="ffffff"/>
            <w:tcBorders>
              <w:top w:val="single" w:color="000000" w:sz="8" w:space="0"/>
              <w:left w:val="single" w:color="000000" w:sz="8" w:space="0"/>
              <w:bottom w:val="single" w:color="000000" w:sz="8" w:space="0"/>
              <w:right w:val="single" w:color="000000" w:sz="8" w:space="0"/>
            </w:tcBorders>
            <w:tcW w:w="361" w:type="dxa"/>
            <w:vAlign w:val="center"/>
            <w:vMerge w:val="continue"/>
            <w:textDirection w:val="lrTb"/>
            <w:noWrap w:val="false"/>
          </w:tcPr>
          <w:p>
            <w:pPr>
              <w:pStyle w:val="883"/>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478" w:type="dxa"/>
            <w:vAlign w:val="center"/>
            <w:vMerge w:val="continue"/>
            <w:textDirection w:val="lrTb"/>
            <w:noWrap w:val="false"/>
          </w:tcPr>
          <w:p>
            <w:pPr>
              <w:pStyle w:val="88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938"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医技模块接口重塑</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2358" w:type="dxa"/>
            <w:vAlign w:val="center"/>
            <w:textDirection w:val="lrTb"/>
            <w:noWrap w:val="false"/>
          </w:tcPr>
          <w:p>
            <w:pPr>
              <w:pStyle w:val="883"/>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获取检验报告列表、获取检验报告明细、获取检查报告列表、获取检查报告明细</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863" w:type="dxa"/>
            <w:vAlign w:val="center"/>
            <w:textDirection w:val="lrTb"/>
            <w:noWrap w:val="false"/>
          </w:tcPr>
          <w:p>
            <w:pPr>
              <w:pStyle w:val="88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患者移动服务平台整体改造升级主要应用端主要表现在三个方面：</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(1)现有业务逻辑及接口全部重新构造，改善数据交互响应效率；解决卡慢、报错及操作异常等问题；</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(2)平台前置机服务最新版本重新部署搭建，提高服务性能及可扩展性。</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(3)平台应用端功能全面改造优化，提升患者使用体验，增加用户黏性。</w:t>
      </w:r>
      <w:r>
        <w:rPr>
          <w:rFonts w:hint="eastAsia" w:ascii="宋体" w:hAnsi="宋体" w:eastAsia="宋体" w:cs="宋体"/>
          <w:b w:val="0"/>
          <w:bCs w:val="0"/>
          <w:sz w:val="24"/>
          <w:szCs w:val="24"/>
          <w:lang w:eastAsia="zh-CN"/>
        </w:rPr>
      </w:r>
      <w:r/>
    </w:p>
    <w:p>
      <w:pPr>
        <w:pStyle w:val="883"/>
        <w:ind w:firstLine="562"/>
        <w:spacing w:line="360" w:lineRule="auto"/>
        <w:rPr>
          <w:rFonts w:ascii="宋体" w:hAnsi="宋体"/>
          <w:b/>
          <w:color w:val="000000"/>
          <w:sz w:val="28"/>
          <w:szCs w:val="22"/>
        </w:rPr>
        <w:outlineLvl w:val="0"/>
      </w:pPr>
      <w:r>
        <w:rPr>
          <w:rFonts w:hint="eastAsia" w:ascii="宋体" w:hAnsi="宋体"/>
          <w:b/>
          <w:color w:val="000000"/>
          <w:sz w:val="28"/>
          <w:szCs w:val="22"/>
        </w:rPr>
        <w:t xml:space="preserve">5.技术要求</w:t>
      </w:r>
      <w:r>
        <w:rPr>
          <w:rFonts w:ascii="宋体" w:hAnsi="宋体"/>
          <w:b/>
          <w:color w:val="000000"/>
          <w:sz w:val="28"/>
          <w:szCs w:val="22"/>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5.1项目组织管理要求</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(1)报价人应充分考虑满足投标项目的建设要求，提出完整的项目管理、项目实施、项目培训、项目验收、售后服务方案；</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(2)报价人须提供可靠的售后服务保障，保证提供长期、稳定的技术支持服务；</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(3)项目实施中，应设立项目负责人制，项目负责人应具有医院信息系统实施及服务经验，实施工程师应具有计算机专业背景，有医院信息系统相关工作经验。</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(4)售后服务过程中，服务人员有医院信息系统相关工作经验，有相关的技术水平和解决问题的能力。</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5.2项目培训要求</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报价人须提出详细的项目培训计划，具体如下：</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(1)对不同对象的培训计划；</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(2)培训课程安排、培训方式由报价人提供，时间、地点及场所由采购方提供；</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(3)提供系统操作培训。</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5.3项目售后服务要求</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(1)报价人须根据本次招标文件所制定的目标和范围，提出相应的售后服务方案。</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(2)技术支持要求：为了保证本次项目顺利成功，要求中标供应商承诺项目验收后提供7*24小时售后技术服务。质保期内出现问题，2小时内做出明确响应和安排：即时通过电话、Email或传真等远程方式查找紧急事件的事发原因并通过远程途径解决相应问题。12小时内到达现场，24小时内解决问题，提供不间断的服务直到系统正常运行；提供固定1名技术客服人员随时提供技术服务。质保期内，中标供应商</w:t>
      </w:r>
      <w:r>
        <w:rPr>
          <w:rFonts w:hint="eastAsia" w:ascii="宋体" w:hAnsi="宋体" w:eastAsia="宋体" w:cs="宋体"/>
          <w:b w:val="0"/>
          <w:bCs w:val="0"/>
          <w:sz w:val="24"/>
          <w:szCs w:val="24"/>
          <w:lang w:val="en-US" w:eastAsia="zh-CN"/>
        </w:rPr>
        <w:t xml:space="preserve">免费提供维护服务</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(3)售后服务内容：包括功能完善、故障排除、定期巡检、性能调优、技术咨询、数据库优化等，并负责系统的开发、处理、协调与各系统软件等供应商的关系等，具体内容双方协商确定。</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(4)质保期内中标单位提供工程师1人进行维护服务。遵从采购方的工作时间和工作地点安排，接受采购方的维护服务考核。</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(5)系统升级服务：在质保服务期内，中标供应商应伴随软件产品的更新服务，</w:t>
      </w:r>
      <w:r>
        <w:rPr>
          <w:rFonts w:hint="eastAsia" w:ascii="宋体" w:hAnsi="宋体" w:cs="宋体"/>
          <w:sz w:val="24"/>
          <w:szCs w:val="24"/>
        </w:rPr>
        <w:t xml:space="preserve">免费提供系统版本升级服务。</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(6)巡检及指标测试：每月安排一次设备运行状态巡检，半年度进行性能指标测试，并提供详细的测试报告，针对网络出现的问题给出解决方案。</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(7)如我院遇网络系统调整和升级，投标方全力配合我院和第三方进行工作。</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(8)投标方应首先对维修保养的设备进行一次全面检测维修，并向甲方提交详细的检测维修报告。</w:t>
      </w:r>
      <w:r>
        <w:rPr>
          <w:rFonts w:hint="eastAsia" w:ascii="宋体" w:hAnsi="宋体" w:eastAsia="宋体" w:cs="宋体"/>
          <w:b w:val="0"/>
          <w:bCs w:val="0"/>
          <w:sz w:val="24"/>
          <w:szCs w:val="24"/>
          <w:lang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(9)投标方每次维修保养后应提交书面维修保养报告给我院，双方签字存档；维修保养合同期满后，投标方应向我院提交详细的维修保养报告。</w:t>
      </w:r>
      <w:r>
        <w:rPr>
          <w:rFonts w:hint="eastAsia" w:ascii="宋体" w:hAnsi="宋体" w:eastAsia="宋体" w:cs="宋体"/>
          <w:b w:val="0"/>
          <w:bCs w:val="0"/>
          <w:sz w:val="24"/>
          <w:szCs w:val="24"/>
          <w:lang w:eastAsia="zh-CN"/>
        </w:rPr>
      </w:r>
      <w:r/>
    </w:p>
    <w:p>
      <w:pPr>
        <w:pStyle w:val="883"/>
        <w:ind w:firstLine="562"/>
        <w:spacing w:line="360" w:lineRule="auto"/>
        <w:rPr>
          <w:rFonts w:ascii="宋体" w:hAnsi="宋体" w:eastAsia="宋体" w:cs="Times New Roman"/>
          <w:b/>
          <w:color w:val="000000"/>
          <w:sz w:val="28"/>
          <w:szCs w:val="22"/>
          <w:lang w:val="en-US" w:eastAsia="zh-CN"/>
        </w:rPr>
        <w:outlineLvl w:val="0"/>
      </w:pPr>
      <w:r>
        <w:rPr>
          <w:rFonts w:hint="eastAsia" w:ascii="宋体" w:hAnsi="宋体" w:eastAsia="宋体" w:cs="Times New Roman"/>
          <w:b/>
          <w:color w:val="000000"/>
          <w:sz w:val="28"/>
          <w:szCs w:val="22"/>
          <w:lang w:eastAsia="zh-CN"/>
        </w:rPr>
        <w:t xml:space="preserve">6.</w:t>
      </w:r>
      <w:r>
        <w:rPr>
          <w:rFonts w:hint="eastAsia" w:ascii="宋体" w:hAnsi="宋体" w:eastAsia="宋体" w:cs="Times New Roman"/>
          <w:b/>
          <w:color w:val="000000"/>
          <w:sz w:val="28"/>
          <w:szCs w:val="22"/>
          <w:lang w:val="en-US" w:eastAsia="zh-CN"/>
        </w:rPr>
        <w:t xml:space="preserve">考核要求</w:t>
      </w:r>
      <w:r>
        <w:rPr>
          <w:rFonts w:ascii="宋体" w:hAnsi="宋体" w:eastAsia="宋体" w:cs="Times New Roman"/>
          <w:b/>
          <w:color w:val="000000"/>
          <w:sz w:val="28"/>
          <w:szCs w:val="22"/>
          <w:lang w:val="en-US" w:eastAsia="zh-CN"/>
        </w:rPr>
      </w:r>
      <w:r/>
    </w:p>
    <w:p>
      <w:pPr>
        <w:pStyle w:val="883"/>
        <w:numPr>
          <w:ilvl w:val="0"/>
          <w:numId w:val="0"/>
        </w:numPr>
        <w:ind w:firstLine="480"/>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t xml:space="preserve">工程师接受院方的周期考核。本项目以3个月为一个考核周期，考核内容如下表。考核以总分100分计，每次的考核分低于90分的，每低1分（不满1分以1分计）采购方有权扣除合同总额的0.0046%。</w:t>
      </w:r>
      <w:r>
        <w:rPr>
          <w:rFonts w:hint="eastAsia" w:ascii="宋体" w:hAnsi="宋体" w:eastAsia="宋体" w:cs="宋体"/>
          <w:b w:val="0"/>
          <w:bCs w:val="0"/>
          <w:sz w:val="24"/>
          <w:szCs w:val="24"/>
          <w:lang w:eastAsia="zh-CN"/>
        </w:rPr>
      </w:r>
      <w:r/>
    </w:p>
    <w:tbl>
      <w:tblPr>
        <w:tblW w:w="9087" w:type="dxa"/>
        <w:jc w:val="center"/>
        <w:tblInd w:w="-67" w:type="dxa"/>
        <w:tblLayout w:type="fixed"/>
        <w:tblCellMar>
          <w:left w:w="108" w:type="dxa"/>
          <w:top w:w="0" w:type="dxa"/>
          <w:right w:w="108" w:type="dxa"/>
          <w:bottom w:w="0" w:type="dxa"/>
        </w:tblCellMar>
        <w:tblLook w:val="04A0" w:firstRow="1" w:lastRow="0" w:firstColumn="1" w:lastColumn="0" w:noHBand="0" w:noVBand="1"/>
      </w:tblPr>
      <w:tblGrid>
        <w:gridCol w:w="540"/>
        <w:gridCol w:w="5068"/>
        <w:gridCol w:w="1275"/>
        <w:gridCol w:w="1110"/>
        <w:gridCol w:w="1094"/>
      </w:tblGrid>
      <w:tr>
        <w:trPr>
          <w:trHeight w:val="814"/>
        </w:trPr>
        <w:tc>
          <w:tcPr>
            <w:gridSpan w:val="5"/>
            <w:tcBorders>
              <w:top w:val="none" w:color="000000" w:sz="4" w:space="0"/>
              <w:left w:val="none" w:color="000000" w:sz="4" w:space="0"/>
              <w:bottom w:val="none" w:color="000000" w:sz="4" w:space="0"/>
              <w:right w:val="none" w:color="000000" w:sz="4" w:space="0"/>
            </w:tcBorders>
            <w:tcW w:w="9087" w:type="dxa"/>
            <w:vAlign w:val="center"/>
            <w:textDirection w:val="lrTb"/>
            <w:noWrap/>
          </w:tcPr>
          <w:p>
            <w:pPr>
              <w:pStyle w:val="883"/>
              <w:jc w:val="center"/>
              <w:widowControl/>
              <w:rPr>
                <w:rFonts w:hint="eastAsia" w:ascii="宋体" w:hAnsi="宋体" w:eastAsia="宋体" w:cs="宋体"/>
                <w:b/>
                <w:sz w:val="48"/>
                <w:szCs w:val="48"/>
                <w:highlight w:val="none"/>
              </w:rPr>
            </w:pPr>
            <w:r>
              <w:rPr>
                <w:rFonts w:hint="eastAsia" w:ascii="宋体" w:hAnsi="宋体" w:eastAsia="宋体" w:cs="宋体"/>
                <w:b/>
                <w:sz w:val="32"/>
                <w:szCs w:val="32"/>
                <w:highlight w:val="none"/>
              </w:rPr>
              <w:t xml:space="preserve">工程师周期考核表</w:t>
            </w:r>
            <w:r>
              <w:rPr>
                <w:rFonts w:hint="eastAsia" w:ascii="宋体" w:hAnsi="宋体" w:eastAsia="宋体" w:cs="宋体"/>
                <w:b/>
                <w:sz w:val="48"/>
                <w:szCs w:val="48"/>
                <w:highlight w:val="none"/>
              </w:rPr>
            </w:r>
            <w:r/>
          </w:p>
          <w:p>
            <w:pPr>
              <w:pStyle w:val="883"/>
              <w:jc w:val="center"/>
              <w:widowControl/>
              <w:rPr>
                <w:rFonts w:hint="eastAsia" w:ascii="宋体" w:hAnsi="宋体" w:eastAsia="宋体" w:cs="宋体"/>
                <w:sz w:val="48"/>
                <w:szCs w:val="48"/>
                <w:highlight w:val="none"/>
              </w:rPr>
            </w:pPr>
            <w:r>
              <w:rPr>
                <w:rFonts w:hint="eastAsia" w:ascii="宋体" w:hAnsi="宋体" w:eastAsia="宋体" w:cs="宋体"/>
                <w:sz w:val="22"/>
                <w:highlight w:val="none"/>
              </w:rPr>
              <w:t xml:space="preserve">年     月</w:t>
            </w:r>
            <w:r>
              <w:rPr>
                <w:rFonts w:hint="eastAsia" w:ascii="宋体" w:hAnsi="宋体" w:eastAsia="宋体" w:cs="宋体"/>
                <w:sz w:val="48"/>
                <w:szCs w:val="48"/>
                <w:highlight w:val="none"/>
              </w:rPr>
            </w:r>
            <w:r/>
          </w:p>
        </w:tc>
      </w:tr>
      <w:tr>
        <w:trPr>
          <w:trHeight w:val="626"/>
        </w:trPr>
        <w:tc>
          <w:tcPr>
            <w:tcBorders>
              <w:top w:val="single" w:color="000000" w:sz="8" w:space="0"/>
              <w:left w:val="single" w:color="000000" w:sz="8" w:space="0"/>
              <w:bottom w:val="single" w:color="000000" w:sz="4" w:space="0"/>
              <w:right w:val="single" w:color="000000" w:sz="4" w:space="0"/>
            </w:tcBorders>
            <w:tcW w:w="540" w:type="dxa"/>
            <w:vAlign w:val="center"/>
            <w:textDirection w:val="lrTb"/>
            <w:noWrap w:val="false"/>
          </w:tcPr>
          <w:p>
            <w:pPr>
              <w:pStyle w:val="883"/>
              <w:jc w:val="center"/>
              <w:widowControl/>
              <w:rPr>
                <w:rFonts w:hint="eastAsia" w:ascii="宋体" w:hAnsi="宋体" w:eastAsia="宋体" w:cs="宋体"/>
                <w:b/>
                <w:bCs/>
                <w:highlight w:val="none"/>
              </w:rPr>
            </w:pPr>
            <w:r>
              <w:rPr>
                <w:rFonts w:hint="eastAsia" w:ascii="宋体" w:hAnsi="宋体" w:eastAsia="宋体" w:cs="宋体"/>
                <w:b/>
                <w:bCs/>
                <w:highlight w:val="none"/>
              </w:rPr>
              <w:t xml:space="preserve">序号</w:t>
            </w:r>
            <w:r>
              <w:rPr>
                <w:rFonts w:hint="eastAsia" w:ascii="宋体" w:hAnsi="宋体" w:eastAsia="宋体" w:cs="宋体"/>
                <w:b/>
                <w:bCs/>
                <w:highlight w:val="none"/>
              </w:rPr>
            </w:r>
            <w:r/>
          </w:p>
        </w:tc>
        <w:tc>
          <w:tcPr>
            <w:tcBorders>
              <w:top w:val="single" w:color="000000" w:sz="8" w:space="0"/>
              <w:left w:val="none" w:color="000000" w:sz="4" w:space="0"/>
              <w:bottom w:val="single" w:color="000000" w:sz="4" w:space="0"/>
              <w:right w:val="single" w:color="000000" w:sz="4" w:space="0"/>
            </w:tcBorders>
            <w:tcW w:w="5068" w:type="dxa"/>
            <w:vAlign w:val="center"/>
            <w:textDirection w:val="lrTb"/>
            <w:noWrap w:val="false"/>
          </w:tcPr>
          <w:p>
            <w:pPr>
              <w:pStyle w:val="883"/>
              <w:jc w:val="center"/>
              <w:widowControl/>
              <w:rPr>
                <w:rFonts w:hint="eastAsia" w:ascii="宋体" w:hAnsi="宋体" w:eastAsia="宋体" w:cs="宋体"/>
                <w:b/>
                <w:bCs/>
                <w:highlight w:val="none"/>
              </w:rPr>
            </w:pPr>
            <w:r>
              <w:rPr>
                <w:rFonts w:hint="eastAsia" w:ascii="宋体" w:hAnsi="宋体" w:eastAsia="宋体" w:cs="宋体"/>
                <w:b/>
                <w:bCs/>
                <w:highlight w:val="none"/>
              </w:rPr>
              <w:t xml:space="preserve">考核内容</w:t>
            </w:r>
            <w:r>
              <w:rPr>
                <w:rFonts w:hint="eastAsia" w:ascii="宋体" w:hAnsi="宋体" w:eastAsia="宋体" w:cs="宋体"/>
                <w:b/>
                <w:bCs/>
                <w:highlight w:val="none"/>
              </w:rPr>
            </w:r>
            <w:r/>
          </w:p>
        </w:tc>
        <w:tc>
          <w:tcPr>
            <w:tcBorders>
              <w:top w:val="single" w:color="000000" w:sz="8" w:space="0"/>
              <w:left w:val="none" w:color="000000" w:sz="4" w:space="0"/>
              <w:bottom w:val="single" w:color="000000" w:sz="4" w:space="0"/>
              <w:right w:val="single" w:color="000000" w:sz="4" w:space="0"/>
            </w:tcBorders>
            <w:tcW w:w="1275" w:type="dxa"/>
            <w:vAlign w:val="center"/>
            <w:textDirection w:val="lrTb"/>
            <w:noWrap w:val="false"/>
          </w:tcPr>
          <w:p>
            <w:pPr>
              <w:pStyle w:val="883"/>
              <w:jc w:val="center"/>
              <w:widowControl/>
              <w:rPr>
                <w:rFonts w:hint="eastAsia" w:ascii="宋体" w:hAnsi="宋体" w:eastAsia="宋体" w:cs="宋体"/>
                <w:b/>
                <w:bCs/>
                <w:highlight w:val="none"/>
              </w:rPr>
            </w:pPr>
            <w:r>
              <w:rPr>
                <w:rFonts w:hint="eastAsia" w:ascii="宋体" w:hAnsi="宋体" w:eastAsia="宋体" w:cs="宋体"/>
                <w:b/>
                <w:bCs/>
                <w:highlight w:val="none"/>
              </w:rPr>
              <w:t xml:space="preserve">分值</w:t>
            </w:r>
            <w:r>
              <w:rPr>
                <w:rFonts w:hint="eastAsia" w:ascii="宋体" w:hAnsi="宋体" w:eastAsia="宋体" w:cs="宋体"/>
                <w:b/>
                <w:bCs/>
                <w:highlight w:val="none"/>
              </w:rPr>
            </w:r>
            <w:r/>
          </w:p>
        </w:tc>
        <w:tc>
          <w:tcPr>
            <w:tcBorders>
              <w:top w:val="single" w:color="000000" w:sz="8" w:space="0"/>
              <w:left w:val="none" w:color="000000" w:sz="4" w:space="0"/>
              <w:bottom w:val="single" w:color="000000" w:sz="4" w:space="0"/>
              <w:right w:val="single" w:color="000000" w:sz="4" w:space="0"/>
            </w:tcBorders>
            <w:tcW w:w="1110" w:type="dxa"/>
            <w:vAlign w:val="center"/>
            <w:textDirection w:val="lrTb"/>
            <w:noWrap w:val="false"/>
          </w:tcPr>
          <w:p>
            <w:pPr>
              <w:pStyle w:val="883"/>
              <w:jc w:val="center"/>
              <w:widowControl/>
              <w:rPr>
                <w:rFonts w:hint="eastAsia" w:ascii="宋体" w:hAnsi="宋体" w:eastAsia="宋体" w:cs="宋体"/>
                <w:b/>
                <w:bCs/>
                <w:highlight w:val="none"/>
              </w:rPr>
            </w:pPr>
            <w:r>
              <w:rPr>
                <w:rFonts w:hint="eastAsia" w:ascii="宋体" w:hAnsi="宋体" w:eastAsia="宋体" w:cs="宋体"/>
                <w:b/>
                <w:bCs/>
                <w:highlight w:val="none"/>
              </w:rPr>
              <w:t xml:space="preserve">得分</w:t>
            </w:r>
            <w:r>
              <w:rPr>
                <w:rFonts w:hint="eastAsia" w:ascii="宋体" w:hAnsi="宋体" w:eastAsia="宋体" w:cs="宋体"/>
                <w:b/>
                <w:bCs/>
                <w:highlight w:val="none"/>
              </w:rPr>
            </w:r>
            <w:r/>
          </w:p>
        </w:tc>
        <w:tc>
          <w:tcPr>
            <w:tcBorders>
              <w:top w:val="single" w:color="000000" w:sz="8" w:space="0"/>
              <w:left w:val="none" w:color="000000" w:sz="4" w:space="0"/>
              <w:bottom w:val="single" w:color="000000" w:sz="8" w:space="0"/>
              <w:right w:val="single" w:color="000000" w:sz="8" w:space="0"/>
            </w:tcBorders>
            <w:tcW w:w="1094" w:type="dxa"/>
            <w:vAlign w:val="center"/>
            <w:textDirection w:val="lrTb"/>
            <w:noWrap w:val="false"/>
          </w:tcPr>
          <w:p>
            <w:pPr>
              <w:pStyle w:val="883"/>
              <w:jc w:val="center"/>
              <w:widowControl/>
              <w:rPr>
                <w:rFonts w:hint="eastAsia" w:ascii="宋体" w:hAnsi="宋体" w:eastAsia="宋体" w:cs="宋体"/>
                <w:b/>
                <w:bCs/>
                <w:highlight w:val="none"/>
              </w:rPr>
            </w:pPr>
            <w:r>
              <w:rPr>
                <w:rFonts w:hint="eastAsia" w:ascii="宋体" w:hAnsi="宋体" w:eastAsia="宋体" w:cs="宋体"/>
                <w:b/>
                <w:bCs/>
                <w:highlight w:val="none"/>
              </w:rPr>
              <w:t xml:space="preserve">备注</w:t>
            </w:r>
            <w:r>
              <w:rPr>
                <w:rFonts w:hint="eastAsia" w:ascii="宋体" w:hAnsi="宋体" w:eastAsia="宋体" w:cs="宋体"/>
                <w:b/>
                <w:bCs/>
                <w:highlight w:val="none"/>
              </w:rPr>
            </w:r>
            <w:r/>
          </w:p>
        </w:tc>
      </w:tr>
      <w:tr>
        <w:trPr>
          <w:trHeight w:val="435"/>
        </w:trPr>
        <w:tc>
          <w:tcPr>
            <w:tcBorders>
              <w:top w:val="none" w:color="000000" w:sz="4" w:space="0"/>
              <w:left w:val="single" w:color="000000" w:sz="8" w:space="0"/>
              <w:bottom w:val="single" w:color="000000" w:sz="4" w:space="0"/>
              <w:right w:val="single" w:color="000000" w:sz="4" w:space="0"/>
            </w:tcBorders>
            <w:tcW w:w="540" w:type="dxa"/>
            <w:vAlign w:val="center"/>
            <w:textDirection w:val="lrTb"/>
            <w:noWrap/>
          </w:tcPr>
          <w:p>
            <w:pPr>
              <w:pStyle w:val="883"/>
              <w:jc w:val="center"/>
              <w:widowControl/>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rPr>
            </w:r>
            <w:r/>
          </w:p>
        </w:tc>
        <w:tc>
          <w:tcPr>
            <w:tcBorders>
              <w:top w:val="none" w:color="000000" w:sz="4" w:space="0"/>
              <w:left w:val="none" w:color="000000" w:sz="4" w:space="0"/>
              <w:bottom w:val="single" w:color="000000" w:sz="4" w:space="0"/>
              <w:right w:val="single" w:color="000000" w:sz="4" w:space="0"/>
            </w:tcBorders>
            <w:tcW w:w="5068" w:type="dxa"/>
            <w:vAlign w:val="center"/>
            <w:textDirection w:val="lrTb"/>
            <w:noWrap/>
          </w:tcPr>
          <w:p>
            <w:pPr>
              <w:pStyle w:val="883"/>
              <w:jc w:val="left"/>
              <w:widowControl/>
              <w:rPr>
                <w:rFonts w:hint="eastAsia" w:ascii="宋体" w:hAnsi="宋体" w:eastAsia="宋体" w:cs="宋体"/>
                <w:highlight w:val="none"/>
              </w:rPr>
            </w:pPr>
            <w:r>
              <w:rPr>
                <w:rFonts w:hint="eastAsia" w:ascii="宋体" w:hAnsi="宋体" w:eastAsia="宋体" w:cs="宋体"/>
                <w:highlight w:val="none"/>
              </w:rPr>
              <w:t xml:space="preserve">及时更新版本，对软件中存在的缺陷进行升级和优化，确保软件的正常使用。</w:t>
            </w:r>
            <w:r>
              <w:rPr>
                <w:rFonts w:hint="eastAsia" w:ascii="宋体" w:hAnsi="宋体" w:eastAsia="宋体" w:cs="宋体"/>
                <w:highlight w:val="none"/>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tcPr>
          <w:p>
            <w:pPr>
              <w:pStyle w:val="883"/>
              <w:jc w:val="center"/>
              <w:widowControl/>
              <w:rPr>
                <w:rFonts w:hint="eastAsia" w:ascii="宋体" w:hAnsi="宋体" w:eastAsia="宋体" w:cs="宋体"/>
                <w:highlight w:val="none"/>
              </w:rPr>
            </w:pPr>
            <w:r>
              <w:rPr>
                <w:rFonts w:hint="eastAsia" w:ascii="宋体" w:hAnsi="宋体" w:eastAsia="宋体" w:cs="宋体"/>
                <w:highlight w:val="none"/>
              </w:rPr>
              <w:t xml:space="preserve">10</w:t>
            </w:r>
            <w:r>
              <w:rPr>
                <w:rFonts w:hint="eastAsia" w:ascii="宋体" w:hAnsi="宋体" w:eastAsia="宋体" w:cs="宋体"/>
                <w:highlight w:val="none"/>
              </w:rPr>
            </w:r>
            <w:r/>
          </w:p>
        </w:tc>
        <w:tc>
          <w:tcPr>
            <w:tcBorders>
              <w:top w:val="none" w:color="000000" w:sz="4" w:space="0"/>
              <w:left w:val="none" w:color="000000" w:sz="4" w:space="0"/>
              <w:bottom w:val="single" w:color="000000" w:sz="4" w:space="0"/>
              <w:right w:val="single" w:color="000000" w:sz="4" w:space="0"/>
            </w:tcBorders>
            <w:tcW w:w="1110" w:type="dxa"/>
            <w:vAlign w:val="bottom"/>
            <w:textDirection w:val="lrTb"/>
            <w:noWrap/>
          </w:tcPr>
          <w:p>
            <w:pPr>
              <w:pStyle w:val="883"/>
              <w:jc w:val="left"/>
              <w:widowControl/>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none" w:color="000000" w:sz="4" w:space="0"/>
              <w:left w:val="single" w:color="000000" w:sz="8" w:space="0"/>
              <w:bottom w:val="single" w:color="000000" w:sz="8" w:space="0"/>
              <w:right w:val="single" w:color="000000" w:sz="8" w:space="0"/>
            </w:tcBorders>
            <w:tcW w:w="1094" w:type="dxa"/>
            <w:vAlign w:val="bottom"/>
            <w:vMerge w:val="restart"/>
            <w:textDirection w:val="lrTb"/>
            <w:noWrap/>
          </w:tcPr>
          <w:p>
            <w:pPr>
              <w:pStyle w:val="883"/>
              <w:jc w:val="center"/>
              <w:widowControl/>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rHeight w:val="1260"/>
        </w:trPr>
        <w:tc>
          <w:tcPr>
            <w:tcBorders>
              <w:top w:val="none" w:color="000000" w:sz="4" w:space="0"/>
              <w:left w:val="single" w:color="000000" w:sz="8" w:space="0"/>
              <w:bottom w:val="single" w:color="000000" w:sz="4" w:space="0"/>
              <w:right w:val="single" w:color="000000" w:sz="4" w:space="0"/>
            </w:tcBorders>
            <w:tcW w:w="540" w:type="dxa"/>
            <w:vAlign w:val="center"/>
            <w:textDirection w:val="lrTb"/>
            <w:noWrap/>
          </w:tcPr>
          <w:p>
            <w:pPr>
              <w:pStyle w:val="883"/>
              <w:jc w:val="center"/>
              <w:widowControl/>
              <w:rPr>
                <w:rFonts w:hint="eastAsia" w:ascii="宋体" w:hAnsi="宋体" w:eastAsia="宋体" w:cs="宋体"/>
                <w:highlight w:val="none"/>
              </w:rPr>
            </w:pPr>
            <w:r>
              <w:rPr>
                <w:rFonts w:hint="eastAsia" w:ascii="宋体" w:hAnsi="宋体" w:eastAsia="宋体" w:cs="宋体"/>
                <w:highlight w:val="none"/>
              </w:rPr>
              <w:t xml:space="preserve">2</w:t>
            </w:r>
            <w:r>
              <w:rPr>
                <w:rFonts w:hint="eastAsia" w:ascii="宋体" w:hAnsi="宋体" w:eastAsia="宋体" w:cs="宋体"/>
                <w:highlight w:val="none"/>
              </w:rPr>
            </w:r>
            <w:r/>
          </w:p>
        </w:tc>
        <w:tc>
          <w:tcPr>
            <w:tcBorders>
              <w:top w:val="none" w:color="000000" w:sz="4" w:space="0"/>
              <w:left w:val="none" w:color="000000" w:sz="4" w:space="0"/>
              <w:bottom w:val="single" w:color="000000" w:sz="4" w:space="0"/>
              <w:right w:val="single" w:color="000000" w:sz="4" w:space="0"/>
            </w:tcBorders>
            <w:tcW w:w="5068" w:type="dxa"/>
            <w:vAlign w:val="center"/>
            <w:textDirection w:val="lrTb"/>
            <w:noWrap w:val="false"/>
          </w:tcPr>
          <w:p>
            <w:pPr>
              <w:pStyle w:val="883"/>
              <w:jc w:val="left"/>
              <w:widowControl/>
              <w:rPr>
                <w:rFonts w:hint="eastAsia" w:ascii="宋体" w:hAnsi="宋体" w:eastAsia="宋体" w:cs="宋体"/>
                <w:highlight w:val="none"/>
              </w:rPr>
            </w:pPr>
            <w:r>
              <w:rPr>
                <w:rFonts w:hint="eastAsia" w:ascii="宋体" w:hAnsi="宋体" w:eastAsia="宋体" w:cs="宋体"/>
                <w:highlight w:val="none"/>
              </w:rPr>
              <w:t xml:space="preserve">接到报障电话后，要求15分钟内响应，并提供解决方案。如需现场维护，24小时内到达现场解决问题。应对不同程度的故障提出不同级别的备份方案，确保医院信息系统不能长时间停顿。做好报障及维护记录，及时归档。</w:t>
            </w:r>
            <w:r>
              <w:rPr>
                <w:rFonts w:hint="eastAsia" w:ascii="宋体" w:hAnsi="宋体" w:eastAsia="宋体" w:cs="宋体"/>
                <w:highlight w:val="none"/>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tcPr>
          <w:p>
            <w:pPr>
              <w:pStyle w:val="883"/>
              <w:jc w:val="center"/>
              <w:widowControl/>
              <w:rPr>
                <w:rFonts w:hint="eastAsia" w:ascii="宋体" w:hAnsi="宋体" w:eastAsia="宋体" w:cs="宋体"/>
                <w:highlight w:val="none"/>
              </w:rPr>
            </w:pPr>
            <w:r>
              <w:rPr>
                <w:rFonts w:hint="eastAsia" w:ascii="宋体" w:hAnsi="宋体" w:eastAsia="宋体" w:cs="宋体"/>
                <w:highlight w:val="none"/>
              </w:rPr>
              <w:t xml:space="preserve">20</w:t>
            </w:r>
            <w:r>
              <w:rPr>
                <w:rFonts w:hint="eastAsia" w:ascii="宋体" w:hAnsi="宋体" w:eastAsia="宋体" w:cs="宋体"/>
                <w:highlight w:val="none"/>
              </w:rPr>
            </w:r>
            <w:r/>
          </w:p>
        </w:tc>
        <w:tc>
          <w:tcPr>
            <w:tcBorders>
              <w:top w:val="none" w:color="000000" w:sz="4" w:space="0"/>
              <w:left w:val="none" w:color="000000" w:sz="4" w:space="0"/>
              <w:bottom w:val="single" w:color="000000" w:sz="4" w:space="0"/>
              <w:right w:val="single" w:color="000000" w:sz="4" w:space="0"/>
            </w:tcBorders>
            <w:tcW w:w="1110" w:type="dxa"/>
            <w:vAlign w:val="bottom"/>
            <w:textDirection w:val="lrTb"/>
            <w:noWrap/>
          </w:tcPr>
          <w:p>
            <w:pPr>
              <w:pStyle w:val="883"/>
              <w:jc w:val="left"/>
              <w:widowControl/>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none" w:color="000000" w:sz="4" w:space="0"/>
              <w:left w:val="single" w:color="000000" w:sz="8" w:space="0"/>
              <w:bottom w:val="single" w:color="000000" w:sz="8" w:space="0"/>
              <w:right w:val="single" w:color="000000" w:sz="8" w:space="0"/>
            </w:tcBorders>
            <w:tcW w:w="1094" w:type="dxa"/>
            <w:vAlign w:val="center"/>
            <w:vMerge w:val="continue"/>
            <w:textDirection w:val="lrTb"/>
            <w:noWrap w:val="false"/>
          </w:tcPr>
          <w:p>
            <w:pPr>
              <w:pStyle w:val="883"/>
              <w:jc w:val="left"/>
              <w:widowControl/>
              <w:rPr>
                <w:rFonts w:hint="eastAsia" w:ascii="宋体" w:hAnsi="宋体" w:eastAsia="宋体" w:cs="宋体"/>
                <w:highlight w:val="none"/>
              </w:rPr>
            </w:pPr>
            <w:r>
              <w:rPr>
                <w:rFonts w:hint="eastAsia" w:ascii="宋体" w:hAnsi="宋体" w:eastAsia="宋体" w:cs="宋体"/>
                <w:highlight w:val="none"/>
              </w:rPr>
            </w:r>
            <w:r/>
          </w:p>
        </w:tc>
      </w:tr>
      <w:tr>
        <w:trPr>
          <w:trHeight w:val="1035"/>
        </w:trPr>
        <w:tc>
          <w:tcPr>
            <w:tcBorders>
              <w:top w:val="none" w:color="000000" w:sz="4" w:space="0"/>
              <w:left w:val="single" w:color="000000" w:sz="8" w:space="0"/>
              <w:bottom w:val="single" w:color="000000" w:sz="4" w:space="0"/>
              <w:right w:val="single" w:color="000000" w:sz="4" w:space="0"/>
            </w:tcBorders>
            <w:tcW w:w="540" w:type="dxa"/>
            <w:vAlign w:val="center"/>
            <w:textDirection w:val="lrTb"/>
            <w:noWrap/>
          </w:tcPr>
          <w:p>
            <w:pPr>
              <w:pStyle w:val="883"/>
              <w:jc w:val="center"/>
              <w:widowControl/>
              <w:rPr>
                <w:rFonts w:hint="eastAsia" w:ascii="宋体" w:hAnsi="宋体" w:eastAsia="宋体" w:cs="宋体"/>
                <w:highlight w:val="none"/>
              </w:rPr>
            </w:pPr>
            <w:r>
              <w:rPr>
                <w:rFonts w:hint="eastAsia" w:ascii="宋体" w:hAnsi="宋体" w:eastAsia="宋体" w:cs="宋体"/>
                <w:highlight w:val="none"/>
              </w:rPr>
              <w:t xml:space="preserve">3</w:t>
            </w:r>
            <w:r>
              <w:rPr>
                <w:rFonts w:hint="eastAsia" w:ascii="宋体" w:hAnsi="宋体" w:eastAsia="宋体" w:cs="宋体"/>
                <w:highlight w:val="none"/>
              </w:rPr>
            </w:r>
            <w:r/>
          </w:p>
        </w:tc>
        <w:tc>
          <w:tcPr>
            <w:tcBorders>
              <w:top w:val="none" w:color="000000" w:sz="4" w:space="0"/>
              <w:left w:val="none" w:color="000000" w:sz="4" w:space="0"/>
              <w:bottom w:val="single" w:color="000000" w:sz="4" w:space="0"/>
              <w:right w:val="single" w:color="000000" w:sz="4" w:space="0"/>
            </w:tcBorders>
            <w:tcW w:w="5068" w:type="dxa"/>
            <w:vAlign w:val="center"/>
            <w:textDirection w:val="lrTb"/>
            <w:noWrap w:val="false"/>
          </w:tcPr>
          <w:p>
            <w:pPr>
              <w:pStyle w:val="883"/>
              <w:jc w:val="left"/>
              <w:widowControl/>
              <w:rPr>
                <w:rFonts w:hint="eastAsia" w:ascii="宋体" w:hAnsi="宋体" w:eastAsia="宋体" w:cs="宋体"/>
                <w:highlight w:val="none"/>
              </w:rPr>
            </w:pPr>
            <w:r>
              <w:rPr>
                <w:rFonts w:hint="eastAsia" w:ascii="宋体" w:hAnsi="宋体" w:eastAsia="宋体" w:cs="宋体"/>
                <w:highlight w:val="none"/>
              </w:rPr>
              <w:t xml:space="preserve">以</w:t>
            </w:r>
            <w:r>
              <w:rPr>
                <w:rFonts w:hint="eastAsia" w:ascii="宋体" w:hAnsi="宋体" w:eastAsia="宋体" w:cs="宋体"/>
                <w:highlight w:val="none"/>
                <w:u w:val="single"/>
              </w:rPr>
              <w:t xml:space="preserve"> 3 </w:t>
            </w:r>
            <w:r>
              <w:rPr>
                <w:rFonts w:hint="eastAsia" w:ascii="宋体" w:hAnsi="宋体" w:eastAsia="宋体" w:cs="宋体"/>
                <w:highlight w:val="none"/>
              </w:rPr>
              <w:t xml:space="preserve">个月为1个周期，每1个周期内至少进行1次巡检，对相关软件的软硬件环境进行检查，发现系统稳定运行的隐患因素并及时排除。并出具系统巡检报告，内容包含巡检范围、结果及巡检建议，并由院方相关人员签字确认。</w:t>
            </w:r>
            <w:r>
              <w:rPr>
                <w:rFonts w:hint="eastAsia" w:ascii="宋体" w:hAnsi="宋体" w:eastAsia="宋体" w:cs="宋体"/>
                <w:highlight w:val="none"/>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tcPr>
          <w:p>
            <w:pPr>
              <w:pStyle w:val="883"/>
              <w:jc w:val="center"/>
              <w:widowControl/>
              <w:rPr>
                <w:rFonts w:hint="eastAsia" w:ascii="宋体" w:hAnsi="宋体" w:eastAsia="宋体" w:cs="宋体"/>
                <w:highlight w:val="none"/>
              </w:rPr>
            </w:pPr>
            <w:r>
              <w:rPr>
                <w:rFonts w:hint="eastAsia" w:ascii="宋体" w:hAnsi="宋体" w:eastAsia="宋体" w:cs="宋体"/>
                <w:highlight w:val="none"/>
              </w:rPr>
              <w:t xml:space="preserve">15</w:t>
            </w:r>
            <w:r>
              <w:rPr>
                <w:rFonts w:hint="eastAsia" w:ascii="宋体" w:hAnsi="宋体" w:eastAsia="宋体" w:cs="宋体"/>
                <w:highlight w:val="none"/>
              </w:rPr>
            </w:r>
            <w:r/>
          </w:p>
        </w:tc>
        <w:tc>
          <w:tcPr>
            <w:tcBorders>
              <w:top w:val="none" w:color="000000" w:sz="4" w:space="0"/>
              <w:left w:val="none" w:color="000000" w:sz="4" w:space="0"/>
              <w:bottom w:val="single" w:color="000000" w:sz="4" w:space="0"/>
              <w:right w:val="single" w:color="000000" w:sz="4" w:space="0"/>
            </w:tcBorders>
            <w:tcW w:w="1110" w:type="dxa"/>
            <w:vAlign w:val="bottom"/>
            <w:textDirection w:val="lrTb"/>
            <w:noWrap/>
          </w:tcPr>
          <w:p>
            <w:pPr>
              <w:pStyle w:val="883"/>
              <w:jc w:val="left"/>
              <w:widowControl/>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none" w:color="000000" w:sz="4" w:space="0"/>
              <w:left w:val="single" w:color="000000" w:sz="8" w:space="0"/>
              <w:bottom w:val="single" w:color="000000" w:sz="8" w:space="0"/>
              <w:right w:val="single" w:color="000000" w:sz="8" w:space="0"/>
            </w:tcBorders>
            <w:tcW w:w="1094" w:type="dxa"/>
            <w:vAlign w:val="center"/>
            <w:vMerge w:val="continue"/>
            <w:textDirection w:val="lrTb"/>
            <w:noWrap w:val="false"/>
          </w:tcPr>
          <w:p>
            <w:pPr>
              <w:pStyle w:val="883"/>
              <w:jc w:val="left"/>
              <w:widowControl/>
              <w:rPr>
                <w:rFonts w:hint="eastAsia" w:ascii="宋体" w:hAnsi="宋体" w:eastAsia="宋体" w:cs="宋体"/>
                <w:highlight w:val="none"/>
              </w:rPr>
            </w:pPr>
            <w:r>
              <w:rPr>
                <w:rFonts w:hint="eastAsia" w:ascii="宋体" w:hAnsi="宋体" w:eastAsia="宋体" w:cs="宋体"/>
                <w:highlight w:val="none"/>
              </w:rPr>
            </w:r>
            <w:r/>
          </w:p>
        </w:tc>
      </w:tr>
      <w:tr>
        <w:trPr>
          <w:trHeight w:val="690"/>
        </w:trPr>
        <w:tc>
          <w:tcPr>
            <w:tcBorders>
              <w:top w:val="none" w:color="000000" w:sz="4" w:space="0"/>
              <w:left w:val="single" w:color="000000" w:sz="8" w:space="0"/>
              <w:bottom w:val="single" w:color="000000" w:sz="4" w:space="0"/>
              <w:right w:val="single" w:color="000000" w:sz="4" w:space="0"/>
            </w:tcBorders>
            <w:tcW w:w="540" w:type="dxa"/>
            <w:vAlign w:val="center"/>
            <w:textDirection w:val="lrTb"/>
            <w:noWrap/>
          </w:tcPr>
          <w:p>
            <w:pPr>
              <w:pStyle w:val="883"/>
              <w:jc w:val="center"/>
              <w:widowControl/>
              <w:rPr>
                <w:rFonts w:hint="eastAsia" w:ascii="宋体" w:hAnsi="宋体" w:eastAsia="宋体" w:cs="宋体"/>
                <w:highlight w:val="none"/>
              </w:rPr>
            </w:pPr>
            <w:r>
              <w:rPr>
                <w:rFonts w:hint="eastAsia" w:ascii="宋体" w:hAnsi="宋体" w:eastAsia="宋体" w:cs="宋体"/>
                <w:highlight w:val="none"/>
              </w:rPr>
              <w:t xml:space="preserve">4</w:t>
            </w:r>
            <w:r>
              <w:rPr>
                <w:rFonts w:hint="eastAsia" w:ascii="宋体" w:hAnsi="宋体" w:eastAsia="宋体" w:cs="宋体"/>
                <w:highlight w:val="none"/>
              </w:rPr>
            </w:r>
            <w:r/>
          </w:p>
        </w:tc>
        <w:tc>
          <w:tcPr>
            <w:tcBorders>
              <w:top w:val="none" w:color="000000" w:sz="4" w:space="0"/>
              <w:left w:val="none" w:color="000000" w:sz="4" w:space="0"/>
              <w:bottom w:val="single" w:color="000000" w:sz="4" w:space="0"/>
              <w:right w:val="single" w:color="000000" w:sz="4" w:space="0"/>
            </w:tcBorders>
            <w:tcW w:w="5068" w:type="dxa"/>
            <w:vAlign w:val="center"/>
            <w:textDirection w:val="lrTb"/>
            <w:noWrap w:val="false"/>
          </w:tcPr>
          <w:p>
            <w:pPr>
              <w:pStyle w:val="883"/>
              <w:jc w:val="left"/>
              <w:widowControl/>
              <w:rPr>
                <w:rFonts w:hint="eastAsia" w:ascii="宋体" w:hAnsi="宋体" w:eastAsia="宋体" w:cs="宋体"/>
                <w:highlight w:val="none"/>
              </w:rPr>
            </w:pPr>
            <w:r>
              <w:rPr>
                <w:rFonts w:hint="eastAsia" w:ascii="宋体" w:hAnsi="宋体" w:eastAsia="宋体" w:cs="宋体"/>
                <w:highlight w:val="none"/>
              </w:rPr>
              <w:t xml:space="preserve">负责对使用科室非正常操作造成的系统故障进行恢复，软件运行过程中新发现的软件错误，及时维护改进，同时提供软件维护说明</w:t>
            </w:r>
            <w:r>
              <w:rPr>
                <w:rFonts w:hint="eastAsia" w:ascii="宋体" w:hAnsi="宋体" w:eastAsia="宋体" w:cs="宋体"/>
                <w:highlight w:val="none"/>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tcPr>
          <w:p>
            <w:pPr>
              <w:pStyle w:val="883"/>
              <w:jc w:val="center"/>
              <w:widowControl/>
              <w:rPr>
                <w:rFonts w:hint="eastAsia" w:ascii="宋体" w:hAnsi="宋体" w:eastAsia="宋体" w:cs="宋体"/>
                <w:highlight w:val="none"/>
              </w:rPr>
            </w:pPr>
            <w:r>
              <w:rPr>
                <w:rFonts w:hint="eastAsia" w:ascii="宋体" w:hAnsi="宋体" w:eastAsia="宋体" w:cs="宋体"/>
                <w:highlight w:val="none"/>
              </w:rPr>
              <w:t xml:space="preserve">10</w:t>
            </w:r>
            <w:r>
              <w:rPr>
                <w:rFonts w:hint="eastAsia" w:ascii="宋体" w:hAnsi="宋体" w:eastAsia="宋体" w:cs="宋体"/>
                <w:highlight w:val="none"/>
              </w:rPr>
            </w:r>
            <w:r/>
          </w:p>
        </w:tc>
        <w:tc>
          <w:tcPr>
            <w:tcBorders>
              <w:top w:val="none" w:color="000000" w:sz="4" w:space="0"/>
              <w:left w:val="none" w:color="000000" w:sz="4" w:space="0"/>
              <w:bottom w:val="single" w:color="000000" w:sz="4" w:space="0"/>
              <w:right w:val="single" w:color="000000" w:sz="4" w:space="0"/>
            </w:tcBorders>
            <w:tcW w:w="1110" w:type="dxa"/>
            <w:vAlign w:val="bottom"/>
            <w:textDirection w:val="lrTb"/>
            <w:noWrap/>
          </w:tcPr>
          <w:p>
            <w:pPr>
              <w:pStyle w:val="883"/>
              <w:jc w:val="left"/>
              <w:widowControl/>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none" w:color="000000" w:sz="4" w:space="0"/>
              <w:left w:val="single" w:color="000000" w:sz="8" w:space="0"/>
              <w:bottom w:val="single" w:color="000000" w:sz="8" w:space="0"/>
              <w:right w:val="single" w:color="000000" w:sz="8" w:space="0"/>
            </w:tcBorders>
            <w:tcW w:w="1094" w:type="dxa"/>
            <w:vAlign w:val="center"/>
            <w:vMerge w:val="continue"/>
            <w:textDirection w:val="lrTb"/>
            <w:noWrap w:val="false"/>
          </w:tcPr>
          <w:p>
            <w:pPr>
              <w:pStyle w:val="883"/>
              <w:jc w:val="left"/>
              <w:widowControl/>
              <w:rPr>
                <w:rFonts w:hint="eastAsia" w:ascii="宋体" w:hAnsi="宋体" w:eastAsia="宋体" w:cs="宋体"/>
                <w:highlight w:val="none"/>
              </w:rPr>
            </w:pPr>
            <w:r>
              <w:rPr>
                <w:rFonts w:hint="eastAsia" w:ascii="宋体" w:hAnsi="宋体" w:eastAsia="宋体" w:cs="宋体"/>
                <w:highlight w:val="none"/>
              </w:rPr>
            </w:r>
            <w:r/>
          </w:p>
        </w:tc>
      </w:tr>
      <w:tr>
        <w:trPr>
          <w:trHeight w:val="1035"/>
        </w:trPr>
        <w:tc>
          <w:tcPr>
            <w:tcBorders>
              <w:top w:val="none" w:color="000000" w:sz="4" w:space="0"/>
              <w:left w:val="single" w:color="000000" w:sz="8" w:space="0"/>
              <w:bottom w:val="single" w:color="000000" w:sz="4" w:space="0"/>
              <w:right w:val="single" w:color="000000" w:sz="4" w:space="0"/>
            </w:tcBorders>
            <w:tcW w:w="540" w:type="dxa"/>
            <w:vAlign w:val="center"/>
            <w:textDirection w:val="lrTb"/>
            <w:noWrap/>
          </w:tcPr>
          <w:p>
            <w:pPr>
              <w:pStyle w:val="883"/>
              <w:jc w:val="center"/>
              <w:widowControl/>
              <w:rPr>
                <w:rFonts w:hint="eastAsia" w:ascii="宋体" w:hAnsi="宋体" w:eastAsia="宋体" w:cs="宋体"/>
                <w:highlight w:val="none"/>
              </w:rPr>
            </w:pPr>
            <w:r>
              <w:rPr>
                <w:rFonts w:hint="eastAsia" w:ascii="宋体" w:hAnsi="宋体" w:eastAsia="宋体" w:cs="宋体"/>
                <w:highlight w:val="none"/>
              </w:rPr>
              <w:t xml:space="preserve">5</w:t>
            </w:r>
            <w:r>
              <w:rPr>
                <w:rFonts w:hint="eastAsia" w:ascii="宋体" w:hAnsi="宋体" w:eastAsia="宋体" w:cs="宋体"/>
                <w:highlight w:val="none"/>
              </w:rPr>
            </w:r>
            <w:r/>
          </w:p>
        </w:tc>
        <w:tc>
          <w:tcPr>
            <w:tcBorders>
              <w:top w:val="none" w:color="000000" w:sz="4" w:space="0"/>
              <w:left w:val="none" w:color="000000" w:sz="4" w:space="0"/>
              <w:bottom w:val="single" w:color="000000" w:sz="4" w:space="0"/>
              <w:right w:val="single" w:color="000000" w:sz="4" w:space="0"/>
            </w:tcBorders>
            <w:tcW w:w="5068" w:type="dxa"/>
            <w:vAlign w:val="center"/>
            <w:textDirection w:val="lrTb"/>
            <w:noWrap w:val="false"/>
          </w:tcPr>
          <w:p>
            <w:pPr>
              <w:pStyle w:val="883"/>
              <w:jc w:val="left"/>
              <w:widowControl/>
              <w:rPr>
                <w:rFonts w:hint="eastAsia" w:ascii="宋体" w:hAnsi="宋体" w:eastAsia="宋体" w:cs="宋体"/>
                <w:highlight w:val="none"/>
              </w:rPr>
            </w:pPr>
            <w:r>
              <w:rPr>
                <w:rFonts w:hint="eastAsia" w:ascii="宋体" w:hAnsi="宋体" w:eastAsia="宋体" w:cs="宋体"/>
                <w:highlight w:val="none"/>
              </w:rPr>
              <w:t xml:space="preserve">负责软件更改后造成软件操作变化的使用培训，培训对象为使用科室的使用人员、信息科相关技术工程师。同时向甲方提供新功能使用说明、操作手册。</w:t>
            </w:r>
            <w:r>
              <w:rPr>
                <w:rFonts w:hint="eastAsia" w:ascii="宋体" w:hAnsi="宋体" w:eastAsia="宋体" w:cs="宋体"/>
                <w:highlight w:val="none"/>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tcPr>
          <w:p>
            <w:pPr>
              <w:pStyle w:val="883"/>
              <w:jc w:val="center"/>
              <w:widowControl/>
              <w:rPr>
                <w:rFonts w:hint="eastAsia" w:ascii="宋体" w:hAnsi="宋体" w:eastAsia="宋体" w:cs="宋体"/>
                <w:highlight w:val="none"/>
              </w:rPr>
            </w:pPr>
            <w:r>
              <w:rPr>
                <w:rFonts w:hint="eastAsia" w:ascii="宋体" w:hAnsi="宋体" w:eastAsia="宋体" w:cs="宋体"/>
                <w:highlight w:val="none"/>
              </w:rPr>
              <w:t xml:space="preserve">15</w:t>
            </w:r>
            <w:r>
              <w:rPr>
                <w:rFonts w:hint="eastAsia" w:ascii="宋体" w:hAnsi="宋体" w:eastAsia="宋体" w:cs="宋体"/>
                <w:highlight w:val="none"/>
              </w:rPr>
            </w:r>
            <w:r/>
          </w:p>
        </w:tc>
        <w:tc>
          <w:tcPr>
            <w:tcBorders>
              <w:top w:val="none" w:color="000000" w:sz="4" w:space="0"/>
              <w:left w:val="none" w:color="000000" w:sz="4" w:space="0"/>
              <w:bottom w:val="single" w:color="000000" w:sz="4" w:space="0"/>
              <w:right w:val="single" w:color="000000" w:sz="4" w:space="0"/>
            </w:tcBorders>
            <w:tcW w:w="1110" w:type="dxa"/>
            <w:vAlign w:val="bottom"/>
            <w:textDirection w:val="lrTb"/>
            <w:noWrap/>
          </w:tcPr>
          <w:p>
            <w:pPr>
              <w:pStyle w:val="883"/>
              <w:jc w:val="left"/>
              <w:widowControl/>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none" w:color="000000" w:sz="4" w:space="0"/>
              <w:left w:val="single" w:color="000000" w:sz="8" w:space="0"/>
              <w:bottom w:val="single" w:color="000000" w:sz="8" w:space="0"/>
              <w:right w:val="single" w:color="000000" w:sz="8" w:space="0"/>
            </w:tcBorders>
            <w:tcW w:w="1094" w:type="dxa"/>
            <w:vAlign w:val="center"/>
            <w:vMerge w:val="continue"/>
            <w:textDirection w:val="lrTb"/>
            <w:noWrap w:val="false"/>
          </w:tcPr>
          <w:p>
            <w:pPr>
              <w:pStyle w:val="883"/>
              <w:jc w:val="left"/>
              <w:widowControl/>
              <w:rPr>
                <w:rFonts w:hint="eastAsia" w:ascii="宋体" w:hAnsi="宋体" w:eastAsia="宋体" w:cs="宋体"/>
                <w:highlight w:val="none"/>
              </w:rPr>
            </w:pPr>
            <w:r>
              <w:rPr>
                <w:rFonts w:hint="eastAsia" w:ascii="宋体" w:hAnsi="宋体" w:eastAsia="宋体" w:cs="宋体"/>
                <w:highlight w:val="none"/>
              </w:rPr>
            </w:r>
            <w:r/>
          </w:p>
        </w:tc>
      </w:tr>
      <w:tr>
        <w:trPr>
          <w:trHeight w:val="885"/>
        </w:trPr>
        <w:tc>
          <w:tcPr>
            <w:tcBorders>
              <w:top w:val="none" w:color="000000" w:sz="4" w:space="0"/>
              <w:left w:val="single" w:color="000000" w:sz="8" w:space="0"/>
              <w:bottom w:val="single" w:color="000000" w:sz="4" w:space="0"/>
              <w:right w:val="single" w:color="000000" w:sz="4" w:space="0"/>
            </w:tcBorders>
            <w:tcW w:w="540" w:type="dxa"/>
            <w:vAlign w:val="center"/>
            <w:textDirection w:val="lrTb"/>
            <w:noWrap/>
          </w:tcPr>
          <w:p>
            <w:pPr>
              <w:pStyle w:val="883"/>
              <w:jc w:val="center"/>
              <w:widowControl/>
              <w:rPr>
                <w:rFonts w:hint="eastAsia" w:ascii="宋体" w:hAnsi="宋体" w:eastAsia="宋体" w:cs="宋体"/>
                <w:highlight w:val="none"/>
              </w:rPr>
            </w:pPr>
            <w:r>
              <w:rPr>
                <w:rFonts w:hint="eastAsia" w:ascii="宋体" w:hAnsi="宋体" w:eastAsia="宋体" w:cs="宋体"/>
                <w:highlight w:val="none"/>
              </w:rPr>
              <w:t xml:space="preserve">6</w:t>
            </w:r>
            <w:r>
              <w:rPr>
                <w:rFonts w:hint="eastAsia" w:ascii="宋体" w:hAnsi="宋体" w:eastAsia="宋体" w:cs="宋体"/>
                <w:highlight w:val="none"/>
              </w:rPr>
            </w:r>
            <w:r/>
          </w:p>
        </w:tc>
        <w:tc>
          <w:tcPr>
            <w:tcBorders>
              <w:top w:val="none" w:color="000000" w:sz="4" w:space="0"/>
              <w:left w:val="none" w:color="000000" w:sz="4" w:space="0"/>
              <w:bottom w:val="single" w:color="000000" w:sz="4" w:space="0"/>
              <w:right w:val="single" w:color="000000" w:sz="4" w:space="0"/>
            </w:tcBorders>
            <w:tcW w:w="5068" w:type="dxa"/>
            <w:vAlign w:val="center"/>
            <w:textDirection w:val="lrTb"/>
            <w:noWrap w:val="false"/>
          </w:tcPr>
          <w:p>
            <w:pPr>
              <w:pStyle w:val="883"/>
              <w:jc w:val="left"/>
              <w:widowControl/>
              <w:rPr>
                <w:rFonts w:hint="eastAsia" w:ascii="宋体" w:hAnsi="宋体" w:eastAsia="宋体" w:cs="宋体"/>
                <w:highlight w:val="none"/>
              </w:rPr>
            </w:pPr>
            <w:r>
              <w:rPr>
                <w:rFonts w:hint="eastAsia" w:ascii="宋体" w:hAnsi="宋体" w:eastAsia="宋体" w:cs="宋体"/>
                <w:highlight w:val="none"/>
              </w:rPr>
              <w:t xml:space="preserve">按要求及时完成用户临时性的重大活动的技术保障任务。</w:t>
            </w:r>
            <w:r>
              <w:rPr>
                <w:rFonts w:hint="eastAsia" w:ascii="宋体" w:hAnsi="宋体" w:eastAsia="宋体" w:cs="宋体"/>
                <w:highlight w:val="none"/>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tcPr>
          <w:p>
            <w:pPr>
              <w:pStyle w:val="883"/>
              <w:jc w:val="center"/>
              <w:widowControl/>
              <w:rPr>
                <w:rFonts w:hint="eastAsia" w:ascii="宋体" w:hAnsi="宋体" w:eastAsia="宋体" w:cs="宋体"/>
                <w:highlight w:val="none"/>
              </w:rPr>
            </w:pPr>
            <w:r>
              <w:rPr>
                <w:rFonts w:hint="eastAsia" w:ascii="宋体" w:hAnsi="宋体" w:eastAsia="宋体" w:cs="宋体"/>
                <w:highlight w:val="none"/>
              </w:rPr>
              <w:t xml:space="preserve">20</w:t>
            </w:r>
            <w:r>
              <w:rPr>
                <w:rFonts w:hint="eastAsia" w:ascii="宋体" w:hAnsi="宋体" w:eastAsia="宋体" w:cs="宋体"/>
                <w:highlight w:val="none"/>
              </w:rPr>
            </w:r>
            <w:r/>
          </w:p>
        </w:tc>
        <w:tc>
          <w:tcPr>
            <w:tcBorders>
              <w:top w:val="none" w:color="000000" w:sz="4" w:space="0"/>
              <w:left w:val="none" w:color="000000" w:sz="4" w:space="0"/>
              <w:bottom w:val="single" w:color="000000" w:sz="4" w:space="0"/>
              <w:right w:val="single" w:color="000000" w:sz="4" w:space="0"/>
            </w:tcBorders>
            <w:tcW w:w="1110" w:type="dxa"/>
            <w:vAlign w:val="bottom"/>
            <w:textDirection w:val="lrTb"/>
            <w:noWrap/>
          </w:tcPr>
          <w:p>
            <w:pPr>
              <w:pStyle w:val="883"/>
              <w:jc w:val="left"/>
              <w:widowControl/>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none" w:color="000000" w:sz="4" w:space="0"/>
              <w:left w:val="single" w:color="000000" w:sz="8" w:space="0"/>
              <w:bottom w:val="single" w:color="000000" w:sz="8" w:space="0"/>
              <w:right w:val="single" w:color="000000" w:sz="8" w:space="0"/>
            </w:tcBorders>
            <w:tcW w:w="1094" w:type="dxa"/>
            <w:vAlign w:val="center"/>
            <w:vMerge w:val="continue"/>
            <w:textDirection w:val="lrTb"/>
            <w:noWrap w:val="false"/>
          </w:tcPr>
          <w:p>
            <w:pPr>
              <w:pStyle w:val="883"/>
              <w:jc w:val="left"/>
              <w:widowControl/>
              <w:rPr>
                <w:rFonts w:hint="eastAsia" w:ascii="宋体" w:hAnsi="宋体" w:eastAsia="宋体" w:cs="宋体"/>
                <w:highlight w:val="none"/>
              </w:rPr>
            </w:pPr>
            <w:r>
              <w:rPr>
                <w:rFonts w:hint="eastAsia" w:ascii="宋体" w:hAnsi="宋体" w:eastAsia="宋体" w:cs="宋体"/>
                <w:highlight w:val="none"/>
              </w:rPr>
            </w:r>
            <w:r/>
          </w:p>
        </w:tc>
      </w:tr>
      <w:tr>
        <w:trPr>
          <w:trHeight w:val="402"/>
        </w:trPr>
        <w:tc>
          <w:tcPr>
            <w:tcBorders>
              <w:top w:val="none" w:color="000000" w:sz="4" w:space="0"/>
              <w:left w:val="single" w:color="000000" w:sz="8" w:space="0"/>
              <w:bottom w:val="single" w:color="000000" w:sz="8" w:space="0"/>
              <w:right w:val="single" w:color="000000" w:sz="4" w:space="0"/>
            </w:tcBorders>
            <w:tcW w:w="540" w:type="dxa"/>
            <w:vAlign w:val="center"/>
            <w:textDirection w:val="lrTb"/>
            <w:noWrap/>
          </w:tcPr>
          <w:p>
            <w:pPr>
              <w:pStyle w:val="883"/>
              <w:jc w:val="center"/>
              <w:widowControl/>
              <w:rPr>
                <w:rFonts w:hint="eastAsia" w:ascii="宋体" w:hAnsi="宋体" w:eastAsia="宋体" w:cs="宋体"/>
                <w:highlight w:val="none"/>
              </w:rPr>
            </w:pPr>
            <w:r>
              <w:rPr>
                <w:rFonts w:hint="eastAsia" w:ascii="宋体" w:hAnsi="宋体" w:eastAsia="宋体" w:cs="宋体"/>
                <w:highlight w:val="none"/>
              </w:rPr>
              <w:t xml:space="preserve">7</w:t>
            </w:r>
            <w:r>
              <w:rPr>
                <w:rFonts w:hint="eastAsia" w:ascii="宋体" w:hAnsi="宋体" w:eastAsia="宋体" w:cs="宋体"/>
                <w:highlight w:val="none"/>
              </w:rPr>
            </w:r>
            <w:r/>
          </w:p>
        </w:tc>
        <w:tc>
          <w:tcPr>
            <w:tcBorders>
              <w:top w:val="none" w:color="000000" w:sz="4" w:space="0"/>
              <w:left w:val="none" w:color="000000" w:sz="4" w:space="0"/>
              <w:bottom w:val="single" w:color="000000" w:sz="8" w:space="0"/>
              <w:right w:val="single" w:color="000000" w:sz="4" w:space="0"/>
            </w:tcBorders>
            <w:tcW w:w="5068" w:type="dxa"/>
            <w:vAlign w:val="center"/>
            <w:textDirection w:val="lrTb"/>
            <w:noWrap/>
          </w:tcPr>
          <w:p>
            <w:pPr>
              <w:pStyle w:val="883"/>
              <w:jc w:val="left"/>
              <w:widowControl/>
              <w:rPr>
                <w:rFonts w:hint="eastAsia" w:ascii="宋体" w:hAnsi="宋体" w:eastAsia="宋体" w:cs="宋体"/>
                <w:highlight w:val="none"/>
              </w:rPr>
            </w:pPr>
            <w:r>
              <w:rPr>
                <w:rFonts w:hint="eastAsia" w:ascii="宋体" w:hAnsi="宋体" w:eastAsia="宋体" w:cs="宋体"/>
                <w:highlight w:val="none"/>
              </w:rPr>
              <w:t xml:space="preserve">每季度做维护总结</w:t>
            </w:r>
            <w:r>
              <w:rPr>
                <w:rFonts w:hint="eastAsia" w:ascii="宋体" w:hAnsi="宋体" w:eastAsia="宋体" w:cs="宋体"/>
                <w:highlight w:val="none"/>
              </w:rPr>
            </w:r>
            <w:r/>
          </w:p>
        </w:tc>
        <w:tc>
          <w:tcPr>
            <w:tcBorders>
              <w:top w:val="none" w:color="000000" w:sz="4" w:space="0"/>
              <w:left w:val="none" w:color="000000" w:sz="4" w:space="0"/>
              <w:bottom w:val="single" w:color="000000" w:sz="8" w:space="0"/>
              <w:right w:val="single" w:color="000000" w:sz="4" w:space="0"/>
            </w:tcBorders>
            <w:tcW w:w="1275" w:type="dxa"/>
            <w:vAlign w:val="center"/>
            <w:textDirection w:val="lrTb"/>
            <w:noWrap/>
          </w:tcPr>
          <w:p>
            <w:pPr>
              <w:pStyle w:val="883"/>
              <w:jc w:val="center"/>
              <w:widowControl/>
              <w:rPr>
                <w:rFonts w:hint="eastAsia" w:ascii="宋体" w:hAnsi="宋体" w:eastAsia="宋体" w:cs="宋体"/>
                <w:highlight w:val="none"/>
              </w:rPr>
            </w:pPr>
            <w:r>
              <w:rPr>
                <w:rFonts w:hint="eastAsia" w:ascii="宋体" w:hAnsi="宋体" w:eastAsia="宋体" w:cs="宋体"/>
                <w:highlight w:val="none"/>
              </w:rPr>
              <w:t xml:space="preserve">10</w:t>
            </w:r>
            <w:r>
              <w:rPr>
                <w:rFonts w:hint="eastAsia" w:ascii="宋体" w:hAnsi="宋体" w:eastAsia="宋体" w:cs="宋体"/>
                <w:highlight w:val="none"/>
              </w:rPr>
            </w:r>
            <w:r/>
          </w:p>
        </w:tc>
        <w:tc>
          <w:tcPr>
            <w:tcBorders>
              <w:top w:val="none" w:color="000000" w:sz="4" w:space="0"/>
              <w:left w:val="none" w:color="000000" w:sz="4" w:space="0"/>
              <w:bottom w:val="single" w:color="000000" w:sz="8" w:space="0"/>
              <w:right w:val="single" w:color="000000" w:sz="4" w:space="0"/>
            </w:tcBorders>
            <w:tcW w:w="1110" w:type="dxa"/>
            <w:vAlign w:val="bottom"/>
            <w:textDirection w:val="lrTb"/>
            <w:noWrap/>
          </w:tcPr>
          <w:p>
            <w:pPr>
              <w:pStyle w:val="883"/>
              <w:jc w:val="left"/>
              <w:widowControl/>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none" w:color="000000" w:sz="4" w:space="0"/>
              <w:left w:val="single" w:color="000000" w:sz="8" w:space="0"/>
              <w:bottom w:val="single" w:color="000000" w:sz="8" w:space="0"/>
              <w:right w:val="single" w:color="000000" w:sz="8" w:space="0"/>
            </w:tcBorders>
            <w:tcW w:w="1094" w:type="dxa"/>
            <w:vAlign w:val="center"/>
            <w:vMerge w:val="continue"/>
            <w:textDirection w:val="lrTb"/>
            <w:noWrap w:val="false"/>
          </w:tcPr>
          <w:p>
            <w:pPr>
              <w:pStyle w:val="883"/>
              <w:jc w:val="left"/>
              <w:widowControl/>
              <w:rPr>
                <w:rFonts w:hint="eastAsia" w:ascii="宋体" w:hAnsi="宋体" w:eastAsia="宋体" w:cs="宋体"/>
                <w:highlight w:val="none"/>
              </w:rPr>
            </w:pPr>
            <w:r>
              <w:rPr>
                <w:rFonts w:hint="eastAsia" w:ascii="宋体" w:hAnsi="宋体" w:eastAsia="宋体" w:cs="宋体"/>
                <w:highlight w:val="none"/>
              </w:rPr>
            </w:r>
            <w:r/>
          </w:p>
        </w:tc>
      </w:tr>
    </w:tbl>
    <w:p>
      <w:pPr>
        <w:pStyle w:val="883"/>
        <w:numPr>
          <w:ilvl w:val="0"/>
          <w:numId w:val="0"/>
        </w:numPr>
        <w:keepLines w:val="0"/>
        <w:keepNext w:val="0"/>
        <w:pageBreakBefore w:val="0"/>
        <w:spacing w:line="240" w:lineRule="auto"/>
        <w:widowControl w:val="off"/>
        <w:rPr>
          <w:rFonts w:hint="eastAsia" w:ascii="宋体" w:hAnsi="宋体" w:eastAsia="宋体" w:cs="宋体"/>
          <w:b w:val="0"/>
          <w:bCs w:val="0"/>
          <w:sz w:val="24"/>
          <w:szCs w:val="24"/>
          <w:lang w:eastAsia="zh-CN"/>
        </w:rPr>
        <w:outlineLvl w:val="6"/>
      </w:pPr>
      <w:r>
        <w:rPr>
          <w:rFonts w:hint="eastAsia" w:ascii="宋体" w:hAnsi="宋体" w:eastAsia="宋体" w:cs="宋体"/>
          <w:b w:val="0"/>
          <w:bCs w:val="0"/>
          <w:sz w:val="24"/>
          <w:szCs w:val="24"/>
          <w:lang w:eastAsia="zh-CN"/>
        </w:rPr>
      </w:r>
      <w:r/>
    </w:p>
    <w:p>
      <w:pPr>
        <w:pStyle w:val="883"/>
        <w:ind w:firstLine="602"/>
        <w:spacing w:line="360" w:lineRule="auto"/>
        <w:rPr>
          <w:rFonts w:ascii="宋体" w:hAnsi="宋体"/>
          <w:b/>
          <w:color w:val="000000"/>
          <w:sz w:val="30"/>
          <w:szCs w:val="30"/>
        </w:rPr>
      </w:pPr>
      <w:r>
        <w:rPr>
          <w:rFonts w:hint="eastAsia" w:ascii="宋体" w:hAnsi="宋体"/>
          <w:b/>
          <w:color w:val="000000"/>
          <w:sz w:val="30"/>
          <w:szCs w:val="30"/>
        </w:rPr>
        <w:br w:type="page" w:clear="all"/>
      </w:r>
      <w:r>
        <w:rPr>
          <w:rFonts w:hint="eastAsia" w:ascii="宋体" w:hAnsi="宋体"/>
          <w:b/>
          <w:color w:val="000000"/>
          <w:sz w:val="30"/>
          <w:szCs w:val="30"/>
        </w:rPr>
        <w:t xml:space="preserve">第二部分  有关说明</w:t>
      </w:r>
      <w:r>
        <w:rPr>
          <w:rFonts w:ascii="宋体" w:hAnsi="宋体"/>
          <w:b/>
          <w:color w:val="000000"/>
          <w:sz w:val="30"/>
          <w:szCs w:val="30"/>
        </w:rPr>
      </w:r>
      <w:r/>
    </w:p>
    <w:p>
      <w:pPr>
        <w:pStyle w:val="883"/>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投标总报价包括满足本项目服务要求的从项目中标起到项目正式交付以及服务期内所发生的一切费用。</w:t>
      </w:r>
      <w:r>
        <w:rPr>
          <w:rFonts w:ascii="宋体"/>
          <w:bCs/>
          <w:color w:val="000000"/>
          <w:sz w:val="24"/>
          <w:szCs w:val="24"/>
        </w:rPr>
      </w:r>
      <w:r/>
    </w:p>
    <w:p>
      <w:pPr>
        <w:pStyle w:val="883"/>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通过中国海关报关验放进入中国境内且产自中国境外的产品不在本项目的报价范围。</w:t>
      </w:r>
      <w:r>
        <w:rPr>
          <w:rFonts w:ascii="宋体"/>
          <w:bCs/>
          <w:color w:val="000000"/>
          <w:sz w:val="24"/>
          <w:szCs w:val="24"/>
        </w:rPr>
      </w:r>
      <w:r/>
    </w:p>
    <w:p>
      <w:pPr>
        <w:pStyle w:val="883"/>
        <w:numPr>
          <w:ilvl w:val="1"/>
          <w:numId w:val="5"/>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rPr>
      </w:r>
      <w:r/>
    </w:p>
    <w:p>
      <w:pPr>
        <w:pStyle w:val="883"/>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w:t>
      </w:r>
      <w:r>
        <w:rPr>
          <w:rFonts w:hint="eastAsia" w:ascii="宋体" w:hAnsi="宋体"/>
          <w:bCs/>
          <w:color w:val="000000"/>
          <w:sz w:val="24"/>
          <w:szCs w:val="24"/>
        </w:rPr>
        <w:t xml:space="preserve">偏离表中说明。</w:t>
      </w:r>
      <w:r>
        <w:rPr>
          <w:rFonts w:ascii="宋体"/>
          <w:bCs/>
          <w:color w:val="000000"/>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ascii="宋体" w:hAnsi="宋体"/>
          <w:bCs/>
          <w:color w:val="000000"/>
          <w:sz w:val="24"/>
          <w:szCs w:val="24"/>
        </w:rPr>
        <w:t xml:space="preserve">服务期</w:t>
      </w:r>
      <w:r>
        <w:rPr>
          <w:rFonts w:hint="eastAsia" w:ascii="宋体" w:hAnsi="宋体"/>
          <w:bCs/>
          <w:color w:val="000000"/>
          <w:sz w:val="24"/>
          <w:szCs w:val="24"/>
        </w:rPr>
        <w:t xml:space="preserve">/完工期：合同签订生效后12个月内完成。</w:t>
      </w:r>
      <w:r>
        <w:rPr>
          <w:rFonts w:ascii="宋体"/>
          <w:bCs/>
          <w:color w:val="000000"/>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bCs/>
          <w:color w:val="000000"/>
          <w:sz w:val="24"/>
          <w:szCs w:val="24"/>
        </w:rPr>
        <w:t xml:space="preserve">项目整体质保期：软件3年，自最终验收合格、交付使用之日起计算。</w:t>
      </w:r>
      <w:r>
        <w:rPr>
          <w:rFonts w:ascii="宋体"/>
          <w:bCs/>
          <w:color w:val="000000"/>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付款方式：合同签订生效、完成项目实施方案编写并得到采购方书面认可后支付合同总额10%；项目实施完成、验收合格后支付85%；项目验收满3年且双方无异议后剩余款项。</w:t>
      </w:r>
      <w:r>
        <w:rPr>
          <w:rFonts w:ascii="宋体"/>
          <w:bCs/>
          <w:color w:val="000000"/>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本项目合同履行地点：无锡市中医医院，具体地点以合同书约定为准。中标方必须按采购人要求将本项目中货物送到指定地点</w:t>
      </w:r>
      <w:r>
        <w:rPr>
          <w:rFonts w:ascii="宋体" w:hAnsi="宋体"/>
          <w:bCs/>
          <w:color w:val="000000"/>
          <w:sz w:val="24"/>
          <w:szCs w:val="24"/>
        </w:rPr>
        <w:t xml:space="preserve">(</w:t>
      </w:r>
      <w:r>
        <w:rPr>
          <w:rFonts w:hint="eastAsia" w:ascii="宋体" w:hAnsi="宋体"/>
          <w:bCs/>
          <w:color w:val="000000"/>
          <w:sz w:val="24"/>
          <w:szCs w:val="24"/>
        </w:rPr>
        <w:t xml:space="preserve">包括可能的分布范围</w:t>
      </w:r>
      <w:r>
        <w:rPr>
          <w:rFonts w:ascii="宋体" w:hAnsi="宋体"/>
          <w:bCs/>
          <w:color w:val="000000"/>
          <w:sz w:val="24"/>
          <w:szCs w:val="24"/>
        </w:rPr>
        <w:t xml:space="preserve">)</w:t>
      </w:r>
      <w:r>
        <w:rPr>
          <w:rFonts w:hint="eastAsia" w:ascii="宋体" w:hAnsi="宋体"/>
          <w:bCs/>
          <w:color w:val="000000"/>
          <w:sz w:val="24"/>
          <w:szCs w:val="24"/>
        </w:rPr>
        <w:t xml:space="preserve">，并分地实施安装调试。</w:t>
      </w:r>
      <w:r>
        <w:rPr>
          <w:rFonts w:ascii="宋体"/>
          <w:bCs/>
          <w:color w:val="000000"/>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hAnsi="宋体"/>
          <w:bCs/>
          <w:color w:val="000000"/>
          <w:sz w:val="24"/>
          <w:szCs w:val="24"/>
        </w:rPr>
        <w:t xml:space="preserve">质量及验收：采购人根据国家有关规定</w:t>
      </w:r>
      <w:r>
        <w:rPr>
          <w:rFonts w:hint="eastAsia" w:ascii="宋体" w:hAnsi="宋体"/>
          <w:bCs/>
          <w:color w:val="000000"/>
          <w:sz w:val="24"/>
          <w:szCs w:val="24"/>
        </w:rPr>
        <w:t xml:space="preserve">、招标文件、中标方的投标文件以及合同约定的内容和验收标准进行验收。验收情况作为支付货款的依据。如有质疑，以相关质量技术检验检测机构的检验结果为准，如产生检验费用，则该费用由过失方承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sz w:val="24"/>
        </w:rPr>
      </w:r>
      <w:r/>
    </w:p>
    <w:p>
      <w:pPr>
        <w:pStyle w:val="883"/>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883"/>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883"/>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hint="eastAsia" w:ascii="宋体"/>
          <w:bCs/>
          <w:sz w:val="24"/>
          <w:szCs w:val="24"/>
        </w:rPr>
      </w:r>
      <w:r/>
    </w:p>
    <w:p>
      <w:pPr>
        <w:pStyle w:val="883"/>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883"/>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883"/>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883"/>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883"/>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rPr>
      </w:pPr>
      <w:r>
        <w:rPr>
          <w:rFonts w:ascii="宋体"/>
          <w:bCs/>
          <w:color w:val="ff0000"/>
          <w:sz w:val="24"/>
          <w:szCs w:val="24"/>
        </w:rPr>
        <w:br w:type="page" w:clear="all"/>
      </w:r>
      <w:bookmarkStart w:id="195" w:name="_Toc120614281"/>
      <w:r>
        <w:rPr>
          <w:rFonts w:hint="eastAsia" w:ascii="黑体" w:hAnsi="黑体" w:eastAsia="黑体"/>
          <w:bCs/>
          <w:sz w:val="36"/>
          <w:szCs w:val="36"/>
        </w:rPr>
        <w:t xml:space="preserve">第五章  </w:t>
      </w:r>
      <w:r>
        <w:rPr>
          <w:rFonts w:hint="eastAsia" w:ascii="黑体" w:hAnsi="黑体" w:eastAsia="黑体"/>
          <w:b/>
          <w:bCs/>
          <w:sz w:val="36"/>
          <w:szCs w:val="36"/>
        </w:rPr>
        <w:t xml:space="preserve">评标方法与评标标准</w:t>
      </w:r>
      <w:r>
        <w:rPr>
          <w:rFonts w:hint="eastAsia" w:ascii="黑体" w:hAnsi="黑体" w:eastAsia="黑体"/>
          <w:bCs/>
          <w:sz w:val="36"/>
          <w:szCs w:val="36"/>
        </w:rPr>
      </w:r>
      <w:r/>
    </w:p>
    <w:p>
      <w:pPr>
        <w:pStyle w:val="970"/>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970"/>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970"/>
        <w:spacing w:before="0" w:after="0" w:line="500" w:lineRule="exact"/>
        <w:rPr>
          <w:rFonts w:hint="eastAsia" w:cs="Arial"/>
        </w:rPr>
      </w:pPr>
      <w:r>
        <w:rPr>
          <w:rFonts w:hint="eastAsia" w:cs="Arial"/>
        </w:rPr>
        <w:t xml:space="preserve">比较与评价采用综合评分法。</w:t>
      </w:r>
      <w:r>
        <w:rPr>
          <w:rFonts w:hint="eastAsia" w:cs="Arial"/>
        </w:rPr>
      </w:r>
      <w:r/>
    </w:p>
    <w:p>
      <w:pPr>
        <w:pStyle w:val="970"/>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rPr>
      </w:r>
      <w:r/>
    </w:p>
    <w:p>
      <w:pPr>
        <w:pStyle w:val="970"/>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970"/>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970"/>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883"/>
        <w:ind w:firstLine="482"/>
        <w:jc w:val="left"/>
        <w:spacing w:line="500" w:lineRule="exact"/>
        <w:rPr>
          <w:rFonts w:hint="eastAsia" w:ascii="宋体" w:hAnsi="宋体"/>
          <w:b/>
          <w:bCs/>
          <w:sz w:val="24"/>
          <w:szCs w:val="24"/>
        </w:rPr>
      </w:pPr>
      <w:r>
        <w:rPr>
          <w:rFonts w:hint="eastAsia" w:ascii="宋体" w:hAnsi="宋体"/>
          <w:b/>
          <w:bCs/>
          <w:sz w:val="24"/>
          <w:szCs w:val="24"/>
        </w:rPr>
        <w:t xml:space="preserve">小微型企业价格扣除：专门面向中小/小微企业的项目不做价格扣除。</w:t>
      </w:r>
      <w:r>
        <w:rPr>
          <w:rFonts w:hint="eastAsia" w:ascii="宋体" w:hAnsi="宋体"/>
          <w:b/>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883"/>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rPr>
          <w:rFonts w:hint="eastAsia" w:ascii="宋体" w:hAnsi="宋体"/>
          <w:bCs/>
          <w:color w:val="000000"/>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883"/>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970"/>
        <w:ind w:firstLine="360"/>
        <w:spacing w:before="0" w:after="0" w:line="500" w:lineRule="exact"/>
        <w:rPr>
          <w:rFonts w:hint="eastAsia" w:ascii="宋体" w:hAnsi="宋体"/>
          <w:shd w:val="clear" w:color="ffffff" w:fill="d9d9d9"/>
        </w:rPr>
      </w:pPr>
      <w:r>
        <w:rPr>
          <w:rFonts w:ascii="宋体" w:hAnsi="宋体"/>
          <w:shd w:val="clear" w:color="ffffff" w:fill="d9d9d9"/>
        </w:rPr>
        <w:br w:type="page" w:clear="all"/>
      </w:r>
      <w:r>
        <w:rPr>
          <w:rFonts w:hint="eastAsia" w:ascii="宋体" w:hAnsi="宋体"/>
          <w:b/>
          <w:sz w:val="28"/>
          <w:szCs w:val="28"/>
        </w:rPr>
        <w:t xml:space="preserve">二、评分标准</w:t>
      </w:r>
      <w:r>
        <w:rPr>
          <w:rFonts w:hint="eastAsia" w:ascii="宋体" w:hAnsi="宋体"/>
          <w:shd w:val="clear" w:color="ffffff" w:fill="d9d9d9"/>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30</w:t>
      </w:r>
      <w:r>
        <w:rPr>
          <w:rFonts w:hint="eastAsia" w:ascii="宋体" w:hAnsi="宋体"/>
          <w:b/>
          <w:bCs/>
          <w:color w:val="000000"/>
          <w:sz w:val="24"/>
          <w:szCs w:val="24"/>
        </w:rPr>
        <w:t xml:space="preserve">分）：</w:t>
      </w:r>
      <w:r>
        <w:rPr>
          <w:rFonts w:ascii="宋体" w:hAnsi="宋体"/>
          <w:b/>
          <w:bCs/>
          <w:color w:val="000000"/>
          <w:sz w:val="24"/>
          <w:szCs w:val="24"/>
        </w:rPr>
      </w:r>
      <w:r/>
    </w:p>
    <w:p>
      <w:pPr>
        <w:pStyle w:val="883"/>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883"/>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883"/>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color w:val="000000"/>
          <w:sz w:val="24"/>
          <w:szCs w:val="24"/>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投标人综合情况（</w:t>
      </w:r>
      <w:r>
        <w:rPr>
          <w:rFonts w:hint="eastAsia" w:ascii="宋体" w:hAnsi="宋体"/>
          <w:b/>
          <w:bCs/>
          <w:color w:val="000000"/>
          <w:sz w:val="24"/>
          <w:szCs w:val="24"/>
          <w:lang w:val="en-US" w:eastAsia="zh-CN"/>
        </w:rPr>
        <w:t xml:space="preserve">10</w:t>
      </w:r>
      <w:r>
        <w:rPr>
          <w:rFonts w:hint="eastAsia" w:ascii="宋体" w:hAnsi="宋体"/>
          <w:b/>
          <w:bCs/>
          <w:color w:val="000000"/>
          <w:sz w:val="24"/>
          <w:szCs w:val="24"/>
        </w:rPr>
        <w:t xml:space="preserve">分）：</w:t>
      </w:r>
      <w:r>
        <w:rPr>
          <w:rFonts w:ascii="宋体" w:hAnsi="宋体"/>
          <w:b/>
          <w:bCs/>
          <w:color w:val="000000"/>
          <w:sz w:val="24"/>
          <w:szCs w:val="24"/>
        </w:rPr>
      </w:r>
      <w:r/>
    </w:p>
    <w:p>
      <w:pPr>
        <w:pStyle w:val="883"/>
        <w:ind w:firstLine="480"/>
        <w:spacing w:line="500" w:lineRule="exact"/>
        <w:rPr>
          <w:rFonts w:hint="eastAsia" w:ascii="宋体" w:hAnsi="宋体" w:eastAsia="宋体"/>
          <w:color w:val="000000"/>
          <w:sz w:val="24"/>
          <w:lang w:eastAsia="zh-CN"/>
        </w:rPr>
      </w:pPr>
      <w:r>
        <w:rPr>
          <w:rFonts w:hint="eastAsia" w:ascii="宋体" w:hAnsi="宋体"/>
          <w:color w:val="000000"/>
          <w:sz w:val="24"/>
          <w:lang w:val="en-US" w:eastAsia="zh-CN"/>
        </w:rPr>
        <w:t xml:space="preserve">2</w:t>
      </w:r>
      <w:r>
        <w:rPr>
          <w:rFonts w:hint="eastAsia" w:ascii="宋体" w:hAnsi="宋体"/>
          <w:color w:val="000000"/>
          <w:sz w:val="24"/>
        </w:rPr>
        <w:t xml:space="preserve">.1</w:t>
      </w:r>
      <w:r>
        <w:rPr>
          <w:rFonts w:hint="eastAsia" w:ascii="宋体" w:hAnsi="宋体"/>
          <w:color w:val="000000"/>
          <w:sz w:val="24"/>
          <w:lang w:val="en-US" w:eastAsia="zh-CN"/>
        </w:rPr>
        <w:t xml:space="preserve"> </w:t>
      </w:r>
      <w:r>
        <w:rPr>
          <w:rFonts w:hint="eastAsia" w:ascii="宋体" w:hAnsi="宋体"/>
          <w:color w:val="000000"/>
          <w:sz w:val="24"/>
        </w:rPr>
        <w:t xml:space="preserve">业绩（3分）</w:t>
      </w:r>
      <w:r>
        <w:rPr>
          <w:rFonts w:hint="eastAsia" w:ascii="宋体" w:hAnsi="宋体"/>
          <w:color w:val="000000"/>
          <w:sz w:val="24"/>
          <w:lang w:eastAsia="zh-CN"/>
        </w:rPr>
        <w:t xml:space="preserve">：投标</w:t>
      </w:r>
      <w:r>
        <w:rPr>
          <w:rFonts w:hint="eastAsia" w:ascii="宋体" w:hAnsi="宋体"/>
          <w:color w:val="000000"/>
          <w:sz w:val="24"/>
          <w:lang w:val="en-US" w:eastAsia="zh-CN"/>
        </w:rPr>
        <w:t xml:space="preserve">人</w:t>
      </w:r>
      <w:r>
        <w:rPr>
          <w:rFonts w:hint="eastAsia" w:ascii="宋体" w:hAnsi="宋体"/>
          <w:color w:val="000000"/>
          <w:sz w:val="24"/>
          <w:lang w:eastAsia="zh-CN"/>
        </w:rPr>
        <w:t xml:space="preserve">自2021年1月1日以来承担过同类业绩的，有一个得1.5分，最多得3分。（须提供相应有效合同</w:t>
      </w:r>
      <w:r>
        <w:rPr>
          <w:rFonts w:hint="eastAsia" w:ascii="宋体" w:hAnsi="宋体"/>
          <w:color w:val="000000"/>
          <w:sz w:val="24"/>
          <w:lang w:val="en-US" w:eastAsia="zh-CN"/>
        </w:rPr>
        <w:t xml:space="preserve">或协议</w:t>
      </w:r>
      <w:r>
        <w:rPr>
          <w:rFonts w:hint="eastAsia" w:ascii="宋体" w:hAnsi="宋体"/>
          <w:color w:val="000000"/>
          <w:sz w:val="24"/>
          <w:lang w:eastAsia="zh-CN"/>
        </w:rPr>
        <w:t xml:space="preserve">扫描件，时间以合同或协议签订生效的日期为准，并加盖投标人电子公章，否则不得分）</w:t>
      </w:r>
      <w:r>
        <w:rPr>
          <w:rFonts w:hint="eastAsia" w:ascii="宋体" w:hAnsi="宋体" w:eastAsia="宋体"/>
          <w:color w:val="000000"/>
          <w:sz w:val="24"/>
          <w:lang w:eastAsia="zh-CN"/>
        </w:rPr>
      </w:r>
      <w:r/>
    </w:p>
    <w:p>
      <w:pPr>
        <w:pStyle w:val="883"/>
        <w:ind w:firstLine="480"/>
        <w:spacing w:line="500" w:lineRule="exact"/>
        <w:rPr>
          <w:rFonts w:hint="eastAsia" w:ascii="宋体" w:hAnsi="宋体"/>
          <w:color w:val="000000"/>
          <w:sz w:val="24"/>
          <w:lang w:eastAsia="zh-CN"/>
        </w:rPr>
      </w:pPr>
      <w:r>
        <w:rPr>
          <w:rFonts w:hint="eastAsia" w:ascii="宋体" w:hAnsi="宋体"/>
          <w:color w:val="000000"/>
          <w:sz w:val="24"/>
          <w:lang w:val="en-US" w:eastAsia="zh-CN"/>
        </w:rPr>
        <w:t xml:space="preserve">2</w:t>
      </w:r>
      <w:r>
        <w:rPr>
          <w:rFonts w:hint="eastAsia" w:ascii="宋体" w:hAnsi="宋体"/>
          <w:color w:val="000000"/>
          <w:sz w:val="24"/>
        </w:rPr>
        <w:t xml:space="preserve">.2 本地化服务（2分）</w:t>
      </w:r>
      <w:r>
        <w:rPr>
          <w:rFonts w:hint="eastAsia" w:ascii="宋体" w:hAnsi="宋体"/>
          <w:color w:val="000000"/>
          <w:sz w:val="24"/>
          <w:lang w:eastAsia="zh-CN"/>
        </w:rPr>
        <w:t xml:space="preserve">：投标人提供本地化服务承诺函，承诺中标后将在本地设立常驻售后服务机构并派驻本地服务人员，得2分。</w:t>
      </w:r>
      <w:r>
        <w:rPr>
          <w:rFonts w:hint="eastAsia" w:ascii="宋体" w:hAnsi="宋体"/>
          <w:color w:val="000000"/>
          <w:sz w:val="24"/>
          <w:lang w:eastAsia="zh-CN"/>
        </w:rPr>
      </w:r>
      <w:r/>
    </w:p>
    <w:p>
      <w:pPr>
        <w:pStyle w:val="883"/>
        <w:ind w:firstLine="480"/>
        <w:spacing w:line="500" w:lineRule="exact"/>
        <w:rPr>
          <w:rFonts w:hint="eastAsia" w:ascii="宋体" w:hAnsi="宋体"/>
          <w:color w:val="000000"/>
          <w:sz w:val="24"/>
          <w:highlight w:val="yellow"/>
          <w:lang w:val="en-US" w:eastAsia="zh-CN"/>
        </w:rPr>
      </w:pPr>
      <w:r>
        <w:rPr>
          <w:rFonts w:hint="eastAsia" w:ascii="宋体" w:hAnsi="宋体"/>
          <w:color w:val="000000"/>
          <w:sz w:val="24"/>
          <w:lang w:val="en-US" w:eastAsia="zh-CN"/>
        </w:rPr>
        <w:t xml:space="preserve">2.3 服务质量监控（2分）：投标人提供基于移动互联终端的报修业务跟踪软件，便于采购人监管报修响应时间及服务流程。内容主要包括服务请求、服务处理、服务管理及服务查询，借助平台软件完成项目知识信息的积累，并支持知识库的发布、查询及审核。</w:t>
      </w:r>
      <w:r>
        <w:rPr>
          <w:rFonts w:hint="eastAsia" w:ascii="宋体" w:hAnsi="宋体"/>
          <w:color w:val="000000"/>
          <w:sz w:val="24"/>
          <w:highlight w:val="none"/>
          <w:lang w:val="en-US" w:eastAsia="zh-CN"/>
        </w:rPr>
        <w:t xml:space="preserve">投标人须提供服务请求、服务处理、服务管理功能模块截图证明并加盖公章，</w:t>
      </w:r>
      <w:r>
        <w:rPr>
          <w:rFonts w:hint="eastAsia" w:ascii="宋体" w:hAnsi="宋体"/>
          <w:color w:val="000000"/>
          <w:sz w:val="24"/>
          <w:lang w:val="en-US" w:eastAsia="zh-CN"/>
        </w:rPr>
        <w:t xml:space="preserve">若能满足手机端功能的得1分，若能满足PC电脑端的得1分，最高</w:t>
      </w:r>
      <w:r>
        <w:rPr>
          <w:rFonts w:hint="eastAsia" w:ascii="宋体" w:hAnsi="宋体"/>
          <w:color w:val="000000"/>
          <w:sz w:val="24"/>
          <w:highlight w:val="none"/>
          <w:lang w:val="en-US" w:eastAsia="zh-CN"/>
        </w:rPr>
        <w:t xml:space="preserve">得2分，不提供或功能模块提供不全不得分。</w:t>
      </w:r>
      <w:r>
        <w:rPr>
          <w:rFonts w:hint="eastAsia" w:ascii="宋体" w:hAnsi="宋体"/>
          <w:color w:val="000000"/>
          <w:sz w:val="24"/>
          <w:highlight w:val="yellow"/>
          <w:lang w:val="en-US" w:eastAsia="zh-CN"/>
        </w:rPr>
      </w:r>
      <w:r/>
    </w:p>
    <w:p>
      <w:pPr>
        <w:pStyle w:val="883"/>
        <w:ind w:firstLine="480"/>
        <w:spacing w:line="500" w:lineRule="exact"/>
        <w:rPr>
          <w:rFonts w:ascii="宋体" w:hAnsi="宋体"/>
          <w:color w:val="000000"/>
          <w:sz w:val="24"/>
          <w:lang w:val="en-US" w:eastAsia="zh-CN"/>
        </w:rPr>
      </w:pPr>
      <w:r>
        <w:rPr>
          <w:rFonts w:hint="eastAsia" w:ascii="宋体" w:hAnsi="宋体"/>
          <w:color w:val="000000"/>
          <w:sz w:val="24"/>
          <w:lang w:val="en-US" w:eastAsia="zh-CN"/>
        </w:rPr>
        <w:t xml:space="preserve">2.4 对接承诺函（3分）：投标人出具针对急诊信息系统升级、患者移动服务平台与原有平台</w:t>
      </w:r>
      <w:r>
        <w:rPr>
          <w:rFonts w:hint="eastAsia" w:ascii="宋体" w:hAnsi="宋体"/>
          <w:color w:val="000000"/>
          <w:sz w:val="24"/>
          <w:highlight w:val="none"/>
          <w:lang w:val="en-US" w:eastAsia="zh-CN"/>
        </w:rPr>
        <w:t xml:space="preserve">的对接承诺函的得3分，不提供或提供不全不得分。</w:t>
      </w:r>
      <w:r>
        <w:rPr>
          <w:rFonts w:ascii="宋体" w:hAnsi="宋体"/>
          <w:color w:val="000000"/>
          <w:sz w:val="24"/>
          <w:lang w:val="en-US" w:eastAsia="zh-CN"/>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lang w:val="en-US" w:eastAsia="zh-CN"/>
        </w:rPr>
        <w:t xml:space="preserve">60</w:t>
      </w:r>
      <w:r>
        <w:rPr>
          <w:rFonts w:hint="eastAsia" w:ascii="宋体" w:hAnsi="宋体"/>
          <w:b/>
          <w:bCs/>
          <w:color w:val="000000"/>
          <w:sz w:val="24"/>
          <w:szCs w:val="24"/>
        </w:rPr>
        <w:t xml:space="preserve">分）</w:t>
      </w:r>
      <w:r>
        <w:rPr>
          <w:rFonts w:ascii="宋体" w:hAnsi="宋体"/>
          <w:b/>
          <w:bCs/>
          <w:color w:val="000000"/>
          <w:sz w:val="24"/>
          <w:szCs w:val="24"/>
        </w:rPr>
      </w:r>
      <w:r/>
    </w:p>
    <w:p>
      <w:pPr>
        <w:pStyle w:val="883"/>
        <w:ind w:firstLine="480"/>
        <w:spacing w:line="500" w:lineRule="exact"/>
        <w:rPr>
          <w:rFonts w:hint="eastAsia" w:ascii="宋体" w:hAnsi="宋体"/>
          <w:color w:val="000000"/>
          <w:sz w:val="24"/>
          <w:lang w:eastAsia="zh-CN"/>
        </w:rPr>
      </w:pPr>
      <w:r>
        <w:rPr>
          <w:rFonts w:hint="eastAsia" w:ascii="宋体" w:hAnsi="宋体"/>
          <w:color w:val="000000"/>
          <w:sz w:val="24"/>
          <w:lang w:val="en-US" w:eastAsia="zh-CN"/>
        </w:rPr>
        <w:t xml:space="preserve">3</w:t>
      </w:r>
      <w:r>
        <w:rPr>
          <w:rFonts w:hint="eastAsia" w:ascii="宋体" w:hAnsi="宋体"/>
          <w:color w:val="000000"/>
          <w:sz w:val="24"/>
        </w:rPr>
        <w:t xml:space="preserve">.1 总体方案设计（12分）</w:t>
      </w:r>
      <w:r>
        <w:rPr>
          <w:rFonts w:hint="eastAsia" w:ascii="宋体" w:hAnsi="宋体"/>
          <w:color w:val="000000"/>
          <w:sz w:val="24"/>
          <w:lang w:eastAsia="zh-CN"/>
        </w:rPr>
        <w:t xml:space="preserve">：考察投标人的方案是否符合国家和江苏省对医疗机构信息化建设的相关要求，符合医院业务发展和信息化需求，评委根据方案的完整性、先进性等评分。</w:t>
      </w:r>
      <w:r>
        <w:rPr>
          <w:rFonts w:hint="eastAsia" w:ascii="宋体" w:hAnsi="宋体"/>
          <w:color w:val="000000"/>
          <w:sz w:val="24"/>
          <w:lang w:eastAsia="zh-CN"/>
        </w:rPr>
      </w:r>
      <w:r/>
    </w:p>
    <w:p>
      <w:pPr>
        <w:pStyle w:val="883"/>
        <w:ind w:firstLine="480"/>
        <w:spacing w:line="500" w:lineRule="exact"/>
        <w:rPr>
          <w:rFonts w:hint="eastAsia" w:ascii="宋体" w:hAnsi="宋体"/>
          <w:color w:val="000000"/>
          <w:sz w:val="24"/>
          <w:lang w:eastAsia="zh-CN"/>
        </w:rPr>
      </w:pPr>
      <w:r>
        <w:rPr>
          <w:rFonts w:hint="eastAsia" w:ascii="宋体" w:hAnsi="宋体"/>
          <w:color w:val="000000"/>
          <w:sz w:val="24"/>
          <w:lang w:eastAsia="zh-CN"/>
        </w:rPr>
        <w:t xml:space="preserve">总体方案设计详细完整，对本院门急诊业务流程理解全面、描述详细，产品规划设计合理，具有较强的可操作性，该项得12分；</w:t>
      </w:r>
      <w:r>
        <w:rPr>
          <w:rFonts w:hint="eastAsia" w:ascii="宋体" w:hAnsi="宋体"/>
          <w:color w:val="000000"/>
          <w:sz w:val="24"/>
          <w:lang w:eastAsia="zh-CN"/>
        </w:rPr>
      </w:r>
      <w:r/>
    </w:p>
    <w:p>
      <w:pPr>
        <w:pStyle w:val="883"/>
        <w:ind w:firstLine="480"/>
        <w:spacing w:line="500" w:lineRule="exact"/>
        <w:rPr>
          <w:rFonts w:hint="eastAsia" w:ascii="宋体" w:hAnsi="宋体"/>
          <w:color w:val="000000"/>
          <w:sz w:val="24"/>
          <w:lang w:eastAsia="zh-CN"/>
        </w:rPr>
      </w:pPr>
      <w:r>
        <w:rPr>
          <w:rFonts w:hint="eastAsia" w:ascii="宋体" w:hAnsi="宋体"/>
          <w:color w:val="000000"/>
          <w:sz w:val="24"/>
          <w:lang w:eastAsia="zh-CN"/>
        </w:rPr>
        <w:t xml:space="preserve">总体方案设计较完整，对本院门急诊业务流程理解较为全面，产品规划设计较为合理，具有一定可操作性，该项得7分；</w:t>
      </w:r>
      <w:r>
        <w:rPr>
          <w:rFonts w:hint="eastAsia" w:ascii="宋体" w:hAnsi="宋体"/>
          <w:color w:val="000000"/>
          <w:sz w:val="24"/>
          <w:lang w:eastAsia="zh-CN"/>
        </w:rPr>
      </w:r>
      <w:r/>
    </w:p>
    <w:p>
      <w:pPr>
        <w:pStyle w:val="883"/>
        <w:ind w:firstLine="480"/>
        <w:spacing w:line="500" w:lineRule="exact"/>
        <w:rPr>
          <w:rFonts w:hint="eastAsia" w:ascii="宋体" w:hAnsi="宋体"/>
          <w:color w:val="000000"/>
          <w:sz w:val="24"/>
          <w:lang w:eastAsia="zh-CN"/>
        </w:rPr>
      </w:pPr>
      <w:r>
        <w:rPr>
          <w:rFonts w:hint="eastAsia" w:ascii="宋体" w:hAnsi="宋体"/>
          <w:color w:val="000000"/>
          <w:sz w:val="24"/>
          <w:lang w:eastAsia="zh-CN"/>
        </w:rPr>
        <w:t xml:space="preserve">总体方案设计方案简单，对本院门急诊业务流程理解不全面，产品规划不太合理，可操作性较低，该项得5分；</w:t>
      </w:r>
      <w:r>
        <w:rPr>
          <w:rFonts w:hint="eastAsia" w:ascii="宋体" w:hAnsi="宋体"/>
          <w:color w:val="000000"/>
          <w:sz w:val="24"/>
          <w:lang w:eastAsia="zh-CN"/>
        </w:rPr>
      </w:r>
      <w:r/>
    </w:p>
    <w:p>
      <w:pPr>
        <w:pStyle w:val="883"/>
        <w:ind w:firstLine="480"/>
        <w:spacing w:line="500" w:lineRule="exact"/>
        <w:rPr>
          <w:rFonts w:hint="eastAsia" w:ascii="宋体" w:hAnsi="宋体"/>
          <w:color w:val="000000"/>
          <w:sz w:val="24"/>
          <w:lang w:eastAsia="zh-CN"/>
        </w:rPr>
      </w:pPr>
      <w:r>
        <w:rPr>
          <w:rFonts w:hint="eastAsia" w:ascii="宋体" w:hAnsi="宋体"/>
          <w:color w:val="000000"/>
          <w:sz w:val="24"/>
          <w:lang w:eastAsia="zh-CN"/>
        </w:rPr>
        <w:t xml:space="preserve">总体方案设计未提供，对本院门急诊业务流程不理解，产品规划不可行，该项不得分。</w:t>
      </w:r>
      <w:r>
        <w:rPr>
          <w:rFonts w:hint="eastAsia" w:ascii="宋体" w:hAnsi="宋体"/>
          <w:color w:val="000000"/>
          <w:sz w:val="24"/>
          <w:lang w:eastAsia="zh-CN"/>
        </w:rPr>
      </w:r>
      <w:r/>
    </w:p>
    <w:p>
      <w:pPr>
        <w:pStyle w:val="883"/>
        <w:ind w:firstLine="480"/>
        <w:spacing w:line="500" w:lineRule="exact"/>
        <w:rPr>
          <w:rFonts w:hint="eastAsia" w:ascii="宋体" w:hAnsi="宋体" w:eastAsia="宋体"/>
          <w:color w:val="000000"/>
          <w:sz w:val="24"/>
          <w:lang w:eastAsia="zh-CN"/>
        </w:rPr>
      </w:pPr>
      <w:r>
        <w:rPr>
          <w:rFonts w:hint="eastAsia" w:ascii="宋体" w:hAnsi="宋体"/>
          <w:color w:val="000000"/>
          <w:sz w:val="24"/>
          <w:lang w:val="en-US" w:eastAsia="zh-CN"/>
        </w:rPr>
        <w:t xml:space="preserve">3</w:t>
      </w:r>
      <w:r>
        <w:rPr>
          <w:rFonts w:hint="eastAsia" w:ascii="宋体" w:hAnsi="宋体"/>
          <w:color w:val="000000"/>
          <w:sz w:val="24"/>
        </w:rPr>
        <w:t xml:space="preserve">.2 项目实施（10分）：考察投标人对系统建设能否提供很好的软件实施方案，方案中系统建设的项目管理、文档资料管理，项目组织、项目计划、测试管理、应急服务、系统切换方案，内容是否可行、详细</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方案清晰、合理、详细、全面、针对性强、可行性强的，得1</w:t>
      </w:r>
      <w:r>
        <w:rPr>
          <w:rFonts w:hint="eastAsia" w:ascii="宋体" w:hAnsi="宋体"/>
          <w:color w:val="000000"/>
          <w:sz w:val="24"/>
          <w:lang w:val="en-US" w:eastAsia="zh-CN"/>
        </w:rPr>
        <w:t xml:space="preserve">0</w:t>
      </w:r>
      <w:r>
        <w:rPr>
          <w:rFonts w:hint="eastAsia" w:ascii="宋体" w:hAnsi="宋体"/>
          <w:color w:val="000000"/>
          <w:sz w:val="24"/>
        </w:rPr>
        <w:t xml:space="preserve">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方案较清晰、较合理、较详细、较全面、针对性较强、可行性较强的，得</w:t>
      </w:r>
      <w:r>
        <w:rPr>
          <w:rFonts w:hint="eastAsia" w:ascii="宋体" w:hAnsi="宋体"/>
          <w:color w:val="000000"/>
          <w:sz w:val="24"/>
          <w:lang w:val="en-US" w:eastAsia="zh-CN"/>
        </w:rPr>
        <w:t xml:space="preserve">7</w:t>
      </w:r>
      <w:r>
        <w:rPr>
          <w:rFonts w:hint="eastAsia" w:ascii="宋体" w:hAnsi="宋体"/>
          <w:color w:val="000000"/>
          <w:sz w:val="24"/>
        </w:rPr>
        <w:t xml:space="preserve">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方案清晰度、合理性、详细性、全面性、针对性、可行性均一般的，得</w:t>
      </w:r>
      <w:r>
        <w:rPr>
          <w:rFonts w:hint="eastAsia" w:ascii="宋体" w:hAnsi="宋体"/>
          <w:color w:val="000000"/>
          <w:sz w:val="24"/>
          <w:lang w:val="en-US" w:eastAsia="zh-CN"/>
        </w:rPr>
        <w:t xml:space="preserve">5</w:t>
      </w:r>
      <w:r>
        <w:rPr>
          <w:rFonts w:hint="eastAsia" w:ascii="宋体" w:hAnsi="宋体"/>
          <w:color w:val="000000"/>
          <w:sz w:val="24"/>
        </w:rPr>
        <w:t xml:space="preserve">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未提供方案或方案不可行、不满足需求的不得分</w:t>
      </w:r>
      <w:r>
        <w:rPr>
          <w:rFonts w:hint="eastAsia" w:ascii="宋体" w:hAnsi="宋体"/>
          <w:color w:val="000000"/>
          <w:sz w:val="24"/>
        </w:rPr>
        <w:t xml:space="preserve">。</w:t>
      </w:r>
      <w:r>
        <w:rPr>
          <w:rFonts w:hint="eastAsia" w:ascii="宋体" w:hAnsi="宋体"/>
          <w:color w:val="000000"/>
          <w:sz w:val="24"/>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3.3 安装调试及验收方案（10分）：根据投标人针对本项目的安装调试、验收方案及计划是否完善且可实施等方面综合评审。</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方案清晰、合理、详细、全面、针对性强、可行性强的，得1</w:t>
      </w:r>
      <w:r>
        <w:rPr>
          <w:rFonts w:hint="eastAsia" w:ascii="宋体" w:hAnsi="宋体"/>
          <w:color w:val="000000"/>
          <w:sz w:val="24"/>
          <w:lang w:val="en-US" w:eastAsia="zh-CN"/>
        </w:rPr>
        <w:t xml:space="preserve">0</w:t>
      </w:r>
      <w:r>
        <w:rPr>
          <w:rFonts w:hint="eastAsia" w:ascii="宋体" w:hAnsi="宋体"/>
          <w:color w:val="000000"/>
          <w:sz w:val="24"/>
        </w:rPr>
        <w:t xml:space="preserve">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方案较清晰、较合理、较详细、较全面、针对性较强、可行性较强的，得</w:t>
      </w:r>
      <w:r>
        <w:rPr>
          <w:rFonts w:hint="eastAsia" w:ascii="宋体" w:hAnsi="宋体"/>
          <w:color w:val="000000"/>
          <w:sz w:val="24"/>
          <w:lang w:val="en-US" w:eastAsia="zh-CN"/>
        </w:rPr>
        <w:t xml:space="preserve">7</w:t>
      </w:r>
      <w:r>
        <w:rPr>
          <w:rFonts w:hint="eastAsia" w:ascii="宋体" w:hAnsi="宋体"/>
          <w:color w:val="000000"/>
          <w:sz w:val="24"/>
        </w:rPr>
        <w:t xml:space="preserve">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方案清晰度、合理性、详细性、全面性、针对性、可行性均一般的，得</w:t>
      </w:r>
      <w:r>
        <w:rPr>
          <w:rFonts w:hint="eastAsia" w:ascii="宋体" w:hAnsi="宋体"/>
          <w:color w:val="000000"/>
          <w:sz w:val="24"/>
          <w:lang w:val="en-US" w:eastAsia="zh-CN"/>
        </w:rPr>
        <w:t xml:space="preserve">5</w:t>
      </w:r>
      <w:r>
        <w:rPr>
          <w:rFonts w:hint="eastAsia" w:ascii="宋体" w:hAnsi="宋体"/>
          <w:color w:val="000000"/>
          <w:sz w:val="24"/>
        </w:rPr>
        <w:t xml:space="preserve">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未提供方案或方案不可行、不满足需求的不得分</w:t>
      </w:r>
      <w:r>
        <w:rPr>
          <w:rFonts w:hint="eastAsia" w:ascii="宋体" w:hAnsi="宋体"/>
          <w:color w:val="000000"/>
          <w:sz w:val="24"/>
        </w:rPr>
        <w:t xml:space="preserve">。</w:t>
      </w:r>
      <w:r>
        <w:rPr>
          <w:rFonts w:hint="eastAsia" w:ascii="宋体" w:hAnsi="宋体"/>
          <w:color w:val="000000"/>
          <w:sz w:val="24"/>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3.4 系统对接方案（10分）：根据投标人提供的系统对接方案，包括对接的内容和详细方案合理性、科学性等情况综合评审。</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方案清晰、合理、详细、全面、针对性强、可行性强的，得1</w:t>
      </w:r>
      <w:r>
        <w:rPr>
          <w:rFonts w:hint="eastAsia" w:ascii="宋体" w:hAnsi="宋体"/>
          <w:color w:val="000000"/>
          <w:sz w:val="24"/>
          <w:lang w:val="en-US" w:eastAsia="zh-CN"/>
        </w:rPr>
        <w:t xml:space="preserve">0</w:t>
      </w:r>
      <w:r>
        <w:rPr>
          <w:rFonts w:hint="eastAsia" w:ascii="宋体" w:hAnsi="宋体"/>
          <w:color w:val="000000"/>
          <w:sz w:val="24"/>
        </w:rPr>
        <w:t xml:space="preserve">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方案较清晰、较合理、较详细、较全面、针对性较强、可行性较强的，得</w:t>
      </w:r>
      <w:r>
        <w:rPr>
          <w:rFonts w:hint="eastAsia" w:ascii="宋体" w:hAnsi="宋体"/>
          <w:color w:val="000000"/>
          <w:sz w:val="24"/>
          <w:lang w:val="en-US" w:eastAsia="zh-CN"/>
        </w:rPr>
        <w:t xml:space="preserve">7</w:t>
      </w:r>
      <w:r>
        <w:rPr>
          <w:rFonts w:hint="eastAsia" w:ascii="宋体" w:hAnsi="宋体"/>
          <w:color w:val="000000"/>
          <w:sz w:val="24"/>
        </w:rPr>
        <w:t xml:space="preserve">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方案清晰度、合理性、详细性、全面性、针对性、可行性均一般的，得</w:t>
      </w:r>
      <w:r>
        <w:rPr>
          <w:rFonts w:hint="eastAsia" w:ascii="宋体" w:hAnsi="宋体"/>
          <w:color w:val="000000"/>
          <w:sz w:val="24"/>
          <w:lang w:val="en-US" w:eastAsia="zh-CN"/>
        </w:rPr>
        <w:t xml:space="preserve">5</w:t>
      </w:r>
      <w:r>
        <w:rPr>
          <w:rFonts w:hint="eastAsia" w:ascii="宋体" w:hAnsi="宋体"/>
          <w:color w:val="000000"/>
          <w:sz w:val="24"/>
        </w:rPr>
        <w:t xml:space="preserve">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未提供方案或方案不可行、不满足需求的不得分</w:t>
      </w:r>
      <w:r>
        <w:rPr>
          <w:rFonts w:hint="eastAsia" w:ascii="宋体" w:hAnsi="宋体"/>
          <w:color w:val="000000"/>
          <w:sz w:val="24"/>
        </w:rPr>
        <w:t xml:space="preserve">。</w:t>
      </w:r>
      <w:r>
        <w:rPr>
          <w:rFonts w:hint="eastAsia" w:ascii="宋体" w:hAnsi="宋体"/>
          <w:color w:val="000000"/>
          <w:sz w:val="24"/>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3.5 售后服务方案（6分）：根据投标人提供的售后服务方案，包括售后服务的内容和详细方案合理性、科学性、备件备品、故障响应时间、重大故障的应急预案和措施等情况综合评审。</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方案清晰、合理、详细、全面、针对性强、可行性强的，得</w:t>
      </w:r>
      <w:r>
        <w:rPr>
          <w:rFonts w:hint="eastAsia" w:ascii="宋体" w:hAnsi="宋体"/>
          <w:color w:val="000000"/>
          <w:sz w:val="24"/>
          <w:lang w:val="en-US" w:eastAsia="zh-CN"/>
        </w:rPr>
        <w:t xml:space="preserve">6</w:t>
      </w:r>
      <w:r>
        <w:rPr>
          <w:rFonts w:hint="eastAsia" w:ascii="宋体" w:hAnsi="宋体"/>
          <w:color w:val="000000"/>
          <w:sz w:val="24"/>
        </w:rPr>
        <w:t xml:space="preserve">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方案较清晰、较合理、较详细、较全面、针对性较强、可行性较强的，得</w:t>
      </w:r>
      <w:r>
        <w:rPr>
          <w:rFonts w:hint="eastAsia" w:ascii="宋体" w:hAnsi="宋体"/>
          <w:color w:val="000000"/>
          <w:sz w:val="24"/>
          <w:lang w:val="en-US" w:eastAsia="zh-CN"/>
        </w:rPr>
        <w:t xml:space="preserve">4</w:t>
      </w:r>
      <w:r>
        <w:rPr>
          <w:rFonts w:hint="eastAsia" w:ascii="宋体" w:hAnsi="宋体"/>
          <w:color w:val="000000"/>
          <w:sz w:val="24"/>
        </w:rPr>
        <w:t xml:space="preserve">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方案清晰度、合理性、详细性、全面性、针对性、可行性均一般的，得</w:t>
      </w:r>
      <w:r>
        <w:rPr>
          <w:rFonts w:hint="eastAsia" w:ascii="宋体" w:hAnsi="宋体"/>
          <w:color w:val="000000"/>
          <w:sz w:val="24"/>
          <w:lang w:val="en-US" w:eastAsia="zh-CN"/>
        </w:rPr>
        <w:t xml:space="preserve">2</w:t>
      </w:r>
      <w:r>
        <w:rPr>
          <w:rFonts w:hint="eastAsia" w:ascii="宋体" w:hAnsi="宋体"/>
          <w:color w:val="000000"/>
          <w:sz w:val="24"/>
        </w:rPr>
        <w:t xml:space="preserve">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未提供方案或方案不可行、不满足需求的不得分</w:t>
      </w:r>
      <w:r>
        <w:rPr>
          <w:rFonts w:hint="eastAsia" w:ascii="宋体" w:hAnsi="宋体"/>
          <w:color w:val="000000"/>
          <w:sz w:val="24"/>
        </w:rPr>
        <w:t xml:space="preserve">。</w:t>
      </w:r>
      <w:r>
        <w:rPr>
          <w:rFonts w:hint="eastAsia" w:ascii="宋体" w:hAnsi="宋体"/>
          <w:color w:val="000000"/>
          <w:sz w:val="24"/>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3.6 质量保证措施及创优计划（6分）：根据投标人针对本项目质量控制及保证方案综合评审。</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方案清晰、合理、详细、全面、针对性强、可行性强的，得6分；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方案较清晰、较合理、较详细、较全面、针对性较强、可行性较强的，得3分；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方案清晰度、合理性、详细性、全面性、针对性、可行性均一般的，得1分；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未提供方案或方案不可行、不满足需求的不得分。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3.7 培训方案（6分）：投标人须提供详细培训规划和方案，编写培训手册，确保临床操作人员及相关管理人员熟练使用系统软件</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方案清晰、合理、详细、全面、针对性强、可行性强的，得6分；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方案较清晰、较合理、较详细、较全面、针对性较强、可行性较强的，得3分；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方案清晰度、合理性、详细性、全面性、针对性、可行性均一般的，得1分；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未提供方案或方案不可行、不满足需求的不得分。</w:t>
      </w:r>
      <w:r>
        <w:rPr>
          <w:rFonts w:hint="eastAsia" w:ascii="宋体" w:hAnsi="宋体"/>
          <w:color w:val="000000"/>
          <w:sz w:val="24"/>
          <w:lang w:val="en-US" w:eastAsia="zh-CN"/>
        </w:rPr>
      </w:r>
      <w:r/>
    </w:p>
    <w:p>
      <w:pPr>
        <w:pStyle w:val="883"/>
        <w:jc w:val="center"/>
        <w:spacing w:line="500" w:lineRule="exact"/>
        <w:rPr>
          <w:rFonts w:hint="eastAsia" w:ascii="黑体" w:eastAsia="黑体"/>
          <w:bCs/>
          <w:sz w:val="36"/>
          <w:szCs w:val="36"/>
        </w:rPr>
      </w:pPr>
      <w:r>
        <w:rPr>
          <w:rFonts w:ascii="宋体" w:hAnsi="宋体"/>
          <w:color w:val="000000"/>
        </w:rPr>
        <w:br w:type="page" w:clear="all"/>
      </w:r>
      <w:r>
        <w:rPr>
          <w:rFonts w:hint="eastAsia" w:ascii="黑体" w:eastAsia="黑体"/>
          <w:bCs/>
          <w:sz w:val="36"/>
          <w:szCs w:val="36"/>
        </w:rPr>
        <w:t xml:space="preserve">第六章  </w:t>
      </w:r>
      <w:bookmarkEnd w:id="191"/>
      <w:r/>
      <w:bookmarkEnd w:id="192"/>
      <w:r/>
      <w:bookmarkEnd w:id="195"/>
      <w:r>
        <w:rPr>
          <w:rFonts w:hint="eastAsia" w:ascii="黑体" w:eastAsia="黑体"/>
          <w:bCs/>
          <w:sz w:val="36"/>
          <w:szCs w:val="36"/>
        </w:rPr>
        <w:t xml:space="preserve">投标文件内容与格式</w:t>
      </w:r>
      <w:r>
        <w:rPr>
          <w:rFonts w:hint="eastAsia" w:ascii="黑体" w:eastAsia="黑体"/>
          <w:bCs/>
          <w:sz w:val="36"/>
          <w:szCs w:val="36"/>
        </w:rPr>
      </w:r>
      <w:r/>
    </w:p>
    <w:p>
      <w:pPr>
        <w:pStyle w:val="970"/>
        <w:ind w:firstLine="602"/>
        <w:spacing w:before="0" w:after="0" w:line="500" w:lineRule="exact"/>
        <w:rPr>
          <w:rFonts w:hint="eastAsia" w:cs="Arial"/>
          <w:b/>
          <w:sz w:val="30"/>
          <w:szCs w:val="30"/>
        </w:rPr>
      </w:pPr>
      <w:r/>
      <w:bookmarkStart w:id="196" w:name="_Hlt26955039"/>
      <w:r/>
      <w:bookmarkEnd w:id="196"/>
      <w:r/>
      <w:bookmarkStart w:id="197" w:name="_Toc49090576"/>
      <w:r/>
      <w:bookmarkStart w:id="198" w:name="_Toc120614282"/>
      <w:r/>
      <w:bookmarkStart w:id="199" w:name="_Toc26554094"/>
      <w:r/>
      <w:bookmarkStart w:id="200" w:name="_Hlt26671244"/>
      <w:r/>
      <w:bookmarkEnd w:id="200"/>
      <w:r>
        <w:rPr>
          <w:rFonts w:hint="eastAsia" w:cs="Arial"/>
          <w:b/>
          <w:sz w:val="30"/>
          <w:szCs w:val="30"/>
        </w:rPr>
        <w:t xml:space="preserve">第一部分  投标文件内容</w:t>
      </w:r>
      <w:r>
        <w:rPr>
          <w:rFonts w:hint="eastAsia" w:cs="Arial"/>
          <w:b/>
          <w:sz w:val="30"/>
          <w:szCs w:val="30"/>
        </w:rPr>
      </w:r>
      <w:r/>
    </w:p>
    <w:p>
      <w:pPr>
        <w:pStyle w:val="970"/>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70"/>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970"/>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970"/>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rPr>
            </w:r>
            <w:r/>
          </w:p>
        </w:tc>
        <w:tc>
          <w:tcPr>
            <w:tcW w:w="2449" w:type="dxa"/>
            <w:vAlign w:val="center"/>
            <w:vMerge w:val="restart"/>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59"/>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7</w:t>
            </w:r>
            <w:r>
              <w:rPr>
                <w:rFonts w:hint="eastAsia" w:ascii="宋体" w:hAnsi="宋体" w:cs="宋体"/>
              </w:rPr>
            </w:r>
            <w:r/>
          </w:p>
        </w:tc>
        <w:tc>
          <w:tcPr>
            <w:tcW w:w="6104" w:type="dxa"/>
            <w:vAlign w:val="center"/>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rPr>
                <w:rFonts w:hint="eastAsia" w:ascii="宋体" w:hAnsi="宋体" w:cs="宋体"/>
              </w:rPr>
            </w:r>
            <w:r/>
          </w:p>
        </w:tc>
        <w:tc>
          <w:tcPr>
            <w:tcW w:w="2449" w:type="dxa"/>
            <w:vAlign w:val="center"/>
            <w:textDirection w:val="lrTb"/>
            <w:noWrap w:val="false"/>
          </w:tcPr>
          <w:p>
            <w:pPr>
              <w:pStyle w:val="970"/>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970"/>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bCs/>
              </w:rPr>
            </w:r>
            <w:r/>
          </w:p>
        </w:tc>
        <w:tc>
          <w:tcPr>
            <w:tcW w:w="2449" w:type="dxa"/>
            <w:vAlign w:val="center"/>
            <w:textDirection w:val="lrTb"/>
            <w:noWrap w:val="false"/>
          </w:tcPr>
          <w:p>
            <w:pPr>
              <w:pStyle w:val="970"/>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970"/>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970"/>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883"/>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83"/>
        <w:numPr>
          <w:ilvl w:val="0"/>
          <w:numId w:val="8"/>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883"/>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883"/>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ff0000"/>
          <w:sz w:val="24"/>
          <w:szCs w:val="24"/>
        </w:rPr>
      </w:r>
      <w:r/>
    </w:p>
    <w:p>
      <w:pPr>
        <w:pStyle w:val="883"/>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883"/>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883"/>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883"/>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70"/>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970"/>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970"/>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970"/>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970"/>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970"/>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970"/>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970"/>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970"/>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970"/>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970"/>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970"/>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970"/>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970"/>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970"/>
              <w:ind w:firstLine="0"/>
              <w:jc w:val="center"/>
              <w:spacing w:before="0" w:after="0" w:line="240" w:lineRule="auto"/>
              <w:rPr>
                <w:rFonts w:hint="eastAsia" w:cs="Arial"/>
              </w:rPr>
            </w:pPr>
            <w:r>
              <w:rPr>
                <w:rFonts w:hint="eastAsia" w:cs="Arial"/>
              </w:rPr>
            </w:r>
            <w:r/>
          </w:p>
        </w:tc>
      </w:tr>
    </w:tbl>
    <w:p>
      <w:pPr>
        <w:pStyle w:val="883"/>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83"/>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883"/>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883"/>
        <w:numPr>
          <w:ilvl w:val="0"/>
          <w:numId w:val="9"/>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883"/>
        <w:rPr>
          <w:rFonts w:hint="eastAsia"/>
          <w:b/>
          <w:color w:val="ff0000"/>
          <w:sz w:val="28"/>
          <w:szCs w:val="28"/>
        </w:rPr>
      </w:pPr>
      <w:r>
        <w:rPr>
          <w:rFonts w:hint="eastAsia"/>
          <w:b/>
          <w:color w:val="ff0000"/>
          <w:sz w:val="28"/>
          <w:szCs w:val="28"/>
        </w:rPr>
      </w:r>
      <w:r/>
    </w:p>
    <w:p>
      <w:pPr>
        <w:pStyle w:val="883"/>
        <w:rPr>
          <w:rFonts w:hint="eastAsia"/>
          <w:b/>
          <w:sz w:val="28"/>
          <w:szCs w:val="28"/>
        </w:rPr>
      </w:pPr>
      <w:r>
        <w:rPr>
          <w:rFonts w:hint="eastAsia"/>
          <w:b/>
          <w:sz w:val="28"/>
          <w:szCs w:val="28"/>
        </w:rPr>
        <w:t xml:space="preserve">（二）其他证明文件</w:t>
      </w:r>
      <w:r>
        <w:rPr>
          <w:rFonts w:hint="eastAsia"/>
          <w:b/>
          <w:sz w:val="28"/>
          <w:szCs w:val="28"/>
        </w:rPr>
      </w:r>
      <w:r/>
    </w:p>
    <w:p>
      <w:pPr>
        <w:pStyle w:val="883"/>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883"/>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rPr>
          <w:rFonts w:hint="eastAsia" w:ascii="宋体" w:hAnsi="宋体" w:cs="宋体"/>
          <w:sz w:val="24"/>
          <w:szCs w:val="24"/>
        </w:rPr>
      </w:r>
      <w:r/>
    </w:p>
    <w:p>
      <w:pPr>
        <w:pStyle w:val="883"/>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970"/>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lang w:eastAsia="zh-CN"/>
        </w:rPr>
        <w:t xml:space="preserve">JSZC-320200-JZCG-G2024-0280</w:t>
      </w:r>
      <w:r>
        <w:rPr>
          <w:rFonts w:hint="eastAsia" w:ascii="黑体" w:hAnsi="华文中宋" w:eastAsia="黑体"/>
          <w:bCs/>
          <w:color w:val="000000"/>
          <w:sz w:val="30"/>
          <w:szCs w:val="30"/>
          <w:lang w:eastAsia="zh-CN"/>
        </w:rPr>
      </w:r>
      <w:r/>
    </w:p>
    <w:p>
      <w:pPr>
        <w:pStyle w:val="883"/>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无锡市中医医院医疗服务提升（软件开发）项目</w:t>
      </w:r>
      <w:r>
        <w:rPr>
          <w:rFonts w:hint="eastAsia" w:ascii="黑体" w:hAnsi="华文中宋" w:eastAsia="黑体"/>
          <w:bCs/>
          <w:color w:val="000000"/>
          <w:sz w:val="30"/>
          <w:szCs w:val="30"/>
          <w:lang w:eastAsia="zh-CN"/>
        </w:rPr>
      </w:r>
      <w:r/>
    </w:p>
    <w:p>
      <w:pPr>
        <w:pStyle w:val="883"/>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883"/>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883"/>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883"/>
        <w:jc w:val="center"/>
        <w:rPr>
          <w:rFonts w:ascii="宋体" w:hAnsi="宋体"/>
          <w:color w:val="000000"/>
          <w:sz w:val="24"/>
          <w:shd w:val="clear" w:color="ffffff" w:fill="d9d9d9"/>
        </w:rPr>
        <w:outlineLvl w:val="0"/>
      </w:pPr>
      <w:r>
        <w:rPr>
          <w:rFonts w:hint="eastAsia" w:ascii="黑体" w:eastAsia="黑体"/>
          <w:bCs/>
          <w:color w:val="000000"/>
          <w:sz w:val="28"/>
          <w:szCs w:val="28"/>
        </w:rPr>
        <w:t xml:space="preserve">授权委托书</w:t>
      </w:r>
      <w:r>
        <w:rPr>
          <w:rFonts w:ascii="宋体" w:hAnsi="宋体"/>
          <w:color w:val="000000"/>
          <w:sz w:val="24"/>
          <w:shd w:val="clear" w:color="ffffff" w:fill="d9d9d9"/>
        </w:rPr>
      </w:r>
      <w:r/>
    </w:p>
    <w:p>
      <w:pPr>
        <w:pStyle w:val="968"/>
        <w:ind w:firstLine="480"/>
        <w:tabs>
          <w:tab w:val="left" w:pos="360" w:leader="none"/>
        </w:tabs>
        <w:rPr>
          <w:rFonts w:hint="eastAsia"/>
          <w:sz w:val="24"/>
          <w:szCs w:val="24"/>
        </w:rPr>
      </w:pPr>
      <w:r>
        <w:rPr>
          <w:rFonts w:hint="eastAsia"/>
          <w:color w:val="000000"/>
          <w:sz w:val="24"/>
          <w:szCs w:val="24"/>
        </w:rPr>
        <w:t xml:space="preserve">我公司（单位、联合体）针对</w:t>
      </w:r>
      <w:r>
        <w:rPr>
          <w:rFonts w:hint="eastAsia" w:ascii="宋体" w:hAnsi="宋体"/>
          <w:bCs/>
          <w:color w:val="000000"/>
          <w:sz w:val="24"/>
          <w:szCs w:val="24"/>
          <w:lang w:eastAsia="zh-CN"/>
        </w:rPr>
        <w:t xml:space="preserve">JSZC-320200-JZCG-G2024-0280</w:t>
      </w:r>
      <w:r>
        <w:rPr>
          <w:rFonts w:hint="eastAsia" w:ascii="宋体" w:hAnsi="宋体"/>
          <w:bCs/>
          <w:color w:val="000000"/>
          <w:sz w:val="24"/>
          <w:szCs w:val="24"/>
        </w:rPr>
        <w:t xml:space="preserve">项目，兹授</w:t>
      </w:r>
      <w:r>
        <w:rPr>
          <w:rFonts w:hint="eastAsia" w:ascii="宋体" w:hAnsi="宋体"/>
          <w:bCs/>
          <w:sz w:val="24"/>
          <w:szCs w:val="24"/>
        </w:rPr>
        <w:t xml:space="preserve">权：</w:t>
      </w:r>
      <w:r>
        <w:rPr>
          <w:rFonts w:hint="eastAsia"/>
          <w:sz w:val="24"/>
          <w:szCs w:val="24"/>
        </w:rPr>
      </w:r>
      <w:r/>
    </w:p>
    <w:p>
      <w:pPr>
        <w:pStyle w:val="968"/>
        <w:ind w:firstLine="480"/>
        <w:tabs>
          <w:tab w:val="left" w:pos="360" w:leader="none"/>
        </w:tabs>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rPr>
          <w:rFonts w:hint="eastAsia"/>
          <w:sz w:val="24"/>
          <w:szCs w:val="24"/>
        </w:rPr>
      </w:r>
      <w:r/>
    </w:p>
    <w:p>
      <w:pPr>
        <w:pStyle w:val="968"/>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968"/>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968"/>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968"/>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968"/>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968"/>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968"/>
        <w:ind w:firstLine="0"/>
        <w:tabs>
          <w:tab w:val="left" w:pos="360" w:leader="none"/>
        </w:tabs>
        <w:rPr>
          <w:rFonts w:hint="eastAsia"/>
          <w:sz w:val="24"/>
          <w:szCs w:val="24"/>
        </w:rPr>
      </w:pPr>
      <w:r>
        <w:rPr>
          <w:rFonts w:hint="eastAsia" w:ascii="宋体" w:hAnsi="宋体" w:cs="宋体"/>
          <w:b/>
          <w:sz w:val="30"/>
        </w:rPr>
        <w:t xml:space="preserve">(被授权人身份证原件扫描件附后)</w:t>
      </w:r>
      <w:r>
        <w:rPr>
          <w:rFonts w:hint="eastAsia"/>
          <w:sz w:val="24"/>
          <w:szCs w:val="24"/>
        </w:rPr>
      </w:r>
      <w:r/>
    </w:p>
    <w:p>
      <w:pPr>
        <w:pStyle w:val="968"/>
        <w:ind w:firstLine="0"/>
        <w:tabs>
          <w:tab w:val="left" w:pos="360" w:leader="none"/>
        </w:tabs>
        <w:rPr>
          <w:rFonts w:hint="eastAsia"/>
          <w:sz w:val="24"/>
          <w:szCs w:val="24"/>
        </w:rPr>
      </w:pPr>
      <w:r>
        <w:rPr>
          <w:rFonts w:hint="eastAsia"/>
          <w:sz w:val="24"/>
          <w:szCs w:val="24"/>
        </w:rPr>
        <w:t xml:space="preserve">说明：</w:t>
      </w:r>
      <w:r>
        <w:rPr>
          <w:rFonts w:hint="eastAsia"/>
          <w:sz w:val="24"/>
          <w:szCs w:val="24"/>
        </w:rPr>
      </w:r>
      <w:r/>
    </w:p>
    <w:p>
      <w:pPr>
        <w:pStyle w:val="968"/>
        <w:numPr>
          <w:ilvl w:val="0"/>
          <w:numId w:val="10"/>
        </w:numPr>
        <w:ind w:firstLine="480"/>
        <w:tabs>
          <w:tab w:val="left" w:pos="360" w:leader="none"/>
        </w:tabs>
        <w:rPr>
          <w:rFonts w:hint="eastAsia" w:ascii="宋体" w:hAnsi="宋体"/>
          <w:color w:val="000000"/>
          <w:sz w:val="24"/>
          <w:szCs w:val="20"/>
        </w:rPr>
      </w:pPr>
      <w:r>
        <w:rPr>
          <w:rFonts w:ascii="宋体" w:hAnsi="宋体"/>
          <w:color w:val="000000"/>
          <w:sz w:val="24"/>
          <w:szCs w:val="20"/>
        </w:rPr>
        <w:t xml:space="preserve">若</w:t>
      </w:r>
      <w:r>
        <w:rPr>
          <w:rFonts w:hint="eastAsia" w:ascii="宋体" w:hAnsi="宋体"/>
          <w:color w:val="000000"/>
          <w:sz w:val="24"/>
          <w:szCs w:val="20"/>
        </w:rPr>
        <w:t xml:space="preserve">投标人</w:t>
      </w:r>
      <w:r>
        <w:rPr>
          <w:rFonts w:ascii="宋体" w:hAnsi="宋体"/>
          <w:color w:val="000000"/>
          <w:sz w:val="24"/>
          <w:szCs w:val="20"/>
        </w:rPr>
        <w:t xml:space="preserve">为事业单位或其他组织或分支机构（仅</w:t>
      </w:r>
      <w:r>
        <w:rPr>
          <w:rFonts w:hint="eastAsia" w:ascii="宋体" w:hAnsi="宋体"/>
          <w:color w:val="000000"/>
          <w:sz w:val="24"/>
          <w:szCs w:val="20"/>
        </w:rPr>
        <w:t xml:space="preserve">限招标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投标情形</w:t>
      </w:r>
      <w:r>
        <w:rPr>
          <w:rFonts w:ascii="宋体" w:hAnsi="宋体"/>
          <w:color w:val="000000"/>
          <w:sz w:val="24"/>
          <w:szCs w:val="20"/>
        </w:rPr>
        <w:t xml:space="preserve">的），则法定代表人</w:t>
      </w:r>
      <w:r>
        <w:rPr>
          <w:rFonts w:hint="eastAsia" w:ascii="宋体" w:hAnsi="宋体"/>
          <w:color w:val="000000"/>
          <w:sz w:val="24"/>
          <w:szCs w:val="20"/>
        </w:rPr>
        <w:t xml:space="preserve">处</w:t>
      </w:r>
      <w:r>
        <w:rPr>
          <w:rFonts w:ascii="宋体" w:hAnsi="宋体"/>
          <w:color w:val="000000"/>
          <w:sz w:val="24"/>
          <w:szCs w:val="20"/>
        </w:rPr>
        <w:t xml:space="preserve">的签</w:t>
      </w:r>
      <w:r>
        <w:rPr>
          <w:rFonts w:hint="eastAsia" w:ascii="宋体" w:hAnsi="宋体"/>
          <w:color w:val="000000"/>
          <w:sz w:val="24"/>
          <w:szCs w:val="20"/>
        </w:rPr>
        <w:t xml:space="preserve">字</w:t>
      </w:r>
      <w:r>
        <w:rPr>
          <w:rFonts w:ascii="宋体" w:hAnsi="宋体"/>
          <w:color w:val="000000"/>
          <w:sz w:val="24"/>
          <w:szCs w:val="20"/>
        </w:rPr>
        <w:t xml:space="preserve">人可为单位负责人</w:t>
      </w:r>
      <w:r>
        <w:rPr>
          <w:rFonts w:hint="eastAsia" w:ascii="宋体" w:hAnsi="宋体"/>
          <w:color w:val="000000"/>
          <w:sz w:val="24"/>
          <w:szCs w:val="20"/>
        </w:rPr>
        <w:t xml:space="preserve">。</w:t>
      </w:r>
      <w:r>
        <w:rPr>
          <w:rFonts w:hint="eastAsia" w:ascii="宋体" w:hAnsi="宋体"/>
          <w:color w:val="000000"/>
          <w:sz w:val="24"/>
          <w:szCs w:val="20"/>
        </w:rPr>
      </w:r>
      <w:r/>
    </w:p>
    <w:p>
      <w:pPr>
        <w:pStyle w:val="968"/>
        <w:numPr>
          <w:ilvl w:val="0"/>
          <w:numId w:val="10"/>
        </w:numPr>
        <w:ind w:firstLine="480"/>
        <w:tabs>
          <w:tab w:val="left" w:pos="360" w:leader="none"/>
        </w:tabs>
        <w:rPr>
          <w:rFonts w:hint="eastAsia" w:ascii="宋体" w:hAnsi="宋体"/>
          <w:color w:val="000000"/>
          <w:sz w:val="24"/>
          <w:szCs w:val="20"/>
        </w:rPr>
      </w:pPr>
      <w:r>
        <w:rPr>
          <w:rFonts w:hint="eastAsia" w:ascii="宋体" w:hAnsi="宋体"/>
          <w:color w:val="000000"/>
          <w:sz w:val="24"/>
          <w:szCs w:val="20"/>
        </w:rPr>
        <w:t xml:space="preserve">当被授权人为法定代表人（或上述情况的单位负责人）时，只需在</w:t>
      </w:r>
      <w:r>
        <w:rPr>
          <w:rFonts w:ascii="宋体" w:hAnsi="宋体"/>
          <w:color w:val="000000"/>
          <w:sz w:val="24"/>
          <w:szCs w:val="20"/>
        </w:rPr>
        <w:t xml:space="preserve">法定代表人</w:t>
      </w:r>
      <w:r>
        <w:rPr>
          <w:rFonts w:hint="eastAsia" w:ascii="宋体" w:hAnsi="宋体"/>
          <w:color w:val="000000"/>
          <w:sz w:val="24"/>
          <w:szCs w:val="20"/>
        </w:rPr>
        <w:t xml:space="preserve">处签字</w:t>
      </w:r>
      <w:r>
        <w:rPr>
          <w:rFonts w:hint="eastAsia"/>
          <w:sz w:val="24"/>
          <w:szCs w:val="24"/>
        </w:rPr>
        <w:t xml:space="preserve">或盖章</w:t>
      </w:r>
      <w:r>
        <w:rPr>
          <w:rFonts w:hint="eastAsia" w:ascii="宋体" w:hAnsi="宋体"/>
          <w:color w:val="000000"/>
          <w:sz w:val="24"/>
          <w:szCs w:val="20"/>
        </w:rPr>
        <w:t xml:space="preserve">即可。</w:t>
      </w:r>
      <w:r>
        <w:rPr>
          <w:rFonts w:hint="eastAsia" w:ascii="宋体" w:hAnsi="宋体"/>
          <w:color w:val="000000"/>
          <w:sz w:val="24"/>
          <w:szCs w:val="20"/>
        </w:rPr>
      </w:r>
      <w:r/>
    </w:p>
    <w:p>
      <w:pPr>
        <w:pStyle w:val="968"/>
        <w:numPr>
          <w:ilvl w:val="0"/>
          <w:numId w:val="10"/>
        </w:numPr>
        <w:ind w:firstLine="480"/>
        <w:tabs>
          <w:tab w:val="left" w:pos="360" w:leader="none"/>
        </w:tabs>
        <w:rPr>
          <w:rFonts w:hint="eastAsia" w:ascii="宋体" w:hAnsi="宋体"/>
          <w:color w:val="000000"/>
          <w:sz w:val="24"/>
          <w:szCs w:val="20"/>
        </w:rPr>
      </w:pPr>
      <w:r>
        <w:rPr>
          <w:rFonts w:hint="eastAsia" w:ascii="宋体" w:hAnsi="宋体"/>
          <w:color w:val="000000"/>
          <w:sz w:val="24"/>
          <w:szCs w:val="20"/>
        </w:rPr>
        <w:t xml:space="preserve">供应商为自然人情形的，可不提供本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hint="eastAsia" w:ascii="宋体" w:hAnsi="宋体"/>
          <w:color w:val="000000"/>
          <w:sz w:val="24"/>
          <w:szCs w:val="20"/>
        </w:rPr>
      </w:r>
      <w:r/>
    </w:p>
    <w:p>
      <w:pPr>
        <w:pStyle w:val="968"/>
        <w:numPr>
          <w:ilvl w:val="0"/>
          <w:numId w:val="10"/>
        </w:numPr>
        <w:ind w:firstLine="480"/>
        <w:tabs>
          <w:tab w:val="left" w:pos="360" w:leader="none"/>
        </w:tabs>
        <w:rPr>
          <w:rFonts w:hint="eastAsia" w:ascii="宋体" w:hAnsi="宋体"/>
          <w:color w:val="000000"/>
          <w:sz w:val="24"/>
          <w:szCs w:val="20"/>
        </w:rPr>
      </w:pPr>
      <w:r>
        <w:rPr>
          <w:rFonts w:hint="eastAsia" w:ascii="宋体" w:hAnsi="宋体"/>
          <w:bCs/>
          <w:color w:val="000000"/>
          <w:sz w:val="24"/>
          <w:szCs w:val="24"/>
        </w:rPr>
        <w:t xml:space="preserve">被授权人为外籍、港、澳、台地区人士的，其身份证明须提供有效的护照或港澳同胞来往内地通行证、台湾同胞来往大陆通行证，或其它可在中国大陆有效居留的许可证明。</w:t>
      </w:r>
      <w:r>
        <w:rPr>
          <w:rFonts w:hint="eastAsia" w:ascii="宋体" w:hAnsi="宋体"/>
          <w:color w:val="000000"/>
          <w:sz w:val="24"/>
          <w:szCs w:val="20"/>
        </w:rPr>
      </w:r>
      <w:r/>
    </w:p>
    <w:p>
      <w:pPr>
        <w:pStyle w:val="968"/>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883"/>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rPr>
          <w:rFonts w:ascii="黑体" w:eastAsia="黑体"/>
          <w:bCs/>
          <w:color w:val="000000"/>
          <w:sz w:val="28"/>
          <w:szCs w:val="28"/>
        </w:rPr>
      </w:r>
      <w:r/>
    </w:p>
    <w:p>
      <w:pPr>
        <w:pStyle w:val="883"/>
        <w:jc w:val="center"/>
        <w:spacing w:line="480" w:lineRule="auto"/>
        <w:rPr>
          <w:rFonts w:ascii="宋体"/>
          <w:bCs/>
          <w:color w:val="000000"/>
          <w:sz w:val="24"/>
          <w:szCs w:val="24"/>
        </w:rPr>
      </w:pPr>
      <w:r>
        <w:rPr>
          <w:rFonts w:ascii="宋体"/>
          <w:bCs/>
          <w:color w:val="000000"/>
          <w:sz w:val="24"/>
          <w:szCs w:val="24"/>
        </w:rPr>
      </w:r>
      <w:r/>
    </w:p>
    <w:p>
      <w:pPr>
        <w:pStyle w:val="883"/>
        <w:spacing w:line="480" w:lineRule="auto"/>
        <w:rPr>
          <w:rFonts w:ascii="宋体"/>
          <w:bCs/>
          <w:color w:val="000000"/>
          <w:sz w:val="24"/>
          <w:szCs w:val="24"/>
        </w:rPr>
      </w:pPr>
      <w:r>
        <w:rPr>
          <w:rFonts w:hint="eastAsia" w:ascii="宋体" w:hAnsi="宋体"/>
          <w:bCs/>
          <w:color w:val="000000"/>
          <w:sz w:val="24"/>
          <w:szCs w:val="24"/>
        </w:rPr>
        <w:t xml:space="preserve">无锡市公共资源交易中心：</w:t>
      </w:r>
      <w:r>
        <w:rPr>
          <w:rFonts w:ascii="宋体"/>
          <w:bCs/>
          <w:color w:val="000000"/>
          <w:sz w:val="24"/>
          <w:szCs w:val="24"/>
        </w:rPr>
      </w:r>
      <w:r/>
    </w:p>
    <w:p>
      <w:pPr>
        <w:pStyle w:val="883"/>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w:t>
      </w:r>
      <w:r>
        <w:rPr>
          <w:rFonts w:hint="eastAsia" w:ascii="宋体" w:hAnsi="宋体"/>
          <w:bCs/>
          <w:color w:val="000000"/>
          <w:sz w:val="24"/>
          <w:szCs w:val="24"/>
        </w:rPr>
        <w:t xml:space="preserve">对本次项目</w:t>
      </w:r>
      <w:r>
        <w:rPr>
          <w:rFonts w:hint="eastAsia" w:ascii="宋体" w:hAnsi="宋体"/>
          <w:bCs/>
          <w:color w:val="000000"/>
          <w:sz w:val="24"/>
          <w:szCs w:val="24"/>
          <w:lang w:eastAsia="zh-CN"/>
        </w:rPr>
        <w:t xml:space="preserve">JSZC-320200-JZCG-G2024-0280</w:t>
      </w:r>
      <w:r>
        <w:rPr>
          <w:rFonts w:hint="eastAsia" w:ascii="宋体" w:hAnsi="宋体"/>
          <w:bCs/>
          <w:color w:val="000000"/>
          <w:sz w:val="24"/>
          <w:szCs w:val="24"/>
        </w:rPr>
        <w:t xml:space="preserve">进行投</w:t>
      </w:r>
      <w:r>
        <w:rPr>
          <w:rFonts w:hint="eastAsia" w:ascii="宋体" w:hAnsi="宋体"/>
          <w:bCs/>
          <w:sz w:val="24"/>
          <w:szCs w:val="24"/>
        </w:rPr>
        <w:t xml:space="preserve">标，并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88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88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88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883"/>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883"/>
        <w:spacing w:line="480" w:lineRule="auto"/>
        <w:rPr>
          <w:rFonts w:ascii="宋体"/>
          <w:bCs/>
          <w:color w:val="000000"/>
          <w:sz w:val="24"/>
          <w:szCs w:val="24"/>
        </w:rPr>
      </w:pPr>
      <w:r>
        <w:rPr>
          <w:rFonts w:ascii="宋体"/>
          <w:bCs/>
          <w:color w:val="000000"/>
          <w:sz w:val="24"/>
          <w:szCs w:val="24"/>
        </w:rPr>
      </w:r>
      <w:r/>
    </w:p>
    <w:p>
      <w:pPr>
        <w:pStyle w:val="883"/>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883"/>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rPr>
          <w:rFonts w:hint="eastAsia" w:ascii="宋体" w:hAnsi="宋体" w:cs="宋体"/>
          <w:b/>
          <w:sz w:val="28"/>
          <w:szCs w:val="28"/>
        </w:rPr>
      </w:r>
      <w:r/>
    </w:p>
    <w:p>
      <w:pPr>
        <w:pStyle w:val="883"/>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rPr>
          <w:rFonts w:ascii="黑体" w:eastAsia="黑体"/>
          <w:bCs/>
          <w:color w:val="000000"/>
          <w:sz w:val="28"/>
          <w:szCs w:val="28"/>
        </w:rPr>
      </w:r>
      <w:r/>
    </w:p>
    <w:p>
      <w:pPr>
        <w:pStyle w:val="883"/>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ascii="宋体" w:hAnsi="宋体"/>
          <w:bCs/>
          <w:sz w:val="24"/>
          <w:szCs w:val="24"/>
        </w:rPr>
      </w:r>
      <w:r/>
    </w:p>
    <w:p>
      <w:pPr>
        <w:pStyle w:val="883"/>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883"/>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883"/>
        <w:ind w:firstLine="480"/>
        <w:spacing w:line="360" w:lineRule="auto"/>
        <w:rPr>
          <w:rFonts w:ascii="宋体" w:hAnsi="宋体"/>
          <w:bCs/>
          <w:sz w:val="24"/>
          <w:szCs w:val="24"/>
        </w:rPr>
      </w:pPr>
      <w:r>
        <w:rPr>
          <w:rFonts w:ascii="宋体" w:hAnsi="宋体"/>
          <w:bCs/>
          <w:sz w:val="24"/>
          <w:szCs w:val="24"/>
        </w:rPr>
        <w:t xml:space="preserve">……</w:t>
      </w:r>
      <w:r>
        <w:rPr>
          <w:rFonts w:ascii="宋体" w:hAnsi="宋体"/>
          <w:bCs/>
          <w:sz w:val="24"/>
          <w:szCs w:val="24"/>
        </w:rPr>
      </w:r>
      <w:r/>
    </w:p>
    <w:p>
      <w:pPr>
        <w:pStyle w:val="883"/>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rPr>
      </w:r>
      <w:r/>
    </w:p>
    <w:p>
      <w:pPr>
        <w:pStyle w:val="883"/>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883"/>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883"/>
        <w:ind w:firstLine="420"/>
        <w:spacing w:line="360" w:lineRule="auto"/>
        <w:rPr>
          <w:rFonts w:hint="eastAsia"/>
        </w:rPr>
      </w:pPr>
      <w:r>
        <w:rPr>
          <w:rFonts w:hint="eastAsia"/>
        </w:rPr>
      </w:r>
      <w:r/>
    </w:p>
    <w:p>
      <w:pPr>
        <w:pStyle w:val="883"/>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hint="eastAsia"/>
        </w:rPr>
      </w:r>
      <w:r/>
    </w:p>
    <w:p>
      <w:pPr>
        <w:pStyle w:val="883"/>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883"/>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rPr>
          <w:rFonts w:hint="eastAsia"/>
        </w:rPr>
      </w:r>
      <w:r/>
    </w:p>
    <w:p>
      <w:pPr>
        <w:pStyle w:val="883"/>
        <w:spacing w:line="360" w:lineRule="auto"/>
      </w:pPr>
      <w:r/>
      <w:r/>
    </w:p>
    <w:p>
      <w:pPr>
        <w:pStyle w:val="883"/>
        <w:spacing w:line="360" w:lineRule="auto"/>
        <w:rPr>
          <w:rFonts w:hint="eastAsia" w:ascii="宋体" w:hAnsi="宋体" w:cs="宋体"/>
          <w:b/>
          <w:sz w:val="28"/>
          <w:szCs w:val="28"/>
        </w:rPr>
      </w:pPr>
      <w:r>
        <w:rPr>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883"/>
        <w:ind w:firstLine="482"/>
        <w:spacing w:line="440" w:lineRule="exact"/>
        <w:rPr>
          <w:rFonts w:ascii="Arial" w:hAnsi="Arial"/>
          <w:b/>
          <w:sz w:val="24"/>
        </w:rPr>
      </w:pPr>
      <w:r>
        <w:rPr>
          <w:rFonts w:ascii="Arial" w:hAnsi="Arial"/>
          <w:b/>
          <w:sz w:val="24"/>
        </w:rPr>
      </w:r>
      <w:r/>
    </w:p>
    <w:p>
      <w:pPr>
        <w:pStyle w:val="883"/>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883"/>
        <w:jc w:val="center"/>
        <w:rPr>
          <w:rFonts w:ascii="黑体" w:eastAsia="黑体"/>
          <w:bCs/>
          <w:color w:val="000000"/>
          <w:sz w:val="28"/>
          <w:szCs w:val="28"/>
        </w:rPr>
      </w:pPr>
      <w:r>
        <w:rPr>
          <w:rFonts w:ascii="黑体" w:eastAsia="黑体"/>
          <w:bCs/>
          <w:color w:val="000000"/>
          <w:sz w:val="28"/>
          <w:szCs w:val="28"/>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883"/>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28"/>
          <w:szCs w:val="28"/>
        </w:rPr>
      </w:r>
      <w:r/>
    </w:p>
    <w:p>
      <w:pPr>
        <w:pStyle w:val="883"/>
        <w:spacing w:line="360" w:lineRule="auto"/>
        <w:rPr>
          <w:rFonts w:hint="eastAsia"/>
          <w:b/>
          <w:sz w:val="30"/>
          <w:szCs w:val="30"/>
        </w:rPr>
      </w:pPr>
      <w:r>
        <w:rPr>
          <w:rFonts w:hint="eastAsia"/>
          <w:b/>
          <w:sz w:val="30"/>
          <w:szCs w:val="30"/>
        </w:rPr>
      </w:r>
      <w:r/>
    </w:p>
    <w:p>
      <w:pPr>
        <w:pStyle w:val="883"/>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883"/>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rPr>
          <w:rFonts w:ascii="宋体"/>
          <w:bCs/>
          <w:color w:val="000000"/>
          <w:sz w:val="24"/>
          <w:szCs w:val="24"/>
        </w:rPr>
      </w:r>
      <w:r/>
    </w:p>
    <w:p>
      <w:pPr>
        <w:pStyle w:val="883"/>
        <w:ind w:firstLine="480"/>
        <w:spacing w:line="400" w:lineRule="exact"/>
        <w:rPr>
          <w:rFonts w:ascii="宋体"/>
          <w:bCs/>
          <w:color w:val="000000"/>
          <w:sz w:val="24"/>
          <w:szCs w:val="24"/>
        </w:rPr>
      </w:pPr>
      <w:r>
        <w:rPr>
          <w:rFonts w:ascii="宋体"/>
          <w:bCs/>
          <w:color w:val="000000"/>
          <w:sz w:val="24"/>
          <w:szCs w:val="24"/>
        </w:rPr>
      </w:r>
      <w:r/>
    </w:p>
    <w:p>
      <w:pPr>
        <w:pStyle w:val="883"/>
        <w:ind w:firstLine="480"/>
        <w:spacing w:line="400" w:lineRule="exact"/>
        <w:rPr>
          <w:rFonts w:ascii="宋体"/>
          <w:bCs/>
          <w:color w:val="000000"/>
          <w:sz w:val="24"/>
          <w:szCs w:val="24"/>
        </w:rPr>
      </w:pPr>
      <w:r>
        <w:rPr>
          <w:rFonts w:hint="eastAsia" w:ascii="宋体" w:hAnsi="宋体"/>
          <w:bCs/>
          <w:color w:val="000000"/>
          <w:sz w:val="24"/>
          <w:szCs w:val="24"/>
        </w:rPr>
        <w:t xml:space="preserve">我方收到</w:t>
      </w:r>
      <w:r>
        <w:rPr>
          <w:rFonts w:hint="eastAsia" w:ascii="宋体" w:hAnsi="宋体"/>
          <w:bCs/>
          <w:color w:val="000000"/>
          <w:sz w:val="24"/>
          <w:szCs w:val="24"/>
        </w:rPr>
        <w:t xml:space="preserve">贵方</w:t>
      </w:r>
      <w:r>
        <w:rPr>
          <w:rFonts w:hint="eastAsia" w:ascii="宋体" w:hAnsi="宋体"/>
          <w:bCs/>
          <w:color w:val="000000"/>
          <w:sz w:val="24"/>
          <w:szCs w:val="24"/>
          <w:lang w:eastAsia="zh-CN"/>
        </w:rPr>
        <w:t xml:space="preserve">JSZC-320200-JZCG-G2024-0280</w:t>
      </w:r>
      <w:r>
        <w:rPr>
          <w:rFonts w:hint="eastAsia" w:ascii="宋体" w:hAnsi="宋体"/>
          <w:bCs/>
          <w:color w:val="000000"/>
          <w:sz w:val="24"/>
          <w:szCs w:val="24"/>
        </w:rPr>
        <w:t xml:space="preserve">招标文件，经仔细阅</w:t>
      </w:r>
      <w:r>
        <w:rPr>
          <w:rFonts w:hint="eastAsia" w:ascii="宋体" w:hAnsi="宋体"/>
          <w:bCs/>
          <w:color w:val="000000"/>
          <w:sz w:val="24"/>
          <w:szCs w:val="24"/>
        </w:rPr>
        <w:t xml:space="preserve">读和研究，我方决定参加此项目的投标。</w:t>
      </w:r>
      <w:r>
        <w:rPr>
          <w:rFonts w:ascii="宋体"/>
          <w:bCs/>
          <w:color w:val="000000"/>
          <w:sz w:val="24"/>
          <w:szCs w:val="24"/>
        </w:rPr>
      </w:r>
      <w:r/>
    </w:p>
    <w:p>
      <w:pPr>
        <w:pStyle w:val="883"/>
        <w:numPr>
          <w:ilvl w:val="0"/>
          <w:numId w:val="11"/>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57"/>
          <w:bCs/>
          <w:color w:val="000000"/>
        </w:rPr>
      </w:pPr>
      <w:r>
        <w:rPr>
          <w:rFonts w:hint="eastAsia" w:ascii="宋体" w:hAnsi="宋体"/>
          <w:bCs/>
          <w:color w:val="000000"/>
          <w:sz w:val="24"/>
          <w:szCs w:val="24"/>
        </w:rPr>
        <w:t xml:space="preserve">我方愿意提供无锡市公共资源交易中心在招标文件中要求的文件、资料。</w:t>
      </w:r>
      <w:r>
        <w:rPr>
          <w:rStyle w:val="957"/>
          <w:bCs/>
          <w:color w:val="000000"/>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883"/>
        <w:ind w:firstLine="720"/>
        <w:spacing w:line="400" w:lineRule="exact"/>
        <w:rPr>
          <w:rFonts w:ascii="宋体"/>
          <w:bCs/>
          <w:color w:val="000000"/>
          <w:sz w:val="24"/>
          <w:szCs w:val="24"/>
        </w:rPr>
      </w:pPr>
      <w:r>
        <w:rPr>
          <w:rFonts w:ascii="宋体"/>
          <w:bCs/>
          <w:color w:val="000000"/>
          <w:sz w:val="24"/>
          <w:szCs w:val="24"/>
        </w:rPr>
      </w:r>
      <w:r/>
    </w:p>
    <w:p>
      <w:pPr>
        <w:pStyle w:val="883"/>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883"/>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883"/>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883"/>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rPr>
          <w:rFonts w:hint="eastAsia"/>
          <w:b/>
          <w:sz w:val="28"/>
          <w:szCs w:val="28"/>
        </w:rPr>
      </w:r>
      <w:r/>
    </w:p>
    <w:p>
      <w:pPr>
        <w:pStyle w:val="883"/>
        <w:jc w:val="center"/>
        <w:rPr>
          <w:rFonts w:hint="eastAsia" w:ascii="黑体" w:eastAsia="黑体"/>
          <w:bCs/>
          <w:sz w:val="28"/>
          <w:szCs w:val="28"/>
        </w:rPr>
      </w:pPr>
      <w:r>
        <w:rPr>
          <w:rFonts w:hint="eastAsia" w:ascii="黑体" w:eastAsia="黑体"/>
          <w:bCs/>
          <w:sz w:val="28"/>
          <w:szCs w:val="28"/>
        </w:rPr>
        <w:t xml:space="preserve">承诺书</w:t>
      </w:r>
      <w:r>
        <w:rPr>
          <w:rFonts w:hint="eastAsia" w:ascii="黑体" w:eastAsia="黑体"/>
          <w:bCs/>
          <w:sz w:val="28"/>
          <w:szCs w:val="28"/>
        </w:rPr>
      </w:r>
      <w:r/>
    </w:p>
    <w:p>
      <w:pPr>
        <w:pStyle w:val="883"/>
        <w:spacing w:line="480" w:lineRule="auto"/>
        <w:rPr>
          <w:rFonts w:ascii="宋体" w:hAnsi="宋体"/>
          <w:color w:val="000000"/>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color w:val="000000"/>
          <w:sz w:val="24"/>
          <w:szCs w:val="24"/>
          <w:lang w:eastAsia="zh-CN"/>
        </w:rPr>
        <w:t xml:space="preserve">JSZC-320200-JZCG-G2024-0280</w:t>
      </w:r>
      <w:r>
        <w:rPr>
          <w:rFonts w:hint="eastAsia" w:ascii="宋体" w:hAnsi="宋体"/>
          <w:color w:val="000000"/>
          <w:sz w:val="24"/>
          <w:szCs w:val="24"/>
        </w:rPr>
        <w:t xml:space="preserve">在此承诺：</w:t>
      </w:r>
      <w:r>
        <w:rPr>
          <w:rFonts w:ascii="宋体" w:hAnsi="宋体"/>
          <w:color w:val="000000"/>
          <w:sz w:val="24"/>
          <w:szCs w:val="24"/>
        </w:rPr>
      </w:r>
      <w:r/>
    </w:p>
    <w:p>
      <w:pPr>
        <w:pStyle w:val="883"/>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对本项目所提供的货物均为原厂全新合格品，提供的服务符合招标文件要求。</w:t>
      </w:r>
      <w:r>
        <w:rPr>
          <w:rFonts w:ascii="宋体" w:hAnsi="宋体"/>
          <w:bCs/>
          <w:sz w:val="24"/>
          <w:szCs w:val="24"/>
        </w:rPr>
      </w:r>
      <w:r/>
    </w:p>
    <w:p>
      <w:pPr>
        <w:pStyle w:val="883"/>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rPr>
          <w:rFonts w:hint="eastAsia" w:ascii="宋体"/>
          <w:bCs/>
          <w:sz w:val="24"/>
          <w:szCs w:val="24"/>
        </w:rPr>
      </w:r>
      <w:r/>
    </w:p>
    <w:p>
      <w:pPr>
        <w:pStyle w:val="883"/>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sz w:val="24"/>
          <w:szCs w:val="24"/>
        </w:rPr>
      </w:r>
      <w:r/>
    </w:p>
    <w:p>
      <w:pPr>
        <w:pStyle w:val="883"/>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883"/>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rPr>
          <w:rFonts w:hint="eastAsia" w:ascii="宋体" w:hAnsi="宋体" w:cs="宋体"/>
          <w:sz w:val="24"/>
          <w:szCs w:val="24"/>
        </w:rPr>
      </w:r>
      <w:r/>
    </w:p>
    <w:p>
      <w:pPr>
        <w:pStyle w:val="883"/>
        <w:ind w:firstLine="480"/>
        <w:spacing w:line="480" w:lineRule="auto"/>
        <w:rPr>
          <w:rFonts w:hint="eastAsia" w:ascii="宋体"/>
          <w:bCs/>
          <w:color w:val="ff0000"/>
          <w:sz w:val="24"/>
          <w:szCs w:val="24"/>
        </w:rPr>
      </w:pPr>
      <w:r>
        <w:rPr>
          <w:rFonts w:hint="eastAsia" w:ascii="宋体"/>
          <w:bCs/>
          <w:color w:val="ff0000"/>
          <w:sz w:val="24"/>
          <w:szCs w:val="24"/>
        </w:rPr>
      </w:r>
      <w:r/>
    </w:p>
    <w:p>
      <w:pPr>
        <w:pStyle w:val="883"/>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rPr>
          <w:rFonts w:hint="eastAsia" w:ascii="宋体"/>
          <w:bCs/>
          <w:sz w:val="24"/>
          <w:szCs w:val="24"/>
        </w:rPr>
      </w:r>
      <w:r/>
    </w:p>
    <w:p>
      <w:pPr>
        <w:pStyle w:val="883"/>
        <w:ind w:firstLine="480"/>
        <w:spacing w:line="480" w:lineRule="auto"/>
        <w:rPr>
          <w:rFonts w:hint="eastAsia" w:ascii="宋体"/>
          <w:bCs/>
          <w:color w:val="ff0000"/>
          <w:sz w:val="24"/>
          <w:szCs w:val="24"/>
        </w:rPr>
      </w:pPr>
      <w:r>
        <w:rPr>
          <w:rFonts w:hint="eastAsia" w:ascii="宋体"/>
          <w:bCs/>
          <w:color w:val="ff0000"/>
          <w:sz w:val="24"/>
          <w:szCs w:val="24"/>
        </w:rPr>
      </w:r>
      <w:r/>
    </w:p>
    <w:p>
      <w:pPr>
        <w:pStyle w:val="883"/>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883"/>
        <w:ind w:firstLine="5400"/>
        <w:spacing w:line="480" w:lineRule="auto"/>
        <w:rPr>
          <w:rFonts w:ascii="宋体" w:hAnsi="宋体"/>
          <w:bCs/>
          <w:sz w:val="24"/>
          <w:szCs w:val="24"/>
        </w:rPr>
      </w:pPr>
      <w:r>
        <w:rPr>
          <w:rFonts w:ascii="宋体" w:hAnsi="宋体"/>
          <w:bCs/>
          <w:sz w:val="24"/>
          <w:szCs w:val="24"/>
        </w:rPr>
      </w:r>
      <w:r/>
    </w:p>
    <w:p>
      <w:pPr>
        <w:pStyle w:val="883"/>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rPr>
          <w:rFonts w:ascii="宋体" w:hAnsi="宋体"/>
          <w:bCs/>
          <w:color w:val="000000"/>
          <w:sz w:val="24"/>
          <w:szCs w:val="24"/>
        </w:rPr>
      </w:r>
      <w:r/>
    </w:p>
    <w:p>
      <w:pPr>
        <w:pStyle w:val="883"/>
        <w:spacing w:line="480" w:lineRule="auto"/>
        <w:rPr>
          <w:rFonts w:ascii="宋体"/>
          <w:bCs/>
          <w:color w:val="000000"/>
          <w:sz w:val="24"/>
          <w:szCs w:val="24"/>
        </w:rPr>
      </w:pPr>
      <w:r>
        <w:rPr>
          <w:rFonts w:ascii="宋体"/>
          <w:bCs/>
          <w:color w:val="000000"/>
          <w:sz w:val="24"/>
          <w:szCs w:val="24"/>
        </w:rPr>
      </w:r>
      <w:r/>
    </w:p>
    <w:p>
      <w:pPr>
        <w:pStyle w:val="883"/>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883"/>
        <w:ind w:firstLine="482"/>
        <w:spacing w:line="440" w:lineRule="exact"/>
        <w:rPr>
          <w:rFonts w:hint="eastAsia" w:ascii="Arial" w:hAnsi="Arial"/>
          <w:b/>
          <w:sz w:val="24"/>
        </w:rPr>
      </w:pPr>
      <w:r>
        <w:rPr>
          <w:rFonts w:hint="eastAsia" w:ascii="Arial" w:hAnsi="Arial"/>
          <w:b/>
          <w:sz w:val="24"/>
        </w:rPr>
      </w:r>
      <w:r/>
    </w:p>
    <w:p>
      <w:pPr>
        <w:pStyle w:val="883"/>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883"/>
        <w:jc w:val="center"/>
        <w:rPr>
          <w:rFonts w:ascii="黑体" w:eastAsia="黑体"/>
          <w:bCs/>
          <w:color w:val="000000"/>
          <w:sz w:val="28"/>
          <w:szCs w:val="28"/>
        </w:rPr>
        <w:outlineLvl w:val="0"/>
      </w:pPr>
      <w:r>
        <w:rPr>
          <w:rFonts w:ascii="黑体" w:eastAsia="黑体"/>
          <w:bCs/>
          <w:color w:val="000000"/>
          <w:sz w:val="28"/>
          <w:szCs w:val="28"/>
        </w:rPr>
      </w:r>
      <w:r/>
    </w:p>
    <w:p>
      <w:pPr>
        <w:pStyle w:val="883"/>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rPr>
          <w:rFonts w:hint="eastAsia" w:ascii="黑体" w:eastAsia="黑体"/>
          <w:bCs/>
          <w:color w:val="000000"/>
          <w:sz w:val="24"/>
          <w:szCs w:val="24"/>
        </w:rPr>
      </w:r>
      <w:r/>
    </w:p>
    <w:p>
      <w:pPr>
        <w:pStyle w:val="883"/>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883"/>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JSZC-320200-JZCG-G2024-0280</w:t>
      </w:r>
      <w:r>
        <w:rPr>
          <w:rFonts w:hint="eastAsia" w:ascii="黑体" w:eastAsia="黑体"/>
          <w:bCs/>
          <w:color w:val="000000"/>
          <w:sz w:val="24"/>
          <w:szCs w:val="24"/>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ascii="宋体"/>
                <w:b/>
                <w:bCs/>
                <w:color w:val="000000"/>
                <w:sz w:val="24"/>
                <w:szCs w:val="24"/>
              </w:rPr>
            </w:r>
            <w:r/>
          </w:p>
        </w:tc>
      </w:tr>
      <w:tr>
        <w:trPr>
          <w:cantSplit/>
          <w:trHeight w:val="1630"/>
        </w:trPr>
        <w:tc>
          <w:tcPr>
            <w:tcW w:w="5697" w:type="dxa"/>
            <w:vAlign w:val="center"/>
            <w:textDirection w:val="lrTb"/>
            <w:noWrap w:val="false"/>
          </w:tcPr>
          <w:p>
            <w:pPr>
              <w:pStyle w:val="996"/>
              <w:jc w:val="center"/>
              <w:spacing w:line="400" w:lineRule="exact"/>
              <w:rPr>
                <w:rFonts w:hint="eastAsia" w:hAnsi="宋体" w:eastAsia="宋体"/>
                <w:bCs/>
                <w:color w:val="000000"/>
                <w:szCs w:val="24"/>
                <w:lang w:eastAsia="zh-CN"/>
              </w:rPr>
            </w:pPr>
            <w:r>
              <w:rPr>
                <w:rFonts w:hint="eastAsia" w:hAnsi="宋体"/>
                <w:bCs/>
                <w:color w:val="000000"/>
                <w:szCs w:val="24"/>
                <w:lang w:eastAsia="zh-CN"/>
              </w:rPr>
              <w:t xml:space="preserve">无锡市中医医院医疗服务提升（软件开发）项目</w:t>
            </w:r>
            <w:r>
              <w:rPr>
                <w:rFonts w:hint="eastAsia" w:hAnsi="宋体" w:eastAsia="宋体"/>
                <w:bCs/>
                <w:color w:val="000000"/>
                <w:szCs w:val="24"/>
                <w:lang w:eastAsia="zh-CN"/>
              </w:rPr>
            </w:r>
            <w:r/>
          </w:p>
        </w:tc>
        <w:tc>
          <w:tcPr>
            <w:tcW w:w="3188" w:type="dxa"/>
            <w:vAlign w:val="center"/>
            <w:textDirection w:val="lrTb"/>
            <w:noWrap w:val="false"/>
          </w:tcPr>
          <w:p>
            <w:pPr>
              <w:pStyle w:val="996"/>
              <w:jc w:val="center"/>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883"/>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rPr>
                <w:rFonts w:ascii="宋体"/>
                <w:bCs/>
                <w:sz w:val="24"/>
                <w:szCs w:val="24"/>
              </w:rPr>
            </w:r>
            <w:r/>
          </w:p>
        </w:tc>
      </w:tr>
    </w:tbl>
    <w:p>
      <w:pPr>
        <w:pStyle w:val="883"/>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883"/>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83"/>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83"/>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883"/>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rPr>
          <w:rFonts w:hint="eastAsia"/>
          <w:b/>
          <w:sz w:val="28"/>
          <w:szCs w:val="28"/>
        </w:rPr>
      </w:r>
      <w:r/>
    </w:p>
    <w:p>
      <w:pPr>
        <w:pStyle w:val="883"/>
        <w:spacing w:line="360" w:lineRule="auto"/>
        <w:rPr>
          <w:rFonts w:hint="eastAsia"/>
          <w:b/>
          <w:sz w:val="30"/>
          <w:szCs w:val="30"/>
        </w:rPr>
      </w:pPr>
      <w:r>
        <w:rPr>
          <w:rFonts w:hint="eastAsia"/>
          <w:b/>
          <w:sz w:val="30"/>
          <w:szCs w:val="30"/>
        </w:rPr>
      </w:r>
      <w:r/>
    </w:p>
    <w:p>
      <w:pPr>
        <w:pStyle w:val="883"/>
        <w:jc w:val="center"/>
        <w:spacing w:line="400" w:lineRule="exact"/>
        <w:rPr>
          <w:rFonts w:ascii="黑体" w:eastAsia="黑体"/>
          <w:bCs/>
          <w:color w:val="000000"/>
          <w:sz w:val="28"/>
          <w:szCs w:val="28"/>
        </w:rPr>
        <w:outlineLvl w:val="0"/>
      </w:pPr>
      <w:r>
        <w:rPr>
          <w:rFonts w:hint="eastAsia" w:ascii="黑体" w:eastAsia="黑体"/>
          <w:bCs/>
          <w:color w:val="000000"/>
          <w:sz w:val="28"/>
          <w:szCs w:val="28"/>
        </w:rPr>
        <w:t xml:space="preserve">分项报价表</w:t>
      </w:r>
      <w:r>
        <w:rPr>
          <w:rFonts w:ascii="黑体" w:eastAsia="黑体"/>
          <w:bCs/>
          <w:color w:val="000000"/>
          <w:sz w:val="28"/>
          <w:szCs w:val="28"/>
        </w:rPr>
      </w:r>
      <w:r/>
    </w:p>
    <w:p>
      <w:pPr>
        <w:pStyle w:val="883"/>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JSZC-320200-JZCG-G2024-0280</w:t>
      </w:r>
      <w:r>
        <w:rPr>
          <w:rFonts w:hint="eastAsia" w:ascii="黑体" w:eastAsia="黑体"/>
          <w:bCs/>
          <w:color w:val="000000"/>
          <w:sz w:val="24"/>
          <w:szCs w:val="24"/>
          <w:lang w:eastAsia="zh-CN"/>
        </w:rPr>
      </w:r>
      <w:r/>
    </w:p>
    <w:tbl>
      <w:tblPr>
        <w:tblW w:w="9461"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4930"/>
        <w:gridCol w:w="851"/>
        <w:gridCol w:w="850"/>
        <w:gridCol w:w="1134"/>
        <w:gridCol w:w="1276"/>
      </w:tblGrid>
      <w:tr>
        <w:trPr>
          <w:cantSplit/>
          <w:trHeight w:val="495"/>
        </w:trPr>
        <w:tc>
          <w:tcPr>
            <w:tcMar>
              <w:left w:w="15" w:type="dxa"/>
              <w:top w:w="15" w:type="dxa"/>
              <w:right w:w="15" w:type="dxa"/>
              <w:bottom w:w="0" w:type="dxa"/>
            </w:tcMar>
            <w:tcW w:w="420" w:type="dxa"/>
            <w:vAlign w:val="center"/>
            <w:textDirection w:val="lrTb"/>
            <w:noWrap/>
          </w:tcPr>
          <w:p>
            <w:pPr>
              <w:pStyle w:val="883"/>
              <w:jc w:val="center"/>
              <w:spacing w:before="5"/>
              <w:rPr>
                <w:color w:val="000000"/>
                <w:sz w:val="18"/>
              </w:rPr>
            </w:pPr>
            <w:r>
              <w:rPr>
                <w:rFonts w:hint="eastAsia"/>
                <w:color w:val="000000"/>
                <w:sz w:val="18"/>
              </w:rPr>
              <w:t xml:space="preserve">序号</w:t>
            </w:r>
            <w:r>
              <w:rPr>
                <w:color w:val="000000"/>
                <w:sz w:val="18"/>
              </w:rPr>
            </w:r>
            <w:r/>
          </w:p>
        </w:tc>
        <w:tc>
          <w:tcPr>
            <w:tcMar>
              <w:left w:w="15" w:type="dxa"/>
              <w:top w:w="15" w:type="dxa"/>
              <w:right w:w="15" w:type="dxa"/>
              <w:bottom w:w="0" w:type="dxa"/>
            </w:tcMar>
            <w:tcW w:w="4930" w:type="dxa"/>
            <w:vAlign w:val="center"/>
            <w:textDirection w:val="lrTb"/>
            <w:noWrap/>
          </w:tcPr>
          <w:p>
            <w:pPr>
              <w:pStyle w:val="883"/>
              <w:jc w:val="center"/>
              <w:spacing w:before="5"/>
              <w:rPr>
                <w:color w:val="000000"/>
                <w:sz w:val="18"/>
              </w:rPr>
            </w:pPr>
            <w:r>
              <w:rPr>
                <w:color w:val="000000"/>
                <w:sz w:val="18"/>
              </w:rPr>
              <w:t xml:space="preserve">服务内容</w:t>
            </w:r>
            <w:r>
              <w:rPr>
                <w:color w:val="000000"/>
                <w:sz w:val="18"/>
              </w:rPr>
            </w:r>
            <w:r/>
          </w:p>
        </w:tc>
        <w:tc>
          <w:tcPr>
            <w:tcW w:w="851" w:type="dxa"/>
            <w:vAlign w:val="center"/>
            <w:textDirection w:val="lrTb"/>
            <w:noWrap w:val="false"/>
          </w:tcPr>
          <w:p>
            <w:pPr>
              <w:pStyle w:val="883"/>
              <w:jc w:val="center"/>
              <w:spacing w:before="5"/>
              <w:rPr>
                <w:color w:val="000000"/>
                <w:sz w:val="18"/>
              </w:rPr>
            </w:pPr>
            <w:r>
              <w:rPr>
                <w:rFonts w:hint="eastAsia"/>
                <w:color w:val="000000"/>
                <w:sz w:val="18"/>
              </w:rPr>
              <w:t xml:space="preserve">数量</w:t>
            </w:r>
            <w:r>
              <w:rPr>
                <w:color w:val="000000"/>
                <w:sz w:val="18"/>
              </w:rPr>
            </w:r>
            <w:r/>
          </w:p>
        </w:tc>
        <w:tc>
          <w:tcPr>
            <w:tcMar>
              <w:left w:w="15" w:type="dxa"/>
              <w:top w:w="15" w:type="dxa"/>
              <w:right w:w="15" w:type="dxa"/>
              <w:bottom w:w="0" w:type="dxa"/>
            </w:tcMar>
            <w:tcW w:w="850" w:type="dxa"/>
            <w:vAlign w:val="center"/>
            <w:textDirection w:val="lrTb"/>
            <w:noWrap/>
          </w:tcPr>
          <w:p>
            <w:pPr>
              <w:pStyle w:val="883"/>
              <w:jc w:val="center"/>
              <w:spacing w:before="5"/>
              <w:rPr>
                <w:color w:val="000000"/>
                <w:sz w:val="18"/>
              </w:rPr>
            </w:pPr>
            <w:r>
              <w:rPr>
                <w:rFonts w:hint="eastAsia"/>
                <w:color w:val="000000"/>
                <w:sz w:val="18"/>
              </w:rPr>
              <w:t xml:space="preserve">单位</w:t>
            </w:r>
            <w:r>
              <w:rPr>
                <w:color w:val="000000"/>
                <w:sz w:val="18"/>
              </w:rPr>
            </w:r>
            <w:r/>
          </w:p>
        </w:tc>
        <w:tc>
          <w:tcPr>
            <w:tcW w:w="1134" w:type="dxa"/>
            <w:vAlign w:val="center"/>
            <w:textDirection w:val="lrTb"/>
            <w:noWrap w:val="false"/>
          </w:tcPr>
          <w:p>
            <w:pPr>
              <w:pStyle w:val="883"/>
              <w:jc w:val="center"/>
              <w:spacing w:before="5"/>
              <w:rPr>
                <w:color w:val="000000"/>
                <w:sz w:val="18"/>
              </w:rPr>
            </w:pPr>
            <w:r>
              <w:rPr>
                <w:rFonts w:hint="eastAsia"/>
                <w:color w:val="000000"/>
                <w:sz w:val="18"/>
              </w:rPr>
              <w:t xml:space="preserve">单报价</w:t>
            </w:r>
            <w:r>
              <w:rPr>
                <w:color w:val="000000"/>
                <w:sz w:val="18"/>
              </w:rPr>
            </w:r>
            <w:r/>
          </w:p>
        </w:tc>
        <w:tc>
          <w:tcPr>
            <w:tcW w:w="1276" w:type="dxa"/>
            <w:vAlign w:val="center"/>
            <w:textDirection w:val="lrTb"/>
            <w:noWrap w:val="false"/>
          </w:tcPr>
          <w:p>
            <w:pPr>
              <w:pStyle w:val="883"/>
              <w:jc w:val="center"/>
              <w:spacing w:before="5"/>
              <w:rPr>
                <w:color w:val="000000"/>
                <w:sz w:val="18"/>
              </w:rPr>
            </w:pPr>
            <w:r>
              <w:rPr>
                <w:rFonts w:hint="eastAsia"/>
                <w:color w:val="000000"/>
                <w:sz w:val="18"/>
              </w:rPr>
              <w:t xml:space="preserve">分项总报价</w:t>
            </w:r>
            <w:r>
              <w:rPr>
                <w:color w:val="000000"/>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932"/>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4930"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851"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134"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883"/>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4930"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851"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134"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883"/>
              <w:jc w:val="center"/>
              <w:rPr>
                <w:rFonts w:ascii="宋体"/>
                <w:color w:val="000000"/>
                <w:sz w:val="18"/>
              </w:rPr>
            </w:pPr>
            <w:r>
              <w:rPr>
                <w:rFonts w:ascii="宋体"/>
                <w:color w:val="000000"/>
                <w:sz w:val="18"/>
              </w:rPr>
            </w:r>
            <w:r/>
          </w:p>
        </w:tc>
        <w:tc>
          <w:tcPr>
            <w:tcMar>
              <w:left w:w="15" w:type="dxa"/>
              <w:top w:w="15" w:type="dxa"/>
              <w:right w:w="15" w:type="dxa"/>
              <w:bottom w:w="0" w:type="dxa"/>
            </w:tcMar>
            <w:tcW w:w="4930" w:type="dxa"/>
            <w:vAlign w:val="center"/>
            <w:textDirection w:val="lrTb"/>
            <w:noWrap/>
          </w:tcPr>
          <w:p>
            <w:pPr>
              <w:pStyle w:val="883"/>
              <w:jc w:val="center"/>
              <w:rPr>
                <w:rFonts w:hint="eastAsia" w:ascii="黑体" w:eastAsia="黑体"/>
                <w:b/>
                <w:bCs/>
                <w:color w:val="000000"/>
              </w:rPr>
            </w:pPr>
            <w:r>
              <w:rPr>
                <w:rFonts w:ascii="黑体" w:eastAsia="黑体"/>
                <w:b/>
                <w:bCs/>
                <w:color w:val="000000"/>
              </w:rPr>
              <w:t xml:space="preserve">……</w:t>
            </w:r>
            <w:r>
              <w:rPr>
                <w:rFonts w:hint="eastAsia" w:ascii="黑体" w:eastAsia="黑体"/>
                <w:b/>
                <w:bCs/>
                <w:color w:val="000000"/>
              </w:rPr>
            </w:r>
            <w:r/>
          </w:p>
        </w:tc>
        <w:tc>
          <w:tcPr>
            <w:tcW w:w="851"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883"/>
              <w:jc w:val="center"/>
              <w:rPr>
                <w:rFonts w:hint="eastAsia" w:ascii="黑体" w:eastAsia="黑体"/>
                <w:b/>
                <w:bCs/>
                <w:color w:val="000000"/>
              </w:rPr>
            </w:pPr>
            <w:r>
              <w:rPr>
                <w:rFonts w:hint="eastAsia" w:ascii="黑体" w:eastAsia="黑体"/>
                <w:b/>
                <w:bCs/>
                <w:color w:val="000000"/>
              </w:rPr>
            </w:r>
            <w:r/>
          </w:p>
        </w:tc>
        <w:tc>
          <w:tcPr>
            <w:tcW w:w="1134"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r>
    </w:tbl>
    <w:p>
      <w:pPr>
        <w:pStyle w:val="883"/>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883"/>
        <w:spacing w:line="400" w:lineRule="exact"/>
        <w:rPr>
          <w:rFonts w:hint="eastAsia" w:ascii="宋体" w:hAnsi="宋体"/>
          <w:b/>
          <w:color w:val="000000"/>
        </w:rPr>
        <w:outlineLvl w:val="0"/>
      </w:pPr>
      <w:r>
        <w:rPr>
          <w:rFonts w:hint="eastAsia" w:ascii="宋体" w:hAnsi="宋体"/>
          <w:b/>
          <w:color w:val="000000"/>
        </w:rPr>
      </w:r>
      <w:r/>
    </w:p>
    <w:p>
      <w:pPr>
        <w:pStyle w:val="883"/>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rPr>
      </w:r>
      <w:r/>
    </w:p>
    <w:p>
      <w:pPr>
        <w:pStyle w:val="883"/>
        <w:ind w:firstLine="315"/>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）投标人应当根据“采购需求”的内容在上表中详细填写；</w:t>
      </w:r>
      <w:r>
        <w:rPr>
          <w:rFonts w:ascii="宋体"/>
          <w:bCs/>
        </w:rPr>
      </w:r>
      <w:r/>
    </w:p>
    <w:p>
      <w:pPr>
        <w:pStyle w:val="883"/>
        <w:ind w:firstLine="315"/>
        <w:spacing w:line="400" w:lineRule="exact"/>
        <w:rPr>
          <w:rFonts w:ascii="宋体" w:hAnsi="宋体"/>
          <w:bCs/>
        </w:rPr>
        <w:outlineLvl w:val="0"/>
      </w:pPr>
      <w:r>
        <w:rPr>
          <w:rFonts w:hint="eastAsia" w:ascii="宋体" w:hAnsi="宋体"/>
          <w:bCs/>
        </w:rPr>
        <w:t xml:space="preserve">（</w:t>
      </w:r>
      <w:r>
        <w:rPr>
          <w:rFonts w:ascii="宋体" w:hAnsi="宋体"/>
          <w:bCs/>
        </w:rPr>
        <w:t xml:space="preserve">3</w:t>
      </w:r>
      <w:r>
        <w:rPr>
          <w:rFonts w:hint="eastAsia" w:ascii="宋体" w:hAnsi="宋体"/>
          <w:bCs/>
        </w:rPr>
        <w:t xml:space="preserve">）表格不够可自行延长。</w:t>
      </w:r>
      <w:r>
        <w:rPr>
          <w:rFonts w:ascii="宋体" w:hAnsi="宋体"/>
          <w:bCs/>
        </w:rPr>
      </w:r>
      <w:r/>
    </w:p>
    <w:p>
      <w:pPr>
        <w:pStyle w:val="883"/>
        <w:spacing w:line="360" w:lineRule="auto"/>
        <w:rPr>
          <w:rFonts w:hint="eastAsia"/>
          <w:b/>
          <w:sz w:val="28"/>
          <w:szCs w:val="28"/>
        </w:rPr>
      </w:pPr>
      <w:r/>
      <w:bookmarkEnd w:id="197"/>
      <w:r/>
      <w:bookmarkEnd w:id="198"/>
      <w:r/>
      <w:bookmarkEnd w:id="199"/>
      <w:r/>
      <w:bookmarkStart w:id="202" w:name="_Toc120614284"/>
      <w:r>
        <w:rPr>
          <w:rFonts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883"/>
        <w:ind w:firstLine="490"/>
        <w:jc w:val="center"/>
        <w:rPr>
          <w:rFonts w:ascii="黑体" w:eastAsia="黑体"/>
          <w:bCs/>
          <w:color w:val="000000"/>
          <w:sz w:val="28"/>
          <w:szCs w:val="28"/>
        </w:rPr>
        <w:outlineLvl w:val="0"/>
      </w:pPr>
      <w:r>
        <w:rPr>
          <w:rFonts w:ascii="黑体" w:eastAsia="黑体"/>
          <w:bCs/>
          <w:color w:val="000000"/>
          <w:sz w:val="28"/>
          <w:szCs w:val="28"/>
        </w:rPr>
      </w:r>
      <w:r/>
    </w:p>
    <w:p>
      <w:pPr>
        <w:pStyle w:val="883"/>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883"/>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3"/>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3"/>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JSZC-320200-JZCG-G2024-0280</w:t>
      </w:r>
      <w:r>
        <w:rPr>
          <w:rFonts w:hint="eastAsia" w:ascii="黑体" w:eastAsia="黑体"/>
          <w:bCs/>
          <w:color w:val="000000"/>
          <w:sz w:val="24"/>
          <w:szCs w:val="24"/>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3"/>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3"/>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3"/>
              <w:jc w:val="center"/>
              <w:rPr>
                <w:rFonts w:ascii="宋体"/>
                <w:bCs/>
                <w:color w:val="000000"/>
              </w:rPr>
            </w:pPr>
            <w:r>
              <w:rPr>
                <w:rFonts w:ascii="宋体"/>
                <w:bCs/>
                <w:color w:val="000000"/>
              </w:rPr>
            </w:r>
            <w:r/>
          </w:p>
        </w:tc>
      </w:tr>
    </w:tbl>
    <w:p>
      <w:pPr>
        <w:pStyle w:val="883"/>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883"/>
        <w:rPr>
          <w:rFonts w:ascii="宋体"/>
          <w:bCs/>
          <w:color w:val="000000"/>
          <w:sz w:val="30"/>
        </w:rPr>
      </w:pPr>
      <w:r>
        <w:rPr>
          <w:rFonts w:ascii="宋体"/>
          <w:bCs/>
          <w:color w:val="000000"/>
          <w:sz w:val="30"/>
        </w:rPr>
      </w:r>
      <w:r/>
    </w:p>
    <w:p>
      <w:pPr>
        <w:pStyle w:val="883"/>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883"/>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rPr>
          <w:rFonts w:ascii="宋体" w:hAnsi="宋体"/>
          <w:bCs/>
          <w:color w:val="000000"/>
          <w:sz w:val="24"/>
          <w:szCs w:val="24"/>
        </w:rPr>
      </w:r>
      <w:r/>
    </w:p>
    <w:p>
      <w:pPr>
        <w:pStyle w:val="883"/>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9"/>
      <w:r/>
      <w:bookmarkEnd w:id="190"/>
      <w:r/>
      <w:bookmarkEnd w:id="202"/>
      <w:r/>
      <w:bookmarkStart w:id="203" w:name="_格式2__法定代表人授权书"/>
      <w:r/>
      <w:bookmarkEnd w:id="203"/>
      <w:r/>
      <w:bookmarkStart w:id="204" w:name="_Hlt26609389"/>
      <w:r/>
      <w:bookmarkEnd w:id="204"/>
      <w:r/>
      <w:bookmarkStart w:id="205" w:name="_Hlt26671374"/>
      <w:r/>
      <w:bookmarkEnd w:id="205"/>
      <w:r/>
      <w:bookmarkStart w:id="206" w:name="_Hlt26955066"/>
      <w:r/>
      <w:bookmarkEnd w:id="206"/>
      <w:r>
        <w:rPr>
          <w:rFonts w:hint="eastAsia" w:ascii="宋体" w:hAnsi="宋体"/>
          <w:bCs/>
          <w:color w:val="000000"/>
          <w:sz w:val="24"/>
          <w:szCs w:val="24"/>
        </w:rPr>
      </w:r>
      <w:r/>
    </w:p>
    <w:p>
      <w:pPr>
        <w:pStyle w:val="883"/>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883"/>
        <w:ind w:firstLine="420"/>
        <w:rPr>
          <w:rFonts w:ascii="宋体" w:hAnsi="宋体"/>
          <w:bCs/>
          <w:color w:val="000000"/>
          <w:sz w:val="24"/>
          <w:szCs w:val="24"/>
        </w:rPr>
        <w:outlineLvl w:val="0"/>
      </w:pPr>
      <w:r>
        <w:rPr>
          <w:rFonts w:ascii="宋体" w:hAnsi="宋体"/>
          <w:bCs/>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Style w:val="955"/>
        <w:rFonts w:ascii="宋体" w:hAnsi="宋体"/>
      </w:rPr>
      <w:framePr w:wrap="around" w:vAnchor="text" w:hAnchor="margin" w:xAlign="center" w:y="1"/>
    </w:pPr>
    <w:r>
      <w:rPr>
        <w:rFonts w:ascii="宋体" w:hAnsi="宋体"/>
      </w:rPr>
      <w:fldChar w:fldCharType="begin"/>
    </w:r>
    <w:r>
      <w:rPr>
        <w:rStyle w:val="955"/>
        <w:rFonts w:ascii="宋体" w:hAnsi="宋体"/>
      </w:rPr>
      <w:instrText xml:space="preserve">PAGE  </w:instrText>
    </w:r>
    <w:r>
      <w:rPr>
        <w:rFonts w:ascii="宋体" w:hAnsi="宋体"/>
      </w:rPr>
      <w:fldChar w:fldCharType="separate"/>
    </w:r>
    <w:r>
      <w:rPr>
        <w:rStyle w:val="955"/>
        <w:rFonts w:ascii="宋体" w:hAnsi="宋体"/>
      </w:rPr>
      <w:t xml:space="preserve">３５</w:t>
    </w:r>
    <w:r>
      <w:rPr>
        <w:rFonts w:ascii="宋体" w:hAnsi="宋体"/>
      </w:rPr>
      <w:fldChar w:fldCharType="end"/>
    </w:r>
    <w:r>
      <w:rPr>
        <w:rStyle w:val="955"/>
        <w:rFonts w:ascii="宋体" w:hAnsi="宋体"/>
      </w:rPr>
    </w:r>
    <w:r/>
  </w:p>
  <w:p>
    <w:pPr>
      <w:pStyle w:val="930"/>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Style w:val="955"/>
      </w:rPr>
      <w:framePr w:wrap="around" w:vAnchor="text" w:hAnchor="margin" w:xAlign="center" w:y="1"/>
    </w:pPr>
    <w:r>
      <w:fldChar w:fldCharType="begin"/>
    </w:r>
    <w:r>
      <w:rPr>
        <w:rStyle w:val="955"/>
      </w:rPr>
      <w:instrText xml:space="preserve">PAGE  </w:instrText>
    </w:r>
    <w:r>
      <w:fldChar w:fldCharType="separate"/>
    </w:r>
    <w:r>
      <w:rPr>
        <w:rStyle w:val="955"/>
      </w:rPr>
      <w:t xml:space="preserve">1</w:t>
    </w:r>
    <w:r>
      <w:fldChar w:fldCharType="end"/>
    </w:r>
    <w:r>
      <w:rPr>
        <w:rStyle w:val="955"/>
      </w:rPr>
    </w:r>
    <w:r/>
  </w:p>
  <w:p>
    <w:pPr>
      <w:pStyle w:val="93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83"/>
        <w:ind w:left="1080" w:hanging="1080"/>
        <w:tabs>
          <w:tab w:val="num" w:pos="1080" w:leader="none"/>
        </w:tabs>
      </w:pPr>
      <w:rPr>
        <w:rFonts w:hint="eastAsia" w:cs="Times New Roman"/>
      </w:rPr>
    </w:lvl>
    <w:lvl w:ilvl="1">
      <w:start w:val="1"/>
      <w:numFmt w:val="decimal"/>
      <w:isLgl w:val="false"/>
      <w:suff w:val="tab"/>
      <w:lvlText w:val="%2."/>
      <w:lvlJc w:val="left"/>
      <w:pPr>
        <w:pStyle w:val="88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3"/>
        <w:ind w:left="1260" w:hanging="420"/>
        <w:tabs>
          <w:tab w:val="num" w:pos="126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62"/>
      <w:isLgl w:val="false"/>
      <w:suff w:val="tab"/>
      <w:lvlText w:val="附录%1."/>
      <w:lvlJc w:val="left"/>
      <w:pPr>
        <w:pStyle w:val="88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883"/>
        <w:ind w:left="1080" w:hanging="1080"/>
        <w:tabs>
          <w:tab w:val="num" w:pos="1080" w:leader="none"/>
        </w:tabs>
      </w:pPr>
      <w:rPr>
        <w:rFonts w:hint="eastAsia" w:cs="Times New Roman"/>
      </w:rPr>
    </w:lvl>
    <w:lvl w:ilvl="1">
      <w:start w:val="1"/>
      <w:numFmt w:val="decimal"/>
      <w:isLgl w:val="false"/>
      <w:suff w:val="tab"/>
      <w:lvlText w:val="%2."/>
      <w:lvlJc w:val="left"/>
      <w:pPr>
        <w:pStyle w:val="88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3"/>
        <w:ind w:left="1260" w:hanging="420"/>
        <w:tabs>
          <w:tab w:val="num" w:pos="126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5">
    <w:multiLevelType w:val="hybridMultilevel"/>
    <w:lvl w:ilvl="0">
      <w:start w:val="1"/>
      <w:numFmt w:val="decimal"/>
      <w:pStyle w:val="979"/>
      <w:isLgl w:val="false"/>
      <w:suff w:val="tab"/>
      <w:lvlText w:val="%1."/>
      <w:lvlJc w:val="left"/>
      <w:pPr>
        <w:pStyle w:val="883"/>
        <w:ind w:left="709" w:hanging="709"/>
        <w:tabs>
          <w:tab w:val="num" w:pos="709" w:leader="none"/>
        </w:tabs>
      </w:pPr>
      <w:rPr>
        <w:rFonts w:hint="eastAsia"/>
      </w:rPr>
    </w:lvl>
    <w:lvl w:ilvl="1">
      <w:start w:val="1"/>
      <w:numFmt w:val="decimal"/>
      <w:isLgl w:val="false"/>
      <w:suff w:val="tab"/>
      <w:lvlText w:val="%1.%2"/>
      <w:lvlJc w:val="left"/>
      <w:pPr>
        <w:pStyle w:val="883"/>
        <w:ind w:left="709" w:hanging="709"/>
        <w:tabs>
          <w:tab w:val="num" w:pos="709" w:leader="none"/>
        </w:tabs>
      </w:pPr>
      <w:rPr>
        <w:rFonts w:hint="eastAsia"/>
      </w:rPr>
    </w:lvl>
    <w:lvl w:ilvl="2">
      <w:start w:val="1"/>
      <w:numFmt w:val="decimal"/>
      <w:isLgl w:val="false"/>
      <w:suff w:val="tab"/>
      <w:lvlText w:val="%1.%2.%3."/>
      <w:lvlJc w:val="left"/>
      <w:pPr>
        <w:pStyle w:val="883"/>
        <w:ind w:left="425" w:hanging="425"/>
        <w:tabs>
          <w:tab w:val="num" w:pos="425" w:leader="none"/>
        </w:tabs>
      </w:pPr>
      <w:rPr>
        <w:rFonts w:hint="eastAsia"/>
      </w:rPr>
    </w:lvl>
    <w:lvl w:ilvl="3">
      <w:start w:val="1"/>
      <w:numFmt w:val="decimal"/>
      <w:isLgl w:val="false"/>
      <w:suff w:val="tab"/>
      <w:lvlText w:val="%1.%2.%3.%4."/>
      <w:lvlJc w:val="left"/>
      <w:pPr>
        <w:pStyle w:val="883"/>
        <w:ind w:left="851" w:hanging="851"/>
        <w:tabs>
          <w:tab w:val="num" w:pos="851" w:leader="none"/>
        </w:tabs>
      </w:pPr>
      <w:rPr>
        <w:rFonts w:hint="eastAsia"/>
      </w:rPr>
    </w:lvl>
    <w:lvl w:ilvl="4">
      <w:start w:val="1"/>
      <w:numFmt w:val="decimal"/>
      <w:isLgl w:val="false"/>
      <w:suff w:val="tab"/>
      <w:lvlText w:val="%1.%2.%3.%4.%5."/>
      <w:lvlJc w:val="left"/>
      <w:pPr>
        <w:pStyle w:val="883"/>
        <w:ind w:left="992" w:hanging="992"/>
        <w:tabs>
          <w:tab w:val="num" w:pos="992" w:leader="none"/>
        </w:tabs>
      </w:pPr>
      <w:rPr>
        <w:rFonts w:hint="eastAsia"/>
      </w:rPr>
    </w:lvl>
    <w:lvl w:ilvl="5">
      <w:start w:val="1"/>
      <w:numFmt w:val="decimal"/>
      <w:isLgl w:val="false"/>
      <w:suff w:val="tab"/>
      <w:lvlText w:val="%1.%2.%3.%4.%5.%6."/>
      <w:lvlJc w:val="left"/>
      <w:pPr>
        <w:pStyle w:val="883"/>
        <w:ind w:left="1134" w:hanging="1134"/>
        <w:tabs>
          <w:tab w:val="num" w:pos="1134" w:leader="none"/>
        </w:tabs>
      </w:pPr>
      <w:rPr>
        <w:rFonts w:hint="eastAsia"/>
      </w:rPr>
    </w:lvl>
    <w:lvl w:ilvl="6">
      <w:start w:val="1"/>
      <w:numFmt w:val="decimal"/>
      <w:isLgl w:val="false"/>
      <w:suff w:val="tab"/>
      <w:lvlText w:val="%1.%2.%3.%4.%5.%6.%7."/>
      <w:lvlJc w:val="left"/>
      <w:pPr>
        <w:pStyle w:val="883"/>
        <w:ind w:left="1276" w:hanging="1276"/>
        <w:tabs>
          <w:tab w:val="num" w:pos="1276" w:leader="none"/>
        </w:tabs>
      </w:pPr>
      <w:rPr>
        <w:rFonts w:hint="eastAsia"/>
      </w:rPr>
    </w:lvl>
    <w:lvl w:ilvl="7">
      <w:start w:val="1"/>
      <w:numFmt w:val="decimal"/>
      <w:isLgl w:val="false"/>
      <w:suff w:val="tab"/>
      <w:lvlText w:val="%1.%2.%3.%4.%5.%6.%7.%8."/>
      <w:lvlJc w:val="left"/>
      <w:pPr>
        <w:pStyle w:val="883"/>
        <w:ind w:left="1418" w:hanging="1418"/>
        <w:tabs>
          <w:tab w:val="num" w:pos="1418" w:leader="none"/>
        </w:tabs>
      </w:pPr>
      <w:rPr>
        <w:rFonts w:hint="eastAsia"/>
      </w:rPr>
    </w:lvl>
    <w:lvl w:ilvl="8">
      <w:start w:val="1"/>
      <w:numFmt w:val="decimal"/>
      <w:isLgl w:val="false"/>
      <w:suff w:val="tab"/>
      <w:lvlText w:val="%1.%2.%3.%4.%5.%6.%7.%8.%9."/>
      <w:lvlJc w:val="left"/>
      <w:pPr>
        <w:pStyle w:val="883"/>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883"/>
        <w:ind w:left="0" w:firstLine="0"/>
      </w:pPr>
      <w:rPr>
        <w:rFonts w:hint="eastAsia"/>
      </w:rPr>
    </w:lvl>
    <w:lvl w:ilvl="1">
      <w:start w:val="1"/>
      <w:numFmt w:val="decimal"/>
      <w:isLgl w:val="false"/>
      <w:suff w:val="nothing"/>
      <w:lvlText w:val="%2、"/>
      <w:lvlJc w:val="left"/>
      <w:pPr>
        <w:pStyle w:val="883"/>
        <w:ind w:left="0" w:firstLine="0"/>
      </w:pPr>
      <w:rPr>
        <w:rFonts w:hint="eastAsia"/>
      </w:rPr>
    </w:lvl>
    <w:lvl w:ilvl="2">
      <w:start w:val="1"/>
      <w:numFmt w:val="decimal"/>
      <w:isLgl w:val="false"/>
      <w:suff w:val="nothing"/>
      <w:lvlText w:val="%2.%3 "/>
      <w:lvlJc w:val="left"/>
      <w:pPr>
        <w:pStyle w:val="883"/>
        <w:ind w:left="0" w:firstLine="0"/>
      </w:pPr>
      <w:rPr>
        <w:rFonts w:hint="eastAsia"/>
      </w:rPr>
    </w:lvl>
    <w:lvl w:ilvl="3">
      <w:start w:val="1"/>
      <w:numFmt w:val="decimal"/>
      <w:isLgl w:val="false"/>
      <w:suff w:val="nothing"/>
      <w:lvlText w:val="%2.%3.%4 "/>
      <w:lvlJc w:val="left"/>
      <w:pPr>
        <w:pStyle w:val="883"/>
        <w:ind w:left="0" w:firstLine="0"/>
      </w:pPr>
      <w:rPr>
        <w:rFonts w:hint="eastAsia"/>
      </w:rPr>
    </w:lvl>
    <w:lvl w:ilvl="4">
      <w:start w:val="1"/>
      <w:numFmt w:val="decimal"/>
      <w:isLgl w:val="false"/>
      <w:suff w:val="nothing"/>
      <w:lvlText w:val="%2.%3.%4.%5 "/>
      <w:lvlJc w:val="left"/>
      <w:pPr>
        <w:pStyle w:val="883"/>
        <w:ind w:left="0" w:firstLine="0"/>
      </w:pPr>
      <w:rPr>
        <w:rFonts w:hint="eastAsia"/>
      </w:rPr>
    </w:lvl>
    <w:lvl w:ilvl="5">
      <w:start w:val="1"/>
      <w:numFmt w:val="decimal"/>
      <w:pStyle w:val="889"/>
      <w:isLgl w:val="false"/>
      <w:suff w:val="nothing"/>
      <w:lvlText w:val=""/>
      <w:lvlJc w:val="left"/>
      <w:pPr>
        <w:pStyle w:val="883"/>
        <w:ind w:left="0" w:firstLine="0"/>
      </w:pPr>
      <w:rPr>
        <w:rFonts w:hint="eastAsia"/>
      </w:rPr>
    </w:lvl>
    <w:lvl w:ilvl="6">
      <w:start w:val="1"/>
      <w:numFmt w:val="decimal"/>
      <w:pStyle w:val="890"/>
      <w:isLgl w:val="false"/>
      <w:suff w:val="nothing"/>
      <w:lvlText w:val=""/>
      <w:lvlJc w:val="left"/>
      <w:pPr>
        <w:pStyle w:val="883"/>
        <w:ind w:left="0" w:firstLine="0"/>
      </w:pPr>
      <w:rPr>
        <w:rFonts w:hint="eastAsia"/>
      </w:rPr>
    </w:lvl>
    <w:lvl w:ilvl="7">
      <w:start w:val="1"/>
      <w:numFmt w:val="decimal"/>
      <w:pStyle w:val="891"/>
      <w:isLgl w:val="false"/>
      <w:suff w:val="nothing"/>
      <w:lvlText w:val=""/>
      <w:lvlJc w:val="left"/>
      <w:pPr>
        <w:pStyle w:val="883"/>
        <w:ind w:left="0" w:firstLine="0"/>
      </w:pPr>
      <w:rPr>
        <w:rFonts w:hint="eastAsia"/>
      </w:rPr>
    </w:lvl>
    <w:lvl w:ilvl="8">
      <w:start w:val="1"/>
      <w:numFmt w:val="decimal"/>
      <w:pStyle w:val="892"/>
      <w:isLgl w:val="false"/>
      <w:suff w:val="nothing"/>
      <w:lvlText w:val=""/>
      <w:lvlJc w:val="left"/>
      <w:pPr>
        <w:pStyle w:val="883"/>
        <w:ind w:left="0" w:firstLine="0"/>
      </w:pPr>
      <w:rPr>
        <w:rFonts w:hint="eastAsia"/>
      </w:rPr>
    </w:lvl>
  </w:abstractNum>
  <w:abstractNum w:abstractNumId="7">
    <w:multiLevelType w:val="hybridMultilevel"/>
    <w:lvl w:ilvl="0">
      <w:start w:val="1"/>
      <w:numFmt w:val="decimal"/>
      <w:isLgl w:val="false"/>
      <w:suff w:val="tab"/>
      <w:lvlText w:val="%1."/>
      <w:lvlJc w:val="left"/>
      <w:pPr>
        <w:pStyle w:val="883"/>
        <w:ind w:left="510" w:hanging="360"/>
        <w:tabs>
          <w:tab w:val="num" w:pos="510" w:leader="none"/>
        </w:tabs>
      </w:pPr>
      <w:rPr>
        <w:rFonts w:hint="eastAsia" w:cs="Times New Roman"/>
      </w:rPr>
    </w:lvl>
    <w:lvl w:ilvl="1">
      <w:start w:val="1"/>
      <w:numFmt w:val="decimal"/>
      <w:isLgl w:val="false"/>
      <w:suff w:val="tab"/>
      <w:lvlText w:val="%2．"/>
      <w:lvlJc w:val="left"/>
      <w:pPr>
        <w:pStyle w:val="883"/>
        <w:ind w:left="1290" w:hanging="720"/>
        <w:tabs>
          <w:tab w:val="num" w:pos="1290" w:leader="none"/>
        </w:tabs>
      </w:pPr>
      <w:rPr>
        <w:rFonts w:hint="eastAsia" w:cs="Times New Roman"/>
      </w:rPr>
    </w:lvl>
    <w:lvl w:ilvl="2">
      <w:start w:val="3"/>
      <w:numFmt w:val="decimal"/>
      <w:isLgl w:val="false"/>
      <w:suff w:val="tab"/>
      <w:lvlText w:val="（%3）"/>
      <w:lvlJc w:val="left"/>
      <w:pPr>
        <w:pStyle w:val="883"/>
        <w:ind w:left="1140" w:hanging="720"/>
        <w:tabs>
          <w:tab w:val="num" w:pos="1140" w:leader="none"/>
        </w:tabs>
      </w:pPr>
      <w:rPr>
        <w:rFonts w:hint="eastAsia" w:cs="Times New Roman"/>
      </w:rPr>
    </w:lvl>
    <w:lvl w:ilvl="3">
      <w:start w:val="1"/>
      <w:numFmt w:val="decimal"/>
      <w:isLgl w:val="false"/>
      <w:suff w:val="tab"/>
      <w:lvlText w:val="（%4）"/>
      <w:lvlJc w:val="left"/>
      <w:pPr>
        <w:pStyle w:val="88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83"/>
        <w:ind w:left="2250" w:hanging="420"/>
        <w:tabs>
          <w:tab w:val="num" w:pos="2250" w:leader="none"/>
        </w:tabs>
      </w:pPr>
      <w:rPr>
        <w:rFonts w:hint="eastAsia"/>
        <w:b/>
        <w:lang w:val="en-US"/>
      </w:rPr>
    </w:lvl>
    <w:lvl w:ilvl="5">
      <w:start w:val="10"/>
      <w:numFmt w:val="japaneseCounting"/>
      <w:isLgl w:val="false"/>
      <w:suff w:val="tab"/>
      <w:lvlText w:val="（%6）"/>
      <w:lvlJc w:val="left"/>
      <w:pPr>
        <w:pStyle w:val="883"/>
        <w:ind w:left="2970" w:hanging="720"/>
      </w:pPr>
      <w:rPr>
        <w:rFonts w:cs="Times New Roman"/>
      </w:rPr>
    </w:lvl>
    <w:lvl w:ilvl="6">
      <w:start w:val="1"/>
      <w:numFmt w:val="decimal"/>
      <w:isLgl w:val="false"/>
      <w:suff w:val="tab"/>
      <w:lvlText w:val="（%7）"/>
      <w:lvlJc w:val="left"/>
      <w:pPr>
        <w:pStyle w:val="883"/>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83"/>
        <w:ind w:left="3510" w:hanging="420"/>
        <w:tabs>
          <w:tab w:val="num" w:pos="3510" w:leader="none"/>
        </w:tabs>
      </w:pPr>
      <w:rPr>
        <w:rFonts w:cs="Times New Roman"/>
      </w:rPr>
    </w:lvl>
    <w:lvl w:ilvl="8">
      <w:start w:val="1"/>
      <w:numFmt w:val="lowerRoman"/>
      <w:isLgl w:val="false"/>
      <w:suff w:val="tab"/>
      <w:lvlText w:val="%9."/>
      <w:lvlJc w:val="right"/>
      <w:pPr>
        <w:pStyle w:val="883"/>
        <w:ind w:left="3930" w:hanging="420"/>
        <w:tabs>
          <w:tab w:val="num" w:pos="3930" w:leader="none"/>
        </w:tabs>
      </w:pPr>
      <w:rPr>
        <w:rFonts w:cs="Times New Roman"/>
      </w:rPr>
    </w:lvl>
  </w:abstractNum>
  <w:abstractNum w:abstractNumId="8">
    <w:multiLevelType w:val="hybridMultilevel"/>
    <w:lvl w:ilvl="0">
      <w:start w:val="1"/>
      <w:numFmt w:val="japaneseCounting"/>
      <w:isLgl w:val="false"/>
      <w:suff w:val="tab"/>
      <w:lvlText w:val="%1、"/>
      <w:lvlJc w:val="left"/>
      <w:pPr>
        <w:pStyle w:val="883"/>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83"/>
        <w:ind w:left="840" w:hanging="420"/>
        <w:tabs>
          <w:tab w:val="num" w:pos="840" w:leader="none"/>
        </w:tabs>
      </w:pPr>
      <w:rPr>
        <w:rFonts w:cs="Times New Roman"/>
      </w:rPr>
    </w:lvl>
    <w:lvl w:ilvl="2">
      <w:start w:val="10"/>
      <w:numFmt w:val="decimal"/>
      <w:isLgl w:val="false"/>
      <w:suff w:val="tab"/>
      <w:lvlText w:val="%3."/>
      <w:lvlJc w:val="left"/>
      <w:pPr>
        <w:pStyle w:val="883"/>
        <w:ind w:left="1200" w:hanging="360"/>
        <w:tabs>
          <w:tab w:val="num" w:pos="120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9">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章"/>
      <w:lvlJc w:val="left"/>
      <w:pPr>
        <w:pStyle w:val="883"/>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5"/>
  </w:num>
  <w:num w:numId="4">
    <w:abstractNumId w:val="10"/>
  </w:num>
  <w:num w:numId="5">
    <w:abstractNumId w:val="4"/>
  </w:num>
  <w:num w:numId="6">
    <w:abstractNumId w:val="1"/>
  </w:num>
  <w:num w:numId="7">
    <w:abstractNumId w:val="7"/>
  </w:num>
  <w:num w:numId="8">
    <w:abstractNumId w:val="2"/>
  </w:num>
  <w:num w:numId="9">
    <w:abstractNumId w:val="9"/>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883"/>
    <w:next w:val="883"/>
    <w:link w:val="706"/>
    <w:uiPriority w:val="9"/>
    <w:qFormat/>
    <w:pPr>
      <w:keepLines/>
      <w:keepNext/>
      <w:spacing w:before="480" w:after="200"/>
      <w:outlineLvl w:val="0"/>
    </w:pPr>
    <w:rPr>
      <w:rFonts w:ascii="Arial" w:hAnsi="Arial" w:eastAsia="Arial" w:cs="Arial"/>
      <w:sz w:val="40"/>
      <w:szCs w:val="40"/>
    </w:rPr>
  </w:style>
  <w:style w:type="character" w:styleId="706">
    <w:name w:val="Heading 1 Char"/>
    <w:link w:val="705"/>
    <w:uiPriority w:val="9"/>
    <w:rPr>
      <w:rFonts w:ascii="Arial" w:hAnsi="Arial" w:eastAsia="Arial" w:cs="Arial"/>
      <w:sz w:val="40"/>
      <w:szCs w:val="40"/>
    </w:rPr>
  </w:style>
  <w:style w:type="paragraph" w:styleId="707">
    <w:name w:val="Heading 2"/>
    <w:basedOn w:val="883"/>
    <w:next w:val="883"/>
    <w:link w:val="708"/>
    <w:uiPriority w:val="9"/>
    <w:unhideWhenUsed/>
    <w:qFormat/>
    <w:pPr>
      <w:keepLines/>
      <w:keepNext/>
      <w:spacing w:before="360" w:after="200"/>
      <w:outlineLvl w:val="1"/>
    </w:pPr>
    <w:rPr>
      <w:rFonts w:ascii="Arial" w:hAnsi="Arial" w:eastAsia="Arial" w:cs="Arial"/>
      <w:sz w:val="34"/>
    </w:rPr>
  </w:style>
  <w:style w:type="character" w:styleId="708">
    <w:name w:val="Heading 2 Char"/>
    <w:link w:val="707"/>
    <w:uiPriority w:val="9"/>
    <w:rPr>
      <w:rFonts w:ascii="Arial" w:hAnsi="Arial" w:eastAsia="Arial" w:cs="Arial"/>
      <w:sz w:val="34"/>
    </w:rPr>
  </w:style>
  <w:style w:type="paragraph" w:styleId="709">
    <w:name w:val="Heading 3"/>
    <w:basedOn w:val="883"/>
    <w:next w:val="883"/>
    <w:link w:val="710"/>
    <w:uiPriority w:val="9"/>
    <w:unhideWhenUsed/>
    <w:qFormat/>
    <w:pPr>
      <w:keepLines/>
      <w:keepNext/>
      <w:spacing w:before="320" w:after="200"/>
      <w:outlineLvl w:val="2"/>
    </w:pPr>
    <w:rPr>
      <w:rFonts w:ascii="Arial" w:hAnsi="Arial" w:eastAsia="Arial" w:cs="Arial"/>
      <w:sz w:val="30"/>
      <w:szCs w:val="30"/>
    </w:rPr>
  </w:style>
  <w:style w:type="character" w:styleId="710">
    <w:name w:val="Heading 3 Char"/>
    <w:link w:val="709"/>
    <w:uiPriority w:val="9"/>
    <w:rPr>
      <w:rFonts w:ascii="Arial" w:hAnsi="Arial" w:eastAsia="Arial" w:cs="Arial"/>
      <w:sz w:val="30"/>
      <w:szCs w:val="30"/>
    </w:rPr>
  </w:style>
  <w:style w:type="paragraph" w:styleId="711">
    <w:name w:val="Heading 4"/>
    <w:basedOn w:val="883"/>
    <w:next w:val="883"/>
    <w:link w:val="712"/>
    <w:uiPriority w:val="9"/>
    <w:unhideWhenUsed/>
    <w:qFormat/>
    <w:pPr>
      <w:keepLines/>
      <w:keepNext/>
      <w:spacing w:before="320" w:after="200"/>
      <w:outlineLvl w:val="3"/>
    </w:pPr>
    <w:rPr>
      <w:rFonts w:ascii="Arial" w:hAnsi="Arial" w:eastAsia="Arial" w:cs="Arial"/>
      <w:b/>
      <w:bCs/>
      <w:sz w:val="26"/>
      <w:szCs w:val="26"/>
    </w:rPr>
  </w:style>
  <w:style w:type="character" w:styleId="712">
    <w:name w:val="Heading 4 Char"/>
    <w:link w:val="711"/>
    <w:uiPriority w:val="9"/>
    <w:rPr>
      <w:rFonts w:ascii="Arial" w:hAnsi="Arial" w:eastAsia="Arial" w:cs="Arial"/>
      <w:b/>
      <w:bCs/>
      <w:sz w:val="26"/>
      <w:szCs w:val="26"/>
    </w:rPr>
  </w:style>
  <w:style w:type="paragraph" w:styleId="713">
    <w:name w:val="Heading 5"/>
    <w:basedOn w:val="883"/>
    <w:next w:val="883"/>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link w:val="713"/>
    <w:uiPriority w:val="9"/>
    <w:rPr>
      <w:rFonts w:ascii="Arial" w:hAnsi="Arial" w:eastAsia="Arial" w:cs="Arial"/>
      <w:b/>
      <w:bCs/>
      <w:sz w:val="24"/>
      <w:szCs w:val="24"/>
    </w:rPr>
  </w:style>
  <w:style w:type="paragraph" w:styleId="715">
    <w:name w:val="Heading 6"/>
    <w:basedOn w:val="883"/>
    <w:next w:val="883"/>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link w:val="715"/>
    <w:uiPriority w:val="9"/>
    <w:rPr>
      <w:rFonts w:ascii="Arial" w:hAnsi="Arial" w:eastAsia="Arial" w:cs="Arial"/>
      <w:b/>
      <w:bCs/>
      <w:sz w:val="22"/>
      <w:szCs w:val="22"/>
    </w:rPr>
  </w:style>
  <w:style w:type="paragraph" w:styleId="717">
    <w:name w:val="Heading 7"/>
    <w:basedOn w:val="883"/>
    <w:next w:val="883"/>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link w:val="717"/>
    <w:uiPriority w:val="9"/>
    <w:rPr>
      <w:rFonts w:ascii="Arial" w:hAnsi="Arial" w:eastAsia="Arial" w:cs="Arial"/>
      <w:b/>
      <w:bCs/>
      <w:i/>
      <w:iCs/>
      <w:sz w:val="22"/>
      <w:szCs w:val="22"/>
    </w:rPr>
  </w:style>
  <w:style w:type="paragraph" w:styleId="719">
    <w:name w:val="Heading 8"/>
    <w:basedOn w:val="883"/>
    <w:next w:val="883"/>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link w:val="719"/>
    <w:uiPriority w:val="9"/>
    <w:rPr>
      <w:rFonts w:ascii="Arial" w:hAnsi="Arial" w:eastAsia="Arial" w:cs="Arial"/>
      <w:i/>
      <w:iCs/>
      <w:sz w:val="22"/>
      <w:szCs w:val="22"/>
    </w:rPr>
  </w:style>
  <w:style w:type="paragraph" w:styleId="721">
    <w:name w:val="Heading 9"/>
    <w:basedOn w:val="883"/>
    <w:next w:val="883"/>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link w:val="721"/>
    <w:uiPriority w:val="9"/>
    <w:rPr>
      <w:rFonts w:ascii="Arial" w:hAnsi="Arial" w:eastAsia="Arial" w:cs="Arial"/>
      <w:i/>
      <w:iCs/>
      <w:sz w:val="21"/>
      <w:szCs w:val="21"/>
    </w:rPr>
  </w:style>
  <w:style w:type="paragraph" w:styleId="723">
    <w:name w:val="List Paragraph"/>
    <w:basedOn w:val="883"/>
    <w:uiPriority w:val="34"/>
    <w:qFormat/>
    <w:pPr>
      <w:contextualSpacing/>
      <w:ind w:left="720"/>
    </w:pPr>
  </w:style>
  <w:style w:type="paragraph" w:styleId="724">
    <w:name w:val="No Spacing"/>
    <w:uiPriority w:val="1"/>
    <w:qFormat/>
    <w:pPr>
      <w:spacing w:before="0" w:after="0" w:line="240" w:lineRule="auto"/>
    </w:pPr>
  </w:style>
  <w:style w:type="paragraph" w:styleId="725">
    <w:name w:val="Title"/>
    <w:basedOn w:val="883"/>
    <w:next w:val="883"/>
    <w:link w:val="726"/>
    <w:uiPriority w:val="10"/>
    <w:qFormat/>
    <w:pPr>
      <w:contextualSpacing/>
      <w:spacing w:before="300" w:after="200"/>
    </w:pPr>
    <w:rPr>
      <w:sz w:val="48"/>
      <w:szCs w:val="48"/>
    </w:rPr>
  </w:style>
  <w:style w:type="character" w:styleId="726">
    <w:name w:val="Title Char"/>
    <w:link w:val="725"/>
    <w:uiPriority w:val="10"/>
    <w:rPr>
      <w:sz w:val="48"/>
      <w:szCs w:val="48"/>
    </w:rPr>
  </w:style>
  <w:style w:type="paragraph" w:styleId="727">
    <w:name w:val="Subtitle"/>
    <w:basedOn w:val="883"/>
    <w:next w:val="883"/>
    <w:link w:val="728"/>
    <w:uiPriority w:val="11"/>
    <w:qFormat/>
    <w:pPr>
      <w:spacing w:before="200" w:after="200"/>
    </w:pPr>
    <w:rPr>
      <w:sz w:val="24"/>
      <w:szCs w:val="24"/>
    </w:rPr>
  </w:style>
  <w:style w:type="character" w:styleId="728">
    <w:name w:val="Subtitle Char"/>
    <w:link w:val="727"/>
    <w:uiPriority w:val="11"/>
    <w:rPr>
      <w:sz w:val="24"/>
      <w:szCs w:val="24"/>
    </w:rPr>
  </w:style>
  <w:style w:type="paragraph" w:styleId="729">
    <w:name w:val="Quote"/>
    <w:basedOn w:val="883"/>
    <w:next w:val="883"/>
    <w:link w:val="730"/>
    <w:uiPriority w:val="29"/>
    <w:qFormat/>
    <w:pPr>
      <w:ind w:left="720" w:right="720"/>
    </w:pPr>
    <w:rPr>
      <w:i/>
    </w:rPr>
  </w:style>
  <w:style w:type="character" w:styleId="730">
    <w:name w:val="Quote Char"/>
    <w:link w:val="729"/>
    <w:uiPriority w:val="29"/>
    <w:rPr>
      <w:i/>
    </w:rPr>
  </w:style>
  <w:style w:type="paragraph" w:styleId="731">
    <w:name w:val="Intense Quote"/>
    <w:basedOn w:val="883"/>
    <w:next w:val="883"/>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paragraph" w:styleId="733">
    <w:name w:val="Header"/>
    <w:basedOn w:val="883"/>
    <w:link w:val="734"/>
    <w:uiPriority w:val="99"/>
    <w:unhideWhenUsed/>
    <w:pPr>
      <w:spacing w:after="0" w:line="240" w:lineRule="auto"/>
      <w:tabs>
        <w:tab w:val="center" w:pos="7143" w:leader="none"/>
        <w:tab w:val="right" w:pos="14287" w:leader="none"/>
      </w:tabs>
    </w:pPr>
  </w:style>
  <w:style w:type="character" w:styleId="734">
    <w:name w:val="Header Char"/>
    <w:link w:val="733"/>
    <w:uiPriority w:val="99"/>
  </w:style>
  <w:style w:type="paragraph" w:styleId="735">
    <w:name w:val="Footer"/>
    <w:basedOn w:val="883"/>
    <w:link w:val="738"/>
    <w:uiPriority w:val="99"/>
    <w:unhideWhenUsed/>
    <w:pPr>
      <w:spacing w:after="0" w:line="240" w:lineRule="auto"/>
      <w:tabs>
        <w:tab w:val="center" w:pos="7143" w:leader="none"/>
        <w:tab w:val="right" w:pos="14287" w:leader="none"/>
      </w:tabs>
    </w:pPr>
  </w:style>
  <w:style w:type="character" w:styleId="736">
    <w:name w:val="Footer Char"/>
    <w:link w:val="735"/>
    <w:uiPriority w:val="99"/>
  </w:style>
  <w:style w:type="paragraph" w:styleId="737">
    <w:name w:val="Caption"/>
    <w:basedOn w:val="883"/>
    <w:next w:val="883"/>
    <w:uiPriority w:val="35"/>
    <w:semiHidden/>
    <w:unhideWhenUsed/>
    <w:qFormat/>
    <w:pPr>
      <w:spacing w:line="276" w:lineRule="auto"/>
    </w:pPr>
    <w:rPr>
      <w:b/>
      <w:bCs/>
      <w:color w:val="4f81bd" w:themeColor="accent1"/>
      <w:sz w:val="18"/>
      <w:szCs w:val="18"/>
    </w:rPr>
  </w:style>
  <w:style w:type="character" w:styleId="738">
    <w:name w:val="Caption Char"/>
    <w:basedOn w:val="737"/>
    <w:link w:val="735"/>
    <w:uiPriority w:val="99"/>
  </w:style>
  <w:style w:type="table" w:styleId="73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5">
    <w:name w:val="Hyperlink"/>
    <w:uiPriority w:val="99"/>
    <w:unhideWhenUsed/>
    <w:rPr>
      <w:color w:val="0000ff" w:themeColor="hyperlink"/>
      <w:u w:val="single"/>
    </w:rPr>
  </w:style>
  <w:style w:type="paragraph" w:styleId="866">
    <w:name w:val="footnote text"/>
    <w:basedOn w:val="883"/>
    <w:link w:val="867"/>
    <w:uiPriority w:val="99"/>
    <w:semiHidden/>
    <w:unhideWhenUsed/>
    <w:pPr>
      <w:spacing w:after="40" w:line="240" w:lineRule="auto"/>
    </w:pPr>
    <w:rPr>
      <w:sz w:val="18"/>
    </w:rPr>
  </w:style>
  <w:style w:type="character" w:styleId="867">
    <w:name w:val="Footnote Text Char"/>
    <w:link w:val="866"/>
    <w:uiPriority w:val="99"/>
    <w:rPr>
      <w:sz w:val="18"/>
    </w:rPr>
  </w:style>
  <w:style w:type="character" w:styleId="868">
    <w:name w:val="footnote reference"/>
    <w:uiPriority w:val="99"/>
    <w:unhideWhenUsed/>
    <w:rPr>
      <w:vertAlign w:val="superscript"/>
    </w:rPr>
  </w:style>
  <w:style w:type="paragraph" w:styleId="869">
    <w:name w:val="endnote text"/>
    <w:basedOn w:val="883"/>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uiPriority w:val="99"/>
    <w:semiHidden/>
    <w:unhideWhenUsed/>
    <w:rPr>
      <w:vertAlign w:val="superscript"/>
    </w:rPr>
  </w:style>
  <w:style w:type="paragraph" w:styleId="872">
    <w:name w:val="toc 1"/>
    <w:basedOn w:val="883"/>
    <w:next w:val="883"/>
    <w:uiPriority w:val="39"/>
    <w:unhideWhenUsed/>
    <w:pPr>
      <w:ind w:left="0" w:right="0" w:firstLine="0"/>
      <w:spacing w:after="57"/>
    </w:pPr>
  </w:style>
  <w:style w:type="paragraph" w:styleId="873">
    <w:name w:val="toc 2"/>
    <w:basedOn w:val="883"/>
    <w:next w:val="883"/>
    <w:uiPriority w:val="39"/>
    <w:unhideWhenUsed/>
    <w:pPr>
      <w:ind w:left="283" w:right="0" w:firstLine="0"/>
      <w:spacing w:after="57"/>
    </w:pPr>
  </w:style>
  <w:style w:type="paragraph" w:styleId="874">
    <w:name w:val="toc 3"/>
    <w:basedOn w:val="883"/>
    <w:next w:val="883"/>
    <w:uiPriority w:val="39"/>
    <w:unhideWhenUsed/>
    <w:pPr>
      <w:ind w:left="567" w:right="0" w:firstLine="0"/>
      <w:spacing w:after="57"/>
    </w:pPr>
  </w:style>
  <w:style w:type="paragraph" w:styleId="875">
    <w:name w:val="toc 4"/>
    <w:basedOn w:val="883"/>
    <w:next w:val="883"/>
    <w:uiPriority w:val="39"/>
    <w:unhideWhenUsed/>
    <w:pPr>
      <w:ind w:left="850" w:right="0" w:firstLine="0"/>
      <w:spacing w:after="57"/>
    </w:pPr>
  </w:style>
  <w:style w:type="paragraph" w:styleId="876">
    <w:name w:val="toc 5"/>
    <w:basedOn w:val="883"/>
    <w:next w:val="883"/>
    <w:uiPriority w:val="39"/>
    <w:unhideWhenUsed/>
    <w:pPr>
      <w:ind w:left="1134" w:right="0" w:firstLine="0"/>
      <w:spacing w:after="57"/>
    </w:pPr>
  </w:style>
  <w:style w:type="paragraph" w:styleId="877">
    <w:name w:val="toc 6"/>
    <w:basedOn w:val="883"/>
    <w:next w:val="883"/>
    <w:uiPriority w:val="39"/>
    <w:unhideWhenUsed/>
    <w:pPr>
      <w:ind w:left="1417" w:right="0" w:firstLine="0"/>
      <w:spacing w:after="57"/>
    </w:pPr>
  </w:style>
  <w:style w:type="paragraph" w:styleId="878">
    <w:name w:val="toc 7"/>
    <w:basedOn w:val="883"/>
    <w:next w:val="883"/>
    <w:uiPriority w:val="39"/>
    <w:unhideWhenUsed/>
    <w:pPr>
      <w:ind w:left="1701" w:right="0" w:firstLine="0"/>
      <w:spacing w:after="57"/>
    </w:pPr>
  </w:style>
  <w:style w:type="paragraph" w:styleId="879">
    <w:name w:val="toc 8"/>
    <w:basedOn w:val="883"/>
    <w:next w:val="883"/>
    <w:uiPriority w:val="39"/>
    <w:unhideWhenUsed/>
    <w:pPr>
      <w:ind w:left="1984" w:right="0" w:firstLine="0"/>
      <w:spacing w:after="57"/>
    </w:pPr>
  </w:style>
  <w:style w:type="paragraph" w:styleId="880">
    <w:name w:val="toc 9"/>
    <w:basedOn w:val="883"/>
    <w:next w:val="883"/>
    <w:uiPriority w:val="39"/>
    <w:unhideWhenUsed/>
    <w:pPr>
      <w:ind w:left="2268" w:right="0" w:firstLine="0"/>
      <w:spacing w:after="57"/>
    </w:p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next w:val="883"/>
    <w:link w:val="883"/>
    <w:qFormat/>
    <w:pPr>
      <w:jc w:val="both"/>
      <w:widowControl w:val="off"/>
    </w:pPr>
    <w:rPr>
      <w:rFonts w:ascii="Times New Roman" w:hAnsi="Times New Roman"/>
      <w:sz w:val="21"/>
      <w:szCs w:val="21"/>
      <w:lang w:val="en-US" w:eastAsia="zh-CN" w:bidi="ar-SA"/>
    </w:rPr>
  </w:style>
  <w:style w:type="paragraph" w:styleId="884">
    <w:name w:val="标题 1"/>
    <w:basedOn w:val="883"/>
    <w:next w:val="883"/>
    <w:link w:val="895"/>
    <w:qFormat/>
    <w:pPr>
      <w:jc w:val="center"/>
      <w:keepNext/>
      <w:outlineLvl w:val="0"/>
    </w:pPr>
    <w:rPr>
      <w:rFonts w:ascii="楷体_GB2312" w:eastAsia="楷体_GB2312"/>
      <w:sz w:val="28"/>
      <w:szCs w:val="28"/>
    </w:rPr>
  </w:style>
  <w:style w:type="paragraph" w:styleId="885">
    <w:name w:val="标题 2"/>
    <w:basedOn w:val="883"/>
    <w:next w:val="897"/>
    <w:link w:val="896"/>
    <w:qFormat/>
    <w:pPr>
      <w:jc w:val="center"/>
      <w:keepLines/>
      <w:keepNext/>
      <w:spacing w:before="260" w:after="260" w:line="416" w:lineRule="auto"/>
      <w:outlineLvl w:val="1"/>
    </w:pPr>
    <w:rPr>
      <w:rFonts w:ascii="Arial" w:hAnsi="Arial" w:eastAsia="幼圆"/>
      <w:b/>
      <w:bCs/>
      <w:sz w:val="44"/>
      <w:szCs w:val="44"/>
    </w:rPr>
  </w:style>
  <w:style w:type="paragraph" w:styleId="886">
    <w:name w:val="标题 3"/>
    <w:basedOn w:val="883"/>
    <w:next w:val="897"/>
    <w:link w:val="899"/>
    <w:qFormat/>
    <w:pPr>
      <w:keepLines/>
      <w:keepNext/>
      <w:spacing w:before="260" w:after="260" w:line="416" w:lineRule="auto"/>
      <w:outlineLvl w:val="2"/>
    </w:pPr>
    <w:rPr>
      <w:b/>
      <w:bCs/>
      <w:sz w:val="32"/>
      <w:szCs w:val="32"/>
    </w:rPr>
  </w:style>
  <w:style w:type="paragraph" w:styleId="887">
    <w:name w:val="标题 4"/>
    <w:basedOn w:val="883"/>
    <w:next w:val="897"/>
    <w:link w:val="900"/>
    <w:qFormat/>
    <w:pPr>
      <w:keepLines/>
      <w:keepNext/>
      <w:spacing w:before="280" w:after="290" w:line="376" w:lineRule="auto"/>
      <w:outlineLvl w:val="3"/>
    </w:pPr>
    <w:rPr>
      <w:rFonts w:ascii="Arial" w:hAnsi="Arial" w:eastAsia="黑体"/>
      <w:b/>
      <w:bCs/>
      <w:sz w:val="28"/>
      <w:szCs w:val="28"/>
    </w:rPr>
  </w:style>
  <w:style w:type="paragraph" w:styleId="888">
    <w:name w:val="标题 5"/>
    <w:basedOn w:val="883"/>
    <w:next w:val="897"/>
    <w:link w:val="901"/>
    <w:qFormat/>
    <w:pPr>
      <w:keepNext/>
      <w:outlineLvl w:val="4"/>
    </w:pPr>
    <w:rPr>
      <w:rFonts w:ascii="宋体"/>
      <w:color w:val="000000"/>
      <w:sz w:val="28"/>
      <w:szCs w:val="28"/>
    </w:rPr>
  </w:style>
  <w:style w:type="paragraph" w:styleId="889">
    <w:name w:val="标题 6"/>
    <w:basedOn w:val="883"/>
    <w:next w:val="883"/>
    <w:link w:val="902"/>
    <w:qFormat/>
    <w:pPr>
      <w:numPr>
        <w:ilvl w:val="5"/>
        <w:numId w:val="1"/>
      </w:numPr>
      <w:keepLines/>
      <w:keepNext/>
      <w:spacing w:before="240" w:after="64" w:line="320" w:lineRule="auto"/>
      <w:outlineLvl w:val="5"/>
    </w:pPr>
    <w:rPr>
      <w:rFonts w:ascii="Arial" w:hAnsi="Arial" w:eastAsia="黑体"/>
      <w:b/>
      <w:bCs/>
      <w:sz w:val="24"/>
      <w:szCs w:val="24"/>
    </w:rPr>
  </w:style>
  <w:style w:type="paragraph" w:styleId="890">
    <w:name w:val="标题 7"/>
    <w:basedOn w:val="883"/>
    <w:next w:val="883"/>
    <w:link w:val="903"/>
    <w:qFormat/>
    <w:pPr>
      <w:numPr>
        <w:ilvl w:val="6"/>
        <w:numId w:val="1"/>
      </w:numPr>
      <w:keepLines/>
      <w:keepNext/>
      <w:spacing w:before="240" w:after="64" w:line="320" w:lineRule="auto"/>
      <w:outlineLvl w:val="6"/>
    </w:pPr>
    <w:rPr>
      <w:b/>
      <w:bCs/>
      <w:sz w:val="24"/>
      <w:szCs w:val="24"/>
    </w:rPr>
  </w:style>
  <w:style w:type="paragraph" w:styleId="891">
    <w:name w:val="标题 8"/>
    <w:basedOn w:val="883"/>
    <w:next w:val="883"/>
    <w:link w:val="904"/>
    <w:qFormat/>
    <w:pPr>
      <w:numPr>
        <w:ilvl w:val="7"/>
        <w:numId w:val="1"/>
      </w:numPr>
      <w:keepLines/>
      <w:keepNext/>
      <w:spacing w:before="240" w:after="64" w:line="320" w:lineRule="auto"/>
      <w:outlineLvl w:val="7"/>
    </w:pPr>
    <w:rPr>
      <w:rFonts w:ascii="Arial" w:hAnsi="Arial" w:eastAsia="黑体"/>
      <w:sz w:val="24"/>
      <w:szCs w:val="24"/>
    </w:rPr>
  </w:style>
  <w:style w:type="paragraph" w:styleId="892">
    <w:name w:val="标题 9"/>
    <w:basedOn w:val="883"/>
    <w:next w:val="883"/>
    <w:link w:val="905"/>
    <w:qFormat/>
    <w:pPr>
      <w:numPr>
        <w:ilvl w:val="8"/>
        <w:numId w:val="1"/>
      </w:numPr>
      <w:keepLines/>
      <w:keepNext/>
      <w:spacing w:before="240" w:after="64" w:line="320" w:lineRule="auto"/>
      <w:outlineLvl w:val="8"/>
    </w:pPr>
    <w:rPr>
      <w:rFonts w:ascii="Arial" w:hAnsi="Arial" w:eastAsia="黑体"/>
      <w:sz w:val="20"/>
    </w:rPr>
  </w:style>
  <w:style w:type="character" w:styleId="893">
    <w:name w:val="默认段落字体"/>
    <w:next w:val="893"/>
    <w:link w:val="883"/>
    <w:uiPriority w:val="1"/>
    <w:unhideWhenUsed/>
  </w:style>
  <w:style w:type="table" w:styleId="894">
    <w:name w:val="普通表格"/>
    <w:next w:val="894"/>
    <w:link w:val="883"/>
    <w:uiPriority w:val="99"/>
    <w:unhideWhenUsed/>
    <w:tblPr/>
  </w:style>
  <w:style w:type="character" w:styleId="895">
    <w:name w:val="标题 1 Char"/>
    <w:next w:val="895"/>
    <w:link w:val="884"/>
    <w:rPr>
      <w:rFonts w:ascii="楷体_GB2312" w:hAnsi="Times New Roman" w:eastAsia="楷体_GB2312" w:cs="Times New Roman"/>
      <w:sz w:val="28"/>
      <w:szCs w:val="28"/>
    </w:rPr>
  </w:style>
  <w:style w:type="character" w:styleId="896">
    <w:name w:val="标题 2 Char"/>
    <w:next w:val="896"/>
    <w:link w:val="885"/>
    <w:rPr>
      <w:rFonts w:ascii="Arial" w:hAnsi="Arial" w:eastAsia="幼圆" w:cs="Arial"/>
      <w:b/>
      <w:bCs/>
      <w:sz w:val="44"/>
      <w:szCs w:val="44"/>
    </w:rPr>
  </w:style>
  <w:style w:type="paragraph" w:styleId="897">
    <w:name w:val="正文缩进"/>
    <w:basedOn w:val="883"/>
    <w:next w:val="897"/>
    <w:link w:val="898"/>
    <w:pPr>
      <w:ind w:firstLine="420"/>
    </w:pPr>
    <w:rPr>
      <w:sz w:val="20"/>
    </w:rPr>
  </w:style>
  <w:style w:type="character" w:styleId="898">
    <w:name w:val="正文缩进 Char"/>
    <w:next w:val="898"/>
    <w:link w:val="897"/>
    <w:rPr>
      <w:rFonts w:ascii="Times New Roman" w:hAnsi="Times New Roman" w:eastAsia="宋体" w:cs="Times New Roman"/>
      <w:szCs w:val="21"/>
    </w:rPr>
  </w:style>
  <w:style w:type="character" w:styleId="899">
    <w:name w:val="标题 3 Char"/>
    <w:next w:val="899"/>
    <w:link w:val="886"/>
    <w:rPr>
      <w:rFonts w:ascii="Times New Roman" w:hAnsi="Times New Roman" w:eastAsia="宋体" w:cs="Times New Roman"/>
      <w:b/>
      <w:bCs/>
      <w:sz w:val="32"/>
      <w:szCs w:val="32"/>
    </w:rPr>
  </w:style>
  <w:style w:type="character" w:styleId="900">
    <w:name w:val="标题 4 Char"/>
    <w:next w:val="900"/>
    <w:link w:val="887"/>
    <w:rPr>
      <w:rFonts w:ascii="Arial" w:hAnsi="Arial" w:eastAsia="黑体" w:cs="Arial"/>
      <w:b/>
      <w:bCs/>
      <w:sz w:val="28"/>
      <w:szCs w:val="28"/>
    </w:rPr>
  </w:style>
  <w:style w:type="character" w:styleId="901">
    <w:name w:val="标题 5 Char"/>
    <w:next w:val="901"/>
    <w:link w:val="888"/>
    <w:rPr>
      <w:rFonts w:ascii="宋体" w:hAnsi="Times New Roman" w:eastAsia="宋体" w:cs="Times New Roman"/>
      <w:color w:val="000000"/>
      <w:sz w:val="28"/>
      <w:szCs w:val="28"/>
    </w:rPr>
  </w:style>
  <w:style w:type="character" w:styleId="902">
    <w:name w:val="标题 6 Char"/>
    <w:next w:val="902"/>
    <w:link w:val="889"/>
    <w:rPr>
      <w:rFonts w:ascii="Arial" w:hAnsi="Arial" w:eastAsia="黑体" w:cs="Times New Roman"/>
      <w:b/>
      <w:bCs/>
      <w:sz w:val="24"/>
      <w:szCs w:val="24"/>
    </w:rPr>
  </w:style>
  <w:style w:type="character" w:styleId="903">
    <w:name w:val="标题 7 Char"/>
    <w:next w:val="903"/>
    <w:link w:val="890"/>
    <w:rPr>
      <w:rFonts w:ascii="Times New Roman" w:hAnsi="Times New Roman" w:eastAsia="宋体" w:cs="Times New Roman"/>
      <w:b/>
      <w:bCs/>
      <w:sz w:val="24"/>
      <w:szCs w:val="24"/>
    </w:rPr>
  </w:style>
  <w:style w:type="character" w:styleId="904">
    <w:name w:val="标题 8 Char"/>
    <w:next w:val="904"/>
    <w:link w:val="891"/>
    <w:rPr>
      <w:rFonts w:ascii="Arial" w:hAnsi="Arial" w:eastAsia="黑体" w:cs="Times New Roman"/>
      <w:sz w:val="24"/>
      <w:szCs w:val="24"/>
    </w:rPr>
  </w:style>
  <w:style w:type="character" w:styleId="905">
    <w:name w:val="标题 9 Char"/>
    <w:next w:val="905"/>
    <w:link w:val="892"/>
    <w:rPr>
      <w:rFonts w:ascii="Arial" w:hAnsi="Arial" w:eastAsia="黑体" w:cs="Times New Roman"/>
      <w:szCs w:val="21"/>
    </w:rPr>
  </w:style>
  <w:style w:type="paragraph" w:styleId="906">
    <w:name w:val="列表 3"/>
    <w:basedOn w:val="883"/>
    <w:next w:val="906"/>
    <w:link w:val="883"/>
    <w:pPr>
      <w:ind w:left="100" w:hanging="200"/>
    </w:pPr>
  </w:style>
  <w:style w:type="paragraph" w:styleId="907">
    <w:name w:val="目录 7"/>
    <w:basedOn w:val="883"/>
    <w:next w:val="883"/>
    <w:link w:val="883"/>
    <w:semiHidden/>
    <w:pPr>
      <w:ind w:left="1260"/>
      <w:jc w:val="left"/>
    </w:pPr>
  </w:style>
  <w:style w:type="paragraph" w:styleId="908">
    <w:name w:val="文档结构图"/>
    <w:basedOn w:val="883"/>
    <w:next w:val="908"/>
    <w:link w:val="909"/>
    <w:semiHidden/>
    <w:pPr>
      <w:shd w:val="clear" w:color="auto" w:fill="000080"/>
    </w:pPr>
    <w:rPr>
      <w:sz w:val="20"/>
    </w:rPr>
  </w:style>
  <w:style w:type="character" w:styleId="909">
    <w:name w:val="文档结构图 Char"/>
    <w:next w:val="909"/>
    <w:link w:val="908"/>
    <w:semiHidden/>
    <w:rPr>
      <w:rFonts w:ascii="Times New Roman" w:hAnsi="Times New Roman" w:eastAsia="宋体" w:cs="Times New Roman"/>
      <w:szCs w:val="21"/>
      <w:shd w:val="clear" w:color="auto" w:fill="000080"/>
    </w:rPr>
  </w:style>
  <w:style w:type="paragraph" w:styleId="910">
    <w:name w:val="批注文字"/>
    <w:basedOn w:val="883"/>
    <w:next w:val="910"/>
    <w:link w:val="911"/>
    <w:semiHidden/>
    <w:pPr>
      <w:jc w:val="left"/>
    </w:pPr>
    <w:rPr>
      <w:sz w:val="20"/>
    </w:rPr>
  </w:style>
  <w:style w:type="character" w:styleId="911">
    <w:name w:val="批注文字 Char"/>
    <w:next w:val="911"/>
    <w:link w:val="910"/>
    <w:semiHidden/>
    <w:rPr>
      <w:rFonts w:ascii="Times New Roman" w:hAnsi="Times New Roman" w:eastAsia="宋体" w:cs="Times New Roman"/>
      <w:szCs w:val="21"/>
    </w:rPr>
  </w:style>
  <w:style w:type="paragraph" w:styleId="912">
    <w:name w:val="正文文本 3"/>
    <w:basedOn w:val="883"/>
    <w:next w:val="912"/>
    <w:link w:val="913"/>
    <w:rPr>
      <w:rFonts w:ascii="仿宋_GB2312" w:hAnsi="Arial" w:eastAsia="仿宋_GB2312"/>
      <w:sz w:val="32"/>
      <w:szCs w:val="32"/>
    </w:rPr>
  </w:style>
  <w:style w:type="character" w:styleId="913">
    <w:name w:val="正文文本 3 Char"/>
    <w:next w:val="913"/>
    <w:link w:val="912"/>
    <w:rPr>
      <w:rFonts w:ascii="仿宋_GB2312" w:hAnsi="Arial" w:eastAsia="仿宋_GB2312" w:cs="Times New Roman"/>
      <w:sz w:val="32"/>
      <w:szCs w:val="32"/>
    </w:rPr>
  </w:style>
  <w:style w:type="paragraph" w:styleId="914">
    <w:name w:val="正文文本"/>
    <w:basedOn w:val="883"/>
    <w:next w:val="914"/>
    <w:link w:val="915"/>
    <w:rPr>
      <w:rFonts w:ascii="楷体_GB2312" w:hAnsi="Arial" w:eastAsia="楷体_GB2312"/>
      <w:sz w:val="28"/>
      <w:szCs w:val="28"/>
    </w:rPr>
  </w:style>
  <w:style w:type="character" w:styleId="915">
    <w:name w:val="正文文本 Char"/>
    <w:next w:val="915"/>
    <w:link w:val="914"/>
    <w:rPr>
      <w:rFonts w:ascii="楷体_GB2312" w:hAnsi="Arial" w:eastAsia="楷体_GB2312" w:cs="Times New Roman"/>
      <w:sz w:val="28"/>
      <w:szCs w:val="28"/>
    </w:rPr>
  </w:style>
  <w:style w:type="paragraph" w:styleId="916">
    <w:name w:val="正文文本缩进"/>
    <w:basedOn w:val="883"/>
    <w:next w:val="916"/>
    <w:link w:val="917"/>
    <w:pPr>
      <w:ind w:firstLine="645"/>
    </w:pPr>
    <w:rPr>
      <w:rFonts w:ascii="楷体_GB2312" w:eastAsia="楷体_GB2312"/>
      <w:sz w:val="32"/>
      <w:szCs w:val="32"/>
    </w:rPr>
  </w:style>
  <w:style w:type="character" w:styleId="917">
    <w:name w:val="正文文本缩进 Char"/>
    <w:next w:val="917"/>
    <w:link w:val="916"/>
    <w:rPr>
      <w:rFonts w:ascii="楷体_GB2312" w:hAnsi="Times New Roman" w:eastAsia="楷体_GB2312" w:cs="Times New Roman"/>
      <w:sz w:val="32"/>
      <w:szCs w:val="32"/>
    </w:rPr>
  </w:style>
  <w:style w:type="paragraph" w:styleId="918">
    <w:name w:val="列表 2"/>
    <w:basedOn w:val="883"/>
    <w:next w:val="918"/>
    <w:link w:val="883"/>
    <w:pPr>
      <w:ind w:left="100" w:hanging="200"/>
    </w:pPr>
  </w:style>
  <w:style w:type="paragraph" w:styleId="919">
    <w:name w:val="目录 5"/>
    <w:basedOn w:val="883"/>
    <w:next w:val="883"/>
    <w:link w:val="883"/>
    <w:semiHidden/>
    <w:pPr>
      <w:ind w:left="840"/>
      <w:jc w:val="left"/>
    </w:pPr>
  </w:style>
  <w:style w:type="paragraph" w:styleId="920">
    <w:name w:val="目录 3"/>
    <w:basedOn w:val="883"/>
    <w:next w:val="883"/>
    <w:link w:val="883"/>
    <w:semiHidden/>
    <w:pPr>
      <w:ind w:left="420"/>
      <w:jc w:val="left"/>
    </w:pPr>
    <w:rPr>
      <w:i/>
      <w:iCs/>
      <w:szCs w:val="24"/>
    </w:rPr>
  </w:style>
  <w:style w:type="paragraph" w:styleId="921">
    <w:name w:val="纯文本"/>
    <w:basedOn w:val="883"/>
    <w:next w:val="921"/>
    <w:link w:val="922"/>
    <w:rPr>
      <w:rFonts w:ascii="宋体" w:hAnsi="Courier New"/>
      <w:sz w:val="20"/>
    </w:rPr>
  </w:style>
  <w:style w:type="character" w:styleId="922">
    <w:name w:val="纯文本 Char"/>
    <w:next w:val="922"/>
    <w:link w:val="921"/>
    <w:rPr>
      <w:rFonts w:ascii="宋体" w:hAnsi="Courier New" w:eastAsia="宋体" w:cs="Courier New"/>
      <w:szCs w:val="21"/>
    </w:rPr>
  </w:style>
  <w:style w:type="paragraph" w:styleId="923">
    <w:name w:val="目录 8"/>
    <w:basedOn w:val="883"/>
    <w:next w:val="883"/>
    <w:link w:val="883"/>
    <w:semiHidden/>
    <w:pPr>
      <w:ind w:left="1470"/>
      <w:jc w:val="left"/>
    </w:pPr>
  </w:style>
  <w:style w:type="paragraph" w:styleId="924">
    <w:name w:val="日期"/>
    <w:basedOn w:val="883"/>
    <w:next w:val="883"/>
    <w:link w:val="925"/>
    <w:rPr>
      <w:sz w:val="24"/>
      <w:szCs w:val="24"/>
    </w:rPr>
  </w:style>
  <w:style w:type="character" w:styleId="925">
    <w:name w:val="日期 Char"/>
    <w:next w:val="925"/>
    <w:link w:val="924"/>
    <w:rPr>
      <w:rFonts w:ascii="Times New Roman" w:hAnsi="Times New Roman" w:eastAsia="宋体" w:cs="Times New Roman"/>
      <w:sz w:val="24"/>
      <w:szCs w:val="24"/>
    </w:rPr>
  </w:style>
  <w:style w:type="paragraph" w:styleId="926">
    <w:name w:val="正文文本缩进 2"/>
    <w:basedOn w:val="883"/>
    <w:next w:val="926"/>
    <w:link w:val="927"/>
    <w:pPr>
      <w:ind w:left="630" w:firstLine="645"/>
    </w:pPr>
    <w:rPr>
      <w:rFonts w:ascii="Arial" w:hAnsi="Arial" w:eastAsia="仿宋_GB2312"/>
      <w:sz w:val="32"/>
      <w:szCs w:val="32"/>
    </w:rPr>
  </w:style>
  <w:style w:type="character" w:styleId="927">
    <w:name w:val="正文文本缩进 2 Char"/>
    <w:next w:val="927"/>
    <w:link w:val="926"/>
    <w:rPr>
      <w:rFonts w:ascii="Arial" w:hAnsi="Arial" w:eastAsia="仿宋_GB2312" w:cs="Arial"/>
      <w:sz w:val="32"/>
      <w:szCs w:val="32"/>
    </w:rPr>
  </w:style>
  <w:style w:type="paragraph" w:styleId="928">
    <w:name w:val="批注框文本"/>
    <w:basedOn w:val="883"/>
    <w:next w:val="928"/>
    <w:link w:val="929"/>
    <w:semiHidden/>
    <w:rPr>
      <w:sz w:val="18"/>
      <w:szCs w:val="18"/>
    </w:rPr>
  </w:style>
  <w:style w:type="character" w:styleId="929">
    <w:name w:val="批注框文本 Char"/>
    <w:next w:val="929"/>
    <w:link w:val="928"/>
    <w:semiHidden/>
    <w:rPr>
      <w:rFonts w:ascii="Times New Roman" w:hAnsi="Times New Roman" w:eastAsia="宋体" w:cs="Times New Roman"/>
      <w:sz w:val="18"/>
      <w:szCs w:val="18"/>
    </w:rPr>
  </w:style>
  <w:style w:type="paragraph" w:styleId="930">
    <w:name w:val="页脚"/>
    <w:basedOn w:val="883"/>
    <w:next w:val="930"/>
    <w:link w:val="931"/>
    <w:pPr>
      <w:jc w:val="left"/>
      <w:tabs>
        <w:tab w:val="center" w:pos="4153" w:leader="none"/>
        <w:tab w:val="right" w:pos="8306" w:leader="none"/>
      </w:tabs>
    </w:pPr>
    <w:rPr>
      <w:sz w:val="18"/>
      <w:szCs w:val="18"/>
    </w:rPr>
  </w:style>
  <w:style w:type="character" w:styleId="931">
    <w:name w:val="页脚 Char"/>
    <w:next w:val="931"/>
    <w:link w:val="930"/>
    <w:rPr>
      <w:rFonts w:ascii="Times New Roman" w:hAnsi="Times New Roman" w:eastAsia="宋体" w:cs="Times New Roman"/>
      <w:sz w:val="18"/>
      <w:szCs w:val="18"/>
    </w:rPr>
  </w:style>
  <w:style w:type="paragraph" w:styleId="932">
    <w:name w:val="页眉"/>
    <w:basedOn w:val="883"/>
    <w:next w:val="932"/>
    <w:link w:val="933"/>
    <w:uiPriority w:val="99"/>
    <w:qFormat/>
    <w:pPr>
      <w:jc w:val="center"/>
      <w:tabs>
        <w:tab w:val="center" w:pos="4153" w:leader="none"/>
        <w:tab w:val="right" w:pos="8306" w:leader="none"/>
      </w:tabs>
      <w:pBdr>
        <w:bottom w:val="single" w:color="000000" w:sz="6" w:space="1"/>
      </w:pBdr>
    </w:pPr>
    <w:rPr>
      <w:sz w:val="18"/>
      <w:szCs w:val="18"/>
    </w:rPr>
  </w:style>
  <w:style w:type="character" w:styleId="933">
    <w:name w:val="页眉 Char"/>
    <w:next w:val="933"/>
    <w:link w:val="932"/>
    <w:uiPriority w:val="99"/>
    <w:qFormat/>
    <w:rPr>
      <w:rFonts w:ascii="Times New Roman" w:hAnsi="Times New Roman" w:eastAsia="宋体" w:cs="Times New Roman"/>
      <w:sz w:val="18"/>
      <w:szCs w:val="18"/>
    </w:rPr>
  </w:style>
  <w:style w:type="paragraph" w:styleId="934">
    <w:name w:val="目录 1"/>
    <w:basedOn w:val="883"/>
    <w:next w:val="883"/>
    <w:link w:val="883"/>
    <w:semiHidden/>
    <w:pPr>
      <w:jc w:val="left"/>
      <w:spacing w:before="120" w:after="120" w:line="400" w:lineRule="exact"/>
      <w:tabs>
        <w:tab w:val="right" w:pos="8720" w:leader="dot"/>
      </w:tabs>
    </w:pPr>
    <w:rPr>
      <w:rFonts w:ascii="宋体" w:hAnsi="宋体"/>
      <w:caps/>
      <w:sz w:val="24"/>
      <w:szCs w:val="24"/>
    </w:rPr>
  </w:style>
  <w:style w:type="paragraph" w:styleId="935">
    <w:name w:val="目录 4"/>
    <w:basedOn w:val="883"/>
    <w:next w:val="883"/>
    <w:link w:val="883"/>
    <w:semiHidden/>
    <w:pPr>
      <w:ind w:left="630"/>
      <w:jc w:val="left"/>
    </w:pPr>
  </w:style>
  <w:style w:type="paragraph" w:styleId="936">
    <w:name w:val="列表"/>
    <w:basedOn w:val="883"/>
    <w:next w:val="936"/>
    <w:link w:val="883"/>
    <w:pPr>
      <w:ind w:left="200" w:hanging="200"/>
    </w:pPr>
  </w:style>
  <w:style w:type="paragraph" w:styleId="937">
    <w:name w:val="目录 6"/>
    <w:basedOn w:val="883"/>
    <w:next w:val="883"/>
    <w:link w:val="883"/>
    <w:semiHidden/>
    <w:pPr>
      <w:ind w:left="1050"/>
      <w:jc w:val="left"/>
    </w:pPr>
  </w:style>
  <w:style w:type="paragraph" w:styleId="938">
    <w:name w:val="正文文本缩进 3"/>
    <w:basedOn w:val="883"/>
    <w:next w:val="938"/>
    <w:link w:val="939"/>
    <w:pPr>
      <w:ind w:left="645" w:firstLine="645"/>
    </w:pPr>
    <w:rPr>
      <w:rFonts w:ascii="Arial" w:hAnsi="Arial" w:eastAsia="仿宋_GB2312"/>
      <w:color w:val="ffff00"/>
      <w:sz w:val="32"/>
      <w:szCs w:val="32"/>
    </w:rPr>
  </w:style>
  <w:style w:type="character" w:styleId="939">
    <w:name w:val="正文文本缩进 3 Char"/>
    <w:next w:val="939"/>
    <w:link w:val="938"/>
    <w:rPr>
      <w:rFonts w:ascii="Arial" w:hAnsi="Arial" w:eastAsia="仿宋_GB2312" w:cs="Arial"/>
      <w:color w:val="ffff00"/>
      <w:sz w:val="32"/>
      <w:szCs w:val="32"/>
    </w:rPr>
  </w:style>
  <w:style w:type="paragraph" w:styleId="940">
    <w:name w:val="图表目录"/>
    <w:basedOn w:val="883"/>
    <w:next w:val="883"/>
    <w:link w:val="883"/>
    <w:semiHidden/>
    <w:pPr>
      <w:ind w:left="840" w:hanging="420"/>
    </w:pPr>
  </w:style>
  <w:style w:type="paragraph" w:styleId="941">
    <w:name w:val="目录 2"/>
    <w:basedOn w:val="883"/>
    <w:next w:val="883"/>
    <w:link w:val="883"/>
    <w:semiHidden/>
    <w:pPr>
      <w:ind w:left="210"/>
      <w:jc w:val="left"/>
    </w:pPr>
    <w:rPr>
      <w:smallCaps/>
      <w:szCs w:val="24"/>
    </w:rPr>
  </w:style>
  <w:style w:type="paragraph" w:styleId="942">
    <w:name w:val="目录 9"/>
    <w:basedOn w:val="883"/>
    <w:next w:val="883"/>
    <w:link w:val="883"/>
    <w:semiHidden/>
    <w:pPr>
      <w:ind w:left="1680"/>
      <w:jc w:val="left"/>
    </w:pPr>
  </w:style>
  <w:style w:type="paragraph" w:styleId="943">
    <w:name w:val="正文文本 2"/>
    <w:basedOn w:val="883"/>
    <w:next w:val="943"/>
    <w:link w:val="944"/>
    <w:pPr>
      <w:jc w:val="center"/>
      <w:widowControl/>
    </w:pPr>
    <w:rPr>
      <w:rFonts w:ascii="楷体_GB2312" w:eastAsia="楷体_GB2312"/>
      <w:sz w:val="28"/>
      <w:szCs w:val="28"/>
    </w:rPr>
  </w:style>
  <w:style w:type="character" w:styleId="944">
    <w:name w:val="正文文本 2 Char"/>
    <w:next w:val="944"/>
    <w:link w:val="943"/>
    <w:rPr>
      <w:rFonts w:ascii="楷体_GB2312" w:hAnsi="Times New Roman" w:eastAsia="楷体_GB2312" w:cs="Times New Roman"/>
      <w:sz w:val="28"/>
      <w:szCs w:val="28"/>
    </w:rPr>
  </w:style>
  <w:style w:type="paragraph" w:styleId="945">
    <w:name w:val="普通(网站)"/>
    <w:basedOn w:val="883"/>
    <w:next w:val="945"/>
    <w:link w:val="883"/>
    <w:uiPriority w:val="99"/>
    <w:pPr>
      <w:jc w:val="left"/>
      <w:spacing w:before="100" w:beforeAutospacing="1" w:after="100" w:afterAutospacing="1"/>
      <w:widowControl/>
    </w:pPr>
    <w:rPr>
      <w:rFonts w:ascii="宋体" w:hAnsi="宋体" w:cs="宋体"/>
      <w:sz w:val="24"/>
      <w:szCs w:val="24"/>
    </w:rPr>
  </w:style>
  <w:style w:type="paragraph" w:styleId="946">
    <w:name w:val="索引 1"/>
    <w:basedOn w:val="883"/>
    <w:next w:val="883"/>
    <w:link w:val="883"/>
    <w:semiHidden/>
    <w:pPr>
      <w:spacing w:line="240" w:lineRule="atLeast"/>
    </w:pPr>
    <w:rPr>
      <w:b/>
      <w:bCs/>
    </w:rPr>
  </w:style>
  <w:style w:type="paragraph" w:styleId="947">
    <w:name w:val="批注主题"/>
    <w:basedOn w:val="910"/>
    <w:next w:val="910"/>
    <w:link w:val="948"/>
    <w:semiHidden/>
    <w:rPr>
      <w:b/>
      <w:bCs/>
    </w:rPr>
  </w:style>
  <w:style w:type="character" w:styleId="948">
    <w:name w:val="批注主题 Char"/>
    <w:next w:val="948"/>
    <w:link w:val="947"/>
    <w:semiHidden/>
    <w:rPr>
      <w:rFonts w:ascii="Times New Roman" w:hAnsi="Times New Roman" w:eastAsia="宋体" w:cs="Times New Roman"/>
      <w:b/>
      <w:bCs/>
      <w:szCs w:val="21"/>
    </w:rPr>
  </w:style>
  <w:style w:type="paragraph" w:styleId="949">
    <w:name w:val="正文首行缩进"/>
    <w:basedOn w:val="883"/>
    <w:next w:val="949"/>
    <w:link w:val="950"/>
    <w:pPr>
      <w:ind w:firstLine="200"/>
      <w:spacing w:line="360" w:lineRule="auto"/>
    </w:pPr>
    <w:rPr>
      <w:rFonts w:ascii="仿宋_GB2312" w:eastAsia="仿宋_GB2312"/>
      <w:sz w:val="30"/>
      <w:szCs w:val="30"/>
    </w:rPr>
  </w:style>
  <w:style w:type="character" w:styleId="950">
    <w:name w:val="正文首行缩进 Char"/>
    <w:next w:val="950"/>
    <w:link w:val="949"/>
    <w:rPr>
      <w:rFonts w:ascii="仿宋_GB2312" w:hAnsi="Times New Roman" w:eastAsia="仿宋_GB2312" w:cs="Times New Roman"/>
      <w:sz w:val="30"/>
      <w:szCs w:val="30"/>
    </w:rPr>
  </w:style>
  <w:style w:type="paragraph" w:styleId="951">
    <w:name w:val="正文首行缩进 2"/>
    <w:basedOn w:val="916"/>
    <w:next w:val="951"/>
    <w:link w:val="952"/>
    <w:pPr>
      <w:ind w:firstLine="420"/>
      <w:spacing w:line="360" w:lineRule="auto"/>
    </w:pPr>
    <w:rPr>
      <w:rFonts w:ascii="宋体" w:hAnsi="宋体" w:eastAsia="宋体"/>
      <w:szCs w:val="20"/>
    </w:rPr>
  </w:style>
  <w:style w:type="character" w:styleId="952">
    <w:name w:val="正文首行缩进 2 Char"/>
    <w:next w:val="952"/>
    <w:link w:val="951"/>
    <w:rPr>
      <w:rFonts w:ascii="宋体" w:hAnsi="宋体" w:eastAsia="宋体" w:cs="Times New Roman"/>
      <w:sz w:val="32"/>
      <w:szCs w:val="20"/>
    </w:rPr>
  </w:style>
  <w:style w:type="table" w:styleId="953">
    <w:name w:val="网格型"/>
    <w:basedOn w:val="894"/>
    <w:next w:val="953"/>
    <w:link w:val="883"/>
    <w:pPr>
      <w:jc w:val="both"/>
      <w:widowControl w:val="off"/>
    </w:pPr>
    <w:rPr>
      <w:rFonts w:ascii="Times New Roman" w:hAnsi="Times New Roman" w:eastAsia="宋体" w:cs="Times New Roman"/>
      <w:sz w:val="20"/>
      <w:szCs w:val="20"/>
    </w:rPr>
    <w:tblPr/>
  </w:style>
  <w:style w:type="character" w:styleId="954">
    <w:name w:val="要点"/>
    <w:next w:val="954"/>
    <w:link w:val="883"/>
    <w:qFormat/>
    <w:rPr>
      <w:b/>
      <w:bCs/>
    </w:rPr>
  </w:style>
  <w:style w:type="character" w:styleId="955">
    <w:name w:val="页码"/>
    <w:next w:val="955"/>
    <w:link w:val="883"/>
  </w:style>
  <w:style w:type="character" w:styleId="956">
    <w:name w:val="已访问的超链接"/>
    <w:next w:val="956"/>
    <w:link w:val="883"/>
    <w:rPr>
      <w:color w:val="800080"/>
      <w:u w:val="single"/>
    </w:rPr>
  </w:style>
  <w:style w:type="character" w:styleId="957">
    <w:name w:val="HTML 打字机"/>
    <w:next w:val="957"/>
    <w:link w:val="883"/>
    <w:uiPriority w:val="99"/>
    <w:rPr>
      <w:rFonts w:ascii="宋体" w:hAnsi="宋体" w:eastAsia="宋体" w:cs="宋体"/>
      <w:sz w:val="24"/>
      <w:szCs w:val="24"/>
    </w:rPr>
  </w:style>
  <w:style w:type="character" w:styleId="958">
    <w:name w:val="超链接"/>
    <w:next w:val="958"/>
    <w:link w:val="883"/>
    <w:rPr>
      <w:color w:val="0000ff"/>
      <w:u w:val="single"/>
    </w:rPr>
  </w:style>
  <w:style w:type="character" w:styleId="959">
    <w:name w:val="批注引用"/>
    <w:next w:val="959"/>
    <w:link w:val="883"/>
    <w:semiHidden/>
    <w:rPr>
      <w:sz w:val="21"/>
      <w:szCs w:val="21"/>
    </w:rPr>
  </w:style>
  <w:style w:type="character" w:styleId="960">
    <w:name w:val="font5 Char"/>
    <w:next w:val="960"/>
    <w:link w:val="883"/>
    <w:rPr>
      <w:rFonts w:ascii="宋体" w:hAnsi="宋体" w:eastAsia="宋体"/>
      <w:sz w:val="28"/>
      <w:szCs w:val="28"/>
      <w:lang w:val="en-US" w:eastAsia="zh-CN" w:bidi="ar-SA"/>
    </w:rPr>
  </w:style>
  <w:style w:type="character" w:styleId="961">
    <w:name w:val="二级目录 Char"/>
    <w:next w:val="961"/>
    <w:link w:val="962"/>
    <w:rPr>
      <w:b/>
      <w:sz w:val="30"/>
      <w:szCs w:val="28"/>
      <w:lang w:val="en-US" w:eastAsia="zh-CN" w:bidi="ar-SA"/>
    </w:rPr>
  </w:style>
  <w:style w:type="paragraph" w:styleId="962">
    <w:name w:val="二级目录"/>
    <w:next w:val="883"/>
    <w:link w:val="961"/>
    <w:pPr>
      <w:numPr>
        <w:ilvl w:val="0"/>
        <w:numId w:val="2"/>
      </w:numPr>
      <w:tabs>
        <w:tab w:val="left" w:pos="907" w:leader="none"/>
        <w:tab w:val="left" w:pos="1145" w:leader="none"/>
      </w:tabs>
      <w:outlineLvl w:val="1"/>
    </w:pPr>
    <w:rPr>
      <w:b/>
      <w:sz w:val="30"/>
      <w:szCs w:val="28"/>
      <w:lang w:val="en-US" w:eastAsia="zh-CN" w:bidi="ar-SA"/>
    </w:rPr>
  </w:style>
  <w:style w:type="character" w:styleId="963">
    <w:name w:val="列出段落 Char,Bullet List Char,numbered Char,FooterText Char,List Paragraph1 Char,Paragraphe de liste1 Char"/>
    <w:next w:val="963"/>
    <w:link w:val="964"/>
    <w:rPr>
      <w:rFonts w:ascii="Calibri" w:hAnsi="Calibri"/>
      <w:sz w:val="24"/>
      <w:szCs w:val="24"/>
      <w:lang w:eastAsia="en-US" w:bidi="en-US"/>
    </w:rPr>
  </w:style>
  <w:style w:type="paragraph" w:styleId="964">
    <w:name w:val="列出段落1"/>
    <w:basedOn w:val="883"/>
    <w:next w:val="964"/>
    <w:link w:val="963"/>
    <w:qFormat/>
    <w:pPr>
      <w:contextualSpacing/>
      <w:ind w:left="720"/>
      <w:jc w:val="left"/>
      <w:widowControl/>
    </w:pPr>
    <w:rPr>
      <w:rFonts w:ascii="Calibri" w:hAnsi="Calibri"/>
      <w:sz w:val="24"/>
      <w:szCs w:val="24"/>
      <w:lang w:eastAsia="en-US" w:bidi="en-US"/>
    </w:rPr>
  </w:style>
  <w:style w:type="paragraph" w:styleId="965">
    <w:name w:val="Body Text(ch)"/>
    <w:basedOn w:val="883"/>
    <w:next w:val="914"/>
    <w:link w:val="883"/>
    <w:pPr>
      <w:spacing w:after="120"/>
    </w:pPr>
    <w:rPr>
      <w:rFonts w:ascii="宋体" w:hAnsi="Arial"/>
      <w:bCs/>
      <w:iCs/>
      <w:szCs w:val="24"/>
    </w:rPr>
  </w:style>
  <w:style w:type="paragraph" w:styleId="966">
    <w:name w:val="xl27"/>
    <w:basedOn w:val="883"/>
    <w:next w:val="966"/>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7">
    <w:name w:val="xl26"/>
    <w:basedOn w:val="883"/>
    <w:next w:val="967"/>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8">
    <w:name w:val="Char"/>
    <w:basedOn w:val="883"/>
    <w:next w:val="968"/>
    <w:link w:val="883"/>
    <w:pPr>
      <w:ind w:firstLine="200"/>
      <w:tabs>
        <w:tab w:val="left" w:pos="360" w:leader="none"/>
      </w:tabs>
    </w:pPr>
    <w:rPr>
      <w:sz w:val="28"/>
      <w:szCs w:val="30"/>
    </w:rPr>
  </w:style>
  <w:style w:type="paragraph" w:styleId="969">
    <w:name w:val=" Char"/>
    <w:basedOn w:val="908"/>
    <w:next w:val="969"/>
    <w:link w:val="883"/>
    <w:rPr>
      <w:rFonts w:ascii="Tahoma" w:hAnsi="Tahoma"/>
      <w:sz w:val="24"/>
      <w:szCs w:val="24"/>
    </w:rPr>
  </w:style>
  <w:style w:type="paragraph" w:styleId="970">
    <w:name w:val="普通正文"/>
    <w:basedOn w:val="883"/>
    <w:next w:val="970"/>
    <w:link w:val="883"/>
    <w:pPr>
      <w:ind w:firstLine="480"/>
      <w:jc w:val="left"/>
      <w:spacing w:before="120" w:after="120" w:line="360" w:lineRule="auto"/>
    </w:pPr>
    <w:rPr>
      <w:rFonts w:ascii="Arial" w:hAnsi="Arial"/>
      <w:sz w:val="24"/>
      <w:szCs w:val="24"/>
    </w:rPr>
  </w:style>
  <w:style w:type="paragraph" w:styleId="971">
    <w:name w:val="table_lines"/>
    <w:basedOn w:val="883"/>
    <w:next w:val="971"/>
    <w:link w:val="883"/>
    <w:pPr>
      <w:jc w:val="left"/>
      <w:widowControl/>
    </w:pPr>
    <w:rPr>
      <w:sz w:val="20"/>
      <w:szCs w:val="20"/>
      <w:lang w:val="de-DE" w:eastAsia="de-DE"/>
    </w:rPr>
  </w:style>
  <w:style w:type="paragraph" w:styleId="972">
    <w:name w:val="附录1"/>
    <w:next w:val="972"/>
    <w:link w:val="88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3">
    <w:name w:val="font7"/>
    <w:basedOn w:val="883"/>
    <w:next w:val="973"/>
    <w:link w:val="883"/>
    <w:pPr>
      <w:jc w:val="left"/>
      <w:spacing w:before="100" w:beforeAutospacing="1" w:after="100" w:afterAutospacing="1"/>
      <w:widowControl/>
    </w:pPr>
    <w:rPr>
      <w:rFonts w:hint="eastAsia" w:ascii="宋体" w:hAnsi="宋体"/>
      <w:sz w:val="18"/>
      <w:szCs w:val="18"/>
    </w:rPr>
  </w:style>
  <w:style w:type="paragraph" w:styleId="974">
    <w:name w:val=" Char Char Char Char"/>
    <w:basedOn w:val="908"/>
    <w:next w:val="974"/>
    <w:link w:val="883"/>
    <w:pPr>
      <w:spacing w:line="360" w:lineRule="auto"/>
    </w:pPr>
    <w:rPr>
      <w:rFonts w:ascii="Tahoma" w:hAnsi="Tahoma"/>
      <w:sz w:val="24"/>
      <w:szCs w:val="24"/>
    </w:rPr>
  </w:style>
  <w:style w:type="paragraph" w:styleId="975">
    <w:name w:val="列出段落"/>
    <w:basedOn w:val="883"/>
    <w:next w:val="975"/>
    <w:link w:val="883"/>
    <w:uiPriority w:val="99"/>
    <w:qFormat/>
    <w:pPr>
      <w:contextualSpacing/>
      <w:ind w:left="720"/>
      <w:jc w:val="left"/>
      <w:widowControl/>
    </w:pPr>
    <w:rPr>
      <w:rFonts w:ascii="Calibri" w:hAnsi="Calibri"/>
      <w:sz w:val="24"/>
      <w:szCs w:val="24"/>
      <w:lang w:eastAsia="en-US" w:bidi="en-US"/>
    </w:rPr>
  </w:style>
  <w:style w:type="paragraph" w:styleId="976">
    <w:name w:val="4"/>
    <w:basedOn w:val="883"/>
    <w:next w:val="938"/>
    <w:link w:val="883"/>
    <w:pPr>
      <w:ind w:firstLine="420"/>
      <w:spacing w:line="360" w:lineRule="auto"/>
    </w:pPr>
    <w:rPr>
      <w:color w:val="ff0000"/>
      <w:sz w:val="24"/>
      <w:szCs w:val="24"/>
    </w:rPr>
  </w:style>
  <w:style w:type="paragraph" w:styleId="977">
    <w:name w:val="普通 (Web)"/>
    <w:basedOn w:val="883"/>
    <w:next w:val="977"/>
    <w:link w:val="883"/>
    <w:pPr>
      <w:jc w:val="left"/>
      <w:spacing w:before="100" w:beforeAutospacing="1" w:after="100" w:afterAutospacing="1"/>
      <w:widowControl/>
    </w:pPr>
    <w:rPr>
      <w:rFonts w:ascii="宋体" w:hAnsi="宋体"/>
      <w:sz w:val="24"/>
      <w:szCs w:val="24"/>
    </w:rPr>
  </w:style>
  <w:style w:type="paragraph" w:styleId="978">
    <w:name w:val=" Char Char Char Char Char Char Char Char Char Char"/>
    <w:basedOn w:val="883"/>
    <w:next w:val="978"/>
    <w:link w:val="883"/>
    <w:pPr>
      <w:spacing w:line="360" w:lineRule="auto"/>
    </w:pPr>
    <w:rPr>
      <w:sz w:val="24"/>
      <w:szCs w:val="20"/>
    </w:rPr>
  </w:style>
  <w:style w:type="paragraph" w:styleId="979">
    <w:name w:val="样式1"/>
    <w:basedOn w:val="883"/>
    <w:next w:val="979"/>
    <w:link w:val="883"/>
    <w:pPr>
      <w:numPr>
        <w:ilvl w:val="0"/>
        <w:numId w:val="3"/>
      </w:numPr>
      <w:tabs>
        <w:tab w:val="left" w:pos="709" w:leader="none"/>
      </w:tabs>
    </w:pPr>
    <w:rPr>
      <w:rFonts w:ascii="宋体" w:hAnsi="宋体"/>
    </w:rPr>
  </w:style>
  <w:style w:type="paragraph" w:styleId="980">
    <w:name w:val="font6"/>
    <w:basedOn w:val="883"/>
    <w:next w:val="980"/>
    <w:link w:val="883"/>
    <w:pPr>
      <w:jc w:val="left"/>
      <w:spacing w:before="100" w:beforeAutospacing="1" w:after="100" w:afterAutospacing="1"/>
      <w:widowControl/>
    </w:pPr>
    <w:rPr>
      <w:rFonts w:hint="eastAsia" w:ascii="宋体" w:hAnsi="宋体"/>
      <w:sz w:val="28"/>
      <w:szCs w:val="28"/>
      <w:u w:val="single"/>
    </w:rPr>
  </w:style>
  <w:style w:type="paragraph" w:styleId="981">
    <w:name w:val="xl25"/>
    <w:basedOn w:val="883"/>
    <w:next w:val="981"/>
    <w:link w:val="88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2">
    <w:name w:val="图标"/>
    <w:basedOn w:val="883"/>
    <w:next w:val="883"/>
    <w:link w:val="88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3">
    <w:name w:val="标题3"/>
    <w:basedOn w:val="883"/>
    <w:next w:val="883"/>
    <w:link w:val="883"/>
    <w:pPr>
      <w:ind w:firstLine="624"/>
      <w:spacing w:line="590" w:lineRule="atLeast"/>
    </w:pPr>
    <w:rPr>
      <w:rFonts w:ascii="方正黑体_GBK" w:eastAsia="方正黑体_GBK"/>
      <w:sz w:val="32"/>
      <w:szCs w:val="32"/>
    </w:rPr>
  </w:style>
  <w:style w:type="paragraph" w:styleId="984">
    <w:name w:val="xl24"/>
    <w:basedOn w:val="883"/>
    <w:next w:val="984"/>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5">
    <w:name w:val="xl29"/>
    <w:basedOn w:val="883"/>
    <w:next w:val="985"/>
    <w:link w:val="88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6">
    <w:name w:val="Char Char Char Char Char Char Char Char"/>
    <w:basedOn w:val="883"/>
    <w:next w:val="986"/>
    <w:link w:val="883"/>
    <w:pPr>
      <w:jc w:val="left"/>
      <w:spacing w:after="160" w:line="240" w:lineRule="exact"/>
      <w:widowControl/>
    </w:pPr>
    <w:rPr>
      <w:rFonts w:ascii="Verdana" w:hAnsi="Verdana"/>
      <w:sz w:val="20"/>
      <w:szCs w:val="20"/>
      <w:lang w:eastAsia="en-US"/>
    </w:rPr>
  </w:style>
  <w:style w:type="paragraph" w:styleId="987">
    <w:name w:val="xl28"/>
    <w:basedOn w:val="883"/>
    <w:next w:val="987"/>
    <w:link w:val="88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8">
    <w:name w:val=" Char Char Char Char Char Char Char Char"/>
    <w:basedOn w:val="883"/>
    <w:next w:val="988"/>
    <w:link w:val="883"/>
    <w:pPr>
      <w:jc w:val="left"/>
      <w:spacing w:after="160" w:line="240" w:lineRule="exact"/>
      <w:widowControl/>
    </w:pPr>
    <w:rPr>
      <w:rFonts w:ascii="Verdana" w:hAnsi="Verdana"/>
      <w:sz w:val="20"/>
      <w:szCs w:val="20"/>
      <w:lang w:eastAsia="en-US"/>
    </w:rPr>
  </w:style>
  <w:style w:type="paragraph" w:styleId="989">
    <w:name w:val="xl30"/>
    <w:basedOn w:val="883"/>
    <w:next w:val="989"/>
    <w:link w:val="883"/>
    <w:pPr>
      <w:jc w:val="center"/>
      <w:spacing w:before="100" w:beforeAutospacing="1" w:after="100" w:afterAutospacing="1"/>
      <w:widowControl/>
    </w:pPr>
    <w:rPr>
      <w:rFonts w:ascii="宋体" w:hAnsi="宋体"/>
      <w:b/>
      <w:bCs/>
      <w:sz w:val="36"/>
      <w:szCs w:val="36"/>
    </w:rPr>
  </w:style>
  <w:style w:type="paragraph" w:styleId="990">
    <w:name w:val="Char Char Char Char"/>
    <w:basedOn w:val="908"/>
    <w:next w:val="990"/>
    <w:link w:val="883"/>
    <w:pPr>
      <w:spacing w:line="360" w:lineRule="auto"/>
    </w:pPr>
    <w:rPr>
      <w:rFonts w:ascii="Tahoma" w:hAnsi="Tahoma"/>
      <w:sz w:val="24"/>
      <w:szCs w:val="24"/>
    </w:rPr>
  </w:style>
  <w:style w:type="paragraph" w:styleId="991">
    <w:name w:val="table_1stline"/>
    <w:basedOn w:val="883"/>
    <w:next w:val="991"/>
    <w:link w:val="883"/>
    <w:pPr>
      <w:jc w:val="left"/>
      <w:spacing w:before="120"/>
      <w:widowControl/>
    </w:pPr>
    <w:rPr>
      <w:bCs/>
      <w:sz w:val="20"/>
      <w:szCs w:val="20"/>
      <w:lang w:val="de-DE" w:eastAsia="de-DE"/>
    </w:rPr>
  </w:style>
  <w:style w:type="paragraph" w:styleId="992">
    <w:name w:val="font5"/>
    <w:basedOn w:val="883"/>
    <w:next w:val="992"/>
    <w:link w:val="883"/>
    <w:pPr>
      <w:jc w:val="left"/>
      <w:spacing w:before="100" w:beforeAutospacing="1" w:after="100" w:afterAutospacing="1"/>
      <w:widowControl/>
    </w:pPr>
    <w:rPr>
      <w:rFonts w:hint="eastAsia" w:ascii="宋体" w:hAnsi="宋体"/>
      <w:sz w:val="28"/>
      <w:szCs w:val="28"/>
    </w:rPr>
  </w:style>
  <w:style w:type="paragraph" w:styleId="993">
    <w:name w:val="标题1"/>
    <w:basedOn w:val="883"/>
    <w:next w:val="883"/>
    <w:link w:val="883"/>
    <w:pPr>
      <w:jc w:val="center"/>
      <w:spacing w:line="700" w:lineRule="atLeast"/>
      <w:tabs>
        <w:tab w:val="left" w:pos="9193" w:leader="none"/>
        <w:tab w:val="left" w:pos="9827" w:leader="none"/>
      </w:tabs>
    </w:pPr>
    <w:rPr>
      <w:rFonts w:ascii="方正小标宋_GBK" w:eastAsia="方正小标宋_GBK"/>
      <w:sz w:val="44"/>
      <w:szCs w:val="20"/>
    </w:rPr>
  </w:style>
  <w:style w:type="paragraph" w:styleId="994">
    <w:name w:val="修订"/>
    <w:next w:val="994"/>
    <w:link w:val="883"/>
    <w:uiPriority w:val="99"/>
    <w:semiHidden/>
    <w:rPr>
      <w:rFonts w:ascii="Times New Roman" w:hAnsi="Times New Roman"/>
      <w:sz w:val="21"/>
      <w:szCs w:val="21"/>
      <w:lang w:val="en-US" w:eastAsia="zh-CN" w:bidi="ar-SA"/>
    </w:rPr>
  </w:style>
  <w:style w:type="paragraph" w:styleId="995">
    <w:name w:val="无间隔"/>
    <w:next w:val="995"/>
    <w:link w:val="883"/>
    <w:uiPriority w:val="99"/>
    <w:qFormat/>
    <w:pPr>
      <w:jc w:val="both"/>
      <w:widowControl w:val="off"/>
    </w:pPr>
    <w:rPr>
      <w:rFonts w:ascii="Times New Roman" w:hAnsi="Times New Roman"/>
      <w:sz w:val="21"/>
      <w:szCs w:val="21"/>
      <w:lang w:val="en-US" w:eastAsia="zh-CN" w:bidi="ar-SA"/>
    </w:rPr>
  </w:style>
  <w:style w:type="paragraph" w:styleId="996">
    <w:name w:val="普通文字"/>
    <w:basedOn w:val="883"/>
    <w:next w:val="883"/>
    <w:link w:val="883"/>
    <w:uiPriority w:val="99"/>
    <w:rPr>
      <w:rFonts w:ascii="宋体" w:hAnsi="Times New Roman" w:eastAsia="宋体" w:cs="Times New Roman"/>
      <w:sz w:val="24"/>
      <w:szCs w:val="20"/>
      <w:u w:val="none"/>
    </w:rPr>
  </w:style>
  <w:style w:type="paragraph" w:styleId="997">
    <w:name w:val="目录 111"/>
    <w:basedOn w:val="883"/>
    <w:next w:val="883"/>
    <w:link w:val="883"/>
    <w:uiPriority w:val="39"/>
    <w:unhideWhenUsed/>
    <w:qFormat/>
    <w:pPr>
      <w:jc w:val="left"/>
      <w:spacing w:after="100" w:line="259" w:lineRule="auto"/>
      <w:widowControl/>
    </w:pPr>
    <w:rPr>
      <w:rFonts w:ascii="Calibri" w:hAnsi="Calibri" w:eastAsia="宋体"/>
      <w:sz w:val="22"/>
      <w:szCs w:val="22"/>
    </w:rPr>
  </w:style>
  <w:style w:type="paragraph" w:styleId="998">
    <w:name w:val="样式 正文缩进 + 首行缩进:  2 字符"/>
    <w:basedOn w:val="897"/>
    <w:next w:val="998"/>
    <w:link w:val="883"/>
    <w:qFormat/>
    <w:pPr>
      <w:ind w:firstLine="480"/>
      <w:spacing w:line="360" w:lineRule="auto"/>
    </w:pPr>
    <w:rPr>
      <w:rFonts w:ascii="Calibri" w:hAnsi="Calibri" w:eastAsia="宋体" w:cs="Times New Roman"/>
      <w:sz w:val="24"/>
      <w:szCs w:val="22"/>
    </w:rPr>
  </w:style>
  <w:style w:type="character" w:styleId="999" w:default="1">
    <w:name w:val="Default Paragraph Font"/>
    <w:uiPriority w:val="1"/>
    <w:semiHidden/>
    <w:unhideWhenUsed/>
  </w:style>
  <w:style w:type="numbering" w:styleId="1000" w:default="1">
    <w:name w:val="No List"/>
    <w:uiPriority w:val="99"/>
    <w:semiHidden/>
    <w:unhideWhenUsed/>
  </w:style>
  <w:style w:type="table" w:styleId="10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Encha</dc:creator>
  <cp:lastModifiedBy>蔡文珺</cp:lastModifiedBy>
  <cp:revision>3</cp:revision>
  <dcterms:created xsi:type="dcterms:W3CDTF">2023-03-16T02:16:00Z</dcterms:created>
  <dcterms:modified xsi:type="dcterms:W3CDTF">2024-12-30T08:20:46Z</dcterms:modified>
</cp:coreProperties>
</file>