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0"/>
        <w:ind w:firstLine="0"/>
        <w:rPr>
          <w:rFonts w:ascii="Times New Roman" w:hAnsi="Times New Roman" w:eastAsia="黑体"/>
          <w:b/>
          <w:bCs/>
          <w:sz w:val="84"/>
        </w:rPr>
      </w:pPr>
    </w:p>
    <w:p>
      <w:pPr>
        <w:pStyle w:val="100"/>
        <w:ind w:firstLine="0"/>
        <w:jc w:val="center"/>
        <w:rPr>
          <w:rFonts w:ascii="Times New Roman" w:hAnsi="Times New Roman" w:eastAsia="黑体"/>
          <w:b/>
          <w:bCs/>
          <w:sz w:val="84"/>
        </w:rPr>
      </w:pPr>
      <w:r>
        <w:rPr>
          <w:rFonts w:hint="eastAsia" w:ascii="Times New Roman" w:hAnsi="Times New Roman" w:eastAsia="黑体"/>
          <w:b/>
          <w:bCs/>
          <w:sz w:val="84"/>
        </w:rPr>
        <w:t>招　标　文　件</w:t>
      </w:r>
    </w:p>
    <w:p>
      <w:pPr>
        <w:spacing w:line="360" w:lineRule="auto"/>
        <w:ind w:firstLine="964" w:firstLineChars="300"/>
        <w:rPr>
          <w:rFonts w:ascii="仿宋_GB2312" w:hAnsi="仿宋_GB2312" w:eastAsia="仿宋_GB2312" w:cs="仿宋_GB2312"/>
          <w:szCs w:val="32"/>
        </w:rPr>
      </w:pPr>
      <w:r>
        <w:rPr>
          <w:rFonts w:hint="eastAsia"/>
          <w:b/>
          <w:bCs/>
          <w:sz w:val="32"/>
        </w:rPr>
        <w:t>项目名称：</w:t>
      </w:r>
      <w:r>
        <w:rPr>
          <w:rFonts w:hint="eastAsia"/>
          <w:b/>
          <w:bCs/>
          <w:sz w:val="32"/>
          <w:u w:val="single"/>
        </w:rPr>
        <w:t>2023年泗洪县农药包装废弃物回收处理项目</w:t>
      </w:r>
      <w:r>
        <w:rPr>
          <w:b/>
          <w:bCs/>
          <w:sz w:val="32"/>
          <w:u w:val="single"/>
        </w:rPr>
        <w:t>_</w:t>
      </w:r>
    </w:p>
    <w:p>
      <w:pPr>
        <w:spacing w:line="360" w:lineRule="auto"/>
        <w:ind w:firstLine="1928" w:firstLineChars="600"/>
        <w:rPr>
          <w:b/>
          <w:sz w:val="30"/>
          <w:szCs w:val="30"/>
        </w:rPr>
      </w:pPr>
      <w:r>
        <w:rPr>
          <w:rFonts w:hint="eastAsia"/>
          <w:b/>
          <w:bCs/>
          <w:sz w:val="32"/>
        </w:rPr>
        <w:t xml:space="preserve">项目编号：JSZC-321324-ZTZY-G2024-0013 </w:t>
      </w:r>
      <w:r>
        <w:rPr>
          <w:rFonts w:hint="eastAsia"/>
        </w:rPr>
        <w:t xml:space="preserve">        </w:t>
      </w:r>
      <w:r>
        <w:rPr>
          <w:rFonts w:hint="eastAsia"/>
          <w:b/>
          <w:sz w:val="30"/>
          <w:szCs w:val="30"/>
        </w:rPr>
        <w:t xml:space="preserve">   </w:t>
      </w:r>
      <w:r>
        <w:t xml:space="preserve">  </w:t>
      </w:r>
      <w:r>
        <w:rPr>
          <w:b/>
          <w:sz w:val="30"/>
          <w:szCs w:val="30"/>
        </w:rPr>
        <w:t xml:space="preserve"> </w:t>
      </w:r>
    </w:p>
    <w:p>
      <w:pPr>
        <w:spacing w:line="360" w:lineRule="auto"/>
        <w:ind w:left="2100" w:leftChars="1000"/>
        <w:rPr>
          <w:b/>
          <w:sz w:val="30"/>
          <w:szCs w:val="30"/>
        </w:rPr>
      </w:pPr>
      <w:r>
        <w:rPr>
          <w:rFonts w:hint="eastAsia"/>
          <w:b/>
          <w:sz w:val="30"/>
          <w:szCs w:val="30"/>
        </w:rPr>
        <w:t>（服务类项目</w:t>
      </w:r>
      <w:r>
        <w:rPr>
          <w:b/>
          <w:sz w:val="30"/>
          <w:szCs w:val="30"/>
        </w:rPr>
        <w:t>，</w:t>
      </w:r>
      <w:r>
        <w:rPr>
          <w:rFonts w:hint="eastAsia"/>
          <w:b/>
          <w:sz w:val="30"/>
          <w:szCs w:val="30"/>
        </w:rPr>
        <w:t>专门面向中小企业）</w:t>
      </w:r>
    </w:p>
    <w:p>
      <w:pPr>
        <w:pStyle w:val="100"/>
        <w:spacing w:before="0" w:after="0"/>
        <w:ind w:firstLine="0"/>
        <w:rPr>
          <w:rFonts w:ascii="Times New Roman" w:hAnsi="Times New Roman"/>
        </w:rPr>
      </w:pPr>
    </w:p>
    <w:p>
      <w:pPr>
        <w:pStyle w:val="100"/>
        <w:spacing w:before="0" w:after="0"/>
        <w:ind w:firstLine="0"/>
        <w:rPr>
          <w:rFonts w:ascii="Times New Roman" w:hAnsi="Times New Roman"/>
        </w:rPr>
      </w:pPr>
    </w:p>
    <w:p>
      <w:pPr>
        <w:pStyle w:val="100"/>
        <w:spacing w:before="0" w:after="0"/>
        <w:ind w:firstLine="0"/>
        <w:rPr>
          <w:rFonts w:ascii="Times New Roman" w:hAnsi="Times New Roman"/>
        </w:rPr>
      </w:pPr>
    </w:p>
    <w:p>
      <w:pPr>
        <w:pStyle w:val="100"/>
        <w:spacing w:before="0" w:after="0"/>
        <w:ind w:firstLine="0"/>
        <w:rPr>
          <w:rFonts w:ascii="Times New Roman" w:hAnsi="Times New Roman"/>
        </w:rPr>
      </w:pPr>
    </w:p>
    <w:p>
      <w:pPr>
        <w:pStyle w:val="100"/>
        <w:spacing w:before="0" w:after="0"/>
        <w:ind w:firstLine="0"/>
        <w:rPr>
          <w:rFonts w:ascii="Times New Roman" w:hAnsi="Times New Roman"/>
        </w:rPr>
      </w:pPr>
    </w:p>
    <w:p>
      <w:pPr>
        <w:pStyle w:val="100"/>
        <w:spacing w:before="0" w:after="0"/>
        <w:ind w:firstLine="0"/>
        <w:rPr>
          <w:rFonts w:ascii="Times New Roman" w:hAnsi="Times New Roman"/>
        </w:rPr>
      </w:pPr>
    </w:p>
    <w:p>
      <w:pPr>
        <w:pStyle w:val="100"/>
        <w:ind w:firstLine="1690" w:firstLineChars="526"/>
        <w:jc w:val="both"/>
        <w:rPr>
          <w:rFonts w:ascii="Times New Roman" w:hAnsi="Times New Roman"/>
          <w:b/>
          <w:bCs/>
          <w:sz w:val="32"/>
          <w:u w:val="single"/>
        </w:rPr>
      </w:pPr>
      <w:r>
        <w:rPr>
          <w:rFonts w:hint="eastAsia" w:ascii="Times New Roman" w:hAnsi="Times New Roman"/>
          <w:b/>
          <w:bCs/>
          <w:sz w:val="32"/>
        </w:rPr>
        <w:t>采购人：</w:t>
      </w:r>
      <w:r>
        <w:rPr>
          <w:rFonts w:hint="eastAsia" w:ascii="Times New Roman" w:hAnsi="Times New Roman"/>
          <w:b/>
          <w:bCs/>
          <w:sz w:val="32"/>
          <w:u w:val="single"/>
        </w:rPr>
        <w:t xml:space="preserve">泗洪县农业农村局  </w:t>
      </w:r>
    </w:p>
    <w:p>
      <w:pPr>
        <w:pStyle w:val="100"/>
        <w:ind w:firstLine="1606" w:firstLineChars="500"/>
        <w:jc w:val="both"/>
        <w:rPr>
          <w:rFonts w:ascii="Times New Roman" w:hAnsi="Times New Roman"/>
          <w:b/>
          <w:bCs/>
          <w:sz w:val="32"/>
          <w:u w:val="single"/>
        </w:rPr>
      </w:pPr>
      <w:r>
        <w:rPr>
          <w:rFonts w:hint="eastAsia" w:ascii="Times New Roman" w:hAnsi="Times New Roman"/>
          <w:b/>
          <w:bCs/>
          <w:sz w:val="32"/>
        </w:rPr>
        <w:t>采购代理机构：</w:t>
      </w:r>
      <w:r>
        <w:rPr>
          <w:rFonts w:hint="eastAsia" w:ascii="Times New Roman" w:hAnsi="Times New Roman"/>
          <w:b/>
          <w:bCs/>
          <w:sz w:val="32"/>
          <w:u w:val="single"/>
        </w:rPr>
        <w:t xml:space="preserve">中天志远咨询有限公司 </w:t>
      </w:r>
    </w:p>
    <w:p>
      <w:pPr>
        <w:pStyle w:val="100"/>
        <w:ind w:firstLine="2891" w:firstLineChars="900"/>
        <w:jc w:val="both"/>
        <w:rPr>
          <w:rFonts w:ascii="Times New Roman" w:hAnsi="Times New Roman"/>
          <w:b/>
          <w:bCs/>
          <w:sz w:val="32"/>
        </w:rPr>
      </w:pPr>
      <w:r>
        <w:rPr>
          <w:rFonts w:hint="eastAsia" w:ascii="Times New Roman" w:hAnsi="Times New Roman"/>
          <w:b/>
          <w:bCs/>
          <w:sz w:val="32"/>
          <w:u w:val="single"/>
        </w:rPr>
        <w:t>2024</w:t>
      </w:r>
      <w:r>
        <w:rPr>
          <w:rFonts w:hint="eastAsia" w:ascii="Times New Roman" w:hAnsi="Times New Roman"/>
          <w:b/>
          <w:bCs/>
          <w:sz w:val="32"/>
        </w:rPr>
        <w:t>年</w:t>
      </w:r>
      <w:r>
        <w:rPr>
          <w:rFonts w:hint="eastAsia" w:ascii="Times New Roman" w:hAnsi="Times New Roman"/>
          <w:b/>
          <w:bCs/>
          <w:sz w:val="32"/>
          <w:u w:val="single"/>
        </w:rPr>
        <w:t>7</w:t>
      </w:r>
      <w:r>
        <w:rPr>
          <w:rFonts w:hint="eastAsia" w:ascii="Times New Roman" w:hAnsi="Times New Roman"/>
          <w:b/>
          <w:bCs/>
          <w:sz w:val="32"/>
        </w:rPr>
        <w:t>月</w:t>
      </w:r>
      <w:r>
        <w:rPr>
          <w:rFonts w:hint="eastAsia" w:ascii="Times New Roman" w:hAnsi="Times New Roman"/>
          <w:b/>
          <w:bCs/>
          <w:sz w:val="32"/>
          <w:u w:val="single"/>
          <w:lang w:val="en-US" w:eastAsia="zh-CN"/>
        </w:rPr>
        <w:t>11</w:t>
      </w:r>
      <w:r>
        <w:rPr>
          <w:rFonts w:hint="eastAsia" w:ascii="Times New Roman" w:hAnsi="Times New Roman"/>
          <w:b/>
          <w:bCs/>
          <w:sz w:val="32"/>
        </w:rPr>
        <w:t>日</w:t>
      </w:r>
    </w:p>
    <w:p>
      <w:pPr>
        <w:pStyle w:val="100"/>
        <w:ind w:firstLine="0"/>
        <w:rPr>
          <w:rFonts w:ascii="Times New Roman" w:hAnsi="Times New Roman"/>
          <w:u w:val="single"/>
        </w:rPr>
      </w:pPr>
      <w:r>
        <w:rPr>
          <w:rFonts w:hint="eastAsia" w:ascii="Times New Roman" w:hAnsi="Times New Roman"/>
        </w:rPr>
        <w:t xml:space="preserve">                        </w:t>
      </w:r>
    </w:p>
    <w:p>
      <w:pPr>
        <w:pStyle w:val="100"/>
        <w:ind w:firstLine="0"/>
        <w:jc w:val="center"/>
        <w:rPr>
          <w:rFonts w:ascii="Times New Roman" w:hAnsi="Times New Roman"/>
        </w:rPr>
      </w:pPr>
    </w:p>
    <w:p>
      <w:pPr>
        <w:spacing w:line="480" w:lineRule="auto"/>
        <w:jc w:val="center"/>
        <w:outlineLvl w:val="0"/>
        <w:rPr>
          <w:rFonts w:eastAsia="黑体"/>
          <w:b/>
          <w:sz w:val="44"/>
        </w:rPr>
      </w:pPr>
      <w:r>
        <w:br w:type="page"/>
      </w:r>
      <w:bookmarkStart w:id="0" w:name="_Toc120614210"/>
      <w:bookmarkStart w:id="1" w:name="_Toc513029200"/>
      <w:bookmarkStart w:id="2" w:name="_Toc479757206"/>
      <w:bookmarkStart w:id="3" w:name="_Toc16938516"/>
      <w:bookmarkStart w:id="4" w:name="_Toc20823272"/>
      <w:bookmarkStart w:id="5" w:name="_Toc523127445"/>
      <w:r>
        <w:rPr>
          <w:rFonts w:hint="eastAsia"/>
        </w:rPr>
        <w:t xml:space="preserve"> </w:t>
      </w:r>
      <w:r>
        <w:rPr>
          <w:rFonts w:hint="eastAsia" w:eastAsia="黑体"/>
          <w:b/>
          <w:sz w:val="44"/>
        </w:rPr>
        <w:t>总  目  录</w:t>
      </w:r>
    </w:p>
    <w:p>
      <w:pPr>
        <w:spacing w:line="480" w:lineRule="auto"/>
        <w:rPr>
          <w:rFonts w:eastAsia="仿宋_GB2312"/>
          <w:b/>
          <w:sz w:val="28"/>
        </w:rPr>
      </w:pPr>
    </w:p>
    <w:p>
      <w:pPr>
        <w:numPr>
          <w:ilvl w:val="0"/>
          <w:numId w:val="4"/>
        </w:numPr>
        <w:spacing w:line="480" w:lineRule="auto"/>
        <w:outlineLvl w:val="0"/>
        <w:rPr>
          <w:rFonts w:eastAsia="黑体"/>
          <w:sz w:val="32"/>
        </w:rPr>
      </w:pPr>
      <w:r>
        <w:rPr>
          <w:rFonts w:hint="eastAsia" w:eastAsia="黑体"/>
          <w:sz w:val="36"/>
        </w:rPr>
        <w:t xml:space="preserve">投标邀请…………………………………… </w:t>
      </w:r>
    </w:p>
    <w:p>
      <w:pPr>
        <w:numPr>
          <w:ilvl w:val="0"/>
          <w:numId w:val="4"/>
        </w:numPr>
        <w:spacing w:line="480" w:lineRule="auto"/>
        <w:outlineLvl w:val="0"/>
        <w:rPr>
          <w:rFonts w:eastAsia="黑体"/>
          <w:sz w:val="36"/>
        </w:rPr>
      </w:pPr>
      <w:r>
        <w:rPr>
          <w:rFonts w:hint="eastAsia" w:eastAsia="黑体"/>
          <w:bCs/>
          <w:sz w:val="36"/>
          <w:szCs w:val="36"/>
        </w:rPr>
        <w:t>投标人须知</w:t>
      </w:r>
      <w:r>
        <w:rPr>
          <w:rFonts w:hint="eastAsia" w:eastAsia="黑体"/>
          <w:sz w:val="36"/>
          <w:szCs w:val="36"/>
        </w:rPr>
        <w:t>…</w:t>
      </w:r>
      <w:r>
        <w:rPr>
          <w:rFonts w:hint="eastAsia" w:eastAsia="黑体"/>
          <w:sz w:val="36"/>
        </w:rPr>
        <w:t xml:space="preserve">………………………………  </w:t>
      </w:r>
    </w:p>
    <w:p>
      <w:pPr>
        <w:numPr>
          <w:ilvl w:val="0"/>
          <w:numId w:val="4"/>
        </w:numPr>
        <w:spacing w:line="480" w:lineRule="auto"/>
        <w:outlineLvl w:val="0"/>
        <w:rPr>
          <w:rFonts w:eastAsia="黑体"/>
          <w:sz w:val="36"/>
        </w:rPr>
      </w:pPr>
      <w:r>
        <w:rPr>
          <w:rFonts w:hint="eastAsia" w:eastAsia="黑体"/>
          <w:sz w:val="36"/>
        </w:rPr>
        <w:t>合同文本……………………………………</w:t>
      </w:r>
    </w:p>
    <w:p>
      <w:pPr>
        <w:numPr>
          <w:ilvl w:val="0"/>
          <w:numId w:val="4"/>
        </w:numPr>
        <w:spacing w:line="480" w:lineRule="auto"/>
        <w:outlineLvl w:val="0"/>
        <w:rPr>
          <w:rFonts w:eastAsia="黑体"/>
          <w:sz w:val="36"/>
        </w:rPr>
      </w:pPr>
      <w:r>
        <w:rPr>
          <w:rFonts w:hint="eastAsia" w:eastAsia="黑体"/>
          <w:sz w:val="36"/>
        </w:rPr>
        <w:t>采购需求……………………………………</w:t>
      </w:r>
    </w:p>
    <w:p>
      <w:pPr>
        <w:numPr>
          <w:ilvl w:val="0"/>
          <w:numId w:val="4"/>
        </w:numPr>
        <w:spacing w:line="480" w:lineRule="auto"/>
        <w:outlineLvl w:val="0"/>
        <w:rPr>
          <w:rFonts w:eastAsia="黑体"/>
          <w:sz w:val="36"/>
        </w:rPr>
      </w:pPr>
      <w:r>
        <w:rPr>
          <w:rFonts w:hint="eastAsia" w:eastAsia="黑体"/>
          <w:bCs/>
          <w:sz w:val="36"/>
          <w:szCs w:val="36"/>
        </w:rPr>
        <w:t>评标方法与评标标准</w:t>
      </w:r>
      <w:r>
        <w:rPr>
          <w:rFonts w:hint="eastAsia" w:eastAsia="黑体"/>
          <w:sz w:val="36"/>
        </w:rPr>
        <w:t>………………………</w:t>
      </w:r>
    </w:p>
    <w:p>
      <w:pPr>
        <w:numPr>
          <w:ilvl w:val="0"/>
          <w:numId w:val="4"/>
        </w:numPr>
        <w:spacing w:line="480" w:lineRule="auto"/>
        <w:outlineLvl w:val="0"/>
        <w:rPr>
          <w:rFonts w:eastAsia="黑体"/>
          <w:sz w:val="36"/>
        </w:rPr>
      </w:pPr>
      <w:r>
        <w:rPr>
          <w:rFonts w:hint="eastAsia" w:eastAsia="黑体"/>
          <w:sz w:val="36"/>
        </w:rPr>
        <w:t>投标文件格式………………………………</w:t>
      </w:r>
    </w:p>
    <w:p/>
    <w:p/>
    <w:p/>
    <w:p/>
    <w:p/>
    <w:p/>
    <w:p/>
    <w:p/>
    <w:p/>
    <w:p/>
    <w:p/>
    <w:p/>
    <w:p/>
    <w:p/>
    <w:p/>
    <w:p/>
    <w:p/>
    <w:p/>
    <w:p/>
    <w:p/>
    <w:p/>
    <w:p/>
    <w:p/>
    <w:p/>
    <w:p/>
    <w:p/>
    <w:p>
      <w:pPr>
        <w:pStyle w:val="3"/>
        <w:rPr>
          <w:rFonts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投标邀请</w:t>
      </w:r>
    </w:p>
    <w:p>
      <w:pPr>
        <w:spacing w:line="360" w:lineRule="auto"/>
        <w:ind w:firstLine="480" w:firstLineChars="200"/>
        <w:rPr>
          <w:sz w:val="24"/>
          <w:szCs w:val="24"/>
          <w:u w:val="single"/>
        </w:rPr>
      </w:pPr>
      <w:r>
        <w:rPr>
          <w:rFonts w:hint="eastAsia"/>
          <w:sz w:val="24"/>
          <w:szCs w:val="24"/>
        </w:rPr>
        <w:t>受</w:t>
      </w:r>
      <w:r>
        <w:rPr>
          <w:rFonts w:hint="eastAsia"/>
          <w:sz w:val="24"/>
          <w:szCs w:val="24"/>
          <w:u w:val="single"/>
        </w:rPr>
        <w:t>泗洪县农业农村局</w:t>
      </w:r>
      <w:r>
        <w:rPr>
          <w:rFonts w:hint="eastAsia"/>
          <w:sz w:val="24"/>
          <w:szCs w:val="24"/>
        </w:rPr>
        <w:t>的委托，</w:t>
      </w:r>
      <w:r>
        <w:rPr>
          <w:rFonts w:hint="eastAsia"/>
          <w:sz w:val="24"/>
          <w:szCs w:val="24"/>
          <w:u w:val="single"/>
        </w:rPr>
        <w:t>中天志远咨询有限公司</w:t>
      </w:r>
      <w:r>
        <w:rPr>
          <w:rFonts w:hint="eastAsia"/>
          <w:sz w:val="24"/>
          <w:szCs w:val="24"/>
        </w:rPr>
        <w:t>就</w:t>
      </w:r>
      <w:r>
        <w:rPr>
          <w:rFonts w:hint="eastAsia"/>
          <w:sz w:val="24"/>
          <w:szCs w:val="24"/>
          <w:u w:val="single"/>
        </w:rPr>
        <w:t>2023年泗洪县农药包装废弃物回收处理项目 ([项目编号JSZC-321324-ZTZY-G2024-0013 ])</w:t>
      </w:r>
      <w:r>
        <w:rPr>
          <w:rFonts w:hint="eastAsia"/>
          <w:sz w:val="24"/>
          <w:szCs w:val="24"/>
        </w:rPr>
        <w:t>项目进行公开招标采购，欢迎符合条件的投标人投标。</w:t>
      </w:r>
    </w:p>
    <w:p>
      <w:pPr>
        <w:pBdr>
          <w:top w:val="single" w:color="auto" w:sz="4" w:space="1"/>
          <w:left w:val="single" w:color="auto" w:sz="4" w:space="4"/>
          <w:bottom w:val="single" w:color="auto" w:sz="4" w:space="1"/>
          <w:right w:val="single" w:color="auto" w:sz="4" w:space="4"/>
        </w:pBdr>
        <w:spacing w:line="360" w:lineRule="auto"/>
        <w:ind w:firstLine="480" w:firstLineChars="200"/>
        <w:rPr>
          <w:sz w:val="24"/>
          <w:szCs w:val="24"/>
        </w:rPr>
      </w:pPr>
      <w:r>
        <w:rPr>
          <w:rFonts w:hint="eastAsia"/>
          <w:sz w:val="24"/>
          <w:szCs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sz w:val="24"/>
          <w:szCs w:val="24"/>
        </w:rPr>
      </w:pPr>
      <w:r>
        <w:rPr>
          <w:rFonts w:hint="eastAsia"/>
          <w:sz w:val="24"/>
          <w:szCs w:val="24"/>
          <w:u w:val="single"/>
        </w:rPr>
        <w:t xml:space="preserve"> 2023年泗洪县农药包装废弃物回收处理项目</w:t>
      </w:r>
      <w:r>
        <w:rPr>
          <w:rFonts w:hint="eastAsia"/>
          <w:sz w:val="24"/>
          <w:szCs w:val="24"/>
        </w:rPr>
        <w:t xml:space="preserve"> 招标项目的潜在投标人</w:t>
      </w:r>
      <w:r>
        <w:rPr>
          <w:rFonts w:ascii="宋体" w:hAnsi="宋体" w:cs="宋体"/>
          <w:color w:val="000000"/>
          <w:sz w:val="24"/>
        </w:rPr>
        <w:t>通过</w:t>
      </w:r>
      <w:r>
        <w:rPr>
          <w:rFonts w:eastAsia="Times New Roman"/>
          <w:color w:val="000000"/>
          <w:sz w:val="24"/>
        </w:rPr>
        <w:t>“</w:t>
      </w:r>
      <w:r>
        <w:rPr>
          <w:rFonts w:ascii="宋体" w:hAnsi="宋体" w:cs="宋体"/>
          <w:color w:val="000000"/>
          <w:sz w:val="24"/>
        </w:rPr>
        <w:t>苏采云</w:t>
      </w:r>
      <w:r>
        <w:rPr>
          <w:rFonts w:eastAsia="Times New Roman"/>
          <w:color w:val="000000"/>
          <w:sz w:val="24"/>
        </w:rPr>
        <w:t>”</w:t>
      </w:r>
      <w:r>
        <w:rPr>
          <w:rFonts w:ascii="宋体" w:hAnsi="宋体" w:cs="宋体"/>
          <w:color w:val="000000"/>
          <w:sz w:val="24"/>
        </w:rPr>
        <w:t>系统（网址：</w:t>
      </w:r>
      <w:r>
        <w:rPr>
          <w:rFonts w:eastAsia="Times New Roman"/>
          <w:color w:val="000000"/>
          <w:sz w:val="24"/>
        </w:rPr>
        <w:t>http</w:t>
      </w:r>
      <w:r>
        <w:rPr>
          <w:rFonts w:ascii="宋体" w:hAnsi="宋体" w:cs="宋体"/>
          <w:color w:val="000000"/>
          <w:sz w:val="24"/>
        </w:rPr>
        <w:t>：</w:t>
      </w:r>
      <w:r>
        <w:rPr>
          <w:rFonts w:eastAsia="Times New Roman"/>
          <w:color w:val="000000"/>
          <w:sz w:val="24"/>
        </w:rPr>
        <w:t>//jszfcg.jsczt.cn/</w:t>
      </w:r>
      <w:r>
        <w:rPr>
          <w:rFonts w:ascii="宋体" w:hAnsi="宋体" w:cs="宋体"/>
          <w:color w:val="000000"/>
          <w:sz w:val="24"/>
        </w:rPr>
        <w:t>）或宿迁市政府采购网点击</w:t>
      </w:r>
      <w:r>
        <w:rPr>
          <w:rFonts w:eastAsia="Times New Roman"/>
          <w:color w:val="000000"/>
          <w:sz w:val="24"/>
        </w:rPr>
        <w:t>“</w:t>
      </w:r>
      <w:r>
        <w:rPr>
          <w:rFonts w:ascii="宋体" w:hAnsi="宋体" w:cs="宋体"/>
          <w:color w:val="000000"/>
          <w:sz w:val="24"/>
        </w:rPr>
        <w:t>政府采购管理交易系统（苏采云）</w:t>
      </w:r>
      <w:r>
        <w:rPr>
          <w:rFonts w:eastAsia="Times New Roman"/>
          <w:color w:val="000000"/>
          <w:sz w:val="24"/>
        </w:rPr>
        <w:t>”</w:t>
      </w:r>
      <w:r>
        <w:rPr>
          <w:rFonts w:ascii="宋体" w:hAnsi="宋体" w:cs="宋体"/>
          <w:color w:val="000000"/>
          <w:sz w:val="24"/>
        </w:rPr>
        <w:t>，使用</w:t>
      </w:r>
      <w:r>
        <w:rPr>
          <w:rFonts w:eastAsia="Times New Roman"/>
          <w:color w:val="000000"/>
          <w:sz w:val="24"/>
        </w:rPr>
        <w:t>CA</w:t>
      </w:r>
      <w:r>
        <w:rPr>
          <w:rFonts w:ascii="宋体" w:hAnsi="宋体" w:cs="宋体"/>
          <w:color w:val="000000"/>
          <w:sz w:val="24"/>
        </w:rPr>
        <w:t>锁进入系统从</w:t>
      </w:r>
      <w:r>
        <w:rPr>
          <w:rFonts w:eastAsia="Times New Roman"/>
          <w:color w:val="000000"/>
          <w:sz w:val="24"/>
        </w:rPr>
        <w:t>“</w:t>
      </w:r>
      <w:r>
        <w:rPr>
          <w:rFonts w:ascii="宋体" w:hAnsi="宋体" w:cs="宋体"/>
          <w:color w:val="000000"/>
          <w:sz w:val="24"/>
        </w:rPr>
        <w:t>项目参与</w:t>
      </w:r>
      <w:r>
        <w:rPr>
          <w:rFonts w:eastAsia="Times New Roman"/>
          <w:color w:val="000000"/>
          <w:sz w:val="24"/>
        </w:rPr>
        <w:t>”--“</w:t>
      </w:r>
      <w:r>
        <w:rPr>
          <w:rFonts w:ascii="宋体" w:hAnsi="宋体" w:cs="宋体"/>
          <w:color w:val="000000"/>
          <w:sz w:val="24"/>
        </w:rPr>
        <w:t>采购项目</w:t>
      </w:r>
      <w:r>
        <w:rPr>
          <w:rFonts w:eastAsia="Times New Roman"/>
          <w:color w:val="000000"/>
          <w:sz w:val="24"/>
        </w:rPr>
        <w:t>”</w:t>
      </w:r>
      <w:r>
        <w:rPr>
          <w:rFonts w:ascii="宋体" w:hAnsi="宋体" w:cs="宋体"/>
          <w:color w:val="000000"/>
          <w:sz w:val="24"/>
        </w:rPr>
        <w:t>菜单中，找到本项目获取采购文件（后缀名为</w:t>
      </w:r>
      <w:r>
        <w:rPr>
          <w:rFonts w:eastAsia="Times New Roman"/>
          <w:color w:val="000000"/>
          <w:sz w:val="24"/>
        </w:rPr>
        <w:t>“.kedt”</w:t>
      </w:r>
      <w:r>
        <w:rPr>
          <w:rFonts w:ascii="宋体" w:hAnsi="宋体" w:cs="宋体"/>
          <w:color w:val="000000"/>
          <w:sz w:val="24"/>
        </w:rPr>
        <w:t>）获取招标文件</w:t>
      </w:r>
      <w:r>
        <w:rPr>
          <w:rFonts w:hint="eastAsia" w:ascii="宋体" w:hAnsi="宋体" w:cs="宋体"/>
          <w:color w:val="000000"/>
          <w:sz w:val="24"/>
        </w:rPr>
        <w:t>，并于2024年</w:t>
      </w:r>
      <w:r>
        <w:rPr>
          <w:rFonts w:hint="eastAsia" w:ascii="宋体" w:hAnsi="宋体" w:cs="宋体"/>
          <w:color w:val="000000"/>
          <w:sz w:val="24"/>
          <w:lang w:val="en-US" w:eastAsia="zh-CN"/>
        </w:rPr>
        <w:t>08</w:t>
      </w:r>
      <w:r>
        <w:rPr>
          <w:rFonts w:hint="eastAsia" w:ascii="宋体" w:hAnsi="宋体" w:cs="宋体"/>
          <w:color w:val="000000"/>
          <w:sz w:val="24"/>
        </w:rPr>
        <w:t>月</w:t>
      </w:r>
      <w:r>
        <w:rPr>
          <w:rFonts w:hint="eastAsia" w:ascii="宋体" w:hAnsi="宋体" w:cs="宋体"/>
          <w:color w:val="000000"/>
          <w:sz w:val="24"/>
          <w:lang w:val="en-US" w:eastAsia="zh-CN"/>
        </w:rPr>
        <w:t>05</w:t>
      </w:r>
      <w:r>
        <w:rPr>
          <w:rFonts w:hint="eastAsia" w:ascii="宋体" w:hAnsi="宋体" w:cs="宋体"/>
          <w:color w:val="000000"/>
          <w:sz w:val="24"/>
        </w:rPr>
        <w:t>日09点</w:t>
      </w:r>
      <w:r>
        <w:rPr>
          <w:rFonts w:hint="eastAsia" w:ascii="宋体" w:hAnsi="宋体" w:cs="宋体"/>
          <w:color w:val="000000"/>
          <w:sz w:val="24"/>
          <w:lang w:val="en-US" w:eastAsia="zh-CN"/>
        </w:rPr>
        <w:t>00</w:t>
      </w:r>
      <w:r>
        <w:rPr>
          <w:rFonts w:hint="eastAsia" w:ascii="宋体" w:hAnsi="宋体" w:cs="宋体"/>
          <w:color w:val="000000"/>
          <w:sz w:val="24"/>
        </w:rPr>
        <w:t>分（北京时间）前递交响应文件</w:t>
      </w:r>
      <w:r>
        <w:rPr>
          <w:rFonts w:hint="eastAsia"/>
          <w:sz w:val="24"/>
          <w:szCs w:val="24"/>
        </w:rPr>
        <w:t>。</w:t>
      </w:r>
    </w:p>
    <w:p>
      <w:pPr>
        <w:pStyle w:val="5"/>
        <w:spacing w:before="0" w:after="0" w:line="560" w:lineRule="exact"/>
        <w:ind w:firstLine="498" w:firstLineChars="155"/>
      </w:pPr>
      <w:bookmarkStart w:id="6" w:name="_Toc35393621"/>
      <w:bookmarkStart w:id="7" w:name="_Toc28359079"/>
      <w:bookmarkStart w:id="8" w:name="_Toc38985263"/>
      <w:bookmarkStart w:id="9" w:name="_Toc35393790"/>
      <w:bookmarkStart w:id="10" w:name="_Toc28359002"/>
      <w:bookmarkStart w:id="11" w:name="_Hlk24379207"/>
      <w:r>
        <w:rPr>
          <w:rFonts w:hint="eastAsia"/>
        </w:rPr>
        <w:t>一、项目基本情况</w:t>
      </w:r>
      <w:bookmarkEnd w:id="6"/>
      <w:bookmarkEnd w:id="7"/>
      <w:bookmarkEnd w:id="8"/>
      <w:bookmarkEnd w:id="9"/>
      <w:bookmarkEnd w:id="10"/>
    </w:p>
    <w:p>
      <w:pPr>
        <w:spacing w:line="360" w:lineRule="auto"/>
        <w:ind w:firstLine="480" w:firstLineChars="200"/>
        <w:rPr>
          <w:sz w:val="24"/>
          <w:szCs w:val="24"/>
        </w:rPr>
      </w:pPr>
      <w:r>
        <w:rPr>
          <w:rFonts w:hint="eastAsia"/>
          <w:sz w:val="24"/>
          <w:szCs w:val="24"/>
        </w:rPr>
        <w:t>1.项目编号：</w:t>
      </w:r>
      <w:r>
        <w:rPr>
          <w:rFonts w:hint="eastAsia"/>
          <w:sz w:val="24"/>
          <w:szCs w:val="24"/>
          <w:u w:val="single"/>
        </w:rPr>
        <w:t xml:space="preserve">JSZC-321324-ZTZY-G2024-0013 </w:t>
      </w:r>
      <w:r>
        <w:rPr>
          <w:rFonts w:hint="eastAsia"/>
          <w:sz w:val="24"/>
          <w:szCs w:val="24"/>
        </w:rPr>
        <w:t xml:space="preserve"> </w:t>
      </w:r>
    </w:p>
    <w:p>
      <w:pPr>
        <w:spacing w:line="360" w:lineRule="auto"/>
        <w:ind w:firstLine="480" w:firstLineChars="200"/>
        <w:rPr>
          <w:sz w:val="24"/>
          <w:szCs w:val="24"/>
        </w:rPr>
      </w:pPr>
      <w:r>
        <w:rPr>
          <w:rFonts w:hint="eastAsia"/>
          <w:sz w:val="24"/>
          <w:szCs w:val="24"/>
        </w:rPr>
        <w:t>2.项目名称：2023年泗洪县农药包装废弃物回收处理项目</w:t>
      </w:r>
    </w:p>
    <w:bookmarkEnd w:id="11"/>
    <w:p>
      <w:pPr>
        <w:spacing w:line="360" w:lineRule="auto"/>
        <w:ind w:firstLine="480" w:firstLineChars="200"/>
        <w:rPr>
          <w:sz w:val="24"/>
          <w:szCs w:val="24"/>
        </w:rPr>
      </w:pPr>
      <w:r>
        <w:rPr>
          <w:rFonts w:hint="eastAsia"/>
          <w:sz w:val="24"/>
          <w:szCs w:val="24"/>
        </w:rPr>
        <w:t>3.预算金额：115万元，固定总价</w:t>
      </w:r>
    </w:p>
    <w:p>
      <w:pPr>
        <w:spacing w:line="360" w:lineRule="auto"/>
        <w:ind w:firstLine="480" w:firstLineChars="200"/>
        <w:rPr>
          <w:rFonts w:hint="eastAsia"/>
          <w:color w:val="000000"/>
          <w:sz w:val="24"/>
          <w:szCs w:val="24"/>
        </w:rPr>
      </w:pPr>
      <w:r>
        <w:rPr>
          <w:rFonts w:hint="eastAsia"/>
          <w:sz w:val="24"/>
          <w:szCs w:val="24"/>
        </w:rPr>
        <w:t>4.本项目</w:t>
      </w:r>
      <w:r>
        <w:rPr>
          <w:rFonts w:hint="eastAsia"/>
          <w:color w:val="000000"/>
          <w:sz w:val="24"/>
          <w:szCs w:val="24"/>
          <w:u w:val="single"/>
        </w:rPr>
        <w:t>设定单价为</w:t>
      </w:r>
      <w:r>
        <w:rPr>
          <w:rFonts w:hint="eastAsia"/>
          <w:color w:val="000000"/>
          <w:sz w:val="24"/>
          <w:szCs w:val="24"/>
        </w:rPr>
        <w:t>最高限价，最高限价为5000元/吨，以单价作为评审价, 高于此单价作废标处理。</w:t>
      </w:r>
    </w:p>
    <w:p>
      <w:pPr>
        <w:spacing w:line="360" w:lineRule="auto"/>
        <w:ind w:firstLine="480" w:firstLineChars="200"/>
        <w:rPr>
          <w:rFonts w:hint="default" w:eastAsia="宋体"/>
          <w:color w:val="000000"/>
          <w:sz w:val="24"/>
          <w:szCs w:val="24"/>
          <w:lang w:val="en-US" w:eastAsia="zh-CN"/>
        </w:rPr>
      </w:pPr>
      <w:r>
        <w:rPr>
          <w:rFonts w:hint="eastAsia"/>
          <w:color w:val="000000"/>
          <w:sz w:val="24"/>
          <w:szCs w:val="24"/>
          <w:lang w:val="en-US" w:eastAsia="zh-CN"/>
        </w:rPr>
        <w:t>注：请各投标人在开标一览表中填写单价报价。</w:t>
      </w:r>
    </w:p>
    <w:p>
      <w:pPr>
        <w:spacing w:line="360" w:lineRule="auto"/>
        <w:ind w:firstLine="480" w:firstLineChars="200"/>
        <w:rPr>
          <w:sz w:val="24"/>
          <w:szCs w:val="24"/>
          <w:u w:val="single"/>
        </w:rPr>
      </w:pPr>
      <w:r>
        <w:rPr>
          <w:rFonts w:hint="eastAsia"/>
          <w:sz w:val="24"/>
          <w:szCs w:val="24"/>
        </w:rPr>
        <w:t>5.采购需求（简介）：泗洪县农业农村局拟采购一家农药包装废弃物回收处置的服务机构，委托第三方实施项目，主要服务内容为农药包装废弃物回收处置。</w:t>
      </w:r>
      <w:r>
        <w:rPr>
          <w:rFonts w:hint="eastAsia" w:cs="宋体"/>
          <w:kern w:val="0"/>
          <w:sz w:val="24"/>
          <w:szCs w:val="24"/>
        </w:rPr>
        <w:t xml:space="preserve">（详细内容见本招标文件第四章） </w:t>
      </w:r>
    </w:p>
    <w:p>
      <w:pPr>
        <w:spacing w:line="360" w:lineRule="auto"/>
        <w:ind w:firstLine="480" w:firstLineChars="200"/>
        <w:rPr>
          <w:sz w:val="24"/>
          <w:szCs w:val="24"/>
        </w:rPr>
      </w:pPr>
      <w:r>
        <w:rPr>
          <w:rFonts w:hint="eastAsia"/>
          <w:sz w:val="24"/>
          <w:szCs w:val="24"/>
        </w:rPr>
        <w:t xml:space="preserve">6.合同履行期限：本项目实施期限为12个月  </w:t>
      </w:r>
    </w:p>
    <w:p>
      <w:pPr>
        <w:spacing w:line="360" w:lineRule="auto"/>
        <w:ind w:firstLine="480" w:firstLineChars="200"/>
        <w:rPr>
          <w:sz w:val="24"/>
          <w:szCs w:val="24"/>
          <w:highlight w:val="yellow"/>
        </w:rPr>
      </w:pPr>
      <w:r>
        <w:rPr>
          <w:rFonts w:hint="eastAsia"/>
          <w:sz w:val="24"/>
          <w:szCs w:val="24"/>
        </w:rPr>
        <w:t>7.</w:t>
      </w:r>
      <w:r>
        <w:rPr>
          <w:rFonts w:hint="eastAsia"/>
          <w:color w:val="000000"/>
          <w:sz w:val="24"/>
          <w:szCs w:val="24"/>
        </w:rPr>
        <w:t xml:space="preserve"> 本项目</w:t>
      </w:r>
      <w:r>
        <w:rPr>
          <w:rFonts w:hint="eastAsia"/>
          <w:color w:val="000000"/>
          <w:sz w:val="24"/>
          <w:szCs w:val="24"/>
          <w:u w:val="single"/>
        </w:rPr>
        <w:t>不接受</w:t>
      </w:r>
      <w:r>
        <w:rPr>
          <w:rFonts w:hint="eastAsia"/>
          <w:color w:val="000000"/>
          <w:sz w:val="24"/>
          <w:szCs w:val="24"/>
        </w:rPr>
        <w:t>联合体投标。</w:t>
      </w:r>
    </w:p>
    <w:p>
      <w:pPr>
        <w:pStyle w:val="5"/>
        <w:spacing w:before="0" w:after="0" w:line="560" w:lineRule="exact"/>
        <w:ind w:firstLine="498" w:firstLineChars="155"/>
      </w:pPr>
      <w:bookmarkStart w:id="12" w:name="_Toc35393791"/>
      <w:bookmarkStart w:id="13" w:name="_Toc28359080"/>
      <w:bookmarkStart w:id="14" w:name="_Toc28359003"/>
      <w:bookmarkStart w:id="15" w:name="_Toc35393622"/>
      <w:bookmarkStart w:id="16" w:name="_Toc38985264"/>
      <w:r>
        <w:rPr>
          <w:rFonts w:hint="eastAsia"/>
        </w:rPr>
        <w:t>二、申请人的资格要求：</w:t>
      </w:r>
      <w:bookmarkEnd w:id="12"/>
      <w:bookmarkEnd w:id="13"/>
      <w:bookmarkEnd w:id="14"/>
      <w:bookmarkEnd w:id="15"/>
      <w:bookmarkEnd w:id="16"/>
    </w:p>
    <w:p>
      <w:pPr>
        <w:spacing w:line="360" w:lineRule="auto"/>
        <w:ind w:firstLine="480" w:firstLineChars="200"/>
        <w:rPr>
          <w:sz w:val="24"/>
          <w:szCs w:val="24"/>
        </w:rPr>
      </w:pPr>
      <w:bookmarkStart w:id="17" w:name="_Toc35393623"/>
      <w:bookmarkStart w:id="18" w:name="_Toc35393792"/>
      <w:bookmarkStart w:id="19" w:name="_Toc28359004"/>
      <w:bookmarkStart w:id="20" w:name="_Toc28359081"/>
      <w:bookmarkStart w:id="21" w:name="_Toc38985265"/>
      <w:r>
        <w:rPr>
          <w:rFonts w:hint="eastAsia"/>
          <w:sz w:val="24"/>
          <w:szCs w:val="24"/>
        </w:rPr>
        <w:t>（一</w:t>
      </w:r>
      <w:r>
        <w:rPr>
          <w:sz w:val="24"/>
          <w:szCs w:val="24"/>
        </w:rPr>
        <w:t>）</w:t>
      </w:r>
      <w:r>
        <w:rPr>
          <w:rFonts w:hint="eastAsia"/>
          <w:sz w:val="24"/>
          <w:szCs w:val="24"/>
        </w:rPr>
        <w:t>通用</w:t>
      </w:r>
      <w:r>
        <w:rPr>
          <w:sz w:val="24"/>
          <w:szCs w:val="24"/>
        </w:rPr>
        <w:t>资格要求</w:t>
      </w:r>
    </w:p>
    <w:p>
      <w:pPr>
        <w:spacing w:line="360" w:lineRule="auto"/>
        <w:ind w:firstLine="480" w:firstLineChars="200"/>
        <w:rPr>
          <w:sz w:val="24"/>
          <w:szCs w:val="24"/>
        </w:rPr>
      </w:pPr>
      <w:r>
        <w:rPr>
          <w:rFonts w:hint="eastAsia"/>
          <w:sz w:val="24"/>
          <w:szCs w:val="24"/>
        </w:rPr>
        <w:t>1.具备《中华人民共和国政府采购法》第二十二条第一款规定的6项条件（按要求提供投标声明及承诺函）。</w:t>
      </w:r>
    </w:p>
    <w:p>
      <w:pPr>
        <w:spacing w:line="360" w:lineRule="auto"/>
        <w:ind w:firstLine="480" w:firstLineChars="200"/>
        <w:rPr>
          <w:sz w:val="24"/>
          <w:szCs w:val="24"/>
        </w:rPr>
      </w:pPr>
      <w:r>
        <w:rPr>
          <w:rFonts w:hint="eastAsia"/>
          <w:sz w:val="24"/>
          <w:szCs w:val="24"/>
        </w:rPr>
        <w:t xml:space="preserve">2.信用信息。信用信息查询渠道：“信用中国”网（www.creditchina.gov.cn）、“中国政府采购”网（www.ccgp.gov.cn）、江苏政府采购网（www.ccgp-jiangsu.gov.cn）。    </w:t>
      </w:r>
    </w:p>
    <w:p>
      <w:pPr>
        <w:spacing w:line="360" w:lineRule="auto"/>
        <w:ind w:firstLine="420"/>
        <w:rPr>
          <w:sz w:val="36"/>
          <w:szCs w:val="36"/>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pPr>
        <w:spacing w:line="360" w:lineRule="auto"/>
        <w:ind w:firstLine="480" w:firstLineChars="200"/>
        <w:rPr>
          <w:rFonts w:ascii="宋体" w:hAnsi="宋体" w:cs="宋体"/>
          <w:sz w:val="24"/>
          <w:szCs w:val="24"/>
        </w:rPr>
      </w:pPr>
      <w:r>
        <w:rPr>
          <w:rFonts w:hint="eastAsia" w:ascii="宋体" w:hAnsi="宋体" w:cs="宋体"/>
          <w:sz w:val="24"/>
          <w:szCs w:val="24"/>
        </w:rPr>
        <w:t>3.落实政府采购政策需满</w:t>
      </w:r>
      <w:r>
        <w:rPr>
          <w:rFonts w:hint="eastAsia"/>
          <w:sz w:val="24"/>
          <w:szCs w:val="24"/>
        </w:rPr>
        <w:t>足的资格要求：本项目为专门面向中小企业采购的项目,供应商须为中小微企业、监狱与戒毒企业、残疾人福利性单位（须提供中小企业声明函或残疾人福利性单位声明函，或监狱企业证明文件）。非中小型企业参与本项目投</w:t>
      </w:r>
      <w:r>
        <w:rPr>
          <w:rFonts w:hint="eastAsia" w:ascii="宋体" w:hAnsi="宋体" w:cs="宋体"/>
          <w:sz w:val="24"/>
          <w:szCs w:val="24"/>
        </w:rPr>
        <w:t>标，将作无效标处理。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4.本项目的特定资格要求：必须符合以下条件之一：</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（1）投标人具有农药包装废弃物回收处置资质；</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（2）环保型焚烧资质单位，具有焚烧一般固废资质企业且需环保主管部门同意 处置豁免后的农药包装废弃物资质。</w:t>
      </w:r>
    </w:p>
    <w:p>
      <w:pPr>
        <w:pStyle w:val="5"/>
        <w:spacing w:before="0" w:after="0" w:line="560" w:lineRule="exact"/>
        <w:ind w:firstLine="498" w:firstLineChars="155"/>
      </w:pPr>
      <w:r>
        <w:rPr>
          <w:rFonts w:hint="eastAsia"/>
        </w:rPr>
        <w:t>三、获取招标文件</w:t>
      </w:r>
      <w:bookmarkEnd w:id="17"/>
      <w:bookmarkEnd w:id="18"/>
      <w:bookmarkEnd w:id="19"/>
      <w:bookmarkEnd w:id="20"/>
      <w:bookmarkEnd w:id="21"/>
    </w:p>
    <w:p>
      <w:pPr>
        <w:spacing w:line="360" w:lineRule="auto"/>
        <w:ind w:firstLine="480" w:firstLineChars="200"/>
        <w:rPr>
          <w:rFonts w:cs="宋体"/>
          <w:sz w:val="24"/>
          <w:szCs w:val="24"/>
        </w:rPr>
      </w:pPr>
      <w:bookmarkStart w:id="22" w:name="_Toc28359082"/>
      <w:bookmarkStart w:id="23" w:name="_Toc28359005"/>
      <w:bookmarkStart w:id="24" w:name="_Toc35393624"/>
      <w:bookmarkStart w:id="25" w:name="_Toc35393793"/>
      <w:bookmarkStart w:id="26" w:name="_Toc38985266"/>
      <w:r>
        <w:rPr>
          <w:rFonts w:hint="eastAsia" w:cs="宋体"/>
          <w:sz w:val="24"/>
          <w:szCs w:val="24"/>
        </w:rPr>
        <w:t>1.时间：2024年</w:t>
      </w:r>
      <w:r>
        <w:rPr>
          <w:rFonts w:hint="eastAsia" w:cs="宋体"/>
          <w:sz w:val="24"/>
          <w:szCs w:val="24"/>
          <w:lang w:val="en-US" w:eastAsia="zh-CN"/>
        </w:rPr>
        <w:t>07</w:t>
      </w:r>
      <w:r>
        <w:rPr>
          <w:rFonts w:hint="eastAsia" w:cs="宋体"/>
          <w:sz w:val="24"/>
          <w:szCs w:val="24"/>
        </w:rPr>
        <w:t>月</w:t>
      </w:r>
      <w:r>
        <w:rPr>
          <w:rFonts w:hint="eastAsia" w:cs="宋体"/>
          <w:sz w:val="24"/>
          <w:szCs w:val="24"/>
          <w:lang w:val="en-US" w:eastAsia="zh-CN"/>
        </w:rPr>
        <w:t>15</w:t>
      </w:r>
      <w:r>
        <w:rPr>
          <w:rFonts w:hint="eastAsia" w:cs="宋体"/>
          <w:sz w:val="24"/>
          <w:szCs w:val="24"/>
        </w:rPr>
        <w:t>日00：00至</w:t>
      </w:r>
      <w:r>
        <w:rPr>
          <w:rFonts w:cs="宋体"/>
          <w:sz w:val="24"/>
          <w:szCs w:val="24"/>
        </w:rPr>
        <w:t>2024</w:t>
      </w:r>
      <w:r>
        <w:rPr>
          <w:rFonts w:hint="eastAsia" w:cs="宋体"/>
          <w:sz w:val="24"/>
          <w:szCs w:val="24"/>
        </w:rPr>
        <w:t>年</w:t>
      </w:r>
      <w:r>
        <w:rPr>
          <w:rFonts w:hint="eastAsia" w:cs="宋体"/>
          <w:sz w:val="24"/>
          <w:szCs w:val="24"/>
          <w:lang w:val="en-US" w:eastAsia="zh-CN"/>
        </w:rPr>
        <w:t>07</w:t>
      </w:r>
      <w:r>
        <w:rPr>
          <w:rFonts w:hint="eastAsia" w:cs="宋体"/>
          <w:sz w:val="24"/>
          <w:szCs w:val="24"/>
        </w:rPr>
        <w:t>月</w:t>
      </w:r>
      <w:r>
        <w:rPr>
          <w:rFonts w:hint="eastAsia" w:cs="宋体"/>
          <w:sz w:val="24"/>
          <w:szCs w:val="24"/>
          <w:lang w:val="en-US" w:eastAsia="zh-CN"/>
        </w:rPr>
        <w:t>19</w:t>
      </w:r>
      <w:r>
        <w:rPr>
          <w:rFonts w:hint="eastAsia" w:cs="宋体"/>
          <w:sz w:val="24"/>
          <w:szCs w:val="24"/>
        </w:rPr>
        <w:t>日23:59（北京时间，法定节假日除外）。</w:t>
      </w:r>
    </w:p>
    <w:p>
      <w:pPr>
        <w:spacing w:line="360" w:lineRule="auto"/>
        <w:ind w:firstLine="480" w:firstLineChars="200"/>
        <w:rPr>
          <w:rFonts w:cs="宋体"/>
          <w:sz w:val="24"/>
          <w:szCs w:val="24"/>
        </w:rPr>
      </w:pPr>
      <w:r>
        <w:rPr>
          <w:rFonts w:hint="eastAsia" w:cs="宋体"/>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pPr>
        <w:spacing w:line="360" w:lineRule="auto"/>
        <w:ind w:firstLine="480" w:firstLineChars="200"/>
        <w:rPr>
          <w:rFonts w:cs="宋体"/>
          <w:sz w:val="24"/>
          <w:szCs w:val="24"/>
        </w:rPr>
      </w:pPr>
      <w:bookmarkStart w:id="27" w:name="EB0c44ff4da61f4af989d119fe214be450"/>
      <w:r>
        <w:rPr>
          <w:rFonts w:hint="eastAsia" w:cs="宋体"/>
          <w:sz w:val="24"/>
          <w:szCs w:val="24"/>
        </w:rPr>
        <w:t>3.本项目共分1个包。投标人未按要求获取招标文件导致无法投标的，后果自负（其投标文件不予接受）。</w:t>
      </w:r>
      <w:bookmarkEnd w:id="27"/>
    </w:p>
    <w:p>
      <w:pPr>
        <w:pStyle w:val="5"/>
        <w:spacing w:before="0" w:after="0" w:line="560" w:lineRule="exact"/>
        <w:ind w:firstLine="498" w:firstLineChars="155"/>
      </w:pPr>
      <w:r>
        <w:rPr>
          <w:rFonts w:hint="eastAsia"/>
        </w:rPr>
        <w:t>四、提交投标文件</w:t>
      </w:r>
      <w:bookmarkEnd w:id="22"/>
      <w:bookmarkEnd w:id="23"/>
      <w:r>
        <w:rPr>
          <w:rFonts w:hint="eastAsia"/>
        </w:rPr>
        <w:t>截止时间、开标时间和地点</w:t>
      </w:r>
      <w:bookmarkEnd w:id="24"/>
      <w:bookmarkEnd w:id="25"/>
      <w:bookmarkEnd w:id="26"/>
    </w:p>
    <w:p>
      <w:pPr>
        <w:spacing w:line="560" w:lineRule="exact"/>
        <w:ind w:firstLine="480"/>
        <w:rPr>
          <w:rFonts w:cs="宋体"/>
          <w:color w:val="000000"/>
          <w:sz w:val="24"/>
          <w:szCs w:val="24"/>
        </w:rPr>
      </w:pPr>
      <w:r>
        <w:rPr>
          <w:rFonts w:hint="eastAsia"/>
          <w:bCs/>
          <w:sz w:val="24"/>
          <w:szCs w:val="24"/>
        </w:rPr>
        <w:t>1.</w:t>
      </w:r>
      <w:r>
        <w:rPr>
          <w:rFonts w:hint="eastAsia" w:cs="宋体"/>
          <w:sz w:val="24"/>
          <w:szCs w:val="24"/>
        </w:rPr>
        <w:t>提交投标文件截止时间、开标时间：</w:t>
      </w:r>
      <w:r>
        <w:rPr>
          <w:rFonts w:hint="eastAsia" w:cs="宋体"/>
          <w:sz w:val="24"/>
          <w:szCs w:val="24"/>
          <w:u w:val="single"/>
          <w:lang w:val="en-US" w:eastAsia="zh-CN"/>
        </w:rPr>
        <w:t>2024</w:t>
      </w:r>
      <w:r>
        <w:rPr>
          <w:rFonts w:hint="eastAsia"/>
          <w:bCs/>
          <w:sz w:val="24"/>
          <w:szCs w:val="24"/>
          <w:u w:val="single"/>
        </w:rPr>
        <w:t>年</w:t>
      </w:r>
      <w:r>
        <w:rPr>
          <w:rFonts w:hint="eastAsia"/>
          <w:bCs/>
          <w:sz w:val="24"/>
          <w:szCs w:val="24"/>
          <w:u w:val="single"/>
          <w:lang w:val="en-US" w:eastAsia="zh-CN"/>
        </w:rPr>
        <w:t>08</w:t>
      </w:r>
      <w:r>
        <w:rPr>
          <w:rFonts w:hint="eastAsia"/>
          <w:bCs/>
          <w:sz w:val="24"/>
          <w:szCs w:val="24"/>
          <w:u w:val="single"/>
        </w:rPr>
        <w:t>月</w:t>
      </w:r>
      <w:r>
        <w:rPr>
          <w:rFonts w:hint="eastAsia"/>
          <w:bCs/>
          <w:sz w:val="24"/>
          <w:szCs w:val="24"/>
          <w:u w:val="single"/>
          <w:lang w:val="en-US" w:eastAsia="zh-CN"/>
        </w:rPr>
        <w:t>05</w:t>
      </w:r>
      <w:r>
        <w:rPr>
          <w:rFonts w:hint="eastAsia"/>
          <w:bCs/>
          <w:sz w:val="24"/>
          <w:szCs w:val="24"/>
          <w:u w:val="single"/>
        </w:rPr>
        <w:t>日</w:t>
      </w:r>
      <w:r>
        <w:rPr>
          <w:rFonts w:hint="eastAsia"/>
          <w:bCs/>
          <w:sz w:val="24"/>
          <w:szCs w:val="24"/>
          <w:u w:val="single"/>
          <w:lang w:val="en-US" w:eastAsia="zh-CN"/>
        </w:rPr>
        <w:t>09</w:t>
      </w:r>
      <w:r>
        <w:rPr>
          <w:rFonts w:hint="eastAsia"/>
          <w:bCs/>
          <w:sz w:val="24"/>
          <w:szCs w:val="24"/>
          <w:u w:val="single"/>
        </w:rPr>
        <w:t>点</w:t>
      </w:r>
      <w:r>
        <w:rPr>
          <w:rFonts w:hint="eastAsia"/>
          <w:bCs/>
          <w:sz w:val="24"/>
          <w:szCs w:val="24"/>
          <w:u w:val="single"/>
          <w:lang w:val="en-US" w:eastAsia="zh-CN"/>
        </w:rPr>
        <w:t>00</w:t>
      </w:r>
      <w:r>
        <w:rPr>
          <w:rFonts w:hint="eastAsia"/>
          <w:bCs/>
          <w:sz w:val="24"/>
          <w:szCs w:val="24"/>
          <w:u w:val="single"/>
        </w:rPr>
        <w:t>分</w:t>
      </w:r>
      <w:r>
        <w:rPr>
          <w:rFonts w:hint="eastAsia"/>
          <w:bCs/>
          <w:sz w:val="24"/>
          <w:szCs w:val="24"/>
        </w:rPr>
        <w:t>（北京时间）</w:t>
      </w:r>
    </w:p>
    <w:p>
      <w:pPr>
        <w:spacing w:line="560" w:lineRule="exact"/>
        <w:ind w:firstLine="480" w:firstLineChars="200"/>
        <w:rPr>
          <w:rFonts w:cs="宋体"/>
          <w:sz w:val="24"/>
          <w:szCs w:val="24"/>
        </w:rPr>
      </w:pPr>
      <w:r>
        <w:rPr>
          <w:rFonts w:hint="eastAsia" w:cs="宋体"/>
          <w:sz w:val="24"/>
          <w:szCs w:val="24"/>
        </w:rPr>
        <w:t>2.地点：“苏采云”政府采购交易系统网上开标大厅。</w:t>
      </w:r>
    </w:p>
    <w:p>
      <w:pPr>
        <w:pStyle w:val="5"/>
        <w:spacing w:before="0" w:after="0" w:line="560" w:lineRule="exact"/>
        <w:ind w:firstLine="498" w:firstLineChars="155"/>
      </w:pPr>
      <w:bookmarkStart w:id="28" w:name="_Toc38985267"/>
      <w:bookmarkStart w:id="29" w:name="_Toc35393625"/>
      <w:bookmarkStart w:id="30" w:name="_Toc28359084"/>
      <w:bookmarkStart w:id="31" w:name="_Toc35393794"/>
      <w:bookmarkStart w:id="32" w:name="_Toc28359007"/>
      <w:r>
        <w:rPr>
          <w:rFonts w:hint="eastAsia"/>
        </w:rPr>
        <w:t>五、公告期限</w:t>
      </w:r>
      <w:bookmarkEnd w:id="28"/>
      <w:bookmarkEnd w:id="29"/>
      <w:bookmarkEnd w:id="30"/>
      <w:bookmarkEnd w:id="31"/>
      <w:bookmarkEnd w:id="32"/>
    </w:p>
    <w:p>
      <w:pPr>
        <w:spacing w:line="560" w:lineRule="exact"/>
        <w:ind w:firstLine="480"/>
        <w:rPr>
          <w:rFonts w:cs="宋体"/>
          <w:kern w:val="0"/>
          <w:sz w:val="24"/>
          <w:szCs w:val="24"/>
        </w:rPr>
      </w:pPr>
      <w:bookmarkStart w:id="33" w:name="_Toc35393626"/>
      <w:bookmarkStart w:id="34" w:name="_Toc35393795"/>
      <w:bookmarkStart w:id="35" w:name="_Toc38985268"/>
      <w:r>
        <w:rPr>
          <w:rFonts w:hint="eastAsia" w:cs="宋体"/>
          <w:kern w:val="0"/>
          <w:sz w:val="24"/>
          <w:szCs w:val="24"/>
        </w:rPr>
        <w:t>招标公告及招标文件公告期限为自本公告发布之日起5个工作日。</w:t>
      </w:r>
      <w:r>
        <w:rPr>
          <w:rFonts w:hint="eastAsia"/>
          <w:sz w:val="24"/>
          <w:highlight w:val="white"/>
        </w:rPr>
        <w:t>招标公告发布媒体：宿迁市政府采购网</w:t>
      </w:r>
      <w:r>
        <w:rPr>
          <w:rFonts w:hint="eastAsia" w:cs="仿宋_GB2312"/>
          <w:sz w:val="24"/>
          <w:szCs w:val="28"/>
          <w:highlight w:val="white"/>
        </w:rPr>
        <w:t>、宿迁市公共资源交易平台</w:t>
      </w:r>
      <w:r>
        <w:rPr>
          <w:rFonts w:hint="eastAsia"/>
          <w:sz w:val="24"/>
          <w:highlight w:val="white"/>
        </w:rPr>
        <w:t>、江苏省财政部门指定的媒体</w:t>
      </w:r>
      <w:r>
        <w:rPr>
          <w:rFonts w:hint="eastAsia" w:cs="宋体"/>
          <w:sz w:val="24"/>
          <w:szCs w:val="24"/>
          <w:highlight w:val="white"/>
        </w:rPr>
        <w:t>。</w:t>
      </w:r>
    </w:p>
    <w:p>
      <w:pPr>
        <w:pStyle w:val="5"/>
        <w:spacing w:before="0" w:after="0" w:line="560" w:lineRule="exact"/>
        <w:ind w:firstLine="498" w:firstLineChars="155"/>
      </w:pPr>
      <w:r>
        <w:rPr>
          <w:rFonts w:hint="eastAsia"/>
        </w:rPr>
        <w:t>六、其他补充事宜</w:t>
      </w:r>
      <w:bookmarkEnd w:id="33"/>
      <w:bookmarkEnd w:id="34"/>
      <w:bookmarkEnd w:id="35"/>
    </w:p>
    <w:p>
      <w:pPr>
        <w:spacing w:line="360" w:lineRule="auto"/>
        <w:ind w:firstLine="480"/>
        <w:rPr>
          <w:sz w:val="24"/>
          <w:highlight w:val="white"/>
        </w:rPr>
      </w:pPr>
      <w:bookmarkStart w:id="36" w:name="EB64e1f522fd8c43fcb4d3ba471386b3e7"/>
      <w:bookmarkStart w:id="37" w:name="_Toc35393796"/>
      <w:bookmarkStart w:id="38" w:name="_Toc38985269"/>
      <w:bookmarkStart w:id="39" w:name="_Toc35393627"/>
      <w:bookmarkStart w:id="40" w:name="_Toc28359008"/>
      <w:bookmarkStart w:id="41" w:name="_Toc28359085"/>
      <w:r>
        <w:rPr>
          <w:rFonts w:hint="eastAsia"/>
          <w:sz w:val="24"/>
          <w:highlight w:val="white"/>
        </w:rPr>
        <w:t>1.财政部门监督电话：0527-88359233。</w:t>
      </w:r>
    </w:p>
    <w:p>
      <w:pPr>
        <w:spacing w:line="360" w:lineRule="auto"/>
        <w:ind w:firstLine="480"/>
        <w:rPr>
          <w:sz w:val="24"/>
          <w:highlight w:val="white"/>
        </w:rPr>
      </w:pPr>
      <w:r>
        <w:rPr>
          <w:rFonts w:hint="eastAsia"/>
          <w:sz w:val="24"/>
          <w:highlight w:val="white"/>
        </w:rPr>
        <w:t>2.“CA”数字证书办理：“苏采云”系统目前仅支持“苏采云”系统下的意源CA。省内各地区办理的“苏采云”系统下的意源CA全省通用。宿迁地区CA数字证书办理联系方式：18762803891。</w:t>
      </w:r>
    </w:p>
    <w:p>
      <w:pPr>
        <w:pStyle w:val="87"/>
        <w:spacing w:line="360" w:lineRule="auto"/>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3.宿迁地区“苏采云”技术支持客服电话：0527-84225125、0519-86722806。</w:t>
      </w:r>
    </w:p>
    <w:p>
      <w:pPr>
        <w:pStyle w:val="87"/>
        <w:spacing w:line="360" w:lineRule="auto"/>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http://www.ccgp-jiangsu.gov.cn/jiangsu/zlxz/ee/ee3a4bc5a3454aa2b0d9312230633ce9.html。</w:t>
      </w:r>
    </w:p>
    <w:bookmarkEnd w:id="36"/>
    <w:p>
      <w:pPr>
        <w:spacing w:line="360" w:lineRule="auto"/>
        <w:ind w:firstLine="480"/>
        <w:rPr>
          <w:rFonts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p>
    <w:p>
      <w:pPr>
        <w:pStyle w:val="5"/>
        <w:spacing w:before="0" w:after="0" w:line="560" w:lineRule="exact"/>
        <w:ind w:firstLine="498" w:firstLineChars="155"/>
      </w:pPr>
      <w:r>
        <w:rPr>
          <w:rFonts w:hint="eastAsia"/>
        </w:rPr>
        <w:t>七、本次招标联系方式</w:t>
      </w:r>
      <w:bookmarkEnd w:id="37"/>
      <w:bookmarkEnd w:id="38"/>
      <w:bookmarkEnd w:id="39"/>
      <w:bookmarkEnd w:id="40"/>
      <w:bookmarkEnd w:id="41"/>
    </w:p>
    <w:p>
      <w:pPr>
        <w:widowControl/>
        <w:spacing w:line="360" w:lineRule="auto"/>
        <w:jc w:val="left"/>
        <w:rPr>
          <w:sz w:val="24"/>
          <w:szCs w:val="24"/>
        </w:rPr>
      </w:pPr>
      <w:r>
        <w:rPr>
          <w:rFonts w:hint="eastAsia" w:eastAsia="仿宋" w:cs="宋体"/>
          <w:sz w:val="28"/>
          <w:szCs w:val="28"/>
        </w:rPr>
        <w:t>　　</w:t>
      </w:r>
      <w:r>
        <w:rPr>
          <w:rFonts w:hint="eastAsia" w:cs="宋体"/>
          <w:sz w:val="24"/>
          <w:szCs w:val="24"/>
        </w:rPr>
        <w:t>1.采购人信息</w:t>
      </w:r>
    </w:p>
    <w:p>
      <w:pPr>
        <w:spacing w:line="360" w:lineRule="auto"/>
        <w:ind w:left="479" w:leftChars="228" w:firstLine="180" w:firstLineChars="75"/>
        <w:jc w:val="left"/>
        <w:rPr>
          <w:sz w:val="24"/>
          <w:szCs w:val="24"/>
        </w:rPr>
      </w:pPr>
      <w:r>
        <w:rPr>
          <w:rFonts w:hint="eastAsia"/>
          <w:sz w:val="24"/>
          <w:szCs w:val="24"/>
        </w:rPr>
        <w:t>名 称：泗洪县农业农村局</w:t>
      </w:r>
    </w:p>
    <w:p>
      <w:pPr>
        <w:spacing w:line="360" w:lineRule="auto"/>
        <w:ind w:left="479" w:leftChars="228" w:firstLine="180" w:firstLineChars="75"/>
        <w:jc w:val="left"/>
        <w:rPr>
          <w:sz w:val="24"/>
          <w:szCs w:val="24"/>
        </w:rPr>
      </w:pPr>
      <w:r>
        <w:rPr>
          <w:rFonts w:hint="eastAsia"/>
          <w:sz w:val="24"/>
          <w:szCs w:val="24"/>
        </w:rPr>
        <w:t>地址：</w:t>
      </w:r>
      <w:bookmarkStart w:id="42" w:name="EBc47d332cd3474bc88437be5d658b65c2"/>
      <w:r>
        <w:rPr>
          <w:rFonts w:hint="eastAsia"/>
          <w:sz w:val="24"/>
          <w:szCs w:val="24"/>
        </w:rPr>
        <w:t>宿迁市泗洪县</w:t>
      </w:r>
      <w:bookmarkEnd w:id="42"/>
      <w:r>
        <w:rPr>
          <w:rFonts w:hint="eastAsia"/>
          <w:sz w:val="24"/>
          <w:szCs w:val="24"/>
        </w:rPr>
        <w:t>人民北路10号</w:t>
      </w:r>
    </w:p>
    <w:p>
      <w:pPr>
        <w:spacing w:line="360" w:lineRule="auto"/>
        <w:ind w:left="479" w:leftChars="228" w:firstLine="180" w:firstLineChars="75"/>
        <w:jc w:val="left"/>
        <w:rPr>
          <w:sz w:val="24"/>
          <w:szCs w:val="24"/>
        </w:rPr>
      </w:pPr>
      <w:r>
        <w:rPr>
          <w:rFonts w:hint="eastAsia"/>
          <w:sz w:val="24"/>
          <w:szCs w:val="24"/>
        </w:rPr>
        <w:t xml:space="preserve">联系人：丁晓娟                       </w:t>
      </w:r>
    </w:p>
    <w:p>
      <w:pPr>
        <w:spacing w:line="360" w:lineRule="auto"/>
        <w:ind w:left="479" w:leftChars="228" w:firstLine="180" w:firstLineChars="75"/>
        <w:jc w:val="left"/>
        <w:rPr>
          <w:sz w:val="24"/>
          <w:szCs w:val="24"/>
        </w:rPr>
      </w:pPr>
      <w:r>
        <w:rPr>
          <w:rFonts w:hint="eastAsia"/>
          <w:sz w:val="24"/>
          <w:szCs w:val="24"/>
        </w:rPr>
        <w:t xml:space="preserve">联系方式：15261287892　　　　　　　　　　 </w:t>
      </w:r>
      <w:bookmarkStart w:id="43" w:name="_Toc28359009"/>
      <w:bookmarkStart w:id="44" w:name="_Toc28359086"/>
    </w:p>
    <w:p>
      <w:pPr>
        <w:widowControl/>
        <w:spacing w:line="360" w:lineRule="auto"/>
        <w:ind w:firstLine="480" w:firstLineChars="200"/>
        <w:jc w:val="left"/>
        <w:rPr>
          <w:sz w:val="24"/>
          <w:szCs w:val="24"/>
        </w:rPr>
      </w:pPr>
      <w:r>
        <w:rPr>
          <w:rFonts w:hint="eastAsia" w:cs="宋体"/>
          <w:sz w:val="24"/>
          <w:szCs w:val="24"/>
        </w:rPr>
        <w:t>2.</w:t>
      </w:r>
      <w:bookmarkEnd w:id="43"/>
      <w:bookmarkEnd w:id="44"/>
      <w:r>
        <w:rPr>
          <w:rFonts w:hint="eastAsia" w:cs="宋体"/>
          <w:sz w:val="24"/>
          <w:szCs w:val="24"/>
        </w:rPr>
        <w:t>采购代理机构信息</w:t>
      </w:r>
    </w:p>
    <w:p>
      <w:pPr>
        <w:spacing w:line="360" w:lineRule="auto"/>
        <w:ind w:left="479" w:leftChars="228" w:firstLine="180" w:firstLineChars="75"/>
        <w:jc w:val="left"/>
        <w:rPr>
          <w:sz w:val="24"/>
          <w:szCs w:val="24"/>
        </w:rPr>
      </w:pPr>
      <w:r>
        <w:rPr>
          <w:rFonts w:hint="eastAsia"/>
          <w:sz w:val="24"/>
          <w:szCs w:val="24"/>
        </w:rPr>
        <w:t>名 称：</w:t>
      </w:r>
      <w:bookmarkStart w:id="45" w:name="EBb18571cd95ca42908327a6a33216ffeb"/>
      <w:r>
        <w:rPr>
          <w:rFonts w:hint="eastAsia"/>
          <w:sz w:val="24"/>
          <w:szCs w:val="24"/>
        </w:rPr>
        <w:t>中天志远咨询有限公司</w:t>
      </w:r>
      <w:bookmarkEnd w:id="45"/>
    </w:p>
    <w:p>
      <w:pPr>
        <w:spacing w:line="360" w:lineRule="auto"/>
        <w:ind w:firstLine="720" w:firstLineChars="300"/>
        <w:rPr>
          <w:sz w:val="24"/>
          <w:szCs w:val="24"/>
        </w:rPr>
      </w:pPr>
      <w:r>
        <w:rPr>
          <w:rFonts w:hint="eastAsia"/>
          <w:sz w:val="24"/>
          <w:szCs w:val="24"/>
        </w:rPr>
        <w:t>地　址：</w:t>
      </w:r>
      <w:bookmarkStart w:id="46" w:name="EBfb70f9867c2c4e1ab9084720deaf6f28"/>
      <w:r>
        <w:rPr>
          <w:rFonts w:hint="eastAsia"/>
          <w:sz w:val="24"/>
          <w:szCs w:val="24"/>
        </w:rPr>
        <w:t>泗洪县富园天郡3号楼918室</w:t>
      </w:r>
      <w:bookmarkEnd w:id="46"/>
    </w:p>
    <w:p>
      <w:pPr>
        <w:spacing w:line="360" w:lineRule="auto"/>
        <w:ind w:firstLine="720" w:firstLineChars="300"/>
        <w:rPr>
          <w:sz w:val="24"/>
          <w:szCs w:val="24"/>
        </w:rPr>
      </w:pPr>
      <w:r>
        <w:rPr>
          <w:rFonts w:hint="eastAsia"/>
          <w:sz w:val="24"/>
          <w:szCs w:val="24"/>
        </w:rPr>
        <w:t xml:space="preserve">联系人： 郁景 </w:t>
      </w:r>
    </w:p>
    <w:p>
      <w:pPr>
        <w:spacing w:line="360" w:lineRule="auto"/>
        <w:ind w:firstLine="720" w:firstLineChars="300"/>
        <w:rPr>
          <w:sz w:val="24"/>
          <w:szCs w:val="24"/>
        </w:rPr>
      </w:pPr>
      <w:r>
        <w:rPr>
          <w:rFonts w:hint="eastAsia"/>
          <w:sz w:val="24"/>
          <w:szCs w:val="24"/>
        </w:rPr>
        <w:t>联系方式：</w:t>
      </w:r>
      <w:bookmarkStart w:id="47" w:name="_Toc28359087"/>
      <w:bookmarkStart w:id="48" w:name="_Toc28359010"/>
      <w:r>
        <w:rPr>
          <w:rFonts w:hint="eastAsia"/>
          <w:sz w:val="24"/>
          <w:szCs w:val="24"/>
        </w:rPr>
        <w:t>15151199338</w:t>
      </w:r>
    </w:p>
    <w:bookmarkEnd w:id="47"/>
    <w:bookmarkEnd w:id="48"/>
    <w:p>
      <w:pPr>
        <w:pStyle w:val="5"/>
        <w:spacing w:before="0" w:after="0" w:line="560" w:lineRule="exact"/>
        <w:ind w:firstLine="498" w:firstLineChars="155"/>
      </w:pPr>
      <w:r>
        <w:rPr>
          <w:rFonts w:hint="eastAsia"/>
        </w:rPr>
        <w:t>八、其他</w:t>
      </w:r>
    </w:p>
    <w:p>
      <w:pPr>
        <w:spacing w:line="560" w:lineRule="exact"/>
        <w:ind w:firstLine="480" w:firstLineChars="200"/>
        <w:rPr>
          <w:rFonts w:cs="仿宋_GB2312"/>
          <w:iCs/>
          <w:sz w:val="24"/>
          <w:highlight w:val="white"/>
        </w:rPr>
      </w:pPr>
      <w:r>
        <w:rPr>
          <w:rFonts w:hint="eastAsia" w:cs="仿宋_GB2312"/>
          <w:iCs/>
          <w:sz w:val="24"/>
          <w:highlight w:val="white"/>
        </w:rPr>
        <w:t>1、有关本次招标的事项若存在变动或修改，敬请及时关注“宿迁市政府采购网”等平台更正公告。</w:t>
      </w:r>
    </w:p>
    <w:p>
      <w:pPr>
        <w:tabs>
          <w:tab w:val="left" w:pos="900"/>
        </w:tabs>
        <w:spacing w:line="560" w:lineRule="exact"/>
        <w:ind w:firstLine="482" w:firstLineChars="200"/>
        <w:rPr>
          <w:bCs/>
          <w:sz w:val="24"/>
          <w:szCs w:val="24"/>
        </w:rPr>
      </w:pPr>
      <w:r>
        <w:rPr>
          <w:rFonts w:hint="eastAsia" w:cs="仿宋_GB2312"/>
          <w:b/>
          <w:bCs/>
          <w:iCs/>
          <w:sz w:val="24"/>
          <w:highlight w:val="white"/>
        </w:rPr>
        <w:t>2、</w:t>
      </w:r>
      <w:r>
        <w:rPr>
          <w:rFonts w:hint="eastAsia"/>
          <w:bCs/>
          <w:sz w:val="24"/>
          <w:szCs w:val="24"/>
        </w:rPr>
        <w:t>.本次招标不收取投标保证金。</w:t>
      </w:r>
    </w:p>
    <w:p>
      <w:pPr>
        <w:pStyle w:val="4"/>
        <w:ind w:firstLine="2429" w:firstLineChars="550"/>
        <w:jc w:val="both"/>
        <w:rPr>
          <w:rFonts w:ascii="Times New Roman" w:hAnsi="Times New Roman" w:eastAsia="黑体"/>
          <w:b w:val="0"/>
          <w:bCs w:val="0"/>
        </w:rPr>
      </w:pPr>
      <w:bookmarkStart w:id="49" w:name="_Toc120614211"/>
      <w:r>
        <w:rPr>
          <w:rFonts w:hint="eastAsia" w:ascii="Times New Roman" w:hAnsi="Times New Roman" w:eastAsia="黑体"/>
        </w:rPr>
        <w:br w:type="page"/>
      </w:r>
      <w:r>
        <w:rPr>
          <w:rFonts w:hint="eastAsia" w:ascii="Times New Roman" w:hAnsi="Times New Roman" w:eastAsia="黑体"/>
        </w:rPr>
        <w:t xml:space="preserve">第二章  </w:t>
      </w:r>
      <w:bookmarkEnd w:id="1"/>
      <w:bookmarkEnd w:id="2"/>
      <w:bookmarkEnd w:id="3"/>
      <w:bookmarkEnd w:id="4"/>
      <w:bookmarkEnd w:id="5"/>
      <w:bookmarkEnd w:id="49"/>
      <w:bookmarkStart w:id="50" w:name="_Toc513029202"/>
      <w:bookmarkStart w:id="51" w:name="_Toc120614213"/>
      <w:bookmarkStart w:id="52" w:name="_Toc20823274"/>
      <w:bookmarkStart w:id="53" w:name="_Toc16938518"/>
      <w:r>
        <w:rPr>
          <w:rFonts w:hint="eastAsia" w:ascii="Times New Roman" w:hAnsi="Times New Roman" w:eastAsia="黑体"/>
        </w:rPr>
        <w:t>投标人须知</w:t>
      </w:r>
      <w:bookmarkEnd w:id="50"/>
      <w:bookmarkEnd w:id="51"/>
      <w:bookmarkEnd w:id="52"/>
      <w:bookmarkEnd w:id="53"/>
    </w:p>
    <w:p>
      <w:pPr>
        <w:pStyle w:val="5"/>
        <w:spacing w:before="0" w:after="0" w:line="560" w:lineRule="exact"/>
        <w:ind w:firstLine="498" w:firstLineChars="155"/>
      </w:pPr>
      <w:bookmarkStart w:id="54" w:name="_Toc16938519"/>
      <w:bookmarkStart w:id="55" w:name="_Toc513029203"/>
      <w:bookmarkStart w:id="56" w:name="_Toc120614214"/>
      <w:bookmarkStart w:id="57" w:name="_Toc20823275"/>
      <w:r>
        <w:rPr>
          <w:rFonts w:hint="eastAsia"/>
        </w:rPr>
        <w:t>一、总则</w:t>
      </w:r>
      <w:bookmarkEnd w:id="54"/>
      <w:bookmarkEnd w:id="55"/>
      <w:bookmarkEnd w:id="56"/>
      <w:bookmarkEnd w:id="57"/>
    </w:p>
    <w:p>
      <w:pPr>
        <w:pStyle w:val="7"/>
        <w:spacing w:before="0" w:after="0" w:line="560" w:lineRule="exact"/>
        <w:ind w:firstLine="420" w:firstLineChars="150"/>
        <w:rPr>
          <w:rFonts w:ascii="Times New Roman" w:hAnsi="Times New Roman"/>
          <w:b w:val="0"/>
          <w:bCs w:val="0"/>
        </w:rPr>
      </w:pPr>
      <w:bookmarkStart w:id="58" w:name="_Hlt16619475"/>
      <w:bookmarkEnd w:id="58"/>
      <w:bookmarkStart w:id="59" w:name="_Toc458694821"/>
      <w:bookmarkStart w:id="60" w:name="_Toc20823276"/>
      <w:bookmarkStart w:id="61" w:name="_Toc513029204"/>
      <w:bookmarkStart w:id="62" w:name="_Toc16938520"/>
      <w:r>
        <w:rPr>
          <w:rFonts w:hint="eastAsia" w:ascii="Times New Roman" w:hAnsi="Times New Roman"/>
          <w:b w:val="0"/>
          <w:bCs w:val="0"/>
        </w:rPr>
        <w:t>1</w:t>
      </w:r>
      <w:bookmarkEnd w:id="59"/>
      <w:r>
        <w:rPr>
          <w:rFonts w:hint="eastAsia" w:ascii="Times New Roman" w:hAnsi="Times New Roman"/>
          <w:b w:val="0"/>
          <w:bCs w:val="0"/>
        </w:rPr>
        <w:t>、招标方式</w:t>
      </w:r>
      <w:bookmarkEnd w:id="60"/>
      <w:bookmarkEnd w:id="61"/>
      <w:bookmarkEnd w:id="62"/>
    </w:p>
    <w:p>
      <w:pPr>
        <w:spacing w:line="560" w:lineRule="exact"/>
        <w:ind w:firstLine="480" w:firstLineChars="200"/>
        <w:rPr>
          <w:sz w:val="24"/>
        </w:rPr>
      </w:pPr>
      <w:r>
        <w:rPr>
          <w:rFonts w:hint="eastAsia"/>
          <w:sz w:val="24"/>
        </w:rPr>
        <w:t>1.1 本次招标采取公开招标方式，本招标文件仅适用于招标公告中所述项目。</w:t>
      </w:r>
    </w:p>
    <w:p>
      <w:pPr>
        <w:pStyle w:val="7"/>
        <w:spacing w:before="0" w:after="0" w:line="560" w:lineRule="exact"/>
        <w:ind w:firstLine="420" w:firstLineChars="150"/>
        <w:rPr>
          <w:rFonts w:ascii="Times New Roman" w:hAnsi="Times New Roman"/>
          <w:b w:val="0"/>
          <w:bCs w:val="0"/>
        </w:rPr>
      </w:pPr>
      <w:bookmarkStart w:id="63" w:name="_Toc20823277"/>
      <w:bookmarkStart w:id="64" w:name="_Toc513029205"/>
      <w:bookmarkStart w:id="65" w:name="_Toc16938521"/>
      <w:r>
        <w:rPr>
          <w:rFonts w:hint="eastAsia" w:ascii="Times New Roman" w:hAnsi="Times New Roman"/>
          <w:b w:val="0"/>
          <w:bCs w:val="0"/>
        </w:rPr>
        <w:t>2、合格的投标人</w:t>
      </w:r>
      <w:bookmarkEnd w:id="63"/>
      <w:bookmarkEnd w:id="64"/>
      <w:bookmarkEnd w:id="65"/>
    </w:p>
    <w:p>
      <w:pPr>
        <w:spacing w:line="560" w:lineRule="exact"/>
        <w:ind w:firstLine="480" w:firstLineChars="200"/>
        <w:rPr>
          <w:sz w:val="24"/>
        </w:rPr>
      </w:pPr>
      <w:r>
        <w:rPr>
          <w:rFonts w:hint="eastAsia"/>
          <w:sz w:val="24"/>
        </w:rPr>
        <w:t>2.1满足招标公告中投标人的资格要求的规定。</w:t>
      </w:r>
    </w:p>
    <w:p>
      <w:pPr>
        <w:spacing w:line="560" w:lineRule="exact"/>
        <w:ind w:firstLine="480" w:firstLineChars="200"/>
        <w:rPr>
          <w:sz w:val="24"/>
        </w:rPr>
      </w:pPr>
      <w:r>
        <w:rPr>
          <w:rFonts w:hint="eastAsia"/>
          <w:sz w:val="24"/>
        </w:rPr>
        <w:t>2.2 满足本文件实质性要求和条件的规定。</w:t>
      </w:r>
    </w:p>
    <w:p>
      <w:pPr>
        <w:pStyle w:val="7"/>
        <w:spacing w:before="0" w:after="0" w:line="560" w:lineRule="exact"/>
        <w:ind w:firstLine="420" w:firstLineChars="150"/>
        <w:rPr>
          <w:rFonts w:ascii="Times New Roman" w:hAnsi="Times New Roman"/>
          <w:b w:val="0"/>
          <w:bCs w:val="0"/>
        </w:rPr>
      </w:pPr>
      <w:bookmarkStart w:id="66" w:name="_Toc20823278"/>
      <w:bookmarkStart w:id="67" w:name="_Toc16938522"/>
      <w:bookmarkStart w:id="68" w:name="_Toc513029206"/>
      <w:r>
        <w:rPr>
          <w:rFonts w:hint="eastAsia" w:ascii="Times New Roman" w:hAnsi="Times New Roman"/>
          <w:b w:val="0"/>
          <w:bCs w:val="0"/>
        </w:rPr>
        <w:t>3、适用法律</w:t>
      </w:r>
      <w:bookmarkEnd w:id="66"/>
      <w:bookmarkEnd w:id="67"/>
      <w:bookmarkEnd w:id="68"/>
    </w:p>
    <w:p>
      <w:pPr>
        <w:spacing w:line="560" w:lineRule="exact"/>
        <w:ind w:firstLine="480" w:firstLineChars="200"/>
        <w:rPr>
          <w:sz w:val="24"/>
        </w:rPr>
      </w:pPr>
      <w:r>
        <w:rPr>
          <w:rFonts w:hint="eastAsia"/>
          <w:sz w:val="24"/>
        </w:rPr>
        <w:t>3.1 本次招标及由此产生的合同受中华人民共和国有关的法律法规制约和保护。</w:t>
      </w:r>
    </w:p>
    <w:p>
      <w:pPr>
        <w:pStyle w:val="7"/>
        <w:spacing w:before="0" w:after="0" w:line="560" w:lineRule="exact"/>
        <w:ind w:firstLine="420" w:firstLineChars="150"/>
        <w:rPr>
          <w:rFonts w:ascii="Times New Roman" w:hAnsi="Times New Roman"/>
          <w:b w:val="0"/>
          <w:bCs w:val="0"/>
        </w:rPr>
      </w:pPr>
      <w:bookmarkStart w:id="69" w:name="_Toc16938523"/>
      <w:bookmarkStart w:id="70" w:name="_Toc513029207"/>
      <w:bookmarkStart w:id="71" w:name="_Toc20823279"/>
      <w:bookmarkStart w:id="72" w:name="_Toc462564067"/>
      <w:r>
        <w:rPr>
          <w:rFonts w:hint="eastAsia" w:ascii="Times New Roman" w:hAnsi="Times New Roman"/>
          <w:b w:val="0"/>
          <w:bCs w:val="0"/>
        </w:rPr>
        <w:t>4、投标费用</w:t>
      </w:r>
      <w:bookmarkEnd w:id="69"/>
      <w:bookmarkEnd w:id="70"/>
      <w:bookmarkEnd w:id="71"/>
      <w:bookmarkEnd w:id="72"/>
    </w:p>
    <w:p>
      <w:pPr>
        <w:spacing w:line="560" w:lineRule="exact"/>
        <w:ind w:firstLine="480" w:firstLineChars="200"/>
        <w:rPr>
          <w:sz w:val="24"/>
        </w:rPr>
      </w:pPr>
      <w:r>
        <w:rPr>
          <w:rFonts w:hint="eastAsia"/>
          <w:sz w:val="24"/>
        </w:rPr>
        <w:t>4.1 投标人应自行承担所有与参加投标有关的费用，无论投标过程中的做法和结果如何，中天志远咨询有限公司（以下简称采购代理机构）在任何情况下均无义务和责任承担这些费用。</w:t>
      </w:r>
    </w:p>
    <w:p>
      <w:pPr>
        <w:spacing w:line="560" w:lineRule="exact"/>
        <w:ind w:firstLine="480"/>
        <w:rPr>
          <w:sz w:val="24"/>
          <w:highlight w:val="none"/>
        </w:rPr>
      </w:pPr>
      <w:r>
        <w:rPr>
          <w:rFonts w:hint="eastAsia"/>
          <w:sz w:val="24"/>
          <w:highlight w:val="none"/>
        </w:rPr>
        <w:t>4.2代理费用收取方式及标准：按以下第 4.2.2 种方式执行</w:t>
      </w:r>
    </w:p>
    <w:p>
      <w:pPr>
        <w:spacing w:line="560" w:lineRule="exact"/>
        <w:ind w:firstLine="480"/>
        <w:rPr>
          <w:sz w:val="24"/>
          <w:highlight w:val="none"/>
        </w:rPr>
      </w:pPr>
      <w:r>
        <w:rPr>
          <w:rFonts w:hint="eastAsia"/>
          <w:sz w:val="24"/>
          <w:highlight w:val="none"/>
        </w:rPr>
        <w:t>4.2.1无需支付；</w:t>
      </w:r>
    </w:p>
    <w:p>
      <w:pPr>
        <w:pStyle w:val="87"/>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4.2.2具体方式及标准为：9400元。支付方式可以通过转账或数字人民币等方式。</w:t>
      </w:r>
    </w:p>
    <w:p>
      <w:pPr>
        <w:pStyle w:val="7"/>
        <w:spacing w:before="0" w:after="0" w:line="560" w:lineRule="exact"/>
        <w:ind w:firstLine="602" w:firstLineChars="200"/>
        <w:rPr>
          <w:rFonts w:ascii="Times New Roman" w:hAnsi="Times New Roman"/>
          <w:b w:val="0"/>
          <w:bCs w:val="0"/>
        </w:rPr>
      </w:pPr>
      <w:r>
        <w:rPr>
          <w:rFonts w:hint="eastAsia" w:ascii="Times New Roman" w:hAnsi="Times New Roman"/>
          <w:sz w:val="30"/>
        </w:rPr>
        <w:t>5、</w:t>
      </w:r>
      <w:r>
        <w:rPr>
          <w:rFonts w:hint="eastAsia" w:ascii="Times New Roman" w:hAnsi="Times New Roman"/>
          <w:b w:val="0"/>
          <w:bCs w:val="0"/>
        </w:rPr>
        <w:t>招标文件的约束力</w:t>
      </w:r>
    </w:p>
    <w:p>
      <w:pPr>
        <w:spacing w:line="560" w:lineRule="exact"/>
        <w:ind w:firstLine="480" w:firstLineChars="200"/>
        <w:rPr>
          <w:sz w:val="24"/>
          <w:szCs w:val="24"/>
        </w:rPr>
      </w:pPr>
      <w:r>
        <w:rPr>
          <w:rFonts w:hint="eastAsia"/>
          <w:bCs/>
          <w:sz w:val="24"/>
          <w:szCs w:val="24"/>
        </w:rPr>
        <w:t>5.1</w:t>
      </w:r>
      <w:r>
        <w:rPr>
          <w:rFonts w:hint="eastAsia"/>
          <w:sz w:val="24"/>
          <w:szCs w:val="24"/>
        </w:rPr>
        <w:t xml:space="preserve"> 投标人一旦参加本项目采购活动，即被认为接受了本招标文件的规定和约束。</w:t>
      </w:r>
    </w:p>
    <w:p>
      <w:pPr>
        <w:pStyle w:val="5"/>
        <w:spacing w:before="0" w:after="0" w:line="560" w:lineRule="exact"/>
        <w:ind w:firstLine="321" w:firstLineChars="100"/>
      </w:pPr>
      <w:bookmarkStart w:id="73" w:name="_Toc120614215"/>
      <w:bookmarkStart w:id="74" w:name="_Toc16938525"/>
      <w:bookmarkStart w:id="75" w:name="_Toc20823281"/>
      <w:bookmarkStart w:id="76" w:name="_Toc513029209"/>
      <w:r>
        <w:rPr>
          <w:rFonts w:hint="eastAsia"/>
        </w:rPr>
        <w:t>二、招标文件</w:t>
      </w:r>
      <w:bookmarkEnd w:id="73"/>
      <w:bookmarkEnd w:id="74"/>
      <w:bookmarkEnd w:id="75"/>
      <w:bookmarkEnd w:id="76"/>
    </w:p>
    <w:p>
      <w:pPr>
        <w:pStyle w:val="7"/>
        <w:spacing w:before="0" w:after="0" w:line="560" w:lineRule="exact"/>
        <w:ind w:firstLine="420" w:firstLineChars="150"/>
        <w:rPr>
          <w:rFonts w:ascii="Times New Roman" w:hAnsi="Times New Roman"/>
          <w:b w:val="0"/>
          <w:bCs w:val="0"/>
        </w:rPr>
      </w:pPr>
      <w:bookmarkStart w:id="77" w:name="_Toc20823282"/>
      <w:bookmarkStart w:id="78" w:name="_Toc16938526"/>
      <w:bookmarkStart w:id="79" w:name="_Toc513029210"/>
      <w:r>
        <w:rPr>
          <w:rFonts w:hint="eastAsia" w:ascii="Times New Roman" w:hAnsi="Times New Roman"/>
          <w:b w:val="0"/>
          <w:bCs w:val="0"/>
        </w:rPr>
        <w:t>6、招标文件构成</w:t>
      </w:r>
      <w:bookmarkEnd w:id="77"/>
      <w:bookmarkEnd w:id="78"/>
      <w:bookmarkEnd w:id="79"/>
    </w:p>
    <w:p>
      <w:pPr>
        <w:spacing w:line="560" w:lineRule="exact"/>
        <w:ind w:firstLine="480" w:firstLineChars="200"/>
        <w:rPr>
          <w:sz w:val="24"/>
        </w:rPr>
      </w:pPr>
      <w:r>
        <w:rPr>
          <w:rFonts w:hint="eastAsia"/>
          <w:bCs/>
          <w:sz w:val="24"/>
        </w:rPr>
        <w:t>6.1</w:t>
      </w:r>
      <w:r>
        <w:rPr>
          <w:rFonts w:hint="eastAsia"/>
          <w:sz w:val="24"/>
        </w:rPr>
        <w:t xml:space="preserve"> 招标文件由以下部分组成：</w:t>
      </w:r>
    </w:p>
    <w:p>
      <w:pPr>
        <w:spacing w:line="560" w:lineRule="exact"/>
        <w:ind w:firstLine="360" w:firstLineChars="150"/>
        <w:rPr>
          <w:sz w:val="24"/>
          <w:szCs w:val="24"/>
        </w:rPr>
      </w:pPr>
      <w:r>
        <w:rPr>
          <w:rFonts w:hint="eastAsia"/>
          <w:sz w:val="24"/>
          <w:szCs w:val="24"/>
        </w:rPr>
        <w:t>（1）投标</w:t>
      </w:r>
      <w:r>
        <w:rPr>
          <w:sz w:val="24"/>
          <w:szCs w:val="24"/>
        </w:rPr>
        <w:t>邀请</w:t>
      </w:r>
    </w:p>
    <w:p>
      <w:pPr>
        <w:spacing w:line="560" w:lineRule="exact"/>
        <w:ind w:firstLine="360" w:firstLineChars="150"/>
        <w:rPr>
          <w:sz w:val="24"/>
          <w:szCs w:val="24"/>
        </w:rPr>
      </w:pPr>
      <w:r>
        <w:rPr>
          <w:rFonts w:hint="eastAsia"/>
          <w:sz w:val="24"/>
          <w:szCs w:val="24"/>
        </w:rPr>
        <w:t>（2）投标人须知</w:t>
      </w:r>
    </w:p>
    <w:p>
      <w:pPr>
        <w:spacing w:line="560" w:lineRule="exact"/>
        <w:ind w:firstLine="360" w:firstLineChars="150"/>
        <w:rPr>
          <w:sz w:val="24"/>
          <w:szCs w:val="24"/>
        </w:rPr>
      </w:pPr>
      <w:r>
        <w:rPr>
          <w:rFonts w:hint="eastAsia"/>
          <w:sz w:val="24"/>
          <w:szCs w:val="24"/>
        </w:rPr>
        <w:t>（3）合同文本</w:t>
      </w:r>
    </w:p>
    <w:p>
      <w:pPr>
        <w:spacing w:line="560" w:lineRule="exact"/>
        <w:ind w:firstLine="360" w:firstLineChars="150"/>
        <w:rPr>
          <w:sz w:val="24"/>
          <w:szCs w:val="24"/>
        </w:rPr>
      </w:pPr>
      <w:r>
        <w:rPr>
          <w:rFonts w:hint="eastAsia"/>
          <w:sz w:val="24"/>
          <w:szCs w:val="24"/>
        </w:rPr>
        <w:t>（4）采购需求</w:t>
      </w:r>
    </w:p>
    <w:p>
      <w:pPr>
        <w:spacing w:line="560" w:lineRule="exact"/>
        <w:ind w:firstLine="360" w:firstLineChars="150"/>
        <w:rPr>
          <w:sz w:val="24"/>
          <w:szCs w:val="24"/>
        </w:rPr>
      </w:pPr>
      <w:r>
        <w:rPr>
          <w:rFonts w:hint="eastAsia"/>
          <w:sz w:val="24"/>
          <w:szCs w:val="24"/>
        </w:rPr>
        <w:t>（5）评标方法与评标标准</w:t>
      </w:r>
    </w:p>
    <w:p>
      <w:pPr>
        <w:spacing w:line="560" w:lineRule="exact"/>
        <w:ind w:firstLine="360" w:firstLineChars="150"/>
        <w:rPr>
          <w:sz w:val="24"/>
          <w:szCs w:val="24"/>
        </w:rPr>
      </w:pPr>
      <w:r>
        <w:rPr>
          <w:rFonts w:hint="eastAsia"/>
          <w:sz w:val="24"/>
          <w:szCs w:val="24"/>
        </w:rPr>
        <w:t>（6）投标文件格式</w:t>
      </w:r>
    </w:p>
    <w:p>
      <w:pPr>
        <w:spacing w:line="560" w:lineRule="exact"/>
        <w:ind w:firstLine="480" w:firstLineChars="200"/>
        <w:rPr>
          <w:sz w:val="24"/>
        </w:rPr>
      </w:pPr>
      <w:r>
        <w:rPr>
          <w:rFonts w:hint="eastAsia"/>
          <w:sz w:val="24"/>
        </w:rPr>
        <w:t>请仔细检查招标文件是否齐全，如有缺漏请立即与采购代理机构联系解决。</w:t>
      </w:r>
    </w:p>
    <w:p>
      <w:pPr>
        <w:spacing w:line="560" w:lineRule="exact"/>
        <w:ind w:firstLine="480" w:firstLineChars="200"/>
        <w:rPr>
          <w:sz w:val="24"/>
        </w:rPr>
      </w:pPr>
      <w:r>
        <w:rPr>
          <w:rFonts w:hint="eastAsia"/>
          <w:bCs/>
          <w:sz w:val="24"/>
        </w:rPr>
        <w:t>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7"/>
        <w:spacing w:before="0" w:after="0" w:line="560" w:lineRule="exact"/>
        <w:ind w:firstLine="560" w:firstLineChars="200"/>
        <w:rPr>
          <w:rFonts w:ascii="Times New Roman" w:hAnsi="Times New Roman"/>
          <w:b w:val="0"/>
          <w:bCs w:val="0"/>
        </w:rPr>
      </w:pPr>
      <w:bookmarkStart w:id="80" w:name="_Toc20823283"/>
      <w:bookmarkStart w:id="81" w:name="_Toc462564070"/>
      <w:bookmarkStart w:id="82" w:name="_Toc16938527"/>
      <w:bookmarkStart w:id="83" w:name="_Toc513029211"/>
      <w:r>
        <w:rPr>
          <w:rFonts w:hint="eastAsia" w:ascii="Times New Roman" w:hAnsi="Times New Roman"/>
          <w:b w:val="0"/>
          <w:bCs w:val="0"/>
        </w:rPr>
        <w:t>7、招标文件的澄清</w:t>
      </w:r>
      <w:bookmarkEnd w:id="80"/>
      <w:bookmarkEnd w:id="81"/>
      <w:bookmarkEnd w:id="82"/>
      <w:bookmarkEnd w:id="83"/>
    </w:p>
    <w:p>
      <w:pPr>
        <w:spacing w:line="560" w:lineRule="exact"/>
        <w:ind w:firstLine="480" w:firstLineChars="200"/>
        <w:rPr>
          <w:sz w:val="24"/>
          <w:szCs w:val="24"/>
        </w:rPr>
      </w:pPr>
      <w:r>
        <w:rPr>
          <w:rFonts w:hint="eastAsia"/>
          <w:bCs/>
          <w:sz w:val="24"/>
        </w:rPr>
        <w:t>7.1</w:t>
      </w:r>
      <w:r>
        <w:rPr>
          <w:rFonts w:hint="eastAsia"/>
          <w:sz w:val="24"/>
        </w:rPr>
        <w:t xml:space="preserve"> 任何要求对招标文件进行澄清的投标人，应在投标截止期</w:t>
      </w:r>
      <w:r>
        <w:rPr>
          <w:rFonts w:hint="eastAsia"/>
          <w:b/>
          <w:sz w:val="24"/>
          <w:szCs w:val="24"/>
        </w:rPr>
        <w:t>十日</w:t>
      </w:r>
      <w:r>
        <w:rPr>
          <w:rFonts w:hint="eastAsia"/>
          <w:sz w:val="24"/>
          <w:szCs w:val="24"/>
        </w:rPr>
        <w:t>前</w:t>
      </w:r>
      <w:r>
        <w:rPr>
          <w:rFonts w:hint="eastAsia"/>
          <w:sz w:val="24"/>
        </w:rPr>
        <w:t>按招标公告中的通讯地址，以书面形式通知采购代理机构。</w:t>
      </w:r>
    </w:p>
    <w:p>
      <w:pPr>
        <w:pStyle w:val="7"/>
        <w:spacing w:before="0" w:after="0" w:line="560" w:lineRule="exact"/>
        <w:ind w:firstLine="560" w:firstLineChars="200"/>
        <w:rPr>
          <w:rFonts w:ascii="Times New Roman" w:hAnsi="Times New Roman"/>
          <w:b w:val="0"/>
          <w:bCs w:val="0"/>
        </w:rPr>
      </w:pPr>
      <w:bookmarkStart w:id="84" w:name="_Toc462564071"/>
      <w:bookmarkStart w:id="85" w:name="_Toc16938528"/>
      <w:bookmarkStart w:id="86" w:name="_Toc20823284"/>
      <w:bookmarkStart w:id="87" w:name="_Toc513029212"/>
      <w:r>
        <w:rPr>
          <w:rFonts w:hint="eastAsia" w:ascii="Times New Roman" w:hAnsi="Times New Roman"/>
          <w:b w:val="0"/>
          <w:bCs w:val="0"/>
        </w:rPr>
        <w:t>8、招标文件的修改</w:t>
      </w:r>
      <w:bookmarkEnd w:id="84"/>
      <w:bookmarkEnd w:id="85"/>
      <w:bookmarkEnd w:id="86"/>
      <w:bookmarkEnd w:id="87"/>
    </w:p>
    <w:p>
      <w:pPr>
        <w:spacing w:line="560" w:lineRule="exact"/>
        <w:ind w:firstLine="480" w:firstLineChars="200"/>
        <w:rPr>
          <w:bCs/>
          <w:sz w:val="24"/>
        </w:rPr>
      </w:pPr>
      <w:r>
        <w:rPr>
          <w:rFonts w:hint="eastAsia"/>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pPr>
        <w:spacing w:line="560" w:lineRule="exact"/>
        <w:ind w:firstLine="480" w:firstLineChars="200"/>
        <w:rPr>
          <w:bCs/>
          <w:sz w:val="24"/>
        </w:rPr>
      </w:pPr>
      <w:r>
        <w:rPr>
          <w:rFonts w:hint="eastAsia"/>
          <w:bCs/>
          <w:sz w:val="24"/>
        </w:rPr>
        <w:t>8.2 在投标截止时间前，采购代理机构可以对招标文件进行修改。</w:t>
      </w:r>
    </w:p>
    <w:p>
      <w:pPr>
        <w:spacing w:line="560" w:lineRule="exact"/>
        <w:ind w:firstLine="480" w:firstLineChars="200"/>
        <w:rPr>
          <w:bCs/>
          <w:sz w:val="24"/>
        </w:rPr>
      </w:pPr>
      <w:r>
        <w:rPr>
          <w:rFonts w:hint="eastAsia"/>
          <w:bCs/>
          <w:sz w:val="24"/>
        </w:rPr>
        <w:t>8.3 采购代理机构有权按照法定的要求推迟投标截止日期和开标日期。</w:t>
      </w:r>
    </w:p>
    <w:p>
      <w:pPr>
        <w:spacing w:line="560" w:lineRule="exact"/>
        <w:ind w:firstLine="480" w:firstLineChars="200"/>
        <w:rPr>
          <w:bCs/>
          <w:sz w:val="24"/>
        </w:rPr>
      </w:pPr>
      <w:r>
        <w:rPr>
          <w:rFonts w:hint="eastAsia"/>
          <w:bCs/>
          <w:sz w:val="24"/>
        </w:rPr>
        <w:t>8.4招标文件的修改将在原公告媒体上发布更正公告，补充文件将作为招标文件的组成部分，并对投标人具有约束力。</w:t>
      </w:r>
    </w:p>
    <w:p>
      <w:pPr>
        <w:spacing w:line="560" w:lineRule="exact"/>
        <w:ind w:firstLine="480" w:firstLineChars="200"/>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p>
    <w:p>
      <w:pPr>
        <w:pStyle w:val="5"/>
        <w:spacing w:before="0" w:after="0" w:line="560" w:lineRule="exact"/>
        <w:ind w:firstLine="482" w:firstLineChars="150"/>
      </w:pPr>
      <w:bookmarkStart w:id="88" w:name="_Toc120614216"/>
      <w:bookmarkStart w:id="89" w:name="_Toc462564072"/>
      <w:bookmarkStart w:id="90" w:name="_Toc20823285"/>
      <w:bookmarkStart w:id="91" w:name="_Toc16938529"/>
      <w:bookmarkStart w:id="92" w:name="_Toc513029213"/>
      <w:r>
        <w:rPr>
          <w:rFonts w:hint="eastAsia"/>
        </w:rPr>
        <w:t>三、投标文件的编制</w:t>
      </w:r>
      <w:bookmarkEnd w:id="88"/>
      <w:bookmarkEnd w:id="89"/>
      <w:bookmarkEnd w:id="90"/>
      <w:bookmarkEnd w:id="91"/>
      <w:bookmarkEnd w:id="92"/>
    </w:p>
    <w:p>
      <w:pPr>
        <w:pStyle w:val="7"/>
        <w:spacing w:before="0" w:after="0" w:line="560" w:lineRule="exact"/>
        <w:ind w:firstLine="560" w:firstLineChars="200"/>
        <w:rPr>
          <w:rFonts w:ascii="Times New Roman" w:hAnsi="Times New Roman"/>
          <w:bCs w:val="0"/>
        </w:rPr>
      </w:pPr>
      <w:bookmarkStart w:id="93" w:name="_Toc20823286"/>
      <w:bookmarkStart w:id="94" w:name="_Toc462564073"/>
      <w:bookmarkStart w:id="95" w:name="_Toc16938530"/>
      <w:bookmarkStart w:id="96" w:name="_Toc513029214"/>
      <w:r>
        <w:rPr>
          <w:rFonts w:hint="eastAsia" w:ascii="Times New Roman" w:hAnsi="Times New Roman"/>
          <w:b w:val="0"/>
          <w:bCs w:val="0"/>
        </w:rPr>
        <w:t>9、投标文件的语言及度量衡单位</w:t>
      </w:r>
      <w:bookmarkEnd w:id="93"/>
      <w:bookmarkEnd w:id="94"/>
      <w:bookmarkEnd w:id="95"/>
      <w:bookmarkEnd w:id="96"/>
    </w:p>
    <w:p>
      <w:pPr>
        <w:spacing w:line="560" w:lineRule="exact"/>
        <w:ind w:firstLine="480" w:firstLineChars="200"/>
        <w:rPr>
          <w:sz w:val="24"/>
        </w:rPr>
      </w:pPr>
      <w:r>
        <w:rPr>
          <w:rFonts w:hint="eastAsia"/>
          <w:bCs/>
          <w:sz w:val="24"/>
        </w:rPr>
        <w:t>9.1</w:t>
      </w:r>
      <w:r>
        <w:rPr>
          <w:rFonts w:hint="eastAsia"/>
          <w:sz w:val="24"/>
        </w:rPr>
        <w:t xml:space="preserve"> 投标人提交的投标文件以及投标人与采购代理机构就有关投标的所有来往通知、函件和文件均应使用</w:t>
      </w:r>
      <w:r>
        <w:rPr>
          <w:rFonts w:hint="eastAsia"/>
          <w:b/>
          <w:bCs/>
          <w:sz w:val="24"/>
        </w:rPr>
        <w:t>简体中文</w:t>
      </w:r>
      <w:r>
        <w:rPr>
          <w:rFonts w:hint="eastAsia"/>
          <w:sz w:val="24"/>
        </w:rPr>
        <w:t>。</w:t>
      </w:r>
    </w:p>
    <w:p>
      <w:pPr>
        <w:spacing w:line="560" w:lineRule="exact"/>
        <w:ind w:firstLine="480" w:firstLineChars="200"/>
        <w:rPr>
          <w:sz w:val="24"/>
        </w:rPr>
      </w:pPr>
      <w:r>
        <w:rPr>
          <w:rFonts w:hint="eastAsia"/>
          <w:bCs/>
          <w:sz w:val="24"/>
        </w:rPr>
        <w:t>9.2</w:t>
      </w:r>
      <w:r>
        <w:rPr>
          <w:rFonts w:hint="eastAsia"/>
          <w:sz w:val="24"/>
        </w:rPr>
        <w:t xml:space="preserve"> 除技术性能另有规定外，投标文件所使用的度量衡单位，均须采用国家法定计量单位。</w:t>
      </w:r>
    </w:p>
    <w:p>
      <w:pPr>
        <w:pStyle w:val="7"/>
        <w:spacing w:before="0" w:after="0" w:line="560" w:lineRule="exact"/>
        <w:ind w:firstLine="420" w:firstLineChars="150"/>
        <w:rPr>
          <w:rFonts w:ascii="Times New Roman" w:hAnsi="Times New Roman"/>
          <w:b w:val="0"/>
          <w:bCs w:val="0"/>
        </w:rPr>
      </w:pPr>
      <w:bookmarkStart w:id="97" w:name="_Toc462564074"/>
      <w:bookmarkStart w:id="98" w:name="_Toc513029215"/>
      <w:bookmarkStart w:id="99" w:name="_Toc20823287"/>
      <w:bookmarkStart w:id="100" w:name="_Toc16938531"/>
      <w:r>
        <w:rPr>
          <w:rFonts w:hint="eastAsia" w:ascii="Times New Roman" w:hAnsi="Times New Roman"/>
          <w:b w:val="0"/>
          <w:bCs w:val="0"/>
        </w:rPr>
        <w:t>10、投标文件构成</w:t>
      </w:r>
      <w:bookmarkEnd w:id="97"/>
      <w:bookmarkEnd w:id="98"/>
      <w:bookmarkEnd w:id="99"/>
      <w:bookmarkEnd w:id="100"/>
    </w:p>
    <w:p>
      <w:pPr>
        <w:spacing w:line="560" w:lineRule="exact"/>
        <w:ind w:firstLine="480" w:firstLineChars="200"/>
        <w:rPr>
          <w:bCs/>
          <w:sz w:val="24"/>
        </w:rPr>
      </w:pPr>
      <w:r>
        <w:rPr>
          <w:rFonts w:hint="eastAsia"/>
          <w:bCs/>
          <w:sz w:val="24"/>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pPr>
        <w:spacing w:line="560" w:lineRule="exact"/>
        <w:ind w:firstLine="480" w:firstLineChars="200"/>
        <w:rPr>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pPr>
        <w:spacing w:line="560" w:lineRule="exact"/>
        <w:ind w:firstLine="480" w:firstLineChars="200"/>
        <w:rPr>
          <w:sz w:val="24"/>
        </w:rPr>
      </w:pPr>
      <w:r>
        <w:rPr>
          <w:rFonts w:hint="eastAsia"/>
          <w:sz w:val="24"/>
        </w:rPr>
        <w:t>10.2 投标人编写的投标文件应包括资格证明文件、符合性证明文件、投标分项报价表、响应及偏离表、其他证明文件、投标函、开标一览表等部分。</w:t>
      </w:r>
    </w:p>
    <w:p>
      <w:pPr>
        <w:spacing w:line="560" w:lineRule="exact"/>
        <w:ind w:firstLine="480" w:firstLineChars="200"/>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pPr>
        <w:spacing w:line="560" w:lineRule="exact"/>
        <w:ind w:firstLine="480" w:firstLineChars="200"/>
        <w:rPr>
          <w:bCs/>
          <w:sz w:val="24"/>
        </w:rPr>
      </w:pPr>
      <w:r>
        <w:rPr>
          <w:rFonts w:hint="eastAsia"/>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pPr>
        <w:spacing w:line="560" w:lineRule="exact"/>
        <w:ind w:firstLine="480" w:firstLineChars="200"/>
        <w:rPr>
          <w:bCs/>
          <w:sz w:val="24"/>
        </w:rPr>
      </w:pPr>
      <w:r>
        <w:rPr>
          <w:rFonts w:hint="eastAsia"/>
          <w:bCs/>
          <w:sz w:val="24"/>
        </w:rPr>
        <w:t>10.2 如标书制作工具中格式和内容与“宿迁市政府采购网”发布的招标文件不一致，请以“宿迁市政府采购网”发布的招标文件为准。</w:t>
      </w:r>
    </w:p>
    <w:p>
      <w:pPr>
        <w:spacing w:line="560" w:lineRule="exact"/>
        <w:ind w:firstLine="480" w:firstLineChars="200"/>
        <w:rPr>
          <w:bCs/>
          <w:sz w:val="24"/>
        </w:rPr>
      </w:pPr>
      <w:r>
        <w:rPr>
          <w:rFonts w:hint="eastAsia"/>
          <w:bCs/>
          <w:sz w:val="24"/>
        </w:rPr>
        <w:t xml:space="preserve">10.6中标后按相关要求提供与电子投标文件一致的纸质打印投标文件2份。 </w:t>
      </w:r>
    </w:p>
    <w:p>
      <w:pPr>
        <w:spacing w:line="560" w:lineRule="exact"/>
        <w:ind w:firstLine="480" w:firstLineChars="200"/>
        <w:rPr>
          <w:bCs/>
          <w:sz w:val="24"/>
        </w:rPr>
      </w:pPr>
      <w:bookmarkStart w:id="101" w:name="EBc50e2bb832bb43068403b10c1cce6141"/>
      <w:r>
        <w:rPr>
          <w:rFonts w:hint="eastAsia"/>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p>
    <w:p>
      <w:pPr>
        <w:pStyle w:val="7"/>
        <w:spacing w:before="0" w:after="0" w:line="560" w:lineRule="exact"/>
        <w:ind w:firstLine="420" w:firstLineChars="150"/>
        <w:rPr>
          <w:rFonts w:ascii="Times New Roman" w:hAnsi="Times New Roman"/>
          <w:b w:val="0"/>
          <w:bCs w:val="0"/>
        </w:rPr>
      </w:pPr>
      <w:bookmarkStart w:id="102" w:name="_Hlt26668975"/>
      <w:bookmarkEnd w:id="102"/>
      <w:bookmarkStart w:id="103" w:name="_Hlt26670360"/>
      <w:bookmarkEnd w:id="103"/>
      <w:bookmarkStart w:id="104" w:name="_Hlt26954838"/>
      <w:bookmarkEnd w:id="104"/>
      <w:bookmarkStart w:id="105" w:name="_Toc49090509"/>
      <w:bookmarkStart w:id="106" w:name="_Toc14577357"/>
      <w:bookmarkStart w:id="107" w:name="_Toc513029219"/>
      <w:bookmarkStart w:id="108" w:name="_Toc513029216"/>
      <w:bookmarkStart w:id="109" w:name="_Toc49090507"/>
      <w:bookmarkStart w:id="110" w:name="_Toc14577354"/>
      <w:r>
        <w:rPr>
          <w:rFonts w:hint="eastAsia" w:ascii="Times New Roman" w:hAnsi="Times New Roman"/>
          <w:b w:val="0"/>
          <w:bCs w:val="0"/>
        </w:rPr>
        <w:t>11、证明投标人及投标标的符合招标文件规定的文件</w:t>
      </w:r>
      <w:bookmarkEnd w:id="105"/>
      <w:bookmarkEnd w:id="106"/>
      <w:bookmarkEnd w:id="107"/>
    </w:p>
    <w:bookmarkEnd w:id="108"/>
    <w:bookmarkEnd w:id="109"/>
    <w:bookmarkEnd w:id="110"/>
    <w:p>
      <w:pPr>
        <w:spacing w:line="560" w:lineRule="exact"/>
        <w:rPr>
          <w:sz w:val="24"/>
          <w:szCs w:val="24"/>
        </w:rPr>
      </w:pPr>
      <w:bookmarkStart w:id="111" w:name="_Toc14577355"/>
      <w:bookmarkStart w:id="112" w:name="_Toc49090508"/>
      <w:r>
        <w:rPr>
          <w:rFonts w:hint="eastAsia"/>
          <w:sz w:val="24"/>
          <w:szCs w:val="24"/>
        </w:rPr>
        <w:t xml:space="preserve">    11.1 投标人应按照法律、法规、规章和规范性文件以及招标文件要求提交证明文件，证明其及投标标的符合招标文件规定。</w:t>
      </w:r>
    </w:p>
    <w:p>
      <w:pPr>
        <w:spacing w:line="560" w:lineRule="exact"/>
        <w:ind w:firstLine="480" w:firstLineChars="200"/>
        <w:rPr>
          <w:sz w:val="24"/>
          <w:szCs w:val="24"/>
        </w:rPr>
      </w:pPr>
      <w:r>
        <w:rPr>
          <w:rFonts w:hint="eastAsia"/>
          <w:sz w:val="24"/>
          <w:szCs w:val="24"/>
        </w:rPr>
        <w:t>11.2招标文件对证明文件无明确形式要求的，证明文件可以以文字资料、图纸和数据等形式提交。</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12、投标分项报价</w:t>
      </w:r>
      <w:bookmarkEnd w:id="111"/>
      <w:bookmarkStart w:id="113" w:name="_Hlt26670373"/>
      <w:bookmarkEnd w:id="113"/>
      <w:r>
        <w:rPr>
          <w:rFonts w:hint="eastAsia" w:ascii="Times New Roman" w:hAnsi="Times New Roman"/>
          <w:b w:val="0"/>
          <w:bCs w:val="0"/>
        </w:rPr>
        <w:t>表</w:t>
      </w:r>
      <w:bookmarkEnd w:id="112"/>
    </w:p>
    <w:p>
      <w:pPr>
        <w:spacing w:line="560" w:lineRule="exact"/>
        <w:ind w:firstLine="480" w:firstLineChars="200"/>
        <w:rPr>
          <w:bCs/>
          <w:sz w:val="24"/>
        </w:rPr>
      </w:pPr>
      <w:r>
        <w:rPr>
          <w:rFonts w:hint="eastAsia"/>
          <w:bCs/>
          <w:sz w:val="24"/>
        </w:rPr>
        <w:t>12.1</w:t>
      </w:r>
      <w:r>
        <w:rPr>
          <w:rFonts w:hint="eastAsia"/>
          <w:sz w:val="24"/>
        </w:rPr>
        <w:t xml:space="preserve"> 投</w:t>
      </w:r>
      <w:bookmarkStart w:id="114" w:name="_Hlt26954840"/>
      <w:bookmarkEnd w:id="114"/>
      <w:r>
        <w:rPr>
          <w:rFonts w:hint="eastAsia"/>
          <w:sz w:val="24"/>
        </w:rPr>
        <w:t>标人应按照招标文件规定格式填报投标分项报价表</w:t>
      </w:r>
      <w:bookmarkStart w:id="115" w:name="_Hlt26670399"/>
      <w:bookmarkEnd w:id="115"/>
      <w:r>
        <w:rPr>
          <w:rFonts w:hint="eastAsia"/>
          <w:sz w:val="24"/>
        </w:rPr>
        <w:t>。</w:t>
      </w:r>
    </w:p>
    <w:p>
      <w:pPr>
        <w:spacing w:line="560" w:lineRule="exact"/>
        <w:ind w:firstLine="480" w:firstLineChars="200"/>
        <w:rPr>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pPr>
        <w:spacing w:line="560" w:lineRule="exact"/>
        <w:ind w:firstLine="480"/>
        <w:rPr>
          <w:bCs/>
          <w:color w:val="000000"/>
          <w:sz w:val="24"/>
        </w:rPr>
      </w:pPr>
      <w:bookmarkStart w:id="116" w:name="_Hlt26670403"/>
      <w:bookmarkEnd w:id="116"/>
      <w:bookmarkStart w:id="117" w:name="_Hlt26954848"/>
      <w:bookmarkEnd w:id="117"/>
      <w:bookmarkStart w:id="118" w:name="_Hlt26954846"/>
      <w:bookmarkEnd w:id="118"/>
      <w:bookmarkStart w:id="119" w:name="_Hlt26954842"/>
      <w:bookmarkEnd w:id="119"/>
      <w:bookmarkStart w:id="120" w:name="_Hlt26670482"/>
      <w:bookmarkEnd w:id="120"/>
      <w:bookmarkStart w:id="121" w:name="_Hlt26670425"/>
      <w:bookmarkEnd w:id="121"/>
      <w:bookmarkStart w:id="122" w:name="_Hlt26668983"/>
      <w:bookmarkEnd w:id="122"/>
      <w:bookmarkStart w:id="123" w:name="_Hlt26954731"/>
      <w:bookmarkEnd w:id="123"/>
      <w:bookmarkStart w:id="124" w:name="_Hlt26670486"/>
      <w:bookmarkEnd w:id="124"/>
      <w:bookmarkStart w:id="125" w:name="_Hlt26954844"/>
      <w:bookmarkEnd w:id="125"/>
      <w:r>
        <w:rPr>
          <w:bCs/>
          <w:color w:val="000000"/>
          <w:sz w:val="24"/>
        </w:rPr>
        <w:t>12.3</w:t>
      </w:r>
      <w:r>
        <w:rPr>
          <w:rFonts w:hint="eastAsia"/>
          <w:bCs/>
          <w:color w:val="000000"/>
          <w:sz w:val="24"/>
        </w:rPr>
        <w:t>本项目不接受备选的投标方案或有选择的报价，只允许有一个报价。投标报价内容包括：</w:t>
      </w:r>
      <w:r>
        <w:rPr>
          <w:rStyle w:val="156"/>
          <w:rFonts w:hint="default" w:ascii="宋体" w:hAnsi="宋体" w:eastAsia="宋体" w:cs="宋体"/>
          <w:color w:val="auto"/>
          <w:sz w:val="24"/>
          <w:szCs w:val="24"/>
        </w:rPr>
        <w:t>服务本身价格、回收处置、运输、装卸、人工、产品损耗、报验、检测、检验、售后服务、税费及工作成果交付使用过程中涉及到的其他一切费用</w:t>
      </w:r>
      <w:r>
        <w:rPr>
          <w:rStyle w:val="156"/>
          <w:rFonts w:hint="default" w:ascii="宋体" w:hAnsi="宋体" w:eastAsia="宋体"/>
          <w:color w:val="auto"/>
          <w:sz w:val="24"/>
          <w:szCs w:val="24"/>
        </w:rPr>
        <w:t>以及其它临时性杂项应急服务费用、政策性文件规定及合同包含的所有风险、责任等各项应有费用</w:t>
      </w:r>
      <w:r>
        <w:rPr>
          <w:rStyle w:val="156"/>
          <w:rFonts w:hint="default" w:ascii="宋体" w:hAnsi="宋体" w:eastAsia="宋体" w:cs="宋体"/>
          <w:color w:val="auto"/>
          <w:sz w:val="24"/>
          <w:szCs w:val="24"/>
        </w:rPr>
        <w:t>等，完成本项目所涉及到的一切相关费用。</w:t>
      </w:r>
    </w:p>
    <w:p>
      <w:pPr>
        <w:pStyle w:val="7"/>
        <w:spacing w:before="0" w:after="0" w:line="560" w:lineRule="exact"/>
        <w:ind w:firstLine="420" w:firstLineChars="150"/>
        <w:rPr>
          <w:b w:val="0"/>
          <w:bCs w:val="0"/>
        </w:rPr>
      </w:pPr>
      <w:r>
        <w:rPr>
          <w:rFonts w:hint="eastAsia"/>
          <w:b w:val="0"/>
          <w:bCs w:val="0"/>
        </w:rPr>
        <w:t xml:space="preserve"> 13、技术要求响应及偏离表、商务要求响应及偏离表</w:t>
      </w:r>
    </w:p>
    <w:p>
      <w:pPr>
        <w:autoSpaceDE w:val="0"/>
        <w:autoSpaceDN w:val="0"/>
        <w:adjustRightInd w:val="0"/>
        <w:spacing w:line="560" w:lineRule="exact"/>
        <w:ind w:firstLine="480"/>
        <w:rPr>
          <w:rFonts w:ascii="宋体" w:hAnsi="Arial" w:cs="宋体"/>
          <w:sz w:val="24"/>
          <w:lang w:val="zh-CN"/>
        </w:rPr>
      </w:pPr>
      <w:bookmarkStart w:id="126" w:name="_Toc49090510"/>
      <w:bookmarkStart w:id="127" w:name="_Toc14577359"/>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pPr>
        <w:tabs>
          <w:tab w:val="left" w:pos="1035"/>
        </w:tabs>
        <w:autoSpaceDE w:val="0"/>
        <w:autoSpaceDN w:val="0"/>
        <w:adjustRightInd w:val="0"/>
        <w:spacing w:line="560" w:lineRule="exact"/>
        <w:ind w:firstLine="480" w:firstLineChars="200"/>
        <w:rPr>
          <w:rFonts w:ascii="宋体" w:hAnsi="Arial" w:cs="宋体"/>
          <w:sz w:val="24"/>
          <w:lang w:val="zh-CN"/>
        </w:rPr>
      </w:pPr>
      <w:r>
        <w:rPr>
          <w:rFonts w:hint="eastAsia" w:ascii="宋体" w:hAnsi="Arial" w:cs="宋体"/>
          <w:sz w:val="24"/>
          <w:lang w:val="zh-CN"/>
        </w:rPr>
        <w:t>13.2 投标人可在投标文件中提供认为需要的其他技术文件或说明。</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14、投标声明及承诺函和开标一览表</w:t>
      </w:r>
    </w:p>
    <w:p>
      <w:pPr>
        <w:spacing w:line="560" w:lineRule="exact"/>
        <w:ind w:firstLine="480" w:firstLineChars="200"/>
        <w:rPr>
          <w:sz w:val="24"/>
        </w:rPr>
      </w:pPr>
      <w:r>
        <w:rPr>
          <w:rFonts w:hint="eastAsia"/>
          <w:bCs/>
          <w:sz w:val="24"/>
        </w:rPr>
        <w:t>14.1</w:t>
      </w:r>
      <w:r>
        <w:rPr>
          <w:rFonts w:hint="eastAsia"/>
          <w:sz w:val="24"/>
        </w:rPr>
        <w:t xml:space="preserve"> 投标人应按照招标文件中提供的格式完整、正确填写投标声明及承诺函、开标一览表。</w:t>
      </w:r>
    </w:p>
    <w:p>
      <w:pPr>
        <w:spacing w:line="560" w:lineRule="exact"/>
        <w:ind w:firstLine="480" w:firstLineChars="200"/>
        <w:rPr>
          <w:sz w:val="24"/>
        </w:rPr>
      </w:pPr>
      <w:r>
        <w:rPr>
          <w:rFonts w:hint="eastAsia"/>
          <w:bCs/>
          <w:sz w:val="24"/>
        </w:rPr>
        <w:t>14.2</w:t>
      </w:r>
      <w:r>
        <w:rPr>
          <w:rFonts w:hint="eastAsia"/>
          <w:sz w:val="24"/>
        </w:rPr>
        <w:t xml:space="preserve"> 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bookmarkEnd w:id="126"/>
    <w:bookmarkEnd w:id="127"/>
    <w:p>
      <w:pPr>
        <w:pStyle w:val="7"/>
        <w:spacing w:before="0" w:after="0" w:line="560" w:lineRule="exact"/>
        <w:ind w:firstLine="420" w:firstLineChars="150"/>
        <w:rPr>
          <w:rFonts w:ascii="Times New Roman" w:hAnsi="Times New Roman"/>
          <w:b w:val="0"/>
          <w:bCs w:val="0"/>
        </w:rPr>
      </w:pPr>
      <w:bookmarkStart w:id="128" w:name="_Hlt26670489"/>
      <w:bookmarkEnd w:id="128"/>
      <w:bookmarkStart w:id="129" w:name="_Hlt26954850"/>
      <w:bookmarkEnd w:id="129"/>
      <w:bookmarkStart w:id="130" w:name="_Hlt26954734"/>
      <w:bookmarkEnd w:id="130"/>
      <w:bookmarkStart w:id="131" w:name="_Toc49090511"/>
      <w:bookmarkStart w:id="132" w:name="_Toc14577360"/>
      <w:r>
        <w:rPr>
          <w:rFonts w:hint="eastAsia" w:ascii="Times New Roman" w:hAnsi="Times New Roman"/>
          <w:b w:val="0"/>
          <w:bCs w:val="0"/>
        </w:rPr>
        <w:t>15、投标有效期</w:t>
      </w:r>
      <w:bookmarkEnd w:id="131"/>
      <w:bookmarkEnd w:id="132"/>
    </w:p>
    <w:p>
      <w:pPr>
        <w:spacing w:line="560" w:lineRule="exact"/>
        <w:ind w:firstLine="480" w:firstLineChars="200"/>
        <w:rPr>
          <w:bCs/>
          <w:sz w:val="24"/>
        </w:rPr>
      </w:pPr>
      <w:r>
        <w:rPr>
          <w:rFonts w:hint="eastAsia"/>
          <w:sz w:val="24"/>
        </w:rPr>
        <w:t>15.1</w:t>
      </w:r>
      <w:r>
        <w:rPr>
          <w:rFonts w:hint="eastAsia"/>
          <w:bCs/>
          <w:sz w:val="24"/>
        </w:rPr>
        <w:t xml:space="preserve"> 投标有效期为开标之日后</w:t>
      </w:r>
      <w:r>
        <w:rPr>
          <w:rFonts w:hint="eastAsia"/>
          <w:b/>
          <w:sz w:val="24"/>
          <w:u w:val="single"/>
        </w:rPr>
        <w:t>六十（60）天</w:t>
      </w:r>
      <w:r>
        <w:rPr>
          <w:rFonts w:hint="eastAsia"/>
          <w:bCs/>
          <w:sz w:val="24"/>
        </w:rPr>
        <w:t>。投标有效期比规定短的将被视为未实质性响应招标</w:t>
      </w:r>
      <w:r>
        <w:rPr>
          <w:bCs/>
          <w:sz w:val="24"/>
        </w:rPr>
        <w:t>文件</w:t>
      </w:r>
      <w:r>
        <w:rPr>
          <w:rFonts w:hint="eastAsia"/>
          <w:bCs/>
          <w:sz w:val="24"/>
        </w:rPr>
        <w:t>而予以拒绝。</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16、投标有效期的延长</w:t>
      </w:r>
    </w:p>
    <w:p>
      <w:pPr>
        <w:spacing w:line="560" w:lineRule="exact"/>
        <w:ind w:firstLine="480" w:firstLineChars="200"/>
        <w:rPr>
          <w:bCs/>
          <w:sz w:val="24"/>
        </w:rPr>
      </w:pPr>
      <w:r>
        <w:rPr>
          <w:rFonts w:hint="eastAsia"/>
          <w:sz w:val="24"/>
        </w:rPr>
        <w:t>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pPr>
        <w:spacing w:line="560" w:lineRule="exact"/>
        <w:ind w:firstLine="480" w:firstLineChars="200"/>
        <w:rPr>
          <w:sz w:val="24"/>
        </w:rPr>
      </w:pPr>
      <w:r>
        <w:rPr>
          <w:rFonts w:hint="eastAsia"/>
          <w:sz w:val="24"/>
        </w:rPr>
        <w:t xml:space="preserve">16.2中标人的投标文件作为项目服务合同的附件，其有效期至中标人全部合同义务履行完毕为止。 </w:t>
      </w:r>
    </w:p>
    <w:p>
      <w:pPr>
        <w:pStyle w:val="5"/>
        <w:spacing w:before="0" w:after="0" w:line="560" w:lineRule="exact"/>
        <w:ind w:firstLine="482" w:firstLineChars="150"/>
      </w:pPr>
      <w:bookmarkStart w:id="133" w:name="_Hlt26954852"/>
      <w:bookmarkEnd w:id="133"/>
      <w:bookmarkStart w:id="134" w:name="_Hlt26954739"/>
      <w:bookmarkEnd w:id="134"/>
      <w:bookmarkStart w:id="135" w:name="_Toc120614217"/>
      <w:bookmarkStart w:id="136" w:name="_Toc20823296"/>
      <w:bookmarkStart w:id="137" w:name="_Toc16938540"/>
      <w:bookmarkStart w:id="138" w:name="_Toc513029224"/>
      <w:r>
        <w:rPr>
          <w:rFonts w:hint="eastAsia"/>
        </w:rPr>
        <w:t>四、投标文件的递交</w:t>
      </w:r>
      <w:bookmarkEnd w:id="135"/>
      <w:bookmarkEnd w:id="136"/>
      <w:bookmarkEnd w:id="137"/>
      <w:bookmarkEnd w:id="138"/>
    </w:p>
    <w:p>
      <w:pPr>
        <w:pStyle w:val="7"/>
        <w:spacing w:before="0" w:after="0" w:line="560" w:lineRule="exact"/>
        <w:ind w:firstLine="560" w:firstLineChars="200"/>
        <w:rPr>
          <w:rFonts w:ascii="Times New Roman" w:hAnsi="Times New Roman"/>
          <w:b w:val="0"/>
          <w:bCs w:val="0"/>
        </w:rPr>
      </w:pPr>
      <w:bookmarkStart w:id="139" w:name="_Toc513029225"/>
      <w:bookmarkStart w:id="140" w:name="_Toc462564084"/>
      <w:bookmarkStart w:id="141" w:name="_Toc20823297"/>
      <w:bookmarkStart w:id="142" w:name="_Toc16938541"/>
      <w:r>
        <w:rPr>
          <w:rFonts w:hint="eastAsia" w:ascii="Times New Roman" w:hAnsi="Times New Roman"/>
          <w:b w:val="0"/>
          <w:bCs w:val="0"/>
        </w:rPr>
        <w:t>17、投标文件</w:t>
      </w:r>
      <w:bookmarkEnd w:id="139"/>
      <w:bookmarkEnd w:id="140"/>
      <w:bookmarkEnd w:id="141"/>
      <w:bookmarkEnd w:id="142"/>
      <w:r>
        <w:rPr>
          <w:rFonts w:hint="eastAsia" w:ascii="Times New Roman" w:hAnsi="Times New Roman"/>
          <w:b w:val="0"/>
          <w:bCs w:val="0"/>
        </w:rPr>
        <w:t>的递交</w:t>
      </w:r>
    </w:p>
    <w:p>
      <w:pPr>
        <w:spacing w:line="560" w:lineRule="exact"/>
        <w:ind w:firstLine="480" w:firstLineChars="200"/>
        <w:rPr>
          <w:sz w:val="24"/>
        </w:rPr>
      </w:pPr>
      <w:r>
        <w:rPr>
          <w:rFonts w:hint="eastAsia"/>
          <w:sz w:val="24"/>
        </w:rPr>
        <w:t>17.1投标人应当按照《操作手册》规定，在投标截止时间前制作并上传电子投标文件。</w:t>
      </w:r>
      <w:bookmarkStart w:id="143" w:name="_Toc20823298"/>
      <w:bookmarkStart w:id="144" w:name="_Toc513029226"/>
      <w:bookmarkStart w:id="145" w:name="_Toc16938542"/>
    </w:p>
    <w:p>
      <w:pPr>
        <w:spacing w:line="560" w:lineRule="exact"/>
        <w:ind w:firstLine="480" w:firstLineChars="200"/>
        <w:rPr>
          <w:sz w:val="24"/>
        </w:rPr>
      </w:pPr>
      <w:r>
        <w:rPr>
          <w:rFonts w:hint="eastAsia"/>
          <w:sz w:val="24"/>
        </w:rPr>
        <w:t>17.2投标人通过“苏采云”系统不见面开标大厅在线参与开标活动。（具体操作详见《“苏采云”系统投标人操作手册》，网址链接</w:t>
      </w:r>
      <w:r>
        <w:rPr>
          <w:rFonts w:hint="eastAsia"/>
          <w:sz w:val="22"/>
          <w:szCs w:val="20"/>
        </w:rPr>
        <w:t>http://www.ccgp-jiangsu.gov.cn//webfile/jiangsu/202311/1699268553318052447.pdf）</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18、投标截止</w:t>
      </w:r>
      <w:bookmarkEnd w:id="143"/>
      <w:bookmarkEnd w:id="144"/>
      <w:bookmarkEnd w:id="145"/>
      <w:r>
        <w:rPr>
          <w:rFonts w:hint="eastAsia" w:ascii="Times New Roman" w:hAnsi="Times New Roman"/>
          <w:b w:val="0"/>
          <w:bCs w:val="0"/>
        </w:rPr>
        <w:t>时间</w:t>
      </w:r>
    </w:p>
    <w:p>
      <w:pPr>
        <w:spacing w:line="560" w:lineRule="exact"/>
        <w:ind w:firstLine="480" w:firstLineChars="200"/>
        <w:rPr>
          <w:bCs/>
          <w:iCs/>
          <w:sz w:val="24"/>
        </w:rPr>
      </w:pPr>
      <w:r>
        <w:rPr>
          <w:rFonts w:hint="eastAsia"/>
          <w:iCs/>
          <w:sz w:val="24"/>
        </w:rPr>
        <w:t>18.1</w:t>
      </w:r>
      <w:r>
        <w:rPr>
          <w:rFonts w:hint="eastAsia"/>
          <w:bCs/>
          <w:iCs/>
          <w:sz w:val="24"/>
        </w:rPr>
        <w:t xml:space="preserve"> 投标人上传电子投标文件的时间不得迟于招标公告中规定的投标截止时间。</w:t>
      </w:r>
    </w:p>
    <w:p>
      <w:pPr>
        <w:spacing w:line="560" w:lineRule="exact"/>
        <w:ind w:firstLine="480" w:firstLineChars="200"/>
        <w:rPr>
          <w:bCs/>
          <w:i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pPr>
        <w:spacing w:line="560" w:lineRule="exact"/>
        <w:ind w:firstLine="480" w:firstLineChars="200"/>
        <w:rPr>
          <w:bCs/>
          <w:sz w:val="24"/>
        </w:rPr>
      </w:pPr>
      <w:r>
        <w:rPr>
          <w:rFonts w:hint="eastAsia"/>
          <w:sz w:val="24"/>
        </w:rPr>
        <w:t>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pPr>
        <w:pStyle w:val="7"/>
        <w:spacing w:before="0" w:after="0" w:line="560" w:lineRule="exact"/>
        <w:ind w:firstLine="420" w:firstLineChars="150"/>
        <w:rPr>
          <w:rFonts w:ascii="Times New Roman" w:hAnsi="Times New Roman"/>
          <w:b w:val="0"/>
          <w:bCs w:val="0"/>
        </w:rPr>
      </w:pPr>
      <w:bookmarkStart w:id="146" w:name="_Toc16938543"/>
      <w:bookmarkStart w:id="147" w:name="_Toc20823299"/>
      <w:bookmarkStart w:id="148" w:name="_Toc513029227"/>
      <w:r>
        <w:rPr>
          <w:rFonts w:hint="eastAsia" w:ascii="Times New Roman" w:hAnsi="Times New Roman"/>
          <w:b w:val="0"/>
          <w:bCs w:val="0"/>
        </w:rPr>
        <w:t>19、投标文件</w:t>
      </w:r>
      <w:bookmarkEnd w:id="146"/>
      <w:bookmarkEnd w:id="147"/>
      <w:bookmarkEnd w:id="148"/>
      <w:r>
        <w:rPr>
          <w:rFonts w:hint="eastAsia" w:ascii="Times New Roman" w:hAnsi="Times New Roman"/>
          <w:b w:val="0"/>
          <w:bCs w:val="0"/>
        </w:rPr>
        <w:t>的拒收</w:t>
      </w:r>
    </w:p>
    <w:p>
      <w:pPr>
        <w:spacing w:line="560" w:lineRule="exact"/>
        <w:ind w:firstLine="480" w:firstLineChars="200"/>
        <w:rPr>
          <w:bCs/>
          <w:sz w:val="24"/>
        </w:rPr>
      </w:pPr>
      <w:r>
        <w:rPr>
          <w:rFonts w:hint="eastAsia"/>
          <w:sz w:val="24"/>
        </w:rPr>
        <w:t>19.1</w:t>
      </w:r>
      <w:r>
        <w:rPr>
          <w:rFonts w:hint="eastAsia"/>
          <w:bCs/>
          <w:sz w:val="24"/>
        </w:rPr>
        <w:t>采购代理机构拒绝接收在其规定的投标截止时间后上传的任何投标文件。</w:t>
      </w:r>
    </w:p>
    <w:p>
      <w:pPr>
        <w:pStyle w:val="7"/>
        <w:spacing w:before="0" w:after="0" w:line="560" w:lineRule="exact"/>
        <w:ind w:firstLine="420" w:firstLineChars="150"/>
        <w:rPr>
          <w:rFonts w:ascii="Times New Roman" w:hAnsi="Times New Roman"/>
          <w:b w:val="0"/>
          <w:bCs w:val="0"/>
        </w:rPr>
      </w:pPr>
      <w:bookmarkStart w:id="149" w:name="_Toc16938544"/>
      <w:bookmarkStart w:id="150" w:name="_Toc20823300"/>
      <w:bookmarkStart w:id="151" w:name="_Toc513029228"/>
      <w:r>
        <w:rPr>
          <w:rFonts w:hint="eastAsia" w:ascii="Times New Roman" w:hAnsi="Times New Roman"/>
          <w:b w:val="0"/>
          <w:bCs w:val="0"/>
        </w:rPr>
        <w:t>20、投标文件的撤回和修改</w:t>
      </w:r>
      <w:bookmarkEnd w:id="149"/>
      <w:bookmarkEnd w:id="150"/>
      <w:bookmarkEnd w:id="151"/>
    </w:p>
    <w:p>
      <w:pPr>
        <w:spacing w:line="560" w:lineRule="exact"/>
        <w:ind w:firstLine="480" w:firstLineChars="200"/>
        <w:rPr>
          <w:sz w:val="24"/>
        </w:rPr>
      </w:pPr>
      <w:r>
        <w:rPr>
          <w:rFonts w:hint="eastAsia"/>
          <w:sz w:val="24"/>
        </w:rPr>
        <w:t>20.1 投标文件的撤回</w:t>
      </w:r>
    </w:p>
    <w:p>
      <w:pPr>
        <w:spacing w:line="560" w:lineRule="exact"/>
        <w:ind w:firstLine="480" w:firstLineChars="200"/>
        <w:rPr>
          <w:sz w:val="24"/>
        </w:rPr>
      </w:pPr>
      <w:r>
        <w:rPr>
          <w:rFonts w:hint="eastAsia"/>
          <w:sz w:val="24"/>
        </w:rPr>
        <w:t>20.1.1 电子投标文件的撤回</w:t>
      </w:r>
    </w:p>
    <w:p>
      <w:pPr>
        <w:spacing w:line="560" w:lineRule="exact"/>
        <w:ind w:firstLine="480" w:firstLineChars="200"/>
        <w:rPr>
          <w:sz w:val="24"/>
        </w:rPr>
      </w:pPr>
      <w:r>
        <w:rPr>
          <w:rFonts w:hint="eastAsia"/>
          <w:sz w:val="24"/>
        </w:rPr>
        <w:t>投标人可在投标截止时间前，撤回其电子投标文件，具体操作方法见《操作手册》。</w:t>
      </w:r>
    </w:p>
    <w:p>
      <w:pPr>
        <w:spacing w:line="560" w:lineRule="exact"/>
        <w:ind w:firstLine="480" w:firstLineChars="200"/>
        <w:rPr>
          <w:sz w:val="24"/>
          <w:szCs w:val="24"/>
        </w:rPr>
      </w:pPr>
      <w:r>
        <w:rPr>
          <w:rFonts w:hint="eastAsia"/>
          <w:sz w:val="24"/>
          <w:szCs w:val="24"/>
        </w:rPr>
        <w:t>20.1.</w:t>
      </w:r>
      <w:r>
        <w:rPr>
          <w:sz w:val="24"/>
          <w:szCs w:val="24"/>
        </w:rPr>
        <w:t>2</w:t>
      </w:r>
      <w:r>
        <w:rPr>
          <w:rFonts w:hint="eastAsia"/>
          <w:sz w:val="24"/>
          <w:szCs w:val="24"/>
        </w:rPr>
        <w:t xml:space="preserve"> 投标人撤回电子投标文件，则认为其不再参与本项目投标活动。</w:t>
      </w:r>
    </w:p>
    <w:p>
      <w:pPr>
        <w:spacing w:line="560" w:lineRule="exact"/>
        <w:ind w:firstLine="480" w:firstLineChars="200"/>
        <w:rPr>
          <w:sz w:val="24"/>
          <w:szCs w:val="24"/>
        </w:rPr>
      </w:pPr>
      <w:r>
        <w:rPr>
          <w:rFonts w:hint="eastAsia"/>
          <w:sz w:val="24"/>
          <w:szCs w:val="24"/>
        </w:rPr>
        <w:t>20.2 投标文件的修改</w:t>
      </w:r>
    </w:p>
    <w:p>
      <w:pPr>
        <w:spacing w:line="560" w:lineRule="exact"/>
        <w:ind w:firstLine="480" w:firstLineChars="200"/>
        <w:rPr>
          <w:sz w:val="24"/>
        </w:rPr>
      </w:pPr>
      <w:r>
        <w:rPr>
          <w:rFonts w:hint="eastAsia"/>
          <w:sz w:val="24"/>
        </w:rPr>
        <w:t>20.2.1投标人可在投标截止时间前，对其电子投标文件进行修改，具体操作方法见《操作手册》。</w:t>
      </w:r>
    </w:p>
    <w:p>
      <w:pPr>
        <w:spacing w:line="560" w:lineRule="exact"/>
        <w:ind w:firstLine="480" w:firstLineChars="200"/>
        <w:rPr>
          <w:bCs/>
          <w:sz w:val="24"/>
        </w:rPr>
      </w:pPr>
      <w:r>
        <w:rPr>
          <w:rFonts w:hint="eastAsia"/>
          <w:sz w:val="24"/>
        </w:rPr>
        <w:t>20.2.2</w:t>
      </w:r>
      <w:r>
        <w:rPr>
          <w:rFonts w:hint="eastAsia"/>
          <w:bCs/>
          <w:sz w:val="24"/>
        </w:rPr>
        <w:t xml:space="preserve"> 在投标截止时间之后，投标人不得对其电子投标文件作任何修改。</w:t>
      </w:r>
    </w:p>
    <w:p>
      <w:pPr>
        <w:spacing w:line="560" w:lineRule="exact"/>
        <w:ind w:firstLine="480" w:firstLineChars="200"/>
        <w:rPr>
          <w:bCs/>
          <w:sz w:val="24"/>
        </w:rPr>
      </w:pPr>
      <w:r>
        <w:rPr>
          <w:rFonts w:hint="eastAsia"/>
          <w:sz w:val="24"/>
        </w:rPr>
        <w:t>20.3</w:t>
      </w:r>
      <w:r>
        <w:rPr>
          <w:rFonts w:hint="eastAsia"/>
          <w:bCs/>
          <w:sz w:val="24"/>
        </w:rPr>
        <w:t xml:space="preserve"> 在投标截止时间至招标文件中规定的投标有效期满之间的这段时间内，投标人不得撤回其投标。</w:t>
      </w:r>
    </w:p>
    <w:p>
      <w:pPr>
        <w:pStyle w:val="5"/>
        <w:spacing w:before="0" w:after="0" w:line="560" w:lineRule="exact"/>
        <w:ind w:firstLine="482" w:firstLineChars="150"/>
      </w:pPr>
      <w:bookmarkStart w:id="152" w:name="_Toc20823301"/>
      <w:bookmarkStart w:id="153" w:name="_Toc16938545"/>
      <w:bookmarkStart w:id="154" w:name="_Toc120614218"/>
      <w:bookmarkStart w:id="155" w:name="_Toc513029229"/>
      <w:r>
        <w:rPr>
          <w:rFonts w:hint="eastAsia"/>
        </w:rPr>
        <w:t>五、开标与评标</w:t>
      </w:r>
      <w:bookmarkEnd w:id="152"/>
      <w:bookmarkEnd w:id="153"/>
      <w:bookmarkEnd w:id="154"/>
      <w:bookmarkEnd w:id="155"/>
    </w:p>
    <w:p>
      <w:pPr>
        <w:pStyle w:val="7"/>
        <w:spacing w:before="0" w:after="0" w:line="560" w:lineRule="exact"/>
        <w:ind w:firstLine="420" w:firstLineChars="150"/>
        <w:rPr>
          <w:rFonts w:ascii="Times New Roman" w:hAnsi="Times New Roman"/>
          <w:b w:val="0"/>
          <w:bCs w:val="0"/>
        </w:rPr>
      </w:pPr>
      <w:bookmarkStart w:id="156" w:name="_Toc513029230"/>
      <w:bookmarkStart w:id="157" w:name="_Toc20823302"/>
      <w:bookmarkStart w:id="158" w:name="_Toc16938546"/>
      <w:r>
        <w:rPr>
          <w:rFonts w:hint="eastAsia" w:ascii="Times New Roman" w:hAnsi="Times New Roman"/>
          <w:b w:val="0"/>
          <w:bCs w:val="0"/>
        </w:rPr>
        <w:t>21、开标</w:t>
      </w:r>
      <w:bookmarkEnd w:id="156"/>
      <w:bookmarkEnd w:id="157"/>
      <w:bookmarkEnd w:id="158"/>
    </w:p>
    <w:p>
      <w:pPr>
        <w:pStyle w:val="134"/>
        <w:spacing w:line="560" w:lineRule="exact"/>
        <w:ind w:firstLine="420"/>
        <w:rPr>
          <w:sz w:val="24"/>
          <w:lang w:val="en-US"/>
        </w:rPr>
      </w:pPr>
      <w:r>
        <w:rPr>
          <w:rFonts w:hint="eastAsia"/>
          <w:sz w:val="24"/>
        </w:rPr>
        <w:t>21.1</w:t>
      </w:r>
      <w:r>
        <w:rPr>
          <w:rFonts w:hint="eastAsia"/>
          <w:bCs/>
          <w:sz w:val="24"/>
        </w:rPr>
        <w:t xml:space="preserve"> 采购代理机构将在招标公告中规定的时间和地点组织公开开标</w:t>
      </w:r>
      <w:r>
        <w:rPr>
          <w:rFonts w:hint="eastAsia"/>
          <w:sz w:val="24"/>
          <w:lang w:val="en-US"/>
        </w:rPr>
        <w:t>。投标人应当按照《“苏采云”系统供应商操作手册》规定，参加开标活动和在“苏采云”系统规定的时间内对投标文件进行解密。</w:t>
      </w:r>
    </w:p>
    <w:p>
      <w:pPr>
        <w:pStyle w:val="134"/>
        <w:spacing w:line="560" w:lineRule="exact"/>
        <w:ind w:firstLine="420"/>
        <w:rPr>
          <w:sz w:val="24"/>
          <w:szCs w:val="24"/>
        </w:rPr>
      </w:pPr>
      <w:r>
        <w:rPr>
          <w:rFonts w:hint="eastAsia"/>
          <w:sz w:val="24"/>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spacing w:line="560" w:lineRule="exact"/>
        <w:ind w:firstLine="480" w:firstLineChars="200"/>
      </w:pPr>
      <w:r>
        <w:rPr>
          <w:rFonts w:hint="eastAsia"/>
          <w:bCs/>
          <w:sz w:val="24"/>
        </w:rPr>
        <w:t>21.3投标人在开标过程中涉及到的投标文件解密、开标结果确认等工作，应按照《操作手册》规定执行。</w:t>
      </w:r>
    </w:p>
    <w:p>
      <w:pPr>
        <w:spacing w:line="560" w:lineRule="exact"/>
        <w:ind w:firstLine="480" w:firstLineChars="200"/>
        <w:rPr>
          <w:sz w:val="24"/>
          <w:szCs w:val="24"/>
        </w:rPr>
      </w:pPr>
      <w:r>
        <w:rPr>
          <w:rFonts w:hint="eastAsia"/>
          <w:sz w:val="24"/>
          <w:szCs w:val="24"/>
        </w:rPr>
        <w:t>21.4投标人如果对开标过程和开标记录有疑义，应当根据《操作手册》规定提出，如 “苏采云”系统中《开标记录表》宣布后5分钟内未提出的，视同认可开标结果。</w:t>
      </w:r>
    </w:p>
    <w:p>
      <w:pPr>
        <w:pStyle w:val="7"/>
        <w:spacing w:before="0" w:after="0" w:line="560" w:lineRule="exact"/>
        <w:ind w:firstLine="420" w:firstLineChars="150"/>
        <w:rPr>
          <w:rFonts w:ascii="Times New Roman" w:hAnsi="Times New Roman"/>
          <w:b w:val="0"/>
          <w:bCs w:val="0"/>
        </w:rPr>
      </w:pPr>
      <w:bookmarkStart w:id="159" w:name="_Toc513029231"/>
      <w:bookmarkStart w:id="160" w:name="_Toc16938547"/>
      <w:bookmarkStart w:id="161" w:name="_Toc20823303"/>
      <w:r>
        <w:rPr>
          <w:rFonts w:hint="eastAsia" w:ascii="Times New Roman" w:hAnsi="Times New Roman"/>
          <w:b w:val="0"/>
          <w:bCs w:val="0"/>
        </w:rPr>
        <w:t>22、评委会</w:t>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开标后，采购代理机构将立即组织评委会（以下简称评委会）进行评标。</w:t>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23、评标过程的保密与公正</w:t>
      </w:r>
    </w:p>
    <w:bookmarkEnd w:id="159"/>
    <w:bookmarkEnd w:id="160"/>
    <w:bookmarkEnd w:id="161"/>
    <w:p>
      <w:pPr>
        <w:spacing w:line="560" w:lineRule="exact"/>
        <w:ind w:firstLine="480" w:firstLineChars="200"/>
        <w:rPr>
          <w:bCs/>
          <w:sz w:val="24"/>
        </w:rPr>
      </w:pPr>
      <w:r>
        <w:rPr>
          <w:rFonts w:hint="eastAsia"/>
          <w:sz w:val="24"/>
        </w:rPr>
        <w:t>23.1</w:t>
      </w:r>
      <w:r>
        <w:rPr>
          <w:rFonts w:hint="eastAsia"/>
          <w:bCs/>
          <w:sz w:val="24"/>
        </w:rPr>
        <w:t>凡是与审查、澄清、评价和比较投标的有关资料以及授标建议等，采购人、评委、采购代理机构均不得向投标人或与评标无关的其他人员透露。</w:t>
      </w:r>
    </w:p>
    <w:p>
      <w:pPr>
        <w:spacing w:line="560" w:lineRule="exact"/>
        <w:ind w:firstLine="480" w:firstLineChars="200"/>
        <w:rPr>
          <w:sz w:val="24"/>
          <w:szCs w:val="24"/>
        </w:rPr>
      </w:pPr>
      <w:r>
        <w:rPr>
          <w:rFonts w:hint="eastAsia"/>
          <w:sz w:val="24"/>
        </w:rPr>
        <w:t>23.2</w:t>
      </w:r>
      <w:r>
        <w:rPr>
          <w:rFonts w:hint="eastAsia"/>
          <w:sz w:val="24"/>
          <w:szCs w:val="24"/>
        </w:rPr>
        <w:t>在评标过程中，投标人不得以任何行为影响评标过程，否则其投标文件将被作为无效投标文件。</w:t>
      </w:r>
    </w:p>
    <w:p>
      <w:pPr>
        <w:spacing w:line="560" w:lineRule="exact"/>
        <w:ind w:firstLine="480" w:firstLineChars="200"/>
        <w:rPr>
          <w:sz w:val="24"/>
          <w:szCs w:val="24"/>
        </w:rPr>
      </w:pPr>
      <w:r>
        <w:rPr>
          <w:rFonts w:hint="eastAsia"/>
          <w:sz w:val="24"/>
          <w:szCs w:val="24"/>
        </w:rPr>
        <w:t>23.</w:t>
      </w:r>
      <w:r>
        <w:rPr>
          <w:sz w:val="24"/>
          <w:szCs w:val="24"/>
        </w:rPr>
        <w:t>3</w:t>
      </w:r>
      <w:r>
        <w:rPr>
          <w:rFonts w:hint="eastAsia"/>
          <w:sz w:val="24"/>
          <w:szCs w:val="24"/>
        </w:rPr>
        <w:t xml:space="preserve"> 采购代理机构和评委会不向未中标的投标人解释未中标原因，也不公布评标过程中的相关细节。</w:t>
      </w:r>
    </w:p>
    <w:p>
      <w:pPr>
        <w:spacing w:line="560" w:lineRule="exact"/>
        <w:ind w:firstLine="480" w:firstLineChars="200"/>
        <w:rPr>
          <w:sz w:val="24"/>
          <w:szCs w:val="24"/>
        </w:rPr>
      </w:pPr>
      <w:r>
        <w:rPr>
          <w:rFonts w:hint="eastAsia"/>
          <w:sz w:val="24"/>
          <w:szCs w:val="24"/>
        </w:rPr>
        <w:t>23.4 采用综合评分法的项目，未中标的投标人可于中标结果公告期限届满之日起通过“苏采云”系统查看自己的评审得分及排序情况。</w:t>
      </w:r>
    </w:p>
    <w:p>
      <w:pPr>
        <w:pStyle w:val="7"/>
        <w:spacing w:before="0" w:after="0" w:line="560" w:lineRule="exact"/>
        <w:ind w:firstLine="420" w:firstLineChars="150"/>
        <w:rPr>
          <w:rFonts w:ascii="Times New Roman" w:hAnsi="Times New Roman"/>
          <w:b w:val="0"/>
          <w:bCs w:val="0"/>
        </w:rPr>
      </w:pPr>
      <w:bookmarkStart w:id="162" w:name="_Toc16938548"/>
      <w:bookmarkStart w:id="163" w:name="_Toc20823304"/>
      <w:bookmarkStart w:id="164" w:name="_Toc513029232"/>
      <w:r>
        <w:rPr>
          <w:rFonts w:hint="eastAsia" w:ascii="Times New Roman" w:hAnsi="Times New Roman"/>
          <w:b w:val="0"/>
          <w:bCs w:val="0"/>
        </w:rPr>
        <w:t>24、投标文件的澄清</w:t>
      </w:r>
      <w:bookmarkEnd w:id="162"/>
      <w:bookmarkEnd w:id="163"/>
      <w:bookmarkEnd w:id="164"/>
    </w:p>
    <w:p>
      <w:pPr>
        <w:spacing w:line="560" w:lineRule="exact"/>
        <w:ind w:firstLine="480" w:firstLineChars="20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pPr>
        <w:spacing w:line="560" w:lineRule="exact"/>
        <w:ind w:firstLine="480" w:firstLineChars="200"/>
        <w:rPr>
          <w:sz w:val="24"/>
          <w:szCs w:val="24"/>
        </w:rPr>
      </w:pPr>
      <w:r>
        <w:rPr>
          <w:rFonts w:hint="eastAsia"/>
          <w:sz w:val="24"/>
          <w:szCs w:val="24"/>
        </w:rPr>
        <w:t>投标人的澄清、说明或者补正不得超出投标文件的范围或者改变投标文件的实质性内容。</w:t>
      </w:r>
    </w:p>
    <w:p>
      <w:pPr>
        <w:spacing w:line="560" w:lineRule="exact"/>
        <w:ind w:firstLine="480" w:firstLineChars="200"/>
        <w:rPr>
          <w:sz w:val="24"/>
          <w:szCs w:val="24"/>
        </w:rPr>
      </w:pPr>
      <w:r>
        <w:rPr>
          <w:rFonts w:hint="eastAsia"/>
          <w:sz w:val="24"/>
          <w:szCs w:val="24"/>
        </w:rPr>
        <w:t>评委会</w:t>
      </w:r>
      <w:r>
        <w:rPr>
          <w:sz w:val="24"/>
          <w:szCs w:val="24"/>
        </w:rPr>
        <w:t>并非对每个投标人都做澄清要求</w:t>
      </w:r>
      <w:r>
        <w:rPr>
          <w:rFonts w:hint="eastAsia"/>
          <w:sz w:val="24"/>
          <w:szCs w:val="24"/>
        </w:rPr>
        <w:t>。</w:t>
      </w:r>
    </w:p>
    <w:p>
      <w:pPr>
        <w:pStyle w:val="134"/>
        <w:spacing w:line="560" w:lineRule="exact"/>
        <w:ind w:firstLine="422"/>
        <w:rPr>
          <w:sz w:val="24"/>
          <w:szCs w:val="24"/>
        </w:rPr>
      </w:pPr>
      <w:r>
        <w:rPr>
          <w:rFonts w:hint="eastAsia"/>
          <w:sz w:val="24"/>
          <w:szCs w:val="24"/>
        </w:rPr>
        <w:t>24.2需要投标人进行澄清、说明和补正的，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“苏采云”系统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“苏采云”系统</w:t>
      </w:r>
      <w:r>
        <w:rPr>
          <w:rFonts w:hint="eastAsia"/>
          <w:sz w:val="24"/>
          <w:szCs w:val="24"/>
        </w:rPr>
        <w:t>中提交“澄清响应函”并加盖CA电子公章。澄清、说明和补正的内容作为投标文件的补充部分，具体操作方式见《操作手册》。</w:t>
      </w:r>
    </w:p>
    <w:p>
      <w:pPr>
        <w:spacing w:line="560" w:lineRule="exact"/>
        <w:rPr>
          <w:sz w:val="24"/>
          <w:szCs w:val="24"/>
        </w:rPr>
      </w:pPr>
      <w:r>
        <w:rPr>
          <w:rFonts w:hint="eastAsia"/>
          <w:sz w:val="24"/>
          <w:szCs w:val="24"/>
        </w:rPr>
        <w:t xml:space="preserve">    24.3 接到评委会澄清、说明和补正要求的投标人如未按规定做出澄清、说明和补正，其风险由投标人自行承担。</w:t>
      </w:r>
    </w:p>
    <w:p>
      <w:pPr>
        <w:pStyle w:val="7"/>
        <w:spacing w:before="0" w:after="0" w:line="560" w:lineRule="exact"/>
        <w:ind w:firstLine="420" w:firstLineChars="150"/>
        <w:rPr>
          <w:rFonts w:ascii="Times New Roman" w:hAnsi="Times New Roman"/>
          <w:b w:val="0"/>
          <w:bCs w:val="0"/>
        </w:rPr>
      </w:pPr>
      <w:bookmarkStart w:id="165" w:name="_Toc513029233"/>
      <w:bookmarkStart w:id="166" w:name="_Toc16938549"/>
      <w:bookmarkStart w:id="167" w:name="_Toc20823305"/>
      <w:r>
        <w:rPr>
          <w:rFonts w:hint="eastAsia" w:ascii="Times New Roman" w:hAnsi="Times New Roman"/>
          <w:b w:val="0"/>
          <w:bCs w:val="0"/>
        </w:rPr>
        <w:t>25、对投标文件的初审</w:t>
      </w:r>
      <w:bookmarkEnd w:id="165"/>
      <w:bookmarkEnd w:id="166"/>
      <w:bookmarkEnd w:id="167"/>
    </w:p>
    <w:p>
      <w:pPr>
        <w:spacing w:line="560" w:lineRule="exact"/>
        <w:ind w:firstLine="480" w:firstLineChars="200"/>
        <w:rPr>
          <w:bCs/>
          <w:sz w:val="24"/>
        </w:rPr>
      </w:pPr>
      <w:r>
        <w:rPr>
          <w:rFonts w:hint="eastAsia"/>
          <w:sz w:val="24"/>
        </w:rPr>
        <w:t>25.1</w:t>
      </w:r>
      <w:r>
        <w:rPr>
          <w:rFonts w:hint="eastAsia"/>
          <w:bCs/>
          <w:sz w:val="24"/>
        </w:rPr>
        <w:t>投标文件初审分为资格审查和符合性审查。</w:t>
      </w:r>
    </w:p>
    <w:p>
      <w:pPr>
        <w:spacing w:line="560" w:lineRule="exact"/>
        <w:ind w:firstLine="480" w:firstLineChars="200"/>
        <w:rPr>
          <w:sz w:val="24"/>
        </w:rPr>
      </w:pPr>
      <w:r>
        <w:rPr>
          <w:rFonts w:hint="eastAsia"/>
          <w:bCs/>
          <w:sz w:val="24"/>
        </w:rPr>
        <w:t>25.1.1 资格审查：依据法律法规和招标文件的规定，</w:t>
      </w:r>
      <w:r>
        <w:rPr>
          <w:rFonts w:hint="eastAsia"/>
          <w:sz w:val="24"/>
        </w:rPr>
        <w:t>由采购人或其委托的代理机构对投标文件中的资格证明文件进行审查，以确定投标人是否具备投标资格。</w:t>
      </w:r>
    </w:p>
    <w:p>
      <w:pPr>
        <w:spacing w:line="560" w:lineRule="exact"/>
        <w:ind w:firstLine="480" w:firstLineChars="200"/>
        <w:rPr>
          <w:bCs/>
          <w:sz w:val="24"/>
        </w:rPr>
      </w:pPr>
      <w:r>
        <w:rPr>
          <w:rFonts w:hint="eastAsia"/>
          <w:bCs/>
          <w:sz w:val="24"/>
        </w:rPr>
        <w:t>采购人在进行资格性审查的同时，将在“信用中国”网站（www.creditchina.gov.cn）查询投标人的信用记录，以确定投标人是否具备投标资格,查询结果留存并归档。</w:t>
      </w:r>
    </w:p>
    <w:p>
      <w:pPr>
        <w:spacing w:line="560" w:lineRule="exact"/>
        <w:ind w:firstLine="480" w:firstLineChars="200"/>
        <w:rPr>
          <w:bCs/>
          <w:sz w:val="24"/>
        </w:rPr>
      </w:pPr>
      <w:r>
        <w:rPr>
          <w:rFonts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pPr>
        <w:spacing w:line="560" w:lineRule="exact"/>
        <w:ind w:firstLine="480" w:firstLineChars="200"/>
        <w:rPr>
          <w:bCs/>
          <w:sz w:val="24"/>
        </w:rPr>
      </w:pPr>
      <w:r>
        <w:rPr>
          <w:rFonts w:hint="eastAsia"/>
          <w:bCs/>
          <w:sz w:val="24"/>
        </w:rPr>
        <w:t>25.1.2 符合性审查：依据招标文件的规定，由评委会从投标文件的有效性、完整性和对招标文件的响应程度进行审查，以确定是否对招标文件的实质性要求作出响应。</w:t>
      </w:r>
    </w:p>
    <w:p>
      <w:pPr>
        <w:spacing w:line="560" w:lineRule="exact"/>
        <w:ind w:firstLine="480" w:firstLineChars="200"/>
        <w:rPr>
          <w:sz w:val="24"/>
        </w:rPr>
      </w:pPr>
      <w:r>
        <w:rPr>
          <w:rFonts w:hint="eastAsia"/>
          <w:sz w:val="24"/>
        </w:rPr>
        <w:t>25.1.3对各投标人符合性审查过程中，对初步被认定为无效投标者，由评委会组长或采购人代表将集体意见通过</w:t>
      </w:r>
      <w:r>
        <w:rPr>
          <w:rFonts w:hint="eastAsia"/>
          <w:sz w:val="24"/>
          <w:lang w:val="zh-CN"/>
        </w:rPr>
        <w:t>“苏采云”系统中告知未通过符合性审查的原因，评标结束后，将不再告知未通过符合性审查的原因</w:t>
      </w:r>
      <w:r>
        <w:rPr>
          <w:rFonts w:hint="eastAsia"/>
          <w:sz w:val="24"/>
        </w:rPr>
        <w:t>。</w:t>
      </w:r>
    </w:p>
    <w:p>
      <w:pPr>
        <w:spacing w:line="560" w:lineRule="exact"/>
        <w:ind w:firstLine="480" w:firstLineChars="200"/>
        <w:rPr>
          <w:sz w:val="24"/>
        </w:rPr>
      </w:pPr>
      <w:r>
        <w:rPr>
          <w:rFonts w:hint="eastAsia"/>
          <w:sz w:val="24"/>
        </w:rPr>
        <w:t>2</w:t>
      </w:r>
      <w:r>
        <w:rPr>
          <w:sz w:val="24"/>
        </w:rPr>
        <w:t>5</w:t>
      </w:r>
      <w:r>
        <w:rPr>
          <w:rFonts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pPr>
        <w:spacing w:line="560" w:lineRule="exact"/>
        <w:ind w:firstLine="480" w:firstLineChars="200"/>
        <w:rPr>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60" w:lineRule="exact"/>
        <w:ind w:firstLine="480" w:firstLineChars="200"/>
        <w:rPr>
          <w:sz w:val="24"/>
        </w:rPr>
      </w:pPr>
      <w:r>
        <w:rPr>
          <w:rFonts w:hint="eastAsia"/>
          <w:sz w:val="24"/>
        </w:rPr>
        <w:t>2</w:t>
      </w:r>
      <w:r>
        <w:rPr>
          <w:sz w:val="24"/>
        </w:rPr>
        <w:t>5</w:t>
      </w:r>
      <w:r>
        <w:rPr>
          <w:rFonts w:hint="eastAsia"/>
          <w:sz w:val="24"/>
        </w:rPr>
        <w:t>.3如果投标文件实质上没有响应招标文件的要求，评委会将予以拒绝，投标人不得通过修改或撤销不合要求的偏离或保留而使其投标成为实质性响应的投标。</w:t>
      </w:r>
    </w:p>
    <w:p>
      <w:pPr>
        <w:spacing w:line="560" w:lineRule="exact"/>
        <w:ind w:firstLine="480" w:firstLineChars="200"/>
        <w:rPr>
          <w:bCs/>
          <w:sz w:val="24"/>
        </w:rPr>
      </w:pPr>
      <w:r>
        <w:rPr>
          <w:rFonts w:hint="eastAsia"/>
          <w:sz w:val="24"/>
        </w:rPr>
        <w:t>25.</w:t>
      </w:r>
      <w:r>
        <w:rPr>
          <w:sz w:val="24"/>
        </w:rPr>
        <w:t>4</w:t>
      </w:r>
      <w:r>
        <w:rPr>
          <w:rFonts w:hint="eastAsia"/>
          <w:bCs/>
          <w:sz w:val="24"/>
        </w:rPr>
        <w:t>评委会将对确定为实质性响应的投标进行进一步审核，确定其是否有计算上或累加上的算术错误，修正错误的原则如下：</w:t>
      </w:r>
    </w:p>
    <w:p>
      <w:pPr>
        <w:spacing w:line="560" w:lineRule="exact"/>
        <w:ind w:firstLine="480" w:firstLineChars="200"/>
        <w:rPr>
          <w:bCs/>
          <w:sz w:val="24"/>
        </w:rPr>
      </w:pPr>
      <w:r>
        <w:rPr>
          <w:rFonts w:hint="eastAsia"/>
          <w:bCs/>
          <w:sz w:val="24"/>
        </w:rPr>
        <w:t>（1）投标文件中开标一览表内容与投标文件中相应内容不一致的，以开标一览表为准。</w:t>
      </w:r>
    </w:p>
    <w:p>
      <w:pPr>
        <w:spacing w:line="560" w:lineRule="exact"/>
        <w:ind w:firstLine="480" w:firstLineChars="200"/>
        <w:rPr>
          <w:bCs/>
          <w:sz w:val="24"/>
        </w:rPr>
      </w:pPr>
      <w:r>
        <w:rPr>
          <w:rFonts w:hint="eastAsia"/>
          <w:bCs/>
          <w:sz w:val="24"/>
        </w:rPr>
        <w:t>（2）大写金额和小写金额不一致的，以大写金额为准。</w:t>
      </w:r>
    </w:p>
    <w:p>
      <w:pPr>
        <w:spacing w:line="560" w:lineRule="exact"/>
        <w:ind w:firstLine="480" w:firstLineChars="200"/>
        <w:rPr>
          <w:bCs/>
          <w:sz w:val="24"/>
        </w:rPr>
      </w:pPr>
      <w:r>
        <w:rPr>
          <w:rFonts w:hint="eastAsia"/>
          <w:bCs/>
          <w:sz w:val="24"/>
        </w:rPr>
        <w:t>（3）单价金额小数点或者百分比有明显错位的，以开标一览表的总价为准，并修改单价。</w:t>
      </w:r>
    </w:p>
    <w:p>
      <w:pPr>
        <w:spacing w:line="560" w:lineRule="exact"/>
        <w:ind w:firstLine="480" w:firstLineChars="200"/>
        <w:rPr>
          <w:bCs/>
          <w:sz w:val="24"/>
        </w:rPr>
      </w:pPr>
      <w:r>
        <w:rPr>
          <w:rFonts w:hint="eastAsia"/>
          <w:bCs/>
          <w:sz w:val="24"/>
        </w:rPr>
        <w:t>（4）总价金额与按单价汇总金额不一致的，以单价金额计算结果为准。</w:t>
      </w:r>
    </w:p>
    <w:p>
      <w:pPr>
        <w:spacing w:line="560" w:lineRule="exact"/>
        <w:ind w:firstLine="480" w:firstLineChars="200"/>
        <w:rPr>
          <w:bCs/>
          <w:sz w:val="24"/>
        </w:rPr>
      </w:pPr>
      <w:r>
        <w:rPr>
          <w:rFonts w:hint="eastAsia"/>
          <w:bCs/>
          <w:sz w:val="24"/>
        </w:rPr>
        <w:t>同时出现两种以上错误的，按照前款规定的顺序修正。</w:t>
      </w:r>
    </w:p>
    <w:p>
      <w:pPr>
        <w:spacing w:line="560" w:lineRule="exact"/>
        <w:ind w:firstLine="480" w:firstLineChars="200"/>
        <w:rPr>
          <w:bCs/>
          <w:sz w:val="24"/>
        </w:rPr>
      </w:pPr>
      <w:r>
        <w:rPr>
          <w:rFonts w:hint="eastAsia"/>
          <w:sz w:val="24"/>
        </w:rPr>
        <w:t>25.</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“苏采云”系统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pPr>
        <w:spacing w:line="560" w:lineRule="exact"/>
        <w:ind w:firstLine="420"/>
        <w:rPr>
          <w:sz w:val="24"/>
        </w:rPr>
      </w:pPr>
      <w:bookmarkStart w:id="168" w:name="_Toc16938550"/>
      <w:bookmarkStart w:id="169" w:name="_Toc513029234"/>
      <w:bookmarkStart w:id="170" w:name="_Toc20823306"/>
      <w:r>
        <w:rPr>
          <w:rFonts w:hint="eastAsia"/>
          <w:sz w:val="24"/>
        </w:rPr>
        <w:t>25.6投标人在开、评标全过程中应应随时保持系统在线，及时在</w:t>
      </w:r>
      <w:r>
        <w:rPr>
          <w:rFonts w:hint="eastAsia"/>
          <w:sz w:val="24"/>
          <w:szCs w:val="24"/>
        </w:rPr>
        <w:t>“苏采云”系统</w:t>
      </w:r>
      <w:r>
        <w:rPr>
          <w:rFonts w:hint="eastAsia"/>
          <w:sz w:val="24"/>
        </w:rPr>
        <w:t>查阅</w:t>
      </w:r>
      <w:r>
        <w:rPr>
          <w:sz w:val="24"/>
        </w:rPr>
        <w:t>、答复相关</w:t>
      </w:r>
      <w:r>
        <w:rPr>
          <w:rFonts w:hint="eastAsia"/>
          <w:sz w:val="24"/>
        </w:rPr>
        <w:t>信息。</w:t>
      </w:r>
    </w:p>
    <w:p>
      <w:pPr>
        <w:pStyle w:val="7"/>
        <w:spacing w:before="0" w:after="0" w:line="560" w:lineRule="exact"/>
        <w:ind w:firstLine="420" w:firstLineChars="150"/>
        <w:rPr>
          <w:rFonts w:ascii="Times New Roman" w:hAnsi="Times New Roman"/>
          <w:b w:val="0"/>
          <w:bCs w:val="0"/>
        </w:rPr>
      </w:pPr>
      <w:r>
        <w:rPr>
          <w:rFonts w:hint="eastAsia" w:ascii="Times New Roman" w:hAnsi="Times New Roman"/>
          <w:b w:val="0"/>
          <w:bCs w:val="0"/>
        </w:rPr>
        <w:t>26、</w:t>
      </w:r>
      <w:bookmarkEnd w:id="168"/>
      <w:bookmarkEnd w:id="169"/>
      <w:bookmarkEnd w:id="170"/>
      <w:r>
        <w:rPr>
          <w:rFonts w:hint="eastAsia" w:ascii="Times New Roman" w:hAnsi="Times New Roman"/>
          <w:b w:val="0"/>
          <w:bCs w:val="0"/>
        </w:rPr>
        <w:t>无效投标条款和废标条款</w:t>
      </w:r>
    </w:p>
    <w:p>
      <w:pPr>
        <w:spacing w:line="560" w:lineRule="exact"/>
        <w:rPr>
          <w:bCs/>
          <w:sz w:val="24"/>
        </w:rPr>
      </w:pPr>
      <w:bookmarkStart w:id="171" w:name="_Toc513029235"/>
      <w:bookmarkStart w:id="172" w:name="_Toc16938551"/>
      <w:bookmarkStart w:id="173" w:name="_Toc20823307"/>
      <w:r>
        <w:rPr>
          <w:rFonts w:hint="eastAsia"/>
          <w:bCs/>
          <w:sz w:val="24"/>
        </w:rPr>
        <w:t>26.1无效投标条款</w:t>
      </w:r>
    </w:p>
    <w:p>
      <w:pPr>
        <w:spacing w:line="560" w:lineRule="exact"/>
        <w:ind w:firstLine="480" w:firstLineChars="200"/>
        <w:rPr>
          <w:bCs/>
          <w:sz w:val="24"/>
          <w:szCs w:val="24"/>
        </w:rPr>
      </w:pPr>
      <w:r>
        <w:rPr>
          <w:rFonts w:hint="eastAsia"/>
          <w:bCs/>
          <w:sz w:val="24"/>
        </w:rPr>
        <w:t>26</w:t>
      </w:r>
      <w:r>
        <w:rPr>
          <w:rFonts w:hint="eastAsia"/>
          <w:bCs/>
          <w:sz w:val="24"/>
          <w:szCs w:val="24"/>
        </w:rPr>
        <w:t>.1.1 投标人在</w:t>
      </w:r>
      <w:r>
        <w:rPr>
          <w:rFonts w:hint="eastAsia"/>
          <w:sz w:val="24"/>
          <w:szCs w:val="24"/>
        </w:rPr>
        <w:t>“苏采云”系统</w:t>
      </w:r>
      <w:r>
        <w:rPr>
          <w:rFonts w:hint="eastAsia"/>
          <w:bCs/>
          <w:sz w:val="24"/>
          <w:szCs w:val="24"/>
        </w:rPr>
        <w:t>规定的时间内未成功解密电子投标文件的。</w:t>
      </w:r>
    </w:p>
    <w:p>
      <w:pPr>
        <w:spacing w:line="560" w:lineRule="exact"/>
        <w:ind w:firstLine="480" w:firstLineChars="200"/>
        <w:rPr>
          <w:bCs/>
          <w:sz w:val="24"/>
        </w:rPr>
      </w:pPr>
      <w:r>
        <w:rPr>
          <w:rFonts w:hint="eastAsia"/>
          <w:bCs/>
          <w:sz w:val="24"/>
        </w:rPr>
        <w:t>26.1.2 投标人未按照招标文件要求上传电子投标文件的。</w:t>
      </w:r>
    </w:p>
    <w:p>
      <w:pPr>
        <w:spacing w:line="560" w:lineRule="exact"/>
        <w:rPr>
          <w:bCs/>
          <w:sz w:val="24"/>
        </w:rPr>
      </w:pPr>
      <w:r>
        <w:rPr>
          <w:rFonts w:hint="eastAsia"/>
          <w:bCs/>
          <w:sz w:val="24"/>
        </w:rPr>
        <w:t>26.1.3同一投标人提交两个（含两个）以上不同的投标报价的。</w:t>
      </w:r>
    </w:p>
    <w:p>
      <w:pPr>
        <w:spacing w:line="560" w:lineRule="exact"/>
        <w:rPr>
          <w:bCs/>
          <w:sz w:val="24"/>
        </w:rPr>
      </w:pPr>
      <w:r>
        <w:rPr>
          <w:rFonts w:hint="eastAsia"/>
          <w:bCs/>
          <w:sz w:val="24"/>
        </w:rPr>
        <w:t>26.1.4投标人不具备招标文件中规定资格要求的。</w:t>
      </w:r>
    </w:p>
    <w:p>
      <w:pPr>
        <w:spacing w:line="560" w:lineRule="exact"/>
        <w:ind w:firstLine="480" w:firstLineChars="200"/>
        <w:rPr>
          <w:bCs/>
          <w:sz w:val="24"/>
        </w:rPr>
      </w:pPr>
      <w:r>
        <w:rPr>
          <w:rFonts w:hint="eastAsia"/>
          <w:bCs/>
          <w:sz w:val="24"/>
        </w:rPr>
        <w:t>26.1.5投标人的报价超过了采购预算或最高限价的。</w:t>
      </w:r>
    </w:p>
    <w:p>
      <w:pPr>
        <w:spacing w:line="560" w:lineRule="exact"/>
        <w:ind w:firstLine="480" w:firstLineChars="200"/>
        <w:rPr>
          <w:bCs/>
          <w:i/>
          <w:sz w:val="24"/>
          <w:u w:val="single"/>
        </w:rPr>
      </w:pPr>
      <w:r>
        <w:rPr>
          <w:rFonts w:hint="eastAsia"/>
          <w:bCs/>
          <w:sz w:val="24"/>
        </w:rPr>
        <w:t>26.1.6未通过符合性审查的。</w:t>
      </w:r>
    </w:p>
    <w:p>
      <w:pPr>
        <w:spacing w:line="560" w:lineRule="exact"/>
        <w:ind w:firstLine="360" w:firstLineChars="150"/>
        <w:rPr>
          <w:bCs/>
          <w:i/>
          <w:sz w:val="24"/>
          <w:highlight w:val="yellow"/>
          <w:u w:val="single"/>
        </w:rPr>
      </w:pPr>
      <w:r>
        <w:rPr>
          <w:rFonts w:hint="eastAsia"/>
          <w:bCs/>
          <w:sz w:val="24"/>
        </w:rPr>
        <w:t xml:space="preserve"> 26.1.7不符合招标文件中规定的实质性要求和条件的</w:t>
      </w:r>
      <w:r>
        <w:rPr>
          <w:rFonts w:hint="eastAsia" w:ascii="宋体" w:hAnsi="宋体" w:cs="宋体"/>
          <w:bCs/>
          <w:i/>
          <w:color w:val="000000"/>
          <w:sz w:val="24"/>
        </w:rPr>
        <w:t>。</w:t>
      </w:r>
    </w:p>
    <w:p>
      <w:pPr>
        <w:spacing w:line="560" w:lineRule="exact"/>
        <w:ind w:firstLine="480" w:firstLineChars="200"/>
        <w:rPr>
          <w:bCs/>
          <w:sz w:val="24"/>
        </w:rPr>
      </w:pPr>
      <w:r>
        <w:rPr>
          <w:rFonts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60" w:lineRule="exact"/>
        <w:ind w:firstLine="480" w:firstLineChars="200"/>
        <w:rPr>
          <w:bCs/>
          <w:sz w:val="24"/>
        </w:rPr>
      </w:pPr>
      <w:r>
        <w:rPr>
          <w:rFonts w:hint="eastAsia"/>
          <w:bCs/>
          <w:sz w:val="24"/>
        </w:rPr>
        <w:t>26.1.9 投标文件含有采购人不能接受的附加条件的。</w:t>
      </w:r>
    </w:p>
    <w:p>
      <w:pPr>
        <w:spacing w:line="560" w:lineRule="exact"/>
        <w:ind w:firstLine="420"/>
        <w:rPr>
          <w:bCs/>
          <w:sz w:val="24"/>
          <w:highlight w:val="yellow"/>
        </w:rPr>
      </w:pPr>
      <w:r>
        <w:rPr>
          <w:rFonts w:hint="eastAsia"/>
          <w:bCs/>
          <w:sz w:val="24"/>
        </w:rPr>
        <w:t>26.1.10评委会认为投标人的报价明显低于其他通过符合性审查投标人的报价，有可能影响产品质量或者不能诚信履约的，将通过</w:t>
      </w:r>
      <w:r>
        <w:rPr>
          <w:rFonts w:hint="eastAsia"/>
          <w:sz w:val="24"/>
          <w:szCs w:val="24"/>
        </w:rPr>
        <w:t>“苏采云”系统</w:t>
      </w:r>
      <w:r>
        <w:rPr>
          <w:rFonts w:hint="eastAsia"/>
          <w:bCs/>
          <w:sz w:val="24"/>
        </w:rPr>
        <w:t>要求其在合理的时间内提供说明，必要时提交相关证明材料；投标人不能证明其报价合理性的，评委会应当将其作为无效投标处理。</w:t>
      </w:r>
    </w:p>
    <w:p>
      <w:pPr>
        <w:spacing w:line="560" w:lineRule="exact"/>
        <w:ind w:firstLine="420"/>
      </w:pPr>
      <w:r>
        <w:rPr>
          <w:rFonts w:hint="eastAsia"/>
          <w:sz w:val="24"/>
          <w:lang w:val="zh-CN"/>
        </w:rPr>
        <w:t>26.1.11本项目采购产品被财政部、国家发改委、生态环境部等列入“节能产品品目清单”、“环境标志产品品目清单”强制采购范围，而</w:t>
      </w:r>
      <w:r>
        <w:rPr>
          <w:rFonts w:hint="eastAsia"/>
          <w:sz w:val="24"/>
        </w:rPr>
        <w:t>投标</w:t>
      </w:r>
      <w:r>
        <w:rPr>
          <w:rFonts w:hint="eastAsia"/>
          <w:sz w:val="24"/>
          <w:lang w:val="zh-CN"/>
        </w:rPr>
        <w:t>人所</w:t>
      </w:r>
      <w:r>
        <w:rPr>
          <w:rFonts w:hint="eastAsia"/>
          <w:sz w:val="24"/>
        </w:rPr>
        <w:t>投</w:t>
      </w:r>
      <w:r>
        <w:rPr>
          <w:rFonts w:hint="eastAsia"/>
          <w:sz w:val="24"/>
          <w:lang w:val="zh-CN"/>
        </w:rPr>
        <w:t>产品不在强制采购范围内的。（所</w:t>
      </w:r>
      <w:r>
        <w:rPr>
          <w:rFonts w:hint="eastAsia"/>
          <w:sz w:val="24"/>
        </w:rPr>
        <w:t>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pPr>
        <w:spacing w:line="560" w:lineRule="exact"/>
        <w:ind w:firstLine="480" w:firstLineChars="200"/>
        <w:rPr>
          <w:bCs/>
          <w:sz w:val="24"/>
        </w:rPr>
      </w:pPr>
      <w:r>
        <w:rPr>
          <w:rFonts w:hint="eastAsia"/>
          <w:bCs/>
          <w:sz w:val="24"/>
        </w:rPr>
        <w:t>26.1.12 投标文件未按照招标文件要求加盖CA</w:t>
      </w:r>
      <w:r>
        <w:rPr>
          <w:bCs/>
          <w:sz w:val="24"/>
        </w:rPr>
        <w:t>电子公章的</w:t>
      </w:r>
      <w:r>
        <w:rPr>
          <w:rFonts w:hint="eastAsia"/>
          <w:bCs/>
          <w:sz w:val="24"/>
        </w:rPr>
        <w:t>。</w:t>
      </w:r>
    </w:p>
    <w:p>
      <w:pPr>
        <w:spacing w:line="560" w:lineRule="exact"/>
        <w:ind w:firstLine="480" w:firstLineChars="200"/>
        <w:rPr>
          <w:bCs/>
          <w:sz w:val="24"/>
        </w:rPr>
      </w:pPr>
      <w:r>
        <w:rPr>
          <w:rFonts w:hint="eastAsia"/>
          <w:bCs/>
          <w:sz w:val="24"/>
        </w:rPr>
        <w:t>26.1.13其他法律、法规及本招标文件规定的属无效投标的情形。</w:t>
      </w:r>
    </w:p>
    <w:p>
      <w:pPr>
        <w:spacing w:line="560" w:lineRule="exact"/>
        <w:rPr>
          <w:bCs/>
          <w:sz w:val="24"/>
        </w:rPr>
      </w:pPr>
      <w:r>
        <w:rPr>
          <w:rFonts w:hint="eastAsia"/>
          <w:bCs/>
          <w:sz w:val="24"/>
        </w:rPr>
        <w:t>26.2废标条款</w:t>
      </w:r>
    </w:p>
    <w:p>
      <w:pPr>
        <w:spacing w:line="560" w:lineRule="exact"/>
        <w:ind w:left="479" w:leftChars="228"/>
        <w:rPr>
          <w:bCs/>
          <w:sz w:val="24"/>
        </w:rPr>
      </w:pPr>
      <w:r>
        <w:rPr>
          <w:rFonts w:hint="eastAsia"/>
          <w:bCs/>
          <w:sz w:val="24"/>
        </w:rPr>
        <w:t>26.2.1符合专业条件的投标人或者对招标文件作实质响应的投标人不足三家的。26.2.2出现影响采购公正的违法、违规行为的。</w:t>
      </w:r>
    </w:p>
    <w:p>
      <w:pPr>
        <w:spacing w:line="560" w:lineRule="exact"/>
        <w:ind w:firstLine="480" w:firstLineChars="200"/>
        <w:rPr>
          <w:bCs/>
          <w:sz w:val="24"/>
        </w:rPr>
      </w:pPr>
      <w:r>
        <w:rPr>
          <w:rFonts w:hint="eastAsia"/>
          <w:bCs/>
          <w:sz w:val="24"/>
        </w:rPr>
        <w:t>26.2.3因重大变故，采购任务取消的。</w:t>
      </w:r>
    </w:p>
    <w:p>
      <w:pPr>
        <w:spacing w:line="560" w:lineRule="exact"/>
        <w:ind w:firstLine="480" w:firstLineChars="200"/>
        <w:rPr>
          <w:bCs/>
          <w:sz w:val="24"/>
        </w:rPr>
      </w:pPr>
      <w:r>
        <w:rPr>
          <w:rFonts w:hint="eastAsia"/>
          <w:bCs/>
          <w:sz w:val="24"/>
        </w:rPr>
        <w:t>26.2.4评委会认定招标文件存在歧义、重大缺陷导致评审工作无法进行。</w:t>
      </w:r>
    </w:p>
    <w:p>
      <w:pPr>
        <w:spacing w:line="560" w:lineRule="exact"/>
        <w:ind w:firstLine="480" w:firstLineChars="200"/>
        <w:rPr>
          <w:bCs/>
          <w:sz w:val="24"/>
        </w:rPr>
      </w:pPr>
      <w:r>
        <w:rPr>
          <w:rFonts w:hint="eastAsia"/>
          <w:bCs/>
          <w:sz w:val="24"/>
        </w:rPr>
        <w:t>26.2.5 因</w:t>
      </w:r>
      <w:r>
        <w:rPr>
          <w:rFonts w:hint="eastAsia"/>
          <w:sz w:val="24"/>
          <w:szCs w:val="24"/>
        </w:rPr>
        <w:t>“苏采云”系统</w:t>
      </w:r>
      <w:r>
        <w:rPr>
          <w:bCs/>
          <w:sz w:val="24"/>
        </w:rPr>
        <w:t>系统故障原因造成开标不成功</w:t>
      </w:r>
      <w:r>
        <w:rPr>
          <w:rFonts w:hint="eastAsia"/>
          <w:bCs/>
          <w:sz w:val="24"/>
        </w:rPr>
        <w:t>的</w:t>
      </w:r>
      <w:r>
        <w:rPr>
          <w:bCs/>
          <w:sz w:val="24"/>
        </w:rPr>
        <w:t>。</w:t>
      </w:r>
    </w:p>
    <w:p>
      <w:pPr>
        <w:spacing w:line="560" w:lineRule="exact"/>
        <w:rPr>
          <w:bCs/>
          <w:sz w:val="24"/>
        </w:rPr>
      </w:pPr>
      <w:r>
        <w:rPr>
          <w:rFonts w:hint="eastAsia"/>
          <w:bCs/>
          <w:sz w:val="24"/>
        </w:rPr>
        <w:t>26.3 投标截止时间结束后参加投标的投标人不足三家的处理：</w:t>
      </w:r>
    </w:p>
    <w:p>
      <w:pPr>
        <w:spacing w:line="560" w:lineRule="exact"/>
        <w:ind w:firstLine="480" w:firstLineChars="200"/>
        <w:rPr>
          <w:bCs/>
          <w:sz w:val="24"/>
        </w:rPr>
      </w:pPr>
      <w:r>
        <w:rPr>
          <w:rFonts w:hint="eastAsia"/>
          <w:bCs/>
          <w:sz w:val="24"/>
        </w:rPr>
        <w:t>26.3.1如出现投标截止时间结束后参加投标的投标人或者在评标期间对招标文件做出实质响应的投标人不足三家情况，按政府采购相关规定执行。</w:t>
      </w:r>
    </w:p>
    <w:p>
      <w:pPr>
        <w:pStyle w:val="5"/>
        <w:spacing w:before="0" w:after="0" w:line="560" w:lineRule="exact"/>
        <w:ind w:firstLine="482" w:firstLineChars="150"/>
      </w:pPr>
      <w:bookmarkStart w:id="174" w:name="_Toc120614219"/>
      <w:r>
        <w:rPr>
          <w:rFonts w:hint="eastAsia"/>
        </w:rPr>
        <w:t>六、</w:t>
      </w:r>
      <w:bookmarkEnd w:id="171"/>
      <w:bookmarkEnd w:id="172"/>
      <w:bookmarkEnd w:id="173"/>
      <w:r>
        <w:rPr>
          <w:rFonts w:hint="eastAsia"/>
        </w:rPr>
        <w:t>定标</w:t>
      </w:r>
      <w:bookmarkEnd w:id="174"/>
    </w:p>
    <w:p>
      <w:pPr>
        <w:pStyle w:val="7"/>
        <w:spacing w:before="0" w:after="0" w:line="560" w:lineRule="exact"/>
        <w:ind w:firstLine="600" w:firstLineChars="200"/>
        <w:rPr>
          <w:rFonts w:ascii="Times New Roman" w:hAnsi="Times New Roman" w:cs="Times New Roman"/>
          <w:b w:val="0"/>
          <w:sz w:val="30"/>
          <w:szCs w:val="30"/>
        </w:rPr>
      </w:pPr>
      <w:bookmarkStart w:id="175" w:name="_Toc513029238"/>
      <w:bookmarkStart w:id="176" w:name="_Toc20823310"/>
      <w:bookmarkStart w:id="177" w:name="_Toc16938554"/>
      <w:r>
        <w:rPr>
          <w:rFonts w:hint="eastAsia" w:ascii="Times New Roman" w:hAnsi="Times New Roman" w:cs="Times New Roman"/>
          <w:b w:val="0"/>
          <w:sz w:val="30"/>
          <w:szCs w:val="30"/>
        </w:rPr>
        <w:t>27、</w:t>
      </w:r>
      <w:bookmarkEnd w:id="175"/>
      <w:r>
        <w:rPr>
          <w:rFonts w:hint="eastAsia" w:ascii="Times New Roman" w:hAnsi="Times New Roman" w:cs="Times New Roman"/>
          <w:b w:val="0"/>
          <w:sz w:val="30"/>
          <w:szCs w:val="30"/>
        </w:rPr>
        <w:t>确定</w:t>
      </w:r>
      <w:bookmarkEnd w:id="176"/>
      <w:bookmarkEnd w:id="177"/>
      <w:r>
        <w:rPr>
          <w:rFonts w:hint="eastAsia" w:ascii="Times New Roman" w:hAnsi="Times New Roman" w:cs="Times New Roman"/>
          <w:b w:val="0"/>
          <w:sz w:val="30"/>
          <w:szCs w:val="30"/>
        </w:rPr>
        <w:t>中标单位</w:t>
      </w:r>
    </w:p>
    <w:p>
      <w:pPr>
        <w:spacing w:line="560" w:lineRule="exact"/>
        <w:ind w:firstLine="480" w:firstLineChars="200"/>
        <w:rPr>
          <w:bCs/>
          <w:sz w:val="24"/>
        </w:rPr>
      </w:pPr>
      <w:r>
        <w:rPr>
          <w:rFonts w:hint="eastAsia"/>
          <w:bCs/>
          <w:sz w:val="24"/>
        </w:rPr>
        <w:t xml:space="preserve">27.1中标候选人的选取原则和数量见招标文件第五章规定。 </w:t>
      </w:r>
    </w:p>
    <w:p>
      <w:pPr>
        <w:spacing w:line="560" w:lineRule="exact"/>
        <w:ind w:firstLine="480" w:firstLineChars="200"/>
        <w:rPr>
          <w:bCs/>
          <w:sz w:val="24"/>
          <w:lang w:val="zh-CN"/>
        </w:rPr>
      </w:pPr>
      <w:r>
        <w:rPr>
          <w:rFonts w:hint="eastAsia"/>
          <w:bCs/>
          <w:sz w:val="24"/>
          <w:lang w:val="zh-CN"/>
        </w:rPr>
        <w:t>27.2 按以下第</w:t>
      </w:r>
      <w:r>
        <w:rPr>
          <w:rFonts w:hint="eastAsia" w:ascii="宋体" w:hAnsi="宋体" w:cs="宋体"/>
          <w:bCs/>
          <w:color w:val="000000"/>
          <w:sz w:val="24"/>
          <w:u w:val="single"/>
          <w:lang w:val="zh-CN"/>
        </w:rPr>
        <w:t>（</w:t>
      </w:r>
      <w:r>
        <w:rPr>
          <w:rFonts w:hint="eastAsia" w:ascii="宋体" w:hAnsi="宋体" w:cs="宋体"/>
          <w:bCs/>
          <w:color w:val="000000"/>
          <w:sz w:val="24"/>
          <w:u w:val="single"/>
        </w:rPr>
        <w:t>2</w:t>
      </w:r>
      <w:r>
        <w:rPr>
          <w:rFonts w:hint="eastAsia" w:ascii="宋体" w:hAnsi="宋体" w:cs="宋体"/>
          <w:bCs/>
          <w:color w:val="000000"/>
          <w:sz w:val="24"/>
          <w:u w:val="single"/>
          <w:lang w:val="zh-CN"/>
        </w:rPr>
        <w:t>）</w:t>
      </w:r>
      <w:r>
        <w:rPr>
          <w:rFonts w:hint="eastAsia"/>
          <w:bCs/>
          <w:sz w:val="24"/>
          <w:lang w:val="zh-CN"/>
        </w:rPr>
        <w:t>种方式确定中标人</w:t>
      </w:r>
    </w:p>
    <w:p>
      <w:pPr>
        <w:spacing w:line="560" w:lineRule="exact"/>
        <w:ind w:firstLine="480" w:firstLineChars="200"/>
        <w:rPr>
          <w:bCs/>
          <w:sz w:val="24"/>
          <w:lang w:val="zh-CN"/>
        </w:rPr>
      </w:pPr>
      <w:r>
        <w:rPr>
          <w:rFonts w:hint="eastAsia"/>
          <w:bCs/>
          <w:sz w:val="24"/>
          <w:lang w:val="zh-CN"/>
        </w:rPr>
        <w:t>（1）评委会直接确定排名第一的中标候选人为中标人；</w:t>
      </w:r>
    </w:p>
    <w:p>
      <w:pPr>
        <w:spacing w:line="560" w:lineRule="exact"/>
        <w:ind w:firstLine="480" w:firstLineChars="200"/>
        <w:rPr>
          <w:bCs/>
          <w:sz w:val="24"/>
          <w:lang w:val="zh-CN"/>
        </w:rPr>
      </w:pPr>
      <w:r>
        <w:rPr>
          <w:rFonts w:hint="eastAsia"/>
          <w:bCs/>
          <w:sz w:val="24"/>
          <w:lang w:val="zh-CN"/>
        </w:rPr>
        <w:t>（2）采购人在评委会推荐的中标候选人中按顺序确定中标人。</w:t>
      </w:r>
    </w:p>
    <w:p>
      <w:pPr>
        <w:spacing w:line="560" w:lineRule="exact"/>
        <w:ind w:firstLine="480" w:firstLineChars="200"/>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pPr>
        <w:spacing w:line="560" w:lineRule="exact"/>
        <w:ind w:firstLine="480" w:firstLineChars="200"/>
        <w:rPr>
          <w:sz w:val="24"/>
          <w:szCs w:val="24"/>
        </w:rPr>
      </w:pPr>
      <w:r>
        <w:rPr>
          <w:rFonts w:hint="eastAsia"/>
          <w:bCs/>
          <w:sz w:val="24"/>
          <w:szCs w:val="24"/>
        </w:rPr>
        <w:t xml:space="preserve">27.3 </w:t>
      </w:r>
      <w:r>
        <w:rPr>
          <w:rFonts w:hint="eastAsia"/>
          <w:sz w:val="24"/>
          <w:szCs w:val="24"/>
        </w:rPr>
        <w:t>采购代理机构将在“宿迁市政府采购网”发布中标公告，公告期限为1个工作日。</w:t>
      </w:r>
    </w:p>
    <w:p>
      <w:pPr>
        <w:snapToGrid w:val="0"/>
        <w:spacing w:line="560" w:lineRule="exact"/>
        <w:ind w:firstLine="480" w:firstLineChars="200"/>
        <w:rPr>
          <w:sz w:val="24"/>
          <w:szCs w:val="24"/>
        </w:rPr>
      </w:pPr>
      <w:r>
        <w:rPr>
          <w:rFonts w:hint="eastAsia"/>
          <w:sz w:val="24"/>
          <w:szCs w:val="24"/>
        </w:rPr>
        <w:t>27.4  若有充分证据证明，中标人出现下列情况之一的，一经查实，将被取消中标资格：</w:t>
      </w:r>
    </w:p>
    <w:p>
      <w:pPr>
        <w:snapToGrid w:val="0"/>
        <w:spacing w:line="560" w:lineRule="exact"/>
        <w:ind w:firstLine="480" w:firstLineChars="200"/>
        <w:rPr>
          <w:sz w:val="24"/>
          <w:szCs w:val="24"/>
        </w:rPr>
      </w:pPr>
      <w:r>
        <w:rPr>
          <w:rFonts w:hint="eastAsia"/>
          <w:sz w:val="24"/>
          <w:szCs w:val="24"/>
        </w:rPr>
        <w:t>27.4.1提供虚假材料谋取中标的。</w:t>
      </w:r>
    </w:p>
    <w:p>
      <w:pPr>
        <w:snapToGrid w:val="0"/>
        <w:spacing w:line="560" w:lineRule="exact"/>
        <w:ind w:firstLine="480" w:firstLineChars="200"/>
        <w:rPr>
          <w:sz w:val="24"/>
          <w:szCs w:val="24"/>
        </w:rPr>
      </w:pPr>
      <w:r>
        <w:rPr>
          <w:rFonts w:hint="eastAsia"/>
          <w:sz w:val="24"/>
          <w:szCs w:val="24"/>
        </w:rPr>
        <w:t>27.4.2向采购人、采购代理机构行贿或者提供其他不正当利益的。</w:t>
      </w:r>
    </w:p>
    <w:p>
      <w:pPr>
        <w:snapToGrid w:val="0"/>
        <w:spacing w:line="560" w:lineRule="exact"/>
        <w:ind w:firstLine="480" w:firstLineChars="200"/>
        <w:rPr>
          <w:sz w:val="24"/>
          <w:szCs w:val="24"/>
        </w:rPr>
      </w:pPr>
      <w:r>
        <w:rPr>
          <w:rFonts w:hint="eastAsia"/>
          <w:sz w:val="24"/>
          <w:szCs w:val="24"/>
        </w:rPr>
        <w:t>27.4.3属于本文件规定的无效条件，但在评标过程中又未被评委会发现的。</w:t>
      </w:r>
    </w:p>
    <w:p>
      <w:pPr>
        <w:snapToGrid w:val="0"/>
        <w:spacing w:line="560" w:lineRule="exact"/>
        <w:ind w:firstLine="480" w:firstLineChars="200"/>
        <w:rPr>
          <w:sz w:val="24"/>
          <w:szCs w:val="24"/>
        </w:rPr>
      </w:pPr>
      <w:r>
        <w:rPr>
          <w:rFonts w:hint="eastAsia"/>
          <w:sz w:val="24"/>
          <w:szCs w:val="24"/>
        </w:rPr>
        <w:t>27.4.4与采购人或者其他投标人恶意串通的。</w:t>
      </w:r>
    </w:p>
    <w:p>
      <w:pPr>
        <w:snapToGrid w:val="0"/>
        <w:spacing w:line="560" w:lineRule="exact"/>
        <w:ind w:firstLine="480" w:firstLineChars="200"/>
        <w:rPr>
          <w:sz w:val="24"/>
          <w:szCs w:val="24"/>
        </w:rPr>
      </w:pPr>
      <w:r>
        <w:rPr>
          <w:rFonts w:hint="eastAsia"/>
          <w:sz w:val="24"/>
          <w:szCs w:val="24"/>
        </w:rPr>
        <w:t>27.4.5采取不正当手段诋毁、排挤其他投标人的。</w:t>
      </w:r>
    </w:p>
    <w:p>
      <w:pPr>
        <w:snapToGrid w:val="0"/>
        <w:spacing w:line="560" w:lineRule="exact"/>
        <w:ind w:firstLine="480" w:firstLineChars="200"/>
        <w:rPr>
          <w:sz w:val="24"/>
          <w:szCs w:val="24"/>
        </w:rPr>
      </w:pPr>
      <w:bookmarkStart w:id="178" w:name="_Toc200451960"/>
      <w:r>
        <w:rPr>
          <w:rFonts w:hint="eastAsia"/>
          <w:sz w:val="24"/>
          <w:szCs w:val="24"/>
        </w:rPr>
        <w:t xml:space="preserve">27.5 </w:t>
      </w:r>
      <w:r>
        <w:rPr>
          <w:rFonts w:cs="宋体"/>
          <w:kern w:val="0"/>
          <w:sz w:val="24"/>
          <w:szCs w:val="24"/>
        </w:rPr>
        <w:t>有下列情形之一的，</w:t>
      </w:r>
      <w:r>
        <w:rPr>
          <w:rFonts w:hint="eastAsia" w:cs="宋体"/>
          <w:kern w:val="0"/>
          <w:sz w:val="24"/>
          <w:szCs w:val="24"/>
        </w:rPr>
        <w:t>视为投标人</w:t>
      </w:r>
      <w:r>
        <w:rPr>
          <w:rFonts w:cs="宋体"/>
          <w:kern w:val="0"/>
          <w:sz w:val="24"/>
          <w:szCs w:val="24"/>
        </w:rPr>
        <w:t>串通</w:t>
      </w:r>
      <w:r>
        <w:rPr>
          <w:rFonts w:hint="eastAsia" w:cs="宋体"/>
          <w:kern w:val="0"/>
          <w:sz w:val="24"/>
          <w:szCs w:val="24"/>
        </w:rPr>
        <w:t>投标，投标无效：</w:t>
      </w:r>
    </w:p>
    <w:p>
      <w:pPr>
        <w:snapToGrid w:val="0"/>
        <w:spacing w:line="560" w:lineRule="exact"/>
        <w:ind w:firstLine="480" w:firstLineChars="200"/>
        <w:rPr>
          <w:sz w:val="24"/>
          <w:szCs w:val="24"/>
        </w:rPr>
      </w:pPr>
      <w:r>
        <w:rPr>
          <w:rFonts w:hint="eastAsia"/>
          <w:sz w:val="24"/>
          <w:szCs w:val="24"/>
        </w:rPr>
        <w:t>27.5.1不同投标人的投标文件由同一单位或者个人编制。</w:t>
      </w:r>
    </w:p>
    <w:p>
      <w:pPr>
        <w:snapToGrid w:val="0"/>
        <w:spacing w:line="560" w:lineRule="exact"/>
        <w:ind w:firstLine="480" w:firstLineChars="200"/>
        <w:rPr>
          <w:sz w:val="24"/>
          <w:szCs w:val="24"/>
        </w:rPr>
      </w:pPr>
      <w:r>
        <w:rPr>
          <w:rFonts w:hint="eastAsia"/>
          <w:sz w:val="24"/>
          <w:szCs w:val="24"/>
        </w:rPr>
        <w:t>27.5.2不同投标人委托同一单位或者个人办理投标事宜。</w:t>
      </w:r>
    </w:p>
    <w:p>
      <w:pPr>
        <w:snapToGrid w:val="0"/>
        <w:spacing w:line="560" w:lineRule="exact"/>
        <w:ind w:firstLine="480" w:firstLineChars="200"/>
        <w:rPr>
          <w:sz w:val="24"/>
          <w:szCs w:val="24"/>
        </w:rPr>
      </w:pPr>
      <w:r>
        <w:rPr>
          <w:rFonts w:hint="eastAsia"/>
          <w:sz w:val="24"/>
          <w:szCs w:val="24"/>
        </w:rPr>
        <w:t>27.5.3 不同投标人的投标文件载明的项目管理成员或者联系人员为同一人。</w:t>
      </w:r>
    </w:p>
    <w:p>
      <w:pPr>
        <w:snapToGrid w:val="0"/>
        <w:spacing w:line="560" w:lineRule="exact"/>
        <w:ind w:firstLine="480" w:firstLineChars="200"/>
        <w:rPr>
          <w:sz w:val="24"/>
          <w:szCs w:val="24"/>
        </w:rPr>
      </w:pPr>
      <w:r>
        <w:rPr>
          <w:rFonts w:hint="eastAsia"/>
          <w:sz w:val="24"/>
          <w:szCs w:val="24"/>
        </w:rPr>
        <w:t>27.5.4不同投标人的投标文件异常一致或者投标报价呈规律性差异。</w:t>
      </w:r>
    </w:p>
    <w:p>
      <w:pPr>
        <w:pStyle w:val="7"/>
        <w:spacing w:before="0" w:after="0" w:line="560" w:lineRule="exact"/>
        <w:ind w:firstLine="600" w:firstLineChars="200"/>
        <w:rPr>
          <w:rFonts w:ascii="Times New Roman" w:hAnsi="Times New Roman" w:cs="Times New Roman"/>
          <w:b w:val="0"/>
          <w:sz w:val="30"/>
          <w:szCs w:val="30"/>
        </w:rPr>
      </w:pPr>
      <w:r>
        <w:rPr>
          <w:rFonts w:hint="eastAsia" w:ascii="Times New Roman" w:hAnsi="Times New Roman" w:cs="Times New Roman"/>
          <w:b w:val="0"/>
          <w:sz w:val="30"/>
          <w:szCs w:val="30"/>
        </w:rPr>
        <w:t>28、质疑处理</w:t>
      </w:r>
      <w:bookmarkEnd w:id="178"/>
    </w:p>
    <w:p>
      <w:pPr>
        <w:snapToGrid w:val="0"/>
        <w:spacing w:line="560" w:lineRule="exact"/>
        <w:ind w:firstLine="480" w:firstLineChars="200"/>
        <w:rPr>
          <w:sz w:val="24"/>
          <w:szCs w:val="24"/>
        </w:rPr>
      </w:pPr>
      <w:r>
        <w:rPr>
          <w:rFonts w:hint="eastAsia"/>
          <w:sz w:val="24"/>
          <w:szCs w:val="24"/>
        </w:rPr>
        <w:t>28.1 提出质疑的投标人应当是参与所质疑项目采购活动的投标人。潜在投标人依法获取其可质疑的采购文件的，可以对采购文件提出质疑。</w:t>
      </w:r>
    </w:p>
    <w:p>
      <w:pPr>
        <w:snapToGrid w:val="0"/>
        <w:spacing w:line="560" w:lineRule="exact"/>
        <w:ind w:firstLine="480" w:firstLineChars="200"/>
        <w:rPr>
          <w:sz w:val="24"/>
          <w:szCs w:val="24"/>
        </w:rPr>
      </w:pPr>
      <w:r>
        <w:rPr>
          <w:rFonts w:hint="eastAsia"/>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pPr>
        <w:snapToGrid w:val="0"/>
        <w:spacing w:line="560" w:lineRule="exact"/>
        <w:ind w:firstLine="480" w:firstLineChars="200"/>
        <w:rPr>
          <w:rFonts w:cs="宋体"/>
          <w:kern w:val="0"/>
          <w:sz w:val="24"/>
          <w:szCs w:val="24"/>
        </w:rPr>
      </w:pPr>
      <w:r>
        <w:rPr>
          <w:rFonts w:hint="eastAsia"/>
          <w:sz w:val="24"/>
          <w:szCs w:val="24"/>
        </w:rPr>
        <w:t>28.2.1</w:t>
      </w:r>
      <w:r>
        <w:rPr>
          <w:rFonts w:cs="宋体"/>
          <w:kern w:val="0"/>
          <w:sz w:val="24"/>
          <w:szCs w:val="24"/>
        </w:rPr>
        <w:t>对可以质疑的采购文件提出质疑的，为收到采购文件之日或者采购文件公告期限届满之日；</w:t>
      </w:r>
    </w:p>
    <w:p>
      <w:pPr>
        <w:snapToGrid w:val="0"/>
        <w:spacing w:line="560" w:lineRule="exact"/>
        <w:ind w:firstLine="480" w:firstLineChars="200"/>
        <w:rPr>
          <w:rFonts w:cs="宋体"/>
          <w:kern w:val="0"/>
          <w:sz w:val="24"/>
          <w:szCs w:val="24"/>
        </w:rPr>
      </w:pPr>
      <w:r>
        <w:rPr>
          <w:rFonts w:hint="eastAsia"/>
          <w:sz w:val="24"/>
          <w:szCs w:val="24"/>
        </w:rPr>
        <w:t>28.2.2</w:t>
      </w:r>
      <w:r>
        <w:rPr>
          <w:rFonts w:cs="宋体"/>
          <w:kern w:val="0"/>
          <w:sz w:val="24"/>
          <w:szCs w:val="24"/>
        </w:rPr>
        <w:t>对采购过程提出质疑的，为各采购程序环节结束之日；</w:t>
      </w:r>
    </w:p>
    <w:p>
      <w:pPr>
        <w:snapToGrid w:val="0"/>
        <w:spacing w:line="560" w:lineRule="exact"/>
        <w:ind w:firstLine="480" w:firstLineChars="200"/>
        <w:rPr>
          <w:rFonts w:cs="宋体"/>
          <w:kern w:val="0"/>
          <w:sz w:val="24"/>
          <w:szCs w:val="24"/>
        </w:rPr>
      </w:pPr>
      <w:r>
        <w:rPr>
          <w:rFonts w:hint="eastAsia"/>
          <w:sz w:val="24"/>
          <w:szCs w:val="24"/>
        </w:rPr>
        <w:t>28.2.3</w:t>
      </w:r>
      <w:r>
        <w:rPr>
          <w:rFonts w:cs="宋体"/>
          <w:kern w:val="0"/>
          <w:sz w:val="24"/>
          <w:szCs w:val="24"/>
        </w:rPr>
        <w:t>对中标或者成交结果提出质疑的，为中标或者成交结果公告期限届满之日。</w:t>
      </w:r>
    </w:p>
    <w:p>
      <w:pPr>
        <w:snapToGrid w:val="0"/>
        <w:spacing w:line="560" w:lineRule="exact"/>
        <w:ind w:firstLine="480" w:firstLineChars="200"/>
        <w:rPr>
          <w:rFonts w:cs="宋体"/>
          <w:kern w:val="0"/>
          <w:sz w:val="24"/>
          <w:szCs w:val="24"/>
        </w:rPr>
      </w:pPr>
      <w:r>
        <w:rPr>
          <w:rFonts w:hint="eastAsia" w:cs="宋体"/>
          <w:kern w:val="0"/>
          <w:sz w:val="24"/>
          <w:szCs w:val="24"/>
        </w:rPr>
        <w:t>投标人应当在法定质疑期内一次性提出针对同一采购程序环节的质疑。投标人如在法定期限内对同一采购程序环节提出多次质疑的，采购代理机构、</w:t>
      </w:r>
      <w:r>
        <w:rPr>
          <w:rFonts w:cs="宋体"/>
          <w:kern w:val="0"/>
          <w:sz w:val="24"/>
          <w:szCs w:val="24"/>
        </w:rPr>
        <w:t>采购人</w:t>
      </w:r>
      <w:r>
        <w:rPr>
          <w:rFonts w:hint="eastAsia" w:cs="宋体"/>
          <w:kern w:val="0"/>
          <w:sz w:val="24"/>
          <w:szCs w:val="24"/>
        </w:rPr>
        <w:t>将只对投标人第一次质疑作出答复。</w:t>
      </w:r>
    </w:p>
    <w:p>
      <w:pPr>
        <w:snapToGrid w:val="0"/>
        <w:spacing w:line="560" w:lineRule="exact"/>
        <w:ind w:firstLine="480" w:firstLineChars="200"/>
        <w:rPr>
          <w:sz w:val="24"/>
          <w:szCs w:val="24"/>
        </w:rPr>
      </w:pPr>
      <w:r>
        <w:rPr>
          <w:rFonts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pPr>
        <w:snapToGrid w:val="0"/>
        <w:spacing w:line="560" w:lineRule="exact"/>
        <w:ind w:firstLine="480" w:firstLineChars="200"/>
        <w:rPr>
          <w:sz w:val="24"/>
          <w:szCs w:val="24"/>
        </w:rPr>
      </w:pPr>
      <w:r>
        <w:rPr>
          <w:sz w:val="24"/>
          <w:szCs w:val="24"/>
        </w:rPr>
        <w:t>2</w:t>
      </w:r>
      <w:r>
        <w:rPr>
          <w:rFonts w:hint="eastAsia"/>
          <w:sz w:val="24"/>
          <w:szCs w:val="24"/>
        </w:rPr>
        <w:t>8.4 投标人应以书面形式向采购人或者其委托的采购代理机构提出质疑。质疑超出采购机构代理范围的，投标人应当向采购人提出。</w:t>
      </w:r>
    </w:p>
    <w:p>
      <w:pPr>
        <w:snapToGrid w:val="0"/>
        <w:spacing w:line="560" w:lineRule="exact"/>
        <w:ind w:firstLine="480" w:firstLineChars="200"/>
        <w:rPr>
          <w:sz w:val="24"/>
          <w:szCs w:val="24"/>
        </w:rPr>
      </w:pPr>
      <w:r>
        <w:rPr>
          <w:rFonts w:hint="eastAsia"/>
          <w:sz w:val="24"/>
          <w:szCs w:val="24"/>
        </w:rPr>
        <w:t>接收质疑函的方式：现场接收或邮寄接收</w:t>
      </w:r>
      <w:r>
        <w:rPr>
          <w:rFonts w:hint="eastAsia"/>
          <w:sz w:val="24"/>
          <w:szCs w:val="24"/>
          <w:lang w:val="en-US" w:eastAsia="zh-CN"/>
        </w:rPr>
        <w:t>或书面形式</w:t>
      </w:r>
      <w:r>
        <w:rPr>
          <w:rFonts w:hint="eastAsia"/>
          <w:sz w:val="24"/>
          <w:szCs w:val="24"/>
        </w:rPr>
        <w:t>。</w:t>
      </w:r>
    </w:p>
    <w:p>
      <w:pPr>
        <w:snapToGrid w:val="0"/>
        <w:spacing w:line="560" w:lineRule="exact"/>
        <w:ind w:firstLine="480" w:firstLineChars="200"/>
        <w:rPr>
          <w:sz w:val="24"/>
          <w:szCs w:val="24"/>
        </w:rPr>
      </w:pPr>
      <w:r>
        <w:rPr>
          <w:rFonts w:hint="eastAsia"/>
          <w:sz w:val="24"/>
          <w:szCs w:val="24"/>
        </w:rPr>
        <w:t>联系部门：</w:t>
      </w:r>
      <w:bookmarkStart w:id="179" w:name="EB5e47d6fc0b5b4e22bc47b8fd9ab9894f"/>
      <w:r>
        <w:rPr>
          <w:rFonts w:hint="eastAsia"/>
          <w:sz w:val="24"/>
          <w:szCs w:val="24"/>
        </w:rPr>
        <w:t>泗洪县农业农村局、中天志远咨询有限公司</w:t>
      </w:r>
      <w:bookmarkEnd w:id="179"/>
    </w:p>
    <w:p>
      <w:pPr>
        <w:snapToGrid w:val="0"/>
        <w:spacing w:line="560" w:lineRule="exact"/>
        <w:ind w:firstLine="480" w:firstLineChars="200"/>
        <w:rPr>
          <w:color w:val="FF0000"/>
          <w:sz w:val="24"/>
          <w:szCs w:val="24"/>
        </w:rPr>
      </w:pPr>
      <w:r>
        <w:rPr>
          <w:rFonts w:hint="eastAsia"/>
          <w:sz w:val="24"/>
          <w:szCs w:val="24"/>
        </w:rPr>
        <w:t xml:space="preserve">联系电话：15261287892/15151199338      </w:t>
      </w:r>
      <w:r>
        <w:rPr>
          <w:rFonts w:hint="eastAsia"/>
          <w:color w:val="FF0000"/>
          <w:sz w:val="24"/>
          <w:szCs w:val="24"/>
        </w:rPr>
        <w:t xml:space="preserve">            </w:t>
      </w:r>
    </w:p>
    <w:p>
      <w:pPr>
        <w:snapToGrid w:val="0"/>
        <w:spacing w:line="560" w:lineRule="exact"/>
        <w:ind w:firstLine="480" w:firstLineChars="200"/>
        <w:rPr>
          <w:sz w:val="24"/>
          <w:szCs w:val="24"/>
        </w:rPr>
      </w:pPr>
      <w:r>
        <w:rPr>
          <w:rFonts w:hint="eastAsia"/>
          <w:sz w:val="24"/>
          <w:szCs w:val="24"/>
        </w:rPr>
        <w:t>通讯地址：</w:t>
      </w:r>
      <w:bookmarkStart w:id="180" w:name="EBbc4de356f0dc436eb73023cf20f4397b"/>
      <w:r>
        <w:rPr>
          <w:rFonts w:hint="eastAsia"/>
          <w:sz w:val="24"/>
          <w:szCs w:val="24"/>
        </w:rPr>
        <w:t>泗洪县人民北路10号、泗洪县富园天郡3号楼918室。</w:t>
      </w:r>
      <w:bookmarkEnd w:id="180"/>
      <w:r>
        <w:rPr>
          <w:rFonts w:hint="eastAsia"/>
          <w:sz w:val="24"/>
          <w:szCs w:val="24"/>
        </w:rPr>
        <w:t xml:space="preserve">          </w:t>
      </w:r>
    </w:p>
    <w:p>
      <w:pPr>
        <w:snapToGrid w:val="0"/>
        <w:spacing w:line="560" w:lineRule="exact"/>
        <w:ind w:firstLine="480" w:firstLineChars="200"/>
        <w:rPr>
          <w:sz w:val="24"/>
          <w:szCs w:val="24"/>
        </w:rPr>
      </w:pPr>
      <w:r>
        <w:rPr>
          <w:rFonts w:hint="eastAsia"/>
          <w:sz w:val="24"/>
          <w:szCs w:val="24"/>
        </w:rPr>
        <w:t>28.5 以下情形的质疑不予受理</w:t>
      </w:r>
    </w:p>
    <w:p>
      <w:pPr>
        <w:snapToGrid w:val="0"/>
        <w:spacing w:line="560" w:lineRule="exact"/>
        <w:ind w:firstLine="480" w:firstLineChars="200"/>
        <w:rPr>
          <w:sz w:val="24"/>
          <w:szCs w:val="24"/>
        </w:rPr>
      </w:pPr>
      <w:r>
        <w:rPr>
          <w:rFonts w:hint="eastAsia"/>
          <w:sz w:val="24"/>
          <w:szCs w:val="24"/>
        </w:rPr>
        <w:t>28.5.1 内容不符合《政府采购质疑和投诉办法》第十二条规定的质疑。</w:t>
      </w:r>
    </w:p>
    <w:p>
      <w:pPr>
        <w:snapToGrid w:val="0"/>
        <w:spacing w:line="560" w:lineRule="exact"/>
        <w:ind w:firstLine="480" w:firstLineChars="200"/>
        <w:rPr>
          <w:sz w:val="24"/>
          <w:szCs w:val="24"/>
        </w:rPr>
      </w:pPr>
      <w:r>
        <w:rPr>
          <w:rFonts w:hint="eastAsia"/>
          <w:sz w:val="24"/>
          <w:szCs w:val="24"/>
        </w:rPr>
        <w:t>28.5.2 超出政府采购法定期限的质疑。</w:t>
      </w:r>
    </w:p>
    <w:p>
      <w:pPr>
        <w:snapToGrid w:val="0"/>
        <w:spacing w:line="560" w:lineRule="exact"/>
        <w:ind w:firstLine="480" w:firstLineChars="200"/>
        <w:rPr>
          <w:sz w:val="24"/>
          <w:szCs w:val="24"/>
        </w:rPr>
      </w:pPr>
      <w:r>
        <w:rPr>
          <w:rFonts w:hint="eastAsia"/>
          <w:sz w:val="24"/>
          <w:szCs w:val="24"/>
        </w:rPr>
        <w:t>28.5.3 以传真、电子邮件等方式递交的非原件形式的质疑。</w:t>
      </w:r>
    </w:p>
    <w:p>
      <w:pPr>
        <w:snapToGrid w:val="0"/>
        <w:spacing w:line="560" w:lineRule="exact"/>
        <w:ind w:firstLine="480" w:firstLineChars="200"/>
        <w:rPr>
          <w:sz w:val="24"/>
          <w:szCs w:val="24"/>
        </w:rPr>
      </w:pPr>
      <w:r>
        <w:rPr>
          <w:rFonts w:hint="eastAsia"/>
          <w:sz w:val="24"/>
          <w:szCs w:val="24"/>
        </w:rPr>
        <w:t>28.5.4 未参加投标活动的投标人或在投标活动中自身权益未受到损害的投标人所提出的质疑。</w:t>
      </w:r>
    </w:p>
    <w:p>
      <w:pPr>
        <w:snapToGrid w:val="0"/>
        <w:spacing w:line="560" w:lineRule="exact"/>
        <w:ind w:firstLine="480" w:firstLineChars="200"/>
        <w:rPr>
          <w:sz w:val="24"/>
          <w:szCs w:val="24"/>
        </w:rPr>
      </w:pPr>
      <w:r>
        <w:rPr>
          <w:rFonts w:hint="eastAsia"/>
          <w:sz w:val="24"/>
          <w:szCs w:val="24"/>
        </w:rPr>
        <w:t>28.5.5投标人组成联合体参加投标，联合体中任何一方或多方未按要求签字、盖章、加盖公章的质疑。</w:t>
      </w:r>
    </w:p>
    <w:p>
      <w:pPr>
        <w:snapToGrid w:val="0"/>
        <w:spacing w:line="560" w:lineRule="exact"/>
        <w:ind w:firstLine="468" w:firstLineChars="195"/>
        <w:rPr>
          <w:sz w:val="24"/>
          <w:szCs w:val="24"/>
        </w:rPr>
      </w:pPr>
      <w:r>
        <w:rPr>
          <w:rFonts w:hint="eastAsia"/>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pPr>
        <w:snapToGrid w:val="0"/>
        <w:spacing w:line="560" w:lineRule="exact"/>
        <w:ind w:firstLine="468" w:firstLineChars="195"/>
        <w:rPr>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质疑供应商对采购人、采购代理机构的答复不满意，或者采购人、采购代理机构未在规定时间内作出答复的，可以在答复期满后15个工作日内向同级财政部门提起投诉。</w:t>
      </w:r>
    </w:p>
    <w:p>
      <w:pPr>
        <w:pStyle w:val="7"/>
        <w:spacing w:before="0" w:after="0" w:line="560" w:lineRule="exact"/>
        <w:ind w:firstLine="600" w:firstLineChars="200"/>
        <w:rPr>
          <w:rFonts w:ascii="Times New Roman" w:hAnsi="Times New Roman" w:cs="Times New Roman"/>
          <w:b w:val="0"/>
          <w:sz w:val="30"/>
          <w:szCs w:val="30"/>
        </w:rPr>
      </w:pPr>
      <w:r>
        <w:rPr>
          <w:rFonts w:hint="eastAsia" w:ascii="Times New Roman" w:hAnsi="Times New Roman" w:cs="Times New Roman"/>
          <w:b w:val="0"/>
          <w:sz w:val="30"/>
          <w:szCs w:val="30"/>
        </w:rPr>
        <w:t>29、中标通知书</w:t>
      </w:r>
    </w:p>
    <w:p>
      <w:pPr>
        <w:snapToGrid w:val="0"/>
        <w:spacing w:line="560" w:lineRule="exact"/>
        <w:ind w:firstLine="600" w:firstLineChars="250"/>
        <w:rPr>
          <w:sz w:val="24"/>
          <w:szCs w:val="24"/>
        </w:rPr>
      </w:pPr>
      <w:r>
        <w:rPr>
          <w:rFonts w:hint="eastAsia"/>
          <w:sz w:val="24"/>
          <w:szCs w:val="24"/>
        </w:rPr>
        <w:t>29.l</w:t>
      </w:r>
      <w:r>
        <w:rPr>
          <w:rFonts w:hint="eastAsia"/>
          <w:b/>
          <w:sz w:val="24"/>
          <w:szCs w:val="24"/>
        </w:rPr>
        <w:t xml:space="preserve"> </w:t>
      </w:r>
      <w:r>
        <w:rPr>
          <w:rFonts w:hint="eastAsia"/>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pPr>
        <w:snapToGrid w:val="0"/>
        <w:spacing w:line="560" w:lineRule="exact"/>
        <w:ind w:firstLine="600" w:firstLineChars="250"/>
        <w:rPr>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pPr>
        <w:pStyle w:val="5"/>
        <w:spacing w:before="0" w:after="0" w:line="560" w:lineRule="exact"/>
      </w:pPr>
      <w:bookmarkStart w:id="181" w:name="_Toc120614220"/>
      <w:bookmarkStart w:id="182" w:name="_Toc513029236"/>
      <w:bookmarkStart w:id="183" w:name="_Toc16938552"/>
      <w:bookmarkStart w:id="184" w:name="_Toc20823308"/>
      <w:r>
        <w:rPr>
          <w:rFonts w:hint="eastAsia"/>
        </w:rPr>
        <w:t>七、授予合同</w:t>
      </w:r>
      <w:bookmarkEnd w:id="181"/>
    </w:p>
    <w:bookmarkEnd w:id="182"/>
    <w:bookmarkEnd w:id="183"/>
    <w:bookmarkEnd w:id="184"/>
    <w:p>
      <w:pPr>
        <w:pStyle w:val="7"/>
        <w:spacing w:before="0" w:after="0" w:line="560" w:lineRule="exact"/>
        <w:ind w:firstLine="600" w:firstLineChars="200"/>
        <w:rPr>
          <w:rFonts w:ascii="Times New Roman" w:hAnsi="Times New Roman" w:cs="Times New Roman"/>
          <w:b w:val="0"/>
          <w:sz w:val="30"/>
          <w:szCs w:val="30"/>
        </w:rPr>
      </w:pPr>
      <w:bookmarkStart w:id="185" w:name="_Toc16938553"/>
      <w:bookmarkStart w:id="186" w:name="_Toc513029237"/>
      <w:bookmarkStart w:id="187" w:name="_Toc20823309"/>
      <w:r>
        <w:rPr>
          <w:rFonts w:hint="eastAsia" w:ascii="Times New Roman" w:hAnsi="Times New Roman" w:cs="Times New Roman"/>
          <w:b w:val="0"/>
          <w:sz w:val="30"/>
          <w:szCs w:val="30"/>
        </w:rPr>
        <w:t>30. 签订合同</w:t>
      </w:r>
    </w:p>
    <w:p>
      <w:pPr>
        <w:snapToGrid w:val="0"/>
        <w:spacing w:line="560" w:lineRule="exact"/>
        <w:ind w:firstLine="600" w:firstLineChars="250"/>
        <w:rPr>
          <w:bCs/>
          <w:sz w:val="24"/>
          <w:lang w:val="zh-CN"/>
        </w:rPr>
      </w:pPr>
      <w:r>
        <w:rPr>
          <w:rFonts w:hint="eastAsia"/>
          <w:bCs/>
          <w:sz w:val="24"/>
          <w:szCs w:val="24"/>
        </w:rPr>
        <w:t>30</w:t>
      </w:r>
      <w:r>
        <w:rPr>
          <w:rFonts w:hint="eastAsia"/>
          <w:sz w:val="24"/>
          <w:szCs w:val="24"/>
        </w:rPr>
        <w:t>.l中标人应当在中标通知书发出之日起15日内，按照招标文件确定的事项与采购人签订政府采购合同。</w:t>
      </w:r>
      <w:r>
        <w:rPr>
          <w:rFonts w:hint="eastAsia"/>
          <w:bCs/>
          <w:sz w:val="24"/>
          <w:lang w:val="zh-CN"/>
        </w:rPr>
        <w:t>并在签订之日起2个工作日内将政府采购合同在指定的媒体上公告，但政府采购合同中涉及国家秘密、商业秘密的内容除外。</w:t>
      </w:r>
    </w:p>
    <w:p>
      <w:pPr>
        <w:snapToGrid w:val="0"/>
        <w:spacing w:line="560" w:lineRule="exact"/>
        <w:ind w:firstLine="600" w:firstLineChars="250"/>
        <w:rPr>
          <w:sz w:val="24"/>
          <w:szCs w:val="24"/>
        </w:rPr>
      </w:pPr>
      <w:r>
        <w:rPr>
          <w:rFonts w:hint="eastAsia"/>
          <w:sz w:val="24"/>
          <w:szCs w:val="24"/>
        </w:rPr>
        <w:t>30.2</w:t>
      </w:r>
      <w:r>
        <w:rPr>
          <w:rFonts w:hint="eastAsia"/>
          <w:b/>
          <w:sz w:val="24"/>
          <w:szCs w:val="24"/>
        </w:rPr>
        <w:t xml:space="preserve"> </w:t>
      </w:r>
      <w:r>
        <w:rPr>
          <w:rFonts w:hint="eastAsia"/>
          <w:sz w:val="24"/>
          <w:szCs w:val="24"/>
        </w:rPr>
        <w:t>招标文件、中标人的投标文件及招标过程中有关澄清、承诺文件均应作为合同附件。</w:t>
      </w:r>
    </w:p>
    <w:p>
      <w:pPr>
        <w:snapToGrid w:val="0"/>
        <w:spacing w:line="560" w:lineRule="exact"/>
        <w:ind w:firstLine="600" w:firstLineChars="250"/>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pPr>
        <w:spacing w:line="560" w:lineRule="exact"/>
        <w:ind w:firstLine="600"/>
        <w:rPr>
          <w:color w:val="000000"/>
          <w:sz w:val="24"/>
          <w:szCs w:val="24"/>
        </w:rPr>
      </w:pPr>
      <w:r>
        <w:rPr>
          <w:color w:val="000000"/>
          <w:sz w:val="24"/>
          <w:szCs w:val="24"/>
        </w:rPr>
        <w:t>30.4</w:t>
      </w:r>
      <w:r>
        <w:rPr>
          <w:rFonts w:hint="eastAsia"/>
          <w:color w:val="000000"/>
          <w:sz w:val="24"/>
          <w:szCs w:val="24"/>
        </w:rPr>
        <w:t>本项目的非主体、非关键性工作是否允许分包按以下第</w:t>
      </w:r>
      <w:r>
        <w:rPr>
          <w:color w:val="000000"/>
          <w:sz w:val="24"/>
          <w:szCs w:val="24"/>
          <w:u w:val="single"/>
        </w:rPr>
        <w:t>2</w:t>
      </w:r>
      <w:r>
        <w:rPr>
          <w:rFonts w:hint="eastAsia"/>
          <w:color w:val="000000"/>
          <w:sz w:val="24"/>
          <w:szCs w:val="24"/>
        </w:rPr>
        <w:t>种方式确定：</w:t>
      </w:r>
    </w:p>
    <w:p>
      <w:pPr>
        <w:spacing w:line="560" w:lineRule="exact"/>
        <w:ind w:firstLine="720"/>
        <w:rPr>
          <w:color w:val="000000"/>
          <w:sz w:val="24"/>
          <w:szCs w:val="24"/>
          <w:u w:val="single"/>
        </w:rPr>
      </w:pPr>
      <w:r>
        <w:rPr>
          <w:color w:val="000000"/>
          <w:sz w:val="24"/>
          <w:szCs w:val="24"/>
        </w:rPr>
        <w:t>1.</w:t>
      </w:r>
      <w:r>
        <w:rPr>
          <w:rFonts w:hint="eastAsia"/>
          <w:color w:val="000000"/>
          <w:sz w:val="24"/>
          <w:szCs w:val="24"/>
        </w:rPr>
        <w:t>允许分包，允许大中型企业向一家或者多家小微企业分包，分包具体内容、金额或比例：</w:t>
      </w:r>
      <w:r>
        <w:rPr>
          <w:color w:val="000000"/>
          <w:sz w:val="24"/>
          <w:szCs w:val="24"/>
          <w:u w:val="single"/>
        </w:rPr>
        <w:t>/</w:t>
      </w:r>
      <w:r>
        <w:rPr>
          <w:rFonts w:hint="eastAsia"/>
          <w:color w:val="000000"/>
          <w:sz w:val="24"/>
          <w:szCs w:val="24"/>
        </w:rPr>
        <w:t>；</w:t>
      </w:r>
    </w:p>
    <w:p>
      <w:pPr>
        <w:spacing w:line="560" w:lineRule="exact"/>
        <w:ind w:firstLine="600"/>
        <w:rPr>
          <w:color w:val="000000"/>
          <w:sz w:val="24"/>
          <w:szCs w:val="24"/>
        </w:rPr>
      </w:pPr>
      <w:r>
        <w:rPr>
          <w:color w:val="000000"/>
          <w:sz w:val="24"/>
          <w:szCs w:val="24"/>
        </w:rPr>
        <w:t xml:space="preserve"> 2.</w:t>
      </w:r>
      <w:r>
        <w:rPr>
          <w:rFonts w:hint="eastAsia"/>
          <w:color w:val="000000"/>
          <w:sz w:val="24"/>
          <w:szCs w:val="24"/>
        </w:rPr>
        <w:t>不允许分包。未经采购人同意，中标人也不得采用分包形式履行合同</w:t>
      </w:r>
      <w:r>
        <w:rPr>
          <w:color w:val="000000"/>
          <w:sz w:val="24"/>
          <w:szCs w:val="24"/>
        </w:rPr>
        <w:t>,</w:t>
      </w:r>
      <w:r>
        <w:rPr>
          <w:rFonts w:hint="eastAsia"/>
          <w:color w:val="000000"/>
          <w:sz w:val="24"/>
          <w:szCs w:val="24"/>
        </w:rPr>
        <w:t>否则采购人有权终止合同。转包或分包造成采购人损失的，中标人应承担相应赔偿责任。</w:t>
      </w:r>
    </w:p>
    <w:p>
      <w:pPr>
        <w:spacing w:line="560" w:lineRule="exact"/>
        <w:ind w:firstLine="480"/>
        <w:rPr>
          <w:sz w:val="24"/>
          <w:szCs w:val="24"/>
        </w:rPr>
      </w:pPr>
      <w:r>
        <w:rPr>
          <w:sz w:val="24"/>
          <w:szCs w:val="24"/>
        </w:rPr>
        <w:t>30.4</w:t>
      </w:r>
      <w:r>
        <w:rPr>
          <w:rFonts w:hint="eastAsia"/>
          <w:sz w:val="24"/>
          <w:szCs w:val="24"/>
        </w:rPr>
        <w:t>履约保证金</w:t>
      </w:r>
    </w:p>
    <w:p>
      <w:pPr>
        <w:spacing w:line="560" w:lineRule="exact"/>
        <w:ind w:firstLine="480"/>
        <w:rPr>
          <w:color w:val="auto"/>
          <w:sz w:val="24"/>
          <w:szCs w:val="24"/>
        </w:rPr>
      </w:pPr>
      <w:r>
        <w:rPr>
          <w:rFonts w:hint="eastAsia"/>
          <w:color w:val="auto"/>
          <w:sz w:val="24"/>
          <w:szCs w:val="24"/>
        </w:rPr>
        <w:t>按照以下第</w:t>
      </w:r>
      <w:r>
        <w:rPr>
          <w:color w:val="auto"/>
          <w:sz w:val="24"/>
          <w:szCs w:val="24"/>
          <w:u w:val="single"/>
        </w:rPr>
        <w:t>(</w:t>
      </w:r>
      <w:r>
        <w:rPr>
          <w:rFonts w:hint="eastAsia"/>
          <w:color w:val="auto"/>
          <w:sz w:val="24"/>
          <w:szCs w:val="24"/>
          <w:u w:val="single"/>
        </w:rPr>
        <w:t>2</w:t>
      </w:r>
      <w:r>
        <w:rPr>
          <w:color w:val="auto"/>
          <w:sz w:val="24"/>
          <w:szCs w:val="24"/>
          <w:u w:val="single"/>
        </w:rPr>
        <w:t>)</w:t>
      </w:r>
      <w:r>
        <w:rPr>
          <w:rFonts w:hint="eastAsia"/>
          <w:color w:val="auto"/>
          <w:sz w:val="24"/>
          <w:szCs w:val="24"/>
        </w:rPr>
        <w:t>方式确定履约保证收取方式。</w:t>
      </w:r>
    </w:p>
    <w:p>
      <w:pPr>
        <w:spacing w:line="560" w:lineRule="exact"/>
        <w:ind w:firstLine="480" w:firstLineChars="200"/>
        <w:rPr>
          <w:color w:val="auto"/>
          <w:sz w:val="24"/>
          <w:szCs w:val="24"/>
        </w:rPr>
      </w:pPr>
      <w:r>
        <w:rPr>
          <w:rFonts w:hint="eastAsia"/>
          <w:color w:val="auto"/>
          <w:sz w:val="24"/>
          <w:szCs w:val="24"/>
        </w:rPr>
        <w:t xml:space="preserve"> (1)不收取履约保证金。</w:t>
      </w:r>
    </w:p>
    <w:p>
      <w:pPr>
        <w:spacing w:line="560" w:lineRule="exact"/>
        <w:ind w:firstLine="480"/>
        <w:rPr>
          <w:color w:val="auto"/>
          <w:sz w:val="24"/>
          <w:szCs w:val="24"/>
        </w:rPr>
      </w:pPr>
      <w:r>
        <w:rPr>
          <w:color w:val="auto"/>
          <w:sz w:val="24"/>
          <w:szCs w:val="24"/>
        </w:rPr>
        <w:t>(2)</w:t>
      </w:r>
      <w:r>
        <w:rPr>
          <w:rFonts w:hint="eastAsia"/>
          <w:color w:val="auto"/>
          <w:sz w:val="24"/>
          <w:szCs w:val="24"/>
        </w:rPr>
        <w:t>履约保证金应在采购合同签订前提交，履约保证金的金额：按采购合同总价的5</w:t>
      </w:r>
      <w:r>
        <w:rPr>
          <w:color w:val="auto"/>
          <w:sz w:val="24"/>
          <w:szCs w:val="24"/>
        </w:rPr>
        <w:t>%</w:t>
      </w:r>
      <w:r>
        <w:rPr>
          <w:rFonts w:hint="eastAsia"/>
          <w:color w:val="auto"/>
          <w:sz w:val="24"/>
          <w:szCs w:val="24"/>
        </w:rPr>
        <w:t>计取。除银行电汇、网上银行、数字人民币外，投标人还可选用银行保函、担保公司的保证担保或保险公司的保证保险、等多种形式向采购人缴纳；</w:t>
      </w:r>
    </w:p>
    <w:p>
      <w:pPr>
        <w:spacing w:line="560" w:lineRule="exact"/>
        <w:ind w:firstLine="480"/>
        <w:rPr>
          <w:color w:val="000000"/>
          <w:sz w:val="24"/>
          <w:szCs w:val="24"/>
        </w:rPr>
      </w:pPr>
      <w:r>
        <w:rPr>
          <w:color w:val="000000"/>
          <w:sz w:val="24"/>
          <w:szCs w:val="24"/>
        </w:rPr>
        <w:t>备注：</w:t>
      </w:r>
    </w:p>
    <w:p>
      <w:pPr>
        <w:spacing w:line="560" w:lineRule="exact"/>
        <w:ind w:firstLine="480"/>
        <w:rPr>
          <w:color w:val="000000"/>
          <w:sz w:val="24"/>
          <w:szCs w:val="24"/>
        </w:rPr>
      </w:pPr>
      <w:r>
        <w:rPr>
          <w:color w:val="000000"/>
          <w:sz w:val="24"/>
          <w:szCs w:val="24"/>
        </w:rPr>
        <w:t>a.履约保证金的递交时间：</w:t>
      </w:r>
      <w:r>
        <w:rPr>
          <w:rFonts w:hint="eastAsia"/>
          <w:color w:val="000000"/>
          <w:sz w:val="24"/>
          <w:szCs w:val="24"/>
        </w:rPr>
        <w:t>应在采购合同签订前提交</w:t>
      </w:r>
      <w:r>
        <w:rPr>
          <w:color w:val="000000"/>
          <w:sz w:val="24"/>
          <w:szCs w:val="24"/>
        </w:rPr>
        <w:t>。</w:t>
      </w:r>
    </w:p>
    <w:p>
      <w:pPr>
        <w:spacing w:line="560" w:lineRule="exact"/>
        <w:ind w:firstLine="480"/>
        <w:rPr>
          <w:color w:val="000000"/>
          <w:sz w:val="24"/>
          <w:szCs w:val="24"/>
        </w:rPr>
      </w:pPr>
      <w:r>
        <w:rPr>
          <w:color w:val="000000"/>
          <w:sz w:val="24"/>
          <w:szCs w:val="24"/>
        </w:rPr>
        <w:t xml:space="preserve">b.采用银行电汇、网上银行等方式缴纳履约保证金的，应从中标人法人基本存款账户转到保证金专用账户。 </w:t>
      </w:r>
    </w:p>
    <w:p>
      <w:pPr>
        <w:spacing w:line="560" w:lineRule="exact"/>
        <w:ind w:firstLine="480"/>
        <w:rPr>
          <w:color w:val="000000"/>
          <w:sz w:val="24"/>
          <w:szCs w:val="24"/>
        </w:rPr>
      </w:pPr>
      <w:r>
        <w:rPr>
          <w:color w:val="000000"/>
          <w:sz w:val="24"/>
          <w:szCs w:val="24"/>
        </w:rPr>
        <w:t xml:space="preserve">（1）户名：泗洪县公共资源交易中心； </w:t>
      </w:r>
    </w:p>
    <w:p>
      <w:pPr>
        <w:spacing w:line="560" w:lineRule="exact"/>
        <w:ind w:firstLine="480"/>
        <w:rPr>
          <w:color w:val="000000"/>
          <w:sz w:val="24"/>
          <w:szCs w:val="24"/>
        </w:rPr>
      </w:pPr>
      <w:r>
        <w:rPr>
          <w:color w:val="000000"/>
          <w:sz w:val="24"/>
          <w:szCs w:val="24"/>
        </w:rPr>
        <w:t>（2）开户行： 江苏省泗洪农村商业银行股份有限公司营业部；</w:t>
      </w:r>
    </w:p>
    <w:p>
      <w:pPr>
        <w:spacing w:line="560" w:lineRule="exact"/>
        <w:ind w:firstLine="480"/>
        <w:rPr>
          <w:color w:val="000000"/>
          <w:sz w:val="24"/>
          <w:szCs w:val="24"/>
        </w:rPr>
      </w:pPr>
      <w:r>
        <w:rPr>
          <w:color w:val="000000"/>
          <w:sz w:val="24"/>
          <w:szCs w:val="24"/>
        </w:rPr>
        <w:t>c.采用数字人民币方式缴纳的，使用投标企业数字人民币对公钱包一次性转钱至泗洪县公共资源交易中心数字人民币钱包，并备注为：</w:t>
      </w:r>
      <w:r>
        <w:rPr>
          <w:rFonts w:hint="eastAsia"/>
          <w:color w:val="000000"/>
          <w:sz w:val="24"/>
          <w:szCs w:val="24"/>
        </w:rPr>
        <w:t>2023年泗洪县农药包装废弃物回收处理项目</w:t>
      </w:r>
      <w:r>
        <w:rPr>
          <w:color w:val="000000"/>
          <w:sz w:val="24"/>
          <w:szCs w:val="24"/>
        </w:rPr>
        <w:t>履约保证金。</w:t>
      </w:r>
    </w:p>
    <w:p>
      <w:pPr>
        <w:spacing w:line="560" w:lineRule="exact"/>
        <w:ind w:firstLine="480"/>
        <w:rPr>
          <w:color w:val="FF0000"/>
          <w:sz w:val="24"/>
          <w:szCs w:val="24"/>
        </w:rPr>
      </w:pPr>
      <w:r>
        <w:rPr>
          <w:color w:val="000000"/>
          <w:sz w:val="24"/>
          <w:szCs w:val="24"/>
        </w:rPr>
        <w:t>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p>
    <w:p>
      <w:pPr>
        <w:spacing w:line="560" w:lineRule="exact"/>
        <w:ind w:firstLine="480" w:firstLineChars="200"/>
        <w:rPr>
          <w:bCs/>
          <w:sz w:val="24"/>
          <w:lang w:val="zh-CN"/>
        </w:rPr>
      </w:pPr>
      <w:r>
        <w:rPr>
          <w:rFonts w:hint="eastAsia"/>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pPr>
        <w:spacing w:line="560" w:lineRule="exact"/>
        <w:ind w:firstLine="480" w:firstLineChars="200"/>
        <w:rPr>
          <w:bCs/>
          <w:sz w:val="24"/>
          <w:lang w:val="zh-CN"/>
        </w:rPr>
      </w:pPr>
      <w:r>
        <w:rPr>
          <w:rFonts w:hint="eastAsia"/>
          <w:bCs/>
          <w:sz w:val="24"/>
          <w:lang w:val="zh-CN"/>
        </w:rPr>
        <w:t>履约保证金退还的条件：按以下方式实行：</w:t>
      </w:r>
    </w:p>
    <w:p>
      <w:pPr>
        <w:spacing w:line="560" w:lineRule="exact"/>
        <w:ind w:firstLine="480" w:firstLineChars="200"/>
        <w:rPr>
          <w:bCs/>
          <w:sz w:val="24"/>
          <w:lang w:val="zh-CN"/>
        </w:rPr>
      </w:pPr>
      <w:r>
        <w:rPr>
          <w:rFonts w:hint="eastAsia"/>
          <w:bCs/>
          <w:sz w:val="24"/>
          <w:lang w:val="zh-CN"/>
        </w:rPr>
        <w:t>服务类项目，项目履约期满评价合格，出具</w:t>
      </w:r>
      <w:r>
        <w:rPr>
          <w:rFonts w:hint="eastAsia"/>
          <w:bCs/>
          <w:sz w:val="24"/>
        </w:rPr>
        <w:t>验收报告（</w:t>
      </w:r>
      <w:r>
        <w:rPr>
          <w:rFonts w:hint="eastAsia"/>
          <w:bCs/>
          <w:sz w:val="24"/>
          <w:lang w:val="zh-CN"/>
        </w:rPr>
        <w:t>履约评价报告</w:t>
      </w:r>
      <w:r>
        <w:rPr>
          <w:rFonts w:hint="eastAsia"/>
          <w:bCs/>
          <w:sz w:val="24"/>
        </w:rPr>
        <w:t>）</w:t>
      </w:r>
      <w:r>
        <w:rPr>
          <w:rFonts w:hint="eastAsia"/>
          <w:bCs/>
          <w:sz w:val="24"/>
          <w:lang w:val="zh-CN"/>
        </w:rPr>
        <w:t>及履约保证金收据申请退付；</w:t>
      </w:r>
    </w:p>
    <w:p>
      <w:pPr>
        <w:spacing w:line="560" w:lineRule="exact"/>
        <w:ind w:firstLine="480" w:firstLineChars="200"/>
        <w:rPr>
          <w:bCs/>
          <w:sz w:val="24"/>
          <w:lang w:val="zh-CN"/>
        </w:rPr>
      </w:pPr>
      <w:r>
        <w:rPr>
          <w:rFonts w:hint="eastAsia"/>
          <w:bCs/>
          <w:sz w:val="24"/>
          <w:lang w:val="zh-CN"/>
        </w:rPr>
        <w:t>履约保证金退还时间：采购单位收到投标人退付申请后5个工作日内退还；</w:t>
      </w:r>
    </w:p>
    <w:p>
      <w:pPr>
        <w:spacing w:line="560" w:lineRule="exact"/>
        <w:ind w:firstLine="480" w:firstLineChars="200"/>
        <w:rPr>
          <w:bCs/>
          <w:sz w:val="24"/>
          <w:lang w:val="zh-CN"/>
        </w:rPr>
      </w:pPr>
      <w:r>
        <w:rPr>
          <w:rFonts w:hint="eastAsia"/>
          <w:bCs/>
          <w:sz w:val="24"/>
          <w:lang w:val="zh-CN"/>
        </w:rPr>
        <w:t>履约保证金不予退还情形：除不可抗力外，投标人不履行与采购人订立的采购合同的，履约保证金不予退还，给采购人造成的损失超过履约保证金数额的，还应当对超过部分予以赔偿；</w:t>
      </w:r>
    </w:p>
    <w:p>
      <w:pPr>
        <w:spacing w:line="560" w:lineRule="exact"/>
        <w:ind w:firstLine="480" w:firstLineChars="200"/>
        <w:rPr>
          <w:bCs/>
          <w:sz w:val="24"/>
          <w:lang w:val="zh-CN"/>
        </w:rPr>
      </w:pPr>
      <w:r>
        <w:rPr>
          <w:rFonts w:hint="eastAsia"/>
          <w:bCs/>
          <w:sz w:val="24"/>
          <w:lang w:val="zh-CN"/>
        </w:rPr>
        <w:t>逾期退还履约保证金的违约责任：除应当退还履约保证金外，还应当按中国人民银行同期贷款基准利率上浮 20％后的利率支付超期资金占用费，但因投标人自身原因导致无法及时退还的除外。</w:t>
      </w:r>
    </w:p>
    <w:p>
      <w:pPr>
        <w:spacing w:line="560" w:lineRule="exact"/>
        <w:ind w:firstLine="480" w:firstLineChars="200"/>
        <w:rPr>
          <w:bCs/>
          <w:sz w:val="24"/>
        </w:rPr>
      </w:pPr>
      <w:r>
        <w:rPr>
          <w:bCs/>
          <w:sz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
          <w:bCs/>
          <w:color w:val="000000"/>
          <w:sz w:val="24"/>
          <w:szCs w:val="24"/>
        </w:rPr>
        <w:t xml:space="preserve"> </w:t>
      </w:r>
      <w:r>
        <w:rPr>
          <w:bCs/>
          <w:sz w:val="24"/>
        </w:rPr>
        <w:t>。</w:t>
      </w:r>
      <w:r>
        <w:rPr>
          <w:b/>
          <w:bCs/>
          <w:color w:val="000000"/>
          <w:sz w:val="24"/>
          <w:szCs w:val="24"/>
        </w:rPr>
        <w:t>网址：https://jsdzbh.com/webSite/bHIndex</w:t>
      </w:r>
      <w:r>
        <w:rPr>
          <w:color w:val="000000"/>
          <w:sz w:val="24"/>
          <w:szCs w:val="24"/>
        </w:rPr>
        <w:t>。</w:t>
      </w:r>
    </w:p>
    <w:p>
      <w:pPr>
        <w:pStyle w:val="7"/>
        <w:spacing w:before="0" w:after="0" w:line="560" w:lineRule="exact"/>
        <w:ind w:firstLine="600" w:firstLineChars="200"/>
        <w:rPr>
          <w:rFonts w:ascii="Times New Roman" w:hAnsi="Times New Roman" w:cs="Times New Roman"/>
          <w:b w:val="0"/>
          <w:sz w:val="30"/>
          <w:szCs w:val="30"/>
        </w:rPr>
      </w:pPr>
      <w:r>
        <w:rPr>
          <w:rFonts w:hint="eastAsia" w:ascii="Times New Roman" w:hAnsi="Times New Roman" w:cs="Times New Roman"/>
          <w:b w:val="0"/>
          <w:sz w:val="30"/>
          <w:szCs w:val="30"/>
        </w:rPr>
        <w:t>31、服务（包含与服务相关的货物）的追加</w:t>
      </w:r>
    </w:p>
    <w:p>
      <w:pPr>
        <w:spacing w:line="560" w:lineRule="exact"/>
        <w:ind w:firstLine="480" w:firstLineChars="200"/>
        <w:rPr>
          <w:sz w:val="24"/>
          <w:szCs w:val="24"/>
        </w:rPr>
      </w:pPr>
      <w:r>
        <w:rPr>
          <w:rFonts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85"/>
    <w:bookmarkEnd w:id="186"/>
    <w:bookmarkEnd w:id="187"/>
    <w:p>
      <w:pPr>
        <w:pStyle w:val="7"/>
        <w:spacing w:before="0" w:after="0" w:line="560" w:lineRule="exact"/>
        <w:ind w:firstLine="600" w:firstLineChars="200"/>
        <w:rPr>
          <w:rFonts w:ascii="Times New Roman" w:hAnsi="Times New Roman" w:cs="Times New Roman"/>
          <w:b w:val="0"/>
          <w:sz w:val="30"/>
          <w:szCs w:val="30"/>
        </w:rPr>
      </w:pPr>
      <w:bookmarkStart w:id="188" w:name="_Toc16938558"/>
      <w:bookmarkStart w:id="189" w:name="_Toc479757207"/>
      <w:bookmarkStart w:id="190" w:name="_Toc120614221"/>
      <w:bookmarkStart w:id="191" w:name="_Toc20823314"/>
      <w:bookmarkStart w:id="192" w:name="_Toc513029242"/>
      <w:r>
        <w:rPr>
          <w:rFonts w:hint="eastAsia" w:ascii="Times New Roman" w:hAnsi="Times New Roman" w:cs="Times New Roman"/>
          <w:b w:val="0"/>
          <w:sz w:val="30"/>
          <w:szCs w:val="30"/>
        </w:rPr>
        <w:t>32、政府采购履约资金扶持政策</w:t>
      </w:r>
    </w:p>
    <w:p>
      <w:pPr>
        <w:spacing w:line="560" w:lineRule="exact"/>
        <w:ind w:firstLine="480" w:firstLineChars="200"/>
        <w:rPr>
          <w:bCs/>
          <w:sz w:val="24"/>
          <w:lang w:val="zh-CN"/>
        </w:rPr>
      </w:pPr>
      <w:r>
        <w:rPr>
          <w:rFonts w:hint="eastAsia"/>
          <w:bCs/>
          <w:sz w:val="24"/>
        </w:rPr>
        <w:t>32.1依</w:t>
      </w:r>
      <w:r>
        <w:rPr>
          <w:rFonts w:hint="eastAsia"/>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pPr>
        <w:pStyle w:val="7"/>
        <w:spacing w:before="0" w:after="0" w:line="560" w:lineRule="exact"/>
        <w:ind w:firstLine="602" w:firstLineChars="200"/>
        <w:rPr>
          <w:rFonts w:ascii="Times New Roman" w:hAnsi="Times New Roman" w:cs="Times New Roman"/>
          <w:sz w:val="30"/>
          <w:szCs w:val="30"/>
        </w:rPr>
      </w:pPr>
      <w:r>
        <w:rPr>
          <w:rFonts w:hint="eastAsia" w:ascii="Times New Roman" w:hAnsi="Times New Roman" w:cs="Times New Roman"/>
          <w:sz w:val="30"/>
          <w:szCs w:val="30"/>
        </w:rPr>
        <w:t>33、验收及付款</w:t>
      </w:r>
    </w:p>
    <w:p>
      <w:pPr>
        <w:spacing w:line="560" w:lineRule="exact"/>
        <w:ind w:firstLine="482"/>
        <w:rPr>
          <w:bCs/>
          <w:sz w:val="24"/>
          <w:highlight w:val="white"/>
        </w:rPr>
      </w:pPr>
      <w:r>
        <w:rPr>
          <w:rFonts w:hint="eastAsia"/>
          <w:bCs/>
          <w:sz w:val="24"/>
          <w:highlight w:val="white"/>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spacing w:line="560" w:lineRule="exact"/>
        <w:ind w:firstLine="482"/>
        <w:rPr>
          <w:bCs/>
          <w:sz w:val="24"/>
          <w:highlight w:val="white"/>
        </w:rPr>
      </w:pPr>
      <w:r>
        <w:rPr>
          <w:rFonts w:hint="eastAsia"/>
          <w:bCs/>
          <w:sz w:val="24"/>
          <w:highlight w:val="white"/>
        </w:rPr>
        <w:t>33.2采购人可以邀请参加本项目的其他投标人或者第三方机构参与验收。参与验收的投标人或者第三方机构的意见作为验收书的参考资料一并存档。</w:t>
      </w:r>
    </w:p>
    <w:p>
      <w:pPr>
        <w:spacing w:line="560" w:lineRule="exact"/>
        <w:ind w:firstLine="482"/>
        <w:rPr>
          <w:bCs/>
          <w:sz w:val="24"/>
          <w:highlight w:val="white"/>
        </w:rPr>
      </w:pPr>
      <w:r>
        <w:rPr>
          <w:rFonts w:hint="eastAsia"/>
          <w:bCs/>
          <w:sz w:val="24"/>
          <w:highlight w:val="white"/>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spacing w:line="560" w:lineRule="exact"/>
        <w:ind w:firstLine="482"/>
        <w:rPr>
          <w:rFonts w:cs="宋体"/>
          <w:kern w:val="0"/>
          <w:sz w:val="24"/>
        </w:rPr>
      </w:pPr>
      <w:r>
        <w:rPr>
          <w:rFonts w:hint="eastAsia"/>
          <w:bCs/>
          <w:sz w:val="24"/>
          <w:highlight w:val="white"/>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pacing w:line="560" w:lineRule="exact"/>
        <w:ind w:firstLine="482"/>
        <w:rPr>
          <w:b/>
          <w:sz w:val="24"/>
        </w:rPr>
      </w:pPr>
      <w:r>
        <w:rPr>
          <w:rFonts w:hint="eastAsia"/>
          <w:b/>
          <w:sz w:val="24"/>
          <w:highlight w:val="white"/>
        </w:rPr>
        <w:t>34、付款</w:t>
      </w:r>
    </w:p>
    <w:p>
      <w:pPr>
        <w:spacing w:line="560" w:lineRule="exact"/>
        <w:ind w:firstLine="482"/>
        <w:rPr>
          <w:bCs/>
          <w:sz w:val="24"/>
          <w:highlight w:val="white"/>
        </w:rPr>
      </w:pPr>
      <w:r>
        <w:rPr>
          <w:rFonts w:hint="eastAsia"/>
          <w:bCs/>
          <w:sz w:val="24"/>
          <w:highlight w:val="white"/>
        </w:rPr>
        <w:t xml:space="preserve"> </w:t>
      </w:r>
      <w:bookmarkStart w:id="193" w:name="EBec7f529f50594afd871ea9378869e456"/>
      <w:r>
        <w:rPr>
          <w:rFonts w:hint="eastAsia"/>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193"/>
    </w:p>
    <w:p>
      <w:pPr>
        <w:spacing w:line="560" w:lineRule="exact"/>
        <w:ind w:firstLine="482"/>
        <w:rPr>
          <w:rFonts w:eastAsia="仿宋_GB2312" w:cs="仿宋_GB2312"/>
          <w:color w:val="auto"/>
          <w:sz w:val="24"/>
          <w:highlight w:val="none"/>
        </w:rPr>
      </w:pPr>
      <w:r>
        <w:rPr>
          <w:rFonts w:hint="eastAsia"/>
          <w:bCs/>
          <w:color w:val="auto"/>
          <w:sz w:val="24"/>
          <w:highlight w:val="none"/>
        </w:rPr>
        <w:t>预付款：合同金额的</w:t>
      </w:r>
      <w:bookmarkStart w:id="194" w:name="EBe373fd05aa034cc3a1a41aadf8509e01"/>
      <w:r>
        <w:rPr>
          <w:rFonts w:hint="eastAsia"/>
          <w:bCs/>
          <w:color w:val="auto"/>
          <w:sz w:val="24"/>
          <w:highlight w:val="none"/>
          <w:u w:val="single"/>
        </w:rPr>
        <w:t>10</w:t>
      </w:r>
      <w:r>
        <w:rPr>
          <w:rFonts w:hint="eastAsia"/>
          <w:bCs/>
          <w:color w:val="auto"/>
          <w:sz w:val="24"/>
          <w:highlight w:val="none"/>
        </w:rPr>
        <w:t xml:space="preserve"> %</w:t>
      </w:r>
      <w:bookmarkEnd w:id="194"/>
      <w:r>
        <w:rPr>
          <w:rFonts w:hint="eastAsia"/>
          <w:bCs/>
          <w:color w:val="auto"/>
          <w:sz w:val="24"/>
          <w:highlight w:val="none"/>
        </w:rPr>
        <w:t>，合同签订后按规定支付；</w:t>
      </w:r>
      <w:r>
        <w:rPr>
          <w:rFonts w:hint="eastAsia" w:eastAsia="仿宋_GB2312" w:cs="仿宋_GB2312"/>
          <w:color w:val="auto"/>
          <w:sz w:val="24"/>
          <w:highlight w:val="none"/>
        </w:rPr>
        <w:t xml:space="preserve"> </w:t>
      </w:r>
    </w:p>
    <w:p>
      <w:pPr>
        <w:spacing w:line="560" w:lineRule="exact"/>
        <w:ind w:firstLine="482"/>
        <w:rPr>
          <w:bCs/>
          <w:color w:val="auto"/>
          <w:sz w:val="24"/>
          <w:highlight w:val="none"/>
          <w:u w:val="single"/>
        </w:rPr>
      </w:pPr>
      <w:r>
        <w:rPr>
          <w:rFonts w:hint="eastAsia"/>
          <w:bCs/>
          <w:color w:val="auto"/>
          <w:sz w:val="24"/>
          <w:highlight w:val="none"/>
        </w:rPr>
        <w:t>进度款：</w:t>
      </w:r>
      <w:bookmarkStart w:id="195" w:name="EB5e42c1c1be704ecfa15d9f8f317e8f12"/>
      <w:bookmarkEnd w:id="195"/>
      <w:r>
        <w:rPr>
          <w:rFonts w:hint="eastAsia"/>
          <w:bCs/>
          <w:color w:val="auto"/>
          <w:sz w:val="24"/>
          <w:highlight w:val="none"/>
          <w:lang w:val="zh-CN"/>
        </w:rPr>
        <w:t>项目完成并经第三方核查后付清余款。（根据考核结果和第三方核查报告中实际数量乘以中标单价据实支付，具体详见考核细则。）</w:t>
      </w:r>
    </w:p>
    <w:p>
      <w:pPr>
        <w:spacing w:line="560" w:lineRule="exact"/>
        <w:ind w:firstLine="482"/>
        <w:rPr>
          <w:bCs/>
          <w:sz w:val="24"/>
          <w:highlight w:val="white"/>
        </w:rPr>
      </w:pPr>
      <w:bookmarkStart w:id="196" w:name="EB11398ec6946f4019bc4c35221e27b04f"/>
      <w:r>
        <w:rPr>
          <w:rFonts w:hint="eastAsia"/>
          <w:bCs/>
          <w:sz w:val="24"/>
          <w:highlight w:val="white"/>
        </w:rPr>
        <w:t>注：在签订合同时，中标人明确表示无需预付款或者主动要求降低预付款比例的金额，采购人可不适用预付款规定。</w:t>
      </w:r>
      <w:bookmarkEnd w:id="196"/>
    </w:p>
    <w:p>
      <w:pPr>
        <w:pStyle w:val="3"/>
        <w:rPr>
          <w:rFonts w:ascii="Times New Roman" w:eastAsia="黑体"/>
          <w:bCs/>
          <w:sz w:val="44"/>
        </w:rPr>
      </w:pPr>
      <w:r>
        <w:rPr>
          <w:rFonts w:hint="eastAsia" w:ascii="Times New Roman" w:eastAsia="黑体"/>
          <w:bCs/>
          <w:sz w:val="44"/>
        </w:rPr>
        <w:br w:type="page"/>
      </w:r>
      <w:r>
        <w:rPr>
          <w:rFonts w:hint="eastAsia" w:ascii="Times New Roman" w:eastAsia="黑体"/>
          <w:bCs/>
          <w:sz w:val="44"/>
        </w:rPr>
        <w:t>第三章  合同</w:t>
      </w:r>
      <w:bookmarkEnd w:id="188"/>
      <w:bookmarkEnd w:id="189"/>
      <w:bookmarkEnd w:id="190"/>
      <w:bookmarkEnd w:id="191"/>
      <w:bookmarkEnd w:id="192"/>
      <w:r>
        <w:rPr>
          <w:rFonts w:hint="eastAsia" w:ascii="Times New Roman" w:eastAsia="黑体"/>
          <w:bCs/>
          <w:sz w:val="44"/>
        </w:rPr>
        <w:t>文本</w:t>
      </w:r>
    </w:p>
    <w:p>
      <w:pPr>
        <w:spacing w:line="360" w:lineRule="auto"/>
        <w:ind w:firstLine="482" w:firstLineChars="200"/>
        <w:rPr>
          <w:rFonts w:ascii="宋体" w:hAnsi="宋体" w:cs="宋体"/>
          <w:b/>
          <w:color w:val="000000"/>
          <w:sz w:val="24"/>
          <w:szCs w:val="24"/>
        </w:rPr>
      </w:pPr>
      <w:bookmarkStart w:id="197" w:name="_Toc16938559"/>
      <w:bookmarkStart w:id="198" w:name="_Toc513029243"/>
      <w:bookmarkStart w:id="199" w:name="_Toc20823315"/>
      <w:r>
        <w:rPr>
          <w:rFonts w:hint="eastAsia" w:ascii="宋体" w:hAnsi="宋体" w:cs="宋体"/>
          <w:b/>
          <w:color w:val="000000"/>
          <w:sz w:val="24"/>
          <w:szCs w:val="24"/>
        </w:rPr>
        <w:t>采购单位（全称）：</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（简称甲方）</w:t>
      </w:r>
    </w:p>
    <w:p>
      <w:pPr>
        <w:pStyle w:val="23"/>
        <w:spacing w:before="120" w:after="120" w:line="360" w:lineRule="auto"/>
        <w:ind w:firstLine="482" w:firstLineChars="200"/>
        <w:rPr>
          <w:rFonts w:ascii="Times New Roman" w:hAnsi="Times New Roman"/>
          <w:b/>
          <w:color w:val="000000"/>
          <w:sz w:val="24"/>
          <w:szCs w:val="24"/>
        </w:rPr>
      </w:pPr>
      <w:r>
        <w:rPr>
          <w:rFonts w:hint="eastAsia" w:hAnsi="宋体" w:cs="宋体"/>
          <w:b/>
          <w:color w:val="000000"/>
          <w:sz w:val="24"/>
          <w:szCs w:val="24"/>
        </w:rPr>
        <w:t>中标供应商（全称）：</w:t>
      </w:r>
      <w:r>
        <w:rPr>
          <w:rFonts w:hint="eastAsia" w:hAnsi="宋体" w:cs="宋体"/>
          <w:b/>
          <w:color w:val="000000"/>
          <w:sz w:val="24"/>
          <w:szCs w:val="24"/>
          <w:u w:val="single"/>
        </w:rPr>
        <w:t xml:space="preserve">                       </w:t>
      </w:r>
      <w:r>
        <w:rPr>
          <w:rFonts w:hint="eastAsia" w:hAnsi="宋体" w:cs="宋体"/>
          <w:b/>
          <w:color w:val="000000"/>
          <w:sz w:val="24"/>
          <w:szCs w:val="24"/>
        </w:rPr>
        <w:t>（简称乙方）</w:t>
      </w:r>
      <w:r>
        <w:rPr>
          <w:rFonts w:ascii="Times New Roman" w:hAnsi="Times New Roman"/>
          <w:b/>
          <w:color w:val="000000"/>
          <w:sz w:val="24"/>
          <w:szCs w:val="24"/>
        </w:rPr>
        <w:t xml:space="preserve">  </w:t>
      </w:r>
    </w:p>
    <w:p>
      <w:pPr>
        <w:spacing w:line="360" w:lineRule="auto"/>
        <w:ind w:firstLine="480" w:firstLineChars="200"/>
        <w:rPr>
          <w:rFonts w:ascii="仿宋_GB2312" w:hAnsi="仿宋_GB2312" w:eastAsia="仿宋_GB2312" w:cs="仿宋_GB2312"/>
          <w:szCs w:val="32"/>
        </w:rPr>
      </w:pPr>
      <w:r>
        <w:rPr>
          <w:rFonts w:hint="eastAsia"/>
          <w:bCs/>
          <w:color w:val="000000"/>
          <w:sz w:val="24"/>
          <w:szCs w:val="24"/>
        </w:rPr>
        <w:t>依照《中华人民共和国政府采购法》及其实施条例、《中华人民共和国民法典》及其他有关法律、行政法规，遵循平等、自愿、公平和诚实信用的原则，双方就</w:t>
      </w:r>
      <w:r>
        <w:rPr>
          <w:rFonts w:hint="eastAsia"/>
          <w:bCs/>
          <w:color w:val="000000"/>
          <w:sz w:val="24"/>
          <w:szCs w:val="24"/>
          <w:u w:val="single"/>
        </w:rPr>
        <w:t>2023年泗洪县农药包装废弃物回收处理项目</w:t>
      </w:r>
      <w:r>
        <w:rPr>
          <w:rFonts w:hint="eastAsia"/>
          <w:color w:val="000000"/>
          <w:sz w:val="24"/>
          <w:szCs w:val="24"/>
        </w:rPr>
        <w:t>（</w:t>
      </w:r>
      <w:r>
        <w:rPr>
          <w:rFonts w:hint="eastAsia"/>
          <w:bCs/>
          <w:color w:val="000000"/>
          <w:sz w:val="24"/>
          <w:szCs w:val="24"/>
        </w:rPr>
        <w:t>项目编号）</w:t>
      </w:r>
      <w:r>
        <w:rPr>
          <w:rFonts w:hint="eastAsia"/>
          <w:bCs/>
          <w:color w:val="000000"/>
          <w:sz w:val="24"/>
          <w:szCs w:val="24"/>
          <w:u w:val="single"/>
        </w:rPr>
        <w:t xml:space="preserve">JSZC-321324-ZTZY-G2024-0013   </w:t>
      </w:r>
      <w:r>
        <w:rPr>
          <w:rFonts w:hint="eastAsia"/>
          <w:bCs/>
          <w:color w:val="000000"/>
          <w:sz w:val="24"/>
          <w:szCs w:val="24"/>
        </w:rPr>
        <w:t>相关事项协商一致，达成如下合同条款：</w:t>
      </w:r>
      <w:r>
        <w:rPr>
          <w:rFonts w:ascii="仿宋_GB2312" w:hAnsi="仿宋_GB2312" w:eastAsia="仿宋_GB2312" w:cs="仿宋_GB2312"/>
          <w:szCs w:val="32"/>
        </w:rPr>
        <w:t xml:space="preserve"> </w:t>
      </w:r>
    </w:p>
    <w:p>
      <w:pPr>
        <w:pStyle w:val="23"/>
        <w:snapToGrid w:val="0"/>
        <w:spacing w:before="120" w:after="120" w:line="360" w:lineRule="auto"/>
        <w:rPr>
          <w:rFonts w:ascii="Times New Roman" w:hAnsi="Times New Roman"/>
          <w:b/>
          <w:sz w:val="24"/>
          <w:szCs w:val="24"/>
        </w:rPr>
      </w:pPr>
      <w:r>
        <w:rPr>
          <w:rFonts w:ascii="Times New Roman" w:hAnsi="Times New Roman"/>
          <w:b/>
          <w:sz w:val="24"/>
          <w:szCs w:val="24"/>
        </w:rPr>
        <w:t>一、</w:t>
      </w:r>
      <w:r>
        <w:rPr>
          <w:rFonts w:hint="eastAsia" w:ascii="Times New Roman" w:hAnsi="Times New Roman"/>
          <w:b/>
          <w:sz w:val="24"/>
          <w:szCs w:val="24"/>
        </w:rPr>
        <w:t>合同</w:t>
      </w:r>
      <w:r>
        <w:rPr>
          <w:rFonts w:ascii="Times New Roman" w:hAnsi="Times New Roman"/>
          <w:b/>
          <w:sz w:val="24"/>
          <w:szCs w:val="24"/>
        </w:rPr>
        <w:t>内容</w:t>
      </w:r>
    </w:p>
    <w:p>
      <w:pPr>
        <w:spacing w:line="360" w:lineRule="auto"/>
        <w:ind w:firstLine="480" w:firstLineChars="200"/>
        <w:rPr>
          <w:rFonts w:hint="eastAsia" w:ascii="仿宋_GB2312" w:hAnsi="仿宋_GB2312" w:cs="仿宋_GB2312"/>
          <w:szCs w:val="32"/>
        </w:rPr>
      </w:pPr>
      <w:r>
        <w:rPr>
          <w:sz w:val="24"/>
          <w:szCs w:val="24"/>
        </w:rPr>
        <w:t xml:space="preserve">1.1 </w:t>
      </w:r>
      <w:r>
        <w:rPr>
          <w:rFonts w:hint="eastAsia"/>
          <w:sz w:val="24"/>
          <w:szCs w:val="24"/>
        </w:rPr>
        <w:t>标的</w:t>
      </w:r>
      <w:r>
        <w:rPr>
          <w:sz w:val="24"/>
          <w:szCs w:val="24"/>
        </w:rPr>
        <w:t>名称：</w:t>
      </w:r>
      <w:r>
        <w:rPr>
          <w:rFonts w:hint="eastAsia"/>
          <w:sz w:val="24"/>
          <w:szCs w:val="24"/>
        </w:rPr>
        <w:t>2023年泗洪县农药包装废弃物回收处理项目</w:t>
      </w:r>
    </w:p>
    <w:p>
      <w:pPr>
        <w:pStyle w:val="23"/>
        <w:snapToGrid w:val="0"/>
        <w:spacing w:before="120" w:after="120" w:line="360" w:lineRule="auto"/>
        <w:ind w:firstLine="480" w:firstLineChars="200"/>
        <w:rPr>
          <w:rFonts w:ascii="Times New Roman" w:hAnsi="Times New Roman"/>
          <w:sz w:val="24"/>
          <w:szCs w:val="24"/>
        </w:rPr>
      </w:pPr>
      <w:r>
        <w:rPr>
          <w:rFonts w:ascii="Times New Roman" w:hAnsi="Times New Roman"/>
          <w:sz w:val="24"/>
          <w:szCs w:val="24"/>
        </w:rPr>
        <w:t>1.2</w:t>
      </w:r>
      <w:r>
        <w:rPr>
          <w:rFonts w:hint="eastAsia" w:ascii="Times New Roman" w:hAnsi="Times New Roman"/>
          <w:sz w:val="24"/>
          <w:szCs w:val="24"/>
        </w:rPr>
        <w:t>标的质量：合格</w:t>
      </w:r>
      <w:r>
        <w:rPr>
          <w:rFonts w:hint="eastAsia" w:hAnsi="宋体" w:cs="宋体"/>
          <w:sz w:val="24"/>
          <w:szCs w:val="24"/>
        </w:rPr>
        <w:t>。</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1.3 标的数量（规模）：</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1.4 履行时间（期限）：12个月</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1.5 履行地点：泗洪县</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1.6工作内容：</w:t>
      </w:r>
    </w:p>
    <w:p>
      <w:pPr>
        <w:pStyle w:val="23"/>
        <w:snapToGrid w:val="0"/>
        <w:spacing w:before="120" w:after="120" w:line="360" w:lineRule="auto"/>
        <w:ind w:firstLine="480" w:firstLineChars="200"/>
        <w:rPr>
          <w:rFonts w:ascii="Times New Roman" w:hAnsi="Times New Roman"/>
          <w:sz w:val="24"/>
          <w:szCs w:val="24"/>
        </w:rPr>
      </w:pPr>
      <w:r>
        <w:rPr>
          <w:rFonts w:ascii="Times New Roman" w:hAnsi="Times New Roman"/>
          <w:sz w:val="24"/>
          <w:szCs w:val="24"/>
        </w:rPr>
        <w:t>（1）中标</w:t>
      </w:r>
      <w:r>
        <w:rPr>
          <w:rFonts w:hint="eastAsia" w:ascii="Times New Roman" w:hAnsi="Times New Roman"/>
          <w:sz w:val="24"/>
          <w:szCs w:val="24"/>
        </w:rPr>
        <w:t>公司</w:t>
      </w:r>
      <w:r>
        <w:rPr>
          <w:rFonts w:ascii="Times New Roman" w:hAnsi="Times New Roman"/>
          <w:sz w:val="24"/>
          <w:szCs w:val="24"/>
        </w:rPr>
        <w:t>具有打包设备、专业收集车辆（密封）。</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中标公司定期开展农药包装废弃物收集工作，重点负责全县各乡镇回收点、家庭农场、合作社和农资经营门市等农药包装废弃物的集中回收工作，回收价格瓶装 0.8元/斤，袋装1.6元/斤。</w:t>
      </w:r>
    </w:p>
    <w:p>
      <w:pPr>
        <w:pStyle w:val="23"/>
        <w:snapToGrid w:val="0"/>
        <w:spacing w:before="120" w:after="120" w:line="360" w:lineRule="auto"/>
        <w:ind w:firstLine="480" w:firstLineChars="20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中标公司对收集的农药包装废弃物进行处置申报，获准处置后按环保要求处置。中标公司须全程参与农药包装废弃物回收处置工作，并每月将回收处置台账上报</w:t>
      </w:r>
      <w:r>
        <w:rPr>
          <w:rFonts w:hint="eastAsia" w:ascii="Times New Roman" w:hAnsi="Times New Roman"/>
          <w:sz w:val="24"/>
          <w:szCs w:val="24"/>
        </w:rPr>
        <w:t>至泗洪县农业农村局。</w:t>
      </w:r>
    </w:p>
    <w:p>
      <w:pPr>
        <w:pStyle w:val="23"/>
        <w:snapToGrid w:val="0"/>
        <w:spacing w:before="120" w:after="120" w:line="360" w:lineRule="auto"/>
        <w:rPr>
          <w:rFonts w:ascii="Times New Roman" w:hAnsi="Times New Roman"/>
          <w:b/>
          <w:sz w:val="24"/>
          <w:szCs w:val="24"/>
        </w:rPr>
      </w:pPr>
      <w:r>
        <w:rPr>
          <w:rFonts w:ascii="Times New Roman" w:hAnsi="Times New Roman"/>
          <w:b/>
          <w:sz w:val="24"/>
          <w:szCs w:val="24"/>
        </w:rPr>
        <w:t>二、合同金额</w:t>
      </w:r>
    </w:p>
    <w:p>
      <w:pPr>
        <w:pStyle w:val="23"/>
        <w:snapToGrid w:val="0"/>
        <w:spacing w:before="120" w:after="120" w:line="360" w:lineRule="auto"/>
        <w:ind w:left="410"/>
        <w:rPr>
          <w:rFonts w:ascii="Times New Roman" w:hAnsi="Times New Roman"/>
          <w:sz w:val="24"/>
          <w:szCs w:val="24"/>
        </w:rPr>
      </w:pPr>
      <w:r>
        <w:rPr>
          <w:rFonts w:ascii="Times New Roman" w:hAnsi="Times New Roman"/>
          <w:sz w:val="24"/>
          <w:szCs w:val="24"/>
        </w:rPr>
        <w:t>2.1 本合同金额为（大写）：________________</w:t>
      </w:r>
      <w:r>
        <w:rPr>
          <w:rFonts w:hint="eastAsia" w:ascii="Times New Roman" w:hAnsi="Times New Roman"/>
          <w:sz w:val="24"/>
          <w:szCs w:val="24"/>
        </w:rPr>
        <w:t>元</w:t>
      </w:r>
      <w:r>
        <w:rPr>
          <w:rFonts w:ascii="Times New Roman" w:hAnsi="Times New Roman"/>
          <w:sz w:val="24"/>
          <w:szCs w:val="24"/>
        </w:rPr>
        <w:t>（单价___________元</w:t>
      </w:r>
      <w:r>
        <w:rPr>
          <w:rFonts w:hint="eastAsia" w:ascii="Times New Roman" w:hAnsi="Times New Roman"/>
          <w:sz w:val="24"/>
          <w:szCs w:val="24"/>
        </w:rPr>
        <w:t>/吨</w:t>
      </w:r>
      <w:r>
        <w:rPr>
          <w:rFonts w:ascii="Times New Roman" w:hAnsi="Times New Roman"/>
          <w:sz w:val="24"/>
          <w:szCs w:val="24"/>
        </w:rPr>
        <w:t>）人民币（实际结算以第三方核查数量为准，最终结算价不超过</w:t>
      </w:r>
      <w:r>
        <w:rPr>
          <w:rFonts w:hint="eastAsia" w:ascii="Times New Roman" w:hAnsi="Times New Roman"/>
          <w:sz w:val="24"/>
          <w:szCs w:val="24"/>
        </w:rPr>
        <w:t>115万元</w:t>
      </w:r>
      <w:r>
        <w:rPr>
          <w:rFonts w:ascii="Times New Roman" w:hAnsi="Times New Roman"/>
          <w:sz w:val="24"/>
          <w:szCs w:val="24"/>
        </w:rPr>
        <w:t>）。</w:t>
      </w:r>
    </w:p>
    <w:p>
      <w:pPr>
        <w:pStyle w:val="23"/>
        <w:snapToGrid w:val="0"/>
        <w:spacing w:before="120" w:after="120" w:line="360" w:lineRule="auto"/>
        <w:rPr>
          <w:rFonts w:ascii="Times New Roman" w:hAnsi="Times New Roman"/>
          <w:b/>
          <w:sz w:val="24"/>
          <w:szCs w:val="24"/>
        </w:rPr>
      </w:pPr>
      <w:r>
        <w:rPr>
          <w:rFonts w:ascii="Times New Roman" w:hAnsi="Times New Roman"/>
          <w:b/>
          <w:sz w:val="24"/>
          <w:szCs w:val="24"/>
        </w:rPr>
        <w:t>三、技术资料</w:t>
      </w:r>
    </w:p>
    <w:p>
      <w:pPr>
        <w:pStyle w:val="23"/>
        <w:snapToGrid w:val="0"/>
        <w:spacing w:before="120" w:after="120" w:line="360" w:lineRule="auto"/>
        <w:ind w:left="408"/>
        <w:rPr>
          <w:rFonts w:ascii="Times New Roman" w:hAnsi="Times New Roman"/>
          <w:sz w:val="24"/>
          <w:szCs w:val="24"/>
        </w:rPr>
      </w:pPr>
      <w:r>
        <w:rPr>
          <w:rFonts w:ascii="Times New Roman" w:hAnsi="Times New Roman"/>
          <w:sz w:val="24"/>
          <w:szCs w:val="24"/>
        </w:rPr>
        <w:t>3.1乙方应按招标文件规定的时间向甲方提供服务</w:t>
      </w:r>
      <w:r>
        <w:rPr>
          <w:rFonts w:hint="eastAsia" w:ascii="Times New Roman" w:hAnsi="Times New Roman"/>
          <w:sz w:val="24"/>
          <w:szCs w:val="24"/>
        </w:rPr>
        <w:t>（包含与服务相关的货物）</w:t>
      </w:r>
      <w:r>
        <w:rPr>
          <w:rFonts w:ascii="Times New Roman" w:hAnsi="Times New Roman"/>
          <w:sz w:val="24"/>
          <w:szCs w:val="24"/>
        </w:rPr>
        <w:t>的有关技术资料。</w:t>
      </w:r>
    </w:p>
    <w:p>
      <w:pPr>
        <w:pStyle w:val="23"/>
        <w:snapToGrid w:val="0"/>
        <w:spacing w:before="120" w:after="120" w:line="360" w:lineRule="auto"/>
        <w:ind w:left="408"/>
        <w:rPr>
          <w:rFonts w:ascii="Times New Roman" w:hAnsi="Times New Roman"/>
          <w:sz w:val="24"/>
          <w:szCs w:val="24"/>
        </w:rPr>
      </w:pPr>
      <w:r>
        <w:rPr>
          <w:rFonts w:ascii="Times New Roman" w:hAnsi="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3"/>
        <w:snapToGrid w:val="0"/>
        <w:spacing w:before="120" w:after="120" w:line="360" w:lineRule="auto"/>
        <w:rPr>
          <w:rFonts w:ascii="Times New Roman" w:hAnsi="Times New Roman"/>
          <w:b/>
          <w:sz w:val="24"/>
          <w:szCs w:val="24"/>
        </w:rPr>
      </w:pPr>
      <w:r>
        <w:rPr>
          <w:rFonts w:ascii="Times New Roman" w:hAnsi="Times New Roman"/>
          <w:b/>
          <w:sz w:val="24"/>
          <w:szCs w:val="24"/>
        </w:rPr>
        <w:t>四、知识产权</w:t>
      </w:r>
    </w:p>
    <w:p>
      <w:pPr>
        <w:pStyle w:val="23"/>
        <w:snapToGrid w:val="0"/>
        <w:spacing w:before="120" w:after="120" w:line="360" w:lineRule="auto"/>
        <w:ind w:firstLine="480" w:firstLineChars="200"/>
        <w:rPr>
          <w:rFonts w:ascii="Times New Roman" w:hAnsi="Times New Roman"/>
          <w:sz w:val="24"/>
          <w:szCs w:val="24"/>
        </w:rPr>
      </w:pPr>
      <w:r>
        <w:rPr>
          <w:rFonts w:ascii="Times New Roman" w:hAnsi="Times New Roman"/>
          <w:sz w:val="24"/>
          <w:szCs w:val="24"/>
        </w:rPr>
        <w:t>4.1</w:t>
      </w:r>
      <w:r>
        <w:rPr>
          <w:rFonts w:hint="eastAsia" w:ascii="Times New Roman" w:hAnsi="Times New Roman"/>
          <w:sz w:val="24"/>
          <w:szCs w:val="24"/>
        </w:rPr>
        <w:t>乙方应保证甲方在使用、接受本合同服务（包含与服务相关的货物）或其任何一部分时不受第三方提出侵犯其专利权、版权、商标权和工业设计权等知识产权的起诉。一旦出现侵权，由乙方负全部责任。</w:t>
      </w:r>
    </w:p>
    <w:p>
      <w:pPr>
        <w:pStyle w:val="23"/>
        <w:spacing w:before="120" w:after="120" w:line="360" w:lineRule="auto"/>
        <w:rPr>
          <w:rFonts w:ascii="Times New Roman" w:hAnsi="Times New Roman"/>
          <w:color w:val="000000"/>
          <w:sz w:val="24"/>
          <w:szCs w:val="24"/>
          <w:u w:val="single"/>
        </w:rPr>
      </w:pPr>
      <w:r>
        <w:rPr>
          <w:rFonts w:hint="eastAsia" w:ascii="Times New Roman" w:hAnsi="Times New Roman"/>
          <w:b/>
          <w:color w:val="000000"/>
          <w:sz w:val="24"/>
          <w:szCs w:val="24"/>
        </w:rPr>
        <w:t>五、产权担保</w:t>
      </w:r>
    </w:p>
    <w:p>
      <w:pPr>
        <w:pStyle w:val="23"/>
        <w:spacing w:before="120" w:after="120" w:line="360" w:lineRule="auto"/>
        <w:ind w:left="408"/>
        <w:rPr>
          <w:rFonts w:ascii="Times New Roman" w:hAnsi="Times New Roman" w:cs="Times New Roman"/>
          <w:bCs/>
          <w:color w:val="000000"/>
          <w:sz w:val="24"/>
          <w:lang w:val="zh-CN"/>
        </w:rPr>
      </w:pPr>
      <w:r>
        <w:rPr>
          <w:rFonts w:ascii="Times New Roman" w:hAnsi="Times New Roman" w:cs="Times New Roman"/>
          <w:bCs/>
          <w:color w:val="000000"/>
          <w:sz w:val="24"/>
          <w:lang w:val="zh-CN"/>
        </w:rPr>
        <w:t xml:space="preserve">5.1 </w:t>
      </w:r>
      <w:r>
        <w:rPr>
          <w:rFonts w:hint="eastAsia" w:ascii="Times New Roman" w:hAnsi="Times New Roman" w:cs="Times New Roman"/>
          <w:bCs/>
          <w:color w:val="000000"/>
          <w:sz w:val="24"/>
          <w:lang w:val="zh-CN"/>
        </w:rPr>
        <w:t>乙方保证所交付的服务（包含与服务相关的货物）的所有权完全属于乙方且无任何抵押、查封等产权瑕疵。</w:t>
      </w:r>
    </w:p>
    <w:p>
      <w:pPr>
        <w:pStyle w:val="23"/>
        <w:spacing w:before="120" w:after="120" w:line="360" w:lineRule="auto"/>
        <w:rPr>
          <w:rFonts w:ascii="Times New Roman" w:hAnsi="Times New Roman"/>
          <w:b/>
          <w:color w:val="000000"/>
          <w:sz w:val="24"/>
          <w:szCs w:val="24"/>
        </w:rPr>
      </w:pPr>
      <w:r>
        <w:rPr>
          <w:rFonts w:hint="eastAsia" w:ascii="Times New Roman" w:hAnsi="Times New Roman"/>
          <w:b/>
          <w:color w:val="000000"/>
          <w:sz w:val="24"/>
          <w:szCs w:val="24"/>
        </w:rPr>
        <w:t>六、履约保证金</w:t>
      </w:r>
    </w:p>
    <w:p>
      <w:pPr>
        <w:pStyle w:val="144"/>
        <w:spacing w:line="360" w:lineRule="auto"/>
        <w:ind w:firstLine="420"/>
        <w:jc w:val="left"/>
        <w:rPr>
          <w:bCs/>
          <w:color w:val="FF0000"/>
          <w:kern w:val="2"/>
          <w:sz w:val="24"/>
          <w:szCs w:val="21"/>
          <w:lang w:val="zh-CN"/>
        </w:rPr>
      </w:pPr>
      <w:r>
        <w:rPr>
          <w:rFonts w:hint="eastAsia"/>
          <w:bCs/>
          <w:color w:val="auto"/>
          <w:kern w:val="2"/>
          <w:sz w:val="24"/>
          <w:szCs w:val="21"/>
          <w:highlight w:val="none"/>
          <w:lang w:val="zh-CN"/>
        </w:rPr>
        <w:t>本项目收取履约保证金，详见招标文件30.4条款。</w:t>
      </w:r>
    </w:p>
    <w:p>
      <w:pPr>
        <w:spacing w:before="156" w:after="156" w:line="360" w:lineRule="auto"/>
        <w:rPr>
          <w:rFonts w:eastAsia="仿宋_GB2312"/>
          <w:b/>
          <w:color w:val="000000"/>
          <w:sz w:val="24"/>
          <w:szCs w:val="24"/>
        </w:rPr>
      </w:pPr>
      <w:r>
        <w:rPr>
          <w:rFonts w:hint="eastAsia"/>
          <w:b/>
          <w:color w:val="000000"/>
          <w:sz w:val="24"/>
          <w:szCs w:val="24"/>
        </w:rPr>
        <w:t>七、合同转包或分包</w:t>
      </w:r>
    </w:p>
    <w:p>
      <w:pPr>
        <w:spacing w:before="156" w:after="156" w:line="360" w:lineRule="auto"/>
        <w:ind w:firstLine="420"/>
        <w:rPr>
          <w:color w:val="000000"/>
          <w:sz w:val="24"/>
          <w:szCs w:val="24"/>
        </w:rPr>
      </w:pPr>
      <w:r>
        <w:rPr>
          <w:rFonts w:hint="eastAsia"/>
          <w:color w:val="000000"/>
          <w:sz w:val="24"/>
          <w:szCs w:val="24"/>
        </w:rPr>
        <w:t>乙方不得将合同标的转包给他人履行。</w:t>
      </w:r>
    </w:p>
    <w:p>
      <w:pPr>
        <w:pStyle w:val="23"/>
        <w:snapToGrid w:val="0"/>
        <w:spacing w:before="120" w:after="120" w:line="360" w:lineRule="auto"/>
        <w:rPr>
          <w:rFonts w:ascii="Times New Roman" w:hAnsi="Times New Roman"/>
          <w:b/>
          <w:sz w:val="24"/>
          <w:szCs w:val="24"/>
        </w:rPr>
      </w:pPr>
      <w:r>
        <w:rPr>
          <w:rFonts w:hint="eastAsia" w:ascii="Times New Roman" w:hAnsi="Times New Roman"/>
          <w:b/>
          <w:sz w:val="24"/>
          <w:szCs w:val="24"/>
        </w:rPr>
        <w:t>八</w:t>
      </w:r>
      <w:r>
        <w:rPr>
          <w:rFonts w:ascii="Times New Roman" w:hAnsi="Times New Roman"/>
          <w:b/>
          <w:sz w:val="24"/>
          <w:szCs w:val="24"/>
        </w:rPr>
        <w:t>、</w:t>
      </w:r>
      <w:r>
        <w:rPr>
          <w:rFonts w:hint="eastAsia" w:ascii="Times New Roman" w:hAnsi="Times New Roman"/>
          <w:b/>
          <w:sz w:val="24"/>
          <w:szCs w:val="24"/>
        </w:rPr>
        <w:t>合同款项</w:t>
      </w:r>
      <w:r>
        <w:rPr>
          <w:rFonts w:ascii="Times New Roman" w:hAnsi="Times New Roman"/>
          <w:b/>
          <w:sz w:val="24"/>
          <w:szCs w:val="24"/>
        </w:rPr>
        <w:t>支付</w:t>
      </w:r>
    </w:p>
    <w:p>
      <w:pPr>
        <w:pStyle w:val="23"/>
        <w:snapToGrid w:val="0"/>
        <w:spacing w:before="120" w:after="120" w:line="360" w:lineRule="auto"/>
        <w:ind w:firstLine="420"/>
        <w:rPr>
          <w:rFonts w:ascii="Times New Roman" w:hAnsi="Times New Roman"/>
          <w:bCs/>
          <w:sz w:val="24"/>
          <w:szCs w:val="24"/>
        </w:rPr>
      </w:pPr>
      <w:r>
        <w:rPr>
          <w:rFonts w:hint="eastAsia" w:ascii="Times New Roman" w:hAnsi="Times New Roman"/>
          <w:bCs/>
          <w:sz w:val="24"/>
          <w:szCs w:val="24"/>
        </w:rPr>
        <w:t>8</w:t>
      </w:r>
      <w:r>
        <w:rPr>
          <w:rFonts w:ascii="Times New Roman" w:hAnsi="Times New Roman"/>
          <w:bCs/>
          <w:sz w:val="24"/>
          <w:szCs w:val="24"/>
        </w:rPr>
        <w:t>.1</w:t>
      </w:r>
      <w:r>
        <w:rPr>
          <w:rFonts w:hint="eastAsia" w:ascii="Times New Roman" w:hAnsi="Times New Roman"/>
          <w:bCs/>
          <w:sz w:val="24"/>
          <w:szCs w:val="24"/>
        </w:rPr>
        <w:t>合同款项的支付方式及进度安排</w:t>
      </w:r>
    </w:p>
    <w:p>
      <w:pPr>
        <w:spacing w:line="360" w:lineRule="auto"/>
        <w:ind w:firstLine="420"/>
        <w:rPr>
          <w:bCs/>
          <w:color w:val="auto"/>
          <w:sz w:val="24"/>
          <w:highlight w:val="none"/>
        </w:rPr>
      </w:pPr>
      <w:r>
        <w:rPr>
          <w:rFonts w:hint="eastAsia"/>
          <w:bCs/>
          <w:color w:val="auto"/>
          <w:sz w:val="24"/>
          <w:highlight w:val="none"/>
          <w:lang w:val="zh-CN"/>
        </w:rPr>
        <w:t>资金支付的方式：合同签订生效后，采购人收到供应商提交的预付款发票之日起10个工作日内，付合同价款的10%作为本项目预付款，项目完成并经第三方核查后付清余款。（根据考核结果和第三方核查报告中实际数量乘以中标单价据实支付，具体详见考核细则。）</w:t>
      </w:r>
    </w:p>
    <w:p>
      <w:pPr>
        <w:spacing w:line="360" w:lineRule="auto"/>
        <w:ind w:firstLine="420"/>
        <w:rPr>
          <w:bCs/>
          <w:sz w:val="24"/>
          <w:lang w:val="zh-CN"/>
        </w:rPr>
      </w:pPr>
      <w:r>
        <w:rPr>
          <w:rFonts w:hint="eastAsia"/>
          <w:bCs/>
          <w:sz w:val="24"/>
          <w:lang w:val="zh-CN"/>
        </w:rPr>
        <w:t>资金支付的</w:t>
      </w:r>
      <w:r>
        <w:rPr>
          <w:rFonts w:hint="eastAsia"/>
          <w:bCs/>
          <w:sz w:val="24"/>
        </w:rPr>
        <w:t>时间</w:t>
      </w:r>
      <w:r>
        <w:rPr>
          <w:rFonts w:hint="eastAsia"/>
          <w:bCs/>
          <w:sz w:val="24"/>
          <w:lang w:val="zh-CN"/>
        </w:rPr>
        <w:t>：</w:t>
      </w:r>
      <w:r>
        <w:rPr>
          <w:rFonts w:hint="eastAsia"/>
          <w:bCs/>
          <w:sz w:val="24"/>
        </w:rPr>
        <w:t>收到供应商发票10个工作日内</w:t>
      </w:r>
      <w:r>
        <w:rPr>
          <w:rFonts w:hint="eastAsia"/>
          <w:bCs/>
          <w:sz w:val="24"/>
          <w:lang w:val="zh-CN"/>
        </w:rPr>
        <w:t>；</w:t>
      </w:r>
    </w:p>
    <w:p>
      <w:pPr>
        <w:spacing w:line="360" w:lineRule="auto"/>
        <w:ind w:firstLine="420"/>
        <w:rPr>
          <w:bCs/>
          <w:sz w:val="24"/>
          <w:lang w:val="zh-CN"/>
        </w:rPr>
      </w:pPr>
      <w:r>
        <w:rPr>
          <w:rFonts w:hint="eastAsia"/>
          <w:bCs/>
          <w:sz w:val="24"/>
          <w:lang w:val="zh-CN"/>
        </w:rPr>
        <w:t>资金支付的条件：满足相应阶段的要求且收到供应商发票；</w:t>
      </w:r>
    </w:p>
    <w:p>
      <w:pPr>
        <w:spacing w:line="360" w:lineRule="auto"/>
        <w:ind w:firstLine="420"/>
        <w:rPr>
          <w:rFonts w:hint="default" w:eastAsia="宋体"/>
          <w:bCs/>
          <w:sz w:val="24"/>
          <w:lang w:val="en-US" w:eastAsia="zh-CN"/>
        </w:rPr>
      </w:pPr>
      <w:r>
        <w:rPr>
          <w:rFonts w:hint="eastAsia"/>
          <w:bCs/>
          <w:sz w:val="24"/>
          <w:lang w:val="zh-CN"/>
        </w:rPr>
        <w:t>注：在签订合同时，中标人明确表示无需预付款或者主动要求降低预付款比例的金额，采购人可不适用预付款规定。</w:t>
      </w:r>
      <w:r>
        <w:rPr>
          <w:rFonts w:hint="eastAsia"/>
          <w:bCs/>
          <w:sz w:val="24"/>
          <w:lang w:val="en-US" w:eastAsia="zh-CN"/>
        </w:rPr>
        <w:t>可采用数字人民币支付。</w:t>
      </w:r>
    </w:p>
    <w:p>
      <w:pPr>
        <w:snapToGrid w:val="0"/>
        <w:spacing w:before="159" w:beforeLines="50" w:after="159" w:afterLines="50" w:line="360" w:lineRule="auto"/>
        <w:rPr>
          <w:rFonts w:eastAsia="仿宋_GB2312"/>
          <w:b/>
          <w:sz w:val="24"/>
          <w:szCs w:val="24"/>
        </w:rPr>
      </w:pPr>
      <w:r>
        <w:rPr>
          <w:rFonts w:hint="eastAsia"/>
          <w:b/>
          <w:sz w:val="24"/>
          <w:szCs w:val="24"/>
        </w:rPr>
        <w:t>九、税费</w:t>
      </w:r>
    </w:p>
    <w:p>
      <w:pPr>
        <w:snapToGrid w:val="0"/>
        <w:spacing w:before="159" w:beforeLines="50" w:after="159" w:afterLines="50" w:line="360" w:lineRule="auto"/>
        <w:ind w:firstLine="420"/>
        <w:rPr>
          <w:rFonts w:eastAsia="仿宋_GB2312"/>
          <w:sz w:val="24"/>
          <w:szCs w:val="24"/>
        </w:rPr>
      </w:pPr>
      <w:r>
        <w:rPr>
          <w:rFonts w:hint="eastAsia"/>
          <w:sz w:val="24"/>
          <w:szCs w:val="24"/>
        </w:rPr>
        <w:t>9</w:t>
      </w:r>
      <w:r>
        <w:rPr>
          <w:sz w:val="24"/>
          <w:szCs w:val="24"/>
        </w:rPr>
        <w:t>.1</w:t>
      </w:r>
      <w:r>
        <w:rPr>
          <w:rFonts w:hint="eastAsia"/>
          <w:sz w:val="24"/>
          <w:szCs w:val="24"/>
        </w:rPr>
        <w:t>本合同执行中相关的一切税费均由乙方负担。</w:t>
      </w:r>
    </w:p>
    <w:p>
      <w:pPr>
        <w:snapToGrid w:val="0"/>
        <w:spacing w:before="159" w:beforeLines="50" w:after="159" w:afterLines="50" w:line="360" w:lineRule="auto"/>
        <w:rPr>
          <w:b/>
          <w:sz w:val="24"/>
          <w:szCs w:val="24"/>
        </w:rPr>
      </w:pPr>
      <w:r>
        <w:rPr>
          <w:rFonts w:hint="eastAsia"/>
          <w:b/>
          <w:sz w:val="24"/>
          <w:szCs w:val="24"/>
        </w:rPr>
        <w:t>十、项目验收</w:t>
      </w:r>
    </w:p>
    <w:p>
      <w:pPr>
        <w:spacing w:line="360" w:lineRule="auto"/>
        <w:ind w:firstLine="420"/>
        <w:rPr>
          <w:bCs/>
          <w:sz w:val="24"/>
        </w:rPr>
      </w:pPr>
      <w:r>
        <w:rPr>
          <w:rFonts w:hint="eastAsia"/>
          <w:bCs/>
          <w:sz w:val="24"/>
        </w:rPr>
        <w:t>10.1 甲方依法组织履约验收工作，验收工作由包括甲方、评审专家等在内的项目验收小组来完成，具体成员和组织形式由甲方确定。乙方所提供的服务及质量满足采购文件要求。</w:t>
      </w:r>
    </w:p>
    <w:p>
      <w:pPr>
        <w:spacing w:line="360" w:lineRule="auto"/>
        <w:ind w:firstLine="420"/>
        <w:rPr>
          <w:bCs/>
          <w:sz w:val="24"/>
        </w:rPr>
      </w:pPr>
      <w:r>
        <w:rPr>
          <w:rFonts w:hint="eastAsia"/>
          <w:bCs/>
          <w:sz w:val="24"/>
        </w:rPr>
        <w:t>10.2  采购合同的履行、违约责任和解决争议的方式等适用《民法典》。乙方在履约过程中有政府采购法律法规规定的违法违规情形的, 甲方将及时报告本级财政部门。</w:t>
      </w:r>
    </w:p>
    <w:p>
      <w:pPr>
        <w:pStyle w:val="23"/>
        <w:snapToGrid w:val="0"/>
        <w:spacing w:before="120" w:after="120" w:line="360" w:lineRule="auto"/>
        <w:rPr>
          <w:rFonts w:ascii="Times New Roman" w:hAnsi="Times New Roman"/>
          <w:b/>
          <w:sz w:val="24"/>
          <w:szCs w:val="24"/>
        </w:rPr>
      </w:pPr>
      <w:r>
        <w:rPr>
          <w:rFonts w:ascii="Times New Roman" w:hAnsi="Times New Roman"/>
          <w:b/>
          <w:sz w:val="24"/>
          <w:szCs w:val="24"/>
        </w:rPr>
        <w:t>十</w:t>
      </w:r>
      <w:r>
        <w:rPr>
          <w:rFonts w:hint="eastAsia" w:ascii="Times New Roman" w:hAnsi="Times New Roman"/>
          <w:b/>
          <w:sz w:val="24"/>
          <w:szCs w:val="24"/>
        </w:rPr>
        <w:t>一</w:t>
      </w:r>
      <w:r>
        <w:rPr>
          <w:rFonts w:ascii="Times New Roman" w:hAnsi="Times New Roman"/>
          <w:b/>
          <w:sz w:val="24"/>
          <w:szCs w:val="24"/>
        </w:rPr>
        <w:t>、违约责任</w:t>
      </w:r>
    </w:p>
    <w:p>
      <w:pPr>
        <w:spacing w:line="360" w:lineRule="auto"/>
        <w:ind w:firstLine="420"/>
        <w:rPr>
          <w:bCs/>
          <w:sz w:val="24"/>
        </w:rPr>
      </w:pPr>
      <w:r>
        <w:rPr>
          <w:rFonts w:hint="eastAsia"/>
          <w:bCs/>
          <w:sz w:val="24"/>
        </w:rPr>
        <w:t>1、甲方未按合同规定的期限向乙方支付合同款的，除不可抗力外，每逾期1天，甲方应向乙方支付合同金额3‰的违约金，但累计违约金总额不超过欠款总额的5%。</w:t>
      </w:r>
    </w:p>
    <w:p>
      <w:pPr>
        <w:spacing w:line="360" w:lineRule="auto"/>
        <w:ind w:firstLine="420"/>
        <w:rPr>
          <w:bCs/>
          <w:sz w:val="24"/>
        </w:rPr>
      </w:pPr>
      <w:r>
        <w:rPr>
          <w:rFonts w:hint="eastAsia"/>
          <w:bCs/>
          <w:sz w:val="24"/>
        </w:rPr>
        <w:t xml:space="preserve">2、乙方逾期交付服务或产品的，乙方应按逾期交付总额每日3‰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spacing w:line="360" w:lineRule="auto"/>
        <w:ind w:firstLine="420"/>
        <w:rPr>
          <w:bCs/>
          <w:sz w:val="24"/>
        </w:rPr>
      </w:pPr>
      <w:r>
        <w:rPr>
          <w:rFonts w:hint="eastAsia"/>
          <w:bCs/>
          <w:sz w:val="24"/>
        </w:rPr>
        <w:t>3、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pPr>
        <w:spacing w:line="420" w:lineRule="exact"/>
        <w:ind w:firstLine="420"/>
        <w:rPr>
          <w:bCs/>
          <w:sz w:val="24"/>
        </w:rPr>
      </w:pPr>
      <w:r>
        <w:rPr>
          <w:rFonts w:hint="eastAsia"/>
          <w:bCs/>
          <w:sz w:val="24"/>
        </w:rPr>
        <w:t xml:space="preserve">4、如乙方违反合同其他约定，应向甲方支付合同金额3‰的违约金/次（项），如情节严重的甲方有权选择单方面解除合同且余下合同款项不予支付，给甲方造成损失的乙方应赔偿甲方损失。合同解除的效力自甲方书面解除通知送达乙方时生效。 </w:t>
      </w:r>
    </w:p>
    <w:p>
      <w:pPr>
        <w:spacing w:line="420" w:lineRule="exact"/>
        <w:ind w:firstLine="420"/>
        <w:rPr>
          <w:bCs/>
          <w:sz w:val="24"/>
        </w:rPr>
      </w:pPr>
      <w:r>
        <w:rPr>
          <w:rFonts w:hint="eastAsia"/>
          <w:bCs/>
          <w:sz w:val="24"/>
        </w:rPr>
        <w:t>5、乙方在承担违约责任后，仍应继续履行合同规定的义务（甲方解除合同的除外）。甲方未能及时追究乙方的任何一项违约责任并不表明甲方放弃追究乙方该项或其他违约责任。</w:t>
      </w:r>
    </w:p>
    <w:p>
      <w:pPr>
        <w:spacing w:line="420" w:lineRule="exact"/>
        <w:ind w:firstLine="420"/>
        <w:rPr>
          <w:sz w:val="24"/>
          <w:szCs w:val="24"/>
        </w:rPr>
      </w:pPr>
      <w:r>
        <w:rPr>
          <w:rFonts w:hint="eastAsia"/>
          <w:bCs/>
          <w:sz w:val="24"/>
        </w:rPr>
        <w:t xml:space="preserve">6、违约方还应承担守约方主张权益产生的包括但不限于交通费、误工费、律师费、鉴定费、诉讼费、保全费、保函手续费等相关费用。 </w:t>
      </w:r>
    </w:p>
    <w:p>
      <w:pPr>
        <w:pStyle w:val="23"/>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hint="eastAsia" w:ascii="Times New Roman" w:hAnsi="Times New Roman"/>
          <w:b/>
          <w:sz w:val="24"/>
          <w:szCs w:val="24"/>
        </w:rPr>
        <w:t>二</w:t>
      </w:r>
      <w:r>
        <w:rPr>
          <w:rFonts w:ascii="Times New Roman" w:hAnsi="Times New Roman"/>
          <w:b/>
          <w:sz w:val="24"/>
          <w:szCs w:val="24"/>
        </w:rPr>
        <w:t>、不可抗力事件处理</w:t>
      </w:r>
    </w:p>
    <w:p>
      <w:pPr>
        <w:pStyle w:val="23"/>
        <w:snapToGrid w:val="0"/>
        <w:spacing w:before="120" w:after="120" w:line="420" w:lineRule="exact"/>
        <w:ind w:left="48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2</w:t>
      </w:r>
      <w:r>
        <w:rPr>
          <w:rFonts w:ascii="Times New Roman" w:hAnsi="Times New Roman"/>
          <w:sz w:val="24"/>
          <w:szCs w:val="24"/>
        </w:rPr>
        <w:t>.1 在合同有效期内，任何一方因不可抗力事件导致不能履行合同，则合同履行期可延长，其延长期与不可抗力影响</w:t>
      </w:r>
      <w:r>
        <w:rPr>
          <w:rFonts w:hint="eastAsia" w:ascii="Times New Roman" w:hAnsi="Times New Roman"/>
          <w:sz w:val="24"/>
          <w:szCs w:val="24"/>
        </w:rPr>
        <w:t xml:space="preserve"> </w:t>
      </w:r>
      <w:r>
        <w:rPr>
          <w:rFonts w:ascii="Times New Roman" w:hAnsi="Times New Roman"/>
          <w:sz w:val="24"/>
          <w:szCs w:val="24"/>
        </w:rPr>
        <w:t>期相同。</w:t>
      </w:r>
    </w:p>
    <w:p>
      <w:pPr>
        <w:pStyle w:val="23"/>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2</w:t>
      </w:r>
      <w:r>
        <w:rPr>
          <w:rFonts w:ascii="Times New Roman" w:hAnsi="Times New Roman"/>
          <w:sz w:val="24"/>
          <w:szCs w:val="24"/>
        </w:rPr>
        <w:t>.2 不可抗力事件发生后，应立即通知对方，并寄送有关权威机构出具的证明。</w:t>
      </w:r>
    </w:p>
    <w:p>
      <w:pPr>
        <w:pStyle w:val="23"/>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2</w:t>
      </w:r>
      <w:r>
        <w:rPr>
          <w:rFonts w:ascii="Times New Roman" w:hAnsi="Times New Roman"/>
          <w:sz w:val="24"/>
          <w:szCs w:val="24"/>
        </w:rPr>
        <w:t>.3 不可抗力事件延续120天以上，双方应通过友好协商，确定是否继续履行合同。</w:t>
      </w:r>
    </w:p>
    <w:p>
      <w:pPr>
        <w:pStyle w:val="23"/>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hint="eastAsia" w:ascii="Times New Roman" w:hAnsi="Times New Roman"/>
          <w:b/>
          <w:sz w:val="24"/>
          <w:szCs w:val="24"/>
        </w:rPr>
        <w:t>三</w:t>
      </w:r>
      <w:r>
        <w:rPr>
          <w:rFonts w:ascii="Times New Roman" w:hAnsi="Times New Roman"/>
          <w:b/>
          <w:sz w:val="24"/>
          <w:szCs w:val="24"/>
        </w:rPr>
        <w:t>、</w:t>
      </w:r>
      <w:r>
        <w:rPr>
          <w:rFonts w:hint="eastAsia" w:ascii="Times New Roman" w:hAnsi="Times New Roman"/>
          <w:b/>
          <w:sz w:val="24"/>
          <w:szCs w:val="24"/>
        </w:rPr>
        <w:t>解决争议的方法</w:t>
      </w:r>
    </w:p>
    <w:p>
      <w:pPr>
        <w:pStyle w:val="23"/>
        <w:snapToGrid w:val="0"/>
        <w:spacing w:before="120" w:after="120" w:line="420" w:lineRule="exact"/>
        <w:ind w:firstLine="420"/>
        <w:rPr>
          <w:rFonts w:ascii="Times New Roman" w:hAnsi="Times New Roman"/>
          <w:sz w:val="24"/>
          <w:szCs w:val="24"/>
        </w:rPr>
      </w:pPr>
      <w:r>
        <w:rPr>
          <w:rFonts w:hint="eastAsia" w:ascii="Times New Roman" w:hAnsi="Times New Roman"/>
          <w:sz w:val="24"/>
          <w:szCs w:val="24"/>
        </w:rPr>
        <w:t>13.1双方在签订、履行合同中所发生的一切争议，应通过友好协商解决。如协商不成，由甲方住所地人民法院管辖。</w:t>
      </w:r>
    </w:p>
    <w:p>
      <w:pPr>
        <w:pStyle w:val="23"/>
        <w:snapToGrid w:val="0"/>
        <w:spacing w:before="120" w:after="120" w:line="420" w:lineRule="exact"/>
        <w:rPr>
          <w:rFonts w:ascii="Times New Roman" w:hAnsi="Times New Roman"/>
          <w:b/>
          <w:sz w:val="24"/>
          <w:szCs w:val="24"/>
        </w:rPr>
      </w:pPr>
      <w:r>
        <w:rPr>
          <w:rFonts w:ascii="Times New Roman" w:hAnsi="Times New Roman"/>
          <w:b/>
          <w:sz w:val="24"/>
          <w:szCs w:val="24"/>
        </w:rPr>
        <w:t>十</w:t>
      </w:r>
      <w:r>
        <w:rPr>
          <w:rFonts w:hint="eastAsia" w:ascii="Times New Roman" w:hAnsi="Times New Roman"/>
          <w:b/>
          <w:sz w:val="24"/>
          <w:szCs w:val="24"/>
        </w:rPr>
        <w:t>四</w:t>
      </w:r>
      <w:r>
        <w:rPr>
          <w:rFonts w:ascii="Times New Roman" w:hAnsi="Times New Roman"/>
          <w:b/>
          <w:sz w:val="24"/>
          <w:szCs w:val="24"/>
        </w:rPr>
        <w:t>、合同生效及其它</w:t>
      </w:r>
    </w:p>
    <w:p>
      <w:pPr>
        <w:pStyle w:val="23"/>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4</w:t>
      </w:r>
      <w:r>
        <w:rPr>
          <w:rFonts w:ascii="Times New Roman" w:hAnsi="Times New Roman"/>
          <w:sz w:val="24"/>
          <w:szCs w:val="24"/>
        </w:rPr>
        <w:t>.1 合同经双方法定代表人或授权委托代</w:t>
      </w:r>
      <w:r>
        <w:rPr>
          <w:rFonts w:hint="eastAsia" w:ascii="Times New Roman" w:hAnsi="Times New Roman"/>
          <w:sz w:val="24"/>
          <w:szCs w:val="24"/>
        </w:rPr>
        <w:t>表</w:t>
      </w:r>
      <w:r>
        <w:rPr>
          <w:rFonts w:ascii="Times New Roman" w:hAnsi="Times New Roman"/>
          <w:sz w:val="24"/>
          <w:szCs w:val="24"/>
        </w:rPr>
        <w:t>人签字并加盖单位公章后生效。</w:t>
      </w:r>
    </w:p>
    <w:p>
      <w:pPr>
        <w:pStyle w:val="23"/>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4</w:t>
      </w:r>
      <w:r>
        <w:rPr>
          <w:rFonts w:ascii="Times New Roman" w:hAnsi="Times New Roman"/>
          <w:sz w:val="24"/>
          <w:szCs w:val="24"/>
        </w:rPr>
        <w:t>.2本合同未尽事宜，遵照</w:t>
      </w:r>
      <w:r>
        <w:rPr>
          <w:rFonts w:hint="eastAsia" w:ascii="Times New Roman" w:hAnsi="Times New Roman"/>
          <w:sz w:val="24"/>
          <w:szCs w:val="24"/>
        </w:rPr>
        <w:t>《民法典》、《政府采购法》</w:t>
      </w:r>
      <w:r>
        <w:rPr>
          <w:rFonts w:ascii="Times New Roman" w:hAnsi="Times New Roman"/>
          <w:sz w:val="24"/>
          <w:szCs w:val="24"/>
        </w:rPr>
        <w:t>有关条文执行。</w:t>
      </w:r>
    </w:p>
    <w:p>
      <w:pPr>
        <w:pStyle w:val="23"/>
        <w:snapToGrid w:val="0"/>
        <w:spacing w:before="120" w:after="120" w:line="420" w:lineRule="exact"/>
        <w:ind w:firstLine="42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4</w:t>
      </w:r>
      <w:r>
        <w:rPr>
          <w:rFonts w:ascii="Times New Roman" w:hAnsi="Times New Roman"/>
          <w:sz w:val="24"/>
          <w:szCs w:val="24"/>
        </w:rPr>
        <w:t>.</w:t>
      </w:r>
      <w:r>
        <w:rPr>
          <w:rFonts w:hint="eastAsia" w:ascii="Times New Roman" w:hAnsi="Times New Roman"/>
          <w:sz w:val="24"/>
          <w:szCs w:val="24"/>
        </w:rPr>
        <w:t>3</w:t>
      </w:r>
      <w:r>
        <w:rPr>
          <w:rFonts w:ascii="Times New Roman" w:hAnsi="Times New Roman"/>
          <w:sz w:val="24"/>
          <w:szCs w:val="24"/>
        </w:rPr>
        <w:t xml:space="preserve"> 本合同正本一式</w:t>
      </w:r>
      <w:r>
        <w:rPr>
          <w:rFonts w:hint="eastAsia" w:ascii="Times New Roman" w:hAnsi="Times New Roman"/>
          <w:sz w:val="24"/>
          <w:szCs w:val="24"/>
        </w:rPr>
        <w:t>两</w:t>
      </w:r>
      <w:r>
        <w:rPr>
          <w:rFonts w:ascii="Times New Roman" w:hAnsi="Times New Roman"/>
          <w:sz w:val="24"/>
          <w:szCs w:val="24"/>
        </w:rPr>
        <w:t>份，具有同等法律效力，甲</w:t>
      </w:r>
      <w:r>
        <w:rPr>
          <w:rFonts w:hint="eastAsia" w:ascii="Times New Roman" w:hAnsi="Times New Roman"/>
          <w:sz w:val="24"/>
          <w:szCs w:val="24"/>
        </w:rPr>
        <w:t>方、</w:t>
      </w:r>
      <w:r>
        <w:rPr>
          <w:rFonts w:ascii="Times New Roman" w:hAnsi="Times New Roman"/>
          <w:sz w:val="24"/>
          <w:szCs w:val="24"/>
        </w:rPr>
        <w:t>乙方各执一份。</w:t>
      </w:r>
    </w:p>
    <w:p>
      <w:pPr>
        <w:pStyle w:val="23"/>
        <w:snapToGrid w:val="0"/>
        <w:spacing w:before="120" w:after="120" w:line="420" w:lineRule="exact"/>
        <w:ind w:left="480"/>
        <w:rPr>
          <w:rFonts w:ascii="Times New Roman" w:hAnsi="Times New Roman"/>
          <w:sz w:val="24"/>
          <w:szCs w:val="24"/>
        </w:rPr>
      </w:pPr>
      <w:r>
        <w:rPr>
          <w:rFonts w:ascii="Times New Roman" w:hAnsi="Times New Roman"/>
          <w:sz w:val="24"/>
          <w:szCs w:val="24"/>
        </w:rPr>
        <w:t xml:space="preserve">  甲方：                        乙方： </w:t>
      </w:r>
    </w:p>
    <w:p>
      <w:pPr>
        <w:pStyle w:val="23"/>
        <w:snapToGrid w:val="0"/>
        <w:spacing w:before="120" w:after="120" w:line="420" w:lineRule="exact"/>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地址：                       </w:t>
      </w:r>
      <w:r>
        <w:rPr>
          <w:rFonts w:hint="eastAsia" w:ascii="Times New Roman" w:hAnsi="Times New Roman"/>
          <w:sz w:val="24"/>
          <w:szCs w:val="24"/>
        </w:rPr>
        <w:t xml:space="preserve"> </w:t>
      </w:r>
      <w:r>
        <w:rPr>
          <w:rFonts w:ascii="Times New Roman" w:hAnsi="Times New Roman"/>
          <w:sz w:val="24"/>
          <w:szCs w:val="24"/>
        </w:rPr>
        <w:t xml:space="preserve">地址： </w:t>
      </w:r>
    </w:p>
    <w:p>
      <w:pPr>
        <w:pStyle w:val="23"/>
        <w:snapToGrid w:val="0"/>
        <w:spacing w:before="120" w:after="120" w:line="420" w:lineRule="exact"/>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法定代表人</w:t>
      </w:r>
      <w:r>
        <w:rPr>
          <w:rFonts w:hint="eastAsia" w:ascii="Times New Roman" w:hAnsi="Times New Roman"/>
          <w:sz w:val="24"/>
          <w:szCs w:val="24"/>
        </w:rPr>
        <w:t>或授权代表</w:t>
      </w:r>
      <w:r>
        <w:rPr>
          <w:rFonts w:ascii="Times New Roman" w:hAnsi="Times New Roman"/>
          <w:sz w:val="24"/>
          <w:szCs w:val="24"/>
        </w:rPr>
        <w:t>：        法定代表人</w:t>
      </w:r>
      <w:r>
        <w:rPr>
          <w:rFonts w:hint="eastAsia" w:ascii="Times New Roman" w:hAnsi="Times New Roman"/>
          <w:sz w:val="24"/>
          <w:szCs w:val="24"/>
        </w:rPr>
        <w:t>或授权代表</w:t>
      </w:r>
      <w:r>
        <w:rPr>
          <w:rFonts w:ascii="Times New Roman" w:hAnsi="Times New Roman"/>
          <w:sz w:val="24"/>
          <w:szCs w:val="24"/>
        </w:rPr>
        <w:t>：</w:t>
      </w:r>
    </w:p>
    <w:p>
      <w:pPr>
        <w:pStyle w:val="23"/>
        <w:snapToGrid w:val="0"/>
        <w:spacing w:before="120" w:after="120" w:line="420" w:lineRule="exact"/>
        <w:ind w:firstLine="720" w:firstLineChars="300"/>
        <w:rPr>
          <w:rFonts w:ascii="Times New Roman" w:hAnsi="Times New Roman"/>
        </w:rPr>
      </w:pPr>
      <w:r>
        <w:rPr>
          <w:rFonts w:hint="eastAsia" w:ascii="Times New Roman" w:hAnsi="Times New Roman"/>
          <w:sz w:val="24"/>
          <w:szCs w:val="24"/>
        </w:rPr>
        <w:t xml:space="preserve">联系电话：                    联系电话：          </w:t>
      </w:r>
    </w:p>
    <w:p>
      <w:pPr>
        <w:pStyle w:val="23"/>
        <w:snapToGrid w:val="0"/>
        <w:spacing w:before="120" w:after="120" w:line="420" w:lineRule="exact"/>
        <w:jc w:val="center"/>
        <w:rPr>
          <w:rFonts w:ascii="Times New Roman" w:hAnsi="Times New Roman"/>
          <w:sz w:val="24"/>
          <w:szCs w:val="24"/>
        </w:rPr>
      </w:pPr>
      <w:r>
        <w:rPr>
          <w:rFonts w:hint="eastAsia" w:ascii="Times New Roman" w:hAnsi="Times New Roman"/>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日</w:t>
      </w:r>
      <w:bookmarkEnd w:id="197"/>
      <w:bookmarkEnd w:id="198"/>
      <w:bookmarkEnd w:id="199"/>
      <w:bookmarkStart w:id="200" w:name="_Hlt16619369"/>
      <w:bookmarkEnd w:id="200"/>
      <w:bookmarkStart w:id="201" w:name="_Hlt16619350"/>
      <w:bookmarkStart w:id="202" w:name="_Toc16938590"/>
      <w:bookmarkStart w:id="203" w:name="_Toc20823346"/>
      <w:bookmarkStart w:id="204" w:name="_Toc120614244"/>
      <w:bookmarkStart w:id="205" w:name="_Toc479757211"/>
      <w:bookmarkStart w:id="206" w:name="_Toc462564139"/>
    </w:p>
    <w:p>
      <w:pPr>
        <w:pStyle w:val="19"/>
        <w:spacing w:line="700" w:lineRule="exact"/>
        <w:ind w:firstLine="803"/>
        <w:jc w:val="center"/>
        <w:rPr>
          <w:rFonts w:asciiTheme="minorEastAsia" w:hAnsiTheme="minorEastAsia" w:eastAsiaTheme="minorEastAsia"/>
          <w:b/>
          <w:sz w:val="40"/>
          <w:szCs w:val="44"/>
        </w:rPr>
      </w:pPr>
      <w:r>
        <w:rPr>
          <w:rFonts w:hint="eastAsia" w:asciiTheme="minorEastAsia" w:hAnsiTheme="minorEastAsia" w:eastAsiaTheme="minorEastAsia"/>
          <w:b/>
          <w:sz w:val="40"/>
          <w:szCs w:val="44"/>
        </w:rPr>
        <w:t>2023年泗洪县农药包装废弃物回收处理项目</w:t>
      </w:r>
    </w:p>
    <w:p>
      <w:pPr>
        <w:pStyle w:val="19"/>
        <w:spacing w:line="700" w:lineRule="exact"/>
        <w:ind w:firstLine="803"/>
        <w:jc w:val="center"/>
        <w:rPr>
          <w:rFonts w:asciiTheme="minorEastAsia" w:hAnsiTheme="minorEastAsia" w:eastAsiaTheme="minorEastAsia"/>
        </w:rPr>
      </w:pPr>
      <w:r>
        <w:rPr>
          <w:rFonts w:asciiTheme="minorEastAsia" w:hAnsiTheme="minorEastAsia" w:eastAsiaTheme="minorEastAsia"/>
          <w:b/>
          <w:sz w:val="40"/>
          <w:szCs w:val="44"/>
        </w:rPr>
        <w:t>考核细则</w:t>
      </w:r>
    </w:p>
    <w:p>
      <w:pPr>
        <w:pStyle w:val="19"/>
        <w:spacing w:line="58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highlight w:val="none"/>
        </w:rPr>
        <w:t>依据</w:t>
      </w:r>
      <w:r>
        <w:rPr>
          <w:rFonts w:hint="eastAsia" w:asciiTheme="minorEastAsia" w:hAnsiTheme="minorEastAsia" w:eastAsiaTheme="minorEastAsia"/>
          <w:sz w:val="24"/>
          <w:szCs w:val="24"/>
          <w:highlight w:val="none"/>
          <w:lang w:eastAsia="zh-CN"/>
        </w:rPr>
        <w:t>泗洪县农业农村局</w:t>
      </w:r>
      <w:r>
        <w:rPr>
          <w:rFonts w:asciiTheme="minorEastAsia" w:hAnsiTheme="minorEastAsia" w:eastAsiaTheme="minorEastAsia"/>
          <w:sz w:val="24"/>
          <w:szCs w:val="24"/>
          <w:highlight w:val="none"/>
        </w:rPr>
        <w:t>政</w:t>
      </w:r>
      <w:r>
        <w:rPr>
          <w:rFonts w:asciiTheme="minorEastAsia" w:hAnsiTheme="minorEastAsia" w:eastAsiaTheme="minorEastAsia"/>
          <w:sz w:val="24"/>
          <w:szCs w:val="24"/>
        </w:rPr>
        <w:t>府采购合同文件要求，明确中标机构的权利和义务，保障</w:t>
      </w:r>
      <w:r>
        <w:rPr>
          <w:rFonts w:hint="eastAsia" w:asciiTheme="minorEastAsia" w:hAnsiTheme="minorEastAsia" w:eastAsiaTheme="minorEastAsia"/>
          <w:sz w:val="24"/>
          <w:szCs w:val="24"/>
        </w:rPr>
        <w:t>2023年泗洪县农药包装废弃物回收处理项目</w:t>
      </w:r>
      <w:r>
        <w:rPr>
          <w:rFonts w:asciiTheme="minorEastAsia" w:hAnsiTheme="minorEastAsia" w:eastAsiaTheme="minorEastAsia"/>
          <w:sz w:val="24"/>
          <w:szCs w:val="24"/>
        </w:rPr>
        <w:t>工作。对中标机构进行定期考核，细则如下</w:t>
      </w:r>
      <w:r>
        <w:rPr>
          <w:rFonts w:hint="eastAsia" w:asciiTheme="minorEastAsia" w:hAnsiTheme="minorEastAsia" w:eastAsiaTheme="minorEastAsia"/>
          <w:sz w:val="24"/>
          <w:szCs w:val="24"/>
        </w:rPr>
        <w:t>：</w:t>
      </w:r>
    </w:p>
    <w:p>
      <w:pPr>
        <w:pStyle w:val="19"/>
        <w:spacing w:line="58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1、中标服务机构</w:t>
      </w:r>
      <w:r>
        <w:rPr>
          <w:rFonts w:asciiTheme="minorEastAsia" w:hAnsiTheme="minorEastAsia" w:eastAsiaTheme="minorEastAsia"/>
          <w:bCs/>
          <w:sz w:val="24"/>
          <w:szCs w:val="24"/>
        </w:rPr>
        <w:t>严格按照《</w:t>
      </w:r>
      <w:r>
        <w:rPr>
          <w:rFonts w:hint="eastAsia" w:asciiTheme="minorEastAsia" w:hAnsiTheme="minorEastAsia" w:eastAsiaTheme="minorEastAsia"/>
          <w:bCs/>
          <w:sz w:val="24"/>
          <w:szCs w:val="24"/>
        </w:rPr>
        <w:t>2023年省对市县农业相关专项转移支付项目实施方案</w:t>
      </w:r>
      <w:r>
        <w:rPr>
          <w:rFonts w:asciiTheme="minorEastAsia" w:hAnsiTheme="minorEastAsia" w:eastAsiaTheme="minorEastAsia"/>
          <w:bCs/>
          <w:sz w:val="24"/>
          <w:szCs w:val="24"/>
        </w:rPr>
        <w:t>》</w:t>
      </w:r>
      <w:r>
        <w:rPr>
          <w:rFonts w:hint="eastAsia" w:asciiTheme="minorEastAsia" w:hAnsiTheme="minorEastAsia" w:eastAsiaTheme="minorEastAsia"/>
          <w:bCs/>
          <w:iCs/>
          <w:sz w:val="24"/>
          <w:szCs w:val="24"/>
        </w:rPr>
        <w:t>及</w:t>
      </w:r>
      <w:r>
        <w:rPr>
          <w:rFonts w:asciiTheme="minorEastAsia" w:hAnsiTheme="minorEastAsia" w:eastAsiaTheme="minorEastAsia"/>
          <w:bCs/>
          <w:iCs/>
          <w:sz w:val="24"/>
          <w:szCs w:val="24"/>
        </w:rPr>
        <w:t>有关技术规程规范及其他相关要求，开展</w:t>
      </w:r>
      <w:r>
        <w:rPr>
          <w:rFonts w:hint="eastAsia" w:asciiTheme="minorEastAsia" w:hAnsiTheme="minorEastAsia" w:eastAsiaTheme="minorEastAsia"/>
          <w:bCs/>
          <w:iCs/>
          <w:sz w:val="24"/>
          <w:szCs w:val="24"/>
        </w:rPr>
        <w:t>农药包装废弃物回收处理</w:t>
      </w:r>
      <w:r>
        <w:rPr>
          <w:rFonts w:asciiTheme="minorEastAsia" w:hAnsiTheme="minorEastAsia" w:eastAsiaTheme="minorEastAsia"/>
          <w:bCs/>
          <w:iCs/>
          <w:sz w:val="24"/>
          <w:szCs w:val="24"/>
        </w:rPr>
        <w:t>工作，具体包括</w:t>
      </w:r>
      <w:r>
        <w:rPr>
          <w:rFonts w:hint="eastAsia" w:asciiTheme="minorEastAsia" w:hAnsiTheme="minorEastAsia" w:eastAsiaTheme="minorEastAsia"/>
          <w:bCs/>
          <w:iCs/>
          <w:sz w:val="24"/>
          <w:szCs w:val="24"/>
        </w:rPr>
        <w:t>：收集、运输、存储、压缩、打包、转运、无害化处置等回收处置工作。</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2、考核内容具体详见附件1。</w:t>
      </w:r>
    </w:p>
    <w:p>
      <w:pPr>
        <w:pStyle w:val="19"/>
        <w:spacing w:line="58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经考核后，按以下方式拨付：</w:t>
      </w:r>
    </w:p>
    <w:p>
      <w:pPr>
        <w:pStyle w:val="19"/>
        <w:spacing w:line="580" w:lineRule="exact"/>
        <w:ind w:firstLine="480" w:firstLineChars="200"/>
        <w:rPr>
          <w:rFonts w:asciiTheme="minorEastAsia" w:hAnsiTheme="minorEastAsia" w:eastAsiaTheme="minorEastAsia"/>
          <w:color w:val="auto"/>
          <w:sz w:val="24"/>
          <w:szCs w:val="24"/>
          <w:highlight w:val="none"/>
        </w:rPr>
      </w:pPr>
      <w:bookmarkStart w:id="207" w:name="_Hlk134036054"/>
      <w:r>
        <w:rPr>
          <w:rFonts w:hint="eastAsia" w:asciiTheme="minorEastAsia" w:hAnsiTheme="minorEastAsia" w:eastAsiaTheme="minorEastAsia"/>
          <w:color w:val="auto"/>
          <w:sz w:val="24"/>
          <w:szCs w:val="24"/>
          <w:highlight w:val="none"/>
        </w:rPr>
        <w:t>1、合同签订生效后，采购人收到供应商提交的预付款发票之日起10个工作日内，付合同价款的10%作为本项目预付款，项目完成并经第三方核查后付清余款。（根据考核结果和第三方核查报告中实际数量乘以中标单价据实支付，具体详见考核细则。）</w:t>
      </w:r>
      <w:r>
        <w:rPr>
          <w:rFonts w:hint="eastAsia" w:asciiTheme="minorEastAsia" w:hAnsiTheme="minorEastAsia" w:eastAsiaTheme="minorEastAsia"/>
          <w:color w:val="auto"/>
          <w:sz w:val="24"/>
          <w:szCs w:val="24"/>
          <w:highlight w:val="none"/>
          <w:lang w:val="en-US" w:eastAsia="zh-CN"/>
        </w:rPr>
        <w:t>可采用数字人民币支付。</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费用结算明细表，经采购人考核后，按以下方式拨付：</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（1）考核成绩在 90 分以上（不含 90 分）全额支付费用，</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（2）考核成绩在 90—80 分（含 90 分）之间的，支付费用标准的 90%，</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（3）考核成绩在 80—70 分（含 80 分）之间的，支付费用标准的 80%，</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（4）考核成绩在 70—60 分（含 70 分）之间的，支付费用标准的 70%，</w:t>
      </w:r>
    </w:p>
    <w:p>
      <w:pPr>
        <w:pStyle w:val="19"/>
        <w:spacing w:line="58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（5）考核成绩在 60 分及以下的，不支付费用。</w:t>
      </w:r>
    </w:p>
    <w:bookmarkEnd w:id="207"/>
    <w:p>
      <w:pPr>
        <w:pStyle w:val="19"/>
        <w:spacing w:line="58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附件：</w:t>
      </w:r>
      <w:r>
        <w:rPr>
          <w:rFonts w:hint="eastAsia" w:asciiTheme="minorEastAsia" w:hAnsiTheme="minorEastAsia" w:eastAsiaTheme="minorEastAsia"/>
          <w:sz w:val="24"/>
          <w:szCs w:val="24"/>
        </w:rPr>
        <w:t>1</w:t>
      </w:r>
      <w:r>
        <w:rPr>
          <w:rFonts w:asciiTheme="minorEastAsia" w:hAnsiTheme="minorEastAsia" w:eastAsiaTheme="minorEastAsia"/>
          <w:sz w:val="24"/>
          <w:szCs w:val="24"/>
        </w:rPr>
        <w:t>.</w:t>
      </w:r>
      <w:r>
        <w:rPr>
          <w:rFonts w:asciiTheme="minorEastAsia" w:hAnsiTheme="minorEastAsia" w:eastAsiaTheme="minorEastAsia"/>
          <w:bCs/>
          <w:sz w:val="24"/>
          <w:szCs w:val="24"/>
        </w:rPr>
        <w:t xml:space="preserve"> </w:t>
      </w:r>
      <w:r>
        <w:rPr>
          <w:rFonts w:hint="eastAsia" w:asciiTheme="minorEastAsia" w:hAnsiTheme="minorEastAsia" w:eastAsiaTheme="minorEastAsia"/>
          <w:sz w:val="24"/>
          <w:szCs w:val="24"/>
        </w:rPr>
        <w:t>2023年泗洪县农药包装废弃物回收处理项目考核评估</w:t>
      </w:r>
      <w:r>
        <w:rPr>
          <w:rFonts w:asciiTheme="minorEastAsia" w:hAnsiTheme="minorEastAsia" w:eastAsiaTheme="minorEastAsia"/>
          <w:sz w:val="24"/>
          <w:szCs w:val="24"/>
        </w:rPr>
        <w:t>细则</w:t>
      </w:r>
    </w:p>
    <w:p>
      <w:pPr>
        <w:pStyle w:val="19"/>
        <w:spacing w:line="580" w:lineRule="exact"/>
        <w:ind w:firstLine="1200" w:firstLineChars="500"/>
        <w:rPr>
          <w:rFonts w:asciiTheme="minorEastAsia" w:hAnsiTheme="minorEastAsia" w:eastAsiaTheme="minorEastAsia"/>
          <w:sz w:val="24"/>
          <w:szCs w:val="24"/>
        </w:rPr>
      </w:pPr>
      <w:r>
        <w:rPr>
          <w:rFonts w:asciiTheme="minorEastAsia" w:hAnsiTheme="minorEastAsia" w:eastAsiaTheme="minorEastAsia"/>
          <w:sz w:val="24"/>
          <w:szCs w:val="24"/>
        </w:rPr>
        <w:t>2.</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2023年泗洪县农药包装废弃物回收处理项目</w:t>
      </w:r>
      <w:r>
        <w:rPr>
          <w:rFonts w:hint="eastAsia" w:asciiTheme="minorEastAsia" w:hAnsiTheme="minorEastAsia" w:eastAsiaTheme="minorEastAsia"/>
          <w:sz w:val="24"/>
          <w:szCs w:val="24"/>
        </w:rPr>
        <w:t>考核评估表</w:t>
      </w:r>
    </w:p>
    <w:p>
      <w:pPr>
        <w:spacing w:line="700" w:lineRule="exact"/>
        <w:rPr>
          <w:rFonts w:asciiTheme="minorEastAsia" w:hAnsiTheme="minorEastAsia" w:eastAsiaTheme="minorEastAsia"/>
          <w:sz w:val="24"/>
          <w:szCs w:val="24"/>
        </w:rPr>
        <w:sectPr>
          <w:footerReference r:id="rId3" w:type="default"/>
          <w:pgSz w:w="11906" w:h="16838"/>
          <w:pgMar w:top="2041" w:right="1531" w:bottom="2041" w:left="1531" w:header="851" w:footer="1559" w:gutter="0"/>
          <w:pgNumType w:fmt="numberInDash"/>
          <w:cols w:space="720" w:num="1"/>
          <w:docGrid w:type="lines" w:linePitch="319" w:charSpace="0"/>
        </w:sectPr>
      </w:pPr>
    </w:p>
    <w:p>
      <w:pPr>
        <w:spacing w:line="7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附件1</w:t>
      </w:r>
    </w:p>
    <w:p>
      <w:pPr>
        <w:spacing w:line="700" w:lineRule="exact"/>
        <w:jc w:val="center"/>
        <w:rPr>
          <w:rFonts w:asciiTheme="minorEastAsia" w:hAnsiTheme="minorEastAsia" w:eastAsiaTheme="minorEastAsia"/>
          <w:spacing w:val="-20"/>
          <w:w w:val="98"/>
          <w:sz w:val="24"/>
          <w:szCs w:val="24"/>
        </w:rPr>
      </w:pPr>
      <w:r>
        <w:rPr>
          <w:rFonts w:hint="eastAsia" w:asciiTheme="minorEastAsia" w:hAnsiTheme="minorEastAsia" w:eastAsiaTheme="minorEastAsia"/>
          <w:spacing w:val="-20"/>
          <w:w w:val="98"/>
          <w:sz w:val="24"/>
          <w:szCs w:val="24"/>
        </w:rPr>
        <w:t>2023年泗洪县农药包装废弃物回收处理项目考核评估细则</w:t>
      </w:r>
    </w:p>
    <w:tbl>
      <w:tblPr>
        <w:tblStyle w:val="44"/>
        <w:tblpPr w:leftFromText="180" w:rightFromText="180" w:vertAnchor="text" w:horzAnchor="page" w:tblpX="1437" w:tblpY="387"/>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4"/>
        <w:gridCol w:w="1258"/>
        <w:gridCol w:w="5039"/>
        <w:gridCol w:w="5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7" w:type="pct"/>
            <w:vAlign w:val="center"/>
          </w:tcPr>
          <w:p>
            <w:pPr>
              <w:spacing w:line="700" w:lineRule="exact"/>
              <w:jc w:val="center"/>
              <w:textAlignment w:val="center"/>
              <w:rPr>
                <w:rFonts w:asciiTheme="minorEastAsia" w:hAnsiTheme="minorEastAsia" w:eastAsiaTheme="minorEastAsia"/>
                <w:sz w:val="24"/>
                <w:szCs w:val="24"/>
              </w:rPr>
            </w:pPr>
            <w:r>
              <w:rPr>
                <w:rFonts w:asciiTheme="minorEastAsia" w:hAnsiTheme="minorEastAsia" w:eastAsiaTheme="minorEastAsia"/>
                <w:sz w:val="24"/>
                <w:szCs w:val="24"/>
              </w:rPr>
              <w:t>项目</w:t>
            </w:r>
          </w:p>
        </w:tc>
        <w:tc>
          <w:tcPr>
            <w:tcW w:w="444" w:type="pct"/>
            <w:vAlign w:val="center"/>
          </w:tcPr>
          <w:p>
            <w:pPr>
              <w:spacing w:line="700" w:lineRule="exact"/>
              <w:jc w:val="center"/>
              <w:textAlignment w:val="center"/>
              <w:rPr>
                <w:rFonts w:asciiTheme="minorEastAsia" w:hAnsiTheme="minorEastAsia" w:eastAsiaTheme="minorEastAsia"/>
                <w:sz w:val="24"/>
                <w:szCs w:val="24"/>
              </w:rPr>
            </w:pPr>
            <w:r>
              <w:rPr>
                <w:rFonts w:asciiTheme="minorEastAsia" w:hAnsiTheme="minorEastAsia" w:eastAsiaTheme="minorEastAsia"/>
                <w:sz w:val="24"/>
                <w:szCs w:val="24"/>
              </w:rPr>
              <w:t>分值</w:t>
            </w:r>
          </w:p>
        </w:tc>
        <w:tc>
          <w:tcPr>
            <w:tcW w:w="1778" w:type="pct"/>
            <w:vAlign w:val="center"/>
          </w:tcPr>
          <w:p>
            <w:pPr>
              <w:spacing w:line="700" w:lineRule="exact"/>
              <w:jc w:val="center"/>
              <w:textAlignment w:val="center"/>
              <w:rPr>
                <w:rFonts w:asciiTheme="minorEastAsia" w:hAnsiTheme="minorEastAsia" w:eastAsiaTheme="minorEastAsia"/>
                <w:sz w:val="24"/>
                <w:szCs w:val="24"/>
              </w:rPr>
            </w:pPr>
            <w:r>
              <w:rPr>
                <w:rFonts w:asciiTheme="minorEastAsia" w:hAnsiTheme="minorEastAsia" w:eastAsiaTheme="minorEastAsia"/>
                <w:sz w:val="24"/>
                <w:szCs w:val="24"/>
              </w:rPr>
              <w:t>评分内容</w:t>
            </w:r>
          </w:p>
        </w:tc>
        <w:tc>
          <w:tcPr>
            <w:tcW w:w="1889" w:type="pct"/>
            <w:vAlign w:val="center"/>
          </w:tcPr>
          <w:p>
            <w:pPr>
              <w:spacing w:line="700" w:lineRule="exact"/>
              <w:jc w:val="center"/>
              <w:textAlignment w:val="center"/>
              <w:rPr>
                <w:rFonts w:asciiTheme="minorEastAsia" w:hAnsiTheme="minorEastAsia" w:eastAsiaTheme="minorEastAsia"/>
                <w:sz w:val="24"/>
                <w:szCs w:val="24"/>
              </w:rPr>
            </w:pPr>
            <w:r>
              <w:rPr>
                <w:rFonts w:asciiTheme="minorEastAsia" w:hAnsiTheme="minorEastAsia" w:eastAsiaTheme="minorEastAsia"/>
                <w:sz w:val="24"/>
                <w:szCs w:val="24"/>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7"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时效指标</w:t>
            </w:r>
          </w:p>
        </w:tc>
        <w:tc>
          <w:tcPr>
            <w:tcW w:w="444"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20分</w:t>
            </w:r>
          </w:p>
        </w:tc>
        <w:tc>
          <w:tcPr>
            <w:tcW w:w="1778" w:type="pct"/>
            <w:vAlign w:val="center"/>
          </w:tcPr>
          <w:p>
            <w:pPr>
              <w:spacing w:line="32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在规定时间内完成</w:t>
            </w:r>
          </w:p>
        </w:tc>
        <w:tc>
          <w:tcPr>
            <w:tcW w:w="1889" w:type="pct"/>
            <w:vAlign w:val="center"/>
          </w:tcPr>
          <w:p>
            <w:pPr>
              <w:spacing w:line="30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2025年6月底前完成项目内容得20分，每超期1个月扣5分。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7"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数量指标</w:t>
            </w:r>
          </w:p>
        </w:tc>
        <w:tc>
          <w:tcPr>
            <w:tcW w:w="444"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40分</w:t>
            </w:r>
          </w:p>
        </w:tc>
        <w:tc>
          <w:tcPr>
            <w:tcW w:w="1778" w:type="pct"/>
            <w:vAlign w:val="center"/>
          </w:tcPr>
          <w:p>
            <w:pPr>
              <w:spacing w:line="32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农药包装废弃物回收处置数不少于180吨</w:t>
            </w:r>
          </w:p>
        </w:tc>
        <w:tc>
          <w:tcPr>
            <w:tcW w:w="1889" w:type="pct"/>
            <w:vAlign w:val="center"/>
          </w:tcPr>
          <w:p>
            <w:pPr>
              <w:spacing w:line="30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≥180吨得40分，150吨≤数量＜180吨得20分，＜150吨不得分。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7"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实施指标</w:t>
            </w:r>
          </w:p>
        </w:tc>
        <w:tc>
          <w:tcPr>
            <w:tcW w:w="444" w:type="pct"/>
            <w:vAlign w:val="center"/>
          </w:tcPr>
          <w:p>
            <w:pPr>
              <w:spacing w:line="300" w:lineRule="exact"/>
              <w:jc w:val="center"/>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40分</w:t>
            </w:r>
          </w:p>
        </w:tc>
        <w:tc>
          <w:tcPr>
            <w:tcW w:w="1778" w:type="pct"/>
            <w:vAlign w:val="center"/>
          </w:tcPr>
          <w:p>
            <w:pPr>
              <w:spacing w:line="32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对每个回收点及时付款</w:t>
            </w:r>
          </w:p>
        </w:tc>
        <w:tc>
          <w:tcPr>
            <w:tcW w:w="1889" w:type="pct"/>
            <w:vAlign w:val="center"/>
          </w:tcPr>
          <w:p>
            <w:pPr>
              <w:spacing w:line="300" w:lineRule="exact"/>
              <w:textAlignment w:val="center"/>
              <w:rPr>
                <w:rFonts w:asciiTheme="minorEastAsia" w:hAnsiTheme="minorEastAsia" w:eastAsiaTheme="minorEastAsia"/>
                <w:sz w:val="24"/>
                <w:szCs w:val="24"/>
              </w:rPr>
            </w:pPr>
            <w:r>
              <w:rPr>
                <w:rFonts w:hint="eastAsia" w:asciiTheme="minorEastAsia" w:hAnsiTheme="minorEastAsia" w:eastAsiaTheme="minorEastAsia"/>
                <w:sz w:val="24"/>
                <w:szCs w:val="24"/>
              </w:rPr>
              <w:t>自合同签订之日起至2024年12月30日，对每个回收点按进度及时付款得20分，未按进度及时付款不得分；在2025年6月30日之前，及时付清全部回收点的费用得20分，未及时付清不得分。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vAlign w:val="center"/>
          </w:tcPr>
          <w:p>
            <w:pPr>
              <w:spacing w:line="600" w:lineRule="exact"/>
              <w:jc w:val="center"/>
              <w:textAlignment w:val="center"/>
              <w:rPr>
                <w:rFonts w:asciiTheme="minorEastAsia" w:hAnsiTheme="minorEastAsia" w:eastAsiaTheme="minorEastAsia"/>
                <w:sz w:val="24"/>
                <w:szCs w:val="24"/>
              </w:rPr>
            </w:pPr>
            <w:r>
              <w:rPr>
                <w:rFonts w:asciiTheme="minorEastAsia" w:hAnsiTheme="minorEastAsia" w:eastAsiaTheme="minorEastAsia"/>
                <w:sz w:val="24"/>
                <w:szCs w:val="24"/>
              </w:rPr>
              <w:t>总分</w:t>
            </w:r>
          </w:p>
        </w:tc>
      </w:tr>
    </w:tbl>
    <w:p>
      <w:pPr>
        <w:spacing w:line="400" w:lineRule="exact"/>
        <w:ind w:right="1501"/>
        <w:jc w:val="right"/>
        <w:rPr>
          <w:rFonts w:asciiTheme="minorEastAsia" w:hAnsiTheme="minorEastAsia" w:eastAsiaTheme="minorEastAsia"/>
          <w:sz w:val="24"/>
          <w:szCs w:val="24"/>
        </w:rPr>
      </w:pPr>
      <w:r>
        <w:rPr>
          <w:rFonts w:asciiTheme="minorEastAsia" w:hAnsiTheme="minorEastAsia" w:eastAsiaTheme="minorEastAsia"/>
          <w:sz w:val="24"/>
          <w:szCs w:val="24"/>
        </w:rPr>
        <w:t xml:space="preserve">                                                          考核时间：    年  月  日</w:t>
      </w:r>
    </w:p>
    <w:p>
      <w:pPr>
        <w:spacing w:line="440" w:lineRule="exact"/>
        <w:rPr>
          <w:rFonts w:asciiTheme="minorEastAsia" w:hAnsiTheme="minorEastAsia" w:eastAsiaTheme="minorEastAsia"/>
          <w:sz w:val="24"/>
          <w:szCs w:val="24"/>
        </w:rPr>
        <w:sectPr>
          <w:pgSz w:w="16838" w:h="11906" w:orient="landscape"/>
          <w:pgMar w:top="1230" w:right="1440" w:bottom="1230" w:left="1440" w:header="851" w:footer="992" w:gutter="0"/>
          <w:pgNumType w:fmt="numberInDash"/>
          <w:cols w:space="720" w:num="1"/>
          <w:docGrid w:linePitch="312" w:charSpace="0"/>
        </w:sectPr>
      </w:pPr>
    </w:p>
    <w:p>
      <w:pPr>
        <w:rPr>
          <w:rFonts w:asciiTheme="minorEastAsia" w:hAnsiTheme="minorEastAsia" w:eastAsiaTheme="minorEastAsia"/>
          <w:sz w:val="24"/>
          <w:szCs w:val="24"/>
        </w:rPr>
      </w:pPr>
      <w:r>
        <w:rPr>
          <w:rFonts w:hint="eastAsia" w:asciiTheme="minorEastAsia" w:hAnsiTheme="minorEastAsia" w:eastAsiaTheme="minorEastAsia"/>
          <w:sz w:val="24"/>
          <w:szCs w:val="24"/>
        </w:rPr>
        <w:t>附件2</w:t>
      </w:r>
    </w:p>
    <w:p>
      <w:pPr>
        <w:jc w:val="center"/>
        <w:rPr>
          <w:rFonts w:asciiTheme="minorEastAsia" w:hAnsiTheme="minorEastAsia" w:eastAsiaTheme="minorEastAsia"/>
          <w:sz w:val="24"/>
          <w:szCs w:val="24"/>
        </w:rPr>
      </w:pP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2023年泗洪县农药包装废弃物回收处理项目考核评估表</w:t>
      </w:r>
    </w:p>
    <w:tbl>
      <w:tblPr>
        <w:tblStyle w:val="44"/>
        <w:tblpPr w:leftFromText="180" w:rightFromText="180" w:vertAnchor="text" w:horzAnchor="margin" w:tblpXSpec="center" w:tblpY="5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2799"/>
        <w:gridCol w:w="914"/>
        <w:gridCol w:w="762"/>
        <w:gridCol w:w="66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1980" w:type="dxa"/>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机构名称</w:t>
            </w:r>
          </w:p>
        </w:tc>
        <w:tc>
          <w:tcPr>
            <w:tcW w:w="3713" w:type="dxa"/>
            <w:gridSpan w:val="2"/>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u w:val="single"/>
              </w:rPr>
            </w:pPr>
          </w:p>
        </w:tc>
        <w:tc>
          <w:tcPr>
            <w:tcW w:w="1431" w:type="dxa"/>
            <w:gridSpan w:val="2"/>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运行时间</w:t>
            </w:r>
          </w:p>
        </w:tc>
        <w:tc>
          <w:tcPr>
            <w:tcW w:w="2160" w:type="dxa"/>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1980" w:type="dxa"/>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地    址</w:t>
            </w:r>
          </w:p>
        </w:tc>
        <w:tc>
          <w:tcPr>
            <w:tcW w:w="7304" w:type="dxa"/>
            <w:gridSpan w:val="5"/>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1980" w:type="dxa"/>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负 责 人</w:t>
            </w:r>
          </w:p>
        </w:tc>
        <w:tc>
          <w:tcPr>
            <w:tcW w:w="2799" w:type="dxa"/>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p>
        </w:tc>
        <w:tc>
          <w:tcPr>
            <w:tcW w:w="1676" w:type="dxa"/>
            <w:gridSpan w:val="2"/>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联系电话</w:t>
            </w:r>
          </w:p>
        </w:tc>
        <w:tc>
          <w:tcPr>
            <w:tcW w:w="2829" w:type="dxa"/>
            <w:gridSpan w:val="2"/>
            <w:tcBorders>
              <w:top w:val="single" w:color="auto" w:sz="4" w:space="0"/>
              <w:left w:val="single" w:color="auto" w:sz="4" w:space="0"/>
              <w:bottom w:val="single" w:color="auto" w:sz="4" w:space="0"/>
              <w:right w:val="single" w:color="auto" w:sz="4" w:space="0"/>
            </w:tcBorders>
            <w:vAlign w:val="center"/>
          </w:tcPr>
          <w:p>
            <w:pPr>
              <w:overflowPunct w:val="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trPr>
        <w:tc>
          <w:tcPr>
            <w:tcW w:w="1980" w:type="dxa"/>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考核</w:t>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评估</w:t>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情况</w:t>
            </w:r>
          </w:p>
        </w:tc>
        <w:tc>
          <w:tcPr>
            <w:tcW w:w="7304" w:type="dxa"/>
            <w:gridSpan w:val="5"/>
          </w:tcPr>
          <w:p>
            <w:pPr>
              <w:snapToGrid w:val="0"/>
              <w:spacing w:line="480" w:lineRule="auto"/>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1980" w:type="dxa"/>
            <w:vAlign w:val="center"/>
          </w:tcPr>
          <w:p>
            <w:pPr>
              <w:jc w:val="center"/>
              <w:rPr>
                <w:rFonts w:asciiTheme="minorEastAsia" w:hAnsiTheme="minorEastAsia" w:eastAsiaTheme="minorEastAsia"/>
                <w:sz w:val="24"/>
                <w:szCs w:val="24"/>
              </w:rPr>
            </w:pPr>
          </w:p>
          <w:p>
            <w:pPr>
              <w:jc w:val="center"/>
              <w:rPr>
                <w:rFonts w:asciiTheme="minorEastAsia" w:hAnsiTheme="minorEastAsia" w:eastAsiaTheme="minorEastAsia"/>
                <w:sz w:val="24"/>
                <w:szCs w:val="24"/>
              </w:rPr>
            </w:pPr>
            <w:r>
              <w:rPr>
                <w:rFonts w:asciiTheme="minorEastAsia" w:hAnsiTheme="minorEastAsia" w:eastAsiaTheme="minorEastAsia"/>
                <w:sz w:val="24"/>
                <w:szCs w:val="24"/>
              </w:rPr>
              <w:t>评估</w:t>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意见</w:t>
            </w:r>
          </w:p>
        </w:tc>
        <w:tc>
          <w:tcPr>
            <w:tcW w:w="7304" w:type="dxa"/>
            <w:gridSpan w:val="5"/>
          </w:tcPr>
          <w:p>
            <w:pPr>
              <w:snapToGrid w:val="0"/>
              <w:spacing w:line="480" w:lineRule="auto"/>
              <w:rPr>
                <w:rFonts w:asciiTheme="minorEastAsia" w:hAnsiTheme="minorEastAsia" w:eastAsiaTheme="minorEastAsia"/>
                <w:sz w:val="24"/>
                <w:szCs w:val="24"/>
              </w:rPr>
            </w:pPr>
            <w:r>
              <w:rPr>
                <w:rFonts w:asciiTheme="minorEastAsia" w:hAnsiTheme="minorEastAsia" w:eastAsiaTheme="minorEastAsia"/>
                <w:sz w:val="24"/>
                <w:szCs w:val="24"/>
              </w:rPr>
              <w:t>考核得分：</w:t>
            </w:r>
          </w:p>
          <w:p>
            <w:pPr>
              <w:snapToGrid w:val="0"/>
              <w:spacing w:line="480" w:lineRule="auto"/>
              <w:rPr>
                <w:rFonts w:asciiTheme="minorEastAsia" w:hAnsiTheme="minorEastAsia" w:eastAsiaTheme="minorEastAsia"/>
                <w:sz w:val="24"/>
                <w:szCs w:val="24"/>
              </w:rPr>
            </w:pPr>
            <w:r>
              <w:rPr>
                <w:rFonts w:asciiTheme="minorEastAsia" w:hAnsiTheme="minorEastAsia" w:eastAsiaTheme="minorEastAsia"/>
                <w:sz w:val="24"/>
                <w:szCs w:val="24"/>
              </w:rPr>
              <w:t>意见：</w:t>
            </w:r>
          </w:p>
          <w:p>
            <w:pPr>
              <w:overflowPunct w:val="0"/>
              <w:ind w:firstLine="3360" w:firstLineChars="1400"/>
              <w:rPr>
                <w:rFonts w:asciiTheme="minorEastAsia" w:hAnsiTheme="minorEastAsia" w:eastAsiaTheme="minorEastAsia"/>
                <w:sz w:val="24"/>
                <w:szCs w:val="24"/>
              </w:rPr>
            </w:pPr>
          </w:p>
          <w:p>
            <w:pPr>
              <w:overflowPunct w:val="0"/>
              <w:ind w:firstLine="3360" w:firstLineChars="1400"/>
              <w:rPr>
                <w:rFonts w:asciiTheme="minorEastAsia" w:hAnsiTheme="minorEastAsia" w:eastAsiaTheme="minorEastAsia"/>
                <w:b/>
                <w:sz w:val="24"/>
                <w:szCs w:val="24"/>
              </w:rPr>
            </w:pPr>
            <w:r>
              <w:rPr>
                <w:rFonts w:asciiTheme="minorEastAsia" w:hAnsiTheme="minorEastAsia" w:eastAsiaTheme="minorEastAsia"/>
                <w:sz w:val="24"/>
                <w:szCs w:val="24"/>
              </w:rPr>
              <w:t>签字：</w:t>
            </w:r>
          </w:p>
          <w:p>
            <w:pPr>
              <w:overflowPunct w:val="0"/>
              <w:ind w:firstLine="5040" w:firstLineChars="2100"/>
              <w:rPr>
                <w:rFonts w:asciiTheme="minorEastAsia" w:hAnsiTheme="minorEastAsia" w:eastAsiaTheme="minorEastAsia"/>
                <w:b/>
                <w:sz w:val="24"/>
                <w:szCs w:val="24"/>
              </w:rPr>
            </w:pPr>
            <w:r>
              <w:rPr>
                <w:rFonts w:asciiTheme="minorEastAsia" w:hAnsiTheme="minorEastAsia" w:eastAsiaTheme="minorEastAsia"/>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1980" w:type="dxa"/>
            <w:vAlign w:val="center"/>
          </w:tcPr>
          <w:p>
            <w:pPr>
              <w:overflowPunct w:val="0"/>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泗洪县农业农村局</w:t>
            </w:r>
          </w:p>
          <w:p>
            <w:pPr>
              <w:overflowPunct w:val="0"/>
              <w:jc w:val="center"/>
              <w:rPr>
                <w:rFonts w:asciiTheme="minorEastAsia" w:hAnsiTheme="minorEastAsia" w:eastAsiaTheme="minorEastAsia"/>
                <w:sz w:val="24"/>
                <w:szCs w:val="24"/>
              </w:rPr>
            </w:pPr>
            <w:r>
              <w:rPr>
                <w:rFonts w:asciiTheme="minorEastAsia" w:hAnsiTheme="minorEastAsia" w:eastAsiaTheme="minorEastAsia"/>
                <w:sz w:val="24"/>
                <w:szCs w:val="24"/>
              </w:rPr>
              <w:t>意见</w:t>
            </w:r>
          </w:p>
        </w:tc>
        <w:tc>
          <w:tcPr>
            <w:tcW w:w="7304" w:type="dxa"/>
            <w:gridSpan w:val="5"/>
          </w:tcPr>
          <w:p>
            <w:pPr>
              <w:overflowPunct w:val="0"/>
              <w:ind w:firstLine="2640" w:firstLineChars="1100"/>
              <w:rPr>
                <w:rFonts w:asciiTheme="minorEastAsia" w:hAnsiTheme="minorEastAsia" w:eastAsiaTheme="minorEastAsia"/>
                <w:sz w:val="24"/>
                <w:szCs w:val="24"/>
              </w:rPr>
            </w:pPr>
          </w:p>
          <w:p>
            <w:pPr>
              <w:rPr>
                <w:rFonts w:asciiTheme="minorEastAsia" w:hAnsiTheme="minorEastAsia" w:eastAsiaTheme="minorEastAsia"/>
                <w:sz w:val="24"/>
                <w:szCs w:val="24"/>
              </w:rPr>
            </w:pPr>
          </w:p>
          <w:p>
            <w:pPr>
              <w:rPr>
                <w:rFonts w:asciiTheme="minorEastAsia" w:hAnsiTheme="minorEastAsia" w:eastAsiaTheme="minorEastAsia"/>
                <w:sz w:val="24"/>
                <w:szCs w:val="24"/>
              </w:rPr>
            </w:pPr>
          </w:p>
          <w:p>
            <w:pPr>
              <w:ind w:firstLine="3360" w:firstLineChars="1400"/>
              <w:rPr>
                <w:rFonts w:asciiTheme="minorEastAsia" w:hAnsiTheme="minorEastAsia" w:eastAsiaTheme="minorEastAsia"/>
                <w:sz w:val="24"/>
                <w:szCs w:val="24"/>
              </w:rPr>
            </w:pPr>
            <w:r>
              <w:rPr>
                <w:rFonts w:asciiTheme="minorEastAsia" w:hAnsiTheme="minorEastAsia" w:eastAsiaTheme="minorEastAsia"/>
                <w:sz w:val="24"/>
                <w:szCs w:val="24"/>
              </w:rPr>
              <w:t>盖章：</w:t>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                                          年 月 日</w:t>
            </w:r>
          </w:p>
        </w:tc>
      </w:tr>
    </w:tbl>
    <w:p>
      <w:pPr>
        <w:spacing w:line="6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备注：本表一式</w:t>
      </w:r>
      <w:r>
        <w:rPr>
          <w:rFonts w:hint="eastAsia" w:asciiTheme="minorEastAsia" w:hAnsiTheme="minorEastAsia" w:eastAsiaTheme="minorEastAsia"/>
          <w:color w:val="000000"/>
          <w:sz w:val="24"/>
          <w:szCs w:val="24"/>
        </w:rPr>
        <w:t>贰</w:t>
      </w:r>
      <w:r>
        <w:rPr>
          <w:rFonts w:asciiTheme="minorEastAsia" w:hAnsiTheme="minorEastAsia" w:eastAsiaTheme="minorEastAsia"/>
          <w:color w:val="000000"/>
          <w:sz w:val="24"/>
          <w:szCs w:val="24"/>
        </w:rPr>
        <w:t>份，</w:t>
      </w:r>
      <w:r>
        <w:rPr>
          <w:rFonts w:hint="eastAsia" w:asciiTheme="minorEastAsia" w:hAnsiTheme="minorEastAsia" w:eastAsiaTheme="minorEastAsia"/>
          <w:color w:val="000000"/>
          <w:sz w:val="24"/>
          <w:szCs w:val="24"/>
        </w:rPr>
        <w:t>泗洪县农业农村局</w:t>
      </w:r>
      <w:r>
        <w:rPr>
          <w:rFonts w:asciiTheme="minorEastAsia" w:hAnsiTheme="minorEastAsia" w:eastAsiaTheme="minorEastAsia"/>
          <w:color w:val="000000"/>
          <w:sz w:val="24"/>
          <w:szCs w:val="24"/>
        </w:rPr>
        <w:t>、服务机构各执一份。</w:t>
      </w:r>
    </w:p>
    <w:p>
      <w:pPr>
        <w:pStyle w:val="23"/>
        <w:snapToGrid w:val="0"/>
        <w:spacing w:before="120" w:after="120" w:line="360" w:lineRule="auto"/>
        <w:jc w:val="center"/>
        <w:rPr>
          <w:rFonts w:ascii="Times New Roman" w:hAnsi="Times New Roman"/>
          <w:sz w:val="24"/>
          <w:szCs w:val="24"/>
        </w:rPr>
      </w:pPr>
      <w:r>
        <w:rPr>
          <w:rFonts w:ascii="Times New Roman" w:hAnsi="Times New Roman" w:eastAsia="黑体"/>
          <w:bCs/>
          <w:sz w:val="44"/>
        </w:rPr>
        <w:br w:type="page"/>
      </w:r>
      <w:r>
        <w:rPr>
          <w:rFonts w:hint="eastAsia" w:ascii="Times New Roman" w:hAnsi="Times New Roman" w:eastAsia="黑体"/>
          <w:bCs/>
          <w:sz w:val="44"/>
        </w:rPr>
        <w:t>第</w:t>
      </w:r>
      <w:bookmarkEnd w:id="201"/>
      <w:r>
        <w:rPr>
          <w:rFonts w:hint="eastAsia" w:ascii="Times New Roman" w:hAnsi="Times New Roman" w:eastAsia="黑体"/>
          <w:bCs/>
          <w:sz w:val="44"/>
        </w:rPr>
        <w:t>四章 采购需求</w:t>
      </w:r>
      <w:bookmarkEnd w:id="202"/>
      <w:bookmarkEnd w:id="203"/>
      <w:bookmarkEnd w:id="204"/>
    </w:p>
    <w:p>
      <w:pPr>
        <w:snapToGrid w:val="0"/>
        <w:spacing w:before="120" w:after="120" w:line="460" w:lineRule="exact"/>
        <w:ind w:firstLine="480" w:firstLineChars="200"/>
        <w:rPr>
          <w:rFonts w:ascii="宋体" w:hAnsi="宋体" w:cs="宋体"/>
          <w:sz w:val="24"/>
          <w:szCs w:val="24"/>
        </w:rPr>
      </w:pPr>
      <w:bookmarkStart w:id="208" w:name="_Toc26554093"/>
      <w:bookmarkStart w:id="209" w:name="_Toc49090575"/>
      <w:r>
        <w:rPr>
          <w:rFonts w:hint="eastAsia" w:ascii="宋体" w:hAnsi="宋体" w:cs="宋体"/>
          <w:sz w:val="24"/>
          <w:szCs w:val="24"/>
        </w:rPr>
        <w:t>项目属性：服务类项目。</w:t>
      </w:r>
    </w:p>
    <w:p>
      <w:pPr>
        <w:spacing w:before="120" w:after="120" w:line="460" w:lineRule="exact"/>
        <w:ind w:firstLine="480" w:firstLineChars="200"/>
        <w:rPr>
          <w:rFonts w:ascii="宋体" w:hAnsi="宋体" w:cs="宋体"/>
          <w:color w:val="000000"/>
          <w:sz w:val="24"/>
          <w:szCs w:val="24"/>
        </w:rPr>
      </w:pPr>
      <w:r>
        <w:rPr>
          <w:rFonts w:hint="eastAsia" w:ascii="宋体" w:hAnsi="宋体" w:cs="宋体"/>
          <w:color w:val="000000"/>
          <w:sz w:val="24"/>
          <w:szCs w:val="24"/>
        </w:rPr>
        <w:t>本项目采购标的对应的中小企业划分标准所属行业：</w:t>
      </w:r>
      <w:r>
        <w:rPr>
          <w:rFonts w:hint="eastAsia" w:ascii="宋体" w:hAnsi="宋体" w:cs="宋体"/>
          <w:color w:val="000000"/>
          <w:sz w:val="24"/>
          <w:szCs w:val="24"/>
          <w:u w:val="single"/>
        </w:rPr>
        <w:t>其他未列明行业</w:t>
      </w:r>
    </w:p>
    <w:p>
      <w:pPr>
        <w:spacing w:before="120" w:after="120" w:line="460" w:lineRule="exact"/>
        <w:ind w:firstLine="480" w:firstLineChars="200"/>
        <w:rPr>
          <w:rFonts w:ascii="宋体" w:hAnsi="宋体" w:cs="宋体"/>
          <w:color w:val="000000"/>
          <w:sz w:val="24"/>
          <w:szCs w:val="24"/>
        </w:rPr>
      </w:pPr>
      <w:r>
        <w:rPr>
          <w:rFonts w:hint="eastAsia" w:ascii="宋体" w:hAnsi="宋体" w:cs="宋体"/>
          <w:color w:val="000000"/>
          <w:sz w:val="24"/>
          <w:szCs w:val="24"/>
        </w:rPr>
        <w:t>本项目</w:t>
      </w:r>
      <w:r>
        <w:rPr>
          <w:rFonts w:hint="eastAsia" w:ascii="宋体" w:hAnsi="宋体" w:cs="宋体"/>
          <w:color w:val="000000"/>
          <w:sz w:val="24"/>
          <w:szCs w:val="24"/>
          <w:u w:val="single"/>
        </w:rPr>
        <w:t>不接受</w:t>
      </w:r>
      <w:r>
        <w:rPr>
          <w:rFonts w:hint="eastAsia" w:ascii="宋体" w:hAnsi="宋体" w:cs="宋体"/>
          <w:color w:val="000000"/>
          <w:sz w:val="24"/>
          <w:szCs w:val="24"/>
        </w:rPr>
        <w:t>进口产品。</w:t>
      </w:r>
    </w:p>
    <w:p>
      <w:pPr>
        <w:pStyle w:val="146"/>
        <w:spacing w:line="460" w:lineRule="exact"/>
        <w:ind w:firstLine="482"/>
        <w:rPr>
          <w:rFonts w:ascii="宋体" w:hAnsi="宋体" w:cs="宋体"/>
          <w:b/>
          <w:bCs/>
          <w:color w:val="000000"/>
          <w:sz w:val="24"/>
          <w:szCs w:val="24"/>
        </w:rPr>
      </w:pPr>
      <w:bookmarkStart w:id="210" w:name="_Toc120614281"/>
      <w:r>
        <w:rPr>
          <w:rFonts w:hint="eastAsia" w:ascii="宋体" w:hAnsi="宋体" w:cs="宋体"/>
          <w:b/>
          <w:bCs/>
          <w:color w:val="000000"/>
          <w:sz w:val="24"/>
          <w:szCs w:val="24"/>
        </w:rPr>
        <w:t>一、项目概况</w:t>
      </w:r>
    </w:p>
    <w:p>
      <w:pPr>
        <w:spacing w:line="460" w:lineRule="exact"/>
        <w:ind w:firstLine="480" w:firstLineChars="200"/>
        <w:rPr>
          <w:rFonts w:ascii="宋体" w:hAnsi="宋体" w:cs="宋体"/>
          <w:sz w:val="24"/>
          <w:szCs w:val="24"/>
        </w:rPr>
      </w:pPr>
      <w:r>
        <w:rPr>
          <w:rFonts w:hint="eastAsia" w:ascii="宋体" w:hAnsi="宋体" w:cs="宋体"/>
          <w:sz w:val="24"/>
          <w:szCs w:val="24"/>
        </w:rPr>
        <w:t>1、项目名称：2023年泗洪县农药包装废弃物回收处理项目</w:t>
      </w:r>
    </w:p>
    <w:p>
      <w:pPr>
        <w:snapToGrid w:val="0"/>
        <w:spacing w:before="120" w:after="120" w:line="460" w:lineRule="exact"/>
        <w:ind w:firstLine="480" w:firstLineChars="200"/>
        <w:rPr>
          <w:rFonts w:ascii="宋体" w:hAnsi="宋体" w:cs="宋体"/>
          <w:sz w:val="24"/>
          <w:szCs w:val="24"/>
        </w:rPr>
      </w:pPr>
      <w:r>
        <w:rPr>
          <w:rFonts w:hint="eastAsia" w:ascii="宋体" w:hAnsi="宋体" w:cs="宋体"/>
          <w:sz w:val="24"/>
          <w:szCs w:val="24"/>
        </w:rPr>
        <w:t>2、</w:t>
      </w:r>
      <w:r>
        <w:rPr>
          <w:rFonts w:hint="eastAsia"/>
          <w:sz w:val="24"/>
          <w:szCs w:val="24"/>
        </w:rPr>
        <w:t>本项目</w:t>
      </w:r>
      <w:r>
        <w:rPr>
          <w:rFonts w:hint="eastAsia"/>
          <w:color w:val="000000"/>
          <w:sz w:val="24"/>
          <w:szCs w:val="24"/>
          <w:u w:val="single"/>
        </w:rPr>
        <w:t>设定单价为</w:t>
      </w:r>
      <w:r>
        <w:rPr>
          <w:rFonts w:hint="eastAsia"/>
          <w:color w:val="000000"/>
          <w:sz w:val="24"/>
          <w:szCs w:val="24"/>
        </w:rPr>
        <w:t>最高限价</w:t>
      </w:r>
      <w:r>
        <w:rPr>
          <w:rFonts w:hint="eastAsia" w:ascii="宋体" w:hAnsi="宋体" w:cs="宋体"/>
          <w:sz w:val="24"/>
          <w:szCs w:val="24"/>
        </w:rPr>
        <w:t>:</w:t>
      </w:r>
      <w:bookmarkStart w:id="211" w:name="EB6c1f3d39c6914ae1bada8ccaa777b37a"/>
      <w:r>
        <w:rPr>
          <w:rFonts w:hint="eastAsia" w:ascii="宋体" w:hAnsi="宋体" w:cs="宋体"/>
          <w:sz w:val="24"/>
          <w:szCs w:val="24"/>
        </w:rPr>
        <w:t xml:space="preserve"> 5000元/吨</w:t>
      </w:r>
      <w:bookmarkEnd w:id="211"/>
      <w:r>
        <w:rPr>
          <w:rFonts w:hint="eastAsia" w:ascii="宋体" w:hAnsi="宋体" w:cs="宋体"/>
          <w:sz w:val="24"/>
          <w:szCs w:val="24"/>
        </w:rPr>
        <w:t>；本项目采用单价报价，采购人不接受高于此限价的投标报价，否则作无效标处理。</w:t>
      </w:r>
    </w:p>
    <w:p>
      <w:pPr>
        <w:snapToGrid w:val="0"/>
        <w:spacing w:before="120" w:after="120" w:line="460" w:lineRule="exact"/>
        <w:ind w:firstLine="480" w:firstLineChars="200"/>
        <w:rPr>
          <w:rFonts w:ascii="宋体" w:hAnsi="宋体" w:cs="宋体"/>
          <w:sz w:val="24"/>
          <w:szCs w:val="24"/>
        </w:rPr>
      </w:pPr>
      <w:r>
        <w:rPr>
          <w:rFonts w:hint="eastAsia" w:ascii="宋体" w:hAnsi="宋体" w:cs="宋体"/>
          <w:sz w:val="24"/>
          <w:szCs w:val="24"/>
        </w:rPr>
        <w:t>3、合同履行期限：12个月；</w:t>
      </w:r>
    </w:p>
    <w:p>
      <w:pPr>
        <w:snapToGrid w:val="0"/>
        <w:spacing w:before="120" w:after="120" w:line="460" w:lineRule="exact"/>
        <w:ind w:firstLine="480" w:firstLineChars="200"/>
        <w:rPr>
          <w:rFonts w:ascii="宋体" w:hAnsi="宋体" w:cs="宋体"/>
          <w:sz w:val="24"/>
          <w:szCs w:val="24"/>
        </w:rPr>
      </w:pPr>
      <w:r>
        <w:rPr>
          <w:rFonts w:hint="eastAsia" w:ascii="宋体" w:hAnsi="宋体" w:cs="宋体"/>
          <w:sz w:val="24"/>
          <w:szCs w:val="24"/>
        </w:rPr>
        <w:t>4、</w:t>
      </w:r>
      <w:r>
        <w:rPr>
          <w:rStyle w:val="156"/>
          <w:rFonts w:hint="default" w:ascii="宋体" w:hAnsi="宋体" w:eastAsia="宋体" w:cs="宋体"/>
          <w:color w:val="auto"/>
          <w:sz w:val="24"/>
          <w:szCs w:val="24"/>
        </w:rPr>
        <w:t>服务地点：</w:t>
      </w:r>
      <w:r>
        <w:rPr>
          <w:rFonts w:hint="eastAsia"/>
          <w:sz w:val="24"/>
          <w:szCs w:val="24"/>
        </w:rPr>
        <w:t>泗洪县</w:t>
      </w:r>
      <w:r>
        <w:rPr>
          <w:rStyle w:val="156"/>
          <w:rFonts w:hint="default" w:ascii="宋体" w:hAnsi="宋体" w:eastAsia="宋体" w:cs="宋体"/>
          <w:color w:val="auto"/>
          <w:sz w:val="24"/>
          <w:szCs w:val="24"/>
        </w:rPr>
        <w:t>。</w:t>
      </w:r>
    </w:p>
    <w:p>
      <w:pPr>
        <w:snapToGrid w:val="0"/>
        <w:spacing w:before="120" w:after="120" w:line="460" w:lineRule="exact"/>
        <w:ind w:firstLine="480" w:firstLineChars="200"/>
        <w:rPr>
          <w:rFonts w:ascii="宋体" w:hAnsi="宋体" w:cs="宋体"/>
          <w:sz w:val="24"/>
          <w:szCs w:val="24"/>
        </w:rPr>
      </w:pPr>
      <w:r>
        <w:rPr>
          <w:rFonts w:hint="eastAsia" w:ascii="宋体" w:hAnsi="宋体" w:cs="宋体"/>
          <w:sz w:val="24"/>
          <w:szCs w:val="24"/>
        </w:rPr>
        <w:t>5、付款方式：</w:t>
      </w:r>
    </w:p>
    <w:p>
      <w:pPr>
        <w:snapToGrid w:val="0"/>
        <w:spacing w:before="120" w:after="120" w:line="460" w:lineRule="exact"/>
        <w:ind w:firstLine="720" w:firstLineChars="300"/>
        <w:rPr>
          <w:bCs/>
          <w:color w:val="auto"/>
          <w:sz w:val="24"/>
          <w:highlight w:val="none"/>
          <w:lang w:val="zh-CN"/>
        </w:rPr>
      </w:pPr>
      <w:r>
        <w:rPr>
          <w:rFonts w:hint="eastAsia"/>
          <w:bCs/>
          <w:color w:val="auto"/>
          <w:sz w:val="24"/>
          <w:highlight w:val="none"/>
          <w:lang w:val="zh-CN"/>
        </w:rPr>
        <w:t>合同签订生效后，采购人收到供应商提交的预付款发票之日起10个工作日内，付合同价款的10%作为本项目预付款，项目完成并经第三方核查后付清余款。（根据考核结果和第三方核查报告中实际数量乘以中标单价据实支付，具体详见考核细则。）</w:t>
      </w:r>
    </w:p>
    <w:p>
      <w:pPr>
        <w:snapToGrid w:val="0"/>
        <w:spacing w:before="120" w:after="120" w:line="460" w:lineRule="exact"/>
        <w:rPr>
          <w:rFonts w:ascii="宋体" w:hAnsi="宋体" w:cs="宋体"/>
          <w:sz w:val="24"/>
          <w:szCs w:val="24"/>
        </w:rPr>
      </w:pPr>
      <w:r>
        <w:rPr>
          <w:rFonts w:hint="eastAsia"/>
          <w:bCs/>
          <w:color w:val="FF0000"/>
          <w:sz w:val="24"/>
          <w:lang w:val="zh-CN"/>
        </w:rPr>
        <w:t xml:space="preserve">    </w:t>
      </w:r>
      <w:r>
        <w:rPr>
          <w:rFonts w:hint="eastAsia" w:ascii="宋体" w:hAnsi="宋体" w:cs="宋体"/>
          <w:sz w:val="24"/>
          <w:szCs w:val="24"/>
        </w:rPr>
        <w:t>资金支付的时间：收到供应商发票10个工作日内；</w:t>
      </w:r>
    </w:p>
    <w:p>
      <w:pPr>
        <w:snapToGrid w:val="0"/>
        <w:spacing w:before="120" w:after="120" w:line="460" w:lineRule="exact"/>
        <w:ind w:firstLine="480" w:firstLineChars="200"/>
        <w:rPr>
          <w:rFonts w:ascii="宋体" w:hAnsi="宋体" w:cs="宋体"/>
          <w:sz w:val="24"/>
          <w:szCs w:val="24"/>
        </w:rPr>
      </w:pPr>
      <w:r>
        <w:rPr>
          <w:rFonts w:hint="eastAsia" w:ascii="宋体" w:hAnsi="宋体" w:cs="宋体"/>
          <w:sz w:val="24"/>
          <w:szCs w:val="24"/>
        </w:rPr>
        <w:t>资金支付的条件：满足相应阶段的要求且收到供应商发票。</w:t>
      </w:r>
    </w:p>
    <w:p>
      <w:pPr>
        <w:pStyle w:val="147"/>
        <w:spacing w:line="460" w:lineRule="exact"/>
        <w:ind w:firstLine="480" w:firstLineChars="200"/>
        <w:rPr>
          <w:rFonts w:hint="default" w:ascii="宋体" w:hAnsi="宋体" w:eastAsia="宋体" w:cs="宋体"/>
          <w:sz w:val="24"/>
          <w:szCs w:val="24"/>
          <w:lang w:val="en-US" w:eastAsia="zh-CN"/>
        </w:rPr>
      </w:pPr>
      <w:r>
        <w:rPr>
          <w:rFonts w:hint="eastAsia" w:ascii="宋体" w:hAnsi="宋体" w:cs="宋体"/>
          <w:sz w:val="24"/>
          <w:szCs w:val="24"/>
        </w:rPr>
        <w:t>（注：在签订合同时，供应商明确表示无需预付款或者主动要求降低预付款比例的，采购人可不适用前述规定。）</w:t>
      </w:r>
      <w:r>
        <w:rPr>
          <w:rFonts w:hint="eastAsia" w:ascii="宋体" w:hAnsi="宋体" w:cs="宋体"/>
          <w:sz w:val="24"/>
          <w:szCs w:val="24"/>
          <w:lang w:val="en-US" w:eastAsia="zh-CN"/>
        </w:rPr>
        <w:t>可采用数字人民币支付。</w:t>
      </w:r>
    </w:p>
    <w:p>
      <w:pPr>
        <w:pStyle w:val="23"/>
        <w:snapToGrid w:val="0"/>
        <w:spacing w:before="120" w:after="120" w:line="460" w:lineRule="exact"/>
        <w:ind w:firstLine="480" w:firstLineChars="200"/>
        <w:rPr>
          <w:rStyle w:val="156"/>
          <w:rFonts w:hint="default" w:ascii="宋体" w:hAnsi="宋体" w:eastAsia="宋体" w:cs="宋体"/>
          <w:color w:val="auto"/>
          <w:sz w:val="24"/>
          <w:szCs w:val="24"/>
        </w:rPr>
      </w:pPr>
      <w:r>
        <w:rPr>
          <w:rStyle w:val="156"/>
          <w:rFonts w:hint="default" w:ascii="宋体" w:hAnsi="宋体" w:eastAsia="宋体" w:cs="宋体"/>
          <w:color w:val="auto"/>
          <w:sz w:val="24"/>
          <w:szCs w:val="24"/>
        </w:rPr>
        <w:t>6、实施内容：</w:t>
      </w:r>
    </w:p>
    <w:p>
      <w:pPr>
        <w:pStyle w:val="23"/>
        <w:snapToGrid w:val="0"/>
        <w:spacing w:before="120" w:after="120" w:line="460" w:lineRule="exact"/>
        <w:ind w:firstLine="480" w:firstLineChars="200"/>
        <w:rPr>
          <w:rFonts w:ascii="Times New Roman" w:hAnsi="Times New Roman"/>
          <w:sz w:val="24"/>
          <w:szCs w:val="24"/>
        </w:rPr>
      </w:pPr>
      <w:r>
        <w:rPr>
          <w:rFonts w:ascii="Times New Roman" w:hAnsi="Times New Roman"/>
          <w:sz w:val="24"/>
          <w:szCs w:val="24"/>
        </w:rPr>
        <w:t>（1）中标公司具有打包设备、专业收集车辆（密封）。</w:t>
      </w:r>
    </w:p>
    <w:p>
      <w:pPr>
        <w:pStyle w:val="23"/>
        <w:snapToGrid w:val="0"/>
        <w:spacing w:before="120" w:after="120" w:line="460" w:lineRule="exact"/>
        <w:ind w:firstLine="480" w:firstLineChars="20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中标公司定期开展农药包装废弃物收集工作，重点负责全县各乡镇回收点、家庭农场、合作社和农资经营门市等农药包装废弃物的集中回收工作，回收价格瓶装 0.8元/斤，袋装1.6元/斤。</w:t>
      </w:r>
    </w:p>
    <w:p>
      <w:pPr>
        <w:pStyle w:val="23"/>
        <w:snapToGrid w:val="0"/>
        <w:spacing w:before="120" w:after="120" w:line="460" w:lineRule="exact"/>
        <w:ind w:firstLine="480" w:firstLineChars="20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中标公司对收集的农药包装废弃物进行处置申报，获准处置后按环保要求处置。中标公司须全程参与农药包装废弃物回收处置工作，并每月将回收处置台账上报</w:t>
      </w:r>
      <w:r>
        <w:rPr>
          <w:rFonts w:hint="eastAsia" w:ascii="Times New Roman" w:hAnsi="Times New Roman"/>
          <w:sz w:val="24"/>
          <w:szCs w:val="24"/>
        </w:rPr>
        <w:t>至泗洪县农业农村局。</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rPr>
      </w:pPr>
      <w:r>
        <w:rPr>
          <w:rStyle w:val="156"/>
          <w:rFonts w:hint="default" w:ascii="宋体" w:hAnsi="宋体" w:eastAsia="宋体" w:cs="宋体"/>
          <w:color w:val="auto"/>
          <w:sz w:val="24"/>
          <w:szCs w:val="24"/>
        </w:rPr>
        <w:t>7、验收标准：</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highlight w:val="none"/>
        </w:rPr>
      </w:pPr>
      <w:r>
        <w:rPr>
          <w:rStyle w:val="156"/>
          <w:rFonts w:hint="default" w:ascii="宋体" w:hAnsi="宋体" w:eastAsia="宋体" w:cs="宋体"/>
          <w:color w:val="auto"/>
          <w:sz w:val="24"/>
          <w:szCs w:val="24"/>
          <w:highlight w:val="none"/>
        </w:rPr>
        <w:t>7.1中标公司不得让回收中心、乡镇回收站长时间大量积压农药包装废弃物，回收中心不得积压重量超过30吨，回收站不得积压超过2吨。在项目实施过程的打包压缩、装车计量等重要环节，由采购人委托的第三方全程核查，核查不通过的不得进入下一环节。</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highlight w:val="none"/>
        </w:rPr>
      </w:pPr>
      <w:r>
        <w:rPr>
          <w:rStyle w:val="156"/>
          <w:rFonts w:hint="default" w:ascii="宋体" w:hAnsi="宋体" w:eastAsia="宋体" w:cs="宋体"/>
          <w:color w:val="auto"/>
          <w:sz w:val="24"/>
          <w:szCs w:val="24"/>
          <w:highlight w:val="none"/>
        </w:rPr>
        <w:t>7.2中标公司回收的农药包装废弃物中不得含有矿泉水瓶、饮料瓶、纸壳、泥沙等其他物质。如发现回收的农药包装废弃物中含有矿泉水瓶、饮料瓶、纸壳、泥沙等其他物质的掺假行为，将不通过验收。</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highlight w:val="none"/>
        </w:rPr>
      </w:pPr>
      <w:r>
        <w:rPr>
          <w:rStyle w:val="156"/>
          <w:rFonts w:hint="eastAsia" w:ascii="宋体" w:hAnsi="宋体" w:cs="宋体"/>
          <w:color w:val="auto"/>
          <w:sz w:val="24"/>
          <w:szCs w:val="24"/>
          <w:highlight w:val="none"/>
          <w:lang w:val="en-US" w:eastAsia="zh-CN"/>
        </w:rPr>
        <w:t>8、</w:t>
      </w:r>
      <w:r>
        <w:rPr>
          <w:rStyle w:val="156"/>
          <w:rFonts w:hint="eastAsia" w:ascii="宋体" w:hAnsi="宋体" w:eastAsia="宋体" w:cs="宋体"/>
          <w:color w:val="auto"/>
          <w:sz w:val="24"/>
          <w:szCs w:val="24"/>
          <w:highlight w:val="none"/>
          <w:lang w:val="en-US" w:eastAsia="zh-CN"/>
        </w:rPr>
        <w:t>商品包装、快递包装政府采购需求标准：</w:t>
      </w:r>
      <w:r>
        <w:rPr>
          <w:rStyle w:val="156"/>
          <w:rFonts w:hint="default" w:ascii="宋体" w:hAnsi="宋体" w:eastAsia="宋体" w:cs="宋体"/>
          <w:color w:val="auto"/>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rPr>
      </w:pPr>
      <w:r>
        <w:rPr>
          <w:rStyle w:val="156"/>
          <w:rFonts w:hint="eastAsia" w:ascii="宋体" w:hAnsi="宋体" w:cs="宋体"/>
          <w:color w:val="auto"/>
          <w:sz w:val="24"/>
          <w:szCs w:val="24"/>
          <w:lang w:val="en-US" w:eastAsia="zh-CN"/>
        </w:rPr>
        <w:t>9</w:t>
      </w:r>
      <w:r>
        <w:rPr>
          <w:rStyle w:val="156"/>
          <w:rFonts w:hint="default" w:ascii="宋体" w:hAnsi="宋体" w:eastAsia="宋体" w:cs="宋体"/>
          <w:color w:val="auto"/>
          <w:sz w:val="24"/>
          <w:szCs w:val="24"/>
        </w:rPr>
        <w:t>、注意事项:</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rPr>
      </w:pPr>
      <w:r>
        <w:rPr>
          <w:rStyle w:val="156"/>
          <w:rFonts w:hint="default" w:ascii="宋体" w:hAnsi="宋体" w:eastAsia="宋体" w:cs="宋体"/>
          <w:color w:val="auto"/>
          <w:sz w:val="24"/>
          <w:szCs w:val="24"/>
        </w:rPr>
        <w:t>（一）报价内容包括：服务本身价格、回收处置、运输、装卸、人工、产品损耗、报验、检测、检验、售后服务、税费及工作成果交付使用过程中涉及到的其他一切费用，清单表格不全可另列。</w:t>
      </w:r>
    </w:p>
    <w:p>
      <w:pPr>
        <w:pStyle w:val="130"/>
        <w:autoSpaceDE w:val="0"/>
        <w:autoSpaceDN w:val="0"/>
        <w:adjustRightInd w:val="0"/>
        <w:spacing w:line="460" w:lineRule="exact"/>
        <w:ind w:firstLine="480" w:firstLineChars="200"/>
        <w:jc w:val="left"/>
        <w:rPr>
          <w:rStyle w:val="156"/>
          <w:rFonts w:hint="default" w:ascii="宋体" w:hAnsi="宋体" w:eastAsia="宋体" w:cs="宋体"/>
          <w:color w:val="auto"/>
          <w:sz w:val="24"/>
          <w:szCs w:val="24"/>
        </w:rPr>
      </w:pPr>
      <w:r>
        <w:rPr>
          <w:rStyle w:val="156"/>
          <w:rFonts w:hint="default" w:ascii="宋体" w:hAnsi="宋体" w:eastAsia="宋体" w:cs="宋体"/>
          <w:color w:val="auto"/>
          <w:sz w:val="24"/>
          <w:szCs w:val="24"/>
        </w:rPr>
        <w:t>（二）供应商报价时应充分考虑所有可能影响到报价的因素，一旦评标结束最终中标不予调整。如发生漏、缺、少项，都将被认为是成交人的报价让利行为，损失自负。</w:t>
      </w:r>
    </w:p>
    <w:p>
      <w:pPr>
        <w:pStyle w:val="131"/>
        <w:ind w:firstLine="0" w:firstLineChars="0"/>
        <w:rPr>
          <w:rFonts w:ascii="宋体" w:hAnsi="宋体" w:cs="仿宋_GB2312"/>
          <w:sz w:val="24"/>
          <w:szCs w:val="24"/>
        </w:rPr>
      </w:pPr>
    </w:p>
    <w:p>
      <w:pPr>
        <w:pStyle w:val="131"/>
        <w:ind w:firstLine="0" w:firstLineChars="0"/>
        <w:rPr>
          <w:rFonts w:ascii="宋体" w:hAnsi="宋体" w:cs="仿宋_GB2312"/>
          <w:sz w:val="24"/>
          <w:szCs w:val="24"/>
        </w:rPr>
      </w:pPr>
    </w:p>
    <w:p>
      <w:pPr>
        <w:pStyle w:val="131"/>
        <w:ind w:firstLine="0" w:firstLineChars="0"/>
        <w:rPr>
          <w:rFonts w:ascii="宋体" w:hAnsi="宋体" w:cs="仿宋_GB2312"/>
          <w:sz w:val="24"/>
          <w:szCs w:val="24"/>
        </w:rPr>
      </w:pPr>
    </w:p>
    <w:p>
      <w:pPr>
        <w:pStyle w:val="131"/>
        <w:ind w:firstLine="480"/>
        <w:rPr>
          <w:rFonts w:ascii="宋体" w:hAnsi="宋体" w:cs="仿宋_GB2312"/>
          <w:sz w:val="24"/>
          <w:szCs w:val="24"/>
        </w:rPr>
      </w:pPr>
    </w:p>
    <w:p>
      <w:pPr>
        <w:pStyle w:val="131"/>
        <w:ind w:firstLine="420"/>
      </w:pPr>
    </w:p>
    <w:p>
      <w:pPr>
        <w:pStyle w:val="130"/>
        <w:autoSpaceDE w:val="0"/>
        <w:autoSpaceDN w:val="0"/>
        <w:adjustRightInd w:val="0"/>
        <w:spacing w:line="580" w:lineRule="exact"/>
        <w:jc w:val="left"/>
        <w:rPr>
          <w:rFonts w:ascii="宋体" w:hAnsi="宋体" w:cs="仿宋_GB2312"/>
          <w:b/>
          <w:bCs/>
          <w:color w:val="FF0000"/>
          <w:sz w:val="24"/>
          <w:szCs w:val="24"/>
        </w:rPr>
      </w:pPr>
    </w:p>
    <w:p>
      <w:pPr>
        <w:pStyle w:val="147"/>
        <w:spacing w:line="560" w:lineRule="exact"/>
        <w:ind w:firstLine="482"/>
        <w:rPr>
          <w:rFonts w:ascii="宋体" w:hAnsi="宋体" w:cs="仿宋_GB2312"/>
          <w:b/>
          <w:bCs/>
          <w:color w:val="000000"/>
          <w:sz w:val="24"/>
          <w:szCs w:val="24"/>
        </w:rPr>
      </w:pPr>
      <w:r>
        <w:rPr>
          <w:rFonts w:hint="eastAsia" w:ascii="Times New Roman" w:hAnsi="Times New Roman" w:eastAsia="黑体"/>
          <w:bCs/>
          <w:sz w:val="44"/>
        </w:rPr>
        <w:br w:type="page"/>
      </w:r>
      <w:r>
        <w:rPr>
          <w:rFonts w:hint="eastAsia" w:ascii="Times New Roman" w:hAnsi="Times New Roman" w:eastAsia="黑体"/>
          <w:bCs/>
          <w:sz w:val="44"/>
        </w:rPr>
        <w:t xml:space="preserve">第五章  </w:t>
      </w:r>
      <w:r>
        <w:rPr>
          <w:rFonts w:hint="eastAsia" w:ascii="Times New Roman" w:hAnsi="Times New Roman" w:eastAsia="黑体"/>
          <w:b/>
          <w:bCs/>
          <w:sz w:val="44"/>
        </w:rPr>
        <w:t xml:space="preserve"> 评标方法与评标标准</w:t>
      </w:r>
    </w:p>
    <w:p>
      <w:pPr>
        <w:spacing w:line="360" w:lineRule="auto"/>
        <w:rPr>
          <w:rFonts w:ascii="宋体" w:hAnsi="宋体" w:cs="宋体"/>
          <w:sz w:val="24"/>
          <w:szCs w:val="24"/>
        </w:rPr>
      </w:pPr>
      <w:r>
        <w:rPr>
          <w:rFonts w:hint="eastAsia" w:ascii="宋体" w:hAnsi="宋体" w:cs="宋体"/>
          <w:b/>
          <w:sz w:val="24"/>
          <w:szCs w:val="24"/>
          <w:highlight w:val="white"/>
        </w:rPr>
        <w:t>一、资格审查。</w:t>
      </w:r>
      <w:r>
        <w:rPr>
          <w:rFonts w:hint="eastAsia" w:ascii="宋体" w:hAnsi="宋体" w:cs="宋体"/>
          <w:sz w:val="24"/>
          <w:szCs w:val="24"/>
          <w:highlight w:val="white"/>
        </w:rPr>
        <w:t>资格审查人员按照下列指标对各投标人的资格进行审查，未通过审查的为无效标，不参与评标。</w:t>
      </w:r>
    </w:p>
    <w:tbl>
      <w:tblPr>
        <w:tblStyle w:val="44"/>
        <w:tblW w:w="500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84"/>
        <w:gridCol w:w="4485"/>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审查标准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投标声明及承诺函</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投标人资质要求</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信用信息</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不接受联合体投标</w:t>
            </w:r>
          </w:p>
        </w:tc>
      </w:tr>
    </w:tbl>
    <w:p>
      <w:pPr>
        <w:spacing w:line="360" w:lineRule="auto"/>
        <w:rPr>
          <w:rFonts w:ascii="宋体" w:hAnsi="宋体" w:cs="宋体"/>
          <w:sz w:val="24"/>
          <w:szCs w:val="24"/>
        </w:rPr>
      </w:pPr>
      <w:r>
        <w:rPr>
          <w:rFonts w:hint="eastAsia" w:ascii="宋体" w:hAnsi="宋体" w:cs="宋体"/>
          <w:b/>
          <w:sz w:val="24"/>
          <w:szCs w:val="24"/>
          <w:highlight w:val="white"/>
        </w:rPr>
        <w:t>二、符合性审查。</w:t>
      </w:r>
      <w:r>
        <w:rPr>
          <w:rFonts w:hint="eastAsia" w:ascii="宋体" w:hAnsi="宋体" w:cs="宋体"/>
          <w:sz w:val="24"/>
          <w:szCs w:val="24"/>
          <w:highlight w:val="white"/>
        </w:rPr>
        <w:t>评标委员会首先按照下列指标对各投标人的投标文件进行符合性审查，未通过审查的为无效标，不再参与评审。</w:t>
      </w:r>
    </w:p>
    <w:tbl>
      <w:tblPr>
        <w:tblStyle w:val="44"/>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审查标准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开标一览表及投标报价</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格式、填写要求符合招标文件规定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技术标准和要求</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其他</w:t>
            </w:r>
          </w:p>
        </w:tc>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ascii="宋体" w:hAnsi="宋体" w:cs="宋体"/>
                <w:sz w:val="24"/>
                <w:szCs w:val="24"/>
              </w:rPr>
            </w:pPr>
            <w:r>
              <w:rPr>
                <w:rFonts w:hint="eastAsia" w:ascii="宋体" w:hAnsi="宋体" w:cs="宋体"/>
                <w:sz w:val="24"/>
                <w:szCs w:val="24"/>
              </w:rPr>
              <w:t>符合招标文件要求</w:t>
            </w:r>
          </w:p>
        </w:tc>
      </w:tr>
    </w:tbl>
    <w:p>
      <w:pPr>
        <w:spacing w:line="360" w:lineRule="auto"/>
        <w:rPr>
          <w:rFonts w:ascii="宋体" w:hAnsi="宋体" w:cs="宋体"/>
          <w:b/>
          <w:sz w:val="24"/>
          <w:szCs w:val="24"/>
          <w:highlight w:val="white"/>
        </w:rPr>
      </w:pPr>
      <w:r>
        <w:rPr>
          <w:rFonts w:hint="eastAsia" w:ascii="宋体" w:hAnsi="宋体" w:cs="宋体"/>
          <w:b/>
          <w:sz w:val="24"/>
          <w:szCs w:val="24"/>
          <w:highlight w:val="white"/>
        </w:rPr>
        <w:t>三、评分办法—最低评标价法</w:t>
      </w:r>
    </w:p>
    <w:p>
      <w:pPr>
        <w:spacing w:line="360" w:lineRule="auto"/>
        <w:ind w:firstLine="241" w:firstLineChars="100"/>
        <w:rPr>
          <w:rFonts w:ascii="宋体" w:hAnsi="宋体" w:cs="宋体"/>
          <w:sz w:val="24"/>
          <w:szCs w:val="24"/>
          <w:highlight w:val="white"/>
        </w:rPr>
      </w:pPr>
      <w:r>
        <w:rPr>
          <w:rFonts w:hint="eastAsia" w:ascii="宋体" w:hAnsi="宋体" w:cs="宋体"/>
          <w:b/>
          <w:sz w:val="24"/>
          <w:szCs w:val="24"/>
          <w:highlight w:val="white"/>
        </w:rPr>
        <w:t>（一）评标办法：</w:t>
      </w:r>
      <w:r>
        <w:rPr>
          <w:rFonts w:hint="eastAsia" w:ascii="宋体" w:hAnsi="宋体" w:cs="宋体"/>
          <w:sz w:val="24"/>
          <w:szCs w:val="24"/>
          <w:highlight w:val="white"/>
        </w:rPr>
        <w:t>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p>
    <w:p>
      <w:pPr>
        <w:spacing w:line="360" w:lineRule="auto"/>
        <w:ind w:firstLine="241" w:firstLineChars="100"/>
        <w:jc w:val="left"/>
        <w:rPr>
          <w:rFonts w:ascii="宋体" w:hAnsi="宋体" w:cs="宋体"/>
          <w:sz w:val="24"/>
          <w:szCs w:val="24"/>
        </w:rPr>
      </w:pPr>
      <w:r>
        <w:rPr>
          <w:rFonts w:hint="eastAsia" w:ascii="宋体" w:hAnsi="宋体" w:cs="宋体"/>
          <w:b/>
          <w:sz w:val="24"/>
          <w:szCs w:val="24"/>
          <w:highlight w:val="white"/>
        </w:rPr>
        <w:t>（二）详细评审。</w:t>
      </w:r>
      <w:r>
        <w:rPr>
          <w:rFonts w:hint="eastAsia" w:ascii="宋体" w:hAnsi="宋体" w:cs="宋体"/>
          <w:sz w:val="24"/>
          <w:szCs w:val="24"/>
          <w:highlight w:val="white"/>
        </w:rPr>
        <w:t>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bookmarkStart w:id="230" w:name="_GoBack"/>
      <w:bookmarkEnd w:id="230"/>
    </w:p>
    <w:p>
      <w:pPr>
        <w:spacing w:line="360" w:lineRule="auto"/>
        <w:ind w:firstLine="210" w:firstLineChars="100"/>
        <w:jc w:val="center"/>
        <w:rPr>
          <w:highlight w:val="red"/>
        </w:rPr>
      </w:pPr>
      <w:bookmarkStart w:id="212" w:name="EBe0cfd1035ea44f689f97db50fccddc8b"/>
      <w:bookmarkEnd w:id="212"/>
    </w:p>
    <w:p>
      <w:pPr>
        <w:spacing w:line="360" w:lineRule="auto"/>
        <w:ind w:firstLine="241" w:firstLineChars="100"/>
        <w:rPr>
          <w:rFonts w:ascii="宋体" w:hAnsi="宋体" w:cs="宋体"/>
          <w:sz w:val="24"/>
          <w:highlight w:val="white"/>
        </w:rPr>
      </w:pPr>
      <w:r>
        <w:rPr>
          <w:rFonts w:hint="eastAsia" w:ascii="宋体" w:hAnsi="宋体" w:cs="宋体"/>
          <w:b/>
          <w:sz w:val="24"/>
          <w:highlight w:val="white"/>
        </w:rPr>
        <w:t>（三）评标结果。</w:t>
      </w:r>
      <w:r>
        <w:rPr>
          <w:rFonts w:hint="eastAsia" w:ascii="宋体" w:hAnsi="宋体" w:cs="宋体"/>
          <w:sz w:val="24"/>
          <w:highlight w:val="white"/>
        </w:rPr>
        <w:t>评标委员会按照本办法规定推荐中标候选人，并形成评标报告。</w:t>
      </w:r>
    </w:p>
    <w:p>
      <w:pPr>
        <w:spacing w:line="360" w:lineRule="auto"/>
        <w:ind w:firstLine="241" w:firstLineChars="100"/>
        <w:rPr>
          <w:rFonts w:ascii="宋体" w:hAnsi="宋体" w:cs="宋体"/>
          <w:b/>
          <w:sz w:val="24"/>
          <w:highlight w:val="white"/>
        </w:rPr>
      </w:pPr>
      <w:r>
        <w:rPr>
          <w:rFonts w:hint="eastAsia" w:ascii="宋体" w:hAnsi="宋体" w:cs="宋体"/>
          <w:b/>
          <w:sz w:val="24"/>
          <w:highlight w:val="white"/>
        </w:rPr>
        <w:t>（四）政府采购政策功能落实</w:t>
      </w:r>
    </w:p>
    <w:p>
      <w:pPr>
        <w:keepNext w:val="0"/>
        <w:keepLines w:val="0"/>
        <w:pageBreakBefore w:val="0"/>
        <w:widowControl w:val="0"/>
        <w:numPr>
          <w:ilvl w:val="0"/>
          <w:numId w:val="0"/>
        </w:numPr>
        <w:spacing w:line="440" w:lineRule="exact"/>
        <w:ind w:firstLine="241"/>
        <w:rPr>
          <w:rFonts w:hint="eastAsia" w:ascii="Times New Roman" w:hAnsi="Times New Roman"/>
          <w:b/>
          <w:color w:val="000000"/>
          <w:sz w:val="24"/>
          <w:highlight w:val="none"/>
        </w:rPr>
      </w:pPr>
      <w:r>
        <w:rPr>
          <w:rFonts w:hint="eastAsia" w:ascii="Times New Roman" w:hAnsi="Times New Roman" w:eastAsia="仿宋_GB2312"/>
          <w:b/>
          <w:bCs/>
          <w:color w:val="000000"/>
          <w:sz w:val="24"/>
          <w:highlight w:val="white"/>
        </w:rPr>
        <w:t>本项目落实的政府采购政策</w:t>
      </w:r>
      <w:r>
        <w:rPr>
          <w:rFonts w:hint="eastAsia" w:ascii="Times New Roman" w:hAnsi="Times New Roman" w:eastAsia="仿宋_GB2312"/>
          <w:b/>
          <w:bCs/>
          <w:color w:val="000000"/>
          <w:sz w:val="24"/>
          <w:highlight w:val="white"/>
          <w:lang w:val="en-US" w:eastAsia="zh-CN"/>
        </w:rPr>
        <w:t>对应以下序号为</w:t>
      </w:r>
      <w:r>
        <w:rPr>
          <w:rFonts w:hint="eastAsia" w:ascii="Times New Roman" w:hAnsi="Times New Roman" w:eastAsia="仿宋_GB2312"/>
          <w:b/>
          <w:bCs/>
          <w:color w:val="000000"/>
          <w:sz w:val="24"/>
          <w:highlight w:val="none"/>
          <w:u w:val="single"/>
          <w:lang w:val="en-US" w:eastAsia="zh-CN"/>
        </w:rPr>
        <w:t xml:space="preserve"> 1、2、4 </w:t>
      </w:r>
    </w:p>
    <w:p>
      <w:pPr>
        <w:keepNext w:val="0"/>
        <w:keepLines w:val="0"/>
        <w:pageBreakBefore w:val="0"/>
        <w:widowControl w:val="0"/>
        <w:numPr>
          <w:ilvl w:val="0"/>
          <w:numId w:val="0"/>
        </w:numPr>
        <w:spacing w:line="440" w:lineRule="exact"/>
        <w:ind w:firstLine="480"/>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1.</w:t>
      </w:r>
      <w:r>
        <w:rPr>
          <w:rFonts w:hint="eastAsia" w:ascii="Times New Roman" w:hAnsi="Times New Roman" w:eastAsia="宋体" w:cs="仿宋_GB2312"/>
          <w:color w:val="000000"/>
          <w:sz w:val="24"/>
          <w:highlight w:val="white"/>
        </w:rPr>
        <w:t>采购本国货物、工程和服务</w:t>
      </w:r>
    </w:p>
    <w:p>
      <w:pPr>
        <w:keepNext w:val="0"/>
        <w:keepLines w:val="0"/>
        <w:pageBreakBefore w:val="0"/>
        <w:widowControl w:val="0"/>
        <w:spacing w:line="440" w:lineRule="exact"/>
        <w:ind w:firstLine="480"/>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是否采购进口产品以采购需求中确定的为准。</w:t>
      </w:r>
    </w:p>
    <w:p>
      <w:pPr>
        <w:keepNext w:val="0"/>
        <w:keepLines w:val="0"/>
        <w:pageBreakBefore w:val="0"/>
        <w:widowControl w:val="0"/>
        <w:spacing w:line="440" w:lineRule="exact"/>
        <w:ind w:firstLine="480"/>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2.</w:t>
      </w:r>
      <w:r>
        <w:rPr>
          <w:rFonts w:ascii="Times New Roman" w:hAnsi="Times New Roman" w:eastAsia="宋体" w:cs="仿宋_GB2312"/>
          <w:color w:val="000000"/>
          <w:sz w:val="24"/>
          <w:highlight w:val="white"/>
        </w:rPr>
        <w:t>中小企业政策</w:t>
      </w:r>
    </w:p>
    <w:p>
      <w:pPr>
        <w:spacing w:line="360" w:lineRule="auto"/>
        <w:ind w:firstLine="480"/>
        <w:rPr>
          <w:sz w:val="24"/>
        </w:rPr>
      </w:pPr>
      <w:r>
        <w:rPr>
          <w:rFonts w:hint="eastAsia"/>
          <w:sz w:val="24"/>
        </w:rPr>
        <w:t>本项目按以下第</w:t>
      </w:r>
      <w:r>
        <w:rPr>
          <w:rFonts w:hint="eastAsia"/>
          <w:sz w:val="24"/>
          <w:lang w:val="en-US" w:eastAsia="zh-CN"/>
        </w:rPr>
        <w:t xml:space="preserve"> </w:t>
      </w:r>
      <w:r>
        <w:rPr>
          <w:rFonts w:hint="eastAsia"/>
          <w:sz w:val="24"/>
          <w:u w:val="single"/>
          <w:lang w:val="en-US" w:eastAsia="zh-CN"/>
        </w:rPr>
        <w:t>（1）</w:t>
      </w:r>
      <w:r>
        <w:rPr>
          <w:rFonts w:hint="eastAsia"/>
          <w:sz w:val="24"/>
        </w:rPr>
        <w:t>种政策确定本项目落实的中小企业政策：</w:t>
      </w:r>
    </w:p>
    <w:p>
      <w:pPr>
        <w:spacing w:line="360" w:lineRule="auto"/>
        <w:ind w:firstLine="480"/>
        <w:rPr>
          <w:sz w:val="24"/>
        </w:rPr>
      </w:pPr>
      <w:r>
        <w:rPr>
          <w:rFonts w:hint="eastAsia"/>
          <w:sz w:val="24"/>
        </w:rPr>
        <w:t>（1）本项目专门面向中小企业（含监狱企业、残疾人福利企业）采购。</w:t>
      </w:r>
    </w:p>
    <w:p>
      <w:pPr>
        <w:spacing w:line="360" w:lineRule="auto"/>
        <w:ind w:firstLine="480"/>
        <w:rPr>
          <w:sz w:val="24"/>
        </w:rPr>
      </w:pPr>
      <w:r>
        <w:rPr>
          <w:rFonts w:hint="eastAsia"/>
          <w:sz w:val="24"/>
        </w:rPr>
        <w:t>（2）</w:t>
      </w:r>
      <w:r>
        <w:rPr>
          <w:rFonts w:hint="eastAsia" w:cs="仿宋_GB2312"/>
          <w:sz w:val="24"/>
        </w:rPr>
        <w:t>投标人提供的服务符合下列情形的，对小微企业报价给予</w:t>
      </w:r>
      <w:r>
        <w:rPr>
          <w:rFonts w:hint="eastAsia" w:cs="仿宋_GB2312"/>
          <w:sz w:val="24"/>
          <w:u w:val="single"/>
          <w:lang w:val="en-US" w:eastAsia="zh-CN"/>
        </w:rPr>
        <w:t>/</w:t>
      </w:r>
      <w:r>
        <w:rPr>
          <w:rFonts w:hint="eastAsia" w:cs="仿宋_GB2312"/>
          <w:sz w:val="24"/>
        </w:rPr>
        <w:t>的扣除，用扣除后的价格参加评审。</w:t>
      </w:r>
    </w:p>
    <w:p>
      <w:pPr>
        <w:spacing w:line="360" w:lineRule="auto"/>
        <w:ind w:firstLine="480"/>
        <w:rPr>
          <w:sz w:val="24"/>
        </w:rPr>
      </w:pPr>
      <w:r>
        <w:rPr>
          <w:rFonts w:hint="eastAsia" w:cs="仿宋_GB2312"/>
          <w:sz w:val="24"/>
        </w:rPr>
        <w:t>在服务采购项目中，服务由中小企业承接，即提供服务的人员为中小企业依照《中华人民共和国民法典》订立劳动合同的从业人员。</w:t>
      </w:r>
    </w:p>
    <w:p>
      <w:pPr>
        <w:spacing w:line="360" w:lineRule="auto"/>
        <w:ind w:firstLine="480"/>
        <w:rPr>
          <w:sz w:val="24"/>
        </w:rPr>
      </w:pPr>
      <w:r>
        <w:rPr>
          <w:rFonts w:hint="eastAsia" w:cs="仿宋_GB2312"/>
          <w:sz w:val="24"/>
        </w:rPr>
        <w:t>注：①参加投标的中小企业，应当按照《政府采购促进中小企业发展管理办法》（财库〔2020〕46号）规定，出具《中小企业声明函》，中小企业划型依据《关于印发中小企业划型标准规定的通知》（工信部联企业〔2011〕300号）。</w:t>
      </w:r>
    </w:p>
    <w:p>
      <w:pPr>
        <w:spacing w:line="360" w:lineRule="auto"/>
        <w:ind w:firstLine="480"/>
        <w:rPr>
          <w:sz w:val="24"/>
        </w:rPr>
      </w:pPr>
      <w:r>
        <w:rPr>
          <w:rFonts w:hint="eastAsia" w:cs="仿宋_GB2312"/>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spacing w:line="360" w:lineRule="auto"/>
        <w:ind w:firstLine="480"/>
        <w:rPr>
          <w:sz w:val="24"/>
        </w:rPr>
      </w:pPr>
      <w:r>
        <w:rPr>
          <w:rFonts w:hint="eastAsia" w:cs="仿宋_GB2312"/>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360" w:lineRule="auto"/>
        <w:ind w:firstLine="480"/>
        <w:rPr>
          <w:sz w:val="24"/>
        </w:rPr>
      </w:pPr>
      <w:r>
        <w:rPr>
          <w:rFonts w:hint="eastAsia" w:cs="仿宋_GB2312"/>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pPr>
        <w:spacing w:line="360" w:lineRule="auto"/>
        <w:ind w:firstLine="480"/>
        <w:rPr>
          <w:rFonts w:cs="仿宋_GB2312"/>
          <w:sz w:val="24"/>
        </w:rPr>
      </w:pPr>
      <w:r>
        <w:rPr>
          <w:rFonts w:hint="eastAsia" w:cs="仿宋_GB2312"/>
          <w:sz w:val="24"/>
        </w:rPr>
        <w:t>3、政府采购节能产品、环境标志产品</w:t>
      </w:r>
    </w:p>
    <w:p>
      <w:pPr>
        <w:spacing w:line="360" w:lineRule="auto"/>
        <w:ind w:firstLine="480"/>
        <w:rPr>
          <w:rFonts w:cs="仿宋_GB2312"/>
          <w:sz w:val="24"/>
        </w:rPr>
      </w:pPr>
      <w:r>
        <w:rPr>
          <w:rFonts w:hint="eastAsia" w:cs="仿宋_GB2312"/>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360" w:lineRule="auto"/>
        <w:ind w:firstLine="480"/>
        <w:rPr>
          <w:rFonts w:cs="仿宋_GB2312"/>
          <w:sz w:val="24"/>
        </w:rPr>
      </w:pPr>
      <w:r>
        <w:rPr>
          <w:rFonts w:hint="eastAsia" w:cs="仿宋_GB2312"/>
          <w:sz w:val="24"/>
        </w:rPr>
        <w:t>（2）采购人拟采购的产品属于政府强制采购的节能产品品目清单范围的，投标人须提供国家确定的认证机构出具的、处于有效期之内的节能产品认证证书的，否则无效标处理。</w:t>
      </w:r>
    </w:p>
    <w:p>
      <w:pPr>
        <w:spacing w:line="360" w:lineRule="auto"/>
        <w:ind w:firstLine="480"/>
        <w:rPr>
          <w:rFonts w:cs="仿宋_GB2312"/>
          <w:sz w:val="24"/>
        </w:rPr>
      </w:pPr>
      <w:r>
        <w:rPr>
          <w:rFonts w:hint="eastAsia" w:cs="仿宋_GB2312"/>
          <w:sz w:val="24"/>
        </w:rPr>
        <w:t>（3）采购人拟采购的产品属于优先采购的节能环保品目清单范围的，按以下条件优先采购：</w:t>
      </w:r>
    </w:p>
    <w:p>
      <w:pPr>
        <w:spacing w:line="360" w:lineRule="auto"/>
        <w:ind w:firstLine="480"/>
        <w:rPr>
          <w:rFonts w:cs="仿宋_GB2312"/>
          <w:sz w:val="24"/>
        </w:rPr>
      </w:pPr>
      <w:r>
        <w:rPr>
          <w:rFonts w:hint="eastAsia" w:cs="仿宋_GB2312"/>
          <w:sz w:val="24"/>
        </w:rPr>
        <w:t>采用综合评分法的项目，对提供有效节能环保证书的投标人加分。</w:t>
      </w:r>
    </w:p>
    <w:p>
      <w:pPr>
        <w:spacing w:line="360" w:lineRule="auto"/>
        <w:ind w:firstLine="480"/>
        <w:rPr>
          <w:rFonts w:cs="仿宋_GB2312"/>
          <w:sz w:val="24"/>
        </w:rPr>
      </w:pPr>
      <w:r>
        <w:rPr>
          <w:rFonts w:hint="eastAsia" w:cs="仿宋_GB2312"/>
          <w:sz w:val="24"/>
        </w:rPr>
        <w:t>采用最低评标价法的项目，同等条件下优先推荐提供有效节能环保证书多的投标人为中标人。</w:t>
      </w:r>
    </w:p>
    <w:p>
      <w:pPr>
        <w:spacing w:line="360" w:lineRule="auto"/>
        <w:ind w:firstLine="480"/>
        <w:rPr>
          <w:rFonts w:cs="仿宋_GB2312"/>
          <w:sz w:val="24"/>
        </w:rPr>
      </w:pPr>
      <w:r>
        <w:rPr>
          <w:rFonts w:hint="eastAsia" w:cs="仿宋_GB2312"/>
          <w:sz w:val="24"/>
        </w:rPr>
        <w:t>4、商品包装、快递包装政府采购需求标准（试行）</w:t>
      </w:r>
    </w:p>
    <w:p>
      <w:pPr>
        <w:spacing w:line="360" w:lineRule="auto"/>
        <w:ind w:firstLine="480"/>
        <w:rPr>
          <w:rFonts w:cs="仿宋_GB2312"/>
          <w:sz w:val="24"/>
        </w:rPr>
      </w:pPr>
      <w:r>
        <w:rPr>
          <w:rFonts w:hint="eastAsia" w:cs="仿宋_GB2312"/>
          <w:sz w:val="24"/>
        </w:rPr>
        <w:t>为助力打好污染防治攻坚战，推广使用绿色包装，根据财政部印发的《商品包装政府采购需求标准（试行）》、《快递包装政府采购需求标准（试行）》，如本项目涉及商品包装和快递包装的，具体需求详见采购需求。</w:t>
      </w:r>
    </w:p>
    <w:p>
      <w:pPr>
        <w:spacing w:line="360" w:lineRule="auto"/>
        <w:ind w:firstLine="480"/>
        <w:rPr>
          <w:rFonts w:cs="仿宋_GB2312"/>
          <w:sz w:val="24"/>
        </w:rPr>
      </w:pPr>
      <w:r>
        <w:rPr>
          <w:rFonts w:hint="eastAsia" w:cs="仿宋_GB2312"/>
          <w:sz w:val="24"/>
        </w:rPr>
        <w:t>5、绿色数据中心政府采购需求标准（试行）</w:t>
      </w:r>
    </w:p>
    <w:p>
      <w:pPr>
        <w:spacing w:line="360" w:lineRule="auto"/>
        <w:ind w:firstLine="480"/>
        <w:rPr>
          <w:rFonts w:hint="eastAsia" w:ascii="宋体" w:hAnsi="宋体" w:cs="宋体"/>
          <w:sz w:val="24"/>
          <w:highlight w:val="white"/>
        </w:rPr>
      </w:pPr>
      <w:r>
        <w:rPr>
          <w:rFonts w:hint="eastAsia" w:cs="仿宋_GB2312"/>
          <w:sz w:val="24"/>
        </w:rPr>
        <w:t>为加快数据中心绿色转型，根据财政部 生态环境部 工业和信息化部关于印发《绿色数据中心政府采购需求标准（试行）》的通知），本项目如涉及绿色数据中心，具体需求详见第四章采购需求。</w:t>
      </w:r>
    </w:p>
    <w:p>
      <w:pPr>
        <w:spacing w:line="360" w:lineRule="auto"/>
        <w:ind w:firstLine="480"/>
        <w:rPr>
          <w:rFonts w:hint="eastAsia" w:ascii="宋体" w:hAnsi="宋体" w:cs="宋体"/>
          <w:sz w:val="24"/>
          <w:highlight w:val="white"/>
        </w:rPr>
      </w:pPr>
    </w:p>
    <w:p>
      <w:pPr>
        <w:spacing w:line="360" w:lineRule="auto"/>
        <w:ind w:firstLine="480"/>
        <w:rPr>
          <w:rFonts w:hint="eastAsia" w:ascii="宋体" w:hAnsi="宋体" w:cs="宋体"/>
          <w:sz w:val="24"/>
          <w:highlight w:val="white"/>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ind w:firstLine="0" w:firstLineChars="0"/>
        <w:rPr>
          <w:rFonts w:ascii="Times New Roman" w:hAnsi="Times New Roman"/>
        </w:rPr>
      </w:pPr>
    </w:p>
    <w:p>
      <w:pPr>
        <w:pStyle w:val="87"/>
        <w:rPr>
          <w:rFonts w:ascii="Times New Roman" w:hAnsi="Times New Roman"/>
        </w:rPr>
      </w:pPr>
    </w:p>
    <w:p>
      <w:pPr>
        <w:pStyle w:val="87"/>
        <w:rPr>
          <w:rFonts w:ascii="Times New Roman" w:hAnsi="Times New Roman"/>
        </w:rPr>
      </w:pPr>
    </w:p>
    <w:p/>
    <w:p>
      <w:pPr>
        <w:pStyle w:val="3"/>
        <w:rPr>
          <w:rFonts w:ascii="Times New Roman" w:eastAsia="黑体"/>
          <w:bCs/>
          <w:sz w:val="44"/>
        </w:rPr>
      </w:pPr>
      <w:r>
        <w:rPr>
          <w:rFonts w:hint="eastAsia" w:ascii="Times New Roman" w:eastAsia="黑体"/>
          <w:bCs/>
          <w:sz w:val="44"/>
        </w:rPr>
        <w:t>第六章  投标</w:t>
      </w:r>
      <w:bookmarkEnd w:id="208"/>
      <w:bookmarkEnd w:id="209"/>
      <w:bookmarkEnd w:id="210"/>
      <w:r>
        <w:rPr>
          <w:rFonts w:hint="eastAsia" w:ascii="Times New Roman" w:eastAsia="黑体"/>
          <w:bCs/>
          <w:sz w:val="44"/>
        </w:rPr>
        <w:t xml:space="preserve">文件格式 </w:t>
      </w:r>
    </w:p>
    <w:p>
      <w:pPr>
        <w:jc w:val="center"/>
        <w:rPr>
          <w:b/>
          <w:sz w:val="72"/>
        </w:rPr>
      </w:pPr>
      <w:bookmarkStart w:id="213" w:name="_Hlt26671244"/>
      <w:bookmarkEnd w:id="213"/>
      <w:bookmarkStart w:id="214" w:name="_Hlt26955039"/>
      <w:bookmarkEnd w:id="214"/>
      <w:bookmarkStart w:id="215" w:name="_Toc49090576"/>
      <w:bookmarkStart w:id="216" w:name="_Toc26554094"/>
      <w:bookmarkStart w:id="217" w:name="_Toc120614282"/>
    </w:p>
    <w:p>
      <w:pPr>
        <w:jc w:val="center"/>
        <w:rPr>
          <w:b/>
          <w:sz w:val="72"/>
        </w:rPr>
      </w:pPr>
      <w:r>
        <w:rPr>
          <w:rFonts w:hint="eastAsia"/>
          <w:b/>
          <w:sz w:val="72"/>
        </w:rPr>
        <w:t>投  标  文  件</w:t>
      </w:r>
    </w:p>
    <w:p>
      <w:pPr>
        <w:jc w:val="center"/>
        <w:rPr>
          <w:b/>
          <w:sz w:val="72"/>
        </w:rPr>
      </w:pPr>
    </w:p>
    <w:p>
      <w:pPr>
        <w:jc w:val="center"/>
        <w:rPr>
          <w:b/>
          <w:sz w:val="72"/>
        </w:rPr>
      </w:pPr>
    </w:p>
    <w:p>
      <w:pPr>
        <w:jc w:val="center"/>
        <w:rPr>
          <w:b/>
          <w:sz w:val="36"/>
        </w:rPr>
      </w:pPr>
    </w:p>
    <w:p>
      <w:pPr>
        <w:jc w:val="center"/>
        <w:rPr>
          <w:b/>
          <w:sz w:val="36"/>
        </w:rPr>
      </w:pPr>
    </w:p>
    <w:p>
      <w:pPr>
        <w:jc w:val="center"/>
        <w:rPr>
          <w:b/>
          <w:sz w:val="36"/>
        </w:rPr>
      </w:pPr>
    </w:p>
    <w:p>
      <w:pPr>
        <w:ind w:firstLine="1084" w:firstLineChars="300"/>
        <w:rPr>
          <w:b/>
          <w:sz w:val="36"/>
        </w:rPr>
      </w:pPr>
      <w:r>
        <w:rPr>
          <w:rFonts w:hint="eastAsia"/>
          <w:b/>
          <w:sz w:val="36"/>
        </w:rPr>
        <w:t>项 目 名 称：</w:t>
      </w:r>
      <w:r>
        <w:rPr>
          <w:rFonts w:hint="eastAsia"/>
          <w:b/>
          <w:sz w:val="36"/>
          <w:u w:val="single"/>
        </w:rPr>
        <w:t xml:space="preserve">               </w:t>
      </w:r>
    </w:p>
    <w:p>
      <w:pPr>
        <w:ind w:firstLine="1084" w:firstLineChars="300"/>
        <w:rPr>
          <w:b/>
          <w:sz w:val="36"/>
          <w:u w:val="single"/>
        </w:rPr>
      </w:pPr>
      <w:r>
        <w:rPr>
          <w:rFonts w:hint="eastAsia"/>
          <w:b/>
          <w:sz w:val="36"/>
        </w:rPr>
        <w:t>项 目 编 号：</w:t>
      </w:r>
      <w:r>
        <w:rPr>
          <w:rFonts w:hint="eastAsia"/>
          <w:b/>
          <w:sz w:val="36"/>
          <w:u w:val="single"/>
        </w:rPr>
        <w:t xml:space="preserve">               </w:t>
      </w:r>
    </w:p>
    <w:p>
      <w:pPr>
        <w:rPr>
          <w:b/>
          <w:sz w:val="36"/>
          <w:u w:val="single"/>
        </w:rPr>
      </w:pPr>
      <w:r>
        <w:rPr>
          <w:rFonts w:hint="eastAsia"/>
          <w:b/>
          <w:sz w:val="36"/>
        </w:rPr>
        <w:t xml:space="preserve">      投标人名称 ：</w:t>
      </w:r>
      <w:r>
        <w:rPr>
          <w:rFonts w:hint="eastAsia"/>
          <w:b/>
          <w:sz w:val="36"/>
          <w:u w:val="single"/>
        </w:rPr>
        <w:t>（加盖CA电子公章）</w:t>
      </w:r>
    </w:p>
    <w:p>
      <w:pPr>
        <w:rPr>
          <w:b/>
          <w:sz w:val="36"/>
          <w:u w:val="single"/>
        </w:rPr>
      </w:pPr>
      <w:r>
        <w:rPr>
          <w:rFonts w:hint="eastAsia"/>
          <w:b/>
          <w:sz w:val="36"/>
        </w:rPr>
        <w:t xml:space="preserve">      日      期 ：</w:t>
      </w:r>
      <w:r>
        <w:rPr>
          <w:rFonts w:hint="eastAsia"/>
          <w:b/>
          <w:sz w:val="36"/>
          <w:u w:val="single"/>
        </w:rPr>
        <w:t xml:space="preserve">               </w:t>
      </w:r>
    </w:p>
    <w:p>
      <w:pPr>
        <w:spacing w:line="440" w:lineRule="exact"/>
        <w:jc w:val="center"/>
        <w:rPr>
          <w:b/>
          <w:bCs/>
          <w:sz w:val="32"/>
          <w:szCs w:val="32"/>
        </w:rPr>
      </w:pPr>
    </w:p>
    <w:p>
      <w:pPr>
        <w:spacing w:line="440" w:lineRule="exact"/>
      </w:pPr>
    </w:p>
    <w:bookmarkEnd w:id="205"/>
    <w:bookmarkEnd w:id="206"/>
    <w:bookmarkEnd w:id="215"/>
    <w:bookmarkEnd w:id="216"/>
    <w:bookmarkEnd w:id="217"/>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sz w:val="36"/>
          <w:u w:val="single"/>
        </w:rPr>
      </w:pPr>
    </w:p>
    <w:p>
      <w:pPr>
        <w:spacing w:line="440" w:lineRule="exact"/>
        <w:jc w:val="center"/>
        <w:rPr>
          <w:b/>
          <w:bCs/>
          <w:sz w:val="32"/>
          <w:szCs w:val="32"/>
        </w:rPr>
      </w:pPr>
      <w:r>
        <w:rPr>
          <w:rFonts w:hint="eastAsia"/>
          <w:b/>
          <w:bCs/>
          <w:sz w:val="32"/>
          <w:szCs w:val="32"/>
        </w:rPr>
        <w:t>投标文件目录</w:t>
      </w:r>
    </w:p>
    <w:p>
      <w:pPr>
        <w:spacing w:line="440" w:lineRule="exact"/>
        <w:jc w:val="center"/>
        <w:rPr>
          <w:b/>
          <w:bCs/>
          <w:sz w:val="32"/>
          <w:szCs w:val="32"/>
        </w:rPr>
      </w:pPr>
    </w:p>
    <w:p>
      <w:pPr>
        <w:spacing w:line="600" w:lineRule="exact"/>
        <w:ind w:firstLine="560"/>
        <w:rPr>
          <w:rFonts w:cs="宋体"/>
          <w:sz w:val="28"/>
          <w:szCs w:val="28"/>
        </w:rPr>
      </w:pPr>
      <w:r>
        <w:rPr>
          <w:rFonts w:hint="eastAsia" w:cs="宋体"/>
          <w:sz w:val="28"/>
          <w:szCs w:val="28"/>
        </w:rPr>
        <w:t>一、投标声明及承诺函</w:t>
      </w:r>
    </w:p>
    <w:p>
      <w:pPr>
        <w:spacing w:line="600" w:lineRule="exact"/>
        <w:ind w:firstLine="560"/>
        <w:rPr>
          <w:rFonts w:cs="宋体"/>
          <w:sz w:val="28"/>
          <w:szCs w:val="28"/>
        </w:rPr>
      </w:pPr>
      <w:r>
        <w:rPr>
          <w:rFonts w:hint="eastAsia" w:cs="宋体"/>
          <w:sz w:val="28"/>
          <w:szCs w:val="28"/>
        </w:rPr>
        <w:t>二、投标人基本情况</w:t>
      </w:r>
    </w:p>
    <w:p>
      <w:pPr>
        <w:spacing w:line="600" w:lineRule="exact"/>
        <w:ind w:firstLine="560"/>
        <w:rPr>
          <w:rFonts w:cs="宋体"/>
          <w:sz w:val="28"/>
          <w:szCs w:val="28"/>
        </w:rPr>
      </w:pPr>
      <w:r>
        <w:rPr>
          <w:rFonts w:hint="eastAsia" w:cs="宋体"/>
          <w:sz w:val="28"/>
          <w:szCs w:val="28"/>
        </w:rPr>
        <w:t>三、满足特定资格要求的证明文件</w:t>
      </w:r>
    </w:p>
    <w:p>
      <w:pPr>
        <w:spacing w:line="600" w:lineRule="exact"/>
        <w:ind w:firstLine="560"/>
        <w:rPr>
          <w:rFonts w:cs="宋体"/>
          <w:sz w:val="28"/>
          <w:szCs w:val="28"/>
        </w:rPr>
      </w:pPr>
      <w:r>
        <w:rPr>
          <w:rFonts w:hint="eastAsia" w:cs="宋体"/>
          <w:sz w:val="28"/>
          <w:szCs w:val="28"/>
        </w:rPr>
        <w:t>四、法人授权书</w:t>
      </w:r>
    </w:p>
    <w:p>
      <w:pPr>
        <w:spacing w:line="600" w:lineRule="exact"/>
        <w:ind w:firstLine="560"/>
        <w:rPr>
          <w:rFonts w:cs="宋体"/>
          <w:sz w:val="28"/>
          <w:szCs w:val="28"/>
        </w:rPr>
      </w:pPr>
      <w:r>
        <w:rPr>
          <w:rFonts w:hint="eastAsia" w:cs="宋体"/>
          <w:sz w:val="28"/>
          <w:szCs w:val="28"/>
        </w:rPr>
        <w:t>五、开标一览表</w:t>
      </w:r>
    </w:p>
    <w:p>
      <w:pPr>
        <w:spacing w:line="600" w:lineRule="exact"/>
        <w:ind w:firstLine="560"/>
        <w:rPr>
          <w:rFonts w:cs="宋体"/>
          <w:sz w:val="28"/>
          <w:szCs w:val="28"/>
        </w:rPr>
      </w:pPr>
      <w:r>
        <w:rPr>
          <w:rFonts w:hint="eastAsia" w:cs="宋体"/>
          <w:sz w:val="28"/>
          <w:szCs w:val="28"/>
        </w:rPr>
        <w:t>六、投标报价明细表</w:t>
      </w:r>
    </w:p>
    <w:p>
      <w:pPr>
        <w:spacing w:line="600" w:lineRule="exact"/>
        <w:ind w:firstLine="560"/>
        <w:rPr>
          <w:rFonts w:cs="宋体"/>
          <w:sz w:val="28"/>
          <w:szCs w:val="28"/>
        </w:rPr>
      </w:pPr>
      <w:r>
        <w:rPr>
          <w:rFonts w:hint="eastAsia" w:cs="宋体"/>
          <w:sz w:val="28"/>
          <w:szCs w:val="28"/>
        </w:rPr>
        <w:t>七、中小企业声明函</w:t>
      </w:r>
    </w:p>
    <w:p>
      <w:pPr>
        <w:spacing w:line="600" w:lineRule="exact"/>
        <w:ind w:firstLine="560"/>
        <w:rPr>
          <w:rFonts w:cs="宋体"/>
          <w:sz w:val="28"/>
          <w:szCs w:val="28"/>
        </w:rPr>
      </w:pPr>
      <w:r>
        <w:rPr>
          <w:rFonts w:hint="eastAsia" w:cs="宋体"/>
          <w:sz w:val="28"/>
          <w:szCs w:val="28"/>
        </w:rPr>
        <w:t>八、项目实施方案</w:t>
      </w:r>
    </w:p>
    <w:p>
      <w:pPr>
        <w:spacing w:line="600" w:lineRule="exact"/>
        <w:ind w:firstLine="560"/>
        <w:rPr>
          <w:rFonts w:cs="宋体"/>
          <w:sz w:val="28"/>
          <w:szCs w:val="28"/>
        </w:rPr>
      </w:pPr>
      <w:r>
        <w:rPr>
          <w:rFonts w:hint="eastAsia" w:cs="宋体"/>
          <w:sz w:val="28"/>
          <w:szCs w:val="28"/>
        </w:rPr>
        <w:t>九、技术要求响应及偏离表</w:t>
      </w:r>
    </w:p>
    <w:p>
      <w:pPr>
        <w:spacing w:line="600" w:lineRule="exact"/>
        <w:ind w:firstLine="560"/>
        <w:rPr>
          <w:rFonts w:cs="宋体"/>
          <w:sz w:val="28"/>
          <w:szCs w:val="28"/>
        </w:rPr>
      </w:pPr>
      <w:r>
        <w:rPr>
          <w:rFonts w:hint="eastAsia" w:cs="宋体"/>
          <w:sz w:val="28"/>
          <w:szCs w:val="28"/>
        </w:rPr>
        <w:t>十、项目组成员</w:t>
      </w:r>
    </w:p>
    <w:p>
      <w:pPr>
        <w:spacing w:line="600" w:lineRule="exact"/>
        <w:ind w:firstLine="560"/>
        <w:rPr>
          <w:rFonts w:cs="宋体"/>
          <w:sz w:val="28"/>
          <w:szCs w:val="28"/>
        </w:rPr>
      </w:pPr>
      <w:r>
        <w:rPr>
          <w:rFonts w:hint="eastAsia" w:cs="宋体"/>
          <w:sz w:val="28"/>
          <w:szCs w:val="28"/>
        </w:rPr>
        <w:t>十一、企业业绩</w:t>
      </w:r>
    </w:p>
    <w:p>
      <w:pPr>
        <w:spacing w:line="600" w:lineRule="exact"/>
        <w:ind w:firstLine="560"/>
        <w:rPr>
          <w:rFonts w:cs="宋体"/>
          <w:sz w:val="28"/>
          <w:szCs w:val="28"/>
        </w:rPr>
      </w:pPr>
      <w:r>
        <w:rPr>
          <w:rFonts w:hint="eastAsia" w:cs="宋体"/>
          <w:sz w:val="28"/>
          <w:szCs w:val="28"/>
        </w:rPr>
        <w:t>十二、投标所需其他材料</w:t>
      </w:r>
    </w:p>
    <w:p>
      <w:pPr>
        <w:pStyle w:val="30"/>
        <w:rPr>
          <w:rFonts w:ascii="Times New Roman" w:hAnsi="Times New Roman"/>
          <w:caps w:val="0"/>
        </w:rPr>
      </w:pPr>
    </w:p>
    <w:p>
      <w:pPr>
        <w:spacing w:line="440" w:lineRule="exact"/>
        <w:ind w:firstLine="480" w:firstLineChars="200"/>
        <w:rPr>
          <w:sz w:val="24"/>
        </w:rPr>
      </w:pPr>
    </w:p>
    <w:p>
      <w:pPr>
        <w:spacing w:line="440" w:lineRule="exact"/>
        <w:ind w:firstLine="480" w:firstLineChars="200"/>
        <w:rPr>
          <w:sz w:val="24"/>
        </w:rPr>
      </w:pPr>
    </w:p>
    <w:p>
      <w:pPr>
        <w:spacing w:line="440" w:lineRule="exact"/>
        <w:ind w:firstLine="480" w:firstLineChars="200"/>
        <w:rPr>
          <w:sz w:val="24"/>
        </w:rPr>
      </w:pPr>
    </w:p>
    <w:p>
      <w:pPr>
        <w:spacing w:line="440" w:lineRule="exact"/>
        <w:ind w:firstLine="480" w:firstLineChars="200"/>
        <w:rPr>
          <w:sz w:val="24"/>
        </w:rPr>
      </w:pPr>
    </w:p>
    <w:p>
      <w:pPr>
        <w:spacing w:line="440" w:lineRule="exact"/>
        <w:ind w:firstLine="480" w:firstLineChars="200"/>
        <w:rPr>
          <w:sz w:val="24"/>
        </w:rPr>
      </w:pPr>
    </w:p>
    <w:p>
      <w:pPr>
        <w:pStyle w:val="129"/>
      </w:pPr>
      <w:bookmarkStart w:id="218" w:name="_Toc23838"/>
    </w:p>
    <w:p>
      <w:pPr>
        <w:pStyle w:val="129"/>
      </w:pPr>
    </w:p>
    <w:p>
      <w:pPr>
        <w:pStyle w:val="129"/>
      </w:pPr>
    </w:p>
    <w:p>
      <w:pPr>
        <w:pStyle w:val="129"/>
      </w:pPr>
      <w:r>
        <w:br w:type="page"/>
      </w:r>
    </w:p>
    <w:bookmarkEnd w:id="218"/>
    <w:p>
      <w:pPr>
        <w:pStyle w:val="127"/>
        <w:spacing w:line="360" w:lineRule="auto"/>
        <w:rPr>
          <w:rFonts w:ascii="宋体" w:hAnsi="宋体" w:cs="宋体"/>
          <w:b/>
          <w:sz w:val="24"/>
          <w:szCs w:val="24"/>
        </w:rPr>
      </w:pPr>
      <w:r>
        <w:rPr>
          <w:rFonts w:hint="eastAsia" w:ascii="宋体" w:hAnsi="宋体" w:cs="宋体"/>
          <w:b/>
          <w:sz w:val="24"/>
          <w:szCs w:val="24"/>
        </w:rPr>
        <w:t>一、</w:t>
      </w:r>
      <w:bookmarkStart w:id="219" w:name="_Toc120614284"/>
      <w:r>
        <w:rPr>
          <w:rFonts w:hint="eastAsia" w:ascii="宋体" w:hAnsi="宋体" w:cs="宋体"/>
          <w:b/>
          <w:sz w:val="24"/>
          <w:szCs w:val="24"/>
        </w:rPr>
        <w:t>投标声明及承诺函</w:t>
      </w:r>
    </w:p>
    <w:p>
      <w:pPr>
        <w:pStyle w:val="127"/>
        <w:spacing w:line="360" w:lineRule="auto"/>
        <w:jc w:val="left"/>
        <w:rPr>
          <w:rFonts w:ascii="宋体" w:hAnsi="宋体" w:cs="宋体"/>
          <w:sz w:val="24"/>
          <w:szCs w:val="24"/>
          <w:u w:val="single"/>
        </w:rPr>
      </w:pPr>
      <w:r>
        <w:rPr>
          <w:rFonts w:hint="eastAsia" w:ascii="宋体" w:hAnsi="宋体" w:cs="宋体"/>
          <w:sz w:val="24"/>
          <w:szCs w:val="24"/>
          <w:u w:val="single"/>
        </w:rPr>
        <w:t>（采购单位名称）：</w:t>
      </w:r>
    </w:p>
    <w:p>
      <w:pPr>
        <w:pStyle w:val="127"/>
        <w:spacing w:line="360" w:lineRule="auto"/>
        <w:ind w:firstLine="480"/>
        <w:jc w:val="left"/>
        <w:rPr>
          <w:rFonts w:ascii="宋体" w:hAnsi="宋体" w:cs="宋体"/>
          <w:sz w:val="24"/>
          <w:szCs w:val="24"/>
        </w:rPr>
      </w:pPr>
      <w:r>
        <w:rPr>
          <w:rFonts w:hint="eastAsia" w:ascii="宋体" w:hAnsi="宋体" w:cs="宋体"/>
          <w:sz w:val="24"/>
          <w:szCs w:val="24"/>
        </w:rPr>
        <w:t>根据已收到的项目编号为</w:t>
      </w:r>
      <w:r>
        <w:rPr>
          <w:rFonts w:hint="eastAsia" w:ascii="宋体" w:hAnsi="宋体" w:cs="宋体"/>
          <w:sz w:val="24"/>
          <w:szCs w:val="24"/>
          <w:u w:val="single"/>
        </w:rPr>
        <w:t xml:space="preserve">        </w:t>
      </w:r>
      <w:r>
        <w:rPr>
          <w:rFonts w:hint="eastAsia" w:ascii="宋体" w:hAnsi="宋体" w:cs="宋体"/>
          <w:sz w:val="24"/>
          <w:szCs w:val="24"/>
        </w:rPr>
        <w:t>的</w:t>
      </w:r>
      <w:r>
        <w:rPr>
          <w:rFonts w:hint="eastAsia" w:ascii="宋体" w:hAnsi="宋体" w:cs="宋体"/>
          <w:sz w:val="24"/>
          <w:szCs w:val="24"/>
          <w:u w:val="single"/>
        </w:rPr>
        <w:t xml:space="preserve">         </w:t>
      </w:r>
      <w:r>
        <w:rPr>
          <w:rFonts w:hint="eastAsia" w:ascii="宋体" w:hAnsi="宋体" w:cs="宋体"/>
          <w:sz w:val="24"/>
          <w:szCs w:val="24"/>
        </w:rPr>
        <w:t>项目的招标文件，我方在参加本项目招投标活动中，特做出如下承诺：</w:t>
      </w:r>
    </w:p>
    <w:p>
      <w:pPr>
        <w:pStyle w:val="127"/>
        <w:spacing w:line="360" w:lineRule="auto"/>
        <w:ind w:firstLine="480"/>
        <w:jc w:val="left"/>
        <w:rPr>
          <w:rFonts w:ascii="宋体" w:hAnsi="宋体" w:cs="宋体"/>
          <w:sz w:val="24"/>
          <w:szCs w:val="24"/>
        </w:rPr>
      </w:pPr>
      <w:r>
        <w:rPr>
          <w:rFonts w:hint="eastAsia" w:ascii="宋体" w:hAnsi="宋体" w:cs="宋体"/>
          <w:sz w:val="24"/>
          <w:szCs w:val="24"/>
        </w:rPr>
        <w:t>一、我方</w:t>
      </w:r>
      <w:r>
        <w:rPr>
          <w:rFonts w:hint="eastAsia" w:ascii="宋体" w:hAnsi="宋体" w:cs="宋体"/>
          <w:sz w:val="24"/>
          <w:szCs w:val="24"/>
          <w:highlight w:val="white"/>
        </w:rPr>
        <w:t>具备《中华人民共和国政府采购法》第二十二条第一款规定的6项条件；</w:t>
      </w:r>
    </w:p>
    <w:p>
      <w:pPr>
        <w:pStyle w:val="127"/>
        <w:spacing w:line="360" w:lineRule="auto"/>
        <w:ind w:firstLine="480"/>
        <w:jc w:val="left"/>
        <w:rPr>
          <w:rFonts w:ascii="宋体" w:hAnsi="宋体" w:cs="宋体"/>
          <w:sz w:val="24"/>
          <w:szCs w:val="24"/>
        </w:rPr>
      </w:pPr>
      <w:r>
        <w:rPr>
          <w:rFonts w:hint="eastAsia" w:ascii="宋体" w:hAnsi="宋体" w:cs="宋体"/>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pPr>
        <w:pStyle w:val="127"/>
        <w:spacing w:line="360" w:lineRule="auto"/>
        <w:ind w:firstLine="480"/>
        <w:jc w:val="left"/>
        <w:rPr>
          <w:rFonts w:ascii="宋体" w:hAnsi="宋体" w:cs="宋体"/>
          <w:sz w:val="24"/>
          <w:szCs w:val="24"/>
        </w:rPr>
      </w:pPr>
      <w:r>
        <w:rPr>
          <w:rFonts w:hint="eastAsia" w:ascii="宋体" w:hAnsi="宋体" w:cs="宋体"/>
          <w:sz w:val="24"/>
          <w:szCs w:val="24"/>
        </w:rPr>
        <w:t>三、我方按招标文件要求提交投标文件，响应招标文件规定的投标有效期；</w:t>
      </w:r>
    </w:p>
    <w:p>
      <w:pPr>
        <w:pStyle w:val="127"/>
        <w:spacing w:line="360" w:lineRule="auto"/>
        <w:ind w:firstLine="480"/>
        <w:jc w:val="left"/>
        <w:rPr>
          <w:rFonts w:ascii="宋体" w:hAnsi="宋体" w:cs="宋体"/>
          <w:sz w:val="24"/>
          <w:szCs w:val="24"/>
        </w:rPr>
      </w:pPr>
      <w:r>
        <w:rPr>
          <w:rFonts w:hint="eastAsia" w:ascii="宋体" w:hAnsi="宋体" w:cs="宋体"/>
          <w:sz w:val="24"/>
          <w:szCs w:val="24"/>
        </w:rPr>
        <w:t>四、如果我方的投标文件被接受，我方将按《中华人民共和国民法典（第三编合同）》及其他有关法律、法规的规定，按期、按质、按量交付采购单位，全面做到履约守信；</w:t>
      </w:r>
    </w:p>
    <w:p>
      <w:pPr>
        <w:pStyle w:val="127"/>
        <w:spacing w:line="360" w:lineRule="auto"/>
        <w:ind w:firstLine="480"/>
        <w:jc w:val="left"/>
        <w:rPr>
          <w:rFonts w:ascii="宋体" w:hAnsi="宋体" w:cs="宋体"/>
          <w:sz w:val="24"/>
          <w:szCs w:val="24"/>
        </w:rPr>
      </w:pPr>
      <w:r>
        <w:rPr>
          <w:rFonts w:hint="eastAsia" w:ascii="宋体" w:hAnsi="宋体" w:cs="宋体"/>
          <w:sz w:val="24"/>
          <w:szCs w:val="24"/>
        </w:rPr>
        <w:t>五、我方若违背本声明及承诺约定，经查实，自愿接受采购人及相关主管部门相应的规定处理，并依法承担相应的法律责任。</w:t>
      </w:r>
    </w:p>
    <w:p>
      <w:pPr>
        <w:pStyle w:val="127"/>
        <w:spacing w:line="360" w:lineRule="auto"/>
        <w:ind w:firstLine="480"/>
        <w:jc w:val="left"/>
        <w:rPr>
          <w:rFonts w:ascii="宋体" w:hAnsi="宋体" w:cs="宋体"/>
          <w:sz w:val="24"/>
          <w:szCs w:val="24"/>
        </w:rPr>
      </w:pPr>
      <w:r>
        <w:rPr>
          <w:rFonts w:hint="eastAsia" w:ascii="宋体" w:hAnsi="宋体" w:cs="宋体"/>
          <w:sz w:val="24"/>
          <w:szCs w:val="24"/>
        </w:rPr>
        <w:t>六、我方同意采购人、采购代理机构将本声明及承诺函上网公开。</w:t>
      </w:r>
    </w:p>
    <w:p>
      <w:pPr>
        <w:pStyle w:val="127"/>
        <w:spacing w:line="360" w:lineRule="auto"/>
        <w:ind w:firstLine="480"/>
        <w:jc w:val="left"/>
        <w:rPr>
          <w:rFonts w:ascii="宋体" w:hAnsi="宋体" w:cs="宋体"/>
          <w:sz w:val="24"/>
          <w:szCs w:val="24"/>
        </w:rPr>
      </w:pPr>
    </w:p>
    <w:p>
      <w:pPr>
        <w:pStyle w:val="127"/>
        <w:spacing w:line="360" w:lineRule="auto"/>
        <w:jc w:val="left"/>
        <w:rPr>
          <w:rFonts w:ascii="宋体" w:hAnsi="宋体" w:cs="宋体"/>
          <w:sz w:val="24"/>
          <w:szCs w:val="24"/>
        </w:rPr>
      </w:pPr>
    </w:p>
    <w:p>
      <w:pPr>
        <w:pStyle w:val="127"/>
        <w:spacing w:line="360" w:lineRule="auto"/>
        <w:ind w:firstLine="480"/>
        <w:jc w:val="left"/>
        <w:rPr>
          <w:rFonts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（加盖CA电子公章）</w:t>
      </w:r>
    </w:p>
    <w:p>
      <w:pPr>
        <w:pStyle w:val="127"/>
        <w:spacing w:line="360" w:lineRule="auto"/>
        <w:ind w:firstLine="480"/>
        <w:rPr>
          <w:rFonts w:ascii="宋体" w:hAnsi="宋体" w:cs="宋体"/>
          <w:sz w:val="24"/>
          <w:szCs w:val="24"/>
        </w:rPr>
      </w:pPr>
      <w:r>
        <w:rPr>
          <w:rFonts w:hint="eastAsia" w:ascii="宋体" w:hAnsi="宋体" w:cs="宋体"/>
          <w:sz w:val="24"/>
          <w:szCs w:val="24"/>
        </w:rPr>
        <w:t>日期：    年    月   日</w:t>
      </w:r>
    </w:p>
    <w:p>
      <w:pPr>
        <w:pStyle w:val="129"/>
      </w:pPr>
      <w:r>
        <w:rPr/>
        <w:br w:type="page" w:clear="all"/>
      </w:r>
      <w:r>
        <w:rPr>
          <w:rFonts w:hint="eastAsia" w:eastAsia="宋体"/>
          <w:b/>
          <w:sz w:val="32"/>
          <w:szCs w:val="32"/>
        </w:rPr>
        <w:t>二、投标人基本情况</w:t>
      </w:r>
    </w:p>
    <w:p>
      <w:pPr>
        <w:pStyle w:val="130"/>
        <w:jc w:val="center"/>
        <w:rPr>
          <w:rFonts w:ascii="Times New Roman" w:hAnsi="Times New Roman"/>
          <w:sz w:val="44"/>
          <w:szCs w:val="44"/>
        </w:rPr>
      </w:pPr>
      <w:r>
        <w:rPr>
          <w:rFonts w:hint="eastAsia" w:ascii="Times New Roman" w:hAnsi="Times New Roman"/>
          <w:sz w:val="44"/>
          <w:szCs w:val="44"/>
        </w:rPr>
        <w:t>投标人基本情况表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vAlign w:val="center"/>
          </w:tcPr>
          <w:p>
            <w:pPr>
              <w:pStyle w:val="130"/>
              <w:spacing w:line="600" w:lineRule="exact"/>
              <w:jc w:val="center"/>
              <w:rPr>
                <w:rFonts w:ascii="Times New Roman" w:hAnsi="Times New Roman" w:eastAsia="仿宋_GB2312"/>
                <w:sz w:val="24"/>
                <w:szCs w:val="24"/>
              </w:rPr>
            </w:pPr>
          </w:p>
        </w:tc>
        <w:tc>
          <w:tcPr>
            <w:tcW w:w="1276" w:type="dxa"/>
            <w:vAlign w:val="center"/>
          </w:tcPr>
          <w:p>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vAlign w:val="center"/>
          </w:tcPr>
          <w:p>
            <w:pPr>
              <w:pStyle w:val="130"/>
              <w:spacing w:line="600" w:lineRule="exact"/>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vAlign w:val="center"/>
          </w:tcPr>
          <w:p>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tcPr>
          <w:p>
            <w:pPr>
              <w:pStyle w:val="130"/>
              <w:spacing w:line="560" w:lineRule="exact"/>
              <w:ind w:firstLine="1432"/>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vAlign w:val="center"/>
          </w:tcPr>
          <w:p>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vAlign w:val="center"/>
          </w:tcPr>
          <w:p>
            <w:pPr>
              <w:pStyle w:val="130"/>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pPr>
        <w:spacing w:line="440" w:lineRule="exact"/>
        <w:ind w:firstLine="480" w:firstLineChars="200"/>
        <w:rPr>
          <w:sz w:val="24"/>
        </w:rPr>
      </w:pPr>
    </w:p>
    <w:p>
      <w:pPr>
        <w:spacing w:line="440" w:lineRule="exact"/>
        <w:ind w:firstLine="480" w:firstLineChars="200"/>
        <w:rPr>
          <w:sz w:val="24"/>
        </w:rPr>
      </w:pPr>
    </w:p>
    <w:p>
      <w:pPr>
        <w:spacing w:line="440" w:lineRule="exact"/>
        <w:ind w:firstLine="480" w:firstLineChars="200"/>
        <w:rPr>
          <w:sz w:val="24"/>
        </w:rPr>
      </w:pPr>
    </w:p>
    <w:p>
      <w:pPr>
        <w:pStyle w:val="127"/>
        <w:rPr>
          <w:rFonts w:ascii="Times New Roman" w:hAnsi="Times New Roman" w:eastAsia="黑体"/>
          <w:i/>
          <w:sz w:val="32"/>
          <w:szCs w:val="32"/>
          <w:u w:val="single"/>
        </w:rPr>
      </w:pPr>
    </w:p>
    <w:p>
      <w:pPr>
        <w:rPr>
          <w:rFonts w:eastAsia="黑体"/>
          <w:i/>
          <w:sz w:val="32"/>
          <w:szCs w:val="32"/>
          <w:u w:val="single"/>
        </w:rPr>
      </w:pPr>
      <w:r>
        <w:rPr/>
        <w:br w:type="page" w:clear="all"/>
      </w:r>
      <w:r>
        <w:rPr>
          <w:rFonts w:hint="eastAsia"/>
          <w:b/>
          <w:kern w:val="0"/>
          <w:sz w:val="32"/>
          <w:szCs w:val="32"/>
        </w:rPr>
        <w:t>三、特定资格要求的证明文件</w:t>
      </w:r>
    </w:p>
    <w:p>
      <w:pPr>
        <w:spacing w:line="460" w:lineRule="exact"/>
        <w:rPr>
          <w:bCs/>
          <w:sz w:val="24"/>
        </w:rPr>
      </w:pPr>
      <w:r>
        <w:rPr>
          <w:rFonts w:hint="eastAsia"/>
          <w:sz w:val="24"/>
        </w:rPr>
        <w:t xml:space="preserve">    如果本项目申请人的特定资格要求中要求提供的，必须提供。</w:t>
      </w:r>
    </w:p>
    <w:p>
      <w:pPr>
        <w:spacing w:line="460" w:lineRule="exact"/>
        <w:rPr>
          <w:bCs/>
          <w:sz w:val="24"/>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pStyle w:val="87"/>
        <w:rPr>
          <w:rFonts w:ascii="Times New Roman" w:hAnsi="Times New Roman" w:eastAsia="黑体"/>
          <w:i/>
          <w:u w:val="single"/>
          <w:lang w:val="en-US"/>
        </w:rPr>
      </w:pPr>
    </w:p>
    <w:p>
      <w:pPr>
        <w:pStyle w:val="87"/>
        <w:rPr>
          <w:rFonts w:ascii="Times New Roman" w:hAnsi="Times New Roman" w:eastAsia="黑体"/>
          <w:i/>
          <w:u w:val="single"/>
          <w:lang w:val="en-US"/>
        </w:rPr>
      </w:pPr>
    </w:p>
    <w:p>
      <w:pPr>
        <w:jc w:val="center"/>
        <w:rPr>
          <w:rFonts w:eastAsia="黑体"/>
          <w:i/>
          <w:sz w:val="32"/>
          <w:szCs w:val="32"/>
          <w:u w:val="single"/>
        </w:rPr>
      </w:pPr>
    </w:p>
    <w:p>
      <w:pPr>
        <w:jc w:val="center"/>
        <w:rPr>
          <w:rFonts w:eastAsia="黑体"/>
          <w:i/>
          <w:sz w:val="32"/>
          <w:szCs w:val="32"/>
          <w:u w:val="single"/>
        </w:rPr>
      </w:pPr>
    </w:p>
    <w:p>
      <w:pPr>
        <w:jc w:val="center"/>
        <w:rPr>
          <w:rFonts w:eastAsia="黑体"/>
          <w:i/>
          <w:sz w:val="32"/>
          <w:szCs w:val="32"/>
          <w:u w:val="single"/>
        </w:rPr>
      </w:pPr>
    </w:p>
    <w:p>
      <w:pPr>
        <w:rPr>
          <w:b/>
          <w:kern w:val="0"/>
          <w:sz w:val="32"/>
          <w:szCs w:val="32"/>
        </w:rPr>
      </w:pPr>
      <w:r>
        <w:rPr>
          <w:rFonts w:hint="eastAsia"/>
          <w:b/>
          <w:kern w:val="0"/>
          <w:sz w:val="32"/>
          <w:szCs w:val="32"/>
        </w:rPr>
        <w:t>四、法人授权书</w:t>
      </w:r>
    </w:p>
    <w:p>
      <w:pPr>
        <w:pStyle w:val="98"/>
        <w:ind w:firstLine="480"/>
        <w:rPr>
          <w:sz w:val="24"/>
          <w:szCs w:val="24"/>
        </w:rPr>
      </w:pPr>
      <w:r>
        <w:rPr>
          <w:rFonts w:hint="eastAsia"/>
          <w:sz w:val="24"/>
          <w:szCs w:val="24"/>
        </w:rPr>
        <w:t>本授权书声明：____________（投标人名称）授权________________（被授权人的姓名）为我方就</w:t>
      </w:r>
      <w:r>
        <w:rPr>
          <w:rFonts w:hint="eastAsia" w:ascii="Times New Roman" w:hAnsi="Times New Roman" w:cs="Times New Roman"/>
          <w:sz w:val="24"/>
          <w:szCs w:val="24"/>
          <w:u w:val="single"/>
        </w:rPr>
        <w:t xml:space="preserve">JSZC-321324-ZTZY-G2024-0013 </w:t>
      </w:r>
      <w:r>
        <w:rPr>
          <w:rFonts w:hint="eastAsia"/>
          <w:sz w:val="24"/>
          <w:szCs w:val="24"/>
        </w:rPr>
        <w:t>号项目采购活动的合法代理人，以本单位名义全权处理一切与该项目采购有关的事务。</w:t>
      </w:r>
    </w:p>
    <w:p>
      <w:pPr>
        <w:pStyle w:val="98"/>
        <w:ind w:firstLine="480"/>
        <w:rPr>
          <w:sz w:val="24"/>
          <w:szCs w:val="24"/>
        </w:rPr>
      </w:pPr>
      <w:r>
        <w:rPr>
          <w:rFonts w:hint="eastAsia"/>
          <w:sz w:val="24"/>
          <w:szCs w:val="24"/>
        </w:rPr>
        <w:t>本授权书于______年____月____日起生效，特此声明。</w:t>
      </w:r>
    </w:p>
    <w:p>
      <w:pPr>
        <w:pStyle w:val="98"/>
        <w:ind w:firstLine="0" w:firstLineChars="0"/>
        <w:rPr>
          <w:sz w:val="24"/>
          <w:szCs w:val="24"/>
          <w:u w:val="single"/>
        </w:rPr>
      </w:pPr>
      <w:r>
        <w:rPr>
          <w:rFonts w:hint="eastAsia"/>
          <w:sz w:val="24"/>
          <w:szCs w:val="24"/>
        </w:rPr>
        <w:t xml:space="preserve">          被授权人身份证号码：</w:t>
      </w:r>
      <w:r>
        <w:rPr>
          <w:rFonts w:hint="eastAsia"/>
          <w:sz w:val="24"/>
          <w:szCs w:val="24"/>
          <w:u w:val="single"/>
        </w:rPr>
        <w:t xml:space="preserve">                              </w:t>
      </w:r>
    </w:p>
    <w:p>
      <w:pPr>
        <w:pStyle w:val="98"/>
        <w:ind w:firstLine="0" w:firstLineChars="0"/>
        <w:rPr>
          <w:sz w:val="24"/>
          <w:szCs w:val="24"/>
          <w:u w:val="single"/>
        </w:rPr>
      </w:pPr>
      <w:r>
        <w:rPr>
          <w:rFonts w:hint="eastAsia"/>
          <w:sz w:val="24"/>
          <w:szCs w:val="24"/>
        </w:rPr>
        <w:t xml:space="preserve">          被授权人联系电话：（手机）</w:t>
      </w:r>
      <w:r>
        <w:rPr>
          <w:rFonts w:hint="eastAsia"/>
          <w:sz w:val="24"/>
          <w:szCs w:val="24"/>
          <w:u w:val="single"/>
        </w:rPr>
        <w:t xml:space="preserve">                          </w:t>
      </w:r>
    </w:p>
    <w:p>
      <w:pPr>
        <w:pStyle w:val="98"/>
        <w:ind w:firstLine="1200" w:firstLineChars="500"/>
        <w:rPr>
          <w:sz w:val="24"/>
          <w:szCs w:val="24"/>
        </w:rPr>
      </w:pPr>
      <w:r>
        <w:rPr>
          <w:rFonts w:hint="eastAsia"/>
          <w:sz w:val="24"/>
          <w:szCs w:val="24"/>
        </w:rPr>
        <w:t>授权单位名称：</w:t>
      </w:r>
      <w:r>
        <w:rPr>
          <w:rFonts w:hint="eastAsia"/>
          <w:sz w:val="24"/>
          <w:szCs w:val="24"/>
          <w:u w:val="single"/>
        </w:rPr>
        <w:t>（加盖CA电子公章）</w:t>
      </w:r>
    </w:p>
    <w:p>
      <w:pPr>
        <w:pStyle w:val="98"/>
        <w:ind w:firstLine="480"/>
        <w:rPr>
          <w:sz w:val="24"/>
          <w:szCs w:val="24"/>
          <w:u w:val="single"/>
        </w:rPr>
      </w:pPr>
      <w:r>
        <w:rPr>
          <w:rFonts w:hint="eastAsia"/>
          <w:sz w:val="24"/>
          <w:szCs w:val="24"/>
        </w:rPr>
        <w:t xml:space="preserve">      单位地址：</w:t>
      </w:r>
      <w:r>
        <w:rPr>
          <w:rFonts w:hint="eastAsia"/>
          <w:sz w:val="24"/>
          <w:szCs w:val="24"/>
          <w:u w:val="single"/>
        </w:rPr>
        <w:t xml:space="preserve">                                         </w:t>
      </w:r>
    </w:p>
    <w:p>
      <w:pPr>
        <w:pStyle w:val="98"/>
        <w:ind w:firstLine="480"/>
        <w:rPr>
          <w:sz w:val="24"/>
          <w:szCs w:val="24"/>
        </w:rPr>
      </w:pPr>
      <w:r>
        <w:rPr>
          <w:rFonts w:hint="eastAsia"/>
          <w:sz w:val="24"/>
          <w:szCs w:val="24"/>
        </w:rPr>
        <w:t xml:space="preserve">      日期：</w:t>
      </w:r>
      <w:bookmarkStart w:id="220" w:name="_格式3__银行出具的资信证明"/>
      <w:bookmarkEnd w:id="220"/>
      <w:bookmarkStart w:id="221" w:name="_Hlt26955070"/>
      <w:bookmarkEnd w:id="221"/>
      <w:bookmarkStart w:id="222" w:name="_Hlt26671380"/>
      <w:bookmarkEnd w:id="222"/>
      <w:r>
        <w:rPr>
          <w:rFonts w:hint="eastAsia"/>
          <w:sz w:val="24"/>
          <w:szCs w:val="24"/>
          <w:u w:val="single"/>
        </w:rPr>
        <w:t xml:space="preserve">                                         </w:t>
      </w:r>
    </w:p>
    <w:p>
      <w:pPr>
        <w:pStyle w:val="6"/>
        <w:rPr>
          <w:i/>
          <w:sz w:val="24"/>
          <w:szCs w:val="24"/>
          <w:u w:val="single"/>
        </w:rPr>
      </w:pPr>
    </w:p>
    <w:p>
      <w:pPr>
        <w:pStyle w:val="6"/>
        <w:ind w:firstLine="0"/>
      </w:pPr>
    </w:p>
    <w:p>
      <w:pPr>
        <w:spacing w:line="460" w:lineRule="exact"/>
        <w:rPr>
          <w:rFonts w:eastAsia="楷体"/>
          <w:bCs/>
          <w:sz w:val="24"/>
          <w:szCs w:val="24"/>
        </w:rPr>
      </w:pPr>
    </w:p>
    <w:p>
      <w:pPr>
        <w:spacing w:line="460" w:lineRule="exact"/>
        <w:rPr>
          <w:bCs/>
          <w:sz w:val="24"/>
        </w:rPr>
      </w:pPr>
    </w:p>
    <w:p>
      <w:pPr>
        <w:rPr>
          <w:rFonts w:eastAsia="仿宋_GB2312"/>
          <w:color w:val="000000"/>
          <w:sz w:val="24"/>
          <w:szCs w:val="20"/>
        </w:rPr>
      </w:pPr>
      <w:r>
        <w:rPr>
          <w:bCs/>
          <w:sz w:val="24"/>
        </w:rPr>
        <w:br w:type="page"/>
      </w:r>
      <w:r>
        <w:rPr>
          <w:rFonts w:hint="eastAsia"/>
          <w:b/>
          <w:color w:val="000000"/>
          <w:sz w:val="32"/>
          <w:szCs w:val="32"/>
        </w:rPr>
        <w:t>五、开标一览表</w:t>
      </w:r>
    </w:p>
    <w:p>
      <w:pPr>
        <w:ind w:firstLine="480"/>
        <w:rPr>
          <w:color w:val="000000"/>
          <w:sz w:val="24"/>
          <w:szCs w:val="24"/>
        </w:rPr>
      </w:pPr>
      <w:r>
        <w:rPr>
          <w:rFonts w:hint="eastAsia"/>
          <w:color w:val="000000"/>
          <w:sz w:val="24"/>
          <w:szCs w:val="24"/>
        </w:rPr>
        <w:t>投标人全称（加盖</w:t>
      </w:r>
      <w:r>
        <w:rPr>
          <w:color w:val="000000"/>
          <w:sz w:val="24"/>
          <w:szCs w:val="24"/>
        </w:rPr>
        <w:t>CA</w:t>
      </w:r>
      <w:r>
        <w:rPr>
          <w:rFonts w:hint="eastAsia"/>
          <w:color w:val="000000"/>
          <w:sz w:val="24"/>
          <w:szCs w:val="24"/>
        </w:rPr>
        <w:t>电子签章）：</w:t>
      </w:r>
      <w:r>
        <w:rPr>
          <w:color w:val="000000"/>
          <w:sz w:val="24"/>
          <w:szCs w:val="24"/>
          <w:u w:val="single"/>
        </w:rPr>
        <w:t xml:space="preserve">                         </w:t>
      </w:r>
    </w:p>
    <w:p>
      <w:pPr>
        <w:spacing w:line="360" w:lineRule="exact"/>
        <w:ind w:firstLine="480" w:firstLineChars="200"/>
        <w:rPr>
          <w:color w:val="000000"/>
          <w:sz w:val="24"/>
          <w:szCs w:val="24"/>
          <w:u w:val="single"/>
        </w:rPr>
      </w:pPr>
      <w:r>
        <w:rPr>
          <w:rFonts w:hint="eastAsia"/>
          <w:color w:val="000000"/>
          <w:sz w:val="24"/>
          <w:szCs w:val="24"/>
        </w:rPr>
        <w:t>项目名称：</w:t>
      </w:r>
      <w:r>
        <w:rPr>
          <w:rFonts w:hint="eastAsia"/>
          <w:color w:val="000000"/>
          <w:sz w:val="24"/>
          <w:szCs w:val="24"/>
          <w:u w:val="single"/>
        </w:rPr>
        <w:t>2023年泗洪县农药包装废弃物回收处理项目</w:t>
      </w:r>
    </w:p>
    <w:p>
      <w:pPr>
        <w:ind w:firstLine="480"/>
        <w:rPr>
          <w:color w:val="000000"/>
          <w:sz w:val="24"/>
          <w:szCs w:val="24"/>
        </w:rPr>
      </w:pPr>
      <w:r>
        <w:rPr>
          <w:rFonts w:hint="eastAsia"/>
          <w:color w:val="000000"/>
          <w:sz w:val="24"/>
          <w:szCs w:val="24"/>
        </w:rPr>
        <w:t>招标编号：</w:t>
      </w:r>
      <w:r>
        <w:rPr>
          <w:rFonts w:hint="eastAsia" w:ascii="宋体" w:hAnsi="宋体" w:cs="宋体"/>
          <w:color w:val="000000"/>
          <w:sz w:val="24"/>
          <w:szCs w:val="24"/>
          <w:u w:val="single"/>
          <w:shd w:val="clear" w:color="auto" w:fill="FFFFFF"/>
        </w:rPr>
        <w:t xml:space="preserve">JSZC-321324-ZTZY-G2024-0013           </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tcBorders>
              <w:top w:val="single" w:color="000000" w:sz="4" w:space="0"/>
              <w:left w:val="single" w:color="000000" w:sz="4" w:space="0"/>
              <w:bottom w:val="single" w:color="000000" w:sz="4" w:space="0"/>
              <w:right w:val="single" w:color="000000" w:sz="4" w:space="0"/>
            </w:tcBorders>
            <w:vAlign w:val="center"/>
          </w:tcPr>
          <w:p>
            <w:pPr>
              <w:rPr>
                <w:color w:val="000000"/>
                <w:sz w:val="24"/>
                <w:szCs w:val="24"/>
              </w:rPr>
            </w:pPr>
            <w:r>
              <w:rPr>
                <w:rFonts w:cs="宋体"/>
                <w:color w:val="000000"/>
                <w:sz w:val="24"/>
                <w:szCs w:val="24"/>
              </w:rPr>
              <w:t xml:space="preserve">                      </w:t>
            </w:r>
            <w:r>
              <w:rPr>
                <w:rFonts w:hint="eastAsia"/>
                <w:color w:val="000000"/>
                <w:sz w:val="24"/>
                <w:szCs w:val="24"/>
              </w:rPr>
              <w:t>投标总报价（单价）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tcBorders>
              <w:top w:val="single" w:color="000000" w:sz="4" w:space="0"/>
              <w:left w:val="single" w:color="000000" w:sz="4" w:space="0"/>
              <w:bottom w:val="single" w:color="000000" w:sz="4" w:space="0"/>
              <w:right w:val="single" w:color="000000" w:sz="4" w:space="0"/>
            </w:tcBorders>
            <w:vAlign w:val="center"/>
          </w:tcPr>
          <w:p>
            <w:pPr>
              <w:pStyle w:val="100"/>
              <w:spacing w:before="0" w:after="0" w:line="500" w:lineRule="exact"/>
              <w:ind w:firstLine="0"/>
              <w:rPr>
                <w:rFonts w:ascii="Times New Roman" w:hAnsi="Times New Roman"/>
                <w:color w:val="000000"/>
                <w:szCs w:val="21"/>
              </w:rPr>
            </w:pPr>
            <w:r>
              <w:rPr>
                <w:rFonts w:hint="eastAsia" w:ascii="Times New Roman" w:hAnsi="Times New Roman" w:cs="宋体"/>
                <w:color w:val="000000"/>
              </w:rPr>
              <w:t>小写：</w:t>
            </w:r>
            <w:r>
              <w:rPr>
                <w:rFonts w:ascii="Times New Roman" w:hAnsi="Times New Roman" w:cs="宋体"/>
                <w:color w:val="000000"/>
              </w:rPr>
              <w:t xml:space="preserve">                             </w:t>
            </w:r>
            <w:r>
              <w:rPr>
                <w:rFonts w:hint="eastAsia" w:ascii="Times New Roman" w:hAnsi="Times New Roman" w:cs="宋体"/>
                <w:color w:val="000000"/>
              </w:rPr>
              <w:t>（人民币：元/吨）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tcBorders>
              <w:top w:val="single" w:color="000000" w:sz="4" w:space="0"/>
              <w:left w:val="single" w:color="000000" w:sz="4" w:space="0"/>
              <w:bottom w:val="single" w:color="000000" w:sz="4" w:space="0"/>
              <w:right w:val="single" w:color="000000" w:sz="4" w:space="0"/>
            </w:tcBorders>
            <w:vAlign w:val="center"/>
          </w:tcPr>
          <w:p>
            <w:pPr>
              <w:pStyle w:val="100"/>
              <w:spacing w:before="0" w:after="0" w:line="500" w:lineRule="exact"/>
              <w:ind w:firstLine="0"/>
              <w:rPr>
                <w:rFonts w:hint="default" w:ascii="Times New Roman" w:hAnsi="Times New Roman" w:eastAsia="宋体" w:cs="宋体"/>
                <w:color w:val="000000"/>
                <w:lang w:val="en-US" w:eastAsia="zh-CN"/>
              </w:rPr>
            </w:pPr>
            <w:r>
              <w:rPr>
                <w:rFonts w:hint="eastAsia" w:ascii="宋体" w:hAnsi="宋体" w:cs="宋体"/>
                <w:color w:val="000000"/>
              </w:rPr>
              <w:t>备注：</w:t>
            </w:r>
            <w:r>
              <w:rPr>
                <w:rFonts w:hint="eastAsia" w:ascii="宋体" w:hAnsi="宋体" w:cs="宋体"/>
                <w:color w:val="000000"/>
                <w:lang w:val="en-US" w:eastAsia="zh-CN"/>
              </w:rPr>
              <w:t>请各供应商按单价报价，投标总报价指的是单价报价。</w:t>
            </w:r>
          </w:p>
        </w:tc>
      </w:tr>
    </w:tbl>
    <w:p>
      <w:pPr>
        <w:rPr>
          <w:color w:val="000000"/>
          <w:sz w:val="24"/>
          <w:szCs w:val="24"/>
        </w:rPr>
      </w:pPr>
    </w:p>
    <w:p>
      <w:pPr>
        <w:rPr>
          <w:sz w:val="24"/>
          <w:szCs w:val="24"/>
        </w:rPr>
      </w:pPr>
      <w:r>
        <w:rPr>
          <w:color w:val="000000"/>
          <w:sz w:val="24"/>
          <w:szCs w:val="24"/>
        </w:rPr>
        <w:t xml:space="preserve">                                              </w:t>
      </w:r>
      <w:r>
        <w:rPr>
          <w:rFonts w:hint="eastAsia"/>
          <w:color w:val="000000"/>
          <w:sz w:val="24"/>
          <w:szCs w:val="24"/>
        </w:rPr>
        <w:t>日期：</w:t>
      </w:r>
      <w:r>
        <w:rPr>
          <w:color w:val="000000"/>
          <w:sz w:val="24"/>
          <w:szCs w:val="24"/>
        </w:rPr>
        <w:t xml:space="preserve">  </w:t>
      </w:r>
      <w:r>
        <w:rPr>
          <w:color w:val="000000"/>
          <w:sz w:val="24"/>
          <w:szCs w:val="24"/>
          <w:u w:val="single"/>
        </w:rPr>
        <w:t xml:space="preserve">     </w:t>
      </w:r>
      <w:r>
        <w:rPr>
          <w:rFonts w:hint="eastAsia"/>
          <w:color w:val="000000"/>
          <w:sz w:val="24"/>
          <w:szCs w:val="24"/>
        </w:rPr>
        <w:t>年</w:t>
      </w:r>
      <w:r>
        <w:rPr>
          <w:color w:val="000000"/>
          <w:sz w:val="24"/>
          <w:szCs w:val="24"/>
          <w:u w:val="single"/>
        </w:rPr>
        <w:t xml:space="preserve">   </w:t>
      </w:r>
      <w:r>
        <w:rPr>
          <w:rFonts w:hint="eastAsia"/>
          <w:color w:val="000000"/>
          <w:sz w:val="24"/>
          <w:szCs w:val="24"/>
        </w:rPr>
        <w:t>月</w:t>
      </w:r>
      <w:r>
        <w:rPr>
          <w:color w:val="000000"/>
          <w:sz w:val="24"/>
          <w:szCs w:val="24"/>
          <w:u w:val="single"/>
        </w:rPr>
        <w:t xml:space="preserve">  </w:t>
      </w:r>
    </w:p>
    <w:p>
      <w:pPr>
        <w:ind w:firstLine="480"/>
        <w:rPr>
          <w:sz w:val="24"/>
          <w:szCs w:val="24"/>
        </w:rPr>
      </w:pPr>
    </w:p>
    <w:p>
      <w:pPr>
        <w:ind w:firstLine="480"/>
        <w:rPr>
          <w:sz w:val="24"/>
          <w:szCs w:val="24"/>
        </w:rPr>
      </w:pPr>
    </w:p>
    <w:p>
      <w:pPr>
        <w:jc w:val="center"/>
        <w:rPr>
          <w:bCs/>
          <w:sz w:val="24"/>
        </w:rPr>
      </w:pPr>
      <w:r>
        <w:rPr>
          <w:rFonts w:hint="eastAsia"/>
        </w:rPr>
        <w:br w:type="page"/>
      </w:r>
    </w:p>
    <w:p>
      <w:pPr>
        <w:ind w:firstLine="480"/>
        <w:rPr>
          <w:b/>
          <w:kern w:val="0"/>
          <w:sz w:val="32"/>
          <w:szCs w:val="32"/>
        </w:rPr>
      </w:pPr>
      <w:r>
        <w:rPr>
          <w:rFonts w:hint="eastAsia"/>
          <w:b/>
          <w:kern w:val="0"/>
          <w:sz w:val="32"/>
          <w:szCs w:val="32"/>
        </w:rPr>
        <w:t>六、投标报价明细表</w:t>
      </w:r>
    </w:p>
    <w:tbl>
      <w:tblPr>
        <w:tblStyle w:val="4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562"/>
        <w:gridCol w:w="924"/>
        <w:gridCol w:w="1203"/>
        <w:gridCol w:w="1618"/>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vAlign w:val="center"/>
          </w:tcPr>
          <w:p>
            <w:pPr>
              <w:spacing w:line="0" w:lineRule="atLeast"/>
              <w:jc w:val="center"/>
              <w:rPr>
                <w:rFonts w:ascii="宋体" w:hAnsi="宋体"/>
                <w:sz w:val="24"/>
                <w:szCs w:val="24"/>
              </w:rPr>
            </w:pPr>
            <w:r>
              <w:rPr>
                <w:rFonts w:hint="eastAsia" w:ascii="宋体" w:hAnsi="宋体"/>
                <w:sz w:val="24"/>
                <w:szCs w:val="24"/>
              </w:rPr>
              <w:t>序号</w:t>
            </w:r>
          </w:p>
        </w:tc>
        <w:tc>
          <w:tcPr>
            <w:tcW w:w="2562" w:type="dxa"/>
            <w:vAlign w:val="center"/>
          </w:tcPr>
          <w:p>
            <w:pPr>
              <w:spacing w:line="0" w:lineRule="atLeast"/>
              <w:jc w:val="center"/>
              <w:rPr>
                <w:rFonts w:ascii="宋体" w:hAnsi="宋体"/>
                <w:sz w:val="24"/>
                <w:szCs w:val="24"/>
              </w:rPr>
            </w:pPr>
            <w:r>
              <w:rPr>
                <w:rFonts w:hint="eastAsia" w:ascii="宋体" w:hAnsi="宋体"/>
                <w:sz w:val="24"/>
                <w:szCs w:val="24"/>
              </w:rPr>
              <w:t>1</w:t>
            </w:r>
          </w:p>
        </w:tc>
        <w:tc>
          <w:tcPr>
            <w:tcW w:w="924" w:type="dxa"/>
            <w:vAlign w:val="center"/>
          </w:tcPr>
          <w:p>
            <w:pPr>
              <w:spacing w:line="0" w:lineRule="atLeast"/>
              <w:jc w:val="center"/>
              <w:rPr>
                <w:rFonts w:hint="eastAsia" w:ascii="宋体" w:hAnsi="宋体" w:eastAsia="宋体"/>
                <w:sz w:val="24"/>
                <w:szCs w:val="24"/>
                <w:lang w:eastAsia="zh-CN"/>
              </w:rPr>
            </w:pPr>
            <w:r>
              <w:rPr>
                <w:rFonts w:hint="eastAsia" w:ascii="宋体" w:hAnsi="宋体"/>
                <w:sz w:val="24"/>
                <w:szCs w:val="24"/>
                <w:lang w:val="en-US" w:eastAsia="zh-CN"/>
              </w:rPr>
              <w:t>2</w:t>
            </w:r>
          </w:p>
        </w:tc>
        <w:tc>
          <w:tcPr>
            <w:tcW w:w="1203" w:type="dxa"/>
            <w:vAlign w:val="center"/>
          </w:tcPr>
          <w:p>
            <w:pPr>
              <w:spacing w:line="0" w:lineRule="atLeast"/>
              <w:jc w:val="center"/>
              <w:rPr>
                <w:rFonts w:hint="eastAsia" w:ascii="宋体" w:hAnsi="宋体" w:eastAsia="宋体"/>
                <w:sz w:val="24"/>
                <w:szCs w:val="24"/>
                <w:lang w:eastAsia="zh-CN"/>
              </w:rPr>
            </w:pPr>
            <w:r>
              <w:rPr>
                <w:rFonts w:hint="eastAsia" w:ascii="宋体" w:hAnsi="宋体"/>
                <w:sz w:val="24"/>
                <w:szCs w:val="24"/>
                <w:lang w:val="en-US" w:eastAsia="zh-CN"/>
              </w:rPr>
              <w:t>3</w:t>
            </w:r>
          </w:p>
        </w:tc>
        <w:tc>
          <w:tcPr>
            <w:tcW w:w="1618" w:type="dxa"/>
            <w:vAlign w:val="center"/>
          </w:tcPr>
          <w:p>
            <w:pPr>
              <w:spacing w:line="0" w:lineRule="atLeast"/>
              <w:jc w:val="center"/>
              <w:rPr>
                <w:rFonts w:hint="eastAsia" w:ascii="宋体" w:hAnsi="宋体" w:eastAsia="宋体"/>
                <w:sz w:val="24"/>
                <w:szCs w:val="24"/>
                <w:lang w:eastAsia="zh-CN"/>
              </w:rPr>
            </w:pPr>
            <w:r>
              <w:rPr>
                <w:rFonts w:hint="eastAsia" w:ascii="宋体" w:hAnsi="宋体"/>
                <w:sz w:val="24"/>
                <w:szCs w:val="24"/>
                <w:lang w:val="en-US" w:eastAsia="zh-CN"/>
              </w:rPr>
              <w:t>4</w:t>
            </w:r>
          </w:p>
        </w:tc>
        <w:tc>
          <w:tcPr>
            <w:tcW w:w="1798" w:type="dxa"/>
            <w:vAlign w:val="center"/>
          </w:tcPr>
          <w:p>
            <w:pPr>
              <w:spacing w:line="0" w:lineRule="atLeast"/>
              <w:jc w:val="center"/>
              <w:rPr>
                <w:rFonts w:hint="eastAsia" w:ascii="宋体" w:hAnsi="宋体" w:eastAsia="宋体"/>
                <w:sz w:val="24"/>
                <w:szCs w:val="24"/>
                <w:lang w:eastAsia="zh-CN"/>
              </w:rPr>
            </w:pPr>
            <w:r>
              <w:rPr>
                <w:rFonts w:hint="eastAsia" w:ascii="宋体" w:hAnsi="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vAlign w:val="center"/>
          </w:tcPr>
          <w:p>
            <w:pPr>
              <w:spacing w:line="0" w:lineRule="atLeast"/>
              <w:jc w:val="center"/>
              <w:rPr>
                <w:rFonts w:ascii="宋体" w:hAnsi="宋体"/>
                <w:sz w:val="24"/>
                <w:szCs w:val="24"/>
              </w:rPr>
            </w:pPr>
          </w:p>
        </w:tc>
        <w:tc>
          <w:tcPr>
            <w:tcW w:w="2562" w:type="dxa"/>
            <w:vAlign w:val="center"/>
          </w:tcPr>
          <w:p>
            <w:pPr>
              <w:spacing w:line="0" w:lineRule="atLeast"/>
              <w:jc w:val="center"/>
              <w:rPr>
                <w:rFonts w:ascii="宋体" w:hAnsi="宋体"/>
                <w:sz w:val="24"/>
                <w:szCs w:val="24"/>
              </w:rPr>
            </w:pPr>
            <w:r>
              <w:rPr>
                <w:rFonts w:hint="eastAsia" w:ascii="宋体" w:hAnsi="宋体"/>
                <w:sz w:val="24"/>
                <w:szCs w:val="24"/>
              </w:rPr>
              <w:t>服务名称</w:t>
            </w:r>
          </w:p>
        </w:tc>
        <w:tc>
          <w:tcPr>
            <w:tcW w:w="924" w:type="dxa"/>
            <w:vAlign w:val="center"/>
          </w:tcPr>
          <w:p>
            <w:pPr>
              <w:spacing w:line="0" w:lineRule="atLeast"/>
              <w:jc w:val="center"/>
              <w:rPr>
                <w:rFonts w:ascii="宋体" w:hAnsi="宋体"/>
                <w:sz w:val="24"/>
                <w:szCs w:val="24"/>
              </w:rPr>
            </w:pPr>
            <w:r>
              <w:rPr>
                <w:rFonts w:hint="eastAsia" w:ascii="宋体" w:hAnsi="宋体"/>
                <w:sz w:val="24"/>
                <w:szCs w:val="24"/>
              </w:rPr>
              <w:t>单位</w:t>
            </w:r>
          </w:p>
        </w:tc>
        <w:tc>
          <w:tcPr>
            <w:tcW w:w="1203" w:type="dxa"/>
            <w:vAlign w:val="center"/>
          </w:tcPr>
          <w:p>
            <w:pPr>
              <w:spacing w:line="0" w:lineRule="atLeast"/>
              <w:jc w:val="center"/>
              <w:rPr>
                <w:rFonts w:ascii="宋体" w:hAnsi="宋体"/>
                <w:sz w:val="24"/>
                <w:szCs w:val="24"/>
              </w:rPr>
            </w:pPr>
            <w:r>
              <w:rPr>
                <w:rFonts w:hint="eastAsia" w:ascii="宋体" w:hAnsi="宋体"/>
                <w:sz w:val="24"/>
                <w:szCs w:val="24"/>
              </w:rPr>
              <w:t>数量</w:t>
            </w:r>
          </w:p>
        </w:tc>
        <w:tc>
          <w:tcPr>
            <w:tcW w:w="1618" w:type="dxa"/>
            <w:vAlign w:val="center"/>
          </w:tcPr>
          <w:p>
            <w:pPr>
              <w:spacing w:line="0" w:lineRule="atLeast"/>
              <w:jc w:val="center"/>
              <w:rPr>
                <w:rFonts w:ascii="宋体" w:hAnsi="宋体"/>
                <w:sz w:val="24"/>
                <w:szCs w:val="24"/>
              </w:rPr>
            </w:pPr>
            <w:r>
              <w:rPr>
                <w:rFonts w:hint="eastAsia" w:ascii="宋体" w:hAnsi="宋体"/>
                <w:sz w:val="24"/>
                <w:szCs w:val="24"/>
              </w:rPr>
              <w:t>单价</w:t>
            </w:r>
          </w:p>
        </w:tc>
        <w:tc>
          <w:tcPr>
            <w:tcW w:w="1798" w:type="dxa"/>
            <w:vAlign w:val="center"/>
          </w:tcPr>
          <w:p>
            <w:pPr>
              <w:spacing w:line="0" w:lineRule="atLeast"/>
              <w:jc w:val="center"/>
              <w:rPr>
                <w:rFonts w:ascii="宋体" w:hAnsi="宋体"/>
                <w:sz w:val="24"/>
                <w:szCs w:val="24"/>
              </w:rPr>
            </w:pPr>
            <w:r>
              <w:rPr>
                <w:rFonts w:hint="eastAsia" w:ascii="宋体" w:hAnsi="宋体"/>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spacing w:line="0" w:lineRule="atLeast"/>
              <w:jc w:val="center"/>
              <w:rPr>
                <w:rFonts w:ascii="宋体" w:hAnsi="宋体"/>
                <w:sz w:val="24"/>
                <w:szCs w:val="24"/>
              </w:rPr>
            </w:pPr>
            <w:r>
              <w:rPr>
                <w:rFonts w:hint="eastAsia" w:ascii="宋体" w:hAnsi="宋体"/>
                <w:sz w:val="24"/>
                <w:szCs w:val="24"/>
              </w:rPr>
              <w:t>1</w:t>
            </w:r>
          </w:p>
        </w:tc>
        <w:tc>
          <w:tcPr>
            <w:tcW w:w="2562" w:type="dxa"/>
            <w:vAlign w:val="center"/>
          </w:tcPr>
          <w:p>
            <w:pPr>
              <w:spacing w:line="0" w:lineRule="atLeast"/>
              <w:jc w:val="center"/>
              <w:rPr>
                <w:rFonts w:ascii="宋体" w:hAnsi="宋体"/>
                <w:sz w:val="24"/>
                <w:szCs w:val="24"/>
              </w:rPr>
            </w:pPr>
          </w:p>
        </w:tc>
        <w:tc>
          <w:tcPr>
            <w:tcW w:w="924" w:type="dxa"/>
            <w:vAlign w:val="center"/>
          </w:tcPr>
          <w:p>
            <w:pPr>
              <w:spacing w:line="0" w:lineRule="atLeast"/>
              <w:jc w:val="center"/>
              <w:rPr>
                <w:rFonts w:ascii="宋体" w:hAnsi="宋体"/>
                <w:sz w:val="24"/>
                <w:szCs w:val="24"/>
              </w:rPr>
            </w:pPr>
          </w:p>
        </w:tc>
        <w:tc>
          <w:tcPr>
            <w:tcW w:w="1203" w:type="dxa"/>
            <w:vAlign w:val="center"/>
          </w:tcPr>
          <w:p>
            <w:pPr>
              <w:spacing w:line="0" w:lineRule="atLeast"/>
              <w:jc w:val="center"/>
              <w:rPr>
                <w:rFonts w:ascii="宋体" w:hAnsi="宋体"/>
                <w:sz w:val="24"/>
                <w:szCs w:val="24"/>
              </w:rPr>
            </w:pPr>
          </w:p>
        </w:tc>
        <w:tc>
          <w:tcPr>
            <w:tcW w:w="1618" w:type="dxa"/>
            <w:vAlign w:val="center"/>
          </w:tcPr>
          <w:p>
            <w:pPr>
              <w:spacing w:line="0" w:lineRule="atLeast"/>
              <w:jc w:val="center"/>
              <w:rPr>
                <w:rFonts w:ascii="宋体" w:hAnsi="宋体"/>
                <w:sz w:val="24"/>
                <w:szCs w:val="24"/>
              </w:rPr>
            </w:pPr>
          </w:p>
        </w:tc>
        <w:tc>
          <w:tcPr>
            <w:tcW w:w="1798" w:type="dxa"/>
            <w:vAlign w:val="center"/>
          </w:tcPr>
          <w:p>
            <w:pPr>
              <w:spacing w:line="0" w:lineRule="atLeas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spacing w:line="0" w:lineRule="atLeast"/>
              <w:jc w:val="center"/>
              <w:rPr>
                <w:rFonts w:ascii="宋体" w:hAnsi="宋体"/>
                <w:sz w:val="24"/>
                <w:szCs w:val="24"/>
              </w:rPr>
            </w:pPr>
            <w:r>
              <w:rPr>
                <w:rFonts w:hint="eastAsia" w:ascii="宋体" w:hAnsi="宋体"/>
                <w:sz w:val="24"/>
                <w:szCs w:val="24"/>
              </w:rPr>
              <w:t>2</w:t>
            </w:r>
          </w:p>
        </w:tc>
        <w:tc>
          <w:tcPr>
            <w:tcW w:w="2562" w:type="dxa"/>
            <w:vAlign w:val="center"/>
          </w:tcPr>
          <w:p>
            <w:pPr>
              <w:spacing w:line="0" w:lineRule="atLeast"/>
              <w:jc w:val="center"/>
              <w:rPr>
                <w:rFonts w:ascii="宋体" w:hAnsi="宋体" w:cs="Times New Roman"/>
                <w:sz w:val="24"/>
                <w:szCs w:val="24"/>
              </w:rPr>
            </w:pPr>
          </w:p>
        </w:tc>
        <w:tc>
          <w:tcPr>
            <w:tcW w:w="924" w:type="dxa"/>
            <w:vAlign w:val="center"/>
          </w:tcPr>
          <w:p>
            <w:pPr>
              <w:spacing w:line="0" w:lineRule="atLeast"/>
              <w:jc w:val="center"/>
              <w:rPr>
                <w:rFonts w:ascii="宋体" w:hAnsi="宋体"/>
                <w:sz w:val="24"/>
                <w:szCs w:val="24"/>
              </w:rPr>
            </w:pPr>
          </w:p>
        </w:tc>
        <w:tc>
          <w:tcPr>
            <w:tcW w:w="1203" w:type="dxa"/>
            <w:vAlign w:val="center"/>
          </w:tcPr>
          <w:p>
            <w:pPr>
              <w:spacing w:line="0" w:lineRule="atLeast"/>
              <w:jc w:val="center"/>
              <w:rPr>
                <w:rFonts w:ascii="宋体" w:hAnsi="宋体"/>
                <w:sz w:val="24"/>
                <w:szCs w:val="24"/>
              </w:rPr>
            </w:pPr>
          </w:p>
        </w:tc>
        <w:tc>
          <w:tcPr>
            <w:tcW w:w="1618" w:type="dxa"/>
            <w:vAlign w:val="center"/>
          </w:tcPr>
          <w:p>
            <w:pPr>
              <w:spacing w:line="0" w:lineRule="atLeast"/>
              <w:jc w:val="center"/>
              <w:rPr>
                <w:rFonts w:ascii="宋体" w:hAnsi="宋体"/>
                <w:sz w:val="24"/>
                <w:szCs w:val="24"/>
              </w:rPr>
            </w:pPr>
          </w:p>
        </w:tc>
        <w:tc>
          <w:tcPr>
            <w:tcW w:w="1798" w:type="dxa"/>
            <w:vAlign w:val="center"/>
          </w:tcPr>
          <w:p>
            <w:pPr>
              <w:spacing w:line="0" w:lineRule="atLeas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spacing w:line="0" w:lineRule="atLeast"/>
              <w:jc w:val="center"/>
              <w:rPr>
                <w:rFonts w:ascii="宋体" w:hAnsi="宋体"/>
                <w:sz w:val="24"/>
                <w:szCs w:val="24"/>
              </w:rPr>
            </w:pPr>
            <w:r>
              <w:rPr>
                <w:rFonts w:hint="eastAsia" w:ascii="宋体" w:hAnsi="宋体"/>
                <w:sz w:val="24"/>
                <w:szCs w:val="24"/>
              </w:rPr>
              <w:t>3</w:t>
            </w:r>
          </w:p>
        </w:tc>
        <w:tc>
          <w:tcPr>
            <w:tcW w:w="2562" w:type="dxa"/>
            <w:vAlign w:val="center"/>
          </w:tcPr>
          <w:p>
            <w:pPr>
              <w:spacing w:line="0" w:lineRule="atLeast"/>
              <w:jc w:val="center"/>
              <w:rPr>
                <w:rFonts w:ascii="宋体" w:hAnsi="宋体"/>
                <w:sz w:val="24"/>
                <w:szCs w:val="24"/>
              </w:rPr>
            </w:pPr>
          </w:p>
        </w:tc>
        <w:tc>
          <w:tcPr>
            <w:tcW w:w="924" w:type="dxa"/>
            <w:vAlign w:val="center"/>
          </w:tcPr>
          <w:p>
            <w:pPr>
              <w:spacing w:line="0" w:lineRule="atLeast"/>
              <w:jc w:val="center"/>
              <w:rPr>
                <w:rFonts w:ascii="宋体" w:hAnsi="宋体"/>
                <w:sz w:val="24"/>
                <w:szCs w:val="24"/>
              </w:rPr>
            </w:pPr>
          </w:p>
        </w:tc>
        <w:tc>
          <w:tcPr>
            <w:tcW w:w="1203" w:type="dxa"/>
            <w:vAlign w:val="center"/>
          </w:tcPr>
          <w:p>
            <w:pPr>
              <w:spacing w:line="0" w:lineRule="atLeast"/>
              <w:jc w:val="center"/>
              <w:rPr>
                <w:rFonts w:ascii="宋体" w:hAnsi="宋体"/>
                <w:sz w:val="24"/>
                <w:szCs w:val="24"/>
              </w:rPr>
            </w:pPr>
          </w:p>
        </w:tc>
        <w:tc>
          <w:tcPr>
            <w:tcW w:w="1618" w:type="dxa"/>
            <w:vAlign w:val="center"/>
          </w:tcPr>
          <w:p>
            <w:pPr>
              <w:spacing w:line="0" w:lineRule="atLeast"/>
              <w:jc w:val="center"/>
              <w:rPr>
                <w:rFonts w:ascii="宋体" w:hAnsi="宋体"/>
                <w:sz w:val="24"/>
                <w:szCs w:val="24"/>
              </w:rPr>
            </w:pPr>
          </w:p>
        </w:tc>
        <w:tc>
          <w:tcPr>
            <w:tcW w:w="1798" w:type="dxa"/>
            <w:vAlign w:val="center"/>
          </w:tcPr>
          <w:p>
            <w:pPr>
              <w:spacing w:line="0" w:lineRule="atLeas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spacing w:line="0" w:lineRule="atLeast"/>
              <w:jc w:val="center"/>
              <w:rPr>
                <w:rFonts w:ascii="宋体" w:hAnsi="宋体"/>
                <w:sz w:val="24"/>
                <w:szCs w:val="24"/>
              </w:rPr>
            </w:pPr>
            <w:r>
              <w:rPr>
                <w:rFonts w:ascii="宋体" w:hAnsi="宋体"/>
                <w:sz w:val="24"/>
                <w:szCs w:val="24"/>
              </w:rPr>
              <w:t>……</w:t>
            </w:r>
          </w:p>
        </w:tc>
        <w:tc>
          <w:tcPr>
            <w:tcW w:w="2562" w:type="dxa"/>
            <w:vAlign w:val="center"/>
          </w:tcPr>
          <w:p>
            <w:pPr>
              <w:spacing w:line="0" w:lineRule="atLeast"/>
              <w:jc w:val="center"/>
              <w:rPr>
                <w:rFonts w:ascii="宋体" w:hAnsi="宋体"/>
                <w:sz w:val="24"/>
                <w:szCs w:val="24"/>
              </w:rPr>
            </w:pPr>
            <w:r>
              <w:rPr>
                <w:rFonts w:ascii="宋体" w:hAnsi="宋体"/>
                <w:sz w:val="24"/>
                <w:szCs w:val="24"/>
              </w:rPr>
              <w:t>……</w:t>
            </w:r>
          </w:p>
        </w:tc>
        <w:tc>
          <w:tcPr>
            <w:tcW w:w="924" w:type="dxa"/>
            <w:vAlign w:val="center"/>
          </w:tcPr>
          <w:p>
            <w:pPr>
              <w:spacing w:line="0" w:lineRule="atLeast"/>
              <w:jc w:val="center"/>
              <w:rPr>
                <w:rFonts w:ascii="宋体" w:hAnsi="宋体"/>
                <w:sz w:val="24"/>
                <w:szCs w:val="24"/>
              </w:rPr>
            </w:pPr>
          </w:p>
        </w:tc>
        <w:tc>
          <w:tcPr>
            <w:tcW w:w="1203" w:type="dxa"/>
            <w:vAlign w:val="center"/>
          </w:tcPr>
          <w:p>
            <w:pPr>
              <w:spacing w:line="0" w:lineRule="atLeast"/>
              <w:jc w:val="center"/>
              <w:rPr>
                <w:rFonts w:ascii="宋体" w:hAnsi="宋体"/>
                <w:sz w:val="24"/>
                <w:szCs w:val="24"/>
              </w:rPr>
            </w:pPr>
          </w:p>
        </w:tc>
        <w:tc>
          <w:tcPr>
            <w:tcW w:w="1618" w:type="dxa"/>
            <w:vAlign w:val="center"/>
          </w:tcPr>
          <w:p>
            <w:pPr>
              <w:spacing w:line="0" w:lineRule="atLeast"/>
              <w:jc w:val="center"/>
              <w:rPr>
                <w:rFonts w:ascii="宋体" w:hAnsi="宋体"/>
                <w:sz w:val="24"/>
                <w:szCs w:val="24"/>
              </w:rPr>
            </w:pPr>
          </w:p>
        </w:tc>
        <w:tc>
          <w:tcPr>
            <w:tcW w:w="1798" w:type="dxa"/>
            <w:vAlign w:val="center"/>
          </w:tcPr>
          <w:p>
            <w:pPr>
              <w:spacing w:line="0" w:lineRule="atLeas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255" w:type="dxa"/>
            <w:gridSpan w:val="5"/>
            <w:vAlign w:val="center"/>
          </w:tcPr>
          <w:p>
            <w:pPr>
              <w:spacing w:line="0" w:lineRule="atLeast"/>
              <w:jc w:val="center"/>
              <w:rPr>
                <w:rFonts w:ascii="宋体" w:hAnsi="宋体"/>
                <w:sz w:val="24"/>
                <w:szCs w:val="24"/>
              </w:rPr>
            </w:pPr>
            <w:r>
              <w:rPr>
                <w:rFonts w:hint="eastAsia" w:ascii="宋体" w:hAnsi="宋体"/>
                <w:sz w:val="24"/>
                <w:szCs w:val="24"/>
              </w:rPr>
              <w:t>投标总报价</w:t>
            </w:r>
            <w:r>
              <w:rPr>
                <w:rFonts w:hint="eastAsia" w:ascii="宋体" w:hAnsi="宋体"/>
                <w:sz w:val="24"/>
                <w:szCs w:val="24"/>
                <w:lang w:eastAsia="zh-CN"/>
              </w:rPr>
              <w:t>（</w:t>
            </w:r>
            <w:r>
              <w:rPr>
                <w:rFonts w:hint="eastAsia" w:ascii="宋体" w:hAnsi="宋体"/>
                <w:sz w:val="24"/>
                <w:szCs w:val="24"/>
                <w:lang w:val="en-US" w:eastAsia="zh-CN"/>
              </w:rPr>
              <w:t>单价）</w:t>
            </w:r>
            <w:r>
              <w:rPr>
                <w:rFonts w:hint="eastAsia" w:ascii="宋体" w:hAnsi="宋体"/>
                <w:sz w:val="24"/>
                <w:szCs w:val="24"/>
              </w:rPr>
              <w:t>（人民币：元）</w:t>
            </w:r>
          </w:p>
        </w:tc>
        <w:tc>
          <w:tcPr>
            <w:tcW w:w="1798" w:type="dxa"/>
          </w:tcPr>
          <w:p>
            <w:pPr>
              <w:spacing w:line="0" w:lineRule="atLeast"/>
              <w:rPr>
                <w:rFonts w:ascii="宋体" w:hAnsi="宋体"/>
                <w:sz w:val="24"/>
                <w:szCs w:val="24"/>
              </w:rPr>
            </w:pPr>
          </w:p>
        </w:tc>
      </w:tr>
    </w:tbl>
    <w:p>
      <w:pPr>
        <w:rPr>
          <w:sz w:val="24"/>
          <w:szCs w:val="24"/>
        </w:rPr>
      </w:pPr>
      <w:r>
        <w:rPr>
          <w:rFonts w:hint="eastAsia"/>
          <w:sz w:val="24"/>
          <w:szCs w:val="24"/>
        </w:rPr>
        <w:t>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pPr>
        <w:rPr>
          <w:sz w:val="24"/>
          <w:szCs w:val="24"/>
        </w:rPr>
      </w:pPr>
      <w:r>
        <w:rPr>
          <w:rFonts w:hint="eastAsia"/>
          <w:sz w:val="24"/>
          <w:szCs w:val="24"/>
        </w:rPr>
        <w:t>2. “投标分项报价表”中“投标总报价</w:t>
      </w:r>
      <w:r>
        <w:rPr>
          <w:rFonts w:hint="eastAsia"/>
          <w:sz w:val="24"/>
          <w:szCs w:val="24"/>
          <w:lang w:eastAsia="zh-CN"/>
        </w:rPr>
        <w:t>（</w:t>
      </w:r>
      <w:r>
        <w:rPr>
          <w:rFonts w:hint="eastAsia"/>
          <w:sz w:val="24"/>
          <w:szCs w:val="24"/>
          <w:lang w:val="en-US" w:eastAsia="zh-CN"/>
        </w:rPr>
        <w:t>单价）</w:t>
      </w:r>
      <w:r>
        <w:rPr>
          <w:rFonts w:hint="eastAsia"/>
          <w:sz w:val="24"/>
          <w:szCs w:val="24"/>
        </w:rPr>
        <w:t>”数额应当与“开标一览表”中“投标总报价</w:t>
      </w:r>
      <w:r>
        <w:rPr>
          <w:rFonts w:hint="eastAsia"/>
          <w:sz w:val="24"/>
          <w:szCs w:val="24"/>
          <w:lang w:eastAsia="zh-CN"/>
        </w:rPr>
        <w:t>（</w:t>
      </w:r>
      <w:r>
        <w:rPr>
          <w:rFonts w:hint="eastAsia"/>
          <w:sz w:val="24"/>
          <w:szCs w:val="24"/>
          <w:lang w:val="en-US" w:eastAsia="zh-CN"/>
        </w:rPr>
        <w:t>单价）</w:t>
      </w:r>
      <w:r>
        <w:rPr>
          <w:rFonts w:hint="eastAsia"/>
          <w:sz w:val="24"/>
          <w:szCs w:val="24"/>
        </w:rPr>
        <w:t>”数额一致。</w:t>
      </w:r>
      <w:r>
        <w:rPr>
          <w:rFonts w:hint="eastAsia"/>
          <w:sz w:val="24"/>
          <w:szCs w:val="24"/>
          <w:highlight w:val="yellow"/>
          <w:lang w:val="en-US" w:eastAsia="zh-CN"/>
        </w:rPr>
        <w:t>请各供应商按单价报价，投标总报价指的是单价报价。</w:t>
      </w:r>
    </w:p>
    <w:p>
      <w:pPr>
        <w:pStyle w:val="4"/>
        <w:keepNext w:val="0"/>
        <w:snapToGrid w:val="0"/>
        <w:spacing w:before="120" w:after="120"/>
        <w:jc w:val="left"/>
        <w:rPr>
          <w:rFonts w:ascii="Times New Roman" w:hAnsi="Times New Roman" w:eastAsia="宋体" w:cs="Times New Roman"/>
          <w:kern w:val="0"/>
          <w:sz w:val="32"/>
          <w:szCs w:val="32"/>
        </w:rPr>
      </w:pPr>
      <w:r>
        <w:rPr>
          <w:rFonts w:ascii="Times New Roman" w:hAnsi="Times New Roman" w:eastAsia="宋体" w:cs="宋体"/>
          <w:strike/>
          <w:sz w:val="32"/>
          <w:szCs w:val="32"/>
        </w:rPr>
        <w:br w:type="page"/>
      </w:r>
      <w:r>
        <w:rPr>
          <w:rFonts w:hint="eastAsia" w:ascii="Times New Roman" w:hAnsi="Times New Roman" w:eastAsia="宋体" w:cs="Times New Roman"/>
          <w:kern w:val="0"/>
          <w:sz w:val="32"/>
          <w:szCs w:val="32"/>
        </w:rPr>
        <w:t>七、中小企业声明函（服务）（分包号：**）</w:t>
      </w:r>
    </w:p>
    <w:p>
      <w:pPr>
        <w:spacing w:line="500" w:lineRule="exact"/>
        <w:ind w:firstLine="360"/>
        <w:rPr>
          <w:color w:val="000000"/>
          <w:sz w:val="24"/>
          <w:szCs w:val="24"/>
        </w:rPr>
      </w:pPr>
      <w:r>
        <w:rPr>
          <w:rFonts w:hint="eastAsia"/>
          <w:color w:val="000000"/>
          <w:sz w:val="24"/>
          <w:szCs w:val="24"/>
        </w:rPr>
        <w:t>本公司（联合体）郑重声明，根据《政府采购促进中小企业发展管理办法》</w:t>
      </w:r>
      <w:r>
        <w:rPr>
          <w:color w:val="000000"/>
          <w:sz w:val="24"/>
          <w:szCs w:val="24"/>
        </w:rPr>
        <w:t>(</w:t>
      </w:r>
      <w:r>
        <w:rPr>
          <w:rFonts w:hint="eastAsia"/>
          <w:color w:val="000000"/>
          <w:sz w:val="24"/>
          <w:szCs w:val="24"/>
        </w:rPr>
        <w:t>财库</w:t>
      </w:r>
      <w:r>
        <w:rPr>
          <w:color w:val="000000"/>
          <w:sz w:val="24"/>
          <w:szCs w:val="24"/>
        </w:rPr>
        <w:t>[2020]46</w:t>
      </w:r>
      <w:r>
        <w:rPr>
          <w:rFonts w:hint="eastAsia"/>
          <w:color w:val="000000"/>
          <w:sz w:val="24"/>
          <w:szCs w:val="24"/>
        </w:rPr>
        <w:t>号</w:t>
      </w:r>
      <w:r>
        <w:rPr>
          <w:color w:val="000000"/>
          <w:sz w:val="24"/>
          <w:szCs w:val="24"/>
        </w:rPr>
        <w:t>)</w:t>
      </w:r>
      <w:r>
        <w:rPr>
          <w:rFonts w:hint="eastAsia"/>
          <w:color w:val="000000"/>
          <w:sz w:val="24"/>
          <w:szCs w:val="24"/>
        </w:rPr>
        <w:t>的规定，本公司（联合体）参加江苏省政府采购代理机构组织的</w:t>
      </w:r>
      <w:r>
        <w:rPr>
          <w:rFonts w:hint="eastAsia"/>
          <w:color w:val="000000"/>
          <w:sz w:val="24"/>
          <w:szCs w:val="24"/>
          <w:u w:val="single"/>
        </w:rPr>
        <w:t>（单位名称）</w:t>
      </w:r>
      <w:r>
        <w:rPr>
          <w:rFonts w:hint="eastAsia"/>
          <w:color w:val="000000"/>
          <w:sz w:val="24"/>
          <w:szCs w:val="24"/>
        </w:rPr>
        <w:t>采购编号为</w:t>
      </w:r>
      <w:r>
        <w:rPr>
          <w:color w:val="000000"/>
          <w:sz w:val="24"/>
          <w:szCs w:val="24"/>
          <w:u w:val="single"/>
        </w:rPr>
        <w:t>***</w:t>
      </w:r>
      <w:r>
        <w:rPr>
          <w:rFonts w:hint="eastAsia"/>
          <w:color w:val="000000"/>
          <w:sz w:val="24"/>
          <w:szCs w:val="24"/>
        </w:rPr>
        <w:t>，</w:t>
      </w:r>
      <w:r>
        <w:rPr>
          <w:rFonts w:hint="eastAsia"/>
          <w:color w:val="000000"/>
          <w:sz w:val="24"/>
          <w:szCs w:val="24"/>
          <w:u w:val="single"/>
        </w:rPr>
        <w:t>（项目名称）（分包号：</w:t>
      </w:r>
      <w:r>
        <w:rPr>
          <w:color w:val="000000"/>
          <w:sz w:val="24"/>
          <w:szCs w:val="24"/>
          <w:u w:val="single"/>
        </w:rPr>
        <w:t>**</w:t>
      </w:r>
      <w:r>
        <w:rPr>
          <w:rFonts w:hint="eastAsia"/>
          <w:color w:val="000000"/>
          <w:sz w:val="24"/>
          <w:szCs w:val="24"/>
          <w:u w:val="single"/>
        </w:rPr>
        <w:t>）</w:t>
      </w:r>
      <w:r>
        <w:rPr>
          <w:rFonts w:hint="eastAsia"/>
          <w:color w:val="000000"/>
          <w:sz w:val="24"/>
          <w:szCs w:val="24"/>
        </w:rPr>
        <w:t>的采购活动，服务全部由符合政策的中小微企业承接。根据《工业和信息化部、国家统计局、国家发展和改革委员会、财政部关于印发中小企业划型标准规定的通知》</w:t>
      </w:r>
      <w:r>
        <w:rPr>
          <w:color w:val="000000"/>
          <w:sz w:val="24"/>
          <w:szCs w:val="24"/>
        </w:rPr>
        <w:t>(</w:t>
      </w:r>
      <w:r>
        <w:rPr>
          <w:rFonts w:hint="eastAsia"/>
          <w:color w:val="000000"/>
          <w:sz w:val="24"/>
          <w:szCs w:val="24"/>
        </w:rPr>
        <w:t>工信部联企业</w:t>
      </w:r>
      <w:r>
        <w:rPr>
          <w:color w:val="000000"/>
          <w:sz w:val="24"/>
          <w:szCs w:val="24"/>
        </w:rPr>
        <w:t>[2011]300</w:t>
      </w:r>
      <w:r>
        <w:rPr>
          <w:rFonts w:hint="eastAsia"/>
          <w:color w:val="000000"/>
          <w:sz w:val="24"/>
          <w:szCs w:val="24"/>
        </w:rPr>
        <w:t>号</w:t>
      </w:r>
      <w:r>
        <w:rPr>
          <w:color w:val="000000"/>
          <w:sz w:val="24"/>
          <w:szCs w:val="24"/>
        </w:rPr>
        <w:t>)</w:t>
      </w:r>
      <w:r>
        <w:rPr>
          <w:rFonts w:hint="eastAsia"/>
          <w:color w:val="000000"/>
          <w:sz w:val="24"/>
          <w:szCs w:val="24"/>
        </w:rPr>
        <w:t>的规定，相关企业（含联合体中的小微企业、签订分包意向协议的小微企业）的具体情况如下：</w:t>
      </w:r>
    </w:p>
    <w:p>
      <w:pPr>
        <w:spacing w:line="500" w:lineRule="exact"/>
        <w:ind w:firstLine="360"/>
        <w:rPr>
          <w:i/>
          <w:color w:val="000000"/>
          <w:sz w:val="24"/>
          <w:szCs w:val="24"/>
          <w:u w:val="single"/>
        </w:rPr>
      </w:pPr>
      <w:r>
        <w:rPr>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color w:val="000000"/>
          <w:sz w:val="24"/>
          <w:szCs w:val="24"/>
          <w:u w:val="single"/>
        </w:rPr>
        <w:t xml:space="preserve">      </w:t>
      </w:r>
      <w:r>
        <w:rPr>
          <w:rFonts w:hint="eastAsia"/>
          <w:color w:val="000000"/>
          <w:sz w:val="24"/>
          <w:szCs w:val="24"/>
        </w:rPr>
        <w:t>人，营业收入为</w:t>
      </w:r>
      <w:r>
        <w:rPr>
          <w:color w:val="000000"/>
          <w:sz w:val="24"/>
          <w:szCs w:val="24"/>
          <w:u w:val="single"/>
        </w:rPr>
        <w:t xml:space="preserve">     </w:t>
      </w:r>
      <w:r>
        <w:rPr>
          <w:rFonts w:hint="eastAsia"/>
          <w:color w:val="000000"/>
          <w:sz w:val="24"/>
          <w:szCs w:val="24"/>
        </w:rPr>
        <w:t>万元，资产总额为</w:t>
      </w:r>
      <w:r>
        <w:rPr>
          <w:color w:val="000000"/>
          <w:sz w:val="24"/>
          <w:szCs w:val="24"/>
          <w:u w:val="single"/>
        </w:rPr>
        <w:t xml:space="preserve">      </w:t>
      </w:r>
      <w:r>
        <w:rPr>
          <w:rFonts w:hint="eastAsia"/>
          <w:color w:val="000000"/>
          <w:sz w:val="24"/>
          <w:szCs w:val="24"/>
        </w:rPr>
        <w:t>万元</w:t>
      </w:r>
      <w:r>
        <w:rPr>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pPr>
        <w:spacing w:line="500" w:lineRule="exact"/>
        <w:ind w:firstLine="360"/>
        <w:rPr>
          <w:i/>
          <w:color w:val="000000"/>
          <w:sz w:val="24"/>
          <w:szCs w:val="24"/>
          <w:u w:val="single"/>
        </w:rPr>
      </w:pPr>
      <w:r>
        <w:rPr>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color w:val="000000"/>
          <w:sz w:val="24"/>
          <w:szCs w:val="24"/>
          <w:u w:val="single"/>
        </w:rPr>
        <w:t xml:space="preserve">      </w:t>
      </w:r>
      <w:r>
        <w:rPr>
          <w:rFonts w:hint="eastAsia"/>
          <w:color w:val="000000"/>
          <w:sz w:val="24"/>
          <w:szCs w:val="24"/>
        </w:rPr>
        <w:t>人，营业收入为</w:t>
      </w:r>
      <w:r>
        <w:rPr>
          <w:color w:val="000000"/>
          <w:sz w:val="24"/>
          <w:szCs w:val="24"/>
          <w:u w:val="single"/>
        </w:rPr>
        <w:t xml:space="preserve">     </w:t>
      </w:r>
      <w:r>
        <w:rPr>
          <w:rFonts w:hint="eastAsia"/>
          <w:color w:val="000000"/>
          <w:sz w:val="24"/>
          <w:szCs w:val="24"/>
        </w:rPr>
        <w:t>万元，资产总额为</w:t>
      </w:r>
      <w:r>
        <w:rPr>
          <w:color w:val="000000"/>
          <w:sz w:val="24"/>
          <w:szCs w:val="24"/>
          <w:u w:val="single"/>
        </w:rPr>
        <w:t xml:space="preserve">      </w:t>
      </w:r>
      <w:r>
        <w:rPr>
          <w:rFonts w:hint="eastAsia"/>
          <w:color w:val="000000"/>
          <w:sz w:val="24"/>
          <w:szCs w:val="24"/>
        </w:rPr>
        <w:t>万元</w:t>
      </w:r>
      <w:r>
        <w:rPr>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pPr>
        <w:spacing w:line="500" w:lineRule="exact"/>
        <w:ind w:firstLine="360"/>
        <w:rPr>
          <w:color w:val="000000"/>
          <w:sz w:val="24"/>
          <w:szCs w:val="24"/>
        </w:rPr>
      </w:pPr>
      <w:r>
        <w:rPr>
          <w:rFonts w:hint="eastAsia"/>
          <w:color w:val="000000"/>
          <w:sz w:val="24"/>
          <w:szCs w:val="24"/>
        </w:rPr>
        <w:t>……</w:t>
      </w:r>
    </w:p>
    <w:p>
      <w:pPr>
        <w:spacing w:line="500" w:lineRule="exact"/>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pPr>
        <w:spacing w:line="500" w:lineRule="exact"/>
        <w:ind w:firstLine="360"/>
        <w:rPr>
          <w:color w:val="000000"/>
          <w:sz w:val="24"/>
          <w:szCs w:val="24"/>
        </w:rPr>
      </w:pPr>
      <w:r>
        <w:rPr>
          <w:rFonts w:hint="eastAsia"/>
          <w:color w:val="000000"/>
          <w:sz w:val="24"/>
          <w:szCs w:val="24"/>
        </w:rPr>
        <w:t>本企业对上述声明内容的真实性负责。如有虚假，将依法承担相应责任。</w:t>
      </w:r>
    </w:p>
    <w:p>
      <w:pPr>
        <w:spacing w:line="500" w:lineRule="exact"/>
        <w:ind w:firstLine="360"/>
        <w:rPr>
          <w:color w:val="000000"/>
          <w:sz w:val="24"/>
          <w:szCs w:val="24"/>
        </w:rPr>
      </w:pPr>
      <w:r>
        <w:rPr>
          <w:rFonts w:hint="eastAsia"/>
          <w:color w:val="000000"/>
          <w:sz w:val="24"/>
          <w:szCs w:val="24"/>
        </w:rPr>
        <w:t>（备注：</w:t>
      </w:r>
      <w:r>
        <w:rPr>
          <w:color w:val="000000"/>
          <w:sz w:val="24"/>
          <w:szCs w:val="24"/>
        </w:rPr>
        <w:t>1</w:t>
      </w:r>
      <w:r>
        <w:rPr>
          <w:rFonts w:hint="eastAsia"/>
          <w:color w:val="000000"/>
          <w:sz w:val="24"/>
          <w:szCs w:val="24"/>
        </w:rPr>
        <w:t>、从业人员、营业收入、资产总额填报上一年度数据，无上一年度数据的新成立企业可不填报。</w:t>
      </w:r>
      <w:r>
        <w:rPr>
          <w:color w:val="000000"/>
          <w:sz w:val="24"/>
          <w:szCs w:val="24"/>
        </w:rPr>
        <w:t>2</w:t>
      </w:r>
      <w:r>
        <w:rPr>
          <w:rFonts w:hint="eastAsia"/>
          <w:color w:val="000000"/>
          <w:sz w:val="24"/>
          <w:szCs w:val="24"/>
        </w:rPr>
        <w:t>、投标人如不提供此声明函，不得参加专门面向中小企业采购项目或者不得享受小微企业价格扣除政策。此声明函将随成交结果同时公告，接受社会监督。</w:t>
      </w:r>
      <w:r>
        <w:rPr>
          <w:color w:val="000000"/>
          <w:sz w:val="24"/>
          <w:szCs w:val="24"/>
        </w:rPr>
        <w:t>3</w:t>
      </w:r>
      <w:r>
        <w:rPr>
          <w:rFonts w:hint="eastAsia"/>
          <w:color w:val="000000"/>
          <w:sz w:val="24"/>
          <w:szCs w:val="24"/>
        </w:rPr>
        <w:t>、服务采购项目中，服务的承接商应当为中小企业，不对其中涉及的货物的制造商、工程的承建商作出要求。）</w:t>
      </w:r>
    </w:p>
    <w:p>
      <w:pPr>
        <w:spacing w:line="500" w:lineRule="exact"/>
        <w:ind w:right="180"/>
        <w:jc w:val="right"/>
        <w:rPr>
          <w:color w:val="000000"/>
          <w:sz w:val="24"/>
          <w:szCs w:val="24"/>
        </w:rPr>
      </w:pPr>
      <w:r>
        <w:rPr>
          <w:rFonts w:hint="eastAsia"/>
          <w:color w:val="000000"/>
          <w:sz w:val="24"/>
          <w:szCs w:val="24"/>
        </w:rPr>
        <w:t>企业名称：（加盖</w:t>
      </w:r>
      <w:r>
        <w:rPr>
          <w:color w:val="000000"/>
          <w:sz w:val="24"/>
          <w:szCs w:val="24"/>
        </w:rPr>
        <w:t>CA</w:t>
      </w:r>
      <w:r>
        <w:rPr>
          <w:rFonts w:hint="eastAsia"/>
          <w:color w:val="000000"/>
          <w:sz w:val="24"/>
          <w:szCs w:val="24"/>
        </w:rPr>
        <w:t>电子公章）</w:t>
      </w:r>
    </w:p>
    <w:p>
      <w:pPr>
        <w:spacing w:line="500" w:lineRule="exact"/>
        <w:jc w:val="right"/>
        <w:rPr>
          <w:color w:val="000000"/>
          <w:sz w:val="24"/>
          <w:szCs w:val="24"/>
        </w:rPr>
      </w:pPr>
      <w:r>
        <w:rPr>
          <w:rFonts w:hint="eastAsia"/>
          <w:color w:val="000000"/>
          <w:sz w:val="24"/>
          <w:szCs w:val="24"/>
        </w:rPr>
        <w:t>日</w:t>
      </w:r>
      <w:r>
        <w:rPr>
          <w:color w:val="000000"/>
          <w:sz w:val="24"/>
          <w:szCs w:val="24"/>
        </w:rPr>
        <w:t xml:space="preserve">  </w:t>
      </w:r>
      <w:r>
        <w:rPr>
          <w:rFonts w:hint="eastAsia"/>
          <w:color w:val="000000"/>
          <w:sz w:val="24"/>
          <w:szCs w:val="24"/>
        </w:rPr>
        <w:t>期：</w:t>
      </w:r>
      <w:r>
        <w:rPr>
          <w:color w:val="000000"/>
          <w:sz w:val="24"/>
          <w:szCs w:val="24"/>
          <w:u w:val="single"/>
        </w:rPr>
        <w:t xml:space="preserve">       </w:t>
      </w:r>
      <w:r>
        <w:rPr>
          <w:rFonts w:hint="eastAsia"/>
          <w:color w:val="000000"/>
          <w:sz w:val="24"/>
          <w:szCs w:val="24"/>
        </w:rPr>
        <w:t>年</w:t>
      </w:r>
      <w:r>
        <w:rPr>
          <w:color w:val="000000"/>
          <w:sz w:val="24"/>
          <w:szCs w:val="24"/>
        </w:rPr>
        <w:t>___</w:t>
      </w:r>
      <w:r>
        <w:rPr>
          <w:rFonts w:hint="eastAsia"/>
          <w:color w:val="000000"/>
          <w:sz w:val="24"/>
          <w:szCs w:val="24"/>
        </w:rPr>
        <w:t>月</w:t>
      </w:r>
      <w:r>
        <w:rPr>
          <w:color w:val="000000"/>
          <w:sz w:val="24"/>
          <w:szCs w:val="24"/>
        </w:rPr>
        <w:t>___</w:t>
      </w:r>
      <w:r>
        <w:rPr>
          <w:rFonts w:hint="eastAsia"/>
          <w:color w:val="000000"/>
          <w:sz w:val="24"/>
          <w:szCs w:val="24"/>
        </w:rPr>
        <w:t>日</w:t>
      </w:r>
    </w:p>
    <w:p>
      <w:pPr>
        <w:spacing w:line="360" w:lineRule="auto"/>
        <w:jc w:val="center"/>
        <w:outlineLvl w:val="0"/>
        <w:rPr>
          <w:rFonts w:eastAsia="黑体"/>
          <w:sz w:val="32"/>
          <w:szCs w:val="32"/>
        </w:rPr>
      </w:pPr>
      <w:r>
        <w:rPr>
          <w:rFonts w:hint="eastAsia" w:eastAsia="黑体"/>
          <w:sz w:val="32"/>
          <w:szCs w:val="32"/>
        </w:rPr>
        <w:br w:type="page"/>
      </w:r>
      <w:r>
        <w:rPr>
          <w:rFonts w:hint="eastAsia" w:eastAsia="黑体"/>
          <w:sz w:val="32"/>
          <w:szCs w:val="32"/>
        </w:rPr>
        <w:t>残疾人福利性单位声明函</w:t>
      </w:r>
    </w:p>
    <w:p>
      <w:pPr>
        <w:spacing w:line="360" w:lineRule="auto"/>
        <w:ind w:firstLine="480"/>
        <w:rPr>
          <w:sz w:val="24"/>
        </w:rPr>
      </w:pPr>
      <w:r>
        <w:rPr>
          <w:rFonts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项目（分包号：**）采购活动由本单位提供服务。</w:t>
      </w:r>
    </w:p>
    <w:p>
      <w:pPr>
        <w:spacing w:line="360" w:lineRule="auto"/>
        <w:ind w:firstLine="480"/>
        <w:rPr>
          <w:sz w:val="24"/>
        </w:rPr>
      </w:pPr>
      <w:r>
        <w:rPr>
          <w:rFonts w:hint="eastAsia"/>
          <w:sz w:val="24"/>
        </w:rPr>
        <w:t>本单位对上述声明的真实性负责。如有虚假，将依法承担相应责任。</w:t>
      </w:r>
    </w:p>
    <w:p>
      <w:pPr>
        <w:spacing w:line="360" w:lineRule="auto"/>
        <w:ind w:firstLine="480"/>
        <w:rPr>
          <w:sz w:val="24"/>
        </w:rPr>
      </w:pPr>
    </w:p>
    <w:p>
      <w:pPr>
        <w:spacing w:line="360" w:lineRule="auto"/>
        <w:ind w:firstLine="480"/>
        <w:rPr>
          <w:sz w:val="24"/>
        </w:rPr>
      </w:pPr>
      <w:r>
        <w:rPr>
          <w:rFonts w:hint="eastAsia"/>
          <w:sz w:val="24"/>
        </w:rPr>
        <w:t>（备注：1、投标人如不提供此声明函，价格将不做相应扣除。2、中标人为残疾人福利单位的，此声明函将随中标结果同时公告，接受社会监督。）</w:t>
      </w:r>
    </w:p>
    <w:p>
      <w:pPr>
        <w:spacing w:line="360" w:lineRule="auto"/>
        <w:ind w:firstLine="624"/>
        <w:rPr>
          <w:rFonts w:eastAsia="仿宋_GB2312"/>
          <w:spacing w:val="6"/>
          <w:sz w:val="30"/>
          <w:szCs w:val="30"/>
        </w:rPr>
      </w:pPr>
    </w:p>
    <w:p>
      <w:pPr>
        <w:pStyle w:val="132"/>
        <w:spacing w:line="360" w:lineRule="auto"/>
        <w:rPr>
          <w:rFonts w:ascii="Times New Roman" w:hAnsi="Times New Roman"/>
        </w:rPr>
      </w:pPr>
    </w:p>
    <w:p>
      <w:pPr>
        <w:spacing w:line="360" w:lineRule="auto"/>
        <w:ind w:right="180" w:firstLine="360"/>
        <w:jc w:val="right"/>
        <w:rPr>
          <w:sz w:val="24"/>
          <w:szCs w:val="24"/>
        </w:rPr>
      </w:pPr>
      <w:r>
        <w:rPr>
          <w:rFonts w:hint="eastAsia"/>
          <w:sz w:val="24"/>
          <w:szCs w:val="24"/>
        </w:rPr>
        <w:t>企业名称：（加盖CA电子公章）</w:t>
      </w:r>
    </w:p>
    <w:p>
      <w:pPr>
        <w:spacing w:line="360" w:lineRule="auto"/>
        <w:ind w:firstLine="5760"/>
        <w:rPr>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pPr>
        <w:spacing w:line="560" w:lineRule="exact"/>
        <w:rPr>
          <w:rFonts w:ascii="宋体" w:hAnsi="宋体" w:cs="宋体"/>
          <w:b/>
          <w:color w:val="000000"/>
          <w:sz w:val="32"/>
          <w:szCs w:val="32"/>
        </w:rPr>
      </w:pPr>
      <w:r>
        <w:rPr>
          <w:rFonts w:eastAsia="黑体"/>
          <w:b/>
          <w:sz w:val="32"/>
          <w:szCs w:val="32"/>
        </w:rPr>
        <w:br w:type="page"/>
      </w:r>
      <w:r>
        <w:rPr>
          <w:rFonts w:hint="eastAsia" w:eastAsia="黑体"/>
          <w:b/>
          <w:color w:val="000000"/>
          <w:sz w:val="32"/>
          <w:szCs w:val="32"/>
        </w:rPr>
        <w:t>八、</w:t>
      </w:r>
      <w:r>
        <w:rPr>
          <w:rFonts w:hint="eastAsia" w:ascii="宋体" w:hAnsi="宋体" w:cs="宋体"/>
          <w:b/>
          <w:color w:val="000000"/>
          <w:sz w:val="32"/>
          <w:szCs w:val="32"/>
        </w:rPr>
        <w:t>项目实施方案</w:t>
      </w:r>
    </w:p>
    <w:p>
      <w:pPr>
        <w:spacing w:line="560" w:lineRule="exact"/>
        <w:rPr>
          <w:rFonts w:ascii="宋体" w:hAnsi="宋体" w:cs="宋体"/>
          <w:b/>
          <w:color w:val="000000"/>
          <w:sz w:val="32"/>
          <w:szCs w:val="32"/>
        </w:rPr>
      </w:pPr>
      <w:r>
        <w:rPr>
          <w:rFonts w:hint="eastAsia" w:ascii="宋体" w:hAnsi="宋体" w:cs="宋体"/>
          <w:b/>
          <w:color w:val="000000"/>
          <w:sz w:val="32"/>
          <w:szCs w:val="32"/>
        </w:rPr>
        <w:t xml:space="preserve">  （如有）</w:t>
      </w: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ascii="宋体" w:hAnsi="宋体" w:cs="宋体"/>
          <w:b/>
          <w:color w:val="000000"/>
          <w:sz w:val="32"/>
          <w:szCs w:val="32"/>
        </w:rPr>
      </w:pPr>
    </w:p>
    <w:p>
      <w:pPr>
        <w:spacing w:line="560" w:lineRule="exact"/>
        <w:rPr>
          <w:rFonts w:eastAsia="黑体"/>
          <w:b/>
          <w:sz w:val="32"/>
          <w:szCs w:val="32"/>
        </w:rPr>
      </w:pPr>
    </w:p>
    <w:p>
      <w:pPr>
        <w:spacing w:line="560" w:lineRule="exact"/>
        <w:rPr>
          <w:rFonts w:eastAsia="黑体"/>
          <w:b/>
          <w:sz w:val="32"/>
          <w:szCs w:val="32"/>
        </w:rPr>
      </w:pPr>
      <w:r>
        <w:rPr>
          <w:rFonts w:hint="eastAsia" w:eastAsia="黑体"/>
          <w:b/>
          <w:sz w:val="32"/>
          <w:szCs w:val="32"/>
        </w:rPr>
        <w:t>九、技术要求响应及偏离表（分包号：**）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pPr>
              <w:jc w:val="center"/>
              <w:rPr>
                <w:sz w:val="24"/>
                <w:szCs w:val="24"/>
              </w:rPr>
            </w:pPr>
            <w:r>
              <w:rPr>
                <w:rFonts w:hint="eastAsia"/>
                <w:sz w:val="24"/>
                <w:szCs w:val="24"/>
              </w:rPr>
              <w:t>序号</w:t>
            </w:r>
          </w:p>
        </w:tc>
        <w:tc>
          <w:tcPr>
            <w:tcW w:w="3291" w:type="dxa"/>
            <w:vAlign w:val="center"/>
          </w:tcPr>
          <w:p>
            <w:pPr>
              <w:pStyle w:val="39"/>
              <w:spacing w:before="0" w:beforeAutospacing="0" w:after="0" w:afterAutospacing="0"/>
              <w:jc w:val="center"/>
              <w:rPr>
                <w:rFonts w:ascii="Times New Roman" w:hAnsi="Times New Roman"/>
              </w:rPr>
            </w:pPr>
            <w:r>
              <w:rPr>
                <w:rFonts w:ascii="Times New Roman" w:hAnsi="Times New Roman"/>
              </w:rPr>
              <w:t>技术要求和商务要求</w:t>
            </w:r>
          </w:p>
        </w:tc>
        <w:tc>
          <w:tcPr>
            <w:tcW w:w="2852" w:type="dxa"/>
            <w:vAlign w:val="center"/>
          </w:tcPr>
          <w:p>
            <w:pPr>
              <w:pStyle w:val="39"/>
              <w:spacing w:before="0" w:beforeAutospacing="0" w:after="0" w:afterAutospacing="0"/>
              <w:jc w:val="center"/>
              <w:rPr>
                <w:rFonts w:ascii="Times New Roman" w:hAnsi="Times New Roman"/>
              </w:rPr>
            </w:pPr>
            <w:r>
              <w:rPr>
                <w:rFonts w:ascii="Times New Roman" w:hAnsi="Times New Roman"/>
              </w:rPr>
              <w:t>响应情况</w:t>
            </w:r>
            <w:r>
              <w:rPr>
                <w:rFonts w:hint="eastAsia" w:ascii="Times New Roman" w:hAnsi="Times New Roman"/>
              </w:rPr>
              <w:t>（填报“响应或完全响应”）</w:t>
            </w:r>
          </w:p>
        </w:tc>
        <w:tc>
          <w:tcPr>
            <w:tcW w:w="1308" w:type="dxa"/>
            <w:vAlign w:val="center"/>
          </w:tcPr>
          <w:p>
            <w:pPr>
              <w:pStyle w:val="39"/>
              <w:spacing w:before="0" w:beforeAutospacing="0" w:after="0" w:afterAutospacing="0"/>
              <w:jc w:val="center"/>
              <w:rPr>
                <w:rFonts w:ascii="Times New Roman" w:hAnsi="Times New Roman"/>
              </w:rPr>
            </w:pPr>
            <w:r>
              <w:rPr>
                <w:rFonts w:hint="eastAsia" w:ascii="Times New Roman" w:hAnsi="Times New Roman"/>
              </w:rPr>
              <w:t>偏离（填报“正偏离、符合或负偏离”）</w:t>
            </w:r>
          </w:p>
        </w:tc>
        <w:tc>
          <w:tcPr>
            <w:tcW w:w="1173" w:type="dxa"/>
            <w:vAlign w:val="center"/>
          </w:tcPr>
          <w:p>
            <w:pPr>
              <w:jc w:val="center"/>
              <w:rPr>
                <w:sz w:val="24"/>
                <w:szCs w:val="24"/>
              </w:rPr>
            </w:pPr>
            <w:r>
              <w:rPr>
                <w:rFonts w:hint="eastAsia"/>
                <w:sz w:val="24"/>
                <w:szCs w:val="24"/>
              </w:rPr>
              <w:t>证明</w:t>
            </w:r>
          </w:p>
          <w:p>
            <w:pPr>
              <w:jc w:val="center"/>
              <w:rPr>
                <w:rFonts w:hint="eastAsia" w:eastAsia="宋体"/>
                <w:sz w:val="24"/>
                <w:szCs w:val="24"/>
                <w:lang w:eastAsia="zh-CN"/>
              </w:rPr>
            </w:pPr>
            <w:r>
              <w:rPr>
                <w:rFonts w:hint="eastAsia"/>
                <w:sz w:val="24"/>
                <w:szCs w:val="24"/>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sz w:val="24"/>
                <w:szCs w:val="24"/>
              </w:rPr>
            </w:pPr>
          </w:p>
        </w:tc>
        <w:tc>
          <w:tcPr>
            <w:tcW w:w="3291" w:type="dxa"/>
          </w:tcPr>
          <w:p>
            <w:pPr>
              <w:jc w:val="center"/>
              <w:rPr>
                <w:sz w:val="24"/>
                <w:szCs w:val="24"/>
              </w:rPr>
            </w:pPr>
            <w:r>
              <w:rPr>
                <w:sz w:val="24"/>
                <w:szCs w:val="24"/>
              </w:rPr>
              <w:t>……</w:t>
            </w:r>
          </w:p>
        </w:tc>
        <w:tc>
          <w:tcPr>
            <w:tcW w:w="2852" w:type="dxa"/>
          </w:tcPr>
          <w:p>
            <w:pPr>
              <w:jc w:val="center"/>
              <w:rPr>
                <w:sz w:val="24"/>
                <w:szCs w:val="24"/>
              </w:rPr>
            </w:pPr>
          </w:p>
        </w:tc>
        <w:tc>
          <w:tcPr>
            <w:tcW w:w="1308" w:type="dxa"/>
          </w:tcPr>
          <w:p>
            <w:pPr>
              <w:jc w:val="center"/>
              <w:rPr>
                <w:sz w:val="24"/>
                <w:szCs w:val="24"/>
              </w:rPr>
            </w:pPr>
          </w:p>
        </w:tc>
        <w:tc>
          <w:tcPr>
            <w:tcW w:w="1173" w:type="dxa"/>
          </w:tcPr>
          <w:p>
            <w:pPr>
              <w:jc w:val="center"/>
              <w:rPr>
                <w:sz w:val="24"/>
                <w:szCs w:val="24"/>
              </w:rPr>
            </w:pPr>
          </w:p>
        </w:tc>
      </w:tr>
    </w:tbl>
    <w:p>
      <w:pPr>
        <w:spacing w:line="588" w:lineRule="exact"/>
        <w:rPr>
          <w:sz w:val="24"/>
        </w:rPr>
      </w:pPr>
      <w:r>
        <w:rPr>
          <w:sz w:val="24"/>
        </w:rPr>
        <w:t>1.</w:t>
      </w:r>
      <w:r>
        <w:rPr>
          <w:rFonts w:hint="eastAsia"/>
          <w:sz w:val="24"/>
        </w:rPr>
        <w:t>投标人</w:t>
      </w:r>
      <w:r>
        <w:rPr>
          <w:sz w:val="24"/>
        </w:rPr>
        <w:t>必须对技术要求和商务要求做出明确响应，否则作无效响应处理。</w:t>
      </w:r>
    </w:p>
    <w:p>
      <w:pPr>
        <w:spacing w:line="588" w:lineRule="exact"/>
        <w:rPr>
          <w:sz w:val="24"/>
        </w:rPr>
      </w:pPr>
      <w:r>
        <w:rPr>
          <w:sz w:val="24"/>
        </w:rPr>
        <w:t>2.如果采购文件要求提供证明材料，</w:t>
      </w:r>
      <w:r>
        <w:rPr>
          <w:rFonts w:hint="eastAsia"/>
          <w:sz w:val="24"/>
        </w:rPr>
        <w:t>投标人</w:t>
      </w:r>
      <w:r>
        <w:rPr>
          <w:sz w:val="24"/>
        </w:rPr>
        <w:t>必须将证明材料列于该表之下。</w:t>
      </w:r>
    </w:p>
    <w:p>
      <w:pPr>
        <w:spacing w:line="588" w:lineRule="exact"/>
        <w:rPr>
          <w:sz w:val="24"/>
        </w:rPr>
      </w:pPr>
      <w:r>
        <w:rPr>
          <w:sz w:val="24"/>
        </w:rPr>
        <w:t>3.</w:t>
      </w:r>
      <w:r>
        <w:rPr>
          <w:rFonts w:hint="eastAsia"/>
          <w:sz w:val="24"/>
        </w:rPr>
        <w:t>投标人</w:t>
      </w:r>
      <w:r>
        <w:rPr>
          <w:sz w:val="24"/>
        </w:rPr>
        <w:t>未对技术要求和商务要求作出明确响应的，或未按采购文件要求提供证明材料的，该分包作无效响应处理。</w:t>
      </w:r>
    </w:p>
    <w:p>
      <w:pPr>
        <w:spacing w:line="588" w:lineRule="exact"/>
        <w:rPr>
          <w:sz w:val="24"/>
        </w:rPr>
      </w:pPr>
      <w:r>
        <w:rPr>
          <w:rFonts w:hint="eastAsia"/>
          <w:sz w:val="24"/>
        </w:rPr>
        <w:t>4.行数不够，可自行添加。</w:t>
      </w:r>
    </w:p>
    <w:p>
      <w:pPr>
        <w:jc w:val="center"/>
        <w:rPr>
          <w:rFonts w:eastAsia="黑体"/>
          <w:b/>
          <w:sz w:val="36"/>
        </w:rPr>
      </w:pPr>
    </w:p>
    <w:p>
      <w:pPr>
        <w:pStyle w:val="135"/>
        <w:outlineLvl w:val="1"/>
        <w:rPr>
          <w:rFonts w:ascii="Times New Roman" w:hAnsi="Times New Roman"/>
        </w:rPr>
      </w:pPr>
    </w:p>
    <w:p>
      <w:pPr>
        <w:pStyle w:val="135"/>
        <w:outlineLvl w:val="1"/>
        <w:rPr>
          <w:rFonts w:ascii="Times New Roman" w:hAnsi="Times New Roman"/>
        </w:rPr>
      </w:pPr>
    </w:p>
    <w:p>
      <w:pPr>
        <w:pStyle w:val="135"/>
        <w:outlineLvl w:val="1"/>
        <w:rPr>
          <w:rFonts w:ascii="Times New Roman" w:hAnsi="Times New Roman"/>
        </w:rPr>
      </w:pPr>
    </w:p>
    <w:p>
      <w:pPr>
        <w:pStyle w:val="135"/>
        <w:outlineLvl w:val="1"/>
        <w:rPr>
          <w:rFonts w:ascii="Times New Roman" w:hAnsi="Times New Roman"/>
        </w:rPr>
      </w:pPr>
    </w:p>
    <w:p>
      <w:pPr>
        <w:pStyle w:val="135"/>
        <w:outlineLvl w:val="1"/>
        <w:rPr>
          <w:rFonts w:ascii="Times New Roman" w:hAnsi="Times New Roman"/>
        </w:rPr>
      </w:pPr>
      <w:r>
        <w:rPr>
          <w:rFonts w:hint="eastAsia" w:ascii="Times New Roman" w:hAnsi="Times New Roman"/>
        </w:rPr>
        <w:t>十、</w:t>
      </w:r>
      <w:r>
        <w:rPr>
          <w:rFonts w:ascii="Times New Roman" w:hAnsi="Times New Roman"/>
        </w:rPr>
        <w:t>项目组人员</w:t>
      </w:r>
    </w:p>
    <w:p>
      <w:pPr>
        <w:pStyle w:val="39"/>
        <w:spacing w:line="600" w:lineRule="exact"/>
        <w:jc w:val="center"/>
        <w:rPr>
          <w:rFonts w:ascii="Times New Roman" w:hAnsi="Times New Roman"/>
          <w:b/>
          <w:bCs/>
          <w:sz w:val="32"/>
          <w:szCs w:val="32"/>
        </w:rPr>
      </w:pPr>
      <w:r>
        <w:rPr>
          <w:rFonts w:hint="eastAsia" w:ascii="Times New Roman" w:hAnsi="Times New Roman"/>
          <w:b/>
          <w:bCs/>
          <w:sz w:val="32"/>
          <w:szCs w:val="32"/>
          <w:lang w:bidi="ar"/>
        </w:rPr>
        <w:t>项目组成员</w:t>
      </w:r>
    </w:p>
    <w:tbl>
      <w:tblPr>
        <w:tblStyle w:val="4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beforeAutospacing="1" w:line="560" w:lineRule="exact"/>
              <w:rPr>
                <w:rFonts w:eastAsia="仿宋_GB2312" w:cs="仿宋_GB2312"/>
                <w:sz w:val="28"/>
                <w:szCs w:val="28"/>
              </w:rPr>
            </w:pPr>
            <w:r>
              <w:rPr>
                <w:rFonts w:eastAsia="仿宋_GB2312" w:cs="仿宋_GB2312"/>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39"/>
              <w:jc w:val="center"/>
              <w:rPr>
                <w:rFonts w:hint="eastAsia" w:ascii="Times New Roman" w:hAnsi="Times New Roman" w:eastAsia="仿宋_GB2312"/>
                <w:sz w:val="20"/>
                <w:szCs w:val="20"/>
                <w:lang w:eastAsia="zh-CN"/>
              </w:rPr>
            </w:pPr>
            <w:r>
              <w:rPr>
                <w:rFonts w:hint="eastAsia" w:ascii="Times New Roman" w:hAnsi="Times New Roman" w:eastAsia="仿宋_GB2312" w:cs="仿宋_GB2312"/>
                <w:sz w:val="28"/>
                <w:szCs w:val="28"/>
                <w:lang w:bidi="ar"/>
              </w:rPr>
              <w:t>项目</w:t>
            </w:r>
            <w:r>
              <w:rPr>
                <w:rFonts w:hint="eastAsia" w:ascii="Times New Roman" w:hAnsi="Times New Roman" w:eastAsia="仿宋_GB2312" w:cs="仿宋_GB2312"/>
                <w:sz w:val="28"/>
                <w:szCs w:val="28"/>
                <w:lang w:val="en-US" w:eastAsia="zh-CN" w:bidi="ar"/>
              </w:rPr>
              <w:t>负责人</w:t>
            </w: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39"/>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39"/>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pPr>
              <w:pStyle w:val="136"/>
              <w:widowControl/>
              <w:spacing w:line="560" w:lineRule="exact"/>
              <w:ind w:firstLine="560"/>
              <w:jc w:val="center"/>
              <w:rPr>
                <w:rFonts w:eastAsia="仿宋_GB2312" w:cs="仿宋_GB2312"/>
                <w:sz w:val="28"/>
                <w:szCs w:val="28"/>
              </w:rPr>
            </w:pPr>
          </w:p>
        </w:tc>
      </w:tr>
    </w:tbl>
    <w:p>
      <w:pPr>
        <w:pStyle w:val="39"/>
        <w:spacing w:line="460" w:lineRule="exact"/>
        <w:ind w:firstLine="398"/>
        <w:rPr>
          <w:rFonts w:ascii="Times New Roman" w:hAnsi="Times New Roman" w:eastAsia="仿宋_GB2312" w:cs="仿宋_GB2312"/>
        </w:rPr>
      </w:pPr>
      <w:r>
        <w:rPr>
          <w:rFonts w:ascii="Times New Roman" w:hAnsi="Times New Roman" w:eastAsia="仿宋_GB2312" w:cs="仿宋_GB2312"/>
          <w:b/>
          <w:lang w:bidi="ar"/>
        </w:rPr>
        <w:t>注：如供应商中标，项目组成员必须按本表承诺人员操作，不得随意更换。按投标文件要求附相关人员证书。</w:t>
      </w:r>
    </w:p>
    <w:p>
      <w:pPr>
        <w:pStyle w:val="39"/>
        <w:spacing w:line="500" w:lineRule="exact"/>
        <w:ind w:firstLine="280"/>
        <w:rPr>
          <w:rFonts w:ascii="Times New Roman" w:hAnsi="Times New Roman" w:eastAsia="仿宋_GB2312" w:cs="仿宋_GB2312"/>
        </w:rPr>
      </w:pPr>
    </w:p>
    <w:p>
      <w:pPr>
        <w:pStyle w:val="137"/>
        <w:spacing w:line="500" w:lineRule="exact"/>
        <w:rPr>
          <w:rFonts w:hint="default" w:eastAsia="黑体"/>
          <w:lang w:val="en-US" w:eastAsia="zh-CN"/>
        </w:rPr>
      </w:pPr>
      <w:r>
        <w:rPr/>
        <w:br w:type="page" w:clear="all"/>
      </w:r>
      <w:bookmarkStart w:id="223" w:name="_Toc11176"/>
      <w:r>
        <w:rPr>
          <w:rFonts w:hint="eastAsia" w:eastAsia="黑体" w:cs="黑体"/>
          <w:b/>
          <w:sz w:val="32"/>
        </w:rPr>
        <w:t>十一、</w:t>
      </w:r>
      <w:bookmarkEnd w:id="223"/>
      <w:r>
        <w:rPr>
          <w:rFonts w:hint="eastAsia" w:eastAsia="黑体" w:cs="黑体"/>
          <w:b/>
          <w:sz w:val="32"/>
        </w:rPr>
        <w:t>企业业绩</w:t>
      </w:r>
      <w:r>
        <w:rPr>
          <w:rFonts w:hint="eastAsia" w:eastAsia="黑体" w:cs="黑体"/>
          <w:b/>
          <w:sz w:val="32"/>
          <w:lang w:eastAsia="zh-CN"/>
        </w:rPr>
        <w:t>（</w:t>
      </w:r>
      <w:r>
        <w:rPr>
          <w:rFonts w:hint="eastAsia" w:eastAsia="黑体" w:cs="黑体"/>
          <w:b/>
          <w:sz w:val="32"/>
          <w:lang w:val="en-US" w:eastAsia="zh-CN"/>
        </w:rPr>
        <w:t>如有）</w:t>
      </w:r>
    </w:p>
    <w:p>
      <w:pPr>
        <w:pStyle w:val="138"/>
        <w:jc w:val="center"/>
        <w:rPr>
          <w:rFonts w:hint="eastAsia" w:ascii="Times New Roman" w:hAnsi="Times New Roman" w:eastAsia="宋体"/>
          <w:b/>
          <w:sz w:val="32"/>
          <w:szCs w:val="32"/>
          <w:lang w:eastAsia="zh-CN"/>
        </w:rPr>
      </w:pPr>
      <w:r>
        <w:rPr>
          <w:rFonts w:hint="eastAsia" w:ascii="Times New Roman" w:hAnsi="Times New Roman"/>
          <w:b/>
          <w:sz w:val="32"/>
          <w:szCs w:val="32"/>
        </w:rPr>
        <w:t>投标人承担类似项目业绩一览表</w:t>
      </w:r>
    </w:p>
    <w:tbl>
      <w:tblPr>
        <w:tblStyle w:val="4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pPr>
              <w:pStyle w:val="139"/>
              <w:spacing w:line="560" w:lineRule="exact"/>
              <w:jc w:val="center"/>
              <w:rPr>
                <w:rFonts w:eastAsia="仿宋_GB2312"/>
                <w:sz w:val="28"/>
                <w:szCs w:val="28"/>
              </w:rPr>
            </w:pPr>
            <w:r>
              <w:rPr>
                <w:rFonts w:hint="eastAsia" w:eastAsia="仿宋_GB2312"/>
                <w:sz w:val="28"/>
                <w:szCs w:val="28"/>
              </w:rPr>
              <w:t>序号</w:t>
            </w:r>
          </w:p>
        </w:tc>
        <w:tc>
          <w:tcPr>
            <w:tcW w:w="3827" w:type="dxa"/>
            <w:vAlign w:val="center"/>
          </w:tcPr>
          <w:p>
            <w:pPr>
              <w:pStyle w:val="139"/>
              <w:spacing w:line="560" w:lineRule="exact"/>
              <w:jc w:val="center"/>
              <w:rPr>
                <w:rFonts w:eastAsia="仿宋_GB2312"/>
                <w:sz w:val="28"/>
                <w:szCs w:val="28"/>
              </w:rPr>
            </w:pPr>
            <w:r>
              <w:rPr>
                <w:rFonts w:hint="eastAsia" w:eastAsia="仿宋_GB2312"/>
                <w:sz w:val="28"/>
                <w:szCs w:val="28"/>
              </w:rPr>
              <w:t>项目名称</w:t>
            </w:r>
          </w:p>
        </w:tc>
        <w:tc>
          <w:tcPr>
            <w:tcW w:w="2433" w:type="dxa"/>
            <w:vAlign w:val="center"/>
          </w:tcPr>
          <w:p>
            <w:pPr>
              <w:pStyle w:val="139"/>
              <w:spacing w:line="560" w:lineRule="exact"/>
              <w:jc w:val="center"/>
              <w:rPr>
                <w:rFonts w:eastAsia="仿宋_GB2312"/>
                <w:sz w:val="28"/>
                <w:szCs w:val="28"/>
              </w:rPr>
            </w:pPr>
            <w:r>
              <w:rPr>
                <w:rFonts w:hint="eastAsia" w:eastAsia="仿宋_GB2312"/>
                <w:sz w:val="28"/>
                <w:szCs w:val="28"/>
              </w:rPr>
              <w:t>采购单位</w:t>
            </w:r>
          </w:p>
        </w:tc>
        <w:tc>
          <w:tcPr>
            <w:tcW w:w="1395" w:type="dxa"/>
            <w:vAlign w:val="center"/>
          </w:tcPr>
          <w:p>
            <w:pPr>
              <w:pStyle w:val="139"/>
              <w:spacing w:line="560" w:lineRule="exact"/>
              <w:jc w:val="center"/>
              <w:rPr>
                <w:rFonts w:eastAsia="仿宋_GB2312"/>
                <w:sz w:val="28"/>
                <w:szCs w:val="28"/>
              </w:rPr>
            </w:pPr>
            <w:r>
              <w:rPr>
                <w:rFonts w:hint="eastAsia" w:eastAsia="仿宋_GB2312"/>
                <w:sz w:val="28"/>
                <w:szCs w:val="28"/>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pPr>
              <w:pStyle w:val="139"/>
              <w:spacing w:line="560" w:lineRule="exact"/>
              <w:jc w:val="center"/>
              <w:rPr>
                <w:rFonts w:eastAsia="仿宋_GB2312"/>
                <w:sz w:val="28"/>
              </w:rPr>
            </w:pPr>
          </w:p>
        </w:tc>
        <w:tc>
          <w:tcPr>
            <w:tcW w:w="3827" w:type="dxa"/>
            <w:vAlign w:val="center"/>
          </w:tcPr>
          <w:p>
            <w:pPr>
              <w:pStyle w:val="139"/>
              <w:spacing w:line="560" w:lineRule="exact"/>
              <w:jc w:val="center"/>
              <w:rPr>
                <w:rFonts w:eastAsia="仿宋_GB2312"/>
                <w:sz w:val="28"/>
              </w:rPr>
            </w:pPr>
          </w:p>
        </w:tc>
        <w:tc>
          <w:tcPr>
            <w:tcW w:w="2433" w:type="dxa"/>
            <w:vAlign w:val="center"/>
          </w:tcPr>
          <w:p>
            <w:pPr>
              <w:pStyle w:val="139"/>
              <w:spacing w:line="560" w:lineRule="exact"/>
              <w:jc w:val="center"/>
              <w:rPr>
                <w:rFonts w:eastAsia="仿宋_GB2312"/>
                <w:sz w:val="28"/>
              </w:rPr>
            </w:pPr>
          </w:p>
        </w:tc>
        <w:tc>
          <w:tcPr>
            <w:tcW w:w="1395" w:type="dxa"/>
            <w:vAlign w:val="center"/>
          </w:tcPr>
          <w:p>
            <w:pPr>
              <w:pStyle w:val="139"/>
              <w:spacing w:line="560" w:lineRule="exact"/>
              <w:jc w:val="center"/>
              <w:rPr>
                <w:rFonts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pPr>
              <w:pStyle w:val="139"/>
              <w:spacing w:line="560" w:lineRule="exact"/>
              <w:jc w:val="center"/>
              <w:rPr>
                <w:rFonts w:eastAsia="仿宋_GB2312"/>
                <w:sz w:val="28"/>
              </w:rPr>
            </w:pPr>
          </w:p>
        </w:tc>
        <w:tc>
          <w:tcPr>
            <w:tcW w:w="3827" w:type="dxa"/>
            <w:vAlign w:val="center"/>
          </w:tcPr>
          <w:p>
            <w:pPr>
              <w:pStyle w:val="139"/>
              <w:spacing w:line="560" w:lineRule="exact"/>
              <w:jc w:val="center"/>
              <w:rPr>
                <w:rFonts w:eastAsia="仿宋_GB2312"/>
                <w:sz w:val="28"/>
              </w:rPr>
            </w:pPr>
          </w:p>
        </w:tc>
        <w:tc>
          <w:tcPr>
            <w:tcW w:w="2433" w:type="dxa"/>
            <w:vAlign w:val="center"/>
          </w:tcPr>
          <w:p>
            <w:pPr>
              <w:pStyle w:val="139"/>
              <w:spacing w:line="560" w:lineRule="exact"/>
              <w:jc w:val="center"/>
              <w:rPr>
                <w:rFonts w:eastAsia="仿宋_GB2312"/>
                <w:sz w:val="28"/>
              </w:rPr>
            </w:pPr>
          </w:p>
        </w:tc>
        <w:tc>
          <w:tcPr>
            <w:tcW w:w="1395" w:type="dxa"/>
            <w:vAlign w:val="center"/>
          </w:tcPr>
          <w:p>
            <w:pPr>
              <w:pStyle w:val="139"/>
              <w:spacing w:line="560" w:lineRule="exact"/>
              <w:jc w:val="center"/>
              <w:rPr>
                <w:rFonts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pPr>
              <w:pStyle w:val="139"/>
              <w:spacing w:line="560" w:lineRule="exact"/>
              <w:jc w:val="center"/>
              <w:rPr>
                <w:rFonts w:eastAsia="仿宋_GB2312"/>
                <w:sz w:val="28"/>
              </w:rPr>
            </w:pPr>
          </w:p>
        </w:tc>
        <w:tc>
          <w:tcPr>
            <w:tcW w:w="3827" w:type="dxa"/>
            <w:vAlign w:val="center"/>
          </w:tcPr>
          <w:p>
            <w:pPr>
              <w:pStyle w:val="139"/>
              <w:spacing w:line="560" w:lineRule="exact"/>
              <w:jc w:val="center"/>
              <w:rPr>
                <w:rFonts w:eastAsia="仿宋_GB2312"/>
                <w:sz w:val="28"/>
              </w:rPr>
            </w:pPr>
          </w:p>
        </w:tc>
        <w:tc>
          <w:tcPr>
            <w:tcW w:w="2433" w:type="dxa"/>
            <w:vAlign w:val="center"/>
          </w:tcPr>
          <w:p>
            <w:pPr>
              <w:pStyle w:val="139"/>
              <w:spacing w:line="560" w:lineRule="exact"/>
              <w:jc w:val="center"/>
              <w:rPr>
                <w:rFonts w:eastAsia="仿宋_GB2312"/>
                <w:sz w:val="28"/>
              </w:rPr>
            </w:pPr>
          </w:p>
        </w:tc>
        <w:tc>
          <w:tcPr>
            <w:tcW w:w="1395" w:type="dxa"/>
            <w:vAlign w:val="center"/>
          </w:tcPr>
          <w:p>
            <w:pPr>
              <w:pStyle w:val="139"/>
              <w:spacing w:line="560" w:lineRule="exact"/>
              <w:jc w:val="center"/>
              <w:rPr>
                <w:rFonts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pPr>
              <w:pStyle w:val="139"/>
              <w:spacing w:line="560" w:lineRule="exact"/>
              <w:jc w:val="center"/>
              <w:rPr>
                <w:rFonts w:eastAsia="仿宋_GB2312"/>
                <w:sz w:val="28"/>
              </w:rPr>
            </w:pPr>
          </w:p>
        </w:tc>
        <w:tc>
          <w:tcPr>
            <w:tcW w:w="3827" w:type="dxa"/>
            <w:vAlign w:val="center"/>
          </w:tcPr>
          <w:p>
            <w:pPr>
              <w:pStyle w:val="139"/>
              <w:spacing w:line="560" w:lineRule="exact"/>
              <w:jc w:val="center"/>
              <w:rPr>
                <w:rFonts w:eastAsia="仿宋_GB2312"/>
                <w:sz w:val="28"/>
              </w:rPr>
            </w:pPr>
          </w:p>
        </w:tc>
        <w:tc>
          <w:tcPr>
            <w:tcW w:w="2433" w:type="dxa"/>
            <w:vAlign w:val="center"/>
          </w:tcPr>
          <w:p>
            <w:pPr>
              <w:pStyle w:val="139"/>
              <w:spacing w:line="560" w:lineRule="exact"/>
              <w:jc w:val="center"/>
              <w:rPr>
                <w:rFonts w:eastAsia="仿宋_GB2312"/>
                <w:sz w:val="28"/>
              </w:rPr>
            </w:pPr>
          </w:p>
        </w:tc>
        <w:tc>
          <w:tcPr>
            <w:tcW w:w="1395" w:type="dxa"/>
            <w:vAlign w:val="center"/>
          </w:tcPr>
          <w:p>
            <w:pPr>
              <w:pStyle w:val="139"/>
              <w:spacing w:line="560" w:lineRule="exact"/>
              <w:jc w:val="center"/>
              <w:rPr>
                <w:rFonts w:eastAsia="仿宋_GB2312"/>
                <w:sz w:val="28"/>
              </w:rPr>
            </w:pPr>
          </w:p>
        </w:tc>
      </w:tr>
    </w:tbl>
    <w:p>
      <w:pPr>
        <w:pStyle w:val="138"/>
        <w:rPr>
          <w:rFonts w:ascii="Times New Roman" w:hAnsi="Times New Roman"/>
        </w:rPr>
      </w:pPr>
      <w:r>
        <w:rPr>
          <w:rFonts w:hint="eastAsia" w:ascii="Times New Roman" w:hAnsi="Times New Roman" w:eastAsia="仿宋_GB2312"/>
          <w:b/>
          <w:sz w:val="24"/>
        </w:rPr>
        <w:t>注：请填写此表，并按要求上传业绩资料电子件。</w:t>
      </w:r>
    </w:p>
    <w:p>
      <w:pPr>
        <w:pStyle w:val="140"/>
        <w:outlineLvl w:val="1"/>
        <w:rPr>
          <w:rFonts w:ascii="Times New Roman" w:hAnsi="Times New Roman"/>
        </w:rPr>
      </w:pPr>
      <w:r>
        <w:rPr>
          <w:rFonts w:ascii="Times New Roman" w:hAnsi="Times New Roman"/>
        </w:rPr>
        <w:br w:type="page" w:clear="all"/>
      </w:r>
      <w:bookmarkStart w:id="224" w:name="_Toc28140"/>
      <w:r>
        <w:rPr>
          <w:rFonts w:hint="eastAsia" w:ascii="Times New Roman" w:hAnsi="Times New Roman"/>
        </w:rPr>
        <w:t>十二</w:t>
      </w:r>
      <w:r>
        <w:rPr>
          <w:rFonts w:ascii="Times New Roman" w:hAnsi="Times New Roman"/>
        </w:rPr>
        <w:t>、投标所需其他材料</w:t>
      </w:r>
      <w:bookmarkEnd w:id="224"/>
    </w:p>
    <w:p>
      <w:pPr>
        <w:pStyle w:val="141"/>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p>
    <w:p>
      <w:pPr>
        <w:rPr>
          <w:sz w:val="20"/>
          <w:highlight w:val="white"/>
        </w:rPr>
      </w:pPr>
      <w:r>
        <w:rPr>
          <w:rFonts w:hint="eastAsia"/>
          <w:sz w:val="20"/>
          <w:highlight w:val="white"/>
        </w:rPr>
        <w:t xml:space="preserve"> </w:t>
      </w:r>
    </w:p>
    <w:p/>
    <w:p>
      <w:pPr>
        <w:rPr>
          <w:rFonts w:eastAsia="黑体"/>
          <w:sz w:val="32"/>
        </w:rPr>
      </w:pPr>
    </w:p>
    <w:p>
      <w:pPr>
        <w:rPr>
          <w:rFonts w:eastAsia="黑体"/>
          <w:sz w:val="32"/>
        </w:rPr>
      </w:pPr>
    </w:p>
    <w:p>
      <w:pPr>
        <w:rPr>
          <w:rFonts w:eastAsia="黑体"/>
          <w:sz w:val="32"/>
        </w:rPr>
      </w:pPr>
    </w:p>
    <w:p>
      <w:pPr>
        <w:rPr>
          <w:rFonts w:eastAsia="黑体"/>
          <w:sz w:val="32"/>
        </w:rPr>
      </w:pPr>
    </w:p>
    <w:bookmarkEnd w:id="219"/>
    <w:p>
      <w:pPr>
        <w:spacing w:line="480" w:lineRule="auto"/>
        <w:rPr>
          <w:sz w:val="24"/>
        </w:rPr>
      </w:pPr>
    </w:p>
    <w:p>
      <w:pPr>
        <w:spacing w:line="480" w:lineRule="auto"/>
        <w:rPr>
          <w:sz w:val="30"/>
        </w:rPr>
      </w:pPr>
    </w:p>
    <w:p>
      <w:pPr>
        <w:pStyle w:val="6"/>
        <w:ind w:firstLine="0"/>
        <w:rPr>
          <w:sz w:val="24"/>
        </w:rPr>
      </w:pPr>
      <w:bookmarkStart w:id="225" w:name="_Hlt26671374"/>
      <w:bookmarkEnd w:id="225"/>
      <w:bookmarkStart w:id="226" w:name="_Hlt26609389"/>
      <w:bookmarkEnd w:id="226"/>
      <w:bookmarkStart w:id="227" w:name="_Hlt26955066"/>
      <w:bookmarkEnd w:id="227"/>
      <w:bookmarkStart w:id="228" w:name="_Toc462564146"/>
    </w:p>
    <w:p>
      <w:pPr>
        <w:rPr>
          <w:sz w:val="24"/>
        </w:rPr>
      </w:pPr>
    </w:p>
    <w:p>
      <w:pPr>
        <w:pStyle w:val="87"/>
        <w:ind w:firstLine="480"/>
        <w:rPr>
          <w:rFonts w:ascii="Times New Roman" w:hAnsi="Times New Roman"/>
          <w:sz w:val="24"/>
        </w:rPr>
      </w:pPr>
    </w:p>
    <w:p>
      <w:pPr>
        <w:pStyle w:val="87"/>
        <w:ind w:firstLine="480"/>
        <w:rPr>
          <w:rFonts w:ascii="Times New Roman" w:hAnsi="Times New Roman"/>
          <w:sz w:val="24"/>
        </w:rPr>
      </w:pPr>
    </w:p>
    <w:p>
      <w:pPr>
        <w:pStyle w:val="87"/>
        <w:ind w:firstLine="480"/>
        <w:rPr>
          <w:rFonts w:ascii="Times New Roman" w:hAnsi="Times New Roman"/>
          <w:sz w:val="24"/>
        </w:rPr>
      </w:pPr>
    </w:p>
    <w:p>
      <w:pPr>
        <w:pStyle w:val="87"/>
        <w:ind w:firstLine="480"/>
        <w:rPr>
          <w:rFonts w:ascii="Times New Roman" w:hAnsi="Times New Roman"/>
          <w:sz w:val="24"/>
        </w:rPr>
      </w:pPr>
    </w:p>
    <w:p>
      <w:pPr>
        <w:pStyle w:val="87"/>
        <w:ind w:firstLine="480"/>
        <w:rPr>
          <w:rFonts w:ascii="Times New Roman" w:hAnsi="Times New Roman"/>
          <w:sz w:val="24"/>
        </w:rPr>
      </w:pPr>
    </w:p>
    <w:p>
      <w:pPr>
        <w:pStyle w:val="87"/>
        <w:ind w:firstLine="480"/>
        <w:rPr>
          <w:rFonts w:ascii="Times New Roman" w:hAnsi="Times New Roman"/>
          <w:sz w:val="24"/>
        </w:rPr>
      </w:pPr>
    </w:p>
    <w:bookmarkEnd w:id="228"/>
    <w:p>
      <w:pPr>
        <w:jc w:val="center"/>
        <w:rPr>
          <w:rFonts w:eastAsia="黑体"/>
          <w:b/>
          <w:sz w:val="32"/>
          <w:szCs w:val="32"/>
        </w:rPr>
      </w:pPr>
      <w:bookmarkStart w:id="229" w:name="_格式2__法定代表人授权书"/>
      <w:bookmarkEnd w:id="229"/>
    </w:p>
    <w:p>
      <w:pPr>
        <w:jc w:val="center"/>
        <w:rPr>
          <w:rFonts w:eastAsia="黑体"/>
          <w:b/>
          <w:sz w:val="32"/>
          <w:szCs w:val="32"/>
        </w:rPr>
      </w:pPr>
    </w:p>
    <w:p>
      <w:pPr>
        <w:rPr>
          <w:rFonts w:eastAsia="黑体"/>
          <w:b/>
          <w:sz w:val="32"/>
          <w:szCs w:val="32"/>
        </w:rPr>
      </w:pPr>
    </w:p>
    <w:p>
      <w:pPr>
        <w:rPr>
          <w:rFonts w:eastAsia="黑体"/>
          <w:b/>
          <w:sz w:val="32"/>
          <w:szCs w:val="32"/>
        </w:rPr>
      </w:pPr>
    </w:p>
    <w:p>
      <w:pPr>
        <w:rPr>
          <w:rFonts w:eastAsia="黑体"/>
          <w:b/>
          <w:sz w:val="32"/>
          <w:szCs w:val="32"/>
        </w:rPr>
      </w:pPr>
    </w:p>
    <w:p>
      <w:pPr>
        <w:jc w:val="center"/>
        <w:rPr>
          <w:rFonts w:cs="仿宋"/>
          <w:b/>
          <w:bCs/>
          <w:sz w:val="32"/>
          <w:szCs w:val="32"/>
        </w:rPr>
      </w:pPr>
    </w:p>
    <w:p>
      <w:pPr>
        <w:jc w:val="center"/>
        <w:rPr>
          <w:rFonts w:cs="仿宋"/>
          <w:b/>
          <w:bCs/>
          <w:sz w:val="32"/>
          <w:szCs w:val="32"/>
        </w:rPr>
      </w:pPr>
      <w:r>
        <w:rPr>
          <w:rFonts w:hint="eastAsia" w:cs="仿宋"/>
          <w:b/>
          <w:bCs/>
          <w:sz w:val="32"/>
          <w:szCs w:val="32"/>
        </w:rPr>
        <w:t>质疑函范本</w:t>
      </w:r>
    </w:p>
    <w:p>
      <w:pPr>
        <w:adjustRightInd w:val="0"/>
        <w:snapToGrid w:val="0"/>
        <w:spacing w:before="290" w:beforeLines="100" w:line="360" w:lineRule="auto"/>
        <w:rPr>
          <w:rFonts w:cs="仿宋"/>
          <w:bCs/>
          <w:sz w:val="24"/>
          <w:szCs w:val="24"/>
        </w:rPr>
      </w:pPr>
      <w:r>
        <w:rPr>
          <w:rFonts w:hint="eastAsia" w:cs="仿宋"/>
          <w:bCs/>
          <w:sz w:val="24"/>
          <w:szCs w:val="24"/>
        </w:rPr>
        <w:t>一、质疑投标人基本信息</w:t>
      </w:r>
    </w:p>
    <w:p>
      <w:pPr>
        <w:adjustRightInd w:val="0"/>
        <w:snapToGrid w:val="0"/>
        <w:spacing w:line="360" w:lineRule="auto"/>
        <w:rPr>
          <w:rFonts w:cs="仿宋"/>
          <w:sz w:val="24"/>
          <w:szCs w:val="24"/>
          <w:u w:val="dotted"/>
        </w:rPr>
      </w:pPr>
      <w:r>
        <w:rPr>
          <w:rFonts w:hint="eastAsia" w:cs="仿宋"/>
          <w:sz w:val="24"/>
          <w:szCs w:val="24"/>
        </w:rPr>
        <w:t>质疑投标人：</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地址：</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联系人：</w:t>
      </w:r>
      <w:r>
        <w:rPr>
          <w:rFonts w:hint="eastAsia" w:cs="仿宋"/>
          <w:sz w:val="24"/>
          <w:szCs w:val="24"/>
          <w:u w:val="dotted"/>
        </w:rPr>
        <w:t xml:space="preserve">                      </w:t>
      </w:r>
      <w:r>
        <w:rPr>
          <w:rFonts w:hint="eastAsia" w:cs="仿宋"/>
          <w:sz w:val="24"/>
          <w:szCs w:val="24"/>
        </w:rPr>
        <w:t>联系电话：</w:t>
      </w: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rPr>
        <w:t>授权代表：</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联系电话：</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地址：</w:t>
      </w:r>
      <w:r>
        <w:rPr>
          <w:rFonts w:cs="仿宋"/>
          <w:sz w:val="24"/>
          <w:szCs w:val="24"/>
        </w:rPr>
        <w:t xml:space="preserve"> </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pPr>
        <w:adjustRightInd w:val="0"/>
        <w:snapToGrid w:val="0"/>
        <w:spacing w:line="360" w:lineRule="auto"/>
        <w:rPr>
          <w:rFonts w:cs="仿宋"/>
          <w:bCs/>
          <w:sz w:val="24"/>
          <w:szCs w:val="24"/>
        </w:rPr>
      </w:pPr>
      <w:r>
        <w:rPr>
          <w:rFonts w:hint="eastAsia" w:cs="仿宋"/>
          <w:bCs/>
          <w:sz w:val="24"/>
          <w:szCs w:val="24"/>
        </w:rPr>
        <w:t>二、质疑项目基本情况</w:t>
      </w:r>
    </w:p>
    <w:p>
      <w:pPr>
        <w:adjustRightInd w:val="0"/>
        <w:snapToGrid w:val="0"/>
        <w:spacing w:line="360" w:lineRule="auto"/>
        <w:rPr>
          <w:rFonts w:cs="仿宋"/>
          <w:sz w:val="24"/>
          <w:szCs w:val="24"/>
        </w:rPr>
      </w:pPr>
      <w:r>
        <w:rPr>
          <w:rFonts w:hint="eastAsia" w:cs="仿宋"/>
          <w:sz w:val="24"/>
          <w:szCs w:val="24"/>
        </w:rPr>
        <w:t>质疑项目的名称：</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质疑项目的编号：</w:t>
      </w:r>
      <w:r>
        <w:rPr>
          <w:rFonts w:hint="eastAsia" w:cs="仿宋"/>
          <w:sz w:val="24"/>
          <w:szCs w:val="24"/>
          <w:u w:val="dotted"/>
        </w:rPr>
        <w:t xml:space="preserve">                         </w:t>
      </w:r>
      <w:r>
        <w:rPr>
          <w:rFonts w:hint="eastAsia" w:cs="仿宋"/>
          <w:sz w:val="24"/>
          <w:szCs w:val="24"/>
        </w:rPr>
        <w:t>包号：</w:t>
      </w: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rPr>
        <w:t>采购人名称：</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rPr>
        <w:t>采购文件获取日期：</w:t>
      </w:r>
      <w:r>
        <w:rPr>
          <w:rFonts w:hint="eastAsia" w:cs="仿宋"/>
          <w:sz w:val="24"/>
          <w:szCs w:val="24"/>
          <w:u w:val="dotted"/>
        </w:rPr>
        <w:t xml:space="preserve">                                                        </w:t>
      </w:r>
    </w:p>
    <w:p>
      <w:pPr>
        <w:adjustRightInd w:val="0"/>
        <w:snapToGrid w:val="0"/>
        <w:spacing w:line="360" w:lineRule="auto"/>
        <w:rPr>
          <w:rFonts w:cs="仿宋"/>
          <w:bCs/>
          <w:sz w:val="24"/>
          <w:szCs w:val="24"/>
        </w:rPr>
      </w:pPr>
      <w:r>
        <w:rPr>
          <w:rFonts w:hint="eastAsia" w:cs="仿宋"/>
          <w:bCs/>
          <w:sz w:val="24"/>
          <w:szCs w:val="24"/>
        </w:rPr>
        <w:t>三、质疑事项具体内容</w:t>
      </w:r>
    </w:p>
    <w:p>
      <w:pPr>
        <w:adjustRightInd w:val="0"/>
        <w:snapToGrid w:val="0"/>
        <w:spacing w:line="360" w:lineRule="auto"/>
        <w:rPr>
          <w:rFonts w:cs="仿宋"/>
          <w:sz w:val="24"/>
          <w:szCs w:val="24"/>
          <w:u w:val="dotted"/>
        </w:rPr>
      </w:pPr>
      <w:r>
        <w:rPr>
          <w:rFonts w:hint="eastAsia" w:cs="仿宋"/>
          <w:sz w:val="24"/>
          <w:szCs w:val="24"/>
        </w:rPr>
        <w:t>质疑事项1：</w:t>
      </w: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rPr>
        <w:t>事实依据：</w:t>
      </w:r>
      <w:r>
        <w:rPr>
          <w:rFonts w:hint="eastAsia" w:cs="仿宋"/>
          <w:sz w:val="24"/>
          <w:szCs w:val="24"/>
          <w:u w:val="dotted"/>
        </w:rPr>
        <w:t xml:space="preserve">                                                                </w:t>
      </w:r>
    </w:p>
    <w:p>
      <w:pPr>
        <w:adjustRightInd w:val="0"/>
        <w:snapToGrid w:val="0"/>
        <w:spacing w:line="360" w:lineRule="auto"/>
        <w:rPr>
          <w:rFonts w:cs="仿宋"/>
          <w:sz w:val="24"/>
          <w:szCs w:val="24"/>
        </w:rPr>
      </w:pP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rPr>
        <w:t>法律依据：</w:t>
      </w: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u w:val="dotted"/>
        </w:rPr>
        <w:t xml:space="preserve">                                                                           </w:t>
      </w:r>
    </w:p>
    <w:p>
      <w:pPr>
        <w:adjustRightInd w:val="0"/>
        <w:snapToGrid w:val="0"/>
        <w:spacing w:line="360" w:lineRule="auto"/>
        <w:rPr>
          <w:rFonts w:cs="仿宋"/>
          <w:sz w:val="24"/>
          <w:szCs w:val="24"/>
          <w:u w:val="dotted"/>
        </w:rPr>
      </w:pPr>
      <w:r>
        <w:rPr>
          <w:rFonts w:hint="eastAsia" w:cs="仿宋"/>
          <w:sz w:val="24"/>
          <w:szCs w:val="24"/>
        </w:rPr>
        <w:t>质疑事项2</w:t>
      </w:r>
    </w:p>
    <w:p>
      <w:pPr>
        <w:adjustRightInd w:val="0"/>
        <w:snapToGrid w:val="0"/>
        <w:spacing w:line="360" w:lineRule="auto"/>
        <w:rPr>
          <w:rFonts w:cs="仿宋"/>
          <w:sz w:val="24"/>
          <w:szCs w:val="24"/>
        </w:rPr>
      </w:pPr>
      <w:r>
        <w:rPr>
          <w:rFonts w:hint="eastAsia" w:cs="仿宋"/>
          <w:sz w:val="24"/>
          <w:szCs w:val="24"/>
        </w:rPr>
        <w:t>……</w:t>
      </w:r>
    </w:p>
    <w:p>
      <w:pPr>
        <w:adjustRightInd w:val="0"/>
        <w:snapToGrid w:val="0"/>
        <w:spacing w:line="360" w:lineRule="auto"/>
        <w:rPr>
          <w:rFonts w:cs="仿宋"/>
          <w:bCs/>
          <w:sz w:val="24"/>
          <w:szCs w:val="24"/>
        </w:rPr>
      </w:pPr>
      <w:r>
        <w:rPr>
          <w:rFonts w:hint="eastAsia" w:cs="仿宋"/>
          <w:bCs/>
          <w:sz w:val="24"/>
          <w:szCs w:val="24"/>
        </w:rPr>
        <w:t>四、与质疑事项相关的质疑请求</w:t>
      </w:r>
    </w:p>
    <w:p>
      <w:pPr>
        <w:adjustRightInd w:val="0"/>
        <w:snapToGrid w:val="0"/>
        <w:spacing w:line="360" w:lineRule="auto"/>
        <w:rPr>
          <w:rFonts w:cs="仿宋"/>
          <w:sz w:val="24"/>
          <w:szCs w:val="24"/>
          <w:u w:val="dotted"/>
        </w:rPr>
      </w:pPr>
      <w:r>
        <w:rPr>
          <w:rFonts w:hint="eastAsia" w:cs="仿宋"/>
          <w:sz w:val="24"/>
          <w:szCs w:val="24"/>
        </w:rPr>
        <w:t>请求：</w:t>
      </w:r>
      <w:r>
        <w:rPr>
          <w:rFonts w:hint="eastAsia" w:cs="仿宋"/>
          <w:sz w:val="24"/>
          <w:szCs w:val="24"/>
          <w:u w:val="dotted"/>
        </w:rPr>
        <w:t xml:space="preserve">                                                                     </w:t>
      </w:r>
    </w:p>
    <w:p>
      <w:pPr>
        <w:rPr>
          <w:sz w:val="24"/>
          <w:szCs w:val="24"/>
        </w:rPr>
      </w:pPr>
      <w:r>
        <w:rPr>
          <w:rFonts w:hint="eastAsia"/>
          <w:sz w:val="24"/>
          <w:szCs w:val="24"/>
        </w:rPr>
        <w:t xml:space="preserve">签字(签章)：                   公章：                      </w:t>
      </w:r>
    </w:p>
    <w:p>
      <w:pPr>
        <w:rPr>
          <w:sz w:val="24"/>
          <w:szCs w:val="24"/>
        </w:rPr>
      </w:pPr>
      <w:r>
        <w:rPr>
          <w:rFonts w:hint="eastAsia"/>
          <w:sz w:val="24"/>
          <w:szCs w:val="24"/>
        </w:rPr>
        <w:t xml:space="preserve">日期：    </w:t>
      </w:r>
    </w:p>
    <w:p>
      <w:pPr>
        <w:spacing w:line="400" w:lineRule="exact"/>
        <w:rPr>
          <w:b/>
          <w:sz w:val="24"/>
          <w:szCs w:val="24"/>
        </w:rPr>
      </w:pPr>
      <w:r>
        <w:rPr>
          <w:rFonts w:hint="eastAsia"/>
          <w:b/>
          <w:sz w:val="24"/>
          <w:szCs w:val="24"/>
        </w:rPr>
        <w:t>质疑函制作说明：</w:t>
      </w:r>
    </w:p>
    <w:p>
      <w:pPr>
        <w:widowControl/>
        <w:spacing w:line="400" w:lineRule="exact"/>
        <w:ind w:firstLine="480" w:firstLineChars="200"/>
        <w:jc w:val="left"/>
        <w:rPr>
          <w:sz w:val="24"/>
          <w:szCs w:val="24"/>
        </w:rPr>
      </w:pPr>
      <w:r>
        <w:rPr>
          <w:rFonts w:hint="eastAsia"/>
          <w:sz w:val="24"/>
          <w:szCs w:val="24"/>
        </w:rPr>
        <w:t>1.投标人提出质疑时，应提交质疑函和必要的证明材料。</w:t>
      </w:r>
    </w:p>
    <w:p>
      <w:pPr>
        <w:widowControl/>
        <w:spacing w:line="400" w:lineRule="exact"/>
        <w:ind w:firstLine="480" w:firstLineChars="200"/>
        <w:jc w:val="left"/>
        <w:rPr>
          <w:sz w:val="24"/>
          <w:szCs w:val="24"/>
        </w:rPr>
      </w:pPr>
      <w:r>
        <w:rPr>
          <w:rFonts w:hint="eastAsia"/>
          <w:sz w:val="24"/>
          <w:szCs w:val="24"/>
        </w:rPr>
        <w:t>2.质疑投标人若委托代理人进行质疑的，质疑函应按要求列明“授权代表”的有关内容，并在附件中提交由质疑</w:t>
      </w:r>
      <w:r>
        <w:rPr>
          <w:rFonts w:hint="eastAsia" w:cs="宋体"/>
          <w:kern w:val="0"/>
          <w:sz w:val="24"/>
          <w:szCs w:val="24"/>
        </w:rPr>
        <w:t>投标人签署的授权委托书。授权委托书应载明代理人的姓名或者名称、代理事项、具体权限、期限和相关事项。</w:t>
      </w:r>
    </w:p>
    <w:p>
      <w:pPr>
        <w:widowControl/>
        <w:spacing w:line="400" w:lineRule="exact"/>
        <w:ind w:firstLine="480" w:firstLineChars="200"/>
        <w:jc w:val="left"/>
        <w:rPr>
          <w:sz w:val="24"/>
          <w:szCs w:val="24"/>
        </w:rPr>
      </w:pPr>
      <w:r>
        <w:rPr>
          <w:rFonts w:hint="eastAsia"/>
          <w:sz w:val="24"/>
          <w:szCs w:val="24"/>
        </w:rPr>
        <w:t>3.质疑投标人若对项目的某一分包进行质疑，质疑函中应列明具体分包号。</w:t>
      </w:r>
    </w:p>
    <w:p>
      <w:pPr>
        <w:widowControl/>
        <w:spacing w:line="400" w:lineRule="exact"/>
        <w:ind w:firstLine="480" w:firstLineChars="200"/>
        <w:jc w:val="left"/>
        <w:rPr>
          <w:sz w:val="24"/>
          <w:szCs w:val="24"/>
        </w:rPr>
      </w:pPr>
      <w:r>
        <w:rPr>
          <w:rFonts w:hint="eastAsia"/>
          <w:sz w:val="24"/>
          <w:szCs w:val="24"/>
        </w:rPr>
        <w:t>4.质疑函的质疑事项应具体、明确，并有必要的事实依据和法律依据。</w:t>
      </w:r>
    </w:p>
    <w:p>
      <w:pPr>
        <w:widowControl/>
        <w:spacing w:line="400" w:lineRule="exact"/>
        <w:ind w:firstLine="480" w:firstLineChars="200"/>
        <w:jc w:val="left"/>
        <w:rPr>
          <w:sz w:val="24"/>
          <w:szCs w:val="24"/>
        </w:rPr>
      </w:pPr>
      <w:r>
        <w:rPr>
          <w:rFonts w:hint="eastAsia"/>
          <w:sz w:val="24"/>
          <w:szCs w:val="24"/>
        </w:rPr>
        <w:t>5.质疑函的质疑请求应与质疑事项相关。</w:t>
      </w:r>
    </w:p>
    <w:p>
      <w:pPr>
        <w:widowControl/>
        <w:spacing w:line="400" w:lineRule="exact"/>
        <w:ind w:firstLine="480" w:firstLineChars="200"/>
        <w:jc w:val="left"/>
        <w:rPr>
          <w:sz w:val="24"/>
          <w:szCs w:val="24"/>
        </w:rPr>
      </w:pPr>
      <w:r>
        <w:rPr>
          <w:rFonts w:hint="eastAsia"/>
          <w:sz w:val="24"/>
          <w:szCs w:val="24"/>
        </w:rPr>
        <w:t>6.质疑投标人为自然人的，质疑函应由本人签字；质疑投标人为法人或者其他组织的，质疑函应由法定代表人、主要负责人，或者其授权代表签字或者盖章，并加盖公章。</w:t>
      </w:r>
    </w:p>
    <w:p>
      <w:pPr>
        <w:pStyle w:val="6"/>
        <w:rPr>
          <w:sz w:val="24"/>
          <w:szCs w:val="24"/>
        </w:rPr>
      </w:pPr>
    </w:p>
    <w:p/>
    <w:sectPr>
      <w:headerReference r:id="rId4" w:type="default"/>
      <w:footerReference r:id="rId5" w:type="default"/>
      <w:footerReference r:id="rId6"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monospace">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317500" cy="219075"/>
              <wp:effectExtent l="0" t="0" r="0" b="0"/>
              <wp:wrapNone/>
              <wp:docPr id="1" name="文本框 1"/>
              <wp:cNvGraphicFramePr/>
              <a:graphic xmlns:a="http://schemas.openxmlformats.org/drawingml/2006/main">
                <a:graphicData uri="http://schemas.microsoft.com/office/word/2010/wordprocessingShape">
                  <wps:wsp>
                    <wps:cNvSpPr txBox="1"/>
                    <wps:spPr>
                      <a:xfrm>
                        <a:off x="0" y="0"/>
                        <a:ext cx="317500" cy="219075"/>
                      </a:xfrm>
                      <a:prstGeom prst="rect">
                        <a:avLst/>
                      </a:prstGeom>
                      <a:noFill/>
                      <a:ln>
                        <a:noFill/>
                      </a:ln>
                    </wps:spPr>
                    <wps:txbx>
                      <w:txbxContent>
                        <w:p>
                          <w:pPr>
                            <w:snapToGrid w:val="0"/>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- 7 -</w:t>
                          </w:r>
                          <w:r>
                            <w:rPr>
                              <w:rFonts w:hint="eastAsia"/>
                              <w:sz w:val="30"/>
                              <w:szCs w:val="30"/>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7.25pt;width:25pt;mso-position-horizontal:outside;mso-position-horizontal-relative:margin;mso-wrap-style:none;z-index:251659264;mso-width-relative:page;mso-height-relative:page;" filled="f" stroked="f" coordsize="21600,21600" o:gfxdata="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NGrDY0AAAAAMBAAAPAAAAAAAAAAEAIAAAACIAAABkcnMvZG93bnJl&#10;di54bWxQSwECFAAUAAAACACHTuJAN9WjMswBAACXAwAADgAAAAAAAAABACAAAAAfAQAAZHJzL2Uy&#10;b0RvYy54bWxQSwUGAAAAAAYABgBZAQAAXQUAAAAA&#10;">
              <v:fill on="f" focussize="0,0"/>
              <v:stroke on="f"/>
              <v:imagedata o:title=""/>
              <o:lock v:ext="edit" aspectratio="f"/>
              <v:textbox inset="0mm,0mm,0mm,0mm" style="mso-fit-shape-to-text:t;">
                <w:txbxContent>
                  <w:p>
                    <w:pPr>
                      <w:snapToGrid w:val="0"/>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- 7 -</w:t>
                    </w:r>
                    <w:r>
                      <w:rPr>
                        <w:rFonts w:hint="eastAsia"/>
                        <w:sz w:val="30"/>
                        <w:szCs w:val="3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Fonts w:ascii="宋体" w:hAnsi="宋体"/>
      </w:rPr>
    </w:pPr>
    <w:r>
      <w:rPr>
        <w:rFonts w:ascii="宋体" w:hAnsi="宋体"/>
      </w:rPr>
      <w:fldChar w:fldCharType="begin"/>
    </w:r>
    <w:r>
      <w:rPr>
        <w:rStyle w:val="48"/>
        <w:rFonts w:ascii="宋体" w:hAnsi="宋体"/>
      </w:rPr>
      <w:instrText xml:space="preserve">PAGE  </w:instrText>
    </w:r>
    <w:r>
      <w:rPr>
        <w:rFonts w:ascii="宋体" w:hAnsi="宋体"/>
      </w:rPr>
      <w:fldChar w:fldCharType="separate"/>
    </w:r>
    <w:r>
      <w:rPr>
        <w:rStyle w:val="48"/>
        <w:rFonts w:ascii="宋体" w:hAnsi="宋体"/>
      </w:rPr>
      <w:t>２１</w:t>
    </w:r>
    <w:r>
      <w:rPr>
        <w:rFonts w:ascii="宋体" w:hAnsi="宋体"/>
      </w:rPr>
      <w:fldChar w:fldCharType="end"/>
    </w:r>
  </w:p>
  <w:p>
    <w:pPr>
      <w:pStyle w:val="28"/>
      <w:jc w:val="center"/>
      <w:rPr>
        <w:b/>
        <w:i/>
      </w:rPr>
    </w:pPr>
    <w:r>
      <w:rPr>
        <w:b/>
        <w:i/>
        <w:kern w:val="0"/>
        <w:sz w:val="20"/>
      </w:rPr>
      <w:t xml:space="preserve"> </w:t>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pPr>
      <w:pStyle w:val="28"/>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92"/>
      <w:lvlText w:val="附录%1."/>
      <w:lvlJc w:val="left"/>
      <w:pPr>
        <w:tabs>
          <w:tab w:val="left" w:pos="907"/>
        </w:tabs>
        <w:ind w:left="907" w:hanging="907"/>
      </w:pPr>
      <w:rPr>
        <w:rFonts w:hint="eastAsia"/>
      </w:rPr>
    </w:lvl>
  </w:abstractNum>
  <w:abstractNum w:abstractNumId="1">
    <w:nsid w:val="420C153B"/>
    <w:multiLevelType w:val="multilevel"/>
    <w:tmpl w:val="420C153B"/>
    <w:lvl w:ilvl="0" w:tentative="0">
      <w:start w:val="1"/>
      <w:numFmt w:val="decimal"/>
      <w:pStyle w:val="10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GWebUrl" w:val="https://www.ccgp-jiangsu.gov.cn:5009/zfcgzx/OfficeServer"/>
  </w:docVars>
  <w:rsids>
    <w:rsidRoot w:val="00917B7E"/>
    <w:rsid w:val="000044AE"/>
    <w:rsid w:val="00066C2B"/>
    <w:rsid w:val="000854FB"/>
    <w:rsid w:val="000863F7"/>
    <w:rsid w:val="000B532B"/>
    <w:rsid w:val="000B6483"/>
    <w:rsid w:val="000D49F1"/>
    <w:rsid w:val="000F1FF1"/>
    <w:rsid w:val="000F2E81"/>
    <w:rsid w:val="00112857"/>
    <w:rsid w:val="0014066A"/>
    <w:rsid w:val="001523F7"/>
    <w:rsid w:val="00160AF6"/>
    <w:rsid w:val="0017377E"/>
    <w:rsid w:val="00173BBA"/>
    <w:rsid w:val="00175565"/>
    <w:rsid w:val="001F2480"/>
    <w:rsid w:val="001F2A0C"/>
    <w:rsid w:val="0021550F"/>
    <w:rsid w:val="00233148"/>
    <w:rsid w:val="00236D86"/>
    <w:rsid w:val="002C20DE"/>
    <w:rsid w:val="002C765F"/>
    <w:rsid w:val="002E5908"/>
    <w:rsid w:val="002F64E6"/>
    <w:rsid w:val="00302849"/>
    <w:rsid w:val="00350BF2"/>
    <w:rsid w:val="00376175"/>
    <w:rsid w:val="00391A7F"/>
    <w:rsid w:val="003A2532"/>
    <w:rsid w:val="003B552E"/>
    <w:rsid w:val="003C51FF"/>
    <w:rsid w:val="00452B3C"/>
    <w:rsid w:val="00487CE0"/>
    <w:rsid w:val="004A6DCD"/>
    <w:rsid w:val="00535D61"/>
    <w:rsid w:val="00560B6B"/>
    <w:rsid w:val="00562CA2"/>
    <w:rsid w:val="0059643A"/>
    <w:rsid w:val="005C49AC"/>
    <w:rsid w:val="005D5549"/>
    <w:rsid w:val="00601B5E"/>
    <w:rsid w:val="006657D7"/>
    <w:rsid w:val="006755A3"/>
    <w:rsid w:val="006949FE"/>
    <w:rsid w:val="006E172B"/>
    <w:rsid w:val="007D06DA"/>
    <w:rsid w:val="007E5C10"/>
    <w:rsid w:val="008054F0"/>
    <w:rsid w:val="00806D48"/>
    <w:rsid w:val="00847649"/>
    <w:rsid w:val="00873B35"/>
    <w:rsid w:val="008B4C91"/>
    <w:rsid w:val="008F4508"/>
    <w:rsid w:val="00917B7E"/>
    <w:rsid w:val="00917E65"/>
    <w:rsid w:val="00A44262"/>
    <w:rsid w:val="00A511CB"/>
    <w:rsid w:val="00AA151A"/>
    <w:rsid w:val="00AC00A9"/>
    <w:rsid w:val="00AD3177"/>
    <w:rsid w:val="00AF5E84"/>
    <w:rsid w:val="00B21BE5"/>
    <w:rsid w:val="00B30EDA"/>
    <w:rsid w:val="00B322C2"/>
    <w:rsid w:val="00B57CDC"/>
    <w:rsid w:val="00B678E9"/>
    <w:rsid w:val="00B92FDF"/>
    <w:rsid w:val="00BD0ED3"/>
    <w:rsid w:val="00C912C9"/>
    <w:rsid w:val="00CA4912"/>
    <w:rsid w:val="00CB2CC1"/>
    <w:rsid w:val="00CC3393"/>
    <w:rsid w:val="00CE376D"/>
    <w:rsid w:val="00D50B31"/>
    <w:rsid w:val="00D609B0"/>
    <w:rsid w:val="00D90D25"/>
    <w:rsid w:val="00DD63F4"/>
    <w:rsid w:val="00DE14F6"/>
    <w:rsid w:val="00DE2593"/>
    <w:rsid w:val="00E30CC5"/>
    <w:rsid w:val="00E81B49"/>
    <w:rsid w:val="00EA6CC8"/>
    <w:rsid w:val="00EE2DCD"/>
    <w:rsid w:val="00EF6223"/>
    <w:rsid w:val="00F2712D"/>
    <w:rsid w:val="00F6146C"/>
    <w:rsid w:val="00FC3F56"/>
    <w:rsid w:val="00FD50F2"/>
    <w:rsid w:val="03710EBC"/>
    <w:rsid w:val="03E21091"/>
    <w:rsid w:val="04BB0378"/>
    <w:rsid w:val="07B616F6"/>
    <w:rsid w:val="09A17C56"/>
    <w:rsid w:val="0A510749"/>
    <w:rsid w:val="0A64315D"/>
    <w:rsid w:val="0AA02D6C"/>
    <w:rsid w:val="0B6A3DD7"/>
    <w:rsid w:val="14D40EDF"/>
    <w:rsid w:val="1A3C282C"/>
    <w:rsid w:val="1B530684"/>
    <w:rsid w:val="20CE712B"/>
    <w:rsid w:val="20E377A3"/>
    <w:rsid w:val="22B555AB"/>
    <w:rsid w:val="28924EE2"/>
    <w:rsid w:val="2D990033"/>
    <w:rsid w:val="2DD80439"/>
    <w:rsid w:val="2E09474D"/>
    <w:rsid w:val="2E5C1E3C"/>
    <w:rsid w:val="2F996EE2"/>
    <w:rsid w:val="2FF76103"/>
    <w:rsid w:val="30453BC9"/>
    <w:rsid w:val="312347B3"/>
    <w:rsid w:val="358B3F52"/>
    <w:rsid w:val="36344A86"/>
    <w:rsid w:val="3C797AF3"/>
    <w:rsid w:val="3D3B2FFA"/>
    <w:rsid w:val="439940D7"/>
    <w:rsid w:val="43B97E8F"/>
    <w:rsid w:val="457E78C6"/>
    <w:rsid w:val="475F3D89"/>
    <w:rsid w:val="4BD82FB6"/>
    <w:rsid w:val="4BEC74D9"/>
    <w:rsid w:val="4C2630C7"/>
    <w:rsid w:val="4E320449"/>
    <w:rsid w:val="4FB95338"/>
    <w:rsid w:val="55F42A27"/>
    <w:rsid w:val="583F5C3D"/>
    <w:rsid w:val="59396B30"/>
    <w:rsid w:val="5BD26DC8"/>
    <w:rsid w:val="5C2A7FDF"/>
    <w:rsid w:val="5C396B76"/>
    <w:rsid w:val="5C8D59C8"/>
    <w:rsid w:val="5CF518A1"/>
    <w:rsid w:val="5D0A7073"/>
    <w:rsid w:val="5D28466A"/>
    <w:rsid w:val="60E870A8"/>
    <w:rsid w:val="61414ACB"/>
    <w:rsid w:val="6289656C"/>
    <w:rsid w:val="65474383"/>
    <w:rsid w:val="67D7016E"/>
    <w:rsid w:val="68115438"/>
    <w:rsid w:val="68A04F1D"/>
    <w:rsid w:val="68A16370"/>
    <w:rsid w:val="68CA50AF"/>
    <w:rsid w:val="6A9B0674"/>
    <w:rsid w:val="6AA644D8"/>
    <w:rsid w:val="6CDF1345"/>
    <w:rsid w:val="73005C5F"/>
    <w:rsid w:val="731E1B66"/>
    <w:rsid w:val="74130252"/>
    <w:rsid w:val="74473F16"/>
    <w:rsid w:val="757476B6"/>
    <w:rsid w:val="7B272834"/>
    <w:rsid w:val="7F9E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1"/>
    <w:qFormat/>
    <w:uiPriority w:val="0"/>
    <w:pPr>
      <w:keepNext/>
      <w:jc w:val="center"/>
      <w:outlineLvl w:val="0"/>
    </w:pPr>
    <w:rPr>
      <w:rFonts w:ascii="楷体_GB2312" w:eastAsia="楷体_GB2312"/>
      <w:sz w:val="28"/>
      <w:szCs w:val="28"/>
    </w:rPr>
  </w:style>
  <w:style w:type="paragraph" w:styleId="4">
    <w:name w:val="heading 2"/>
    <w:basedOn w:val="1"/>
    <w:next w:val="1"/>
    <w:link w:val="62"/>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6"/>
    <w:link w:val="63"/>
    <w:autoRedefine/>
    <w:qFormat/>
    <w:uiPriority w:val="0"/>
    <w:pPr>
      <w:keepNext/>
      <w:keepLines/>
      <w:spacing w:before="260" w:after="260" w:line="416" w:lineRule="auto"/>
      <w:outlineLvl w:val="2"/>
    </w:pPr>
    <w:rPr>
      <w:b/>
      <w:bCs/>
      <w:sz w:val="32"/>
      <w:szCs w:val="32"/>
    </w:rPr>
  </w:style>
  <w:style w:type="paragraph" w:styleId="7">
    <w:name w:val="heading 4"/>
    <w:basedOn w:val="1"/>
    <w:next w:val="6"/>
    <w:link w:val="65"/>
    <w:autoRedefine/>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6"/>
    <w:link w:val="66"/>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7"/>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8"/>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9"/>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7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样式 标题 1 + 四号 加粗"/>
    <w:basedOn w:val="3"/>
    <w:qFormat/>
    <w:uiPriority w:val="0"/>
    <w:pPr>
      <w:tabs>
        <w:tab w:val="left" w:pos="432"/>
      </w:tabs>
    </w:pPr>
    <w:rPr>
      <w:rFonts w:eastAsia="黑体"/>
    </w:rPr>
  </w:style>
  <w:style w:type="paragraph" w:styleId="6">
    <w:name w:val="Normal Indent"/>
    <w:basedOn w:val="1"/>
    <w:next w:val="1"/>
    <w:link w:val="64"/>
    <w:autoRedefine/>
    <w:qFormat/>
    <w:uiPriority w:val="0"/>
    <w:pPr>
      <w:ind w:firstLine="420"/>
    </w:pPr>
  </w:style>
  <w:style w:type="paragraph" w:styleId="13">
    <w:name w:val="List 3"/>
    <w:basedOn w:val="1"/>
    <w:qFormat/>
    <w:uiPriority w:val="0"/>
    <w:pPr>
      <w:ind w:left="100" w:leftChars="400" w:hanging="200" w:hangingChars="200"/>
    </w:pPr>
  </w:style>
  <w:style w:type="paragraph" w:styleId="14">
    <w:name w:val="toc 7"/>
    <w:basedOn w:val="1"/>
    <w:next w:val="1"/>
    <w:autoRedefine/>
    <w:semiHidden/>
    <w:qFormat/>
    <w:uiPriority w:val="0"/>
    <w:pPr>
      <w:ind w:left="1260"/>
      <w:jc w:val="left"/>
    </w:pPr>
  </w:style>
  <w:style w:type="paragraph" w:styleId="15">
    <w:name w:val="Document Map"/>
    <w:basedOn w:val="1"/>
    <w:link w:val="71"/>
    <w:autoRedefine/>
    <w:semiHidden/>
    <w:qFormat/>
    <w:uiPriority w:val="0"/>
    <w:pPr>
      <w:shd w:val="clear" w:color="auto" w:fill="000080"/>
    </w:pPr>
  </w:style>
  <w:style w:type="paragraph" w:styleId="16">
    <w:name w:val="annotation text"/>
    <w:basedOn w:val="1"/>
    <w:link w:val="72"/>
    <w:autoRedefine/>
    <w:semiHidden/>
    <w:qFormat/>
    <w:uiPriority w:val="0"/>
    <w:pPr>
      <w:jc w:val="left"/>
    </w:pPr>
  </w:style>
  <w:style w:type="paragraph" w:styleId="17">
    <w:name w:val="Body Text 3"/>
    <w:basedOn w:val="1"/>
    <w:link w:val="73"/>
    <w:autoRedefine/>
    <w:qFormat/>
    <w:uiPriority w:val="0"/>
    <w:rPr>
      <w:rFonts w:ascii="仿宋_GB2312" w:hAnsi="Arial" w:eastAsia="仿宋_GB2312"/>
      <w:sz w:val="32"/>
      <w:szCs w:val="32"/>
    </w:rPr>
  </w:style>
  <w:style w:type="paragraph" w:styleId="18">
    <w:name w:val="Body Text"/>
    <w:basedOn w:val="1"/>
    <w:link w:val="74"/>
    <w:autoRedefine/>
    <w:qFormat/>
    <w:uiPriority w:val="0"/>
    <w:rPr>
      <w:rFonts w:ascii="楷体_GB2312" w:hAnsi="Arial" w:eastAsia="楷体_GB2312"/>
      <w:sz w:val="28"/>
      <w:szCs w:val="28"/>
    </w:rPr>
  </w:style>
  <w:style w:type="paragraph" w:styleId="19">
    <w:name w:val="Body Text Indent"/>
    <w:basedOn w:val="1"/>
    <w:next w:val="1"/>
    <w:link w:val="75"/>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5"/>
    <w:basedOn w:val="1"/>
    <w:next w:val="1"/>
    <w:autoRedefine/>
    <w:semiHidden/>
    <w:qFormat/>
    <w:uiPriority w:val="0"/>
    <w:pPr>
      <w:ind w:left="840"/>
      <w:jc w:val="left"/>
    </w:pPr>
  </w:style>
  <w:style w:type="paragraph" w:styleId="22">
    <w:name w:val="toc 3"/>
    <w:basedOn w:val="1"/>
    <w:next w:val="1"/>
    <w:autoRedefine/>
    <w:semiHidden/>
    <w:qFormat/>
    <w:uiPriority w:val="0"/>
    <w:pPr>
      <w:ind w:left="420"/>
      <w:jc w:val="left"/>
    </w:pPr>
    <w:rPr>
      <w:i/>
      <w:iCs/>
      <w:szCs w:val="24"/>
    </w:rPr>
  </w:style>
  <w:style w:type="paragraph" w:styleId="23">
    <w:name w:val="Plain Text"/>
    <w:basedOn w:val="1"/>
    <w:link w:val="76"/>
    <w:autoRedefine/>
    <w:qFormat/>
    <w:uiPriority w:val="0"/>
    <w:rPr>
      <w:rFonts w:ascii="宋体" w:hAnsi="Courier New" w:cs="Courier New"/>
    </w:rPr>
  </w:style>
  <w:style w:type="paragraph" w:styleId="24">
    <w:name w:val="toc 8"/>
    <w:basedOn w:val="1"/>
    <w:next w:val="1"/>
    <w:autoRedefine/>
    <w:semiHidden/>
    <w:qFormat/>
    <w:uiPriority w:val="0"/>
    <w:pPr>
      <w:ind w:left="1470"/>
      <w:jc w:val="left"/>
    </w:pPr>
  </w:style>
  <w:style w:type="paragraph" w:styleId="25">
    <w:name w:val="Date"/>
    <w:basedOn w:val="1"/>
    <w:next w:val="1"/>
    <w:link w:val="77"/>
    <w:autoRedefine/>
    <w:qFormat/>
    <w:uiPriority w:val="0"/>
    <w:rPr>
      <w:sz w:val="24"/>
      <w:szCs w:val="24"/>
    </w:rPr>
  </w:style>
  <w:style w:type="paragraph" w:styleId="26">
    <w:name w:val="Body Text Indent 2"/>
    <w:basedOn w:val="1"/>
    <w:link w:val="78"/>
    <w:autoRedefine/>
    <w:qFormat/>
    <w:uiPriority w:val="0"/>
    <w:pPr>
      <w:ind w:left="630" w:firstLine="645"/>
    </w:pPr>
    <w:rPr>
      <w:rFonts w:ascii="Arial" w:hAnsi="Arial" w:eastAsia="仿宋_GB2312" w:cs="Arial"/>
      <w:sz w:val="32"/>
      <w:szCs w:val="32"/>
    </w:rPr>
  </w:style>
  <w:style w:type="paragraph" w:styleId="27">
    <w:name w:val="Balloon Text"/>
    <w:basedOn w:val="1"/>
    <w:link w:val="79"/>
    <w:autoRedefine/>
    <w:semiHidden/>
    <w:qFormat/>
    <w:uiPriority w:val="0"/>
    <w:rPr>
      <w:sz w:val="18"/>
      <w:szCs w:val="18"/>
    </w:rPr>
  </w:style>
  <w:style w:type="paragraph" w:styleId="28">
    <w:name w:val="footer"/>
    <w:basedOn w:val="1"/>
    <w:link w:val="80"/>
    <w:autoRedefine/>
    <w:qFormat/>
    <w:uiPriority w:val="0"/>
    <w:pPr>
      <w:tabs>
        <w:tab w:val="center" w:pos="4153"/>
        <w:tab w:val="right" w:pos="8306"/>
      </w:tabs>
      <w:snapToGrid w:val="0"/>
      <w:jc w:val="left"/>
    </w:pPr>
    <w:rPr>
      <w:sz w:val="18"/>
      <w:szCs w:val="18"/>
    </w:rPr>
  </w:style>
  <w:style w:type="paragraph" w:styleId="29">
    <w:name w:val="header"/>
    <w:basedOn w:val="1"/>
    <w:link w:val="81"/>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autoRedefine/>
    <w:semiHidden/>
    <w:qFormat/>
    <w:uiPriority w:val="0"/>
    <w:pPr>
      <w:ind w:left="630"/>
      <w:jc w:val="left"/>
    </w:pPr>
  </w:style>
  <w:style w:type="paragraph" w:styleId="32">
    <w:name w:val="List"/>
    <w:basedOn w:val="1"/>
    <w:autoRedefine/>
    <w:qFormat/>
    <w:uiPriority w:val="0"/>
    <w:pPr>
      <w:ind w:left="200" w:hanging="200" w:hangingChars="200"/>
    </w:pPr>
  </w:style>
  <w:style w:type="paragraph" w:styleId="33">
    <w:name w:val="toc 6"/>
    <w:basedOn w:val="1"/>
    <w:next w:val="1"/>
    <w:autoRedefine/>
    <w:semiHidden/>
    <w:qFormat/>
    <w:uiPriority w:val="0"/>
    <w:pPr>
      <w:ind w:left="1050"/>
      <w:jc w:val="left"/>
    </w:pPr>
  </w:style>
  <w:style w:type="paragraph" w:styleId="34">
    <w:name w:val="Body Text Indent 3"/>
    <w:basedOn w:val="1"/>
    <w:link w:val="82"/>
    <w:autoRedefine/>
    <w:qFormat/>
    <w:uiPriority w:val="0"/>
    <w:pPr>
      <w:ind w:left="645" w:firstLine="645"/>
    </w:pPr>
    <w:rPr>
      <w:rFonts w:ascii="Arial" w:hAnsi="Arial" w:eastAsia="仿宋_GB2312" w:cs="Arial"/>
      <w:color w:val="FFFF00"/>
      <w:sz w:val="32"/>
      <w:szCs w:val="32"/>
    </w:rPr>
  </w:style>
  <w:style w:type="paragraph" w:styleId="35">
    <w:name w:val="table of figures"/>
    <w:basedOn w:val="1"/>
    <w:next w:val="1"/>
    <w:autoRedefine/>
    <w:semiHidden/>
    <w:qFormat/>
    <w:uiPriority w:val="0"/>
    <w:pPr>
      <w:ind w:left="840" w:hanging="420"/>
    </w:pPr>
  </w:style>
  <w:style w:type="paragraph" w:styleId="36">
    <w:name w:val="toc 2"/>
    <w:basedOn w:val="1"/>
    <w:next w:val="1"/>
    <w:autoRedefine/>
    <w:semiHidden/>
    <w:qFormat/>
    <w:uiPriority w:val="0"/>
    <w:pPr>
      <w:ind w:left="210"/>
      <w:jc w:val="left"/>
    </w:pPr>
    <w:rPr>
      <w:smallCaps/>
      <w:szCs w:val="24"/>
    </w:rPr>
  </w:style>
  <w:style w:type="paragraph" w:styleId="37">
    <w:name w:val="toc 9"/>
    <w:basedOn w:val="1"/>
    <w:next w:val="1"/>
    <w:autoRedefine/>
    <w:semiHidden/>
    <w:qFormat/>
    <w:uiPriority w:val="0"/>
    <w:pPr>
      <w:ind w:left="1680"/>
      <w:jc w:val="left"/>
    </w:pPr>
  </w:style>
  <w:style w:type="paragraph" w:styleId="38">
    <w:name w:val="Body Text 2"/>
    <w:basedOn w:val="1"/>
    <w:link w:val="83"/>
    <w:autoRedefine/>
    <w:qFormat/>
    <w:uiPriority w:val="0"/>
    <w:pPr>
      <w:widowControl/>
      <w:jc w:val="center"/>
    </w:pPr>
    <w:rPr>
      <w:rFonts w:ascii="楷体_GB2312" w:eastAsia="楷体_GB2312"/>
      <w:sz w:val="28"/>
      <w:szCs w:val="28"/>
    </w:rPr>
  </w:style>
  <w:style w:type="paragraph" w:styleId="39">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autoRedefine/>
    <w:semiHidden/>
    <w:qFormat/>
    <w:uiPriority w:val="0"/>
    <w:pPr>
      <w:spacing w:line="240" w:lineRule="atLeast"/>
    </w:pPr>
    <w:rPr>
      <w:b/>
      <w:bCs/>
    </w:rPr>
  </w:style>
  <w:style w:type="paragraph" w:styleId="41">
    <w:name w:val="annotation subject"/>
    <w:basedOn w:val="16"/>
    <w:next w:val="16"/>
    <w:link w:val="84"/>
    <w:autoRedefine/>
    <w:semiHidden/>
    <w:qFormat/>
    <w:uiPriority w:val="0"/>
    <w:rPr>
      <w:b/>
      <w:bCs/>
    </w:rPr>
  </w:style>
  <w:style w:type="paragraph" w:styleId="42">
    <w:name w:val="Body Text First Indent"/>
    <w:basedOn w:val="1"/>
    <w:link w:val="85"/>
    <w:autoRedefine/>
    <w:qFormat/>
    <w:uiPriority w:val="0"/>
    <w:pPr>
      <w:spacing w:line="360" w:lineRule="auto"/>
      <w:ind w:firstLine="200" w:firstLineChars="200"/>
    </w:pPr>
    <w:rPr>
      <w:rFonts w:ascii="仿宋_GB2312" w:eastAsia="仿宋_GB2312"/>
      <w:sz w:val="30"/>
      <w:szCs w:val="30"/>
    </w:rPr>
  </w:style>
  <w:style w:type="paragraph" w:styleId="43">
    <w:name w:val="Body Text First Indent 2"/>
    <w:basedOn w:val="19"/>
    <w:link w:val="86"/>
    <w:autoRedefine/>
    <w:qFormat/>
    <w:uiPriority w:val="0"/>
    <w:pPr>
      <w:spacing w:line="360" w:lineRule="auto"/>
      <w:ind w:firstLine="420" w:firstLineChars="200"/>
    </w:pPr>
    <w:rPr>
      <w:rFonts w:ascii="宋体" w:hAnsi="宋体" w:eastAsia="宋体"/>
      <w:sz w:val="21"/>
      <w:szCs w:val="20"/>
    </w:rPr>
  </w:style>
  <w:style w:type="table" w:styleId="45">
    <w:name w:val="Table Grid"/>
    <w:basedOn w:val="4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basedOn w:val="46"/>
    <w:autoRedefine/>
    <w:qFormat/>
    <w:uiPriority w:val="0"/>
    <w:rPr>
      <w:color w:val="800080"/>
      <w:u w:val="none"/>
    </w:rPr>
  </w:style>
  <w:style w:type="character" w:styleId="50">
    <w:name w:val="Emphasis"/>
    <w:basedOn w:val="46"/>
    <w:autoRedefine/>
    <w:qFormat/>
    <w:uiPriority w:val="20"/>
  </w:style>
  <w:style w:type="character" w:styleId="51">
    <w:name w:val="HTML Definition"/>
    <w:basedOn w:val="46"/>
    <w:autoRedefine/>
    <w:unhideWhenUsed/>
    <w:qFormat/>
    <w:uiPriority w:val="99"/>
  </w:style>
  <w:style w:type="character" w:styleId="52">
    <w:name w:val="HTML Typewriter"/>
    <w:basedOn w:val="46"/>
    <w:autoRedefine/>
    <w:unhideWhenUsed/>
    <w:qFormat/>
    <w:uiPriority w:val="99"/>
    <w:rPr>
      <w:rFonts w:hint="default" w:ascii="monospace" w:hAnsi="monospace" w:eastAsia="monospace" w:cs="monospace"/>
      <w:sz w:val="20"/>
    </w:rPr>
  </w:style>
  <w:style w:type="character" w:styleId="53">
    <w:name w:val="HTML Acronym"/>
    <w:basedOn w:val="46"/>
    <w:autoRedefine/>
    <w:unhideWhenUsed/>
    <w:qFormat/>
    <w:uiPriority w:val="99"/>
  </w:style>
  <w:style w:type="character" w:styleId="54">
    <w:name w:val="HTML Variable"/>
    <w:basedOn w:val="46"/>
    <w:autoRedefine/>
    <w:unhideWhenUsed/>
    <w:qFormat/>
    <w:uiPriority w:val="99"/>
  </w:style>
  <w:style w:type="character" w:styleId="55">
    <w:name w:val="Hyperlink"/>
    <w:basedOn w:val="46"/>
    <w:autoRedefine/>
    <w:qFormat/>
    <w:uiPriority w:val="0"/>
    <w:rPr>
      <w:color w:val="0000FF"/>
      <w:u w:val="none"/>
    </w:rPr>
  </w:style>
  <w:style w:type="character" w:styleId="56">
    <w:name w:val="HTML Code"/>
    <w:basedOn w:val="46"/>
    <w:autoRedefine/>
    <w:unhideWhenUsed/>
    <w:qFormat/>
    <w:uiPriority w:val="99"/>
    <w:rPr>
      <w:rFonts w:hint="default" w:ascii="monospace" w:hAnsi="monospace" w:eastAsia="monospace" w:cs="monospace"/>
      <w:sz w:val="20"/>
    </w:rPr>
  </w:style>
  <w:style w:type="character" w:styleId="57">
    <w:name w:val="annotation reference"/>
    <w:autoRedefine/>
    <w:semiHidden/>
    <w:qFormat/>
    <w:uiPriority w:val="0"/>
    <w:rPr>
      <w:sz w:val="21"/>
      <w:szCs w:val="21"/>
    </w:rPr>
  </w:style>
  <w:style w:type="character" w:styleId="58">
    <w:name w:val="HTML Cite"/>
    <w:basedOn w:val="46"/>
    <w:autoRedefine/>
    <w:unhideWhenUsed/>
    <w:qFormat/>
    <w:uiPriority w:val="99"/>
  </w:style>
  <w:style w:type="character" w:styleId="59">
    <w:name w:val="HTML Keyboard"/>
    <w:basedOn w:val="46"/>
    <w:autoRedefine/>
    <w:unhideWhenUsed/>
    <w:qFormat/>
    <w:uiPriority w:val="99"/>
    <w:rPr>
      <w:rFonts w:hint="default" w:ascii="monospace" w:hAnsi="monospace" w:eastAsia="monospace" w:cs="monospace"/>
      <w:sz w:val="20"/>
    </w:rPr>
  </w:style>
  <w:style w:type="character" w:styleId="60">
    <w:name w:val="HTML Sample"/>
    <w:basedOn w:val="46"/>
    <w:autoRedefine/>
    <w:unhideWhenUsed/>
    <w:qFormat/>
    <w:uiPriority w:val="99"/>
    <w:rPr>
      <w:rFonts w:ascii="monospace" w:hAnsi="monospace" w:eastAsia="monospace" w:cs="monospace"/>
    </w:rPr>
  </w:style>
  <w:style w:type="character" w:customStyle="1" w:styleId="61">
    <w:name w:val="标题 1 Char"/>
    <w:link w:val="3"/>
    <w:autoRedefine/>
    <w:qFormat/>
    <w:uiPriority w:val="0"/>
    <w:rPr>
      <w:rFonts w:ascii="楷体_GB2312" w:hAnsi="Times New Roman" w:eastAsia="楷体_GB2312" w:cs="Times New Roman"/>
      <w:sz w:val="28"/>
      <w:szCs w:val="28"/>
    </w:rPr>
  </w:style>
  <w:style w:type="character" w:customStyle="1" w:styleId="62">
    <w:name w:val="标题 2 Char"/>
    <w:link w:val="4"/>
    <w:autoRedefine/>
    <w:qFormat/>
    <w:uiPriority w:val="0"/>
    <w:rPr>
      <w:rFonts w:ascii="Arial" w:hAnsi="Arial" w:eastAsia="幼圆" w:cs="Arial"/>
      <w:b/>
      <w:bCs/>
      <w:sz w:val="44"/>
      <w:szCs w:val="44"/>
    </w:rPr>
  </w:style>
  <w:style w:type="character" w:customStyle="1" w:styleId="63">
    <w:name w:val="标题 3 Char"/>
    <w:link w:val="5"/>
    <w:autoRedefine/>
    <w:qFormat/>
    <w:uiPriority w:val="0"/>
    <w:rPr>
      <w:rFonts w:ascii="Times New Roman" w:hAnsi="Times New Roman" w:eastAsia="宋体" w:cs="Times New Roman"/>
      <w:b/>
      <w:bCs/>
      <w:sz w:val="32"/>
      <w:szCs w:val="32"/>
    </w:rPr>
  </w:style>
  <w:style w:type="character" w:customStyle="1" w:styleId="64">
    <w:name w:val="正文缩进 Char"/>
    <w:link w:val="6"/>
    <w:autoRedefine/>
    <w:qFormat/>
    <w:uiPriority w:val="0"/>
    <w:rPr>
      <w:rFonts w:ascii="Times New Roman" w:hAnsi="Times New Roman" w:eastAsia="宋体" w:cs="Times New Roman"/>
      <w:szCs w:val="21"/>
    </w:rPr>
  </w:style>
  <w:style w:type="character" w:customStyle="1" w:styleId="65">
    <w:name w:val="标题 4 Char"/>
    <w:link w:val="7"/>
    <w:autoRedefine/>
    <w:qFormat/>
    <w:uiPriority w:val="0"/>
    <w:rPr>
      <w:rFonts w:ascii="Arial" w:hAnsi="Arial" w:eastAsia="黑体" w:cs="Arial"/>
      <w:b/>
      <w:bCs/>
      <w:sz w:val="28"/>
      <w:szCs w:val="28"/>
    </w:rPr>
  </w:style>
  <w:style w:type="character" w:customStyle="1" w:styleId="66">
    <w:name w:val="标题 5 Char"/>
    <w:link w:val="8"/>
    <w:autoRedefine/>
    <w:qFormat/>
    <w:uiPriority w:val="0"/>
    <w:rPr>
      <w:rFonts w:ascii="宋体" w:hAnsi="Times New Roman" w:eastAsia="宋体" w:cs="Times New Roman"/>
      <w:color w:val="000000"/>
      <w:kern w:val="0"/>
      <w:sz w:val="28"/>
      <w:szCs w:val="28"/>
    </w:rPr>
  </w:style>
  <w:style w:type="character" w:customStyle="1" w:styleId="67">
    <w:name w:val="标题 6 Char"/>
    <w:link w:val="9"/>
    <w:autoRedefine/>
    <w:qFormat/>
    <w:uiPriority w:val="0"/>
    <w:rPr>
      <w:rFonts w:ascii="Arial" w:hAnsi="Arial" w:eastAsia="黑体" w:cs="Times New Roman"/>
      <w:b/>
      <w:bCs/>
      <w:sz w:val="24"/>
      <w:szCs w:val="24"/>
    </w:rPr>
  </w:style>
  <w:style w:type="character" w:customStyle="1" w:styleId="68">
    <w:name w:val="标题 7 Char"/>
    <w:link w:val="10"/>
    <w:autoRedefine/>
    <w:qFormat/>
    <w:uiPriority w:val="0"/>
    <w:rPr>
      <w:rFonts w:ascii="Times New Roman" w:hAnsi="Times New Roman" w:eastAsia="宋体" w:cs="Times New Roman"/>
      <w:b/>
      <w:bCs/>
      <w:sz w:val="24"/>
      <w:szCs w:val="24"/>
    </w:rPr>
  </w:style>
  <w:style w:type="character" w:customStyle="1" w:styleId="69">
    <w:name w:val="标题 8 Char"/>
    <w:link w:val="11"/>
    <w:autoRedefine/>
    <w:qFormat/>
    <w:uiPriority w:val="0"/>
    <w:rPr>
      <w:rFonts w:ascii="Arial" w:hAnsi="Arial" w:eastAsia="黑体" w:cs="Times New Roman"/>
      <w:sz w:val="24"/>
      <w:szCs w:val="24"/>
    </w:rPr>
  </w:style>
  <w:style w:type="character" w:customStyle="1" w:styleId="70">
    <w:name w:val="标题 9 Char"/>
    <w:link w:val="12"/>
    <w:autoRedefine/>
    <w:qFormat/>
    <w:uiPriority w:val="0"/>
    <w:rPr>
      <w:rFonts w:ascii="Arial" w:hAnsi="Arial" w:eastAsia="黑体" w:cs="Times New Roman"/>
      <w:szCs w:val="21"/>
    </w:rPr>
  </w:style>
  <w:style w:type="character" w:customStyle="1" w:styleId="71">
    <w:name w:val="文档结构图 Char"/>
    <w:link w:val="15"/>
    <w:autoRedefine/>
    <w:semiHidden/>
    <w:qFormat/>
    <w:uiPriority w:val="0"/>
    <w:rPr>
      <w:rFonts w:ascii="Times New Roman" w:hAnsi="Times New Roman" w:eastAsia="宋体" w:cs="Times New Roman"/>
      <w:szCs w:val="21"/>
      <w:shd w:val="clear" w:color="auto" w:fill="000080"/>
    </w:rPr>
  </w:style>
  <w:style w:type="character" w:customStyle="1" w:styleId="72">
    <w:name w:val="批注文字 Char"/>
    <w:link w:val="16"/>
    <w:autoRedefine/>
    <w:semiHidden/>
    <w:qFormat/>
    <w:uiPriority w:val="0"/>
    <w:rPr>
      <w:rFonts w:ascii="Times New Roman" w:hAnsi="Times New Roman" w:eastAsia="宋体" w:cs="Times New Roman"/>
      <w:szCs w:val="21"/>
    </w:rPr>
  </w:style>
  <w:style w:type="character" w:customStyle="1" w:styleId="73">
    <w:name w:val="正文文本 3 Char"/>
    <w:link w:val="17"/>
    <w:autoRedefine/>
    <w:qFormat/>
    <w:uiPriority w:val="0"/>
    <w:rPr>
      <w:rFonts w:ascii="仿宋_GB2312" w:hAnsi="Arial" w:eastAsia="仿宋_GB2312" w:cs="Times New Roman"/>
      <w:sz w:val="32"/>
      <w:szCs w:val="32"/>
    </w:rPr>
  </w:style>
  <w:style w:type="character" w:customStyle="1" w:styleId="74">
    <w:name w:val="正文文本 Char"/>
    <w:link w:val="18"/>
    <w:qFormat/>
    <w:uiPriority w:val="0"/>
    <w:rPr>
      <w:rFonts w:ascii="楷体_GB2312" w:hAnsi="Arial" w:eastAsia="楷体_GB2312" w:cs="Times New Roman"/>
      <w:sz w:val="28"/>
      <w:szCs w:val="28"/>
    </w:rPr>
  </w:style>
  <w:style w:type="character" w:customStyle="1" w:styleId="75">
    <w:name w:val="正文文本缩进 Char"/>
    <w:link w:val="19"/>
    <w:autoRedefine/>
    <w:qFormat/>
    <w:uiPriority w:val="0"/>
    <w:rPr>
      <w:rFonts w:ascii="楷体_GB2312" w:hAnsi="Times New Roman" w:eastAsia="楷体_GB2312" w:cs="Times New Roman"/>
      <w:sz w:val="32"/>
      <w:szCs w:val="32"/>
    </w:rPr>
  </w:style>
  <w:style w:type="character" w:customStyle="1" w:styleId="76">
    <w:name w:val="纯文本 Char"/>
    <w:link w:val="23"/>
    <w:autoRedefine/>
    <w:qFormat/>
    <w:uiPriority w:val="0"/>
    <w:rPr>
      <w:rFonts w:ascii="宋体" w:hAnsi="Courier New" w:eastAsia="宋体" w:cs="Courier New"/>
      <w:szCs w:val="21"/>
    </w:rPr>
  </w:style>
  <w:style w:type="character" w:customStyle="1" w:styleId="77">
    <w:name w:val="日期 Char"/>
    <w:link w:val="25"/>
    <w:autoRedefine/>
    <w:qFormat/>
    <w:uiPriority w:val="0"/>
    <w:rPr>
      <w:rFonts w:ascii="Times New Roman" w:hAnsi="Times New Roman" w:eastAsia="宋体" w:cs="Times New Roman"/>
      <w:sz w:val="24"/>
      <w:szCs w:val="24"/>
    </w:rPr>
  </w:style>
  <w:style w:type="character" w:customStyle="1" w:styleId="78">
    <w:name w:val="正文文本缩进 2 Char"/>
    <w:link w:val="26"/>
    <w:autoRedefine/>
    <w:qFormat/>
    <w:uiPriority w:val="0"/>
    <w:rPr>
      <w:rFonts w:ascii="Arial" w:hAnsi="Arial" w:eastAsia="仿宋_GB2312" w:cs="Arial"/>
      <w:sz w:val="32"/>
      <w:szCs w:val="32"/>
    </w:rPr>
  </w:style>
  <w:style w:type="character" w:customStyle="1" w:styleId="79">
    <w:name w:val="批注框文本 Char"/>
    <w:link w:val="27"/>
    <w:autoRedefine/>
    <w:semiHidden/>
    <w:qFormat/>
    <w:uiPriority w:val="0"/>
    <w:rPr>
      <w:rFonts w:ascii="Times New Roman" w:hAnsi="Times New Roman" w:eastAsia="宋体" w:cs="Times New Roman"/>
      <w:sz w:val="18"/>
      <w:szCs w:val="18"/>
    </w:rPr>
  </w:style>
  <w:style w:type="character" w:customStyle="1" w:styleId="80">
    <w:name w:val="页脚 Char"/>
    <w:link w:val="28"/>
    <w:autoRedefine/>
    <w:qFormat/>
    <w:uiPriority w:val="0"/>
    <w:rPr>
      <w:rFonts w:ascii="Times New Roman" w:hAnsi="Times New Roman" w:eastAsia="宋体" w:cs="Times New Roman"/>
      <w:sz w:val="18"/>
      <w:szCs w:val="18"/>
    </w:rPr>
  </w:style>
  <w:style w:type="character" w:customStyle="1" w:styleId="81">
    <w:name w:val="页眉 Char"/>
    <w:link w:val="29"/>
    <w:autoRedefine/>
    <w:qFormat/>
    <w:uiPriority w:val="0"/>
    <w:rPr>
      <w:rFonts w:ascii="Times New Roman" w:hAnsi="Times New Roman" w:eastAsia="宋体" w:cs="Times New Roman"/>
      <w:sz w:val="18"/>
      <w:szCs w:val="18"/>
    </w:rPr>
  </w:style>
  <w:style w:type="character" w:customStyle="1" w:styleId="82">
    <w:name w:val="正文文本缩进 3 Char"/>
    <w:link w:val="34"/>
    <w:autoRedefine/>
    <w:qFormat/>
    <w:uiPriority w:val="0"/>
    <w:rPr>
      <w:rFonts w:ascii="Arial" w:hAnsi="Arial" w:eastAsia="仿宋_GB2312" w:cs="Arial"/>
      <w:color w:val="FFFF00"/>
      <w:sz w:val="32"/>
      <w:szCs w:val="32"/>
    </w:rPr>
  </w:style>
  <w:style w:type="character" w:customStyle="1" w:styleId="83">
    <w:name w:val="正文文本 2 Char"/>
    <w:link w:val="38"/>
    <w:autoRedefine/>
    <w:qFormat/>
    <w:uiPriority w:val="0"/>
    <w:rPr>
      <w:rFonts w:ascii="楷体_GB2312" w:hAnsi="Times New Roman" w:eastAsia="楷体_GB2312" w:cs="Times New Roman"/>
      <w:sz w:val="28"/>
      <w:szCs w:val="28"/>
    </w:rPr>
  </w:style>
  <w:style w:type="character" w:customStyle="1" w:styleId="84">
    <w:name w:val="批注主题 Char"/>
    <w:link w:val="41"/>
    <w:autoRedefine/>
    <w:semiHidden/>
    <w:qFormat/>
    <w:uiPriority w:val="0"/>
    <w:rPr>
      <w:rFonts w:ascii="Times New Roman" w:hAnsi="Times New Roman" w:eastAsia="宋体" w:cs="Times New Roman"/>
      <w:b/>
      <w:bCs/>
      <w:szCs w:val="21"/>
    </w:rPr>
  </w:style>
  <w:style w:type="character" w:customStyle="1" w:styleId="85">
    <w:name w:val="正文首行缩进 Char"/>
    <w:link w:val="42"/>
    <w:autoRedefine/>
    <w:qFormat/>
    <w:uiPriority w:val="0"/>
    <w:rPr>
      <w:rFonts w:ascii="仿宋_GB2312" w:hAnsi="Times New Roman" w:eastAsia="仿宋_GB2312" w:cs="Times New Roman"/>
      <w:sz w:val="30"/>
      <w:szCs w:val="30"/>
    </w:rPr>
  </w:style>
  <w:style w:type="character" w:customStyle="1" w:styleId="86">
    <w:name w:val="正文首行缩进 2 Char"/>
    <w:link w:val="43"/>
    <w:autoRedefine/>
    <w:qFormat/>
    <w:uiPriority w:val="0"/>
    <w:rPr>
      <w:rFonts w:ascii="宋体" w:hAnsi="宋体" w:eastAsia="宋体" w:cs="Times New Roman"/>
      <w:sz w:val="32"/>
      <w:szCs w:val="20"/>
    </w:rPr>
  </w:style>
  <w:style w:type="paragraph" w:customStyle="1" w:styleId="87">
    <w:name w:val="正文空2字"/>
    <w:basedOn w:val="88"/>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88">
    <w:name w:val="左对齐正文"/>
    <w:autoRedefine/>
    <w:qFormat/>
    <w:uiPriority w:val="99"/>
    <w:rPr>
      <w:rFonts w:ascii="Calibri" w:hAnsi="Calibri" w:eastAsia="仿宋_GB2312" w:cs="Calibri"/>
      <w:kern w:val="2"/>
      <w:sz w:val="32"/>
      <w:szCs w:val="32"/>
      <w:lang w:val="en-US" w:eastAsia="zh-CN" w:bidi="ar-SA"/>
    </w:rPr>
  </w:style>
  <w:style w:type="paragraph" w:customStyle="1" w:styleId="89">
    <w:name w:val="索引 41"/>
    <w:basedOn w:val="1"/>
    <w:next w:val="1"/>
    <w:autoRedefine/>
    <w:semiHidden/>
    <w:qFormat/>
    <w:uiPriority w:val="0"/>
    <w:pPr>
      <w:ind w:left="1260"/>
    </w:pPr>
    <w:rPr>
      <w:rFonts w:ascii="Calibri" w:hAnsi="Calibri" w:eastAsia="Calibri" w:cs="宋体"/>
      <w:sz w:val="20"/>
      <w:lang w:val="zh-CN"/>
    </w:rPr>
  </w:style>
  <w:style w:type="character" w:customStyle="1" w:styleId="90">
    <w:name w:val="font5 Char"/>
    <w:autoRedefine/>
    <w:qFormat/>
    <w:uiPriority w:val="0"/>
    <w:rPr>
      <w:rFonts w:ascii="宋体" w:hAnsi="宋体" w:eastAsia="宋体"/>
      <w:sz w:val="28"/>
      <w:szCs w:val="28"/>
      <w:lang w:val="en-US" w:eastAsia="zh-CN" w:bidi="ar-SA"/>
    </w:rPr>
  </w:style>
  <w:style w:type="character" w:customStyle="1" w:styleId="91">
    <w:name w:val="二级目录 Char"/>
    <w:link w:val="92"/>
    <w:autoRedefine/>
    <w:qFormat/>
    <w:uiPriority w:val="0"/>
    <w:rPr>
      <w:b/>
      <w:sz w:val="30"/>
      <w:szCs w:val="28"/>
    </w:rPr>
  </w:style>
  <w:style w:type="paragraph" w:customStyle="1" w:styleId="92">
    <w:name w:val="二级目录"/>
    <w:next w:val="1"/>
    <w:link w:val="91"/>
    <w:autoRedefine/>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93">
    <w:name w:val="列出段落 Char"/>
    <w:link w:val="94"/>
    <w:qFormat/>
    <w:locked/>
    <w:uiPriority w:val="0"/>
    <w:rPr>
      <w:rFonts w:ascii="Calibri" w:hAnsi="Calibri"/>
      <w:sz w:val="24"/>
      <w:szCs w:val="24"/>
      <w:lang w:eastAsia="en-US" w:bidi="en-US"/>
    </w:rPr>
  </w:style>
  <w:style w:type="paragraph" w:customStyle="1" w:styleId="94">
    <w:name w:val="列出段落1"/>
    <w:basedOn w:val="1"/>
    <w:link w:val="93"/>
    <w:autoRedefine/>
    <w:qFormat/>
    <w:uiPriority w:val="0"/>
    <w:pPr>
      <w:widowControl/>
      <w:ind w:left="720"/>
      <w:contextualSpacing/>
      <w:jc w:val="left"/>
    </w:pPr>
    <w:rPr>
      <w:rFonts w:ascii="Calibri" w:hAnsi="Calibri"/>
      <w:sz w:val="24"/>
      <w:szCs w:val="24"/>
      <w:lang w:eastAsia="en-US" w:bidi="en-US"/>
    </w:rPr>
  </w:style>
  <w:style w:type="paragraph" w:customStyle="1" w:styleId="95">
    <w:name w:val="Body Text(ch)"/>
    <w:basedOn w:val="1"/>
    <w:next w:val="18"/>
    <w:autoRedefine/>
    <w:qFormat/>
    <w:uiPriority w:val="0"/>
    <w:pPr>
      <w:spacing w:after="120"/>
    </w:pPr>
    <w:rPr>
      <w:rFonts w:ascii="宋体" w:hAnsi="Arial"/>
      <w:bCs/>
      <w:iCs/>
      <w:szCs w:val="24"/>
    </w:rPr>
  </w:style>
  <w:style w:type="paragraph" w:customStyle="1" w:styleId="96">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8">
    <w:name w:val="Char"/>
    <w:basedOn w:val="1"/>
    <w:autoRedefine/>
    <w:qFormat/>
    <w:uiPriority w:val="0"/>
    <w:pPr>
      <w:tabs>
        <w:tab w:val="left" w:pos="360"/>
      </w:tabs>
      <w:ind w:firstLine="200" w:firstLineChars="200"/>
    </w:pPr>
    <w:rPr>
      <w:sz w:val="28"/>
      <w:szCs w:val="30"/>
    </w:rPr>
  </w:style>
  <w:style w:type="paragraph" w:customStyle="1" w:styleId="99">
    <w:name w:val="Char1"/>
    <w:basedOn w:val="15"/>
    <w:autoRedefine/>
    <w:qFormat/>
    <w:uiPriority w:val="0"/>
    <w:rPr>
      <w:rFonts w:ascii="Tahoma" w:hAnsi="Tahoma"/>
      <w:sz w:val="24"/>
      <w:szCs w:val="24"/>
    </w:rPr>
  </w:style>
  <w:style w:type="paragraph" w:customStyle="1" w:styleId="10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1">
    <w:name w:val="table_lines"/>
    <w:basedOn w:val="1"/>
    <w:autoRedefine/>
    <w:qFormat/>
    <w:uiPriority w:val="0"/>
    <w:pPr>
      <w:widowControl/>
      <w:jc w:val="left"/>
    </w:pPr>
    <w:rPr>
      <w:kern w:val="0"/>
      <w:sz w:val="20"/>
      <w:szCs w:val="20"/>
      <w:lang w:val="de-DE" w:eastAsia="de-DE"/>
    </w:rPr>
  </w:style>
  <w:style w:type="paragraph" w:customStyle="1" w:styleId="102">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3">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4">
    <w:name w:val="Char Char Char Char"/>
    <w:basedOn w:val="15"/>
    <w:autoRedefine/>
    <w:qFormat/>
    <w:uiPriority w:val="0"/>
    <w:pPr>
      <w:adjustRightInd w:val="0"/>
      <w:snapToGrid w:val="0"/>
      <w:spacing w:line="360" w:lineRule="auto"/>
    </w:pPr>
    <w:rPr>
      <w:rFonts w:ascii="Tahoma" w:hAnsi="Tahoma"/>
      <w:sz w:val="24"/>
      <w:szCs w:val="24"/>
    </w:rPr>
  </w:style>
  <w:style w:type="paragraph" w:styleId="105">
    <w:name w:val="List Paragraph"/>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106">
    <w:name w:val="4"/>
    <w:basedOn w:val="1"/>
    <w:next w:val="34"/>
    <w:autoRedefine/>
    <w:qFormat/>
    <w:uiPriority w:val="0"/>
    <w:pPr>
      <w:spacing w:line="360" w:lineRule="auto"/>
      <w:ind w:firstLine="420"/>
    </w:pPr>
    <w:rPr>
      <w:color w:val="FF0000"/>
      <w:sz w:val="24"/>
      <w:szCs w:val="24"/>
    </w:rPr>
  </w:style>
  <w:style w:type="paragraph" w:customStyle="1" w:styleId="107">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8">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样式1"/>
    <w:basedOn w:val="1"/>
    <w:autoRedefine/>
    <w:qFormat/>
    <w:uiPriority w:val="0"/>
    <w:pPr>
      <w:numPr>
        <w:ilvl w:val="0"/>
        <w:numId w:val="3"/>
      </w:numPr>
      <w:adjustRightInd w:val="0"/>
      <w:textAlignment w:val="baseline"/>
    </w:pPr>
    <w:rPr>
      <w:rFonts w:ascii="宋体" w:hAnsi="宋体"/>
      <w:kern w:val="0"/>
    </w:rPr>
  </w:style>
  <w:style w:type="paragraph" w:customStyle="1" w:styleId="110">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1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2">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3">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4">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6">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8">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1"/>
    <w:basedOn w:val="15"/>
    <w:autoRedefine/>
    <w:qFormat/>
    <w:uiPriority w:val="0"/>
    <w:pPr>
      <w:adjustRightInd w:val="0"/>
      <w:snapToGrid w:val="0"/>
      <w:spacing w:line="360" w:lineRule="auto"/>
    </w:pPr>
    <w:rPr>
      <w:rFonts w:ascii="Tahoma" w:hAnsi="Tahoma"/>
      <w:sz w:val="24"/>
      <w:szCs w:val="24"/>
    </w:rPr>
  </w:style>
  <w:style w:type="paragraph" w:customStyle="1" w:styleId="121">
    <w:name w:val="table_1stline"/>
    <w:basedOn w:val="1"/>
    <w:autoRedefine/>
    <w:qFormat/>
    <w:uiPriority w:val="0"/>
    <w:pPr>
      <w:widowControl/>
      <w:spacing w:before="120"/>
      <w:jc w:val="left"/>
    </w:pPr>
    <w:rPr>
      <w:bCs/>
      <w:kern w:val="0"/>
      <w:sz w:val="20"/>
      <w:szCs w:val="20"/>
      <w:lang w:val="de-DE" w:eastAsia="de-DE"/>
    </w:rPr>
  </w:style>
  <w:style w:type="paragraph" w:customStyle="1" w:styleId="122">
    <w:name w:val="font5"/>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3">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4">
    <w:name w:val="_Style 122"/>
    <w:autoRedefine/>
    <w:semiHidden/>
    <w:qFormat/>
    <w:uiPriority w:val="99"/>
    <w:rPr>
      <w:rFonts w:ascii="Times New Roman" w:hAnsi="Times New Roman" w:eastAsia="宋体" w:cs="Times New Roman"/>
      <w:kern w:val="2"/>
      <w:sz w:val="21"/>
      <w:szCs w:val="21"/>
      <w:lang w:val="en-US" w:eastAsia="zh-CN" w:bidi="ar-SA"/>
    </w:rPr>
  </w:style>
  <w:style w:type="paragraph" w:styleId="125">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26">
    <w:name w:val="Table Normal"/>
    <w:autoRedefine/>
    <w:qFormat/>
    <w:uiPriority w:val="0"/>
    <w:tblPr>
      <w:tblCellMar>
        <w:top w:w="0" w:type="dxa"/>
        <w:left w:w="0" w:type="dxa"/>
        <w:bottom w:w="0" w:type="dxa"/>
        <w:right w:w="0" w:type="dxa"/>
      </w:tblCellMar>
    </w:tblPr>
  </w:style>
  <w:style w:type="paragraph" w:customStyle="1" w:styleId="127">
    <w:name w:val="Normal_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28">
    <w:name w:val="Normal_6_0"/>
    <w:autoRedefine/>
    <w:qFormat/>
    <w:uiPriority w:val="0"/>
    <w:rPr>
      <w:rFonts w:ascii="黑体" w:hAnsi="黑体" w:eastAsia="黑体" w:cs="黑体"/>
      <w:b/>
      <w:sz w:val="32"/>
      <w:szCs w:val="24"/>
      <w:lang w:val="en-US" w:eastAsia="zh-CN" w:bidi="ar-SA"/>
    </w:rPr>
  </w:style>
  <w:style w:type="paragraph" w:customStyle="1" w:styleId="129">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130">
    <w:name w:val="正文_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31">
    <w:name w:val="正文缩进_1"/>
    <w:basedOn w:val="130"/>
    <w:autoRedefine/>
    <w:qFormat/>
    <w:uiPriority w:val="0"/>
    <w:pPr>
      <w:ind w:firstLine="200" w:firstLineChars="200"/>
    </w:pPr>
  </w:style>
  <w:style w:type="paragraph" w:customStyle="1" w:styleId="132">
    <w:name w:val="正文文本12"/>
    <w:basedOn w:val="1"/>
    <w:autoRedefine/>
    <w:qFormat/>
    <w:uiPriority w:val="1"/>
    <w:pPr>
      <w:ind w:left="120"/>
    </w:pPr>
    <w:rPr>
      <w:rFonts w:ascii="宋体" w:hAnsi="宋体" w:cs="宋体"/>
      <w:lang w:val="zh-CN" w:bidi="zh-CN"/>
    </w:rPr>
  </w:style>
  <w:style w:type="paragraph" w:customStyle="1" w:styleId="133">
    <w:name w:val="正文2"/>
    <w:basedOn w:val="1"/>
    <w:autoRedefine/>
    <w:qFormat/>
    <w:uiPriority w:val="0"/>
    <w:pPr>
      <w:spacing w:before="156" w:line="360" w:lineRule="auto"/>
      <w:ind w:firstLine="510" w:firstLineChars="200"/>
    </w:pPr>
    <w:rPr>
      <w:sz w:val="24"/>
      <w:szCs w:val="20"/>
    </w:rPr>
  </w:style>
  <w:style w:type="paragraph" w:customStyle="1" w:styleId="134">
    <w:name w:val="首行缩进"/>
    <w:basedOn w:val="1"/>
    <w:autoRedefine/>
    <w:qFormat/>
    <w:uiPriority w:val="0"/>
    <w:pPr>
      <w:ind w:firstLine="480"/>
    </w:pPr>
    <w:rPr>
      <w:lang w:val="zh-CN"/>
    </w:rPr>
  </w:style>
  <w:style w:type="paragraph" w:customStyle="1" w:styleId="135">
    <w:name w:val="Normal_18_0"/>
    <w:qFormat/>
    <w:uiPriority w:val="0"/>
    <w:rPr>
      <w:rFonts w:ascii="黑体" w:hAnsi="黑体" w:eastAsia="黑体" w:cs="黑体"/>
      <w:b/>
      <w:sz w:val="32"/>
      <w:szCs w:val="24"/>
      <w:lang w:val="en-US" w:eastAsia="zh-CN" w:bidi="ar-SA"/>
    </w:rPr>
  </w:style>
  <w:style w:type="paragraph" w:customStyle="1" w:styleId="136">
    <w:name w:val="正文_12_0_0_0_0"/>
    <w:basedOn w:val="1"/>
    <w:qFormat/>
    <w:uiPriority w:val="0"/>
    <w:rPr>
      <w:szCs w:val="24"/>
    </w:rPr>
  </w:style>
  <w:style w:type="paragraph" w:customStyle="1" w:styleId="137">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38">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139">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0">
    <w:name w:val="Normal_20"/>
    <w:qFormat/>
    <w:uiPriority w:val="0"/>
    <w:rPr>
      <w:rFonts w:ascii="黑体" w:hAnsi="黑体" w:eastAsia="黑体" w:cs="黑体"/>
      <w:b/>
      <w:sz w:val="32"/>
      <w:szCs w:val="24"/>
      <w:lang w:val="en-US" w:eastAsia="zh-CN" w:bidi="ar-SA"/>
    </w:rPr>
  </w:style>
  <w:style w:type="paragraph" w:customStyle="1" w:styleId="141">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142">
    <w:name w:val="Normal_0"/>
    <w:qFormat/>
    <w:uiPriority w:val="0"/>
    <w:rPr>
      <w:rFonts w:ascii="黑体" w:hAnsi="黑体" w:eastAsia="黑体" w:cs="Times New Roman"/>
      <w:b/>
      <w:sz w:val="32"/>
      <w:szCs w:val="24"/>
      <w:lang w:val="en-US" w:eastAsia="zh-CN" w:bidi="ar-SA"/>
    </w:rPr>
  </w:style>
  <w:style w:type="paragraph" w:customStyle="1" w:styleId="143">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44">
    <w:name w:val="注释标题1"/>
    <w:basedOn w:val="1"/>
    <w:next w:val="1"/>
    <w:qFormat/>
    <w:uiPriority w:val="0"/>
    <w:pPr>
      <w:jc w:val="center"/>
    </w:pPr>
    <w:rPr>
      <w:kern w:val="0"/>
      <w:sz w:val="20"/>
      <w:szCs w:val="24"/>
    </w:rPr>
  </w:style>
  <w:style w:type="paragraph" w:customStyle="1" w:styleId="145">
    <w:name w:val="正文_1_1"/>
    <w:qFormat/>
    <w:uiPriority w:val="0"/>
    <w:pPr>
      <w:widowControl w:val="0"/>
      <w:jc w:val="both"/>
    </w:pPr>
    <w:rPr>
      <w:rFonts w:ascii="Calibri" w:hAnsi="Calibri" w:eastAsia="宋体" w:cs="Times New Roman"/>
      <w:sz w:val="21"/>
      <w:lang w:val="en-US" w:eastAsia="zh-CN" w:bidi="ar-SA"/>
    </w:rPr>
  </w:style>
  <w:style w:type="paragraph" w:customStyle="1" w:styleId="146">
    <w:name w:val="正文_3_0_0_0"/>
    <w:qFormat/>
    <w:uiPriority w:val="0"/>
    <w:pPr>
      <w:widowControl w:val="0"/>
      <w:jc w:val="both"/>
    </w:pPr>
    <w:rPr>
      <w:rFonts w:ascii="Calibri" w:hAnsi="Calibri" w:eastAsia="宋体" w:cs="Times New Roman"/>
      <w:sz w:val="21"/>
      <w:szCs w:val="22"/>
      <w:lang w:val="en-US" w:eastAsia="zh-CN" w:bidi="ar-SA"/>
    </w:rPr>
  </w:style>
  <w:style w:type="paragraph" w:customStyle="1" w:styleId="147">
    <w:name w:val="正文_3"/>
    <w:qFormat/>
    <w:uiPriority w:val="0"/>
    <w:pPr>
      <w:widowControl w:val="0"/>
      <w:jc w:val="both"/>
    </w:pPr>
    <w:rPr>
      <w:rFonts w:ascii="Calibri" w:hAnsi="Calibri" w:eastAsia="宋体" w:cs="Times New Roman"/>
      <w:sz w:val="21"/>
      <w:szCs w:val="22"/>
      <w:lang w:val="en-US" w:eastAsia="zh-CN" w:bidi="ar-SA"/>
    </w:rPr>
  </w:style>
  <w:style w:type="character" w:customStyle="1" w:styleId="148">
    <w:name w:val="layui-layer-tabnow"/>
    <w:basedOn w:val="46"/>
    <w:qFormat/>
    <w:uiPriority w:val="0"/>
    <w:rPr>
      <w:bdr w:val="single" w:color="CCCCCC" w:sz="2" w:space="0"/>
      <w:shd w:val="clear" w:color="auto" w:fill="FFFFFF"/>
    </w:rPr>
  </w:style>
  <w:style w:type="character" w:customStyle="1" w:styleId="149">
    <w:name w:val="hour_pm"/>
    <w:basedOn w:val="46"/>
    <w:qFormat/>
    <w:uiPriority w:val="0"/>
  </w:style>
  <w:style w:type="character" w:customStyle="1" w:styleId="150">
    <w:name w:val="hover"/>
    <w:basedOn w:val="46"/>
    <w:qFormat/>
    <w:uiPriority w:val="0"/>
    <w:rPr>
      <w:shd w:val="clear" w:color="auto" w:fill="EEEEEE"/>
    </w:rPr>
  </w:style>
  <w:style w:type="character" w:customStyle="1" w:styleId="151">
    <w:name w:val="glyphicon"/>
    <w:basedOn w:val="46"/>
    <w:qFormat/>
    <w:uiPriority w:val="0"/>
  </w:style>
  <w:style w:type="character" w:customStyle="1" w:styleId="152">
    <w:name w:val="old"/>
    <w:basedOn w:val="46"/>
    <w:qFormat/>
    <w:uiPriority w:val="0"/>
    <w:rPr>
      <w:color w:val="999999"/>
    </w:rPr>
  </w:style>
  <w:style w:type="character" w:customStyle="1" w:styleId="153">
    <w:name w:val="hour_am"/>
    <w:basedOn w:val="46"/>
    <w:qFormat/>
    <w:uiPriority w:val="0"/>
  </w:style>
  <w:style w:type="character" w:customStyle="1" w:styleId="154">
    <w:name w:val="first-child"/>
    <w:basedOn w:val="46"/>
    <w:qFormat/>
    <w:uiPriority w:val="0"/>
  </w:style>
  <w:style w:type="character" w:customStyle="1" w:styleId="155">
    <w:name w:val="hover5"/>
    <w:basedOn w:val="46"/>
    <w:qFormat/>
    <w:uiPriority w:val="0"/>
    <w:rPr>
      <w:shd w:val="clear" w:color="auto" w:fill="EEEEEE"/>
    </w:rPr>
  </w:style>
  <w:style w:type="character" w:customStyle="1" w:styleId="156">
    <w:name w:val="fontstyle01_0"/>
    <w:qFormat/>
    <w:uiPriority w:val="0"/>
    <w:rPr>
      <w:rFonts w:hint="eastAsia" w:ascii="仿宋" w:hAnsi="仿宋" w:eastAsia="仿宋"/>
      <w:color w:val="000000"/>
      <w:sz w:val="28"/>
      <w:szCs w:val="28"/>
    </w:rPr>
  </w:style>
  <w:style w:type="paragraph" w:customStyle="1" w:styleId="157">
    <w:name w:val="列出段落_0"/>
    <w:basedOn w:val="130"/>
    <w:qFormat/>
    <w:uiPriority w:val="34"/>
    <w:pPr>
      <w:ind w:firstLine="420" w:firstLineChars="200"/>
    </w:pPr>
    <w:rPr>
      <w:rFonts w:eastAsia="Times New Roman"/>
    </w:rPr>
  </w:style>
  <w:style w:type="character" w:customStyle="1" w:styleId="158">
    <w:name w:val="hover4"/>
    <w:basedOn w:val="46"/>
    <w:qFormat/>
    <w:uiPriority w:val="0"/>
    <w:rPr>
      <w:shd w:val="clear" w:color="auto" w:fill="EEEEEE"/>
    </w:rPr>
  </w:style>
  <w:style w:type="character" w:customStyle="1" w:styleId="159">
    <w:name w:val="hover3"/>
    <w:basedOn w:val="46"/>
    <w:qFormat/>
    <w:uiPriority w:val="0"/>
    <w:rPr>
      <w:shd w:val="clear" w:color="auto" w:fill="EEEEEE"/>
    </w:rPr>
  </w:style>
  <w:style w:type="character" w:customStyle="1" w:styleId="160">
    <w:name w:val="NormalCharacter_0"/>
    <w:qFormat/>
    <w:uiPriority w:val="0"/>
    <w:rPr>
      <w:rFonts w:ascii="Times New Roman" w:hAnsi="Times New Roman" w:eastAsia="宋体" w:cs="Times New Roman"/>
      <w:kern w:val="2"/>
      <w:sz w:val="21"/>
      <w:szCs w:val="21"/>
      <w:lang w:val="en-US" w:eastAsia="zh-CN" w:bidi="ar-SA"/>
    </w:rPr>
  </w:style>
  <w:style w:type="paragraph" w:customStyle="1" w:styleId="161">
    <w:name w:val="正文_2_0_0"/>
    <w:qFormat/>
    <w:uiPriority w:val="0"/>
    <w:pPr>
      <w:widowControl w:val="0"/>
      <w:jc w:val="both"/>
    </w:pPr>
    <w:rPr>
      <w:rFonts w:ascii="Calibri" w:hAnsi="Calibri" w:eastAsia="宋体" w:cs="Times New Roman"/>
      <w:sz w:val="21"/>
      <w:szCs w:val="22"/>
      <w:lang w:val="en-US" w:eastAsia="zh-CN" w:bidi="ar-SA"/>
    </w:rPr>
  </w:style>
  <w:style w:type="table" w:customStyle="1" w:styleId="16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21138</Words>
  <Characters>22731</Characters>
  <Lines>174</Lines>
  <Paragraphs>49</Paragraphs>
  <TotalTime>6</TotalTime>
  <ScaleCrop>false</ScaleCrop>
  <LinksUpToDate>false</LinksUpToDate>
  <CharactersWithSpaces>24962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2024-07-08T08:37:00Z</dcterms:created>
  <dc:creator>赵国文</dc:creator>
  <cp:lastModifiedBy>华为</cp:lastModifiedBy>
  <dcterms:modified xsi:type="dcterms:W3CDTF">2024-07-11T07:36:17Z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AAA1DE41824D4C8B9B955519F28C0E80_13</vt:lpwstr>
  </property>
</Properties>
</file>