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6"/>
        <w:jc w:val="center"/>
        <w:rPr>
          <w:rFonts w:hint="eastAsia" w:ascii="宋体" w:hAnsi="宋体" w:cs="宋体"/>
          <w:sz w:val="36"/>
        </w:rPr>
      </w:pPr>
      <w:r>
        <w:rPr>
          <w:rFonts w:hint="eastAsia" w:ascii="宋体" w:hAnsi="宋体" w:cs="宋体"/>
          <w:sz w:val="36"/>
        </w:rPr>
      </w:r>
      <w:r/>
    </w:p>
    <w:p>
      <w:pPr>
        <w:ind w:right="-286"/>
        <w:jc w:val="center"/>
        <w:rPr>
          <w:rFonts w:hint="eastAsia" w:ascii="宋体" w:hAnsi="宋体" w:cs="宋体"/>
          <w:sz w:val="36"/>
        </w:rPr>
      </w:pPr>
      <w:r>
        <w:rPr>
          <w:rFonts w:hint="eastAsia" w:ascii="宋体" w:hAnsi="宋体" w:cs="宋体"/>
          <w:sz w:val="36"/>
        </w:rPr>
      </w:r>
      <w:r/>
    </w:p>
    <w:p>
      <w:pPr>
        <w:ind w:right="-286"/>
        <w:jc w:val="center"/>
        <w:rPr>
          <w:rFonts w:hint="eastAsia" w:ascii="宋体" w:hAnsi="宋体" w:cs="宋体"/>
          <w:sz w:val="36"/>
        </w:rPr>
      </w:pPr>
      <w:r>
        <w:rPr>
          <w:rFonts w:hint="eastAsia" w:ascii="宋体" w:hAnsi="宋体" w:cs="宋体"/>
          <w:sz w:val="36"/>
        </w:rPr>
      </w:r>
      <w:r/>
    </w:p>
    <w:p>
      <w:pPr>
        <w:ind w:right="-286"/>
        <w:jc w:val="center"/>
        <w:rPr>
          <w:rFonts w:hint="eastAsia" w:ascii="宋体" w:hAnsi="宋体" w:cs="宋体"/>
          <w:sz w:val="36"/>
        </w:rPr>
      </w:pPr>
      <w:r>
        <w:rPr>
          <w:rFonts w:hint="eastAsia" w:ascii="宋体" w:hAnsi="宋体" w:cs="宋体"/>
          <w:sz w:val="36"/>
        </w:rPr>
      </w:r>
      <w:r/>
    </w:p>
    <w:p>
      <w:pPr>
        <w:ind w:right="-286"/>
        <w:jc w:val="center"/>
        <w:rPr>
          <w:rFonts w:hint="eastAsia" w:ascii="宋体" w:hAnsi="宋体" w:cs="宋体"/>
          <w:b/>
          <w:sz w:val="84"/>
        </w:rPr>
      </w:pPr>
      <w:r>
        <w:rPr>
          <w:rFonts w:hint="eastAsia" w:ascii="宋体" w:hAnsi="宋体" w:cs="宋体"/>
          <w:bCs/>
          <w:sz w:val="84"/>
        </w:rPr>
        <w:t xml:space="preserve">招 标 文 件（二次）</w:t>
      </w:r>
      <w:r/>
    </w:p>
    <w:p>
      <w:pPr>
        <w:ind w:right="-286"/>
        <w:rPr>
          <w:rFonts w:hint="eastAsia" w:ascii="宋体" w:hAnsi="宋体" w:cs="宋体"/>
          <w:b/>
          <w:sz w:val="32"/>
        </w:rPr>
      </w:pPr>
      <w:r>
        <w:rPr>
          <w:rFonts w:hint="eastAsia" w:ascii="宋体" w:hAnsi="宋体" w:cs="宋体"/>
          <w:b/>
          <w:sz w:val="32"/>
        </w:rPr>
      </w:r>
      <w:r/>
    </w:p>
    <w:p>
      <w:pPr>
        <w:ind w:right="-286"/>
        <w:jc w:val="center"/>
        <w:rPr>
          <w:rFonts w:hint="eastAsia" w:ascii="宋体" w:hAnsi="宋体" w:cs="宋体"/>
          <w:b/>
          <w:sz w:val="32"/>
        </w:rPr>
      </w:pPr>
      <w:r>
        <w:rPr>
          <w:rFonts w:hint="eastAsia" w:ascii="宋体" w:hAnsi="宋体" w:cs="宋体"/>
          <w:b/>
          <w:sz w:val="32"/>
        </w:rPr>
      </w:r>
      <w:r/>
    </w:p>
    <w:p>
      <w:pPr>
        <w:pStyle w:val="1075"/>
        <w:ind w:right="-286"/>
      </w:pPr>
      <w:r/>
      <w:r/>
    </w:p>
    <w:p>
      <w:pPr>
        <w:ind w:right="-286"/>
        <w:jc w:val="center"/>
        <w:rPr>
          <w:rFonts w:hint="eastAsia" w:ascii="宋体" w:hAnsi="宋体" w:cs="宋体"/>
          <w:b/>
          <w:sz w:val="32"/>
        </w:rPr>
      </w:pPr>
      <w:r>
        <w:rPr>
          <w:rFonts w:hint="eastAsia" w:ascii="宋体" w:hAnsi="宋体" w:cs="宋体"/>
          <w:b/>
          <w:sz w:val="32"/>
        </w:rPr>
      </w:r>
      <w:r/>
    </w:p>
    <w:p>
      <w:pPr>
        <w:ind w:right="-286"/>
        <w:rPr>
          <w:rFonts w:hint="eastAsia" w:ascii="宋体" w:hAnsi="宋体" w:cs="宋体"/>
          <w:b/>
          <w:sz w:val="32"/>
          <w:szCs w:val="36"/>
        </w:rPr>
      </w:pPr>
      <w:r>
        <w:rPr>
          <w:rFonts w:hint="eastAsia" w:ascii="宋体" w:hAnsi="宋体" w:cs="宋体"/>
          <w:b/>
          <w:sz w:val="32"/>
          <w:szCs w:val="36"/>
        </w:rPr>
        <w:t xml:space="preserve">项目编号：JSZC-320904-JZCG-G2024-0058 </w:t>
      </w:r>
      <w:r/>
    </w:p>
    <w:p>
      <w:pPr>
        <w:ind w:right="-286"/>
        <w:rPr>
          <w:rFonts w:hint="eastAsia" w:ascii="宋体" w:hAnsi="宋体" w:cs="宋体"/>
          <w:b/>
          <w:sz w:val="36"/>
          <w:szCs w:val="36"/>
        </w:rPr>
      </w:pPr>
      <w:r>
        <w:rPr>
          <w:rFonts w:hint="eastAsia" w:ascii="宋体" w:hAnsi="宋体" w:cs="宋体"/>
          <w:b/>
          <w:sz w:val="36"/>
          <w:szCs w:val="36"/>
        </w:rPr>
      </w:r>
      <w:r/>
    </w:p>
    <w:p>
      <w:pPr>
        <w:ind w:right="-286"/>
        <w:rPr>
          <w:rFonts w:hint="eastAsia" w:ascii="宋体" w:hAnsi="宋体" w:cs="宋体"/>
          <w:b/>
          <w:sz w:val="30"/>
          <w:szCs w:val="30"/>
        </w:rPr>
      </w:pPr>
      <w:r>
        <w:rPr>
          <w:rFonts w:hint="eastAsia" w:ascii="宋体" w:hAnsi="宋体" w:cs="宋体"/>
          <w:b/>
          <w:sz w:val="32"/>
          <w:szCs w:val="36"/>
        </w:rPr>
        <w:t xml:space="preserve">项目名称：盐城市大丰区“智慧海防”项目</w:t>
      </w:r>
      <w:r/>
    </w:p>
    <w:p>
      <w:pPr>
        <w:ind w:right="-286"/>
        <w:rPr>
          <w:rFonts w:hint="eastAsia" w:ascii="宋体" w:hAnsi="宋体" w:cs="宋体"/>
          <w:b/>
          <w:sz w:val="32"/>
        </w:rPr>
      </w:pPr>
      <w:r>
        <w:rPr>
          <w:rFonts w:hint="eastAsia" w:ascii="宋体" w:hAnsi="宋体" w:cs="宋体"/>
          <w:b/>
          <w:sz w:val="32"/>
        </w:rPr>
      </w:r>
      <w:r/>
    </w:p>
    <w:p>
      <w:pPr>
        <w:ind w:right="-286"/>
        <w:rPr>
          <w:rFonts w:hint="eastAsia" w:ascii="宋体" w:hAnsi="宋体" w:cs="宋体"/>
          <w:b/>
          <w:sz w:val="32"/>
        </w:rPr>
      </w:pPr>
      <w:r>
        <w:rPr>
          <w:rFonts w:hint="eastAsia" w:ascii="宋体" w:hAnsi="宋体" w:cs="宋体"/>
          <w:b/>
          <w:sz w:val="32"/>
        </w:rPr>
      </w:r>
      <w:r/>
    </w:p>
    <w:p>
      <w:pPr>
        <w:pStyle w:val="1075"/>
        <w:ind w:right="-286"/>
        <w:rPr>
          <w:rFonts w:hint="eastAsia" w:hAnsi="宋体" w:cs="宋体"/>
          <w:sz w:val="32"/>
        </w:rPr>
      </w:pPr>
      <w:r>
        <w:rPr>
          <w:rFonts w:hint="eastAsia" w:hAnsi="宋体" w:cs="宋体"/>
          <w:sz w:val="32"/>
        </w:rPr>
      </w:r>
      <w:r/>
    </w:p>
    <w:p>
      <w:pPr>
        <w:ind w:right="-286"/>
        <w:rPr>
          <w:rFonts w:hint="eastAsia" w:ascii="宋体" w:hAnsi="宋体" w:cs="宋体"/>
          <w:b/>
          <w:sz w:val="32"/>
        </w:rPr>
      </w:pPr>
      <w:r>
        <w:rPr>
          <w:rFonts w:hint="eastAsia" w:ascii="宋体" w:hAnsi="宋体" w:cs="宋体"/>
          <w:b/>
          <w:sz w:val="32"/>
        </w:rPr>
      </w:r>
      <w:r/>
    </w:p>
    <w:p>
      <w:pPr>
        <w:pStyle w:val="1075"/>
        <w:ind w:right="-286"/>
        <w:rPr>
          <w:rFonts w:hint="eastAsia" w:hAnsi="宋体" w:cs="宋体"/>
          <w:sz w:val="32"/>
        </w:rPr>
      </w:pPr>
      <w:r>
        <w:rPr>
          <w:rFonts w:hint="eastAsia" w:hAnsi="宋体" w:cs="宋体"/>
          <w:sz w:val="32"/>
        </w:rPr>
      </w:r>
      <w:r/>
    </w:p>
    <w:p>
      <w:pPr>
        <w:ind w:right="-286"/>
        <w:rPr>
          <w:rFonts w:hint="eastAsia" w:ascii="宋体" w:hAnsi="宋体" w:cs="宋体"/>
          <w:b/>
          <w:sz w:val="32"/>
        </w:rPr>
      </w:pPr>
      <w:r>
        <w:rPr>
          <w:rFonts w:hint="eastAsia" w:ascii="宋体" w:hAnsi="宋体" w:cs="宋体"/>
          <w:b/>
          <w:sz w:val="32"/>
        </w:rPr>
      </w:r>
      <w:r/>
    </w:p>
    <w:p>
      <w:pPr>
        <w:pStyle w:val="1075"/>
        <w:ind w:right="-286"/>
      </w:pPr>
      <w:r/>
      <w:r/>
    </w:p>
    <w:p>
      <w:pPr>
        <w:ind w:right="-286"/>
      </w:pPr>
      <w:r/>
      <w:r/>
    </w:p>
    <w:p>
      <w:pPr>
        <w:pStyle w:val="1076"/>
        <w:ind w:right="-286"/>
        <w:rPr>
          <w:rFonts w:hint="eastAsia" w:cs="宋体"/>
        </w:rPr>
      </w:pPr>
      <w:r>
        <w:rPr>
          <w:rFonts w:hint="eastAsia" w:cs="宋体"/>
        </w:rPr>
      </w:r>
      <w:r/>
    </w:p>
    <w:p>
      <w:pPr>
        <w:ind w:right="-286"/>
        <w:rPr>
          <w:rFonts w:hint="eastAsia" w:ascii="宋体" w:hAnsi="宋体" w:cs="宋体"/>
          <w:b/>
          <w:sz w:val="32"/>
        </w:rPr>
      </w:pPr>
      <w:r>
        <w:rPr>
          <w:rFonts w:hint="eastAsia" w:ascii="宋体" w:hAnsi="宋体" w:cs="宋体"/>
          <w:b/>
          <w:sz w:val="32"/>
        </w:rPr>
      </w:r>
      <w:r/>
    </w:p>
    <w:p>
      <w:pPr>
        <w:ind w:right="-286"/>
        <w:jc w:val="center"/>
        <w:rPr>
          <w:rFonts w:hint="eastAsia" w:ascii="宋体" w:hAnsi="宋体" w:cs="宋体"/>
          <w:sz w:val="36"/>
          <w:szCs w:val="36"/>
        </w:rPr>
      </w:pPr>
      <w:r>
        <w:rPr>
          <w:rFonts w:hint="eastAsia" w:ascii="宋体" w:hAnsi="宋体" w:cs="宋体"/>
          <w:sz w:val="36"/>
          <w:szCs w:val="36"/>
        </w:rPr>
        <w:t xml:space="preserve">盐城市大丰区公安局</w:t>
      </w:r>
      <w:r/>
    </w:p>
    <w:p>
      <w:pPr>
        <w:ind w:right="-286"/>
        <w:jc w:val="center"/>
        <w:rPr>
          <w:rFonts w:hint="eastAsia" w:ascii="宋体" w:hAnsi="宋体" w:cs="宋体"/>
          <w:sz w:val="36"/>
          <w:szCs w:val="36"/>
        </w:rPr>
      </w:pPr>
      <w:r>
        <w:rPr>
          <w:rFonts w:hint="eastAsia" w:ascii="宋体" w:hAnsi="宋体" w:cs="宋体"/>
          <w:sz w:val="36"/>
          <w:szCs w:val="36"/>
        </w:rPr>
        <w:t xml:space="preserve">202</w:t>
      </w:r>
      <w:r>
        <w:rPr>
          <w:rFonts w:ascii="宋体" w:hAnsi="宋体" w:cs="宋体"/>
          <w:sz w:val="36"/>
          <w:szCs w:val="36"/>
        </w:rPr>
        <w:t xml:space="preserve">4</w:t>
      </w:r>
      <w:r>
        <w:rPr>
          <w:rFonts w:hint="eastAsia" w:ascii="宋体" w:hAnsi="宋体" w:cs="宋体"/>
          <w:sz w:val="36"/>
          <w:szCs w:val="36"/>
        </w:rPr>
        <w:t xml:space="preserve">年</w:t>
      </w:r>
      <w:r>
        <w:rPr>
          <w:rFonts w:hint="eastAsia" w:ascii="宋体" w:hAnsi="宋体" w:cs="宋体"/>
          <w:sz w:val="36"/>
          <w:szCs w:val="36"/>
          <w:u w:val="single"/>
          <w:lang w:val="en-US" w:eastAsia="zh-CN"/>
        </w:rPr>
        <w:t xml:space="preserve"> 9</w:t>
      </w:r>
      <w:r>
        <w:rPr>
          <w:rFonts w:hint="eastAsia" w:ascii="宋体" w:hAnsi="宋体" w:cs="宋体"/>
          <w:sz w:val="36"/>
          <w:szCs w:val="36"/>
        </w:rPr>
        <w:t xml:space="preserve">月</w:t>
      </w:r>
      <w:r/>
    </w:p>
    <w:p>
      <w:pPr>
        <w:ind w:right="-286"/>
        <w:jc w:val="center"/>
        <w:spacing w:line="480" w:lineRule="auto"/>
        <w:rPr>
          <w:rFonts w:hint="eastAsia" w:ascii="宋体" w:hAnsi="宋体" w:cs="宋体"/>
          <w:b/>
          <w:sz w:val="44"/>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523127445"/>
      <w:r/>
      <w:bookmarkStart w:id="2" w:name="_Toc479757206"/>
      <w:r/>
      <w:bookmarkStart w:id="3" w:name="_Toc16938516"/>
      <w:r/>
      <w:bookmarkStart w:id="4" w:name="_Toc20823272"/>
      <w:r/>
      <w:bookmarkStart w:id="5" w:name="_Toc513029200"/>
      <w:r/>
      <w:r/>
    </w:p>
    <w:p>
      <w:pPr>
        <w:ind w:right="-286"/>
        <w:jc w:val="center"/>
        <w:spacing w:line="480" w:lineRule="auto"/>
        <w:rPr>
          <w:rFonts w:hint="eastAsia" w:ascii="宋体" w:hAnsi="宋体" w:cs="宋体"/>
          <w:b/>
          <w:sz w:val="44"/>
        </w:rPr>
        <w:outlineLvl w:val="0"/>
      </w:pPr>
      <w:r>
        <w:rPr>
          <w:rFonts w:hint="eastAsia" w:ascii="宋体" w:hAnsi="宋体" w:cs="宋体"/>
          <w:b/>
          <w:sz w:val="44"/>
        </w:rPr>
        <w:t xml:space="preserve">总  目  录</w:t>
      </w:r>
      <w:r/>
    </w:p>
    <w:p>
      <w:pPr>
        <w:ind w:right="-286"/>
        <w:spacing w:line="480" w:lineRule="auto"/>
        <w:rPr>
          <w:rFonts w:hint="eastAsia" w:ascii="宋体" w:hAnsi="宋体" w:cs="宋体"/>
          <w:b/>
          <w:sz w:val="28"/>
        </w:rPr>
      </w:pPr>
      <w:r>
        <w:rPr>
          <w:rFonts w:hint="eastAsia" w:ascii="宋体" w:hAnsi="宋体" w:cs="宋体"/>
          <w:b/>
          <w:sz w:val="28"/>
        </w:rPr>
      </w:r>
      <w:r/>
    </w:p>
    <w:p>
      <w:pPr>
        <w:numPr>
          <w:ilvl w:val="0"/>
          <w:numId w:val="2"/>
        </w:numPr>
        <w:ind w:right="-286"/>
        <w:spacing w:line="480" w:lineRule="auto"/>
        <w:rPr>
          <w:rFonts w:hint="eastAsia" w:ascii="宋体" w:hAnsi="宋体" w:cs="宋体"/>
          <w:sz w:val="32"/>
        </w:rPr>
        <w:outlineLvl w:val="0"/>
      </w:pPr>
      <w:r>
        <w:rPr>
          <w:rFonts w:hint="eastAsia" w:ascii="宋体" w:hAnsi="宋体" w:cs="宋体"/>
          <w:sz w:val="36"/>
        </w:rPr>
        <w:t xml:space="preserve">招标公告……………………………………1</w:t>
      </w:r>
      <w:r/>
    </w:p>
    <w:p>
      <w:pPr>
        <w:numPr>
          <w:ilvl w:val="0"/>
          <w:numId w:val="2"/>
        </w:numPr>
        <w:ind w:right="-286"/>
        <w:spacing w:line="480" w:lineRule="auto"/>
        <w:rPr>
          <w:rFonts w:hint="eastAsia" w:ascii="宋体" w:hAnsi="宋体" w:cs="宋体"/>
          <w:sz w:val="36"/>
        </w:rPr>
        <w:outlineLvl w:val="0"/>
      </w:pPr>
      <w:r>
        <w:rPr>
          <w:rFonts w:hint="eastAsia" w:ascii="宋体" w:hAnsi="宋体" w:cs="宋体"/>
          <w:bCs/>
          <w:sz w:val="36"/>
          <w:szCs w:val="36"/>
        </w:rPr>
        <w:t xml:space="preserve">投标人须知</w:t>
      </w:r>
      <w:r>
        <w:rPr>
          <w:rFonts w:hint="eastAsia" w:ascii="宋体" w:hAnsi="宋体" w:cs="宋体"/>
          <w:sz w:val="36"/>
          <w:szCs w:val="36"/>
        </w:rPr>
        <w:t xml:space="preserve">…</w:t>
      </w:r>
      <w:r>
        <w:rPr>
          <w:rFonts w:hint="eastAsia" w:ascii="宋体" w:hAnsi="宋体" w:cs="宋体"/>
          <w:sz w:val="36"/>
        </w:rPr>
        <w:t xml:space="preserve">………………………………4</w:t>
      </w:r>
      <w:r/>
    </w:p>
    <w:p>
      <w:pPr>
        <w:numPr>
          <w:ilvl w:val="0"/>
          <w:numId w:val="2"/>
        </w:numPr>
        <w:ind w:right="-286"/>
        <w:spacing w:line="480" w:lineRule="auto"/>
        <w:rPr>
          <w:rFonts w:hint="eastAsia" w:ascii="宋体" w:hAnsi="宋体" w:cs="宋体"/>
          <w:sz w:val="36"/>
        </w:rPr>
        <w:outlineLvl w:val="0"/>
      </w:pPr>
      <w:r>
        <w:rPr>
          <w:rFonts w:hint="eastAsia" w:ascii="宋体" w:hAnsi="宋体" w:cs="宋体"/>
          <w:sz w:val="36"/>
        </w:rPr>
        <w:t xml:space="preserve">合同条款及格式……………………………15</w:t>
      </w:r>
      <w:r/>
    </w:p>
    <w:p>
      <w:pPr>
        <w:numPr>
          <w:ilvl w:val="0"/>
          <w:numId w:val="2"/>
        </w:numPr>
        <w:ind w:right="-286"/>
        <w:spacing w:line="480" w:lineRule="auto"/>
        <w:rPr>
          <w:rFonts w:hint="eastAsia" w:ascii="宋体" w:hAnsi="宋体" w:cs="宋体"/>
          <w:sz w:val="36"/>
        </w:rPr>
        <w:outlineLvl w:val="0"/>
      </w:pPr>
      <w:r>
        <w:rPr>
          <w:rFonts w:hint="eastAsia" w:ascii="宋体" w:hAnsi="宋体" w:cs="宋体"/>
          <w:sz w:val="36"/>
        </w:rPr>
        <w:t xml:space="preserve">采购需求……………………………………</w:t>
      </w:r>
      <w:r>
        <w:rPr>
          <w:rFonts w:hint="eastAsia" w:ascii="宋体" w:hAnsi="宋体" w:cs="宋体"/>
          <w:sz w:val="36"/>
          <w:lang w:val="en-US" w:eastAsia="zh-CN"/>
        </w:rPr>
        <w:t xml:space="preserve">21</w:t>
      </w:r>
      <w:r/>
    </w:p>
    <w:p>
      <w:pPr>
        <w:numPr>
          <w:ilvl w:val="0"/>
          <w:numId w:val="2"/>
        </w:numPr>
        <w:ind w:right="-286"/>
        <w:spacing w:line="480" w:lineRule="auto"/>
        <w:rPr>
          <w:rFonts w:hint="eastAsia" w:ascii="宋体" w:hAnsi="宋体" w:cs="宋体"/>
          <w:sz w:val="36"/>
        </w:rPr>
        <w:outlineLvl w:val="0"/>
      </w:pPr>
      <w:r>
        <w:rPr>
          <w:rFonts w:hint="eastAsia" w:ascii="宋体" w:hAnsi="宋体" w:cs="宋体"/>
          <w:bCs/>
          <w:sz w:val="36"/>
          <w:szCs w:val="36"/>
        </w:rPr>
        <w:t xml:space="preserve">评标方法与评标标准</w:t>
      </w:r>
      <w:r>
        <w:rPr>
          <w:rFonts w:hint="eastAsia" w:ascii="宋体" w:hAnsi="宋体" w:cs="宋体"/>
          <w:sz w:val="36"/>
        </w:rPr>
        <w:t xml:space="preserve">………………………</w:t>
      </w:r>
      <w:r>
        <w:rPr>
          <w:rFonts w:hint="eastAsia" w:ascii="宋体" w:hAnsi="宋体" w:cs="宋体"/>
          <w:sz w:val="36"/>
          <w:lang w:val="en-US" w:eastAsia="zh-CN"/>
        </w:rPr>
        <w:t xml:space="preserve">99</w:t>
      </w:r>
      <w:r/>
    </w:p>
    <w:p>
      <w:pPr>
        <w:numPr>
          <w:ilvl w:val="0"/>
          <w:numId w:val="2"/>
        </w:numPr>
        <w:ind w:right="-286"/>
        <w:spacing w:line="480" w:lineRule="auto"/>
        <w:rPr>
          <w:rFonts w:hint="eastAsia" w:ascii="宋体" w:hAnsi="宋体" w:cs="宋体"/>
          <w:sz w:val="36"/>
        </w:rPr>
        <w:outlineLvl w:val="0"/>
      </w:pPr>
      <w:r>
        <w:rPr>
          <w:rFonts w:hint="eastAsia" w:ascii="宋体" w:hAnsi="宋体" w:cs="宋体"/>
          <w:sz w:val="36"/>
        </w:rPr>
        <w:t xml:space="preserve">投标文件格式………………………………1</w:t>
      </w:r>
      <w:r>
        <w:rPr>
          <w:rFonts w:hint="eastAsia" w:ascii="宋体" w:hAnsi="宋体" w:cs="宋体"/>
          <w:sz w:val="36"/>
          <w:lang w:val="en-US" w:eastAsia="zh-CN"/>
        </w:rPr>
        <w:t xml:space="preserve">05</w:t>
      </w:r>
      <w:r/>
    </w:p>
    <w:p>
      <w:pPr>
        <w:ind w:right="-286"/>
        <w:rPr>
          <w:rFonts w:hint="eastAsia" w:ascii="宋体" w:hAnsi="宋体" w:cs="宋体"/>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rPr>
      </w:r>
      <w:r/>
    </w:p>
    <w:p>
      <w:pPr>
        <w:pStyle w:val="1080"/>
        <w:ind w:right="-286"/>
        <w:rPr>
          <w:rFonts w:hint="eastAsia" w:ascii="宋体" w:hAnsi="宋体" w:eastAsia="宋体" w:cs="宋体"/>
          <w:sz w:val="24"/>
          <w:szCs w:val="24"/>
        </w:rPr>
      </w:pPr>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招标公告（二次）</w:t>
      </w:r>
      <w:r/>
    </w:p>
    <w:p>
      <w:pPr>
        <w:ind w:right="-286"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right="-286"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盐城市大丰区</w:t>
      </w:r>
      <w:r>
        <w:rPr>
          <w:rFonts w:hint="eastAsia" w:ascii="宋体" w:hAnsi="宋体" w:cs="宋体"/>
          <w:sz w:val="24"/>
          <w:szCs w:val="24"/>
          <w:u w:val="single"/>
          <w:lang w:bidi="ar"/>
        </w:rPr>
        <w:t xml:space="preserve">“智慧海防”项目</w:t>
      </w:r>
      <w:r>
        <w:rPr>
          <w:rFonts w:hint="eastAsia" w:ascii="宋体" w:hAnsi="宋体" w:cs="宋体"/>
          <w:sz w:val="24"/>
          <w:szCs w:val="24"/>
          <w:lang w:bidi="ar"/>
        </w:rPr>
        <w:t xml:space="preserve">的潜在投标人应在</w:t>
      </w:r>
      <w:r>
        <w:rPr>
          <w:rFonts w:hint="eastAsia" w:ascii="宋体" w:hAnsi="宋体" w:cs="宋体"/>
          <w:sz w:val="24"/>
          <w:szCs w:val="24"/>
          <w:u w:val="single"/>
          <w:lang w:bidi="ar"/>
        </w:rPr>
        <w:t xml:space="preserve">江苏政府采购网（</w:t>
      </w:r>
      <w:r>
        <w:fldChar w:fldCharType="begin"/>
      </w:r>
      <w:r>
        <w:instrText xml:space="preserve"> HYPERLINK "http://www.ccgp-jiangsu.gov.cn/" </w:instrText>
      </w:r>
      <w:r>
        <w:fldChar w:fldCharType="separate"/>
      </w:r>
      <w:r>
        <w:rPr>
          <w:rStyle w:val="911"/>
          <w:rFonts w:hint="eastAsia" w:ascii="宋体" w:hAnsi="宋体" w:cs="宋体"/>
          <w:color w:val="000000"/>
          <w:sz w:val="24"/>
          <w:szCs w:val="24"/>
        </w:rPr>
        <w:t xml:space="preserve">http://www.ccgp-jiangsu.gov.cn/</w:t>
      </w:r>
      <w:r>
        <w:rPr>
          <w:rStyle w:val="911"/>
          <w:rFonts w:hint="eastAsia" w:ascii="宋体" w:hAnsi="宋体" w:cs="宋体"/>
          <w:color w:val="000000"/>
          <w:sz w:val="24"/>
          <w:szCs w:val="24"/>
        </w:rPr>
        <w:fldChar w:fldCharType="end"/>
      </w:r>
      <w:r>
        <w:rPr>
          <w:rFonts w:hint="eastAsia" w:ascii="宋体" w:hAnsi="宋体" w:cs="宋体"/>
          <w:sz w:val="24"/>
          <w:szCs w:val="24"/>
          <w:u w:val="single"/>
          <w:lang w:bidi="ar"/>
        </w:rPr>
        <w:t xml:space="preserve">）、盐城市政府采购网</w:t>
      </w:r>
      <w:r>
        <w:rPr>
          <w:rFonts w:ascii="Calibri" w:hAnsi="Calibri"/>
          <w:color w:val="000000"/>
          <w:sz w:val="24"/>
          <w:szCs w:val="24"/>
          <w:lang w:bidi="ar"/>
        </w:rPr>
        <w:fldChar w:fldCharType="begin"/>
      </w:r>
      <w:r>
        <w:rPr>
          <w:rFonts w:ascii="Calibri" w:hAnsi="Calibri"/>
          <w:color w:val="000000"/>
          <w:sz w:val="24"/>
          <w:szCs w:val="24"/>
          <w:lang w:bidi="ar"/>
        </w:rPr>
        <w:instrText xml:space="preserve"> HYPERLINK "http://czj.yancheng.gov.cn/col/col2383/index.html" </w:instrText>
      </w:r>
      <w:r>
        <w:rPr>
          <w:rFonts w:ascii="Calibri" w:hAnsi="Calibri"/>
          <w:color w:val="000000"/>
          <w:sz w:val="24"/>
          <w:szCs w:val="24"/>
          <w:lang w:bidi="ar"/>
        </w:rPr>
        <w:fldChar w:fldCharType="separate"/>
      </w:r>
      <w:r>
        <w:rPr>
          <w:rStyle w:val="911"/>
          <w:rFonts w:hint="eastAsia" w:ascii="宋体" w:hAnsi="宋体" w:cs="宋体"/>
          <w:color w:val="000000"/>
          <w:sz w:val="24"/>
          <w:szCs w:val="24"/>
        </w:rPr>
        <w:t xml:space="preserve">http://czj.yancheng.gov.cn/col/col2383/index.html</w:t>
      </w:r>
      <w:r>
        <w:rPr>
          <w:rFonts w:ascii="Calibri" w:hAnsi="Calibri"/>
          <w:color w:val="000000"/>
          <w:sz w:val="24"/>
          <w:szCs w:val="24"/>
          <w:lang w:bidi="ar"/>
        </w:rPr>
        <w:fldChar w:fldCharType="end"/>
      </w:r>
      <w:r>
        <w:rPr>
          <w:rFonts w:hint="eastAsia" w:ascii="宋体" w:hAnsi="宋体" w:cs="宋体"/>
          <w:sz w:val="24"/>
          <w:szCs w:val="24"/>
          <w:lang w:bidi="ar"/>
        </w:rPr>
        <w:t xml:space="preserve">获取招标文件，并于</w:t>
      </w:r>
      <w:r>
        <w:rPr>
          <w:rFonts w:hint="eastAsia" w:ascii="宋体" w:hAnsi="宋体" w:cs="宋体"/>
          <w:color w:val="ff0000"/>
          <w:sz w:val="24"/>
          <w:szCs w:val="24"/>
          <w:u w:val="single"/>
          <w:lang w:bidi="ar"/>
        </w:rPr>
        <w:t xml:space="preserve">2024</w:t>
      </w:r>
      <w:r>
        <w:rPr>
          <w:rFonts w:hint="eastAsia" w:ascii="宋体" w:hAnsi="宋体" w:cs="宋体"/>
          <w:bCs/>
          <w:color w:val="ff0000"/>
          <w:sz w:val="24"/>
          <w:szCs w:val="24"/>
          <w:u w:val="single"/>
          <w:lang w:bidi="ar"/>
        </w:rPr>
        <w:t xml:space="preserve">年</w:t>
      </w:r>
      <w:r>
        <w:rPr>
          <w:rFonts w:hint="eastAsia" w:ascii="宋体" w:hAnsi="宋体" w:cs="宋体"/>
          <w:bCs/>
          <w:color w:val="ff0000"/>
          <w:sz w:val="24"/>
          <w:szCs w:val="24"/>
          <w:u w:val="single"/>
          <w:lang w:val="en-US" w:eastAsia="zh-CN" w:bidi="ar"/>
        </w:rPr>
        <w:t xml:space="preserve">10</w:t>
      </w:r>
      <w:r>
        <w:rPr>
          <w:rFonts w:hint="eastAsia" w:ascii="宋体" w:hAnsi="宋体" w:cs="宋体"/>
          <w:bCs/>
          <w:color w:val="ff0000"/>
          <w:sz w:val="24"/>
          <w:szCs w:val="24"/>
          <w:u w:val="single"/>
          <w:lang w:bidi="ar"/>
        </w:rPr>
        <w:t xml:space="preserve">月</w:t>
      </w:r>
      <w:r>
        <w:rPr>
          <w:rFonts w:hint="eastAsia" w:ascii="宋体" w:hAnsi="宋体" w:cs="宋体"/>
          <w:bCs/>
          <w:color w:val="ff0000"/>
          <w:sz w:val="24"/>
          <w:szCs w:val="24"/>
          <w:u w:val="single"/>
          <w:lang w:val="en-US" w:eastAsia="zh-CN" w:bidi="ar"/>
        </w:rPr>
        <w:t xml:space="preserve">16</w:t>
      </w:r>
      <w:r>
        <w:rPr>
          <w:rFonts w:hint="eastAsia" w:ascii="宋体" w:hAnsi="宋体" w:cs="宋体"/>
          <w:bCs/>
          <w:color w:val="ff0000"/>
          <w:sz w:val="24"/>
          <w:szCs w:val="24"/>
          <w:u w:val="single"/>
          <w:lang w:bidi="ar"/>
        </w:rPr>
        <w:t xml:space="preserve">日</w:t>
      </w:r>
      <w:r>
        <w:rPr>
          <w:rFonts w:hint="eastAsia" w:ascii="宋体" w:hAnsi="宋体" w:cs="宋体"/>
          <w:bCs/>
          <w:color w:val="ff0000"/>
          <w:sz w:val="24"/>
          <w:szCs w:val="24"/>
          <w:u w:val="single"/>
          <w:lang w:val="en-US" w:eastAsia="zh-CN" w:bidi="ar"/>
        </w:rPr>
        <w:t xml:space="preserve">10</w:t>
      </w:r>
      <w:r>
        <w:rPr>
          <w:rFonts w:hint="eastAsia" w:ascii="宋体" w:hAnsi="宋体" w:cs="宋体"/>
          <w:bCs/>
          <w:color w:val="ff0000"/>
          <w:sz w:val="24"/>
          <w:szCs w:val="24"/>
          <w:u w:val="single"/>
          <w:lang w:bidi="ar"/>
        </w:rPr>
        <w:t xml:space="preserve">点 00 分</w:t>
      </w:r>
      <w:r>
        <w:rPr>
          <w:rFonts w:hint="eastAsia" w:ascii="宋体" w:hAnsi="宋体" w:cs="宋体"/>
          <w:bCs/>
          <w:sz w:val="24"/>
          <w:szCs w:val="24"/>
          <w:u w:val="single"/>
          <w:lang w:bidi="ar"/>
        </w:rPr>
        <w:t xml:space="preserve">（</w:t>
      </w:r>
      <w:r>
        <w:rPr>
          <w:rFonts w:hint="eastAsia" w:ascii="宋体" w:hAnsi="宋体" w:cs="宋体"/>
          <w:bCs/>
          <w:sz w:val="24"/>
          <w:szCs w:val="24"/>
          <w:lang w:bidi="ar"/>
        </w:rPr>
        <w:t xml:space="preserve">北京时间）前递交投标文件</w:t>
      </w:r>
      <w:r>
        <w:rPr>
          <w:rFonts w:hint="eastAsia" w:ascii="宋体" w:hAnsi="宋体" w:cs="宋体"/>
          <w:sz w:val="24"/>
          <w:szCs w:val="24"/>
          <w:lang w:bidi="ar"/>
        </w:rPr>
        <w:t xml:space="preserve">。</w:t>
      </w:r>
      <w:r/>
    </w:p>
    <w:p>
      <w:pPr>
        <w:ind w:right="-286" w:firstLine="480"/>
        <w:spacing w:line="360" w:lineRule="auto"/>
        <w:rPr>
          <w:rFonts w:hint="eastAsia" w:ascii="宋体" w:hAnsi="宋体"/>
          <w:b/>
          <w:bCs/>
          <w:sz w:val="24"/>
          <w:szCs w:val="24"/>
        </w:rPr>
      </w:pPr>
      <w:r/>
      <w:bookmarkStart w:id="6" w:name="_Toc120614211"/>
      <w:r>
        <w:rPr>
          <w:rFonts w:hint="eastAsia" w:ascii="宋体" w:hAnsi="宋体"/>
          <w:b/>
          <w:bCs/>
          <w:sz w:val="24"/>
          <w:szCs w:val="24"/>
        </w:rPr>
        <w:t xml:space="preserve">一、项目基本情况</w:t>
      </w:r>
      <w:r/>
    </w:p>
    <w:p>
      <w:pPr>
        <w:ind w:right="-286" w:firstLine="480"/>
        <w:spacing w:line="360" w:lineRule="auto"/>
        <w:rPr>
          <w:rFonts w:hint="eastAsia" w:ascii="宋体" w:hAnsi="宋体"/>
          <w:sz w:val="24"/>
          <w:szCs w:val="24"/>
        </w:rPr>
      </w:pPr>
      <w:r>
        <w:rPr>
          <w:rFonts w:hint="eastAsia" w:ascii="宋体" w:hAnsi="宋体"/>
          <w:sz w:val="24"/>
          <w:szCs w:val="24"/>
        </w:rPr>
        <w:t xml:space="preserve">项目编号：JSZC-320904-JZCG-G2024-0058</w:t>
      </w:r>
      <w:r/>
    </w:p>
    <w:p>
      <w:pPr>
        <w:ind w:right="-286" w:firstLine="480"/>
        <w:spacing w:line="360" w:lineRule="auto"/>
        <w:rPr>
          <w:rFonts w:hint="eastAsia" w:ascii="宋体" w:hAnsi="宋体"/>
          <w:sz w:val="24"/>
          <w:szCs w:val="24"/>
        </w:rPr>
      </w:pPr>
      <w:r>
        <w:rPr>
          <w:rFonts w:hint="eastAsia" w:ascii="宋体" w:hAnsi="宋体"/>
          <w:sz w:val="24"/>
          <w:szCs w:val="24"/>
        </w:rPr>
        <w:t xml:space="preserve">项目名称：盐城市大丰区“智慧海防”项目</w:t>
      </w:r>
      <w:r/>
    </w:p>
    <w:p>
      <w:pPr>
        <w:ind w:right="-286" w:firstLine="480"/>
        <w:spacing w:line="360" w:lineRule="auto"/>
        <w:rPr>
          <w:rFonts w:hint="eastAsia" w:ascii="宋体" w:hAnsi="宋体"/>
          <w:sz w:val="24"/>
          <w:szCs w:val="24"/>
        </w:rPr>
      </w:pPr>
      <w:r>
        <w:rPr>
          <w:rFonts w:hint="eastAsia" w:ascii="宋体" w:hAnsi="宋体"/>
          <w:sz w:val="24"/>
          <w:szCs w:val="24"/>
        </w:rPr>
        <w:t xml:space="preserve">预算金额：人民币990</w:t>
      </w:r>
      <w:r>
        <w:rPr>
          <w:rFonts w:ascii="宋体" w:hAnsi="宋体"/>
          <w:sz w:val="24"/>
          <w:szCs w:val="24"/>
        </w:rPr>
        <w:t xml:space="preserve">万元；</w:t>
      </w:r>
      <w:r/>
    </w:p>
    <w:p>
      <w:pPr>
        <w:ind w:right="-286" w:firstLine="480"/>
        <w:spacing w:line="360" w:lineRule="auto"/>
        <w:rPr>
          <w:rFonts w:hint="eastAsia" w:ascii="宋体" w:hAnsi="宋体"/>
          <w:sz w:val="24"/>
          <w:szCs w:val="24"/>
        </w:rPr>
      </w:pPr>
      <w:r>
        <w:rPr>
          <w:rFonts w:hint="eastAsia" w:ascii="宋体" w:hAnsi="宋体"/>
          <w:sz w:val="24"/>
          <w:szCs w:val="24"/>
        </w:rPr>
        <w:t xml:space="preserve">最高限价（如有）：990万元，采购人不接收高于最高限价的投标报价，投标报价高于最高限价的视为无效标书。</w:t>
      </w:r>
      <w:r/>
    </w:p>
    <w:p>
      <w:pPr>
        <w:ind w:right="-286" w:firstLine="480"/>
        <w:spacing w:line="360" w:lineRule="auto"/>
        <w:rPr>
          <w:rFonts w:hint="eastAsia" w:ascii="宋体" w:hAnsi="宋体"/>
          <w:sz w:val="24"/>
          <w:szCs w:val="24"/>
        </w:rPr>
      </w:pPr>
      <w:r>
        <w:rPr>
          <w:rFonts w:hint="eastAsia" w:ascii="宋体" w:hAnsi="宋体"/>
          <w:sz w:val="24"/>
          <w:szCs w:val="24"/>
        </w:rPr>
        <w:t xml:space="preserve">采购需求：在大丰沿海区域建设雷达、AIS基站、重载云台、AR鹰眼、卡口、结构化等前端设备，以及海防中心指挥大屏、操作电脑、会议、音视频系统等。</w:t>
      </w:r>
      <w:r>
        <w:rPr>
          <w:rFonts w:hint="eastAsia" w:ascii="宋体" w:hAnsi="宋体"/>
          <w:bCs/>
          <w:sz w:val="24"/>
          <w:szCs w:val="24"/>
        </w:rPr>
        <w:t xml:space="preserve">还包括但不限于提供各项资料等伴随服务,具体详见本项目招标文件采购需求</w:t>
      </w:r>
      <w:r>
        <w:rPr>
          <w:rFonts w:ascii="宋体" w:hAnsi="宋体"/>
          <w:bCs/>
          <w:sz w:val="24"/>
          <w:szCs w:val="24"/>
        </w:rPr>
        <w:t xml:space="preserve">。</w:t>
      </w:r>
      <w:r/>
    </w:p>
    <w:p>
      <w:pPr>
        <w:ind w:right="-286" w:firstLine="480"/>
        <w:spacing w:line="360" w:lineRule="auto"/>
        <w:rPr>
          <w:rFonts w:hint="eastAsia" w:ascii="宋体" w:hAnsi="宋体"/>
          <w:sz w:val="24"/>
          <w:szCs w:val="24"/>
        </w:rPr>
      </w:pPr>
      <w:r>
        <w:rPr>
          <w:rFonts w:hint="eastAsia" w:ascii="宋体" w:hAnsi="宋体"/>
          <w:sz w:val="24"/>
          <w:szCs w:val="24"/>
        </w:rPr>
        <w:t xml:space="preserve">合同履行期限：合同签订后</w:t>
      </w:r>
      <w:r>
        <w:rPr>
          <w:rFonts w:hint="eastAsia" w:ascii="宋体" w:hAnsi="宋体"/>
          <w:sz w:val="24"/>
          <w:szCs w:val="24"/>
          <w:lang w:val="en-US" w:eastAsia="zh-CN"/>
        </w:rPr>
        <w:t xml:space="preserve">6</w:t>
      </w:r>
      <w:r>
        <w:rPr>
          <w:rFonts w:hint="eastAsia" w:ascii="宋体" w:hAnsi="宋体"/>
          <w:sz w:val="24"/>
          <w:szCs w:val="24"/>
        </w:rPr>
        <w:t xml:space="preserve">0日历天全部完成并经采购人验收合格。</w:t>
      </w:r>
      <w:r/>
    </w:p>
    <w:p>
      <w:pPr>
        <w:ind w:right="-286" w:firstLine="480"/>
        <w:spacing w:line="360" w:lineRule="auto"/>
        <w:rPr>
          <w:rFonts w:hint="eastAsia" w:ascii="宋体" w:hAnsi="宋体"/>
          <w:sz w:val="24"/>
          <w:szCs w:val="24"/>
        </w:rPr>
      </w:pPr>
      <w:r>
        <w:rPr>
          <w:rFonts w:hint="eastAsia" w:ascii="宋体" w:hAnsi="宋体"/>
          <w:sz w:val="24"/>
          <w:szCs w:val="24"/>
        </w:rPr>
        <w:t xml:space="preserve">质保期：</w:t>
      </w:r>
      <w:r>
        <w:rPr>
          <w:rFonts w:hint="eastAsia" w:ascii="宋体" w:hAnsi="宋体"/>
          <w:sz w:val="24"/>
          <w:szCs w:val="24"/>
          <w:lang w:val="en-US" w:eastAsia="zh-CN"/>
        </w:rPr>
        <w:t xml:space="preserve">不低于</w:t>
      </w:r>
      <w:r>
        <w:rPr>
          <w:rFonts w:hint="eastAsia" w:ascii="宋体" w:hAnsi="宋体"/>
          <w:sz w:val="24"/>
          <w:szCs w:val="24"/>
        </w:rPr>
        <w:t xml:space="preserve">五年。</w:t>
      </w:r>
      <w:r/>
    </w:p>
    <w:p>
      <w:pPr>
        <w:ind w:right="-286" w:firstLine="480"/>
        <w:spacing w:line="360" w:lineRule="auto"/>
        <w:rPr>
          <w:rFonts w:hint="eastAsia" w:ascii="宋体" w:hAnsi="宋体"/>
          <w:sz w:val="24"/>
          <w:szCs w:val="24"/>
        </w:rPr>
      </w:pPr>
      <w:r>
        <w:rPr>
          <w:rFonts w:hint="eastAsia" w:ascii="宋体" w:hAnsi="宋体"/>
          <w:sz w:val="24"/>
          <w:szCs w:val="24"/>
        </w:rPr>
        <w:t xml:space="preserve">本项目不接受联合体投标。</w:t>
      </w:r>
      <w:r/>
    </w:p>
    <w:p>
      <w:pPr>
        <w:ind w:right="-286" w:firstLine="480"/>
        <w:spacing w:line="360" w:lineRule="auto"/>
        <w:rPr>
          <w:rFonts w:hint="eastAsia" w:ascii="宋体" w:hAnsi="宋体"/>
          <w:b/>
          <w:bCs/>
          <w:sz w:val="24"/>
          <w:szCs w:val="24"/>
        </w:rPr>
      </w:pPr>
      <w:r>
        <w:rPr>
          <w:rFonts w:hint="eastAsia" w:ascii="宋体" w:hAnsi="宋体"/>
          <w:b/>
          <w:bCs/>
          <w:sz w:val="24"/>
          <w:szCs w:val="24"/>
        </w:rPr>
        <w:t xml:space="preserve">二、申请人的资格要求：</w:t>
      </w:r>
      <w:r/>
    </w:p>
    <w:p>
      <w:pPr>
        <w:ind w:right="-286" w:firstLine="480"/>
        <w:spacing w:line="360" w:lineRule="auto"/>
        <w:rPr>
          <w:rFonts w:hint="eastAsia" w:ascii="宋体" w:hAnsi="宋体"/>
          <w:sz w:val="24"/>
          <w:szCs w:val="24"/>
        </w:rPr>
      </w:pPr>
      <w:r>
        <w:rPr>
          <w:rFonts w:ascii="宋体" w:hAnsi="宋体"/>
          <w:sz w:val="24"/>
          <w:szCs w:val="24"/>
        </w:rPr>
        <w:t xml:space="preserve">1.满足《中华人民共和国政府采购法》第二十二条规定，并提供下列材料；</w:t>
      </w:r>
      <w:r/>
    </w:p>
    <w:p>
      <w:pPr>
        <w:ind w:right="-286" w:firstLine="480"/>
        <w:spacing w:line="360" w:lineRule="auto"/>
        <w:rPr>
          <w:rFonts w:hint="eastAsia" w:ascii="宋体" w:hAnsi="宋体"/>
          <w:sz w:val="24"/>
          <w:szCs w:val="24"/>
        </w:rPr>
      </w:pPr>
      <w:r>
        <w:rPr>
          <w:rFonts w:ascii="宋体" w:hAnsi="宋体"/>
          <w:sz w:val="24"/>
          <w:szCs w:val="24"/>
        </w:rPr>
        <w:t xml:space="preserve">(1)法人或者其他组织的营业执照等证明文件，自然人的身份证明；</w:t>
      </w:r>
      <w:r/>
    </w:p>
    <w:p>
      <w:pPr>
        <w:ind w:right="-286" w:firstLine="480"/>
        <w:spacing w:line="360" w:lineRule="auto"/>
        <w:rPr>
          <w:rFonts w:hint="eastAsia" w:ascii="宋体" w:hAnsi="宋体"/>
          <w:sz w:val="24"/>
          <w:szCs w:val="24"/>
        </w:rPr>
      </w:pPr>
      <w:r>
        <w:rPr>
          <w:rFonts w:ascii="宋体" w:hAnsi="宋体"/>
          <w:sz w:val="24"/>
          <w:szCs w:val="24"/>
        </w:rPr>
        <w:t xml:space="preserve">(2)上一年度的财务</w:t>
      </w:r>
      <w:r>
        <w:rPr>
          <w:rFonts w:hint="eastAsia" w:ascii="宋体" w:hAnsi="宋体"/>
          <w:sz w:val="24"/>
          <w:szCs w:val="24"/>
        </w:rPr>
        <w:t xml:space="preserve">状况报告</w:t>
      </w:r>
      <w:r>
        <w:rPr>
          <w:rFonts w:ascii="宋体" w:hAnsi="宋体"/>
          <w:sz w:val="24"/>
          <w:szCs w:val="24"/>
        </w:rPr>
        <w:t xml:space="preserve">（成立不满一年不需提供）；</w:t>
      </w:r>
      <w:r/>
    </w:p>
    <w:p>
      <w:pPr>
        <w:ind w:right="-286" w:firstLine="480"/>
        <w:spacing w:line="360" w:lineRule="auto"/>
        <w:rPr>
          <w:rFonts w:hint="eastAsia" w:ascii="宋体" w:hAnsi="宋体"/>
          <w:sz w:val="24"/>
          <w:szCs w:val="24"/>
        </w:rPr>
      </w:pPr>
      <w:r>
        <w:rPr>
          <w:rFonts w:ascii="宋体" w:hAnsi="宋体"/>
          <w:sz w:val="24"/>
          <w:szCs w:val="24"/>
        </w:rPr>
        <w:t xml:space="preserve">(3)依法缴纳税收和社会保障资金的相关材料；</w:t>
      </w:r>
      <w:r/>
    </w:p>
    <w:p>
      <w:pPr>
        <w:ind w:right="-286" w:firstLine="480"/>
        <w:spacing w:line="360" w:lineRule="auto"/>
        <w:rPr>
          <w:rFonts w:hint="eastAsia" w:ascii="宋体" w:hAnsi="宋体"/>
          <w:sz w:val="24"/>
          <w:szCs w:val="24"/>
        </w:rPr>
      </w:pPr>
      <w:r>
        <w:rPr>
          <w:rFonts w:ascii="宋体" w:hAnsi="宋体"/>
          <w:sz w:val="24"/>
          <w:szCs w:val="24"/>
        </w:rPr>
        <w:t xml:space="preserve">(4)具备履行合同所必需的设备和专业技术能力的书面声明；</w:t>
      </w:r>
      <w:r/>
    </w:p>
    <w:p>
      <w:pPr>
        <w:ind w:right="-286" w:firstLine="480"/>
        <w:spacing w:line="360" w:lineRule="auto"/>
        <w:rPr>
          <w:rFonts w:hint="eastAsia" w:ascii="宋体" w:hAnsi="宋体"/>
          <w:sz w:val="24"/>
          <w:szCs w:val="24"/>
        </w:rPr>
      </w:pPr>
      <w:r/>
      <w:bookmarkStart w:id="7" w:name="_Hlk151391965"/>
      <w:r>
        <w:rPr>
          <w:rFonts w:ascii="宋体" w:hAnsi="宋体"/>
          <w:sz w:val="24"/>
          <w:szCs w:val="24"/>
        </w:rPr>
        <w:t xml:space="preserve">(5)</w:t>
      </w:r>
      <w:bookmarkEnd w:id="7"/>
      <w:r>
        <w:rPr>
          <w:rFonts w:ascii="宋体" w:hAnsi="宋体"/>
          <w:sz w:val="24"/>
          <w:szCs w:val="24"/>
        </w:rPr>
        <w:t xml:space="preserve">参加政府采购活动前3年内在经营活动中没有重大违法记录的书面声明；</w:t>
      </w:r>
      <w:r/>
    </w:p>
    <w:p>
      <w:pPr>
        <w:ind w:right="-286" w:firstLine="480"/>
        <w:spacing w:line="360" w:lineRule="auto"/>
        <w:rPr>
          <w:rFonts w:hint="eastAsia" w:ascii="宋体" w:hAnsi="宋体"/>
          <w:sz w:val="24"/>
          <w:szCs w:val="24"/>
        </w:rPr>
      </w:pPr>
      <w:r>
        <w:rPr>
          <w:rFonts w:ascii="宋体" w:hAnsi="宋体"/>
          <w:sz w:val="24"/>
          <w:szCs w:val="24"/>
        </w:rPr>
        <w:t xml:space="preserve">2.落实政府采购政策需满足的资格要求：</w:t>
      </w:r>
      <w:r>
        <w:rPr>
          <w:rFonts w:hint="eastAsia" w:ascii="宋体" w:hAnsi="宋体"/>
          <w:sz w:val="24"/>
          <w:szCs w:val="24"/>
        </w:rPr>
        <w:t xml:space="preserve">无</w:t>
      </w:r>
      <w:r>
        <w:rPr>
          <w:rFonts w:ascii="宋体" w:hAnsi="宋体"/>
          <w:sz w:val="24"/>
          <w:szCs w:val="24"/>
        </w:rPr>
        <w:t xml:space="preserve">。</w:t>
      </w:r>
      <w:r/>
    </w:p>
    <w:p>
      <w:pPr>
        <w:ind w:right="-286" w:firstLine="480"/>
        <w:spacing w:line="360" w:lineRule="auto"/>
        <w:rPr>
          <w:rFonts w:hint="eastAsia" w:ascii="宋体" w:hAnsi="宋体"/>
          <w:sz w:val="24"/>
          <w:szCs w:val="24"/>
        </w:rPr>
      </w:pPr>
      <w:r>
        <w:rPr>
          <w:rFonts w:ascii="宋体" w:hAnsi="宋体"/>
          <w:sz w:val="24"/>
          <w:szCs w:val="24"/>
        </w:rPr>
        <w:t xml:space="preserve">3.本项目的特定资格要求：</w:t>
      </w:r>
      <w:r/>
    </w:p>
    <w:p>
      <w:pPr>
        <w:ind w:right="-286"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1）未被“信用中国”网站（www.creditchina.gov.cn）列入失信被执行人、重大税收违法案件当事人名单、政府采购严重失信行为记录名单。</w:t>
      </w:r>
      <w:r/>
    </w:p>
    <w:p>
      <w:pPr>
        <w:ind w:right="-286"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2）单位负责人为同一人或者存在直接控股、管理关系的不同供应商，不得参加同一合同项下的政府采购活动。</w:t>
      </w:r>
      <w:r/>
    </w:p>
    <w:p>
      <w:pPr>
        <w:pStyle w:val="888"/>
        <w:ind w:left="0" w:right="-211" w:firstLine="0"/>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   （3）分（支）公司投标的，须在总公司的认可范围内。总公司、各级分（支）公司不得同时投标，否则投标均无效。投标人如为分支机构，投标时只需提供分支机构材料，投标文件中法定代表人签字、盖章可以由投标人负责人签字、盖章。</w:t>
      </w:r>
      <w:r/>
    </w:p>
    <w:p>
      <w:pPr>
        <w:ind w:right="-286" w:firstLine="480"/>
        <w:spacing w:line="360" w:lineRule="auto"/>
        <w:rPr>
          <w:rFonts w:hint="eastAsia" w:ascii="宋体" w:hAnsi="宋体"/>
          <w:b/>
          <w:bCs/>
          <w:sz w:val="24"/>
          <w:szCs w:val="24"/>
        </w:rPr>
      </w:pPr>
      <w:r>
        <w:rPr>
          <w:rFonts w:hint="eastAsia" w:ascii="宋体" w:hAnsi="宋体"/>
          <w:b/>
          <w:bCs/>
          <w:sz w:val="24"/>
          <w:szCs w:val="24"/>
        </w:rPr>
        <w:t xml:space="preserve">三、获取招标文件</w:t>
      </w:r>
      <w:r/>
    </w:p>
    <w:p>
      <w:pPr>
        <w:ind w:right="-286" w:firstLine="480"/>
        <w:spacing w:line="360" w:lineRule="auto"/>
        <w:rPr>
          <w:rFonts w:hint="eastAsia" w:ascii="宋体" w:hAnsi="宋体"/>
          <w:sz w:val="24"/>
          <w:szCs w:val="24"/>
        </w:rPr>
      </w:pPr>
      <w:r>
        <w:rPr>
          <w:rFonts w:hint="eastAsia" w:ascii="宋体" w:hAnsi="宋体"/>
          <w:sz w:val="24"/>
          <w:szCs w:val="24"/>
        </w:rPr>
        <w:t xml:space="preserve">时间：</w:t>
      </w:r>
      <w:r>
        <w:rPr>
          <w:rFonts w:hint="eastAsia" w:ascii="宋体" w:hAnsi="宋体" w:cs="宋体"/>
          <w:iCs/>
          <w:sz w:val="24"/>
          <w:szCs w:val="24"/>
        </w:rPr>
        <w:t xml:space="preserve">自公告发布之日起5个工作日</w:t>
      </w:r>
      <w:r/>
    </w:p>
    <w:p>
      <w:pPr>
        <w:ind w:right="-286" w:firstLine="480"/>
        <w:spacing w:line="360" w:lineRule="auto"/>
        <w:rPr>
          <w:rFonts w:hint="eastAsia" w:ascii="宋体" w:hAnsi="宋体"/>
          <w:sz w:val="24"/>
          <w:szCs w:val="24"/>
        </w:rPr>
      </w:pPr>
      <w:r>
        <w:rPr>
          <w:rFonts w:hint="eastAsia" w:ascii="宋体" w:hAnsi="宋体"/>
          <w:sz w:val="24"/>
          <w:szCs w:val="24"/>
        </w:rPr>
        <w:t xml:space="preserve">方式：在“江苏政府采购网”自行免费下载招标文件。</w:t>
      </w:r>
      <w:r/>
    </w:p>
    <w:p>
      <w:pPr>
        <w:ind w:right="-286" w:firstLine="480"/>
        <w:spacing w:line="360" w:lineRule="auto"/>
        <w:rPr>
          <w:rFonts w:hint="eastAsia" w:ascii="宋体" w:hAnsi="宋体"/>
          <w:sz w:val="24"/>
          <w:szCs w:val="24"/>
        </w:rPr>
      </w:pPr>
      <w:r>
        <w:rPr>
          <w:rFonts w:hint="eastAsia" w:ascii="宋体" w:hAnsi="宋体"/>
          <w:sz w:val="24"/>
          <w:szCs w:val="24"/>
        </w:rPr>
        <w:t xml:space="preserve">售价：免费</w:t>
      </w:r>
      <w:r/>
    </w:p>
    <w:p>
      <w:pPr>
        <w:ind w:firstLine="480"/>
        <w:jc w:val="left"/>
        <w:spacing w:line="360" w:lineRule="auto"/>
        <w:widowControl/>
        <w:rPr>
          <w:rFonts w:hint="eastAsia" w:ascii="宋体" w:hAnsi="宋体" w:cs="宋体"/>
          <w:sz w:val="24"/>
          <w:szCs w:val="24"/>
          <w:lang w:bidi="ar"/>
        </w:rPr>
      </w:pPr>
      <w:r/>
      <w:bookmarkStart w:id="8" w:name="QLCZYSX_1"/>
      <w:r>
        <w:rPr>
          <w:rFonts w:hint="eastAsia" w:ascii="宋体" w:hAnsi="宋体" w:cs="宋体"/>
          <w:sz w:val="24"/>
          <w:szCs w:val="24"/>
          <w:lang w:bidi="ar"/>
        </w:rPr>
        <w:t xml:space="preserve">注意事项：</w:t>
      </w:r>
      <w:bookmarkEnd w:id="8"/>
      <w:r/>
      <w:r/>
    </w:p>
    <w:p>
      <w:pPr>
        <w:numPr>
          <w:ilvl w:val="0"/>
          <w:numId w:val="3"/>
        </w:num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首先在江苏省政府采购管理交易系统（苏采云）首页入口进行供应商注册：注册用户后使用用户密码登录，填写供应商单位详情并提交，待审核通过入库成为“正式供应商”后，按系统提示绑定CA，即可在线参与采购投标活动。</w:t>
      </w:r>
      <w:r/>
    </w:p>
    <w:p>
      <w:pPr>
        <w:numPr>
          <w:ilvl w:val="0"/>
          <w:numId w:val="3"/>
        </w:num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政务CA及方正签章相关安装软件，可在苏采云平台首页的【苏采云控件驱动下载】-【政务CA、方正签章控件驱动安装包及安装说明】下载获取。</w:t>
      </w:r>
      <w:r/>
    </w:p>
    <w:p>
      <w:pPr>
        <w:ind w:firstLine="480"/>
        <w:jc w:val="left"/>
        <w:spacing w:line="360" w:lineRule="auto"/>
        <w:widowControl/>
      </w:pPr>
      <w:r>
        <w:rPr>
          <w:rFonts w:hint="eastAsia" w:ascii="宋体" w:hAnsi="宋体" w:cs="宋体"/>
          <w:sz w:val="24"/>
          <w:szCs w:val="24"/>
          <w:lang w:bidi="ar"/>
        </w:rPr>
        <w:t xml:space="preserve">3、有关本次招标的事项若存在变动或修改，敬请及时关注江苏政府采购网、盐城市政府采购网发布的更正公告。</w:t>
      </w:r>
      <w:r/>
    </w:p>
    <w:p>
      <w:pPr>
        <w:ind w:firstLine="480"/>
        <w:jc w:val="left"/>
        <w:spacing w:line="360" w:lineRule="auto"/>
        <w:widowControl/>
      </w:pPr>
      <w:r>
        <w:rPr>
          <w:rFonts w:hint="eastAsia" w:ascii="宋体" w:hAnsi="宋体" w:cs="宋体"/>
          <w:sz w:val="24"/>
          <w:szCs w:val="24"/>
          <w:lang w:bidi="ar"/>
        </w:rPr>
        <w:t xml:space="preserve">4</w:t>
      </w:r>
      <w:bookmarkStart w:id="9" w:name="_Toc35393646"/>
      <w:r>
        <w:rPr>
          <w:rFonts w:hint="eastAsia" w:ascii="宋体" w:hAnsi="宋体" w:cs="宋体"/>
          <w:sz w:val="24"/>
          <w:szCs w:val="24"/>
          <w:lang w:bidi="ar"/>
        </w:rPr>
        <w:t xml:space="preserve">、</w:t>
      </w:r>
      <w:r>
        <w:rPr>
          <w:rFonts w:hint="eastAsia" w:ascii="宋体" w:hAnsi="宋体" w:cs="宋体"/>
          <w:color w:val="000000"/>
          <w:sz w:val="24"/>
          <w:szCs w:val="24"/>
          <w:lang w:bidi="ar"/>
        </w:rPr>
        <w:t xml:space="preserve">本项目采取“全流程电子化不见面”开标模式，开标当日无需投标单位授权代表到达开标现场。</w:t>
      </w:r>
      <w:bookmarkEnd w:id="9"/>
      <w:r/>
      <w:r/>
    </w:p>
    <w:p>
      <w:pPr>
        <w:ind w:firstLine="480"/>
        <w:jc w:val="left"/>
        <w:spacing w:line="360" w:lineRule="auto"/>
        <w:widowControl/>
      </w:pPr>
      <w:r>
        <w:rPr>
          <w:rFonts w:hint="eastAsia" w:ascii="宋体" w:hAnsi="宋体" w:cs="宋体"/>
          <w:sz w:val="24"/>
          <w:szCs w:val="24"/>
          <w:lang w:bidi="ar"/>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right="-286"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如潜在投标人未按上述要求操作，将自行承担所产生的风险。</w:t>
      </w:r>
      <w:r/>
    </w:p>
    <w:p>
      <w:pPr>
        <w:ind w:right="-286" w:firstLine="480"/>
        <w:spacing w:line="360" w:lineRule="auto"/>
        <w:rPr>
          <w:rFonts w:hint="eastAsia" w:ascii="宋体" w:hAnsi="宋体"/>
          <w:sz w:val="24"/>
          <w:szCs w:val="24"/>
        </w:rPr>
      </w:pPr>
      <w:r>
        <w:rPr>
          <w:rFonts w:hint="eastAsia" w:ascii="宋体" w:hAnsi="宋体"/>
          <w:b/>
          <w:bCs/>
          <w:sz w:val="24"/>
          <w:szCs w:val="24"/>
        </w:rPr>
        <w:t xml:space="preserve">四、提交投标文件截止时间、开标时间和地点</w:t>
      </w:r>
      <w:r/>
    </w:p>
    <w:p>
      <w:pPr>
        <w:ind w:right="-286" w:firstLine="480"/>
        <w:spacing w:line="360" w:lineRule="auto"/>
        <w:rPr>
          <w:rFonts w:hint="eastAsia" w:ascii="宋体" w:hAnsi="宋体"/>
          <w:sz w:val="24"/>
          <w:szCs w:val="24"/>
        </w:rPr>
      </w:pPr>
      <w:r>
        <w:rPr>
          <w:rFonts w:hint="eastAsia" w:ascii="宋体" w:hAnsi="宋体"/>
          <w:sz w:val="24"/>
          <w:szCs w:val="24"/>
        </w:rPr>
        <w:t xml:space="preserve">1. </w:t>
      </w:r>
      <w:r>
        <w:rPr>
          <w:rFonts w:hint="eastAsia" w:ascii="宋体" w:hAnsi="宋体"/>
          <w:sz w:val="24"/>
          <w:szCs w:val="24"/>
          <w:highlight w:val="none"/>
        </w:rPr>
        <w:t xml:space="preserve">2024年</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10</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16</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10</w:t>
      </w:r>
      <w:r>
        <w:rPr>
          <w:rFonts w:hint="eastAsia" w:ascii="宋体" w:hAnsi="宋体"/>
          <w:sz w:val="24"/>
          <w:szCs w:val="24"/>
          <w:highlight w:val="none"/>
          <w:u w:val="single"/>
        </w:rPr>
        <w:t xml:space="preserve"> </w:t>
      </w:r>
      <w:r>
        <w:rPr>
          <w:rFonts w:hint="eastAsia" w:ascii="宋体" w:hAnsi="宋体"/>
          <w:sz w:val="24"/>
          <w:szCs w:val="24"/>
          <w:highlight w:val="none"/>
        </w:rPr>
        <w:t xml:space="preserve">点</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00</w:t>
      </w:r>
      <w:r>
        <w:rPr>
          <w:rFonts w:hint="eastAsia" w:ascii="宋体" w:hAnsi="宋体"/>
          <w:sz w:val="24"/>
          <w:szCs w:val="24"/>
          <w:highlight w:val="none"/>
          <w:u w:val="single"/>
        </w:rPr>
        <w:t xml:space="preserve"> </w:t>
      </w:r>
      <w:r>
        <w:rPr>
          <w:rFonts w:hint="eastAsia" w:ascii="宋体" w:hAnsi="宋体"/>
          <w:sz w:val="24"/>
          <w:szCs w:val="24"/>
          <w:highlight w:val="none"/>
        </w:rPr>
        <w:t xml:space="preserve">分</w:t>
      </w:r>
      <w:r>
        <w:rPr>
          <w:rFonts w:hint="eastAsia" w:ascii="宋体" w:hAnsi="宋体"/>
          <w:sz w:val="24"/>
          <w:szCs w:val="24"/>
        </w:rPr>
        <w:t xml:space="preserve">（北京时间）</w:t>
      </w:r>
      <w:r/>
    </w:p>
    <w:p>
      <w:pPr>
        <w:ind w:right="-286" w:firstLine="480"/>
        <w:spacing w:line="360" w:lineRule="auto"/>
      </w:pPr>
      <w:r>
        <w:rPr>
          <w:rFonts w:hint="eastAsia" w:ascii="宋体" w:hAnsi="宋体"/>
          <w:sz w:val="24"/>
          <w:szCs w:val="24"/>
        </w:rPr>
        <w:t xml:space="preserve">2.地点：“苏采云”政府采购交易系统网上开标大厅。</w:t>
      </w:r>
      <w:bookmarkStart w:id="453" w:name="_GoBack"/>
      <w:r/>
      <w:bookmarkEnd w:id="453"/>
      <w:r>
        <w:rPr>
          <w:rFonts w:hint="eastAsia" w:ascii="宋体" w:hAnsi="宋体"/>
          <w:sz w:val="24"/>
          <w:szCs w:val="24"/>
        </w:rPr>
      </w:r>
      <w:r/>
    </w:p>
    <w:p>
      <w:pPr>
        <w:ind w:right="-286" w:firstLine="480"/>
        <w:spacing w:line="360" w:lineRule="auto"/>
        <w:rPr>
          <w:rFonts w:hint="eastAsia" w:ascii="宋体" w:hAnsi="宋体"/>
          <w:sz w:val="24"/>
          <w:szCs w:val="24"/>
        </w:rPr>
      </w:pPr>
      <w:r>
        <w:rPr>
          <w:rFonts w:hint="eastAsia" w:ascii="宋体" w:hAnsi="宋体"/>
          <w:b/>
          <w:bCs/>
          <w:sz w:val="24"/>
          <w:szCs w:val="24"/>
        </w:rPr>
        <w:t xml:space="preserve">五、公告期限</w:t>
      </w:r>
      <w:r>
        <w:rPr>
          <w:rFonts w:hint="eastAsia" w:ascii="宋体" w:hAnsi="宋体"/>
          <w:sz w:val="24"/>
          <w:szCs w:val="24"/>
        </w:rPr>
      </w:r>
      <w:r/>
    </w:p>
    <w:p>
      <w:pPr>
        <w:ind w:right="-286" w:firstLine="480"/>
        <w:spacing w:line="360" w:lineRule="auto"/>
        <w:rPr>
          <w:rFonts w:hint="eastAsia"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5个工作日。</w:t>
      </w:r>
      <w:r/>
    </w:p>
    <w:p>
      <w:pPr>
        <w:ind w:right="-286" w:firstLine="480"/>
        <w:spacing w:line="360" w:lineRule="auto"/>
        <w:rPr>
          <w:rFonts w:hint="eastAsia" w:ascii="宋体" w:hAnsi="宋体"/>
          <w:sz w:val="24"/>
          <w:szCs w:val="24"/>
        </w:rPr>
      </w:pPr>
      <w:r>
        <w:rPr>
          <w:rFonts w:hint="eastAsia" w:ascii="宋体" w:hAnsi="宋体"/>
          <w:sz w:val="24"/>
          <w:szCs w:val="24"/>
        </w:rPr>
        <w:t xml:space="preserve">六、其他补充事宜</w:t>
      </w:r>
      <w:r/>
    </w:p>
    <w:p>
      <w:pPr>
        <w:ind w:firstLine="480"/>
        <w:jc w:val="left"/>
        <w:spacing w:line="360" w:lineRule="auto"/>
        <w:widowControl/>
      </w:pPr>
      <w:r>
        <w:rPr>
          <w:rFonts w:hint="eastAsia" w:ascii="宋体" w:hAnsi="宋体" w:cs="宋体"/>
          <w:sz w:val="24"/>
          <w:szCs w:val="24"/>
          <w:lang w:bidi="ar"/>
        </w:rPr>
        <w:t xml:space="preserve">1、电子投标文件一份(通过系统提交)；纸质投标文件正本一份，副本四份（评审结束后由中标候选人邮寄至采购人，未中标单位不需要提供）。</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 根据省财政厅《关</w:t>
      </w:r>
      <w:r>
        <w:rPr>
          <w:rFonts w:hint="eastAsia" w:ascii="宋体" w:hAnsi="宋体" w:cs="宋体"/>
          <w:sz w:val="24"/>
          <w:szCs w:val="24"/>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领取CA和办理电子签章（请至盐城市亭湖区政务服务中心二楼226CA办理窗口办理（联系电话：15051556883），具体联系方式见《苏采云系统供应商操作手册》（以下简称《操作手册》））、进行注册并按《操作手册》要求制作、上传电子投标文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 有关本次招标的事项若存在变动或修改，敬请及时关注盐城市大丰区公共资源交易中心在“江苏政府采购网”发布的更正公告。</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 投标人在使用系统进行投标的过程中如遇到涉及“苏采云”系统使用的任何问题，应在工作日上午9：00-11：30下午13：30-17：30期间致电技术支持热线咨询，联系电话：0519-86722805、0519-86617173。</w:t>
      </w:r>
      <w:r/>
    </w:p>
    <w:p>
      <w:pPr>
        <w:ind w:firstLine="480"/>
        <w:jc w:val="left"/>
        <w:spacing w:line="360" w:lineRule="auto"/>
        <w:widowControl/>
      </w:pPr>
      <w:r>
        <w:rPr>
          <w:rFonts w:hint="eastAsia" w:ascii="宋体" w:hAnsi="宋体" w:cs="宋体"/>
          <w:sz w:val="24"/>
          <w:szCs w:val="24"/>
          <w:lang w:bidi="ar"/>
        </w:rPr>
        <w:t xml:space="preserve">5、本项目不收取投标保证金。</w:t>
      </w:r>
      <w:bookmarkStart w:id="10" w:name="_Toc28359085"/>
      <w:r/>
      <w:bookmarkEnd w:id="10"/>
      <w:r/>
      <w:bookmarkStart w:id="11" w:name="_Toc35393627"/>
      <w:r/>
      <w:bookmarkEnd w:id="11"/>
      <w:r/>
      <w:bookmarkStart w:id="12" w:name="_Toc28359008"/>
      <w:r/>
      <w:bookmarkEnd w:id="12"/>
      <w:r/>
      <w:bookmarkStart w:id="13" w:name="_Toc35393796"/>
      <w:r/>
      <w:bookmarkEnd w:id="13"/>
      <w:r/>
      <w:r/>
    </w:p>
    <w:p>
      <w:pPr>
        <w:ind w:right="-286" w:firstLine="480"/>
        <w:spacing w:line="360" w:lineRule="auto"/>
        <w:rPr>
          <w:rFonts w:hint="eastAsia" w:ascii="宋体" w:hAnsi="宋体"/>
          <w:sz w:val="24"/>
          <w:szCs w:val="24"/>
        </w:rPr>
      </w:pPr>
      <w:r>
        <w:rPr>
          <w:rFonts w:hint="eastAsia" w:ascii="宋体" w:hAnsi="宋体"/>
          <w:sz w:val="24"/>
          <w:szCs w:val="24"/>
        </w:rPr>
        <w:t xml:space="preserve">七、对本次招标提出询问，请按以下方式联系。</w:t>
      </w:r>
      <w:r/>
    </w:p>
    <w:p>
      <w:pPr>
        <w:ind w:right="-275" w:firstLine="480"/>
        <w:spacing w:line="360" w:lineRule="auto"/>
        <w:rPr>
          <w:rFonts w:hint="eastAsia" w:ascii="宋体" w:hAnsi="宋体" w:cs="宋体"/>
          <w:sz w:val="24"/>
          <w:szCs w:val="24"/>
        </w:rPr>
      </w:pPr>
      <w:r/>
      <w:bookmarkStart w:id="14" w:name="_Toc28359096"/>
      <w:r/>
      <w:bookmarkStart w:id="15" w:name="_Toc35393806"/>
      <w:r/>
      <w:bookmarkStart w:id="16" w:name="_Toc28359019"/>
      <w:r/>
      <w:bookmarkStart w:id="17" w:name="_Toc35393637"/>
      <w:r>
        <w:rPr>
          <w:rFonts w:hint="eastAsia" w:ascii="宋体" w:hAnsi="宋体" w:cs="宋体"/>
          <w:sz w:val="24"/>
          <w:szCs w:val="24"/>
        </w:rPr>
        <w:t xml:space="preserve">1.采购人信息</w:t>
      </w:r>
      <w:bookmarkEnd w:id="14"/>
      <w:r/>
      <w:bookmarkEnd w:id="15"/>
      <w:r/>
      <w:bookmarkEnd w:id="16"/>
      <w:r/>
      <w:bookmarkEnd w:id="17"/>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名 称：盐城市大丰区公安局        </w:t>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地址：</w:t>
      </w:r>
      <w:bookmarkStart w:id="18" w:name="_Hlk130225944"/>
      <w:r>
        <w:rPr>
          <w:rFonts w:hint="eastAsia" w:ascii="宋体" w:hAnsi="宋体" w:cs="宋体"/>
          <w:sz w:val="24"/>
          <w:szCs w:val="24"/>
        </w:rPr>
        <w:t xml:space="preserve">盐城市大丰市区健康西路21号</w:t>
      </w:r>
      <w:bookmarkEnd w:id="18"/>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联系人： 胥继明                  </w:t>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联系电话：18862035611 </w:t>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2.项目联系方式</w:t>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项目联系人：  王敬       </w:t>
      </w:r>
      <w:r>
        <w:rPr>
          <w:rFonts w:hint="eastAsia" w:ascii="宋体" w:hAnsi="宋体" w:cs="宋体"/>
          <w:sz w:val="24"/>
          <w:szCs w:val="24"/>
        </w:rPr>
        <w:t xml:space="preserve">联系电话：13905112300</w:t>
      </w:r>
      <w:r>
        <w:rPr>
          <w:rFonts w:hint="eastAsia" w:ascii="宋体" w:hAnsi="宋体" w:cs="宋体"/>
          <w:sz w:val="24"/>
          <w:szCs w:val="24"/>
        </w:rPr>
      </w:r>
      <w:r/>
    </w:p>
    <w:p>
      <w:pPr>
        <w:pStyle w:val="1079"/>
      </w:pPr>
      <w:r/>
      <w:r/>
    </w:p>
    <w:p>
      <w:pPr>
        <w:pStyle w:val="1082"/>
        <w:ind w:right="-286"/>
        <w:rPr>
          <w:rFonts w:hint="eastAsia" w:ascii="宋体" w:hAnsi="宋体" w:eastAsia="宋体" w:cs="宋体"/>
          <w:b w:val="0"/>
          <w:bCs w:val="0"/>
        </w:rPr>
      </w:pPr>
      <w:r>
        <w:rPr>
          <w:rFonts w:hint="eastAsia" w:ascii="宋体" w:hAnsi="宋体" w:eastAsia="宋体" w:cs="宋体"/>
        </w:rPr>
        <w:t xml:space="preserve">第二章  </w:t>
      </w:r>
      <w:bookmarkEnd w:id="1"/>
      <w:r/>
      <w:bookmarkEnd w:id="2"/>
      <w:r/>
      <w:bookmarkEnd w:id="3"/>
      <w:r/>
      <w:bookmarkEnd w:id="4"/>
      <w:r/>
      <w:bookmarkEnd w:id="5"/>
      <w:r/>
      <w:bookmarkEnd w:id="6"/>
      <w:r/>
      <w:bookmarkStart w:id="19" w:name="_Toc20823274"/>
      <w:r/>
      <w:bookmarkStart w:id="20" w:name="_Toc120614213"/>
      <w:r/>
      <w:bookmarkStart w:id="21" w:name="_Toc513029202"/>
      <w:r/>
      <w:bookmarkStart w:id="22" w:name="_Toc16938518"/>
      <w:r>
        <w:rPr>
          <w:rFonts w:hint="eastAsia" w:ascii="宋体" w:hAnsi="宋体" w:eastAsia="宋体" w:cs="宋体"/>
        </w:rPr>
        <w:t xml:space="preserve">投标人须知</w:t>
      </w:r>
      <w:bookmarkEnd w:id="19"/>
      <w:r/>
      <w:bookmarkEnd w:id="20"/>
      <w:r/>
      <w:bookmarkEnd w:id="21"/>
      <w:r/>
      <w:bookmarkEnd w:id="22"/>
      <w:r/>
      <w:r/>
    </w:p>
    <w:p>
      <w:pPr>
        <w:pStyle w:val="1083"/>
        <w:ind w:right="-286" w:firstLine="321"/>
        <w:spacing w:before="145" w:after="145" w:line="400" w:lineRule="exact"/>
        <w:rPr>
          <w:rFonts w:hint="eastAsia" w:ascii="宋体" w:hAnsi="宋体" w:cs="宋体"/>
        </w:rPr>
      </w:pPr>
      <w:r/>
      <w:bookmarkStart w:id="23" w:name="_Toc16938519"/>
      <w:r/>
      <w:bookmarkStart w:id="24" w:name="_Toc513029203"/>
      <w:r/>
      <w:bookmarkStart w:id="25" w:name="_Toc120614214"/>
      <w:r/>
      <w:bookmarkStart w:id="26" w:name="_Toc20823275"/>
      <w:r>
        <w:rPr>
          <w:rFonts w:hint="eastAsia" w:ascii="宋体" w:hAnsi="宋体" w:cs="宋体"/>
        </w:rPr>
        <w:t xml:space="preserve">一、总则</w:t>
      </w:r>
      <w:bookmarkEnd w:id="23"/>
      <w:r/>
      <w:bookmarkEnd w:id="24"/>
      <w:r/>
      <w:bookmarkEnd w:id="25"/>
      <w:r/>
      <w:bookmarkEnd w:id="26"/>
      <w:r/>
      <w:r/>
    </w:p>
    <w:p>
      <w:pPr>
        <w:pStyle w:val="1084"/>
        <w:ind w:right="-286" w:firstLine="420"/>
        <w:spacing w:before="0" w:after="0" w:line="400" w:lineRule="exact"/>
        <w:rPr>
          <w:rFonts w:hint="eastAsia" w:ascii="宋体" w:hAnsi="宋体" w:eastAsia="宋体" w:cs="宋体"/>
          <w:b w:val="0"/>
          <w:bCs w:val="0"/>
        </w:rPr>
      </w:pPr>
      <w:r/>
      <w:bookmarkStart w:id="27" w:name="_Hlt16619475"/>
      <w:r/>
      <w:bookmarkEnd w:id="27"/>
      <w:r/>
      <w:bookmarkStart w:id="28" w:name="_Toc458694821"/>
      <w:r/>
      <w:bookmarkStart w:id="29" w:name="_Toc16938520"/>
      <w:r/>
      <w:bookmarkStart w:id="30" w:name="_Toc20823276"/>
      <w:r/>
      <w:bookmarkStart w:id="31" w:name="_Toc513029204"/>
      <w:r>
        <w:rPr>
          <w:rFonts w:hint="eastAsia" w:ascii="宋体" w:hAnsi="宋体" w:eastAsia="宋体" w:cs="宋体"/>
          <w:b w:val="0"/>
          <w:bCs w:val="0"/>
        </w:rPr>
        <w:t xml:space="preserve">1</w:t>
      </w:r>
      <w:bookmarkEnd w:id="28"/>
      <w:r>
        <w:rPr>
          <w:rFonts w:hint="eastAsia" w:ascii="宋体" w:hAnsi="宋体" w:eastAsia="宋体" w:cs="宋体"/>
          <w:b w:val="0"/>
          <w:bCs w:val="0"/>
        </w:rPr>
        <w:t xml:space="preserve">、招标方式</w:t>
      </w:r>
      <w:bookmarkEnd w:id="29"/>
      <w:r/>
      <w:bookmarkEnd w:id="30"/>
      <w:r/>
      <w:bookmarkEnd w:id="31"/>
      <w:r/>
      <w:r/>
    </w:p>
    <w:p>
      <w:pPr>
        <w:ind w:right="-286" w:firstLine="480"/>
        <w:spacing w:line="400" w:lineRule="exact"/>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1084"/>
        <w:ind w:right="-286" w:firstLine="420"/>
        <w:spacing w:before="0" w:after="0" w:line="400" w:lineRule="exact"/>
        <w:rPr>
          <w:rFonts w:hint="eastAsia" w:ascii="宋体" w:hAnsi="宋体" w:eastAsia="宋体" w:cs="宋体"/>
          <w:b w:val="0"/>
          <w:bCs w:val="0"/>
        </w:rPr>
      </w:pPr>
      <w:r/>
      <w:bookmarkStart w:id="32" w:name="_Toc16938521"/>
      <w:r/>
      <w:bookmarkStart w:id="33" w:name="_Toc20823277"/>
      <w:r/>
      <w:bookmarkStart w:id="34" w:name="_Toc513029205"/>
      <w:r>
        <w:rPr>
          <w:rFonts w:hint="eastAsia" w:ascii="宋体" w:hAnsi="宋体" w:eastAsia="宋体" w:cs="宋体"/>
          <w:b w:val="0"/>
          <w:bCs w:val="0"/>
        </w:rPr>
        <w:t xml:space="preserve">2、合格的投标人</w:t>
      </w:r>
      <w:bookmarkEnd w:id="32"/>
      <w:r/>
      <w:bookmarkEnd w:id="33"/>
      <w:r/>
      <w:bookmarkEnd w:id="34"/>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2.2 满足本文件实质性条款的规定。</w:t>
      </w:r>
      <w:r/>
    </w:p>
    <w:p>
      <w:pPr>
        <w:pStyle w:val="1084"/>
        <w:ind w:right="-286" w:firstLine="420"/>
        <w:spacing w:before="0" w:after="0" w:line="400" w:lineRule="exact"/>
        <w:rPr>
          <w:rFonts w:hint="eastAsia" w:ascii="宋体" w:hAnsi="宋体" w:eastAsia="宋体" w:cs="宋体"/>
          <w:b w:val="0"/>
          <w:bCs w:val="0"/>
        </w:rPr>
      </w:pPr>
      <w:r/>
      <w:bookmarkStart w:id="35" w:name="_Toc16938522"/>
      <w:r/>
      <w:bookmarkStart w:id="36" w:name="_Toc20823278"/>
      <w:r/>
      <w:bookmarkStart w:id="37" w:name="_Toc513029206"/>
      <w:r>
        <w:rPr>
          <w:rFonts w:hint="eastAsia" w:ascii="宋体" w:hAnsi="宋体" w:eastAsia="宋体" w:cs="宋体"/>
          <w:b w:val="0"/>
          <w:bCs w:val="0"/>
        </w:rPr>
        <w:t xml:space="preserve">3、适用法律</w:t>
      </w:r>
      <w:bookmarkEnd w:id="35"/>
      <w:r/>
      <w:bookmarkEnd w:id="36"/>
      <w:r/>
      <w:bookmarkEnd w:id="37"/>
      <w:r/>
      <w:r/>
    </w:p>
    <w:p>
      <w:pPr>
        <w:ind w:right="-286" w:firstLine="480"/>
        <w:spacing w:line="400" w:lineRule="exact"/>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1084"/>
        <w:ind w:right="-286" w:firstLine="420"/>
        <w:spacing w:before="0" w:after="0" w:line="400" w:lineRule="exact"/>
        <w:rPr>
          <w:rFonts w:hint="eastAsia" w:ascii="宋体" w:hAnsi="宋体" w:eastAsia="宋体" w:cs="宋体"/>
          <w:b w:val="0"/>
          <w:bCs w:val="0"/>
        </w:rPr>
      </w:pPr>
      <w:r/>
      <w:bookmarkStart w:id="38" w:name="_Toc20823279"/>
      <w:r/>
      <w:bookmarkStart w:id="39" w:name="_Toc513029207"/>
      <w:r/>
      <w:bookmarkStart w:id="40" w:name="_Toc462564067"/>
      <w:r/>
      <w:bookmarkStart w:id="41" w:name="_Toc16938523"/>
      <w:r>
        <w:rPr>
          <w:rFonts w:hint="eastAsia" w:ascii="宋体" w:hAnsi="宋体" w:eastAsia="宋体" w:cs="宋体"/>
          <w:b w:val="0"/>
          <w:bCs w:val="0"/>
        </w:rPr>
        <w:t xml:space="preserve">4、投标费用</w:t>
      </w:r>
      <w:bookmarkEnd w:id="38"/>
      <w:r/>
      <w:bookmarkEnd w:id="39"/>
      <w:r/>
      <w:bookmarkEnd w:id="40"/>
      <w:r/>
      <w:bookmarkEnd w:id="41"/>
      <w:r/>
      <w:r/>
    </w:p>
    <w:p>
      <w:pPr>
        <w:ind w:right="-286" w:firstLine="480"/>
        <w:spacing w:line="400" w:lineRule="exact"/>
        <w:rPr>
          <w:rFonts w:hint="eastAsia" w:ascii="宋体" w:hAnsi="宋体" w:cs="宋体"/>
          <w:sz w:val="24"/>
        </w:rPr>
      </w:pPr>
      <w:r>
        <w:rPr>
          <w:rFonts w:hint="eastAsia" w:ascii="宋体" w:hAnsi="宋体" w:cs="宋体"/>
          <w:sz w:val="24"/>
        </w:rPr>
        <w:t xml:space="preserve">4.1 投标人应自行承担所有与参加投标有关的费用，无论投标过程中的做法和结果如何，采购人在任何情况下均无义务和责任承担这些费用。</w:t>
      </w:r>
      <w:r/>
    </w:p>
    <w:p>
      <w:pPr>
        <w:ind w:right="-286" w:firstLine="480"/>
        <w:spacing w:line="400" w:lineRule="exact"/>
        <w:rPr>
          <w:rFonts w:hint="eastAsia" w:ascii="宋体" w:hAnsi="宋体" w:cs="宋体"/>
          <w:sz w:val="24"/>
        </w:rPr>
      </w:pPr>
      <w:r>
        <w:rPr>
          <w:rFonts w:hint="eastAsia" w:ascii="宋体" w:hAnsi="宋体" w:cs="宋体"/>
          <w:sz w:val="24"/>
        </w:rPr>
        <w:t xml:space="preserve">4.2本次招标采购，采购人不收取标书工本费。</w:t>
      </w:r>
      <w:r/>
    </w:p>
    <w:p>
      <w:pPr>
        <w:pStyle w:val="1084"/>
        <w:ind w:right="-286" w:firstLine="452"/>
        <w:spacing w:before="0" w:after="0" w:line="400" w:lineRule="exact"/>
        <w:rPr>
          <w:rFonts w:hint="eastAsia" w:ascii="宋体" w:hAnsi="宋体" w:eastAsia="宋体" w:cs="宋体"/>
          <w:b w:val="0"/>
          <w:bCs w:val="0"/>
        </w:rPr>
      </w:pPr>
      <w:r>
        <w:rPr>
          <w:rFonts w:hint="eastAsia" w:ascii="宋体" w:hAnsi="宋体" w:eastAsia="宋体" w:cs="宋体"/>
          <w:sz w:val="30"/>
        </w:rPr>
        <w:t xml:space="preserve">5、</w:t>
      </w:r>
      <w:r>
        <w:rPr>
          <w:rFonts w:hint="eastAsia" w:ascii="宋体" w:hAnsi="宋体" w:eastAsia="宋体" w:cs="宋体"/>
          <w:b w:val="0"/>
          <w:bCs w:val="0"/>
        </w:rPr>
        <w:t xml:space="preserve">招标文件的约束力</w:t>
      </w:r>
      <w:r/>
    </w:p>
    <w:p>
      <w:pPr>
        <w:ind w:right="-286" w:firstLine="480"/>
        <w:spacing w:line="40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投标人一旦参加本项目采购活动，即被认为接受了本招标文件的规定和约束，并且视为自招标公告期限届满之日起知道或应当知道自身权益是否受到了损害。</w:t>
      </w:r>
      <w:r/>
    </w:p>
    <w:p>
      <w:pPr>
        <w:pStyle w:val="1084"/>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6、招标文件的解释</w:t>
      </w:r>
      <w:r/>
    </w:p>
    <w:p>
      <w:pPr>
        <w:ind w:right="-286" w:firstLine="480"/>
        <w:spacing w:line="400" w:lineRule="exact"/>
        <w:rPr>
          <w:rFonts w:hint="eastAsia" w:ascii="宋体" w:hAnsi="宋体" w:cs="宋体"/>
          <w:bCs/>
          <w:sz w:val="24"/>
          <w:szCs w:val="24"/>
        </w:rPr>
      </w:pPr>
      <w:r>
        <w:rPr>
          <w:rFonts w:hint="eastAsia" w:ascii="宋体" w:hAnsi="宋体" w:cs="宋体"/>
          <w:bCs/>
          <w:sz w:val="24"/>
          <w:szCs w:val="24"/>
        </w:rPr>
        <w:t xml:space="preserve">6.1 本招标文件由</w:t>
      </w:r>
      <w:r>
        <w:rPr>
          <w:rFonts w:hint="eastAsia" w:ascii="宋体" w:hAnsi="宋体" w:cs="宋体"/>
          <w:bCs/>
          <w:sz w:val="24"/>
        </w:rPr>
        <w:t xml:space="preserve">采购人</w:t>
      </w:r>
      <w:r>
        <w:rPr>
          <w:rFonts w:hint="eastAsia" w:ascii="宋体" w:hAnsi="宋体" w:cs="宋体"/>
          <w:bCs/>
          <w:sz w:val="24"/>
          <w:szCs w:val="24"/>
        </w:rPr>
        <w:t xml:space="preserve">负责解释。</w:t>
      </w:r>
      <w:r/>
    </w:p>
    <w:p>
      <w:pPr>
        <w:pStyle w:val="1083"/>
        <w:ind w:right="-286" w:firstLine="321"/>
        <w:spacing w:before="145" w:after="145" w:line="400" w:lineRule="exact"/>
        <w:rPr>
          <w:rFonts w:hint="eastAsia" w:ascii="宋体" w:hAnsi="宋体" w:cs="宋体"/>
        </w:rPr>
      </w:pPr>
      <w:r/>
      <w:bookmarkStart w:id="42" w:name="_Toc513029209"/>
      <w:r/>
      <w:bookmarkStart w:id="43" w:name="_Toc16938525"/>
      <w:r/>
      <w:bookmarkStart w:id="44" w:name="_Toc20823281"/>
      <w:r/>
      <w:bookmarkStart w:id="45" w:name="_Toc120614215"/>
      <w:r>
        <w:rPr>
          <w:rFonts w:hint="eastAsia" w:ascii="宋体" w:hAnsi="宋体" w:cs="宋体"/>
        </w:rPr>
        <w:t xml:space="preserve">二、招标文件</w:t>
      </w:r>
      <w:bookmarkEnd w:id="42"/>
      <w:r/>
      <w:bookmarkEnd w:id="43"/>
      <w:r/>
      <w:bookmarkEnd w:id="44"/>
      <w:r/>
      <w:bookmarkEnd w:id="45"/>
      <w:r/>
      <w:r/>
    </w:p>
    <w:p>
      <w:pPr>
        <w:pStyle w:val="1084"/>
        <w:ind w:right="-286" w:firstLine="420"/>
        <w:spacing w:before="0" w:after="0" w:line="400" w:lineRule="exact"/>
        <w:rPr>
          <w:rFonts w:hint="eastAsia" w:ascii="宋体" w:hAnsi="宋体" w:eastAsia="宋体" w:cs="宋体"/>
          <w:b w:val="0"/>
          <w:bCs w:val="0"/>
        </w:rPr>
      </w:pPr>
      <w:r/>
      <w:bookmarkStart w:id="46" w:name="_Toc513029210"/>
      <w:r/>
      <w:bookmarkStart w:id="47" w:name="_Toc20823282"/>
      <w:r/>
      <w:bookmarkStart w:id="48" w:name="_Toc16938526"/>
      <w:r>
        <w:rPr>
          <w:rFonts w:hint="eastAsia" w:ascii="宋体" w:hAnsi="宋体" w:eastAsia="宋体" w:cs="宋体"/>
          <w:b w:val="0"/>
          <w:bCs w:val="0"/>
        </w:rPr>
        <w:t xml:space="preserve">7、招标文件构成</w:t>
      </w:r>
      <w:bookmarkEnd w:id="46"/>
      <w:r/>
      <w:bookmarkEnd w:id="47"/>
      <w:r/>
      <w:bookmarkEnd w:id="48"/>
      <w:r/>
      <w:r/>
    </w:p>
    <w:p>
      <w:pPr>
        <w:ind w:right="-286" w:firstLine="480"/>
        <w:spacing w:line="400" w:lineRule="exact"/>
        <w:rPr>
          <w:rFonts w:hint="eastAsia" w:ascii="宋体" w:hAnsi="宋体" w:cs="宋体"/>
          <w:sz w:val="24"/>
        </w:rPr>
      </w:pPr>
      <w:r>
        <w:rPr>
          <w:rFonts w:hint="eastAsia" w:ascii="宋体" w:hAnsi="宋体" w:cs="宋体"/>
          <w:sz w:val="24"/>
        </w:rPr>
        <w:t xml:space="preserve">7.1 招标文件有以下部分组成：</w:t>
      </w:r>
      <w:r/>
    </w:p>
    <w:p>
      <w:pPr>
        <w:ind w:right="-286" w:firstLine="480"/>
        <w:spacing w:line="400" w:lineRule="exact"/>
        <w:rPr>
          <w:rFonts w:hint="eastAsia" w:ascii="宋体" w:hAnsi="宋体" w:cs="宋体"/>
          <w:sz w:val="24"/>
        </w:rPr>
      </w:pPr>
      <w:r>
        <w:rPr>
          <w:rFonts w:hint="eastAsia" w:ascii="宋体" w:hAnsi="宋体" w:cs="宋体"/>
          <w:sz w:val="24"/>
        </w:rPr>
        <w:t xml:space="preserve">（1）招标公告</w:t>
      </w:r>
      <w:r/>
    </w:p>
    <w:p>
      <w:pPr>
        <w:ind w:right="-286" w:firstLine="480"/>
        <w:spacing w:line="400" w:lineRule="exact"/>
        <w:rPr>
          <w:rFonts w:hint="eastAsia" w:ascii="宋体" w:hAnsi="宋体" w:cs="宋体"/>
          <w:sz w:val="24"/>
        </w:rPr>
      </w:pPr>
      <w:r>
        <w:rPr>
          <w:rFonts w:hint="eastAsia" w:ascii="宋体" w:hAnsi="宋体" w:cs="宋体"/>
          <w:sz w:val="24"/>
        </w:rPr>
        <w:t xml:space="preserve">（2）投标人须知</w:t>
      </w:r>
      <w:r/>
    </w:p>
    <w:p>
      <w:pPr>
        <w:ind w:right="-286" w:firstLine="480"/>
        <w:spacing w:line="400" w:lineRule="exact"/>
        <w:rPr>
          <w:rFonts w:hint="eastAsia" w:ascii="宋体" w:hAnsi="宋体" w:cs="宋体"/>
          <w:sz w:val="24"/>
        </w:rPr>
      </w:pPr>
      <w:r>
        <w:rPr>
          <w:rFonts w:hint="eastAsia" w:ascii="宋体" w:hAnsi="宋体" w:cs="宋体"/>
          <w:sz w:val="24"/>
        </w:rPr>
        <w:t xml:space="preserve">（3）合同条款及格式</w:t>
      </w:r>
      <w:r/>
    </w:p>
    <w:p>
      <w:pPr>
        <w:ind w:right="-286" w:firstLine="480"/>
        <w:spacing w:line="400" w:lineRule="exact"/>
        <w:rPr>
          <w:rFonts w:hint="eastAsia" w:ascii="宋体" w:hAnsi="宋体" w:cs="宋体"/>
          <w:sz w:val="24"/>
        </w:rPr>
      </w:pPr>
      <w:r>
        <w:rPr>
          <w:rFonts w:hint="eastAsia" w:ascii="宋体" w:hAnsi="宋体" w:cs="宋体"/>
          <w:sz w:val="24"/>
        </w:rPr>
        <w:t xml:space="preserve">（4）项目需求</w:t>
      </w:r>
      <w:r/>
    </w:p>
    <w:p>
      <w:pPr>
        <w:ind w:right="-286" w:firstLine="480"/>
        <w:spacing w:line="400" w:lineRule="exact"/>
        <w:rPr>
          <w:rFonts w:hint="eastAsia" w:ascii="宋体" w:hAnsi="宋体" w:cs="宋体"/>
          <w:sz w:val="24"/>
        </w:rPr>
      </w:pPr>
      <w:r>
        <w:rPr>
          <w:rFonts w:hint="eastAsia" w:ascii="宋体" w:hAnsi="宋体" w:cs="宋体"/>
          <w:sz w:val="24"/>
        </w:rPr>
        <w:t xml:space="preserve">（5）评标方法与评标标准</w:t>
      </w:r>
      <w:r/>
    </w:p>
    <w:p>
      <w:pPr>
        <w:ind w:right="-286" w:firstLine="480"/>
        <w:spacing w:line="400" w:lineRule="exact"/>
        <w:rPr>
          <w:rFonts w:hint="eastAsia" w:ascii="宋体" w:hAnsi="宋体" w:cs="宋体"/>
          <w:sz w:val="24"/>
        </w:rPr>
      </w:pPr>
      <w:r>
        <w:rPr>
          <w:rFonts w:hint="eastAsia" w:ascii="宋体" w:hAnsi="宋体" w:cs="宋体"/>
          <w:sz w:val="24"/>
        </w:rPr>
        <w:t xml:space="preserve">（6）投标文件格式</w:t>
      </w:r>
      <w:r/>
    </w:p>
    <w:p>
      <w:pPr>
        <w:ind w:right="-286" w:firstLine="480"/>
        <w:spacing w:line="400" w:lineRule="exact"/>
        <w:rPr>
          <w:rFonts w:hint="eastAsia" w:ascii="宋体" w:hAnsi="宋体" w:cs="宋体"/>
          <w:sz w:val="24"/>
        </w:rPr>
      </w:pPr>
      <w:r>
        <w:rPr>
          <w:rFonts w:hint="eastAsia" w:ascii="宋体" w:hAnsi="宋体" w:cs="宋体"/>
          <w:sz w:val="24"/>
        </w:rPr>
        <w:t xml:space="preserve">请仔细检查招标文件是否齐全，如有缺漏请立即与采购人联系解决。</w:t>
      </w:r>
      <w:r/>
    </w:p>
    <w:p>
      <w:pPr>
        <w:ind w:right="-286" w:firstLine="480"/>
        <w:spacing w:line="400" w:lineRule="exact"/>
        <w:rPr>
          <w:rFonts w:hint="eastAsia" w:ascii="宋体" w:hAnsi="宋体" w:cs="宋体"/>
          <w:sz w:val="24"/>
        </w:rPr>
      </w:pPr>
      <w:r>
        <w:rPr>
          <w:rFonts w:hint="eastAsia" w:ascii="宋体" w:hAnsi="宋体" w:cs="宋体"/>
          <w:bCs/>
          <w:sz w:val="24"/>
        </w:rPr>
        <w:t xml:space="preserve">7.2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4"/>
        <w:ind w:right="-286" w:firstLine="420"/>
        <w:spacing w:before="0" w:after="0" w:line="400" w:lineRule="exact"/>
        <w:rPr>
          <w:rFonts w:hint="eastAsia" w:ascii="宋体" w:hAnsi="宋体" w:eastAsia="宋体" w:cs="宋体"/>
          <w:b w:val="0"/>
          <w:bCs w:val="0"/>
        </w:rPr>
      </w:pPr>
      <w:r/>
      <w:bookmarkStart w:id="49" w:name="_Toc462564070"/>
      <w:r/>
      <w:bookmarkStart w:id="50" w:name="_Toc513029211"/>
      <w:r/>
      <w:bookmarkStart w:id="51" w:name="_Toc20823283"/>
      <w:r/>
      <w:bookmarkStart w:id="52" w:name="_Toc16938527"/>
      <w:r>
        <w:rPr>
          <w:rFonts w:hint="eastAsia" w:ascii="宋体" w:hAnsi="宋体" w:eastAsia="宋体" w:cs="宋体"/>
          <w:b w:val="0"/>
          <w:bCs w:val="0"/>
        </w:rPr>
        <w:t xml:space="preserve">8、招标文件的</w:t>
      </w:r>
      <w:bookmarkEnd w:id="49"/>
      <w:r/>
      <w:bookmarkEnd w:id="50"/>
      <w:r/>
      <w:bookmarkEnd w:id="51"/>
      <w:r/>
      <w:bookmarkEnd w:id="52"/>
      <w:r>
        <w:rPr>
          <w:rFonts w:hint="eastAsia" w:ascii="宋体" w:hAnsi="宋体" w:eastAsia="宋体" w:cs="宋体"/>
          <w:b w:val="0"/>
          <w:bCs w:val="0"/>
        </w:rPr>
        <w:t xml:space="preserve">询问</w:t>
      </w:r>
      <w:r/>
    </w:p>
    <w:p>
      <w:pPr>
        <w:ind w:right="-286" w:firstLine="480"/>
        <w:spacing w:line="400" w:lineRule="exact"/>
        <w:rPr>
          <w:rFonts w:hint="eastAsia" w:ascii="宋体" w:hAnsi="宋体" w:cs="宋体"/>
          <w:sz w:val="24"/>
          <w:szCs w:val="24"/>
        </w:rPr>
      </w:pPr>
      <w:r>
        <w:rPr>
          <w:rFonts w:hint="eastAsia" w:ascii="宋体" w:hAnsi="宋体" w:cs="宋体"/>
          <w:bCs/>
          <w:sz w:val="24"/>
        </w:rPr>
        <w:t xml:space="preserve">8.1</w:t>
      </w:r>
      <w:r>
        <w:rPr>
          <w:rFonts w:hint="eastAsia" w:ascii="宋体" w:hAnsi="宋体" w:cs="宋体"/>
          <w:sz w:val="24"/>
        </w:rPr>
        <w:t xml:space="preserve"> 任何要求对招标文件进行询问的投标人，应在投标截止日期</w:t>
      </w:r>
      <w:r>
        <w:rPr>
          <w:rFonts w:hint="eastAsia" w:ascii="宋体" w:hAnsi="宋体" w:cs="宋体"/>
          <w:b/>
          <w:sz w:val="24"/>
          <w:szCs w:val="24"/>
        </w:rPr>
        <w:t xml:space="preserve">十日</w:t>
      </w:r>
      <w:r>
        <w:rPr>
          <w:rFonts w:hint="eastAsia" w:ascii="宋体" w:hAnsi="宋体" w:cs="宋体"/>
          <w:sz w:val="24"/>
          <w:szCs w:val="24"/>
        </w:rPr>
        <w:t xml:space="preserve">前</w:t>
      </w:r>
      <w:r>
        <w:rPr>
          <w:rFonts w:hint="eastAsia" w:ascii="宋体" w:hAnsi="宋体" w:cs="宋体"/>
          <w:sz w:val="24"/>
        </w:rPr>
        <w:t xml:space="preserve">按招标公告中的通讯地址，向采购人提出。</w:t>
      </w:r>
      <w:r/>
    </w:p>
    <w:p>
      <w:pPr>
        <w:pStyle w:val="1084"/>
        <w:ind w:right="-286" w:firstLine="420"/>
        <w:spacing w:before="0" w:after="0" w:line="400" w:lineRule="exact"/>
        <w:rPr>
          <w:rFonts w:hint="eastAsia" w:ascii="宋体" w:hAnsi="宋体" w:eastAsia="宋体" w:cs="宋体"/>
          <w:b w:val="0"/>
          <w:bCs w:val="0"/>
        </w:rPr>
      </w:pPr>
      <w:r/>
      <w:bookmarkStart w:id="53" w:name="_Toc16938528"/>
      <w:r/>
      <w:bookmarkStart w:id="54" w:name="_Toc20823284"/>
      <w:r/>
      <w:bookmarkStart w:id="55" w:name="_Toc462564071"/>
      <w:r/>
      <w:bookmarkStart w:id="56" w:name="_Toc513029212"/>
      <w:r>
        <w:rPr>
          <w:rFonts w:hint="eastAsia" w:ascii="宋体" w:hAnsi="宋体" w:eastAsia="宋体" w:cs="宋体"/>
          <w:b w:val="0"/>
          <w:bCs w:val="0"/>
        </w:rPr>
        <w:t xml:space="preserve">9、招标文件的修改</w:t>
      </w:r>
      <w:bookmarkEnd w:id="53"/>
      <w:r/>
      <w:bookmarkEnd w:id="54"/>
      <w:r/>
      <w:bookmarkEnd w:id="55"/>
      <w:r/>
      <w:bookmarkEnd w:id="56"/>
      <w:r/>
      <w:r/>
    </w:p>
    <w:p>
      <w:pPr>
        <w:ind w:right="-286" w:firstLine="480"/>
        <w:spacing w:line="400" w:lineRule="exact"/>
        <w:rPr>
          <w:rFonts w:hint="eastAsia" w:ascii="宋体" w:hAnsi="宋体" w:cs="宋体"/>
          <w:sz w:val="24"/>
        </w:rPr>
      </w:pPr>
      <w:r>
        <w:rPr>
          <w:rFonts w:hint="eastAsia" w:ascii="宋体" w:hAnsi="宋体" w:cs="宋体"/>
          <w:sz w:val="24"/>
        </w:rPr>
        <w:t xml:space="preserve">9.1 在投标截止时间前，采购人可以对招标文件进行修改。</w:t>
      </w:r>
      <w:r/>
    </w:p>
    <w:p>
      <w:pPr>
        <w:ind w:right="-286" w:firstLine="480"/>
        <w:spacing w:line="400" w:lineRule="exact"/>
        <w:rPr>
          <w:rFonts w:hint="eastAsia" w:ascii="宋体" w:hAnsi="宋体" w:cs="宋体"/>
          <w:sz w:val="24"/>
        </w:rPr>
      </w:pPr>
      <w:r>
        <w:rPr>
          <w:rFonts w:hint="eastAsia" w:ascii="宋体" w:hAnsi="宋体" w:cs="宋体"/>
          <w:sz w:val="24"/>
        </w:rPr>
        <w:t xml:space="preserve">9.2采购人有权依法推迟投标截止日期和开标日期。</w:t>
      </w:r>
      <w:r/>
    </w:p>
    <w:p>
      <w:pPr>
        <w:ind w:right="-286" w:firstLine="480"/>
        <w:spacing w:line="400" w:lineRule="exact"/>
        <w:rPr>
          <w:rFonts w:hint="eastAsia" w:ascii="宋体" w:hAnsi="宋体" w:cs="宋体"/>
          <w:sz w:val="24"/>
        </w:rPr>
      </w:pPr>
      <w:r>
        <w:rPr>
          <w:rFonts w:hint="eastAsia" w:ascii="宋体" w:hAnsi="宋体" w:cs="宋体"/>
          <w:sz w:val="24"/>
        </w:rPr>
        <w:t xml:space="preserve">9.3招标文件的澄清或者修改的内容将在江苏政府采购网、盐城市政府采购网公布，澄清或者修改的内容将作为招标文件的组成部分，并对投标人具有约束力。</w:t>
      </w:r>
      <w:r/>
    </w:p>
    <w:p>
      <w:pPr>
        <w:pStyle w:val="1083"/>
        <w:ind w:right="-286" w:firstLine="321"/>
        <w:spacing w:before="145" w:after="145" w:line="400" w:lineRule="exact"/>
        <w:rPr>
          <w:rFonts w:hint="eastAsia" w:ascii="宋体" w:hAnsi="宋体" w:cs="宋体"/>
        </w:rPr>
      </w:pPr>
      <w:r/>
      <w:bookmarkStart w:id="57" w:name="_Toc513029213"/>
      <w:r/>
      <w:bookmarkStart w:id="58" w:name="_Toc20823285"/>
      <w:r/>
      <w:bookmarkStart w:id="59" w:name="_Toc462564072"/>
      <w:r/>
      <w:bookmarkStart w:id="60" w:name="_Toc120614216"/>
      <w:r/>
      <w:bookmarkStart w:id="61" w:name="_Toc16938529"/>
      <w:r>
        <w:rPr>
          <w:rFonts w:hint="eastAsia" w:ascii="宋体" w:hAnsi="宋体" w:cs="宋体"/>
        </w:rPr>
        <w:t xml:space="preserve">三、投标文件的编制</w:t>
      </w:r>
      <w:bookmarkEnd w:id="57"/>
      <w:r/>
      <w:bookmarkEnd w:id="58"/>
      <w:r/>
      <w:bookmarkEnd w:id="59"/>
      <w:r/>
      <w:bookmarkEnd w:id="60"/>
      <w:r/>
      <w:bookmarkEnd w:id="61"/>
      <w:r/>
      <w:r/>
    </w:p>
    <w:p>
      <w:pPr>
        <w:pStyle w:val="1084"/>
        <w:ind w:right="-286" w:firstLine="420"/>
        <w:spacing w:before="0" w:after="0" w:line="400" w:lineRule="exact"/>
        <w:rPr>
          <w:rFonts w:hint="eastAsia" w:ascii="宋体" w:hAnsi="宋体" w:eastAsia="宋体" w:cs="宋体"/>
          <w:bCs w:val="0"/>
        </w:rPr>
      </w:pPr>
      <w:r/>
      <w:bookmarkStart w:id="62" w:name="_Toc20823286"/>
      <w:r/>
      <w:bookmarkStart w:id="63" w:name="_Toc462564073"/>
      <w:r/>
      <w:bookmarkStart w:id="64" w:name="_Toc513029214"/>
      <w:r/>
      <w:bookmarkStart w:id="65" w:name="_Toc16938530"/>
      <w:r>
        <w:rPr>
          <w:rFonts w:hint="eastAsia" w:ascii="宋体" w:hAnsi="宋体" w:eastAsia="宋体" w:cs="宋体"/>
          <w:b w:val="0"/>
          <w:bCs w:val="0"/>
        </w:rPr>
        <w:t xml:space="preserve">10、投标文件的语言及度量衡单位</w:t>
      </w:r>
      <w:bookmarkEnd w:id="62"/>
      <w:r/>
      <w:bookmarkEnd w:id="63"/>
      <w:r/>
      <w:bookmarkEnd w:id="64"/>
      <w:r/>
      <w:bookmarkEnd w:id="65"/>
      <w:r/>
      <w:r/>
    </w:p>
    <w:p>
      <w:pPr>
        <w:ind w:right="-286" w:firstLine="480"/>
        <w:spacing w:line="400" w:lineRule="exact"/>
        <w:rPr>
          <w:rFonts w:hint="eastAsia" w:ascii="宋体" w:hAnsi="宋体" w:cs="宋体"/>
          <w:sz w:val="24"/>
        </w:rPr>
      </w:pPr>
      <w:r>
        <w:rPr>
          <w:rFonts w:hint="eastAsia" w:ascii="宋体" w:hAnsi="宋体" w:cs="宋体"/>
          <w:bCs/>
          <w:sz w:val="24"/>
        </w:rPr>
        <w:t xml:space="preserve">10.1</w:t>
      </w:r>
      <w:r>
        <w:rPr>
          <w:rFonts w:hint="eastAsia" w:ascii="宋体" w:hAnsi="宋体" w:cs="宋体"/>
          <w:sz w:val="24"/>
        </w:rPr>
        <w:t xml:space="preserve"> 投标人提交的投标文件以及投标人与采购人就有关投标的所有来往通知、函件和文件均应使用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right="-286" w:firstLine="480"/>
        <w:spacing w:line="400" w:lineRule="exact"/>
        <w:rPr>
          <w:rFonts w:hint="eastAsia" w:ascii="宋体" w:hAnsi="宋体" w:cs="宋体"/>
          <w:sz w:val="24"/>
        </w:rPr>
      </w:pPr>
      <w:r>
        <w:rPr>
          <w:rFonts w:hint="eastAsia" w:ascii="宋体" w:hAnsi="宋体" w:cs="宋体"/>
          <w:bCs/>
          <w:sz w:val="24"/>
        </w:rPr>
        <w:t xml:space="preserve">10.2</w:t>
      </w:r>
      <w:r>
        <w:rPr>
          <w:rFonts w:hint="eastAsia" w:ascii="宋体" w:hAnsi="宋体" w:cs="宋体"/>
          <w:sz w:val="24"/>
        </w:rPr>
        <w:t xml:space="preserve"> 除技术性能另有规定外，投标文件所使用的度量衡单位，均须采用国家法定计量单位。</w:t>
      </w:r>
      <w:r/>
    </w:p>
    <w:p>
      <w:pPr>
        <w:pStyle w:val="1084"/>
        <w:ind w:right="-286" w:firstLine="420"/>
        <w:spacing w:before="0" w:after="0" w:line="400" w:lineRule="exact"/>
        <w:rPr>
          <w:rFonts w:hint="eastAsia" w:ascii="宋体" w:hAnsi="宋体" w:eastAsia="宋体" w:cs="宋体"/>
          <w:b w:val="0"/>
          <w:bCs w:val="0"/>
        </w:rPr>
      </w:pPr>
      <w:r/>
      <w:bookmarkStart w:id="66" w:name="_Toc20823287"/>
      <w:r/>
      <w:bookmarkStart w:id="67" w:name="_Toc16938531"/>
      <w:r/>
      <w:bookmarkStart w:id="68" w:name="_Toc462564074"/>
      <w:r/>
      <w:bookmarkStart w:id="69" w:name="_Toc513029215"/>
      <w:r>
        <w:rPr>
          <w:rFonts w:hint="eastAsia" w:ascii="宋体" w:hAnsi="宋体" w:eastAsia="宋体" w:cs="宋体"/>
          <w:b w:val="0"/>
          <w:bCs w:val="0"/>
        </w:rPr>
        <w:t xml:space="preserve">11、投标文件构成</w:t>
      </w:r>
      <w:bookmarkEnd w:id="66"/>
      <w:r/>
      <w:bookmarkEnd w:id="67"/>
      <w:r/>
      <w:bookmarkEnd w:id="68"/>
      <w:r/>
      <w:bookmarkEnd w:id="69"/>
      <w:r/>
      <w:r/>
    </w:p>
    <w:p>
      <w:pPr>
        <w:ind w:right="-286" w:firstLine="480"/>
        <w:spacing w:line="400" w:lineRule="exact"/>
        <w:rPr>
          <w:rFonts w:hint="eastAsia" w:ascii="宋体" w:hAnsi="宋体" w:cs="宋体"/>
          <w:sz w:val="24"/>
        </w:rPr>
      </w:pPr>
      <w:r/>
      <w:bookmarkStart w:id="70" w:name="_Hlt26954838"/>
      <w:r/>
      <w:bookmarkEnd w:id="70"/>
      <w:r/>
      <w:bookmarkStart w:id="71" w:name="_Hlt26670360"/>
      <w:r/>
      <w:bookmarkEnd w:id="71"/>
      <w:r/>
      <w:bookmarkStart w:id="72" w:name="_Hlt26668975"/>
      <w:r/>
      <w:bookmarkEnd w:id="72"/>
      <w:r/>
      <w:bookmarkStart w:id="73" w:name="_Toc513029219"/>
      <w:r/>
      <w:bookmarkStart w:id="74" w:name="_Toc49090509"/>
      <w:r/>
      <w:bookmarkStart w:id="75" w:name="_Toc14577357"/>
      <w:r/>
      <w:bookmarkStart w:id="76" w:name="_Toc513029216"/>
      <w:r/>
      <w:bookmarkStart w:id="77" w:name="_Toc14577354"/>
      <w:r/>
      <w:bookmarkStart w:id="78" w:name="_Toc49090507"/>
      <w:r>
        <w:rPr>
          <w:rFonts w:hint="eastAsia" w:ascii="宋体" w:hAnsi="宋体" w:cs="宋体"/>
          <w:sz w:val="24"/>
        </w:rPr>
        <w:t xml:space="preserve">11.1 投标文件至少应提交（包含并不限于）以下投标材料：(请各单位根据实际情况进行调整)</w:t>
      </w:r>
      <w:r/>
    </w:p>
    <w:p>
      <w:pPr>
        <w:ind w:right="-286" w:firstLine="480"/>
        <w:spacing w:line="400" w:lineRule="exact"/>
        <w:rPr>
          <w:rFonts w:hint="eastAsia" w:ascii="宋体" w:hAnsi="宋体" w:cs="宋体"/>
          <w:sz w:val="24"/>
        </w:rPr>
      </w:pPr>
      <w:r>
        <w:rPr>
          <w:rFonts w:hint="eastAsia" w:ascii="宋体" w:hAnsi="宋体" w:cs="宋体"/>
          <w:sz w:val="24"/>
        </w:rPr>
        <w:t xml:space="preserve">11.1.1 资信证明文件</w:t>
      </w:r>
      <w:r/>
    </w:p>
    <w:p>
      <w:pPr>
        <w:ind w:right="-286" w:firstLine="480"/>
        <w:spacing w:line="400" w:lineRule="exact"/>
        <w:rPr>
          <w:rFonts w:hint="eastAsia" w:ascii="宋体" w:hAnsi="宋体" w:cs="宋体"/>
          <w:sz w:val="24"/>
        </w:rPr>
      </w:pPr>
      <w:r>
        <w:rPr>
          <w:rFonts w:hint="eastAsia" w:ascii="宋体" w:hAnsi="宋体" w:cs="宋体"/>
          <w:sz w:val="24"/>
        </w:rPr>
        <w:t xml:space="preserve">11.1.2 资格性审查响应对照表</w:t>
      </w:r>
      <w:r/>
    </w:p>
    <w:p>
      <w:pPr>
        <w:ind w:right="-286" w:firstLine="480"/>
        <w:spacing w:line="400" w:lineRule="exact"/>
        <w:rPr>
          <w:rFonts w:hint="eastAsia" w:ascii="宋体" w:hAnsi="宋体" w:cs="宋体"/>
          <w:sz w:val="24"/>
        </w:rPr>
      </w:pPr>
      <w:r>
        <w:rPr>
          <w:rFonts w:hint="eastAsia" w:ascii="宋体" w:hAnsi="宋体" w:cs="宋体"/>
          <w:sz w:val="24"/>
        </w:rPr>
        <w:t xml:space="preserve">11.1.3 符合性检查响应对照表</w:t>
      </w:r>
      <w:r/>
    </w:p>
    <w:p>
      <w:pPr>
        <w:ind w:right="-286" w:firstLine="480"/>
        <w:spacing w:line="400" w:lineRule="exact"/>
        <w:rPr>
          <w:rFonts w:hint="eastAsia" w:ascii="宋体" w:hAnsi="宋体" w:cs="宋体"/>
          <w:sz w:val="24"/>
        </w:rPr>
      </w:pPr>
      <w:r>
        <w:rPr>
          <w:rFonts w:hint="eastAsia" w:ascii="宋体" w:hAnsi="宋体" w:cs="宋体"/>
          <w:sz w:val="24"/>
        </w:rPr>
        <w:t xml:space="preserve">11.1.4 投标函</w:t>
      </w:r>
      <w:r/>
    </w:p>
    <w:p>
      <w:pPr>
        <w:ind w:right="-286" w:firstLine="480"/>
        <w:spacing w:line="400" w:lineRule="exact"/>
        <w:rPr>
          <w:rFonts w:hint="eastAsia" w:ascii="宋体" w:hAnsi="宋体" w:cs="宋体"/>
          <w:sz w:val="24"/>
        </w:rPr>
      </w:pPr>
      <w:r>
        <w:rPr>
          <w:rFonts w:hint="eastAsia" w:ascii="宋体" w:hAnsi="宋体" w:cs="宋体"/>
          <w:sz w:val="24"/>
        </w:rPr>
        <w:t xml:space="preserve">11.1.5 开标一览表（详见投标文件格式，用于唱标）</w:t>
      </w:r>
      <w:r/>
    </w:p>
    <w:p>
      <w:pPr>
        <w:ind w:right="-286" w:firstLine="480"/>
        <w:spacing w:line="400" w:lineRule="exact"/>
        <w:rPr>
          <w:rFonts w:hint="eastAsia" w:ascii="宋体" w:hAnsi="宋体" w:cs="宋体"/>
          <w:sz w:val="24"/>
        </w:rPr>
      </w:pPr>
      <w:r>
        <w:rPr>
          <w:rFonts w:hint="eastAsia" w:ascii="宋体" w:hAnsi="宋体" w:cs="宋体"/>
          <w:sz w:val="24"/>
        </w:rPr>
        <w:t xml:space="preserve">11.1.6 投标报价分项表（详见招标文件格式）</w:t>
      </w:r>
      <w:r/>
    </w:p>
    <w:p>
      <w:pPr>
        <w:ind w:right="-286" w:firstLine="480"/>
        <w:spacing w:line="400" w:lineRule="exact"/>
        <w:rPr>
          <w:rFonts w:hint="eastAsia" w:ascii="宋体" w:hAnsi="宋体" w:cs="宋体"/>
          <w:sz w:val="24"/>
        </w:rPr>
      </w:pPr>
      <w:r>
        <w:rPr>
          <w:rFonts w:hint="eastAsia" w:ascii="宋体" w:hAnsi="宋体" w:cs="宋体"/>
          <w:sz w:val="24"/>
        </w:rPr>
        <w:t xml:space="preserve">11.1.7 技术部分</w:t>
      </w:r>
      <w:r/>
    </w:p>
    <w:p>
      <w:pPr>
        <w:ind w:right="-286" w:firstLine="480"/>
        <w:spacing w:line="400" w:lineRule="exact"/>
        <w:rPr>
          <w:rFonts w:hint="eastAsia" w:ascii="宋体" w:hAnsi="宋体" w:cs="宋体"/>
          <w:sz w:val="24"/>
        </w:rPr>
      </w:pPr>
      <w:r>
        <w:rPr>
          <w:rFonts w:hint="eastAsia" w:ascii="宋体" w:hAnsi="宋体" w:cs="宋体"/>
          <w:sz w:val="24"/>
        </w:rPr>
        <w:t xml:space="preserve">11.1.8 招标文件中规定要求提供的证明材料和投标人认为需要提供的其他材料</w:t>
      </w:r>
      <w:r/>
    </w:p>
    <w:p>
      <w:pPr>
        <w:ind w:right="-286" w:firstLine="480"/>
        <w:spacing w:line="400" w:lineRule="exact"/>
        <w:rPr>
          <w:rFonts w:hint="eastAsia" w:ascii="宋体" w:hAnsi="宋体" w:cs="宋体"/>
          <w:sz w:val="24"/>
        </w:rPr>
      </w:pPr>
      <w:r>
        <w:rPr>
          <w:rFonts w:hint="eastAsia" w:ascii="宋体" w:hAnsi="宋体" w:cs="宋体"/>
          <w:sz w:val="24"/>
        </w:rPr>
        <w:t xml:space="preserve">11.1.9 盐城市大丰区政府采购供应商承诺书</w:t>
      </w:r>
      <w:r/>
    </w:p>
    <w:p>
      <w:pPr>
        <w:pStyle w:val="1084"/>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12、</w:t>
      </w:r>
      <w:bookmarkEnd w:id="73"/>
      <w:r/>
      <w:bookmarkEnd w:id="74"/>
      <w:r/>
      <w:bookmarkEnd w:id="75"/>
      <w:r>
        <w:rPr>
          <w:rFonts w:hint="eastAsia" w:ascii="宋体" w:hAnsi="宋体" w:eastAsia="宋体" w:cs="宋体"/>
          <w:b w:val="0"/>
          <w:bCs w:val="0"/>
        </w:rPr>
        <w:t xml:space="preserve">证明投标人资格及符合招标文件规定的文件</w:t>
      </w:r>
      <w:bookmarkEnd w:id="76"/>
      <w:r/>
      <w:bookmarkEnd w:id="77"/>
      <w:r/>
      <w:bookmarkEnd w:id="78"/>
      <w:r/>
      <w:r/>
    </w:p>
    <w:p>
      <w:pPr>
        <w:ind w:right="-286" w:firstLine="480"/>
        <w:spacing w:line="400" w:lineRule="exact"/>
        <w:rPr>
          <w:rFonts w:hint="eastAsia" w:ascii="宋体" w:hAnsi="宋体" w:cs="宋体"/>
          <w:sz w:val="24"/>
        </w:rPr>
      </w:pPr>
      <w:r/>
      <w:bookmarkStart w:id="79" w:name="_Toc14577355"/>
      <w:r/>
      <w:bookmarkStart w:id="80" w:name="_Toc49090508"/>
      <w:r>
        <w:rPr>
          <w:rFonts w:hint="eastAsia" w:ascii="宋体" w:hAnsi="宋体" w:cs="宋体"/>
          <w:sz w:val="24"/>
        </w:rPr>
        <w:t xml:space="preserve">12.1</w:t>
      </w:r>
      <w:bookmarkStart w:id="81" w:name="_Hlt26668999"/>
      <w:r/>
      <w:bookmarkEnd w:id="81"/>
      <w:r>
        <w:rPr>
          <w:rFonts w:hint="eastAsia" w:ascii="宋体" w:hAnsi="宋体" w:cs="宋体"/>
          <w:sz w:val="24"/>
        </w:rPr>
        <w:t xml:space="preserve">投标人应按要求提交资格证明文件及符合招标文件规定的文件。</w:t>
      </w:r>
      <w:r/>
    </w:p>
    <w:p>
      <w:pPr>
        <w:ind w:right="-286" w:firstLine="480"/>
        <w:spacing w:line="400" w:lineRule="exact"/>
        <w:rPr>
          <w:rFonts w:hint="eastAsia" w:ascii="宋体" w:hAnsi="宋体" w:cs="宋体"/>
          <w:sz w:val="24"/>
        </w:rPr>
      </w:pPr>
      <w:r>
        <w:rPr>
          <w:rFonts w:hint="eastAsia" w:ascii="宋体" w:hAnsi="宋体" w:cs="宋体"/>
          <w:sz w:val="24"/>
        </w:rPr>
        <w:t xml:space="preserve">12.2投标人应提交证明其有资格参加投标和中标后有能力独立履行合同的文件。</w:t>
      </w:r>
      <w:r/>
    </w:p>
    <w:p>
      <w:pPr>
        <w:ind w:right="-286" w:firstLine="480"/>
        <w:spacing w:line="400" w:lineRule="exact"/>
        <w:rPr>
          <w:rFonts w:hint="eastAsia" w:ascii="宋体" w:hAnsi="宋体" w:cs="宋体"/>
          <w:sz w:val="24"/>
        </w:rPr>
      </w:pPr>
      <w:r>
        <w:rPr>
          <w:rFonts w:hint="eastAsia" w:ascii="宋体" w:hAnsi="宋体" w:cs="宋体"/>
          <w:sz w:val="24"/>
        </w:rPr>
        <w:t xml:space="preserve">12.3投标人除必须具有履行合同所需提供的服务的能力外，还必须具备相应的财务、技术方面的能力。</w:t>
      </w:r>
      <w:r/>
    </w:p>
    <w:p>
      <w:pPr>
        <w:ind w:right="-286"/>
        <w:spacing w:line="400" w:lineRule="exact"/>
        <w:rPr>
          <w:rFonts w:hint="eastAsia" w:ascii="宋体" w:hAnsi="宋体" w:cs="宋体"/>
          <w:sz w:val="24"/>
        </w:rPr>
      </w:pPr>
      <w:r>
        <w:rPr>
          <w:rFonts w:hint="eastAsia" w:ascii="宋体" w:hAnsi="宋体" w:cs="宋体"/>
          <w:sz w:val="24"/>
        </w:rPr>
        <w:t xml:space="preserve">    12.4投标人应提交根据合同要求提供的证明产品质量合格以及符合招标文件规定的证明文件。</w:t>
      </w:r>
      <w:r/>
    </w:p>
    <w:p>
      <w:pPr>
        <w:ind w:right="-286"/>
        <w:spacing w:line="400" w:lineRule="exact"/>
        <w:rPr>
          <w:rFonts w:hint="eastAsia" w:ascii="宋体" w:hAnsi="宋体" w:cs="宋体"/>
          <w:sz w:val="24"/>
          <w:szCs w:val="24"/>
        </w:rPr>
      </w:pPr>
      <w:r>
        <w:rPr>
          <w:rFonts w:hint="eastAsia" w:ascii="宋体" w:hAnsi="宋体" w:cs="宋体"/>
          <w:sz w:val="24"/>
          <w:szCs w:val="24"/>
        </w:rPr>
        <w:t xml:space="preserve">    12.5证明投标人所提供服务与招标文件的要求相一致的文件可以是手册、图纸、文字资料和数据</w:t>
      </w:r>
      <w:r>
        <w:rPr>
          <w:rFonts w:hint="eastAsia" w:ascii="宋体" w:hAnsi="宋体" w:cs="宋体"/>
          <w:bCs/>
          <w:sz w:val="24"/>
        </w:rPr>
        <w:t xml:space="preserve">。</w:t>
      </w:r>
      <w:r/>
    </w:p>
    <w:p>
      <w:pPr>
        <w:pStyle w:val="1084"/>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13、报价</w:t>
      </w:r>
      <w:bookmarkEnd w:id="79"/>
      <w:r/>
      <w:bookmarkStart w:id="82" w:name="_Hlt26670373"/>
      <w:r/>
      <w:bookmarkEnd w:id="82"/>
      <w:r>
        <w:rPr>
          <w:rFonts w:hint="eastAsia" w:ascii="宋体" w:hAnsi="宋体" w:eastAsia="宋体" w:cs="宋体"/>
          <w:b w:val="0"/>
          <w:bCs w:val="0"/>
        </w:rPr>
        <w:t xml:space="preserve">表</w:t>
      </w:r>
      <w:bookmarkEnd w:id="80"/>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13.1  采购人将拒绝高于最高限价的投标报价。</w:t>
      </w:r>
      <w:r/>
    </w:p>
    <w:p>
      <w:pPr>
        <w:ind w:right="-286" w:firstLine="480"/>
        <w:spacing w:line="400" w:lineRule="exact"/>
        <w:rPr>
          <w:rFonts w:hint="eastAsia" w:ascii="宋体" w:hAnsi="宋体" w:cs="宋体"/>
          <w:sz w:val="24"/>
          <w:szCs w:val="24"/>
        </w:rPr>
      </w:pPr>
      <w:r>
        <w:rPr>
          <w:rFonts w:hint="eastAsia" w:ascii="宋体" w:hAnsi="宋体" w:cs="宋体"/>
          <w:bCs/>
          <w:sz w:val="24"/>
          <w:lang w:val="zh-CN"/>
        </w:rPr>
        <w:t xml:space="preserve">13.2  招标报价采用总承包方式，投标人的报价应包括投标文件所承诺的工期期限内并达到投标人所承诺的质量标准为完成招标文件所确定的招标范</w:t>
      </w:r>
      <w:r>
        <w:rPr>
          <w:rFonts w:hint="eastAsia" w:ascii="宋体" w:hAnsi="宋体" w:cs="宋体"/>
          <w:bCs/>
          <w:sz w:val="24"/>
          <w:lang w:val="zh-CN"/>
        </w:rPr>
        <w:t xml:space="preserve">围的全部内容所需费用的全部价格体现。（包括但不限于软件费用、硬件设备费、运输费、上下力资、安装调试费、备品备件费、专用器具费、服务器等设备升级费、运维服务费（含运维人员、设备全部费用）、软件升级费用、光纤网络建设及使用费用、售后服务费、培训费、管理费、前期咨询费、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1085"/>
        <w:ind w:right="-286"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投标人须充分考虑各种影响报价的因素包括但不限于充分了解采购人现有平台及网络架构的与本项目融合对接费用，进行合理化报价。</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13.3  投标人根据招标内容的要求准确报价，一经报出，不得更改。</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13.4  如出现不合理的报价，经评标委员会评审其报价明显高于其市场价或低于其企业成本的，均可作废标处理。</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13.5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13.6对于超出招标文件的其他临时性服务项目，由甲乙双方协商解决。</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13.7开标时，当投标文件中开标一览表内容与分项明细报价表内容不一致时，以开标一览表为准。</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投标文件的大写金额和小写金额不一致的，以大写金额为准；对不同文字文本投标的解释发生异议的，以中文文本为准。</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13.8投标人在报价时，价格包含一切税费，未作说明的情况下，视同包含一切税费。</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13.9未宣读的投标价格信息评标时不予承认。</w:t>
      </w:r>
      <w:r/>
    </w:p>
    <w:p>
      <w:pPr>
        <w:ind w:right="-286" w:firstLine="480"/>
        <w:spacing w:line="400" w:lineRule="exact"/>
        <w:rPr>
          <w:rFonts w:hint="eastAsia" w:ascii="宋体" w:hAnsi="宋体" w:cs="宋体"/>
          <w:bCs/>
          <w:sz w:val="24"/>
          <w:lang w:val="zh-CN"/>
        </w:rPr>
      </w:pPr>
      <w:r/>
      <w:bookmarkStart w:id="83" w:name="_Toc14577359"/>
      <w:r/>
      <w:bookmarkStart w:id="84" w:name="_Toc49090510"/>
      <w:r>
        <w:rPr>
          <w:rFonts w:hint="eastAsia" w:ascii="宋体" w:hAnsi="宋体" w:cs="宋体"/>
          <w:bCs/>
          <w:sz w:val="24"/>
          <w:lang w:val="zh-CN"/>
        </w:rPr>
        <w:t xml:space="preserve">14、技术参数响应及偏离表及投标说明</w:t>
      </w:r>
      <w:r/>
    </w:p>
    <w:p>
      <w:pPr>
        <w:ind w:right="-286" w:firstLine="480"/>
        <w:spacing w:line="400" w:lineRule="exact"/>
        <w:rPr>
          <w:rFonts w:hint="eastAsia" w:ascii="宋体" w:hAnsi="宋体" w:cs="宋体"/>
          <w:sz w:val="24"/>
          <w:lang w:val="zh-CN"/>
        </w:rPr>
      </w:pPr>
      <w:r>
        <w:rPr>
          <w:rFonts w:hint="eastAsia" w:ascii="宋体" w:hAnsi="宋体" w:cs="宋体"/>
          <w:bCs/>
          <w:sz w:val="24"/>
          <w:lang w:val="zh-CN"/>
        </w:rPr>
        <w:t xml:space="preserve">14.1</w:t>
      </w:r>
      <w:r>
        <w:rPr>
          <w:rFonts w:hint="eastAsia" w:ascii="宋体" w:hAnsi="宋体" w:cs="宋体"/>
          <w:sz w:val="24"/>
          <w:lang w:val="zh-CN"/>
        </w:rPr>
        <w:t xml:space="preserve"> 对招标文件中的</w:t>
      </w:r>
      <w:r>
        <w:rPr>
          <w:rFonts w:hint="eastAsia" w:ascii="宋体" w:hAnsi="宋体" w:cs="宋体"/>
          <w:sz w:val="24"/>
        </w:rPr>
        <w:t xml:space="preserve">采购需求</w:t>
      </w:r>
      <w:r>
        <w:rPr>
          <w:rFonts w:hint="eastAsia" w:ascii="宋体" w:hAnsi="宋体" w:cs="宋体"/>
          <w:sz w:val="24"/>
          <w:lang w:val="zh-CN"/>
        </w:rPr>
        <w:t xml:space="preserve">逐项作出响应或偏离，并说明原因；</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14.2 提供参加本项目类似案例；</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14.3 </w:t>
      </w:r>
      <w:r>
        <w:rPr>
          <w:rFonts w:hint="eastAsia" w:ascii="宋体" w:hAnsi="宋体" w:cs="宋体"/>
          <w:sz w:val="24"/>
        </w:rPr>
        <w:t xml:space="preserve">技术部分</w:t>
      </w:r>
      <w:r>
        <w:rPr>
          <w:rFonts w:hint="eastAsia" w:ascii="宋体" w:hAnsi="宋体" w:cs="宋体"/>
          <w:sz w:val="24"/>
          <w:lang w:val="zh-CN"/>
        </w:rPr>
        <w:t xml:space="preserve">；</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14.4 投标人认为需要的其他技术文件或说明。</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15、服务承诺、人员的情况介绍</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15.1提供投标人有关的服务承诺、人员的情况。</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16、投标函和开标一览表</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16.1 投标人应按照招标文件中提供的格式完整、正确填写投标函、开标一览表。</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16.2 开标一览表中的价格应与投标文件中投标报价分项表中的价格一致，如不一致，不作为无效投标处理，但评标时按开标一览表中价格为准。</w:t>
      </w:r>
      <w:bookmarkEnd w:id="83"/>
      <w:r/>
      <w:bookmarkEnd w:id="84"/>
      <w:r/>
      <w:r/>
    </w:p>
    <w:p>
      <w:pPr>
        <w:ind w:right="-286" w:firstLine="480"/>
        <w:spacing w:line="400" w:lineRule="exact"/>
        <w:tabs>
          <w:tab w:val="left" w:pos="1035" w:leader="none"/>
        </w:tabs>
        <w:rPr>
          <w:rFonts w:hint="eastAsia" w:ascii="宋体" w:hAnsi="宋体" w:cs="宋体"/>
          <w:sz w:val="24"/>
          <w:lang w:val="zh-CN"/>
        </w:rPr>
      </w:pPr>
      <w:r/>
      <w:bookmarkStart w:id="85" w:name="_Hlt26954850"/>
      <w:r/>
      <w:bookmarkEnd w:id="85"/>
      <w:r/>
      <w:bookmarkStart w:id="86" w:name="_Hlt26954734"/>
      <w:r/>
      <w:bookmarkEnd w:id="86"/>
      <w:r/>
      <w:bookmarkStart w:id="87" w:name="_Hlt26670489"/>
      <w:r/>
      <w:bookmarkEnd w:id="87"/>
      <w:r/>
      <w:bookmarkStart w:id="88" w:name="_Toc49090511"/>
      <w:r/>
      <w:bookmarkStart w:id="89" w:name="_Toc14577360"/>
      <w:r>
        <w:rPr>
          <w:rFonts w:hint="eastAsia" w:ascii="宋体" w:hAnsi="宋体" w:cs="宋体"/>
          <w:sz w:val="24"/>
          <w:lang w:val="zh-CN"/>
        </w:rPr>
        <w:t xml:space="preserve">17、投标有效期</w:t>
      </w:r>
      <w:bookmarkEnd w:id="88"/>
      <w:r/>
      <w:bookmarkEnd w:id="89"/>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17.1 投标有效期为开标之日后</w:t>
      </w:r>
      <w:r>
        <w:rPr>
          <w:rFonts w:hint="eastAsia" w:ascii="宋体" w:hAnsi="宋体" w:cs="宋体"/>
          <w:b/>
          <w:bCs/>
          <w:sz w:val="24"/>
          <w:u w:val="single"/>
          <w:lang w:val="zh-CN"/>
        </w:rPr>
        <w:t xml:space="preserve">六十（60）天</w:t>
      </w:r>
      <w:r>
        <w:rPr>
          <w:rFonts w:hint="eastAsia" w:ascii="宋体" w:hAnsi="宋体" w:cs="宋体"/>
          <w:sz w:val="24"/>
          <w:lang w:val="zh-CN"/>
        </w:rPr>
        <w:t xml:space="preserve">。投标有效期比规定短的将被视为非响应性投标而予以拒绝。</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17.2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bookmarkStart w:id="90" w:name="_Hlt26954739"/>
      <w:r/>
      <w:bookmarkEnd w:id="90"/>
      <w:r/>
      <w:bookmarkStart w:id="91" w:name="_Hlt26954852"/>
      <w:r/>
      <w:bookmarkEnd w:id="91"/>
      <w:r/>
      <w:bookmarkStart w:id="92" w:name="_Toc120614217"/>
      <w:r/>
      <w:bookmarkStart w:id="93" w:name="_Toc513029224"/>
      <w:r/>
      <w:bookmarkStart w:id="94" w:name="_Toc20823296"/>
      <w:r/>
      <w:bookmarkStart w:id="95" w:name="_Toc16938540"/>
      <w:r/>
      <w:r/>
    </w:p>
    <w:p>
      <w:pPr>
        <w:pStyle w:val="1083"/>
        <w:ind w:right="-286" w:firstLine="321"/>
        <w:spacing w:before="145" w:after="145" w:line="400" w:lineRule="exact"/>
        <w:rPr>
          <w:rFonts w:hint="eastAsia" w:ascii="宋体" w:hAnsi="宋体" w:cs="宋体"/>
        </w:rPr>
      </w:pPr>
      <w:r>
        <w:rPr>
          <w:rFonts w:hint="eastAsia" w:ascii="宋体" w:hAnsi="宋体" w:cs="宋体"/>
        </w:rPr>
        <w:t xml:space="preserve">四、投标文件的递交</w:t>
      </w:r>
      <w:bookmarkEnd w:id="92"/>
      <w:r/>
      <w:bookmarkEnd w:id="93"/>
      <w:r/>
      <w:bookmarkEnd w:id="94"/>
      <w:r/>
      <w:bookmarkEnd w:id="95"/>
      <w:r/>
      <w:r/>
    </w:p>
    <w:p>
      <w:pPr>
        <w:pStyle w:val="1084"/>
        <w:ind w:right="-286" w:firstLine="420"/>
        <w:spacing w:before="0" w:after="0" w:line="400" w:lineRule="exact"/>
        <w:rPr>
          <w:rFonts w:hint="eastAsia" w:ascii="宋体" w:hAnsi="宋体" w:eastAsia="宋体" w:cs="宋体"/>
          <w:b w:val="0"/>
          <w:bCs w:val="0"/>
        </w:rPr>
      </w:pPr>
      <w:r/>
      <w:bookmarkStart w:id="96" w:name="_Toc513029225"/>
      <w:r/>
      <w:bookmarkStart w:id="97" w:name="_Toc462564084"/>
      <w:r/>
      <w:bookmarkStart w:id="98" w:name="_Toc16938541"/>
      <w:r/>
      <w:bookmarkStart w:id="99" w:name="_Toc20823297"/>
      <w:r>
        <w:rPr>
          <w:rFonts w:hint="eastAsia" w:ascii="宋体" w:hAnsi="宋体" w:eastAsia="宋体" w:cs="宋体"/>
          <w:b w:val="0"/>
          <w:bCs w:val="0"/>
        </w:rPr>
        <w:t xml:space="preserve">19、</w:t>
      </w:r>
      <w:bookmarkEnd w:id="96"/>
      <w:r/>
      <w:bookmarkEnd w:id="97"/>
      <w:r/>
      <w:bookmarkEnd w:id="98"/>
      <w:r/>
      <w:bookmarkEnd w:id="99"/>
      <w:r>
        <w:rPr>
          <w:rFonts w:hint="eastAsia" w:ascii="宋体" w:hAnsi="宋体" w:eastAsia="宋体" w:cs="宋体"/>
          <w:b w:val="0"/>
          <w:bCs w:val="0"/>
        </w:rPr>
        <w:t xml:space="preserve">电子投标文件的递交</w:t>
      </w:r>
      <w:r/>
    </w:p>
    <w:p>
      <w:pPr>
        <w:ind w:right="-286" w:firstLine="480"/>
        <w:spacing w:line="400" w:lineRule="exact"/>
        <w:rPr>
          <w:rFonts w:hint="eastAsia" w:ascii="宋体" w:hAnsi="宋体" w:cs="宋体"/>
          <w:bCs/>
          <w:sz w:val="24"/>
        </w:rPr>
      </w:pPr>
      <w:r>
        <w:rPr>
          <w:rFonts w:hint="eastAsia" w:ascii="宋体" w:hAnsi="宋体" w:cs="宋体"/>
          <w:bCs/>
          <w:sz w:val="24"/>
        </w:rPr>
        <w:t xml:space="preserve">19.1电子投标文件的递交</w:t>
      </w:r>
      <w:r/>
    </w:p>
    <w:p>
      <w:pPr>
        <w:ind w:right="-286" w:firstLine="480"/>
        <w:spacing w:line="400" w:lineRule="exact"/>
        <w:rPr>
          <w:rFonts w:hint="eastAsia" w:ascii="宋体" w:hAnsi="宋体" w:cs="宋体"/>
          <w:bCs/>
          <w:sz w:val="24"/>
        </w:rPr>
      </w:pPr>
      <w:r>
        <w:rPr>
          <w:rFonts w:hint="eastAsia" w:ascii="宋体" w:hAnsi="宋体" w:cs="宋体"/>
          <w:bCs/>
          <w:sz w:val="24"/>
        </w:rPr>
        <w:t xml:space="preserve">投标人应当按照《操作手册》规定，在投标截止时间前制作并上传电子投标文件。</w:t>
      </w:r>
      <w:r/>
    </w:p>
    <w:p>
      <w:pPr>
        <w:pStyle w:val="1084"/>
        <w:ind w:right="-286" w:firstLine="420"/>
        <w:spacing w:before="0" w:after="0" w:line="400" w:lineRule="exact"/>
        <w:rPr>
          <w:rFonts w:hint="eastAsia" w:ascii="宋体" w:hAnsi="宋体" w:eastAsia="宋体" w:cs="宋体"/>
          <w:b w:val="0"/>
          <w:bCs w:val="0"/>
        </w:rPr>
      </w:pPr>
      <w:r/>
      <w:bookmarkStart w:id="100" w:name="_Toc20823298"/>
      <w:r/>
      <w:bookmarkStart w:id="101" w:name="_Toc16938542"/>
      <w:r/>
      <w:bookmarkStart w:id="102" w:name="_Toc513029226"/>
      <w:r>
        <w:rPr>
          <w:rFonts w:hint="eastAsia" w:ascii="宋体" w:hAnsi="宋体" w:eastAsia="宋体" w:cs="宋体"/>
          <w:b w:val="0"/>
          <w:bCs w:val="0"/>
        </w:rPr>
        <w:t xml:space="preserve">20、投标截止日期</w:t>
      </w:r>
      <w:bookmarkEnd w:id="100"/>
      <w:r/>
      <w:bookmarkEnd w:id="101"/>
      <w:r/>
      <w:bookmarkEnd w:id="102"/>
      <w:r/>
      <w:r/>
    </w:p>
    <w:p>
      <w:pPr>
        <w:ind w:right="-286" w:firstLine="480"/>
        <w:spacing w:line="400" w:lineRule="exact"/>
        <w:tabs>
          <w:tab w:val="left" w:pos="525" w:leader="none"/>
          <w:tab w:val="left" w:pos="945" w:leader="none"/>
        </w:tabs>
        <w:rPr>
          <w:rFonts w:hint="eastAsia" w:ascii="宋体" w:hAnsi="宋体" w:cs="宋体"/>
          <w:bCs/>
          <w:sz w:val="24"/>
        </w:rPr>
      </w:pPr>
      <w:r>
        <w:rPr>
          <w:rFonts w:hint="eastAsia" w:ascii="宋体" w:hAnsi="宋体" w:cs="宋体"/>
          <w:sz w:val="24"/>
        </w:rPr>
        <w:t xml:space="preserve">20.1</w:t>
      </w:r>
      <w:r>
        <w:rPr>
          <w:rFonts w:hint="eastAsia" w:ascii="宋体" w:hAnsi="宋体" w:cs="宋体"/>
          <w:bCs/>
          <w:sz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right="-286" w:firstLine="480"/>
        <w:spacing w:line="400" w:lineRule="exact"/>
        <w:rPr>
          <w:rFonts w:hint="eastAsia" w:ascii="宋体" w:hAnsi="宋体" w:cs="宋体"/>
          <w:bCs/>
          <w:sz w:val="24"/>
        </w:rPr>
      </w:pPr>
      <w:r>
        <w:rPr>
          <w:rFonts w:hint="eastAsia" w:ascii="宋体" w:hAnsi="宋体" w:cs="宋体"/>
          <w:sz w:val="24"/>
        </w:rPr>
        <w:t xml:space="preserve">20.2</w:t>
      </w:r>
      <w:r>
        <w:rPr>
          <w:rFonts w:hint="eastAsia" w:ascii="宋体" w:hAnsi="宋体" w:cs="宋体"/>
          <w:bCs/>
          <w:sz w:val="24"/>
        </w:rPr>
        <w:t xml:space="preserve"> 采购人有权通过修改招标文件酌情延长投标截止日期，在此情况下，投标人的所有权利和义务以及投标人受制的截止日期均应以延长后新的截止日期为准。</w:t>
      </w:r>
      <w:r/>
    </w:p>
    <w:p>
      <w:pPr>
        <w:pStyle w:val="1084"/>
        <w:ind w:right="-286" w:firstLine="420"/>
        <w:spacing w:before="0" w:after="0" w:line="400" w:lineRule="exact"/>
        <w:rPr>
          <w:rFonts w:hint="eastAsia" w:ascii="宋体" w:hAnsi="宋体" w:eastAsia="宋体" w:cs="宋体"/>
          <w:b w:val="0"/>
          <w:bCs w:val="0"/>
        </w:rPr>
      </w:pPr>
      <w:r/>
      <w:bookmarkStart w:id="103" w:name="_Toc16938543"/>
      <w:r/>
      <w:bookmarkStart w:id="104" w:name="_Toc20823299"/>
      <w:r/>
      <w:bookmarkStart w:id="105" w:name="_Toc513029227"/>
      <w:r>
        <w:rPr>
          <w:rFonts w:hint="eastAsia" w:ascii="宋体" w:hAnsi="宋体" w:eastAsia="宋体" w:cs="宋体"/>
          <w:b w:val="0"/>
          <w:bCs w:val="0"/>
        </w:rPr>
        <w:t xml:space="preserve">21、迟交的投标文件</w:t>
      </w:r>
      <w:bookmarkEnd w:id="103"/>
      <w:r/>
      <w:bookmarkEnd w:id="104"/>
      <w:r/>
      <w:bookmarkEnd w:id="105"/>
      <w:r/>
      <w:r/>
    </w:p>
    <w:p>
      <w:pPr>
        <w:ind w:right="-286" w:firstLine="480"/>
        <w:spacing w:line="400" w:lineRule="exact"/>
        <w:rPr>
          <w:rFonts w:hint="eastAsia" w:ascii="宋体" w:hAnsi="宋体" w:cs="宋体"/>
          <w:bCs/>
          <w:sz w:val="24"/>
        </w:rPr>
      </w:pPr>
      <w:r>
        <w:rPr>
          <w:rFonts w:hint="eastAsia" w:ascii="宋体" w:hAnsi="宋体" w:cs="宋体"/>
          <w:sz w:val="24"/>
        </w:rPr>
        <w:t xml:space="preserve">21.1</w:t>
      </w:r>
      <w:r>
        <w:rPr>
          <w:rFonts w:hint="eastAsia" w:ascii="宋体" w:hAnsi="宋体" w:cs="宋体"/>
          <w:bCs/>
          <w:sz w:val="24"/>
        </w:rPr>
        <w:t xml:space="preserve">采购人拒绝接收在其规定的投标截止时间后上传的任何投标文件。</w:t>
      </w:r>
      <w:r/>
    </w:p>
    <w:p>
      <w:pPr>
        <w:pStyle w:val="1084"/>
        <w:ind w:right="-286" w:firstLine="420"/>
        <w:spacing w:before="0" w:after="0" w:line="400" w:lineRule="exact"/>
        <w:rPr>
          <w:rFonts w:hint="eastAsia" w:ascii="宋体" w:hAnsi="宋体" w:eastAsia="宋体" w:cs="宋体"/>
          <w:b w:val="0"/>
          <w:bCs w:val="0"/>
        </w:rPr>
      </w:pPr>
      <w:r/>
      <w:bookmarkStart w:id="106" w:name="_Toc513029228"/>
      <w:r/>
      <w:bookmarkStart w:id="107" w:name="_Toc20823300"/>
      <w:r/>
      <w:bookmarkStart w:id="108" w:name="_Toc16938544"/>
      <w:r>
        <w:rPr>
          <w:rFonts w:hint="eastAsia" w:ascii="宋体" w:hAnsi="宋体" w:eastAsia="宋体" w:cs="宋体"/>
          <w:b w:val="0"/>
          <w:bCs w:val="0"/>
        </w:rPr>
        <w:t xml:space="preserve">22、投标文件的修改和撤回</w:t>
      </w:r>
      <w:bookmarkEnd w:id="106"/>
      <w:r/>
      <w:bookmarkEnd w:id="107"/>
      <w:r/>
      <w:bookmarkEnd w:id="108"/>
      <w:r/>
      <w:r/>
    </w:p>
    <w:p>
      <w:pPr>
        <w:ind w:right="-286" w:firstLine="480"/>
        <w:spacing w:line="400" w:lineRule="exact"/>
        <w:rPr>
          <w:rFonts w:hint="eastAsia" w:ascii="宋体" w:hAnsi="宋体" w:cs="宋体"/>
          <w:bCs/>
          <w:sz w:val="24"/>
        </w:rPr>
      </w:pPr>
      <w:r>
        <w:rPr>
          <w:rFonts w:hint="eastAsia" w:ascii="宋体" w:hAnsi="宋体" w:cs="宋体"/>
          <w:sz w:val="24"/>
        </w:rPr>
        <w:t xml:space="preserve">22.1</w:t>
      </w:r>
      <w:r>
        <w:rPr>
          <w:rFonts w:hint="eastAsia" w:ascii="宋体" w:hAnsi="宋体" w:cs="宋体"/>
          <w:bCs/>
          <w:sz w:val="24"/>
        </w:rPr>
        <w:t xml:space="preserve">投标文件的撤回</w:t>
      </w:r>
      <w:r/>
    </w:p>
    <w:p>
      <w:pPr>
        <w:ind w:right="-286" w:firstLine="480"/>
        <w:spacing w:line="400" w:lineRule="exact"/>
        <w:rPr>
          <w:rFonts w:hint="eastAsia" w:ascii="宋体" w:hAnsi="宋体" w:cs="宋体"/>
          <w:sz w:val="24"/>
        </w:rPr>
      </w:pPr>
      <w:r/>
      <w:bookmarkStart w:id="109" w:name="_Toc513029229"/>
      <w:r/>
      <w:bookmarkStart w:id="110" w:name="_Toc20823301"/>
      <w:r/>
      <w:bookmarkStart w:id="111" w:name="_Toc120614218"/>
      <w:r/>
      <w:bookmarkStart w:id="112" w:name="_Toc16938545"/>
      <w:r>
        <w:rPr>
          <w:rFonts w:hint="eastAsia" w:ascii="宋体" w:hAnsi="宋体" w:cs="宋体"/>
          <w:sz w:val="24"/>
        </w:rPr>
        <w:t xml:space="preserve">2</w:t>
      </w:r>
      <w:r>
        <w:rPr>
          <w:rFonts w:ascii="宋体" w:hAnsi="宋体" w:cs="宋体"/>
          <w:sz w:val="24"/>
        </w:rPr>
        <w:t xml:space="preserve">2.1.1</w:t>
      </w:r>
      <w:r>
        <w:rPr>
          <w:rFonts w:hint="eastAsia" w:ascii="宋体" w:hAnsi="宋体" w:cs="宋体"/>
          <w:sz w:val="24"/>
        </w:rPr>
        <w:t xml:space="preserve">投标人可在投标截止时间前，撤回其电子投标文件，具体操作方法见《操作手册》。</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.1.2投标人撤回电子投标文件，则认为其不再参与本项目投标活动。</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.2 投标文件的修改</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.2.1投标人可在投标截止时间前，对其电子投标文件进行修改，具体操作方法见《操作手册》。</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.2.2在投标截止时间之后，投标人不得对其电子投标文件作任何修改。</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.3在投标截止时间至招标文件中规定的投标有效期满之间的这段时间内，投标人不得撤回其投标。</w:t>
      </w:r>
      <w:r/>
    </w:p>
    <w:p>
      <w:pPr>
        <w:pStyle w:val="1083"/>
        <w:ind w:right="-286" w:firstLine="321"/>
        <w:spacing w:before="145" w:after="145" w:line="400" w:lineRule="exact"/>
        <w:rPr>
          <w:rFonts w:hint="eastAsia" w:ascii="宋体" w:hAnsi="宋体" w:cs="宋体"/>
        </w:rPr>
      </w:pPr>
      <w:r>
        <w:rPr>
          <w:rFonts w:hint="eastAsia" w:ascii="宋体" w:hAnsi="宋体" w:cs="宋体"/>
        </w:rPr>
        <w:t xml:space="preserve">五、开标与评标</w:t>
      </w:r>
      <w:bookmarkEnd w:id="109"/>
      <w:r/>
      <w:bookmarkEnd w:id="110"/>
      <w:r/>
      <w:bookmarkEnd w:id="111"/>
      <w:r/>
      <w:bookmarkEnd w:id="112"/>
      <w:r/>
      <w:r/>
    </w:p>
    <w:p>
      <w:pPr>
        <w:pStyle w:val="1084"/>
        <w:ind w:right="-286" w:firstLine="420"/>
        <w:spacing w:before="0" w:after="0" w:line="400" w:lineRule="exact"/>
        <w:rPr>
          <w:rFonts w:hint="eastAsia" w:ascii="宋体" w:hAnsi="宋体" w:eastAsia="宋体" w:cs="宋体"/>
          <w:b w:val="0"/>
          <w:bCs w:val="0"/>
        </w:rPr>
      </w:pPr>
      <w:r/>
      <w:bookmarkStart w:id="113" w:name="_Toc20823302"/>
      <w:r/>
      <w:bookmarkStart w:id="114" w:name="_Toc513029230"/>
      <w:r/>
      <w:bookmarkStart w:id="115" w:name="_Toc16938546"/>
      <w:r>
        <w:rPr>
          <w:rFonts w:hint="eastAsia" w:ascii="宋体" w:hAnsi="宋体" w:eastAsia="宋体" w:cs="宋体"/>
          <w:b w:val="0"/>
          <w:bCs w:val="0"/>
        </w:rPr>
        <w:t xml:space="preserve">23、开标</w:t>
      </w:r>
      <w:bookmarkEnd w:id="113"/>
      <w:r/>
      <w:bookmarkEnd w:id="114"/>
      <w:r/>
      <w:bookmarkEnd w:id="115"/>
      <w:r/>
      <w:r/>
    </w:p>
    <w:p>
      <w:pPr>
        <w:ind w:right="-286" w:firstLine="480"/>
        <w:spacing w:line="400" w:lineRule="exact"/>
        <w:rPr>
          <w:rFonts w:hint="eastAsia" w:ascii="宋体" w:hAnsi="宋体" w:cs="宋体"/>
          <w:sz w:val="24"/>
        </w:rPr>
      </w:pPr>
      <w:r/>
      <w:bookmarkStart w:id="116" w:name="_Toc513029231"/>
      <w:r/>
      <w:bookmarkStart w:id="117" w:name="_Toc16938547"/>
      <w:r/>
      <w:bookmarkStart w:id="118" w:name="_Toc20823303"/>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.1采购人将在招标公告中规定的时间和地点组织公开开标。投标人应当按照《操作手册》规定，参加开标活动和在苏采云系统规定的时间内对投标文件进行解密。</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.2开标仪式由采购人组织。苏采云系统将自动对项目进行开标，并宣布各投标人名称和投标价格。</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.3投标人在开标过程中涉及到的投标文件解密、开标结果确认等工作，应按照《操作手册》规定执行。</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.4投标人如果对开标过程和开标记录有疑义，应当根据《操作手册》规定提出，如苏采云系统中《开标记录表》宣布后5分钟内未提出的，视同认可开标结果。</w:t>
      </w:r>
      <w:r/>
    </w:p>
    <w:p>
      <w:pPr>
        <w:pStyle w:val="1084"/>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24、资格审查</w:t>
      </w:r>
      <w:r/>
    </w:p>
    <w:p>
      <w:pPr>
        <w:ind w:right="-286" w:firstLine="480"/>
        <w:spacing w:line="400" w:lineRule="exact"/>
        <w:rPr>
          <w:rFonts w:hint="eastAsia" w:ascii="宋体" w:hAnsi="宋体" w:cs="宋体"/>
          <w:sz w:val="24"/>
        </w:rPr>
      </w:pPr>
      <w:r>
        <w:rPr>
          <w:rFonts w:hint="eastAsia" w:ascii="宋体" w:hAnsi="宋体" w:cs="宋体"/>
          <w:sz w:val="24"/>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right="-286" w:firstLine="480"/>
        <w:spacing w:line="400" w:lineRule="exact"/>
        <w:rPr>
          <w:rFonts w:hint="eastAsia" w:ascii="宋体" w:hAnsi="宋体" w:cs="宋体"/>
          <w:sz w:val="24"/>
        </w:rPr>
      </w:pPr>
      <w:r>
        <w:rPr>
          <w:rFonts w:hint="eastAsia" w:ascii="宋体" w:hAnsi="宋体" w:cs="宋体"/>
          <w:sz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right="-286" w:firstLine="480"/>
        <w:spacing w:line="40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286" w:firstLine="480"/>
        <w:spacing w:line="400" w:lineRule="exact"/>
        <w:rPr>
          <w:rFonts w:hint="eastAsia" w:ascii="宋体" w:hAnsi="宋体" w:cs="宋体"/>
          <w:sz w:val="24"/>
        </w:rPr>
      </w:pPr>
      <w:r>
        <w:rPr>
          <w:rFonts w:hint="eastAsia" w:ascii="宋体" w:hAnsi="宋体" w:cs="宋体"/>
          <w:sz w:val="24"/>
        </w:rPr>
        <w:t xml:space="preserve">合格投标人不足3家的，不得评标。</w:t>
      </w:r>
      <w:r/>
    </w:p>
    <w:p>
      <w:pPr>
        <w:pStyle w:val="1084"/>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25、评标委员会</w:t>
      </w:r>
      <w:r/>
    </w:p>
    <w:p>
      <w:pPr>
        <w:ind w:right="-286"/>
        <w:spacing w:line="400" w:lineRule="exact"/>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25.1</w:t>
      </w:r>
      <w:r>
        <w:rPr>
          <w:rFonts w:hint="eastAsia" w:ascii="宋体" w:hAnsi="宋体" w:cs="宋体"/>
          <w:b/>
          <w:sz w:val="24"/>
          <w:szCs w:val="24"/>
        </w:rPr>
        <w:t xml:space="preserve"> </w:t>
      </w:r>
      <w:r>
        <w:rPr>
          <w:rFonts w:hint="eastAsia" w:ascii="宋体" w:hAnsi="宋体" w:cs="宋体"/>
          <w:sz w:val="24"/>
          <w:szCs w:val="24"/>
        </w:rPr>
        <w:t xml:space="preserve">资格审查通过后，采购人将组织评标委员会（以下简称评委会）进行评标。</w:t>
      </w:r>
      <w:r/>
    </w:p>
    <w:p>
      <w:pPr>
        <w:ind w:right="-286"/>
        <w:spacing w:line="40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25.2 评委会由采购人代表和有关技术、经济等方面的专家组成，且人员构成符合政府采购有关规定。</w:t>
      </w:r>
      <w:r/>
    </w:p>
    <w:p>
      <w:pPr>
        <w:ind w:right="-286"/>
        <w:spacing w:line="40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25.3评委会独立工作，负责评审所有投标文件并确定中标侯选人。</w:t>
      </w:r>
      <w:r/>
    </w:p>
    <w:p>
      <w:pPr>
        <w:pStyle w:val="1084"/>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26、评标过程的保密与公正</w:t>
      </w:r>
      <w:bookmarkEnd w:id="116"/>
      <w:r/>
      <w:bookmarkEnd w:id="117"/>
      <w:r/>
      <w:bookmarkEnd w:id="118"/>
      <w:r/>
      <w:r/>
    </w:p>
    <w:p>
      <w:pPr>
        <w:ind w:right="-286" w:firstLine="480"/>
        <w:spacing w:line="400" w:lineRule="exact"/>
        <w:rPr>
          <w:rFonts w:hint="eastAsia" w:ascii="宋体" w:hAnsi="宋体" w:cs="宋体"/>
          <w:bCs/>
          <w:sz w:val="24"/>
        </w:rPr>
      </w:pPr>
      <w:r>
        <w:rPr>
          <w:rFonts w:hint="eastAsia" w:ascii="宋体" w:hAnsi="宋体" w:cs="宋体"/>
          <w:sz w:val="24"/>
        </w:rPr>
        <w:t xml:space="preserve">26.1</w:t>
      </w:r>
      <w:r>
        <w:rPr>
          <w:rFonts w:hint="eastAsia" w:ascii="宋体" w:hAnsi="宋体" w:cs="宋体"/>
          <w:bCs/>
          <w:sz w:val="24"/>
        </w:rPr>
        <w:t xml:space="preserve">公开开标后，直至签订合同之日止，凡是与审查、澄清、评价和比较投标的有关资料以及授标建议等，采购人、评委均不得向投标人或与评标无关的其他人员透露。</w:t>
      </w:r>
      <w:r/>
    </w:p>
    <w:p>
      <w:pPr>
        <w:ind w:right="-286" w:firstLine="480"/>
        <w:spacing w:line="400" w:lineRule="exact"/>
        <w:rPr>
          <w:rFonts w:hint="eastAsia" w:ascii="宋体" w:hAnsi="宋体" w:cs="宋体"/>
          <w:sz w:val="24"/>
          <w:szCs w:val="24"/>
        </w:rPr>
      </w:pPr>
      <w:r>
        <w:rPr>
          <w:rFonts w:hint="eastAsia" w:ascii="宋体" w:hAnsi="宋体" w:cs="宋体"/>
          <w:sz w:val="24"/>
        </w:rPr>
        <w:t xml:space="preserve">26.2</w:t>
      </w:r>
      <w:r>
        <w:rPr>
          <w:rFonts w:hint="eastAsia" w:ascii="宋体" w:hAnsi="宋体" w:cs="宋体"/>
          <w:sz w:val="24"/>
          <w:szCs w:val="24"/>
        </w:rPr>
        <w:t xml:space="preserve">在评标过程中，投标人不得以任何行为影响评标过程，否则其投标文件将被作为无效投标文件。</w:t>
      </w:r>
      <w:r/>
    </w:p>
    <w:p>
      <w:pPr>
        <w:ind w:right="-286" w:firstLine="480"/>
        <w:spacing w:line="400" w:lineRule="exact"/>
        <w:rPr>
          <w:rFonts w:hint="eastAsia" w:ascii="宋体" w:hAnsi="宋体" w:cs="宋体"/>
          <w:sz w:val="24"/>
          <w:szCs w:val="24"/>
        </w:rPr>
      </w:pPr>
      <w:r>
        <w:rPr>
          <w:rFonts w:hint="eastAsia" w:ascii="宋体" w:hAnsi="宋体" w:cs="宋体"/>
          <w:sz w:val="24"/>
        </w:rPr>
        <w:t xml:space="preserve">26.3</w:t>
      </w:r>
      <w:r>
        <w:rPr>
          <w:rFonts w:hint="eastAsia" w:ascii="宋体" w:hAnsi="宋体" w:cs="宋体"/>
          <w:sz w:val="24"/>
          <w:szCs w:val="24"/>
        </w:rPr>
        <w:t xml:space="preserve">在评标期间，采购人将设专门人员与投标人联系。</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26.4 采购人和评标委员会不向落标的投标人解释未中标原因，也不公布评标过程中的相关细节。</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26.5 采用综合评分法的项目，未中标的投标人如需了解自己的评审得分及排序情况，可向采购人提出申请。</w:t>
      </w:r>
      <w:r/>
    </w:p>
    <w:p>
      <w:pPr>
        <w:pStyle w:val="1084"/>
        <w:ind w:right="-286" w:firstLine="420"/>
        <w:spacing w:before="0" w:after="0" w:line="400" w:lineRule="exact"/>
        <w:rPr>
          <w:rFonts w:hint="eastAsia" w:ascii="宋体" w:hAnsi="宋体" w:eastAsia="宋体" w:cs="宋体"/>
          <w:b w:val="0"/>
          <w:bCs w:val="0"/>
        </w:rPr>
      </w:pPr>
      <w:r/>
      <w:bookmarkStart w:id="119" w:name="_Toc20823304"/>
      <w:r/>
      <w:bookmarkStart w:id="120" w:name="_Toc16938548"/>
      <w:r/>
      <w:bookmarkStart w:id="121" w:name="_Toc513029232"/>
      <w:r>
        <w:rPr>
          <w:rFonts w:hint="eastAsia" w:ascii="宋体" w:hAnsi="宋体" w:eastAsia="宋体" w:cs="宋体"/>
          <w:b w:val="0"/>
          <w:bCs w:val="0"/>
        </w:rPr>
        <w:t xml:space="preserve">27、投标的澄清</w:t>
      </w:r>
      <w:bookmarkEnd w:id="119"/>
      <w:r/>
      <w:bookmarkEnd w:id="120"/>
      <w:r/>
      <w:bookmarkEnd w:id="121"/>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27.1评标期间，为有助于对投标文件的审查、评价和比较，评委会有权以书面形式要求投标人对其投标文件进行澄清，但并非对每个投标人都作澄清要求。</w:t>
      </w:r>
      <w:r/>
    </w:p>
    <w:p>
      <w:pPr>
        <w:ind w:right="-286"/>
        <w:spacing w:line="400" w:lineRule="exact"/>
        <w:rPr>
          <w:rFonts w:hint="eastAsia" w:ascii="宋体" w:hAnsi="宋体" w:cs="宋体"/>
          <w:sz w:val="24"/>
          <w:szCs w:val="24"/>
        </w:rPr>
      </w:pPr>
      <w:r>
        <w:rPr>
          <w:rFonts w:hint="eastAsia" w:ascii="宋体" w:hAnsi="宋体" w:cs="宋体"/>
          <w:sz w:val="24"/>
          <w:szCs w:val="24"/>
        </w:rPr>
        <w:t xml:space="preserve">    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right="-286"/>
        <w:spacing w:line="400" w:lineRule="exact"/>
        <w:rPr>
          <w:rFonts w:hint="eastAsia" w:ascii="宋体" w:hAnsi="宋体" w:cs="宋体"/>
          <w:sz w:val="24"/>
          <w:szCs w:val="24"/>
        </w:rPr>
      </w:pPr>
      <w:r>
        <w:rPr>
          <w:rFonts w:hint="eastAsia" w:ascii="宋体" w:hAnsi="宋体" w:cs="宋体"/>
          <w:sz w:val="24"/>
          <w:szCs w:val="24"/>
        </w:rPr>
        <w:t xml:space="preserve">    27.3 接到评委会澄清要求的投标人如未按规定做出澄清，其风险由投标人自行承担。</w:t>
      </w:r>
      <w:r/>
    </w:p>
    <w:p>
      <w:pPr>
        <w:pStyle w:val="1084"/>
        <w:ind w:right="-286" w:firstLine="420"/>
        <w:spacing w:before="0" w:after="0" w:line="400" w:lineRule="exact"/>
        <w:rPr>
          <w:rFonts w:hint="eastAsia" w:ascii="宋体" w:hAnsi="宋体" w:eastAsia="宋体" w:cs="宋体"/>
          <w:b w:val="0"/>
          <w:bCs w:val="0"/>
        </w:rPr>
      </w:pPr>
      <w:r/>
      <w:bookmarkStart w:id="122" w:name="_Toc513029233"/>
      <w:r/>
      <w:bookmarkStart w:id="123" w:name="_Toc20823305"/>
      <w:r/>
      <w:bookmarkStart w:id="124" w:name="_Toc16938549"/>
      <w:r>
        <w:rPr>
          <w:rFonts w:hint="eastAsia" w:ascii="宋体" w:hAnsi="宋体" w:eastAsia="宋体" w:cs="宋体"/>
          <w:b w:val="0"/>
          <w:bCs w:val="0"/>
        </w:rPr>
        <w:t xml:space="preserve">28、对投标文件的评审</w:t>
      </w:r>
      <w:bookmarkEnd w:id="122"/>
      <w:r/>
      <w:bookmarkEnd w:id="123"/>
      <w:r/>
      <w:bookmarkEnd w:id="124"/>
      <w:r/>
      <w:r/>
    </w:p>
    <w:p>
      <w:pPr>
        <w:ind w:right="-286" w:firstLine="480"/>
        <w:spacing w:line="400" w:lineRule="exact"/>
        <w:rPr>
          <w:rFonts w:hint="eastAsia" w:ascii="宋体" w:hAnsi="宋体" w:cs="宋体"/>
          <w:bCs/>
          <w:sz w:val="24"/>
        </w:rPr>
      </w:pPr>
      <w:r>
        <w:rPr>
          <w:rFonts w:hint="eastAsia" w:ascii="宋体" w:hAnsi="宋体" w:cs="宋体"/>
          <w:sz w:val="24"/>
        </w:rPr>
        <w:t xml:space="preserve">28.1</w:t>
      </w:r>
      <w:r>
        <w:rPr>
          <w:rFonts w:hint="eastAsia" w:ascii="宋体" w:hAnsi="宋体" w:cs="宋体"/>
          <w:bCs/>
          <w:sz w:val="24"/>
        </w:rPr>
        <w:t xml:space="preserve">符合性检查：依据招标文件的规定，从投标文件的有效性、完整性和对招标文件的响应程度进行审查，以确定是否对招标文件的实质性要求作出响应。</w:t>
      </w:r>
      <w:r/>
    </w:p>
    <w:p>
      <w:pPr>
        <w:ind w:right="-286" w:firstLine="480"/>
        <w:spacing w:line="400" w:lineRule="exact"/>
        <w:rPr>
          <w:rFonts w:hint="eastAsia" w:ascii="宋体" w:hAnsi="宋体" w:cs="宋体"/>
          <w:sz w:val="24"/>
          <w:szCs w:val="24"/>
        </w:rPr>
      </w:pPr>
      <w:r>
        <w:rPr>
          <w:rFonts w:hint="eastAsia" w:ascii="宋体" w:hAnsi="宋体" w:cs="宋体"/>
          <w:sz w:val="24"/>
        </w:rPr>
        <w:t xml:space="preserve">28.2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right="-286" w:firstLine="480"/>
        <w:spacing w:line="400" w:lineRule="exact"/>
        <w:rPr>
          <w:rFonts w:hint="eastAsia" w:ascii="宋体" w:hAnsi="宋体" w:cs="宋体"/>
          <w:bCs/>
          <w:sz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sz w:val="24"/>
        </w:rPr>
        <w:t xml:space="preserve">评委决定投标文件的响应性只根据投标文件本身的内容，而不寻求外部的证据。</w:t>
      </w:r>
      <w:r/>
    </w:p>
    <w:p>
      <w:pPr>
        <w:ind w:right="-286" w:firstLine="480"/>
        <w:spacing w:line="400" w:lineRule="exact"/>
        <w:rPr>
          <w:rFonts w:hint="eastAsia" w:ascii="宋体" w:hAnsi="宋体" w:cs="宋体"/>
          <w:bCs/>
          <w:sz w:val="24"/>
        </w:rPr>
      </w:pPr>
      <w:r>
        <w:rPr>
          <w:rFonts w:hint="eastAsia" w:ascii="宋体" w:hAnsi="宋体" w:cs="宋体"/>
          <w:sz w:val="24"/>
        </w:rPr>
        <w:t xml:space="preserve">28.3</w:t>
      </w:r>
      <w:r>
        <w:rPr>
          <w:rFonts w:hint="eastAsia" w:ascii="宋体" w:hAnsi="宋体" w:cs="宋体"/>
          <w:bCs/>
          <w:sz w:val="24"/>
        </w:rPr>
        <w:t xml:space="preserve">如果投标文件实质上没有响应招标文件的要求，评委会将按无效投标处理，投标人不得通过修改或撤销不合要求的偏离或保留而使其投标成为实质性响应的投标。</w:t>
      </w:r>
      <w:r/>
    </w:p>
    <w:p>
      <w:pPr>
        <w:ind w:right="-286" w:firstLine="480"/>
        <w:spacing w:line="400" w:lineRule="exact"/>
        <w:rPr>
          <w:rFonts w:hint="eastAsia" w:ascii="宋体" w:hAnsi="宋体" w:cs="宋体"/>
          <w:bCs/>
          <w:sz w:val="24"/>
        </w:rPr>
      </w:pPr>
      <w:r>
        <w:rPr>
          <w:rFonts w:hint="eastAsia" w:ascii="宋体" w:hAnsi="宋体" w:cs="宋体"/>
          <w:sz w:val="24"/>
        </w:rPr>
        <w:t xml:space="preserve">28.4</w:t>
      </w:r>
      <w:r>
        <w:rPr>
          <w:rFonts w:hint="eastAsia" w:ascii="宋体" w:hAnsi="宋体" w:cs="宋体"/>
          <w:bCs/>
          <w:sz w:val="24"/>
        </w:rPr>
        <w:t xml:space="preserve">评委会将对确定为实质性响应的投标进行进一步审核，看其是否有计算上或累加上的算术错误，修正错误的原则如下：</w:t>
      </w:r>
      <w:r/>
    </w:p>
    <w:p>
      <w:pPr>
        <w:ind w:right="-286" w:firstLine="480"/>
        <w:spacing w:line="40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right="-286" w:firstLine="480"/>
        <w:spacing w:line="40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right="-286" w:firstLine="480"/>
        <w:spacing w:line="40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right="-286" w:firstLine="480"/>
        <w:spacing w:line="40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right="-286" w:firstLine="480"/>
        <w:spacing w:line="40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right="-286" w:firstLine="480"/>
        <w:spacing w:line="400" w:lineRule="exact"/>
        <w:rPr>
          <w:rFonts w:hint="eastAsia" w:ascii="宋体" w:hAnsi="宋体" w:cs="宋体"/>
          <w:bCs/>
          <w:sz w:val="24"/>
        </w:rPr>
      </w:pPr>
      <w:r>
        <w:rPr>
          <w:rFonts w:hint="eastAsia" w:ascii="宋体" w:hAnsi="宋体" w:cs="宋体"/>
          <w:sz w:val="24"/>
        </w:rPr>
        <w:t xml:space="preserve">28.5</w:t>
      </w:r>
      <w:r>
        <w:rPr>
          <w:rFonts w:hint="eastAsia" w:ascii="宋体" w:hAnsi="宋体" w:cs="宋体"/>
          <w:bCs/>
          <w:sz w:val="24"/>
        </w:rPr>
        <w:t xml:space="preserve">评委会将按上述修正错误的方法调整投标文件中的投标报价，调整后的价格应对投标人具有约束力。如果投标人不接受修正后的价格，则其投标将被拒绝。</w:t>
      </w:r>
      <w:r/>
    </w:p>
    <w:p>
      <w:pPr>
        <w:ind w:right="-286" w:firstLine="480"/>
        <w:spacing w:line="400" w:lineRule="exact"/>
        <w:rPr>
          <w:rFonts w:hint="eastAsia" w:ascii="宋体" w:hAnsi="宋体" w:cs="宋体"/>
          <w:bCs/>
          <w:sz w:val="24"/>
        </w:rPr>
      </w:pPr>
      <w:r>
        <w:rPr>
          <w:rFonts w:hint="eastAsia" w:ascii="宋体" w:hAnsi="宋体" w:cs="宋体"/>
          <w:sz w:val="24"/>
        </w:rPr>
        <w:t xml:space="preserve">28.6</w:t>
      </w:r>
      <w:r>
        <w:rPr>
          <w:rFonts w:hint="eastAsia" w:ascii="宋体" w:hAnsi="宋体" w:cs="宋体"/>
          <w:bCs/>
          <w:sz w:val="24"/>
        </w:rPr>
        <w:t xml:space="preserve">评委会将允许修正投标文件中不构成重大偏离的、微小的、非正规的、不一致的或不规则的地方，但这些修改不能影响任何投标人相应的名次排列。</w:t>
      </w:r>
      <w:r/>
    </w:p>
    <w:p>
      <w:pPr>
        <w:pStyle w:val="1084"/>
        <w:ind w:right="-286" w:firstLine="360"/>
        <w:spacing w:before="0" w:after="0" w:line="400" w:lineRule="exact"/>
        <w:rPr>
          <w:rFonts w:hint="eastAsia" w:ascii="宋体" w:hAnsi="宋体" w:eastAsia="宋体" w:cs="宋体"/>
          <w:b w:val="0"/>
          <w:sz w:val="24"/>
          <w:szCs w:val="21"/>
        </w:rPr>
      </w:pPr>
      <w:r/>
      <w:bookmarkStart w:id="125" w:name="_Toc20823306"/>
      <w:r/>
      <w:bookmarkStart w:id="126" w:name="_Toc513029234"/>
      <w:r/>
      <w:bookmarkStart w:id="127" w:name="_Toc16938550"/>
      <w:r>
        <w:rPr>
          <w:rFonts w:hint="eastAsia" w:ascii="宋体" w:hAnsi="宋体" w:eastAsia="宋体" w:cs="宋体"/>
          <w:b w:val="0"/>
          <w:sz w:val="24"/>
          <w:szCs w:val="21"/>
        </w:rPr>
        <w:t xml:space="preserve">29、</w:t>
      </w:r>
      <w:bookmarkEnd w:id="125"/>
      <w:r/>
      <w:bookmarkEnd w:id="126"/>
      <w:r/>
      <w:bookmarkEnd w:id="127"/>
      <w:r>
        <w:rPr>
          <w:rFonts w:hint="eastAsia" w:ascii="宋体" w:hAnsi="宋体" w:eastAsia="宋体" w:cs="宋体"/>
          <w:b w:val="0"/>
          <w:sz w:val="24"/>
          <w:szCs w:val="21"/>
        </w:rPr>
        <w:t xml:space="preserve">无效投标条款和废标条款</w:t>
      </w:r>
      <w:r/>
    </w:p>
    <w:p>
      <w:pPr>
        <w:ind w:left="479" w:right="-286"/>
        <w:spacing w:line="400" w:lineRule="exact"/>
        <w:rPr>
          <w:rFonts w:hint="eastAsia" w:ascii="宋体" w:hAnsi="宋体" w:cs="宋体"/>
          <w:bCs/>
          <w:sz w:val="24"/>
        </w:rPr>
      </w:pPr>
      <w:r/>
      <w:bookmarkStart w:id="128" w:name="_Toc513029235"/>
      <w:r/>
      <w:bookmarkStart w:id="129" w:name="_Toc20823307"/>
      <w:r/>
      <w:bookmarkStart w:id="130" w:name="_Toc16938551"/>
      <w:r>
        <w:rPr>
          <w:rFonts w:hint="eastAsia" w:ascii="宋体" w:hAnsi="宋体" w:cs="宋体"/>
          <w:bCs/>
          <w:sz w:val="24"/>
        </w:rPr>
        <w:t xml:space="preserve">29.1无效投标条款</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29.1.1投标人未按照招标文件要求上传电子投标文件的；</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29.1.2</w:t>
      </w:r>
      <w:r>
        <w:rPr>
          <w:rFonts w:hint="eastAsia" w:ascii="宋体" w:hAnsi="宋体" w:cs="宋体"/>
          <w:sz w:val="24"/>
        </w:rPr>
        <w:t xml:space="preserve">投标人未在规定解密时间内进行解密；</w:t>
      </w:r>
      <w:r/>
    </w:p>
    <w:p>
      <w:pPr>
        <w:ind w:left="479" w:right="-286"/>
        <w:spacing w:line="400" w:lineRule="exact"/>
        <w:rPr>
          <w:rFonts w:hint="eastAsia" w:ascii="宋体" w:hAnsi="宋体" w:cs="宋体"/>
          <w:bCs/>
          <w:sz w:val="24"/>
        </w:rPr>
      </w:pPr>
      <w:r>
        <w:rPr>
          <w:rFonts w:hint="eastAsia" w:ascii="宋体" w:hAnsi="宋体" w:cs="宋体"/>
          <w:bCs/>
          <w:sz w:val="24"/>
        </w:rPr>
        <w:t xml:space="preserve">29.1.3投标人在报价时采用选择性报价；</w:t>
      </w:r>
      <w:r/>
    </w:p>
    <w:p>
      <w:pPr>
        <w:ind w:left="479" w:right="-286"/>
        <w:spacing w:line="400" w:lineRule="exact"/>
        <w:rPr>
          <w:rFonts w:hint="eastAsia" w:ascii="宋体" w:hAnsi="宋体" w:cs="宋体"/>
          <w:bCs/>
          <w:sz w:val="24"/>
        </w:rPr>
      </w:pPr>
      <w:r>
        <w:rPr>
          <w:rFonts w:hint="eastAsia" w:ascii="宋体" w:hAnsi="宋体" w:cs="宋体"/>
          <w:bCs/>
          <w:sz w:val="24"/>
        </w:rPr>
        <w:t xml:space="preserve">29.1.4投标人不具备招标文件中规定资格要求的；</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29.1.5投标人的报价超过了采购预算或最高限价的；</w:t>
      </w:r>
      <w:r/>
    </w:p>
    <w:p>
      <w:pPr>
        <w:ind w:right="-286" w:firstLine="480"/>
        <w:spacing w:line="400" w:lineRule="exact"/>
        <w:rPr>
          <w:rFonts w:hint="eastAsia" w:ascii="宋体" w:hAnsi="宋体" w:cs="宋体"/>
          <w:bCs/>
          <w:i/>
          <w:sz w:val="24"/>
          <w:u w:val="single"/>
        </w:rPr>
      </w:pPr>
      <w:r>
        <w:rPr>
          <w:rFonts w:hint="eastAsia" w:ascii="宋体" w:hAnsi="宋体" w:cs="宋体"/>
          <w:bCs/>
          <w:sz w:val="24"/>
        </w:rPr>
        <w:t xml:space="preserve">29.1.6未通过符合性检查的；</w:t>
      </w:r>
      <w:r/>
    </w:p>
    <w:p>
      <w:pPr>
        <w:ind w:right="-286" w:firstLine="360"/>
        <w:spacing w:line="400" w:lineRule="exact"/>
        <w:rPr>
          <w:rFonts w:hint="eastAsia" w:ascii="宋体" w:hAnsi="宋体" w:cs="宋体"/>
          <w:bCs/>
          <w:sz w:val="24"/>
        </w:rPr>
      </w:pPr>
      <w:r>
        <w:rPr>
          <w:rFonts w:hint="eastAsia" w:ascii="宋体" w:hAnsi="宋体" w:cs="宋体"/>
          <w:bCs/>
          <w:sz w:val="24"/>
        </w:rPr>
        <w:t xml:space="preserve"> 29.1.7不符合招标文件中规定的其他实质性要求和条件的；</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29.1.8投标人串通投标；</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29.1.9投标文件含有采购人不能接受的附加条件的。</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29.1.11投标文件未按照招标文件要求加盖电子签章。</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29.1.12其他法律、法规及本招标文件规定的属无效投标的情形。</w:t>
      </w:r>
      <w:r/>
    </w:p>
    <w:p>
      <w:pPr>
        <w:ind w:left="479" w:right="-286"/>
        <w:spacing w:line="400" w:lineRule="exact"/>
        <w:rPr>
          <w:rFonts w:hint="eastAsia" w:ascii="宋体" w:hAnsi="宋体" w:cs="宋体"/>
          <w:bCs/>
          <w:sz w:val="24"/>
        </w:rPr>
      </w:pPr>
      <w:r>
        <w:rPr>
          <w:rFonts w:hint="eastAsia" w:ascii="宋体" w:hAnsi="宋体" w:cs="宋体"/>
          <w:bCs/>
          <w:sz w:val="24"/>
        </w:rPr>
        <w:t xml:space="preserve">29.2废标条款：                                                                                                                                         </w:t>
      </w:r>
      <w:r>
        <w:rPr>
          <w:rFonts w:hint="eastAsia" w:ascii="宋体" w:hAnsi="宋体" w:cs="宋体"/>
          <w:bCs/>
          <w:sz w:val="24"/>
        </w:rPr>
        <w:t xml:space="preserve">                                                                                                                                                                                                                                                                </w:t>
      </w:r>
      <w:r>
        <w:rPr>
          <w:rFonts w:hint="eastAsia" w:ascii="宋体" w:hAnsi="宋体" w:cs="宋体"/>
          <w:bCs/>
          <w:sz w:val="24"/>
        </w:rPr>
        <w:t xml:space="preserve">                                                                                                                                                                                                                                                                </w:t>
      </w:r>
      <w:r>
        <w:rPr>
          <w:rFonts w:hint="eastAsia" w:ascii="宋体" w:hAnsi="宋体" w:cs="宋体"/>
          <w:bCs/>
          <w:sz w:val="24"/>
        </w:rPr>
        <w:t xml:space="preserve">                                                                                                                                                                                                                                                                </w:t>
      </w:r>
      <w:r>
        <w:rPr>
          <w:rFonts w:hint="eastAsia" w:ascii="宋体" w:hAnsi="宋体" w:cs="宋体"/>
          <w:bCs/>
          <w:sz w:val="24"/>
        </w:rPr>
        <w:t xml:space="preserve">                                                                                                                                                                                                                                                                </w:t>
      </w:r>
      <w:r>
        <w:rPr>
          <w:rFonts w:hint="eastAsia" w:ascii="宋体" w:hAnsi="宋体" w:cs="宋体"/>
          <w:bCs/>
          <w:sz w:val="24"/>
        </w:rPr>
        <w:t xml:space="preserve">                                                                                                                                                                                                                                                                </w:t>
      </w:r>
      <w:r/>
    </w:p>
    <w:p>
      <w:pPr>
        <w:ind w:left="479" w:right="-286"/>
        <w:spacing w:line="400" w:lineRule="exact"/>
        <w:rPr>
          <w:rFonts w:hint="eastAsia" w:ascii="宋体" w:hAnsi="宋体" w:cs="宋体"/>
          <w:bCs/>
          <w:sz w:val="24"/>
        </w:rPr>
      </w:pPr>
      <w:r>
        <w:rPr>
          <w:rFonts w:hint="eastAsia" w:ascii="宋体" w:hAnsi="宋体" w:cs="宋体"/>
          <w:bCs/>
          <w:sz w:val="24"/>
        </w:rPr>
        <w:t xml:space="preserve">29.2.1符合专业条件的供应商或者对招标文件作实质响应的供应商不足三家的；29.2.2出现影响采购公正的违法、违规行为的；</w:t>
      </w:r>
      <w:r/>
    </w:p>
    <w:p>
      <w:pPr>
        <w:ind w:left="479" w:right="-286"/>
        <w:spacing w:line="400" w:lineRule="exact"/>
        <w:rPr>
          <w:rFonts w:hint="eastAsia" w:ascii="宋体" w:hAnsi="宋体" w:cs="宋体"/>
          <w:bCs/>
          <w:sz w:val="24"/>
        </w:rPr>
      </w:pPr>
      <w:r>
        <w:rPr>
          <w:rFonts w:hint="eastAsia" w:ascii="宋体" w:hAnsi="宋体" w:cs="宋体"/>
          <w:bCs/>
          <w:sz w:val="24"/>
        </w:rPr>
        <w:t xml:space="preserve">29.2.3因重大变故，采购任务取消的；</w:t>
      </w:r>
      <w:r/>
    </w:p>
    <w:p>
      <w:pPr>
        <w:ind w:left="479" w:right="-286"/>
        <w:spacing w:line="400" w:lineRule="exact"/>
        <w:rPr>
          <w:rFonts w:hint="eastAsia" w:ascii="宋体" w:hAnsi="宋体" w:cs="宋体"/>
          <w:bCs/>
          <w:sz w:val="24"/>
        </w:rPr>
      </w:pPr>
      <w:r>
        <w:rPr>
          <w:rFonts w:hint="eastAsia" w:ascii="宋体" w:hAnsi="宋体" w:cs="宋体"/>
          <w:bCs/>
          <w:sz w:val="24"/>
        </w:rPr>
        <w:t xml:space="preserve">29.2.4评标委员会认定招标文件存在歧义、重大缺陷导致评审工作无法进行。</w:t>
      </w:r>
      <w:r/>
    </w:p>
    <w:p>
      <w:pPr>
        <w:ind w:left="479" w:right="-286"/>
        <w:spacing w:line="400" w:lineRule="exact"/>
        <w:rPr>
          <w:rFonts w:hint="eastAsia" w:ascii="宋体" w:hAnsi="宋体" w:cs="宋体"/>
          <w:bCs/>
          <w:sz w:val="24"/>
        </w:rPr>
      </w:pPr>
      <w:r>
        <w:rPr>
          <w:rFonts w:hint="eastAsia" w:ascii="宋体" w:hAnsi="宋体" w:cs="宋体"/>
          <w:bCs/>
          <w:sz w:val="24"/>
        </w:rPr>
        <w:t xml:space="preserve">29.3 投标截止时间结束后参加投标的供应商不足三家的处理：</w:t>
      </w:r>
      <w:r/>
    </w:p>
    <w:p>
      <w:pPr>
        <w:ind w:right="-286" w:firstLine="480"/>
        <w:spacing w:line="400" w:lineRule="exact"/>
        <w:rPr>
          <w:rFonts w:hint="eastAsia" w:ascii="宋体" w:hAnsi="宋体" w:cs="宋体"/>
          <w:bCs/>
          <w:sz w:val="24"/>
        </w:rPr>
      </w:pPr>
      <w:r>
        <w:rPr>
          <w:rFonts w:hint="eastAsia" w:ascii="宋体" w:hAnsi="宋体" w:cs="宋体"/>
          <w:bCs/>
          <w:sz w:val="24"/>
        </w:rPr>
        <w:t xml:space="preserve">29.3.1如出现投标截止时间结束后参加投标的供应商或者在评标期间对招标文件做出实质响应的供应商不足三家情况，按财政部第八十七号令第四十三条的规定执行。</w:t>
      </w:r>
      <w:r/>
    </w:p>
    <w:p>
      <w:pPr>
        <w:pStyle w:val="1083"/>
        <w:ind w:right="-286" w:firstLine="321"/>
        <w:spacing w:before="145" w:after="145" w:line="400" w:lineRule="exact"/>
        <w:rPr>
          <w:rFonts w:hint="eastAsia" w:ascii="宋体" w:hAnsi="宋体" w:cs="宋体"/>
        </w:rPr>
      </w:pPr>
      <w:r/>
      <w:bookmarkStart w:id="131" w:name="_Toc120614219"/>
      <w:r>
        <w:rPr>
          <w:rFonts w:hint="eastAsia" w:ascii="宋体" w:hAnsi="宋体" w:cs="宋体"/>
        </w:rPr>
        <w:t xml:space="preserve">六、</w:t>
      </w:r>
      <w:bookmarkEnd w:id="128"/>
      <w:r/>
      <w:bookmarkEnd w:id="129"/>
      <w:r/>
      <w:bookmarkEnd w:id="130"/>
      <w:r>
        <w:rPr>
          <w:rFonts w:hint="eastAsia" w:ascii="宋体" w:hAnsi="宋体" w:cs="宋体"/>
        </w:rPr>
        <w:t xml:space="preserve">定标</w:t>
      </w:r>
      <w:bookmarkEnd w:id="131"/>
      <w:r/>
      <w:r/>
    </w:p>
    <w:p>
      <w:pPr>
        <w:pStyle w:val="1084"/>
        <w:ind w:right="-286" w:firstLine="450"/>
        <w:spacing w:before="0" w:after="0" w:line="400" w:lineRule="exact"/>
        <w:rPr>
          <w:rFonts w:hint="eastAsia" w:ascii="宋体" w:hAnsi="宋体" w:eastAsia="宋体" w:cs="宋体"/>
          <w:b w:val="0"/>
          <w:sz w:val="30"/>
          <w:szCs w:val="30"/>
        </w:rPr>
      </w:pPr>
      <w:r/>
      <w:bookmarkStart w:id="132" w:name="_Toc513029238"/>
      <w:r/>
      <w:bookmarkStart w:id="133" w:name="_Toc16938554"/>
      <w:r/>
      <w:bookmarkStart w:id="134" w:name="_Toc20823310"/>
      <w:r>
        <w:rPr>
          <w:rFonts w:hint="eastAsia" w:ascii="宋体" w:hAnsi="宋体" w:eastAsia="宋体" w:cs="宋体"/>
          <w:b w:val="0"/>
          <w:sz w:val="30"/>
          <w:szCs w:val="30"/>
        </w:rPr>
        <w:t xml:space="preserve">30、</w:t>
      </w:r>
      <w:bookmarkEnd w:id="132"/>
      <w:r>
        <w:rPr>
          <w:rFonts w:hint="eastAsia" w:ascii="宋体" w:hAnsi="宋体" w:eastAsia="宋体" w:cs="宋体"/>
          <w:b w:val="0"/>
          <w:sz w:val="30"/>
          <w:szCs w:val="30"/>
        </w:rPr>
        <w:t xml:space="preserve">确定</w:t>
      </w:r>
      <w:bookmarkEnd w:id="133"/>
      <w:r/>
      <w:bookmarkEnd w:id="134"/>
      <w:r>
        <w:rPr>
          <w:rFonts w:hint="eastAsia" w:ascii="宋体" w:hAnsi="宋体" w:eastAsia="宋体" w:cs="宋体"/>
          <w:b w:val="0"/>
          <w:sz w:val="30"/>
          <w:szCs w:val="30"/>
        </w:rPr>
        <w:t xml:space="preserve">中标单位</w:t>
      </w:r>
      <w:r/>
    </w:p>
    <w:p>
      <w:pPr>
        <w:ind w:right="-286" w:firstLine="480"/>
        <w:spacing w:line="400" w:lineRule="exact"/>
        <w:rPr>
          <w:rFonts w:hint="eastAsia" w:ascii="宋体" w:hAnsi="宋体" w:cs="宋体"/>
          <w:bCs/>
          <w:sz w:val="24"/>
        </w:rPr>
      </w:pPr>
      <w:r>
        <w:rPr>
          <w:rFonts w:hint="eastAsia" w:ascii="宋体" w:hAnsi="宋体" w:cs="宋体"/>
          <w:bCs/>
          <w:sz w:val="24"/>
        </w:rPr>
        <w:t xml:space="preserve">30.1评委会根据本招标文件规定评标方法与评标标准向采购人推荐出中标候选人。</w:t>
      </w:r>
      <w:r/>
    </w:p>
    <w:p>
      <w:pPr>
        <w:ind w:right="-286" w:firstLine="480"/>
        <w:spacing w:line="400" w:lineRule="exact"/>
        <w:rPr>
          <w:rFonts w:hint="eastAsia" w:ascii="宋体" w:hAnsi="宋体" w:cs="宋体"/>
          <w:bCs/>
          <w:sz w:val="24"/>
        </w:rPr>
      </w:pPr>
      <w:r>
        <w:rPr>
          <w:rFonts w:hint="eastAsia" w:ascii="宋体" w:hAnsi="宋体" w:cs="宋体"/>
          <w:bCs/>
          <w:sz w:val="24"/>
        </w:rPr>
        <w:t xml:space="preserve">30.2 采购人应根据评委会推荐的中标候选人确定中标供应商。</w:t>
      </w:r>
      <w:r/>
    </w:p>
    <w:p>
      <w:pPr>
        <w:ind w:right="-286" w:firstLine="480"/>
        <w:spacing w:line="400" w:lineRule="exact"/>
        <w:rPr>
          <w:rFonts w:hint="eastAsia" w:ascii="宋体" w:hAnsi="宋体" w:cs="宋体"/>
          <w:sz w:val="24"/>
          <w:szCs w:val="24"/>
        </w:rPr>
      </w:pPr>
      <w:r>
        <w:rPr>
          <w:rFonts w:hint="eastAsia" w:ascii="宋体" w:hAnsi="宋体" w:cs="宋体"/>
          <w:bCs/>
          <w:sz w:val="24"/>
          <w:szCs w:val="24"/>
        </w:rPr>
        <w:t xml:space="preserve">30.3</w:t>
      </w:r>
      <w:r>
        <w:rPr>
          <w:rFonts w:hint="eastAsia" w:ascii="宋体" w:hAnsi="宋体" w:cs="宋体"/>
          <w:sz w:val="24"/>
          <w:szCs w:val="24"/>
        </w:rPr>
        <w:t xml:space="preserve">采购人将在“江苏政府采购网、盐城市政府采购网”发布中标公告，公告期限为1个工作日。</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30.4若有充分证据证明，中标供应商出现下列情况之一的，一经查实，将被取消中标资格：</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30.4.1提供虚假材料谋取中标的；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30.4.2向采购人行贿或者提供其他不正当利益的；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30.4.3恶意竞争，投标总报价明显低于其自身合理成本且又无法提供证明的；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30.4.4属于本文件规定的无效条件，但在评标过程中又未被评委会发现的；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30.4.5与采购人或者其他供应商恶意串通的；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30.4.6采取不正当手段诋毁、排挤其他供应商的；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30.4.7不符合法律、法规的规定的。</w:t>
      </w:r>
      <w:bookmarkStart w:id="135" w:name="_Toc200451960"/>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w:t>
      </w:r>
      <w:r>
        <w:rPr>
          <w:rFonts w:hint="eastAsia" w:ascii="宋体" w:hAnsi="宋体" w:cs="宋体"/>
        </w:rPr>
        <w:t xml:space="preserve"> </w:t>
      </w:r>
      <w:r>
        <w:rPr>
          <w:rFonts w:hint="eastAsia" w:ascii="宋体" w:hAnsi="宋体" w:cs="宋体"/>
          <w:sz w:val="24"/>
          <w:szCs w:val="24"/>
        </w:rPr>
        <w:t xml:space="preserve">有下列情形之一的，视为投标人串通投标，投标无效：</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30.5.1不同投标人的投标文件由同一单位或者个人编制。</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30.5.2不同投标人委托同一单位或者个人办理投标事宜。</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30.5.3 不同投标人的投标文件载明的项目管理成员或者联系人员为同一人。</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30.5.4不同投标人的投标文件异常一致或者投标报价呈规律性差异。</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30.5.5不同投标人的投标文件相互混装。</w:t>
      </w:r>
      <w:r/>
    </w:p>
    <w:p>
      <w:pPr>
        <w:pStyle w:val="1084"/>
        <w:ind w:right="-286" w:firstLine="450"/>
        <w:spacing w:before="0" w:after="0" w:line="400" w:lineRule="exact"/>
        <w:tabs>
          <w:tab w:val="left" w:pos="4120" w:leader="none"/>
        </w:tabs>
        <w:rPr>
          <w:rFonts w:hint="eastAsia" w:ascii="宋体" w:hAnsi="宋体" w:eastAsia="宋体" w:cs="宋体"/>
          <w:b w:val="0"/>
          <w:sz w:val="30"/>
          <w:szCs w:val="30"/>
        </w:rPr>
      </w:pPr>
      <w:r>
        <w:rPr>
          <w:rFonts w:hint="eastAsia" w:ascii="宋体" w:hAnsi="宋体" w:eastAsia="宋体" w:cs="宋体"/>
          <w:b w:val="0"/>
          <w:sz w:val="30"/>
          <w:szCs w:val="30"/>
        </w:rPr>
        <w:t xml:space="preserve">31、质疑处理</w:t>
      </w:r>
      <w:bookmarkEnd w:id="135"/>
      <w:r>
        <w:rPr>
          <w:rFonts w:hint="eastAsia" w:ascii="宋体" w:hAnsi="宋体" w:eastAsia="宋体" w:cs="宋体"/>
          <w:b w:val="0"/>
          <w:sz w:val="30"/>
          <w:szCs w:val="30"/>
        </w:rPr>
        <w:tab/>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31.1参加投标供应商认为招标文件、采购过程和中标结果使自己的权益受到损害的，可以在知道或应知其权益受到损害之日起七个工作日内，以书面形式向采购人在法定质疑期内一次性提出针对同一采购程序环节的质疑。供应商提出质疑应当符合财政部令第94号《政府采购质疑和投诉办法》相关规定。上述应知其权益受到损害之日，是指：</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31.1.1对可以质疑的招标文件提出质疑的，为收到招标文件之日或者招标文件公告期限届满之日；</w:t>
      </w:r>
      <w:r>
        <w:rPr>
          <w:rFonts w:hint="eastAsia" w:ascii="宋体" w:hAnsi="宋体" w:cs="宋体"/>
          <w:sz w:val="24"/>
          <w:szCs w:val="24"/>
        </w:rPr>
        <w:br w:type="textWrapping" w:clear="all"/>
      </w:r>
      <w:r>
        <w:rPr>
          <w:rFonts w:hint="eastAsia" w:ascii="宋体" w:hAnsi="宋体" w:cs="宋体"/>
          <w:sz w:val="24"/>
          <w:szCs w:val="24"/>
        </w:rPr>
        <w:t xml:space="preserve">　　31.1.2对采购过程提出质疑的，为各采购程序环节结束之日；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31.1.3对中标结果提出质疑的，为中标结果公告期限届满之日。</w:t>
      </w:r>
      <w:r/>
    </w:p>
    <w:p>
      <w:pPr>
        <w:ind w:right="-286" w:firstLine="473"/>
        <w:spacing w:line="400" w:lineRule="exact"/>
        <w:rPr>
          <w:rFonts w:hint="eastAsia" w:ascii="宋体" w:hAnsi="宋体" w:cs="宋体"/>
          <w:sz w:val="24"/>
          <w:szCs w:val="24"/>
        </w:rPr>
      </w:pPr>
      <w:r>
        <w:rPr>
          <w:rFonts w:hint="eastAsia" w:ascii="宋体" w:hAnsi="宋体" w:cs="宋体"/>
          <w:sz w:val="24"/>
          <w:szCs w:val="24"/>
        </w:rPr>
        <w:t xml:space="preserve">31.2质疑必须按《政府采购法》、《政府采购法实施条例》及《江苏省政府采购供应商监督管理暂行办法》的相关规定提交，未按上述要求提交的质疑函（含传真、电子邮件等）采购人有权不予受理。</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31.3未参加投标活动的供应商或在投标活动中自身权益未受到损害的供应商所提出的质疑不予受理。</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31.4质疑函应当包括下列内容：</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31.4.1质疑投标人的名称、地址、邮编、联系人、联系电话；</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31.4.2具体的质疑事项及明确的请求；</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31.4.3认为自己合法权益受到损害或可能受到损害的相关证据材料；</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31.4.4提起质疑的日期；</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31.4.5质疑函应当署名：质疑人为自然人的，应当由本人签字并附有效身份证明；质疑人为法人或其他组织的，应当由法定代表人（或者负责人）签字并加盖单位公章。未按要求签字和盖章的为无效质疑，采购人将不予受理。)质疑人委托代理质疑的，应当向采购人提交授权委托书，并载明委托代理的具体权限和事项。</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31.5采购人收到质疑函后，将对质疑的形式和内容进行审查，如质疑函内容、格式不符合规定，采购人将告知质疑人进行补正。</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31.6质疑人应当在法定质疑期限内进行补正并重新提交质疑函，拒不补正或者在法定期限内未重新提交质疑函的，为无效质疑，采购人将不予受理。</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p>
    <w:p>
      <w:pPr>
        <w:pStyle w:val="1084"/>
        <w:ind w:right="-286" w:firstLine="450"/>
        <w:spacing w:before="0" w:after="0" w:line="400" w:lineRule="exact"/>
        <w:rPr>
          <w:rFonts w:hint="eastAsia" w:ascii="宋体" w:hAnsi="宋体" w:eastAsia="宋体" w:cs="宋体"/>
          <w:b w:val="0"/>
          <w:sz w:val="30"/>
          <w:szCs w:val="30"/>
        </w:rPr>
      </w:pPr>
      <w:r>
        <w:rPr>
          <w:rFonts w:hint="eastAsia" w:ascii="宋体" w:hAnsi="宋体" w:eastAsia="宋体" w:cs="宋体"/>
          <w:b w:val="0"/>
          <w:sz w:val="30"/>
          <w:szCs w:val="30"/>
        </w:rPr>
        <w:t xml:space="preserve">32、中标通知书</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32.l</w:t>
      </w:r>
      <w:r>
        <w:rPr>
          <w:rFonts w:hint="eastAsia" w:ascii="宋体" w:hAnsi="宋体" w:cs="宋体"/>
          <w:b/>
          <w:sz w:val="24"/>
          <w:szCs w:val="24"/>
        </w:rPr>
        <w:t xml:space="preserve"> </w:t>
      </w:r>
      <w:r>
        <w:rPr>
          <w:rFonts w:hint="eastAsia" w:ascii="宋体" w:hAnsi="宋体" w:cs="宋体"/>
          <w:sz w:val="24"/>
          <w:szCs w:val="24"/>
        </w:rPr>
        <w:t xml:space="preserve">中标结果确定后，采购人将向中标供应商发出中标通知书。</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32.2中标通知书将是合同的一个组成部分。对采购人和中标供应商均具有法律效力。中标通知书发出后，采购人改变中标结果的，或者中标供应商放弃中标项目的，应当依法承担法律责任。</w:t>
      </w:r>
      <w:r/>
    </w:p>
    <w:p>
      <w:pPr>
        <w:pStyle w:val="1083"/>
        <w:ind w:right="-286" w:firstLine="321"/>
        <w:spacing w:before="145" w:after="145" w:line="400" w:lineRule="exact"/>
        <w:rPr>
          <w:rFonts w:hint="eastAsia" w:ascii="宋体" w:hAnsi="宋体" w:cs="宋体"/>
        </w:rPr>
      </w:pPr>
      <w:r/>
      <w:bookmarkStart w:id="136" w:name="_Toc120614220"/>
      <w:r/>
      <w:bookmarkStart w:id="137" w:name="_Toc513029236"/>
      <w:r/>
      <w:bookmarkStart w:id="138" w:name="_Toc20823308"/>
      <w:r/>
      <w:bookmarkStart w:id="139" w:name="_Toc16938552"/>
      <w:r>
        <w:rPr>
          <w:rFonts w:hint="eastAsia" w:ascii="宋体" w:hAnsi="宋体" w:cs="宋体"/>
        </w:rPr>
        <w:t xml:space="preserve">七、合同</w:t>
      </w:r>
      <w:bookmarkEnd w:id="136"/>
      <w:r>
        <w:rPr>
          <w:rFonts w:hint="eastAsia" w:ascii="宋体" w:hAnsi="宋体" w:cs="宋体"/>
        </w:rPr>
        <w:t xml:space="preserve">签订相关事项</w:t>
      </w:r>
      <w:bookmarkEnd w:id="137"/>
      <w:r/>
      <w:bookmarkEnd w:id="138"/>
      <w:r/>
      <w:bookmarkEnd w:id="139"/>
      <w:r/>
      <w:r/>
    </w:p>
    <w:p>
      <w:pPr>
        <w:pStyle w:val="1084"/>
        <w:ind w:right="-286" w:firstLine="450"/>
        <w:spacing w:before="0" w:after="0" w:line="400" w:lineRule="exact"/>
        <w:rPr>
          <w:rFonts w:hint="eastAsia" w:ascii="宋体" w:hAnsi="宋体" w:eastAsia="宋体" w:cs="宋体"/>
          <w:b w:val="0"/>
          <w:sz w:val="30"/>
          <w:szCs w:val="30"/>
        </w:rPr>
      </w:pPr>
      <w:r/>
      <w:bookmarkStart w:id="140" w:name="_Toc513029237"/>
      <w:r/>
      <w:bookmarkStart w:id="141" w:name="_Toc16938553"/>
      <w:r/>
      <w:bookmarkStart w:id="142" w:name="_Toc20823309"/>
      <w:r>
        <w:rPr>
          <w:rFonts w:hint="eastAsia" w:ascii="宋体" w:hAnsi="宋体" w:eastAsia="宋体" w:cs="宋体"/>
          <w:b w:val="0"/>
          <w:sz w:val="30"/>
          <w:szCs w:val="30"/>
        </w:rPr>
        <w:t xml:space="preserve">33. 签订合同</w:t>
      </w:r>
      <w:r/>
    </w:p>
    <w:p>
      <w:pPr>
        <w:ind w:right="-286" w:firstLine="480"/>
        <w:spacing w:line="400" w:lineRule="exact"/>
        <w:rPr>
          <w:rFonts w:hint="eastAsia" w:ascii="宋体" w:hAnsi="宋体" w:cs="宋体"/>
          <w:sz w:val="24"/>
          <w:szCs w:val="24"/>
        </w:rPr>
      </w:pPr>
      <w:r>
        <w:rPr>
          <w:rFonts w:hint="eastAsia" w:ascii="宋体" w:hAnsi="宋体" w:cs="宋体"/>
          <w:bCs/>
          <w:sz w:val="24"/>
          <w:szCs w:val="24"/>
        </w:rPr>
        <w:t xml:space="preserve">33</w:t>
      </w:r>
      <w:r>
        <w:rPr>
          <w:rFonts w:hint="eastAsia" w:ascii="宋体" w:hAnsi="宋体" w:cs="宋体"/>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33.2</w:t>
      </w:r>
      <w:r>
        <w:rPr>
          <w:rFonts w:hint="eastAsia" w:ascii="宋体" w:hAnsi="宋体" w:cs="宋体"/>
          <w:b/>
          <w:sz w:val="24"/>
          <w:szCs w:val="24"/>
        </w:rPr>
        <w:t xml:space="preserve"> </w:t>
      </w:r>
      <w:r>
        <w:rPr>
          <w:rFonts w:hint="eastAsia" w:ascii="宋体" w:hAnsi="宋体" w:cs="宋体"/>
          <w:sz w:val="24"/>
          <w:szCs w:val="24"/>
        </w:rPr>
        <w:t xml:space="preserve">招标文件、中标供应商的投标文件及招标过程中有关澄清、承诺文件均应作为合同附件。</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right="-286" w:firstLine="482"/>
        <w:spacing w:line="400" w:lineRule="exact"/>
        <w:rPr>
          <w:rFonts w:hint="eastAsia" w:ascii="宋体" w:hAnsi="宋体" w:cs="宋体"/>
          <w:sz w:val="24"/>
          <w:szCs w:val="24"/>
        </w:rPr>
      </w:pPr>
      <w:r>
        <w:rPr>
          <w:rFonts w:hint="eastAsia" w:ascii="宋体" w:hAnsi="宋体" w:cs="宋体"/>
          <w:b/>
          <w:bCs/>
          <w:sz w:val="24"/>
          <w:szCs w:val="24"/>
        </w:rPr>
        <w:t xml:space="preserve">33.4中标或者成交后无正当理由拒不与采购人签订政府采购合同的，将被列入不良行为记录名单，在一至三年内禁止参加政府采购活动。</w:t>
      </w:r>
      <w:r/>
    </w:p>
    <w:p>
      <w:pPr>
        <w:pStyle w:val="1084"/>
        <w:ind w:right="-286" w:firstLine="450"/>
        <w:spacing w:before="0" w:after="0" w:line="400" w:lineRule="exact"/>
        <w:rPr>
          <w:rFonts w:hint="eastAsia" w:ascii="宋体" w:hAnsi="宋体" w:eastAsia="宋体" w:cs="宋体"/>
          <w:b w:val="0"/>
          <w:sz w:val="30"/>
          <w:szCs w:val="30"/>
        </w:rPr>
      </w:pPr>
      <w:r>
        <w:rPr>
          <w:rFonts w:hint="eastAsia" w:ascii="宋体" w:hAnsi="宋体" w:eastAsia="宋体" w:cs="宋体"/>
          <w:b w:val="0"/>
          <w:sz w:val="30"/>
          <w:szCs w:val="30"/>
        </w:rPr>
        <w:t xml:space="preserve">34、服务的追加、减少和添购。</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34.1政府采购合同履行中，采购人需追加与合同标的相同的货物和服务的，在不改变合同其他条款的前提下，可以与中标供应商协商签订补充合同，但所有补充合同的采购金额不超过原合同金额10%。</w:t>
      </w:r>
      <w:r/>
    </w:p>
    <w:p>
      <w:pPr>
        <w:ind w:right="-286" w:firstLine="600"/>
        <w:spacing w:line="400" w:lineRule="exact"/>
        <w:rPr>
          <w:rFonts w:hint="eastAsia" w:ascii="宋体" w:hAnsi="宋体" w:cs="宋体"/>
          <w:b/>
          <w:sz w:val="24"/>
          <w:szCs w:val="24"/>
        </w:rPr>
      </w:pPr>
      <w:r>
        <w:rPr>
          <w:rFonts w:hint="eastAsia" w:ascii="宋体" w:hAnsi="宋体" w:cs="宋体"/>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bookmarkEnd w:id="140"/>
      <w:r/>
      <w:bookmarkEnd w:id="141"/>
      <w:r/>
      <w:bookmarkEnd w:id="142"/>
      <w:r/>
      <w:r/>
    </w:p>
    <w:p>
      <w:pPr>
        <w:ind w:right="-286" w:firstLine="450"/>
        <w:spacing w:after="145" w:line="400" w:lineRule="exact"/>
        <w:tabs>
          <w:tab w:val="left" w:pos="900" w:leader="none"/>
        </w:tabs>
        <w:rPr>
          <w:rFonts w:hint="eastAsia" w:ascii="宋体" w:hAnsi="宋体" w:cs="宋体"/>
          <w:bCs/>
          <w:sz w:val="30"/>
          <w:szCs w:val="30"/>
        </w:rPr>
      </w:pPr>
      <w:r/>
      <w:bookmarkStart w:id="143" w:name="_Toc16938558"/>
      <w:r/>
      <w:bookmarkStart w:id="144" w:name="_Toc479757207"/>
      <w:r/>
      <w:bookmarkStart w:id="145" w:name="_Toc120614221"/>
      <w:r/>
      <w:bookmarkStart w:id="146" w:name="_Toc20823314"/>
      <w:r/>
      <w:bookmarkStart w:id="147" w:name="_Toc513029242"/>
      <w:r>
        <w:rPr>
          <w:rFonts w:hint="eastAsia" w:ascii="宋体" w:hAnsi="宋体" w:cs="宋体"/>
          <w:bCs/>
          <w:sz w:val="30"/>
          <w:szCs w:val="30"/>
        </w:rPr>
        <w:t xml:space="preserve">35、履约保证金</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35.1在签订合同时，须向采购人交纳履约保证金（中标价的10%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35.2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35.</w:t>
      </w:r>
      <w:r>
        <w:rPr>
          <w:rFonts w:ascii="宋体" w:hAnsi="宋体" w:cs="宋体"/>
          <w:sz w:val="24"/>
          <w:szCs w:val="24"/>
        </w:rPr>
        <w:t xml:space="preserve">3</w:t>
      </w:r>
      <w:r>
        <w:rPr>
          <w:rFonts w:hint="eastAsia" w:ascii="宋体" w:hAnsi="宋体" w:cs="宋体"/>
          <w:sz w:val="24"/>
          <w:szCs w:val="24"/>
        </w:rPr>
        <w:t xml:space="preserve">政府采购履约资金扶持政策</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p>
    <w:p>
      <w:pPr>
        <w:ind w:right="-286" w:firstLine="480"/>
        <w:spacing w:line="400" w:lineRule="exact"/>
      </w:pPr>
      <w:r>
        <w:rPr>
          <w:rFonts w:hint="eastAsia" w:ascii="宋体" w:hAnsi="宋体" w:cs="宋体"/>
          <w:sz w:val="24"/>
          <w:szCs w:val="24"/>
        </w:rPr>
        <w:t xml:space="preserve">供应商可登录江苏政府采购网“资料下载”栏目（网址：www.ccgp-jiangsu.gov.cn/jiangsu/zlxz）下载“政府采购电子履约保函（保险）操作手册”</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根据盐财购〔2024〕18号《 关于在全市政府采购领域进一步推行电子履约保函（保险）的通知》。供应商可以以履约保函（保险）形式缴纳履约保证金，供应商可以通过政府采购电子履约保函（保险）平台（www.jsdzbh.com）在线申请履约保函（保险）。</w:t>
      </w:r>
      <w:r/>
    </w:p>
    <w:p>
      <w:pPr>
        <w:pStyle w:val="1076"/>
        <w:ind w:right="-286"/>
        <w:rPr>
          <w:rFonts w:hint="eastAsia"/>
        </w:rPr>
      </w:pPr>
      <w:r>
        <w:rPr>
          <w:rFonts w:hint="eastAsia"/>
        </w:rPr>
      </w:r>
      <w:r/>
    </w:p>
    <w:p>
      <w:pPr>
        <w:pStyle w:val="1079"/>
        <w:ind w:right="-286"/>
      </w:pPr>
      <w:r/>
      <w:r/>
    </w:p>
    <w:p>
      <w:pPr>
        <w:pStyle w:val="1079"/>
        <w:ind w:right="-286"/>
      </w:pPr>
      <w:r/>
      <w:r/>
    </w:p>
    <w:p>
      <w:pPr>
        <w:pStyle w:val="1079"/>
        <w:ind w:right="-286"/>
      </w:pPr>
      <w:r/>
      <w:r/>
    </w:p>
    <w:p>
      <w:pPr>
        <w:ind w:right="-286"/>
        <w:rPr>
          <w:rFonts w:hint="eastAsia" w:ascii="宋体" w:hAnsi="宋体" w:cs="宋体"/>
          <w:bCs/>
          <w:sz w:val="44"/>
        </w:rPr>
      </w:pPr>
      <w:r>
        <w:rPr>
          <w:rFonts w:hint="eastAsia" w:ascii="宋体" w:hAnsi="宋体" w:cs="宋体"/>
          <w:bCs/>
          <w:sz w:val="44"/>
        </w:rPr>
        <w:br w:type="page" w:clear="all"/>
      </w:r>
      <w:r/>
    </w:p>
    <w:p>
      <w:pPr>
        <w:pStyle w:val="1080"/>
        <w:ind w:right="-286" w:firstLine="1760"/>
        <w:jc w:val="both"/>
        <w:rPr>
          <w:rFonts w:hint="eastAsia" w:ascii="宋体" w:hAnsi="宋体" w:eastAsia="宋体" w:cs="宋体"/>
          <w:b/>
          <w:sz w:val="44"/>
        </w:rPr>
      </w:pPr>
      <w:r>
        <w:rPr>
          <w:rFonts w:hint="eastAsia" w:ascii="宋体" w:hAnsi="宋体" w:eastAsia="宋体" w:cs="宋体"/>
          <w:b/>
          <w:sz w:val="44"/>
        </w:rPr>
        <w:t xml:space="preserve">第三章  合同条款及</w:t>
      </w:r>
      <w:bookmarkEnd w:id="143"/>
      <w:r/>
      <w:bookmarkEnd w:id="144"/>
      <w:r/>
      <w:bookmarkEnd w:id="145"/>
      <w:r/>
      <w:bookmarkEnd w:id="146"/>
      <w:r/>
      <w:bookmarkEnd w:id="147"/>
      <w:r>
        <w:rPr>
          <w:rFonts w:hint="eastAsia" w:ascii="宋体" w:hAnsi="宋体" w:eastAsia="宋体" w:cs="宋体"/>
          <w:b/>
          <w:sz w:val="44"/>
        </w:rPr>
        <w:t xml:space="preserve">格式</w:t>
      </w:r>
      <w:r/>
    </w:p>
    <w:p>
      <w:pPr>
        <w:pStyle w:val="1086"/>
        <w:ind w:right="-286"/>
        <w:spacing w:before="120" w:after="120" w:line="360" w:lineRule="exact"/>
        <w:rPr>
          <w:rFonts w:hint="eastAsia" w:hAnsi="宋体"/>
          <w:sz w:val="24"/>
          <w:szCs w:val="24"/>
        </w:rPr>
      </w:pPr>
      <w:r/>
      <w:bookmarkStart w:id="148" w:name="_Hlt16619369"/>
      <w:r/>
      <w:bookmarkEnd w:id="148"/>
      <w:r/>
      <w:bookmarkStart w:id="149" w:name="_Hlk130227972"/>
      <w:r/>
      <w:bookmarkStart w:id="150" w:name="_Toc26554093"/>
      <w:r/>
      <w:bookmarkStart w:id="151" w:name="_Toc49090575"/>
      <w:r/>
      <w:bookmarkStart w:id="152" w:name="_Toc479757211"/>
      <w:r/>
      <w:bookmarkStart w:id="153" w:name="_Toc462564139"/>
      <w:r>
        <w:rPr>
          <w:rFonts w:hAnsi="宋体"/>
          <w:sz w:val="24"/>
          <w:szCs w:val="24"/>
        </w:rPr>
        <w:t xml:space="preserve">项目名称：                                       </w:t>
      </w:r>
      <w:r/>
    </w:p>
    <w:p>
      <w:pPr>
        <w:pStyle w:val="1086"/>
        <w:ind w:right="-286"/>
        <w:spacing w:before="120" w:after="120" w:line="360" w:lineRule="exact"/>
        <w:rPr>
          <w:rFonts w:hint="eastAsia" w:hAnsi="宋体"/>
          <w:sz w:val="24"/>
          <w:szCs w:val="24"/>
        </w:rPr>
      </w:pPr>
      <w:r>
        <w:rPr>
          <w:rFonts w:hAnsi="宋体"/>
          <w:sz w:val="24"/>
          <w:szCs w:val="24"/>
        </w:rPr>
        <w:t xml:space="preserve">项目编号：</w:t>
      </w:r>
      <w:r/>
    </w:p>
    <w:p>
      <w:pPr>
        <w:pStyle w:val="1086"/>
        <w:ind w:right="-286"/>
        <w:spacing w:before="120" w:after="120" w:line="360" w:lineRule="exact"/>
        <w:rPr>
          <w:rFonts w:hint="eastAsia" w:hAnsi="宋体"/>
          <w:sz w:val="24"/>
          <w:szCs w:val="24"/>
        </w:rPr>
      </w:pPr>
      <w:r>
        <w:rPr>
          <w:rFonts w:hAnsi="宋体"/>
          <w:sz w:val="24"/>
          <w:szCs w:val="24"/>
        </w:rPr>
        <w:t xml:space="preserve">甲方：（买方）_________</w:t>
      </w:r>
      <w:r/>
    </w:p>
    <w:p>
      <w:pPr>
        <w:pStyle w:val="1086"/>
        <w:ind w:right="-286"/>
        <w:spacing w:before="120" w:after="120" w:line="360" w:lineRule="exact"/>
        <w:rPr>
          <w:rFonts w:hint="eastAsia" w:hAnsi="宋体"/>
          <w:sz w:val="24"/>
          <w:szCs w:val="24"/>
        </w:rPr>
      </w:pPr>
      <w:r>
        <w:rPr>
          <w:rFonts w:hAnsi="宋体"/>
          <w:sz w:val="24"/>
          <w:szCs w:val="24"/>
        </w:rPr>
        <w:t xml:space="preserve">乙方：（卖方）_________</w:t>
      </w:r>
      <w:r/>
    </w:p>
    <w:p>
      <w:pPr>
        <w:pStyle w:val="1086"/>
        <w:ind w:right="-286" w:firstLine="480"/>
        <w:spacing w:before="120" w:after="120" w:line="360" w:lineRule="exact"/>
        <w:rPr>
          <w:rFonts w:hint="eastAsia" w:hAnsi="宋体"/>
          <w:b/>
          <w:sz w:val="24"/>
          <w:szCs w:val="24"/>
        </w:rPr>
      </w:pPr>
      <w:r>
        <w:rPr>
          <w:rFonts w:hAnsi="宋体"/>
          <w:sz w:val="24"/>
          <w:szCs w:val="24"/>
        </w:rPr>
        <w:t xml:space="preserve">甲、乙双方根据</w:t>
      </w:r>
      <w:r>
        <w:rPr>
          <w:rFonts w:hint="eastAsia" w:hAnsi="宋体"/>
          <w:sz w:val="24"/>
          <w:szCs w:val="24"/>
          <w:u w:val="single"/>
        </w:rPr>
        <w:t xml:space="preserve">         </w:t>
      </w:r>
      <w:r>
        <w:rPr>
          <w:rFonts w:hAnsi="宋体"/>
          <w:sz w:val="24"/>
          <w:szCs w:val="24"/>
        </w:rPr>
        <w:t xml:space="preserve">项目公开招标的结果，签署本合同。</w:t>
      </w:r>
      <w:r/>
    </w:p>
    <w:p>
      <w:pPr>
        <w:pStyle w:val="1086"/>
        <w:ind w:right="-286"/>
        <w:spacing w:before="120" w:after="120" w:line="360" w:lineRule="exact"/>
        <w:rPr>
          <w:rFonts w:hint="eastAsia" w:hAnsi="宋体"/>
          <w:b/>
          <w:sz w:val="24"/>
          <w:szCs w:val="24"/>
        </w:rPr>
      </w:pPr>
      <w:r>
        <w:rPr>
          <w:rFonts w:hAnsi="宋体"/>
          <w:b/>
          <w:sz w:val="24"/>
          <w:szCs w:val="24"/>
        </w:rPr>
        <w:t xml:space="preserve">一、货物内容</w:t>
      </w:r>
      <w:r/>
    </w:p>
    <w:p>
      <w:pPr>
        <w:pStyle w:val="1086"/>
        <w:ind w:right="-286" w:firstLine="480"/>
        <w:spacing w:before="120" w:after="120" w:line="360" w:lineRule="exact"/>
        <w:rPr>
          <w:rFonts w:hint="eastAsia" w:hAnsi="宋体"/>
          <w:sz w:val="24"/>
          <w:szCs w:val="24"/>
        </w:rPr>
      </w:pPr>
      <w:r>
        <w:rPr>
          <w:rFonts w:hAnsi="宋体"/>
          <w:sz w:val="24"/>
          <w:szCs w:val="24"/>
        </w:rPr>
        <w:t xml:space="preserve">1.1 货物名称：</w:t>
      </w:r>
      <w:r/>
    </w:p>
    <w:p>
      <w:pPr>
        <w:pStyle w:val="1086"/>
        <w:ind w:right="-286" w:firstLine="480"/>
        <w:spacing w:before="120" w:after="120" w:line="360" w:lineRule="exact"/>
        <w:rPr>
          <w:rFonts w:hint="eastAsia" w:hAnsi="宋体"/>
          <w:sz w:val="24"/>
          <w:szCs w:val="24"/>
        </w:rPr>
      </w:pPr>
      <w:r>
        <w:rPr>
          <w:rFonts w:hAnsi="宋体"/>
          <w:sz w:val="24"/>
          <w:szCs w:val="24"/>
        </w:rPr>
        <w:t xml:space="preserve">1.2 型号规格：</w:t>
      </w:r>
      <w:r/>
    </w:p>
    <w:p>
      <w:pPr>
        <w:pStyle w:val="1086"/>
        <w:ind w:right="-286" w:firstLine="480"/>
        <w:spacing w:before="120" w:after="120" w:line="360" w:lineRule="exact"/>
        <w:rPr>
          <w:rFonts w:hint="eastAsia" w:hAnsi="宋体"/>
          <w:sz w:val="24"/>
          <w:szCs w:val="24"/>
        </w:rPr>
      </w:pPr>
      <w:r>
        <w:rPr>
          <w:rFonts w:hAnsi="宋体"/>
          <w:sz w:val="24"/>
          <w:szCs w:val="24"/>
        </w:rPr>
        <w:t xml:space="preserve">1.3 数量（单位）：</w:t>
      </w:r>
      <w:r/>
    </w:p>
    <w:p>
      <w:pPr>
        <w:pStyle w:val="1086"/>
        <w:ind w:right="-286"/>
        <w:spacing w:before="120" w:after="120" w:line="360" w:lineRule="exact"/>
        <w:rPr>
          <w:rFonts w:hint="eastAsia" w:hAnsi="宋体"/>
          <w:b/>
          <w:sz w:val="24"/>
          <w:szCs w:val="24"/>
        </w:rPr>
      </w:pPr>
      <w:r>
        <w:rPr>
          <w:rFonts w:hAnsi="宋体"/>
          <w:b/>
          <w:sz w:val="24"/>
          <w:szCs w:val="24"/>
        </w:rPr>
        <w:t xml:space="preserve">二、合同金额</w:t>
      </w:r>
      <w:r/>
    </w:p>
    <w:p>
      <w:pPr>
        <w:ind w:right="-286" w:firstLine="480"/>
        <w:spacing w:line="360" w:lineRule="exact"/>
        <w:rPr>
          <w:rFonts w:hint="eastAsia" w:ascii="宋体" w:hAnsi="宋体"/>
          <w:bCs/>
          <w:sz w:val="24"/>
        </w:rPr>
      </w:pPr>
      <w:r>
        <w:rPr>
          <w:rFonts w:ascii="宋体" w:hAnsi="宋体"/>
          <w:bCs/>
          <w:sz w:val="24"/>
        </w:rPr>
        <w:t xml:space="preserve">2.1 本合同金额为（大写）：________元（_______________元）人民币</w:t>
      </w:r>
      <w:r>
        <w:rPr>
          <w:rFonts w:hint="eastAsia" w:ascii="宋体" w:hAnsi="宋体"/>
          <w:bCs/>
          <w:sz w:val="24"/>
        </w:rPr>
        <w:t xml:space="preserve">或其他币种</w:t>
      </w:r>
      <w:r>
        <w:rPr>
          <w:rFonts w:ascii="宋体" w:hAnsi="宋体"/>
          <w:bCs/>
          <w:sz w:val="24"/>
        </w:rPr>
        <w:t xml:space="preserve">。</w:t>
      </w:r>
      <w:r/>
    </w:p>
    <w:p>
      <w:pPr>
        <w:pStyle w:val="1086"/>
        <w:ind w:right="-286"/>
        <w:spacing w:before="120" w:after="120" w:line="360" w:lineRule="exact"/>
        <w:rPr>
          <w:rFonts w:hint="eastAsia" w:hAnsi="宋体"/>
          <w:b/>
          <w:sz w:val="24"/>
          <w:szCs w:val="24"/>
        </w:rPr>
      </w:pPr>
      <w:r>
        <w:rPr>
          <w:rFonts w:hAnsi="宋体"/>
          <w:b/>
          <w:sz w:val="24"/>
          <w:szCs w:val="24"/>
        </w:rPr>
        <w:t xml:space="preserve">三、技术资料</w:t>
      </w:r>
      <w:r/>
    </w:p>
    <w:p>
      <w:pPr>
        <w:ind w:right="-286" w:firstLine="480"/>
        <w:spacing w:line="360" w:lineRule="exact"/>
        <w:rPr>
          <w:rFonts w:hint="eastAsia" w:ascii="宋体" w:hAnsi="宋体"/>
          <w:bCs/>
          <w:sz w:val="24"/>
        </w:rPr>
      </w:pPr>
      <w:r>
        <w:rPr>
          <w:rFonts w:ascii="宋体" w:hAnsi="宋体"/>
          <w:bCs/>
          <w:sz w:val="24"/>
        </w:rPr>
        <w:t xml:space="preserve">3.1乙方应按招标文件规定的时间向甲方提供使用货物的有关技术资料。</w:t>
      </w:r>
      <w:r/>
    </w:p>
    <w:p>
      <w:pPr>
        <w:ind w:right="-286" w:firstLine="480"/>
        <w:spacing w:line="360" w:lineRule="exact"/>
        <w:rPr>
          <w:rFonts w:hint="eastAsia" w:ascii="宋体" w:hAnsi="宋体"/>
          <w:bCs/>
          <w:sz w:val="24"/>
        </w:rPr>
      </w:pPr>
      <w:r>
        <w:rPr>
          <w:rFonts w:ascii="宋体" w:hAnsi="宋体"/>
          <w:bCs/>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6"/>
        <w:ind w:left="412" w:right="-286" w:hanging="412"/>
        <w:spacing w:before="120" w:after="120" w:line="360" w:lineRule="exact"/>
        <w:rPr>
          <w:rFonts w:hint="eastAsia" w:hAnsi="宋体"/>
          <w:b/>
          <w:sz w:val="24"/>
          <w:szCs w:val="24"/>
        </w:rPr>
      </w:pPr>
      <w:r>
        <w:rPr>
          <w:rFonts w:hAnsi="宋体"/>
          <w:b/>
          <w:sz w:val="24"/>
          <w:szCs w:val="24"/>
        </w:rPr>
        <w:t xml:space="preserve">四、知识产权</w:t>
      </w:r>
      <w:r/>
    </w:p>
    <w:p>
      <w:pPr>
        <w:ind w:right="-286" w:firstLine="480"/>
        <w:spacing w:line="360" w:lineRule="exact"/>
        <w:rPr>
          <w:rFonts w:hint="eastAsia" w:ascii="宋体" w:hAnsi="宋体"/>
          <w:sz w:val="24"/>
        </w:rPr>
      </w:pPr>
      <w:r>
        <w:rPr>
          <w:rFonts w:ascii="宋体" w:hAnsi="宋体"/>
          <w:sz w:val="24"/>
          <w:szCs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1086"/>
        <w:ind w:right="-286"/>
        <w:spacing w:before="120" w:after="120" w:line="360" w:lineRule="exact"/>
        <w:rPr>
          <w:rFonts w:hint="eastAsia" w:hAnsi="宋体"/>
          <w:sz w:val="24"/>
          <w:szCs w:val="24"/>
          <w:u w:val="single"/>
        </w:rPr>
      </w:pPr>
      <w:r>
        <w:rPr>
          <w:rFonts w:hAnsi="宋体"/>
          <w:b/>
          <w:sz w:val="24"/>
          <w:szCs w:val="24"/>
        </w:rPr>
        <w:t xml:space="preserve">五、产权担保</w:t>
      </w:r>
      <w:r/>
    </w:p>
    <w:p>
      <w:pPr>
        <w:pStyle w:val="1086"/>
        <w:ind w:right="-286" w:firstLine="480"/>
        <w:spacing w:before="120" w:after="120" w:line="360" w:lineRule="exact"/>
        <w:rPr>
          <w:rFonts w:hint="eastAsia" w:hAnsi="宋体"/>
          <w:sz w:val="24"/>
          <w:szCs w:val="24"/>
        </w:rPr>
      </w:pPr>
      <w:r>
        <w:rPr>
          <w:rFonts w:hAnsi="宋体"/>
          <w:sz w:val="24"/>
          <w:szCs w:val="24"/>
        </w:rPr>
        <w:t xml:space="preserve">5.1 乙方保证所交付的货物的所有权完全属于乙方且无任何抵押、查封等产权瑕疵。</w:t>
      </w:r>
      <w:r/>
    </w:p>
    <w:p>
      <w:pPr>
        <w:pStyle w:val="1086"/>
        <w:ind w:left="410" w:right="-286" w:hanging="410"/>
        <w:spacing w:before="120" w:after="120" w:line="360" w:lineRule="exact"/>
        <w:rPr>
          <w:rFonts w:hint="eastAsia" w:hAnsi="宋体"/>
          <w:b/>
          <w:sz w:val="24"/>
          <w:szCs w:val="24"/>
        </w:rPr>
      </w:pPr>
      <w:r>
        <w:rPr>
          <w:rFonts w:hAnsi="宋体"/>
          <w:b/>
          <w:sz w:val="24"/>
          <w:szCs w:val="24"/>
        </w:rPr>
        <w:t xml:space="preserve">六、履约保证金</w:t>
      </w:r>
      <w:r/>
    </w:p>
    <w:p>
      <w:pPr>
        <w:pStyle w:val="1086"/>
        <w:ind w:right="-286" w:firstLine="480"/>
        <w:spacing w:before="120" w:after="120" w:line="360" w:lineRule="exact"/>
        <w:rPr>
          <w:rFonts w:hint="eastAsia" w:hAnsi="宋体"/>
          <w:sz w:val="24"/>
          <w:szCs w:val="24"/>
        </w:rPr>
      </w:pPr>
      <w:r>
        <w:rPr>
          <w:rFonts w:hAnsi="宋体"/>
          <w:sz w:val="24"/>
          <w:szCs w:val="24"/>
        </w:rPr>
        <w:t xml:space="preserve">6.1乙方交纳本</w:t>
      </w:r>
      <w:r>
        <w:rPr>
          <w:rFonts w:hint="eastAsia" w:hAnsi="宋体"/>
          <w:sz w:val="24"/>
          <w:szCs w:val="24"/>
        </w:rPr>
        <w:t xml:space="preserve">项目</w:t>
      </w:r>
      <w:r>
        <w:rPr>
          <w:rFonts w:hAnsi="宋体"/>
          <w:sz w:val="24"/>
          <w:szCs w:val="24"/>
          <w:u w:val="single"/>
        </w:rPr>
        <w:t xml:space="preserve">合同</w:t>
      </w:r>
      <w:r>
        <w:rPr>
          <w:rFonts w:hint="eastAsia" w:hAnsi="宋体"/>
          <w:sz w:val="24"/>
          <w:szCs w:val="24"/>
          <w:u w:val="single"/>
        </w:rPr>
        <w:t xml:space="preserve">价的10%给</w:t>
      </w:r>
      <w:r>
        <w:rPr>
          <w:rFonts w:hint="eastAsia" w:hAnsi="宋体"/>
          <w:sz w:val="24"/>
          <w:szCs w:val="24"/>
        </w:rPr>
        <w:t xml:space="preserve">甲方，作为本项目</w:t>
      </w:r>
      <w:r>
        <w:rPr>
          <w:rFonts w:hAnsi="宋体"/>
          <w:sz w:val="24"/>
          <w:szCs w:val="24"/>
        </w:rPr>
        <w:t xml:space="preserve">的履约保证金</w:t>
      </w:r>
      <w:r>
        <w:rPr>
          <w:rFonts w:hint="eastAsia" w:hAnsi="宋体"/>
          <w:sz w:val="24"/>
          <w:szCs w:val="24"/>
        </w:rPr>
        <w:t xml:space="preserve">，乙方如系AA评级及以上政府采购供应商（需提供信用管理部门备案的第三方信用报告），可免交履约保证金。</w:t>
      </w:r>
      <w:r/>
    </w:p>
    <w:p>
      <w:pPr>
        <w:pStyle w:val="1086"/>
        <w:ind w:right="-286" w:firstLine="480"/>
        <w:spacing w:before="120" w:after="120" w:line="360" w:lineRule="exact"/>
        <w:rPr>
          <w:rFonts w:hint="eastAsia" w:hAnsi="宋体"/>
          <w:sz w:val="24"/>
          <w:szCs w:val="24"/>
        </w:rPr>
      </w:pPr>
      <w:r>
        <w:rPr>
          <w:rFonts w:hint="eastAsia" w:hAnsi="宋体"/>
          <w:sz w:val="24"/>
          <w:szCs w:val="24"/>
        </w:rPr>
        <w:t xml:space="preserve">6.2履约保证金的收取方式：银行转帐或电汇或保函或履约保函（保险），履约保证金的退还：项目验收合格后15日内无息退还。如未能按期交付验收合格的履约保证金不予退还。</w:t>
      </w:r>
      <w:r/>
    </w:p>
    <w:p>
      <w:pPr>
        <w:ind w:right="-286"/>
        <w:spacing w:before="145" w:after="145" w:line="360" w:lineRule="exact"/>
        <w:rPr>
          <w:rFonts w:hint="eastAsia" w:ascii="宋体" w:hAnsi="宋体"/>
          <w:b/>
          <w:sz w:val="24"/>
          <w:szCs w:val="24"/>
        </w:rPr>
      </w:pPr>
      <w:r>
        <w:rPr>
          <w:rFonts w:hint="eastAsia" w:ascii="宋体" w:hAnsi="宋体"/>
          <w:b/>
          <w:sz w:val="24"/>
          <w:szCs w:val="24"/>
        </w:rPr>
        <w:t xml:space="preserve">七、转包或分包</w:t>
      </w:r>
      <w:r/>
    </w:p>
    <w:p>
      <w:pPr>
        <w:ind w:right="-286" w:firstLine="480"/>
        <w:spacing w:before="145" w:after="145" w:line="360" w:lineRule="exact"/>
        <w:rPr>
          <w:rFonts w:hint="eastAsia" w:ascii="宋体" w:hAnsi="宋体"/>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right="-286" w:firstLine="480"/>
        <w:spacing w:before="145" w:after="145" w:line="360" w:lineRule="exact"/>
        <w:rPr>
          <w:rFonts w:hint="eastAsia" w:ascii="宋体" w:hAnsi="宋体"/>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right="-286" w:firstLine="480"/>
        <w:spacing w:before="145" w:after="145" w:line="360" w:lineRule="exact"/>
        <w:rPr>
          <w:rFonts w:hint="eastAsia" w:ascii="宋体" w:hAnsi="宋体"/>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pStyle w:val="1086"/>
        <w:ind w:right="-286"/>
        <w:spacing w:before="120" w:after="120" w:line="360" w:lineRule="exact"/>
        <w:rPr>
          <w:rFonts w:hint="eastAsia" w:hAnsi="宋体"/>
          <w:sz w:val="24"/>
          <w:szCs w:val="24"/>
        </w:rPr>
      </w:pPr>
      <w:r>
        <w:rPr>
          <w:rFonts w:hAnsi="宋体"/>
          <w:b/>
          <w:sz w:val="24"/>
          <w:szCs w:val="24"/>
        </w:rPr>
        <w:t xml:space="preserve">八、质保期</w:t>
      </w:r>
      <w:r/>
    </w:p>
    <w:p>
      <w:pPr>
        <w:ind w:right="-286" w:firstLine="480"/>
        <w:spacing w:line="360" w:lineRule="exact"/>
        <w:rPr>
          <w:rFonts w:hint="eastAsia" w:ascii="宋体" w:hAnsi="宋体" w:eastAsia="宋体"/>
          <w:sz w:val="24"/>
          <w:szCs w:val="24"/>
          <w:lang w:eastAsia="zh-CN"/>
        </w:rPr>
      </w:pPr>
      <w:r>
        <w:rPr>
          <w:rFonts w:ascii="宋体" w:hAnsi="宋体"/>
          <w:sz w:val="24"/>
          <w:szCs w:val="24"/>
        </w:rPr>
        <w:t xml:space="preserve">8.1 质保期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年。自</w:t>
      </w:r>
      <w:r>
        <w:rPr>
          <w:rFonts w:hint="eastAsia" w:ascii="宋体" w:hAnsi="宋体"/>
          <w:sz w:val="24"/>
          <w:szCs w:val="24"/>
        </w:rPr>
        <w:t xml:space="preserve">整体项目</w:t>
      </w:r>
      <w:r>
        <w:rPr>
          <w:rFonts w:ascii="宋体" w:hAnsi="宋体"/>
          <w:sz w:val="24"/>
          <w:szCs w:val="24"/>
        </w:rPr>
        <w:t xml:space="preserve">验收合格之日起计</w:t>
      </w:r>
      <w:r>
        <w:rPr>
          <w:rFonts w:hint="eastAsia" w:ascii="宋体" w:hAnsi="宋体"/>
          <w:sz w:val="24"/>
          <w:szCs w:val="24"/>
        </w:rPr>
        <w:t xml:space="preserve">，质保期内的</w:t>
      </w:r>
      <w:r>
        <w:rPr>
          <w:rFonts w:hint="eastAsia" w:ascii="宋体" w:hAnsi="宋体"/>
          <w:sz w:val="24"/>
          <w:szCs w:val="24"/>
          <w:lang w:val="en-US" w:eastAsia="zh-CN"/>
        </w:rPr>
        <w:t xml:space="preserve">所有</w:t>
      </w:r>
      <w:r>
        <w:rPr>
          <w:rFonts w:hint="eastAsia" w:ascii="宋体" w:hAnsi="宋体"/>
          <w:sz w:val="24"/>
          <w:szCs w:val="24"/>
        </w:rPr>
        <w:t xml:space="preserve">设备</w:t>
      </w:r>
      <w:r>
        <w:rPr>
          <w:rFonts w:hint="eastAsia" w:ascii="宋体" w:hAnsi="宋体"/>
          <w:sz w:val="24"/>
          <w:szCs w:val="24"/>
          <w:lang w:val="en-US" w:eastAsia="zh-CN"/>
        </w:rPr>
        <w:t xml:space="preserve">发生</w:t>
      </w:r>
      <w:r>
        <w:rPr>
          <w:rFonts w:hint="eastAsia" w:ascii="宋体" w:hAnsi="宋体"/>
          <w:sz w:val="24"/>
          <w:szCs w:val="24"/>
        </w:rPr>
        <w:t xml:space="preserve">损害</w:t>
      </w:r>
      <w:r>
        <w:rPr>
          <w:rFonts w:hint="eastAsia" w:ascii="宋体" w:hAnsi="宋体"/>
          <w:sz w:val="24"/>
          <w:szCs w:val="24"/>
          <w:lang w:val="en-US" w:eastAsia="zh-CN"/>
        </w:rPr>
        <w:t xml:space="preserve">故障</w:t>
      </w:r>
      <w:r>
        <w:rPr>
          <w:rFonts w:hint="eastAsia" w:ascii="宋体" w:hAnsi="宋体"/>
          <w:sz w:val="24"/>
          <w:szCs w:val="24"/>
        </w:rPr>
        <w:t xml:space="preserve">均由乙方在甲方要求时间内整修完毕，保证道路、设备安全</w:t>
      </w:r>
      <w:r>
        <w:rPr>
          <w:rFonts w:hint="eastAsia" w:ascii="宋体" w:hAnsi="宋体"/>
          <w:sz w:val="24"/>
          <w:szCs w:val="24"/>
          <w:lang w:eastAsia="zh-CN"/>
        </w:rPr>
        <w:t xml:space="preserve">。</w:t>
      </w:r>
      <w:r/>
    </w:p>
    <w:p>
      <w:pPr>
        <w:pStyle w:val="1086"/>
        <w:ind w:right="-286"/>
        <w:spacing w:before="120" w:after="120" w:line="360" w:lineRule="exact"/>
        <w:rPr>
          <w:rFonts w:hint="eastAsia" w:hAnsi="宋体"/>
          <w:b/>
          <w:sz w:val="24"/>
          <w:szCs w:val="24"/>
        </w:rPr>
      </w:pPr>
      <w:r>
        <w:rPr>
          <w:rFonts w:hAnsi="宋体"/>
          <w:b/>
          <w:sz w:val="24"/>
          <w:szCs w:val="24"/>
        </w:rPr>
        <w:t xml:space="preserve">九、</w:t>
      </w:r>
      <w:r>
        <w:rPr>
          <w:rFonts w:hint="eastAsia" w:hAnsi="宋体"/>
          <w:b/>
          <w:sz w:val="24"/>
          <w:szCs w:val="24"/>
        </w:rPr>
        <w:t xml:space="preserve">合同履行期限</w:t>
      </w:r>
      <w:r>
        <w:rPr>
          <w:rFonts w:hAnsi="宋体"/>
          <w:b/>
          <w:sz w:val="24"/>
          <w:szCs w:val="24"/>
        </w:rPr>
        <w:t xml:space="preserve">、交货方式及交货地点</w:t>
      </w:r>
      <w:r/>
    </w:p>
    <w:p>
      <w:pPr>
        <w:pStyle w:val="1086"/>
        <w:ind w:right="-286" w:firstLine="480"/>
        <w:spacing w:before="120" w:after="120" w:line="360" w:lineRule="exact"/>
        <w:rPr>
          <w:rFonts w:hint="eastAsia" w:hAnsi="宋体"/>
          <w:bCs/>
          <w:sz w:val="24"/>
          <w:szCs w:val="24"/>
        </w:rPr>
      </w:pPr>
      <w:r>
        <w:rPr>
          <w:rFonts w:hAnsi="宋体"/>
          <w:bCs/>
          <w:sz w:val="24"/>
          <w:szCs w:val="24"/>
        </w:rPr>
        <w:t xml:space="preserve">9.1 </w:t>
      </w:r>
      <w:r>
        <w:rPr>
          <w:rFonts w:hint="eastAsia" w:hAnsi="宋体"/>
          <w:bCs/>
          <w:sz w:val="24"/>
          <w:szCs w:val="24"/>
        </w:rPr>
        <w:t xml:space="preserve">合同履行期限</w:t>
      </w:r>
      <w:r>
        <w:rPr>
          <w:rFonts w:hAnsi="宋体"/>
          <w:bCs/>
          <w:sz w:val="24"/>
          <w:szCs w:val="24"/>
        </w:rPr>
        <w:t xml:space="preserve">：</w:t>
      </w:r>
      <w:r>
        <w:rPr>
          <w:rFonts w:hAnsi="宋体"/>
          <w:sz w:val="24"/>
          <w:szCs w:val="24"/>
        </w:rPr>
        <w:t xml:space="preserve">_________</w:t>
      </w:r>
      <w:r/>
    </w:p>
    <w:p>
      <w:pPr>
        <w:pStyle w:val="1086"/>
        <w:ind w:right="-286" w:firstLine="480"/>
        <w:spacing w:before="120" w:after="120" w:line="360" w:lineRule="exact"/>
        <w:rPr>
          <w:rFonts w:hint="eastAsia" w:hAnsi="宋体"/>
          <w:bCs/>
          <w:sz w:val="24"/>
          <w:szCs w:val="24"/>
        </w:rPr>
      </w:pPr>
      <w:r>
        <w:rPr>
          <w:rFonts w:hAnsi="宋体"/>
          <w:bCs/>
          <w:sz w:val="24"/>
          <w:szCs w:val="24"/>
        </w:rPr>
        <w:t xml:space="preserve">9.2 交货方式：</w:t>
      </w:r>
      <w:r>
        <w:rPr>
          <w:rFonts w:hAnsi="宋体"/>
          <w:sz w:val="24"/>
          <w:szCs w:val="24"/>
        </w:rPr>
        <w:t xml:space="preserve">_________</w:t>
      </w:r>
      <w:r/>
    </w:p>
    <w:p>
      <w:pPr>
        <w:pStyle w:val="1086"/>
        <w:ind w:right="-286" w:firstLine="480"/>
        <w:spacing w:before="120" w:after="120" w:line="360" w:lineRule="exact"/>
        <w:rPr>
          <w:rFonts w:hint="eastAsia" w:hAnsi="宋体"/>
          <w:b/>
          <w:sz w:val="24"/>
          <w:szCs w:val="24"/>
        </w:rPr>
      </w:pPr>
      <w:r>
        <w:rPr>
          <w:rFonts w:hAnsi="宋体"/>
          <w:bCs/>
          <w:sz w:val="24"/>
          <w:szCs w:val="24"/>
        </w:rPr>
        <w:t xml:space="preserve">9.3 交货地点：</w:t>
      </w:r>
      <w:r>
        <w:rPr>
          <w:rFonts w:hAnsi="宋体"/>
          <w:sz w:val="24"/>
          <w:szCs w:val="24"/>
        </w:rPr>
        <w:t xml:space="preserve">_________</w:t>
      </w:r>
      <w:r/>
    </w:p>
    <w:p>
      <w:pPr>
        <w:pStyle w:val="1086"/>
        <w:ind w:right="-286"/>
        <w:spacing w:before="120" w:after="120" w:line="360" w:lineRule="exact"/>
        <w:rPr>
          <w:rFonts w:hint="eastAsia" w:hAnsi="宋体"/>
          <w:b/>
          <w:sz w:val="24"/>
          <w:szCs w:val="24"/>
        </w:rPr>
      </w:pPr>
      <w:r>
        <w:rPr>
          <w:rFonts w:hAnsi="宋体"/>
          <w:b/>
          <w:sz w:val="24"/>
          <w:szCs w:val="24"/>
        </w:rPr>
        <w:t xml:space="preserve">十、货款支付</w:t>
      </w:r>
      <w:r/>
    </w:p>
    <w:p>
      <w:pPr>
        <w:ind w:right="-286" w:firstLine="480"/>
        <w:spacing w:line="360" w:lineRule="exact"/>
        <w:rPr>
          <w:rFonts w:hint="eastAsia" w:ascii="宋体" w:hAnsi="宋体"/>
          <w:bCs/>
          <w:color w:val="00b0f0"/>
          <w:sz w:val="24"/>
          <w:szCs w:val="24"/>
          <w:u w:val="single"/>
        </w:rPr>
      </w:pPr>
      <w:r>
        <w:rPr>
          <w:rFonts w:ascii="宋体" w:hAnsi="宋体"/>
          <w:bCs/>
          <w:sz w:val="24"/>
          <w:szCs w:val="24"/>
        </w:rPr>
        <w:t xml:space="preserve">10.1 </w:t>
      </w:r>
      <w:r>
        <w:rPr>
          <w:rFonts w:ascii="宋体" w:hAnsi="宋体"/>
          <w:b/>
          <w:sz w:val="24"/>
          <w:szCs w:val="24"/>
        </w:rPr>
        <w:t xml:space="preserve">付款方式：</w:t>
      </w:r>
      <w:r>
        <w:rPr>
          <w:rFonts w:hint="eastAsia" w:ascii="宋体" w:hAnsi="宋体"/>
          <w:b/>
          <w:sz w:val="24"/>
          <w:szCs w:val="24"/>
        </w:rPr>
        <w:t xml:space="preserve">合同签订后，中标人提供等额增值税发票。招标人自收到发票后支付合同价的30%预付款到约定的账户，项目验收合格后付至合同价款的50%，验收合格满一年后付至审核价款的60%，验收合格满二年后付至审核价款的70%，验收合格满三年后付至审核价款的80%，验收合格满四年后付至审核价款的90%，剩余价款待项目质保期结束后一次性付清。</w:t>
      </w:r>
      <w:r/>
    </w:p>
    <w:p>
      <w:pPr>
        <w:ind w:right="-286" w:firstLine="480"/>
        <w:spacing w:line="360" w:lineRule="exact"/>
        <w:rPr>
          <w:rFonts w:hint="eastAsia" w:ascii="宋体" w:hAnsi="宋体"/>
          <w:sz w:val="24"/>
          <w:szCs w:val="24"/>
        </w:rPr>
      </w:pPr>
      <w:r>
        <w:rPr>
          <w:rFonts w:ascii="宋体" w:hAnsi="宋体"/>
          <w:sz w:val="24"/>
          <w:szCs w:val="24"/>
        </w:rPr>
        <w:t xml:space="preserve">10.2当采购数量与实际使用数量不一致时，</w:t>
      </w:r>
      <w:r>
        <w:rPr>
          <w:rFonts w:hint="eastAsia" w:ascii="宋体" w:hAnsi="宋体"/>
          <w:sz w:val="24"/>
          <w:szCs w:val="24"/>
        </w:rPr>
        <w:t xml:space="preserve">乙方</w:t>
      </w:r>
      <w:r>
        <w:rPr>
          <w:rFonts w:ascii="宋体" w:hAnsi="宋体"/>
          <w:sz w:val="24"/>
          <w:szCs w:val="24"/>
        </w:rPr>
        <w:t xml:space="preserve">应根据实际使用量供货，合同的最终结算金额按实际使用量乘以成交单价进行计算。</w:t>
      </w:r>
      <w:r/>
    </w:p>
    <w:p>
      <w:pPr>
        <w:ind w:right="-286" w:firstLine="480"/>
        <w:spacing w:line="360" w:lineRule="exact"/>
        <w:rPr>
          <w:rFonts w:hint="eastAsia" w:ascii="宋体" w:hAnsi="宋体"/>
          <w:sz w:val="24"/>
          <w:szCs w:val="24"/>
        </w:rPr>
      </w:pPr>
      <w:r>
        <w:rPr>
          <w:rFonts w:hint="eastAsia" w:ascii="宋体" w:hAnsi="宋体"/>
          <w:sz w:val="24"/>
          <w:szCs w:val="24"/>
        </w:rPr>
        <w:t xml:space="preserve">10.3</w:t>
      </w:r>
      <w:r>
        <w:rPr>
          <w:rFonts w:ascii="宋体" w:hAnsi="宋体"/>
          <w:sz w:val="24"/>
          <w:szCs w:val="24"/>
        </w:rPr>
        <w:t xml:space="preserve">对于满足合同约定支付条件的，采购人应当自收到发票后 15 日内将资金支付到合同约定的供应商账户。</w:t>
      </w:r>
      <w:r/>
    </w:p>
    <w:p>
      <w:pPr>
        <w:ind w:right="-286"/>
        <w:spacing w:before="145" w:after="145" w:line="360" w:lineRule="exact"/>
        <w:rPr>
          <w:rFonts w:hint="eastAsia" w:ascii="宋体" w:hAnsi="宋体"/>
          <w:b/>
          <w:sz w:val="24"/>
          <w:szCs w:val="24"/>
        </w:rPr>
      </w:pPr>
      <w:r>
        <w:rPr>
          <w:rFonts w:hint="eastAsia" w:ascii="宋体" w:hAnsi="宋体"/>
          <w:b/>
          <w:sz w:val="24"/>
          <w:szCs w:val="24"/>
        </w:rPr>
        <w:t xml:space="preserve">十一</w:t>
      </w:r>
      <w:r>
        <w:rPr>
          <w:rFonts w:ascii="宋体" w:hAnsi="宋体"/>
          <w:b/>
          <w:sz w:val="24"/>
          <w:szCs w:val="24"/>
        </w:rPr>
        <w:t xml:space="preserve">.</w:t>
      </w:r>
      <w:r>
        <w:rPr>
          <w:rFonts w:hint="eastAsia" w:ascii="宋体" w:hAnsi="宋体"/>
          <w:b/>
          <w:sz w:val="24"/>
          <w:szCs w:val="24"/>
        </w:rPr>
        <w:t xml:space="preserve">税费</w:t>
      </w:r>
      <w:r/>
    </w:p>
    <w:p>
      <w:pPr>
        <w:ind w:right="-286" w:firstLine="480"/>
        <w:spacing w:before="145" w:after="145" w:line="360" w:lineRule="exact"/>
        <w:rPr>
          <w:rFonts w:hint="eastAsia" w:ascii="宋体" w:hAnsi="宋体"/>
          <w:sz w:val="24"/>
          <w:szCs w:val="24"/>
        </w:rPr>
      </w:pPr>
      <w:r>
        <w:rPr>
          <w:rFonts w:ascii="宋体" w:hAnsi="宋体"/>
          <w:sz w:val="24"/>
          <w:szCs w:val="24"/>
        </w:rPr>
        <w:t xml:space="preserve">11.1</w:t>
      </w:r>
      <w:r>
        <w:rPr>
          <w:rFonts w:hint="eastAsia" w:ascii="宋体" w:hAnsi="宋体"/>
          <w:sz w:val="24"/>
          <w:szCs w:val="24"/>
        </w:rPr>
        <w:t xml:space="preserve">本合同执行中相关的一切税费均由乙方负担。</w:t>
      </w:r>
      <w:r/>
    </w:p>
    <w:p>
      <w:pPr>
        <w:pStyle w:val="1086"/>
        <w:ind w:left="412" w:right="-286" w:hanging="412"/>
        <w:spacing w:before="120" w:after="120" w:line="360" w:lineRule="exact"/>
        <w:rPr>
          <w:rFonts w:hint="eastAsia" w:hAnsi="宋体"/>
          <w:sz w:val="24"/>
          <w:szCs w:val="24"/>
        </w:rPr>
      </w:pPr>
      <w:r>
        <w:rPr>
          <w:rFonts w:hAnsi="宋体"/>
          <w:b/>
          <w:sz w:val="24"/>
          <w:szCs w:val="24"/>
        </w:rPr>
        <w:t xml:space="preserve">十二、质量保证及售后服务</w:t>
      </w:r>
      <w:r/>
    </w:p>
    <w:p>
      <w:pPr>
        <w:ind w:right="-286" w:firstLine="480"/>
        <w:spacing w:line="360" w:lineRule="exact"/>
        <w:rPr>
          <w:rFonts w:hint="eastAsia" w:ascii="宋体" w:hAnsi="宋体"/>
          <w:sz w:val="24"/>
          <w:szCs w:val="24"/>
        </w:rPr>
      </w:pPr>
      <w:r>
        <w:rPr>
          <w:rFonts w:ascii="宋体" w:hAnsi="宋体"/>
          <w:sz w:val="24"/>
          <w:szCs w:val="24"/>
        </w:rPr>
        <w:t xml:space="preserve">12.1 乙方应按招标文件规定的货物性能、技术要求、质量标准向甲方提供未经使用的全新产品。</w:t>
      </w:r>
      <w:r/>
    </w:p>
    <w:p>
      <w:pPr>
        <w:ind w:right="-286" w:firstLine="480"/>
        <w:spacing w:line="360" w:lineRule="exact"/>
        <w:rPr>
          <w:rFonts w:hint="eastAsia" w:ascii="宋体" w:hAnsi="宋体"/>
          <w:sz w:val="24"/>
          <w:szCs w:val="24"/>
        </w:rPr>
      </w:pPr>
      <w:r>
        <w:rPr>
          <w:rFonts w:ascii="宋体" w:hAnsi="宋体"/>
          <w:sz w:val="24"/>
          <w:szCs w:val="24"/>
        </w:rPr>
        <w:t xml:space="preserve">12.2 乙方提供的货物在质量期内因货物本身的质量问题发生故障，乙方应负责免费更换。对达不到技术要求者，根据实际情况，经双方协商，可按以下办法处理：</w:t>
      </w:r>
      <w:r/>
    </w:p>
    <w:p>
      <w:pPr>
        <w:ind w:right="-286"/>
        <w:spacing w:line="360" w:lineRule="exact"/>
        <w:rPr>
          <w:rFonts w:hint="eastAsia" w:ascii="宋体" w:hAnsi="宋体"/>
          <w:sz w:val="24"/>
          <w:szCs w:val="24"/>
        </w:rPr>
      </w:pPr>
      <w:r>
        <w:rPr>
          <w:rFonts w:ascii="宋体" w:hAnsi="宋体"/>
          <w:sz w:val="24"/>
          <w:szCs w:val="24"/>
        </w:rPr>
        <w:t xml:space="preserve">⑴更换：由乙方承担所发生的全部费用。</w:t>
      </w:r>
      <w:r/>
    </w:p>
    <w:p>
      <w:pPr>
        <w:ind w:right="-286"/>
        <w:spacing w:line="360" w:lineRule="exact"/>
        <w:rPr>
          <w:rFonts w:hint="eastAsia" w:ascii="宋体" w:hAnsi="宋体"/>
          <w:sz w:val="24"/>
          <w:szCs w:val="24"/>
        </w:rPr>
      </w:pPr>
      <w:r>
        <w:rPr>
          <w:rFonts w:ascii="宋体" w:hAnsi="宋体"/>
          <w:sz w:val="24"/>
          <w:szCs w:val="24"/>
        </w:rPr>
        <w:t xml:space="preserve">⑵贬值处理：由甲乙双方合议定价。</w:t>
      </w:r>
      <w:r/>
    </w:p>
    <w:p>
      <w:pPr>
        <w:ind w:right="-286"/>
        <w:spacing w:line="360" w:lineRule="exact"/>
        <w:rPr>
          <w:rFonts w:hint="eastAsia" w:ascii="宋体" w:hAnsi="宋体"/>
          <w:sz w:val="24"/>
          <w:szCs w:val="24"/>
        </w:rPr>
      </w:pPr>
      <w:r>
        <w:rPr>
          <w:rFonts w:ascii="宋体" w:hAnsi="宋体"/>
          <w:sz w:val="24"/>
          <w:szCs w:val="24"/>
        </w:rPr>
        <w:t xml:space="preserve">⑶退货处理：乙方应退还甲方支付的合同款，同时应承担该货物的直接费用（运输、保险、检验、货款利息及银行手续费等）。</w:t>
      </w:r>
      <w:r/>
    </w:p>
    <w:p>
      <w:pPr>
        <w:ind w:right="-286" w:firstLine="480"/>
        <w:spacing w:line="360" w:lineRule="exact"/>
        <w:rPr>
          <w:rFonts w:hint="eastAsia" w:ascii="宋体" w:hAnsi="宋体"/>
          <w:sz w:val="24"/>
          <w:szCs w:val="24"/>
        </w:rPr>
      </w:pPr>
      <w:r>
        <w:rPr>
          <w:rFonts w:ascii="宋体" w:hAnsi="宋体"/>
          <w:sz w:val="24"/>
          <w:szCs w:val="24"/>
        </w:rPr>
        <w:t xml:space="preserve">12.3 如在使用过程中发生质量问题，</w:t>
      </w:r>
      <w:r>
        <w:rPr>
          <w:rFonts w:hint="eastAsia" w:ascii="宋体" w:hAnsi="宋体"/>
          <w:sz w:val="24"/>
          <w:szCs w:val="24"/>
        </w:rPr>
        <w:t xml:space="preserve">乙方在接到甲方通知后须在</w:t>
      </w:r>
      <w:r>
        <w:rPr>
          <w:rFonts w:hint="eastAsia" w:ascii="宋体" w:hAnsi="宋体"/>
          <w:sz w:val="24"/>
          <w:szCs w:val="24"/>
          <w:u w:val="single"/>
        </w:rPr>
        <w:t xml:space="preserve"> 3</w:t>
      </w:r>
      <w:r>
        <w:rPr>
          <w:rFonts w:ascii="宋体" w:hAnsi="宋体"/>
          <w:sz w:val="24"/>
          <w:szCs w:val="24"/>
          <w:u w:val="single"/>
        </w:rPr>
        <w:t xml:space="preserve"> </w:t>
      </w:r>
      <w:r>
        <w:rPr>
          <w:rFonts w:hint="eastAsia" w:ascii="宋体" w:hAnsi="宋体"/>
          <w:sz w:val="24"/>
          <w:szCs w:val="24"/>
        </w:rPr>
        <w:t xml:space="preserve">小时内响应，</w:t>
      </w:r>
      <w:r>
        <w:rPr>
          <w:rFonts w:ascii="宋体" w:hAnsi="宋体"/>
          <w:sz w:val="24"/>
          <w:szCs w:val="24"/>
        </w:rPr>
        <w:t xml:space="preserve"> </w:t>
      </w:r>
      <w:r>
        <w:rPr>
          <w:rFonts w:hint="eastAsia" w:ascii="宋体" w:hAnsi="宋体"/>
          <w:sz w:val="24"/>
          <w:szCs w:val="24"/>
          <w:u w:val="single"/>
        </w:rPr>
        <w:t xml:space="preserve">24</w:t>
      </w:r>
      <w:r>
        <w:rPr>
          <w:rFonts w:ascii="宋体" w:hAnsi="宋体"/>
          <w:sz w:val="24"/>
          <w:szCs w:val="24"/>
          <w:u w:val="single"/>
        </w:rPr>
        <w:t xml:space="preserve"> </w:t>
      </w:r>
      <w:r>
        <w:rPr>
          <w:rFonts w:ascii="宋体" w:hAnsi="宋体"/>
          <w:sz w:val="24"/>
          <w:szCs w:val="24"/>
        </w:rPr>
        <w:t xml:space="preserve">小时内到达</w:t>
      </w:r>
      <w:r>
        <w:rPr>
          <w:rFonts w:hint="eastAsia" w:ascii="宋体" w:hAnsi="宋体"/>
          <w:sz w:val="24"/>
          <w:szCs w:val="24"/>
        </w:rPr>
        <w:t xml:space="preserve">现场解决问题（如遇特殊情况不能在规定时间内解决的须向甲方提出书面申请，经甲方同意后方可延长维修时间，否则按合同价的万分之一/天作为逾期违约处罚，违约金直接从结算价款中扣除），如果需要更换货物或配件，需保证所换货物或配件不低于原配置</w:t>
      </w:r>
      <w:r>
        <w:rPr>
          <w:rFonts w:hint="eastAsia"/>
        </w:rPr>
        <w:t xml:space="preserve">。</w:t>
      </w:r>
      <w:r>
        <w:rPr>
          <w:rFonts w:hint="eastAsia" w:ascii="宋体" w:hAnsi="宋体"/>
          <w:sz w:val="24"/>
          <w:szCs w:val="24"/>
        </w:rPr>
        <w:t xml:space="preserve">如在上述规定时间内不能到位的，甲方有权自行维修或更换，其费用在乙方合同价款中扣除，甲方自行维修后的设备仍享有乙方的质保承诺。如设备、配套设施、管线等出现意外（包括自然灾害等）或任何人为等因素造成损坏的，乙方需先无条件维修复原，维修完成后再由乙方（甲方配合）向人为因素造成损坏的责任人追偿。</w:t>
      </w:r>
      <w:r/>
    </w:p>
    <w:p>
      <w:pPr>
        <w:ind w:right="-286" w:firstLine="480"/>
        <w:spacing w:line="360" w:lineRule="exact"/>
      </w:pPr>
      <w:r>
        <w:rPr>
          <w:rFonts w:ascii="宋体" w:hAnsi="宋体"/>
          <w:sz w:val="24"/>
          <w:szCs w:val="24"/>
        </w:rPr>
        <w:t xml:space="preserve">12.4 </w:t>
      </w:r>
      <w:r>
        <w:rPr>
          <w:rFonts w:hint="eastAsia" w:ascii="宋体" w:hAnsi="宋体"/>
          <w:sz w:val="24"/>
          <w:szCs w:val="24"/>
        </w:rPr>
        <w:t xml:space="preserve">在质保期内，乙方应</w:t>
      </w:r>
      <w:r>
        <w:rPr>
          <w:rFonts w:hint="eastAsia" w:ascii="宋体" w:hAnsi="宋体" w:cs="宋体"/>
          <w:sz w:val="24"/>
          <w:szCs w:val="24"/>
        </w:rPr>
        <w:t xml:space="preserve">确保每月（以每月的23日统计数据为准，注：23日为节假日的，延后到下一个工作日）的监控在线率达98%及以上，未达到的，每低1个百分点，扣除合同价款的</w:t>
      </w:r>
      <w:r>
        <w:rPr>
          <w:rFonts w:hint="eastAsia" w:ascii="宋体" w:hAnsi="宋体"/>
          <w:sz w:val="24"/>
          <w:szCs w:val="24"/>
        </w:rPr>
        <w:t xml:space="preserve">万分之三，扣款每月进行累计。</w:t>
      </w:r>
      <w:r/>
    </w:p>
    <w:p>
      <w:pPr>
        <w:ind w:right="-286" w:firstLine="480"/>
        <w:spacing w:line="360" w:lineRule="exact"/>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5</w:t>
      </w:r>
      <w:r>
        <w:rPr>
          <w:rFonts w:ascii="宋体" w:hAnsi="宋体"/>
          <w:sz w:val="24"/>
          <w:szCs w:val="24"/>
        </w:rPr>
        <w:t xml:space="preserve"> 在质保期内，乙方应对货物出现的质量及安全问题负责处理解决并承担一切费用。</w:t>
      </w:r>
      <w:r/>
    </w:p>
    <w:p>
      <w:pPr>
        <w:pStyle w:val="1086"/>
        <w:ind w:right="-286"/>
        <w:spacing w:before="120" w:after="120" w:line="360" w:lineRule="exact"/>
        <w:rPr>
          <w:rFonts w:hint="eastAsia" w:hAnsi="宋体"/>
          <w:b/>
          <w:sz w:val="24"/>
          <w:szCs w:val="24"/>
        </w:rPr>
      </w:pPr>
      <w:r>
        <w:rPr>
          <w:rFonts w:hAnsi="宋体"/>
          <w:b/>
          <w:sz w:val="24"/>
          <w:szCs w:val="24"/>
        </w:rPr>
        <w:t xml:space="preserve">十三、调试和验收</w:t>
      </w:r>
      <w:r/>
    </w:p>
    <w:p>
      <w:pPr>
        <w:ind w:right="-286" w:firstLine="480"/>
        <w:spacing w:line="360" w:lineRule="exact"/>
        <w:rPr>
          <w:rFonts w:hint="eastAsia" w:ascii="宋体" w:hAnsi="宋体"/>
          <w:sz w:val="24"/>
          <w:szCs w:val="24"/>
        </w:rPr>
      </w:pPr>
      <w:r>
        <w:rPr>
          <w:rFonts w:ascii="宋体" w:hAnsi="宋体"/>
          <w:sz w:val="24"/>
          <w:szCs w:val="24"/>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right="-286" w:firstLine="480"/>
        <w:spacing w:line="360" w:lineRule="exact"/>
        <w:rPr>
          <w:rFonts w:hint="eastAsia" w:ascii="宋体" w:hAnsi="宋体"/>
          <w:sz w:val="24"/>
          <w:szCs w:val="24"/>
        </w:rPr>
      </w:pPr>
      <w:r>
        <w:rPr>
          <w:rFonts w:ascii="宋体" w:hAnsi="宋体"/>
          <w:sz w:val="24"/>
          <w:szCs w:val="24"/>
        </w:rPr>
        <w:t xml:space="preserve">13.2 乙方交货前应对产品作出全面检查和对验收文件进行整理，并列出清单，作为甲方收货验收和使用的技术条件依据，检验的结果应随货物交甲方。</w:t>
      </w:r>
      <w:r/>
    </w:p>
    <w:p>
      <w:pPr>
        <w:ind w:right="-286" w:firstLine="480"/>
        <w:spacing w:line="360" w:lineRule="exact"/>
        <w:rPr>
          <w:rFonts w:hint="eastAsia" w:ascii="宋体" w:hAnsi="宋体"/>
          <w:sz w:val="24"/>
          <w:szCs w:val="24"/>
        </w:rPr>
      </w:pPr>
      <w:r>
        <w:rPr>
          <w:rFonts w:ascii="宋体" w:hAnsi="宋体"/>
          <w:sz w:val="24"/>
          <w:szCs w:val="24"/>
        </w:rPr>
        <w:t xml:space="preserve">13.3 甲方对乙方提供的货物在使用前进行调试时，乙方需负责安装并培训甲方的使用操作人员，并协助甲方一起调试，直到符合技术要求，甲方才做最终验收。</w:t>
      </w:r>
      <w:r/>
    </w:p>
    <w:p>
      <w:pPr>
        <w:ind w:right="-286" w:firstLine="480"/>
        <w:spacing w:line="360" w:lineRule="exact"/>
        <w:rPr>
          <w:rFonts w:hint="eastAsia" w:ascii="宋体" w:hAnsi="宋体"/>
          <w:sz w:val="24"/>
          <w:szCs w:val="24"/>
        </w:rPr>
      </w:pPr>
      <w:r>
        <w:rPr>
          <w:rFonts w:ascii="宋体" w:hAnsi="宋体"/>
          <w:sz w:val="24"/>
          <w:szCs w:val="24"/>
        </w:rPr>
        <w:t xml:space="preserve">13.4 对技术复杂的货物，甲方</w:t>
      </w:r>
      <w:r>
        <w:rPr>
          <w:rFonts w:hint="eastAsia" w:ascii="宋体" w:hAnsi="宋体"/>
          <w:sz w:val="24"/>
          <w:szCs w:val="24"/>
        </w:rPr>
        <w:t xml:space="preserve">可</w:t>
      </w:r>
      <w:r>
        <w:rPr>
          <w:rFonts w:ascii="宋体" w:hAnsi="宋体"/>
          <w:sz w:val="24"/>
          <w:szCs w:val="24"/>
        </w:rPr>
        <w:t xml:space="preserve">请国家认可的专业检测机构参与初步验收及最终验收，并由其出具质量检测报告。</w:t>
      </w:r>
      <w:r>
        <w:rPr>
          <w:rFonts w:hint="eastAsia" w:ascii="宋体" w:hAnsi="宋体"/>
          <w:sz w:val="24"/>
          <w:szCs w:val="24"/>
        </w:rPr>
        <w:t xml:space="preserve">检测费用由乙方负责。</w:t>
      </w:r>
      <w:r/>
    </w:p>
    <w:p>
      <w:pPr>
        <w:ind w:right="-286" w:firstLine="480"/>
        <w:spacing w:line="360" w:lineRule="exact"/>
        <w:rPr>
          <w:rFonts w:hint="eastAsia" w:ascii="宋体" w:hAnsi="宋体"/>
          <w:sz w:val="24"/>
          <w:szCs w:val="24"/>
        </w:rPr>
      </w:pPr>
      <w:r>
        <w:rPr>
          <w:rFonts w:ascii="宋体" w:hAnsi="宋体"/>
          <w:sz w:val="24"/>
          <w:szCs w:val="24"/>
        </w:rPr>
        <w:t xml:space="preserve">13.5 验收时乙方必须在现场，验收完毕后作出验收结果报告；验收费用由乙方</w:t>
      </w:r>
      <w:r>
        <w:rPr>
          <w:rFonts w:hint="eastAsia" w:ascii="宋体" w:hAnsi="宋体"/>
          <w:sz w:val="24"/>
          <w:szCs w:val="24"/>
        </w:rPr>
        <w:t xml:space="preserve">支付</w:t>
      </w:r>
      <w:r>
        <w:rPr>
          <w:rFonts w:ascii="宋体" w:hAnsi="宋体"/>
          <w:sz w:val="24"/>
          <w:szCs w:val="24"/>
        </w:rPr>
        <w:t xml:space="preserve">。</w:t>
      </w:r>
      <w:r/>
    </w:p>
    <w:p>
      <w:pPr>
        <w:pStyle w:val="1086"/>
        <w:ind w:right="-286"/>
        <w:spacing w:before="120" w:after="120" w:line="360" w:lineRule="exact"/>
        <w:rPr>
          <w:rFonts w:hint="eastAsia" w:hAnsi="宋体"/>
          <w:b/>
          <w:sz w:val="24"/>
          <w:szCs w:val="24"/>
        </w:rPr>
      </w:pPr>
      <w:r>
        <w:rPr>
          <w:rFonts w:hAnsi="宋体"/>
          <w:b/>
          <w:sz w:val="24"/>
          <w:szCs w:val="24"/>
        </w:rPr>
        <w:t xml:space="preserve">十四、货物包装、发运及运输</w:t>
      </w:r>
      <w:r/>
    </w:p>
    <w:p>
      <w:pPr>
        <w:ind w:right="-286" w:firstLine="480"/>
        <w:spacing w:line="360" w:lineRule="exact"/>
        <w:rPr>
          <w:rFonts w:hint="eastAsia" w:ascii="宋体" w:hAnsi="宋体"/>
          <w:sz w:val="24"/>
          <w:szCs w:val="24"/>
        </w:rPr>
      </w:pPr>
      <w:r>
        <w:rPr>
          <w:rFonts w:ascii="宋体" w:hAnsi="宋体"/>
          <w:sz w:val="24"/>
          <w:szCs w:val="24"/>
        </w:rPr>
        <w:t xml:space="preserve">14.1 乙方应在货物发运前对其进行满足运输距离、防潮、防震、防锈和防破损装卸等要求包装，以保证货物安全运达甲方指定地点。</w:t>
      </w:r>
      <w:r/>
    </w:p>
    <w:p>
      <w:pPr>
        <w:ind w:right="-286" w:firstLine="480"/>
        <w:spacing w:line="360" w:lineRule="exact"/>
        <w:rPr>
          <w:rFonts w:hint="eastAsia" w:ascii="宋体" w:hAnsi="宋体"/>
          <w:sz w:val="24"/>
          <w:szCs w:val="24"/>
        </w:rPr>
      </w:pPr>
      <w:r>
        <w:rPr>
          <w:rFonts w:ascii="宋体" w:hAnsi="宋体"/>
          <w:sz w:val="24"/>
          <w:szCs w:val="24"/>
        </w:rPr>
        <w:t xml:space="preserve">14.2 使用说明书、质量检验证明书、随配附件和工具以及清单一并附于货物内。</w:t>
      </w:r>
      <w:r/>
    </w:p>
    <w:p>
      <w:pPr>
        <w:ind w:right="-286" w:firstLine="480"/>
        <w:spacing w:line="360" w:lineRule="exact"/>
        <w:rPr>
          <w:rFonts w:hint="eastAsia" w:ascii="宋体" w:hAnsi="宋体"/>
          <w:sz w:val="24"/>
          <w:szCs w:val="24"/>
        </w:rPr>
      </w:pPr>
      <w:r>
        <w:rPr>
          <w:rFonts w:ascii="宋体" w:hAnsi="宋体"/>
          <w:sz w:val="24"/>
          <w:szCs w:val="24"/>
        </w:rPr>
        <w:t xml:space="preserve">14.3 乙方在货物发运手续办理完毕后24小时内或货到甲方48小时前通知甲方，以准备接货。</w:t>
      </w:r>
      <w:r/>
    </w:p>
    <w:p>
      <w:pPr>
        <w:ind w:right="-286" w:firstLine="480"/>
        <w:spacing w:line="360" w:lineRule="exact"/>
        <w:rPr>
          <w:rFonts w:hint="eastAsia" w:ascii="宋体" w:hAnsi="宋体"/>
          <w:sz w:val="24"/>
          <w:szCs w:val="24"/>
        </w:rPr>
      </w:pPr>
      <w:r>
        <w:rPr>
          <w:rFonts w:ascii="宋体" w:hAnsi="宋体"/>
          <w:sz w:val="24"/>
          <w:szCs w:val="24"/>
        </w:rPr>
        <w:t xml:space="preserve">14.4 货物在交付甲方前发生的风险均由乙方负责。</w:t>
      </w:r>
      <w:r/>
    </w:p>
    <w:p>
      <w:pPr>
        <w:ind w:right="-286" w:firstLine="480"/>
        <w:spacing w:line="360" w:lineRule="exact"/>
        <w:rPr>
          <w:rFonts w:hint="eastAsia" w:ascii="宋体" w:hAnsi="宋体"/>
          <w:sz w:val="24"/>
          <w:szCs w:val="24"/>
        </w:rPr>
      </w:pPr>
      <w:r>
        <w:rPr>
          <w:rFonts w:ascii="宋体" w:hAnsi="宋体"/>
          <w:sz w:val="24"/>
          <w:szCs w:val="24"/>
        </w:rPr>
        <w:t xml:space="preserve">14.5 货物在规定的交付期限内由乙方送达甲方指定的地点视为交付，乙方同时需通知甲方货物已送达。</w:t>
      </w:r>
      <w:r/>
    </w:p>
    <w:p>
      <w:pPr>
        <w:pStyle w:val="1086"/>
        <w:ind w:right="-286"/>
        <w:spacing w:before="120" w:after="120" w:line="360" w:lineRule="exact"/>
        <w:rPr>
          <w:rFonts w:hint="eastAsia" w:hAnsi="宋体"/>
          <w:b/>
          <w:sz w:val="24"/>
          <w:szCs w:val="24"/>
        </w:rPr>
      </w:pPr>
      <w:r>
        <w:rPr>
          <w:rFonts w:hAnsi="宋体"/>
          <w:b/>
          <w:sz w:val="24"/>
          <w:szCs w:val="24"/>
        </w:rPr>
        <w:t xml:space="preserve">十五、违约责任</w:t>
      </w:r>
      <w:r/>
    </w:p>
    <w:p>
      <w:pPr>
        <w:ind w:right="-286" w:firstLine="480"/>
        <w:spacing w:line="360" w:lineRule="exact"/>
        <w:rPr>
          <w:rFonts w:hint="eastAsia" w:ascii="宋体" w:hAnsi="宋体"/>
          <w:sz w:val="24"/>
          <w:szCs w:val="24"/>
        </w:rPr>
      </w:pPr>
      <w:r>
        <w:rPr>
          <w:rFonts w:ascii="宋体" w:hAnsi="宋体"/>
          <w:sz w:val="24"/>
          <w:szCs w:val="24"/>
        </w:rPr>
        <w:t xml:space="preserve">15.1 甲方无正当理由拒收货物的，甲方向乙方偿付拒收货款总值的百分之五违约金。</w:t>
      </w:r>
      <w:r/>
    </w:p>
    <w:p>
      <w:pPr>
        <w:ind w:right="-286" w:firstLine="480"/>
        <w:spacing w:line="360" w:lineRule="exact"/>
        <w:rPr>
          <w:rFonts w:hint="eastAsia" w:ascii="宋体" w:hAnsi="宋体"/>
          <w:sz w:val="24"/>
          <w:szCs w:val="24"/>
        </w:rPr>
      </w:pPr>
      <w:r>
        <w:rPr>
          <w:rFonts w:ascii="宋体" w:hAnsi="宋体"/>
          <w:sz w:val="24"/>
          <w:szCs w:val="24"/>
        </w:rPr>
        <w:t xml:space="preserve">15.2 甲方无故逾期验收和办理货款支付手续的,甲方应按逾期付款总额每日万分之五向乙方支付违约金。</w:t>
      </w:r>
      <w:r/>
    </w:p>
    <w:p>
      <w:pPr>
        <w:ind w:right="-286" w:firstLine="480"/>
        <w:spacing w:line="360" w:lineRule="exact"/>
        <w:rPr>
          <w:rFonts w:hint="eastAsia" w:ascii="宋体" w:hAnsi="宋体"/>
          <w:sz w:val="24"/>
          <w:szCs w:val="24"/>
        </w:rPr>
      </w:pPr>
      <w:r>
        <w:rPr>
          <w:rFonts w:ascii="宋体" w:hAnsi="宋体"/>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right="-286" w:firstLine="480"/>
        <w:spacing w:line="360" w:lineRule="exact"/>
        <w:rPr>
          <w:rFonts w:hint="eastAsia" w:ascii="宋体" w:hAnsi="宋体"/>
          <w:sz w:val="24"/>
          <w:szCs w:val="24"/>
        </w:rPr>
      </w:pPr>
      <w:r>
        <w:rPr>
          <w:rFonts w:ascii="宋体" w:hAnsi="宋体"/>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86"/>
        <w:ind w:right="-286"/>
        <w:spacing w:before="120" w:after="120" w:line="360" w:lineRule="exact"/>
        <w:rPr>
          <w:rFonts w:hint="eastAsia" w:hAnsi="宋体"/>
          <w:b/>
          <w:sz w:val="24"/>
          <w:szCs w:val="24"/>
        </w:rPr>
      </w:pPr>
      <w:r>
        <w:rPr>
          <w:rFonts w:hAnsi="宋体"/>
          <w:b/>
          <w:sz w:val="24"/>
          <w:szCs w:val="24"/>
        </w:rPr>
        <w:t xml:space="preserve">十六、不可抗力事件处理</w:t>
      </w:r>
      <w:r/>
    </w:p>
    <w:p>
      <w:pPr>
        <w:ind w:right="-286" w:firstLine="480"/>
        <w:spacing w:line="360" w:lineRule="exact"/>
        <w:rPr>
          <w:rFonts w:hint="eastAsia" w:ascii="宋体" w:hAnsi="宋体"/>
          <w:sz w:val="24"/>
          <w:szCs w:val="24"/>
        </w:rPr>
      </w:pPr>
      <w:r>
        <w:rPr>
          <w:rFonts w:ascii="宋体" w:hAnsi="宋体"/>
          <w:sz w:val="24"/>
          <w:szCs w:val="24"/>
        </w:rPr>
        <w:t xml:space="preserve">16.1 在合同有效期内，任何一方因不可抗力事件导致不能履行合同，则合同履行期可延长，其延长期与不可抗力影响期相同。</w:t>
      </w:r>
      <w:r/>
    </w:p>
    <w:p>
      <w:pPr>
        <w:ind w:right="-286" w:firstLine="480"/>
        <w:spacing w:line="360" w:lineRule="exact"/>
        <w:rPr>
          <w:rFonts w:hint="eastAsia" w:ascii="宋体" w:hAnsi="宋体"/>
          <w:sz w:val="24"/>
          <w:szCs w:val="24"/>
        </w:rPr>
      </w:pPr>
      <w:r>
        <w:rPr>
          <w:rFonts w:ascii="宋体" w:hAnsi="宋体"/>
          <w:sz w:val="24"/>
          <w:szCs w:val="24"/>
        </w:rPr>
        <w:t xml:space="preserve">16.2 不可抗力事件发生后，应立即通知对方，并寄送有关权威机构出具的证明。</w:t>
      </w:r>
      <w:r/>
    </w:p>
    <w:p>
      <w:pPr>
        <w:ind w:right="-286" w:firstLine="480"/>
        <w:spacing w:line="360" w:lineRule="exact"/>
        <w:rPr>
          <w:rFonts w:hint="eastAsia" w:ascii="宋体" w:hAnsi="宋体"/>
          <w:sz w:val="24"/>
          <w:szCs w:val="24"/>
        </w:rPr>
      </w:pPr>
      <w:r>
        <w:rPr>
          <w:rFonts w:ascii="宋体" w:hAnsi="宋体"/>
          <w:sz w:val="24"/>
          <w:szCs w:val="24"/>
        </w:rPr>
        <w:t xml:space="preserve">16.3 不可抗力事件延续120天以上，双方应通过友好协商，确定是否继续履行合同。</w:t>
      </w:r>
      <w:r/>
    </w:p>
    <w:p>
      <w:pPr>
        <w:pStyle w:val="1086"/>
        <w:ind w:right="-286"/>
        <w:spacing w:before="120" w:after="120" w:line="360" w:lineRule="exact"/>
        <w:rPr>
          <w:rFonts w:hint="eastAsia" w:hAnsi="宋体"/>
          <w:b/>
          <w:sz w:val="24"/>
          <w:szCs w:val="24"/>
        </w:rPr>
      </w:pPr>
      <w:r>
        <w:rPr>
          <w:rFonts w:hAnsi="宋体"/>
          <w:b/>
          <w:sz w:val="24"/>
          <w:szCs w:val="24"/>
        </w:rPr>
        <w:t xml:space="preserve">十七、诉讼</w:t>
      </w:r>
      <w:r/>
    </w:p>
    <w:p>
      <w:pPr>
        <w:ind w:right="-286" w:firstLine="480"/>
        <w:spacing w:line="360" w:lineRule="exact"/>
        <w:rPr>
          <w:rFonts w:hint="eastAsia" w:ascii="宋体" w:hAnsi="宋体"/>
          <w:sz w:val="24"/>
          <w:szCs w:val="24"/>
        </w:rPr>
      </w:pPr>
      <w:r>
        <w:rPr>
          <w:rFonts w:ascii="宋体" w:hAnsi="宋体"/>
          <w:sz w:val="24"/>
          <w:szCs w:val="24"/>
        </w:rPr>
        <w:t xml:space="preserve">17.1 双方在执行合同中所发生的一切争议，应通过协商解决。如协商不成，可向合同签订地法院起诉，合同签订地在此约定为</w:t>
      </w:r>
      <w:r>
        <w:rPr>
          <w:rFonts w:hint="eastAsia" w:ascii="宋体" w:hAnsi="宋体"/>
          <w:sz w:val="24"/>
          <w:szCs w:val="24"/>
        </w:rPr>
        <w:t xml:space="preserve">盐城</w:t>
      </w:r>
      <w:r>
        <w:rPr>
          <w:rFonts w:ascii="宋体" w:hAnsi="宋体"/>
          <w:sz w:val="24"/>
          <w:szCs w:val="24"/>
        </w:rPr>
        <w:t xml:space="preserve">市。</w:t>
      </w:r>
      <w:r/>
    </w:p>
    <w:p>
      <w:pPr>
        <w:pStyle w:val="1086"/>
        <w:ind w:right="-286"/>
        <w:spacing w:before="120" w:after="120" w:line="360" w:lineRule="exact"/>
        <w:rPr>
          <w:rFonts w:hint="eastAsia" w:hAnsi="宋体"/>
          <w:b/>
          <w:sz w:val="24"/>
          <w:szCs w:val="24"/>
        </w:rPr>
      </w:pPr>
      <w:r>
        <w:rPr>
          <w:rFonts w:hAnsi="宋体"/>
          <w:b/>
          <w:sz w:val="24"/>
          <w:szCs w:val="24"/>
        </w:rPr>
        <w:t xml:space="preserve">十八、合同生效及其它</w:t>
      </w:r>
      <w:r/>
    </w:p>
    <w:p>
      <w:pPr>
        <w:ind w:right="-286" w:firstLine="480"/>
        <w:spacing w:line="360" w:lineRule="exact"/>
        <w:rPr>
          <w:rFonts w:hint="eastAsia" w:ascii="宋体" w:hAnsi="宋体"/>
          <w:sz w:val="24"/>
          <w:szCs w:val="24"/>
        </w:rPr>
      </w:pPr>
      <w:r>
        <w:rPr>
          <w:rFonts w:ascii="宋体" w:hAnsi="宋体"/>
          <w:sz w:val="24"/>
          <w:szCs w:val="24"/>
        </w:rPr>
        <w:t xml:space="preserve">18.1 合同经双方法定代表人</w:t>
      </w:r>
      <w:r>
        <w:rPr>
          <w:rFonts w:hint="eastAsia" w:ascii="宋体" w:hAnsi="宋体"/>
          <w:sz w:val="24"/>
          <w:szCs w:val="24"/>
        </w:rPr>
        <w:t xml:space="preserve">（或负责人）</w:t>
      </w:r>
      <w:r>
        <w:rPr>
          <w:rFonts w:ascii="宋体" w:hAnsi="宋体"/>
          <w:sz w:val="24"/>
          <w:szCs w:val="24"/>
        </w:rPr>
        <w:t xml:space="preserve">或授权委托代</w:t>
      </w:r>
      <w:r>
        <w:rPr>
          <w:rFonts w:hint="eastAsia" w:ascii="宋体" w:hAnsi="宋体"/>
          <w:sz w:val="24"/>
          <w:szCs w:val="24"/>
        </w:rPr>
        <w:t xml:space="preserve">表</w:t>
      </w:r>
      <w:r>
        <w:rPr>
          <w:rFonts w:ascii="宋体" w:hAnsi="宋体"/>
          <w:sz w:val="24"/>
          <w:szCs w:val="24"/>
        </w:rPr>
        <w:t xml:space="preserve">人签字并加盖单位公章后生效。</w:t>
      </w:r>
      <w:r/>
    </w:p>
    <w:p>
      <w:pPr>
        <w:ind w:right="-286" w:firstLine="480"/>
        <w:spacing w:line="360" w:lineRule="exact"/>
        <w:rPr>
          <w:rFonts w:hint="eastAsia" w:ascii="宋体" w:hAnsi="宋体"/>
          <w:sz w:val="24"/>
          <w:szCs w:val="24"/>
        </w:rPr>
      </w:pPr>
      <w:r>
        <w:rPr>
          <w:rFonts w:ascii="宋体" w:hAnsi="宋体"/>
          <w:sz w:val="24"/>
          <w:szCs w:val="24"/>
        </w:rPr>
        <w:t xml:space="preserve">18.2本合同未尽事宜，遵照《</w:t>
      </w:r>
      <w:r>
        <w:rPr>
          <w:rFonts w:hint="eastAsia" w:ascii="宋体" w:hAnsi="宋体"/>
          <w:sz w:val="24"/>
          <w:szCs w:val="24"/>
        </w:rPr>
        <w:t xml:space="preserve">民</w:t>
      </w:r>
      <w:r>
        <w:rPr>
          <w:rFonts w:ascii="宋体" w:hAnsi="宋体"/>
          <w:sz w:val="24"/>
          <w:szCs w:val="24"/>
        </w:rPr>
        <w:t xml:space="preserve">法典》有关条文执行。</w:t>
      </w:r>
      <w:r/>
    </w:p>
    <w:p>
      <w:pPr>
        <w:ind w:right="-286" w:firstLine="480"/>
        <w:spacing w:line="36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3</w:t>
      </w:r>
      <w:r>
        <w:rPr>
          <w:rFonts w:ascii="宋体" w:hAnsi="宋体"/>
          <w:sz w:val="24"/>
          <w:szCs w:val="24"/>
        </w:rPr>
        <w:t xml:space="preserve"> 本合同一式</w:t>
      </w:r>
      <w:r>
        <w:rPr>
          <w:rFonts w:hint="eastAsia" w:ascii="宋体" w:hAnsi="宋体"/>
          <w:sz w:val="24"/>
          <w:szCs w:val="24"/>
        </w:rPr>
        <w:t xml:space="preserve">肆</w:t>
      </w:r>
      <w:r>
        <w:rPr>
          <w:rFonts w:ascii="宋体" w:hAnsi="宋体"/>
          <w:sz w:val="24"/>
          <w:szCs w:val="24"/>
        </w:rPr>
        <w:t xml:space="preserve">份，</w:t>
      </w:r>
      <w:r>
        <w:rPr>
          <w:rFonts w:hint="eastAsia" w:ascii="宋体" w:hAnsi="宋体"/>
          <w:sz w:val="24"/>
          <w:szCs w:val="24"/>
        </w:rPr>
        <w:t xml:space="preserve">甲乙双方各执贰份。</w:t>
      </w:r>
      <w:r/>
    </w:p>
    <w:p>
      <w:pPr>
        <w:ind w:right="-286" w:firstLine="480"/>
        <w:spacing w:line="360" w:lineRule="exact"/>
        <w:rPr>
          <w:rFonts w:hint="eastAsia" w:ascii="宋体" w:hAnsi="宋体"/>
          <w:sz w:val="24"/>
          <w:szCs w:val="24"/>
        </w:rPr>
      </w:pPr>
      <w:r>
        <w:rPr>
          <w:rFonts w:ascii="宋体" w:hAnsi="宋体"/>
          <w:sz w:val="24"/>
          <w:szCs w:val="24"/>
        </w:rPr>
        <w:t xml:space="preserve">  甲方：                         乙方： </w:t>
      </w:r>
      <w:r/>
    </w:p>
    <w:p>
      <w:pPr>
        <w:ind w:right="-286" w:firstLine="480"/>
        <w:spacing w:line="360" w:lineRule="exact"/>
        <w:rPr>
          <w:rFonts w:hint="eastAsia" w:ascii="宋体" w:hAnsi="宋体"/>
          <w:sz w:val="24"/>
          <w:szCs w:val="24"/>
        </w:rPr>
      </w:pPr>
      <w:r>
        <w:rPr>
          <w:rFonts w:ascii="宋体" w:hAnsi="宋体"/>
          <w:sz w:val="24"/>
          <w:szCs w:val="24"/>
        </w:rPr>
        <w:t xml:space="preserve">  地址：                         地址： </w:t>
      </w:r>
      <w:r/>
    </w:p>
    <w:p>
      <w:pPr>
        <w:ind w:right="-286" w:firstLine="480"/>
        <w:spacing w:line="360" w:lineRule="exact"/>
        <w:rPr>
          <w:rFonts w:hint="eastAsia" w:ascii="宋体" w:hAnsi="宋体"/>
          <w:sz w:val="24"/>
          <w:szCs w:val="24"/>
        </w:rPr>
      </w:pPr>
      <w:r>
        <w:rPr>
          <w:rFonts w:ascii="宋体" w:hAnsi="宋体"/>
          <w:sz w:val="24"/>
          <w:szCs w:val="24"/>
        </w:rPr>
        <w:t xml:space="preserve">  法定代表人</w:t>
      </w:r>
      <w:r>
        <w:rPr>
          <w:rFonts w:hint="eastAsia" w:ascii="宋体" w:hAnsi="宋体"/>
          <w:sz w:val="24"/>
          <w:szCs w:val="24"/>
        </w:rPr>
        <w:t xml:space="preserve">或授权代表</w:t>
      </w:r>
      <w:r>
        <w:rPr>
          <w:rFonts w:ascii="宋体" w:hAnsi="宋体"/>
          <w:sz w:val="24"/>
          <w:szCs w:val="24"/>
        </w:rPr>
        <w:t xml:space="preserve">：         法定代表人</w:t>
      </w:r>
      <w:r>
        <w:rPr>
          <w:rFonts w:hint="eastAsia" w:ascii="宋体" w:hAnsi="宋体"/>
          <w:sz w:val="24"/>
          <w:szCs w:val="24"/>
        </w:rPr>
        <w:t xml:space="preserve">（或负责人）或授权代表</w:t>
      </w:r>
      <w:r>
        <w:rPr>
          <w:rFonts w:ascii="宋体" w:hAnsi="宋体"/>
          <w:sz w:val="24"/>
          <w:szCs w:val="24"/>
        </w:rPr>
        <w:t xml:space="preserve">：</w:t>
      </w:r>
      <w:r/>
    </w:p>
    <w:p>
      <w:pPr>
        <w:ind w:right="-286" w:firstLine="480"/>
        <w:spacing w:line="36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联系电话：                     联系电话：</w:t>
      </w:r>
      <w:r/>
    </w:p>
    <w:p>
      <w:pPr>
        <w:pStyle w:val="1086"/>
        <w:ind w:right="-286"/>
        <w:spacing w:before="120" w:after="120" w:line="360" w:lineRule="exact"/>
        <w:rPr>
          <w:rFonts w:hint="eastAsia" w:hAnsi="宋体"/>
        </w:rPr>
      </w:pPr>
      <w:r>
        <w:rPr>
          <w:rFonts w:hAnsi="宋体"/>
        </w:rPr>
        <w:t xml:space="preserve">                   </w:t>
      </w:r>
      <w:r>
        <w:rPr>
          <w:rFonts w:hint="eastAsia" w:hAnsi="宋体"/>
        </w:rPr>
        <w:t xml:space="preserve">               </w:t>
      </w:r>
      <w:r/>
    </w:p>
    <w:p>
      <w:pPr>
        <w:pStyle w:val="1086"/>
        <w:ind w:right="-286"/>
        <w:spacing w:before="120" w:after="120" w:line="360" w:lineRule="exact"/>
        <w:rPr>
          <w:rFonts w:hAnsi="宋体"/>
          <w:sz w:val="24"/>
          <w:szCs w:val="24"/>
        </w:rPr>
      </w:pPr>
      <w:r>
        <w:rPr>
          <w:rFonts w:hint="eastAsia" w:hAnsi="宋体"/>
        </w:rPr>
        <w:t xml:space="preserve">      </w:t>
      </w:r>
      <w:r>
        <w:rPr>
          <w:rFonts w:hint="eastAsia" w:hAnsi="宋体"/>
          <w:sz w:val="24"/>
          <w:szCs w:val="24"/>
        </w:rPr>
        <w:t xml:space="preserve"> </w:t>
      </w:r>
      <w:r>
        <w:rPr>
          <w:rFonts w:hAnsi="宋体"/>
          <w:sz w:val="24"/>
          <w:szCs w:val="24"/>
        </w:rPr>
        <w:t xml:space="preserve"> 签订日期：      年  月  日</w:t>
      </w:r>
      <w:bookmarkEnd w:id="149"/>
      <w:r/>
      <w:r/>
    </w:p>
    <w:p>
      <w:pPr>
        <w:ind w:firstLine="0"/>
        <w:jc w:val="center"/>
        <w:spacing w:line="240" w:lineRule="auto"/>
        <w:rPr>
          <w:rFonts w:ascii="Times New Roman" w:eastAsia="方正小标宋_GBK"/>
          <w:color w:val="000000"/>
          <w:sz w:val="44"/>
          <w:szCs w:val="44"/>
        </w:rPr>
      </w:pPr>
      <w:r/>
      <w:bookmarkStart w:id="154" w:name="MOFFICE_OUTDOC_NTDOC__TITLE"/>
      <w:r>
        <w:rPr>
          <w:rFonts w:ascii="Times New Roman" w:eastAsia="方正小标宋_GBK"/>
          <w:color w:val="000000"/>
          <w:sz w:val="44"/>
          <w:szCs w:val="44"/>
        </w:rPr>
        <w:t xml:space="preserve">政府采购合同履约验收书（参考格式）</w:t>
      </w:r>
      <w:r/>
    </w:p>
    <w:p>
      <w:pPr>
        <w:ind w:firstLine="600"/>
        <w:jc w:val="left"/>
        <w:spacing w:line="560" w:lineRule="exact"/>
        <w:rPr>
          <w:rFonts w:ascii="Times New Roman"/>
          <w:color w:val="505050"/>
          <w:szCs w:val="32"/>
        </w:rPr>
      </w:pPr>
      <w:r>
        <w:rPr>
          <w:rFonts w:ascii="Times New Roman"/>
          <w:color w:val="000000"/>
          <w:szCs w:val="32"/>
        </w:rPr>
        <w:t xml:space="preserve">根据政府采购合同（编号：          ）的约定，我单位组织对</w:t>
      </w:r>
      <w:r>
        <w:rPr>
          <w:rFonts w:ascii="Times New Roman"/>
          <w:color w:val="000000"/>
          <w:szCs w:val="32"/>
          <w:u w:val="single"/>
        </w:rPr>
        <w:t xml:space="preserve">（项目名称）</w:t>
      </w:r>
      <w:r>
        <w:rPr>
          <w:rFonts w:ascii="Times New Roman"/>
          <w:color w:val="000000"/>
          <w:szCs w:val="32"/>
        </w:rPr>
        <w:t xml:space="preserve">项目中标（成交）供应商</w:t>
      </w:r>
      <w:r>
        <w:rPr>
          <w:rFonts w:ascii="Times New Roman"/>
          <w:color w:val="000000"/>
          <w:szCs w:val="32"/>
          <w:u w:val="single"/>
        </w:rPr>
        <w:t xml:space="preserve">（公司名称）</w:t>
      </w:r>
      <w:r>
        <w:rPr>
          <w:rFonts w:ascii="Times New Roman"/>
          <w:color w:val="000000"/>
          <w:szCs w:val="32"/>
        </w:rPr>
        <w:t xml:space="preserve">提供的货物（工程、服务）进行了履约验收，验收情况如下：</w:t>
      </w:r>
      <w:bookmarkEnd w:id="154"/>
      <w:r/>
      <w:r/>
    </w:p>
    <w:tbl>
      <w:tblPr>
        <w:tblStyle w:val="887"/>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1801"/>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widowControl w:val="off"/>
              <w:rPr>
                <w:rFonts w:ascii="Times New Roman" w:hAnsi="Times New Roman" w:eastAsia="宋体" w:cs="Times New Roman"/>
                <w:b/>
                <w:bCs/>
                <w:color w:val="000000"/>
                <w:sz w:val="21"/>
                <w:szCs w:val="32"/>
                <w:lang w:val="en-US" w:eastAsia="zh-CN" w:bidi="ar-SA"/>
              </w:rPr>
            </w:pPr>
            <w:r>
              <w:rPr>
                <w:rFonts w:ascii="Times New Roman" w:hAnsi="Times New Roman" w:eastAsia="宋体" w:cs="Times New Roman"/>
                <w:b/>
                <w:bCs/>
                <w:color w:val="000000"/>
                <w:sz w:val="21"/>
                <w:szCs w:val="32"/>
                <w:lang w:val="en-US" w:eastAsia="zh-CN" w:bidi="ar-SA"/>
              </w:rPr>
              <w:t xml:space="preserve">验收情况和验收意见</w:t>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（可另附）</w:t>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42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929"/>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验收小组（签字）：</w:t>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　　</w:t>
            </w:r>
            <w:r>
              <w:rPr>
                <w:rFonts w:ascii="Times New Roman" w:hAnsi="Times New Roman" w:eastAsia="宋体" w:cs="Times New Roman"/>
                <w:color w:val="000000"/>
                <w:sz w:val="21"/>
                <w:szCs w:val="32"/>
                <w:lang w:val="en-US" w:eastAsia="zh-CN" w:bidi="ar-SA"/>
              </w:rPr>
              <w:br/>
            </w:r>
            <w:r>
              <w:rPr>
                <w:rFonts w:ascii="Times New Roman" w:hAnsi="Times New Roman" w:eastAsia="宋体" w:cs="Times New Roman"/>
                <w:color w:val="000000"/>
                <w:sz w:val="21"/>
                <w:szCs w:val="32"/>
                <w:lang w:val="en-US" w:eastAsia="zh-CN" w:bidi="ar-SA"/>
              </w:rPr>
              <w:t xml:space="preserve">　　　　　                              年    月    日</w:t>
            </w:r>
            <w:r/>
          </w:p>
        </w:tc>
      </w:tr>
      <w:tr>
        <w:trPr>
          <w:jc w:val="center"/>
          <w:trHeight w:val="2294"/>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供应商确认意见（签章）：</w:t>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　　</w:t>
            </w:r>
            <w:r>
              <w:rPr>
                <w:rFonts w:ascii="Times New Roman" w:hAnsi="Times New Roman" w:eastAsia="宋体" w:cs="Times New Roman"/>
                <w:color w:val="000000"/>
                <w:sz w:val="21"/>
                <w:szCs w:val="32"/>
                <w:lang w:val="en-US" w:eastAsia="zh-CN" w:bidi="ar-SA"/>
              </w:rPr>
              <w:br/>
            </w:r>
            <w:r>
              <w:rPr>
                <w:rFonts w:ascii="Times New Roman" w:hAnsi="Times New Roman" w:eastAsia="宋体" w:cs="Times New Roman"/>
                <w:color w:val="000000"/>
                <w:sz w:val="21"/>
                <w:szCs w:val="32"/>
                <w:lang w:val="en-US" w:eastAsia="zh-CN" w:bidi="ar-SA"/>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采购人确认意见（签章）：</w:t>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　　</w:t>
            </w:r>
            <w:r>
              <w:rPr>
                <w:rFonts w:ascii="Times New Roman" w:hAnsi="Times New Roman" w:eastAsia="宋体" w:cs="Times New Roman"/>
                <w:color w:val="000000"/>
                <w:sz w:val="21"/>
                <w:szCs w:val="32"/>
                <w:lang w:val="en-US" w:eastAsia="zh-CN" w:bidi="ar-SA"/>
              </w:rPr>
              <w:br/>
            </w:r>
            <w:r>
              <w:rPr>
                <w:rFonts w:ascii="Times New Roman" w:hAnsi="Times New Roman" w:eastAsia="宋体" w:cs="Times New Roman"/>
                <w:color w:val="000000"/>
                <w:sz w:val="21"/>
                <w:szCs w:val="32"/>
                <w:lang w:val="en-US" w:eastAsia="zh-CN" w:bidi="ar-SA"/>
              </w:rPr>
              <w:t xml:space="preserve">　　　　　                              年    月    日</w:t>
            </w:r>
            <w:r/>
          </w:p>
        </w:tc>
      </w:tr>
    </w:tbl>
    <w:p>
      <w:pPr>
        <w:ind w:firstLine="0"/>
        <w:jc w:val="left"/>
        <w:spacing w:line="240" w:lineRule="auto"/>
        <w:rPr>
          <w:rFonts w:ascii="Times New Roman"/>
        </w:rPr>
      </w:pPr>
      <w:r>
        <w:rPr>
          <w:rFonts w:ascii="Times New Roman"/>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6"/>
        <w:ind w:right="-286"/>
        <w:spacing w:before="120" w:after="120" w:line="360" w:lineRule="exact"/>
        <w:rPr>
          <w:rFonts w:hint="eastAsia" w:hAnsi="宋体"/>
          <w:sz w:val="24"/>
          <w:szCs w:val="24"/>
        </w:rPr>
      </w:pPr>
      <w:r>
        <w:rPr>
          <w:rFonts w:hint="eastAsia" w:hAnsi="宋体"/>
          <w:sz w:val="24"/>
          <w:szCs w:val="24"/>
        </w:rPr>
      </w:r>
      <w:r/>
    </w:p>
    <w:p>
      <w:pPr>
        <w:pStyle w:val="1080"/>
        <w:numPr>
          <w:ilvl w:val="0"/>
          <w:numId w:val="4"/>
        </w:numPr>
        <w:ind w:right="-286"/>
        <w:rPr>
          <w:rFonts w:hint="eastAsia" w:ascii="宋体" w:hAnsi="宋体" w:eastAsia="宋体" w:cs="宋体"/>
          <w:bCs/>
          <w:sz w:val="44"/>
        </w:rPr>
      </w:pPr>
      <w:r>
        <w:rPr>
          <w:rFonts w:hint="eastAsia" w:ascii="宋体" w:hAnsi="宋体" w:eastAsia="宋体" w:cs="宋体"/>
          <w:b/>
          <w:sz w:val="44"/>
        </w:rPr>
        <w:t xml:space="preserve">采购需求</w:t>
      </w:r>
      <w:bookmarkStart w:id="155" w:name="_Toc120614281"/>
      <w:r/>
      <w:r/>
    </w:p>
    <w:p>
      <w:pPr>
        <w:pStyle w:val="1069"/>
        <w:rPr>
          <w:sz w:val="30"/>
          <w:szCs w:val="30"/>
        </w:rPr>
      </w:pPr>
      <w:r/>
      <w:bookmarkStart w:id="156" w:name="_Toc175326539"/>
      <w:r>
        <w:rPr>
          <w:sz w:val="30"/>
          <w:szCs w:val="30"/>
        </w:rPr>
        <w:t xml:space="preserve">一、项目概述</w:t>
      </w:r>
      <w:bookmarkEnd w:id="156"/>
      <w:r/>
      <w:r/>
    </w:p>
    <w:p>
      <w:pPr>
        <w:pStyle w:val="1070"/>
        <w:ind w:firstLine="640"/>
        <w:jc w:val="both"/>
        <w:rPr>
          <w:sz w:val="30"/>
          <w:szCs w:val="30"/>
        </w:rPr>
      </w:pPr>
      <w:r/>
      <w:bookmarkStart w:id="157" w:name="_Toc12989"/>
      <w:r/>
      <w:bookmarkStart w:id="158" w:name="_Toc27114"/>
      <w:r/>
      <w:bookmarkStart w:id="159" w:name="_Toc175326540"/>
      <w:r/>
      <w:bookmarkStart w:id="160" w:name="_Toc148"/>
      <w:r>
        <w:rPr>
          <w:rFonts w:hint="eastAsia"/>
          <w:sz w:val="30"/>
          <w:szCs w:val="30"/>
        </w:rPr>
        <w:t xml:space="preserve">1</w:t>
      </w:r>
      <w:r>
        <w:rPr>
          <w:sz w:val="30"/>
          <w:szCs w:val="30"/>
        </w:rPr>
        <w:t xml:space="preserve">.1 </w:t>
      </w:r>
      <w:r>
        <w:rPr>
          <w:rFonts w:hint="eastAsia"/>
          <w:sz w:val="30"/>
          <w:szCs w:val="30"/>
        </w:rPr>
        <w:t xml:space="preserve">项目名称</w:t>
      </w:r>
      <w:bookmarkEnd w:id="157"/>
      <w:r/>
      <w:bookmarkEnd w:id="158"/>
      <w:r/>
      <w:bookmarkEnd w:id="159"/>
      <w:r/>
      <w:bookmarkEnd w:id="160"/>
      <w:r/>
      <w:r/>
    </w:p>
    <w:p>
      <w:pPr>
        <w:pStyle w:val="891"/>
        <w:ind w:firstLine="840"/>
      </w:pPr>
      <w:r>
        <w:rPr>
          <w:rFonts w:hint="eastAsia"/>
        </w:rPr>
        <w:t xml:space="preserve">盐城市大丰区智慧海防建设项目</w:t>
      </w:r>
      <w:r/>
    </w:p>
    <w:p>
      <w:pPr>
        <w:pStyle w:val="1070"/>
        <w:ind w:firstLine="640"/>
        <w:jc w:val="both"/>
        <w:rPr>
          <w:sz w:val="30"/>
          <w:szCs w:val="30"/>
        </w:rPr>
      </w:pPr>
      <w:r/>
      <w:bookmarkStart w:id="161" w:name="_Toc175326541"/>
      <w:r>
        <w:rPr>
          <w:rFonts w:hint="eastAsia"/>
          <w:sz w:val="30"/>
          <w:szCs w:val="30"/>
        </w:rPr>
        <w:t xml:space="preserve">1</w:t>
      </w:r>
      <w:r>
        <w:rPr>
          <w:sz w:val="30"/>
          <w:szCs w:val="30"/>
        </w:rPr>
        <w:t xml:space="preserve">.2 </w:t>
      </w:r>
      <w:r>
        <w:rPr>
          <w:rFonts w:hint="eastAsia"/>
          <w:sz w:val="30"/>
          <w:szCs w:val="30"/>
        </w:rPr>
        <w:t xml:space="preserve">项目建设单位</w:t>
      </w:r>
      <w:bookmarkEnd w:id="161"/>
      <w:r/>
      <w:r/>
    </w:p>
    <w:p>
      <w:pPr>
        <w:ind w:firstLine="840"/>
      </w:pPr>
      <w:r>
        <w:rPr>
          <w:rFonts w:hint="eastAsia"/>
        </w:rPr>
        <w:t xml:space="preserve">盐城市大丰区公安局</w:t>
      </w:r>
      <w:r/>
    </w:p>
    <w:p>
      <w:pPr>
        <w:pStyle w:val="1070"/>
        <w:ind w:firstLine="640"/>
        <w:jc w:val="both"/>
        <w:rPr>
          <w:sz w:val="30"/>
          <w:szCs w:val="30"/>
        </w:rPr>
      </w:pPr>
      <w:r/>
      <w:bookmarkStart w:id="162" w:name="_Toc175326542"/>
      <w:r>
        <w:rPr>
          <w:rFonts w:hint="eastAsia"/>
          <w:sz w:val="30"/>
          <w:szCs w:val="30"/>
        </w:rPr>
        <w:t xml:space="preserve">1</w:t>
      </w:r>
      <w:r>
        <w:rPr>
          <w:sz w:val="30"/>
          <w:szCs w:val="30"/>
        </w:rPr>
        <w:t xml:space="preserve">.3 </w:t>
      </w:r>
      <w:r>
        <w:rPr>
          <w:rFonts w:hint="eastAsia"/>
          <w:sz w:val="30"/>
          <w:szCs w:val="30"/>
        </w:rPr>
        <w:t xml:space="preserve">设计方案和投资概算编制单位</w:t>
      </w:r>
      <w:bookmarkEnd w:id="162"/>
      <w:r/>
      <w:r/>
    </w:p>
    <w:p>
      <w:pPr>
        <w:ind w:firstLine="840"/>
      </w:pPr>
      <w:r/>
      <w:bookmarkStart w:id="163" w:name="_Toc7120"/>
      <w:r/>
      <w:bookmarkStart w:id="164" w:name="_Toc23282"/>
      <w:r/>
      <w:bookmarkStart w:id="165" w:name="_Toc21595"/>
      <w:r>
        <w:rPr>
          <w:rFonts w:hint="eastAsia"/>
        </w:rPr>
        <w:t xml:space="preserve">中通服咨询设计研究院有限</w:t>
      </w:r>
      <w:r>
        <w:t xml:space="preserve">公司</w:t>
      </w:r>
      <w:r/>
    </w:p>
    <w:p>
      <w:pPr>
        <w:pStyle w:val="1070"/>
        <w:ind w:firstLine="640"/>
        <w:jc w:val="both"/>
        <w:rPr>
          <w:sz w:val="30"/>
          <w:szCs w:val="30"/>
        </w:rPr>
      </w:pPr>
      <w:r/>
      <w:bookmarkStart w:id="166" w:name="_Toc175326543"/>
      <w:r>
        <w:rPr>
          <w:rFonts w:hint="eastAsia"/>
          <w:sz w:val="30"/>
          <w:szCs w:val="30"/>
        </w:rPr>
        <w:t xml:space="preserve">1</w:t>
      </w:r>
      <w:r>
        <w:rPr>
          <w:sz w:val="30"/>
          <w:szCs w:val="30"/>
        </w:rPr>
        <w:t xml:space="preserve">.4 </w:t>
      </w:r>
      <w:bookmarkEnd w:id="163"/>
      <w:r/>
      <w:bookmarkEnd w:id="164"/>
      <w:r/>
      <w:bookmarkEnd w:id="165"/>
      <w:r>
        <w:rPr>
          <w:rFonts w:hint="eastAsia"/>
          <w:sz w:val="30"/>
          <w:szCs w:val="30"/>
        </w:rPr>
        <w:t xml:space="preserve">设计方案及投资概算编制依据</w:t>
      </w:r>
      <w:bookmarkEnd w:id="166"/>
      <w:r/>
      <w:r/>
    </w:p>
    <w:p>
      <w:pPr>
        <w:pStyle w:val="1071"/>
      </w:pPr>
      <w:r/>
      <w:bookmarkStart w:id="167" w:name="_Toc10384"/>
      <w:r/>
      <w:bookmarkStart w:id="168" w:name="_Toc161835500"/>
      <w:r/>
      <w:bookmarkStart w:id="169" w:name="_Toc175326544"/>
      <w:r/>
      <w:bookmarkStart w:id="170" w:name="_Toc27917"/>
      <w:r/>
      <w:bookmarkStart w:id="171" w:name="_Toc15442"/>
      <w:r>
        <w:rPr>
          <w:rFonts w:hint="eastAsia"/>
        </w:rPr>
        <w:t xml:space="preserve">1.4.1设计编制依据</w:t>
      </w:r>
      <w:bookmarkEnd w:id="167"/>
      <w:r/>
      <w:bookmarkEnd w:id="168"/>
      <w:r/>
      <w:bookmarkEnd w:id="169"/>
      <w:r/>
      <w:bookmarkEnd w:id="170"/>
      <w:r/>
      <w:bookmarkEnd w:id="171"/>
      <w:r/>
      <w:r/>
    </w:p>
    <w:p>
      <w:r/>
      <w:bookmarkStart w:id="172" w:name="_Toc23925"/>
      <w:r/>
      <w:bookmarkStart w:id="173" w:name="_Toc2467"/>
      <w:r/>
      <w:bookmarkStart w:id="174" w:name="_Toc16043"/>
      <w:r>
        <w:rPr>
          <w:rFonts w:hint="eastAsia"/>
        </w:rPr>
        <w:t xml:space="preserve">依据国家相关法律规章、国家和行业相关标准、相关研究成果等资料进行本设计，具体如下：</w:t>
      </w:r>
      <w:r/>
    </w:p>
    <w:p>
      <w:pPr>
        <w:pStyle w:val="1094"/>
        <w:ind w:firstLine="480"/>
      </w:pPr>
      <w:r>
        <w:rPr>
          <w:rFonts w:hint="eastAsia"/>
        </w:rPr>
        <w:t xml:space="preserve">（1）《关于印发〈全国公安机关加快社会治安防控体系建设行动计划〉的通知》（公通字〔2019〕14号）</w:t>
      </w:r>
      <w:r/>
    </w:p>
    <w:p>
      <w:pPr>
        <w:pStyle w:val="1094"/>
        <w:ind w:firstLine="480"/>
      </w:pPr>
      <w:r>
        <w:rPr>
          <w:rFonts w:hint="eastAsia"/>
        </w:rPr>
        <w:t xml:space="preserve">（2）《江苏省水域治安管理条例》</w:t>
      </w:r>
      <w:r/>
    </w:p>
    <w:p>
      <w:pPr>
        <w:pStyle w:val="1094"/>
        <w:ind w:firstLine="480"/>
      </w:pPr>
      <w:r>
        <w:rPr>
          <w:rFonts w:hint="eastAsia"/>
        </w:rPr>
        <w:t xml:space="preserve">（3）《全省公安机关推进社会治安防控体系升级工作建设实施方案》</w:t>
      </w:r>
      <w:r/>
    </w:p>
    <w:p>
      <w:pPr>
        <w:pStyle w:val="1094"/>
        <w:ind w:firstLine="480"/>
      </w:pPr>
      <w:r>
        <w:rPr>
          <w:rFonts w:hint="eastAsia"/>
        </w:rPr>
        <w:t xml:space="preserve">（4）《安全防范视频监控联网系统信息传输、交换、控制技术要求》（GB/T28181-11）</w:t>
      </w:r>
      <w:r/>
    </w:p>
    <w:p>
      <w:pPr>
        <w:pStyle w:val="1094"/>
        <w:ind w:firstLine="480"/>
      </w:pPr>
      <w:r>
        <w:rPr>
          <w:rFonts w:hint="eastAsia"/>
        </w:rPr>
        <w:t xml:space="preserve">（5）《信息安全等级保护管理办法》（公通字[2007]43号）</w:t>
      </w:r>
      <w:r/>
    </w:p>
    <w:p>
      <w:pPr>
        <w:pStyle w:val="1094"/>
        <w:ind w:firstLine="480"/>
      </w:pPr>
      <w:r>
        <w:rPr>
          <w:rFonts w:hint="eastAsia"/>
        </w:rPr>
        <w:t xml:space="preserve">（6）《船舶基本信息采集交换接口规范》（TJ/T981-2015）</w:t>
      </w:r>
      <w:r/>
    </w:p>
    <w:p>
      <w:pPr>
        <w:pStyle w:val="1094"/>
        <w:ind w:firstLine="480"/>
      </w:pPr>
      <w:r>
        <w:rPr>
          <w:rFonts w:hint="eastAsia"/>
        </w:rPr>
        <w:t xml:space="preserve">（7）《中华人民共和国网络安全法》（2016年11月7日颁布）</w:t>
      </w:r>
      <w:r/>
    </w:p>
    <w:p>
      <w:pPr>
        <w:pStyle w:val="1094"/>
        <w:ind w:firstLine="480"/>
      </w:pPr>
      <w:r>
        <w:rPr>
          <w:rFonts w:hint="eastAsia"/>
        </w:rPr>
        <w:t xml:space="preserve">（8）《公共安全视频监控联网信息安全技术要求》（GB 35114-2017）</w:t>
      </w:r>
      <w:r/>
    </w:p>
    <w:p>
      <w:pPr>
        <w:pStyle w:val="1094"/>
        <w:ind w:firstLine="480"/>
      </w:pPr>
      <w:r>
        <w:rPr>
          <w:rFonts w:hint="eastAsia"/>
        </w:rPr>
        <w:t xml:space="preserve">（9）《信息安全技术 网络安全等级保护基本要求》（GB/T 22239-2019）</w:t>
      </w:r>
      <w:r/>
    </w:p>
    <w:p>
      <w:pPr>
        <w:pStyle w:val="1094"/>
        <w:ind w:firstLine="480"/>
      </w:pPr>
      <w:r>
        <w:rPr>
          <w:rFonts w:hint="eastAsia"/>
        </w:rPr>
        <w:t xml:space="preserve">（10）《电子信息系统机房设计规范》(GB50174-2008)</w:t>
      </w:r>
      <w:r/>
    </w:p>
    <w:p>
      <w:pPr>
        <w:pStyle w:val="1094"/>
        <w:ind w:firstLine="480"/>
      </w:pPr>
      <w:r>
        <w:rPr>
          <w:rFonts w:hint="eastAsia"/>
        </w:rPr>
        <w:t xml:space="preserve">（11）《电子计算机场地通用规范》（GB/T2887-2011）</w:t>
      </w:r>
      <w:r/>
    </w:p>
    <w:p>
      <w:pPr>
        <w:pStyle w:val="1094"/>
        <w:ind w:firstLine="480"/>
      </w:pPr>
      <w:r>
        <w:rPr>
          <w:rFonts w:hint="eastAsia"/>
        </w:rPr>
        <w:t xml:space="preserve">（9）研究过程中实际调查及收集的其它资料</w:t>
      </w:r>
      <w:r/>
    </w:p>
    <w:p>
      <w:pPr>
        <w:pStyle w:val="1094"/>
        <w:ind w:firstLine="480"/>
      </w:pPr>
      <w:r>
        <w:rPr>
          <w:rFonts w:hint="eastAsia"/>
        </w:rPr>
        <w:t xml:space="preserve">限于篇幅，此处列举部分依据，除上述规范以外，遵循国家现行的规范和标准要求</w:t>
      </w:r>
      <w:r/>
    </w:p>
    <w:p>
      <w:pPr>
        <w:pStyle w:val="1071"/>
      </w:pPr>
      <w:r/>
      <w:bookmarkStart w:id="175" w:name="_Toc175326545"/>
      <w:r>
        <w:rPr>
          <w:rFonts w:hint="eastAsia"/>
        </w:rPr>
        <w:t xml:space="preserve">1.4.2概算编制依据</w:t>
      </w:r>
      <w:bookmarkEnd w:id="172"/>
      <w:r/>
      <w:bookmarkEnd w:id="173"/>
      <w:r/>
      <w:bookmarkEnd w:id="174"/>
      <w:r/>
      <w:bookmarkEnd w:id="175"/>
      <w:r/>
      <w:r/>
    </w:p>
    <w:p>
      <w:r>
        <w:t xml:space="preserve">（1）江苏省住房和城乡建设厅《江苏省建设工程费用定额（2014年）》（苏建价【2014】299号）。</w:t>
      </w:r>
      <w:r/>
    </w:p>
    <w:p>
      <w:r>
        <w:t xml:space="preserve">（2）住房和城乡建设部办公厅《关于做好建筑业营改增建设工程计价依据调整准备工作的通知》（建办标【2016】4号）。</w:t>
      </w:r>
      <w:r/>
    </w:p>
    <w:p>
      <w:r>
        <w:t xml:space="preserve">（3）江苏省住房和城乡建设厅《关于建筑业实施营改增后江苏省建设工程计价依据调整的通知》（苏建价【2016】154号）。</w:t>
      </w:r>
      <w:r/>
    </w:p>
    <w:p>
      <w:r>
        <w:t xml:space="preserve">（4）江苏省住房和城乡建设厅《关于发布建设工程人工工资指导价的通知》（苏建函价【2019】142号）</w:t>
      </w:r>
      <w:r/>
    </w:p>
    <w:p>
      <w:r>
        <w:t xml:space="preserve">（5）财政部、国家安全生产监督管理总局《企业安全生产费用提取和使用管理办法》（财企【2012】16号）</w:t>
      </w:r>
      <w:r/>
    </w:p>
    <w:p>
      <w:r>
        <w:t xml:space="preserve">（6）财政部《基本建设项目建设成本规定》（财建【2016年】504号）。</w:t>
      </w:r>
      <w:r/>
    </w:p>
    <w:p>
      <w:r>
        <w:t xml:space="preserve">（7）建设单位下发的关于本工程的概算编制的意见。</w:t>
      </w:r>
      <w:r/>
    </w:p>
    <w:p>
      <w:pPr>
        <w:pStyle w:val="1070"/>
        <w:ind w:firstLine="640"/>
        <w:rPr>
          <w:sz w:val="30"/>
          <w:szCs w:val="30"/>
        </w:rPr>
      </w:pPr>
      <w:r/>
      <w:bookmarkStart w:id="176" w:name="_Toc175326546"/>
      <w:r>
        <w:rPr>
          <w:rFonts w:hint="eastAsia"/>
          <w:sz w:val="30"/>
          <w:szCs w:val="30"/>
        </w:rPr>
        <w:t xml:space="preserve">1</w:t>
      </w:r>
      <w:r>
        <w:rPr>
          <w:sz w:val="30"/>
          <w:szCs w:val="30"/>
        </w:rPr>
        <w:t xml:space="preserve">.5</w:t>
      </w:r>
      <w:r>
        <w:rPr>
          <w:rFonts w:hint="eastAsia"/>
          <w:sz w:val="30"/>
          <w:szCs w:val="30"/>
        </w:rPr>
        <w:t xml:space="preserve">项目建设目标、规模、内容、工程合理使用年限</w:t>
      </w:r>
      <w:bookmarkEnd w:id="176"/>
      <w:r/>
      <w:r/>
    </w:p>
    <w:p>
      <w:pPr>
        <w:pStyle w:val="1071"/>
        <w:rPr>
          <w:sz w:val="30"/>
          <w:szCs w:val="30"/>
        </w:rPr>
      </w:pPr>
      <w:r/>
      <w:bookmarkStart w:id="177" w:name="_Toc175326547"/>
      <w:r>
        <w:rPr>
          <w:rFonts w:hint="eastAsia"/>
          <w:sz w:val="30"/>
          <w:szCs w:val="30"/>
        </w:rPr>
        <w:t xml:space="preserve">1.5.1建设目标</w:t>
      </w:r>
      <w:bookmarkEnd w:id="177"/>
      <w:r/>
      <w:r/>
    </w:p>
    <w:p>
      <w:pPr>
        <w:ind w:firstLine="420"/>
      </w:pPr>
      <w:r>
        <w:rPr>
          <w:rFonts w:hint="eastAsia"/>
        </w:rPr>
        <w:t xml:space="preserve">本次项目建设集成雷达、AIS、北斗、电子卡口、视频监控（激光云台、AR鹰眼、球机、船舶识别）等多种前端感知数据，针对海防日常业务管理以及实战需要，进行全方位数据融合，形成盐城市大丰区智慧海防预警实战应用的“智慧中枢”，打造海、陆、空三位一体的沿海区域“最强大脑”。</w:t>
      </w:r>
      <w:r/>
    </w:p>
    <w:p>
      <w:pPr>
        <w:pStyle w:val="1071"/>
        <w:rPr>
          <w:sz w:val="30"/>
          <w:szCs w:val="30"/>
        </w:rPr>
      </w:pPr>
      <w:r/>
      <w:bookmarkStart w:id="178" w:name="_Toc175326548"/>
      <w:r>
        <w:rPr>
          <w:rFonts w:hint="eastAsia"/>
          <w:sz w:val="30"/>
          <w:szCs w:val="30"/>
        </w:rPr>
        <w:t xml:space="preserve">1.5.2建设规模、内容</w:t>
      </w:r>
      <w:bookmarkEnd w:id="178"/>
      <w:r/>
      <w:r/>
    </w:p>
    <w:p>
      <w:pPr>
        <w:pStyle w:val="1072"/>
        <w:rPr>
          <w:rFonts w:cs="Arial"/>
          <w:sz w:val="30"/>
          <w:szCs w:val="30"/>
        </w:rPr>
      </w:pPr>
      <w:r>
        <w:rPr>
          <w:rFonts w:hint="eastAsia"/>
          <w:sz w:val="30"/>
          <w:szCs w:val="30"/>
        </w:rPr>
        <w:t xml:space="preserve">1.5.2.1</w:t>
      </w:r>
      <w:r>
        <w:rPr>
          <w:rFonts w:hint="eastAsia" w:cs="Arial"/>
          <w:sz w:val="30"/>
          <w:szCs w:val="30"/>
        </w:rPr>
        <w:t xml:space="preserve">前</w:t>
      </w:r>
      <w:r>
        <w:rPr>
          <w:rFonts w:hint="eastAsia"/>
          <w:sz w:val="30"/>
          <w:szCs w:val="30"/>
        </w:rPr>
        <w:t xml:space="preserve">端</w:t>
      </w:r>
      <w:r>
        <w:rPr>
          <w:rFonts w:hint="eastAsia" w:cs="Arial"/>
          <w:sz w:val="30"/>
          <w:szCs w:val="30"/>
        </w:rPr>
        <w:t xml:space="preserve">建设</w:t>
      </w:r>
      <w:r/>
    </w:p>
    <w:p>
      <w:r>
        <w:rPr>
          <w:rFonts w:hint="eastAsia"/>
        </w:rPr>
        <w:t xml:space="preserve">（1）出海口及码头区域管控</w:t>
      </w:r>
      <w:r/>
    </w:p>
    <w:p>
      <w:pPr>
        <w:ind w:firstLine="420"/>
      </w:pPr>
      <w:r>
        <w:rPr>
          <w:rFonts w:hint="eastAsia"/>
        </w:rPr>
        <w:t xml:space="preserve">项目拟在川东新闸、王港新闸、四卯酉闸、斗龙港闸码头附近，租赁2座铁塔（川东新闸、斗龙港闸码头附近），安装2套全固态雷达、2套激光重载云台、2套高空AR鹰眼、2套AIS基站、2套船舶识别终端、5只黑光球机，通过上述设备联动，实现海域船只的探测、识别、跟踪；另在斗龙港码头、四卯酉闸、王港新闸、川东新闸安装8只结构化相机，对进出码头的人员和车辆进行要素采集。</w:t>
      </w:r>
      <w:r/>
    </w:p>
    <w:p>
      <w:r>
        <w:rPr>
          <w:rFonts w:hint="eastAsia"/>
        </w:rPr>
        <w:t xml:space="preserve">（2）沿线道路管控</w:t>
      </w:r>
      <w:r/>
    </w:p>
    <w:p>
      <w:pPr>
        <w:ind w:firstLine="420"/>
      </w:pPr>
      <w:r>
        <w:rPr>
          <w:rFonts w:hint="eastAsia"/>
        </w:rPr>
        <w:t xml:space="preserve">拟在渔业街北侧、斗龙海防所东北侧、斗龙港闸西南侧、四卯酉海防所北侧、大丰港五号井及沿线道路、王港新闸西侧、川东海防所河南三岔口处，新建34台智能监控，采用卡口、结构化、黑光球机相结合方式，配合原有已建抓拍点位，实现对进出四个港闸的所有外围道路人员、车辆全覆盖抓拍。</w:t>
      </w:r>
      <w:r/>
    </w:p>
    <w:p>
      <w:pPr>
        <w:pStyle w:val="1072"/>
      </w:pPr>
      <w:r>
        <w:rPr>
          <w:rFonts w:hint="eastAsia"/>
        </w:rPr>
        <w:t xml:space="preserve">1.5.2.2海防中心建设</w:t>
      </w:r>
      <w:r/>
    </w:p>
    <w:p>
      <w:r>
        <w:rPr>
          <w:rFonts w:hint="eastAsia"/>
        </w:rPr>
        <w:t xml:space="preserve">（1）指挥大屏</w:t>
      </w:r>
      <w:r/>
    </w:p>
    <w:p>
      <w:pPr>
        <w:ind w:firstLine="420"/>
      </w:pPr>
      <w:r>
        <w:rPr>
          <w:rFonts w:hint="eastAsia"/>
        </w:rPr>
        <w:t xml:space="preserve">海防指挥中心作为合成研判、指挥调度的核心中枢，将更多承担信息综合、指挥调度、重大活动安保、演示报告等活动。为满足新勤务模式下大数据分析研判、可视化融合应用等功能要求，结合现海防中心设计需求，拟在大厅东侧新建一套1.25mm间距的COB显示大屏，整屏净尺寸不低于12m*4.05m（48.6m</w:t>
      </w:r>
      <w:r>
        <w:rPr>
          <w:rFonts w:hint="eastAsia"/>
          <w:vertAlign w:val="superscript"/>
        </w:rPr>
        <w:t xml:space="preserve">2</w:t>
      </w:r>
      <w:r>
        <w:rPr>
          <w:rFonts w:hint="eastAsia"/>
        </w:rPr>
        <w:t xml:space="preserve">），采用1</w:t>
      </w:r>
      <w:r>
        <w:rPr>
          <w:rFonts w:hint="eastAsia"/>
          <w:vertAlign w:val="superscript"/>
        </w:rPr>
        <w:t xml:space="preserve">0</w:t>
      </w:r>
      <w:r>
        <w:rPr>
          <w:rFonts w:hint="eastAsia"/>
        </w:rPr>
        <w:t xml:space="preserve">内弧设计。</w:t>
      </w:r>
      <w:r/>
    </w:p>
    <w:p>
      <w:r>
        <w:rPr>
          <w:rFonts w:hint="eastAsia"/>
        </w:rPr>
        <w:t xml:space="preserve">（2）分布式音视频系统</w:t>
      </w:r>
      <w:r/>
    </w:p>
    <w:p>
      <w:pPr>
        <w:ind w:firstLine="420"/>
      </w:pPr>
      <w:r>
        <w:rPr>
          <w:rFonts w:hint="eastAsia"/>
        </w:rPr>
        <w:t xml:space="preserve">为满足大厅音视频信号源控制及信号上屏需求，拟在中心和区局各部署1套分布式音视频系统(合计69个输入输出节点)；另采购1套视频会议终端、1套MCU会议控制单元和1台85寸4K电视机，配套相应授权软件。</w:t>
      </w:r>
      <w:r/>
    </w:p>
    <w:p>
      <w:r>
        <w:rPr>
          <w:rFonts w:hint="eastAsia"/>
        </w:rPr>
        <w:t xml:space="preserve">（3）扩声系统</w:t>
      </w:r>
      <w:r/>
    </w:p>
    <w:p>
      <w:pPr>
        <w:ind w:firstLine="420"/>
      </w:pPr>
      <w:r>
        <w:rPr>
          <w:rFonts w:hint="eastAsia"/>
        </w:rPr>
        <w:t xml:space="preserve">在海防中心部署专业音箱，主席台和操作席位设置18只会议话筒和1套无线话筒、以及调音台、数字会议主机等配套设备，满足日常工作需要。</w:t>
      </w:r>
      <w:r/>
    </w:p>
    <w:p>
      <w:r>
        <w:rPr>
          <w:rFonts w:hint="eastAsia"/>
        </w:rPr>
        <w:t xml:space="preserve">（4）控制台、会议桌及座椅</w:t>
      </w:r>
      <w:r/>
    </w:p>
    <w:p>
      <w:pPr>
        <w:ind w:firstLine="420"/>
      </w:pPr>
      <w:r>
        <w:rPr>
          <w:rFonts w:hint="eastAsia"/>
        </w:rPr>
        <w:t xml:space="preserve">经测算，大厅拟采购29工位的控制台，27套座椅；在研判中心和办案区会商室采购大小会议桌2套，座椅24套。</w:t>
      </w:r>
      <w:r/>
    </w:p>
    <w:p>
      <w:r>
        <w:rPr>
          <w:rFonts w:hint="eastAsia"/>
        </w:rPr>
        <w:t xml:space="preserve">（5）办公电脑</w:t>
      </w:r>
      <w:r/>
    </w:p>
    <w:p>
      <w:pPr>
        <w:ind w:firstLine="420"/>
      </w:pPr>
      <w:r>
        <w:rPr>
          <w:rFonts w:hint="eastAsia"/>
        </w:rPr>
        <w:t xml:space="preserve">拟采购28台高性能国产芯片电脑（内置独立显卡），显示屏18台，打印机3台，满足海防中心日常办公需要。</w:t>
      </w:r>
      <w:r/>
    </w:p>
    <w:p>
      <w:pPr>
        <w:numPr>
          <w:ilvl w:val="0"/>
          <w:numId w:val="5"/>
        </w:numPr>
      </w:pPr>
      <w:r>
        <w:rPr>
          <w:rFonts w:hint="eastAsia"/>
        </w:rPr>
        <w:t xml:space="preserve">中央空调</w:t>
      </w:r>
      <w:r/>
    </w:p>
    <w:p>
      <w:r>
        <w:rPr>
          <w:rFonts w:hint="eastAsia"/>
        </w:rPr>
        <w:t xml:space="preserve">    对新建海防中心上下层安装中央空调1整套设备。</w:t>
      </w:r>
      <w:r/>
    </w:p>
    <w:p>
      <w:pPr>
        <w:pStyle w:val="1072"/>
      </w:pPr>
      <w:r>
        <w:rPr>
          <w:rFonts w:hint="eastAsia"/>
        </w:rPr>
        <w:t xml:space="preserve">1.5.2.3后端扩容</w:t>
      </w:r>
      <w:r/>
    </w:p>
    <w:p>
      <w:pPr>
        <w:ind w:firstLine="420"/>
      </w:pPr>
      <w:r>
        <w:rPr>
          <w:rFonts w:hint="eastAsia"/>
        </w:rPr>
        <w:t xml:space="preserve">1、云存储扩容</w:t>
      </w:r>
      <w:r/>
    </w:p>
    <w:p>
      <w:pPr>
        <w:ind w:firstLine="420"/>
      </w:pPr>
      <w:r>
        <w:rPr>
          <w:rFonts w:hint="eastAsia"/>
        </w:rPr>
        <w:t xml:space="preserve">经测算，拟采购2台48盘位云存储（单台裸容量768TB），1台24盘位云存储，核心交换机2台，</w:t>
      </w:r>
      <w:r>
        <w:rPr>
          <w:rFonts w:hint="eastAsia"/>
          <w:lang w:val="en-US" w:eastAsia="zh-CN"/>
        </w:rPr>
        <w:t xml:space="preserve">融合</w:t>
      </w:r>
      <w:r>
        <w:rPr>
          <w:rFonts w:hint="eastAsia"/>
        </w:rPr>
        <w:t xml:space="preserve">服务器</w:t>
      </w:r>
      <w:r>
        <w:rPr>
          <w:rFonts w:hint="eastAsia"/>
          <w:lang w:val="en-US" w:eastAsia="zh-CN"/>
        </w:rPr>
        <w:t xml:space="preserve">3</w:t>
      </w:r>
      <w:r>
        <w:rPr>
          <w:rFonts w:hint="eastAsia"/>
        </w:rPr>
        <w:t xml:space="preserve">台，满足前端监控视频图片存储和网络数据交换。另对现有过保云存储210块坏盘进行采购更换。</w:t>
      </w:r>
      <w:r/>
    </w:p>
    <w:p>
      <w:pPr>
        <w:ind w:firstLine="420"/>
      </w:pPr>
      <w:r>
        <w:rPr>
          <w:rFonts w:hint="eastAsia"/>
        </w:rPr>
        <w:t xml:space="preserve">2、网络安全设备</w:t>
      </w:r>
      <w:r/>
    </w:p>
    <w:p>
      <w:pPr>
        <w:ind w:firstLine="420"/>
      </w:pPr>
      <w:r>
        <w:rPr>
          <w:rFonts w:hint="eastAsia"/>
        </w:rPr>
        <w:t xml:space="preserve">拟在感知网采购1套物联网安全准入控制系统，对接入感知网的监控设备（最大支持1.6万路）及其他外部设备进行准入控制，预防非公安类外部设备随意接入公安专网，防范数据泄漏事件发生；等保整改需要采购2套防火墙及特征库，以及2个三级等保系统测评费用；另在互联网至感知网间部署1套请求服务访问控制系统，便于数据安全交换。</w:t>
      </w:r>
      <w:r/>
    </w:p>
    <w:p>
      <w:pPr>
        <w:pStyle w:val="1069"/>
        <w:ind w:firstLine="883"/>
        <w:rPr>
          <w:sz w:val="30"/>
          <w:szCs w:val="30"/>
        </w:rPr>
      </w:pPr>
      <w:r/>
      <w:bookmarkStart w:id="179" w:name="_Toc175326549"/>
      <w:r>
        <w:rPr>
          <w:rFonts w:hint="eastAsia"/>
          <w:sz w:val="30"/>
          <w:szCs w:val="30"/>
        </w:rPr>
        <w:t xml:space="preserve">二、需求分析</w:t>
      </w:r>
      <w:bookmarkEnd w:id="179"/>
      <w:r/>
      <w:r/>
    </w:p>
    <w:p>
      <w:pPr>
        <w:ind w:firstLine="420"/>
      </w:pPr>
      <w:r>
        <w:rPr>
          <w:rFonts w:hint="eastAsia"/>
        </w:rPr>
        <w:t xml:space="preserve">沿海安全</w:t>
      </w:r>
      <w:r/>
    </w:p>
    <w:p>
      <w:pPr>
        <w:ind w:firstLine="420"/>
      </w:pPr>
      <w:r>
        <w:rPr>
          <w:rFonts w:hint="eastAsia"/>
        </w:rPr>
        <w:t xml:space="preserve">维护国家安全与稳定：智慧海防利用现代科技手段对国家边境线和海洋领土进行实时、全面、准确的监视和掌握，形成一套以保障国家安全和维护边境地区稳定的长效机制。在当前面临各种复杂安全威胁的形势下，智慧海防建设显得尤为重要。</w:t>
      </w:r>
      <w:r/>
    </w:p>
    <w:p>
      <w:pPr>
        <w:ind w:firstLine="420"/>
      </w:pPr>
      <w:r>
        <w:rPr>
          <w:rFonts w:hint="eastAsia"/>
        </w:rPr>
        <w:t xml:space="preserve">提升海防工作效率和水平：智慧海防信息系统建设的目标是实现对海域及相关物资、设施、人员等各项资源的全面监测和管理，从而提升海防工作的效率和水平。通过数字化、可视化的手段，可以更加高效地处理各种海防事务，提高海防工作的响应速度和准确性。</w:t>
      </w:r>
      <w:r/>
    </w:p>
    <w:p>
      <w:r>
        <w:rPr>
          <w:rFonts w:hint="eastAsia"/>
        </w:rPr>
        <w:t xml:space="preserve">构建现代化海防治理新格局：智慧海防建设通过构建机制保障、常态运行、安全可靠的立体智能管控体系，可以打造现代化海防治理新格局。构建海陆空三位一体的防护屏障，让海防体系变得更加“耳聪目明”。</w:t>
      </w:r>
      <w:r/>
    </w:p>
    <w:p>
      <w:pPr>
        <w:ind w:firstLine="420"/>
      </w:pPr>
      <w:r>
        <w:rPr>
          <w:rFonts w:hint="eastAsia"/>
        </w:rPr>
        <w:t xml:space="preserve">违法走私打击</w:t>
      </w:r>
      <w:r/>
    </w:p>
    <w:p>
      <w:pPr>
        <w:ind w:firstLine="420"/>
      </w:pPr>
      <w:r>
        <w:rPr>
          <w:rFonts w:hint="eastAsia"/>
        </w:rPr>
        <w:t xml:space="preserve">智慧海防在打击走私方面的应用，通过整合现代科技手段，显著提高了对走私活动的监控、预警和打击能力。以下是智慧海防在打击走私方面的主要应用：</w:t>
      </w:r>
      <w:r/>
    </w:p>
    <w:p>
      <w:pPr>
        <w:ind w:firstLine="420"/>
      </w:pPr>
      <w:r>
        <w:rPr>
          <w:rFonts w:hint="eastAsia"/>
        </w:rPr>
        <w:t xml:space="preserve">全天候监控与智能分析：利用高清摄像头、红外感应器、雷达等先进设备，对海岸线、港口、码头等关键区域进行全天候、全方位的监控。</w:t>
      </w:r>
      <w:r/>
    </w:p>
    <w:p>
      <w:pPr>
        <w:ind w:firstLine="420"/>
      </w:pPr>
      <w:r>
        <w:rPr>
          <w:rFonts w:hint="eastAsia"/>
        </w:rPr>
        <w:t xml:space="preserve">结合智能分析算法，系统能够自动识别并跟踪可疑目标，如走私船只、车辆等，大大提高了监控效率和准确性。</w:t>
      </w:r>
      <w:r/>
    </w:p>
    <w:p>
      <w:pPr>
        <w:ind w:firstLine="420"/>
      </w:pPr>
      <w:r>
        <w:rPr>
          <w:rFonts w:hint="eastAsia"/>
        </w:rPr>
        <w:t xml:space="preserve">智能预警与实时报警：智慧海防系统具备智能识别功能，能够自动分析监控数据，一旦发现异常情况，如非法入境、走私活动等，立即发出预警信息。</w:t>
      </w:r>
      <w:r/>
    </w:p>
    <w:p>
      <w:pPr>
        <w:ind w:firstLine="420"/>
      </w:pPr>
      <w:r>
        <w:rPr>
          <w:rFonts w:hint="eastAsia"/>
        </w:rPr>
        <w:t xml:space="preserve">预警信息通过电脑、手机等终端设备实时推送给相关部门和人员，确保及时响应和处理。</w:t>
      </w:r>
      <w:r/>
    </w:p>
    <w:p>
      <w:r>
        <w:rPr>
          <w:rFonts w:hint="eastAsia"/>
        </w:rPr>
        <w:t xml:space="preserve">信息共享与协同作战：智慧海防系统实现了与海关、海警、边防等部门的信息共享，各部门可以实时了解走私活动的最新动态，形成合力打击走私。</w:t>
      </w:r>
      <w:r/>
    </w:p>
    <w:p>
      <w:pPr>
        <w:ind w:firstLine="420"/>
      </w:pPr>
      <w:r>
        <w:rPr>
          <w:rFonts w:hint="eastAsia"/>
        </w:rPr>
        <w:t xml:space="preserve">通过协同作战，各部门可以共同制定巡逻计划、实施抓捕行动，提高了打击走私的效率和成功率。</w:t>
      </w:r>
      <w:r/>
    </w:p>
    <w:p>
      <w:pPr>
        <w:ind w:firstLine="420"/>
      </w:pPr>
      <w:r>
        <w:rPr>
          <w:rFonts w:hint="eastAsia"/>
        </w:rPr>
        <w:t xml:space="preserve">数据分析与决策支持：智慧海防系统对监控数据进行深度分析，挖掘走私活动的规律、趋势等信息，为管理部门提供决策支持。</w:t>
      </w:r>
      <w:r/>
    </w:p>
    <w:p>
      <w:pPr>
        <w:ind w:firstLine="420"/>
      </w:pPr>
      <w:r>
        <w:rPr>
          <w:rFonts w:hint="eastAsia"/>
        </w:rPr>
        <w:t xml:space="preserve">通过数据分析，可以预测走私活动的热点区域、高发时段等，指导执法部门进行有针对性的打击。</w:t>
      </w:r>
      <w:r/>
    </w:p>
    <w:p>
      <w:pPr>
        <w:ind w:firstLine="420"/>
      </w:pPr>
      <w:r>
        <w:rPr>
          <w:rFonts w:hint="eastAsia"/>
        </w:rPr>
        <w:t xml:space="preserve">禁捕期-非法捕捞打击</w:t>
      </w:r>
      <w:r/>
    </w:p>
    <w:p>
      <w:pPr>
        <w:ind w:firstLine="420"/>
      </w:pPr>
      <w:r>
        <w:rPr>
          <w:rFonts w:hint="eastAsia"/>
        </w:rPr>
        <w:t xml:space="preserve">智慧海防在禁渔方面的应用，主要体现在以下几个方面，它们共同构建了一个高效、智能的禁渔管理体系：</w:t>
      </w:r>
      <w:r/>
    </w:p>
    <w:p>
      <w:pPr>
        <w:ind w:firstLine="420"/>
      </w:pPr>
      <w:r>
        <w:rPr>
          <w:rFonts w:hint="eastAsia"/>
        </w:rPr>
        <w:t xml:space="preserve">全天候监控与预警：利用雷达、激光云台、AI智能算法以及红外热成像技术，对禁渔区进行24小时全天候的违法监测与识别。</w:t>
      </w:r>
      <w:r/>
    </w:p>
    <w:p>
      <w:pPr>
        <w:ind w:firstLine="420"/>
      </w:pPr>
      <w:r>
        <w:rPr>
          <w:rFonts w:hint="eastAsia"/>
        </w:rPr>
        <w:t xml:space="preserve">AI能够识别非法捕鱼事件，并自动生成预警信息，通过可视化系统实时提醒渔政执法人员，实现违法行为的迅速定位与报警。</w:t>
      </w:r>
      <w:r/>
    </w:p>
    <w:p>
      <w:pPr>
        <w:ind w:firstLine="420"/>
      </w:pPr>
      <w:r>
        <w:rPr>
          <w:rFonts w:hint="eastAsia"/>
        </w:rPr>
        <w:t xml:space="preserve">远程监控与管理：建立稳定的传输系统，将监控画面实时传输到监控中心或云平台，使得渔政执法人员能够远程实时监控禁渔区的情况，并及时处理异常情况。</w:t>
      </w:r>
      <w:r/>
    </w:p>
    <w:p>
      <w:r>
        <w:rPr>
          <w:rFonts w:hint="eastAsia"/>
        </w:rPr>
        <w:t xml:space="preserve">数据综合分析与决策支持：智慧海防系统支持取证、判断、跟踪等环节的全流程可追溯，能够生成各类数据报表，为渔政管理提供科学的决策支持。</w:t>
      </w:r>
      <w:r/>
    </w:p>
    <w:p>
      <w:pPr>
        <w:ind w:firstLine="420"/>
      </w:pPr>
      <w:r>
        <w:rPr>
          <w:rFonts w:hint="eastAsia"/>
        </w:rPr>
        <w:t xml:space="preserve">通过对数据的分析，可以识别出非法捕捞的热点区域和时间段，指导执法人员进行有针对性的巡查和打击。</w:t>
      </w:r>
      <w:r/>
    </w:p>
    <w:p>
      <w:pPr>
        <w:ind w:firstLine="420"/>
      </w:pPr>
      <w:r>
        <w:rPr>
          <w:rFonts w:hint="eastAsia"/>
        </w:rPr>
        <w:t xml:space="preserve">智能执法与协同作战：智慧海防系统通过人防与技防相结合的方式，实现了对非法捕捞行为的精准打击。执法人员可以在收到预警信息后，迅速响应并到达现场进行处置。</w:t>
      </w:r>
      <w:r/>
    </w:p>
    <w:p>
      <w:r>
        <w:rPr>
          <w:rFonts w:hint="eastAsia"/>
        </w:rPr>
        <w:t xml:space="preserve">同时，系统支持多个部门之间的协同作战，实现信息共享和快速响应，提高了禁渔执法的效率和效果。</w:t>
      </w:r>
      <w:r/>
    </w:p>
    <w:p>
      <w:pPr>
        <w:ind w:firstLine="420"/>
      </w:pPr>
      <w:r>
        <w:rPr>
          <w:rFonts w:hint="eastAsia"/>
        </w:rPr>
        <w:t xml:space="preserve">效果与价值：智慧海防在禁渔方面的应用，显著降低了渔政执法成本，提高了禁渔工作效率。通过人防与技防的多样化执法方式，突破了办案难题，实现了对非法捕捞行为的精准打击。</w:t>
      </w:r>
      <w:r/>
    </w:p>
    <w:p>
      <w:pPr>
        <w:ind w:firstLine="420"/>
      </w:pPr>
      <w:r>
        <w:rPr>
          <w:rFonts w:hint="eastAsia"/>
        </w:rPr>
        <w:t xml:space="preserve">同时，智慧海防系统也加强了对渔民的法律教育和宣传，提高了渔民的法律意识，减少了违法捕鱼行为的发生。</w:t>
      </w:r>
      <w:r/>
    </w:p>
    <w:p>
      <w:pPr>
        <w:ind w:firstLine="420"/>
      </w:pPr>
      <w:r>
        <w:rPr>
          <w:rFonts w:hint="eastAsia"/>
        </w:rPr>
        <w:t xml:space="preserve">综上所述，智慧海防建设对于维护国家安全与稳定、违法走私犯罪打击、非法捕捞打击和港口及海域的船只监管都发挥了重要的作用，具有较强的建设必要性。</w:t>
      </w:r>
      <w:r/>
    </w:p>
    <w:p>
      <w:pPr>
        <w:pStyle w:val="1069"/>
        <w:ind w:firstLine="883"/>
        <w:rPr>
          <w:sz w:val="30"/>
          <w:szCs w:val="30"/>
        </w:rPr>
      </w:pPr>
      <w:r/>
      <w:bookmarkStart w:id="180" w:name="_Toc175326550"/>
      <w:r>
        <w:rPr>
          <w:rFonts w:hint="eastAsia"/>
          <w:sz w:val="30"/>
          <w:szCs w:val="30"/>
        </w:rPr>
        <w:t xml:space="preserve">三、项目总体设计方案</w:t>
      </w:r>
      <w:bookmarkEnd w:id="180"/>
      <w:r/>
      <w:r/>
    </w:p>
    <w:p>
      <w:pPr>
        <w:pStyle w:val="1070"/>
        <w:ind w:firstLine="640"/>
        <w:rPr>
          <w:sz w:val="30"/>
          <w:szCs w:val="30"/>
        </w:rPr>
      </w:pPr>
      <w:r/>
      <w:bookmarkStart w:id="181" w:name="_Toc175326551"/>
      <w:r>
        <w:rPr>
          <w:rFonts w:hint="eastAsia"/>
          <w:sz w:val="30"/>
          <w:szCs w:val="30"/>
        </w:rPr>
        <w:t xml:space="preserve">3</w:t>
      </w:r>
      <w:r>
        <w:rPr>
          <w:sz w:val="30"/>
          <w:szCs w:val="30"/>
        </w:rPr>
        <w:t xml:space="preserve">.1</w:t>
      </w:r>
      <w:bookmarkStart w:id="182" w:name="_Toc110456625"/>
      <w:r/>
      <w:bookmarkStart w:id="183" w:name="_Toc91064096"/>
      <w:r>
        <w:rPr>
          <w:rFonts w:hint="eastAsia"/>
          <w:sz w:val="30"/>
          <w:szCs w:val="30"/>
        </w:rPr>
        <w:t xml:space="preserve">设计思路</w:t>
      </w:r>
      <w:bookmarkEnd w:id="181"/>
      <w:r/>
      <w:bookmarkEnd w:id="182"/>
      <w:r/>
      <w:bookmarkEnd w:id="183"/>
      <w:r/>
      <w:r/>
    </w:p>
    <w:p>
      <w:pPr>
        <w:ind w:firstLine="420"/>
      </w:pPr>
      <w:r>
        <w:rPr>
          <w:rFonts w:hint="eastAsia"/>
        </w:rPr>
        <w:t xml:space="preserve">聚焦“智慧中枢”，打造沿海区域“最强大脑”</w:t>
      </w:r>
      <w:r/>
    </w:p>
    <w:p>
      <w:pPr>
        <w:ind w:firstLine="420"/>
      </w:pPr>
      <w:r>
        <w:rPr>
          <w:rFonts w:hint="eastAsia"/>
        </w:rPr>
        <w:t xml:space="preserve">本次项目建设集成雷达、AIS、北斗、电子卡口、视频监控（激光云台、AR鹰眼、球机、船舶识别）等多种前端感知数据，针对海防日常业务管理以及实战需要，进行全方位数据融合，形成盐城市大丰区智慧海防预警实战应用的“智慧中枢”，打造海、陆、空三位一体的沿海区域“最强大脑”。</w:t>
      </w:r>
      <w:r/>
    </w:p>
    <w:p>
      <w:pPr>
        <w:ind w:firstLine="420"/>
      </w:pPr>
      <w:r>
        <w:rPr>
          <w:rFonts w:hint="eastAsia"/>
        </w:rPr>
        <w:t xml:space="preserve">“大数据+铁脚板”精准巡控机制</w:t>
      </w:r>
      <w:r/>
    </w:p>
    <w:p>
      <w:pPr>
        <w:ind w:firstLine="420"/>
      </w:pPr>
      <w:r>
        <w:rPr>
          <w:rFonts w:hint="eastAsia"/>
        </w:rPr>
        <w:t xml:space="preserve">压实常态治安防控，科技是动力，机制是保障。本次项目旨在构建全时空、智能化覆盖网格区域、沿海路域、入港水域的现代防控体系，实现研判指挥智能化、打防管控一体化，全面提升盐城市大丰区沿海防控的实战服务能力。</w:t>
      </w:r>
      <w:r/>
    </w:p>
    <w:p>
      <w:pPr>
        <w:ind w:firstLine="420"/>
      </w:pPr>
      <w:r>
        <w:rPr>
          <w:rFonts w:hint="eastAsia"/>
        </w:rPr>
        <w:t xml:space="preserve">为确保防控“铁桶阵”无短板，本次项目需构建集沿海区域治安防控与“情指勤舆”于一体的智慧海防中心，并将该中心作为大丰区公安分局指挥中心的“发散点”，实现对全区沿海区域的派出所辖区、综合指挥室的高效灵敏调度指挥。沿海治安防控中心可融合相关警种平台数据资源，实现信息共建、共享、共联，满足平时勤务工作需求。</w:t>
      </w:r>
      <w:r/>
    </w:p>
    <w:p>
      <w:pPr>
        <w:ind w:firstLine="420"/>
      </w:pPr>
      <w:r>
        <w:rPr>
          <w:rFonts w:hint="eastAsia"/>
        </w:rPr>
        <w:t xml:space="preserve">瞄准实战需求，实施合成攻防，提质增效</w:t>
      </w:r>
      <w:r/>
    </w:p>
    <w:p>
      <w:pPr>
        <w:ind w:firstLine="420"/>
      </w:pPr>
      <w:r>
        <w:rPr>
          <w:rFonts w:hint="eastAsia"/>
        </w:rPr>
        <w:t xml:space="preserve">本次项目针对盐城市大丰区公安分局的实际业务应用场景，重点构建禁渔期非法捕捞预警模型以及船舶走私预警模型，在前端感知设备的助力下，利用大数据学习、图像识别技术、神经网络算法等前沿技术服务实战需要。</w:t>
      </w:r>
      <w:r/>
    </w:p>
    <w:p>
      <w:r/>
      <w:r/>
    </w:p>
    <w:p>
      <w:pPr>
        <w:pStyle w:val="1070"/>
        <w:ind w:firstLine="640"/>
        <w:rPr>
          <w:rFonts w:hint="eastAsia" w:ascii="宋体" w:hAnsi="宋体" w:eastAsia="宋体" w:cs="Arial"/>
          <w:sz w:val="30"/>
          <w:szCs w:val="30"/>
        </w:rPr>
      </w:pPr>
      <w:r/>
      <w:bookmarkStart w:id="184" w:name="_Toc175326552"/>
      <w:r>
        <w:rPr>
          <w:rFonts w:hint="eastAsia"/>
          <w:sz w:val="30"/>
          <w:szCs w:val="30"/>
        </w:rPr>
        <w:t xml:space="preserve">3</w:t>
      </w:r>
      <w:r>
        <w:rPr>
          <w:sz w:val="30"/>
          <w:szCs w:val="30"/>
        </w:rPr>
        <w:t xml:space="preserve">.2</w:t>
      </w:r>
      <w:bookmarkStart w:id="185" w:name="_Toc91064097"/>
      <w:r/>
      <w:bookmarkStart w:id="186" w:name="_Toc110456626"/>
      <w:r>
        <w:rPr>
          <w:rFonts w:hint="eastAsia"/>
          <w:sz w:val="30"/>
          <w:szCs w:val="30"/>
        </w:rPr>
        <w:t xml:space="preserve">设计原则</w:t>
      </w:r>
      <w:bookmarkEnd w:id="184"/>
      <w:r/>
      <w:bookmarkEnd w:id="185"/>
      <w:r/>
      <w:bookmarkEnd w:id="186"/>
      <w:r/>
      <w:r/>
    </w:p>
    <w:p>
      <w:pPr>
        <w:ind w:firstLine="420"/>
      </w:pPr>
      <w:r>
        <w:rPr>
          <w:rFonts w:hint="eastAsia"/>
        </w:rPr>
        <w:t xml:space="preserve">本次设计的基本原则坚持客观性、实用性、先进性同时注重节约，依据2024年度省政府12类55件民生实事的通知、盐政发2024（1）号文件及大政发2024（1）号文件的相关要求，具体设计如下：</w:t>
      </w:r>
      <w:r/>
    </w:p>
    <w:p>
      <w:pPr>
        <w:pStyle w:val="1096"/>
        <w:ind w:firstLine="420"/>
      </w:pPr>
      <w:r>
        <w:rPr>
          <w:rFonts w:hint="eastAsia"/>
        </w:rPr>
        <w:t xml:space="preserve">坚持统一领导、分类建设，形成党政领导、综治牵头、公安负责、部门配合、社会参与的工作格局。</w:t>
      </w:r>
      <w:r/>
    </w:p>
    <w:p>
      <w:pPr>
        <w:pStyle w:val="1096"/>
        <w:ind w:firstLine="420"/>
      </w:pPr>
      <w:r>
        <w:rPr>
          <w:rFonts w:hint="eastAsia"/>
        </w:rPr>
        <w:t xml:space="preserve">坚持统筹规划、合理布局，从社会治安、城市管理工作的需求出发，结合实际，统筹规划，合理布点，广泛覆盖，确保充分发挥公共安全视频系统作用。</w:t>
      </w:r>
      <w:r/>
    </w:p>
    <w:p>
      <w:pPr>
        <w:pStyle w:val="1096"/>
        <w:ind w:firstLine="420"/>
      </w:pPr>
      <w:r>
        <w:rPr>
          <w:rFonts w:hint="eastAsia"/>
        </w:rPr>
        <w:t xml:space="preserve">坚持改建并举、注重节约，依据公共安全视频系统建设规范和标准，实事求是，因地制宜，统筹公共安全视频系统建设，避免重复投资。</w:t>
      </w:r>
      <w:r/>
    </w:p>
    <w:p>
      <w:pPr>
        <w:pStyle w:val="1096"/>
        <w:ind w:firstLine="420"/>
      </w:pPr>
      <w:r>
        <w:rPr>
          <w:rFonts w:hint="eastAsia"/>
        </w:rPr>
        <w:t xml:space="preserve">坚持技术引领、面向未来，运用新一代大数据、云计算、视频智能分析等技术，创新社会治安防控手段，形成全天候、全时空、立体化、可移动视频监控网络体系，完善具有大丰特色的视频监控建设应用管理新模式。</w:t>
      </w:r>
      <w:r/>
    </w:p>
    <w:p>
      <w:pPr>
        <w:pStyle w:val="1096"/>
        <w:ind w:firstLine="420"/>
      </w:pPr>
      <w:r>
        <w:rPr>
          <w:rFonts w:hint="eastAsia"/>
        </w:rPr>
        <w:t xml:space="preserve">坚持完善机制、突出整合，将视频图像信息系统建设纳入智慧城市公共基础设施统一管理，重点公共区域统一建设，各行业各领域视频监控资源统一整合，形成可持续发展的视频图像信息系统建设管理新模式和新局面。</w:t>
      </w:r>
      <w:r/>
    </w:p>
    <w:p>
      <w:pPr>
        <w:pStyle w:val="1070"/>
        <w:ind w:firstLine="640"/>
        <w:rPr>
          <w:sz w:val="30"/>
          <w:szCs w:val="30"/>
        </w:rPr>
      </w:pPr>
      <w:r/>
      <w:bookmarkStart w:id="187" w:name="_Toc110456633"/>
      <w:r/>
      <w:bookmarkStart w:id="188" w:name="_Toc161835509"/>
      <w:r/>
      <w:bookmarkStart w:id="189" w:name="_Toc175326553"/>
      <w:r>
        <w:rPr>
          <w:rFonts w:hint="eastAsia"/>
          <w:sz w:val="30"/>
          <w:szCs w:val="30"/>
        </w:rPr>
        <w:t xml:space="preserve">3</w:t>
      </w:r>
      <w:r>
        <w:rPr>
          <w:sz w:val="30"/>
          <w:szCs w:val="30"/>
        </w:rPr>
        <w:t xml:space="preserve">.</w:t>
      </w:r>
      <w:bookmarkEnd w:id="187"/>
      <w:r>
        <w:rPr>
          <w:sz w:val="30"/>
          <w:szCs w:val="30"/>
        </w:rPr>
        <w:t xml:space="preserve">3</w:t>
      </w:r>
      <w:bookmarkEnd w:id="188"/>
      <w:r>
        <w:rPr>
          <w:rFonts w:hint="eastAsia"/>
          <w:sz w:val="30"/>
          <w:szCs w:val="30"/>
        </w:rPr>
        <w:t xml:space="preserve">前端建设</w:t>
      </w:r>
      <w:bookmarkEnd w:id="189"/>
      <w:r/>
      <w:r/>
    </w:p>
    <w:p>
      <w:pPr>
        <w:pStyle w:val="1071"/>
        <w:rPr>
          <w:sz w:val="30"/>
          <w:szCs w:val="30"/>
        </w:rPr>
      </w:pPr>
      <w:r/>
      <w:bookmarkStart w:id="190" w:name="_Toc175326554"/>
      <w:r/>
      <w:bookmarkStart w:id="191" w:name="_Toc161835510"/>
      <w:r>
        <w:rPr>
          <w:rFonts w:hint="eastAsia"/>
          <w:sz w:val="30"/>
          <w:szCs w:val="30"/>
        </w:rPr>
        <w:t xml:space="preserve">3</w:t>
      </w:r>
      <w:r>
        <w:rPr>
          <w:sz w:val="30"/>
          <w:szCs w:val="30"/>
        </w:rPr>
        <w:t xml:space="preserve">.3.1</w:t>
      </w:r>
      <w:r>
        <w:rPr>
          <w:rFonts w:hint="eastAsia"/>
          <w:sz w:val="30"/>
          <w:szCs w:val="30"/>
        </w:rPr>
        <w:t xml:space="preserve">系统概述</w:t>
      </w:r>
      <w:bookmarkEnd w:id="190"/>
      <w:r/>
      <w:bookmarkEnd w:id="191"/>
      <w:r/>
      <w:bookmarkStart w:id="192" w:name="_Toc110456635"/>
      <w:r/>
      <w:r/>
    </w:p>
    <w:p>
      <w:pPr>
        <w:pStyle w:val="1096"/>
        <w:ind w:firstLine="420"/>
      </w:pPr>
      <w:r/>
      <w:bookmarkStart w:id="193" w:name="_Toc161835511"/>
      <w:r>
        <w:rPr>
          <w:rFonts w:hint="eastAsia"/>
        </w:rPr>
        <w:t xml:space="preserve">以服务智慧海防实战应用需求为建设目标，依据共建、共享、共用建设原则。集合各个港口及周边现有感知前端建设情况，经实地反复勘察川东港、斗龙港、四卯酉闸和王港周边河道、道路及入海口位置情况，规划建设感知前端：</w:t>
      </w:r>
      <w:r/>
    </w:p>
    <w:p>
      <w:pPr>
        <w:pStyle w:val="1096"/>
        <w:ind w:firstLine="420"/>
      </w:pPr>
      <w:r>
        <w:rPr>
          <w:rFonts w:hint="eastAsia"/>
        </w:rPr>
        <w:t xml:space="preserve">项目拟在川东新闸、王港新闸、四卯酉闸、斗龙港闸码头附近，租赁2座铁塔（川东新闸、斗龙港闸码头附近），安装2套全固态雷达、2套激光重载云台、2套高空AR鹰眼、2套AIS基站、2套船舶识别终端、5只黑光球机，通过上述设备联动，实现海域船只的探测、识别、跟踪；另在斗龙港码头、四卯酉闸、王港新闸、川东新闸安装8只结构化相机，对进出码头的人员和车辆进行要素采集。</w:t>
      </w:r>
      <w:r/>
    </w:p>
    <w:p>
      <w:pPr>
        <w:pStyle w:val="1096"/>
        <w:ind w:firstLine="420"/>
      </w:pPr>
      <w:r>
        <w:rPr>
          <w:rFonts w:hint="eastAsia"/>
        </w:rPr>
        <w:t xml:space="preserve">拟在渔业街北侧、斗龙海防所东北侧、斗龙港闸西南侧、四卯酉海防所北侧、大丰港五号井及沿线道路、王港新闸西侧、川东海防所河南三岔口处，新建34台智能监控，采用卡口、结构化、黑光球机相结合方式，配合原有已建抓拍点位，实现对进出四个港闸的所有外围道路人员、车辆全覆盖抓拍。</w:t>
      </w:r>
      <w:r/>
    </w:p>
    <w:p>
      <w:pPr>
        <w:pStyle w:val="1096"/>
        <w:ind w:firstLine="420"/>
      </w:pPr>
      <w:r>
        <w:rPr>
          <w:rFonts w:hint="eastAsia"/>
        </w:rPr>
        <w:t xml:space="preserve">实现对进出港口各类出海船舶检测、跟踪、抓拍和船舶号识别，为智慧海防预警实战应用系统提供数据支撑。</w:t>
      </w:r>
      <w:r/>
    </w:p>
    <w:p>
      <w:pPr>
        <w:pStyle w:val="1071"/>
      </w:pPr>
      <w:r/>
      <w:bookmarkStart w:id="194" w:name="_Toc175326555"/>
      <w:r>
        <w:t xml:space="preserve">3.3.2</w:t>
      </w:r>
      <w:r>
        <w:rPr>
          <w:rFonts w:hint="eastAsia"/>
        </w:rPr>
        <w:t xml:space="preserve">系统功能</w:t>
      </w:r>
      <w:bookmarkEnd w:id="192"/>
      <w:r/>
      <w:bookmarkEnd w:id="193"/>
      <w:r/>
      <w:bookmarkEnd w:id="194"/>
      <w:r/>
      <w:r/>
    </w:p>
    <w:p>
      <w:pPr>
        <w:pStyle w:val="1096"/>
      </w:pPr>
      <w:r>
        <w:rPr>
          <w:rFonts w:hint="eastAsia"/>
        </w:rPr>
        <w:t xml:space="preserve">本次监控主要面对乡镇、村道路及重点部位、治安事件多发地区、人员聚集区域等几类地区进行视频监控覆盖，减少以上几类地区监控盲区。</w:t>
      </w:r>
      <w:r/>
    </w:p>
    <w:p>
      <w:r>
        <w:rPr>
          <w:rFonts w:hint="eastAsia"/>
        </w:rPr>
        <w:t xml:space="preserve">船舶检测雷达（15KM）+重载云台+船舶号识别终端（斗龙港、川东港）</w:t>
      </w:r>
      <w:r/>
    </w:p>
    <w:p>
      <w:pPr>
        <w:pStyle w:val="1104"/>
        <w:ind w:firstLine="0"/>
        <w:spacing w:before="163" w:after="163"/>
        <w:rPr>
          <w:sz w:val="24"/>
        </w:rPr>
      </w:pPr>
      <w:r>
        <w:rPr>
          <w:rFonts w:hint="eastAsia"/>
          <w:sz w:val="24"/>
        </w:rPr>
        <w:t xml:space="preserve">1、雷达扫描检测发现15公里内进出船只；</w:t>
      </w:r>
      <w:r/>
    </w:p>
    <w:p>
      <w:pPr>
        <w:pStyle w:val="1104"/>
        <w:ind w:firstLine="0"/>
        <w:spacing w:before="163" w:after="163"/>
        <w:rPr>
          <w:sz w:val="24"/>
        </w:rPr>
      </w:pPr>
      <w:r>
        <w:rPr>
          <w:rFonts w:hint="eastAsia"/>
          <w:sz w:val="24"/>
        </w:rPr>
        <w:t xml:space="preserve">2、可检测水平角度360°，覆盖出海口及周边河道；</w:t>
      </w:r>
      <w:r/>
    </w:p>
    <w:p>
      <w:pPr>
        <w:pStyle w:val="1104"/>
        <w:ind w:firstLine="0"/>
        <w:spacing w:before="163" w:after="163"/>
        <w:rPr>
          <w:sz w:val="24"/>
        </w:rPr>
      </w:pPr>
      <w:r>
        <w:rPr>
          <w:rFonts w:hint="eastAsia"/>
          <w:sz w:val="24"/>
        </w:rPr>
        <w:t xml:space="preserve">3、检测船只位置，方向和角度；</w:t>
      </w:r>
      <w:r/>
    </w:p>
    <w:p>
      <w:pPr>
        <w:pStyle w:val="1104"/>
        <w:ind w:firstLine="0"/>
        <w:spacing w:before="163" w:after="163"/>
        <w:rPr>
          <w:sz w:val="24"/>
        </w:rPr>
      </w:pPr>
      <w:r>
        <w:rPr>
          <w:rFonts w:hint="eastAsia"/>
          <w:sz w:val="24"/>
        </w:rPr>
        <w:t xml:space="preserve">4、检测船只的运动轨迹；</w:t>
      </w:r>
      <w:r/>
    </w:p>
    <w:p>
      <w:pPr>
        <w:pStyle w:val="1104"/>
        <w:ind w:firstLine="0"/>
        <w:spacing w:before="163" w:after="163"/>
        <w:rPr>
          <w:sz w:val="24"/>
        </w:rPr>
      </w:pPr>
      <w:r>
        <w:rPr>
          <w:rFonts w:hint="eastAsia"/>
          <w:sz w:val="24"/>
        </w:rPr>
        <w:t xml:space="preserve">5、联动云台摄像机跟踪船只，配合船舶号设备终端识别进出港口的船只船舶号；</w:t>
      </w:r>
      <w:r/>
    </w:p>
    <w:p>
      <w:pPr>
        <w:pStyle w:val="1104"/>
        <w:ind w:firstLine="0"/>
        <w:spacing w:before="163" w:after="163"/>
        <w:rPr>
          <w:sz w:val="24"/>
        </w:rPr>
      </w:pPr>
      <w:r>
        <w:rPr>
          <w:rFonts w:hint="eastAsia"/>
          <w:sz w:val="24"/>
        </w:rPr>
        <w:t xml:space="preserve">6、船只检测不受光线和天气影响；</w:t>
      </w:r>
      <w:r/>
    </w:p>
    <w:p>
      <w:pPr>
        <w:pStyle w:val="1104"/>
        <w:ind w:firstLine="480"/>
        <w:spacing w:before="163" w:after="163"/>
        <w:rPr>
          <w:sz w:val="24"/>
        </w:rPr>
      </w:pPr>
      <w:r>
        <w:rPr>
          <w:rFonts w:hint="eastAsia"/>
          <w:sz w:val="24"/>
        </w:rPr>
        <w:t xml:space="preserve">雷达覆盖范围：</w:t>
      </w:r>
      <w:r/>
    </w:p>
    <w:p>
      <w:pPr>
        <w:pStyle w:val="1104"/>
        <w:spacing w:before="163" w:after="163"/>
      </w:pPr>
      <w:r>
        <mc:AlternateContent>
          <mc:Choice Requires="wpg">
            <w:drawing>
              <wp:inline xmlns:wp="http://schemas.openxmlformats.org/drawingml/2006/wordprocessingDrawing" distT="0" distB="0" distL="0" distR="0">
                <wp:extent cx="4238625" cy="2807335"/>
                <wp:effectExtent l="0" t="0" r="9525" b="1206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2"/>
                        <a:stretch/>
                      </pic:blipFill>
                      <pic:spPr bwMode="auto">
                        <a:xfrm>
                          <a:off x="0" y="0"/>
                          <a:ext cx="4238625" cy="2807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3.8pt;height:221.0pt;mso-wrap-distance-left:0.0pt;mso-wrap-distance-top:0.0pt;mso-wrap-distance-right:0.0pt;mso-wrap-distance-bottom:0.0pt;" stroked="f">
                <v:path textboxrect="0,0,0,0"/>
                <v:imagedata r:id="rId22" o:title=""/>
              </v:shape>
            </w:pict>
          </mc:Fallback>
        </mc:AlternateContent>
      </w:r>
      <w:r/>
    </w:p>
    <w:p>
      <w:pPr>
        <w:pStyle w:val="1104"/>
        <w:spacing w:before="163" w:after="163"/>
      </w:pPr>
      <w:r>
        <mc:AlternateContent>
          <mc:Choice Requires="wpg">
            <w:drawing>
              <wp:inline xmlns:wp="http://schemas.openxmlformats.org/drawingml/2006/wordprocessingDrawing" distT="0" distB="0" distL="0" distR="0">
                <wp:extent cx="4166870" cy="3886200"/>
                <wp:effectExtent l="0" t="0" r="508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3"/>
                        <a:stretch/>
                      </pic:blipFill>
                      <pic:spPr bwMode="auto">
                        <a:xfrm>
                          <a:off x="0" y="0"/>
                          <a:ext cx="4166870" cy="388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8.1pt;height:306.0pt;mso-wrap-distance-left:0.0pt;mso-wrap-distance-top:0.0pt;mso-wrap-distance-right:0.0pt;mso-wrap-distance-bottom:0.0pt;" stroked="f">
                <v:path textboxrect="0,0,0,0"/>
                <v:imagedata r:id="rId23" o:title=""/>
              </v:shape>
            </w:pict>
          </mc:Fallback>
        </mc:AlternateContent>
      </w:r>
      <w:r/>
    </w:p>
    <w:p>
      <w:pPr>
        <w:pStyle w:val="1105"/>
      </w:pPr>
      <w:r>
        <w:t xml:space="preserve">雷达+视频监控光电联动（船舶号识别）：</w:t>
      </w:r>
      <w:r/>
    </w:p>
    <w:p>
      <w:pPr>
        <w:pStyle w:val="1105"/>
      </w:pPr>
      <w:r>
        <w:t xml:space="preserve">雷达选定视频监控</w:t>
      </w:r>
      <w:r/>
    </w:p>
    <w:p>
      <w:r>
        <w:rPr>
          <w:rFonts w:hint="eastAsia"/>
        </w:rPr>
        <w:t xml:space="preserve">根据雷达实时跟踪目标自动匹配角度、距离最近视频监控针对船舶进行实时跟踪，选定视频监控画面可进行角度、旋转切换，沿岸视频监控依次打开追踪目标。</w:t>
      </w:r>
      <w:r/>
    </w:p>
    <w:p>
      <w:pPr>
        <w:pStyle w:val="1105"/>
      </w:pPr>
      <w:r>
        <w:t xml:space="preserve">雷达光电跟踪</w:t>
      </w:r>
      <w:r/>
    </w:p>
    <w:p>
      <w:r>
        <w:rPr>
          <w:rFonts w:hint="eastAsia"/>
        </w:rPr>
        <w:t xml:space="preserve">将视频监控、雷达、船舶实时定位数据（雷达、A</w:t>
      </w:r>
      <w:r>
        <w:t xml:space="preserve">IS</w:t>
      </w:r>
      <w:r>
        <w:rPr>
          <w:rFonts w:hint="eastAsia"/>
        </w:rPr>
        <w:t xml:space="preserve">、北斗数据）进行联合研判算法，实时跟踪船舶位置，画面自动依次切换、调焦，实现船舶号识别。</w:t>
      </w:r>
      <w:r/>
    </w:p>
    <w:p>
      <w:pPr>
        <w:pStyle w:val="1104"/>
        <w:spacing w:before="163" w:after="163"/>
      </w:pPr>
      <w:r>
        <w:rPr>
          <w:rFonts w:hint="eastAsia"/>
        </w:rPr>
        <w:t xml:space="preserve">船舶AIS数据采集（斗龙港、川东港）：</w:t>
      </w:r>
      <w:r/>
    </w:p>
    <w:p>
      <w:r>
        <w:rPr>
          <w:rFonts w:hint="eastAsia"/>
        </w:rPr>
        <w:t xml:space="preserve">船舶AIS数据包括静态数据和动态数据。</w:t>
      </w:r>
      <w:r/>
    </w:p>
    <w:p>
      <w:pPr>
        <w:pStyle w:val="1094"/>
        <w:ind w:firstLine="480"/>
      </w:pPr>
      <w:r>
        <w:rPr>
          <w:rFonts w:hint="eastAsia"/>
        </w:rPr>
        <w:t xml:space="preserve">AIS静态数据</w:t>
      </w:r>
      <w:r/>
    </w:p>
    <w:p>
      <w:r>
        <w:rPr>
          <w:rFonts w:hint="eastAsia"/>
        </w:rPr>
        <w:t xml:space="preserve">AIS静态数据包括船名、九位码、船舶类型、船舶长、宽、高尺寸等信息，所有信息内容来源海事部门、农业农村同步数据信息和AIS自带静态数据信息。</w:t>
      </w:r>
      <w:r/>
    </w:p>
    <w:p>
      <w:pPr>
        <w:pStyle w:val="1094"/>
        <w:ind w:firstLine="480"/>
      </w:pPr>
      <w:r>
        <w:rPr>
          <w:rFonts w:hint="eastAsia"/>
        </w:rPr>
        <w:t xml:space="preserve">AIS动态数据</w:t>
      </w:r>
      <w:r/>
    </w:p>
    <w:p>
      <w:r>
        <w:rPr>
          <w:rFonts w:hint="eastAsia"/>
        </w:rPr>
        <w:t xml:space="preserve">平台通过AIS基站采集船舶航行的AIS动态数据信号，在地图中进行集成展示，船舶显示方式分成三类，一类为麻点图，用于确定船舶大概位置，一类为三角形，看出船舶航行方向，最后一类为船舶模型，根据船舶信息构建等比例模型。</w:t>
      </w:r>
      <w:r/>
    </w:p>
    <w:p>
      <w:r>
        <w:rPr>
          <w:rFonts w:hint="eastAsia"/>
        </w:rPr>
        <w:t xml:space="preserve">高空全景球机：</w:t>
      </w:r>
      <w:r/>
    </w:p>
    <w:p>
      <w:pPr>
        <w:pStyle w:val="888"/>
        <w:ind w:left="0" w:right="9" w:firstLine="420"/>
      </w:pPr>
      <w:r>
        <w:rPr>
          <w:rFonts w:hint="eastAsia"/>
        </w:rPr>
        <w:t xml:space="preserve">高空全景球机覆盖整个港口（斗龙港、川东港），通过AR视频标签，实时视频画面叠加港口设施设备等信息。</w:t>
      </w:r>
      <w:r/>
    </w:p>
    <w:p>
      <w:r>
        <w:rPr>
          <w:rFonts w:hint="eastAsia"/>
        </w:rPr>
        <w:t xml:space="preserve">黑光球机：</w:t>
      </w:r>
      <w:r/>
    </w:p>
    <w:p>
      <w:pPr>
        <w:pStyle w:val="888"/>
        <w:ind w:left="0" w:right="1470" w:firstLine="420"/>
        <w:rPr>
          <w:lang w:bidi="ar"/>
        </w:rPr>
      </w:pPr>
      <w:r>
        <w:rPr>
          <w:rFonts w:hint="eastAsia"/>
          <w:lang w:bidi="ar"/>
        </w:rPr>
        <w:t xml:space="preserve">覆盖港区水域及周边道路，实时全天候全彩视频监控。</w:t>
      </w:r>
      <w:r/>
    </w:p>
    <w:p>
      <w:r>
        <w:rPr>
          <w:rFonts w:hint="eastAsia"/>
        </w:rPr>
        <w:t xml:space="preserve">环保卡口及结构化抓拍：</w:t>
      </w:r>
      <w:r/>
    </w:p>
    <w:p>
      <w:pPr>
        <w:pStyle w:val="888"/>
        <w:ind w:left="0" w:right="9" w:firstLine="420"/>
      </w:pPr>
      <w:r>
        <w:rPr>
          <w:rFonts w:hint="eastAsia"/>
        </w:rPr>
        <w:t xml:space="preserve">环保卡口抓拍经过港口周边的车辆及车内人脸信息，结构化抓拍设备抓拍经过港口的行人和车辆。</w:t>
      </w:r>
      <w:r/>
    </w:p>
    <w:p>
      <w:pPr>
        <w:pStyle w:val="1071"/>
      </w:pPr>
      <w:r/>
      <w:bookmarkStart w:id="195" w:name="_Toc175326556"/>
      <w:r>
        <w:rPr>
          <w:rFonts w:hint="eastAsia"/>
        </w:rPr>
        <w:t xml:space="preserve">3</w:t>
      </w:r>
      <w:r>
        <w:t xml:space="preserve">.</w:t>
      </w:r>
      <w:r>
        <w:rPr>
          <w:rFonts w:hint="eastAsia"/>
        </w:rPr>
        <w:t xml:space="preserve">3</w:t>
      </w:r>
      <w:r>
        <w:t xml:space="preserve">.3</w:t>
      </w:r>
      <w:r>
        <w:rPr>
          <w:rFonts w:hint="eastAsia"/>
        </w:rPr>
        <w:t xml:space="preserve">前端点位部署</w:t>
      </w:r>
      <w:bookmarkEnd w:id="195"/>
      <w:r/>
      <w:r/>
    </w:p>
    <w:tbl>
      <w:tblPr>
        <w:tblStyle w:val="887"/>
        <w:tblW w:w="5037" w:type="pct"/>
        <w:tblInd w:w="0" w:type="dxa"/>
        <w:tblLayout w:type="fixed"/>
        <w:tblCellMar>
          <w:left w:w="108" w:type="dxa"/>
          <w:top w:w="0" w:type="dxa"/>
          <w:right w:w="108" w:type="dxa"/>
          <w:bottom w:w="0" w:type="dxa"/>
        </w:tblCellMar>
        <w:tblLook w:val="04A0" w:firstRow="1" w:lastRow="0" w:firstColumn="1" w:lastColumn="0" w:noHBand="0" w:noVBand="1"/>
      </w:tblPr>
      <w:tblGrid>
        <w:gridCol w:w="398"/>
        <w:gridCol w:w="1087"/>
        <w:gridCol w:w="303"/>
        <w:gridCol w:w="346"/>
        <w:gridCol w:w="303"/>
        <w:gridCol w:w="303"/>
        <w:gridCol w:w="302"/>
        <w:gridCol w:w="302"/>
        <w:gridCol w:w="391"/>
        <w:gridCol w:w="391"/>
        <w:gridCol w:w="391"/>
        <w:gridCol w:w="391"/>
        <w:gridCol w:w="434"/>
        <w:gridCol w:w="302"/>
        <w:gridCol w:w="302"/>
        <w:gridCol w:w="302"/>
        <w:gridCol w:w="391"/>
        <w:gridCol w:w="302"/>
        <w:gridCol w:w="302"/>
        <w:gridCol w:w="1446"/>
      </w:tblGrid>
      <w:tr>
        <w:trPr>
          <w:trHeight w:val="420"/>
        </w:trPr>
        <w:tc>
          <w:tcPr>
            <w:gridSpan w:val="20"/>
            <w:tcBorders>
              <w:top w:val="single" w:color="auto" w:sz="4" w:space="0"/>
              <w:left w:val="single" w:color="auto" w:sz="4" w:space="0"/>
              <w:bottom w:val="single" w:color="auto" w:sz="4" w:space="0"/>
              <w:right w:val="none" w:color="000000" w:sz="4" w:space="0"/>
            </w:tcBorders>
            <w:tcW w:w="5000" w:type="pct"/>
            <w:vAlign w:val="center"/>
            <w:textDirection w:val="lrTb"/>
            <w:noWrap/>
          </w:tcPr>
          <w:p>
            <w:pPr>
              <w:jc w:val="center"/>
              <w:widowControl w:val="off"/>
              <w:rPr>
                <w:rFonts w:hint="eastAsia" w:ascii="微软雅黑" w:hAnsi="微软雅黑" w:eastAsia="微软雅黑" w:cs="宋体"/>
                <w:b/>
                <w:bCs/>
                <w:color w:val="000000"/>
                <w:sz w:val="28"/>
                <w:szCs w:val="28"/>
                <w:lang w:val="en-US" w:eastAsia="zh-CN" w:bidi="ar-SA"/>
              </w:rPr>
            </w:pPr>
            <w:r>
              <w:rPr>
                <w:rFonts w:hint="eastAsia" w:ascii="微软雅黑" w:hAnsi="微软雅黑" w:eastAsia="微软雅黑" w:cs="宋体"/>
                <w:b/>
                <w:bCs/>
                <w:color w:val="000000"/>
                <w:sz w:val="28"/>
                <w:szCs w:val="28"/>
                <w:lang w:val="en-US" w:eastAsia="zh-CN" w:bidi="ar-SA"/>
              </w:rPr>
              <w:t xml:space="preserve">智慧海防建设清单</w:t>
            </w:r>
            <w:r/>
          </w:p>
        </w:tc>
      </w:tr>
      <w:tr>
        <w:trPr>
          <w:trHeight w:val="1140"/>
        </w:trPr>
        <w:tc>
          <w:tcPr>
            <w:tcBorders>
              <w:top w:val="none" w:color="000000" w:sz="4" w:space="0"/>
              <w:left w:val="single" w:color="auto" w:sz="4" w:space="0"/>
              <w:bottom w:val="single" w:color="auto" w:sz="4" w:space="0"/>
              <w:right w:val="single" w:color="auto" w:sz="4" w:space="0"/>
            </w:tcBorders>
            <w:tcW w:w="229"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序号</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路口名称</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固态雷达</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AIS基站</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全彩双目激光重载云台</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船舶识别终端</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双镜头结构化</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三镜头结构化</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500W环保卡口</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900W环保卡口</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全景球机</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val="false"/>
          </w:tcPr>
          <w:p>
            <w:pPr>
              <w:jc w:val="center"/>
              <w:widowControl w:val="off"/>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黑光球机</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270°高空全景摄像机</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四合一环保爆闪灯</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抱杆机箱</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光纤收发器</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交换机(8口）</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供电开户</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铁塔租赁</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老竹港闸</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原杆件加装，已有钢绞线</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5号井</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原杆件移位</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四卯酉海防派出所北侧道路</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鼎丰牛业门前道路杆件移位至此</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四卯酉大桥南侧</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原杆件加装</w:t>
            </w:r>
            <w:r/>
          </w:p>
        </w:tc>
      </w:tr>
      <w:tr>
        <w:trPr>
          <w:trHeight w:val="54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盐城市海大农牧发展有限公司北侧100米</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大丰市麋茸酒业门口</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原杆件加装</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斗龙港派出所</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老监控杆件上安装一台结构化</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老王港闸</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麋鹿自然营地</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原杆件移位</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10</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1号码头北侧道路</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共4处球机点位</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11</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川东河闸</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铁塔安装</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12</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新王港闸</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13</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四卯酉闸</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14</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斗龙港闸</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铁塔安装</w:t>
            </w:r>
            <w:r/>
          </w:p>
        </w:tc>
      </w:tr>
      <w:tr>
        <w:trPr>
          <w:trHeight w:val="270"/>
        </w:trPr>
        <w:tc>
          <w:tcPr>
            <w:tcBorders>
              <w:top w:val="none" w:color="000000" w:sz="4" w:space="0"/>
              <w:left w:val="single" w:color="auto" w:sz="4" w:space="0"/>
              <w:bottom w:val="single" w:color="auto" w:sz="4" w:space="0"/>
              <w:right w:val="single" w:color="auto" w:sz="4" w:space="0"/>
            </w:tcBorders>
            <w:tcW w:w="22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625" w:type="pct"/>
            <w:vAlign w:val="center"/>
            <w:textDirection w:val="lrTb"/>
            <w:noWrap/>
          </w:tcPr>
          <w:p>
            <w:pPr>
              <w:jc w:val="center"/>
              <w:widowControl w:val="off"/>
              <w:rPr>
                <w:rFonts w:ascii="Times New Roman" w:hAnsi="Times New Roman" w:eastAsia="宋体" w:cs="宋体"/>
                <w:b/>
                <w:bCs/>
                <w:color w:val="000000"/>
                <w:sz w:val="22"/>
                <w:szCs w:val="22"/>
                <w:lang w:val="en-US" w:eastAsia="zh-CN" w:bidi="ar-SA"/>
              </w:rPr>
            </w:pPr>
            <w:r>
              <w:rPr>
                <w:rFonts w:hint="eastAsia" w:ascii="Times New Roman" w:hAnsi="Times New Roman" w:eastAsia="宋体" w:cs="宋体"/>
                <w:b/>
                <w:bCs/>
                <w:color w:val="000000"/>
                <w:sz w:val="22"/>
                <w:szCs w:val="22"/>
                <w:lang w:val="en-US" w:eastAsia="zh-CN" w:bidi="ar-SA"/>
              </w:rPr>
              <w:t xml:space="preserve">合计</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99"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25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20</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15</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25</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74"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82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bl>
    <w:p>
      <w:r/>
      <w:r/>
    </w:p>
    <w:p>
      <w:pPr>
        <w:pStyle w:val="1070"/>
        <w:ind w:firstLine="640"/>
        <w:rPr>
          <w:sz w:val="30"/>
          <w:szCs w:val="30"/>
        </w:rPr>
      </w:pPr>
      <w:r/>
      <w:bookmarkStart w:id="196" w:name="_Toc175326557"/>
      <w:r>
        <w:rPr>
          <w:rFonts w:hint="eastAsia"/>
          <w:sz w:val="30"/>
          <w:szCs w:val="30"/>
        </w:rPr>
        <w:t xml:space="preserve">3.4主要设备参数要求</w:t>
      </w:r>
      <w:bookmarkEnd w:id="196"/>
      <w:r/>
      <w:r/>
    </w:p>
    <w:p>
      <w:pPr>
        <w:pStyle w:val="1071"/>
        <w:numPr>
          <w:ilvl w:val="0"/>
          <w:numId w:val="6"/>
        </w:numPr>
        <w:rPr>
          <w:sz w:val="30"/>
          <w:szCs w:val="30"/>
        </w:rPr>
      </w:pPr>
      <w:r/>
      <w:bookmarkStart w:id="197" w:name="_Toc175326558"/>
      <w:r>
        <w:rPr>
          <w:rFonts w:hint="eastAsia"/>
          <w:sz w:val="30"/>
          <w:szCs w:val="30"/>
        </w:rPr>
        <w:t xml:space="preserve">智慧海防前端参数要求</w:t>
      </w:r>
      <w:bookmarkEnd w:id="197"/>
      <w:r/>
      <w:r/>
    </w:p>
    <w:p>
      <w:pPr>
        <w:pStyle w:val="1072"/>
        <w:rPr>
          <w:sz w:val="30"/>
          <w:szCs w:val="30"/>
        </w:rPr>
      </w:pPr>
      <w:r>
        <w:rPr>
          <w:rFonts w:hint="eastAsia"/>
          <w:sz w:val="30"/>
          <w:szCs w:val="30"/>
          <w:lang w:eastAsia="zh-CN"/>
        </w:rPr>
        <w:t xml:space="preserve">固态</w:t>
      </w:r>
      <w:r>
        <w:rPr>
          <w:rFonts w:hint="eastAsia"/>
          <w:sz w:val="30"/>
          <w:szCs w:val="30"/>
        </w:rPr>
        <w:t xml:space="preserve">雷达（含软件平台）</w:t>
      </w:r>
      <w:r/>
    </w:p>
    <w:p>
      <w:r>
        <w:rPr>
          <w:rFonts w:hint="eastAsia"/>
        </w:rPr>
        <w:t xml:space="preserve">1.</w:t>
      </w:r>
      <w:r>
        <w:t xml:space="preserve">雷达</w:t>
      </w:r>
      <w:r>
        <w:rPr>
          <w:rFonts w:hint="eastAsia"/>
        </w:rPr>
        <w:t xml:space="preserve">设备要求：</w:t>
      </w:r>
      <w:r>
        <w:t xml:space="preserve"> </w:t>
      </w:r>
      <w:r/>
    </w:p>
    <w:p>
      <w:r>
        <w:rPr>
          <w:rFonts w:hint="eastAsia"/>
        </w:rPr>
        <w:t xml:space="preserve">1.1. 所投雷达产品应为国产化雷达</w:t>
      </w:r>
      <w:r/>
    </w:p>
    <w:p>
      <w:r>
        <w:rPr>
          <w:rFonts w:hint="eastAsia"/>
        </w:rPr>
        <w:t xml:space="preserve">1.2.功能要求</w:t>
      </w:r>
      <w:r/>
    </w:p>
    <w:p>
      <w:r>
        <w:rPr>
          <w:rFonts w:hint="eastAsia"/>
        </w:rPr>
        <w:t xml:space="preserve">1.2.1  </w:t>
      </w:r>
      <w:r>
        <w:t xml:space="preserve">雷达具有自动过载保护、供电缺相、过热保护功能，有维修开关。当雷达收发机和天线马达有故障时应能自动停止发射并向中心报警。</w:t>
      </w:r>
      <w:r/>
    </w:p>
    <w:p>
      <w:r>
        <w:rPr>
          <w:rFonts w:hint="eastAsia"/>
        </w:rPr>
        <w:t xml:space="preserve">1.2.2  </w:t>
      </w:r>
      <w:r>
        <w:t xml:space="preserve">收发机应具有扇形发射/停止发射能力，扇形区域大小可由建设单位自定义。</w:t>
      </w:r>
      <w:r/>
    </w:p>
    <w:p>
      <w:r>
        <w:rPr>
          <w:rFonts w:hint="eastAsia"/>
        </w:rPr>
        <w:t xml:space="preserve">1.2.3   收发机预留不少于1个雷达信号输出接口，便于后续雷达数据共享。</w:t>
      </w:r>
      <w:r/>
    </w:p>
    <w:p>
      <w:r>
        <w:rPr>
          <w:rFonts w:hint="eastAsia"/>
        </w:rPr>
        <w:t xml:space="preserve">1.2.4   </w:t>
      </w:r>
      <w:r>
        <w:t xml:space="preserve">具有抗海浪、抗雨雪、海杂波自动滤波功能。</w:t>
      </w:r>
      <w:r/>
    </w:p>
    <w:p>
      <w:r>
        <w:rPr>
          <w:rFonts w:hint="eastAsia"/>
        </w:rPr>
        <w:t xml:space="preserve">1.2.5   </w:t>
      </w:r>
      <w:r>
        <w:t xml:space="preserve">可以根据不同环境条件和工作要求对雷达参数进行设置</w:t>
      </w:r>
      <w:r/>
    </w:p>
    <w:p>
      <w:r>
        <w:rPr>
          <w:rFonts w:hint="eastAsia"/>
        </w:rPr>
        <w:t xml:space="preserve">1.2.6   </w:t>
      </w:r>
      <w:r>
        <w:t xml:space="preserve">可设置或预置的雷达参数至少包括脉宽、脉冲重复频率、天线转速、扇形发射区、抗海浪、抗雨雪参数等。</w:t>
      </w:r>
      <w:r/>
    </w:p>
    <w:p>
      <w:r>
        <w:rPr>
          <w:rFonts w:hint="eastAsia"/>
        </w:rPr>
        <w:t xml:space="preserve">1.2.7   </w:t>
      </w:r>
      <w:r>
        <w:t xml:space="preserve">要求雷达维修终端能够对雷达进行监测、控制，并显示雷达的原始视频。</w:t>
      </w:r>
      <w:r/>
    </w:p>
    <w:p>
      <w:r>
        <w:rPr>
          <w:rFonts w:hint="eastAsia"/>
        </w:rPr>
        <w:t xml:space="preserve">1.2.8   </w:t>
      </w:r>
      <w:r>
        <w:t xml:space="preserve">所有雷达设置参数和性能参数及故障均需记录，供故障分析参考，可以长期保存，待故障记录确认后方能删除，VTS中心可以登录查询记录信息。</w:t>
      </w:r>
      <w:r/>
    </w:p>
    <w:p>
      <w:r>
        <w:rPr>
          <w:rFonts w:hint="eastAsia"/>
        </w:rPr>
        <w:t xml:space="preserve">1.2.9  </w:t>
      </w:r>
      <w:r>
        <w:t xml:space="preserve">雷达收发机至少能接收以下指令：</w:t>
      </w:r>
      <w:r/>
    </w:p>
    <w:p>
      <w:r>
        <w:rPr>
          <w:rFonts w:hint="eastAsia"/>
        </w:rPr>
        <w:t xml:space="preserve">量程</w:t>
      </w:r>
      <w:r>
        <w:t xml:space="preserve">选择</w:t>
      </w:r>
      <w:r/>
    </w:p>
    <w:p>
      <w:r>
        <w:t xml:space="preserve">必要的功能调节(增益、调谐、抗海浪、抗雨雪等)</w:t>
      </w:r>
      <w:r/>
    </w:p>
    <w:p>
      <w:r>
        <w:t xml:space="preserve">天线的停/转</w:t>
      </w:r>
      <w:r/>
    </w:p>
    <w:p>
      <w:r>
        <w:t xml:space="preserve">天线转速调整</w:t>
      </w:r>
      <w:r/>
    </w:p>
    <w:p>
      <w:r>
        <w:rPr>
          <w:rFonts w:hint="eastAsia"/>
        </w:rPr>
        <w:t xml:space="preserve">1.3 主要指标要求</w:t>
      </w:r>
      <w:r/>
    </w:p>
    <w:p>
      <w:r>
        <w:rPr>
          <w:rFonts w:hint="eastAsia"/>
        </w:rPr>
        <w:t xml:space="preserve">天线</w:t>
      </w:r>
      <w:r>
        <w:t xml:space="preserve"> </w:t>
      </w:r>
      <w:r/>
    </w:p>
    <w:p>
      <w:r>
        <w:t xml:space="preserve">天线长度：</w:t>
      </w:r>
      <w:r>
        <w:rPr>
          <w:rFonts w:hint="eastAsia"/>
        </w:rPr>
        <w:t xml:space="preserve">≥</w:t>
      </w:r>
      <w:r>
        <w:t xml:space="preserve">8 英尺 </w:t>
      </w:r>
      <w:r>
        <w:rPr>
          <w:rFonts w:hint="eastAsia"/>
        </w:rPr>
        <w:t xml:space="preserve">/2.4m</w:t>
      </w:r>
      <w:r/>
    </w:p>
    <w:p>
      <w:r>
        <w:t xml:space="preserve">增</w:t>
      </w:r>
      <w:r>
        <w:rPr>
          <w:rFonts w:hint="eastAsia"/>
        </w:rPr>
        <w:t xml:space="preserve">    </w:t>
      </w:r>
      <w:r>
        <w:t xml:space="preserve">益：≥30dB </w:t>
      </w:r>
      <w:r/>
    </w:p>
    <w:p>
      <w:r>
        <w:t xml:space="preserve">水平波束宽度：≤1° </w:t>
      </w:r>
      <w:r/>
    </w:p>
    <w:p>
      <w:r>
        <w:t xml:space="preserve">转</w:t>
      </w:r>
      <w:r>
        <w:rPr>
          <w:rFonts w:hint="eastAsia"/>
        </w:rPr>
        <w:t xml:space="preserve">    </w:t>
      </w:r>
      <w:r>
        <w:t xml:space="preserve">速：20rpm～36rpm 可编程 </w:t>
      </w:r>
      <w:r/>
    </w:p>
    <w:p>
      <w:r>
        <w:rPr>
          <w:rFonts w:hint="eastAsia"/>
        </w:rPr>
        <w:t xml:space="preserve">发射机</w:t>
      </w:r>
      <w:r>
        <w:t xml:space="preserve"> </w:t>
      </w:r>
      <w:r/>
    </w:p>
    <w:p>
      <w:r>
        <w:t xml:space="preserve">发射机类型：固态功放（GaN） </w:t>
      </w:r>
      <w:r/>
    </w:p>
    <w:p>
      <w:r>
        <w:t xml:space="preserve">工作频段：X 波段（9.2-9.5GHz） </w:t>
      </w:r>
      <w:r/>
    </w:p>
    <w:p>
      <w:r>
        <w:t xml:space="preserve">★峰值发射功率：≥</w:t>
      </w:r>
      <w:r>
        <w:rPr>
          <w:rFonts w:hint="eastAsia"/>
        </w:rPr>
        <w:t xml:space="preserve">1</w:t>
      </w:r>
      <w:r>
        <w:t xml:space="preserve">00W</w:t>
      </w:r>
      <w:r/>
    </w:p>
    <w:p>
      <w:r>
        <w:rPr>
          <w:rFonts w:hint="eastAsia"/>
        </w:rPr>
        <w:t xml:space="preserve">接收机</w:t>
      </w:r>
      <w:r/>
    </w:p>
    <w:p>
      <w:r>
        <w:t xml:space="preserve">噪声系数：≤3.5dB</w:t>
      </w:r>
      <w:r/>
    </w:p>
    <w:p>
      <w:r>
        <w:t xml:space="preserve">抗</w:t>
      </w:r>
      <w:r>
        <w:rPr>
          <w:rFonts w:hint="eastAsia"/>
        </w:rPr>
        <w:t xml:space="preserve"> </w:t>
      </w:r>
      <w:r>
        <w:t xml:space="preserve">干</w:t>
      </w:r>
      <w:r>
        <w:rPr>
          <w:rFonts w:hint="eastAsia"/>
        </w:rPr>
        <w:t xml:space="preserve">  </w:t>
      </w:r>
      <w:r>
        <w:t xml:space="preserve">扰：海浪云雨杂波抑制、反异步干扰</w:t>
      </w:r>
      <w:r/>
    </w:p>
    <w:p>
      <w:r>
        <w:t xml:space="preserve">★动态范围：≥109dB</w:t>
      </w:r>
      <w:r/>
    </w:p>
    <w:p>
      <w:r>
        <w:t xml:space="preserve">★灵</w:t>
      </w:r>
      <w:r>
        <w:rPr>
          <w:rFonts w:hint="eastAsia"/>
        </w:rPr>
        <w:t xml:space="preserve"> </w:t>
      </w:r>
      <w:r>
        <w:t xml:space="preserve">敏</w:t>
      </w:r>
      <w:r>
        <w:rPr>
          <w:rFonts w:hint="eastAsia"/>
        </w:rPr>
        <w:t xml:space="preserve"> </w:t>
      </w:r>
      <w:r>
        <w:t xml:space="preserve">度：≤-129dBm</w:t>
      </w:r>
      <w:r/>
    </w:p>
    <w:p>
      <w:r>
        <w:t xml:space="preserve">★脉冲压缩比：</w:t>
      </w:r>
      <w:r>
        <w:rPr>
          <w:rFonts w:hint="eastAsia"/>
        </w:rPr>
        <w:t xml:space="preserve">≥</w:t>
      </w:r>
      <w:r>
        <w:t xml:space="preserve">1</w:t>
      </w:r>
      <w:r>
        <w:rPr>
          <w:rFonts w:hint="eastAsia"/>
        </w:rPr>
        <w:t xml:space="preserve">5</w:t>
      </w:r>
      <w:r>
        <w:t xml:space="preserve">00：1</w:t>
      </w:r>
      <w:r/>
    </w:p>
    <w:p>
      <w:r>
        <w:t xml:space="preserve">★</w:t>
      </w:r>
      <w:r>
        <w:rPr>
          <w:rFonts w:hint="eastAsia"/>
        </w:rPr>
        <w:t xml:space="preserve">距离分辨力：</w:t>
      </w:r>
      <w:r>
        <w:t xml:space="preserve">≤1</w:t>
      </w:r>
      <w:r>
        <w:rPr>
          <w:rFonts w:hint="eastAsia"/>
        </w:rPr>
        <w:t xml:space="preserve">2</w:t>
      </w:r>
      <w:r>
        <w:t xml:space="preserve">m</w:t>
      </w:r>
      <w:r/>
    </w:p>
    <w:p>
      <w:r>
        <w:t xml:space="preserve">★</w:t>
      </w:r>
      <w:r>
        <w:rPr>
          <w:rFonts w:hint="eastAsia"/>
        </w:rPr>
        <w:t xml:space="preserve">方位分辨力：</w:t>
      </w:r>
      <w:r>
        <w:t xml:space="preserve">≤1</w:t>
      </w:r>
      <w:r>
        <w:rPr>
          <w:rFonts w:hint="eastAsia"/>
        </w:rPr>
        <w:t xml:space="preserve">.2</w:t>
      </w:r>
      <w:r>
        <w:t xml:space="preserve">°</w:t>
      </w:r>
      <w:r/>
    </w:p>
    <w:p>
      <w:r>
        <w:rPr>
          <w:rFonts w:hint="eastAsia"/>
        </w:rPr>
        <w:t xml:space="preserve">探测威力</w:t>
      </w:r>
      <w:r/>
    </w:p>
    <w:p>
      <w:r>
        <w:t xml:space="preserve">RCS=1</w:t>
      </w:r>
      <w:r>
        <w:rPr>
          <w:rFonts w:hint="eastAsia"/>
        </w:rPr>
        <w:t xml:space="preserve">㎡</w:t>
      </w:r>
      <w:r>
        <w:t xml:space="preserve">6nm</w:t>
      </w:r>
      <w:r/>
    </w:p>
    <w:p>
      <w:r>
        <w:t xml:space="preserve">RCS=10</w:t>
      </w:r>
      <w:r>
        <w:rPr>
          <w:rFonts w:hint="eastAsia"/>
        </w:rPr>
        <w:t xml:space="preserve">㎡</w:t>
      </w:r>
      <w:r>
        <w:t xml:space="preserve">15nm</w:t>
      </w:r>
      <w:r/>
    </w:p>
    <w:p>
      <w:r>
        <w:t xml:space="preserve">RCS=50</w:t>
      </w:r>
      <w:r>
        <w:rPr>
          <w:rFonts w:hint="eastAsia"/>
        </w:rPr>
        <w:t xml:space="preserve">㎡</w:t>
      </w:r>
      <w:r>
        <w:t xml:space="preserve">20nm</w:t>
      </w:r>
      <w:r/>
    </w:p>
    <w:p>
      <w:r>
        <w:t xml:space="preserve">RCS=10000</w:t>
      </w:r>
      <w:r>
        <w:rPr>
          <w:rFonts w:hint="eastAsia"/>
        </w:rPr>
        <w:t xml:space="preserve">㎡</w:t>
      </w:r>
      <w:r>
        <w:t xml:space="preserve">视距</w:t>
      </w:r>
      <w:r/>
    </w:p>
    <w:p>
      <w:r>
        <w:rPr>
          <w:rFonts w:hint="eastAsia"/>
        </w:rPr>
        <w:t xml:space="preserve">探测威力：指在雷达架高</w:t>
      </w:r>
      <w:r>
        <w:t xml:space="preserve">30m、3级海情，晴朗天气、检测概率80%、虚警概率为10-6的检测条件下，不同RCS值对应的目标参照见表。</w:t>
      </w:r>
      <w:r/>
    </w:p>
    <w:tbl>
      <w:tblPr>
        <w:tblStyle w:val="908"/>
        <w:tblW w:w="8296" w:type="dxa"/>
        <w:tblInd w:w="6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tc>
          <w:tcPr>
            <w:tcW w:w="1690"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RCS</w:t>
            </w:r>
            <w:r>
              <w:rPr>
                <w:rFonts w:ascii="Calibri" w:hAnsi="Calibri" w:eastAsia="Arial" w:cs="Arial"/>
                <w:sz w:val="21"/>
                <w:szCs w:val="21"/>
                <w:lang w:val="en-US" w:eastAsia="zh-CN" w:bidi="ar-SA"/>
              </w:rPr>
              <w:t xml:space="preserve">=1m2</w:t>
            </w:r>
            <w:r/>
          </w:p>
        </w:tc>
        <w:tc>
          <w:tcPr>
            <w:tcW w:w="6606"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极小</w:t>
            </w:r>
            <w:r>
              <w:rPr>
                <w:rFonts w:ascii="Calibri" w:hAnsi="Calibri" w:eastAsia="Arial" w:cs="Arial"/>
                <w:sz w:val="21"/>
                <w:szCs w:val="21"/>
                <w:lang w:val="en-US" w:eastAsia="zh-CN" w:bidi="ar-SA"/>
              </w:rPr>
              <w:t xml:space="preserve">目标，</w:t>
            </w:r>
            <w:r>
              <w:rPr>
                <w:rFonts w:hint="eastAsia" w:ascii="Calibri" w:hAnsi="Calibri" w:eastAsia="Arial" w:cs="Arial"/>
                <w:sz w:val="21"/>
                <w:szCs w:val="21"/>
                <w:lang w:val="en-US" w:eastAsia="zh-CN" w:bidi="ar-SA"/>
              </w:rPr>
              <w:t xml:space="preserve">高度1</w:t>
            </w:r>
            <w:r>
              <w:rPr>
                <w:rFonts w:ascii="Calibri" w:hAnsi="Calibri" w:eastAsia="Arial" w:cs="Arial"/>
                <w:sz w:val="21"/>
                <w:szCs w:val="21"/>
                <w:lang w:val="en-US" w:eastAsia="zh-CN" w:bidi="ar-SA"/>
              </w:rPr>
              <w:t xml:space="preserve">m，</w:t>
            </w:r>
            <w:r>
              <w:rPr>
                <w:rFonts w:hint="eastAsia" w:ascii="Calibri" w:hAnsi="Calibri" w:eastAsia="Arial" w:cs="Arial"/>
                <w:sz w:val="21"/>
                <w:szCs w:val="21"/>
                <w:lang w:val="en-US" w:eastAsia="zh-CN" w:bidi="ar-SA"/>
              </w:rPr>
              <w:t xml:space="preserve">3</w:t>
            </w:r>
            <w:r>
              <w:rPr>
                <w:rFonts w:ascii="Calibri" w:hAnsi="Calibri" w:eastAsia="Arial" w:cs="Arial"/>
                <w:sz w:val="21"/>
                <w:szCs w:val="21"/>
                <w:lang w:val="en-US" w:eastAsia="zh-CN" w:bidi="ar-SA"/>
              </w:rPr>
              <w:t xml:space="preserve">m</w:t>
            </w:r>
            <w:r>
              <w:rPr>
                <w:rFonts w:hint="eastAsia" w:ascii="Calibri" w:hAnsi="Calibri" w:eastAsia="Arial" w:cs="Arial"/>
                <w:sz w:val="21"/>
                <w:szCs w:val="21"/>
                <w:lang w:val="en-US" w:eastAsia="zh-CN" w:bidi="ar-SA"/>
              </w:rPr>
              <w:t xml:space="preserve">长</w:t>
            </w:r>
            <w:r>
              <w:rPr>
                <w:rFonts w:ascii="Calibri" w:hAnsi="Calibri" w:eastAsia="Arial" w:cs="Arial"/>
                <w:sz w:val="21"/>
                <w:szCs w:val="21"/>
                <w:lang w:val="en-US" w:eastAsia="zh-CN" w:bidi="ar-SA"/>
              </w:rPr>
              <w:t xml:space="preserve">以上的木船</w:t>
            </w:r>
            <w:r>
              <w:rPr>
                <w:rFonts w:hint="eastAsia" w:ascii="Calibri" w:hAnsi="Calibri" w:eastAsia="Arial" w:cs="Arial"/>
                <w:sz w:val="21"/>
                <w:szCs w:val="21"/>
                <w:lang w:val="en-US" w:eastAsia="zh-CN" w:bidi="ar-SA"/>
              </w:rPr>
              <w:t xml:space="preserve">、</w:t>
            </w:r>
            <w:r>
              <w:rPr>
                <w:rFonts w:ascii="Calibri" w:hAnsi="Calibri" w:eastAsia="Arial" w:cs="Arial"/>
                <w:sz w:val="21"/>
                <w:szCs w:val="21"/>
                <w:lang w:val="en-US" w:eastAsia="zh-CN" w:bidi="ar-SA"/>
              </w:rPr>
              <w:t xml:space="preserve">船篷船</w:t>
            </w:r>
            <w:r>
              <w:rPr>
                <w:rFonts w:hint="eastAsia" w:ascii="Calibri" w:hAnsi="Calibri" w:eastAsia="Arial" w:cs="Arial"/>
                <w:sz w:val="21"/>
                <w:szCs w:val="21"/>
                <w:lang w:val="en-US" w:eastAsia="zh-CN" w:bidi="ar-SA"/>
              </w:rPr>
              <w:t xml:space="preserve">、</w:t>
            </w:r>
            <w:r>
              <w:rPr>
                <w:rFonts w:ascii="Calibri" w:hAnsi="Calibri" w:eastAsia="Arial" w:cs="Arial"/>
                <w:sz w:val="21"/>
                <w:szCs w:val="21"/>
                <w:lang w:val="en-US" w:eastAsia="zh-CN" w:bidi="ar-SA"/>
              </w:rPr>
              <w:t xml:space="preserve">小型快艇、小型渔船等</w:t>
            </w:r>
            <w:r/>
          </w:p>
        </w:tc>
      </w:tr>
      <w:tr>
        <w:trPr/>
        <w:tc>
          <w:tcPr>
            <w:tcW w:w="1690"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RCS</w:t>
            </w:r>
            <w:r>
              <w:rPr>
                <w:rFonts w:ascii="Calibri" w:hAnsi="Calibri" w:eastAsia="Arial" w:cs="Arial"/>
                <w:sz w:val="21"/>
                <w:szCs w:val="21"/>
                <w:lang w:val="en-US" w:eastAsia="zh-CN" w:bidi="ar-SA"/>
              </w:rPr>
              <w:t xml:space="preserve">=</w:t>
            </w:r>
            <w:r>
              <w:rPr>
                <w:rFonts w:hint="eastAsia" w:ascii="Calibri" w:hAnsi="Calibri" w:eastAsia="Arial" w:cs="Arial"/>
                <w:sz w:val="21"/>
                <w:szCs w:val="21"/>
                <w:lang w:val="en-US" w:eastAsia="zh-CN" w:bidi="ar-SA"/>
              </w:rPr>
              <w:t xml:space="preserve">10</w:t>
            </w:r>
            <w:r>
              <w:rPr>
                <w:rFonts w:ascii="Calibri" w:hAnsi="Calibri" w:eastAsia="Arial" w:cs="Arial"/>
                <w:sz w:val="21"/>
                <w:szCs w:val="21"/>
                <w:lang w:val="en-US" w:eastAsia="zh-CN" w:bidi="ar-SA"/>
              </w:rPr>
              <w:t xml:space="preserve">m2</w:t>
            </w:r>
            <w:r/>
          </w:p>
        </w:tc>
        <w:tc>
          <w:tcPr>
            <w:tcW w:w="6606"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小</w:t>
            </w:r>
            <w:r>
              <w:rPr>
                <w:rFonts w:ascii="Calibri" w:hAnsi="Calibri" w:eastAsia="Arial" w:cs="Arial"/>
                <w:sz w:val="21"/>
                <w:szCs w:val="21"/>
                <w:lang w:val="en-US" w:eastAsia="zh-CN" w:bidi="ar-SA"/>
              </w:rPr>
              <w:t xml:space="preserve">目标，</w:t>
            </w:r>
            <w:r>
              <w:rPr>
                <w:rFonts w:hint="eastAsia" w:ascii="Calibri" w:hAnsi="Calibri" w:eastAsia="Arial" w:cs="Arial"/>
                <w:sz w:val="21"/>
                <w:szCs w:val="21"/>
                <w:lang w:val="en-US" w:eastAsia="zh-CN" w:bidi="ar-SA"/>
              </w:rPr>
              <w:t xml:space="preserve">高度</w:t>
            </w:r>
            <w:r>
              <w:rPr>
                <w:rFonts w:ascii="Calibri" w:hAnsi="Calibri" w:eastAsia="Arial" w:cs="Arial"/>
                <w:sz w:val="21"/>
                <w:szCs w:val="21"/>
                <w:lang w:val="en-US" w:eastAsia="zh-CN" w:bidi="ar-SA"/>
              </w:rPr>
              <w:t xml:space="preserve">3m，</w:t>
            </w:r>
            <w:r>
              <w:rPr>
                <w:rFonts w:hint="eastAsia" w:ascii="Calibri" w:hAnsi="Calibri" w:eastAsia="Arial" w:cs="Arial"/>
                <w:sz w:val="21"/>
                <w:szCs w:val="21"/>
                <w:lang w:val="en-US" w:eastAsia="zh-CN" w:bidi="ar-SA"/>
              </w:rPr>
              <w:t xml:space="preserve">10米长</w:t>
            </w:r>
            <w:r>
              <w:rPr>
                <w:rFonts w:ascii="Calibri" w:hAnsi="Calibri" w:eastAsia="Arial" w:cs="Arial"/>
                <w:sz w:val="21"/>
                <w:szCs w:val="21"/>
                <w:lang w:val="en-US" w:eastAsia="zh-CN" w:bidi="ar-SA"/>
              </w:rPr>
              <w:t xml:space="preserve">以上渔船</w:t>
            </w:r>
            <w:r>
              <w:rPr>
                <w:rFonts w:hint="eastAsia" w:ascii="Calibri" w:hAnsi="Calibri" w:eastAsia="Arial" w:cs="Arial"/>
                <w:sz w:val="21"/>
                <w:szCs w:val="21"/>
                <w:lang w:val="en-US" w:eastAsia="zh-CN" w:bidi="ar-SA"/>
              </w:rPr>
              <w:t xml:space="preserve">、</w:t>
            </w:r>
            <w:r>
              <w:rPr>
                <w:rFonts w:ascii="Calibri" w:hAnsi="Calibri" w:eastAsia="Arial" w:cs="Arial"/>
                <w:sz w:val="21"/>
                <w:szCs w:val="21"/>
                <w:lang w:val="en-US" w:eastAsia="zh-CN" w:bidi="ar-SA"/>
              </w:rPr>
              <w:t xml:space="preserve">帆船和快艇等</w:t>
            </w:r>
            <w:r/>
          </w:p>
        </w:tc>
      </w:tr>
      <w:tr>
        <w:trPr/>
        <w:tc>
          <w:tcPr>
            <w:tcW w:w="1690"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RCS</w:t>
            </w:r>
            <w:r>
              <w:rPr>
                <w:rFonts w:ascii="Calibri" w:hAnsi="Calibri" w:eastAsia="Arial" w:cs="Arial"/>
                <w:sz w:val="21"/>
                <w:szCs w:val="21"/>
                <w:lang w:val="en-US" w:eastAsia="zh-CN" w:bidi="ar-SA"/>
              </w:rPr>
              <w:t xml:space="preserve">=</w:t>
            </w:r>
            <w:r>
              <w:rPr>
                <w:rFonts w:hint="eastAsia" w:ascii="Calibri" w:hAnsi="Calibri" w:eastAsia="Arial" w:cs="Arial"/>
                <w:sz w:val="21"/>
                <w:szCs w:val="21"/>
                <w:lang w:val="en-US" w:eastAsia="zh-CN" w:bidi="ar-SA"/>
              </w:rPr>
              <w:t xml:space="preserve">50</w:t>
            </w:r>
            <w:r>
              <w:rPr>
                <w:rFonts w:ascii="Calibri" w:hAnsi="Calibri" w:eastAsia="Arial" w:cs="Arial"/>
                <w:sz w:val="21"/>
                <w:szCs w:val="21"/>
                <w:lang w:val="en-US" w:eastAsia="zh-CN" w:bidi="ar-SA"/>
              </w:rPr>
              <w:t xml:space="preserve">m2</w:t>
            </w:r>
            <w:r/>
          </w:p>
        </w:tc>
        <w:tc>
          <w:tcPr>
            <w:tcW w:w="6606"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中小型</w:t>
            </w:r>
            <w:r>
              <w:rPr>
                <w:rFonts w:ascii="Calibri" w:hAnsi="Calibri" w:eastAsia="Arial" w:cs="Arial"/>
                <w:sz w:val="21"/>
                <w:szCs w:val="21"/>
                <w:lang w:val="en-US" w:eastAsia="zh-CN" w:bidi="ar-SA"/>
              </w:rPr>
              <w:t xml:space="preserve">目标，</w:t>
            </w:r>
            <w:r>
              <w:rPr>
                <w:rFonts w:hint="eastAsia" w:ascii="Calibri" w:hAnsi="Calibri" w:eastAsia="Arial" w:cs="Arial"/>
                <w:sz w:val="21"/>
                <w:szCs w:val="21"/>
                <w:lang w:val="en-US" w:eastAsia="zh-CN" w:bidi="ar-SA"/>
              </w:rPr>
              <w:t xml:space="preserve">高度3</w:t>
            </w:r>
            <w:r>
              <w:rPr>
                <w:rFonts w:ascii="Calibri" w:hAnsi="Calibri" w:eastAsia="Arial" w:cs="Arial"/>
                <w:sz w:val="21"/>
                <w:szCs w:val="21"/>
                <w:lang w:val="en-US" w:eastAsia="zh-CN" w:bidi="ar-SA"/>
              </w:rPr>
              <w:t xml:space="preserve">m，</w:t>
            </w:r>
            <w:r>
              <w:rPr>
                <w:rFonts w:hint="eastAsia" w:ascii="Calibri" w:hAnsi="Calibri" w:eastAsia="Arial" w:cs="Arial"/>
                <w:sz w:val="21"/>
                <w:szCs w:val="21"/>
                <w:lang w:val="en-US" w:eastAsia="zh-CN" w:bidi="ar-SA"/>
              </w:rPr>
              <w:t xml:space="preserve">小型</w:t>
            </w:r>
            <w:r>
              <w:rPr>
                <w:rFonts w:ascii="Calibri" w:hAnsi="Calibri" w:eastAsia="Arial" w:cs="Arial"/>
                <w:sz w:val="21"/>
                <w:szCs w:val="21"/>
                <w:lang w:val="en-US" w:eastAsia="zh-CN" w:bidi="ar-SA"/>
              </w:rPr>
              <w:t xml:space="preserve">金属渔船和巡逻艇等</w:t>
            </w:r>
            <w:r/>
          </w:p>
        </w:tc>
      </w:tr>
      <w:tr>
        <w:trPr/>
        <w:tc>
          <w:tcPr>
            <w:tcW w:w="1690"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RCS</w:t>
            </w:r>
            <w:r>
              <w:rPr>
                <w:rFonts w:ascii="Calibri" w:hAnsi="Calibri" w:eastAsia="Arial" w:cs="Arial"/>
                <w:sz w:val="21"/>
                <w:szCs w:val="21"/>
                <w:lang w:val="en-US" w:eastAsia="zh-CN" w:bidi="ar-SA"/>
              </w:rPr>
              <w:t xml:space="preserve">=10000m2</w:t>
            </w:r>
            <w:r/>
          </w:p>
        </w:tc>
        <w:tc>
          <w:tcPr>
            <w:tcW w:w="6606"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大型</w:t>
            </w:r>
            <w:r>
              <w:rPr>
                <w:rFonts w:ascii="Calibri" w:hAnsi="Calibri" w:eastAsia="Arial" w:cs="Arial"/>
                <w:sz w:val="21"/>
                <w:szCs w:val="21"/>
                <w:lang w:val="en-US" w:eastAsia="zh-CN" w:bidi="ar-SA"/>
              </w:rPr>
              <w:t xml:space="preserve">目标，</w:t>
            </w:r>
            <w:r>
              <w:rPr>
                <w:rFonts w:hint="eastAsia" w:ascii="Calibri" w:hAnsi="Calibri" w:eastAsia="Arial" w:cs="Arial"/>
                <w:sz w:val="21"/>
                <w:szCs w:val="21"/>
                <w:lang w:val="en-US" w:eastAsia="zh-CN" w:bidi="ar-SA"/>
              </w:rPr>
              <w:t xml:space="preserve">高度</w:t>
            </w:r>
            <w:r>
              <w:rPr>
                <w:rFonts w:ascii="Calibri" w:hAnsi="Calibri" w:eastAsia="Arial" w:cs="Arial"/>
                <w:sz w:val="21"/>
                <w:szCs w:val="21"/>
                <w:lang w:val="en-US" w:eastAsia="zh-CN" w:bidi="ar-SA"/>
              </w:rPr>
              <w:t xml:space="preserve">12m，</w:t>
            </w:r>
            <w:r>
              <w:rPr>
                <w:rFonts w:hint="eastAsia" w:ascii="Calibri" w:hAnsi="Calibri" w:eastAsia="Arial" w:cs="Arial"/>
                <w:sz w:val="21"/>
                <w:szCs w:val="21"/>
                <w:lang w:val="en-US" w:eastAsia="zh-CN" w:bidi="ar-SA"/>
              </w:rPr>
              <w:t xml:space="preserve">货船</w:t>
            </w:r>
            <w:r>
              <w:rPr>
                <w:rFonts w:ascii="Calibri" w:hAnsi="Calibri" w:eastAsia="Arial" w:cs="Arial"/>
                <w:sz w:val="21"/>
                <w:szCs w:val="21"/>
                <w:lang w:val="en-US" w:eastAsia="zh-CN" w:bidi="ar-SA"/>
              </w:rPr>
              <w:t xml:space="preserve">、集装箱船、大型</w:t>
            </w:r>
            <w:r>
              <w:rPr>
                <w:rFonts w:hint="eastAsia" w:ascii="Calibri" w:hAnsi="Calibri" w:eastAsia="Arial" w:cs="Arial"/>
                <w:sz w:val="21"/>
                <w:szCs w:val="21"/>
                <w:lang w:val="en-US" w:eastAsia="zh-CN" w:bidi="ar-SA"/>
              </w:rPr>
              <w:t xml:space="preserve">客轮</w:t>
            </w:r>
            <w:r>
              <w:rPr>
                <w:rFonts w:ascii="Calibri" w:hAnsi="Calibri" w:eastAsia="Arial" w:cs="Arial"/>
                <w:sz w:val="21"/>
                <w:szCs w:val="21"/>
                <w:lang w:val="en-US" w:eastAsia="zh-CN" w:bidi="ar-SA"/>
              </w:rPr>
              <w:t xml:space="preserve">等</w:t>
            </w:r>
            <w:r/>
          </w:p>
        </w:tc>
      </w:tr>
    </w:tbl>
    <w:p>
      <w:r>
        <w:rPr>
          <w:rFonts w:hint="eastAsia"/>
        </w:rPr>
        <w:t xml:space="preserve">视距：指受地球曲率半径影响，地球上两个具有一定高度的目标顶点之间连线与地球弧面相切得切线长度。</w:t>
      </w:r>
      <w:r/>
    </w:p>
    <w:p>
      <w:r>
        <w:rPr>
          <w:rFonts w:hint="eastAsia"/>
        </w:rPr>
        <w:t xml:space="preserve">供电：</w:t>
      </w:r>
      <w:r>
        <w:t xml:space="preserve">单相 220V 50Hz/60Hz 电源供电，总功耗不大于1kw </w:t>
      </w:r>
      <w:r/>
    </w:p>
    <w:p>
      <w:r>
        <w:rPr>
          <w:rFonts w:hint="eastAsia"/>
        </w:rPr>
        <w:t xml:space="preserve">可靠性、维修性</w:t>
      </w:r>
      <w:r/>
    </w:p>
    <w:p>
      <w:r>
        <w:t xml:space="preserve">MTBF：≥10000h </w:t>
      </w:r>
      <w:r/>
    </w:p>
    <w:p>
      <w:r>
        <w:t xml:space="preserve">MTTR:≤30min </w:t>
      </w:r>
      <w:r/>
    </w:p>
    <w:p>
      <w:r>
        <w:rPr>
          <w:rFonts w:hint="eastAsia"/>
        </w:rPr>
        <w:t xml:space="preserve">开机时间：</w:t>
      </w:r>
      <w:r>
        <w:t xml:space="preserve">≤2min </w:t>
      </w:r>
      <w:r/>
    </w:p>
    <w:p>
      <w:r>
        <w:rPr>
          <w:rFonts w:hint="eastAsia"/>
        </w:rPr>
        <w:t xml:space="preserve">连续工作时间：</w:t>
      </w:r>
      <w:r>
        <w:t xml:space="preserve">可长时、全天候连续不间断工作 </w:t>
      </w:r>
      <w:r/>
    </w:p>
    <w:p>
      <w:r>
        <w:rPr>
          <w:rFonts w:hint="eastAsia"/>
        </w:rPr>
        <w:t xml:space="preserve">环境适应性</w:t>
      </w:r>
      <w:r/>
    </w:p>
    <w:p>
      <w:r>
        <w:t xml:space="preserve">室外单元工作温度：-25℃-+55℃</w:t>
      </w:r>
      <w:r/>
    </w:p>
    <w:p>
      <w:r>
        <w:rPr>
          <w:rFonts w:hint="eastAsia"/>
        </w:rPr>
        <w:t xml:space="preserve">室内单元工作温度：</w:t>
      </w:r>
      <w:r>
        <w:t xml:space="preserve">-15℃-+50℃</w:t>
      </w:r>
      <w:r/>
    </w:p>
    <w:p>
      <w:r>
        <w:t xml:space="preserve">储存温度：-40℃～+60℃</w:t>
      </w:r>
      <w:r/>
    </w:p>
    <w:p>
      <w:r>
        <w:t xml:space="preserve">防水等级：可淋水（IP65）</w:t>
      </w:r>
      <w:r/>
    </w:p>
    <w:p>
      <w:r>
        <w:rPr>
          <w:rFonts w:hint="eastAsia"/>
        </w:rPr>
        <w:t xml:space="preserve">防护能力：抗震动、抗冲击、防腐蚀，耐盐雾</w:t>
      </w:r>
      <w:r>
        <w:t xml:space="preserve"> </w:t>
      </w:r>
      <w:r/>
    </w:p>
    <w:p>
      <w:r>
        <w:t xml:space="preserve">最大工作风速：52m/s</w:t>
      </w:r>
      <w:bookmarkStart w:id="198" w:name="_Hlk135322650"/>
      <w:r/>
      <w:bookmarkStart w:id="199" w:name="_Hlk169795420"/>
      <w:r/>
      <w:r/>
    </w:p>
    <w:p>
      <w:pPr>
        <w:rPr>
          <w:rFonts w:hint="eastAsia"/>
        </w:rPr>
      </w:pPr>
      <w:r>
        <w:rPr>
          <w:rFonts w:hint="eastAsia"/>
        </w:rPr>
        <w:t xml:space="preserve">标★项须提供中国国家认证认可监督管理委员会（CNCA）授权或与中国合格评定国家认可委员会（CNAS）互认的国际组织授权的检测机构出具的检测报告证明，加盖投标单位公章。</w:t>
      </w:r>
      <w:r/>
    </w:p>
    <w:p>
      <w:pPr>
        <w:pStyle w:val="888"/>
      </w:pPr>
      <w:r/>
      <w:r/>
    </w:p>
    <w:p>
      <w:pPr>
        <w:numPr>
          <w:ilvl w:val="0"/>
          <w:numId w:val="7"/>
        </w:numPr>
        <w:rPr>
          <w:rFonts w:hint="eastAsia" w:ascii="Times New Roman" w:hAnsi="Times New Roman" w:eastAsia="宋体" w:cs="Times New Roman"/>
          <w:b/>
          <w:bCs/>
          <w:sz w:val="30"/>
          <w:szCs w:val="30"/>
        </w:rPr>
      </w:pPr>
      <w:r>
        <w:rPr>
          <w:rFonts w:hint="eastAsia" w:ascii="Times New Roman" w:hAnsi="Times New Roman" w:eastAsia="宋体" w:cs="Times New Roman"/>
          <w:b/>
          <w:bCs/>
          <w:sz w:val="30"/>
          <w:szCs w:val="30"/>
        </w:rPr>
        <w:t xml:space="preserve">雷达数据处理系统</w:t>
      </w:r>
      <w:r/>
    </w:p>
    <w:p>
      <w:pPr>
        <w:pStyle w:val="888"/>
        <w:numPr>
          <w:ilvl w:val="0"/>
          <w:numId w:val="0"/>
        </w:numPr>
        <w:ind w:right="1440"/>
        <w:rPr>
          <w:rFonts w:hint="eastAsia"/>
        </w:rPr>
      </w:pPr>
      <w:r>
        <w:rPr>
          <w:rFonts w:hint="eastAsia"/>
        </w:rPr>
      </w:r>
      <w:r/>
    </w:p>
    <w:p>
      <w:r>
        <w:rPr>
          <w:rFonts w:hint="eastAsia"/>
        </w:rPr>
        <w:t xml:space="preserve">2.1</w:t>
      </w:r>
      <w:r>
        <w:t xml:space="preserve">为便于信息的传输和显示，对雷达站的雷达信号进行量化、杂波处理及信号压缩，形成雷达数字视频，雷达数字视频应尽量接近原始视频，压缩量可设置和调整。</w:t>
      </w:r>
      <w:r/>
    </w:p>
    <w:p>
      <w:r>
        <w:rPr>
          <w:rFonts w:hint="eastAsia"/>
        </w:rPr>
        <w:t xml:space="preserve">2.2</w:t>
      </w:r>
      <w:r>
        <w:t xml:space="preserve">经录取的目标视频数据应反映目标的基本特征，如目标的长、宽、轴线方向等。采取调整门限、相关处理、目标空间特性分析等技术，减少因目标合并、分裂、遮挡及假回波引起的误跟踪和跟踪丢失。</w:t>
      </w:r>
      <w:r/>
    </w:p>
    <w:p>
      <w:r>
        <w:rPr>
          <w:rFonts w:hint="eastAsia"/>
        </w:rPr>
        <w:t xml:space="preserve">2.3</w:t>
      </w:r>
      <w:r>
        <w:t xml:space="preserve">跟踪器的跟踪容量不低于1000个目标。</w:t>
      </w:r>
      <w:r/>
    </w:p>
    <w:p>
      <w:r>
        <w:rPr>
          <w:rFonts w:hint="eastAsia"/>
        </w:rPr>
        <w:t xml:space="preserve">2.4</w:t>
      </w:r>
      <w:r>
        <w:t xml:space="preserve">各雷达站数据处理设备断电停止工作后，通电后应自启动并恢复运行。</w:t>
      </w:r>
      <w:r/>
    </w:p>
    <w:p>
      <w:pPr>
        <w:rPr>
          <w:rFonts w:hint="eastAsia"/>
        </w:rPr>
      </w:pPr>
      <w:r>
        <w:rPr>
          <w:rFonts w:hint="eastAsia"/>
        </w:rPr>
        <w:t xml:space="preserve">2.5支持标准CAT240雷达视频接入和航迹输出。</w:t>
      </w:r>
      <w:bookmarkEnd w:id="198"/>
      <w:r/>
      <w:bookmarkEnd w:id="199"/>
      <w:r/>
      <w:r/>
    </w:p>
    <w:p>
      <w:pPr>
        <w:pStyle w:val="888"/>
      </w:pPr>
      <w:r/>
      <w:r/>
    </w:p>
    <w:p>
      <w:pPr>
        <w:numPr>
          <w:ilvl w:val="0"/>
          <w:numId w:val="7"/>
        </w:numPr>
        <w:ind w:left="0" w:firstLine="0"/>
        <w:rPr>
          <w:rFonts w:hint="eastAsia" w:ascii="Times New Roman" w:hAnsi="Times New Roman" w:eastAsia="宋体" w:cs="Times New Roman"/>
          <w:b/>
          <w:bCs/>
          <w:sz w:val="30"/>
          <w:szCs w:val="30"/>
        </w:rPr>
      </w:pPr>
      <w:r>
        <w:rPr>
          <w:rFonts w:hint="eastAsia" w:ascii="Times New Roman" w:hAnsi="Times New Roman" w:eastAsia="宋体" w:cs="Times New Roman"/>
          <w:b/>
          <w:bCs/>
          <w:sz w:val="30"/>
          <w:szCs w:val="30"/>
        </w:rPr>
        <w:t xml:space="preserve">多源融合数据处理系统</w:t>
      </w:r>
      <w:r/>
    </w:p>
    <w:p>
      <w:pPr>
        <w:pStyle w:val="888"/>
        <w:numPr>
          <w:ilvl w:val="0"/>
          <w:numId w:val="0"/>
        </w:numPr>
        <w:ind w:right="1440"/>
        <w:rPr>
          <w:rFonts w:hint="eastAsia"/>
        </w:rPr>
      </w:pPr>
      <w:r>
        <w:rPr>
          <w:rFonts w:hint="eastAsia"/>
        </w:rPr>
      </w:r>
      <w:r/>
    </w:p>
    <w:p>
      <w:r>
        <w:rPr>
          <w:rFonts w:hint="eastAsia"/>
        </w:rPr>
        <w:t xml:space="preserve">1）对各类动静态数据和信息集成整合，包括综合态势感知前端监测的实时动态数据，支持多雷达站、AIS、北斗等不同传感器、不同更新频率的航迹数据实时融合，针对同一艘目标船舶可保证全域融合ID一致、航迹连续；</w:t>
      </w:r>
      <w:r/>
    </w:p>
    <w:p>
      <w:r>
        <w:rPr>
          <w:rFonts w:hint="eastAsia"/>
        </w:rPr>
        <w:t xml:space="preserve">现场数据采集与汇总；</w:t>
      </w:r>
      <w:r/>
    </w:p>
    <w:p>
      <w:r>
        <w:rPr>
          <w:rFonts w:hint="eastAsia"/>
        </w:rPr>
        <w:t xml:space="preserve">雷达接入与平台同步、AIS数据及接入与平台同步；</w:t>
      </w:r>
      <w:r/>
    </w:p>
    <w:p>
      <w:pPr>
        <w:numPr>
          <w:ilvl w:val="0"/>
          <w:numId w:val="8"/>
        </w:numPr>
        <w:rPr>
          <w:rFonts w:hint="eastAsia"/>
        </w:rPr>
      </w:pPr>
      <w:r>
        <w:rPr>
          <w:rFonts w:hint="eastAsia"/>
        </w:rPr>
        <w:t xml:space="preserve">数据接入（接入第三方AIS数据等）、数据输出（预留接入管理部门中心系统接口，并可与建设单位系统等平台进行对接）</w:t>
      </w:r>
      <w:r/>
    </w:p>
    <w:p>
      <w:pPr>
        <w:pStyle w:val="888"/>
        <w:numPr>
          <w:ilvl w:val="0"/>
          <w:numId w:val="0"/>
        </w:numPr>
        <w:ind w:right="1440"/>
      </w:pPr>
      <w:r/>
      <w:r/>
    </w:p>
    <w:p>
      <w:pPr>
        <w:rPr>
          <w:rFonts w:hint="eastAsia"/>
          <w:b/>
          <w:bCs/>
          <w:sz w:val="30"/>
          <w:szCs w:val="30"/>
        </w:rPr>
      </w:pPr>
      <w:r>
        <w:rPr>
          <w:rFonts w:hint="eastAsia"/>
          <w:b/>
          <w:bCs/>
          <w:sz w:val="30"/>
          <w:szCs w:val="30"/>
        </w:rPr>
        <w:t xml:space="preserve">4.视频联动系统软件</w:t>
      </w:r>
      <w:r/>
    </w:p>
    <w:p>
      <w:pPr>
        <w:pStyle w:val="888"/>
      </w:pPr>
      <w:r/>
      <w:r/>
    </w:p>
    <w:p>
      <w:r>
        <w:rPr>
          <w:rFonts w:hint="eastAsia"/>
        </w:rPr>
        <w:t xml:space="preserve">通过雷达</w:t>
      </w:r>
      <w:r>
        <w:t xml:space="preserve">/AIS系统获取被跟踪监控船舶的动态信息（主要为船舶的经纬度坐标位置信息和航速、航向信息）、CCTV监控点系统信息（主要为监控点经纬度坐标的位置信息），利用雷达/AIS与CCTV联动追踪算法组件进行计算，由CCTV联动系统根据计算结果来自动选取最合适的摄像机，并驱动云台与镜头实现对被监控船舶的联动跟踪监控。</w:t>
      </w:r>
      <w:r/>
    </w:p>
    <w:p>
      <w:r>
        <w:rPr>
          <w:rFonts w:hint="eastAsia"/>
        </w:rPr>
        <w:t xml:space="preserve">目标位置联动</w:t>
      </w:r>
      <w:r/>
    </w:p>
    <w:p>
      <w:r>
        <w:rPr>
          <w:rFonts w:hint="eastAsia"/>
        </w:rPr>
        <w:t xml:space="preserve">基于雷达探测信息（或船舶AIS信息）的经纬度坐标，控制相机运动，跟随雷达探测间距（或AIS更新间距）更新联动频率；</w:t>
      </w:r>
      <w:r/>
    </w:p>
    <w:p>
      <w:r>
        <w:rPr>
          <w:rFonts w:hint="eastAsia"/>
        </w:rPr>
        <w:t xml:space="preserve">视频联动平滑跟踪</w:t>
      </w:r>
      <w:r/>
    </w:p>
    <w:p>
      <w:pPr>
        <w:rPr>
          <w:rFonts w:hint="default" w:eastAsia="宋体"/>
          <w:lang w:val="en-US" w:eastAsia="zh-CN"/>
        </w:rPr>
      </w:pPr>
      <w:r>
        <w:rPr>
          <w:rFonts w:hint="eastAsia"/>
        </w:rPr>
        <w:t xml:space="preserve">基于联动算法，</w:t>
      </w:r>
      <w:r>
        <w:t xml:space="preserve">CCTV提供现场视频图像。雷达、AIS与CCTV联动技术能准确控制镜头的运动，镜头能根据船舶的经纬度信息和航速、航向信息始终准确对准行进中的船舶</w:t>
      </w:r>
      <w:r>
        <w:rPr>
          <w:rFonts w:hint="eastAsia"/>
        </w:rPr>
        <w:t xml:space="preserve">，进行平滑跟踪；</w:t>
      </w:r>
      <w:r>
        <w:rPr>
          <w:rFonts w:hint="eastAsia"/>
          <w:lang w:val="en-US" w:eastAsia="zh-CN"/>
        </w:rPr>
        <w:t xml:space="preserve">雷达须与国内主流相机厂家无缝对接，所有对接工作及费用由雷达厂家全部负责。</w:t>
      </w:r>
      <w:r/>
    </w:p>
    <w:p>
      <w:r/>
      <w:r/>
    </w:p>
    <w:p>
      <w:r>
        <w:rPr>
          <w:rFonts w:hint="eastAsia"/>
        </w:rPr>
        <w:t xml:space="preserve">★雷达及雷达数据处理系统、多源融合数据处理系统、视频联动系统软件采集汇聚的各类数据须全量推送至江苏省盐城市“海晏”平台，平台间数据推送须无缝衔接，对接费用由投标人全部承担，提供无缝对接承诺函，加盖投标单位公章（承诺函格式自拟）。</w:t>
      </w:r>
      <w:r/>
    </w:p>
    <w:p>
      <w:r/>
      <w:r/>
    </w:p>
    <w:p>
      <w:pPr>
        <w:pStyle w:val="1072"/>
        <w:rPr>
          <w:rFonts w:hint="eastAsia"/>
        </w:rPr>
      </w:pPr>
      <w:r>
        <w:rPr>
          <w:rFonts w:hint="eastAsia"/>
        </w:rPr>
        <w:t xml:space="preserve">AIS基站</w:t>
      </w:r>
      <w:r/>
    </w:p>
    <w:p>
      <w:pPr>
        <w:rPr>
          <w:rFonts w:hint="eastAsia" w:eastAsia="宋体"/>
          <w:b/>
          <w:bCs/>
          <w:lang w:eastAsia="zh-CN"/>
        </w:rPr>
      </w:pPr>
      <w:r>
        <w:rPr>
          <w:rFonts w:hint="eastAsia"/>
          <w:b/>
          <w:bCs/>
        </w:rPr>
        <w:t xml:space="preserve">主要功能</w:t>
      </w:r>
      <w:r>
        <w:rPr>
          <w:rFonts w:hint="eastAsia"/>
          <w:b/>
          <w:bCs/>
          <w:lang w:eastAsia="zh-CN"/>
        </w:rPr>
        <w:t xml:space="preserve">：</w:t>
      </w:r>
      <w:r/>
    </w:p>
    <w:p>
      <w:pPr>
        <w:numPr>
          <w:ilvl w:val="0"/>
          <w:numId w:val="0"/>
        </w:numPr>
        <w:ind w:firstLine="420"/>
        <w:spacing w:before="156"/>
        <w:rPr>
          <w:rFonts w:hint="eastAsia" w:eastAsia="宋体"/>
          <w:lang w:eastAsia="zh-CN"/>
        </w:rPr>
      </w:pPr>
      <w:r>
        <w:rPr>
          <w:rFonts w:hint="eastAsia"/>
        </w:rPr>
        <w:t xml:space="preserve">持续接收覆盖区域内符合国际标准的A类船载AIS、B类船载AIS、AIS航标、AIS SART、AIS基站等播发的动静态信息</w:t>
      </w:r>
      <w:r>
        <w:rPr>
          <w:rFonts w:hint="eastAsia"/>
          <w:lang w:eastAsia="zh-CN"/>
        </w:rPr>
        <w:t xml:space="preserve">；</w:t>
      </w:r>
      <w:r/>
    </w:p>
    <w:p>
      <w:pPr>
        <w:numPr>
          <w:ilvl w:val="0"/>
          <w:numId w:val="0"/>
        </w:numPr>
        <w:ind w:firstLine="420"/>
        <w:spacing w:before="156"/>
        <w:rPr>
          <w:rFonts w:hint="eastAsia" w:eastAsia="宋体"/>
          <w:lang w:eastAsia="zh-CN"/>
        </w:rPr>
      </w:pPr>
      <w:r>
        <w:rPr>
          <w:rFonts w:hint="eastAsia"/>
        </w:rPr>
        <w:t xml:space="preserve">符合IEC62320-1和ITU.M-1371-4标准</w:t>
      </w:r>
      <w:r>
        <w:rPr>
          <w:rFonts w:hint="eastAsia"/>
          <w:lang w:eastAsia="zh-CN"/>
        </w:rPr>
        <w:t xml:space="preserve">；</w:t>
      </w:r>
      <w:r/>
    </w:p>
    <w:p>
      <w:pPr>
        <w:numPr>
          <w:ilvl w:val="0"/>
          <w:numId w:val="0"/>
        </w:numPr>
        <w:ind w:firstLine="420"/>
        <w:spacing w:before="156"/>
        <w:rPr>
          <w:rFonts w:hint="eastAsia" w:eastAsia="宋体"/>
          <w:lang w:eastAsia="zh-CN"/>
        </w:rPr>
      </w:pPr>
      <w:r>
        <w:rPr>
          <w:rFonts w:hint="eastAsia"/>
        </w:rPr>
        <w:t xml:space="preserve">支持远程基站状态检测，远程配置、远程告警等管理功能</w:t>
      </w:r>
      <w:r>
        <w:rPr>
          <w:rFonts w:hint="eastAsia"/>
          <w:lang w:eastAsia="zh-CN"/>
        </w:rPr>
        <w:t xml:space="preserve">；</w:t>
      </w:r>
      <w:r/>
    </w:p>
    <w:p>
      <w:pPr>
        <w:pStyle w:val="888"/>
      </w:pPr>
      <w:r/>
      <w:r/>
    </w:p>
    <w:p>
      <w:pPr>
        <w:rPr>
          <w:rFonts w:hint="default"/>
          <w:b/>
          <w:bCs/>
          <w:lang w:val="en-US"/>
        </w:rPr>
      </w:pPr>
      <w:r>
        <w:rPr>
          <w:rFonts w:hint="eastAsia"/>
          <w:b/>
          <w:bCs/>
          <w:lang w:val="en-US" w:eastAsia="zh-CN"/>
        </w:rPr>
        <w:t xml:space="preserve">技术指标如下：</w:t>
      </w:r>
      <w:r/>
    </w:p>
    <w:tbl>
      <w:tblPr>
        <w:tblStyle w:val="887"/>
        <w:tblpPr w:horzAnchor="page" w:tblpX="2298" w:vertAnchor="text" w:tblpY="366" w:leftFromText="180" w:topFromText="0" w:rightFromText="180" w:bottomFromText="0"/>
        <w:tblW w:w="7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9"/>
        <w:gridCol w:w="5469"/>
      </w:tblGrid>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频率范围</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156.025MHz—162.025MHz</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默认信道</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CH87(161.975 MHz)、CH88(162.025MHz)</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AIS接收通道数量</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2</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灵敏度</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-110dBm，PER≤20%</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共道抑制</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-10 dB</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邻道选择性</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≥70dB</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杂散响应抑制</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≥70dB</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互调响应抑制</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≥74dB</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数据编码方式</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NRZI</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数据速率</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9600bps</w:t>
            </w:r>
            <w:r/>
          </w:p>
        </w:tc>
      </w:tr>
      <w:tr>
        <w:trPr>
          <w:trHeight w:val="476"/>
        </w:trPr>
        <w:tc>
          <w:tcPr>
            <w:tcW w:w="2459" w:type="dxa"/>
            <w:vAlign w:val="center"/>
            <w:textDirection w:val="lrTb"/>
            <w:noWrap w:val="false"/>
          </w:tcPr>
          <w:p>
            <w:pPr>
              <w:pStyle w:val="1094"/>
              <w:ind w:firstLine="0"/>
              <w:jc w:val="center"/>
              <w:spacing w:line="240" w:lineRule="auto"/>
              <w:rPr>
                <w:color w:val="000000"/>
                <w:szCs w:val="22"/>
              </w:rPr>
            </w:pPr>
            <w:r>
              <w:rPr>
                <w:rFonts w:hint="eastAsia"/>
                <w:color w:val="000000"/>
                <w:szCs w:val="22"/>
              </w:rPr>
              <w:t xml:space="preserve">工作温度</w:t>
            </w:r>
            <w:r/>
          </w:p>
        </w:tc>
        <w:tc>
          <w:tcPr>
            <w:tcW w:w="5469" w:type="dxa"/>
            <w:vAlign w:val="center"/>
            <w:textDirection w:val="lrTb"/>
            <w:noWrap w:val="false"/>
          </w:tcPr>
          <w:p>
            <w:pPr>
              <w:pStyle w:val="1094"/>
              <w:ind w:firstLine="0"/>
              <w:spacing w:line="240" w:lineRule="auto"/>
              <w:rPr>
                <w:rFonts w:hint="eastAsia" w:eastAsia="宋体"/>
                <w:color w:val="000000"/>
                <w:szCs w:val="22"/>
                <w:lang w:val="en-US" w:eastAsia="zh-CN"/>
              </w:rPr>
            </w:pPr>
            <w:r>
              <w:rPr>
                <w:rFonts w:hint="eastAsia"/>
                <w:color w:val="000000"/>
                <w:szCs w:val="22"/>
                <w:lang w:val="en-US" w:eastAsia="zh-CN"/>
              </w:rPr>
              <w:t xml:space="preserve">不低于</w:t>
            </w:r>
            <w:r>
              <w:rPr>
                <w:rFonts w:hint="eastAsia"/>
                <w:color w:val="000000"/>
                <w:szCs w:val="22"/>
              </w:rPr>
              <w:t xml:space="preserve">-</w:t>
            </w:r>
            <w:r>
              <w:rPr>
                <w:rFonts w:hint="eastAsia"/>
                <w:color w:val="000000"/>
                <w:szCs w:val="22"/>
                <w:lang w:val="en-US" w:eastAsia="zh-CN"/>
              </w:rPr>
              <w:t xml:space="preserve">15</w:t>
            </w:r>
            <w:r>
              <w:rPr>
                <w:rFonts w:hint="eastAsia"/>
                <w:color w:val="000000"/>
                <w:szCs w:val="22"/>
              </w:rPr>
              <w:t xml:space="preserve">℃ ~ +</w:t>
            </w:r>
            <w:r>
              <w:rPr>
                <w:rFonts w:hint="eastAsia"/>
                <w:color w:val="000000"/>
                <w:szCs w:val="22"/>
                <w:lang w:val="en-US" w:eastAsia="zh-CN"/>
              </w:rPr>
              <w:t xml:space="preserve">55</w:t>
            </w:r>
            <w:r>
              <w:rPr>
                <w:rFonts w:hint="eastAsia"/>
                <w:color w:val="000000"/>
                <w:szCs w:val="22"/>
              </w:rPr>
              <w:t xml:space="preserve">℃</w:t>
            </w:r>
            <w:r>
              <w:rPr>
                <w:rFonts w:hint="eastAsia"/>
                <w:color w:val="000000"/>
                <w:szCs w:val="22"/>
                <w:lang w:val="en-US" w:eastAsia="zh-CN"/>
              </w:rPr>
              <w:t xml:space="preserve">区间</w:t>
            </w:r>
            <w:r/>
          </w:p>
        </w:tc>
      </w:tr>
      <w:tr>
        <w:trPr>
          <w:trHeight w:val="476"/>
        </w:trPr>
        <w:tc>
          <w:tcPr>
            <w:tcW w:w="2459" w:type="dxa"/>
            <w:vAlign w:val="center"/>
            <w:textDirection w:val="lrTb"/>
            <w:noWrap w:val="false"/>
          </w:tcPr>
          <w:p>
            <w:pPr>
              <w:pStyle w:val="1094"/>
              <w:ind w:firstLine="0"/>
              <w:jc w:val="center"/>
              <w:spacing w:line="240" w:lineRule="auto"/>
              <w:rPr>
                <w:color w:val="000000"/>
                <w:szCs w:val="22"/>
              </w:rPr>
            </w:pPr>
            <w:r>
              <w:rPr>
                <w:rFonts w:hint="eastAsia"/>
                <w:color w:val="000000"/>
                <w:szCs w:val="22"/>
              </w:rPr>
              <w:t xml:space="preserve">工作湿度</w:t>
            </w:r>
            <w:r/>
          </w:p>
        </w:tc>
        <w:tc>
          <w:tcPr>
            <w:tcW w:w="5469" w:type="dxa"/>
            <w:vAlign w:val="center"/>
            <w:textDirection w:val="lrTb"/>
            <w:noWrap w:val="false"/>
          </w:tcPr>
          <w:p>
            <w:pPr>
              <w:pStyle w:val="1094"/>
              <w:ind w:firstLine="0"/>
              <w:spacing w:line="240" w:lineRule="auto"/>
              <w:rPr>
                <w:color w:val="000000"/>
                <w:szCs w:val="22"/>
              </w:rPr>
            </w:pPr>
            <w:r>
              <w:rPr>
                <w:rFonts w:hint="eastAsia"/>
                <w:color w:val="000000"/>
                <w:szCs w:val="22"/>
                <w:lang w:val="en-US" w:eastAsia="zh-CN"/>
              </w:rPr>
              <w:t xml:space="preserve">不低于</w:t>
            </w:r>
            <w:r>
              <w:rPr>
                <w:rFonts w:hint="eastAsia"/>
                <w:color w:val="000000"/>
                <w:szCs w:val="22"/>
              </w:rPr>
              <w:t xml:space="preserve">10%～90％</w:t>
            </w:r>
            <w:r>
              <w:rPr>
                <w:rFonts w:hint="eastAsia"/>
                <w:color w:val="000000"/>
                <w:szCs w:val="22"/>
                <w:lang w:val="en-US" w:eastAsia="zh-CN"/>
              </w:rPr>
              <w:t xml:space="preserve">区间</w:t>
            </w:r>
            <w:r/>
          </w:p>
        </w:tc>
      </w:tr>
      <w:tr>
        <w:trPr>
          <w:trHeight w:val="598"/>
        </w:trPr>
        <w:tc>
          <w:tcPr>
            <w:tcW w:w="2459" w:type="dxa"/>
            <w:vAlign w:val="center"/>
            <w:textDirection w:val="lrTb"/>
            <w:noWrap w:val="false"/>
          </w:tcPr>
          <w:p>
            <w:pPr>
              <w:ind w:left="0" w:firstLine="0"/>
              <w:rPr>
                <w:rFonts w:hint="eastAsia" w:ascii="Times New Roman" w:hAnsi="Times New Roman" w:eastAsia="宋体" w:cs="Times New Roman"/>
                <w:color w:val="000000"/>
                <w:sz w:val="24"/>
                <w:szCs w:val="22"/>
                <w:lang w:val="en-US" w:eastAsia="zh-CN" w:bidi="ar-SA"/>
              </w:rPr>
            </w:pPr>
            <w:r>
              <w:rPr>
                <w:rFonts w:hint="eastAsia" w:ascii="Times New Roman" w:hAnsi="Times New Roman" w:eastAsia="宋体" w:cs="Times New Roman"/>
                <w:color w:val="000000"/>
                <w:sz w:val="24"/>
                <w:szCs w:val="22"/>
                <w:lang w:val="en-US" w:eastAsia="zh-CN" w:bidi="ar-SA"/>
              </w:rPr>
              <w:t xml:space="preserve">VHF天线技术指标</w:t>
            </w:r>
            <w:r/>
          </w:p>
          <w:p>
            <w:pPr>
              <w:pStyle w:val="1094"/>
              <w:ind w:firstLine="0"/>
              <w:jc w:val="center"/>
              <w:spacing w:line="240" w:lineRule="auto"/>
              <w:rPr>
                <w:rFonts w:hint="eastAsia"/>
                <w:color w:val="000000"/>
                <w:szCs w:val="22"/>
              </w:rPr>
            </w:pPr>
            <w:r>
              <w:rPr>
                <w:rFonts w:hint="eastAsia"/>
                <w:color w:val="000000"/>
                <w:szCs w:val="22"/>
              </w:rPr>
            </w:r>
            <w:r/>
          </w:p>
        </w:tc>
        <w:tc>
          <w:tcPr>
            <w:tcW w:w="5469" w:type="dxa"/>
            <w:vAlign w:val="center"/>
            <w:textDirection w:val="lrTb"/>
            <w:noWrap w:val="false"/>
          </w:tcPr>
          <w:p>
            <w:pPr>
              <w:pStyle w:val="1094"/>
              <w:ind w:firstLine="0"/>
              <w:spacing w:line="240" w:lineRule="auto"/>
              <w:rPr>
                <w:rFonts w:hint="eastAsia"/>
                <w:color w:val="000000"/>
                <w:szCs w:val="22"/>
              </w:rPr>
            </w:pPr>
            <w:r>
              <w:rPr>
                <w:rFonts w:hint="eastAsia" w:ascii="Times New Roman" w:hAnsi="Times New Roman" w:eastAsia="宋体" w:cs="Times New Roman"/>
                <w:sz w:val="21"/>
                <w:szCs w:val="21"/>
                <w:lang w:val="en-US" w:eastAsia="zh-CN" w:bidi="ar-SA"/>
              </w:rPr>
              <w:t xml:space="preserve">覆盖范围</w:t>
            </w:r>
            <w:r>
              <w:rPr>
                <w:rFonts w:hint="eastAsia" w:ascii="Times New Roman" w:hAnsi="Times New Roman"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15</w:t>
            </w:r>
            <w:r>
              <w:rPr>
                <w:rFonts w:hint="eastAsia" w:ascii="Times New Roman" w:hAnsi="Times New Roman" w:eastAsia="宋体" w:cs="Times New Roman"/>
                <w:sz w:val="21"/>
                <w:szCs w:val="21"/>
                <w:lang w:val="en-US" w:eastAsia="zh-CN" w:bidi="ar-SA"/>
              </w:rPr>
              <w:t xml:space="preserve">km（天线高度不低于30m）</w:t>
            </w:r>
            <w:r/>
          </w:p>
        </w:tc>
      </w:tr>
    </w:tbl>
    <w:p>
      <w:r/>
      <w:r/>
    </w:p>
    <w:p>
      <w:r/>
      <w:r/>
    </w:p>
    <w:p>
      <w:pPr>
        <w:pStyle w:val="1072"/>
      </w:pPr>
      <w:r>
        <w:rPr>
          <w:rFonts w:hint="eastAsia"/>
        </w:rPr>
        <w:t xml:space="preserve">全彩双目激光重载云台</w:t>
      </w:r>
      <w:r/>
    </w:p>
    <w:p>
      <w:r>
        <w:rPr>
          <w:rFonts w:hint="eastAsia"/>
        </w:rPr>
        <w:t xml:space="preserve">★</w:t>
      </w:r>
      <w:r>
        <w:rPr>
          <w:rFonts w:hint="eastAsia" w:ascii="宋体" w:hAnsi="宋体" w:cs="宋体"/>
          <w:sz w:val="24"/>
          <w:szCs w:val="24"/>
        </w:rPr>
        <w:t xml:space="preserve">视频输出支持2560 × 1440</w:t>
      </w:r>
      <w:r>
        <w:rPr>
          <w:rFonts w:hint="eastAsia"/>
        </w:rPr>
        <w:t xml:space="preserve">，全景采用F1.0大光圈全彩镜头，细节镜头靶面尺寸不小于1/1.8英寸；支持不低于85倍光学变倍，16倍数字变倍；（提供官网截图或公安部权威机构检测报告，加盖投标单位公章）；</w:t>
      </w:r>
      <w:r/>
    </w:p>
    <w:p>
      <w:r>
        <w:rPr>
          <w:rFonts w:hint="eastAsia"/>
        </w:rPr>
        <w:t xml:space="preserve">支持最低照度可达彩色0.0002lx，黑白0.0001lx；</w:t>
      </w:r>
      <w:r/>
    </w:p>
    <w:p>
      <w:r>
        <w:rPr>
          <w:rFonts w:hint="eastAsia"/>
        </w:rPr>
        <w:t xml:space="preserve">设备具有至少1颗算力不低于2TOPS的GPU芯片、1颗8GB eMMC芯片、1个水平仪、1个呼吸阀、2个风扇，1个RS485接口、1个音频输入接口、1个音频输出接口、7个报警输入接口、2个报警输出接口，1个ABF按键、1个SD卡插槽、1个RJ45网络接口；</w:t>
      </w:r>
      <w:r/>
    </w:p>
    <w:p>
      <w:r>
        <w:rPr>
          <w:rFonts w:hint="eastAsia"/>
        </w:rPr>
        <w:t xml:space="preserve">内置3KM 超匀化红外激光器，光斑调节支持内切、外切、全屏覆盖等模式，支持上下左右电动调轴，确保激光光斑在画面中心位置；</w:t>
      </w:r>
      <w:r/>
    </w:p>
    <w:p>
      <w:r>
        <w:rPr>
          <w:rFonts w:hint="eastAsia"/>
        </w:rPr>
        <w:t xml:space="preserve">激光水平和垂直照明角度范围：0.3°~31°，白天可视距离10000米，夜间可识别距离3500m处的人体轮廓；</w:t>
      </w:r>
      <w:r/>
    </w:p>
    <w:p>
      <w:r>
        <w:rPr>
          <w:rFonts w:hint="eastAsia"/>
        </w:rPr>
        <w:t xml:space="preserve">可对视频画面中所选目标点与镜头的距下离进行测量，并将测量结果叠加在视频画面距功能检验中，最远可测量3000m距离；</w:t>
      </w:r>
      <w:r/>
    </w:p>
    <w:p>
      <w:r>
        <w:rPr>
          <w:rFonts w:hint="eastAsia"/>
        </w:rPr>
        <w:t xml:space="preserve">设备具有预置位关联功能，可在设置预置位的同时，存储该预置位设置的激光亮度、光斑大小和中心位置，调用该预置位后，激光光源的亮度、光斑大小和中心位置与预先保存的参数值一致；</w:t>
      </w:r>
      <w:r/>
    </w:p>
    <w:p>
      <w:r>
        <w:rPr>
          <w:rFonts w:hint="eastAsia"/>
        </w:rPr>
        <w:t xml:space="preserve">水平旋转范围为360连续旋转，垂直旋转范围为-45~70，支持水平手控速度不小于30°/S，垂直手控速度不小于15°/S；</w:t>
      </w:r>
      <w:r/>
    </w:p>
    <w:p>
      <w:r>
        <w:rPr>
          <w:rFonts w:hint="eastAsia"/>
        </w:rPr>
        <w:t xml:space="preserve">支持300个预置位，可按照所设置的预置位完成不小于8条巡航路径，每条巡航路径可设置不小于32个预置点；</w:t>
      </w:r>
      <w:r/>
    </w:p>
    <w:p>
      <w:r>
        <w:rPr>
          <w:rFonts w:hint="eastAsia"/>
        </w:rPr>
        <w:t xml:space="preserve">支持将双路视频编码成单路模式输出，客户端播放出效果是画中画，大图小图双路视频可调配，并且小图比例可配置为1/3或1/4大小，小图位置可随意拖动；</w:t>
      </w:r>
      <w:r/>
    </w:p>
    <w:p>
      <w:r>
        <w:rPr>
          <w:rFonts w:hint="eastAsia"/>
        </w:rPr>
        <w:t xml:space="preserve">云台传动方式为谐波减速机；</w:t>
      </w:r>
      <w:r/>
    </w:p>
    <w:p>
      <w:r>
        <w:rPr>
          <w:rFonts w:hint="eastAsia"/>
        </w:rPr>
        <w:t xml:space="preserve">可通过IE浏览器或客户端软件对AI模型包文件进行上传、下发和运行等操作;AI模型包下发并运行成功后，可根据模型包内容对监控场景内指定的目标进行检测、框选提示、抓拍图片并显示检测结果；</w:t>
      </w:r>
      <w:r/>
    </w:p>
    <w:p>
      <w:r>
        <w:rPr>
          <w:rFonts w:hint="eastAsia"/>
        </w:rPr>
        <w:t xml:space="preserve">可通过IE浏览器或客户端软件对AI模型包进行添加、删除、修改等操作，并可对名称、是否生效等参数进行设置，样机最多可存储4个AI模型包，每个模型包可最多设置1个检测模型和7个分类子模型；</w:t>
      </w:r>
      <w:r/>
    </w:p>
    <w:p>
      <w:r>
        <w:rPr>
          <w:rFonts w:hint="eastAsia"/>
        </w:rPr>
        <w:t xml:space="preserve">可对视频画面中监控区域的常规点位、卡口点位、人脸点位、重点道路、重点场所等进行标签标注，可添加500个标签，并可输入标题、编辑标题、地址、相关说明、图片、联动IP地址、显示级别等标签信息；</w:t>
      </w:r>
      <w:r/>
    </w:p>
    <w:p>
      <w:r>
        <w:rPr>
          <w:rFonts w:hint="eastAsia"/>
        </w:rPr>
        <w:t xml:space="preserve">设备可响应平台下发的获取可视域信息指令，上报设备视场角、可视距离、安装位置、镜头指向方位，其中设备视场角、可视距离能够随着倍率变化；</w:t>
      </w:r>
      <w:r/>
    </w:p>
    <w:p>
      <w:r>
        <w:rPr>
          <w:rFonts w:hint="eastAsia"/>
        </w:rPr>
        <w:t xml:space="preserve">具备BDS定位和GPS定位功能，并能够在监控画面叠加设备所在的经纬度信息和海拔信息；</w:t>
      </w:r>
      <w:r/>
    </w:p>
    <w:p>
      <w:r>
        <w:rPr>
          <w:rFonts w:hint="eastAsia"/>
        </w:rPr>
        <w:t xml:space="preserve">可通过内置电子罗盘在监视画面上叠加样机镜头当前指向方位和角度；</w:t>
      </w:r>
      <w:r/>
    </w:p>
    <w:p>
      <w:r>
        <w:rPr>
          <w:rFonts w:hint="eastAsia"/>
        </w:rPr>
        <w:t xml:space="preserve">设备运动结束静止在某个位置，当设备水平和垂直角度方向受到外力作用发生偏移时，设备能够检测角度改变并产生报警信息，并可在OSD上叠加报警信息，水平和垂直角度方向均可以自动恢复到偏移前的位置，设备进行偏移自动校正后实际停止位置与原位置之间偏差角度应≤0.05°；</w:t>
      </w:r>
      <w:r/>
    </w:p>
    <w:p>
      <w:r>
        <w:rPr>
          <w:rFonts w:hint="eastAsia"/>
        </w:rPr>
        <w:t xml:space="preserve">当设备在运动过程中，由于机械结构或外力因素导致设备发生失步，运动结束的实际位置和理想位置有偏移时，设备能够自动开启位置矫正；</w:t>
      </w:r>
      <w:r/>
    </w:p>
    <w:p>
      <w:r>
        <w:rPr>
          <w:rFonts w:hint="eastAsia"/>
        </w:rPr>
        <w:t xml:space="preserve">具备双雨刷，激光器及镜头视窗前分别包含1个雨刷；</w:t>
      </w:r>
      <w:r/>
    </w:p>
    <w:p>
      <w:r>
        <w:rPr>
          <w:rFonts w:hint="eastAsia"/>
        </w:rPr>
        <w:t xml:space="preserve">可优化因热气流产生的预览画面涌动现象，开启防热浪功能后，画面可保持清晰稳定；</w:t>
      </w:r>
      <w:r/>
    </w:p>
    <w:p>
      <w:r>
        <w:rPr>
          <w:rFonts w:hint="eastAsia"/>
        </w:rPr>
        <w:t xml:space="preserve">内置除湿器，开启后可去除玻璃上的冰状和水状附着物，可通过防水透气膜对水汽进行单向排除，并防止外部水汽进入；</w:t>
      </w:r>
      <w:r/>
    </w:p>
    <w:p>
      <w:r>
        <w:rPr>
          <w:rFonts w:hint="eastAsia"/>
        </w:rPr>
        <w:t xml:space="preserve">支持GB35114 A级安全加密；</w:t>
      </w:r>
      <w:r/>
    </w:p>
    <w:p>
      <w:r>
        <w:rPr>
          <w:rFonts w:hint="eastAsia"/>
        </w:rPr>
        <w:t xml:space="preserve">支持IP66，工作温度范围可达-40℃~70℃。</w:t>
      </w:r>
      <w:r/>
    </w:p>
    <w:p>
      <w:pPr>
        <w:pStyle w:val="1072"/>
      </w:pPr>
      <w:r>
        <w:rPr>
          <w:rFonts w:hint="eastAsia"/>
        </w:rPr>
        <w:t xml:space="preserve">船舶识别终端</w:t>
      </w:r>
      <w:r/>
    </w:p>
    <w:p>
      <w:r>
        <w:rPr>
          <w:rFonts w:hint="eastAsia"/>
        </w:rPr>
        <w:t xml:space="preserve">雷达视频联动，支持雷达坐标信息接入，和云台球机视频坐标进行标定融合转换；支持船舶号、船号识别功能；</w:t>
      </w:r>
      <w:r/>
    </w:p>
    <w:p>
      <w:r>
        <w:rPr>
          <w:rFonts w:hint="eastAsia"/>
        </w:rPr>
        <w:t xml:space="preserve">内置4T监控级硬盘，支持通道录像存储回放，硬盘最大支持32T；</w:t>
      </w:r>
      <w:r/>
    </w:p>
    <w:p>
      <w:r>
        <w:rPr>
          <w:rFonts w:hint="eastAsia"/>
        </w:rPr>
        <w:t xml:space="preserve">支持根据时间、通道和事件类型等检索数据并可关联回放片段录像；</w:t>
      </w:r>
      <w:r/>
    </w:p>
    <w:p>
      <w:r>
        <w:rPr>
          <w:rFonts w:hint="eastAsia"/>
        </w:rPr>
        <w:t xml:space="preserve">可配置多种字符叠加、图片合成方式；</w:t>
      </w:r>
      <w:r/>
    </w:p>
    <w:p>
      <w:r>
        <w:rPr>
          <w:rFonts w:hint="eastAsia"/>
        </w:rPr>
        <w:t xml:space="preserve">可支持选配4G、5G模块；</w:t>
      </w:r>
      <w:r/>
    </w:p>
    <w:p>
      <w:r>
        <w:rPr>
          <w:rFonts w:hint="eastAsia"/>
        </w:rPr>
        <w:t xml:space="preserve">基于深度学习算法的视频智能分析设备，主要是将雷达坐标信息和云台相机视频坐标进行标定融合转换，以达到对目标一个长距离可视化检测，同时支持船舶号、船型识别，从而为重要设施场所的周边环境提供全天时、全天候安全保障；</w:t>
      </w:r>
      <w:r/>
    </w:p>
    <w:p>
      <w:r>
        <w:rPr>
          <w:rFonts w:hint="eastAsia"/>
        </w:rPr>
        <w:t xml:space="preserve">支持TCP/IP、HTTP、DNS、RTP、RTSP、NTP协议，支持FTP上传图片；</w:t>
      </w:r>
      <w:r/>
    </w:p>
    <w:p>
      <w:r>
        <w:rPr>
          <w:rFonts w:hint="eastAsia"/>
        </w:rPr>
        <w:t xml:space="preserve">具有心跳、密码保护、NTP校时功能。</w:t>
      </w:r>
      <w:r/>
    </w:p>
    <w:p>
      <w:r>
        <w:rPr>
          <w:rFonts w:hint="eastAsia"/>
        </w:rPr>
        <w:t xml:space="preserve">★船舶识别终端采集识别解析的各类数据须全量推送至江苏省盐城市“海晏”平台，平台间数据推送须无缝衔接，对接费用由投标人全部承担，提供无缝对接承诺函，加盖投标单位公章（承诺函格式自拟）。</w:t>
      </w:r>
      <w:r/>
    </w:p>
    <w:p>
      <w:r/>
      <w:r/>
    </w:p>
    <w:p>
      <w:pPr>
        <w:pStyle w:val="1072"/>
      </w:pPr>
      <w:r>
        <w:rPr>
          <w:rFonts w:hint="eastAsia"/>
        </w:rPr>
        <w:t xml:space="preserve">双镜头结构化</w:t>
      </w:r>
      <w:r/>
    </w:p>
    <w:p>
      <w:pPr>
        <w:rPr>
          <w:rFonts w:hint="eastAsia" w:ascii="Times New Roman" w:hAnsi="Times New Roman" w:eastAsia="宋体" w:cs="Times New Roman"/>
        </w:rPr>
      </w:pPr>
      <w:r>
        <w:rPr>
          <w:rFonts w:hint="eastAsia" w:ascii="Times New Roman" w:hAnsi="Times New Roman" w:eastAsia="宋体" w:cs="Times New Roman"/>
        </w:rPr>
        <w:t xml:space="preserve">★设备内置双镜头</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通道1和通道2的主码流均支持3840×2160@25fps，2个镜头均支持电动变倍、自动/电动聚焦，自动调节光圈功能，内置不少于2颗GPU芯片；（提供公安部</w:t>
      </w:r>
      <w:r>
        <w:rPr>
          <w:rFonts w:hint="eastAsia" w:ascii="Times New Roman" w:hAnsi="Times New Roman" w:eastAsia="宋体" w:cs="Times New Roman"/>
          <w:lang w:eastAsia="zh-CN"/>
        </w:rPr>
        <w:t xml:space="preserve">权威机构</w:t>
      </w:r>
      <w:r>
        <w:rPr>
          <w:rFonts w:hint="eastAsia" w:ascii="Times New Roman" w:hAnsi="Times New Roman" w:eastAsia="宋体" w:cs="Times New Roman"/>
        </w:rPr>
        <w:t xml:space="preserve">检测报告并加盖投标人公章）</w:t>
      </w:r>
      <w:r/>
    </w:p>
    <w:p>
      <w:pPr>
        <w:rPr>
          <w:rFonts w:hint="eastAsia" w:ascii="Times New Roman" w:hAnsi="Times New Roman" w:eastAsia="宋体" w:cs="Times New Roman"/>
        </w:rPr>
      </w:pPr>
      <w:r>
        <w:rPr>
          <w:rFonts w:hint="eastAsia" w:ascii="Times New Roman" w:hAnsi="Times New Roman" w:eastAsia="宋体" w:cs="Times New Roman"/>
        </w:rPr>
        <w:t xml:space="preserve">通道1及通道视场角：水平视场角：36.4°~13.0°，垂直视场角：20.5°~7.4°，对角视场角：41.7°~14.9°；</w:t>
      </w:r>
      <w:r/>
    </w:p>
    <w:p>
      <w:pPr>
        <w:rPr>
          <w:rFonts w:hint="eastAsia" w:ascii="Times New Roman" w:hAnsi="Times New Roman" w:eastAsia="宋体" w:cs="Times New Roman"/>
        </w:rPr>
      </w:pPr>
      <w:r>
        <w:rPr>
          <w:rFonts w:hint="eastAsia" w:ascii="Times New Roman" w:hAnsi="Times New Roman" w:eastAsia="宋体" w:cs="Times New Roman"/>
        </w:rPr>
        <w:t xml:space="preserve">通道1通道2均具有</w:t>
      </w:r>
      <w:r>
        <w:rPr>
          <w:rFonts w:hint="eastAsia" w:ascii="Times New Roman" w:hAnsi="Times New Roman" w:eastAsia="宋体" w:cs="Times New Roman"/>
          <w:lang w:val="en-US" w:eastAsia="zh-CN"/>
        </w:rPr>
        <w:t xml:space="preserve">不少于</w:t>
      </w:r>
      <w:r>
        <w:rPr>
          <w:rFonts w:hint="eastAsia" w:ascii="Times New Roman" w:hAnsi="Times New Roman" w:eastAsia="宋体" w:cs="Times New Roman"/>
        </w:rPr>
        <w:t xml:space="preserve">4颗混合补光灯，各含一组近光灯和一组远光灯，支持自动和手动亮度调节模式；</w:t>
      </w:r>
      <w:r/>
    </w:p>
    <w:p>
      <w:pPr>
        <w:rPr>
          <w:rFonts w:hint="eastAsia" w:ascii="Times New Roman" w:hAnsi="Times New Roman" w:eastAsia="宋体" w:cs="Times New Roman"/>
        </w:rPr>
      </w:pPr>
      <w:r>
        <w:rPr>
          <w:rFonts w:hint="eastAsia" w:ascii="Times New Roman" w:hAnsi="Times New Roman" w:eastAsia="宋体" w:cs="Times New Roman"/>
        </w:rPr>
        <w:t xml:space="preserve">内置补光灯，补光灯开启后，灯光均匀无波纹、圆环状、麻点状、条纹状和不规则亮斑；</w:t>
      </w:r>
      <w:r/>
    </w:p>
    <w:p>
      <w:pPr>
        <w:rPr>
          <w:rFonts w:hint="eastAsia" w:ascii="Times New Roman" w:hAnsi="Times New Roman" w:eastAsia="宋体" w:cs="Times New Roman"/>
        </w:rPr>
      </w:pPr>
      <w:r>
        <w:rPr>
          <w:rFonts w:hint="eastAsia" w:ascii="Times New Roman" w:hAnsi="Times New Roman" w:eastAsia="宋体" w:cs="Times New Roman"/>
        </w:rPr>
        <w:t xml:space="preserve">手动模式下可独立配置双通道的混合补光灯组的红外和白光补光灯亮度值；</w:t>
      </w:r>
      <w:r/>
    </w:p>
    <w:p>
      <w:pPr>
        <w:rPr>
          <w:rFonts w:hint="eastAsia" w:ascii="Times New Roman" w:hAnsi="Times New Roman" w:eastAsia="宋体" w:cs="Times New Roman"/>
        </w:rPr>
      </w:pPr>
      <w:r>
        <w:rPr>
          <w:rFonts w:hint="eastAsia" w:ascii="Times New Roman" w:hAnsi="Times New Roman" w:eastAsia="宋体" w:cs="Times New Roman"/>
        </w:rPr>
        <w:t xml:space="preserve">通道1和通道2均满足最低照度彩色不大于0.0002 lx，黑白不大于0.0001 lx；</w:t>
      </w:r>
      <w:r/>
    </w:p>
    <w:p>
      <w:pPr>
        <w:rPr>
          <w:rFonts w:hint="eastAsia" w:ascii="Times New Roman" w:hAnsi="Times New Roman" w:eastAsia="宋体" w:cs="Times New Roman"/>
        </w:rPr>
      </w:pPr>
      <w:r>
        <w:rPr>
          <w:rFonts w:hint="eastAsia" w:ascii="Times New Roman" w:hAnsi="Times New Roman" w:eastAsia="宋体" w:cs="Times New Roman"/>
        </w:rPr>
        <w:t xml:space="preserve">设备内置4个电机，双通道均支持PT一体化云台，通道1和通道2的云台应可独立控制，可通过IE浏览器或客户端远程调节PT位置以实现监控场景的切换；</w:t>
      </w:r>
      <w:r/>
    </w:p>
    <w:p>
      <w:pPr>
        <w:rPr>
          <w:rFonts w:hint="eastAsia" w:ascii="Times New Roman" w:hAnsi="Times New Roman" w:eastAsia="宋体" w:cs="Times New Roman"/>
        </w:rPr>
      </w:pPr>
      <w:r>
        <w:rPr>
          <w:rFonts w:hint="eastAsia" w:ascii="Times New Roman" w:hAnsi="Times New Roman" w:eastAsia="宋体" w:cs="Times New Roman"/>
        </w:rPr>
        <w:t xml:space="preserve">双镜头PT云台旋转角度均支持水平调节角度：0°～180°，垂直调节角度：-5°～30°；</w:t>
      </w:r>
      <w:r/>
    </w:p>
    <w:p>
      <w:pPr>
        <w:rPr>
          <w:rFonts w:hint="eastAsia" w:ascii="Times New Roman" w:hAnsi="Times New Roman" w:eastAsia="宋体" w:cs="Times New Roman"/>
        </w:rPr>
      </w:pPr>
      <w:r>
        <w:rPr>
          <w:rFonts w:hint="eastAsia" w:ascii="Times New Roman" w:hAnsi="Times New Roman" w:eastAsia="宋体" w:cs="Times New Roman"/>
        </w:rPr>
        <w:t xml:space="preserve">支持全结构化模式，包括抓拍人脸、抓拍人体、抓拍非机动车、抓拍机动车；</w:t>
      </w:r>
      <w:r/>
    </w:p>
    <w:p>
      <w:pPr>
        <w:rPr>
          <w:rFonts w:hint="eastAsia" w:ascii="Times New Roman" w:hAnsi="Times New Roman" w:eastAsia="宋体" w:cs="Times New Roman"/>
        </w:rPr>
      </w:pPr>
      <w:r>
        <w:rPr>
          <w:rFonts w:hint="eastAsia" w:ascii="Times New Roman" w:hAnsi="Times New Roman" w:eastAsia="宋体" w:cs="Times New Roman"/>
        </w:rPr>
        <w:t xml:space="preserve">支持人脸比对模式，包含支持前端人脸比对；支持最多10个人脸库的管理，最多15万张人脸的导入；支持不同人脸库不同时间布防；支持人脸瞳距20像素以上的人脸检测；</w:t>
      </w:r>
      <w:r/>
    </w:p>
    <w:p>
      <w:pPr>
        <w:rPr>
          <w:rFonts w:hint="eastAsia" w:ascii="Times New Roman" w:hAnsi="Times New Roman" w:eastAsia="宋体" w:cs="Times New Roman"/>
        </w:rPr>
      </w:pPr>
      <w:r>
        <w:rPr>
          <w:rFonts w:hint="eastAsia" w:ascii="Times New Roman" w:hAnsi="Times New Roman" w:eastAsia="宋体" w:cs="Times New Roman"/>
        </w:rPr>
        <w:t xml:space="preserve">支持道路监控模式，包含支持车牌识别并抓拍、支持检测正向或逆向行驶的车辆以及行人和非机动车，自动对车辆牌照进行识别，可以抓拍无车牌的车辆图片；</w:t>
      </w:r>
      <w:r/>
    </w:p>
    <w:p>
      <w:pPr>
        <w:rPr>
          <w:rFonts w:hint="eastAsia" w:ascii="Times New Roman" w:hAnsi="Times New Roman" w:eastAsia="宋体" w:cs="Times New Roman"/>
        </w:rPr>
      </w:pPr>
      <w:r>
        <w:rPr>
          <w:rFonts w:hint="eastAsia" w:ascii="Times New Roman" w:hAnsi="Times New Roman" w:eastAsia="宋体" w:cs="Times New Roman"/>
        </w:rPr>
        <w:t xml:space="preserve">支持智能分析功能，包括场景变更侦测、进入区域、离开区域、徘徊、区域入侵、人员聚集、视频遮挡、停车侦测、物品移除、物品遗留、越界入侵等功能，平均捕获率不小于99%，平均准确率不小于99%；</w:t>
      </w:r>
      <w:r/>
    </w:p>
    <w:p>
      <w:pPr>
        <w:rPr>
          <w:rFonts w:hint="eastAsia" w:ascii="Times New Roman" w:hAnsi="Times New Roman" w:eastAsia="宋体" w:cs="Times New Roman"/>
        </w:rPr>
      </w:pPr>
      <w:r>
        <w:rPr>
          <w:rFonts w:hint="eastAsia" w:ascii="Times New Roman" w:hAnsi="Times New Roman" w:eastAsia="宋体" w:cs="Times New Roman"/>
        </w:rPr>
        <w:t xml:space="preserve">支持对检测区域内不低于60个移动目标（机动车、非机动车及行人）进行检测、框选跟踪、筛选、抓拍，可将人脸与人体图片、车牌与车辆图片关联显示；</w:t>
      </w:r>
      <w:r/>
    </w:p>
    <w:p>
      <w:pPr>
        <w:rPr>
          <w:rFonts w:hint="eastAsia" w:ascii="Times New Roman" w:hAnsi="Times New Roman" w:eastAsia="宋体" w:cs="Times New Roman"/>
        </w:rPr>
      </w:pPr>
      <w:r>
        <w:rPr>
          <w:rFonts w:hint="eastAsia" w:ascii="Times New Roman" w:hAnsi="Times New Roman" w:eastAsia="宋体" w:cs="Times New Roman"/>
        </w:rPr>
        <w:t xml:space="preserve">设备可识别距离设备不小于80m的人体轮廓；</w:t>
      </w:r>
      <w:r/>
    </w:p>
    <w:p>
      <w:pPr>
        <w:rPr>
          <w:rFonts w:hint="eastAsia" w:ascii="Times New Roman" w:hAnsi="Times New Roman" w:eastAsia="宋体" w:cs="Times New Roman"/>
        </w:rPr>
      </w:pPr>
      <w:r>
        <w:rPr>
          <w:rFonts w:hint="eastAsia" w:ascii="Times New Roman" w:hAnsi="Times New Roman" w:eastAsia="宋体" w:cs="Times New Roman"/>
        </w:rPr>
        <w:t xml:space="preserve">支持人脸、行人、非机动车、机动车属性识别功能，可识别不小于11种行人衣服/裤子颜色、不小于13种车身颜色；</w:t>
      </w:r>
      <w:r/>
    </w:p>
    <w:p>
      <w:pPr>
        <w:rPr>
          <w:rFonts w:hint="eastAsia" w:ascii="Times New Roman" w:hAnsi="Times New Roman" w:eastAsia="宋体" w:cs="Times New Roman"/>
        </w:rPr>
      </w:pPr>
      <w:r>
        <w:rPr>
          <w:rFonts w:hint="eastAsia" w:ascii="Times New Roman" w:hAnsi="Times New Roman" w:eastAsia="宋体" w:cs="Times New Roman"/>
        </w:rPr>
        <w:t xml:space="preserve">支持检出面部过曝、面部欠曝、阴阳脸、逆光等不同光照条件下人脸；</w:t>
      </w:r>
      <w:r/>
    </w:p>
    <w:p>
      <w:pPr>
        <w:rPr>
          <w:rFonts w:hint="eastAsia" w:ascii="Times New Roman" w:hAnsi="Times New Roman" w:eastAsia="宋体" w:cs="Times New Roman"/>
        </w:rPr>
      </w:pPr>
      <w:r>
        <w:rPr>
          <w:rFonts w:hint="eastAsia" w:ascii="Times New Roman" w:hAnsi="Times New Roman" w:eastAsia="宋体" w:cs="Times New Roman"/>
        </w:rPr>
        <w:t xml:space="preserve">在分辨率1920x1080 @ 25fps，码流设置为1Mbps时，视频图像传输延时不大于60ms；</w:t>
      </w:r>
      <w:r/>
    </w:p>
    <w:p>
      <w:pPr>
        <w:rPr>
          <w:rFonts w:hint="eastAsia" w:ascii="Times New Roman" w:hAnsi="Times New Roman" w:eastAsia="宋体" w:cs="Times New Roman"/>
        </w:rPr>
      </w:pPr>
      <w:r>
        <w:rPr>
          <w:rFonts w:hint="eastAsia" w:ascii="Times New Roman" w:hAnsi="Times New Roman" w:eastAsia="宋体" w:cs="Times New Roman"/>
        </w:rPr>
        <w:t xml:space="preserve">同一静止场景相同图像质量下，设备在H.265编码方式时，开启智能编码功能和不开启智能编码相比，码率节约4/5；</w:t>
      </w:r>
      <w:r/>
    </w:p>
    <w:p>
      <w:pPr>
        <w:rPr>
          <w:rFonts w:hint="eastAsia" w:ascii="Times New Roman" w:hAnsi="Times New Roman" w:eastAsia="宋体" w:cs="Times New Roman"/>
        </w:rPr>
      </w:pPr>
      <w:r>
        <w:rPr>
          <w:rFonts w:hint="eastAsia" w:ascii="Times New Roman" w:hAnsi="Times New Roman" w:eastAsia="宋体" w:cs="Times New Roman"/>
        </w:rPr>
        <w:t xml:space="preserve">支持35114 A级加密；</w:t>
      </w:r>
      <w:r/>
    </w:p>
    <w:p>
      <w:pPr>
        <w:rPr>
          <w:rFonts w:hint="eastAsia" w:ascii="Times New Roman" w:hAnsi="Times New Roman" w:eastAsia="宋体" w:cs="Times New Roman"/>
        </w:rPr>
      </w:pPr>
      <w:r>
        <w:rPr>
          <w:rFonts w:hint="eastAsia" w:ascii="Times New Roman" w:hAnsi="Times New Roman" w:eastAsia="宋体" w:cs="Times New Roman"/>
        </w:rPr>
        <w:t xml:space="preserve">供电方式DC36±20%，支持防反接保护功能；</w:t>
      </w:r>
      <w:r/>
    </w:p>
    <w:p>
      <w:pPr>
        <w:rPr>
          <w:rFonts w:hint="eastAsia" w:ascii="Times New Roman" w:hAnsi="Times New Roman" w:eastAsia="宋体" w:cs="Times New Roman"/>
        </w:rPr>
      </w:pPr>
      <w:r>
        <w:rPr>
          <w:rFonts w:hint="eastAsia" w:ascii="Times New Roman" w:hAnsi="Times New Roman" w:eastAsia="宋体" w:cs="Times New Roman"/>
        </w:rPr>
        <w:t xml:space="preserve">设备防护等级不低于IP67。</w:t>
      </w:r>
      <w:r/>
    </w:p>
    <w:p>
      <w:r>
        <w:rPr>
          <w:rFonts w:hint="eastAsia"/>
        </w:rPr>
        <w:t xml:space="preserve">★设备所采集的各类数据必须无缝</w:t>
      </w:r>
      <w:r>
        <w:rPr>
          <w:rFonts w:hint="eastAsia"/>
          <w:lang w:val="en-US" w:eastAsia="zh-CN"/>
        </w:rPr>
        <w:t xml:space="preserve">接入盐城</w:t>
      </w:r>
      <w:r>
        <w:rPr>
          <w:rFonts w:hint="eastAsia"/>
        </w:rPr>
        <w:t xml:space="preserve">大丰公安视频图象信息应用平台（抓拍数据</w:t>
      </w:r>
      <w:r>
        <w:rPr>
          <w:rFonts w:hint="eastAsia"/>
          <w:lang w:val="en-US" w:eastAsia="zh-CN"/>
        </w:rPr>
        <w:t xml:space="preserve">全量</w:t>
      </w:r>
      <w:r>
        <w:rPr>
          <w:rFonts w:hint="eastAsia"/>
        </w:rPr>
        <w:t xml:space="preserve">汇聚至</w:t>
      </w:r>
      <w:r>
        <w:rPr>
          <w:rFonts w:hint="eastAsia"/>
          <w:lang w:val="en-US" w:eastAsia="zh-CN"/>
        </w:rPr>
        <w:t xml:space="preserve">现有</w:t>
      </w:r>
      <w:r>
        <w:rPr>
          <w:rFonts w:hint="eastAsia"/>
        </w:rPr>
        <w:t xml:space="preserve">视图库）。投标人投标时必须提供各类数据无缝对接以上各类平台的承诺函并加盖投标人公章（承诺函格式自拟）。</w:t>
      </w:r>
      <w:r/>
    </w:p>
    <w:p>
      <w:r/>
      <w:r/>
    </w:p>
    <w:p>
      <w:pPr>
        <w:pStyle w:val="1072"/>
      </w:pPr>
      <w:r>
        <w:rPr>
          <w:rFonts w:hint="eastAsia"/>
        </w:rPr>
        <w:t xml:space="preserve">三镜头结构化</w:t>
      </w:r>
      <w:r/>
    </w:p>
    <w:p>
      <w:r>
        <w:rPr>
          <w:rFonts w:hint="eastAsia"/>
        </w:rPr>
        <w:t xml:space="preserve">设备内置不少于2个全景通道和1个细节通道，最大分辨率均不小于2560*1440，全景通道1、2靶面尺寸均不小于1/1.8英寸，支持不小于4倍光学变倍，细节通道支持不小于25倍光学变倍；</w:t>
      </w:r>
      <w:r/>
    </w:p>
    <w:p>
      <w:r>
        <w:rPr>
          <w:rFonts w:hint="eastAsia"/>
        </w:rPr>
        <w:t xml:space="preserve">支持最低照度可达彩色0.0002lx，黑白0.0001lx；</w:t>
      </w:r>
      <w:r/>
    </w:p>
    <w:p>
      <w:r>
        <w:rPr>
          <w:rFonts w:hint="eastAsia"/>
        </w:rPr>
        <w:t xml:space="preserve">全景通道1、2：支持水平:0°-190°，垂直-5°-30°，细节通道:水平:0°-340°垂直:-10°-90°；</w:t>
      </w:r>
      <w:r/>
    </w:p>
    <w:p>
      <w:r>
        <w:rPr>
          <w:rFonts w:hint="eastAsia"/>
        </w:rPr>
        <w:t xml:space="preserve">全景通道1，全景通道2和细节通道可分别进行水平垂直方向调节，全景通道1进行水平，垂直调节时，全景通道2可保持不动，全易通道1和全景通道2进行水平调节时，细节摄像机可保持不动；</w:t>
      </w:r>
      <w:r/>
    </w:p>
    <w:p>
      <w:r>
        <w:rPr>
          <w:rFonts w:hint="eastAsia"/>
        </w:rPr>
        <w:t xml:space="preserve">全景通道1、2及细节通道均支持全结构化、事件检测及普通监控功能；</w:t>
      </w:r>
      <w:r/>
    </w:p>
    <w:p>
      <w:r>
        <w:rPr>
          <w:rFonts w:hint="eastAsia"/>
        </w:rPr>
        <w:t xml:space="preserve">全结构化模式下支持三路卡口式混合目标检测，对检测区域内的人、车进行抓拍上传；支持人脸人体车辆同时抓拍，人脸人体关联输出，并实现对人脸、人体、车辆结构化属性特征信息提取；</w:t>
      </w:r>
      <w:r/>
    </w:p>
    <w:p>
      <w:r>
        <w:rPr>
          <w:rFonts w:hint="eastAsia"/>
        </w:rPr>
        <w:t xml:space="preserve">事件检测支持全景摄像机对设定区域进行布防，当检测到目标时联动细节摄像机对目标进行跟随及报警，实现周界布防，支持跟随抓拍和接管跟随，两者功能互斥；</w:t>
      </w:r>
      <w:r/>
    </w:p>
    <w:p>
      <w:r>
        <w:rPr>
          <w:rFonts w:hint="eastAsia"/>
        </w:rPr>
        <w:t xml:space="preserve">内嵌多套枪机视场角参数和畸变参数，枪机在任意角度，任意焦距位置，均可以进行自动标定；</w:t>
      </w:r>
      <w:r/>
    </w:p>
    <w:p>
      <w:r>
        <w:rPr>
          <w:rFonts w:hint="eastAsia"/>
        </w:rPr>
        <w:t xml:space="preserve">设备支持不少于300个预置位，可按照所设置的预置位设置不少于8条巡航路径，具有预置位视频冻结功能；</w:t>
      </w:r>
      <w:r/>
    </w:p>
    <w:p>
      <w:r>
        <w:rPr>
          <w:rFonts w:hint="eastAsia"/>
        </w:rPr>
        <w:t xml:space="preserve">支持H.264、H.265、MJPEG视频编码格式，且具有High Profile编码能力；</w:t>
      </w:r>
      <w:r/>
    </w:p>
    <w:p>
      <w:r>
        <w:rPr>
          <w:rFonts w:hint="eastAsia"/>
        </w:rPr>
        <w:t xml:space="preserve">支持开启白光灯时:2个全景和1个细节通道均可抓拍20m处人脸，开启红外灯时:2个全景和1个细节通道均可识别200m处的人体；</w:t>
      </w:r>
      <w:r/>
    </w:p>
    <w:p>
      <w:r>
        <w:rPr>
          <w:rFonts w:hint="eastAsia"/>
        </w:rPr>
        <w:t xml:space="preserve">设备支持智能配置示例功能，智能配置界面具备每一步的配置示例，示例中包括检测区域和检测线标识，并具备最小瞳距和规则区域的注释；</w:t>
      </w:r>
      <w:r/>
    </w:p>
    <w:p>
      <w:r>
        <w:rPr>
          <w:rFonts w:hint="eastAsia"/>
        </w:rPr>
        <w:t xml:space="preserve">支持2个全景通道和1个细节通道分别或同时对行人、非机动车、机动车进行检测、跟随、抓拍，可支持人脸、车牌、非机动车车牌抠图，可将人脸与人体、车牌与车辆关联显示；</w:t>
      </w:r>
      <w:r/>
    </w:p>
    <w:p>
      <w:r>
        <w:rPr>
          <w:rFonts w:hint="eastAsia"/>
        </w:rPr>
        <w:t xml:space="preserve">设备具有双安装接口，一个为快速旋转安装接口，一个为多孔稳定安装接口；</w:t>
      </w:r>
      <w:r/>
    </w:p>
    <w:p>
      <w:r>
        <w:rPr>
          <w:rFonts w:hint="eastAsia"/>
        </w:rPr>
        <w:t xml:space="preserve">支持联动功能，全景通道下，触发区域入侵、越界、进入区域、离开区域等事件，且开启细节通道的联动抓拍功能时，可联动细节摄像机进行目标跟随；</w:t>
      </w:r>
      <w:r/>
    </w:p>
    <w:p>
      <w:r>
        <w:rPr>
          <w:rFonts w:hint="eastAsia"/>
        </w:rPr>
        <w:t xml:space="preserve">全景通道1和全景通道2分别支持smart事件和全结构化模式，细节通道支持smart事件、全结构化和普通监控模式。全景通道1、全景通道2和细节通道智能功能可以任意选择并保存生效；</w:t>
      </w:r>
      <w:r/>
    </w:p>
    <w:p>
      <w:r>
        <w:rPr>
          <w:rFonts w:hint="eastAsia"/>
        </w:rPr>
        <w:t xml:space="preserve">设备镜头防护玻璃呈倾斜状，可改变射向镜头的光束的反射光方向;在天气晴朗无雾、辅助照明光照度低的条件下，摄像机镜头前方出现机动车或非机动车补光灯、手机补光灯、手电筒补光灯时，可降低反射光斑对视频画面的影响；</w:t>
      </w:r>
      <w:r/>
    </w:p>
    <w:p>
      <w:r>
        <w:rPr>
          <w:rFonts w:hint="eastAsia"/>
        </w:rPr>
        <w:t xml:space="preserve">支持通过IE浏览器设置闪光灯闪烁时间1~300可设;闪烁频率高中低、常亮可设;亮度0~100可设;可通过区域入侵侦测、越界侦测、进入区域侦测、离开区域侦测等报警事件联动白光灯闪光报警；</w:t>
      </w:r>
      <w:r/>
    </w:p>
    <w:p>
      <w:r>
        <w:rPr>
          <w:rFonts w:hint="eastAsia"/>
        </w:rPr>
        <w:t xml:space="preserve">设备支持不少于7路报警输入，不少于2路报警输出，不少于1路音频输入，不少于1路音频输出，不少于1个SD卡槽，不少于1个RJ45网口，不少于1个485接口；</w:t>
      </w:r>
      <w:r/>
    </w:p>
    <w:p>
      <w:r>
        <w:rPr>
          <w:rFonts w:hint="eastAsia"/>
        </w:rPr>
        <w:t xml:space="preserve">支持GB35114 A级安全加密；</w:t>
      </w:r>
      <w:r/>
    </w:p>
    <w:p>
      <w:r>
        <w:rPr>
          <w:rFonts w:hint="eastAsia"/>
        </w:rPr>
        <w:t xml:space="preserve">防护：IP67；6000 V防雷、防浪涌、防突波，符合GB/T17626.2/3/4/5/6四级标准。</w:t>
      </w:r>
      <w:r/>
    </w:p>
    <w:p>
      <w:r>
        <w:rPr>
          <w:rFonts w:hint="eastAsia"/>
        </w:rPr>
        <w:t xml:space="preserve">★设备所采集的各类数据必须无缝</w:t>
      </w:r>
      <w:r>
        <w:rPr>
          <w:rFonts w:hint="eastAsia"/>
          <w:lang w:val="en-US" w:eastAsia="zh-CN"/>
        </w:rPr>
        <w:t xml:space="preserve">接入盐城</w:t>
      </w:r>
      <w:r>
        <w:rPr>
          <w:rFonts w:hint="eastAsia"/>
        </w:rPr>
        <w:t xml:space="preserve">大丰公安视频图象信息应用平台（抓拍数据</w:t>
      </w:r>
      <w:r>
        <w:rPr>
          <w:rFonts w:hint="eastAsia"/>
          <w:lang w:val="en-US" w:eastAsia="zh-CN"/>
        </w:rPr>
        <w:t xml:space="preserve">全量</w:t>
      </w:r>
      <w:r>
        <w:rPr>
          <w:rFonts w:hint="eastAsia"/>
        </w:rPr>
        <w:t xml:space="preserve">汇聚至</w:t>
      </w:r>
      <w:r>
        <w:rPr>
          <w:rFonts w:hint="eastAsia"/>
          <w:lang w:val="en-US" w:eastAsia="zh-CN"/>
        </w:rPr>
        <w:t xml:space="preserve">现有</w:t>
      </w:r>
      <w:r>
        <w:rPr>
          <w:rFonts w:hint="eastAsia"/>
        </w:rPr>
        <w:t xml:space="preserve">视图库）。投标人投标时必须提供各类数据无缝对接以上各类平台的承诺函并加盖投标人公章（承诺函格式自拟）。</w:t>
      </w:r>
      <w:r/>
    </w:p>
    <w:p>
      <w:r/>
      <w:r/>
    </w:p>
    <w:p>
      <w:pPr>
        <w:pStyle w:val="1072"/>
      </w:pPr>
      <w:r>
        <w:rPr>
          <w:rFonts w:hint="eastAsia"/>
        </w:rPr>
        <w:t xml:space="preserve">500W环保卡口抓拍单元</w:t>
      </w:r>
      <w:r/>
    </w:p>
    <w:p>
      <w:r>
        <w:rPr>
          <w:rFonts w:hint="eastAsia"/>
        </w:rPr>
        <w:t xml:space="preserve">包含高清一体化嵌入式摄像机、高清镜头、室外防护罩、相机内置网络信号防雷器、电源适配器等。</w:t>
      </w:r>
      <w:r/>
    </w:p>
    <w:p>
      <w:r>
        <w:rPr>
          <w:rFonts w:hint="eastAsia"/>
        </w:rPr>
        <w:t xml:space="preserve">抓拍支持输出三张同时刻目标图片，包括可见光路图片（全彩），红外路图片（黑白）和融合图片（全彩），三张图片抓拍时间为同一时刻，抓拍运动目标，三张图片中目标位置相同无位移</w:t>
      </w:r>
      <w:r/>
    </w:p>
    <w:p>
      <w:r>
        <w:rPr>
          <w:rFonts w:hint="eastAsia"/>
        </w:rPr>
        <w:t xml:space="preserve">最大图像尺寸≥2448×2048像素。</w:t>
      </w:r>
      <w:r/>
    </w:p>
    <w:p>
      <w:r>
        <w:rPr>
          <w:rFonts w:hint="eastAsia"/>
        </w:rPr>
        <w:t xml:space="preserve">视频压缩支持H.265、H.264、M-JPEG。</w:t>
      </w:r>
      <w:r/>
    </w:p>
    <w:p>
      <w:r>
        <w:rPr>
          <w:rFonts w:hint="eastAsia"/>
        </w:rPr>
        <w:t xml:space="preserve">支持车辆捕获抓拍功能，在天气晴朗无雾，号牌无遮挡、无污损，白天环境光照度不低于200lx，晚上辅助光照度不高于30lx的条件下测试，白天和晚上的捕获率均≥99%。</w:t>
      </w:r>
      <w:r/>
    </w:p>
    <w:p>
      <w:r>
        <w:rPr>
          <w:rFonts w:hint="eastAsia"/>
        </w:rPr>
        <w:t xml:space="preserve">支持车牌识别功能（含新能源），在白天环境光照度不低于200lx，晚上辅助光照度不高于30lx的条件下测试，白天和晚上的识别率均≥99%。</w:t>
      </w:r>
      <w:r/>
    </w:p>
    <w:p>
      <w:r>
        <w:rPr>
          <w:rFonts w:hint="eastAsia"/>
        </w:rPr>
        <w:t xml:space="preserve">开启混合抓拍模式后，设备支持正面/背面行人的抓拍；支持对骑自行车、骑三轮车、骑电动车、骑车带人等非机动车的抓拍；支持对轿车、客车、面包车、货车、卡车、摩托车等机动车的抓拍。</w:t>
      </w:r>
      <w:r/>
    </w:p>
    <w:p>
      <w:r>
        <w:rPr>
          <w:rFonts w:hint="eastAsia"/>
        </w:rPr>
        <w:t xml:space="preserve">设备支持人脸区域自动曝光，可根据人脸区域和光照变化自动调节人脸区域曝光参数；可通过IE浏览器设置人脸自动曝光的参考亮度、最短持续时间和人脸过滤时间。</w:t>
      </w:r>
      <w:r/>
    </w:p>
    <w:p>
      <w:r>
        <w:rPr>
          <w:rFonts w:hint="eastAsia"/>
        </w:rPr>
        <w:t xml:space="preserve">★支持对行人和非机动车的人脸进行检测与抠图，高像素状态下，抓拍人脸像素点约为150*150；可对人脸抠图的像素大小、亮度、边框放大倍数进行调节，抠图准确率≥99%。（提供公安部权威机构检验报告证明复印件加盖投标单位公章）</w:t>
      </w:r>
      <w:r/>
    </w:p>
    <w:p>
      <w:r>
        <w:rPr>
          <w:rFonts w:hint="eastAsia"/>
        </w:rPr>
        <w:t xml:space="preserve">支持检测并跟踪指定区域内不少于200个目标,目标包括机动车、非机动车以及行人等。</w:t>
      </w:r>
      <w:r/>
    </w:p>
    <w:p>
      <w:pPr>
        <w:rPr>
          <w:rFonts w:hint="eastAsia" w:eastAsia="宋体"/>
          <w:lang w:eastAsia="zh-CN"/>
        </w:rPr>
      </w:pPr>
      <w:r>
        <w:rPr>
          <w:rFonts w:hint="eastAsia"/>
        </w:rPr>
        <w:t xml:space="preserve">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lang w:eastAsia="zh-CN"/>
        </w:rPr>
        <w:t xml:space="preserve">；</w:t>
      </w:r>
      <w:r/>
    </w:p>
    <w:p>
      <w:r>
        <w:rPr>
          <w:rFonts w:hint="eastAsia"/>
        </w:rPr>
        <w:t xml:space="preserve">防护等级不低于IP66。</w:t>
      </w:r>
      <w:r/>
    </w:p>
    <w:p>
      <w:r>
        <w:rPr>
          <w:rFonts w:hint="eastAsia"/>
        </w:rPr>
        <w:t xml:space="preserve">工作电压：220VAC±20%；频率：50HZ±2%。</w:t>
      </w:r>
      <w:r/>
    </w:p>
    <w:p>
      <w:r>
        <w:rPr>
          <w:rFonts w:hint="eastAsia"/>
        </w:rPr>
        <w:t xml:space="preserve">支持GB35114 A级安全加密；</w:t>
      </w:r>
      <w:r/>
    </w:p>
    <w:p>
      <w:r>
        <w:rPr>
          <w:rFonts w:hint="eastAsia"/>
        </w:rPr>
        <w:t xml:space="preserve">★设备所采集的各类数据必须无缝</w:t>
      </w:r>
      <w:r>
        <w:rPr>
          <w:rFonts w:hint="eastAsia"/>
          <w:lang w:val="en-US" w:eastAsia="zh-CN"/>
        </w:rPr>
        <w:t xml:space="preserve">接入盐城</w:t>
      </w:r>
      <w:r>
        <w:rPr>
          <w:rFonts w:hint="eastAsia"/>
        </w:rPr>
        <w:t xml:space="preserve">大丰公安视频图象信息应用平台（抓拍数据</w:t>
      </w:r>
      <w:r>
        <w:rPr>
          <w:rFonts w:hint="eastAsia"/>
          <w:lang w:val="en-US" w:eastAsia="zh-CN"/>
        </w:rPr>
        <w:t xml:space="preserve">全量</w:t>
      </w:r>
      <w:r>
        <w:rPr>
          <w:rFonts w:hint="eastAsia"/>
        </w:rPr>
        <w:t xml:space="preserve">汇聚至</w:t>
      </w:r>
      <w:r>
        <w:rPr>
          <w:rFonts w:hint="eastAsia"/>
          <w:lang w:val="en-US" w:eastAsia="zh-CN"/>
        </w:rPr>
        <w:t xml:space="preserve">现有</w:t>
      </w:r>
      <w:r>
        <w:rPr>
          <w:rFonts w:hint="eastAsia"/>
        </w:rPr>
        <w:t xml:space="preserve">视图库）</w:t>
      </w:r>
      <w:r>
        <w:rPr>
          <w:rFonts w:hint="eastAsia"/>
          <w:lang w:eastAsia="zh-CN"/>
        </w:rPr>
        <w:t xml:space="preserve">，</w:t>
      </w:r>
      <w:r>
        <w:rPr>
          <w:rFonts w:hint="eastAsia"/>
        </w:rPr>
        <w:t xml:space="preserve">同时抓拍</w:t>
      </w:r>
      <w:r>
        <w:rPr>
          <w:rFonts w:hint="eastAsia"/>
          <w:lang w:val="en-US" w:eastAsia="zh-CN"/>
        </w:rPr>
        <w:t xml:space="preserve">的交通违法</w:t>
      </w:r>
      <w:r>
        <w:rPr>
          <w:rFonts w:hint="eastAsia"/>
        </w:rPr>
        <w:t xml:space="preserve">数据需</w:t>
      </w:r>
      <w:r>
        <w:rPr>
          <w:rFonts w:hint="eastAsia"/>
          <w:lang w:val="en-US" w:eastAsia="zh-CN"/>
        </w:rPr>
        <w:t xml:space="preserve">自动上传至</w:t>
      </w:r>
      <w:r>
        <w:rPr>
          <w:rFonts w:hint="eastAsia"/>
        </w:rPr>
        <w:t xml:space="preserve">公安部集成指挥平台</w:t>
      </w:r>
      <w:r>
        <w:rPr>
          <w:rFonts w:hint="eastAsia"/>
          <w:lang w:val="en-US" w:eastAsia="zh-CN"/>
        </w:rPr>
        <w:t xml:space="preserve">应用</w:t>
      </w:r>
      <w:r>
        <w:rPr>
          <w:rFonts w:hint="eastAsia"/>
        </w:rPr>
        <w:t xml:space="preserve">】。投标人投标时必须提供各类数据无缝对接以上各类平台的承诺函并加盖投标人公章（承诺函格式自拟）。</w:t>
      </w:r>
      <w:r/>
    </w:p>
    <w:p>
      <w:r/>
      <w:r/>
    </w:p>
    <w:p>
      <w:pPr>
        <w:pStyle w:val="1072"/>
      </w:pPr>
      <w:r>
        <w:rPr>
          <w:rFonts w:hint="eastAsia"/>
        </w:rPr>
        <w:t xml:space="preserve">900W环保卡口抓拍单元</w:t>
      </w:r>
      <w:r/>
    </w:p>
    <w:p>
      <w:pPr>
        <w:rPr>
          <w:rFonts w:hint="eastAsia"/>
        </w:rPr>
      </w:pPr>
      <w:r>
        <w:rPr>
          <w:rFonts w:hint="eastAsia"/>
        </w:rPr>
        <w:t xml:space="preserve">包含高清一体化嵌入式摄像机、高清镜头、室外防护罩、相机内置网络信号防雷器、电源适配器等。</w:t>
      </w:r>
      <w:r/>
    </w:p>
    <w:p>
      <w:pPr>
        <w:rPr>
          <w:rFonts w:hint="eastAsia"/>
        </w:rPr>
      </w:pPr>
      <w:r>
        <w:rPr>
          <w:rFonts w:hint="eastAsia"/>
        </w:rPr>
        <w:t xml:space="preserve">★设备的镜头和两个sensor一体化设计，具有独立三角分光棱镜分光结构装置，分别接收可见光和红外光（投标时提供加盖投标单位公章的公安部</w:t>
      </w:r>
      <w:r>
        <w:rPr>
          <w:rFonts w:hint="eastAsia"/>
          <w:lang w:val="en-US" w:eastAsia="zh-CN"/>
        </w:rPr>
        <w:t xml:space="preserve">权威机构</w:t>
      </w:r>
      <w:r>
        <w:rPr>
          <w:rFonts w:hint="eastAsia"/>
        </w:rPr>
        <w:t xml:space="preserve">检验报告证明扫描件）</w:t>
      </w:r>
      <w:r/>
    </w:p>
    <w:p>
      <w:pPr>
        <w:rPr>
          <w:rFonts w:hint="eastAsia"/>
        </w:rPr>
      </w:pPr>
      <w:r>
        <w:rPr>
          <w:rFonts w:hint="eastAsia"/>
        </w:rPr>
        <w:t xml:space="preserve">最大图像尺寸≥4096×2160像素；字符叠加时最大可支持4096×2800。</w:t>
      </w:r>
      <w:r/>
    </w:p>
    <w:p>
      <w:pPr>
        <w:rPr>
          <w:rFonts w:hint="eastAsia"/>
        </w:rPr>
      </w:pPr>
      <w:r>
        <w:rPr>
          <w:rFonts w:hint="eastAsia"/>
        </w:rPr>
        <w:t xml:space="preserve">视频压缩支持H.265、H.264、M-JPEG。</w:t>
      </w:r>
      <w:r/>
    </w:p>
    <w:p>
      <w:pPr>
        <w:rPr>
          <w:rFonts w:hint="eastAsia"/>
        </w:rPr>
      </w:pPr>
      <w:r>
        <w:rPr>
          <w:rFonts w:hint="eastAsia"/>
        </w:rPr>
        <w:t xml:space="preserve">支持机动车、二轮车（摩托车、自行车、电动二轮车）、三轮车和行人分类检测。</w:t>
      </w:r>
      <w:r/>
    </w:p>
    <w:p>
      <w:pPr>
        <w:rPr>
          <w:rFonts w:hint="eastAsia"/>
        </w:rPr>
      </w:pPr>
      <w:r>
        <w:rPr>
          <w:rFonts w:hint="eastAsia"/>
        </w:rPr>
        <w:t xml:space="preserve">支持车前窗挂坠、年检标识、抽烟、驾驶员人脸识别、驾驶室人脸抠图、遮阳板识别等检测功能。</w:t>
      </w:r>
      <w:r/>
    </w:p>
    <w:p>
      <w:pPr>
        <w:rPr>
          <w:rFonts w:hint="eastAsia"/>
        </w:rPr>
      </w:pPr>
      <w:r>
        <w:rPr>
          <w:rFonts w:hint="eastAsia"/>
        </w:rPr>
        <w:t xml:space="preserve">支持检测并跟踪指定区域内不少于200个目标,目标包括机动车、非机动车以及行人等。</w:t>
      </w:r>
      <w:r/>
    </w:p>
    <w:p>
      <w:pPr>
        <w:rPr>
          <w:rFonts w:hint="eastAsia"/>
        </w:rPr>
      </w:pPr>
      <w:r>
        <w:rPr>
          <w:rFonts w:hint="eastAsia"/>
        </w:rPr>
        <w:t xml:space="preserve">支持车辆捕获抓拍功能，在天气晴朗无雾，号牌无遮挡、无污损，白天环境光照度不低于200lx，晚上辅助光照度不高于30lx的条件下测试，白天和晚上的捕获率均≥99%。</w:t>
      </w:r>
      <w:r/>
    </w:p>
    <w:p>
      <w:pPr>
        <w:rPr>
          <w:rFonts w:hint="eastAsia"/>
        </w:rPr>
      </w:pPr>
      <w:r>
        <w:rPr>
          <w:rFonts w:hint="eastAsia"/>
        </w:rPr>
        <w:t xml:space="preserve">支持车牌识别功能，在天气晴朗无雾，号牌无遮挡、无污损，白天环境光照度不低于200lx，晚上辅助光照度不高于30lx的条件下测试，白天和晚上的识别准确率均≥99%。</w:t>
      </w:r>
      <w:r/>
    </w:p>
    <w:p>
      <w:pPr>
        <w:rPr>
          <w:rFonts w:hint="eastAsia"/>
        </w:rPr>
      </w:pPr>
      <w:r>
        <w:rPr>
          <w:rFonts w:hint="eastAsia"/>
        </w:rPr>
        <w:t xml:space="preserve">支持异常车牌检测功能，可对故意遮挡及污损车牌进行判断和识别。</w:t>
      </w:r>
      <w:r/>
    </w:p>
    <w:p>
      <w:pPr>
        <w:rPr>
          <w:rFonts w:hint="eastAsia"/>
        </w:rPr>
      </w:pPr>
      <w:r>
        <w:rPr>
          <w:rFonts w:hint="eastAsia"/>
        </w:rPr>
        <w:t xml:space="preserve">支持车辆子品牌识别功能，通过车头可识别7100种，通过车尾可识别3800种，全天识别准确率不低于99%。</w:t>
      </w:r>
      <w:r/>
    </w:p>
    <w:p>
      <w:pPr>
        <w:rPr>
          <w:rFonts w:hint="eastAsia"/>
        </w:rPr>
      </w:pPr>
      <w:r>
        <w:rPr>
          <w:rFonts w:hint="eastAsia"/>
        </w:rPr>
        <w:t xml:space="preserve">支持不少于14种车身颜色识别，包括黑、白、灰、红、绿、蓝、黄、粉、紫、棕、青、金、橙、银灰。</w:t>
      </w:r>
      <w:r/>
    </w:p>
    <w:p>
      <w:pPr>
        <w:rPr>
          <w:rFonts w:hint="eastAsia"/>
        </w:rPr>
      </w:pPr>
      <w:r>
        <w:rPr>
          <w:rFonts w:hint="eastAsia"/>
        </w:rPr>
        <w:t xml:space="preserve">支持人脸检测、跟踪、抓拍功能；支持在同一视频画面中，可检测、跟踪不小于 110 个运动人体目标，且抓拍不小于80个运动人脸目标。</w:t>
      </w:r>
      <w:r/>
    </w:p>
    <w:p>
      <w:pPr>
        <w:rPr>
          <w:rFonts w:hint="eastAsia"/>
        </w:rPr>
      </w:pPr>
      <w:r>
        <w:rPr>
          <w:rFonts w:hint="eastAsia"/>
        </w:rPr>
        <w:t xml:space="preserve">支持对30米处的行人进行人脸抓拍，并可生成分辨率不小于110像素×120像素的人脸图片,图片中人脸两眼瞳距应≥40像素。</w:t>
      </w:r>
      <w:r/>
    </w:p>
    <w:p>
      <w:pPr>
        <w:rPr>
          <w:rFonts w:hint="eastAsia"/>
        </w:rPr>
      </w:pPr>
      <w:r>
        <w:rPr>
          <w:rFonts w:hint="eastAsia"/>
        </w:rPr>
        <w:t xml:space="preserve">支持驾驶人脸部特征信息大于50×50个像素点、夜间环境照度在10lx~30lx范围的情况下，配合LED补光与红外爆闪补光，输出高清人脸抠图。（投标时提供加盖投标单位公章的公安部检验报告证明扫描件）</w:t>
      </w:r>
      <w:r/>
    </w:p>
    <w:p>
      <w:pPr>
        <w:rPr>
          <w:rFonts w:hint="eastAsia"/>
        </w:rPr>
      </w:pPr>
      <w:r>
        <w:rPr>
          <w:rFonts w:hint="eastAsia"/>
        </w:rPr>
        <w:t xml:space="preserve">具有抓拍黄牌车、蓝牌车、绿牌车、渐变绿牌车、黑牌车、白牌车、黄绿双拼牌车和不启用抓拍八个设置选项。可对蓝色、黄色、绿色、渐变绿色、黑色、白色、黄绿双拼色以及其他不同颜色车牌的车辆进行选择抓拍。</w:t>
      </w:r>
      <w:r/>
    </w:p>
    <w:p>
      <w:pPr>
        <w:rPr>
          <w:rFonts w:hint="eastAsia"/>
        </w:rPr>
      </w:pPr>
      <w:r>
        <w:rPr>
          <w:rFonts w:hint="eastAsia"/>
        </w:rPr>
        <w:t xml:space="preserve">支持识别车标类型≥450种；在天气晴朗无雾，车辆无遮挡，白天环境光照度不低于200lx，夜晚辅助光照度不高于30lx的情况下进行测试；白天车标识别准确率≥99%；晚上车标识别准确率≥99%。</w:t>
      </w:r>
      <w:r/>
    </w:p>
    <w:p>
      <w:pPr>
        <w:rPr>
          <w:rFonts w:hint="eastAsia"/>
        </w:rPr>
      </w:pPr>
      <w:r>
        <w:rPr>
          <w:rFonts w:hint="eastAsia"/>
        </w:rPr>
        <w:t xml:space="preserve">支持分别对9种车型（大货车、中货车、小货车、客车、小轿车、中客车、危险品运输车、校车、其他车型等）进行不同超速比设置，可设置16个超速比区间。在相同道路上，设备支持根据不同的超速比设置对不同车型进行超速抓拍。</w:t>
      </w:r>
      <w:r/>
    </w:p>
    <w:p>
      <w:pPr>
        <w:rPr>
          <w:rFonts w:hint="eastAsia"/>
        </w:rPr>
      </w:pPr>
      <w:r>
        <w:rPr>
          <w:rFonts w:hint="eastAsia"/>
        </w:rPr>
        <w:t xml:space="preserve">外壳防护等级应不低于IP66。</w:t>
      </w:r>
      <w:r/>
    </w:p>
    <w:p>
      <w:pPr>
        <w:rPr>
          <w:rFonts w:hint="eastAsia"/>
        </w:rPr>
      </w:pPr>
      <w:r>
        <w:rPr>
          <w:rFonts w:hint="eastAsia"/>
        </w:rPr>
        <w:t xml:space="preserve">工作电压：100VAC～240VAC；频率：48Hz～52Hz。</w:t>
      </w:r>
      <w:r/>
    </w:p>
    <w:p>
      <w:r>
        <w:rPr>
          <w:rFonts w:hint="eastAsia"/>
        </w:rPr>
        <w:t xml:space="preserve">支持GB35114 A级安全加密；</w:t>
      </w:r>
      <w:r/>
    </w:p>
    <w:p>
      <w:r>
        <w:rPr>
          <w:rFonts w:hint="eastAsia"/>
        </w:rPr>
        <w:t xml:space="preserve">★设备所采集的各类数据必须无缝</w:t>
      </w:r>
      <w:r>
        <w:rPr>
          <w:rFonts w:hint="eastAsia"/>
          <w:lang w:val="en-US" w:eastAsia="zh-CN"/>
        </w:rPr>
        <w:t xml:space="preserve">接入盐城</w:t>
      </w:r>
      <w:r>
        <w:rPr>
          <w:rFonts w:hint="eastAsia"/>
        </w:rPr>
        <w:t xml:space="preserve">大丰公安视频图象信息应用平台（抓拍数据</w:t>
      </w:r>
      <w:r>
        <w:rPr>
          <w:rFonts w:hint="eastAsia"/>
          <w:lang w:val="en-US" w:eastAsia="zh-CN"/>
        </w:rPr>
        <w:t xml:space="preserve">全量</w:t>
      </w:r>
      <w:r>
        <w:rPr>
          <w:rFonts w:hint="eastAsia"/>
        </w:rPr>
        <w:t xml:space="preserve">汇聚至</w:t>
      </w:r>
      <w:r>
        <w:rPr>
          <w:rFonts w:hint="eastAsia"/>
          <w:lang w:val="en-US" w:eastAsia="zh-CN"/>
        </w:rPr>
        <w:t xml:space="preserve">现有</w:t>
      </w:r>
      <w:r>
        <w:rPr>
          <w:rFonts w:hint="eastAsia"/>
        </w:rPr>
        <w:t xml:space="preserve">视图库）</w:t>
      </w:r>
      <w:r>
        <w:rPr>
          <w:rFonts w:hint="eastAsia"/>
          <w:lang w:eastAsia="zh-CN"/>
        </w:rPr>
        <w:t xml:space="preserve">，</w:t>
      </w:r>
      <w:r>
        <w:rPr>
          <w:rFonts w:hint="eastAsia"/>
        </w:rPr>
        <w:t xml:space="preserve">同时抓拍</w:t>
      </w:r>
      <w:r>
        <w:rPr>
          <w:rFonts w:hint="eastAsia"/>
          <w:lang w:val="en-US" w:eastAsia="zh-CN"/>
        </w:rPr>
        <w:t xml:space="preserve">的交通违法</w:t>
      </w:r>
      <w:r>
        <w:rPr>
          <w:rFonts w:hint="eastAsia"/>
        </w:rPr>
        <w:t xml:space="preserve">数据需</w:t>
      </w:r>
      <w:r>
        <w:rPr>
          <w:rFonts w:hint="eastAsia"/>
          <w:lang w:val="en-US" w:eastAsia="zh-CN"/>
        </w:rPr>
        <w:t xml:space="preserve">自动上传至</w:t>
      </w:r>
      <w:r>
        <w:rPr>
          <w:rFonts w:hint="eastAsia"/>
        </w:rPr>
        <w:t xml:space="preserve">公安部集成指挥平台</w:t>
      </w:r>
      <w:r>
        <w:rPr>
          <w:rFonts w:hint="eastAsia"/>
          <w:lang w:val="en-US" w:eastAsia="zh-CN"/>
        </w:rPr>
        <w:t xml:space="preserve">应用</w:t>
      </w:r>
      <w:r>
        <w:rPr>
          <w:rFonts w:hint="eastAsia"/>
        </w:rPr>
        <w:t xml:space="preserve">】。投标人投标时必须提供各类数据无缝对接以上各类平台的承诺函并加盖投标人公章（承诺函格式自拟）。</w:t>
      </w:r>
      <w:r/>
    </w:p>
    <w:p>
      <w:r/>
      <w:r/>
    </w:p>
    <w:p>
      <w:pPr>
        <w:pStyle w:val="1072"/>
      </w:pPr>
      <w:r>
        <w:rPr>
          <w:rFonts w:hint="eastAsia" w:eastAsia="宋体"/>
          <w:lang w:val="en-US" w:eastAsia="zh-CN"/>
        </w:rPr>
        <w:t xml:space="preserve">全景</w:t>
      </w:r>
      <w:r>
        <w:rPr>
          <w:rFonts w:hint="eastAsia"/>
        </w:rPr>
        <w:t xml:space="preserve">球机</w:t>
      </w:r>
      <w:r/>
    </w:p>
    <w:p>
      <w:pPr>
        <w:rPr>
          <w:rFonts w:hint="eastAsia" w:eastAsia="宋体"/>
          <w:lang w:eastAsia="zh-CN"/>
        </w:rPr>
      </w:pPr>
      <w:r>
        <w:rPr>
          <w:rFonts w:hint="eastAsia"/>
        </w:rPr>
        <w:t xml:space="preserve">摄像机内置不少于3个镜头，可输出至少一路全景视频和一路细节视频，其中全景内置不少于2个镜头，光圈不小于F1.0，具有不小于1/1.8靶面尺寸，细节内置1个镜头，具备不小于1/1.8靶面尺寸</w:t>
      </w:r>
      <w:r>
        <w:rPr>
          <w:rFonts w:hint="eastAsia"/>
          <w:lang w:eastAsia="zh-CN"/>
        </w:rPr>
        <w:t xml:space="preserve">；</w:t>
      </w:r>
      <w:r/>
    </w:p>
    <w:p>
      <w:r>
        <w:rPr>
          <w:rFonts w:hint="eastAsia"/>
        </w:rPr>
        <w:t xml:space="preserve">细节通道内置镜头，支持不小于32倍光学变倍，镜头最大焦距不小于188mm；</w:t>
      </w:r>
      <w:r/>
    </w:p>
    <w:p>
      <w:pPr>
        <w:rPr>
          <w:rFonts w:hint="eastAsia"/>
        </w:rPr>
      </w:pPr>
      <w:r>
        <w:rPr>
          <w:rFonts w:hint="eastAsia"/>
        </w:rPr>
        <w:t xml:space="preserve">设备内置GPU芯片；</w:t>
      </w:r>
      <w:r/>
    </w:p>
    <w:p>
      <w:r>
        <w:rPr>
          <w:rFonts w:hint="eastAsia"/>
        </w:rPr>
        <w:t xml:space="preserve">全景路视频图像分辨率不小于3632 × 1632，细节路视频图像分辨率不小于2560x1440；</w:t>
      </w:r>
      <w:r/>
    </w:p>
    <w:p>
      <w:r>
        <w:rPr>
          <w:rFonts w:hint="eastAsia"/>
        </w:rPr>
        <w:t xml:space="preserve">全景通道和细节通道镜头支持最低照度可达彩色0.0002 lx，黑白0.0001 lx；</w:t>
      </w:r>
      <w:r/>
    </w:p>
    <w:p>
      <w:r>
        <w:rPr>
          <w:rFonts w:hint="eastAsia"/>
        </w:rPr>
        <w:t xml:space="preserve">全景通道可输出两个镜头无缝拼接的全景图像，拼接偏差像素不大于4个像素，全景画面水平视场角不小于190°，垂直视场角不小于80°，可进行垂直旋转，旋转范围不低于12°可调；</w:t>
      </w:r>
      <w:r/>
    </w:p>
    <w:p>
      <w:r>
        <w:rPr>
          <w:rFonts w:hint="eastAsia"/>
        </w:rPr>
        <w:t xml:space="preserve">摄像机可在预览画面及抓拍图片中叠加人员和车辆的移动轨迹，轨迹颜色支持红色、黄色、蓝色、绿色、及紫色，轨迹末尾具有一个方向箭头，指向目标离开的方向，抓拍图片大小不大于500KB；</w:t>
      </w:r>
      <w:r/>
    </w:p>
    <w:p>
      <w:r>
        <w:rPr>
          <w:rFonts w:hint="eastAsia"/>
        </w:rPr>
        <w:t xml:space="preserve">红外距离不小于200米；</w:t>
      </w:r>
      <w:r/>
    </w:p>
    <w:p>
      <w:r>
        <w:rPr>
          <w:rFonts w:hint="eastAsia"/>
        </w:rPr>
        <w:t xml:space="preserve">支持水平旋转范围360°连续旋转，垂直旋转范围-20°~90°；</w:t>
      </w:r>
      <w:r/>
    </w:p>
    <w:p>
      <w:r>
        <w:rPr>
          <w:rFonts w:hint="eastAsia"/>
        </w:rPr>
        <w:t xml:space="preserve">具备声音报警输出功能，可设置11种警戒音、提示音、自定义语音，报警次数1～50次可设；可通过区域入侵侦测、越界侦测、进入区域侦测、离开区域侦测等报警事件，联动声音报警；</w:t>
      </w:r>
      <w:r/>
    </w:p>
    <w:p>
      <w:r>
        <w:rPr>
          <w:rFonts w:hint="eastAsia"/>
        </w:rPr>
        <w:t xml:space="preserve">具备闪光灯报警输出功能，可设置闪光灯闪烁时间，闪烁频率，亮度，当监控画面中有目标触发区域入侵侦测、越界侦测、进入区域侦测、离开区域侦测等报警时，可联动白光灯闪烁进行报警；</w:t>
      </w:r>
      <w:r/>
    </w:p>
    <w:p>
      <w:r>
        <w:rPr>
          <w:rFonts w:hint="eastAsia"/>
        </w:rPr>
        <w:t xml:space="preserve">摄像机具备AR标签管理功能，可对监控区域的常规点位、卡口点位、人脸点位、重点道路、重点场所等进行标签标注，最多可添加500个标签；</w:t>
      </w:r>
      <w:r/>
    </w:p>
    <w:p>
      <w:r>
        <w:rPr>
          <w:rFonts w:hint="eastAsia"/>
        </w:rPr>
        <w:t xml:space="preserve">摄像机具备AR标签抖动漂移功能，当设备云台明显抖动、转动、或进行镜头变倍时，标签应跟随标定的目标物移动，并在画面中与目标物保持相对静止；</w:t>
      </w:r>
      <w:r/>
    </w:p>
    <w:p>
      <w:r>
        <w:rPr>
          <w:rFonts w:hint="eastAsia"/>
        </w:rPr>
        <w:t xml:space="preserve">摄像机具备AR标签联动查看功能，选中标签并将标签置于屏幕中心位置进行显示，可通过点击视频画面中的标签查看标签内容并对标签关联的摄像机视频进行预览，并可通过点击摄像机预览窗口进行放大窗口操作；</w:t>
      </w:r>
      <w:r/>
    </w:p>
    <w:p>
      <w:r>
        <w:rPr>
          <w:rFonts w:hint="eastAsia"/>
        </w:rPr>
        <w:t xml:space="preserve">支持同时检测监控场景内出现的不少于30张人脸，并可进行抓拍；</w:t>
      </w:r>
      <w:r/>
    </w:p>
    <w:p>
      <w:r>
        <w:rPr>
          <w:rFonts w:hint="eastAsia"/>
        </w:rPr>
        <w:t xml:space="preserve">支持GB35114 A级安全加密；</w:t>
      </w:r>
      <w:r/>
    </w:p>
    <w:p>
      <w:r>
        <w:rPr>
          <w:rFonts w:hint="eastAsia"/>
        </w:rPr>
        <w:t xml:space="preserve">防护：IP67; 6000V防雷、防浪涌、防突波，符合GB/T17626.2/3/4/5/6四级标准。</w:t>
      </w:r>
      <w:r/>
    </w:p>
    <w:p>
      <w:pPr>
        <w:pStyle w:val="1072"/>
      </w:pPr>
      <w:r>
        <w:rPr>
          <w:rFonts w:hint="eastAsia"/>
        </w:rPr>
        <w:t xml:space="preserve">黑光球机</w:t>
      </w:r>
      <w:r/>
    </w:p>
    <w:p>
      <w:r>
        <w:rPr>
          <w:rFonts w:hint="eastAsia"/>
        </w:rPr>
        <w:t xml:space="preserve">★摄像机靶面尺寸不小于1/1.2英寸，内置GPU芯片，视频图像分辨率不小于3840×2160；（提供公安部权威机构检测报告复印件证明并加盖投标人公章）</w:t>
      </w:r>
      <w:r/>
    </w:p>
    <w:p>
      <w:r>
        <w:rPr>
          <w:rFonts w:hint="eastAsia"/>
        </w:rPr>
        <w:t xml:space="preserve">摄像机内置镜头，支持不小于35倍光学变倍，镜头最大焦距不小于259mm；</w:t>
      </w:r>
      <w:r/>
    </w:p>
    <w:p>
      <w:r>
        <w:rPr>
          <w:rFonts w:hint="eastAsia"/>
        </w:rPr>
        <w:t xml:space="preserve">支持最低照度可达彩色0.0002 lx，黑白0.0001 lx；</w:t>
      </w:r>
      <w:r/>
    </w:p>
    <w:p>
      <w:r>
        <w:rPr>
          <w:rFonts w:hint="eastAsia"/>
        </w:rPr>
        <w:t xml:space="preserve">采用双传感器架构，支持超宽光谱感光成像；</w:t>
      </w:r>
      <w:r/>
    </w:p>
    <w:p>
      <w:r>
        <w:rPr>
          <w:rFonts w:hint="eastAsia"/>
        </w:rPr>
        <w:t xml:space="preserve">水平旋转范围为360°连续旋转，垂直旋转范围为-20°~90°；</w:t>
      </w:r>
      <w:r/>
    </w:p>
    <w:p>
      <w:r>
        <w:rPr>
          <w:rFonts w:hint="eastAsia"/>
        </w:rPr>
        <w:t xml:space="preserve">红外距离不小于250米；</w:t>
      </w:r>
      <w:r/>
    </w:p>
    <w:p>
      <w:r>
        <w:rPr>
          <w:rFonts w:hint="eastAsia"/>
        </w:rPr>
        <w:t xml:space="preserve">★摄像机内置两个图像传感器，分别输出黑白及彩色图像，可对视频图像进行融合输出；（提供公安部权威机构检测报告复印件证明并加盖投标人公章）</w:t>
      </w:r>
      <w:r/>
    </w:p>
    <w:p>
      <w:r>
        <w:rPr>
          <w:rFonts w:hint="eastAsia"/>
        </w:rPr>
        <w:t xml:space="preserve">支持Smart事件、道路监控、人脸抓拍智能功能切换：1）支持越界侦测，区域入侵侦测，进入/离开区域侦测等智能侦测功能；2）支持车辆检测和混行检测，车牌捕获及检索；3）支持同时抓拍不少于30张人脸，支持对运动人脸进行检测、跟踪、抓拍、评分、筛选，输出最优的人脸抓图；</w:t>
      </w:r>
      <w:r/>
    </w:p>
    <w:p>
      <w:r>
        <w:rPr>
          <w:rFonts w:hint="eastAsia"/>
        </w:rPr>
        <w:t xml:space="preserve">摄像机可在预览画面及抓拍图片中叠加人员和车辆的移动轨迹，轨迹颜色支持红色、黄色、蓝色、绿色及紫色，轨迹末尾具有一个方向箭头，指向目标离开的方向，抓拍图片大小不大于500KB；</w:t>
      </w:r>
      <w:r/>
    </w:p>
    <w:p>
      <w:r>
        <w:rPr>
          <w:rFonts w:hint="eastAsia"/>
        </w:rPr>
        <w:t xml:space="preserve">摄像机通过标定校准可检测当前镜头方向与地平面夹角，并根据夹角变化自动调整倍率；</w:t>
      </w:r>
      <w:r/>
    </w:p>
    <w:p>
      <w:r>
        <w:rPr>
          <w:rFonts w:hint="eastAsia"/>
        </w:rPr>
        <w:t xml:space="preserve">支持智能雨刷；</w:t>
      </w:r>
      <w:r/>
    </w:p>
    <w:p>
      <w:r>
        <w:rPr>
          <w:rFonts w:hint="eastAsia"/>
        </w:rPr>
        <w:t xml:space="preserve">支持GB35114 A级安全加密；</w:t>
      </w:r>
      <w:r/>
    </w:p>
    <w:p>
      <w:r>
        <w:rPr>
          <w:rFonts w:hint="eastAsia"/>
        </w:rPr>
        <w:t xml:space="preserve">IP67; 6000V 防雷、防浪涌、防突波，适用于严酷的电磁环境，符合GB/T17626.2/3/4/5/6四级标准。</w:t>
      </w:r>
      <w:r/>
    </w:p>
    <w:p>
      <w:pPr>
        <w:pStyle w:val="1072"/>
      </w:pPr>
      <w:r>
        <w:rPr>
          <w:rFonts w:hint="eastAsia"/>
        </w:rPr>
        <w:t xml:space="preserve">270°高空全景摄像机</w:t>
      </w:r>
      <w:r/>
    </w:p>
    <w:p>
      <w:r>
        <w:rPr>
          <w:rFonts w:hint="eastAsia"/>
        </w:rPr>
        <w:t xml:space="preserve">自带镜头，另配6个图像采集模块，可输出1路主视频图像和辅视频，可将辅视频图像进行无缝拼接；</w:t>
      </w:r>
      <w:r/>
    </w:p>
    <w:p>
      <w:r>
        <w:rPr>
          <w:rFonts w:hint="eastAsia"/>
        </w:rPr>
        <w:t xml:space="preserve">全景及细节镜头靶面尺寸均不小于1/1.8英寸，全景采用6个F1.0大光圈全彩镜头拼接而成，全景画面可支持关注区域畸变矫正；</w:t>
      </w:r>
      <w:r/>
    </w:p>
    <w:p>
      <w:r>
        <w:rPr>
          <w:rFonts w:hint="eastAsia"/>
        </w:rPr>
        <w:t xml:space="preserve">主视频图像：2560×1440@25fps，辅视频图像：8160×2400@25fps，其中主视频图像分辨力不小于1600线；</w:t>
      </w:r>
      <w:r/>
    </w:p>
    <w:p>
      <w:r>
        <w:rPr>
          <w:rFonts w:hint="eastAsia"/>
        </w:rPr>
        <w:t xml:space="preserve">主视频支持不小于40倍光学变倍，支持检测当前镜头指向方向与地平面夹角，并可根据夹角变化自动调整倍率；</w:t>
      </w:r>
      <w:r/>
    </w:p>
    <w:p>
      <w:r>
        <w:rPr>
          <w:rFonts w:hint="eastAsia"/>
        </w:rPr>
        <w:t xml:space="preserve">支持三码流输出，主码流球机摄像机通道支持输出2560×1440@25fps图像、全景通道支持输出8160×2400@25fps图像；第三码流球机摄像机通道支持输出1920×1080@25ps图像、全景通道支持输出4096×1200@25fps图像；</w:t>
      </w:r>
      <w:r/>
    </w:p>
    <w:p>
      <w:r>
        <w:rPr>
          <w:rFonts w:hint="eastAsia"/>
        </w:rPr>
        <w:t xml:space="preserve">摄像机全景镜头光圈均不小于F1.0，设备内置3个GPU芯片，拼接视频图像水平视场角≥270°，垂直视场角≥100°；</w:t>
      </w:r>
      <w:r/>
    </w:p>
    <w:p>
      <w:r>
        <w:rPr>
          <w:rFonts w:hint="eastAsia"/>
        </w:rPr>
        <w:t xml:space="preserve">彩色：0.0003lux；黑白：0.0001lux；</w:t>
      </w:r>
      <w:r/>
    </w:p>
    <w:p>
      <w:pPr>
        <w:rPr>
          <w:rFonts w:hint="eastAsia"/>
          <w:lang w:eastAsia="zh-CN"/>
        </w:rPr>
      </w:pPr>
      <w:r>
        <w:rPr>
          <w:rFonts w:hint="eastAsia"/>
        </w:rPr>
        <w:t xml:space="preserve">可对距设备100米处的人脸进行抓拍</w:t>
      </w:r>
      <w:r>
        <w:rPr>
          <w:rFonts w:hint="eastAsia"/>
          <w:lang w:eastAsia="zh-CN"/>
        </w:rPr>
        <w:t xml:space="preserve">；</w:t>
      </w:r>
      <w:r/>
    </w:p>
    <w:p>
      <w:r>
        <w:rPr>
          <w:rFonts w:hint="eastAsia"/>
        </w:rPr>
        <w:t xml:space="preserve">红外灯开启时，设备可根据被摄物的距离自动调节红外灯功率密度，红外夜视距离：可识别距离设备550m外人体轮廓；</w:t>
      </w:r>
      <w:r/>
    </w:p>
    <w:p>
      <w:r>
        <w:rPr>
          <w:rFonts w:hint="eastAsia"/>
        </w:rPr>
        <w:t xml:space="preserve">支持点击联动功能，通过在客户端点击或者框选全景摄像机画面任意位置，细节跟踪摄像机可自动通过云台调整与变焦，将该区域置于画面中心；</w:t>
      </w:r>
      <w:r/>
    </w:p>
    <w:p>
      <w:r>
        <w:rPr>
          <w:rFonts w:hint="eastAsia"/>
        </w:rPr>
        <w:t xml:space="preserve">支持偏色矫正功能，可通过手动或自动的方式对样机视频采集模块进行偏色矫正；</w:t>
      </w:r>
      <w:r/>
    </w:p>
    <w:p>
      <w:r>
        <w:rPr>
          <w:rFonts w:hint="eastAsia"/>
        </w:rPr>
        <w:t xml:space="preserve">★支持镜头前盖玻璃加热功能，摄像机内置除湿器，可对样机内部进行除湿，除去玻璃罩上的水状附着物；（提供公安部权威机构检测报告复印件证明并加盖投标人公章）</w:t>
      </w:r>
      <w:r/>
    </w:p>
    <w:p>
      <w:r>
        <w:rPr>
          <w:rFonts w:hint="eastAsia"/>
        </w:rPr>
        <w:t xml:space="preserve">支持GB35114 A级安全加密；</w:t>
      </w:r>
      <w:r/>
    </w:p>
    <w:p>
      <w:r>
        <w:rPr>
          <w:rFonts w:hint="eastAsia"/>
        </w:rPr>
        <w:t xml:space="preserve">电源具有较强适应性，电源电压在DC36V±47%范围内变化时，摄像机可以正常工作；</w:t>
      </w:r>
      <w:r/>
    </w:p>
    <w:p>
      <w:r>
        <w:rPr>
          <w:rFonts w:hint="eastAsia"/>
        </w:rPr>
        <w:t xml:space="preserve">防护：IP67；6000 V防雷、防浪涌、防突波，符合GB/T17626.2/3/4/5/6四级标准。</w:t>
      </w:r>
      <w:r/>
    </w:p>
    <w:p>
      <w:pPr>
        <w:pStyle w:val="1072"/>
      </w:pPr>
      <w:r>
        <w:rPr>
          <w:rFonts w:hint="eastAsia"/>
        </w:rPr>
        <w:t xml:space="preserve">四合一环保补光灯</w:t>
      </w:r>
      <w:r/>
    </w:p>
    <w:p>
      <w:r>
        <w:rPr>
          <w:rFonts w:hint="eastAsia"/>
        </w:rPr>
        <w:t xml:space="preserve">具备</w:t>
      </w:r>
      <w:r>
        <w:t xml:space="preserve">24颗原装进口高亮度LED芯片，寿命长，稳定性好，发光效率高；</w:t>
      </w:r>
      <w:r/>
    </w:p>
    <w:p>
      <w:r>
        <w:rPr>
          <w:rFonts w:hint="eastAsia"/>
        </w:rPr>
        <w:t xml:space="preserve">应</w:t>
      </w:r>
      <w:r>
        <w:t xml:space="preserve">LED格栅，有效减少周边光污染；</w:t>
      </w:r>
      <w:r/>
    </w:p>
    <w:p>
      <w:r>
        <w:rPr>
          <w:rFonts w:hint="eastAsia"/>
        </w:rPr>
        <w:t xml:space="preserve">气体光源回电时间小于</w:t>
      </w:r>
      <w:r>
        <w:t xml:space="preserve">67ms，支持超速连拍；</w:t>
      </w:r>
      <w:r/>
    </w:p>
    <w:p>
      <w:r>
        <w:rPr>
          <w:rFonts w:hint="eastAsia"/>
        </w:rPr>
        <w:t xml:space="preserve">气体补光控制具有峰值抑制功能；</w:t>
      </w:r>
      <w:r/>
    </w:p>
    <w:p>
      <w:r>
        <w:rPr>
          <w:rFonts w:hint="eastAsia"/>
        </w:rPr>
        <w:t xml:space="preserve">支持</w:t>
      </w:r>
      <w:r>
        <w:t xml:space="preserve">LED灯频闪、白光气体爆闪，红外气体爆闪；</w:t>
      </w:r>
      <w:r/>
    </w:p>
    <w:p>
      <w:r>
        <w:rPr>
          <w:rFonts w:hint="eastAsia"/>
        </w:rPr>
        <w:t xml:space="preserve">支持相机误触发保护功能，触发信号输入异常时自动保护、且自动恢复；</w:t>
      </w:r>
      <w:r/>
    </w:p>
    <w:p>
      <w:r>
        <w:rPr>
          <w:rFonts w:hint="eastAsia"/>
        </w:rPr>
        <w:t xml:space="preserve">★补光需符合（</w:t>
      </w:r>
      <w:r>
        <w:t xml:space="preserve">GA/T 1202-2022）要求，一级标准，提供权威机构机构检测报告复印件并加盖</w:t>
      </w:r>
      <w:r>
        <w:rPr>
          <w:rFonts w:hint="eastAsia"/>
        </w:rPr>
        <w:t xml:space="preserve">投标单位</w:t>
      </w:r>
      <w:r>
        <w:t xml:space="preserve">公章。</w:t>
      </w:r>
      <w:r/>
    </w:p>
    <w:p>
      <w:r>
        <w:rPr>
          <w:rFonts w:hint="eastAsia"/>
        </w:rPr>
        <w:t xml:space="preserve">为保证卡口抓拍系统运行稳定性，所投多合一环保补光灯设备需与卡口抓拍摄像机品牌保持一致。</w:t>
      </w:r>
      <w:r/>
    </w:p>
    <w:p>
      <w:r/>
      <w:r/>
    </w:p>
    <w:p>
      <w:pPr>
        <w:pStyle w:val="1072"/>
      </w:pPr>
      <w:r>
        <w:rPr>
          <w:rFonts w:hint="eastAsia"/>
        </w:rPr>
        <w:t xml:space="preserve">光纤收发器（对）</w:t>
      </w:r>
      <w:r/>
    </w:p>
    <w:p>
      <w:r>
        <w:rPr>
          <w:rFonts w:hint="eastAsia"/>
        </w:rPr>
        <w:t xml:space="preserve">千兆，提供不低于1个1000M自适应电接口和1个FX光接口，有效传输距离大于20KM</w:t>
      </w:r>
      <w:r/>
    </w:p>
    <w:p>
      <w:r/>
      <w:r/>
    </w:p>
    <w:p>
      <w:pPr>
        <w:pStyle w:val="1072"/>
      </w:pPr>
      <w:r>
        <w:rPr>
          <w:rFonts w:hint="eastAsia"/>
        </w:rPr>
        <w:t xml:space="preserve">抱杆机箱</w:t>
      </w:r>
      <w:r/>
    </w:p>
    <w:p>
      <w:r>
        <w:rPr>
          <w:rFonts w:hint="eastAsia"/>
        </w:rPr>
        <w:t xml:space="preserve">规格尺寸：高450*宽350*深220MM，板材厚度≥1.0MM；柜体采用防晒、隔热顶盖；采取导流槽、胶垫等密封措施，防止雨雪、水和萤虫进入柜体内部。外壳密封性能符合 GB/T 4208 的规定，柜门采用静音轴承合叶铰链。柜体电源接线端子与机柜之间的绝缘电阻在正常状态下不小于 100MΩ，在 20℃相对湿度 5%RH～95%RH 状态下不小于 2MΩ。西安门需要做加强筋固定，保证箱体的防撬、防盗。</w:t>
      </w:r>
      <w:r/>
    </w:p>
    <w:p>
      <w:r>
        <w:rPr>
          <w:rFonts w:hint="eastAsia"/>
        </w:rPr>
        <w:t xml:space="preserve">电子式自动重合闸保护器；额定电流；10-16A可选；漏流动作电流；30mA；漏电不动作电流；15mA漏流动作时间：≤0.1s合闸前具有检测功能。具备过流短路保护、欠压/过压保护、漏电保护、故障记忆、合闸前检测、自动重控制功能。</w:t>
      </w:r>
      <w:r/>
    </w:p>
    <w:p>
      <w:r>
        <w:rPr>
          <w:rFonts w:hint="eastAsia"/>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r>
        <w:t xml:space="preserve">锁体通过智能钥匙供电，无内置电源。</w:t>
      </w:r>
      <w:r/>
    </w:p>
    <w:p>
      <w:r>
        <w:rPr>
          <w:rFonts w:hint="eastAsia"/>
        </w:rPr>
        <w:t xml:space="preserve">★电子锁同时具有机械和电子双重加密功能，仅当机械和电子同时正确时，方可开锁；（需提供公安部</w:t>
      </w:r>
      <w:r>
        <w:rPr>
          <w:rFonts w:hint="eastAsia"/>
          <w:lang w:eastAsia="zh-CN"/>
        </w:rPr>
        <w:t xml:space="preserve">权威机构</w:t>
      </w:r>
      <w:r>
        <w:rPr>
          <w:rFonts w:hint="eastAsia"/>
        </w:rPr>
        <w:t xml:space="preserve">出具的检测报告并加</w:t>
      </w:r>
      <w:r>
        <w:rPr>
          <w:rFonts w:hint="eastAsia"/>
          <w:lang w:val="en-US" w:eastAsia="zh-CN"/>
        </w:rPr>
        <w:t xml:space="preserve">盖</w:t>
      </w:r>
      <w:r>
        <w:rPr>
          <w:rFonts w:hint="eastAsia"/>
          <w:lang w:eastAsia="zh-CN"/>
        </w:rPr>
        <w:t xml:space="preserve">投标人</w:t>
      </w:r>
      <w:r>
        <w:rPr>
          <w:rFonts w:hint="eastAsia"/>
        </w:rPr>
        <w:t xml:space="preserve">公章）</w:t>
      </w:r>
      <w:r>
        <w:t xml:space="preserve">                       </w:t>
      </w:r>
      <w:r/>
    </w:p>
    <w:p>
      <w:r>
        <w:t xml:space="preserve">平台具备记录开锁人、开锁时间、闭锁时间等信息，一旦出问题可以溯源； </w:t>
      </w:r>
      <w:r/>
    </w:p>
    <w:p>
      <w:r>
        <w:rPr>
          <w:rFonts w:hint="eastAsia"/>
        </w:rPr>
        <w:t xml:space="preserve">箱体具备交流 220V 电源防雷和网络接口防雷两种防雷功能，标配 1 路交流电源防雷器交流电源防雷：Uc:385VAC 、In:20kA、Imax:40kA、Up: ≤1.7KV；内置1个32A空开，不少于4个五口国标插座，一个温控风扇。 </w:t>
      </w:r>
      <w:r/>
    </w:p>
    <w:p>
      <w:pPr>
        <w:pStyle w:val="1072"/>
      </w:pPr>
      <w:r>
        <w:rPr>
          <w:rFonts w:hint="eastAsia"/>
        </w:rPr>
        <w:t xml:space="preserve">工业级交换机千M</w:t>
      </w:r>
      <w:r/>
    </w:p>
    <w:p>
      <w:r>
        <w:rPr>
          <w:rFonts w:hint="eastAsia"/>
        </w:rPr>
        <w:t xml:space="preserve">至少具备8个千兆电口, 支持12~55V DC供电；</w:t>
      </w:r>
      <w:r/>
    </w:p>
    <w:p>
      <w:r>
        <w:rPr>
          <w:rFonts w:hint="eastAsia"/>
        </w:rPr>
        <w:t xml:space="preserve">抗震抗摔压铸铝合金外壳，耐腐蚀耐氧化永不生锈，防护等级不低于IP40, 具备IP40防护等级认证报告；</w:t>
      </w:r>
      <w:r/>
    </w:p>
    <w:p>
      <w:r>
        <w:rPr>
          <w:rFonts w:hint="eastAsia"/>
        </w:rPr>
        <w:t xml:space="preserve">采用防松动螺丝紧固式端子式电源接头；</w:t>
      </w:r>
      <w:r/>
    </w:p>
    <w:p>
      <w:r>
        <w:rPr>
          <w:rFonts w:hint="eastAsia"/>
        </w:rPr>
        <w:t xml:space="preserve">背板带宽不小于24Gbps，适用于需要高流量低延时业务；</w:t>
      </w:r>
      <w:r/>
    </w:p>
    <w:p>
      <w:r>
        <w:rPr>
          <w:rFonts w:hint="eastAsia"/>
        </w:rPr>
        <w:t xml:space="preserve">运行温度：-40度到75度； </w:t>
      </w:r>
      <w:r/>
    </w:p>
    <w:p>
      <w:pPr>
        <w:pStyle w:val="1072"/>
      </w:pPr>
      <w:r>
        <w:rPr>
          <w:rFonts w:hint="eastAsia"/>
        </w:rPr>
        <w:t xml:space="preserve">7米挑臂5M杆件（含基础、地笼、浇筑）</w:t>
      </w:r>
      <w:r/>
    </w:p>
    <w:p>
      <w:r>
        <w:rPr>
          <w:rFonts w:hint="eastAsia"/>
        </w:rPr>
        <w:t xml:space="preserve">立杆八角直径</w:t>
      </w:r>
      <w:r>
        <w:t xml:space="preserve">180-240-5mm厚，横臂八角直径90-165-3mm厚，基础法兰直径450-16mm厚，热镀锌后喷塑处理</w:t>
      </w:r>
      <w:r>
        <w:rPr>
          <w:rFonts w:hint="eastAsia"/>
        </w:rPr>
        <w:t xml:space="preserve">，基础开挖尺寸不低于1.</w:t>
      </w:r>
      <w:r>
        <w:t xml:space="preserve">4</w:t>
      </w:r>
      <w:r>
        <w:rPr>
          <w:rFonts w:hint="eastAsia"/>
        </w:rPr>
        <w:t xml:space="preserve">m*1.</w:t>
      </w:r>
      <w:r>
        <w:t xml:space="preserve">4</w:t>
      </w:r>
      <w:r>
        <w:rPr>
          <w:rFonts w:hint="eastAsia"/>
        </w:rPr>
        <w:t xml:space="preserve">m*1.</w:t>
      </w:r>
      <w:r>
        <w:t xml:space="preserve">6</w:t>
      </w:r>
      <w:r>
        <w:rPr>
          <w:rFonts w:hint="eastAsia"/>
        </w:rPr>
        <w:t xml:space="preserve">m，含地笼、开挖、C25基础浇筑，</w:t>
      </w:r>
      <w:r>
        <w:t xml:space="preserve">杆件防腐采用内外热浸镀锌，横梁、立柱、法兰结构件镀锌量不小于600g/㎡</w:t>
      </w:r>
      <w:r>
        <w:rPr>
          <w:rFonts w:hint="eastAsia"/>
        </w:rPr>
        <w:t xml:space="preserve">，</w:t>
      </w:r>
      <w:r>
        <w:t xml:space="preserve">杆件结构按12级台风设计，抗风能力达43m/s</w:t>
      </w:r>
      <w:r>
        <w:rPr>
          <w:rFonts w:hint="eastAsia"/>
        </w:rPr>
        <w:t xml:space="preserve">，外观必需与大丰区通港大道与海堤路东西向现有电警杆件一致。</w:t>
      </w:r>
      <w:r/>
    </w:p>
    <w:p>
      <w:pPr>
        <w:pStyle w:val="1072"/>
      </w:pPr>
      <w:r>
        <w:rPr>
          <w:rFonts w:hint="eastAsia"/>
        </w:rPr>
        <w:t xml:space="preserve">7挑臂7M杆件（含基础、地笼、浇筑）</w:t>
      </w:r>
      <w:r/>
    </w:p>
    <w:p>
      <w:r>
        <w:rPr>
          <w:rFonts w:hint="eastAsia"/>
        </w:rPr>
        <w:t xml:space="preserve">立杆八角直径180-240-5mm厚，横臂八角直径90-165-3mm厚，基础法兰直径450-16mm厚，热镀锌后喷塑处理，杆件防腐采用内外热浸镀锌，横梁、立柱、法兰结构件镀锌量不小于600g/㎡，基础开挖尺寸不低于1.</w:t>
      </w:r>
      <w:r>
        <w:t xml:space="preserve">4</w:t>
      </w:r>
      <w:r>
        <w:rPr>
          <w:rFonts w:hint="eastAsia"/>
        </w:rPr>
        <w:t xml:space="preserve">m*1.</w:t>
      </w:r>
      <w:r>
        <w:t xml:space="preserve">4</w:t>
      </w:r>
      <w:r>
        <w:rPr>
          <w:rFonts w:hint="eastAsia"/>
        </w:rPr>
        <w:t xml:space="preserve">m*1.</w:t>
      </w:r>
      <w:r>
        <w:t xml:space="preserve">6</w:t>
      </w:r>
      <w:r>
        <w:rPr>
          <w:rFonts w:hint="eastAsia"/>
        </w:rPr>
        <w:t xml:space="preserve">m，含地笼、开挖、C25基础浇筑，杆件结构按12级台风设计，抗风能力达43m/s，外观必需与大丰区通港大道与海堤路东西向现有电警杆件一致。</w:t>
      </w:r>
      <w:r/>
    </w:p>
    <w:p>
      <w:pPr>
        <w:pStyle w:val="1072"/>
      </w:pPr>
      <w:r>
        <w:rPr>
          <w:rFonts w:hint="eastAsia"/>
        </w:rPr>
        <w:t xml:space="preserve">7米挑臂10M杆件（含基础、地笼、浇筑）</w:t>
      </w:r>
      <w:r/>
    </w:p>
    <w:p>
      <w:r>
        <w:rPr>
          <w:rFonts w:hint="eastAsia"/>
        </w:rPr>
        <w:t xml:space="preserve">立杆八角直径270-330-6mm厚，横臂八角直径100-240-5mm厚，基础法兰直径550-18mm厚，热镀锌后喷塑处理，基础开挖尺寸不低于1.6m*1.6m*1.9m，含地笼、开挖、C25基础浇筑，杆件防腐采用内外热浸镀锌，横梁、立柱、法兰结构件镀锌量不小于600g/㎡，杆件结构按12级台风设计，抗风能力达43m/s，外观样式与通港大道海堤路东西向样式一致。 </w:t>
      </w:r>
      <w:r/>
    </w:p>
    <w:p>
      <w:pPr>
        <w:pStyle w:val="1072"/>
      </w:pPr>
      <w:r>
        <w:rPr>
          <w:rFonts w:hint="eastAsia"/>
        </w:rPr>
        <w:t xml:space="preserve">10米挑臂1M杆件（含基础、地笼、浇筑）</w:t>
      </w:r>
      <w:r/>
    </w:p>
    <w:p>
      <w:r>
        <w:rPr>
          <w:rFonts w:hint="eastAsia"/>
        </w:rPr>
        <w:t xml:space="preserve">立杆八角直径160-260-5mm厚，横臂直径60-3mm厚，基础法兰直径500-16mm厚，热镀锌后喷塑，固定法兰直径500-4mm厚，预埋件螺栓对角中心距400mm-8支M24圆钢长1.285米，含地笼、开挖、C25基础浇筑，杆件防腐采用内外热浸镀锌，横梁、立柱、法兰结构件镀锌量不小于600g/㎡，杆件结构按12级台风设计，抗风能力达43m/s，外观样式与通港大道海堤路东西向样式一致。 </w:t>
      </w:r>
      <w:r/>
    </w:p>
    <w:p>
      <w:pPr>
        <w:pStyle w:val="1072"/>
      </w:pPr>
      <w:r>
        <w:rPr>
          <w:rFonts w:hint="eastAsia"/>
        </w:rPr>
        <w:t xml:space="preserve">砖砌手井（含手井圈、盖）</w:t>
      </w:r>
      <w:r/>
    </w:p>
    <w:p>
      <w:r>
        <w:rPr>
          <w:rFonts w:hint="eastAsia"/>
        </w:rPr>
        <w:t xml:space="preserve">规格尺寸:500mm*500mm*500mm。</w:t>
      </w:r>
      <w:r/>
    </w:p>
    <w:p>
      <w:r>
        <w:rPr>
          <w:rFonts w:hint="eastAsia"/>
        </w:rPr>
        <w:t xml:space="preserve">盖板材质、规格:预制钢筋砼盖板。</w:t>
      </w:r>
      <w:r/>
    </w:p>
    <w:p>
      <w:r>
        <w:rPr>
          <w:rFonts w:hint="eastAsia"/>
        </w:rPr>
        <w:t xml:space="preserve">井盖上印有“公安专用”标志。</w:t>
      </w:r>
      <w:r/>
    </w:p>
    <w:p>
      <w:pPr>
        <w:pStyle w:val="1072"/>
      </w:pPr>
      <w:r>
        <w:rPr>
          <w:rFonts w:hint="eastAsia"/>
        </w:rPr>
        <w:t xml:space="preserve">铁塔租赁</w:t>
      </w:r>
      <w:r/>
    </w:p>
    <w:p>
      <w:r>
        <w:rPr>
          <w:rFonts w:hint="eastAsia"/>
        </w:rPr>
        <w:t xml:space="preserve">在斗龙港闸、川东港闸附近各租赁1座铁塔含以下至少5年的服务（投标人承诺大于5年的，以投标人承诺为准），包含塔体共享服务（雷达、AIS基站、激光重载云台、AR全景摄像机、黑光球机等设备高空挂载服务，安装高度不低于</w:t>
      </w:r>
      <w:r>
        <w:rPr>
          <w:rFonts w:hint="eastAsia"/>
          <w:lang w:val="en-US" w:eastAsia="zh-CN"/>
        </w:rPr>
        <w:t xml:space="preserve">40</w:t>
      </w:r>
      <w:r>
        <w:rPr>
          <w:rFonts w:hint="eastAsia"/>
        </w:rPr>
        <w:t xml:space="preserve">米，并提供日常巡检服务，不低于2次/年）、机房共享服务（雷达数据处理单元、船舶识别终端等设备的机房空间服务，提供日常巡检服务，不低于2次/年）、设备安装及调测（上塔设备包括雷达、AIS基站、激光重载云台、AR全景摄像机、黑光球机的高空安装、调测服务，塔下机房/机柜设备的安装、调测服务）、塔顶改造（在塔顶平台合适位置制作、安装设备支撑平台，包括涉及到避雷针和天线的调整、迁改）、塔上及机房内设备的供电电费、光纤租赁和大型塔吊租赁服务。</w:t>
      </w:r>
      <w:r/>
    </w:p>
    <w:p>
      <w:pPr>
        <w:pStyle w:val="1071"/>
        <w:ind w:left="480"/>
        <w:rPr>
          <w:sz w:val="30"/>
          <w:szCs w:val="30"/>
        </w:rPr>
      </w:pPr>
      <w:r/>
      <w:bookmarkStart w:id="200" w:name="_Toc175326559"/>
      <w:r>
        <w:rPr>
          <w:rFonts w:hint="eastAsia"/>
          <w:sz w:val="30"/>
          <w:szCs w:val="30"/>
        </w:rPr>
        <w:t xml:space="preserve">二、海防中心建设参数要求</w:t>
      </w:r>
      <w:bookmarkEnd w:id="200"/>
      <w:r/>
      <w:r/>
    </w:p>
    <w:p>
      <w:pPr>
        <w:pStyle w:val="1072"/>
        <w:rPr>
          <w:sz w:val="30"/>
          <w:szCs w:val="30"/>
        </w:rPr>
      </w:pPr>
      <w:r>
        <w:rPr>
          <w:rFonts w:hint="eastAsia"/>
          <w:sz w:val="30"/>
          <w:szCs w:val="30"/>
        </w:rPr>
        <w:t xml:space="preserve">室内COB微间距LED 显示屏</w:t>
      </w:r>
      <w:r/>
    </w:p>
    <w:p>
      <w:r>
        <w:rPr>
          <w:rFonts w:hint="eastAsia"/>
        </w:rPr>
        <w:t xml:space="preserve">1.★像素中心距：≤1.25mm，像素密度：≥640000点/㎡；（需提供公安部权威机构出具的检测报告复印件，且需在国家市场监督管理总局或全国认证认可平台可查，需提供查询网站链接及查询截图，并加盖投标人公章）</w:t>
      </w:r>
      <w:r/>
    </w:p>
    <w:p>
      <w:r>
        <w:rPr>
          <w:rFonts w:hint="eastAsia"/>
        </w:rPr>
        <w:t xml:space="preserve">2.屏体尺寸宽度≥12米，高度≥4.05米；屏体分辨率宽≥9600点，高≥3240点；</w:t>
      </w:r>
      <w:r/>
    </w:p>
    <w:p>
      <w:r>
        <w:rPr>
          <w:rFonts w:hint="eastAsia"/>
        </w:rPr>
        <w:t xml:space="preserve">3.★最大亮度：≥1000cd/㎡；（需提供公安部权威机构出具的检测报告复印件，且需在国家市场监督管理总局或全国认证认可平台可查，需提供查询网站链接及查询截图，并加盖投标人公章）</w:t>
      </w:r>
      <w:r/>
    </w:p>
    <w:p>
      <w:r>
        <w:rPr>
          <w:rFonts w:hint="eastAsia"/>
        </w:rPr>
        <w:t xml:space="preserve">4.视角：≥170°；亮度均匀性：≥98%；最高对比度：≥8500:1；</w:t>
      </w:r>
      <w:r/>
    </w:p>
    <w:p>
      <w:r>
        <w:rPr>
          <w:rFonts w:hint="eastAsia"/>
        </w:rPr>
        <w:t xml:space="preserve">5.外壳防护等级试验：≥IP42；</w:t>
      </w:r>
      <w:r/>
    </w:p>
    <w:p>
      <w:r>
        <w:rPr>
          <w:rFonts w:hint="eastAsia"/>
        </w:rPr>
        <w:t xml:space="preserve">6.灰度等级：具备13级设置选项；（需提供公安部权威机构出具的检测报告复印件，且需在国家市场监督管理总局或全国认证认可平台可查，需提供查询网站链接及查询截图，并加盖投标人公章）</w:t>
      </w:r>
      <w:r/>
    </w:p>
    <w:p>
      <w:r>
        <w:rPr>
          <w:rFonts w:hint="eastAsia"/>
        </w:rPr>
        <w:t xml:space="preserve">7.刷新频率：≥3000Hz；换帧频率：支持48HZ/60HZ；</w:t>
      </w:r>
      <w:r/>
    </w:p>
    <w:p>
      <w:r>
        <w:rPr>
          <w:rFonts w:hint="eastAsia"/>
        </w:rPr>
        <w:t xml:space="preserve">8.模组间缝隙：≤0.03mm；箱体平整度：≤0.1mm；（需提供公安部权威机构出具的检测报告复印件，且需在国家市场监督管理总局或全国认证认可平台可查，需提供查询网站链接及查询截图，并加盖投标人公章）</w:t>
      </w:r>
      <w:r/>
    </w:p>
    <w:p>
      <w:r>
        <w:rPr>
          <w:rFonts w:hint="eastAsia"/>
        </w:rPr>
        <w:t xml:space="preserve">9.亮度鉴别等级：C级/24级;（需提供公安部权威机构出具的检测报告复印件，且需在国家市场监督管理总局或全国认证认可平台可查，需提供查询网站链接及查询截图，并加盖投标人公章）</w:t>
      </w:r>
      <w:r/>
    </w:p>
    <w:p>
      <w:r>
        <w:rPr>
          <w:rFonts w:hint="eastAsia"/>
        </w:rPr>
        <w:t xml:space="preserve">10.视网膜蓝光光化学危害：0类危险，可达光发射值＜1.000e2W.m-2.sr-1；（需提供公安部权威机构出具的检测报告复印件，且需在国家市场监督管理总局或全国认证认可平台可查，需提供查询网站链接及查询截图，并加盖投标人公章）</w:t>
      </w:r>
      <w:r/>
    </w:p>
    <w:p>
      <w:r>
        <w:rPr>
          <w:rFonts w:hint="eastAsia"/>
        </w:rPr>
        <w:t xml:space="preserve">11.具有亮度、色度校正功能，具有一键调节亮暗线的功能具有设备温度、电压监测功能，并具有故障(告警)功能；</w:t>
      </w:r>
      <w:r/>
    </w:p>
    <w:p>
      <w:r>
        <w:rPr>
          <w:rFonts w:hint="eastAsia"/>
        </w:rPr>
        <w:t xml:space="preserve">12.绝缘电阻试验：电源插头或电源引入端子与外壳裸露金属部件之间的绝缘电阻湿热条件下应≥2MΩ；</w:t>
      </w:r>
      <w:r/>
    </w:p>
    <w:p>
      <w:r>
        <w:rPr>
          <w:rFonts w:hint="eastAsia"/>
        </w:rPr>
        <w:t xml:space="preserve">13.抗电强度试验：电源插头或电源引入端与外壳裸露金属部件之间，应能承受1.5kV交流电压，历时1min 的抗电强度试验，应无击穿和飞弧现象；（需提供公安部权威机构出具的检测报告复印件，且需在国家市场监督管理总局或全国认证认可平台可查，需提供查询网站链接及查询截图，并加盖投标人公章）</w:t>
      </w:r>
      <w:r/>
    </w:p>
    <w:p>
      <w:pPr>
        <w:rPr>
          <w:highlight w:val="none"/>
        </w:rPr>
      </w:pPr>
      <w:r>
        <w:rPr>
          <w:rFonts w:hint="eastAsia"/>
        </w:rPr>
        <w:t xml:space="preserve">14.稳定性试验：设备在正常工作条件下，连续工作168h，不应出现电、机械或者操作系统故</w:t>
      </w:r>
      <w:r>
        <w:rPr>
          <w:rFonts w:hint="eastAsia"/>
          <w:highlight w:val="none"/>
        </w:rPr>
        <w:t xml:space="preserve">障；（需提供公安部权威机构出具的检测报告复印件，且需在国家市场监督管理总局或全国认证认可平台可查，需提供查询网站链接及查询截图，并加盖投标人公章）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highlight w:val="none"/>
        </w:rPr>
        <w:t xml:space="preserve">★</w:t>
      </w:r>
      <w:r>
        <w:rPr>
          <w:rFonts w:hint="eastAsia" w:ascii="宋体" w:hAnsi="宋体" w:eastAsia="宋体" w:cs="宋体"/>
          <w:color w:val="auto"/>
          <w:highlight w:val="none"/>
        </w:rPr>
        <w:t xml:space="preserve">依据GB/T18313-2001《声学信息技术设备和通信设备空气噪声的测量》标准检验，产品在球面半径1.5M处测试噪声，平均声压级dB（A）＜17，噪声＜8db（A）；（需提供国家级权威检测机构出具的检测报告复印件，且需在国家市场监督管理总局或全国认证认可平台可查，需提供查询网站链接及查询截图，并加盖投标人公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宋体" w:hAnsi="宋体" w:eastAsia="宋体" w:cs="宋体"/>
          <w:highlight w:val="none"/>
        </w:rPr>
        <w:t xml:space="preserve">★</w:t>
      </w:r>
      <w:r>
        <w:rPr>
          <w:rFonts w:hint="eastAsia" w:ascii="宋体" w:hAnsi="宋体" w:eastAsia="宋体" w:cs="宋体"/>
          <w:color w:val="auto"/>
          <w:highlight w:val="none"/>
        </w:rPr>
        <w:t xml:space="preserve">外壳防护等级符合GB/T 4208-2017《外壳防护等级(IP代码)》标准中IP65等级要求；（需提供国家级权威检测机构出具的检测报告复印件，且需在国家市场监督管理总局或全国认证认可平台可查，需提供查询网站链接及查询截图，并加盖投标人公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rPr>
        <w:t xml:space="preserve">产品静电放电抗扰度符合GB/T17626.2-2018标准中A类性能判据的要求；（</w:t>
      </w:r>
      <w:r>
        <w:rPr>
          <w:rFonts w:hint="eastAsia" w:ascii="宋体" w:hAnsi="宋体" w:eastAsia="宋体" w:cs="宋体"/>
          <w:color w:val="auto"/>
          <w:highlight w:val="none"/>
        </w:rPr>
        <w:t xml:space="preserve">需提供国家级权威检测机构出具的检测报告复印件，且需在国家市场监督管理总局或全国认证认可平台可查，需提供查询网站链接及查询截图，并加盖投标人公章</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rPr>
        <w:t xml:space="preserve">振动试验：频率范围：10-150Hz；扫频速度：1oct/min；加速度：1g；扫频次数：10次/轴向；振动方向：三个相互垂直的方向；样品结构无损伤，工作正常；（</w:t>
      </w:r>
      <w:r>
        <w:rPr>
          <w:rFonts w:hint="eastAsia" w:ascii="宋体" w:hAnsi="宋体" w:eastAsia="宋体" w:cs="宋体"/>
          <w:color w:val="auto"/>
          <w:highlight w:val="none"/>
        </w:rPr>
        <w:t xml:space="preserve">需提供国家级权威检测机构出具的检测报告复印件，且需在国家市场监督管理总局或全国认证认可平台可查，需提供查询网站链接及查询截图，并加盖投标人公章</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恒定</w:t>
      </w:r>
      <w:r>
        <w:rPr>
          <w:rFonts w:hint="eastAsia" w:ascii="宋体" w:hAnsi="宋体" w:eastAsia="宋体" w:cs="宋体"/>
          <w:color w:val="auto"/>
          <w:sz w:val="21"/>
          <w:szCs w:val="21"/>
          <w:highlight w:val="none"/>
        </w:rPr>
        <w:t xml:space="preserve">湿热试验：将受试样品放入试验箱内，受试样品以非工作状态在40C，95%RH下存放48h。恢复后，样品工作应正常；（</w:t>
      </w:r>
      <w:r>
        <w:rPr>
          <w:rFonts w:hint="eastAsia" w:ascii="宋体" w:hAnsi="宋体" w:eastAsia="宋体" w:cs="宋体"/>
          <w:color w:val="auto"/>
          <w:highlight w:val="none"/>
        </w:rPr>
        <w:t xml:space="preserve">需提供国家级权威检测机构出具的检测报告复印件，且需在国家市场监督管理总局或全国认证认可平台可查，需提供查询网站链接及查询截图，并加盖投标人公章</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.★COB面板防灼烧性：</w:t>
      </w:r>
      <w:r>
        <w:rPr>
          <w:rFonts w:hint="eastAsia" w:ascii="宋体" w:hAnsi="宋体" w:eastAsia="宋体" w:cs="宋体"/>
          <w:color w:val="auto"/>
          <w:highlight w:val="none"/>
          <w:lang w:val="en-US" w:eastAsia="zh-CN"/>
        </w:rPr>
        <w:t xml:space="preserve">对显示屏单元箱体正面随机选取两个以上位置，</w:t>
      </w:r>
      <w:r>
        <w:rPr>
          <w:rFonts w:hint="eastAsia" w:ascii="宋体" w:hAnsi="宋体" w:eastAsia="宋体" w:cs="宋体"/>
          <w:color w:val="auto"/>
          <w:highlight w:val="none"/>
        </w:rPr>
        <w:t xml:space="preserve">使用打火机进行测试，</w:t>
      </w:r>
      <w:r>
        <w:rPr>
          <w:rFonts w:hint="eastAsia" w:ascii="宋体" w:hAnsi="宋体" w:eastAsia="宋体" w:cs="宋体"/>
          <w:color w:val="auto"/>
          <w:highlight w:val="none"/>
          <w:lang w:val="en-US" w:eastAsia="zh-CN"/>
        </w:rPr>
        <w:t xml:space="preserve">分别</w:t>
      </w:r>
      <w:r>
        <w:rPr>
          <w:rFonts w:hint="eastAsia" w:ascii="宋体" w:hAnsi="宋体" w:eastAsia="宋体" w:cs="宋体"/>
          <w:color w:val="auto"/>
          <w:highlight w:val="none"/>
        </w:rPr>
        <w:t xml:space="preserve">用外焰灼烧COB面板3秒，观察是否有烟尘，表面表面无烟尘，无任何物理烧伤痕迹。需提供产品实拍视频证明</w:t>
      </w:r>
      <w:r>
        <w:rPr>
          <w:rFonts w:hint="eastAsia" w:ascii="宋体" w:hAnsi="宋体" w:eastAsia="宋体" w:cs="宋体"/>
          <w:color w:val="auto"/>
          <w:highlight w:val="none"/>
          <w:lang w:eastAsia="zh-CN"/>
        </w:rPr>
        <w:t xml:space="preserve">；</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1</w:t>
      </w:r>
      <w:r>
        <w:rPr>
          <w:rFonts w:hint="eastAsia" w:ascii="宋体" w:hAnsi="宋体" w:eastAsia="宋体" w:cs="宋体"/>
        </w:rPr>
        <w:t xml:space="preserve">.根据BS 476-7:1997+CORR:2014建筑材料及构件对火反应测试第7部分，制品表面火焰传播速度分级方法规定的测试程序执行。防火等级需达到Class 2级。（需提供具备SGS标识的第三方权威检测机构出具的防火等级专项检测报告复印件，并加盖投标人公章）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2</w:t>
      </w:r>
      <w:r>
        <w:rPr>
          <w:rFonts w:hint="eastAsia" w:ascii="宋体" w:hAnsi="宋体" w:eastAsia="宋体" w:cs="宋体"/>
        </w:rPr>
        <w:t xml:space="preserve">.产品需通过中国强制性产品CCC认证，需提供体现COB产品内容的CCC认证证书复印件，并加盖投标人公章；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3</w:t>
      </w:r>
      <w:r>
        <w:rPr>
          <w:rFonts w:hint="eastAsia" w:ascii="宋体" w:hAnsi="宋体" w:eastAsia="宋体" w:cs="宋体"/>
        </w:rPr>
        <w:t xml:space="preserve">.产品需符合CQC31-452691-2016认证规则的要求，需提供体现COB产品内容的中国节能产品认证证书复印件，并加盖投标人公章；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4</w:t>
      </w:r>
      <w:r>
        <w:rPr>
          <w:rFonts w:hint="eastAsia" w:ascii="宋体" w:hAnsi="宋体" w:eastAsia="宋体" w:cs="宋体"/>
        </w:rPr>
        <w:t xml:space="preserve">.</w:t>
      </w:r>
      <w:r>
        <w:rPr>
          <w:rFonts w:hint="eastAsia" w:ascii="宋体" w:hAnsi="宋体" w:eastAsia="宋体" w:cs="宋体"/>
          <w:b w:val="0"/>
          <w:bCs w:val="0"/>
          <w:color w:val="auto"/>
          <w:sz w:val="21"/>
          <w:szCs w:val="21"/>
          <w:lang w:val="en-US" w:eastAsia="zh-CN"/>
        </w:rPr>
        <w:t xml:space="preserve">所投</w:t>
      </w:r>
      <w:r>
        <w:rPr>
          <w:rFonts w:hint="eastAsia" w:ascii="宋体" w:hAnsi="宋体" w:eastAsia="宋体" w:cs="宋体"/>
          <w:b w:val="0"/>
          <w:bCs w:val="0"/>
          <w:color w:val="auto"/>
          <w:sz w:val="21"/>
          <w:szCs w:val="21"/>
          <w:highlight w:val="none"/>
          <w:lang w:val="en-US" w:eastAsia="zh-CN"/>
        </w:rPr>
        <w:t xml:space="preserve">LED显示屏制造商</w:t>
      </w:r>
      <w:r>
        <w:rPr>
          <w:rFonts w:hint="eastAsia" w:ascii="宋体" w:hAnsi="宋体" w:eastAsia="宋体" w:cs="宋体"/>
          <w:b w:val="0"/>
          <w:bCs w:val="0"/>
          <w:color w:val="auto"/>
          <w:sz w:val="21"/>
          <w:szCs w:val="21"/>
          <w:lang w:val="en-US" w:eastAsia="zh-CN"/>
        </w:rPr>
        <w:t xml:space="preserve">自我环境声明符合GB/T24021—2001 idt ISO14021:1999《环境管理环境标志与声明自我环境声明（II型环境标志）》的要求，LED显示屏（全彩）产品符合欧盟RoHS指令2011/65/EU附录II的修正指令(EU)2015/863的限值要求，需提供中国环境标志(II 型)产品认证证书，</w:t>
      </w:r>
      <w:r>
        <w:rPr>
          <w:rFonts w:hint="eastAsia" w:ascii="宋体" w:hAnsi="宋体" w:eastAsia="宋体" w:cs="宋体"/>
          <w:b w:val="0"/>
          <w:bCs w:val="0"/>
          <w:color w:val="auto"/>
          <w:sz w:val="21"/>
          <w:szCs w:val="21"/>
          <w:highlight w:val="none"/>
          <w:lang w:val="en-US" w:eastAsia="zh-CN" w:bidi="ar-SA"/>
        </w:rPr>
        <w:t xml:space="preserve">并加盖</w:t>
      </w:r>
      <w:r>
        <w:rPr>
          <w:rFonts w:hint="eastAsia" w:ascii="宋体" w:hAnsi="宋体" w:eastAsia="宋体" w:cs="宋体"/>
          <w:b w:val="0"/>
          <w:bCs w:val="0"/>
          <w:color w:val="auto"/>
          <w:sz w:val="21"/>
          <w:szCs w:val="21"/>
          <w:highlight w:val="none"/>
          <w:lang w:val="en-US" w:eastAsia="zh-CN"/>
        </w:rPr>
        <w:t xml:space="preserve">投标人公章</w:t>
      </w:r>
      <w:r>
        <w:rPr>
          <w:rFonts w:hint="eastAsia" w:ascii="宋体" w:hAnsi="宋体" w:eastAsia="宋体" w:cs="宋体"/>
          <w:b w:val="0"/>
          <w:bCs w:val="0"/>
          <w:color w:val="auto"/>
          <w:sz w:val="21"/>
          <w:szCs w:val="21"/>
          <w:highlight w:val="none"/>
          <w:lang w:val="en-US" w:eastAsia="zh-CN" w:bidi="ar-SA"/>
        </w:rPr>
        <w:t xml:space="preserve">；</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为确保产品支持HDR高动态范围图像技术，可以呈现图像更多亮暗部信息，色彩更丰富，层次感更强，产品需符合CESI产品认证实施规则CESI-PC-OD74中HDR3.0的要求，需提供体现COB产品内容的HDR3.0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.产品需符合CESI产品认证实施规则CESI-PC-OD66中8K超高清认证的要求，需提供体现COB产品内容的8K超高清认证证书复印件，并加盖投标人公章；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.产品需符合CESI产品认证实施规则CESI-PC-0D11中色彩品质A级的要求，需提供体现COB产品内容的色彩品质A级产品认证证书复印件，并加盖投标人公章；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.★产品需符合CESI产品认证实施规则CESI-PC-0D75绿色健康分级A级的要求，需提供体现COB产品内容的绿色健康分级A级产品认证证书复印件，并加盖投标人公章；</w:t>
      </w:r>
      <w:r/>
    </w:p>
    <w:p>
      <w:pPr>
        <w:rPr>
          <w:rFonts w:hint="eastAsia" w:ascii="宋体" w:hAnsi="宋体" w:eastAsia="宋体" w:cs="宋体"/>
        </w:rPr>
      </w:pPr>
      <w:r>
        <w:rPr>
          <w:rFonts w:hint="eastAsia" w:ascii="宋体" w:hAnsi="宋体" w:eastAsia="宋体" w:cs="宋体"/>
          <w:lang w:val="en-US" w:eastAsia="zh-CN"/>
        </w:rPr>
        <w:t xml:space="preserve">29</w:t>
      </w:r>
      <w:r>
        <w:rPr>
          <w:rFonts w:hint="eastAsia" w:ascii="宋体" w:hAnsi="宋体" w:eastAsia="宋体" w:cs="宋体"/>
        </w:rPr>
        <w:t xml:space="preserve">.为减少蓝光对人眼长期观看的刺激，蓝光峰值波长需＞460nm，所投产品须通过国家权威认证机构或TUV标志机构出具的低蓝光认证，需提供体现COB产品内容的TUV低蓝光产品认证证书复印件，并加盖投标人公章；</w:t>
      </w:r>
      <w:r/>
    </w:p>
    <w:p>
      <w:pPr>
        <w:rPr>
          <w:rFonts w:hint="eastAsia" w:ascii="宋体" w:hAnsi="宋体" w:eastAsia="宋体" w:cs="宋体"/>
        </w:rPr>
      </w:pPr>
      <w:r>
        <w:rPr>
          <w:rFonts w:hint="eastAsia" w:ascii="宋体" w:hAnsi="宋体" w:eastAsia="宋体" w:cs="宋体"/>
        </w:rPr>
        <w:t xml:space="preserve">30.★所投产品为COB封装技术产品，需提</w:t>
      </w:r>
      <w:r>
        <w:rPr>
          <w:rFonts w:hint="eastAsia" w:ascii="宋体" w:hAnsi="宋体" w:eastAsia="宋体" w:cs="宋体"/>
          <w:highlight w:val="none"/>
        </w:rPr>
        <w:t xml:space="preserve">供COB显示屏的封胶结构的</w:t>
      </w:r>
      <w:r>
        <w:rPr>
          <w:rFonts w:hint="eastAsia" w:ascii="宋体" w:hAnsi="宋体" w:eastAsia="宋体" w:cs="宋体"/>
        </w:rPr>
        <w:t xml:space="preserve">国家级相关证明文件复印件，并加盖投标人公章。</w:t>
      </w:r>
      <w:r/>
    </w:p>
    <w:p>
      <w:pPr>
        <w:pStyle w:val="1072"/>
      </w:pPr>
      <w:r>
        <w:rPr>
          <w:rFonts w:hint="eastAsia"/>
        </w:rPr>
        <w:t xml:space="preserve">4K控制器</w:t>
      </w:r>
      <w:r/>
    </w:p>
    <w:p>
      <w:r>
        <w:rPr>
          <w:rFonts w:hint="eastAsia"/>
        </w:rPr>
        <w:t xml:space="preserve">1.带载能力：920W</w:t>
      </w:r>
      <w:r/>
    </w:p>
    <w:p>
      <w:r>
        <w:rPr>
          <w:rFonts w:hint="eastAsia"/>
        </w:rPr>
        <w:t xml:space="preserve">2.宽高极限：支持自定义分辨率；DP输入，最宽最高7680；DVI输入，最宽最高：3840*4，支持上下、左右及混合型任意拼接</w:t>
      </w:r>
      <w:r/>
    </w:p>
    <w:p>
      <w:r>
        <w:rPr>
          <w:rFonts w:hint="eastAsia"/>
        </w:rPr>
        <w:t xml:space="preserve">3.输入源：DP 1.2*1、Single Link DVI*4或Dual Link DVI*2</w:t>
      </w:r>
      <w:r/>
    </w:p>
    <w:p>
      <w:r>
        <w:rPr>
          <w:rFonts w:hint="eastAsia"/>
        </w:rPr>
        <w:t xml:space="preserve">4.高位阶视频源输入：12bit/10bit/8bit</w:t>
      </w:r>
      <w:r/>
    </w:p>
    <w:p>
      <w:r>
        <w:rPr>
          <w:rFonts w:hint="eastAsia"/>
        </w:rPr>
        <w:t xml:space="preserve">5.输出接口：千兆网口*16、10G光纤*4（选配）</w:t>
      </w:r>
      <w:r/>
    </w:p>
    <w:p>
      <w:r>
        <w:rPr>
          <w:rFonts w:hint="eastAsia"/>
        </w:rPr>
        <w:t xml:space="preserve">6.多屏控制：多显示屏支持、多屏独立编辑、后台播放、定时播放、多窗口多任务同时播放、文本支持Word，Excel。</w:t>
      </w:r>
      <w:r/>
    </w:p>
    <w:p>
      <w:r>
        <w:rPr>
          <w:rFonts w:hint="eastAsia"/>
        </w:rPr>
        <w:t xml:space="preserve">7.能支持MPG／MPEG／MPV／AVI／／RM／ASF等多种视频文件。</w:t>
      </w:r>
      <w:r/>
    </w:p>
    <w:p>
      <w:r>
        <w:rPr>
          <w:rFonts w:hint="eastAsia"/>
        </w:rPr>
        <w:t xml:space="preserve">8.3D功能：支持 3D 功能。配合 3D 发射器 EMT200 和 3D 眼镜，实现 3D 显示效果。 </w:t>
      </w:r>
      <w:r/>
    </w:p>
    <w:p>
      <w:r>
        <w:rPr>
          <w:rFonts w:hint="eastAsia"/>
        </w:rPr>
        <w:t xml:space="preserve">9.视频源位深：支持视频源位深 8bit/10bit/12bit。 </w:t>
      </w:r>
      <w:r/>
    </w:p>
    <w:p>
      <w:r>
        <w:rPr>
          <w:rFonts w:hint="eastAsia"/>
        </w:rPr>
        <w:t xml:space="preserve">10.中控：支持中控对接，可平板控制实现一键3D/2D画面</w:t>
      </w:r>
      <w:r/>
    </w:p>
    <w:p>
      <w:r>
        <w:rPr>
          <w:rFonts w:hint="eastAsia"/>
        </w:rPr>
        <w:t xml:space="preserve">11.与LED显示屏同一品牌</w:t>
      </w:r>
      <w:r/>
    </w:p>
    <w:p>
      <w:pPr>
        <w:pStyle w:val="1072"/>
      </w:pPr>
      <w:r>
        <w:rPr>
          <w:rFonts w:hint="eastAsia"/>
        </w:rPr>
        <w:t xml:space="preserve">控制软件</w:t>
      </w:r>
      <w:r/>
    </w:p>
    <w:p>
      <w:r>
        <w:rPr>
          <w:rFonts w:hint="eastAsia"/>
        </w:rPr>
        <w:t xml:space="preserve">支持两种播放模式，本机播放和异步播放，用户可根据使用环境切换至所需模式。</w:t>
      </w:r>
      <w:r/>
    </w:p>
    <w:p>
      <w:r>
        <w:rPr>
          <w:rFonts w:hint="eastAsia"/>
        </w:rPr>
        <w:t xml:space="preserve">支持板卡间连接方式自动识别。</w:t>
      </w:r>
      <w:r/>
    </w:p>
    <w:p>
      <w:r>
        <w:rPr>
          <w:rFonts w:hint="eastAsia"/>
        </w:rPr>
        <w:t xml:space="preserve">支持画面控制，可实现正常显示，画面黑屏，冻结，测试画面，通道切换特效等功能，实现对屏体的显示控制。</w:t>
      </w:r>
      <w:r/>
    </w:p>
    <w:p>
      <w:r>
        <w:rPr>
          <w:rFonts w:hint="eastAsia"/>
        </w:rPr>
        <w:t xml:space="preserve">支持对输入分辨率的调节，可按照屏体调节预设分辨率和自定义分辨率，实现对信号源分辨率的控制。</w:t>
      </w:r>
      <w:r/>
    </w:p>
    <w:p>
      <w:r>
        <w:rPr>
          <w:rFonts w:hint="eastAsia"/>
        </w:rPr>
        <w:t xml:space="preserve">支持配置信息管理，可通过文件配置信息导出导入对应参数，实现参数信息的导入和备份。</w:t>
      </w:r>
      <w:r/>
    </w:p>
    <w:p>
      <w:r>
        <w:rPr>
          <w:rFonts w:hint="eastAsia"/>
        </w:rPr>
        <w:t xml:space="preserve">软件满足多用户模式登录，高级用户登录可实现对屏体参数调节，演示模式可实现软件功能的演示操作，方便用户多模式选择登录。</w:t>
      </w:r>
      <w:r/>
    </w:p>
    <w:p>
      <w:r>
        <w:rPr>
          <w:rFonts w:hint="eastAsia"/>
        </w:rPr>
        <w:t xml:space="preserve">支持添加温湿度窗口，可将窗口边框，温度，显示字体，颜色以及温湿度播放属性进行设置调整和播放。</w:t>
      </w:r>
      <w:r/>
    </w:p>
    <w:p>
      <w:r>
        <w:rPr>
          <w:rFonts w:hint="eastAsia"/>
        </w:rPr>
        <w:t xml:space="preserve">支持多平台运行，如windows操作系统、麒麟操作系统等。</w:t>
      </w:r>
      <w:r/>
    </w:p>
    <w:p>
      <w:r>
        <w:rPr>
          <w:rFonts w:hint="eastAsia"/>
        </w:rPr>
        <w:t xml:space="preserve">支持云发布在任意手机、平板、PC等可联网设备上均可以对显示屏进行管理；无需单独安装客户端，可实现随时随地访问，融合实现：媒体管理、用户管理、角色管理、工作组管理、媒体审批、节目管理、播放器管理、播放日志管理。媒体管理：支持主流的图片、视频、音频及RSS,HTML等诸多媒体格式；系统需支持云媒体库管理，满足任何支持浏览器设备随时访问并管理媒体库，同时支持多种过滤条件筛选(类型、工作组、类别、有效日期、批准状态)；媒体支持在线预览；同一个媒体支持多版本管理。</w:t>
      </w:r>
      <w:r/>
    </w:p>
    <w:p>
      <w:r>
        <w:rPr>
          <w:rFonts w:hint="eastAsia"/>
        </w:rPr>
        <w:t xml:space="preserve">系统支持多权分立功能，每个功能或功能组均可分配到给不同角色权限，不具备权限的角色不能操作。</w:t>
      </w:r>
      <w:r/>
    </w:p>
    <w:p>
      <w:r>
        <w:rPr>
          <w:rFonts w:hint="eastAsia"/>
        </w:rPr>
        <w:t xml:space="preserve">系统可进行多级工作组树形结构管理；上级工作组可查看所有工作组内容，同级工作组间数据隔离；系统内工作组间支持文件共享。</w:t>
      </w:r>
      <w:r/>
    </w:p>
    <w:p>
      <w:r>
        <w:rPr>
          <w:rFonts w:hint="eastAsia"/>
        </w:rPr>
        <w:t xml:space="preserve">系统支持多窗口自定义布局播放，可任意设定播放窗口分辨率，同时支持多种标准分辨率选择，可根据X、Y偏移和宽高任意设定窗口布局方式，窗口数量不限。</w:t>
      </w:r>
      <w:r/>
    </w:p>
    <w:p>
      <w:r>
        <w:rPr>
          <w:rFonts w:hint="eastAsia"/>
        </w:rPr>
        <w:t xml:space="preserve">大屏控制软件提供多用户的认证和授权机制，管理员可对各操作员授予各种操作功能的权限，也可以根据大屏幕不同区域设定各操作员的可操作区域。</w:t>
      </w:r>
      <w:r/>
    </w:p>
    <w:p>
      <w:r>
        <w:rPr>
          <w:rFonts w:hint="eastAsia"/>
        </w:rPr>
        <w:t xml:space="preserve">可以在云端通过浏览器直接进行节目编辑和制作;排期内可以添加多个播放清单，支持以多种周期进行播放排期;播放清单支持嵌套播放;节目清单和排期均在云发布系统内进行管理,可随时在任意手机、平板、PC等可联网设备上进行节目的制作和管理;排期制作完成后，当内容变更时，系统会自动更新节目并同步到播放器。</w:t>
      </w:r>
      <w:r/>
    </w:p>
    <w:p>
      <w:r>
        <w:rPr>
          <w:rFonts w:hint="eastAsia"/>
        </w:rPr>
        <w:t xml:space="preserve">媒体播放到不同终端自适应分辨率;云发布系统可以随时监控播放器状态;系统支持节目智能更新，播放器可绑定排期，绑定后排期内任何媒体更新、媒体版本更新、清单、时间段等等节目相关的更新后，系统自动生成最新计划并下发到播放终端。</w:t>
      </w:r>
      <w:r/>
    </w:p>
    <w:p>
      <w:r>
        <w:rPr>
          <w:rFonts w:hint="eastAsia"/>
        </w:rPr>
        <w:t xml:space="preserve">大屏控制软件应可以安装在用户PC机（工作站)上，并与用户系统兼容，不会影响用户原来各种应用系统的运行。网络上的工作站安装控制软件后，一台控制终端，随时管理控制大屏幕系统;软件支持C/S或B/S架构。</w:t>
      </w:r>
      <w:r/>
    </w:p>
    <w:p>
      <w:r>
        <w:rPr>
          <w:rFonts w:hint="eastAsia"/>
        </w:rPr>
        <w:t xml:space="preserve">显示系统的各种功能操作实行全计算机控制、网络控制。所有显示单元的开关、色彩、亮度调整、多屏拼接控制器的参数配置和控制、信号调用、远程监控维护均在同一套控制软件上统一实现。</w:t>
      </w:r>
      <w:r/>
    </w:p>
    <w:p>
      <w:r>
        <w:rPr>
          <w:rFonts w:hint="eastAsia"/>
        </w:rPr>
        <w:t xml:space="preserve">支持监控发送卡状态、接收卡状态、接收卡温度、监控设备状态、湿度、烟雾、风扇、电源、排线、箱门、模组状态。</w:t>
      </w:r>
      <w:r/>
    </w:p>
    <w:p>
      <w:r>
        <w:rPr>
          <w:rFonts w:hint="eastAsia"/>
        </w:rPr>
        <w:t xml:space="preserve">显示屏专用播放软件,可多显示屏导播、远程显示屏管理、多日期多时段调度功能、多节目页功能、节目页多窗口功能等功能。</w:t>
      </w:r>
      <w:r/>
    </w:p>
    <w:p>
      <w:r>
        <w:rPr>
          <w:rFonts w:hint="eastAsia"/>
        </w:rPr>
        <w:t xml:space="preserve">支持视频，音频、图片、Flash、自定义文本、单行文本、静态文本、走马灯、模拟时钟、数字时钟、天气预报、计时、视频设备、网页、温湿度，流媒体，RSS、Vista时钟、数码计时表等。</w:t>
      </w:r>
      <w:r/>
    </w:p>
    <w:p>
      <w:r>
        <w:rPr>
          <w:rFonts w:hint="eastAsia"/>
        </w:rPr>
        <w:t xml:space="preserve">软件通过信息安全性检测，不存在高危漏洞或中危漏洞，需通过身份鉴别、访问控制、安全审计、通信完整性、通信保密性、权限认证、文件上传、输入数据、信息泄漏、框架漏洞、漏洞扫描等安全性检测；符合系统项目信息安全性的建设需求。（需提供具备CNAS中国认可检测实验室资质的软件评测中心出具的软件测试报告复印件，并加盖投标人公章）；</w:t>
      </w:r>
      <w:r/>
    </w:p>
    <w:p>
      <w:r/>
      <w:r/>
    </w:p>
    <w:p>
      <w:pPr>
        <w:pStyle w:val="1072"/>
      </w:pPr>
      <w:r>
        <w:rPr>
          <w:rFonts w:hint="eastAsia"/>
        </w:rPr>
        <w:t xml:space="preserve">24口千兆电口交换机</w:t>
      </w:r>
      <w:r/>
    </w:p>
    <w:p>
      <w:r>
        <w:rPr>
          <w:rFonts w:hint="eastAsia"/>
        </w:rPr>
        <w:t xml:space="preserve">1、固定端口：24个10/100/1000BASE-T以太网端口，4个千兆SFP</w:t>
      </w:r>
      <w:r/>
    </w:p>
    <w:p>
      <w:r>
        <w:rPr>
          <w:rFonts w:hint="eastAsia"/>
        </w:rPr>
        <w:t xml:space="preserve">2、包转发率：</w:t>
      </w:r>
      <w:r>
        <w:rPr>
          <w:rFonts w:hint="eastAsia"/>
          <w:lang w:val="en-US" w:eastAsia="zh-CN"/>
        </w:rPr>
        <w:t xml:space="preserve">不低于</w:t>
      </w:r>
      <w:r>
        <w:rPr>
          <w:rFonts w:hint="eastAsia"/>
        </w:rPr>
        <w:t xml:space="preserve">51/126Mpps</w:t>
      </w:r>
      <w:r/>
    </w:p>
    <w:p>
      <w:r>
        <w:rPr>
          <w:rFonts w:hint="eastAsia"/>
        </w:rPr>
        <w:t xml:space="preserve">3、交换容量：</w:t>
      </w:r>
      <w:r>
        <w:rPr>
          <w:rFonts w:hint="eastAsia"/>
          <w:lang w:val="en-US" w:eastAsia="zh-CN"/>
        </w:rPr>
        <w:t xml:space="preserve">不低于</w:t>
      </w:r>
      <w:r>
        <w:rPr>
          <w:rFonts w:hint="eastAsia"/>
        </w:rPr>
        <w:t xml:space="preserve">336Gbps/3.36Tbps</w:t>
      </w:r>
      <w:r/>
    </w:p>
    <w:p>
      <w:pPr>
        <w:pStyle w:val="1072"/>
      </w:pPr>
      <w:r>
        <w:rPr>
          <w:rFonts w:hint="eastAsia"/>
        </w:rPr>
        <w:t xml:space="preserve">24口千兆光口交换机</w:t>
      </w:r>
      <w:r/>
    </w:p>
    <w:p>
      <w:r>
        <w:rPr>
          <w:rFonts w:hint="eastAsia"/>
        </w:rPr>
        <w:t xml:space="preserve">1、固定端口：24个千兆SFP，4个万兆SFP</w:t>
      </w:r>
      <w:r/>
    </w:p>
    <w:p>
      <w:r>
        <w:rPr>
          <w:rFonts w:hint="eastAsia"/>
        </w:rPr>
        <w:t xml:space="preserve">2、包转发率：</w:t>
      </w:r>
      <w:r>
        <w:rPr>
          <w:rFonts w:hint="eastAsia"/>
          <w:lang w:val="en-US" w:eastAsia="zh-CN"/>
        </w:rPr>
        <w:t xml:space="preserve">不低于</w:t>
      </w:r>
      <w:r>
        <w:rPr>
          <w:rFonts w:hint="eastAsia"/>
        </w:rPr>
        <w:t xml:space="preserve">108/126Mpps</w:t>
      </w:r>
      <w:r/>
    </w:p>
    <w:p>
      <w:r>
        <w:rPr>
          <w:rFonts w:hint="eastAsia"/>
        </w:rPr>
        <w:t xml:space="preserve">3、交换容量：</w:t>
      </w:r>
      <w:r>
        <w:rPr>
          <w:rFonts w:hint="eastAsia"/>
          <w:lang w:val="en-US" w:eastAsia="zh-CN"/>
        </w:rPr>
        <w:t xml:space="preserve">不低于</w:t>
      </w:r>
      <w:r>
        <w:rPr>
          <w:rFonts w:hint="eastAsia"/>
        </w:rPr>
        <w:t xml:space="preserve">1.36Tbps/13.6Tbps</w:t>
      </w:r>
      <w:r/>
    </w:p>
    <w:p>
      <w:pPr>
        <w:pStyle w:val="1072"/>
      </w:pPr>
      <w:r>
        <w:rPr>
          <w:rFonts w:hint="eastAsia"/>
        </w:rPr>
        <w:t xml:space="preserve">48口万兆光交换机</w:t>
      </w:r>
      <w:r/>
    </w:p>
    <w:p>
      <w:r>
        <w:rPr>
          <w:rFonts w:hint="eastAsia"/>
        </w:rPr>
        <w:t xml:space="preserve">1、固定端口：48个万兆SFP+，6个100GE QSFP28</w:t>
      </w:r>
      <w:r/>
    </w:p>
    <w:p>
      <w:r>
        <w:rPr>
          <w:rFonts w:hint="eastAsia"/>
        </w:rPr>
        <w:t xml:space="preserve">2、包转发率：</w:t>
      </w:r>
      <w:r>
        <w:rPr>
          <w:rFonts w:hint="eastAsia"/>
          <w:lang w:val="en-US" w:eastAsia="zh-CN"/>
        </w:rPr>
        <w:t xml:space="preserve">不低于</w:t>
      </w:r>
      <w:r>
        <w:rPr>
          <w:rFonts w:hint="eastAsia"/>
        </w:rPr>
        <w:t xml:space="preserve">1620Mpps</w:t>
      </w:r>
      <w:r/>
    </w:p>
    <w:p>
      <w:r>
        <w:rPr>
          <w:rFonts w:hint="eastAsia"/>
        </w:rPr>
        <w:t xml:space="preserve">3、交换容量：</w:t>
      </w:r>
      <w:r>
        <w:rPr>
          <w:rFonts w:hint="eastAsia"/>
          <w:lang w:val="en-US" w:eastAsia="zh-CN"/>
        </w:rPr>
        <w:t xml:space="preserve">不低于</w:t>
      </w:r>
      <w:r>
        <w:rPr>
          <w:rFonts w:hint="eastAsia"/>
        </w:rPr>
        <w:t xml:space="preserve">2.56T/25.6T</w:t>
      </w:r>
      <w:r/>
    </w:p>
    <w:p>
      <w:r>
        <w:rPr>
          <w:rFonts w:hint="eastAsia"/>
        </w:rPr>
        <w:t xml:space="preserve">4、支持VxLAN二层网关、三层网关</w:t>
      </w:r>
      <w:r/>
    </w:p>
    <w:p>
      <w:r>
        <w:rPr>
          <w:rFonts w:hint="eastAsia"/>
        </w:rPr>
        <w:t xml:space="preserve">5、支持直接对业务报文标记以获得丢包数量和丢包率的实时统计</w:t>
      </w:r>
      <w:r/>
    </w:p>
    <w:p>
      <w:r>
        <w:rPr>
          <w:rFonts w:hint="eastAsia"/>
        </w:rPr>
        <w:t xml:space="preserve">6、支持二三层网络网络级和设备级丢包数量和丢包率统计</w:t>
      </w:r>
      <w:r/>
    </w:p>
    <w:p>
      <w:r/>
      <w:r/>
    </w:p>
    <w:p>
      <w:pPr>
        <w:pStyle w:val="885"/>
      </w:pPr>
      <w:r>
        <w:rPr>
          <w:rFonts w:hint="eastAsia"/>
        </w:rPr>
        <w:t xml:space="preserve">分布式4K光口输入节点</w:t>
      </w:r>
      <w:r/>
    </w:p>
    <w:p>
      <w:r>
        <w:rPr>
          <w:rFonts w:hint="eastAsia"/>
        </w:rPr>
        <w:t xml:space="preserve">1、单个输入节点具备至少1路HDMI2.0视频输入接口、1路HDMI2.0视频环出接口、1路3.5mm音频输入接口、1路3.5mm音频环出接口、1路3.5mm反向音频输出接口，1个USB 接口、2路万兆光口、1个液晶前面板显示屏；</w:t>
      </w:r>
      <w:r/>
    </w:p>
    <w:p>
      <w:r>
        <w:rPr>
          <w:rFonts w:hint="eastAsia"/>
        </w:rPr>
        <w:t xml:space="preserve">2、输入节点支持4K分辨率采集，支持4096x2160@60Hz，3840x2400@60Hz，3840x2160@60Hz等分辨率的采集和编码，并可向下兼容其它分辨率，无丢帧、卡顿现象；</w:t>
      </w:r>
      <w:r/>
    </w:p>
    <w:p>
      <w:r>
        <w:rPr>
          <w:rFonts w:hint="eastAsia"/>
        </w:rPr>
        <w:t xml:space="preserve">★3、支持4:4:4全色度取样的图像无损处理，还原信号颜色，经编解码后画质仍保持原图像的质量，色度、亮度、对比度、饱和度等（提供具有CNAS标志的第三方权威检测机构出具的检测报告并加盖投标单位公章）；</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★5、支持信号源画面实时预览与输出显示内容的实时监看；支持高清模式、标清模式、流畅模式选择，支持32路画面同时预监（提供具有CNAS标志的第三方权威检测机构出具的检测报告并加盖投标单位公章）；</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★8、单个节点可同时传输嵌入式音频及模拟音频。分布式输入/输出节点支持音频 加嵌、解嵌功能；可对编码音频的使能（开启/关闭）、音量大小、采样率和编码模式等进行详细设置，音视频可同步或分离进行切换（提供具有CNAS标志的第三方权威检测机构出具的检测报告并加盖投标单位公章）；</w:t>
      </w:r>
      <w:r/>
    </w:p>
    <w:p>
      <w:r>
        <w:rPr>
          <w:rFonts w:hint="eastAsia"/>
        </w:rPr>
        <w:t xml:space="preserve">9、支持浅压缩模式，浅压缩模式下带宽为 300Mbps~10Gbp s，且在图像切换过程中，无画面由模糊逐渐转为清晰的过程；</w:t>
      </w:r>
      <w:r/>
    </w:p>
    <w:p>
      <w:r>
        <w:rPr>
          <w:rFonts w:hint="eastAsia"/>
        </w:rPr>
        <w:t xml:space="preserve">10、支持H.264/H.265编码模式；</w:t>
      </w:r>
      <w:r/>
    </w:p>
    <w:p>
      <w:r>
        <w:rPr>
          <w:rFonts w:hint="eastAsia"/>
        </w:rPr>
        <w:t xml:space="preserve">11、通过单根USB Type B线缆连接输入节点和信号源主机，即可通过坐席输出节点连接的键盘、鼠标对信号源主机进行远程实时控制，同时可实现多种USB设备的透传使用；</w:t>
      </w:r>
      <w:r/>
    </w:p>
    <w:p>
      <w:r>
        <w:rPr>
          <w:rFonts w:hint="eastAsia"/>
        </w:rPr>
        <w:t xml:space="preserve">12、支持控制软件在Windows、MAC、银河麒麟等系统上的部署与操作，并且系统可在国产飞腾CPU上稳定运行；</w:t>
      </w:r>
      <w:r/>
    </w:p>
    <w:p>
      <w:pPr>
        <w:pStyle w:val="1072"/>
      </w:pPr>
      <w:r>
        <w:rPr>
          <w:rFonts w:hint="eastAsia"/>
        </w:rPr>
        <w:t xml:space="preserve">分布式4K坐席光口输出节点</w:t>
      </w:r>
      <w:r/>
    </w:p>
    <w:p>
      <w:r>
        <w:rPr>
          <w:rFonts w:hint="eastAsia"/>
        </w:rPr>
        <w:t xml:space="preserve">1、单个坐席输出节点具备至少1路HDMI2.0视频输出接口、1路3.5mm音频输出接口、1路3.5mm反向音频输入接口，6个USB接口、2路万兆光口、1个液晶前面板显示屏；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3、支持4:4:4全色度取样的图像无损处理，还原信号颜色，经编解码后画质仍保持原图像的质量，色度、亮度、对比度、饱和度等；</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8、支持鼠标滑屏功能；坐席上所有的显示屏可组成一个显示空间，一套键盘鼠标可以在不小于 20 台显示屏所组成的显示空间上任意的移动，不需要通过敲击键盘来实现跨显示屏的鼠标移动（提供具有CNAS标志的第三方权威检测机构出具的检测报告并加盖投标单位公章）；</w:t>
      </w:r>
      <w:r/>
    </w:p>
    <w:p>
      <w:r>
        <w:rPr>
          <w:rFonts w:hint="eastAsia"/>
        </w:rPr>
        <w:t xml:space="preserve">9、支持信号源推送，抓取功能。本地坐席操作人员可通过调取 OSD 菜单和快捷键的方式，将当前屏幕显示的信号源快速推送至其他坐席显示器或大屏指定窗口位置，或将其他坐席或大屏指定窗口显示的信号源快速抓取至当前坐席进行显示或控制；</w:t>
      </w:r>
      <w:r/>
    </w:p>
    <w:p>
      <w:r>
        <w:rPr>
          <w:rFonts w:hint="eastAsia"/>
        </w:rPr>
        <w:t xml:space="preserve">10、可针对当前鼠标所在的信号源主机进行高亮边框提示，边框颜色和透明度可自定义设置（提供具有CNAS标志的第三方权威检测机构出具的检测报告并加盖投标单位公章）；</w:t>
      </w:r>
      <w:r/>
    </w:p>
    <w:p>
      <w:r>
        <w:rPr>
          <w:rFonts w:hint="eastAsia"/>
        </w:rPr>
        <w:t xml:space="preserve">11、可根据当前鼠标所在位置对应的音频进行智能输出（提供具有CNAS标志的第三方权威检测机构出具的检测报告并加盖投标单位公章）；</w:t>
      </w:r>
      <w:r/>
    </w:p>
    <w:p>
      <w:r>
        <w:rPr>
          <w:rFonts w:hint="eastAsia"/>
        </w:rPr>
        <w:t xml:space="preserve">★12、USB数据传输接口可配置为仅支持键鼠传输，不支持其他USB任何设备传输（提供具有CNAS标志的第三方权威检测机构出具的检测报告并加盖投标单位公章）；</w:t>
      </w:r>
      <w:r/>
    </w:p>
    <w:p>
      <w:pPr>
        <w:numPr>
          <w:ilvl w:val="0"/>
          <w:numId w:val="9"/>
        </w:numPr>
      </w:pPr>
      <w:r>
        <w:rPr>
          <w:rFonts w:hint="eastAsia"/>
        </w:rPr>
        <w:t xml:space="preserve">支持控制软件在Windows、MAC、银河麒麟等系统上的部署与操作，并且系统可在国产飞腾CPU上稳定运行；</w:t>
      </w:r>
      <w:r/>
    </w:p>
    <w:p>
      <w:r/>
      <w:r/>
    </w:p>
    <w:p>
      <w:pPr>
        <w:pStyle w:val="885"/>
      </w:pPr>
      <w:r>
        <w:rPr>
          <w:rFonts w:hint="eastAsia"/>
        </w:rPr>
        <w:t xml:space="preserve">分布式4K拼接光口输出节点</w:t>
      </w:r>
      <w:r/>
    </w:p>
    <w:p>
      <w:r>
        <w:rPr>
          <w:rFonts w:hint="eastAsia"/>
        </w:rPr>
        <w:t xml:space="preserve">1、单个拼接输出节点具备至少1路HDMI2.0视频输出接口、1路3.5mm音频输出接口、1路3.5mm反向音频输入接口，6个USB 接口、2路万兆光口、1个液晶前面板显示屏；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3、支持4:4:4采样图像无损传输不丢帧；</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8、具备大屏拼接管理功能，可实现大屏信号源开窗、拼接、叠加，漫游等功能，单屏可支持不少于 9个不同源视频同时显示；</w:t>
      </w:r>
      <w:r/>
    </w:p>
    <w:p>
      <w:r>
        <w:rPr>
          <w:rFonts w:hint="eastAsia"/>
        </w:rPr>
        <w:t xml:space="preserve">★9、可配置并存储多条滚动字幕，可自定义调整字幕样式、动作、方向、速度、颜色、字体等（提供具有CNAS标志的第三方权威检测机构出具的检测报告并加盖投标单位公章）；</w:t>
      </w:r>
      <w:r/>
    </w:p>
    <w:p>
      <w:r>
        <w:rPr>
          <w:rFonts w:hint="eastAsia"/>
        </w:rPr>
        <w:t xml:space="preserve">★10、支持在上位机软件对屏组画面进行标注，并可推送至其他输出节点（提供具有CNAS标志的第三方权威检测机构出具的检测报告并加盖投标单位公章）；</w:t>
      </w:r>
      <w:r/>
    </w:p>
    <w:p>
      <w:r>
        <w:rPr>
          <w:rFonts w:hint="eastAsia"/>
        </w:rPr>
        <w:t xml:space="preserve">★11、不使用第三方设备的情况下，可显示超大分辨率点对点背景图片，无需外置存储设备，可保存底图图片（提供具有CNAS标志的第三方权威检测机构出具的检测报告并加盖投标单位公章）；</w:t>
      </w:r>
      <w:r/>
    </w:p>
    <w:p>
      <w:r>
        <w:rPr>
          <w:rFonts w:hint="eastAsia"/>
        </w:rPr>
        <w:t xml:space="preserve">12、可将整个屏组画面在一个输出节点上进行显示；</w:t>
      </w:r>
      <w:r/>
    </w:p>
    <w:p>
      <w:r>
        <w:rPr>
          <w:rFonts w:hint="eastAsia"/>
        </w:rPr>
        <w:t xml:space="preserve">13、支持控制软件在Windows、MAC、银河麒麟等系统上的部署与操作，并且系统可在国产飞腾CPU上稳定运行；</w:t>
      </w:r>
      <w:r/>
    </w:p>
    <w:p>
      <w:pPr>
        <w:rPr>
          <w:rFonts w:eastAsia="Calibri" w:cs="Arial"/>
          <w:b/>
          <w:bCs/>
          <w:sz w:val="28"/>
          <w:szCs w:val="28"/>
        </w:rPr>
      </w:pPr>
      <w:r>
        <w:rPr>
          <w:rFonts w:eastAsia="Calibri" w:cs="Arial"/>
          <w:b/>
          <w:bCs/>
          <w:sz w:val="28"/>
          <w:szCs w:val="28"/>
        </w:rPr>
      </w:r>
      <w:r/>
    </w:p>
    <w:p>
      <w:pPr>
        <w:pStyle w:val="885"/>
      </w:pPr>
      <w:r>
        <w:rPr>
          <w:rFonts w:hint="eastAsia"/>
        </w:rPr>
        <w:t xml:space="preserve">分布式4K矩阵光口输出节点</w:t>
      </w:r>
      <w:r/>
    </w:p>
    <w:p>
      <w:r>
        <w:rPr>
          <w:rFonts w:hint="eastAsia"/>
        </w:rPr>
        <w:t xml:space="preserve">1、单个矩阵输出节点具备至少1路HDMI2.0视频输出接口、1路3.5mm音频输出接口、1路3.5mm反向音频输入接口，1个USB 接口、2路万兆光口、1个液晶前面板显示屏；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3、支持4:4:4采样图像无损传输不丢帧；</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★8、支持音视频独立传输、切换，音频可与视频同源或不同源，在无视频接入的情况下也音频也可正常传输（提供具有CNAS标志的第三方权威检测机构出具的检测报告并加盖投标单位公章）；</w:t>
      </w:r>
      <w:r/>
    </w:p>
    <w:p>
      <w:r>
        <w:rPr>
          <w:rFonts w:hint="eastAsia"/>
        </w:rPr>
        <w:t xml:space="preserve">★9、支持音柱叠加功能，可实时显示对应视频画面的音频电平状态，以音柱形式监看音频音量大小，（提供具有CNAS标志的第三方权威检测机构出具的检测报告并加盖投标单位公章）；</w:t>
      </w:r>
      <w:r/>
    </w:p>
    <w:p>
      <w:r>
        <w:rPr>
          <w:rFonts w:hint="eastAsia"/>
        </w:rPr>
        <w:t xml:space="preserve">★10、支持反向音频传输功能，节点间音频互通，输出节点可输入独立音频至输入节点进行音频输出（提供具有CNAS标志的第三方权威检测机构出具的检测报告并加盖投标单位公章）；</w:t>
      </w:r>
      <w:r/>
    </w:p>
    <w:p>
      <w:r>
        <w:rPr>
          <w:rFonts w:hint="eastAsia"/>
        </w:rPr>
        <w:t xml:space="preserve">11、支持控制软件在Windows、MAC、银河麒麟等系统上的部署与操作，并且系统可在国产飞腾CPU上稳定运行；</w:t>
      </w:r>
      <w:r/>
    </w:p>
    <w:p>
      <w:r/>
      <w:r/>
    </w:p>
    <w:p>
      <w:pPr>
        <w:pStyle w:val="885"/>
      </w:pPr>
      <w:r>
        <w:rPr>
          <w:rFonts w:hint="eastAsia"/>
        </w:rPr>
        <w:t xml:space="preserve">分布式4K电口输入节点</w:t>
      </w:r>
      <w:r/>
    </w:p>
    <w:p>
      <w:r>
        <w:rPr>
          <w:rFonts w:hint="eastAsia"/>
        </w:rPr>
        <w:t xml:space="preserve">1、单个输入节点具备至少1路HDMI2.0视频输入接口、1路HDMI2.0视频环出接口、1路3.5mm音频输入接口、1路3.5mm音频环出接口、1路3.5mm反向音频输出接口，1个USB 接口、1路千兆电口、1个PS/2接口，1个液晶前面板显示屏；</w:t>
      </w:r>
      <w:r/>
    </w:p>
    <w:p>
      <w:r>
        <w:rPr>
          <w:rFonts w:hint="eastAsia"/>
        </w:rPr>
        <w:t xml:space="preserve">2、输入节点支持4K分辨率采集，支持4096x2160@60Hz，3840x2400@60Hz，3840x2160@60Hz等分辨率的采集和编码，并可向下兼容其它分辨率，无丢帧、卡顿现象；</w:t>
      </w:r>
      <w:r/>
    </w:p>
    <w:p>
      <w:r>
        <w:rPr>
          <w:rFonts w:hint="eastAsia"/>
        </w:rPr>
        <w:t xml:space="preserve">★3、支持4:4:4全色度取样的图像无损处理，还原信号颜色，经编解码后画质仍保持原图像的质量，色度、亮度、对比度、饱和度等（提供具有CNAS标志的第三方权威检测机构出具的检测报告并加盖投标单位公章）；</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★5、支持信号源画面实时预览与输出显示内容的实时监看；支持高清模式、标清模式、流畅模式选择，支持32路画面同时预监（提供具有CNAS标志的第三方权威检测机构出具的检测报告并加盖投标单位公章）；</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★8、单个节点可同时传输嵌入式音频及模拟音频。分布式输入/输出节点支持音频 加嵌、解嵌功能；可对编码音频的使能（开启/关闭）、音量大小、采样率和编码模式等进行详细设置，音视频可同步或分离进行切换（提供具有CNAS标志的第三方权威检测机构出具的检测报告并加盖投标单位公章）；</w:t>
      </w:r>
      <w:r/>
    </w:p>
    <w:p>
      <w:r>
        <w:rPr>
          <w:rFonts w:hint="eastAsia"/>
        </w:rPr>
        <w:t xml:space="preserve">9、支持浅压缩模式，浅压缩模式下带宽为 300Mbps~10Gbp s，且在图像切换过程中，无画面由模糊逐渐转为清晰的过程；</w:t>
      </w:r>
      <w:r/>
    </w:p>
    <w:p>
      <w:r>
        <w:rPr>
          <w:rFonts w:hint="eastAsia"/>
        </w:rPr>
        <w:t xml:space="preserve">10、支持H.264/H.265编码模式；</w:t>
      </w:r>
      <w:r/>
    </w:p>
    <w:p>
      <w:r>
        <w:rPr>
          <w:rFonts w:hint="eastAsia"/>
        </w:rPr>
        <w:t xml:space="preserve">11、通过单根USB Type B线缆连接输入节点和信号源主机，即可通过坐席输出节点连接的键盘、鼠标对信号源主机进行远程实时控制，同时可实现多种USB设备的透传使用；</w:t>
      </w:r>
      <w:r/>
    </w:p>
    <w:p>
      <w:r>
        <w:rPr>
          <w:rFonts w:hint="eastAsia"/>
        </w:rPr>
        <w:t xml:space="preserve">12、支持控制软件在Windows、MAC、银河麒麟等系统上的部署与操作，并且系统可在国产飞腾CPU上稳定运行；</w:t>
      </w:r>
      <w:r/>
    </w:p>
    <w:p>
      <w:pPr>
        <w:pStyle w:val="1072"/>
      </w:pPr>
      <w:r>
        <w:rPr>
          <w:rFonts w:hint="eastAsia"/>
        </w:rPr>
        <w:t xml:space="preserve">分布式4K拼接电口输出节点</w:t>
      </w:r>
      <w:r/>
    </w:p>
    <w:p>
      <w:r>
        <w:rPr>
          <w:rFonts w:hint="eastAsia"/>
        </w:rPr>
        <w:t xml:space="preserve">1、单个拼接输出节点具备至少1路HDMI2.0视频输出接口、1路3.5mm音频输出接口、1路3.5mm反向音频输入接口，6个USB接口、1路千兆电口、1个PS/2接口，1个液晶前面板显示屏；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3、支持4:4:4采样图像无损传输不丢帧；</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8、具备大屏拼接管理功能，可实现大屏信号源开窗、拼接、叠加，漫游等功能，单屏可支持不少于 9个不同源视频同时显示；</w:t>
      </w:r>
      <w:r/>
    </w:p>
    <w:p>
      <w:r>
        <w:rPr>
          <w:rFonts w:hint="eastAsia"/>
        </w:rPr>
        <w:t xml:space="preserve">★9、可配置并存储多条滚动字幕，可自定义调整字幕样式、动作、方向、速度、颜色、字体等（提供具有CNAS标志的第三方权威检测机构出具的检测报告并加盖投标单位公章）；</w:t>
      </w:r>
      <w:r/>
    </w:p>
    <w:p>
      <w:r>
        <w:rPr>
          <w:rFonts w:hint="eastAsia"/>
        </w:rPr>
        <w:t xml:space="preserve">★10、支持在上位机软件对屏组画面进行标注，并可推送至其他输出节点（提供具有CNAS标志的第三方权威检测机构出具的检测报告并加盖投标单位公章）；</w:t>
      </w:r>
      <w:r/>
    </w:p>
    <w:p>
      <w:r>
        <w:rPr>
          <w:rFonts w:hint="eastAsia"/>
        </w:rPr>
        <w:t xml:space="preserve">★11、不使用第三方设备的情况下，可显示超大分辨率点对点背景图片，无需外置存储设备，可保存底图图片（提供具有CNAS标志的第三方权威检测机构出具的检测报告并加盖投标单位公章）；</w:t>
      </w:r>
      <w:r/>
    </w:p>
    <w:p>
      <w:r>
        <w:rPr>
          <w:rFonts w:hint="eastAsia"/>
        </w:rPr>
        <w:t xml:space="preserve">12、可将整个屏组画面在一个输出节点上进行显示；</w:t>
      </w:r>
      <w:r/>
    </w:p>
    <w:p>
      <w:r>
        <w:rPr>
          <w:rFonts w:hint="eastAsia"/>
        </w:rPr>
        <w:t xml:space="preserve">13、支持控制软件在Windows、MAC、银河麒麟等系统上的部署与操作，并且系统可在国产飞腾CPU上稳定运行；</w:t>
      </w:r>
      <w:r/>
    </w:p>
    <w:p>
      <w:pPr>
        <w:pStyle w:val="1072"/>
      </w:pPr>
      <w:r>
        <w:rPr>
          <w:rFonts w:hint="eastAsia"/>
        </w:rPr>
        <w:t xml:space="preserve">分布式4K矩阵电口输出节点</w:t>
      </w:r>
      <w:r/>
    </w:p>
    <w:p>
      <w:r>
        <w:rPr>
          <w:rFonts w:hint="eastAsia"/>
        </w:rPr>
        <w:t xml:space="preserve">1、单个矩阵输出节点具备至少1路HDMI2.0视频输出接口、1路3.5mm音频输出接口、1路3.5mm反向音频输入接口，1个USB 接口、1路千兆电口、1个PS/2接口，1个液晶前面板显示屏；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3、支持4:4:4采样图像无损传输不丢帧；</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★8、支持音视频独立传输、切换，音频可与视频同源或不同源，在无视频接入的情况下也音频也可正常传输（提供具有CNAS标志的第三方权威检测机构出具的检测报告并加盖投标单位公章）；</w:t>
      </w:r>
      <w:r/>
    </w:p>
    <w:p>
      <w:r>
        <w:rPr>
          <w:rFonts w:hint="eastAsia"/>
        </w:rPr>
        <w:t xml:space="preserve">★9、支持音柱叠加功能，可实时显示对应视频画面的音频电平状态，以音柱形式监看音频音量大小，（提供具有CNAS标志的第三方权威检测机构出具的检测报告并加盖投标单位公章）；</w:t>
      </w:r>
      <w:r/>
    </w:p>
    <w:p>
      <w:r>
        <w:rPr>
          <w:rFonts w:hint="eastAsia"/>
        </w:rPr>
        <w:t xml:space="preserve">★10、支持反向音频传输功能，节点间音频互通，输出节点可输入独立音频至输入节点进行音频输出（提供具有CNAS标志的第三方权威检测机构出具的检测报告并加盖投标单位公章）；</w:t>
      </w:r>
      <w:r/>
    </w:p>
    <w:p>
      <w:r>
        <w:rPr>
          <w:rFonts w:hint="eastAsia"/>
        </w:rPr>
        <w:t xml:space="preserve">11、支持控制软件在Windows、MAC、银河麒麟等系统上的部署与操作，并且系统可在国产飞腾CPU上稳定运行；</w:t>
      </w:r>
      <w:r/>
    </w:p>
    <w:p>
      <w:pPr>
        <w:pStyle w:val="1072"/>
      </w:pPr>
      <w:r>
        <w:rPr>
          <w:rFonts w:hint="eastAsia"/>
        </w:rPr>
        <w:t xml:space="preserve">分布式节点工装</w:t>
      </w:r>
      <w:r/>
    </w:p>
    <w:p>
      <w:r>
        <w:rPr>
          <w:rFonts w:hint="eastAsia"/>
        </w:rPr>
        <w:t xml:space="preserve">1、标准6U高度安装。</w:t>
      </w:r>
      <w:r/>
    </w:p>
    <w:p>
      <w:r>
        <w:rPr>
          <w:rFonts w:hint="eastAsia"/>
        </w:rPr>
        <w:t xml:space="preserve">2、标准19英寸机柜安装。</w:t>
      </w:r>
      <w:r/>
    </w:p>
    <w:p>
      <w:r>
        <w:rPr>
          <w:rFonts w:hint="eastAsia"/>
        </w:rPr>
        <w:t xml:space="preserve">3、黑色粗橘纹防滑喷涂。</w:t>
      </w:r>
      <w:r/>
    </w:p>
    <w:p>
      <w:r>
        <w:rPr>
          <w:rFonts w:hint="eastAsia"/>
        </w:rPr>
        <w:t xml:space="preserve">4、支持多种盒式设备直接安装。</w:t>
      </w:r>
      <w:r/>
    </w:p>
    <w:p>
      <w:r>
        <w:rPr>
          <w:rFonts w:hint="eastAsia"/>
        </w:rPr>
        <w:t xml:space="preserve">5、单台可安装8个分布式设备。</w:t>
      </w:r>
      <w:r/>
    </w:p>
    <w:p>
      <w:r>
        <w:rPr>
          <w:rFonts w:hint="eastAsia"/>
        </w:rPr>
        <w:t xml:space="preserve">6、支持快速安装替换。</w:t>
      </w:r>
      <w:r/>
    </w:p>
    <w:p>
      <w:r>
        <w:rPr>
          <w:rFonts w:hint="eastAsia"/>
        </w:rPr>
        <w:t xml:space="preserve">7、自带散热风扇，带12V电源适配器</w:t>
      </w:r>
      <w:r/>
    </w:p>
    <w:p>
      <w:pPr>
        <w:pStyle w:val="1072"/>
      </w:pPr>
      <w:r>
        <w:rPr>
          <w:rFonts w:hint="eastAsia"/>
        </w:rPr>
        <w:t xml:space="preserve">分布式拼接授权</w:t>
      </w:r>
      <w:r/>
    </w:p>
    <w:p>
      <w:r>
        <w:rPr>
          <w:rFonts w:hint="eastAsia"/>
        </w:rPr>
        <w:t xml:space="preserve">1、分布式系统控制模块，支持对分布式系统进行输入/输出节点进行整体配置管理及控制，支持节点的授权管理。</w:t>
      </w:r>
      <w:r/>
    </w:p>
    <w:p>
      <w:r>
        <w:rPr>
          <w:rFonts w:hint="eastAsia"/>
        </w:rPr>
        <w:t xml:space="preserve">2、支持256个以内节点的统一管理控制。</w:t>
      </w:r>
      <w:r/>
    </w:p>
    <w:p>
      <w:r>
        <w:rPr>
          <w:rFonts w:hint="eastAsia"/>
        </w:rPr>
        <w:t xml:space="preserve">3、支持节点在线批量配置、升级。</w:t>
      </w:r>
      <w:r/>
    </w:p>
    <w:p>
      <w:r>
        <w:rPr>
          <w:rFonts w:hint="eastAsia"/>
        </w:rPr>
        <w:t xml:space="preserve">4、支持对信号控制指令转发。</w:t>
      </w:r>
      <w:r/>
    </w:p>
    <w:p>
      <w:r>
        <w:rPr>
          <w:rFonts w:hint="eastAsia"/>
        </w:rPr>
        <w:t xml:space="preserve">5、支持分布式大屏管理控制。</w:t>
      </w:r>
      <w:r/>
    </w:p>
    <w:p>
      <w:pPr>
        <w:pStyle w:val="1072"/>
      </w:pPr>
      <w:r>
        <w:rPr>
          <w:rFonts w:hint="eastAsia"/>
          <w:sz w:val="24"/>
          <w:szCs w:val="24"/>
        </w:rPr>
        <w:t xml:space="preserve">分布式坐席授权</w:t>
      </w:r>
      <w:r/>
    </w:p>
    <w:p>
      <w:r>
        <w:rPr>
          <w:rFonts w:hint="eastAsia"/>
        </w:rPr>
        <w:t xml:space="preserve">1、支持设置用户权限级别，各个操作用户可根据实际需求设置不同用户级别，划分不同用户权限，用户之间操作同步实时显示。用户权限可细分至单个信号源、单个屏组、单个矩阵与USB权限。</w:t>
      </w:r>
      <w:r/>
    </w:p>
    <w:p>
      <w:r>
        <w:rPr>
          <w:rFonts w:hint="eastAsia"/>
        </w:rPr>
        <w:t xml:space="preserve">2、在不同的席位登录后，保留之前席位的所有配置，包括场景、快捷键、显示模式、权限。当用户在使用过程中，退出登录后重新登录或更换相同规模的坐席后重新登录，坐席会自动恢复用户上一次退出时的坐席使用状态。</w:t>
      </w:r>
      <w:r/>
    </w:p>
    <w:p>
      <w:r>
        <w:rPr>
          <w:rFonts w:hint="eastAsia"/>
        </w:rPr>
        <w:t xml:space="preserve">3、坐席OSD菜单支持实时显示信号源使用情况，包括信号源当前观看人数、信号源当前控制权限所在用户名，且为保证用户隐私，可自由设置功能开关。</w:t>
      </w:r>
      <w:r/>
    </w:p>
    <w:p>
      <w:r>
        <w:rPr>
          <w:rFonts w:hint="eastAsia"/>
        </w:rPr>
        <w:t xml:space="preserve">4、可根据用户实际使用要求，自定义坐席快速导航栏。用户可以将常用功能模块调整至导航栏快速调用。</w:t>
      </w:r>
      <w:r/>
    </w:p>
    <w:p>
      <w:r>
        <w:rPr>
          <w:rFonts w:hint="eastAsia"/>
        </w:rPr>
        <w:t xml:space="preserve">5、支持坐席系统日志管理，可查看每个关键操作的具体日志记录，并且支持导出日志记录。</w:t>
      </w:r>
      <w:r/>
    </w:p>
    <w:p>
      <w:r>
        <w:rPr>
          <w:rFonts w:hint="eastAsia"/>
        </w:rPr>
        <w:t xml:space="preserve">6、用户控制权切换信号源，只有挂载U盘后字符叠加才提示完全控制中，如果未挂载U盘仅进行键鼠控制操作，字符叠加提示控制中。</w:t>
      </w:r>
      <w:r/>
    </w:p>
    <w:p>
      <w:r>
        <w:rPr>
          <w:rFonts w:hint="eastAsia"/>
        </w:rPr>
        <w:t xml:space="preserve">7、支持设置坐席用户的权限，高权限用户可直接操作低权限用户视频源，同等权限用户需要通过OSD悬浮菜单向当前使用的用户申请操作控制权限。</w:t>
      </w:r>
      <w:r/>
    </w:p>
    <w:p>
      <w:r>
        <w:rPr>
          <w:rFonts w:hint="eastAsia"/>
        </w:rPr>
        <w:t xml:space="preserve">8、可将坐席配置保存为场景，包括单屏场景和整个坐席的场景，可通过OSD菜单或快捷键调用场景。支持场景的重命名及删除。支持鼠标OSD操作和自定义快捷键进行场景调用及场景轮巡。可绑定用户在任意席位上进行调取，最大可支持1280个预案。</w:t>
      </w:r>
      <w:r/>
    </w:p>
    <w:p>
      <w:r>
        <w:rPr>
          <w:rFonts w:hint="eastAsia"/>
        </w:rPr>
        <w:t xml:space="preserve">9、坐席系统支持请求自动响应设置，支持请求确认、自动接受、自动拒绝三种模式。</w:t>
      </w:r>
      <w:r/>
    </w:p>
    <w:p>
      <w:pPr>
        <w:pStyle w:val="1072"/>
        <w:rPr>
          <w:sz w:val="24"/>
          <w:szCs w:val="24"/>
        </w:rPr>
      </w:pPr>
      <w:r>
        <w:rPr>
          <w:rFonts w:hint="eastAsia"/>
          <w:sz w:val="24"/>
          <w:szCs w:val="24"/>
        </w:rPr>
        <w:t xml:space="preserve">机柜</w:t>
      </w:r>
      <w:r/>
    </w:p>
    <w:p>
      <w:r>
        <w:rPr>
          <w:rFonts w:hint="eastAsia"/>
        </w:rPr>
        <w:t xml:space="preserve">1、尺寸：600*800*2055mm</w:t>
      </w:r>
      <w:r/>
    </w:p>
    <w:p>
      <w:r>
        <w:rPr>
          <w:rFonts w:hint="eastAsia"/>
        </w:rPr>
        <w:t xml:space="preserve">2、容量：42U</w:t>
      </w:r>
      <w:r/>
    </w:p>
    <w:p>
      <w:r>
        <w:rPr>
          <w:rFonts w:hint="eastAsia"/>
        </w:rPr>
        <w:t xml:space="preserve">3、配置：</w:t>
      </w:r>
      <w:r>
        <w:rPr>
          <w:rFonts w:hint="eastAsia"/>
          <w:lang w:val="en-US" w:eastAsia="zh-CN"/>
        </w:rPr>
        <w:t xml:space="preserve">不低于</w:t>
      </w:r>
      <w:r>
        <w:rPr>
          <w:rFonts w:hint="eastAsia"/>
        </w:rPr>
        <w:t xml:space="preserve">8位10A PDU插排2个，固定板3块，风扇2组，重型脚轮4只，扳手1个，螺母钉20套</w:t>
      </w:r>
      <w:r/>
    </w:p>
    <w:p>
      <w:pPr>
        <w:pStyle w:val="1072"/>
      </w:pPr>
      <w:r>
        <w:rPr>
          <w:rFonts w:hint="eastAsia"/>
        </w:rPr>
        <w:t xml:space="preserve">可视化智能管理平台</w:t>
      </w:r>
      <w:r/>
    </w:p>
    <w:p>
      <w:r>
        <w:rPr>
          <w:rFonts w:hint="eastAsia"/>
        </w:rPr>
        <w:t xml:space="preserve">1、系统采用B/S+C/S架构，系统支持部署在不同的操作系统中，包括Windows、Linux及国产麒麟系统；</w:t>
      </w:r>
      <w:r/>
    </w:p>
    <w:p>
      <w:r>
        <w:rPr>
          <w:rFonts w:hint="eastAsia"/>
        </w:rPr>
        <w:t xml:space="preserve">2、采用模块化设计，具有大屏管理、中控管理、视频点播、录像管理、存储管理、转码管理等功能模块（提供具有CNAS标志的第三方权威检测机构出具的软件测试报告并加盖投标单位公章）；</w:t>
      </w:r>
      <w:r/>
    </w:p>
    <w:p>
      <w:r>
        <w:rPr>
          <w:rFonts w:hint="eastAsia"/>
        </w:rPr>
        <w:t xml:space="preserve">3、提供操作提醒，每一步操作成功或失败都会有弹框提醒，并记录操作日志；</w:t>
      </w:r>
      <w:r/>
    </w:p>
    <w:p>
      <w:r>
        <w:rPr>
          <w:rFonts w:hint="eastAsia"/>
        </w:rPr>
        <w:t xml:space="preserve">4、系统支持多用户登录，用户数量不少于10个，多用户操作同步实现多人协同办公，所有操作完全同步显示，确保操作实时性；</w:t>
      </w:r>
      <w:r/>
    </w:p>
    <w:p>
      <w:r>
        <w:rPr>
          <w:rFonts w:hint="eastAsia"/>
        </w:rPr>
        <w:t xml:space="preserve">5、提供精细地权限管理设置，可针对每个信号源或屏幕进行单独权限设置，同时也可根据功能模块进行授权；</w:t>
      </w:r>
      <w:r/>
    </w:p>
    <w:p>
      <w:r>
        <w:rPr>
          <w:rFonts w:hint="eastAsia"/>
        </w:rPr>
        <w:t xml:space="preserve">6、在软件界面上可对所有接入信号源和大屏幕当前显示的画面进行实时预览观看，对信号源的预监画面帧率可达30HZ；</w:t>
      </w:r>
      <w:r/>
    </w:p>
    <w:p>
      <w:r>
        <w:rPr>
          <w:rFonts w:hint="eastAsia"/>
        </w:rPr>
        <w:t xml:space="preserve">7、支持大屏预编辑功能，在不影响大屏显示的前提下进行后台布局，让大屏操作更加精确无误；</w:t>
      </w:r>
      <w:r/>
    </w:p>
    <w:p>
      <w:r>
        <w:rPr>
          <w:rFonts w:hint="eastAsia"/>
        </w:rPr>
        <w:t xml:space="preserve">8、可实现16路1080P信号的同时实时浏览，系统支持9种1/4/6/7/8/9/10/13/16分屏窗口布局，以及多显示模式的快速选择及调用功能；</w:t>
      </w:r>
      <w:r/>
    </w:p>
    <w:p>
      <w:r>
        <w:rPr>
          <w:rFonts w:hint="eastAsia"/>
        </w:rPr>
        <w:t xml:space="preserve">9、支持对实时浏览信号实现云台控制，对前端设备的各种动作进行遥控，包括摄像机方向控制、变倍控制、光圈控制、调焦控制、巡航扫描、预置位等功能，快速的启动顺序显示，快速的关闭显示；</w:t>
      </w:r>
      <w:r/>
    </w:p>
    <w:p>
      <w:r>
        <w:rPr>
          <w:rFonts w:hint="eastAsia"/>
        </w:rPr>
        <w:t xml:space="preserve">10、具备大屏M*N的任意拼接方式选择，任意信号都可在大屏显示范围内开窗显示、整屏拼接、任意漫游、信号叠加、任意跨屏、信号分割，相互之间不受影响，多种类型的信号切换间，不出现闪屏、黑屏、花屏以及显示不同步等现象；</w:t>
      </w:r>
      <w:r/>
    </w:p>
    <w:p>
      <w:r>
        <w:rPr>
          <w:rFonts w:hint="eastAsia"/>
        </w:rPr>
        <w:t xml:space="preserve">11、支持对信号源进行任意分组，并且支持信号分组收藏夹，可以进行自动的信号源轮巡应用；</w:t>
      </w:r>
      <w:r/>
    </w:p>
    <w:p>
      <w:r>
        <w:rPr>
          <w:rFonts w:hint="eastAsia"/>
        </w:rPr>
        <w:t xml:space="preserve">12、支持预案管理及预案收藏夹，实现对全屏布局的快速切换应用，可以进行自动的预案轮巡应用；</w:t>
      </w:r>
      <w:r/>
    </w:p>
    <w:p>
      <w:r>
        <w:rPr>
          <w:rFonts w:hint="eastAsia"/>
        </w:rPr>
        <w:t xml:space="preserve">13、支持通过Web界面对所有功能模块进行配置，转发负载均衡，支持分布式扩展；</w:t>
      </w:r>
      <w:r/>
    </w:p>
    <w:p>
      <w:r>
        <w:rPr>
          <w:rFonts w:hint="eastAsia"/>
        </w:rPr>
        <w:t xml:space="preserve">14、具备中控管理功能，可对灯光、音响、投影、大屏等设备进行中控管理，实现相应的操作应用；</w:t>
      </w:r>
      <w:r/>
    </w:p>
    <w:p>
      <w:r>
        <w:rPr>
          <w:rFonts w:hint="eastAsia"/>
        </w:rPr>
        <w:t xml:space="preserve">15、支持自动搜索显控系统中设备，对接入系统的设备进行注册添加，保证对设备进行统一监管；</w:t>
      </w:r>
      <w:r/>
    </w:p>
    <w:p>
      <w:r>
        <w:rPr>
          <w:rFonts w:hint="eastAsia"/>
        </w:rPr>
        <w:t xml:space="preserve">16、支持导入导出设备列表、摄像机列表、设备链路和接口信息，通过在线编辑，可快速实现平台部署；。</w:t>
      </w:r>
      <w:r/>
    </w:p>
    <w:p>
      <w:r>
        <w:rPr>
          <w:rFonts w:hint="eastAsia"/>
        </w:rPr>
        <w:t xml:space="preserve">17、智能配置中间链路。支持系统中任意设备节点的多级级联，用户无需关心信号源和大屏之间的复杂链路，实现信号源的统一管控和一键上墙操作；</w:t>
      </w:r>
      <w:r/>
    </w:p>
    <w:p>
      <w:r>
        <w:rPr>
          <w:rFonts w:hint="eastAsia"/>
        </w:rPr>
        <w:t xml:space="preserve">18、智能可视化控制。支持可视化交互触控操作，实现系统更加简便、更加舒适、更加高效的显控体验；</w:t>
      </w:r>
      <w:r/>
    </w:p>
    <w:p>
      <w:pPr>
        <w:pStyle w:val="1072"/>
      </w:pPr>
      <w:r>
        <w:rPr>
          <w:rFonts w:hint="eastAsia"/>
        </w:rPr>
        <w:t xml:space="preserve">强电控制器</w:t>
      </w:r>
      <w:r/>
    </w:p>
    <w:p>
      <w:r>
        <w:rPr>
          <w:rFonts w:hint="eastAsia"/>
        </w:rPr>
        <w:t xml:space="preserve">八路电源控制器,8路是输出,每路30A触电继电器,支持RS232,网络控制</w:t>
      </w:r>
      <w:r/>
    </w:p>
    <w:p>
      <w:pPr>
        <w:pStyle w:val="1072"/>
      </w:pPr>
      <w:r>
        <w:rPr>
          <w:rFonts w:hint="eastAsia"/>
        </w:rPr>
        <w:t xml:space="preserve">云多点控制单元(MCU）</w:t>
      </w:r>
      <w:r/>
    </w:p>
    <w:p>
      <w:r>
        <w:rPr>
          <w:rFonts w:hint="eastAsia"/>
        </w:rPr>
        <w:t xml:space="preserve">1.★需与江苏省公安厅一键点调系统无缝数字级联，出具厂家承诺函。</w:t>
      </w:r>
      <w:r/>
    </w:p>
    <w:p>
      <w:r>
        <w:rPr>
          <w:rFonts w:hint="eastAsia"/>
        </w:rPr>
        <w:t xml:space="preserve">2.MCU采用嵌入式一体化设计，标配双电源冗余备份，保证设备7*24小时长时间连续运行。</w:t>
      </w:r>
      <w:r/>
    </w:p>
    <w:p>
      <w:r>
        <w:rPr>
          <w:rFonts w:hint="eastAsia"/>
        </w:rPr>
        <w:t xml:space="preserve">3.采用全新的硬件平台，支持H.265全编全解技术，支持4K30、1080p60fps编解码，每个参会会场均能够独立观看不同的多画面图像。</w:t>
      </w:r>
      <w:r/>
    </w:p>
    <w:p>
      <w:r>
        <w:rPr>
          <w:rFonts w:hint="eastAsia"/>
        </w:rPr>
        <w:t xml:space="preserve">4.支持同一平台同时接入会议室型终端、桌面型一体化终端、软件即时通信终端（包括windows、android、ios操作系统），可实现随时随地召开各类视频会议、即时通信功能。</w:t>
      </w:r>
      <w:r/>
    </w:p>
    <w:p>
      <w:r>
        <w:rPr>
          <w:rFonts w:hint="eastAsia"/>
        </w:rPr>
        <w:t xml:space="preserve">5.支持ITU-T H.323和IETF SIP通信标准，会议速率支持128Kbps－8Mbps。</w:t>
      </w:r>
      <w:r/>
    </w:p>
    <w:p>
      <w:r>
        <w:rPr>
          <w:rFonts w:hint="eastAsia"/>
        </w:rPr>
        <w:t xml:space="preserve">6.支持H.264、H.264 High Profile、H.265视频编解码协议，具备较强的兼容性。</w:t>
      </w:r>
      <w:r/>
    </w:p>
    <w:p>
      <w:r>
        <w:rPr>
          <w:rFonts w:hint="eastAsia"/>
        </w:rPr>
        <w:t xml:space="preserve">7.支持G.711、G.722、G.728、G.722.1AnnexC、G.719、MPEG4-AAC LC/LD、Opus等音频协议，可达到20KHz以上的宽频效果。</w:t>
      </w:r>
      <w:r/>
    </w:p>
    <w:p>
      <w:r>
        <w:rPr>
          <w:rFonts w:hint="eastAsia"/>
        </w:rPr>
        <w:t xml:space="preserve">8.支持H.239、BFCP双流协议标准。</w:t>
      </w:r>
      <w:r/>
    </w:p>
    <w:p>
      <w:r>
        <w:rPr>
          <w:rFonts w:hint="eastAsia"/>
        </w:rPr>
        <w:t xml:space="preserve">9.支持4K30、1080p60、1080p30、720p60、720p30高清图像格式，并向下兼容4CIF、CIF标清图像格式。</w:t>
      </w:r>
      <w:r/>
    </w:p>
    <w:p>
      <w:r>
        <w:rPr>
          <w:rFonts w:hint="eastAsia"/>
        </w:rPr>
        <w:t xml:space="preserve">10.支持双流功能，在保证主视频4K30前提下，辅视频也可以支持到4K30或UXGA@60fps。</w:t>
      </w:r>
      <w:r/>
    </w:p>
    <w:p>
      <w:r>
        <w:rPr>
          <w:rFonts w:hint="eastAsia"/>
        </w:rPr>
        <w:t xml:space="preserve">11.支持内置统一管理功能，采用B/S架构，通过WEB方式即可完成系统的配置和会议操作。</w:t>
      </w:r>
      <w:r/>
    </w:p>
    <w:p>
      <w:r>
        <w:rPr>
          <w:rFonts w:hint="eastAsia"/>
        </w:rPr>
        <w:t xml:space="preserve">12.支持XMPP协议，支持即时通信功能。即时通信客户端支持查看组织架构、文字聊天、文件传输、分组讨论、虚拟会议室参加视频会议、自主召开多方视频会议、文档共享、程序共享等功能。（投标人需提供权威机构检测报告证明，加盖投标单位公章）</w:t>
      </w:r>
      <w:r/>
    </w:p>
    <w:p>
      <w:r>
        <w:rPr>
          <w:rFonts w:hint="eastAsia"/>
        </w:rPr>
        <w:t xml:space="preserve">13.支持云虚拟会议室功能，终端注册入网后，可实时获取当前已创建的虚拟会议室列表，可以直接选择需要参加的虚拟会议室加入。</w:t>
      </w:r>
      <w:r/>
    </w:p>
    <w:p>
      <w:r>
        <w:rPr>
          <w:rFonts w:hint="eastAsia"/>
        </w:rPr>
        <w:t xml:space="preserve">14.支持云地址簿功能，终端注册入网后，可获取本用户域内的云地址簿，方便查找，本地地址薄只配置一些常用的联系列表。</w:t>
      </w:r>
      <w:r/>
    </w:p>
    <w:p>
      <w:r>
        <w:rPr>
          <w:rFonts w:hint="eastAsia"/>
        </w:rPr>
        <w:t xml:space="preserve">15.支持对正在召开的会议进行操控，包括切换发言人、设置多画面合成、双流、会议自动级联、虚拟电视墙、会议点名、会议轮询、一键静音、一键哑音等会议功能。</w:t>
      </w:r>
      <w:r/>
    </w:p>
    <w:p>
      <w:r>
        <w:rPr>
          <w:rFonts w:hint="eastAsia"/>
        </w:rPr>
        <w:t xml:space="preserve">16.支持对会议进行实时的监控预览，包括会议中的所有终端、广播的多画面等。除了预览图像，还可以聆听声音。支持不少于4个独立的预监窗口。</w:t>
      </w:r>
      <w:r/>
    </w:p>
    <w:p>
      <w:r>
        <w:rPr>
          <w:rFonts w:hint="eastAsia"/>
        </w:rPr>
        <w:t xml:space="preserve">17.支持多级主从级联功能，级联后通过主MCU的控制界面直接对下级MCU所连接的终端进行操作控制，如查看终端信息、广播会场、视频选看等。</w:t>
      </w:r>
      <w:r/>
    </w:p>
    <w:p>
      <w:r>
        <w:rPr>
          <w:rFonts w:hint="eastAsia"/>
        </w:rPr>
        <w:t xml:space="preserve">18.支持录播服务器统一管理，支持使用统一账号登录门户系统，支持在会控上显示观看人员的列表，支持邀请正在观看直播的终端加入视频会议中进行互动。</w:t>
      </w:r>
      <w:r/>
    </w:p>
    <w:p>
      <w:r>
        <w:rPr>
          <w:rFonts w:hint="eastAsia"/>
        </w:rPr>
        <w:t xml:space="preserve">19.系统支持国家密码局认定的国产密码算法，保证信息安全自主可控。（需提供权威机构检测报告证明，加盖投标单位公章）</w:t>
      </w:r>
      <w:r/>
    </w:p>
    <w:p>
      <w:r>
        <w:rPr>
          <w:rFonts w:hint="eastAsia"/>
        </w:rPr>
        <w:t xml:space="preserve">20.具备不少于2个千兆以太网口，支持网口热备份。</w:t>
      </w:r>
      <w:r/>
    </w:p>
    <w:p>
      <w:r>
        <w:rPr>
          <w:rFonts w:hint="eastAsia"/>
        </w:rPr>
        <w:t xml:space="preserve">21.支持多网段接入功能，可满足多个不同网段的终端参加同一会议。</w:t>
      </w:r>
      <w:r/>
    </w:p>
    <w:p>
      <w:r>
        <w:rPr>
          <w:rFonts w:hint="eastAsia"/>
        </w:rPr>
        <w:t xml:space="preserve">22.支持H.460技术，可实现防火墙穿越部署。</w:t>
      </w:r>
      <w:r/>
    </w:p>
    <w:p>
      <w:r>
        <w:rPr>
          <w:rFonts w:hint="eastAsia"/>
        </w:rPr>
        <w:t xml:space="preserve">23.具备较强的网络抗丢包能力，在IP网络达到20%丢包率情况下声音清晰、图像流畅、无马赛克，30%的丢包率情况下视频会议仍可进行，70%的丢包率情况下音频会议仍可召开。</w:t>
      </w:r>
      <w:r/>
    </w:p>
    <w:p>
      <w:pPr>
        <w:pStyle w:val="1072"/>
      </w:pPr>
      <w:r>
        <w:rPr>
          <w:rFonts w:hint="eastAsia"/>
        </w:rPr>
        <w:t xml:space="preserve">分体式终端</w:t>
      </w:r>
      <w:r/>
    </w:p>
    <w:p>
      <w:r>
        <w:rPr>
          <w:rFonts w:hint="eastAsia"/>
        </w:rPr>
        <w:t xml:space="preserve">1.采用硬件分体式结构，非PC架构、非工控机架构。</w:t>
      </w:r>
      <w:r/>
    </w:p>
    <w:p>
      <w:r>
        <w:rPr>
          <w:rFonts w:hint="eastAsia"/>
        </w:rPr>
        <w:t xml:space="preserve">2.终端采用国产嵌入式操作系统。终端核心芯片如音视频编解码单元、CPU处理单元、电源芯片、时钟芯片等均采用国产化器件。（投标人需提供权威机构检测报告证明，加盖投标单位公章）</w:t>
      </w:r>
      <w:r/>
    </w:p>
    <w:p>
      <w:r>
        <w:rPr>
          <w:rFonts w:hint="eastAsia"/>
        </w:rPr>
        <w:t xml:space="preserve">3.支持ITU-T H.323和IETF SIP通信标准，会议速率支持128Kbps－8Mbps。</w:t>
      </w:r>
      <w:r/>
    </w:p>
    <w:p>
      <w:r>
        <w:rPr>
          <w:rFonts w:hint="eastAsia"/>
        </w:rPr>
        <w:t xml:space="preserve">4.支持G.711、G.722、G.728、G.722.1AnnexC、G.719、MPEG4-AAC LC/LD、Opus等音频协议，可达到20KHz以上的宽频效果。</w:t>
      </w:r>
      <w:r/>
    </w:p>
    <w:p>
      <w:r>
        <w:rPr>
          <w:rFonts w:hint="eastAsia"/>
        </w:rPr>
        <w:t xml:space="preserve">5.支持H.239、BFCP双流协议标准。</w:t>
      </w:r>
      <w:r/>
    </w:p>
    <w:p>
      <w:r>
        <w:rPr>
          <w:rFonts w:hint="eastAsia"/>
        </w:rPr>
        <w:t xml:space="preserve">6.支持不少于4路高清视频输入接口、4路高清输出接口。</w:t>
      </w:r>
      <w:r/>
    </w:p>
    <w:p>
      <w:r>
        <w:rPr>
          <w:rFonts w:hint="eastAsia"/>
        </w:rPr>
        <w:t xml:space="preserve">7.支持标准的HDBaseT视频输入接口，支持视频、供电、控制三线合一，可通过网线作为传输介质，无需外接其他设备传输距离可达100米。</w:t>
      </w:r>
      <w:r/>
    </w:p>
    <w:p>
      <w:r>
        <w:rPr>
          <w:rFonts w:hint="eastAsia"/>
        </w:rPr>
        <w:t xml:space="preserve">9.支持选配触控平板，采用不小于10英寸触控平板，可实现呼叫、参加、创建会议、一键加入虚拟会议、组织架构、静音/哑音、音量调节、内容共享、摄像头控制、预置位操作、申请主席/发言人、指定主席发言人、添加/删除与会方、退出/结束会议等功能</w:t>
      </w:r>
      <w:r/>
    </w:p>
    <w:p>
      <w:r>
        <w:rPr>
          <w:rFonts w:hint="eastAsia"/>
        </w:rPr>
        <w:t xml:space="preserve">10.支持VGA断电环回，在终端断电状态下，VGA接口输入输出环回。</w:t>
      </w:r>
      <w:r/>
    </w:p>
    <w:p>
      <w:r>
        <w:rPr>
          <w:rFonts w:hint="eastAsia"/>
        </w:rPr>
        <w:t xml:space="preserve">11.支持多视功能，终端可将2路本地视频输入图像合成1路视频，在本地显示或发送到远端，画面合成风格可设置。</w:t>
      </w:r>
      <w:r/>
    </w:p>
    <w:p>
      <w:r>
        <w:rPr>
          <w:rFonts w:hint="eastAsia"/>
        </w:rPr>
        <w:t xml:space="preserve">12.支持云虚拟会议室功能，终端注册入网后，可实时获取当前已创建的虚拟会议室列表及状态（预约或会议中），可以直接选择需要参加的虚拟会议室加入。</w:t>
      </w:r>
      <w:r/>
    </w:p>
    <w:p>
      <w:r>
        <w:rPr>
          <w:rFonts w:hint="eastAsia"/>
        </w:rPr>
        <w:t xml:space="preserve">13.支持不低于120个摄像机预置位存储和调用，支持摄像机预置位快照及预览功能，可直观地显示预置位场景。</w:t>
      </w:r>
      <w:r/>
    </w:p>
    <w:p>
      <w:r>
        <w:rPr>
          <w:rFonts w:hint="eastAsia"/>
        </w:rPr>
        <w:t xml:space="preserve">14.系统具有字幕叠加功能，支持在本地图像不同位置叠加台标、横幅、滚动字幕。</w:t>
      </w:r>
      <w:r/>
    </w:p>
    <w:p>
      <w:r>
        <w:rPr>
          <w:rFonts w:hint="eastAsia"/>
        </w:rPr>
        <w:t xml:space="preserve">15.终端配套的遥控器采用ZigBee控制，在不低于15米可控范围内，控制信号不会被遮挡。</w:t>
      </w:r>
      <w:r/>
    </w:p>
    <w:p>
      <w:r>
        <w:rPr>
          <w:rFonts w:hint="eastAsia"/>
        </w:rPr>
        <w:t xml:space="preserve">16.终端具备OLED显示屏，可实时显示设备运行状态：启动、升级、休眠、网络异常、IP地址及号码。</w:t>
      </w:r>
      <w:r/>
    </w:p>
    <w:p>
      <w:r>
        <w:rPr>
          <w:rFonts w:hint="eastAsia"/>
        </w:rPr>
        <w:t xml:space="preserve">17.终端支持双流叠加视频水印，可实现双流数据内容叠加水印，实现会议数据内容的盗摄溯源。</w:t>
      </w:r>
      <w:r/>
    </w:p>
    <w:p>
      <w:r>
        <w:rPr>
          <w:rFonts w:hint="eastAsia"/>
        </w:rPr>
        <w:t xml:space="preserve">18.支持H.235协议的音视频加密，支持AES256加密算法，SIP协议支持TLS、SRTP加密。</w:t>
      </w:r>
      <w:r/>
    </w:p>
    <w:p>
      <w:r>
        <w:rPr>
          <w:rFonts w:hint="eastAsia"/>
        </w:rPr>
        <w:t xml:space="preserve">19.终端支持国家密码局认定的国产密码算法，保证信息安全自主可控。支持SM1、SM2、SM3、SM4等国密加密算法。</w:t>
      </w:r>
      <w:r/>
    </w:p>
    <w:p>
      <w:r>
        <w:rPr>
          <w:rFonts w:hint="eastAsia"/>
        </w:rPr>
        <w:t xml:space="preserve">20.终端内置安全芯片，生产预置的设备证书及对应的私钥都存储在安全芯片内；支持一机一证，终端生产时向内置安全芯片烧写唯一的证书。</w:t>
      </w:r>
      <w:r/>
    </w:p>
    <w:p>
      <w:r>
        <w:rPr>
          <w:rFonts w:hint="eastAsia"/>
        </w:rPr>
        <w:t xml:space="preserve">21.具备较强的网络抗丢包能力，在IP网络达到50%丢包率情况下语音清晰连续、视频清晰流畅、无马赛克，75%的丢包率情况下声音清晰流畅、可准确理解。</w:t>
      </w:r>
      <w:r/>
    </w:p>
    <w:p>
      <w:r>
        <w:rPr>
          <w:rFonts w:hint="eastAsia"/>
        </w:rPr>
        <w:t xml:space="preserve">22.提供电信设备入网证的证书复印件。</w:t>
      </w:r>
      <w:r/>
    </w:p>
    <w:p>
      <w:r>
        <w:rPr>
          <w:rFonts w:hint="eastAsia"/>
        </w:rPr>
        <w:t xml:space="preserve">23.★终端需与江苏省公安厅一键点调系统无缝数字级联，实现互联互通，出具厂家承诺函。</w:t>
      </w:r>
      <w:r/>
    </w:p>
    <w:p>
      <w:pPr>
        <w:pStyle w:val="1072"/>
      </w:pPr>
      <w:r>
        <w:rPr>
          <w:rFonts w:hint="eastAsia"/>
        </w:rPr>
        <w:t xml:space="preserve">分体式摄像机</w:t>
      </w:r>
      <w:r/>
    </w:p>
    <w:p>
      <w:r>
        <w:rPr>
          <w:rFonts w:hint="eastAsia"/>
        </w:rPr>
        <w:t xml:space="preserve">1．★摄像机需与分体式终端同一品牌。</w:t>
      </w:r>
      <w:r/>
    </w:p>
    <w:p>
      <w:r>
        <w:rPr>
          <w:rFonts w:hint="eastAsia"/>
        </w:rPr>
        <w:t xml:space="preserve">2．支持壁装、三脚架安装或吊顶安装等多种安装方式，可按用户需求进行安装。</w:t>
      </w:r>
      <w:r/>
    </w:p>
    <w:p>
      <w:r>
        <w:rPr>
          <w:rFonts w:hint="eastAsia"/>
        </w:rPr>
        <w:t xml:space="preserve">3．镜头图像传感器采用不小于1/2.8" 传感器，支持1080p30、1080p25、720p60、720p50等高清信号输出。</w:t>
      </w:r>
      <w:r/>
    </w:p>
    <w:p>
      <w:r>
        <w:rPr>
          <w:rFonts w:hint="eastAsia"/>
        </w:rPr>
        <w:t xml:space="preserve">4．支持不小于12倍光学变焦。</w:t>
      </w:r>
      <w:r/>
    </w:p>
    <w:p>
      <w:r>
        <w:rPr>
          <w:rFonts w:hint="eastAsia"/>
        </w:rPr>
        <w:t xml:space="preserve">5．支持广角镜头，水平视角不小于72°。</w:t>
      </w:r>
      <w:r/>
    </w:p>
    <w:p>
      <w:r>
        <w:rPr>
          <w:rFonts w:hint="eastAsia"/>
        </w:rPr>
        <w:t xml:space="preserve">6．视频输出接口具备SDI、DVI、HDBaseT接口。（投标人需提供权威机构检测报告证明）</w:t>
      </w:r>
      <w:r/>
    </w:p>
    <w:p>
      <w:r>
        <w:rPr>
          <w:rFonts w:hint="eastAsia"/>
        </w:rPr>
        <w:t xml:space="preserve">7．支持供电、显示、控制多线合一，只连接一根超五类网线实现供电、图像显示、摄像机控制，支持信号传输100米。</w:t>
      </w:r>
      <w:r/>
    </w:p>
    <w:p>
      <w:r>
        <w:rPr>
          <w:rFonts w:hint="eastAsia"/>
        </w:rPr>
        <w:t xml:space="preserve">8．支持RS422控制接口，支持标准VISCA协议，支持摄像机通过控制口RS422实现菊花链控制，菊花链控制摄像机不小于7个。</w:t>
      </w:r>
      <w:r/>
    </w:p>
    <w:p>
      <w:r>
        <w:rPr>
          <w:rFonts w:hint="eastAsia"/>
        </w:rPr>
        <w:t xml:space="preserve">9．支持中文OSD菜单，可在OSD中对摄像机进行设置。</w:t>
      </w:r>
      <w:r/>
    </w:p>
    <w:p>
      <w:r>
        <w:rPr>
          <w:rFonts w:hint="eastAsia"/>
        </w:rPr>
        <w:t xml:space="preserve">10．水平转动范围：≥ ±160°，垂直转动范围：≥ -90°～50°</w:t>
      </w:r>
      <w:r/>
    </w:p>
    <w:p>
      <w:r>
        <w:rPr>
          <w:rFonts w:hint="eastAsia"/>
        </w:rPr>
        <w:t xml:space="preserve">11．支持自带显示屏，可方便显示视频输出分辨率。</w:t>
      </w:r>
      <w:r/>
    </w:p>
    <w:p>
      <w:r>
        <w:rPr>
          <w:rFonts w:hint="eastAsia"/>
        </w:rPr>
        <w:t xml:space="preserve">12．支持根据安装方向自动翻转图像。</w:t>
      </w:r>
      <w:r/>
    </w:p>
    <w:p>
      <w:r>
        <w:rPr>
          <w:rFonts w:hint="eastAsia"/>
        </w:rPr>
        <w:t xml:space="preserve">13．支持保存不少于255个预置位。</w:t>
      </w:r>
      <w:r/>
    </w:p>
    <w:p>
      <w:r>
        <w:rPr>
          <w:rFonts w:hint="eastAsia"/>
        </w:rPr>
        <w:t xml:space="preserve">14．支持ZigBee控制，支持360°控制、有遮挡物时也能正常控制。</w:t>
      </w:r>
      <w:r/>
    </w:p>
    <w:p>
      <w:r>
        <w:rPr>
          <w:rFonts w:hint="eastAsia"/>
        </w:rPr>
        <w:t xml:space="preserve">15．支持终端遥控器通过摄像机反向控制会议终端。</w:t>
      </w:r>
      <w:r/>
    </w:p>
    <w:p>
      <w:pPr>
        <w:pStyle w:val="1072"/>
      </w:pPr>
      <w:r>
        <w:rPr>
          <w:rFonts w:hint="eastAsia"/>
        </w:rPr>
        <w:t xml:space="preserve">85寸电视机</w:t>
      </w:r>
      <w:r/>
    </w:p>
    <w:p>
      <w:r>
        <w:t xml:space="preserve">核心参数</w:t>
      </w:r>
      <w:r>
        <w:rPr>
          <w:rFonts w:hint="eastAsia"/>
        </w:rPr>
        <w:t xml:space="preserve">：</w:t>
      </w:r>
      <w:r>
        <w:t xml:space="preserve">WIFI频段</w:t>
      </w:r>
      <w:r/>
    </w:p>
    <w:p>
      <w:r>
        <w:t xml:space="preserve">2.4G&amp;5G</w:t>
      </w:r>
      <w:r/>
    </w:p>
    <w:p>
      <w:r>
        <w:t xml:space="preserve">运行内存/RAM</w:t>
      </w:r>
      <w:r>
        <w:rPr>
          <w:rFonts w:hint="eastAsia"/>
        </w:rPr>
        <w:t xml:space="preserve">：不低于</w:t>
      </w:r>
      <w:r>
        <w:t xml:space="preserve">4GB</w:t>
      </w:r>
      <w:r/>
    </w:p>
    <w:p>
      <w:r>
        <w:t xml:space="preserve">背光方式</w:t>
      </w:r>
      <w:r>
        <w:rPr>
          <w:rFonts w:hint="eastAsia"/>
        </w:rPr>
        <w:t xml:space="preserve">：</w:t>
      </w:r>
      <w:r>
        <w:t xml:space="preserve">直下式/DLED</w:t>
      </w:r>
      <w:r/>
    </w:p>
    <w:p>
      <w:r>
        <w:t xml:space="preserve">存储内存</w:t>
      </w:r>
      <w:r>
        <w:rPr>
          <w:rFonts w:hint="eastAsia"/>
        </w:rPr>
        <w:t xml:space="preserve">：不低于</w:t>
      </w:r>
      <w:r>
        <w:t xml:space="preserve">64GB</w:t>
      </w:r>
      <w:r/>
    </w:p>
    <w:p>
      <w:r>
        <w:t xml:space="preserve">CPU架构</w:t>
      </w:r>
      <w:r>
        <w:rPr>
          <w:rFonts w:hint="eastAsia"/>
        </w:rPr>
        <w:t xml:space="preserve">：</w:t>
      </w:r>
      <w:r>
        <w:rPr>
          <w:rFonts w:hint="eastAsia"/>
          <w:lang w:val="en-US" w:eastAsia="zh-CN"/>
        </w:rPr>
        <w:t xml:space="preserve">不低于</w:t>
      </w:r>
      <w:r>
        <w:t xml:space="preserve">四核A73</w:t>
      </w:r>
      <w:r/>
    </w:p>
    <w:p>
      <w:r>
        <w:t xml:space="preserve">显示参数</w:t>
      </w:r>
      <w:r/>
    </w:p>
    <w:p>
      <w:r>
        <w:t xml:space="preserve">色域值</w:t>
      </w:r>
      <w:r>
        <w:rPr>
          <w:rFonts w:hint="eastAsia"/>
        </w:rPr>
        <w:t xml:space="preserve">：</w:t>
      </w:r>
      <w:r>
        <w:rPr>
          <w:rFonts w:hint="eastAsia"/>
          <w:lang w:val="en-US" w:eastAsia="zh-CN"/>
        </w:rPr>
        <w:t xml:space="preserve">不低于</w:t>
      </w:r>
      <w:r>
        <w:t xml:space="preserve">96%</w:t>
      </w:r>
      <w:r/>
    </w:p>
    <w:p>
      <w:r>
        <w:t xml:space="preserve">屏幕比例</w:t>
      </w:r>
      <w:r>
        <w:rPr>
          <w:rFonts w:hint="eastAsia"/>
        </w:rPr>
        <w:t xml:space="preserve">：</w:t>
      </w:r>
      <w:r>
        <w:t xml:space="preserve">16:9</w:t>
      </w:r>
      <w:r/>
    </w:p>
    <w:p>
      <w:r>
        <w:t xml:space="preserve">护眼功能</w:t>
      </w:r>
      <w:r>
        <w:rPr>
          <w:rFonts w:hint="eastAsia"/>
        </w:rPr>
        <w:t xml:space="preserve">：</w:t>
      </w:r>
      <w:r>
        <w:t xml:space="preserve">有“无闪屏护眼认证”；低蓝光护眼认证</w:t>
      </w:r>
      <w:r/>
    </w:p>
    <w:p>
      <w:r>
        <w:t xml:space="preserve">屏幕分辨率</w:t>
      </w:r>
      <w:r>
        <w:rPr>
          <w:rFonts w:hint="eastAsia"/>
        </w:rPr>
        <w:t xml:space="preserve">：</w:t>
      </w:r>
      <w:r>
        <w:t xml:space="preserve">超高清4K</w:t>
      </w:r>
      <w:r/>
    </w:p>
    <w:p>
      <w:r>
        <w:t xml:space="preserve">屏幕尺寸</w:t>
      </w:r>
      <w:r>
        <w:rPr>
          <w:rFonts w:hint="eastAsia"/>
        </w:rPr>
        <w:t xml:space="preserve">：</w:t>
      </w:r>
      <w:r>
        <w:rPr>
          <w:rFonts w:hint="eastAsia"/>
          <w:lang w:val="en-US" w:eastAsia="zh-CN"/>
        </w:rPr>
        <w:t xml:space="preserve">不低于</w:t>
      </w:r>
      <w:r>
        <w:t xml:space="preserve">85英寸</w:t>
      </w:r>
      <w:r/>
    </w:p>
    <w:p>
      <w:pPr>
        <w:pStyle w:val="1072"/>
      </w:pPr>
      <w:r>
        <w:rPr>
          <w:rFonts w:hint="eastAsia"/>
        </w:rPr>
        <w:t xml:space="preserve">控制台</w:t>
      </w:r>
      <w:r/>
    </w:p>
    <w:p>
      <w:r>
        <w:rPr>
          <w:rFonts w:hint="eastAsia"/>
        </w:rPr>
        <w:t xml:space="preserve">（一）主体框架</w:t>
      </w:r>
      <w:r/>
    </w:p>
    <w:p>
      <w:r>
        <w:rPr>
          <w:rFonts w:hint="eastAsia"/>
        </w:rPr>
        <w:t xml:space="preserve">1、控制台设计应以人机工程学为基础，满足综合保障的功能性要求和美学要求，且视距、视角、台面高度和膝、腿活动空间等符合相关人机工程学和人性因素设计的要求，其耐用性应符合高水平要求，满足7*24全天候工作模式。</w:t>
      </w:r>
      <w:r/>
    </w:p>
    <w:p>
      <w:r>
        <w:rPr>
          <w:rFonts w:hint="eastAsia"/>
        </w:rPr>
        <w:t xml:space="preserve">2、控制台满足6人席位弧形设计，席位深度不得少于950mm，每席位宽度不少于1200mm，高度不得低于750mm。</w:t>
      </w:r>
      <w:r/>
    </w:p>
    <w:p>
      <w:r>
        <w:rPr>
          <w:rFonts w:hint="eastAsia"/>
        </w:rPr>
        <w:t xml:space="preserve">3、线缆规划和维护管理：结合技术系统对线缆的要求，控制台内部设置横竖方向的走线通道；从地面进入控制台的线缆和控制台外引线缆应具备在控制台内部任意位置进线和出线的功能；具备强、弱电分离的功能，避免互相干扰。</w:t>
      </w:r>
      <w:r/>
    </w:p>
    <w:p>
      <w:r>
        <w:rPr>
          <w:rFonts w:hint="eastAsia"/>
        </w:rPr>
        <w:t xml:space="preserve">4、靠近操作人员的前侧边缘采用一体成型，面板封边与面板一体平滑过渡，保证面板与封边之间无缝隙，防止桌面面板变形。</w:t>
      </w:r>
      <w:r/>
    </w:p>
    <w:p>
      <w:r>
        <w:rPr>
          <w:rFonts w:hint="eastAsia"/>
        </w:rPr>
        <w:t xml:space="preserve">5、侧板主体采用冷轧钢板材质，光滑过渡无尖角。</w:t>
      </w:r>
      <w:r/>
    </w:p>
    <w:p>
      <w:r>
        <w:rPr>
          <w:rFonts w:hint="eastAsia"/>
        </w:rPr>
        <w:t xml:space="preserve">6、框架前后门板使用优质冷轧钢板制作，整体厚度为2.0mm，主承重结构采用3.0mm厚冷轧钢板加工，门板通过钣金冲压工艺开有散热孔，便于内部设备散热，门板表面采用静电喷塑工艺。</w:t>
      </w:r>
      <w:r/>
    </w:p>
    <w:p>
      <w:r>
        <w:rPr>
          <w:rFonts w:hint="eastAsia"/>
        </w:rPr>
        <w:t xml:space="preserve">7、连接铰链使用高档五金件，应具有质轻，手感好，开关门噪音小等优点，满足耐久测试80000次标准，同时铰链安装方式可实现快速安装和拆卸。</w:t>
      </w:r>
      <w:r/>
    </w:p>
    <w:p>
      <w:r>
        <w:rPr>
          <w:rFonts w:hint="eastAsia"/>
        </w:rPr>
        <w:t xml:space="preserve">8、每工位须有键盘盆设计</w:t>
      </w:r>
      <w:r/>
    </w:p>
    <w:p>
      <w:r>
        <w:rPr>
          <w:rFonts w:hint="eastAsia"/>
        </w:rPr>
        <w:t xml:space="preserve">（二）台面板</w:t>
      </w:r>
      <w:r/>
    </w:p>
    <w:p>
      <w:r>
        <w:rPr>
          <w:rFonts w:hint="eastAsia"/>
        </w:rPr>
        <w:t xml:space="preserve">1、台面板须采用由木制纤维与热固树脂经高温高压聚合而成的抗倍特板制作，整体完毕厚度不小于15mm。其性能必须具有抗压、抗刮、抗冲击、强度高、承载力大的特性，具有很高的抗锚固件拔出强度。</w:t>
      </w:r>
      <w:r/>
    </w:p>
    <w:p>
      <w:r>
        <w:rPr>
          <w:rFonts w:hint="eastAsia"/>
        </w:rPr>
        <w:t xml:space="preserve">2、抗倍特必须具有防晒、防潮、防水、耐腐蚀、缩水率小、耐候性好的特性。</w:t>
      </w:r>
      <w:r/>
    </w:p>
    <w:p>
      <w:r>
        <w:rPr>
          <w:rFonts w:hint="eastAsia"/>
        </w:rPr>
        <w:t xml:space="preserve">3、具有极好的防火性能，遇到普通明火不会融化、滴落或爆炸，并且不会释放有毒和腐蚀的气体。</w:t>
      </w:r>
      <w:r/>
    </w:p>
    <w:p>
      <w:r>
        <w:rPr>
          <w:rFonts w:hint="eastAsia"/>
        </w:rPr>
        <w:t xml:space="preserve">4、表面的颜色层，须与材料本体一体化制出。颜色、花纹、表面状态应有多种可供选择。表面材质致密不会黏附灰尘、本身具有自洁性，用水即可简单清洗。</w:t>
      </w:r>
      <w:r/>
    </w:p>
    <w:p>
      <w:r>
        <w:rPr>
          <w:rFonts w:hint="eastAsia"/>
        </w:rPr>
        <w:t xml:space="preserve">5、台板边缘手枕边设计成与台面板一体化延伸的台板边缘，加工成适合手放置的流线型表面，表面经过精抛光打磨，无杂质色差，使操作舒适。手枕与台板边无缝延伸，不接受二次聚氨酯封边等非同材质加装工艺。避免聚氨酯等材料产生的热收缩变形以及有耐候性变化。</w:t>
      </w:r>
      <w:r/>
    </w:p>
    <w:p>
      <w:r>
        <w:rPr>
          <w:rFonts w:hint="eastAsia"/>
        </w:rPr>
        <w:t xml:space="preserve">6、台面板高度尺寸及深度尺寸，须符合人体工程学的标准，包括视线，延伸距离，键盘托盘高度，及膝部空间。</w:t>
      </w:r>
      <w:r/>
    </w:p>
    <w:p>
      <w:r>
        <w:rPr>
          <w:rFonts w:hint="eastAsia"/>
        </w:rPr>
        <w:t xml:space="preserve">7、台面板前口须有贯穿式条形出线口，出线口为保证隐弊性须用毛刷覆盖，方便布线。</w:t>
      </w:r>
      <w:r/>
    </w:p>
    <w:p>
      <w:r>
        <w:rPr>
          <w:rFonts w:hint="eastAsia"/>
        </w:rPr>
        <w:t xml:space="preserve">（三）后屏风</w:t>
      </w:r>
      <w:r/>
    </w:p>
    <w:p>
      <w:r>
        <w:rPr>
          <w:rFonts w:hint="eastAsia"/>
        </w:rPr>
        <w:t xml:space="preserve">1、为保证控制台整体效果，须有后屏风设计，后屏风整体高度不低于150mm，后屏风结构应由屏风前板、屏风发光亚克力、屏风后背板构成，以方便外观线条美和各组件不同颜色的搭配。屏风前板应采用合金铝型材制作，屏风后板应采用厚度不低于1.2mm的冷轧钢板制作，表面静电喷塑处理。后屏风上端设有透明发光亚克力导光板，实现装饰效果。灯光可实现开闭，亚克力需低于10mm的耐黄变材质，外观不可出现任何外露的利口和螺丝头。发光亚克力无白边，晶莹剔透。</w:t>
      </w:r>
      <w:r/>
    </w:p>
    <w:p>
      <w:r>
        <w:rPr>
          <w:rFonts w:hint="eastAsia"/>
        </w:rPr>
        <w:t xml:space="preserve">2、屏风前板须设有多极横向滑槽结构，用于固定显示器支撑臂，可实现显示器支撑臂左右随意移动。</w:t>
      </w:r>
      <w:r/>
    </w:p>
    <w:p>
      <w:r>
        <w:rPr>
          <w:rFonts w:hint="eastAsia"/>
        </w:rPr>
        <w:t xml:space="preserve">(四）侧端造型</w:t>
      </w:r>
      <w:r/>
    </w:p>
    <w:p>
      <w:r>
        <w:rPr>
          <w:rFonts w:hint="eastAsia"/>
        </w:rPr>
        <w:t xml:space="preserve">1、控制台两端的侧造型，应采用不小于1.5 mm冷轧钢板制作，表面经过静电喷塑，有跳色设计与主体部分协调。</w:t>
      </w:r>
      <w:r/>
    </w:p>
    <w:p>
      <w:r>
        <w:rPr>
          <w:rFonts w:hint="eastAsia"/>
        </w:rPr>
        <w:t xml:space="preserve">(五）背部造型</w:t>
      </w:r>
      <w:r/>
    </w:p>
    <w:p>
      <w:r>
        <w:rPr>
          <w:rFonts w:hint="eastAsia"/>
        </w:rPr>
        <w:t xml:space="preserve">控制台背部造型，应采用不小于2.0 mm冷轧钢板制作，表面经过静电喷塑，有主体部分无色差，整体颜色协调大气。背部可安装发光LOGO及发光字。</w:t>
      </w:r>
      <w:r/>
    </w:p>
    <w:p>
      <w:r>
        <w:rPr>
          <w:rFonts w:hint="eastAsia"/>
        </w:rPr>
        <w:t xml:space="preserve">（六）材料要求</w:t>
      </w:r>
      <w:r/>
    </w:p>
    <w:p>
      <w:r>
        <w:rPr>
          <w:rFonts w:hint="eastAsia"/>
        </w:rPr>
        <w:t xml:space="preserve">★1、控制台理化性能、力学性能有符合国标GB/T3325-2017标准出具的控制台型式检测报告，理化性能、力学性能达到主桌面垂直静载荷达到1000N，桌面水平耐久加力达到150N，水平静载荷加力达到600N。（提供CNAS或CMA或CAL相关认证的第三方检测机构测试报告复印件，加盖投标单位公章）</w:t>
      </w:r>
      <w:r/>
    </w:p>
    <w:p>
      <w:r>
        <w:rPr>
          <w:rFonts w:hint="eastAsia"/>
        </w:rPr>
        <w:t xml:space="preserve">★2、控制台检测结果符合BS EN 15327:2016的技术要求，满足力学试验水平3级测试，（提供CNAS或CMA或CAL相关认证的第三方检测机构测试报告复印件，加盖投标单位公章）</w:t>
      </w:r>
      <w:r/>
    </w:p>
    <w:p>
      <w:r>
        <w:rPr>
          <w:rFonts w:hint="eastAsia"/>
        </w:rPr>
        <w:t xml:space="preserve">★3、控制台整体按GB20286-2006公共场所阻燃家具及组件的燃烧性能技术要求。符合 阻燃 1 级(家具/组件)组件/其他家具的要求（提供CNAS或CMA或CAL相关认证的第三方检测机构测试报告复印件，加盖投标单位公章）</w:t>
      </w:r>
      <w:r/>
    </w:p>
    <w:p>
      <w:r>
        <w:rPr>
          <w:rFonts w:hint="eastAsia"/>
        </w:rPr>
        <w:t xml:space="preserve">★4、控制台整体按GB8624-2012《建筑材料及制品燃烧性能分级》规定平板状建筑材料及制品B，(E) 级的技术要求。（提供CNAS或CMA或CAL相关认证的第三方检测机构测试报告复印件，加盖投标单位公章）</w:t>
      </w:r>
      <w:r/>
    </w:p>
    <w:p>
      <w:r>
        <w:rPr>
          <w:rFonts w:hint="eastAsia"/>
        </w:rPr>
        <w:t xml:space="preserve">★5、控制台所使用的户内粉末涂料《建筑用墙面涂料中有害物质限量》进行测试，符合国家环保要求的热固性粉末涂料。（提供CNAS或CMA或CAL相关认证的第三方检测机构测试报告复印件，加盖投标单位公章）</w:t>
      </w:r>
      <w:r/>
    </w:p>
    <w:p>
      <w:r>
        <w:rPr>
          <w:rFonts w:hint="eastAsia"/>
        </w:rPr>
        <w:t xml:space="preserve">★6、控制台为确保钢度及方正性，满足工程的受力强度要求，控制台整体按GB/T 13668-2015《钢制书柜、资料柜通用技术条件》主体框架结构应使用优质冷轧钢板，其中主承重结构采用3.0mm厚冷轧钢板加工。（提供CNAS或CMA或CAL相关认证的第三方检测机构测试报告复印件，加盖投标单位公章）</w:t>
      </w:r>
      <w:r/>
    </w:p>
    <w:p>
      <w:r>
        <w:rPr>
          <w:rFonts w:hint="eastAsia"/>
        </w:rPr>
        <w:t xml:space="preserve">★7、控制台通过9烈度抗震试验；（提供CNAS或CMA或CAL相关认证的第三方检测机构测试报告复印件，加盖投标单位公章）。</w:t>
      </w:r>
      <w:r/>
    </w:p>
    <w:p>
      <w:r>
        <w:rPr>
          <w:rFonts w:hint="eastAsia"/>
        </w:rPr>
        <w:t xml:space="preserve">★8、控制台所使用的抗倍特板通过GB/50325-2020的检测，甲醛释放量为0.050mg/m³，（提供CNAS或CMA或CAL相关认证的第三方检测机构测试报告复印件，加盖投标单位公章）</w:t>
      </w:r>
      <w:r/>
    </w:p>
    <w:p>
      <w:pPr>
        <w:pStyle w:val="1072"/>
      </w:pPr>
      <w:r>
        <w:rPr>
          <w:rFonts w:hint="eastAsia"/>
        </w:rPr>
        <w:t xml:space="preserve">微型工作站</w:t>
      </w:r>
      <w:r/>
    </w:p>
    <w:p>
      <w:r>
        <w:rPr>
          <w:rFonts w:hint="eastAsia"/>
        </w:rPr>
        <w:t xml:space="preserve">1、品牌要求：国产自主研发品牌，专业图形处理工作站</w:t>
      </w:r>
      <w:r/>
    </w:p>
    <w:p>
      <w:r>
        <w:rPr>
          <w:rFonts w:hint="eastAsia"/>
        </w:rPr>
        <w:t xml:space="preserve">2、机型：微塔式机箱</w:t>
      </w:r>
      <w:r/>
    </w:p>
    <w:p>
      <w:r>
        <w:rPr>
          <w:rFonts w:hint="eastAsia"/>
        </w:rPr>
        <w:t xml:space="preserve">3、处理器采用板载设计，配置1颗国产CPU，每颗CPU物理核心数≥8核，每颗CPU主频≥3.0GHz，最高加速频率智能频率可提升至≥3.3GHz，每颗CPU三级缓存≥16MB，支持超线程技术，TDP≤65W；</w:t>
      </w:r>
      <w:r/>
    </w:p>
    <w:p>
      <w:r>
        <w:rPr>
          <w:rFonts w:hint="eastAsia"/>
        </w:rPr>
        <w:t xml:space="preserve">4、内存:配置≥16GB DDR4  UDIMM内存，配置≥4个内存插槽，支持单条32GB内存，最大可支持128GB内存容量</w:t>
      </w:r>
      <w:r/>
    </w:p>
    <w:p>
      <w:r>
        <w:rPr>
          <w:rFonts w:hint="eastAsia"/>
        </w:rPr>
        <w:t xml:space="preserve">5、硬盘:配置≥1块256GB SSD 2.5寸+1块1T SATA HDD 硬盘；</w:t>
      </w:r>
      <w:r/>
    </w:p>
    <w:p>
      <w:r>
        <w:rPr>
          <w:rFonts w:hint="eastAsia"/>
        </w:rPr>
        <w:t xml:space="preserve">6、存储扩展:最大支持≥1个3.5寸和1个2.5寸SAS/SATA/SSD硬盘；主板集成≥1个PCIe/SATA M.2;</w:t>
      </w:r>
      <w:r/>
    </w:p>
    <w:p>
      <w:r>
        <w:rPr>
          <w:rFonts w:hint="eastAsia"/>
        </w:rPr>
        <w:t xml:space="preserve">7、PCI-E扩展:提供≥4个PCI-E插槽，其中2个PCI-E 3.0x16，2个PCI-E 3.0x8</w:t>
      </w:r>
      <w:r/>
    </w:p>
    <w:p>
      <w:r>
        <w:rPr>
          <w:rFonts w:hint="eastAsia"/>
        </w:rPr>
        <w:t xml:space="preserve">8、显卡:实际配置≥2G显存独立显卡1张 ；</w:t>
      </w:r>
      <w:r/>
    </w:p>
    <w:p>
      <w:r>
        <w:rPr>
          <w:rFonts w:hint="eastAsia"/>
        </w:rPr>
        <w:t xml:space="preserve">9、网卡:板载单口千兆网卡，1000/100M自适应；唤醒，网络冗余，负载均衡等网络高级特性；支持扩展千兆/万兆网卡，支持RJ45和SFP两种网口模式；支持wifi6无线网卡选配；</w:t>
      </w:r>
      <w:r/>
    </w:p>
    <w:p>
      <w:r>
        <w:rPr>
          <w:rFonts w:hint="eastAsia"/>
        </w:rPr>
        <w:t xml:space="preserve">10、接口:提供8个USB3.0接口，前置4个USB3.0，后置4个USB3.0；配置1个Port80数码管，可支持故障诊断显示；可支持指纹识别模块（与开机键二合一），实现基于固件和操作系统级指纹登录，安全可靠；</w:t>
      </w:r>
      <w:r/>
    </w:p>
    <w:p>
      <w:pPr>
        <w:rPr>
          <w:rFonts w:hint="eastAsia" w:eastAsia="宋体"/>
          <w:lang w:eastAsia="zh-CN"/>
        </w:rPr>
      </w:pPr>
      <w:r>
        <w:rPr>
          <w:rFonts w:hint="eastAsia"/>
        </w:rPr>
        <w:t xml:space="preserve">11、供电系统:配置≤180W静音电源；</w:t>
      </w:r>
      <w:r/>
    </w:p>
    <w:p>
      <w:pPr>
        <w:rPr>
          <w:rFonts w:hint="eastAsia" w:eastAsia="宋体"/>
          <w:lang w:eastAsia="zh-CN"/>
        </w:rPr>
      </w:pPr>
      <w:r>
        <w:rPr>
          <w:rFonts w:hint="eastAsia"/>
        </w:rPr>
        <w:t xml:space="preserve">12、键盘鼠标:配置USB原厂键盘鼠标</w:t>
      </w:r>
      <w:r>
        <w:rPr>
          <w:rFonts w:hint="eastAsia"/>
          <w:lang w:eastAsia="zh-CN"/>
        </w:rPr>
        <w:t xml:space="preserve">；</w:t>
      </w:r>
      <w:r/>
    </w:p>
    <w:p>
      <w:pPr>
        <w:rPr>
          <w:rFonts w:hint="eastAsia" w:eastAsia="宋体"/>
          <w:lang w:eastAsia="zh-CN"/>
        </w:rPr>
      </w:pPr>
      <w:r>
        <w:rPr>
          <w:rFonts w:hint="eastAsia"/>
        </w:rPr>
        <w:t xml:space="preserve">13、为保证国产终端可靠性，产品需通过第三方测试机构测评，平均无故障时间MTBF需不低于200000小时，提供第三方检测证书</w:t>
      </w:r>
      <w:r>
        <w:rPr>
          <w:rFonts w:hint="eastAsia"/>
          <w:lang w:eastAsia="zh-CN"/>
        </w:rPr>
        <w:t xml:space="preserve">；</w:t>
      </w:r>
      <w:r/>
    </w:p>
    <w:p>
      <w:pPr>
        <w:rPr>
          <w:rFonts w:hint="eastAsia" w:eastAsia="宋体"/>
          <w:lang w:eastAsia="zh-CN"/>
        </w:rPr>
      </w:pPr>
      <w:r>
        <w:rPr>
          <w:rFonts w:hint="eastAsia"/>
        </w:rPr>
        <w:t xml:space="preserve">14、测试报告:产品需通过第三方测试机构，并出具所投产品的CMA、CNAS测试报告复印件，加盖投标单位公章。具体测试项目如下</w:t>
      </w:r>
      <w:r>
        <w:rPr>
          <w:rFonts w:hint="eastAsia"/>
          <w:lang w:eastAsia="zh-CN"/>
        </w:rPr>
        <w:t xml:space="preserve">：</w:t>
      </w:r>
      <w:r>
        <w:rPr>
          <w:rFonts w:hint="eastAsia"/>
        </w:rPr>
        <w:t xml:space="preserve">低温试验，高温试验，恒定湿热试验 ，包装随机振动试验，包装跌落试验，非工作随机振动试验，工作随机振动试验，冲击试验</w:t>
      </w:r>
      <w:r>
        <w:rPr>
          <w:rFonts w:hint="eastAsia"/>
          <w:lang w:eastAsia="zh-CN"/>
        </w:rPr>
        <w:t xml:space="preserve">；</w:t>
      </w:r>
      <w:r/>
    </w:p>
    <w:p>
      <w:pPr>
        <w:rPr>
          <w:rFonts w:hint="eastAsia" w:eastAsia="宋体"/>
          <w:lang w:eastAsia="zh-CN"/>
        </w:rPr>
      </w:pPr>
      <w:r>
        <w:rPr>
          <w:rFonts w:hint="eastAsia"/>
        </w:rPr>
        <w:t xml:space="preserve">15、显示器:配置不低于23.8寸液晶显示器</w:t>
      </w:r>
      <w:r>
        <w:rPr>
          <w:rFonts w:hint="eastAsia"/>
          <w:lang w:eastAsia="zh-CN"/>
        </w:rPr>
        <w:t xml:space="preserve">；</w:t>
      </w:r>
      <w:r/>
    </w:p>
    <w:p>
      <w:pPr>
        <w:pStyle w:val="1072"/>
      </w:pPr>
      <w:r>
        <w:rPr>
          <w:rFonts w:hint="eastAsia"/>
        </w:rPr>
        <w:t xml:space="preserve">工作站</w:t>
      </w:r>
      <w:r/>
    </w:p>
    <w:p>
      <w:r>
        <w:rPr>
          <w:rFonts w:hint="eastAsia"/>
        </w:rPr>
        <w:t xml:space="preserve">1、品牌要求：国产自主研发品牌，专业图形处理工作站</w:t>
      </w:r>
      <w:r/>
    </w:p>
    <w:p>
      <w:r>
        <w:rPr>
          <w:rFonts w:hint="eastAsia"/>
        </w:rPr>
        <w:t xml:space="preserve">2、机型：塔式机箱</w:t>
      </w:r>
      <w:r/>
    </w:p>
    <w:p>
      <w:r>
        <w:rPr>
          <w:rFonts w:hint="eastAsia"/>
        </w:rPr>
        <w:t xml:space="preserve">3、处理器：处理器采用板载设计，配置1颗国产CPU，每颗CPU物理核心数≥8核，每颗CPU主频≥3.0GHz，最高加速频率智能频率可提升至≥3.3GHz，每颗CPU三级缓存≥16MB，支持超线程技术，线程数量≥16，TDP≤65W</w:t>
      </w:r>
      <w:r/>
    </w:p>
    <w:p>
      <w:r>
        <w:rPr>
          <w:rFonts w:hint="eastAsia"/>
        </w:rPr>
        <w:t xml:space="preserve">4、内存：实际配置≥16GB DDR4 3200MHz UDIMM*2内存，配置≥4个内存插槽，最大支持单条32GB内存，最大可支持128GB内存容量，支持内存Register ECC保护、内存镜像、内存热备；</w:t>
      </w:r>
      <w:r/>
    </w:p>
    <w:p>
      <w:r>
        <w:rPr>
          <w:rFonts w:hint="eastAsia"/>
        </w:rPr>
        <w:t xml:space="preserve">5、硬盘：配置≥1块256GB SSD 2.5寸+1块1T SATA HDD 硬盘。</w:t>
      </w:r>
      <w:r/>
    </w:p>
    <w:p>
      <w:r>
        <w:rPr>
          <w:rFonts w:hint="eastAsia"/>
        </w:rPr>
        <w:t xml:space="preserve">6、存储扩展：最大支持2个3.5寸SATA硬盘和1个2.5寸SATA/SSD硬盘；主板集成1个PCIe/SATA M.2接口;硬盘最大支持数量≥4个</w:t>
      </w:r>
      <w:r/>
    </w:p>
    <w:p>
      <w:r>
        <w:rPr>
          <w:rFonts w:hint="eastAsia"/>
        </w:rPr>
        <w:t xml:space="preserve">7、PCI-E扩展：提供4个PCI-E插槽，其中2个PCI-E 3.0*16，1个PCI-E 3.0*8，1个PCI-E 3.0*1</w:t>
      </w:r>
      <w:r/>
    </w:p>
    <w:p>
      <w:r>
        <w:rPr>
          <w:rFonts w:hint="eastAsia"/>
        </w:rPr>
        <w:t xml:space="preserve">8、显卡：实际配置≥1张 RTX 4060独立显卡；支持全系列全高全长显卡</w:t>
      </w:r>
      <w:r/>
    </w:p>
    <w:p>
      <w:r>
        <w:rPr>
          <w:rFonts w:hint="eastAsia"/>
        </w:rPr>
        <w:t xml:space="preserve">9、有线网卡：板载单口千兆网卡，1000/100/10M自适应；唤醒，网络冗余，负载均衡等网络高级特性；</w:t>
      </w:r>
      <w:r/>
    </w:p>
    <w:p>
      <w:r>
        <w:rPr>
          <w:rFonts w:hint="eastAsia"/>
        </w:rPr>
        <w:t xml:space="preserve">9、接口：提供≥10个USB接口，前置4个USB3.0，后置2个USB3.0和4个USB2.0；1个HDMI，1个VGA，1个串口，前后2组音频接口</w:t>
      </w:r>
      <w:r/>
    </w:p>
    <w:p>
      <w:r>
        <w:rPr>
          <w:rFonts w:hint="eastAsia"/>
        </w:rPr>
        <w:t xml:space="preserve">100、供电系统：实际配置≥600W静音电源；</w:t>
      </w:r>
      <w:r/>
    </w:p>
    <w:p>
      <w:r>
        <w:rPr>
          <w:rFonts w:hint="eastAsia"/>
        </w:rPr>
        <w:t xml:space="preserve">11、键盘鼠标：配置USB原厂键盘鼠标</w:t>
      </w:r>
      <w:r/>
    </w:p>
    <w:p>
      <w:r>
        <w:rPr>
          <w:rFonts w:hint="eastAsia"/>
        </w:rPr>
        <w:t xml:space="preserve">12、显示器：配置不低于23.8寸液晶显示器</w:t>
      </w:r>
      <w:r/>
    </w:p>
    <w:p>
      <w:r>
        <w:rPr>
          <w:rFonts w:hint="eastAsia"/>
        </w:rPr>
        <w:t xml:space="preserve">13.数据安全：为保证数据安全，投标方需提供针对本项目提供的5年数据恢复服务，以保障数据恢复的安全性，提供国家信息中心出具的数据恢复售后服务承诺书。</w:t>
      </w:r>
      <w:r/>
    </w:p>
    <w:p>
      <w:pPr>
        <w:rPr>
          <w:rFonts w:hint="eastAsia" w:eastAsia="宋体"/>
          <w:lang w:eastAsia="zh-CN"/>
        </w:rPr>
      </w:pPr>
      <w:r>
        <w:rPr>
          <w:rFonts w:hint="eastAsia"/>
        </w:rPr>
        <w:t xml:space="preserve">14、为保证国产终端可靠性，产品需通过第三方测试机构测评，平均无故障时间MTBF需不低于300000小时，提供第三方检测证书，测试认证机构通过CMA、CNAS认证</w:t>
      </w:r>
      <w:r>
        <w:rPr>
          <w:rFonts w:hint="eastAsia"/>
          <w:lang w:eastAsia="zh-CN"/>
        </w:rPr>
        <w:t xml:space="preserve">；</w:t>
      </w:r>
      <w:r/>
    </w:p>
    <w:p>
      <w:pPr>
        <w:rPr>
          <w:rFonts w:hint="eastAsia" w:eastAsia="宋体"/>
          <w:lang w:eastAsia="zh-CN"/>
        </w:rPr>
      </w:pPr>
      <w:r>
        <w:rPr>
          <w:rFonts w:hint="eastAsia"/>
        </w:rPr>
        <w:t xml:space="preserve">15、测试报告：产品需通过第三方测试机构的，并出具所投产品的CMA、CNAS测试报告复印件，加盖投标单位公章。具体测试项目如下</w:t>
      </w:r>
      <w:r>
        <w:rPr>
          <w:rFonts w:hint="eastAsia"/>
          <w:lang w:eastAsia="zh-CN"/>
        </w:rPr>
        <w:t xml:space="preserve">：</w:t>
      </w:r>
      <w:r>
        <w:rPr>
          <w:rFonts w:hint="eastAsia"/>
        </w:rPr>
        <w:t xml:space="preserve">低温试验，高温试验，恒定湿热试验，包装随机振动试验，包装跌落试验，非工作随机振动试验，工作随机振动试验，冲击试验</w:t>
      </w:r>
      <w:r>
        <w:rPr>
          <w:rFonts w:hint="eastAsia"/>
          <w:lang w:eastAsia="zh-CN"/>
        </w:rPr>
        <w:t xml:space="preserve">；</w:t>
      </w:r>
      <w:r/>
    </w:p>
    <w:p>
      <w:pPr>
        <w:pStyle w:val="1072"/>
      </w:pPr>
      <w:r>
        <w:rPr>
          <w:rFonts w:hint="eastAsia"/>
        </w:rPr>
        <w:t xml:space="preserve">可变指向性音柱</w:t>
      </w:r>
      <w:r/>
    </w:p>
    <w:p>
      <w:r>
        <w:rPr>
          <w:rFonts w:hint="eastAsia"/>
        </w:rPr>
        <w:t xml:space="preserve">1、系统类型：8×4寸可变指向音柱；</w:t>
      </w:r>
      <w:r/>
    </w:p>
    <w:p>
      <w:r>
        <w:rPr>
          <w:rFonts w:hint="eastAsia"/>
        </w:rPr>
        <w:t xml:space="preserve">2、★频率响应：不低于120Hz～19.5kHz(-10dB)；</w:t>
      </w:r>
      <w:r/>
    </w:p>
    <w:p>
      <w:r>
        <w:rPr>
          <w:rFonts w:hint="eastAsia"/>
        </w:rPr>
        <w:t xml:space="preserve">3、最大声压级：不低于128.7dB；</w:t>
      </w:r>
      <w:r/>
    </w:p>
    <w:p>
      <w:r>
        <w:rPr>
          <w:rFonts w:hint="eastAsia"/>
        </w:rPr>
        <w:t xml:space="preserve">4、总谐波失：≤7%(250Hz-6300Hz)；</w:t>
      </w:r>
      <w:r/>
    </w:p>
    <w:p>
      <w:r>
        <w:rPr>
          <w:rFonts w:hint="eastAsia"/>
        </w:rPr>
        <w:t xml:space="preserve">5、功放模块：每个驱动器都有一个独立的功放通道，功放模块内置信号检测、过载保护等功能；</w:t>
      </w:r>
      <w:r/>
    </w:p>
    <w:p>
      <w:r>
        <w:rPr>
          <w:rFonts w:hint="eastAsia"/>
        </w:rPr>
        <w:t xml:space="preserve">6、输入通道：支持数字、模拟信号同时输入，互为主备，Dante 版本可实现一键切换AES3和Dante;</w:t>
      </w:r>
      <w:r/>
    </w:p>
    <w:p>
      <w:r>
        <w:rPr>
          <w:rFonts w:hint="eastAsia"/>
        </w:rPr>
        <w:t xml:space="preserve">内置DSP处理：</w:t>
      </w:r>
      <w:r/>
    </w:p>
    <w:p>
      <w:r>
        <w:rPr>
          <w:rFonts w:hint="eastAsia"/>
        </w:rPr>
        <w:t xml:space="preserve">1、24bit/48kHz 数据处理精度；</w:t>
      </w:r>
      <w:r/>
    </w:p>
    <w:p>
      <w:r>
        <w:rPr>
          <w:rFonts w:hint="eastAsia"/>
        </w:rPr>
        <w:t xml:space="preserve">2、频率响应（模拟输入到模拟输出）：20～20kHz（±0.5dB）；</w:t>
      </w:r>
      <w:r/>
    </w:p>
    <w:p>
      <w:r>
        <w:rPr>
          <w:rFonts w:hint="eastAsia"/>
        </w:rPr>
        <w:t xml:space="preserve">3、动态范围（模拟输入到模拟输出）：≥105dB（1kHz，THD≤0.06%）；</w:t>
      </w:r>
      <w:r/>
    </w:p>
    <w:p>
      <w:r>
        <w:rPr>
          <w:rFonts w:hint="eastAsia"/>
        </w:rPr>
        <w:t xml:space="preserve">4、设备监控：支持网络监测控制，直观的操作界面设计，方便操作人员快速部署和监控设备的静音状态、在线状态、输入通道信号大小等；</w:t>
      </w:r>
      <w:r/>
    </w:p>
    <w:p>
      <w:r>
        <w:rPr>
          <w:rFonts w:hint="eastAsia"/>
        </w:rPr>
        <w:t xml:space="preserve">5、堆叠使用：堆叠版可变指向性音柱支持堆叠使用，堆叠后的音柱组合相当于一条大音柱。通过堆叠使用，能提升声音的能量，投射更远的距离。支持32 路通道同时堆叠，可单独改变音柱上下反转状态；</w:t>
      </w:r>
      <w:r/>
    </w:p>
    <w:p>
      <w:r>
        <w:rPr>
          <w:rFonts w:hint="eastAsia"/>
        </w:rPr>
        <w:t xml:space="preserve">6、★两段波束独立控制：可生成两段波束，能单独对两段波束进行开关控制、旁瓣优化处理、目标角度控制、展开宽度控制、中心高度控制、波束延时控制、波束衰减控制、波束图示均衡滤波器调节、高通低通滤波器调节等操作；</w:t>
      </w:r>
      <w:r/>
    </w:p>
    <w:p>
      <w:r>
        <w:rPr>
          <w:rFonts w:hint="eastAsia"/>
        </w:rPr>
        <w:t xml:space="preserve">7、音频处理：音柱内置输入通道静音、相位、输入增益、延时、系统均衡、工厂均衡、波束均衡、高通低通滤波器、动态处理等多种音频信号处理模块；</w:t>
      </w:r>
      <w:r/>
    </w:p>
    <w:p>
      <w:r>
        <w:rPr>
          <w:rFonts w:hint="eastAsia"/>
        </w:rPr>
        <w:t xml:space="preserve">8、★仿真计算：软件内置波束计算渲染图，通过渲染图能直观看到波束的指向情况；</w:t>
      </w:r>
      <w:r/>
    </w:p>
    <w:p>
      <w:r>
        <w:rPr>
          <w:rFonts w:hint="eastAsia"/>
        </w:rPr>
        <w:t xml:space="preserve">9、保存读取程序：本地可以储存10 组系统模式，开机状态默认为第一组模式；</w:t>
      </w:r>
      <w:r/>
    </w:p>
    <w:p>
      <w:r>
        <w:rPr>
          <w:rFonts w:hint="eastAsia"/>
        </w:rPr>
        <w:t xml:space="preserve">10、硬件接口：具有1 路模拟输入、1 路模拟输出，1 路AES3 输入、1 路AES3 输出，1 路Dante输入,1 个RJ45 网络控制接口,1 个PowerCON 电源输入插座,1 个PowerCON 电源输出插座；</w:t>
      </w:r>
      <w:r/>
    </w:p>
    <w:p>
      <w:r>
        <w:rPr>
          <w:rFonts w:hint="eastAsia"/>
        </w:rPr>
        <w:t xml:space="preserve">11、波束垂直指向角度可调范围：-45⁰～+45⁰（控制精度0.1⁰）；</w:t>
      </w:r>
      <w:r/>
    </w:p>
    <w:p>
      <w:r>
        <w:rPr>
          <w:rFonts w:hint="eastAsia"/>
        </w:rPr>
        <w:t xml:space="preserve">12、互联控制:支持中控系统控制，一键切换应用场景；</w:t>
      </w:r>
      <w:r/>
    </w:p>
    <w:p>
      <w:r>
        <w:rPr>
          <w:rFonts w:hint="eastAsia"/>
        </w:rPr>
        <w:t xml:space="preserve">标★项需提供省级或省级以上检验单位所出具的产品检测报告，加盖投标单位公章。</w:t>
      </w:r>
      <w:r/>
    </w:p>
    <w:p>
      <w:r/>
      <w:r/>
    </w:p>
    <w:p>
      <w:pPr>
        <w:pStyle w:val="885"/>
      </w:pPr>
      <w:r>
        <w:rPr>
          <w:rFonts w:hint="eastAsia"/>
        </w:rPr>
        <w:t xml:space="preserve">补声音柱</w:t>
      </w:r>
      <w:r/>
    </w:p>
    <w:p>
      <w:r>
        <w:rPr>
          <w:rFonts w:hint="eastAsia"/>
        </w:rPr>
        <w:t xml:space="preserve">1.频率响应：低频≤140Hz；高频≥20kHz；</w:t>
      </w:r>
      <w:r/>
    </w:p>
    <w:p>
      <w:r>
        <w:rPr>
          <w:rFonts w:hint="eastAsia"/>
        </w:rPr>
        <w:t xml:space="preserve">2.灵敏度（1W/1m)：≥97dB；</w:t>
      </w:r>
      <w:r/>
    </w:p>
    <w:p>
      <w:r>
        <w:rPr>
          <w:rFonts w:hint="eastAsia"/>
        </w:rPr>
        <w:t xml:space="preserve">3.标称阻抗：≥8Ω；</w:t>
      </w:r>
      <w:r/>
    </w:p>
    <w:p>
      <w:r>
        <w:rPr>
          <w:rFonts w:hint="eastAsia"/>
        </w:rPr>
        <w:t xml:space="preserve">4.额定功率（AES）：≥190W；</w:t>
      </w:r>
      <w:r/>
    </w:p>
    <w:p>
      <w:r>
        <w:rPr>
          <w:rFonts w:hint="eastAsia"/>
        </w:rPr>
        <w:t xml:space="preserve">5.单元组成：不少于4个4"全频单元（1"音圈）；不少于1个1.25"高音单元；</w:t>
      </w:r>
      <w:r/>
    </w:p>
    <w:p>
      <w:r>
        <w:rPr>
          <w:rFonts w:hint="eastAsia"/>
        </w:rPr>
        <w:t xml:space="preserve">6.★覆盖角度：水平≥80°，垂直≤40º；</w:t>
      </w:r>
      <w:r/>
    </w:p>
    <w:p>
      <w:r>
        <w:rPr>
          <w:rFonts w:hint="eastAsia"/>
        </w:rPr>
        <w:t xml:space="preserve">7.★最大声压级：≥124dB；</w:t>
      </w:r>
      <w:r/>
    </w:p>
    <w:p>
      <w:r>
        <w:rPr>
          <w:rFonts w:hint="eastAsia"/>
        </w:rPr>
        <w:t xml:space="preserve">标★项需提供省级或省级以上检验单位所出具的产品检测报告，加盖投标单位公章。</w:t>
      </w:r>
      <w:r/>
    </w:p>
    <w:p>
      <w:r/>
      <w:r/>
    </w:p>
    <w:p>
      <w:pPr>
        <w:pStyle w:val="1072"/>
      </w:pPr>
      <w:r>
        <w:rPr>
          <w:rFonts w:hint="eastAsia"/>
        </w:rPr>
        <w:t xml:space="preserve">补声功放</w:t>
      </w:r>
      <w:r/>
    </w:p>
    <w:p>
      <w:r>
        <w:rPr>
          <w:rFonts w:hint="eastAsia"/>
        </w:rPr>
        <w:t xml:space="preserve">1.三级H类线路设计，高效体积小；采用大量高精度的SMD器件，自动化生产工艺，产品可靠性更高；采用高效率的环形变压器，具备磁屏蔽层，有效抗干扰；自动变速风扇，优化的散热系统，使得机器性能更稳定；</w:t>
      </w:r>
      <w:r/>
    </w:p>
    <w:p>
      <w:r>
        <w:rPr>
          <w:rFonts w:hint="eastAsia"/>
        </w:rPr>
        <w:t xml:space="preserve">2.★具有立体声并联、桥接三种模式选择。具有空载保护、过载保护、短路保护、开启/关闭静音、信号干扰保护功能等；</w:t>
      </w:r>
      <w:r/>
    </w:p>
    <w:p>
      <w:r>
        <w:rPr>
          <w:rFonts w:hint="eastAsia"/>
        </w:rPr>
        <w:t xml:space="preserve">3.每通道输出功率≥350W@8Ω，不少于2个通道；</w:t>
      </w:r>
      <w:r/>
    </w:p>
    <w:p>
      <w:r>
        <w:rPr>
          <w:rFonts w:hint="eastAsia"/>
        </w:rPr>
        <w:t xml:space="preserve">4.每通道输出功率≥480W@4Ω，不少于2个通道； </w:t>
      </w:r>
      <w:r/>
    </w:p>
    <w:p>
      <w:r>
        <w:rPr>
          <w:rFonts w:hint="eastAsia"/>
        </w:rPr>
        <w:t xml:space="preserve">5.桥接功率输出功率≥950W@8Ω，不少于1个通道；</w:t>
      </w:r>
      <w:r/>
    </w:p>
    <w:p>
      <w:r>
        <w:rPr>
          <w:rFonts w:hint="eastAsia"/>
        </w:rPr>
        <w:t xml:space="preserve">6.频率响应范围优于20Hz-20kHz(±1dB)；</w:t>
      </w:r>
      <w:r/>
    </w:p>
    <w:p>
      <w:r>
        <w:rPr>
          <w:rFonts w:hint="eastAsia"/>
        </w:rPr>
        <w:t xml:space="preserve">7.总谐波失真低于0.1%；</w:t>
      </w:r>
      <w:r/>
    </w:p>
    <w:p>
      <w:r>
        <w:rPr>
          <w:rFonts w:hint="eastAsia"/>
        </w:rPr>
        <w:t xml:space="preserve">8.阻尼系数≥150:1；</w:t>
      </w:r>
      <w:r/>
    </w:p>
    <w:p>
      <w:r>
        <w:rPr>
          <w:rFonts w:hint="eastAsia"/>
        </w:rPr>
        <w:t xml:space="preserve">9.转换速率≥25伏/us；</w:t>
      </w:r>
      <w:r/>
    </w:p>
    <w:p>
      <w:r>
        <w:rPr>
          <w:rFonts w:hint="eastAsia"/>
        </w:rPr>
        <w:t xml:space="preserve">10.电压放大倍数≥63；</w:t>
      </w:r>
      <w:r/>
    </w:p>
    <w:p>
      <w:r>
        <w:rPr>
          <w:rFonts w:hint="eastAsia"/>
        </w:rPr>
        <w:t xml:space="preserve">11.信噪比≥100dB（A计权）；</w:t>
      </w:r>
      <w:r/>
    </w:p>
    <w:p>
      <w:r>
        <w:rPr>
          <w:rFonts w:hint="eastAsia"/>
        </w:rPr>
        <w:t xml:space="preserve">12.分离度≥65dB；输入共模抑制比≥60dB；</w:t>
      </w:r>
      <w:r/>
    </w:p>
    <w:p>
      <w:pPr>
        <w:rPr>
          <w:rFonts w:hint="eastAsia"/>
        </w:rPr>
      </w:pPr>
      <w:r>
        <w:rPr>
          <w:rFonts w:hint="eastAsia"/>
        </w:rPr>
        <w:t xml:space="preserve">13.输入灵敏度（额定功率8Ω）0.775V or 1.4V；</w:t>
      </w:r>
      <w:r/>
    </w:p>
    <w:p>
      <w:r>
        <w:rPr>
          <w:rFonts w:hint="eastAsia"/>
        </w:rPr>
        <w:t xml:space="preserve">标★项需提供省级或省级以上检验单位所出具的产品检测报告，加盖投标单位公章。</w:t>
      </w:r>
      <w:r/>
    </w:p>
    <w:p>
      <w:r/>
      <w:r/>
    </w:p>
    <w:p>
      <w:pPr>
        <w:pStyle w:val="885"/>
      </w:pPr>
      <w:r>
        <w:rPr>
          <w:rFonts w:hint="eastAsia"/>
        </w:rPr>
        <w:t xml:space="preserve">数字音频处理器</w:t>
      </w:r>
      <w:r/>
    </w:p>
    <w:p>
      <w:pPr>
        <w:rPr>
          <w:rFonts w:eastAsia="Calibri" w:cs="Arial"/>
          <w:b/>
          <w:bCs/>
        </w:rPr>
      </w:pPr>
      <w:r>
        <w:rPr>
          <w:rFonts w:eastAsia="Calibri" w:cs="Arial"/>
          <w:b/>
          <w:bCs/>
        </w:rPr>
      </w:r>
      <w:r/>
    </w:p>
    <w:p>
      <w:r>
        <w:rPr>
          <w:rFonts w:hint="eastAsia"/>
        </w:rPr>
        <w:t xml:space="preserve">1.≥8路平衡式话筒/线路输入，≥8路平衡式输出，采用凤凰插接口；</w:t>
      </w:r>
      <w:r/>
    </w:p>
    <w:p>
      <w:r>
        <w:rPr>
          <w:rFonts w:hint="eastAsia"/>
        </w:rPr>
        <w:t xml:space="preserve">2.≥24bit/48kHz 采样频率，高性能 A/D、D/A 转换器和32bit DSP处理器。</w:t>
      </w:r>
      <w:r/>
    </w:p>
    <w:p>
      <w:r>
        <w:rPr>
          <w:rFonts w:hint="eastAsia"/>
        </w:rPr>
        <w:t xml:space="preserve">3.★内置反馈抑制器、回声消除器（AEC）、自动混音器、路由器、输入：哑音、相位、幻像供电、粉红噪声、白噪声、正弦波发生器）、噪声门、压限器、31段均衡器、自动增益、输出：延时器、分频器、5段参量均衡器、限幅器、信号指示表器等。 </w:t>
      </w:r>
      <w:r/>
    </w:p>
    <w:p>
      <w:r>
        <w:rPr>
          <w:rFonts w:hint="eastAsia"/>
        </w:rPr>
        <w:t xml:space="preserve">4.RS-485支持自动摄像跟踪功能，轻松实现视频会议；RS-232双向串行控制接口：可发送或接受控制，如视频矩阵、摄像机、中控等功能。</w:t>
      </w:r>
      <w:r/>
    </w:p>
    <w:p>
      <w:r>
        <w:rPr>
          <w:rFonts w:hint="eastAsia"/>
        </w:rPr>
        <w:t xml:space="preserve">5.支持8通道自定义输入输出的GPIO可编程控制接口，支持外部电平、可实现消防联动等功能；</w:t>
      </w:r>
      <w:r/>
    </w:p>
    <w:p>
      <w:r>
        <w:rPr>
          <w:rFonts w:hint="eastAsia"/>
        </w:rPr>
        <w:t xml:space="preserve">6.控制通道名称支持中英文标识，快捷键开/关功能模块，通道支持DCA和GROUP编组功能；</w:t>
      </w:r>
      <w:r/>
    </w:p>
    <w:p>
      <w:r>
        <w:rPr>
          <w:rFonts w:hint="eastAsia"/>
        </w:rPr>
        <w:t xml:space="preserve">7.支持多组场景预设，场景保存等多种功能，断电自动保护记忆功能；</w:t>
      </w:r>
      <w:r/>
    </w:p>
    <w:p>
      <w:r>
        <w:rPr>
          <w:rFonts w:hint="eastAsia"/>
        </w:rPr>
        <w:t xml:space="preserve">8.带USB接口（支持录音及播放功能）；</w:t>
      </w:r>
      <w:r/>
    </w:p>
    <w:p>
      <w:r>
        <w:rPr>
          <w:rFonts w:hint="eastAsia"/>
        </w:rPr>
        <w:t xml:space="preserve">9.总谐波失真：≤0.002%@1kHz</w:t>
      </w:r>
      <w:r/>
    </w:p>
    <w:p>
      <w:r>
        <w:rPr>
          <w:rFonts w:hint="eastAsia"/>
        </w:rPr>
        <w:t xml:space="preserve">标★项需提供省级或省级以上检验单位所出具的产品检测报告，加盖投标单位公章。</w:t>
      </w:r>
      <w:r/>
    </w:p>
    <w:p>
      <w:r/>
      <w:r/>
    </w:p>
    <w:p>
      <w:pPr>
        <w:pStyle w:val="885"/>
      </w:pPr>
      <w:r>
        <w:rPr>
          <w:rFonts w:hint="eastAsia"/>
        </w:rPr>
        <w:t xml:space="preserve">网线版手拉手会议控制主机</w:t>
      </w:r>
      <w:r/>
    </w:p>
    <w:p>
      <w:pPr>
        <w:rPr>
          <w:rFonts w:eastAsia="Calibri" w:cs="Arial"/>
          <w:b/>
          <w:bCs/>
        </w:rPr>
      </w:pPr>
      <w:r>
        <w:rPr>
          <w:rFonts w:eastAsia="Calibri" w:cs="Arial"/>
          <w:b/>
          <w:bCs/>
        </w:rPr>
      </w:r>
      <w:r/>
    </w:p>
    <w:p>
      <w:r>
        <w:rPr>
          <w:rFonts w:hint="eastAsia"/>
        </w:rPr>
        <w:t xml:space="preserve">有线会议主机功能特性：</w:t>
      </w:r>
      <w:r/>
    </w:p>
    <w:p>
      <w:r>
        <w:rPr>
          <w:rFonts w:hint="eastAsia"/>
        </w:rPr>
        <w:t xml:space="preserve">1. 具有2.8寸TFT高清显示屏，音频信号采用32bit高速浮点DSP处理。</w:t>
      </w:r>
      <w:r/>
    </w:p>
    <w:p>
      <w:r>
        <w:rPr>
          <w:rFonts w:hint="eastAsia"/>
        </w:rPr>
        <w:t xml:space="preserve">2.主机支持160个列席单元，主席数量最多可支持12个，发言人数最多可支持12人同时发言。</w:t>
      </w:r>
      <w:r/>
    </w:p>
    <w:p>
      <w:r>
        <w:rPr>
          <w:rFonts w:hint="eastAsia"/>
        </w:rPr>
        <w:t xml:space="preserve">3.具有5种会议模式：主席专用、先进先出、后进后出、限制模式、全开模式。</w:t>
      </w:r>
      <w:r/>
    </w:p>
    <w:p>
      <w:r>
        <w:rPr>
          <w:rFonts w:hint="eastAsia"/>
        </w:rPr>
        <w:t xml:space="preserve">4. 具有4路8芯线和4路RJ45网线话筒输入接口，满足使用场地不同布线方式需求，话筒为手拉手连接方式，支持热拔插。</w:t>
      </w:r>
      <w:r/>
    </w:p>
    <w:p>
      <w:r>
        <w:rPr>
          <w:rFonts w:hint="eastAsia"/>
        </w:rPr>
        <w:t xml:space="preserve">5. 话筒具有声控开咪、麦克风发言时间可以设置在0-99分99秒之间设定、带蜂鸣器开关功能。</w:t>
      </w:r>
      <w:r/>
    </w:p>
    <w:p>
      <w:r>
        <w:rPr>
          <w:rFonts w:hint="eastAsia"/>
        </w:rPr>
        <w:t xml:space="preserve">6.具有自动分配ID地址功能，避免话筒ID地址出现重复的情况。</w:t>
      </w:r>
      <w:r/>
    </w:p>
    <w:p>
      <w:r>
        <w:rPr>
          <w:rFonts w:hint="eastAsia"/>
          <w:lang w:val="en-US" w:eastAsia="zh-CN"/>
        </w:rPr>
        <w:t xml:space="preserve">7</w:t>
      </w:r>
      <w:r>
        <w:rPr>
          <w:rFonts w:hint="eastAsia"/>
        </w:rPr>
        <w:t xml:space="preserve">.具有视像跟踪功能实现视像跟踪，配合视频切换器，通过PC端软件设置,可以控制关闭单元及设置时间同步等;</w:t>
      </w:r>
      <w:r/>
    </w:p>
    <w:p>
      <w:r>
        <w:rPr>
          <w:rFonts w:hint="eastAsia"/>
          <w:lang w:val="en-US" w:eastAsia="zh-CN"/>
        </w:rPr>
        <w:t xml:space="preserve">8</w:t>
      </w:r>
      <w:r>
        <w:rPr>
          <w:rFonts w:hint="eastAsia"/>
        </w:rPr>
        <w:t xml:space="preserve">.列席单元无缝接入，随时更换或增加列席单元，无需中断会议进程。</w:t>
      </w:r>
      <w:r/>
    </w:p>
    <w:p>
      <w:r>
        <w:rPr>
          <w:rFonts w:hint="eastAsia"/>
          <w:lang w:val="en-US" w:eastAsia="zh-CN"/>
        </w:rPr>
        <w:t xml:space="preserve">9</w:t>
      </w:r>
      <w:r>
        <w:rPr>
          <w:rFonts w:hint="eastAsia"/>
        </w:rPr>
        <w:t xml:space="preserve">.主控机采用标准2U设计，可安装在19英寸标准机柜。</w:t>
      </w:r>
      <w:r/>
    </w:p>
    <w:p>
      <w:r>
        <w:rPr>
          <w:rFonts w:hint="eastAsia"/>
        </w:rPr>
        <w:t xml:space="preserve">主控机技术指标：</w:t>
      </w:r>
      <w:r/>
    </w:p>
    <w:p>
      <w:r>
        <w:rPr>
          <w:rFonts w:hint="eastAsia"/>
        </w:rPr>
        <w:t xml:space="preserve">1</w:t>
      </w:r>
      <w:r>
        <w:rPr>
          <w:rFonts w:hint="eastAsia"/>
          <w:lang w:val="en-US" w:eastAsia="zh-CN"/>
        </w:rPr>
        <w:t xml:space="preserve">0</w:t>
      </w:r>
      <w:r>
        <w:rPr>
          <w:rFonts w:hint="eastAsia"/>
        </w:rPr>
        <w:t xml:space="preserve">．话筒单元接口：</w:t>
      </w:r>
      <w:r>
        <w:rPr>
          <w:rFonts w:hint="eastAsia"/>
          <w:lang w:val="en-US" w:eastAsia="zh-CN"/>
        </w:rPr>
        <w:t xml:space="preserve">不低于</w:t>
      </w:r>
      <w:r>
        <w:rPr>
          <w:rFonts w:hint="eastAsia"/>
        </w:rPr>
        <w:t xml:space="preserve">4个DIN-8插座接口，4个RJ45网络接口；</w:t>
      </w:r>
      <w:r/>
    </w:p>
    <w:p>
      <w:r>
        <w:rPr>
          <w:rFonts w:hint="eastAsia"/>
        </w:rPr>
        <w:t xml:space="preserve">1</w:t>
      </w:r>
      <w:r>
        <w:rPr>
          <w:rFonts w:hint="eastAsia"/>
          <w:lang w:val="en-US" w:eastAsia="zh-CN"/>
        </w:rPr>
        <w:t xml:space="preserve">2</w:t>
      </w:r>
      <w:r>
        <w:rPr>
          <w:rFonts w:hint="eastAsia"/>
        </w:rPr>
        <w:t xml:space="preserve">．中控接口：</w:t>
      </w:r>
      <w:r>
        <w:rPr>
          <w:rFonts w:hint="eastAsia"/>
          <w:lang w:val="en-US" w:eastAsia="zh-CN"/>
        </w:rPr>
        <w:t xml:space="preserve">不低于</w:t>
      </w:r>
      <w:r>
        <w:rPr>
          <w:rFonts w:hint="eastAsia"/>
        </w:rPr>
        <w:t xml:space="preserve">1个RS232中控串口、 1个RS232（8P S）视像控制接口、1个RS232视像输出接口、1个RS485视像接线端子、1个RS232中控接线端子；</w:t>
      </w:r>
      <w:r/>
    </w:p>
    <w:p>
      <w:r>
        <w:rPr>
          <w:rFonts w:hint="eastAsia"/>
        </w:rPr>
        <w:t xml:space="preserve">1</w:t>
      </w:r>
      <w:r>
        <w:rPr>
          <w:rFonts w:hint="eastAsia"/>
          <w:lang w:val="en-US" w:eastAsia="zh-CN"/>
        </w:rPr>
        <w:t xml:space="preserve">3</w:t>
      </w:r>
      <w:r>
        <w:rPr>
          <w:rFonts w:hint="eastAsia"/>
        </w:rPr>
        <w:t xml:space="preserve">．音频接口：</w:t>
      </w:r>
      <w:r>
        <w:rPr>
          <w:rFonts w:hint="eastAsia"/>
          <w:lang w:val="en-US" w:eastAsia="zh-CN"/>
        </w:rPr>
        <w:t xml:space="preserve">不低于</w:t>
      </w:r>
      <w:r>
        <w:rPr>
          <w:rFonts w:hint="eastAsia"/>
        </w:rPr>
        <w:t xml:space="preserve">1个XLR卡侬主输出接口、1个6.3mm主输出接口、1个RCA辅助输入接口、1个RCA录音输出接口、1个TEL输入接口、1个TEL输出接口；</w:t>
      </w:r>
      <w:r/>
    </w:p>
    <w:p>
      <w:r>
        <w:rPr>
          <w:rFonts w:hint="eastAsia"/>
        </w:rPr>
        <w:t xml:space="preserve">1</w:t>
      </w:r>
      <w:r>
        <w:rPr>
          <w:rFonts w:hint="eastAsia"/>
          <w:lang w:val="en-US" w:eastAsia="zh-CN"/>
        </w:rPr>
        <w:t xml:space="preserve">4</w:t>
      </w:r>
      <w:r>
        <w:rPr>
          <w:rFonts w:hint="eastAsia"/>
        </w:rPr>
        <w:t xml:space="preserve">．PC控制接口：</w:t>
      </w:r>
      <w:r>
        <w:rPr>
          <w:rFonts w:hint="eastAsia"/>
          <w:lang w:val="en-US" w:eastAsia="zh-CN"/>
        </w:rPr>
        <w:t xml:space="preserve">不低于</w:t>
      </w:r>
      <w:r>
        <w:rPr>
          <w:rFonts w:hint="eastAsia"/>
        </w:rPr>
        <w:t xml:space="preserve">1个USB接口；</w:t>
      </w:r>
      <w:r/>
    </w:p>
    <w:p>
      <w:r>
        <w:rPr>
          <w:rFonts w:hint="eastAsia"/>
        </w:rPr>
        <w:t xml:space="preserve">1</w:t>
      </w:r>
      <w:r>
        <w:rPr>
          <w:rFonts w:hint="eastAsia"/>
          <w:lang w:val="en-US" w:eastAsia="zh-CN"/>
        </w:rPr>
        <w:t xml:space="preserve">5</w:t>
      </w:r>
      <w:r>
        <w:rPr>
          <w:rFonts w:hint="eastAsia"/>
        </w:rPr>
        <w:t xml:space="preserve">．频率响应：不低于44Hz~20KHz；</w:t>
      </w:r>
      <w:r/>
    </w:p>
    <w:p>
      <w:r>
        <w:rPr>
          <w:rFonts w:hint="eastAsia"/>
        </w:rPr>
        <w:t xml:space="preserve">1</w:t>
      </w:r>
      <w:r>
        <w:rPr>
          <w:rFonts w:hint="eastAsia"/>
          <w:lang w:val="en-US" w:eastAsia="zh-CN"/>
        </w:rPr>
        <w:t xml:space="preserve">6</w:t>
      </w:r>
      <w:r>
        <w:rPr>
          <w:rFonts w:hint="eastAsia"/>
        </w:rPr>
        <w:t xml:space="preserve">．总谐波失真：≤2.37%；</w:t>
      </w:r>
      <w:r/>
    </w:p>
    <w:p>
      <w:r>
        <w:rPr>
          <w:rFonts w:hint="eastAsia"/>
        </w:rPr>
        <w:t xml:space="preserve">1</w:t>
      </w:r>
      <w:r>
        <w:rPr>
          <w:rFonts w:hint="eastAsia"/>
          <w:lang w:val="en-US" w:eastAsia="zh-CN"/>
        </w:rPr>
        <w:t xml:space="preserve">7</w:t>
      </w:r>
      <w:r>
        <w:rPr>
          <w:rFonts w:hint="eastAsia"/>
        </w:rPr>
        <w:t xml:space="preserve">．信噪比：＞96dB；</w:t>
      </w:r>
      <w:r/>
    </w:p>
    <w:p>
      <w:r/>
      <w:r/>
    </w:p>
    <w:p>
      <w:pPr>
        <w:pStyle w:val="885"/>
      </w:pPr>
      <w:r>
        <w:rPr>
          <w:rFonts w:hint="eastAsia"/>
        </w:rPr>
        <w:t xml:space="preserve">网线版手拉手会议主席/代表单元</w:t>
      </w:r>
      <w:r/>
    </w:p>
    <w:p>
      <w:r>
        <w:rPr>
          <w:rFonts w:hint="eastAsia"/>
        </w:rPr>
        <w:t xml:space="preserve">1．采用超心型电容式拾音器，高质量高清晰度拾取。</w:t>
      </w:r>
      <w:r/>
    </w:p>
    <w:p>
      <w:r>
        <w:rPr>
          <w:rFonts w:hint="eastAsia"/>
        </w:rPr>
        <w:t xml:space="preserve">2．采用2.8寸TFT彩屏，使用时间、话筒ID号及发言状态。</w:t>
      </w:r>
      <w:r/>
    </w:p>
    <w:p>
      <w:r>
        <w:rPr>
          <w:rFonts w:hint="eastAsia"/>
        </w:rPr>
        <w:t xml:space="preserve">3．采用方型外观话筒杆</w:t>
      </w:r>
      <w:r/>
    </w:p>
    <w:p>
      <w:r>
        <w:rPr>
          <w:rFonts w:hint="eastAsia"/>
        </w:rPr>
        <w:t xml:space="preserve">4．话筒底座设计有一个3.5mm耳机接口可监听其它单元发言，一个Type-C接口。</w:t>
      </w:r>
      <w:r/>
    </w:p>
    <w:p>
      <w:r>
        <w:rPr>
          <w:rFonts w:hint="eastAsia"/>
        </w:rPr>
        <w:t xml:space="preserve">5．话筒使用超级抗干扰电路设计，可防止手机、无线电等信号对话筒进行干扰。</w:t>
      </w:r>
      <w:r/>
    </w:p>
    <w:p>
      <w:r>
        <w:rPr>
          <w:rFonts w:hint="eastAsia"/>
        </w:rPr>
        <w:t xml:space="preserve">6．主席单元具有优先键，可关闭正在发言的代表话筒。</w:t>
      </w:r>
      <w:r/>
    </w:p>
    <w:p>
      <w:r>
        <w:rPr>
          <w:rFonts w:hint="eastAsia"/>
        </w:rPr>
        <w:t xml:space="preserve"> 话筒参数</w:t>
      </w:r>
      <w:r/>
    </w:p>
    <w:p>
      <w:r>
        <w:rPr>
          <w:rFonts w:hint="eastAsia"/>
        </w:rPr>
        <w:t xml:space="preserve">7．指向性：超心形指向；</w:t>
      </w:r>
      <w:r/>
    </w:p>
    <w:p>
      <w:r>
        <w:rPr>
          <w:rFonts w:hint="eastAsia"/>
        </w:rPr>
        <w:t xml:space="preserve">8．灵敏度：-24.6dBV/Pa；</w:t>
      </w:r>
      <w:r/>
    </w:p>
    <w:p>
      <w:r>
        <w:rPr>
          <w:rFonts w:hint="eastAsia"/>
        </w:rPr>
        <w:t xml:space="preserve">9．频率响应：50Hz~18KHz；</w:t>
      </w:r>
      <w:r/>
    </w:p>
    <w:p>
      <w:r>
        <w:rPr>
          <w:rFonts w:hint="eastAsia"/>
        </w:rPr>
        <w:t xml:space="preserve">10．声压级：125 dB (THD&lt;3%)；</w:t>
      </w:r>
      <w:r/>
    </w:p>
    <w:p>
      <w:r>
        <w:rPr>
          <w:rFonts w:hint="eastAsia"/>
        </w:rPr>
        <w:t xml:space="preserve">11．信噪比：＞80dB；</w:t>
      </w:r>
      <w:r/>
    </w:p>
    <w:p>
      <w:r>
        <w:rPr>
          <w:rFonts w:hint="eastAsia"/>
        </w:rPr>
        <w:t xml:space="preserve">12．通道串音：＞80dB；</w:t>
      </w:r>
      <w:r/>
    </w:p>
    <w:p>
      <w:r>
        <w:rPr>
          <w:rFonts w:hint="eastAsia"/>
        </w:rPr>
        <w:t xml:space="preserve">13．总谐波失真：&lt;0.05%；</w:t>
      </w:r>
      <w:r/>
    </w:p>
    <w:p>
      <w:r>
        <w:rPr>
          <w:rFonts w:hint="eastAsia"/>
        </w:rPr>
        <w:t xml:space="preserve">14．话筒杆长度不大于220mm；</w:t>
      </w:r>
      <w:r/>
    </w:p>
    <w:p>
      <w:r/>
      <w:r/>
    </w:p>
    <w:p>
      <w:pPr>
        <w:pStyle w:val="885"/>
      </w:pPr>
      <w:r>
        <w:rPr>
          <w:rFonts w:hint="eastAsia"/>
        </w:rPr>
        <w:t xml:space="preserve">无线手持话筒</w:t>
      </w:r>
      <w:r/>
    </w:p>
    <w:p>
      <w:r>
        <w:rPr>
          <w:rFonts w:hint="eastAsia"/>
        </w:rPr>
        <w:t xml:space="preserve">U段双手持双接收无线话筒(心型指向)；</w:t>
      </w:r>
      <w:r/>
    </w:p>
    <w:p>
      <w:r>
        <w:rPr>
          <w:rFonts w:hint="eastAsia"/>
        </w:rPr>
        <w:t xml:space="preserve">射频载波范围(UHF)：602.8~ 699MHz；</w:t>
      </w:r>
      <w:r/>
    </w:p>
    <w:p>
      <w:r>
        <w:rPr>
          <w:rFonts w:hint="eastAsia"/>
        </w:rPr>
        <w:t xml:space="preserve">振荡方式：PLL锁相环合成；</w:t>
      </w:r>
      <w:r/>
    </w:p>
    <w:p>
      <w:r>
        <w:rPr>
          <w:rFonts w:hint="eastAsia"/>
        </w:rPr>
        <w:t xml:space="preserve">工作距离：理想条件下90m；</w:t>
      </w:r>
      <w:r/>
    </w:p>
    <w:p>
      <w:r>
        <w:rPr>
          <w:rFonts w:hint="eastAsia"/>
        </w:rPr>
        <w:t xml:space="preserve">搜频设置：内置传输频率搜索功能；</w:t>
      </w:r>
      <w:r/>
    </w:p>
    <w:p>
      <w:r>
        <w:rPr>
          <w:rFonts w:hint="eastAsia"/>
        </w:rPr>
        <w:t xml:space="preserve">制式：FM调频；</w:t>
      </w:r>
      <w:r/>
    </w:p>
    <w:p>
      <w:r>
        <w:rPr>
          <w:rFonts w:hint="eastAsia"/>
        </w:rPr>
        <w:t xml:space="preserve">预设通道：32；</w:t>
      </w:r>
      <w:r/>
    </w:p>
    <w:p>
      <w:r>
        <w:rPr>
          <w:rFonts w:hint="eastAsia"/>
        </w:rPr>
        <w:t xml:space="preserve">频响范围：不低于45Hz ~ 18kHz(±3dB)；</w:t>
      </w:r>
      <w:r/>
    </w:p>
    <w:p>
      <w:r>
        <w:rPr>
          <w:rFonts w:hint="eastAsia"/>
        </w:rPr>
        <w:t xml:space="preserve">频带宽度：≥30MHz；</w:t>
      </w:r>
      <w:r/>
    </w:p>
    <w:p>
      <w:r>
        <w:rPr>
          <w:rFonts w:hint="eastAsia"/>
        </w:rPr>
        <w:t xml:space="preserve">THD总谐波失真：＜ 0.7@1kHz%；</w:t>
      </w:r>
      <w:r/>
    </w:p>
    <w:p>
      <w:r>
        <w:rPr>
          <w:rFonts w:hint="eastAsia"/>
        </w:rPr>
        <w:t xml:space="preserve">信噪比：≥99dB；</w:t>
      </w:r>
      <w:r/>
    </w:p>
    <w:p>
      <w:r>
        <w:rPr>
          <w:rFonts w:hint="eastAsia"/>
        </w:rPr>
        <w:t xml:space="preserve">电源要求：100-240V；</w:t>
      </w:r>
      <w:r/>
    </w:p>
    <w:p>
      <w:pPr>
        <w:ind w:firstLine="560"/>
        <w:rPr>
          <w:rFonts w:eastAsia="Calibri" w:cs="Arial"/>
          <w:b/>
          <w:bCs/>
          <w:sz w:val="28"/>
          <w:szCs w:val="28"/>
        </w:rPr>
      </w:pPr>
      <w:r>
        <w:rPr>
          <w:rFonts w:eastAsia="Calibri" w:cs="Arial"/>
          <w:b/>
          <w:bCs/>
          <w:sz w:val="28"/>
          <w:szCs w:val="28"/>
        </w:rPr>
      </w:r>
      <w:r/>
    </w:p>
    <w:p>
      <w:pPr>
        <w:pStyle w:val="885"/>
      </w:pPr>
      <w:r>
        <w:rPr>
          <w:rFonts w:hint="eastAsia"/>
        </w:rPr>
        <w:t xml:space="preserve">天线放大器</w:t>
      </w:r>
      <w:r/>
    </w:p>
    <w:p>
      <w:r>
        <w:rPr>
          <w:rFonts w:hint="eastAsia"/>
        </w:rPr>
        <w:t xml:space="preserve">天线板(含天线放大器)；</w:t>
      </w:r>
      <w:r/>
    </w:p>
    <w:p>
      <w:r>
        <w:rPr>
          <w:rFonts w:hint="eastAsia"/>
        </w:rPr>
        <w:t xml:space="preserve">频率范围：470~960MHz；</w:t>
      </w:r>
      <w:r/>
    </w:p>
    <w:p>
      <w:r>
        <w:rPr>
          <w:rFonts w:hint="eastAsia"/>
        </w:rPr>
        <w:t xml:space="preserve">天线增益：7.5dBi；</w:t>
      </w:r>
      <w:r/>
    </w:p>
    <w:p>
      <w:r>
        <w:rPr>
          <w:rFonts w:hint="eastAsia"/>
        </w:rPr>
        <w:t xml:space="preserve">内部放大器增益：-9dB~16dB可调节；</w:t>
      </w:r>
      <w:r/>
    </w:p>
    <w:p>
      <w:r>
        <w:rPr>
          <w:rFonts w:hint="eastAsia"/>
        </w:rPr>
        <w:t xml:space="preserve">输出接口：BNC母座≥1；</w:t>
      </w:r>
      <w:r/>
    </w:p>
    <w:p>
      <w:r>
        <w:rPr>
          <w:rFonts w:hint="eastAsia"/>
        </w:rPr>
        <w:t xml:space="preserve">驻波比：＜2：1；</w:t>
      </w:r>
      <w:r/>
    </w:p>
    <w:p>
      <w:r>
        <w:rPr>
          <w:rFonts w:hint="eastAsia"/>
        </w:rPr>
        <w:t xml:space="preserve">3dB波速宽：垂直面≤90°，水平面≥120°；</w:t>
      </w:r>
      <w:r/>
    </w:p>
    <w:p>
      <w:r>
        <w:rPr>
          <w:rFonts w:hint="eastAsia"/>
        </w:rPr>
        <w:t xml:space="preserve">系统抗阻：50欧姆；</w:t>
      </w:r>
      <w:r/>
    </w:p>
    <w:p>
      <w:r/>
      <w:r/>
    </w:p>
    <w:p>
      <w:pPr>
        <w:pStyle w:val="885"/>
      </w:pPr>
      <w:r>
        <w:rPr>
          <w:rFonts w:hint="eastAsia"/>
        </w:rPr>
        <w:t xml:space="preserve">智能话筒处理器</w:t>
      </w:r>
      <w:r/>
    </w:p>
    <w:p>
      <w:r>
        <w:rPr>
          <w:rFonts w:hint="eastAsia"/>
        </w:rPr>
        <w:t xml:space="preserve">1.智能话筒处理器；</w:t>
      </w:r>
      <w:r/>
    </w:p>
    <w:p>
      <w:r>
        <w:rPr>
          <w:rFonts w:hint="eastAsia"/>
        </w:rPr>
        <w:t xml:space="preserve">1、2路卡侬输入，2路大三芯输入；</w:t>
      </w:r>
      <w:r/>
    </w:p>
    <w:p>
      <w:r>
        <w:rPr>
          <w:rFonts w:hint="eastAsia"/>
        </w:rPr>
        <w:t xml:space="preserve">2、2路卡侬输出，2路大三芯输出；</w:t>
      </w:r>
      <w:r/>
    </w:p>
    <w:p>
      <w:r>
        <w:rPr>
          <w:rFonts w:hint="eastAsia"/>
        </w:rPr>
        <w:t xml:space="preserve">3、可以选择线路输入或麦克风输入（麦克风输入带48V幻像电源功能）；</w:t>
      </w:r>
      <w:r/>
    </w:p>
    <w:p>
      <w:r>
        <w:rPr>
          <w:rFonts w:hint="eastAsia"/>
        </w:rPr>
        <w:t xml:space="preserve">4、每个输入通道带AI人工智能语音降噪（ANS)功能，能有效滤除话筒拾取到的空调、摩擦、翻书等环境噪音；</w:t>
      </w:r>
      <w:r/>
    </w:p>
    <w:p>
      <w:pPr>
        <w:rPr>
          <w:rFonts w:hint="eastAsia"/>
        </w:rPr>
      </w:pPr>
      <w:r>
        <w:rPr>
          <w:rFonts w:hint="eastAsia"/>
        </w:rPr>
        <w:t xml:space="preserve">5、★每个输入通道带(AGC)自动增益控制功能，增加话筒有效拾音距离</w:t>
      </w:r>
      <w:r/>
    </w:p>
    <w:p>
      <w:r>
        <w:rPr>
          <w:rFonts w:hint="eastAsia"/>
        </w:rPr>
        <w:t xml:space="preserve">6、每个输入通道带(AFS)自动反馈抑制器、分频器、10段参量均衡器；</w:t>
      </w:r>
      <w:r/>
    </w:p>
    <w:p>
      <w:r>
        <w:rPr>
          <w:rFonts w:hint="eastAsia"/>
        </w:rPr>
        <w:t xml:space="preserve">7、最大输入电平：线路输入+15dBu@1kHz，麦克风输入10dBu@1kHz；</w:t>
      </w:r>
      <w:r/>
    </w:p>
    <w:p>
      <w:r>
        <w:rPr>
          <w:rFonts w:hint="eastAsia"/>
        </w:rPr>
        <w:t xml:space="preserve">8、最大输出电平：线路输出+15dBu@1kHz；</w:t>
      </w:r>
      <w:r/>
    </w:p>
    <w:p>
      <w:r>
        <w:rPr>
          <w:rFonts w:hint="eastAsia"/>
        </w:rPr>
        <w:t xml:space="preserve">9、频率响应：不低于65Hz～20kHz（+/-1dB）；</w:t>
      </w:r>
      <w:r/>
    </w:p>
    <w:p>
      <w:r>
        <w:rPr>
          <w:rFonts w:hint="eastAsia"/>
        </w:rPr>
        <w:t xml:space="preserve">10、输入/输出动态范围：110dB；</w:t>
      </w:r>
      <w:r/>
    </w:p>
    <w:p>
      <w:r>
        <w:rPr>
          <w:rFonts w:hint="eastAsia"/>
        </w:rPr>
        <w:t xml:space="preserve">11、总谐波失真: ≤0.02%；</w:t>
      </w:r>
      <w:r/>
    </w:p>
    <w:p>
      <w:r>
        <w:rPr>
          <w:rFonts w:hint="eastAsia"/>
        </w:rPr>
        <w:t xml:space="preserve">12、采样率：48kHz；</w:t>
      </w:r>
      <w:r/>
    </w:p>
    <w:p>
      <w:r>
        <w:rPr>
          <w:rFonts w:hint="eastAsia"/>
        </w:rPr>
        <w:t xml:space="preserve">13、信噪比：≥93dB；</w:t>
      </w:r>
      <w:r/>
    </w:p>
    <w:p>
      <w:r>
        <w:rPr>
          <w:rFonts w:hint="eastAsia"/>
        </w:rPr>
        <w:t xml:space="preserve">1</w:t>
      </w:r>
      <w:r>
        <w:rPr>
          <w:rFonts w:hint="eastAsia"/>
          <w:lang w:val="en-US" w:eastAsia="zh-CN"/>
        </w:rPr>
        <w:t xml:space="preserve">4</w:t>
      </w:r>
      <w:r>
        <w:rPr>
          <w:rFonts w:hint="eastAsia"/>
        </w:rPr>
        <w:t xml:space="preserve">、场景：设备内部可保存不低于23组预设；</w:t>
      </w:r>
      <w:r/>
    </w:p>
    <w:p>
      <w:r>
        <w:rPr>
          <w:rFonts w:hint="eastAsia"/>
        </w:rPr>
        <w:t xml:space="preserve">1</w:t>
      </w:r>
      <w:r>
        <w:rPr>
          <w:rFonts w:hint="eastAsia"/>
          <w:lang w:val="en-US" w:eastAsia="zh-CN"/>
        </w:rPr>
        <w:t xml:space="preserve">5</w:t>
      </w:r>
      <w:r>
        <w:rPr>
          <w:rFonts w:hint="eastAsia"/>
        </w:rPr>
        <w:t xml:space="preserve">、电源：~220V±20%，50Hz/60Hz；</w:t>
      </w:r>
      <w:r/>
    </w:p>
    <w:p>
      <w:r>
        <w:rPr>
          <w:rFonts w:hint="eastAsia"/>
        </w:rPr>
        <w:t xml:space="preserve">标★项需提供省级或省级以上检验单位所出具的产品检测报告，加盖投标单位公章。</w:t>
      </w:r>
      <w:r/>
    </w:p>
    <w:p>
      <w:pPr>
        <w:pStyle w:val="1072"/>
      </w:pPr>
      <w:r>
        <w:rPr>
          <w:rFonts w:hint="eastAsia"/>
        </w:rPr>
        <w:t xml:space="preserve">数字调音台</w:t>
      </w:r>
      <w:r/>
    </w:p>
    <w:p>
      <w:r>
        <w:rPr>
          <w:rFonts w:hint="eastAsia"/>
        </w:rPr>
        <w:t xml:space="preserve">1.具有10.1寸电容触摸屏，分辨率：1280*800；13个100mm电动推子；</w:t>
      </w:r>
      <w:r/>
    </w:p>
    <w:p>
      <w:r>
        <w:rPr>
          <w:rFonts w:hint="eastAsia"/>
        </w:rPr>
        <w:t xml:space="preserve">2.输入通道接口：14路麦克风输入、2路线路输入/1组USB/1组S/PDIF/1组optical；</w:t>
      </w:r>
      <w:r/>
    </w:p>
    <w:p>
      <w:r>
        <w:rPr>
          <w:rFonts w:hint="eastAsia"/>
        </w:rPr>
        <w:t xml:space="preserve">3、输入支持12路自动混音功能，具有两个独立自动混音组；</w:t>
      </w:r>
      <w:r/>
    </w:p>
    <w:p>
      <w:r>
        <w:rPr>
          <w:rFonts w:hint="eastAsia"/>
        </w:rPr>
        <w:t xml:space="preserve">4、每个输入通道具有独立的反相功能、反馈抑制器、噪声门（启动时间、恢复时间最大可支持1000ms）、压缩器、高通滤波器/HPF、低通滤波器/LPF（贝塞尔、巴特沃斯、林克-瑞利三种类型,每种类型支持-6dB -12dB -18dB -24dB四种斜率选择、频率支持20Hz~20000Hz调节）、4段参量均衡/PEQ（PEQ参数调整可独立存储，自定义存储预设100个，且支持数据的导入、导出）；</w:t>
      </w:r>
      <w:r/>
    </w:p>
    <w:p>
      <w:r>
        <w:rPr>
          <w:rFonts w:hint="eastAsia"/>
        </w:rPr>
        <w:t xml:space="preserve">5、输出通道：1组立体声L/R输出、6路BUS母线输出、2路AUX辅助输出、1组AES、1组耳机监听输出）；</w:t>
      </w:r>
      <w:r/>
    </w:p>
    <w:p>
      <w:r>
        <w:rPr>
          <w:rFonts w:hint="eastAsia"/>
        </w:rPr>
        <w:t xml:space="preserve">6、输出通道具有反相功能、8段参量均衡/PEQ、高通滤波器/HPF、低通滤波器/LPF（贝塞尔、巴特沃斯、林克-瑞利三种类型,每种类型支持-6dB -12dB -18dB -24dB四种斜率选择、压缩器、输出延时（最大支持1800ms）；</w:t>
      </w:r>
      <w:r/>
    </w:p>
    <w:p>
      <w:r>
        <w:rPr>
          <w:rFonts w:hint="eastAsia"/>
        </w:rPr>
        <w:t xml:space="preserve">7、2路独立效果器总线，效果总线支持3段参量均衡/PEQ，高通滤波器/HPF、低通滤波器/LPF（贝塞尔、巴特沃斯、林克-瑞利三种类型,每种类型支持-6dB -12dB -18dB -24dB四种斜率选择、单路效果总线内置预设6个效果类型（支持24个用户效果预设库）；</w:t>
      </w:r>
      <w:r/>
    </w:p>
    <w:p>
      <w:r>
        <w:rPr>
          <w:rFonts w:hint="eastAsia"/>
        </w:rPr>
        <w:t xml:space="preserve">8、输入、输出层分别支持8组link及输入通道的立体声Link；内置信号发生器(粉噪、正弦波、白噪三种,频率0~24000Hz、增益-70~+12dB可调)；</w:t>
      </w:r>
      <w:r/>
    </w:p>
    <w:p>
      <w:r>
        <w:rPr>
          <w:rFonts w:hint="eastAsia"/>
        </w:rPr>
        <w:t xml:space="preserve">9、具有系统锁功能，可对输入、输出中的增益、反相、通道静音、参量均衡/PEQ、推子、效果器、场景预设调用等全部锁定；</w:t>
      </w:r>
      <w:r/>
    </w:p>
    <w:p>
      <w:r>
        <w:rPr>
          <w:rFonts w:hint="eastAsia"/>
        </w:rPr>
        <w:t xml:space="preserve">10、输入、输出通道名称支持中、英文命名；支持100种场景预设存储，预设存储场景可单个或全部导入、导出；</w:t>
      </w:r>
      <w:r/>
    </w:p>
    <w:p>
      <w:r>
        <w:rPr>
          <w:rFonts w:hint="eastAsia"/>
        </w:rPr>
        <w:t xml:space="preserve">11、具有1个RS-232接口、一个100M以太网口(PC连接及网络升级)，提供开放式TCP/IP、RS-232第三方控制协议；2个USB接口（支持USB录音、支持中文歌曲文件名播放、APE无损音频、WAV、MP3、FALC 四种主流音频格式播放，所有歌曲名能够在iPad APP及PC控制软件上同步显示；用于固件升级、接USB鼠标即插即用，还可选配USB WIFI热点用于无线设备远程控制）；</w:t>
      </w:r>
      <w:r/>
    </w:p>
    <w:p>
      <w:r>
        <w:rPr>
          <w:rFonts w:hint="eastAsia"/>
        </w:rPr>
        <w:t xml:space="preserve">12、具有全功能ipad app、PC操作软件、安卓app，支持不低于8个应用终端同时控制；</w:t>
      </w:r>
      <w:r/>
    </w:p>
    <w:p>
      <w:r>
        <w:rPr>
          <w:rFonts w:hint="eastAsia"/>
        </w:rPr>
        <w:t xml:space="preserve">13、★软件设置界面能实时监测各功能模块运行是否正常（包含DSP工作状态、编解码、数模转换、模数转换、触摸屏、按键板、TCP端口、DCA设置、系统锁、语言、以太网IP状态，WIFI状态、设备ID、ARM版本、App版本、App密码、CPU温度、系统时钟、运行时间）；</w:t>
      </w:r>
      <w:r/>
    </w:p>
    <w:p>
      <w:r>
        <w:rPr>
          <w:rFonts w:hint="eastAsia"/>
        </w:rPr>
        <w:t xml:space="preserve">14、操作界面支持中英文切换；</w:t>
      </w:r>
      <w:r/>
    </w:p>
    <w:p>
      <w:r>
        <w:rPr>
          <w:rFonts w:hint="eastAsia"/>
        </w:rPr>
        <w:t xml:space="preserve">15、可选配全通滤波器、动态均衡器功能、双机同步热备份功能（高端版本）；</w:t>
      </w:r>
      <w:r/>
    </w:p>
    <w:p>
      <w:r>
        <w:rPr>
          <w:rFonts w:hint="eastAsia"/>
        </w:rPr>
        <w:t xml:space="preserve">16、信噪比：≥110dB；</w:t>
      </w:r>
      <w:r/>
    </w:p>
    <w:p>
      <w:r>
        <w:rPr>
          <w:rFonts w:hint="eastAsia"/>
        </w:rPr>
        <w:t xml:space="preserve">17、频率响应 ：不低于20Hz-20kHz(±1dB）；</w:t>
      </w:r>
      <w:r/>
    </w:p>
    <w:p>
      <w:r>
        <w:rPr>
          <w:rFonts w:hint="eastAsia"/>
        </w:rPr>
        <w:t xml:space="preserve">18、总谐波失真：≤0.005%；</w:t>
      </w:r>
      <w:r/>
    </w:p>
    <w:p>
      <w:r>
        <w:rPr>
          <w:rFonts w:hint="eastAsia"/>
        </w:rPr>
        <w:t xml:space="preserve">19、输出最大电平：≥18dB；</w:t>
      </w:r>
      <w:r/>
    </w:p>
    <w:p>
      <w:r>
        <w:rPr>
          <w:rFonts w:hint="eastAsia"/>
        </w:rPr>
        <w:t xml:space="preserve">标★项需提供省级或省级以上检验单位所出具的产品检测报告，加盖投标单位公章。</w:t>
      </w:r>
      <w:r/>
    </w:p>
    <w:p>
      <w:pPr>
        <w:pStyle w:val="1072"/>
      </w:pPr>
      <w:r>
        <w:rPr>
          <w:rFonts w:hint="eastAsia"/>
        </w:rPr>
        <w:t xml:space="preserve">电源时序器</w:t>
      </w:r>
      <w:r/>
    </w:p>
    <w:p>
      <w:r>
        <w:rPr>
          <w:rFonts w:hint="eastAsia"/>
        </w:rPr>
        <w:t xml:space="preserve">电源输出插座：9路（8路受控+1路不受控），可兼容10A和16A的国标、欧标、美标、英标插头；</w:t>
      </w:r>
      <w:r/>
    </w:p>
    <w:p>
      <w:r>
        <w:rPr>
          <w:rFonts w:hint="eastAsia"/>
        </w:rPr>
        <w:t xml:space="preserve">电源限制总容量：~180V ~250V/45A；</w:t>
      </w:r>
      <w:r/>
    </w:p>
    <w:p>
      <w:r>
        <w:rPr>
          <w:rFonts w:hint="eastAsia"/>
        </w:rPr>
        <w:t xml:space="preserve">总电源输入接线：空气开关*1，标配3 * 4 mm（三芯国标电源线约1.2米）；</w:t>
      </w:r>
      <w:r/>
    </w:p>
    <w:p>
      <w:r>
        <w:rPr>
          <w:rFonts w:hint="eastAsia"/>
        </w:rPr>
        <w:t xml:space="preserve">控制接口：1个RS23 2串口、1个线控接口；</w:t>
      </w:r>
      <w:r/>
    </w:p>
    <w:p>
      <w:r>
        <w:rPr>
          <w:rFonts w:hint="eastAsia"/>
        </w:rPr>
        <w:t xml:space="preserve">输入电源：AC220V 50Hz；</w:t>
      </w:r>
      <w:r/>
    </w:p>
    <w:p>
      <w:r>
        <w:rPr>
          <w:rFonts w:hint="eastAsia"/>
        </w:rPr>
        <w:t xml:space="preserve">电压指示表：0-300V；</w:t>
      </w:r>
      <w:r/>
    </w:p>
    <w:p>
      <w:r>
        <w:rPr>
          <w:rFonts w:hint="eastAsia"/>
        </w:rPr>
        <w:t xml:space="preserve">时序延时时间：1s；</w:t>
      </w:r>
      <w:r/>
    </w:p>
    <w:p>
      <w:r/>
      <w:r/>
    </w:p>
    <w:p>
      <w:pPr>
        <w:pStyle w:val="1071"/>
        <w:ind w:left="480"/>
        <w:rPr>
          <w:sz w:val="28"/>
          <w:szCs w:val="28"/>
        </w:rPr>
      </w:pPr>
      <w:r>
        <w:rPr>
          <w:rFonts w:hint="eastAsia"/>
          <w:sz w:val="28"/>
          <w:szCs w:val="28"/>
        </w:rPr>
        <w:t xml:space="preserve">三、后端扩容参数要求</w:t>
      </w:r>
      <w:r/>
    </w:p>
    <w:p>
      <w:pPr>
        <w:pStyle w:val="1072"/>
        <w:rPr>
          <w:sz w:val="24"/>
          <w:szCs w:val="24"/>
        </w:rPr>
      </w:pPr>
      <w:r/>
      <w:bookmarkStart w:id="201" w:name="_Toc11696"/>
      <w:r>
        <w:rPr>
          <w:rFonts w:hint="eastAsia"/>
          <w:sz w:val="24"/>
          <w:szCs w:val="24"/>
        </w:rPr>
        <w:t xml:space="preserve">网络存储设备（48盘位，满配16T硬盘）</w:t>
      </w:r>
      <w:r/>
    </w:p>
    <w:p>
      <w:pPr>
        <w:rPr>
          <w:rFonts w:cs="宋体"/>
        </w:rPr>
      </w:pPr>
      <w:r>
        <w:rPr>
          <w:rFonts w:hint="eastAsia" w:cs="宋体"/>
        </w:rPr>
        <w:t xml:space="preserve">服务器配置：≥</w:t>
      </w:r>
      <w:r>
        <w:rPr>
          <w:rFonts w:cs="宋体"/>
        </w:rPr>
        <w:t xml:space="preserve">2颗64位多核处理器，≥64GB内存，内存支持扩展到≥256GB，内置2颗SSD图片加速盘，≥2个千兆电口，≥2个万兆光口。</w:t>
      </w:r>
      <w:r/>
    </w:p>
    <w:p>
      <w:pPr>
        <w:rPr>
          <w:rFonts w:cs="宋体"/>
        </w:rPr>
      </w:pPr>
      <w:r>
        <w:rPr>
          <w:rFonts w:hint="eastAsia" w:cs="宋体"/>
        </w:rPr>
        <w:t xml:space="preserve">设备自带</w:t>
      </w:r>
      <w:r>
        <w:rPr>
          <w:rFonts w:cs="宋体"/>
        </w:rPr>
        <w:t xml:space="preserve">48块3.5寸16T企业级硬盘。</w:t>
      </w:r>
      <w:r/>
    </w:p>
    <w:p>
      <w:pPr>
        <w:rPr>
          <w:rFonts w:cs="宋体"/>
        </w:rPr>
      </w:pPr>
      <w:r>
        <w:rPr>
          <w:rFonts w:hint="eastAsia" w:cs="宋体"/>
        </w:rPr>
        <w:t xml:space="preserve">具有</w:t>
      </w:r>
      <w:r>
        <w:rPr>
          <w:rFonts w:cs="宋体"/>
        </w:rPr>
        <w:t xml:space="preserve">48块硬盘热插拔插槽；支持硬盘热插拔设备在读写数据时，热插拔设备内的任意块硬盘，设备正常运行不宕机，硬盘不损坏，数据不丢失，业务不中断。</w:t>
      </w:r>
      <w:r/>
    </w:p>
    <w:p>
      <w:pPr>
        <w:rPr>
          <w:rFonts w:cs="宋体"/>
        </w:rPr>
      </w:pPr>
      <w:r>
        <w:rPr>
          <w:rFonts w:hint="eastAsia" w:cs="宋体"/>
        </w:rPr>
        <w:t xml:space="preserve">支持超融合架构服务模式，利用云原生架构与容器技术，将设备内的计算、网络、存储资源进行虚拟化，对外可同时提供虚拟机、容器、流式存储</w:t>
      </w:r>
      <w:r>
        <w:rPr>
          <w:rFonts w:cs="宋体"/>
        </w:rPr>
        <w:t xml:space="preserve">-视频存储（GB/T 28181、RTSP、Onvif）、流式存储-图片存储（GA/T 1400.4）、NAS文件存储（NFS、CIFS、FTP）、对象存储（S3、OSS）、块存储（iSCSI，FC）、大数据存储（HDFS）、结构化数据存储(REST、原生ElasticSearch http接口)服务。</w:t>
      </w:r>
      <w:r/>
    </w:p>
    <w:p>
      <w:pPr>
        <w:rPr>
          <w:rFonts w:cs="宋体"/>
        </w:rPr>
      </w:pPr>
      <w:r>
        <w:rPr>
          <w:rFonts w:hint="eastAsia" w:cs="宋体"/>
        </w:rPr>
        <w:t xml:space="preserve">支持对集群资源池的容量进行实时监控与趋势分析的前检测，对资源池可用的剩余天数和提前覆盖时间进行预测和预警提示；</w:t>
      </w:r>
      <w:r/>
    </w:p>
    <w:p>
      <w:pPr>
        <w:rPr>
          <w:rFonts w:cs="宋体"/>
        </w:rPr>
      </w:pPr>
      <w:r>
        <w:rPr>
          <w:rFonts w:hint="eastAsia" w:cs="宋体"/>
        </w:rPr>
        <w:t xml:space="preserve">系统支持数据智能重构，可根据不同场景设定重构优先级及重构策略，其中策略包含：</w:t>
      </w:r>
      <w:r>
        <w:rPr>
          <w:rFonts w:cs="宋体"/>
        </w:rPr>
        <w:t xml:space="preserve">1级：即时读取时重构；2级：自定义点位与时间段重构；3级：用户锁定数据优先重构；4级：存储池安全级别，重构优先级级别依次递减；同时重构系统根据当前负载情况自动调整数据恢复速度，在整个数据恢复过程中，业务不中断。</w:t>
      </w:r>
      <w:r/>
    </w:p>
    <w:p>
      <w:pPr>
        <w:rPr>
          <w:rFonts w:cs="宋体"/>
        </w:rPr>
      </w:pPr>
      <w:r>
        <w:rPr>
          <w:rFonts w:hint="eastAsia" w:cs="宋体"/>
        </w:rPr>
        <w:t xml:space="preserve">采用分布式云架构对多区域、多套云存储系统资源进行统一接入、管理和监控告警运维</w:t>
      </w:r>
      <w:r>
        <w:rPr>
          <w:rFonts w:cs="宋体"/>
        </w:rPr>
        <w:t xml:space="preserve">(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p>
    <w:p>
      <w:pPr>
        <w:rPr>
          <w:rFonts w:cs="宋体"/>
        </w:rPr>
      </w:pPr>
      <w:r>
        <w:rPr>
          <w:rFonts w:hint="eastAsia" w:cs="宋体"/>
        </w:rPr>
        <w:t xml:space="preserve">系统以流直存模式进行录像、图片数据存储。系统中的实时视频流、抓拍图片无需经过任何转发服务器</w:t>
      </w:r>
      <w:r>
        <w:rPr>
          <w:rFonts w:cs="宋体"/>
        </w:rPr>
        <w:t xml:space="preserve">/虚拟机即可实现数据流直存，视频与图片数据直存后可即存即取。</w:t>
      </w:r>
      <w:r/>
    </w:p>
    <w:p>
      <w:pPr>
        <w:rPr>
          <w:rFonts w:cs="宋体"/>
        </w:rPr>
      </w:pPr>
      <w:r>
        <w:rPr>
          <w:rFonts w:hint="eastAsia" w:cs="宋体"/>
        </w:rPr>
        <w:t xml:space="preserve">支持查看硬盘体检报告、硬盘深度体检和磁盘档案；支持下载单个硬盘或批量硬盘的报告，支持按时间显示硬盘的坏扇区、温度、振动变化趋势的曲线图；</w:t>
      </w:r>
      <w:r>
        <w:rPr>
          <w:rFonts w:cs="宋体"/>
        </w:rPr>
        <w:t xml:space="preserve"> 可对系统中的磁盘进行周期性体检、对有风险的磁盘做深度体检，并给出处理意见，对有损坏风险的磁盘，可使用RAID技术进行数据处理。</w:t>
      </w:r>
      <w:r/>
    </w:p>
    <w:p>
      <w:pPr>
        <w:rPr>
          <w:rFonts w:cs="宋体"/>
        </w:rPr>
      </w:pPr>
      <w:r>
        <w:rPr>
          <w:rFonts w:hint="eastAsia" w:cs="宋体"/>
        </w:rPr>
        <w:t xml:space="preserve">支持磁盘故障预测，通过对硬盘</w:t>
      </w:r>
      <w:r>
        <w:rPr>
          <w:rFonts w:cs="宋体"/>
        </w:rPr>
        <w:t xml:space="preserve">SMART信息进行周期性检测，监测会导致硬盘故障的关键指标，通过分析关键指标的变化趋势实现硬盘故障预测。</w:t>
      </w:r>
      <w:r/>
    </w:p>
    <w:p>
      <w:pPr>
        <w:rPr>
          <w:rFonts w:cs="宋体"/>
        </w:rPr>
      </w:pPr>
      <w:r>
        <w:rPr>
          <w:rFonts w:hint="eastAsia" w:cs="宋体"/>
        </w:rPr>
        <w:t xml:space="preserve">支持延迟踢盘，防止误拔硬盘导致数据破坏。</w:t>
      </w:r>
      <w:r/>
    </w:p>
    <w:p>
      <w:pPr>
        <w:rPr>
          <w:rFonts w:cs="宋体"/>
        </w:rPr>
      </w:pPr>
      <w:r>
        <w:rPr>
          <w:rFonts w:hint="eastAsia" w:cs="宋体"/>
        </w:rPr>
        <w:t xml:space="preserve">支持慢盘检测，通过硬盘</w:t>
      </w:r>
      <w:r>
        <w:rPr>
          <w:rFonts w:cs="宋体"/>
        </w:rPr>
        <w:t xml:space="preserve">IO检测机制检测慢IO识别慢盘，并自动隔离慢盘。</w:t>
      </w:r>
      <w:r/>
    </w:p>
    <w:p>
      <w:pPr>
        <w:rPr>
          <w:rFonts w:cs="宋体"/>
        </w:rPr>
      </w:pPr>
      <w:r>
        <w:rPr>
          <w:rFonts w:hint="eastAsia" w:cs="宋体"/>
        </w:rPr>
        <w:t xml:space="preserve">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p>
    <w:p>
      <w:pPr>
        <w:rPr>
          <w:rFonts w:cs="宋体"/>
        </w:rPr>
      </w:pPr>
      <w:r>
        <w:rPr>
          <w:rFonts w:hint="eastAsia" w:cs="宋体"/>
        </w:rPr>
        <w:t xml:space="preserve">★投标人所投视频云存储服务器设备需与盐城大丰公安原云存储管理系统无缝对接，对接过程中产生的额外费用由投标人自行承担，提供承诺函加盖投标单位公章。</w:t>
      </w:r>
      <w:r/>
    </w:p>
    <w:p>
      <w:pPr>
        <w:pStyle w:val="1072"/>
      </w:pPr>
      <w:r>
        <w:rPr>
          <w:rFonts w:hint="eastAsia"/>
        </w:rPr>
        <w:t xml:space="preserve">核心交换机</w:t>
      </w:r>
      <w:r/>
    </w:p>
    <w:p>
      <w:r>
        <w:rPr>
          <w:rFonts w:hint="eastAsia"/>
        </w:rPr>
        <w:t xml:space="preserve">1.★交换容量≥640Tbps，包转发率≥230000Mpps，以官网所列最低参数为准，主控引擎与交换网板物理分离；主控引擎槽位≥2；独立交换网板槽位≥4；整机业务板槽位数≥8，电源槽位数≥6，提供官网链接和截图证明；</w:t>
      </w:r>
      <w:r/>
    </w:p>
    <w:p>
      <w:r>
        <w:rPr>
          <w:rFonts w:hint="eastAsia"/>
        </w:rPr>
        <w:t xml:space="preserve">2.★为保证设备散热效果和可靠性，要求设备支持模块化风扇框，可热插拔，独立风扇框数≥4,为了适应机柜并排部署，采用机箱（包括业务板卡区）后出风风道设计，提供官网链接和截图证明；</w:t>
      </w:r>
      <w:r/>
    </w:p>
    <w:p>
      <w:r>
        <w:rPr>
          <w:rFonts w:hint="eastAsia"/>
        </w:rPr>
        <w:t xml:space="preserve">3.支持独立的硬件监控板卡, 控制平面和监控平面物理槽位分离，支持1+1备份，能集中监控板卡、风扇、电源、环境，能调节能耗；</w:t>
      </w:r>
      <w:r/>
    </w:p>
    <w:p>
      <w:r>
        <w:rPr>
          <w:rFonts w:hint="eastAsia"/>
        </w:rPr>
        <w:t xml:space="preserve">4.支持VxLAN功能，支持VxLAN二层网关、三层网关，支持BGP EVPN，支持分布式 Anycast 网关，支持VxLAN Fabric 的自动化部署；</w:t>
      </w:r>
      <w:r/>
    </w:p>
    <w:p>
      <w:r>
        <w:rPr>
          <w:rFonts w:hint="eastAsia"/>
        </w:rPr>
        <w:t xml:space="preserve">5.支持ARP表项≥256K，MAC地址表项≥512K，IPV4路由表≥512K，IPV6路由表项≥256K；</w:t>
      </w:r>
      <w:r/>
    </w:p>
    <w:p>
      <w:r>
        <w:rPr>
          <w:rFonts w:hint="eastAsia"/>
        </w:rPr>
        <w:t xml:space="preserve">6.支持静态路由、RIP、RIPng、OSPF、OSPFv3、BGP、BGP4+、ISIS、ISISv6 ；</w:t>
      </w:r>
      <w:r/>
    </w:p>
    <w:p>
      <w:r>
        <w:rPr>
          <w:rFonts w:hint="eastAsia"/>
        </w:rPr>
        <w:t xml:space="preserve">7.支持IPv6 DHCP SERVER、IPv6 DHCP Relay、DHCP Snooping；</w:t>
      </w:r>
      <w:r/>
    </w:p>
    <w:p>
      <w:r>
        <w:rPr>
          <w:rFonts w:hint="eastAsia"/>
        </w:rPr>
        <w:t xml:space="preserve">8.支持真实业务流的实时检测技术，实现对IP网络的精确丢包监控和快速故障定界能力；</w:t>
      </w:r>
      <w:r/>
    </w:p>
    <w:p>
      <w:r>
        <w:rPr>
          <w:rFonts w:hint="eastAsia"/>
        </w:rPr>
        <w:t xml:space="preserve">9.支持G.8032标准以太环网协议，倒换时间≤50ms；</w:t>
      </w:r>
      <w:r/>
    </w:p>
    <w:p>
      <w:r>
        <w:rPr>
          <w:rFonts w:hint="eastAsia"/>
        </w:rPr>
        <w:t xml:space="preserve">10.单台配置：主控引擎≥2，独立交换网板≥2，电源数量≥2个，千兆电口≥48个，万兆光口≥96个，2根10米万兆堆叠线缆；</w:t>
      </w:r>
      <w:r/>
    </w:p>
    <w:p>
      <w:pPr>
        <w:pStyle w:val="1072"/>
      </w:pPr>
      <w:r>
        <w:rPr>
          <w:rFonts w:hint="eastAsia"/>
        </w:rPr>
        <w:t xml:space="preserve">万兆单模光模块</w:t>
      </w:r>
      <w:r/>
    </w:p>
    <w:p>
      <w:r>
        <w:rPr>
          <w:rStyle w:val="1100"/>
          <w:rFonts w:hint="default" w:ascii="宋体" w:hAnsi="宋体" w:eastAsia="宋体"/>
          <w:sz w:val="24"/>
          <w:szCs w:val="24"/>
          <w:lang w:bidi="ar"/>
        </w:rPr>
        <w:t xml:space="preserve">光模块-SFP+-10G-单模模块(1310nm,10km,LC)</w:t>
      </w:r>
      <w:r/>
    </w:p>
    <w:p>
      <w:pPr>
        <w:pStyle w:val="1072"/>
      </w:pPr>
      <w:r>
        <w:rPr>
          <w:rFonts w:hint="eastAsia"/>
        </w:rPr>
        <w:t xml:space="preserve">光转电模块</w:t>
      </w:r>
      <w:r/>
    </w:p>
    <w:p>
      <w:pPr>
        <w:rPr>
          <w:rStyle w:val="1100"/>
          <w:rFonts w:hint="default" w:ascii="宋体" w:hAnsi="宋体" w:eastAsia="宋体"/>
          <w:sz w:val="24"/>
          <w:szCs w:val="24"/>
        </w:rPr>
      </w:pPr>
      <w:r>
        <w:rPr>
          <w:rStyle w:val="1100"/>
          <w:rFonts w:hint="default" w:ascii="宋体" w:hAnsi="宋体" w:eastAsia="宋体"/>
          <w:sz w:val="24"/>
          <w:szCs w:val="24"/>
        </w:rPr>
        <w:t xml:space="preserve">电模块-SFP-GE-电接口模块(100m,RJ45)</w:t>
      </w:r>
      <w:r/>
    </w:p>
    <w:p>
      <w:pPr>
        <w:rPr>
          <w:rStyle w:val="1100"/>
          <w:rFonts w:hint="default" w:ascii="宋体" w:hAnsi="宋体" w:eastAsia="宋体"/>
          <w:sz w:val="24"/>
          <w:szCs w:val="24"/>
        </w:rPr>
      </w:pPr>
      <w:r>
        <w:rPr>
          <w:rFonts w:hint="default" w:ascii="宋体" w:hAnsi="宋体" w:eastAsia="宋体"/>
          <w:sz w:val="24"/>
          <w:szCs w:val="24"/>
        </w:rPr>
      </w:r>
      <w:r/>
    </w:p>
    <w:p>
      <w:pPr>
        <w:rPr>
          <w:rStyle w:val="1100"/>
          <w:rFonts w:hint="default" w:ascii="宋体" w:hAnsi="宋体" w:eastAsia="宋体"/>
          <w:sz w:val="24"/>
          <w:szCs w:val="24"/>
        </w:rPr>
      </w:pPr>
      <w:r>
        <w:rPr>
          <w:rFonts w:hint="default" w:ascii="宋体" w:hAnsi="宋体" w:eastAsia="宋体"/>
          <w:sz w:val="24"/>
          <w:szCs w:val="24"/>
        </w:rPr>
      </w:r>
      <w:r/>
    </w:p>
    <w:p>
      <w:pPr>
        <w:pStyle w:val="885"/>
        <w:rPr>
          <w:rFonts w:hint="default"/>
          <w:lang w:val="en-US" w:eastAsia="zh-CN"/>
        </w:rPr>
      </w:pPr>
      <w:r>
        <w:rPr>
          <w:rFonts w:hint="eastAsia"/>
          <w:lang w:val="en-US" w:eastAsia="zh-CN"/>
        </w:rPr>
        <w:t xml:space="preserve">24口万兆光交换机</w:t>
      </w:r>
      <w:r/>
    </w:p>
    <w:p>
      <w:pPr>
        <w:rPr>
          <w:rFonts w:ascii="Times New Roman" w:hAnsi="Times New Roman" w:eastAsia="宋体" w:cs="宋体"/>
        </w:rPr>
      </w:pPr>
      <w:r>
        <w:rPr>
          <w:rFonts w:hint="eastAsia" w:ascii="Times New Roman" w:hAnsi="Times New Roman" w:eastAsia="宋体" w:cs="宋体"/>
        </w:rPr>
        <w:t xml:space="preserve">1.交换容量≥2.56Tbps，包转发率≥1260 Mpps</w:t>
      </w:r>
      <w:r>
        <w:rPr>
          <w:rFonts w:hint="eastAsia" w:ascii="Times New Roman" w:hAnsi="Times New Roman" w:eastAsia="宋体" w:cs="宋体"/>
          <w:lang w:eastAsia="zh-CN"/>
        </w:rPr>
        <w:t xml:space="preserve">，</w:t>
      </w:r>
      <w:r>
        <w:rPr>
          <w:rFonts w:hint="eastAsia" w:ascii="Times New Roman" w:hAnsi="Times New Roman" w:eastAsia="宋体" w:cs="宋体"/>
        </w:rPr>
        <w:t xml:space="preserve">24个10GE SFP+端口，6个40GE/100GE QSFP28端口，支持可插拔双电源；</w:t>
      </w:r>
      <w:r/>
    </w:p>
    <w:p>
      <w:pPr>
        <w:rPr>
          <w:rFonts w:hint="eastAsia" w:ascii="Times New Roman" w:hAnsi="Times New Roman" w:eastAsia="宋体" w:cs="宋体"/>
          <w:lang w:eastAsia="zh-CN"/>
        </w:rPr>
      </w:pPr>
      <w:r>
        <w:rPr>
          <w:rFonts w:hint="eastAsia" w:ascii="Times New Roman" w:hAnsi="Times New Roman" w:eastAsia="宋体" w:cs="宋体"/>
        </w:rPr>
        <w:t xml:space="preserve">2.为了提高设备散热性能，支持可插拔风扇框，风扇框个数≥4，支持前后风道</w:t>
      </w:r>
      <w:r>
        <w:rPr>
          <w:rFonts w:hint="eastAsia" w:ascii="Times New Roman" w:hAnsi="Times New Roman" w:eastAsia="宋体" w:cs="宋体"/>
          <w:lang w:eastAsia="zh-CN"/>
        </w:rPr>
        <w:t xml:space="preserve">；</w:t>
      </w:r>
      <w:r/>
    </w:p>
    <w:p>
      <w:pPr>
        <w:rPr>
          <w:rFonts w:ascii="Times New Roman" w:hAnsi="Times New Roman" w:eastAsia="宋体" w:cs="宋体"/>
        </w:rPr>
      </w:pPr>
      <w:r>
        <w:rPr>
          <w:rFonts w:hint="eastAsia" w:ascii="Times New Roman" w:hAnsi="Times New Roman" w:eastAsia="宋体" w:cs="宋体"/>
        </w:rPr>
        <w:t xml:space="preserve">3.支持MAC表项≥256K;</w:t>
      </w:r>
      <w:r/>
    </w:p>
    <w:p>
      <w:pPr>
        <w:rPr>
          <w:rFonts w:ascii="Times New Roman" w:hAnsi="Times New Roman" w:eastAsia="宋体" w:cs="宋体"/>
        </w:rPr>
      </w:pPr>
      <w:r>
        <w:rPr>
          <w:rFonts w:hint="eastAsia" w:ascii="Times New Roman" w:hAnsi="Times New Roman" w:eastAsia="宋体" w:cs="宋体"/>
        </w:rPr>
        <w:t xml:space="preserve">4.支持静态路由、RIP V1/2、URPF、OSPF、IS-IS、BGP、RIPng、OSPFv3、BGP4+、ISISv6；</w:t>
      </w:r>
      <w:r/>
    </w:p>
    <w:p>
      <w:pPr>
        <w:rPr>
          <w:rFonts w:ascii="Times New Roman" w:hAnsi="Times New Roman" w:eastAsia="宋体" w:cs="宋体"/>
        </w:rPr>
      </w:pPr>
      <w:r>
        <w:rPr>
          <w:rFonts w:hint="eastAsia" w:ascii="Times New Roman" w:hAnsi="Times New Roman" w:eastAsia="宋体" w:cs="宋体"/>
        </w:rPr>
        <w:t xml:space="preserve">5.支持统一用户管理功能，支持802.1X/MAC/Portal等多种认证方式，支持对用户进行分组/分域/分时的管理，用户、业务可视可控； </w:t>
      </w:r>
      <w:r/>
    </w:p>
    <w:p>
      <w:pPr>
        <w:rPr>
          <w:rFonts w:ascii="Times New Roman" w:hAnsi="Times New Roman" w:eastAsia="宋体" w:cs="宋体"/>
        </w:rPr>
      </w:pPr>
      <w:r>
        <w:rPr>
          <w:rFonts w:hint="eastAsia" w:ascii="Times New Roman" w:hAnsi="Times New Roman" w:eastAsia="宋体" w:cs="宋体"/>
        </w:rPr>
        <w:t xml:space="preserve">6.支持端口线速转发；</w:t>
      </w:r>
      <w:r/>
    </w:p>
    <w:p>
      <w:pPr>
        <w:rPr>
          <w:rFonts w:hint="default" w:ascii="Times New Roman" w:hAnsi="Times New Roman" w:eastAsia="宋体" w:cs="宋体"/>
          <w:lang w:val="en-US" w:eastAsia="zh-CN"/>
        </w:rPr>
      </w:pPr>
      <w:r>
        <w:rPr>
          <w:rFonts w:hint="eastAsia" w:ascii="Times New Roman" w:hAnsi="Times New Roman" w:eastAsia="宋体" w:cs="宋体"/>
        </w:rPr>
        <w:t xml:space="preserve">7、配置双电源</w:t>
      </w:r>
      <w:r>
        <w:rPr>
          <w:rFonts w:hint="eastAsia" w:ascii="Times New Roman" w:hAnsi="Times New Roman" w:eastAsia="宋体" w:cs="宋体"/>
          <w:lang w:eastAsia="zh-CN"/>
        </w:rPr>
        <w:t xml:space="preserve">，</w:t>
      </w:r>
      <w:r>
        <w:rPr>
          <w:rFonts w:hint="eastAsia" w:ascii="Times New Roman" w:hAnsi="Times New Roman" w:eastAsia="宋体" w:cs="宋体"/>
          <w:lang w:val="en-US" w:eastAsia="zh-CN"/>
        </w:rPr>
        <w:t xml:space="preserve">实配24个</w:t>
      </w:r>
      <w:r>
        <w:rPr>
          <w:rFonts w:hint="eastAsia" w:ascii="宋体" w:hAnsi="宋体" w:cs="宋体"/>
          <w:lang w:eastAsia="zh-CN"/>
        </w:rPr>
        <w:t xml:space="preserve">光模块-SFP+-10G-多模模块；</w:t>
      </w:r>
      <w:r/>
    </w:p>
    <w:p>
      <w:pPr>
        <w:rPr>
          <w:rStyle w:val="1100"/>
          <w:rFonts w:hint="default" w:ascii="宋体" w:hAnsi="宋体" w:eastAsia="宋体"/>
          <w:sz w:val="24"/>
          <w:szCs w:val="24"/>
        </w:rPr>
      </w:pPr>
      <w:r>
        <w:rPr>
          <w:rFonts w:hint="default" w:ascii="宋体" w:hAnsi="宋体" w:eastAsia="宋体"/>
          <w:sz w:val="24"/>
          <w:szCs w:val="24"/>
        </w:rPr>
      </w:r>
      <w:r/>
    </w:p>
    <w:p>
      <w:pPr>
        <w:pStyle w:val="1072"/>
      </w:pPr>
      <w:r>
        <w:rPr>
          <w:rFonts w:hint="eastAsia"/>
        </w:rPr>
        <w:t xml:space="preserve">24盘位存储服务器</w:t>
      </w:r>
      <w:r/>
    </w:p>
    <w:p>
      <w:r>
        <w:rPr>
          <w:rFonts w:hint="eastAsia"/>
        </w:rPr>
        <w:t xml:space="preserve">服务器配置：≥1颗64位多核处理器，≥4GB内存，内存支持扩展到≥64GB，可以扩展到2个SSD作为缓盘，可支持 3 个风扇，风扇支持热插拔并可冗余温控调速；</w:t>
      </w:r>
      <w:r/>
    </w:p>
    <w:p>
      <w:r>
        <w:rPr>
          <w:rFonts w:hint="eastAsia"/>
        </w:rPr>
        <w:t xml:space="preserve">标配≥2个千兆网口，≥2个万兆网口，可扩展至7个千兆网口或增配2个10Gb/25Gb光纤接口或增配4个8Gb/16Gb光纤接口或增配4个HDMI接口或增配3个Mini SAS HD接口，可支持 PCI-E X16和 PCI-E X8 ，可支持12GB SAS扩展口；</w:t>
      </w:r>
      <w:r/>
    </w:p>
    <w:p>
      <w:r>
        <w:rPr>
          <w:rFonts w:hint="eastAsia"/>
        </w:rPr>
        <w:t xml:space="preserve">每个控制单元支持双系统应用，系统盘支持RAID1模式，当主系统出现故障时，备用系统可接管工作,支持系统盘为独立的2块HDD（SATA、SAS）或SSD盘，组成RAID1；</w:t>
      </w:r>
      <w:r/>
    </w:p>
    <w:p>
      <w:r>
        <w:rPr>
          <w:rFonts w:hint="eastAsia"/>
        </w:rPr>
        <w:t xml:space="preserve">可接入2T/3T/4T/6T/8T/10T/12T/14T/16T/18T/20T/25T/26T SATA/SAS硬盘；支持NL-SAS 硬盘、HDD硬盘、SSD硬盘、氦气硬盘、空气硬盘；支持 CMR或SMR硬盘；支持硬盘交错/分时启动，节省功耗；</w:t>
      </w:r>
      <w:r/>
    </w:p>
    <w:p>
      <w:r>
        <w:rPr>
          <w:rFonts w:hint="eastAsia"/>
        </w:rPr>
        <w:t xml:space="preserve">具有24块硬盘热插拔插槽，内置24块8T企业级SATA硬盘；支持硬盘热插拔设备在读写数据时，热插拔设备内的任意块硬盘，设备正常运行不宕机，硬盘不损坏，数据不丢失，业务不中断；</w:t>
      </w:r>
      <w:r/>
    </w:p>
    <w:p>
      <w:r>
        <w:rPr>
          <w:rFonts w:hint="eastAsia"/>
        </w:rPr>
        <w:t xml:space="preserve">支持SATA和SAS混插，支持不同品牌的硬盘混插；支持SATA和SAS的HDD硬盘与SATA和NVME的SSD混插；支持不同大小的硬盘混合使用，可显示硬盘的总容量；</w:t>
      </w:r>
      <w:r/>
    </w:p>
    <w:p>
      <w:r>
        <w:rPr>
          <w:rFonts w:hint="eastAsia"/>
        </w:rPr>
        <w:t xml:space="preserve">设备应能提供RAID0、1、3、5、6、10、50，60、JBOD、VRAID、RAID Erasure coding、RAID5EE、iRAID模式；当磁盘的坏块数量达到RAID预设阈值时，样机可自动将数据拷贝到热备盘，并且可自动使用热备盘替换坏盘；支持RAID重建速度动态调整，可根据写入码流带宽，动态调整RAID重建速度；</w:t>
      </w:r>
      <w:r/>
    </w:p>
    <w:p>
      <w:r>
        <w:rPr>
          <w:rFonts w:hint="eastAsia"/>
        </w:rPr>
        <w:t xml:space="preserve">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w:t>
      </w:r>
      <w:r/>
    </w:p>
    <w:p>
      <w:r>
        <w:rPr>
          <w:rFonts w:hint="eastAsia"/>
        </w:rPr>
        <w:t xml:space="preserve">支持 ONVIF、PSIA、TCP/IP、UDP、SIP、SIP2.0、RTSP、RTP、RTCP、iSCSI、CIFS(SMB)、NFS、FTP、HTTP、AFP、RSYNC、SNMP、IPV4、IPV6、HLS、S3、OSS等协议，支持IP组播；</w:t>
      </w:r>
      <w:r/>
    </w:p>
    <w:p>
      <w:r>
        <w:rPr>
          <w:rFonts w:hint="eastAsia"/>
        </w:rPr>
        <w:t xml:space="preserve">支持视频矫正功能，可将接入的鱼眼摄像机、双目摄像机和全景自拼接摄像机、智能相机、热成像摄像机的图像以多画面分割方式显示并进行调整；支持画中画通道视频显示和存储；</w:t>
      </w:r>
      <w:r/>
    </w:p>
    <w:p>
      <w:r>
        <w:rPr>
          <w:rFonts w:hint="eastAsia"/>
        </w:rPr>
        <w:t xml:space="preserve">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p>
    <w:p>
      <w:r>
        <w:rPr>
          <w:rFonts w:hint="eastAsia"/>
        </w:rPr>
        <w:t xml:space="preserve">支持不低于2048MbpsMbps图片转发；支持不低于2048MbpsMbps图片并发输入，同时不低于2048MbpsMbps图片并发输出；</w:t>
      </w:r>
      <w:r/>
    </w:p>
    <w:p>
      <w:r>
        <w:rPr>
          <w:rFonts w:hint="eastAsia"/>
        </w:rPr>
        <w:t xml:space="preserve">当设备发生磁盘、IP冲突、网口降速、电源故障、RAID故障、RAID降级、温度超限、风扇故障、码流异常、电池故障、无硬盘、存储错误、录像丢帧、网络安全异常、SSD健康异常、无热备盘、存储空间满、Mac冲突、登录锁定等故障时，可发出声光指示、数码管/液晶显示器显示或通过E-mail/短信发送或SNMP Trap报警；</w:t>
      </w:r>
      <w:r/>
    </w:p>
    <w:p>
      <w:r>
        <w:rPr>
          <w:rFonts w:hint="eastAsia"/>
        </w:rPr>
        <w:t xml:space="preserve">网络中断后重新恢复，可续存断网期间存储在前端设备中的录像文件，并可通过IE浏览器设置自动回传和手动回传；支持256路4Mbps的录像回传。</w:t>
      </w:r>
      <w:r/>
    </w:p>
    <w:p>
      <w:r>
        <w:rPr>
          <w:rFonts w:hint="eastAsia"/>
        </w:rPr>
        <w:t xml:space="preserve">提供多设备同步升级功能，可以通过一键式操作对整个局域网内的所有设备同步升级</w:t>
      </w:r>
      <w:r/>
    </w:p>
    <w:p>
      <w:r>
        <w:rPr>
          <w:rFonts w:hint="eastAsia"/>
        </w:rPr>
        <w:t xml:space="preserve">可在操作界面查看数据重构状态，设备的磁盘或节点离线并重新插回后，可在界面显示离线磁盘或节点的数据重构过程，离线前数据不丢失；</w:t>
      </w:r>
      <w:r/>
    </w:p>
    <w:p>
      <w:r>
        <w:rPr>
          <w:rFonts w:hint="eastAsia"/>
        </w:rPr>
        <w:t xml:space="preserve">设备均应具有权限管理、运行日志功能设备应设置操作口令，宜有防篡改、防非法复制、数据（图像、音视频等）加密、等措施，以保证原始数据的完整性。重要的图像（图像、视音频、结构化数据、索引数据等）应加保护，不被删除和覆盖；</w:t>
      </w:r>
      <w:r/>
    </w:p>
    <w:p>
      <w:r>
        <w:rPr>
          <w:rFonts w:hint="eastAsia"/>
        </w:rPr>
        <w:t xml:space="preserve">★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亚健康、故障等；支持硬盘体检报告打印输出；（提供公安部</w:t>
      </w:r>
      <w:r>
        <w:rPr>
          <w:rFonts w:hint="eastAsia"/>
          <w:lang w:val="en-US" w:eastAsia="zh-CN"/>
        </w:rPr>
        <w:t xml:space="preserve">权威机构</w:t>
      </w:r>
      <w:r>
        <w:rPr>
          <w:rFonts w:hint="eastAsia"/>
        </w:rPr>
        <w:t xml:space="preserve">检测报告复印件证明并加盖生产厂商公章）</w:t>
      </w:r>
      <w:r/>
    </w:p>
    <w:p>
      <w:r>
        <w:rPr>
          <w:rFonts w:hint="eastAsia"/>
        </w:rPr>
        <w:t xml:space="preserve">可扩展支持将前端一路视频流同时存入两台存储；支持双机间编码器和录像同步，故障时可进行互相接管；</w:t>
      </w:r>
      <w:r/>
    </w:p>
    <w:p>
      <w:r>
        <w:rPr>
          <w:rFonts w:hint="eastAsia"/>
        </w:rPr>
        <w:t xml:space="preserve">可通过客户端软件添加及删除手机号，启用短信网关报警功能后，设备可向添加的手机号码发送电源异常、系统卡容量不足、存储空间异常、自动修复失败、私有卷IO异常、无可用逻辑卷等报警信息，报警种类可设；</w:t>
      </w:r>
      <w:r/>
    </w:p>
    <w:p>
      <w:r>
        <w:rPr>
          <w:rFonts w:hint="eastAsia"/>
        </w:rPr>
        <w:t xml:space="preserve">支持红灯/蓝灯报警，可根据故障紧急程度分级报警，不同级别闪烁不同颜色保养灯，保养灯闪烁时长、频率可设；</w:t>
      </w:r>
      <w:r/>
    </w:p>
    <w:p>
      <w:r>
        <w:rPr>
          <w:rFonts w:hint="eastAsia"/>
        </w:rPr>
        <w:t xml:space="preserve">支持通过IE、火狐、Google、QQ、360、遨游、搜狗、百度、猎豹、欧朋浏览器对样机进行操作；对单个或多个设备或设备内的磁盘进行定位，并可设置时间，支持存储硬盘出现故障，对应硬盘槽位有报警灯光提示；支持在麒麟/UOS操作系统上，使用奇安信浏览器/UOS浏览器对样机进行操作；</w:t>
      </w:r>
      <w:r/>
    </w:p>
    <w:p>
      <w:r>
        <w:rPr>
          <w:rFonts w:hint="eastAsia"/>
        </w:rPr>
        <w:t xml:space="preserve">★可根据业务需要配置重构速度，支持低速、中速、高速和全速四种重构速度配置，可通过客户端软件显示重构速度；设备可根据自身业务量自动调节重构速度，当设备空间资源达到预设值时，可自动提高重构速度，当空间资源低于预设值时，可自动降低重构速度；（提供公安部</w:t>
      </w:r>
      <w:r>
        <w:rPr>
          <w:rFonts w:hint="eastAsia"/>
          <w:lang w:val="en-US" w:eastAsia="zh-CN"/>
        </w:rPr>
        <w:t xml:space="preserve">权威机构</w:t>
      </w:r>
      <w:r>
        <w:rPr>
          <w:rFonts w:hint="eastAsia"/>
        </w:rPr>
        <w:t xml:space="preserve">检测报告复印件证明并加盖生产厂商公章）</w:t>
      </w:r>
      <w:r/>
    </w:p>
    <w:p>
      <w:r>
        <w:rPr>
          <w:rFonts w:hint="eastAsia"/>
        </w:rPr>
        <w:t xml:space="preserve">可对指定事件的1个或多个不同时间段的录像段添加标签，并自动备份到存档卷中，使之不会被覆盖删除，并根据标签查询录像，可将相同标签的录像进行统一回放、下载；可对录像卷和存档卷配置不同的存储周期；</w:t>
      </w:r>
      <w:r/>
    </w:p>
    <w:p>
      <w:r>
        <w:rPr>
          <w:rFonts w:hint="eastAsia"/>
        </w:rPr>
        <w:t xml:space="preserve">支持内存资源动态调节，根据业务需求进行自动分配，当业务压力增加时，内存自动分配。</w:t>
      </w:r>
      <w:r/>
    </w:p>
    <w:p>
      <w:pPr>
        <w:pStyle w:val="1072"/>
      </w:pPr>
      <w:r>
        <w:rPr>
          <w:rFonts w:hint="eastAsia"/>
        </w:rPr>
        <w:t xml:space="preserve">4T IoT盘</w:t>
      </w:r>
      <w:r/>
    </w:p>
    <w:p>
      <w:r>
        <w:rPr>
          <w:rFonts w:hint="eastAsia"/>
        </w:rPr>
        <w:t xml:space="preserve">4TB容量，3.5英寸，SATA3.0接口，7200RPM</w:t>
      </w:r>
      <w:r/>
    </w:p>
    <w:p>
      <w:r>
        <w:rPr>
          <w:rFonts w:hint="eastAsia"/>
        </w:rPr>
        <w:t xml:space="preserve">空气盘， CMR传统磁记录</w:t>
      </w:r>
      <w:r/>
    </w:p>
    <w:p>
      <w:r>
        <w:rPr>
          <w:rFonts w:hint="eastAsia"/>
        </w:rPr>
        <w:t xml:space="preserve">传输速率215 MB/s，流畅存储视频有效防止丢帧</w:t>
      </w:r>
      <w:r/>
    </w:p>
    <w:p>
      <w:r>
        <w:rPr>
          <w:rFonts w:hint="eastAsia"/>
        </w:rPr>
        <w:t xml:space="preserve">MTBF可达2,000,000小时</w:t>
      </w:r>
      <w:r/>
    </w:p>
    <w:p>
      <w:r>
        <w:rPr>
          <w:rFonts w:hint="eastAsia"/>
        </w:rPr>
        <w:t xml:space="preserve">高级格式（AF）512e扇区技术，保障硬盘扇区4K对齐</w:t>
      </w:r>
      <w:r/>
    </w:p>
    <w:p>
      <w:pPr>
        <w:rPr>
          <w:rFonts w:hint="eastAsia"/>
        </w:rPr>
      </w:pPr>
      <w:r>
        <w:rPr>
          <w:rFonts w:hint="eastAsia"/>
        </w:rPr>
        <w:t xml:space="preserve">满足数据严苛的7*24小时运行可靠性、安全性的需求</w:t>
      </w:r>
      <w:r/>
    </w:p>
    <w:p>
      <w:pPr>
        <w:rPr>
          <w:rFonts w:hint="default" w:eastAsia="宋体"/>
          <w:lang w:val="en-US" w:eastAsia="zh-CN"/>
        </w:rPr>
      </w:pPr>
      <w:r>
        <w:rPr>
          <w:rFonts w:hint="eastAsia"/>
          <w:lang w:val="en-US" w:eastAsia="zh-CN"/>
        </w:rPr>
        <w:t xml:space="preserve">含坏盘更换安装调试服务</w:t>
      </w:r>
      <w:r/>
    </w:p>
    <w:p>
      <w:pPr>
        <w:pStyle w:val="1072"/>
      </w:pPr>
      <w:r>
        <w:rPr>
          <w:rFonts w:hint="eastAsia"/>
        </w:rPr>
        <w:t xml:space="preserve">8T IoT盘</w:t>
      </w:r>
      <w:r/>
    </w:p>
    <w:p>
      <w:r>
        <w:rPr>
          <w:rFonts w:hint="eastAsia"/>
        </w:rPr>
        <w:t xml:space="preserve">8TB容量，3.5英寸，SATA3.0接口，7200RPM</w:t>
      </w:r>
      <w:r/>
    </w:p>
    <w:p>
      <w:r>
        <w:rPr>
          <w:rFonts w:hint="eastAsia"/>
        </w:rPr>
        <w:t xml:space="preserve">空气盘， CMR传统磁记录</w:t>
      </w:r>
      <w:r/>
    </w:p>
    <w:p>
      <w:r>
        <w:rPr>
          <w:rFonts w:hint="eastAsia"/>
        </w:rPr>
        <w:t xml:space="preserve">传输速率255 MB/s，流畅存储视频有效防止丢帧</w:t>
      </w:r>
      <w:r/>
    </w:p>
    <w:p>
      <w:r>
        <w:rPr>
          <w:rFonts w:hint="eastAsia"/>
        </w:rPr>
        <w:t xml:space="preserve">MTBF可达2,000,000小时</w:t>
      </w:r>
      <w:r/>
    </w:p>
    <w:p>
      <w:r>
        <w:rPr>
          <w:rFonts w:hint="eastAsia"/>
        </w:rPr>
        <w:t xml:space="preserve">高级格式（AF）512e扇区技术，保障硬盘扇区4K对齐</w:t>
      </w:r>
      <w:r/>
    </w:p>
    <w:p>
      <w:pPr>
        <w:rPr>
          <w:rFonts w:hint="eastAsia"/>
        </w:rPr>
      </w:pPr>
      <w:r>
        <w:rPr>
          <w:rFonts w:hint="eastAsia"/>
        </w:rPr>
        <w:t xml:space="preserve">满足数据严苛的7*24小时运行可靠性、安全性的需求</w:t>
      </w:r>
      <w:r/>
    </w:p>
    <w:p>
      <w:pPr>
        <w:rPr>
          <w:rFonts w:hint="default" w:eastAsia="宋体"/>
          <w:lang w:val="en-US" w:eastAsia="zh-CN"/>
        </w:rPr>
      </w:pPr>
      <w:r>
        <w:rPr>
          <w:rFonts w:hint="eastAsia"/>
          <w:lang w:val="en-US" w:eastAsia="zh-CN"/>
        </w:rPr>
        <w:t xml:space="preserve">含坏盘更换安装调试服务</w:t>
      </w:r>
      <w:r/>
    </w:p>
    <w:p>
      <w:pPr>
        <w:rPr>
          <w:rFonts w:hint="eastAsia"/>
        </w:rPr>
      </w:pPr>
      <w:r>
        <w:rPr>
          <w:rFonts w:hint="eastAsia"/>
        </w:rPr>
      </w:r>
      <w:r/>
    </w:p>
    <w:p>
      <w:pPr>
        <w:pStyle w:val="1072"/>
      </w:pPr>
      <w:r>
        <w:rPr>
          <w:rFonts w:hint="eastAsia" w:eastAsia="宋体"/>
          <w:lang w:val="en-US" w:eastAsia="zh-CN"/>
        </w:rPr>
        <w:t xml:space="preserve">融合</w:t>
      </w:r>
      <w:r>
        <w:rPr>
          <w:rFonts w:hint="eastAsia"/>
        </w:rPr>
        <w:t xml:space="preserve">服务器</w:t>
      </w:r>
      <w:r/>
    </w:p>
    <w:p>
      <w:pPr>
        <w:rPr>
          <w:rFonts w:hint="eastAsia" w:ascii="Times New Roman" w:hAnsi="Times New Roman" w:eastAsia="宋体" w:cs="Times New Roman"/>
        </w:rPr>
      </w:pPr>
      <w:r>
        <w:rPr>
          <w:rFonts w:hint="eastAsia" w:ascii="Times New Roman" w:hAnsi="Times New Roman" w:eastAsia="宋体" w:cs="Times New Roman"/>
        </w:rPr>
        <w:t xml:space="preserve">1.处理器:配置≥2颗C86-3G处理器，单颗核数≥32核，主频≥2.0GHz;</w:t>
      </w:r>
      <w:r/>
    </w:p>
    <w:p>
      <w:pPr>
        <w:rPr>
          <w:rFonts w:hint="eastAsia" w:ascii="Times New Roman" w:hAnsi="Times New Roman" w:eastAsia="宋体" w:cs="Times New Roman"/>
        </w:rPr>
      </w:pPr>
      <w:r>
        <w:rPr>
          <w:rFonts w:hint="eastAsia" w:ascii="Times New Roman" w:hAnsi="Times New Roman" w:eastAsia="宋体" w:cs="Times New Roman"/>
        </w:rPr>
        <w:t xml:space="preserve">2.内存:≥1024GB DDR4 3200，支持≥32个内存插槽</w:t>
      </w:r>
      <w:r/>
    </w:p>
    <w:p>
      <w:pPr>
        <w:rPr>
          <w:rFonts w:hint="eastAsia" w:ascii="Times New Roman" w:hAnsi="Times New Roman" w:eastAsia="宋体" w:cs="Times New Roman"/>
        </w:rPr>
      </w:pPr>
      <w:r>
        <w:rPr>
          <w:rFonts w:hint="eastAsia" w:ascii="Times New Roman" w:hAnsi="Times New Roman" w:eastAsia="宋体" w:cs="Times New Roman"/>
        </w:rPr>
        <w:t xml:space="preserve">3.硬盘:配置≥960G 2.5 SATA 6Gb M SSD*2+480G 2.5 SATA 6Gb R SSD*2+8T SATA*8；内置2个SATA接口 M.2，提供M.2接口实物照片及插槽证明。</w:t>
      </w:r>
      <w:r/>
    </w:p>
    <w:p>
      <w:pPr>
        <w:rPr>
          <w:rFonts w:hint="eastAsia" w:ascii="Times New Roman" w:hAnsi="Times New Roman" w:eastAsia="宋体" w:cs="Times New Roman"/>
        </w:rPr>
      </w:pPr>
      <w:r>
        <w:rPr>
          <w:rFonts w:hint="eastAsia" w:ascii="Times New Roman" w:hAnsi="Times New Roman" w:eastAsia="宋体" w:cs="Times New Roman"/>
        </w:rPr>
        <w:t xml:space="preserve">4.阵列卡：配置一块8口SAS卡；</w:t>
      </w:r>
      <w:r/>
    </w:p>
    <w:p>
      <w:pPr>
        <w:rPr>
          <w:rFonts w:hint="eastAsia" w:ascii="Times New Roman" w:hAnsi="Times New Roman" w:eastAsia="宋体" w:cs="Times New Roman"/>
        </w:rPr>
      </w:pPr>
      <w:r>
        <w:rPr>
          <w:rFonts w:hint="eastAsia" w:ascii="Times New Roman" w:hAnsi="Times New Roman" w:eastAsia="宋体" w:cs="Times New Roman"/>
        </w:rPr>
        <w:t xml:space="preserve">5.网卡：配置≥四口千兆网卡*1+双口万兆网卡（含模块）*2</w:t>
      </w:r>
      <w:r/>
    </w:p>
    <w:p>
      <w:pPr>
        <w:rPr>
          <w:rFonts w:hint="eastAsia" w:ascii="Times New Roman" w:hAnsi="Times New Roman" w:eastAsia="宋体" w:cs="Times New Roman"/>
        </w:rPr>
      </w:pPr>
      <w:r>
        <w:rPr>
          <w:rFonts w:hint="eastAsia" w:ascii="Times New Roman" w:hAnsi="Times New Roman" w:eastAsia="宋体" w:cs="Times New Roman"/>
        </w:rPr>
        <w:t xml:space="preserve">6.电源:配置≥800W冗余电源模块; </w:t>
      </w:r>
      <w:r/>
    </w:p>
    <w:p>
      <w:pPr>
        <w:rPr>
          <w:rFonts w:hint="eastAsia" w:ascii="Times New Roman" w:hAnsi="Times New Roman" w:eastAsia="宋体" w:cs="Times New Roman"/>
        </w:rPr>
      </w:pPr>
      <w:r>
        <w:rPr>
          <w:rFonts w:hint="eastAsia" w:ascii="Times New Roman" w:hAnsi="Times New Roman" w:eastAsia="宋体" w:cs="Times New Roman"/>
        </w:rPr>
        <w:t xml:space="preserve">7.云平台：具备自主知识产权，基于业界主流KVM虚拟化架构研发，为国产自研产品，即不基于OpenStack、CloudStack等开源项目进行商业化二次开发</w:t>
      </w:r>
      <w:r/>
    </w:p>
    <w:p>
      <w:pPr>
        <w:rPr>
          <w:rFonts w:hint="eastAsia" w:ascii="Times New Roman" w:hAnsi="Times New Roman" w:eastAsia="宋体" w:cs="Times New Roman"/>
        </w:rPr>
      </w:pPr>
      <w:r>
        <w:rPr>
          <w:rFonts w:hint="eastAsia" w:ascii="Times New Roman" w:hAnsi="Times New Roman" w:eastAsia="宋体" w:cs="Times New Roman"/>
        </w:rPr>
        <w:t xml:space="preserve">8.可靠性：为快速创建云主机，提高效率，需在最少3台计算节点中，在5分钟内完成200台云主机批量创建云主机（规格不低于4C4G）；</w:t>
      </w:r>
      <w:r/>
    </w:p>
    <w:p>
      <w:pPr>
        <w:rPr>
          <w:rFonts w:hint="eastAsia" w:ascii="Times New Roman" w:hAnsi="Times New Roman" w:eastAsia="宋体" w:cs="Times New Roman"/>
        </w:rPr>
      </w:pPr>
      <w:r>
        <w:rPr>
          <w:rFonts w:hint="eastAsia" w:ascii="Times New Roman" w:hAnsi="Times New Roman" w:eastAsia="宋体" w:cs="Times New Roman"/>
        </w:rPr>
        <w:t xml:space="preserve">9.扩展插槽：支持直插主板的riser方式扩展8个全高PCIe 4.0标准卡并提供接口实物照片证明文件</w:t>
      </w:r>
      <w:r/>
    </w:p>
    <w:p>
      <w:pPr>
        <w:rPr>
          <w:rFonts w:hint="eastAsia" w:ascii="Times New Roman" w:hAnsi="Times New Roman" w:eastAsia="宋体" w:cs="Times New Roman"/>
        </w:rPr>
      </w:pPr>
      <w:r>
        <w:rPr>
          <w:rFonts w:hint="eastAsia" w:ascii="Times New Roman" w:hAnsi="Times New Roman" w:eastAsia="宋体" w:cs="Times New Roman"/>
        </w:rPr>
        <w:t xml:space="preserve">10.故障诊断：支持离线光诊断功能，可断电环境下诊断主板关键信息故障；黑匣子日志、故障截屏、开机自检代码，有效判断分析软硬件故障，提供功能web界面截图</w:t>
      </w:r>
      <w:r/>
    </w:p>
    <w:p>
      <w:pPr>
        <w:rPr>
          <w:rFonts w:hint="eastAsia" w:ascii="Times New Roman" w:hAnsi="Times New Roman" w:eastAsia="宋体" w:cs="Times New Roman"/>
        </w:rPr>
      </w:pPr>
      <w:r>
        <w:rPr>
          <w:rFonts w:hint="eastAsia" w:ascii="Times New Roman" w:hAnsi="Times New Roman" w:eastAsia="宋体" w:cs="Times New Roman"/>
        </w:rPr>
        <w:t xml:space="preserve">11.超融合：每台提供2个超融合软件授权，不限制存储容量，</w:t>
      </w:r>
      <w:r/>
    </w:p>
    <w:p>
      <w:pPr>
        <w:rPr>
          <w:rFonts w:hint="eastAsia" w:ascii="Times New Roman" w:hAnsi="Times New Roman" w:eastAsia="宋体" w:cs="Times New Roman"/>
        </w:rPr>
      </w:pPr>
      <w:r>
        <w:rPr>
          <w:rFonts w:hint="eastAsia" w:ascii="Times New Roman" w:hAnsi="Times New Roman" w:eastAsia="宋体" w:cs="Times New Roman"/>
        </w:rPr>
        <w:t xml:space="preserve">12.产品长时间无故障运行时间MTBF 15万小时认证</w:t>
      </w:r>
      <w:r/>
    </w:p>
    <w:p>
      <w:pPr>
        <w:rPr>
          <w:rFonts w:hint="eastAsia" w:ascii="Times New Roman" w:hAnsi="Times New Roman" w:eastAsia="宋体" w:cs="Times New Roman"/>
        </w:rPr>
      </w:pPr>
      <w:r>
        <w:rPr>
          <w:rFonts w:hint="eastAsia" w:ascii="Times New Roman" w:hAnsi="Times New Roman" w:eastAsia="宋体" w:cs="Times New Roman"/>
        </w:rPr>
        <w:t xml:space="preserve">★13.为保证数据安全，投标方需提供针对本项目提供数据恢复服务，以保障数据恢复的安全性，提供具有国家信息中心等数据恢复涉密甲级资质的单位出具的项目授权书及数据恢复售后服务承诺书。</w:t>
      </w:r>
      <w:r/>
    </w:p>
    <w:p>
      <w:pPr>
        <w:pStyle w:val="1072"/>
      </w:pPr>
      <w:r>
        <w:rPr>
          <w:rFonts w:hint="eastAsia"/>
        </w:rPr>
        <w:t xml:space="preserve">物联网安全准入控制系统管理平台</w:t>
      </w:r>
      <w:r/>
    </w:p>
    <w:p>
      <w:r>
        <w:rPr>
          <w:rFonts w:hint="eastAsia"/>
        </w:rPr>
        <w:t xml:space="preserve">1、建设统一安全管理平台，实现对终端、网络、安全、业务等资源的高效整合；</w:t>
      </w:r>
      <w:r/>
    </w:p>
    <w:p>
      <w:r>
        <w:rPr>
          <w:rFonts w:hint="eastAsia"/>
        </w:rPr>
        <w:t xml:space="preserve">2、对摄像头、电脑等终端设备集中管控，全程监管非法私接和入侵行为的日志进行实时记录和展示；</w:t>
      </w:r>
      <w:r/>
    </w:p>
    <w:p>
      <w:r>
        <w:rPr>
          <w:rFonts w:hint="eastAsia"/>
        </w:rPr>
        <w:t xml:space="preserve">3、对安全信息与事件进行分析，关联聚合常见的安全问题，过滤重复信息，发现隐藏的安全问题；</w:t>
      </w:r>
      <w:r/>
    </w:p>
    <w:p>
      <w:r>
        <w:rPr>
          <w:rFonts w:hint="eastAsia"/>
        </w:rPr>
        <w:t xml:space="preserve">4、对全网流量集中监控，提供统计分析工具，提供各种形式报表，异常流量自动报警等功能；</w:t>
      </w:r>
      <w:r/>
    </w:p>
    <w:p>
      <w:r>
        <w:rPr>
          <w:rFonts w:hint="eastAsia"/>
        </w:rPr>
        <w:t xml:space="preserve">5、产品具备国家版权局颁发的《计算机软件著作权登记证书》；</w:t>
      </w:r>
      <w:r/>
    </w:p>
    <w:p>
      <w:pPr>
        <w:pStyle w:val="1072"/>
      </w:pPr>
      <w:r>
        <w:rPr>
          <w:rFonts w:hint="eastAsia"/>
        </w:rPr>
        <w:t xml:space="preserve">物联网安全准入控制系统</w:t>
      </w:r>
      <w:r/>
    </w:p>
    <w:p>
      <w:r>
        <w:rPr>
          <w:rFonts w:hint="eastAsia"/>
        </w:rPr>
        <w:t xml:space="preserve">1、为了方便管理，物联网安全准入控制板卡进行扩容，板卡支持不低于16000路4M高清码流摄头机安全管控；</w:t>
      </w:r>
      <w:r/>
    </w:p>
    <w:p>
      <w:r>
        <w:rPr>
          <w:rFonts w:hint="eastAsia"/>
        </w:rPr>
        <w:t xml:space="preserve">2、设备接口：千兆电≥8个，万兆光≥16个；</w:t>
      </w:r>
      <w:r/>
    </w:p>
    <w:p>
      <w:r>
        <w:rPr>
          <w:rFonts w:hint="eastAsia"/>
        </w:rPr>
        <w:t xml:space="preserve">★3、支持MAC认证功能，MAC地址在白名单中的终端能够通过设备进行正常访问，MAC地址不在设备白名单中的终端通讯会被阻断；支持IP认证功能，IP地址在白名单中的终端能够通过设备进行正常访问，IP地址不在设备白名单中的终端通讯会被阻断（提供公安权威机构检测报告复印件，加盖投标单位公章）；</w:t>
      </w:r>
      <w:r/>
    </w:p>
    <w:p>
      <w:r>
        <w:rPr>
          <w:rFonts w:hint="eastAsia"/>
        </w:rPr>
        <w:t xml:space="preserve">★4、支持符合GB/T 28181标准协议接入网络的终端进行通信，采用非GB/T 28181标准协议接入网络进行通信的终端会被系统阻断并产生告警日志（提供公安权威机构检测报告复印件，加盖投标单位公章）；</w:t>
      </w:r>
      <w:r/>
    </w:p>
    <w:p>
      <w:r>
        <w:rPr>
          <w:rFonts w:hint="eastAsia"/>
        </w:rPr>
        <w:t xml:space="preserve">5、支持基于Portal认证的实名制违规外联检测机制，基于portal认证入网的设备，存在违规外联行为的终端，通讯会被阻断；支持无感知方式的违规外联检测机制，存在违规外联行为的终端，通讯会被阻断（提供证明材料复印件，加盖投标单位公章）；</w:t>
      </w:r>
      <w:r/>
    </w:p>
    <w:p>
      <w:r>
        <w:rPr>
          <w:rFonts w:hint="eastAsia"/>
        </w:rPr>
        <w:t xml:space="preserve">6、支持符合GB35114标准的终端接入检测功能，可对不符合GB35114的终端接入进行阻断并告警；</w:t>
      </w:r>
      <w:r/>
    </w:p>
    <w:p>
      <w:r>
        <w:rPr>
          <w:rFonts w:hint="eastAsia"/>
        </w:rPr>
        <w:t xml:space="preserve">7、支持对扫描行为的识别与阻断功能，可对存在扫描行为的终端进行阻断并告警；</w:t>
      </w:r>
      <w:r/>
    </w:p>
    <w:p>
      <w:r>
        <w:rPr>
          <w:rFonts w:hint="eastAsia"/>
        </w:rPr>
        <w:t xml:space="preserve">8、产品需具备以下资质（提供相关证明材料复印件，加盖投标单位公章）</w:t>
      </w:r>
      <w:r/>
    </w:p>
    <w:p>
      <w:r>
        <w:rPr>
          <w:rFonts w:hint="eastAsia"/>
        </w:rPr>
        <w:t xml:space="preserve">（1）要求投标产品为非OEM产品，并提供国家版权局颁发的《计算机软件著作权登记证书》、（2）具备《网络安全产品认证证书》、（3）具备国家网络与信息系统安全产品质量监督检验中心颁发的《信息技术产品安全测试证书》；</w:t>
      </w:r>
      <w:r/>
    </w:p>
    <w:p>
      <w:pPr>
        <w:pStyle w:val="1072"/>
      </w:pPr>
      <w:r>
        <w:rPr>
          <w:rFonts w:hint="eastAsia"/>
        </w:rPr>
        <w:t xml:space="preserve">防火墙1</w:t>
      </w:r>
      <w:r/>
    </w:p>
    <w:p>
      <w:r>
        <w:rPr>
          <w:rFonts w:hint="eastAsia"/>
        </w:rPr>
        <w:t xml:space="preserve">1、 具备千兆电口≥8个，千兆光口≥2个，支持扩展槽≥2个，高度≤1U，双电源；</w:t>
      </w:r>
      <w:r/>
    </w:p>
    <w:p>
      <w:r>
        <w:rPr>
          <w:rFonts w:hint="eastAsia"/>
        </w:rPr>
        <w:t xml:space="preserve">2、吞吐量6Gbps，并发连接100万,新建10万；</w:t>
      </w:r>
      <w:r/>
    </w:p>
    <w:p>
      <w:r>
        <w:rPr>
          <w:rFonts w:hint="eastAsia"/>
        </w:rPr>
        <w:t xml:space="preserve">3、 支持自动生成安全策略。统一管理平台可通过对流量日志的统计整理，自动生成安全策略，并下发给防火墙设备，提高运维人员工作效率（提供具备CNAS标识的第三方检测报告，加盖投标单位公章）；</w:t>
      </w:r>
      <w:r/>
    </w:p>
    <w:p>
      <w:r>
        <w:rPr>
          <w:rFonts w:hint="eastAsia"/>
        </w:rPr>
        <w:t xml:space="preserve">4、 支持通过命令行的方式对设备内部数据流进行分析，可快速定位造成故障的防火墙内部功能模块，便于进行故障排查（提供具备CNAS标识的第三方检测报告，加盖投标单位公章）；</w:t>
      </w:r>
      <w:r/>
    </w:p>
    <w:p>
      <w:r>
        <w:rPr>
          <w:rFonts w:hint="eastAsia"/>
        </w:rPr>
        <w:t xml:space="preserve">5、 支持基于不同安全策略设定会话长连接老化时间；</w:t>
      </w:r>
      <w:r/>
    </w:p>
    <w:p>
      <w:r>
        <w:rPr>
          <w:rFonts w:hint="eastAsia"/>
        </w:rPr>
        <w:t xml:space="preserve">6、 支持多虚一部署，可将两台物理设备虚拟化成一台逻辑上的设备；</w:t>
      </w:r>
      <w:r/>
    </w:p>
    <w:p>
      <w:r>
        <w:rPr>
          <w:rFonts w:hint="eastAsia"/>
        </w:rPr>
        <w:t xml:space="preserve">7、 支持将一台逻辑上的设备虚拟化成多个虚拟防火墙，并可查看各虚拟防火墙的CPU和内存利用率、新建、并发和吞吐信息，并可单独重启特定虚拟防火墙（提供具备CNAS标识第三方检测报告，加盖投标单位公章）；</w:t>
      </w:r>
      <w:r/>
    </w:p>
    <w:p>
      <w:r>
        <w:rPr>
          <w:rFonts w:hint="eastAsia"/>
        </w:rPr>
        <w:t xml:space="preserve">8、 支持MPLS；</w:t>
      </w:r>
      <w:r/>
    </w:p>
    <w:p>
      <w:r>
        <w:rPr>
          <w:rFonts w:hint="eastAsia"/>
        </w:rPr>
        <w:t xml:space="preserve">9、 为保证业务连通性，设备支持CPU利用率过高时，自动停用部分应用层攻击防护功能（提供具备CNAS标识第三方检测报告）；</w:t>
      </w:r>
      <w:r/>
    </w:p>
    <w:p>
      <w:r>
        <w:rPr>
          <w:rFonts w:hint="eastAsia"/>
        </w:rPr>
        <w:t xml:space="preserve">10、 支持对安全策略进行冗余分析，并支持按不同时间段筛选未匹配的策略功能，且可以对其进行禁/启用或者删除操作；</w:t>
      </w:r>
      <w:r/>
    </w:p>
    <w:p>
      <w:r>
        <w:rPr>
          <w:rFonts w:hint="eastAsia"/>
        </w:rPr>
        <w:t xml:space="preserve">11、支持IPv6与IPv4互访；</w:t>
      </w:r>
      <w:r/>
    </w:p>
    <w:p>
      <w:r>
        <w:rPr>
          <w:rFonts w:hint="eastAsia"/>
        </w:rPr>
        <w:t xml:space="preserve">★12、须满足公安部《公安信息通信网边界接入平台安全规范》，设备厂商为公安部组织测试入围的边界安全接入平台厂商，提供证明文件；</w:t>
      </w:r>
      <w:r/>
    </w:p>
    <w:p>
      <w:r>
        <w:rPr>
          <w:rFonts w:hint="eastAsia"/>
        </w:rPr>
        <w:t xml:space="preserve">13、 具备公安部颁发的《计算机信息系统安全专用产品销售许可证-增强级》；</w:t>
      </w:r>
      <w:r/>
    </w:p>
    <w:p>
      <w:pPr>
        <w:pStyle w:val="1072"/>
      </w:pPr>
      <w:r>
        <w:rPr>
          <w:rFonts w:hint="eastAsia"/>
        </w:rPr>
        <w:t xml:space="preserve">防火墙2</w:t>
      </w:r>
      <w:r/>
    </w:p>
    <w:p>
      <w:r>
        <w:rPr>
          <w:rFonts w:hint="eastAsia"/>
        </w:rPr>
        <w:t xml:space="preserve">1、具备千兆电口≥8个，千兆光口≥2个，支持扩展槽≥2个，高度≤1U，双电源；</w:t>
      </w:r>
      <w:r/>
    </w:p>
    <w:p>
      <w:r>
        <w:rPr>
          <w:rFonts w:hint="eastAsia"/>
        </w:rPr>
        <w:t xml:space="preserve">2、吞吐量6Gbps，并发连接100万,新建10万；</w:t>
      </w:r>
      <w:r/>
    </w:p>
    <w:p>
      <w:r>
        <w:rPr>
          <w:rFonts w:hint="eastAsia"/>
        </w:rPr>
        <w:t xml:space="preserve">3、 支持自动生成安全策略。统一管理平台可通过对流量日志的统计整理，自动生成安全策略，并下发给防火墙设备，提高运维人员工作效率（提供具备CNAS标识的第三方检测报告，加盖投标单位公章）；</w:t>
      </w:r>
      <w:r/>
    </w:p>
    <w:p>
      <w:r>
        <w:rPr>
          <w:rFonts w:hint="eastAsia"/>
        </w:rPr>
        <w:t xml:space="preserve">4、 支持通过命令行的方式对设备内部数据流进行分析，可快速定位造成故障的防火墙内部功能模块，便于进行故障排查（提供具备CNAS标识的第三方检测报告，加盖投标单位公章）；</w:t>
      </w:r>
      <w:r/>
    </w:p>
    <w:p>
      <w:r>
        <w:rPr>
          <w:rFonts w:hint="eastAsia"/>
        </w:rPr>
        <w:t xml:space="preserve">5、 支持基于不同安全策略设定会话长连接老化时间；</w:t>
      </w:r>
      <w:r/>
    </w:p>
    <w:p>
      <w:r>
        <w:rPr>
          <w:rFonts w:hint="eastAsia"/>
        </w:rPr>
        <w:t xml:space="preserve">6、 支持多虚一部署，可将两台物理设备虚拟化成一台逻辑上的设备；</w:t>
      </w:r>
      <w:r/>
    </w:p>
    <w:p>
      <w:r>
        <w:rPr>
          <w:rFonts w:hint="eastAsia"/>
        </w:rPr>
        <w:t xml:space="preserve">7、 支持将一台逻辑上的设备虚拟化成多个虚拟防火墙，并可查看各虚拟防火墙的CPU和内存利用率、新建、并发和吞吐信息，并可单独重启特定虚拟防火墙；</w:t>
      </w:r>
      <w:r/>
    </w:p>
    <w:p>
      <w:r>
        <w:rPr>
          <w:rFonts w:hint="eastAsia"/>
        </w:rPr>
        <w:t xml:space="preserve">8、 支持MPLS；</w:t>
      </w:r>
      <w:r/>
    </w:p>
    <w:p>
      <w:r>
        <w:rPr>
          <w:rFonts w:hint="eastAsia"/>
        </w:rPr>
        <w:t xml:space="preserve">9、 为保证业务连通性，设备支持CPU利用率过高时，自动停用部分应用层攻击防护功能；</w:t>
      </w:r>
      <w:r/>
    </w:p>
    <w:p>
      <w:r>
        <w:rPr>
          <w:rFonts w:hint="eastAsia"/>
        </w:rPr>
        <w:t xml:space="preserve">10、 支持对安全策略进行冗余分析，并支持按不同时间段筛选未匹配的策略功能，且可以对其进行禁/启用或者删除操作；</w:t>
      </w:r>
      <w:r/>
    </w:p>
    <w:p>
      <w:r>
        <w:rPr>
          <w:rFonts w:hint="eastAsia"/>
        </w:rPr>
        <w:t xml:space="preserve">11、支持IPv6与IPv4互访；</w:t>
      </w:r>
      <w:r/>
    </w:p>
    <w:p>
      <w:r>
        <w:rPr>
          <w:rFonts w:hint="eastAsia"/>
        </w:rPr>
        <w:t xml:space="preserve">★12、须满足公安部《公安信息通信网边界接入平台安全规范》，设备厂商为公安部组织测试入围的边界安全接入平台厂商，提供证明文件；</w:t>
      </w:r>
      <w:r/>
    </w:p>
    <w:p>
      <w:r>
        <w:rPr>
          <w:rFonts w:hint="eastAsia"/>
        </w:rPr>
        <w:t xml:space="preserve">13、 具备公安部颁发的《计算机信息系统安全专用产品销售许可证-增强级》；</w:t>
      </w:r>
      <w:r/>
    </w:p>
    <w:p>
      <w:pPr>
        <w:pStyle w:val="1072"/>
      </w:pPr>
      <w:r>
        <w:rPr>
          <w:rFonts w:hint="eastAsia"/>
        </w:rPr>
        <w:t xml:space="preserve">下一代防火墙特征库</w:t>
      </w:r>
      <w:r/>
    </w:p>
    <w:p>
      <w:r>
        <w:rPr>
          <w:rFonts w:hint="eastAsia"/>
        </w:rPr>
        <w:t xml:space="preserve">针对现有防火墙上进行特征库升级，提供不低于三年入侵防御和防病毒特征库升级和服务</w:t>
      </w:r>
      <w:r/>
    </w:p>
    <w:p>
      <w:pPr>
        <w:pStyle w:val="1072"/>
      </w:pPr>
      <w:r>
        <w:rPr>
          <w:rFonts w:hint="eastAsia"/>
        </w:rPr>
        <w:t xml:space="preserve">请求服务访问控制系统</w:t>
      </w:r>
      <w:r/>
    </w:p>
    <w:p>
      <w:r>
        <w:rPr>
          <w:rFonts w:hint="eastAsia"/>
        </w:rPr>
        <w:t xml:space="preserve">硬件要求：</w:t>
      </w:r>
      <w:r/>
    </w:p>
    <w:p>
      <w:r>
        <w:rPr>
          <w:rFonts w:hint="eastAsia"/>
        </w:rPr>
        <w:t xml:space="preserve">双服务器主机架构，每个主机2U标准机架式机箱。服务器专用冗余电源，同时支持交流、直流电。内外网主机分别不少于4个100/1000M Base-TX网络接口。</w:t>
      </w:r>
      <w:r/>
    </w:p>
    <w:p>
      <w:r>
        <w:rPr>
          <w:rFonts w:hint="eastAsia"/>
        </w:rPr>
        <w:t xml:space="preserve">功能要求：</w:t>
      </w:r>
      <w:r/>
    </w:p>
    <w:p>
      <w:r>
        <w:rPr>
          <w:rFonts w:hint="eastAsia"/>
        </w:rPr>
        <w:t xml:space="preserve">主机系统采用具有自主知识产权的多核并行安全操作系统</w:t>
      </w:r>
      <w:r/>
    </w:p>
    <w:p>
      <w:r>
        <w:rPr>
          <w:rFonts w:hint="eastAsia"/>
        </w:rPr>
        <w:t xml:space="preserve">支持Soap、xml-rpc、restful等协议的请求响应服务。支持请求转文件（XML文件）和应答转文件（XML文件）。（提供产品功能界面截图，加盖投标单位公章）</w:t>
      </w:r>
      <w:r/>
    </w:p>
    <w:p>
      <w:r>
        <w:rPr>
          <w:rFonts w:hint="eastAsia"/>
        </w:rPr>
        <w:t xml:space="preserve">系统支持对SOAP协议的格式检查、病毒查杀及内容过滤；防止数据被窃听、被篡改。（提供产品功能界面截图）</w:t>
      </w:r>
      <w:r/>
    </w:p>
    <w:p>
      <w:r>
        <w:rPr>
          <w:rFonts w:hint="eastAsia"/>
        </w:rPr>
        <w:t xml:space="preserve">支持安全可靠的Agent-2请求响应服务。同时可以进行服务发布（提供产品功能界面截图，加盖投标单位公章）</w:t>
      </w:r>
      <w:r/>
    </w:p>
    <w:p>
      <w:r>
        <w:rPr>
          <w:rFonts w:hint="eastAsia"/>
        </w:rPr>
        <w:t xml:space="preserve">支持用户管理、不同用户可以分配管理不同的业务权限。</w:t>
      </w:r>
      <w:r/>
    </w:p>
    <w:p>
      <w:r>
        <w:rPr>
          <w:rFonts w:hint="eastAsia"/>
        </w:rPr>
        <w:t xml:space="preserve">支持对接入业务的监控及管理。</w:t>
      </w:r>
      <w:r/>
    </w:p>
    <w:p>
      <w:r>
        <w:rPr>
          <w:rFonts w:hint="eastAsia"/>
        </w:rPr>
        <w:t xml:space="preserve">采用BS架构，支持https安全加密访问，同时支持数字证书及用户名密码等安全认证机制增强产品自身安全性。</w:t>
      </w:r>
      <w:r/>
    </w:p>
    <w:p>
      <w:r>
        <w:rPr>
          <w:rFonts w:hint="eastAsia"/>
        </w:rPr>
        <w:t xml:space="preserve">可以对各个请求业务进行详细审计，包括：服务名称、请求时间、请求客户端IP、请求服务端IP、请求数、请求流量、回应流量等。（提供产品功能界面截图）</w:t>
      </w:r>
      <w:r/>
    </w:p>
    <w:p>
      <w:r>
        <w:rPr>
          <w:rFonts w:hint="eastAsia"/>
        </w:rPr>
        <w:t xml:space="preserve">★必须能与盐城市大丰区公安局原有互联网到视频专网数据交换系统配合使用，实现跨网请求访问业务，提供功能承诺函，加盖投标单位公章。</w:t>
      </w:r>
      <w:r/>
    </w:p>
    <w:p>
      <w:r>
        <w:rPr>
          <w:rFonts w:hint="eastAsia"/>
        </w:rPr>
        <w:t xml:space="preserve">性能参数：</w:t>
      </w:r>
      <w:r/>
    </w:p>
    <w:p>
      <w:r>
        <w:rPr>
          <w:rFonts w:hint="eastAsia"/>
        </w:rPr>
        <w:t xml:space="preserve">稳定性运行时间(MTBF)&gt;50000小时；</w:t>
      </w:r>
      <w:r/>
    </w:p>
    <w:p>
      <w:r>
        <w:rPr>
          <w:rFonts w:hint="eastAsia"/>
        </w:rPr>
        <w:t xml:space="preserve">并发会话≥200个</w:t>
      </w:r>
      <w:r/>
    </w:p>
    <w:p>
      <w:r>
        <w:rPr>
          <w:rFonts w:hint="eastAsia"/>
        </w:rPr>
        <w:t xml:space="preserve">最大支持服务个数≥20个</w:t>
      </w:r>
      <w:r/>
    </w:p>
    <w:p>
      <w:r>
        <w:rPr>
          <w:rFonts w:hint="eastAsia"/>
        </w:rPr>
        <w:t xml:space="preserve">其他要求：</w:t>
      </w:r>
      <w:r/>
    </w:p>
    <w:p>
      <w:r>
        <w:rPr>
          <w:rFonts w:hint="eastAsia"/>
        </w:rPr>
        <w:t xml:space="preserve">★产品厂商为边界接入平台厂商，通过公安部信息安全等级保护评估中心检测并具有合格《测评报告》,提供报告复印件，加盖投标单位公章。</w:t>
      </w:r>
      <w:r/>
    </w:p>
    <w:p>
      <w:r/>
      <w:r/>
    </w:p>
    <w:p>
      <w:pPr>
        <w:pStyle w:val="1070"/>
        <w:ind w:firstLine="640"/>
      </w:pPr>
      <w:r/>
      <w:bookmarkStart w:id="202" w:name="_Toc175326560"/>
      <w:r>
        <w:rPr>
          <w:rFonts w:hint="eastAsia"/>
        </w:rPr>
        <w:t xml:space="preserve">3.5</w:t>
      </w:r>
      <w:r>
        <w:t xml:space="preserve">项目</w:t>
      </w:r>
      <w:r>
        <w:rPr>
          <w:rFonts w:hint="eastAsia"/>
        </w:rPr>
        <w:t xml:space="preserve">软</w:t>
      </w:r>
      <w:r>
        <w:t xml:space="preserve">硬件配置清单</w:t>
      </w:r>
      <w:bookmarkEnd w:id="201"/>
      <w:r/>
      <w:bookmarkEnd w:id="202"/>
      <w:r/>
      <w:r/>
    </w:p>
    <w:p>
      <w:pPr>
        <w:pStyle w:val="1071"/>
      </w:pPr>
      <w:r/>
      <w:bookmarkStart w:id="203" w:name="_Toc19582"/>
      <w:r/>
      <w:bookmarkStart w:id="204" w:name="_Toc175326561"/>
      <w:r>
        <w:rPr>
          <w:rFonts w:hint="eastAsia"/>
        </w:rPr>
        <w:t xml:space="preserve">海防前端</w:t>
      </w:r>
      <w:bookmarkEnd w:id="203"/>
      <w:r>
        <w:rPr>
          <w:rFonts w:hint="eastAsia"/>
        </w:rPr>
        <w:t xml:space="preserve">建设</w:t>
      </w:r>
      <w:bookmarkEnd w:id="204"/>
      <w:r/>
      <w:r/>
    </w:p>
    <w:tbl>
      <w:tblPr>
        <w:tblStyle w:val="887"/>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12"/>
        <w:gridCol w:w="1611"/>
        <w:gridCol w:w="4349"/>
        <w:gridCol w:w="775"/>
        <w:gridCol w:w="762"/>
        <w:gridCol w:w="516"/>
      </w:tblGrid>
      <w:tr>
        <w:trPr>
          <w:trHeight w:val="45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b/>
                <w:bCs/>
                <w:sz w:val="21"/>
                <w:szCs w:val="21"/>
                <w:lang w:val="en-US" w:eastAsia="zh-CN" w:bidi="ar-SA"/>
              </w:rPr>
              <w:t xml:space="preserve">智慧海防前端建设</w:t>
            </w:r>
            <w:r/>
          </w:p>
        </w:tc>
      </w:tr>
      <w:tr>
        <w:trPr>
          <w:trHeight w:val="330"/>
        </w:trPr>
        <w:tc>
          <w:tcPr>
            <w:tcBorders>
              <w:top w:val="none" w:color="000000" w:sz="4" w:space="0"/>
              <w:left w:val="single" w:color="auto" w:sz="4" w:space="0"/>
              <w:bottom w:val="single" w:color="auto" w:sz="4" w:space="0"/>
              <w:right w:val="single" w:color="auto" w:sz="4" w:space="0"/>
            </w:tcBorders>
            <w:tcW w:w="355"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序号</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产品类别</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标底参数</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备注</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一、主要设备部分</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固态雷达（含软件平台）</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AIS基站</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全彩双目激光重载云台</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船舶识别终端</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双镜头结构化</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三镜头结构化</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500W环保卡口抓拍单元</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900W环保卡口抓拍单元</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全景球机</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10</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800W黑光球机</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11</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270°高空全景摄像机</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12</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四合一环保补光灯</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只</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13</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光纤收发器（对）</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对</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14</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抱杆机箱（白色）</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15</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15</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工业级交换机千M</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25</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二、主要材料部分</w:t>
            </w:r>
            <w:r/>
          </w:p>
        </w:tc>
      </w:tr>
      <w:tr>
        <w:trPr>
          <w:trHeight w:val="48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U型球机支架</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高度≥0.8m，直径不低于60mm，壁厚不低于2.5mm</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17</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球机支架</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长壁装/铂晶灰/铝合金/</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10</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18</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结构化组件</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配套定制</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19</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7米挑臂5M杆件（含基础、地笼、浇筑）</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7米挑臂7M杆件（含基础、地笼、浇筑）</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21</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7米挑臂10M杆件（含基础、地笼、浇筑）</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22</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10米挑臂1M杆件（含基础、地笼、浇筑）</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23</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接地棒及组件含安装测量</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杆件、箱体等接地含材料，接地阻值不大于10Ω</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24</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电源线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国标，纯铜，RVV-2*10.0mm²</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2720</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25</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电源线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国标，纯铜，RVV-2*6.0mm²</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366</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26</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电源线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国标，纯铜，RVV-3×2.5mm²</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840</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27</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通讯线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国标，纯铜，RVVP-2×1.0mm²</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210</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28</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超六类网线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国标，室外</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770</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29</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单模光缆-4芯</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4芯单模，含熔纤、配套辅材等</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2050</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30</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PE套管</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820</w:t>
            </w:r>
            <w:r/>
          </w:p>
        </w:tc>
        <w:tc>
          <w:tcPr>
            <w:tcBorders>
              <w:top w:val="none" w:color="000000" w:sz="4" w:space="0"/>
              <w:left w:val="none" w:color="000000" w:sz="4" w:space="0"/>
              <w:bottom w:val="single" w:color="auto" w:sz="4" w:space="0"/>
              <w:right w:val="single" w:color="auto" w:sz="4" w:space="0"/>
            </w:tcBorders>
            <w:tcW w:w="29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三、基建部分</w:t>
            </w:r>
            <w:r/>
          </w:p>
        </w:tc>
      </w:tr>
      <w:tr>
        <w:trPr>
          <w:trHeight w:val="27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31</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砖砌手井（含手井圈、盖）</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22</w:t>
            </w:r>
            <w:r/>
          </w:p>
        </w:tc>
        <w:tc>
          <w:tcPr>
            <w:tcBorders>
              <w:top w:val="none" w:color="000000" w:sz="4" w:space="0"/>
              <w:left w:val="none" w:color="000000" w:sz="4" w:space="0"/>
              <w:bottom w:val="single" w:color="auto" w:sz="4" w:space="0"/>
              <w:right w:val="single" w:color="auto" w:sz="4" w:space="0"/>
            </w:tcBorders>
            <w:tcW w:w="296"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32</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管道沟通2孔Φ50</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按《公安交通管理外场设备基础施工通用要求》实施</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2346</w:t>
            </w:r>
            <w:r/>
          </w:p>
        </w:tc>
        <w:tc>
          <w:tcPr>
            <w:tcBorders>
              <w:top w:val="none" w:color="000000" w:sz="4" w:space="0"/>
              <w:left w:val="none" w:color="000000" w:sz="4" w:space="0"/>
              <w:bottom w:val="single" w:color="auto" w:sz="4" w:space="0"/>
              <w:right w:val="single" w:color="auto" w:sz="4" w:space="0"/>
            </w:tcBorders>
            <w:tcW w:w="296"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线缆敷设</w:t>
            </w:r>
            <w:r/>
          </w:p>
        </w:tc>
        <w:tc>
          <w:tcPr>
            <w:shd w:val="clear" w:color="000000" w:fill="ffffff"/>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按《公安交通管理外场设备基础施工通用要求》实施</w:t>
            </w:r>
            <w:r/>
          </w:p>
        </w:tc>
        <w:tc>
          <w:tcPr>
            <w:shd w:val="clear" w:color="000000" w:fill="ffffff"/>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6956</w:t>
            </w:r>
            <w:r/>
          </w:p>
        </w:tc>
        <w:tc>
          <w:tcPr>
            <w:tcBorders>
              <w:top w:val="none" w:color="000000" w:sz="4" w:space="0"/>
              <w:left w:val="none" w:color="000000" w:sz="4" w:space="0"/>
              <w:bottom w:val="single" w:color="auto" w:sz="4" w:space="0"/>
              <w:right w:val="single" w:color="auto" w:sz="4" w:space="0"/>
            </w:tcBorders>
            <w:tcW w:w="296"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四、其他部分</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供电开户</w:t>
            </w:r>
            <w:r/>
          </w:p>
        </w:tc>
        <w:tc>
          <w:tcPr>
            <w:shd w:val="clear" w:color="auto" w:fill="auto"/>
            <w:tcBorders>
              <w:top w:val="none" w:color="000000" w:sz="4" w:space="0"/>
              <w:left w:val="none" w:color="000000" w:sz="4" w:space="0"/>
              <w:bottom w:val="single" w:color="auto" w:sz="4" w:space="0"/>
              <w:right w:val="single" w:color="auto" w:sz="4" w:space="0"/>
            </w:tcBorders>
            <w:tcW w:w="252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含勘查、材料、施工、供电部门验收等所有费用，根据供电部门要求进行实施，以及至监控点所需的顶管、埋管、电杆立杆、架空线缆、线缆敷设等接入施工，电源缆线不低于6平方</w:t>
            </w:r>
            <w:r/>
          </w:p>
        </w:tc>
        <w:tc>
          <w:tcPr>
            <w:shd w:val="clear" w:color="000000" w:fill="ffffff"/>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处</w:t>
            </w:r>
            <w:r/>
          </w:p>
        </w:tc>
        <w:tc>
          <w:tcPr>
            <w:shd w:val="clear" w:color="000000" w:fill="ffffff"/>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96"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专线链路</w:t>
            </w:r>
            <w:r/>
          </w:p>
        </w:tc>
        <w:tc>
          <w:tcPr>
            <w:shd w:val="clear" w:color="auto" w:fill="auto"/>
            <w:tcBorders>
              <w:top w:val="none" w:color="000000" w:sz="4" w:space="0"/>
              <w:left w:val="none" w:color="000000" w:sz="4" w:space="0"/>
              <w:bottom w:val="single" w:color="auto" w:sz="4" w:space="0"/>
              <w:right w:val="single" w:color="auto" w:sz="4" w:space="0"/>
            </w:tcBorders>
            <w:tcW w:w="252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包含新建链路所需全部费用及租赁运营商通讯链路（包含链路使用费且不低于千兆带宽，链路使用费自整体项目验收合格之日起计）</w:t>
            </w:r>
            <w:r/>
          </w:p>
        </w:tc>
        <w:tc>
          <w:tcPr>
            <w:shd w:val="clear" w:color="000000" w:fill="ffffff"/>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处</w:t>
            </w:r>
            <w:r/>
          </w:p>
        </w:tc>
        <w:tc>
          <w:tcPr>
            <w:shd w:val="clear" w:color="000000" w:fill="ffffff"/>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296"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铁塔租赁</w:t>
            </w:r>
            <w:r/>
          </w:p>
        </w:tc>
        <w:tc>
          <w:tcPr>
            <w:shd w:val="clear" w:color="auto" w:fill="auto"/>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shd w:val="clear" w:color="000000" w:fill="ffffff"/>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44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96"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五、调试部分</w:t>
            </w:r>
            <w:r/>
          </w:p>
        </w:tc>
      </w:tr>
      <w:tr>
        <w:trPr>
          <w:trHeight w:val="330"/>
        </w:trPr>
        <w:tc>
          <w:tcPr>
            <w:tcBorders>
              <w:top w:val="none" w:color="000000" w:sz="4" w:space="0"/>
              <w:left w:val="single" w:color="auto" w:sz="4" w:space="0"/>
              <w:bottom w:val="single" w:color="auto" w:sz="4" w:space="0"/>
              <w:right w:val="single" w:color="auto" w:sz="4" w:space="0"/>
            </w:tcBorders>
            <w:tcW w:w="35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37</w:t>
            </w:r>
            <w:r/>
          </w:p>
        </w:tc>
        <w:tc>
          <w:tcPr>
            <w:tcBorders>
              <w:top w:val="none" w:color="000000" w:sz="4" w:space="0"/>
              <w:left w:val="none" w:color="000000" w:sz="4" w:space="0"/>
              <w:bottom w:val="single" w:color="auto" w:sz="4" w:space="0"/>
              <w:right w:val="single" w:color="auto" w:sz="4" w:space="0"/>
            </w:tcBorders>
            <w:tcW w:w="93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调试费</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上述一至四项安装调试费用</w:t>
            </w:r>
            <w:r/>
          </w:p>
        </w:tc>
        <w:tc>
          <w:tcPr>
            <w:tcBorders>
              <w:top w:val="none" w:color="000000" w:sz="4" w:space="0"/>
              <w:left w:val="none" w:color="000000" w:sz="4" w:space="0"/>
              <w:bottom w:val="single" w:color="auto" w:sz="4" w:space="0"/>
              <w:right w:val="single" w:color="auto" w:sz="4" w:space="0"/>
            </w:tcBorders>
            <w:tcW w:w="44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　</w:t>
            </w:r>
            <w:r/>
          </w:p>
        </w:tc>
        <w:tc>
          <w:tcPr>
            <w:tcBorders>
              <w:top w:val="none" w:color="000000" w:sz="4" w:space="0"/>
              <w:left w:val="none" w:color="000000" w:sz="4" w:space="0"/>
              <w:bottom w:val="single" w:color="auto" w:sz="4" w:space="0"/>
              <w:right w:val="single" w:color="auto" w:sz="4" w:space="0"/>
            </w:tcBorders>
            <w:tcW w:w="442"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　</w:t>
            </w:r>
            <w:r/>
          </w:p>
        </w:tc>
        <w:tc>
          <w:tcPr>
            <w:tcBorders>
              <w:top w:val="none" w:color="000000" w:sz="4" w:space="0"/>
              <w:left w:val="none" w:color="000000" w:sz="4" w:space="0"/>
              <w:bottom w:val="single" w:color="auto" w:sz="4" w:space="0"/>
              <w:right w:val="single" w:color="auto" w:sz="4" w:space="0"/>
            </w:tcBorders>
            <w:tcW w:w="296"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bl>
    <w:p>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427"/>
        <w:gridCol w:w="1019"/>
        <w:gridCol w:w="873"/>
        <w:gridCol w:w="2474"/>
        <w:gridCol w:w="2080"/>
      </w:tblGrid>
      <w:tr>
        <w:trPr>
          <w:trHeight w:val="762"/>
        </w:trPr>
        <w:tc>
          <w:tcPr>
            <w:gridSpan w:val="6"/>
            <w:tcW w:w="5000" w:type="pct"/>
            <w:vAlign w:val="center"/>
            <w:textDirection w:val="lrTb"/>
            <w:noWrap w:val="false"/>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COB大屏</w:t>
            </w:r>
            <w:r/>
          </w:p>
        </w:tc>
      </w:tr>
      <w:tr>
        <w:trPr>
          <w:trHeight w:val="762"/>
        </w:trPr>
        <w:tc>
          <w:tcPr>
            <w:tcW w:w="43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系统类别</w:t>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名称</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技术参数</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备注</w:t>
            </w:r>
            <w:r/>
          </w:p>
        </w:tc>
      </w:tr>
      <w:tr>
        <w:trPr>
          <w:trHeight w:val="762"/>
        </w:trPr>
        <w:tc>
          <w:tcPr>
            <w:tcW w:w="436"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显示终端设备</w:t>
            </w:r>
            <w:r/>
          </w:p>
        </w:tc>
        <w:tc>
          <w:tcPr>
            <w:tcW w:w="827"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室内COB微间距LED 显示屏</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不低于48.600 </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平米</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1206" w:type="pct"/>
            <w:vAlign w:val="top"/>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整屏显示分辨率：W9600×H3240；整屏尺寸：W12m×H4.05m；箱体排列20列×12行</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 </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块</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COB模组备品</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备品备件</w:t>
            </w:r>
            <w:r/>
          </w:p>
        </w:tc>
      </w:tr>
      <w:tr>
        <w:trPr>
          <w:trHeight w:val="762"/>
        </w:trPr>
        <w:tc>
          <w:tcPr>
            <w:tcW w:w="436"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控制系统设备</w:t>
            </w:r>
            <w:r/>
          </w:p>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4K控制器</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166"/>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智能配电柜</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配电功率≥60KW；</w:t>
            </w:r>
            <w:r/>
          </w:p>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支持分布式自动逐级上电功能；支持PLC；与COB显示屏同一品牌；</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LED钢结构</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50 </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平米</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定制弧形支架，包含5cm包边</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控制软件</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服务项目</w:t>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综合布线</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布线包含发送盒到显示屏信号传输网线，配电箱到显示屏供电线，不含桥架费用</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线材费用</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包含发送盒到显示屏信号传输超五类网线，配电箱到显示屏供电线</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系统安装调试费</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原厂工程师安装调试</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运输费及保险费</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工厂到现场</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前维护工具</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真空吸盘</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bl>
    <w:p>
      <w:r/>
      <w:r/>
    </w:p>
    <w:tbl>
      <w:tblPr>
        <w:tblStyle w:val="90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589"/>
        <w:gridCol w:w="4068"/>
        <w:gridCol w:w="868"/>
        <w:gridCol w:w="1302"/>
      </w:tblGrid>
      <w:tr>
        <w:trPr>
          <w:trHeight w:val="661"/>
        </w:trPr>
        <w:tc>
          <w:tcPr>
            <w:gridSpan w:val="5"/>
            <w:tcW w:w="5000" w:type="pct"/>
            <w:vAlign w:val="top"/>
            <w:textDirection w:val="lrTb"/>
            <w:noWrap w:val="false"/>
          </w:tcPr>
          <w:p>
            <w:pPr>
              <w:pStyle w:val="1070"/>
              <w:ind w:firstLine="562"/>
              <w:jc w:val="center"/>
              <w:keepLines/>
              <w:keepNext/>
              <w:spacing w:before="260" w:after="260" w:line="416" w:lineRule="auto"/>
              <w:widowControl w:val="off"/>
              <w:rPr>
                <w:rFonts w:hint="eastAsia" w:ascii="宋体" w:hAnsi="宋体" w:eastAsia="宋体" w:cs="宋体"/>
                <w:b/>
                <w:bCs/>
                <w:sz w:val="24"/>
                <w:szCs w:val="24"/>
                <w:lang w:val="en-US" w:eastAsia="zh-CN" w:bidi="ar-SA"/>
              </w:rPr>
              <w:outlineLvl w:val="1"/>
            </w:pPr>
            <w:r/>
            <w:bookmarkStart w:id="205" w:name="_Toc175326562"/>
            <w:r>
              <w:rPr>
                <w:rFonts w:hint="eastAsia" w:ascii="宋体" w:hAnsi="宋体" w:eastAsia="宋体" w:cs="宋体"/>
                <w:b/>
                <w:bCs/>
                <w:sz w:val="24"/>
                <w:szCs w:val="24"/>
                <w:lang w:val="en-US" w:eastAsia="zh-CN" w:bidi="ar-SA"/>
              </w:rPr>
              <w:t xml:space="preserve">中央空调</w:t>
            </w:r>
            <w:bookmarkEnd w:id="205"/>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序号</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名称</w:t>
            </w:r>
            <w:r/>
          </w:p>
        </w:tc>
        <w:tc>
          <w:tcPr>
            <w:tcW w:w="2358"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特征描述</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单位</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数量</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直流变频多联机室外机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1、名称：直流变频多联机室外机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2、规格：制冷量：≥117.0kW,制热量：≥130kW,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3、制冷输入功率：≤34.96KW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4、制热输入功率：≤32.95KW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5、运行范围：制冷-15～55℃、制热-30～30℃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6、夜间运行噪音dB(A):≤68</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7、安装形式：落地式</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8、APF值≤3.8</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直流变频多联机室外机</w:t>
            </w:r>
            <w:r/>
          </w:p>
        </w:tc>
        <w:tc>
          <w:tcPr>
            <w:tcW w:w="2358" w:type="pct"/>
            <w:vAlign w:val="top"/>
            <w:textDirection w:val="lrTb"/>
            <w:noWrap w:val="false"/>
          </w:tcPr>
          <w:p>
            <w:pPr>
              <w:numPr>
                <w:ilvl w:val="0"/>
                <w:numId w:val="10"/>
              </w:num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名称：直流变频多联机室外机</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2、规格：制冷量：≥90kW,制热量：≥100kW,</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3、制冷输入功率：≤24.95KW</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4、制热输入功率：≤24.75KW</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5、运行范围：制冷-15～55℃、制热-30～30℃</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6、夜间运行噪音dB(A):≤64</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7、安装形式：落地式</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8、APF值≤4.55</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管、冷凝水管、保温、分歧管、套管、冷媒冲注、信号管线、减震垫、打孔等全部费用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直流变频多联机室外机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1、名称：直流变频多联机室外机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2、规格：制冷量：≥56kW,制热量：≥63kW,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3、制冷输入功率：≤16.3KW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4、制热输入功率：≤15.3KW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5、运行范围：制冷-15～55℃、制热-30～30℃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6、夜间运行噪音dB(A):≤61</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7、安装形式：落地式</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8、APF值≤4.65</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直流变频多联机室外机</w:t>
            </w:r>
            <w:r/>
          </w:p>
        </w:tc>
        <w:tc>
          <w:tcPr>
            <w:tcW w:w="2358"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1、名称：直流变频多联机室外机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2、规格：制冷量：≥45kW,制热量：≥50kW,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3、制冷输入功率：≤12KW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4、制热输入功率：≤12.05KW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5、运行范围：制冷-15～55℃、制热-30～30℃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6、夜间运行噪音dB(A):≤60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7、安装形式：落地式</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8、APF值≤4.6</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2、规格：制冷量：≥10kW,制热量：≥11.2kW,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3、额定电流：≤0.98A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4、额定功率：≤132W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5、最大静压值：≥160pa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6、最大运行噪音dB(A):≤39</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8、标配冷凝水提升泵</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14</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48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2、规格：制冷量：≥7.1kW,制热量：≥8kW,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3、额定电流：≤0.77A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4、额定功率：≤96W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5、最大静压值：≥160pa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6、最大运行噪音dB(A):≤37</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8、标配冷凝水提升泵</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12</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2、规格：制冷量：≥3.6kW,制热量：≥4kW,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3、额定电流：≤0.46A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4、额定功率：≤49W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6、最大运行噪音dB(A):≤32</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8、标配冷凝水提升泵</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2、规格：制冷量：≥2.5kW,制热量：≥2.8kW,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3、额定电流：≤0.33A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4、额定功率：≤28W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8、标配冷凝水提升泵</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2、规格：制冷量：≥5.6kW,制热量：≥6.3kW,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3、额定电流：≤0.9A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4、额定功率：≤100W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6、最大运行噪音dB(A):≤38</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10</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2、规格：制冷量：≥5kW,制热量：≥5.6kW,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3、额定电流：≤0.9A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4、额定功率：≤100W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6、最大运行噪音dB(A):≤38</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11</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2、规格：制冷量：≥3.6kW,制热量：≥4kW,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3、额定电流：≤0.46A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4、额定功率：≤49W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6、最大运行噪音dB(A):≤32</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34</w:t>
            </w:r>
            <w:r/>
          </w:p>
        </w:tc>
      </w:tr>
    </w:tbl>
    <w:p>
      <w:r/>
      <w:r/>
    </w:p>
    <w:p>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951"/>
        <w:gridCol w:w="4206"/>
        <w:gridCol w:w="462"/>
        <w:gridCol w:w="462"/>
        <w:gridCol w:w="1082"/>
      </w:tblGrid>
      <w:tr>
        <w:trPr>
          <w:trHeight w:val="405"/>
        </w:trPr>
        <w:tc>
          <w:tcPr>
            <w:gridSpan w:val="6"/>
            <w:tcW w:w="5000"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一、大丰港海防中心分布式系统清单</w:t>
            </w:r>
            <w:r/>
          </w:p>
        </w:tc>
      </w:tr>
      <w:tr>
        <w:trPr>
          <w:trHeight w:val="270"/>
        </w:trPr>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序号</w:t>
            </w:r>
            <w:r/>
          </w:p>
        </w:tc>
        <w:tc>
          <w:tcPr>
            <w:tcW w:w="1131"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设备名称</w:t>
            </w:r>
            <w:r/>
          </w:p>
        </w:tc>
        <w:tc>
          <w:tcPr>
            <w:tcW w:w="243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技术参数</w:t>
            </w:r>
            <w:r/>
          </w:p>
        </w:tc>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数量</w:t>
            </w:r>
            <w:r/>
          </w:p>
        </w:tc>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单位</w:t>
            </w:r>
            <w:r/>
          </w:p>
        </w:tc>
        <w:tc>
          <w:tcPr>
            <w:tcW w:w="625"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备注</w:t>
            </w:r>
            <w:r/>
          </w:p>
        </w:tc>
      </w:tr>
      <w:tr>
        <w:trPr>
          <w:trHeight w:val="162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分布式4K光口输入节点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26</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席位电脑*24，会议终端*1，摄像机*1（含调音台音频接入1路）</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分布式4K坐席光口输出节点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坐席管理席位*4</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分布式4K拼接光口输出节点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大屏发送卡*4</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分布式4K矩阵光口输出节点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会议终端*1</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分布式拼接授权</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分布式坐席授权</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7</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48口万兆光交换机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8</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中心电脑汇聚用</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9</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10G，单模双芯</w:t>
            </w:r>
            <w:r/>
          </w:p>
        </w:tc>
        <w:tc>
          <w:tcPr>
            <w:tcW w:w="268" w:type="pct"/>
            <w:vAlign w:val="center"/>
            <w:textDirection w:val="lrTb"/>
            <w:noWrap/>
          </w:tcPr>
          <w:p>
            <w:pPr>
              <w:jc w:val="center"/>
              <w:widowControl w:val="off"/>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36</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可视化智能管理平台</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强电控制器</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控制大屏开关</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机柜</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辅材</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视频线，光纤线，USB线，电源线，音频线等系统所需辅材</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批</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1131"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625"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405"/>
        </w:trPr>
        <w:tc>
          <w:tcPr>
            <w:gridSpan w:val="6"/>
            <w:tcW w:w="5000"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二、大丰区局分布式系统清单</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序号</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设备名称</w:t>
            </w:r>
            <w:r/>
          </w:p>
        </w:tc>
        <w:tc>
          <w:tcPr>
            <w:tcW w:w="243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技术参数</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数量</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单位</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备注</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四楼指挥室</w:t>
            </w:r>
            <w:r/>
          </w:p>
        </w:tc>
      </w:tr>
      <w:tr>
        <w:trPr>
          <w:trHeight w:val="135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投屏电脑*1，会议终端*1，摄像机*1（含一路调音台音频接入）</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分布式4K拼接电口输出节点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大屏发送卡*2</w:t>
            </w:r>
            <w:r/>
          </w:p>
        </w:tc>
      </w:tr>
      <w:tr>
        <w:trPr>
          <w:trHeight w:val="81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电视机*1（含1路音频输出给调音台）</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分布式接入交换机</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1.25G,单模双芯</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图控中心</w:t>
            </w:r>
            <w:r/>
          </w:p>
        </w:tc>
      </w:tr>
      <w:tr>
        <w:trPr>
          <w:trHeight w:val="135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会议终端*5，导播台*1，摄像机*1（含调音台1路音频接入）</w:t>
            </w:r>
            <w:r/>
          </w:p>
        </w:tc>
      </w:tr>
      <w:tr>
        <w:trPr>
          <w:trHeight w:val="108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会议终端*5，电视机*1（含一路音频输出给调音台）</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分布式接入交换机</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24口千兆光口交换机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做汇聚交换机用</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1.25G,单模双芯</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7</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可视化智能管理平台</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指挥大厅</w:t>
            </w:r>
            <w:r/>
          </w:p>
        </w:tc>
      </w:tr>
      <w:tr>
        <w:trPr>
          <w:trHeight w:val="81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摄像机*1（含一路调音台音频接入）</w:t>
            </w:r>
            <w:r/>
          </w:p>
        </w:tc>
      </w:tr>
      <w:tr>
        <w:trPr>
          <w:trHeight w:val="81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电视机*1（含1路音频输出给调音台）</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三楼东大会议室</w:t>
            </w:r>
            <w:r/>
          </w:p>
        </w:tc>
      </w:tr>
      <w:tr>
        <w:trPr>
          <w:trHeight w:val="135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投屏电脑*1，会议终端*1，摄像机*2（含1路调音台音频接入）</w:t>
            </w:r>
            <w:r/>
          </w:p>
        </w:tc>
      </w:tr>
      <w:tr>
        <w:trPr>
          <w:trHeight w:val="108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7</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会议终端*1，电视机*6（含1路音频输出给调音台）</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分布式接入交换机</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1.25G,单模双芯</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三楼西会议室</w:t>
            </w:r>
            <w:r/>
          </w:p>
        </w:tc>
      </w:tr>
      <w:tr>
        <w:trPr>
          <w:trHeight w:val="108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投屏电脑*1，摄像机*1（含一路调音台音频接入）</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分布式4K拼接电口输出节点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大屏发送卡*1</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分布式接入交换机</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1.25G,单模双芯</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辅材</w:t>
            </w:r>
            <w:r/>
          </w:p>
        </w:tc>
      </w:tr>
      <w:tr>
        <w:trPr>
          <w:trHeight w:val="270"/>
        </w:trPr>
        <w:tc>
          <w:tcPr>
            <w:tcW w:w="268" w:type="pct"/>
            <w:vAlign w:val="center"/>
            <w:textDirection w:val="lrTb"/>
            <w:noWrap/>
          </w:tcPr>
          <w:p>
            <w:pPr>
              <w:jc w:val="both"/>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辅材</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大丰区局分布式系统所需视频线，音频线，隔离器，插排，网线，光纤跳线等</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批</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1131"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625"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405"/>
        </w:trPr>
        <w:tc>
          <w:tcPr>
            <w:gridSpan w:val="6"/>
            <w:tcW w:w="5000"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三、视频会议</w:t>
            </w:r>
            <w:r/>
          </w:p>
        </w:tc>
      </w:tr>
      <w:tr>
        <w:trPr>
          <w:trHeight w:val="270"/>
        </w:trPr>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序号</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设备名称</w:t>
            </w:r>
            <w:r/>
          </w:p>
        </w:tc>
        <w:tc>
          <w:tcPr>
            <w:tcW w:w="243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产品描述</w:t>
            </w:r>
            <w:r/>
          </w:p>
        </w:tc>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数量</w:t>
            </w:r>
            <w:r/>
          </w:p>
        </w:tc>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单位</w:t>
            </w:r>
            <w:r/>
          </w:p>
        </w:tc>
        <w:tc>
          <w:tcPr>
            <w:tcW w:w="625"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　</w:t>
            </w:r>
            <w:r/>
          </w:p>
        </w:tc>
      </w:tr>
      <w:tr>
        <w:trPr>
          <w:trHeight w:val="45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云多点控制单元(MCU）</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接入端口授权</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接入端口</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36</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项</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分体式终端</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分体式摄像机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85寸电视机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bl>
    <w:p>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3179"/>
        <w:gridCol w:w="2463"/>
        <w:gridCol w:w="714"/>
        <w:gridCol w:w="714"/>
        <w:gridCol w:w="841"/>
      </w:tblGrid>
      <w:tr>
        <w:trPr>
          <w:trHeight w:val="375"/>
        </w:trPr>
        <w:tc>
          <w:tcPr>
            <w:gridSpan w:val="6"/>
            <w:tcW w:w="5000"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b/>
                <w:bCs/>
                <w:sz w:val="21"/>
                <w:szCs w:val="21"/>
                <w:lang w:val="en-US" w:eastAsia="zh-CN" w:bidi="ar-SA"/>
              </w:rPr>
              <w:t xml:space="preserve">大丰智慧海防中心扩声系统</w:t>
            </w:r>
            <w:r/>
          </w:p>
        </w:tc>
      </w:tr>
      <w:tr>
        <w:trPr>
          <w:trHeight w:val="375"/>
        </w:trPr>
        <w:tc>
          <w:tcPr>
            <w:shd w:val="clear" w:color="000000" w:fill="d0cece"/>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序号</w:t>
            </w:r>
            <w:r/>
          </w:p>
        </w:tc>
        <w:tc>
          <w:tcPr>
            <w:shd w:val="clear" w:color="auto" w:fill="auto"/>
            <w:tcW w:w="1843"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名称</w:t>
            </w:r>
            <w:r/>
          </w:p>
        </w:tc>
        <w:tc>
          <w:tcPr>
            <w:shd w:val="clear" w:color="000000" w:fill="d0cece"/>
            <w:tcW w:w="1428"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名称</w:t>
            </w:r>
            <w:r/>
          </w:p>
        </w:tc>
        <w:tc>
          <w:tcPr>
            <w:shd w:val="clear" w:color="000000" w:fill="d0cece"/>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数量</w:t>
            </w:r>
            <w:r/>
          </w:p>
        </w:tc>
        <w:tc>
          <w:tcPr>
            <w:shd w:val="clear" w:color="000000" w:fill="d0cece"/>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单位</w:t>
            </w:r>
            <w:r/>
          </w:p>
        </w:tc>
        <w:tc>
          <w:tcPr>
            <w:shd w:val="clear" w:color="000000" w:fill="d0cece"/>
            <w:tcW w:w="486"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 备注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w:t>
            </w:r>
            <w:r/>
          </w:p>
        </w:tc>
        <w:tc>
          <w:tcPr>
            <w:tcW w:w="1843"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可变指向性音柱</w:t>
            </w:r>
            <w:r/>
          </w:p>
        </w:tc>
        <w:tc>
          <w:tcPr>
            <w:tcW w:w="1428" w:type="pct"/>
            <w:vAlign w:val="top"/>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只</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2</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补声音柱</w:t>
            </w:r>
            <w:r/>
          </w:p>
        </w:tc>
        <w:tc>
          <w:tcPr>
            <w:tcW w:w="1428" w:type="pct"/>
            <w:vAlign w:val="top"/>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只</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3</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补声功放</w:t>
            </w:r>
            <w:r/>
          </w:p>
        </w:tc>
        <w:tc>
          <w:tcPr>
            <w:tcW w:w="1428" w:type="pct"/>
            <w:vAlign w:val="top"/>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4</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数字音频处理器</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5</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网线版手拉手会议控制主机</w:t>
            </w:r>
            <w:r/>
          </w:p>
        </w:tc>
        <w:tc>
          <w:tcPr>
            <w:tcW w:w="142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6</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网线版手拉手会议主席单元</w:t>
            </w:r>
            <w:r/>
          </w:p>
        </w:tc>
        <w:tc>
          <w:tcPr>
            <w:tcW w:w="142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486" w:type="pct"/>
            <w:vAlign w:val="center"/>
            <w:vMerge w:val="restart"/>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7</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网线版手拉手会议代表单元</w:t>
            </w:r>
            <w:r/>
          </w:p>
        </w:tc>
        <w:tc>
          <w:tcPr>
            <w:tcW w:w="142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17</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486" w:type="pct"/>
            <w:vAlign w:val="center"/>
            <w:vMerge w:val="continue"/>
            <w:textDirection w:val="lrTb"/>
            <w:noWrap w:val="false"/>
          </w:tcPr>
          <w:p>
            <w:pPr>
              <w:jc w:val="left"/>
              <w:widowControl w:val="off"/>
              <w:rPr>
                <w:rFonts w:ascii="Times New Roman" w:hAnsi="Times New Roman" w:eastAsia="宋体" w:cs="宋体"/>
                <w:sz w:val="21"/>
                <w:szCs w:val="21"/>
                <w:lang w:val="en-US" w:eastAsia="zh-CN" w:bidi="ar-SA"/>
              </w:rPr>
            </w:pPr>
            <w:r>
              <w:rPr>
                <w:rFonts w:ascii="Times New Roman" w:hAnsi="Times New Roman" w:eastAsia="宋体" w:cs="宋体"/>
                <w:sz w:val="21"/>
                <w:szCs w:val="21"/>
                <w:lang w:val="en-US" w:eastAsia="zh-CN" w:bidi="ar-SA"/>
              </w:rPr>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8</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无线手持话筒</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623"/>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9</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天线放大器</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对</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10</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智能话筒处理器</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11</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数字调音台</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57"/>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12</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电源时序器</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13</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线材</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含音箱线、信号线、电源线、网线等</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批</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14</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辅材</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含穿线管、接插件等</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批</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15</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安装调试</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1-14项安装调试</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项</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bl>
    <w:p>
      <w:r/>
      <w:r/>
    </w:p>
    <w:tbl>
      <w:tblPr>
        <w:tblStyle w:val="88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812"/>
        <w:gridCol w:w="760"/>
        <w:gridCol w:w="1049"/>
        <w:gridCol w:w="3562"/>
        <w:gridCol w:w="861"/>
        <w:gridCol w:w="725"/>
        <w:gridCol w:w="856"/>
      </w:tblGrid>
      <w:tr>
        <w:trPr>
          <w:jc w:val="center"/>
          <w:trHeight w:val="51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宋体"/>
                <w:b/>
                <w:bCs/>
                <w:sz w:val="21"/>
                <w:szCs w:val="21"/>
                <w:lang w:val="en-US" w:eastAsia="zh-CN" w:bidi="ar-SA"/>
              </w:rPr>
              <w:t xml:space="preserve">大丰区智慧海防中心控制台</w:t>
            </w:r>
            <w:r/>
          </w:p>
        </w:tc>
      </w:tr>
      <w:tr>
        <w:trPr>
          <w:jc w:val="center"/>
          <w:trHeight w:val="285"/>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序号</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项目名称</w:t>
            </w:r>
            <w:r/>
          </w:p>
        </w:tc>
        <w:tc>
          <w:tcPr>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产品名称</w:t>
            </w:r>
            <w:r/>
          </w:p>
        </w:tc>
        <w:tc>
          <w:tcPr>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规格</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备注</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大丰区智慧海防中心控制台</w:t>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控制台</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29</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工位</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桌面信息插</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接口：1个五孔电源+1个UPS(3.0)+1个5V2A无线充电USB+2网口；</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29</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525"/>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PDU</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1、电气性能符合IEC标准；</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2、输入端插头形式采用国标三孔；</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3、额定电压/额定电流：220V/10A；</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电源条藏于控制台或控制台内，不影响走线和美观。</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58</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根</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人体工学椅</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1、专业办公网布饰面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2、黑色PA尼龙+玻纤椅背/头枕配PU西皮面/带衣架 </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3、升降扶手配PU面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4、定型海绵，三档锁定及前后滑动功能底盘</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5、通过SGS认证三级黑色气压棒</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6、340#尼龙五星高脚，配∮60黑色PU轮</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张</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指挥桌皮椅</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1、巴西进口优质黄牛皮饰面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2、9层木皮压制而成的高密度夹板</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3、高密度高弹力海绵+公仔棉包</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4、原位锁定底盘*通过SGS认证三级电镀气压棒 </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5、350#电镀方管脚配∮55PA静音轮</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张</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运输安装费</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含辅材及零配件，定制运输安装</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510"/>
        </w:trPr>
        <w:tc>
          <w:tcPr>
            <w:gridSpan w:val="7"/>
            <w:tcBorders>
              <w:top w:val="single" w:color="auto" w:sz="4" w:space="0"/>
              <w:left w:val="single" w:color="auto" w:sz="4" w:space="0"/>
              <w:bottom w:val="single" w:color="auto" w:sz="4" w:space="0"/>
              <w:right w:val="none" w:color="000000"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会议室</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restart"/>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会议室桌椅</w:t>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大会议桌</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1、大型会议桌长桌简约现代长方形，6.4米*2.4米，胡桃色。</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2、桌子承重800KG</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3、柜体工艺，稳固承托框架</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4、采用E1级环保实木颗粒板材，面板厚度5cm，不起边，耐脏、耐刮、耐高温 。健康环保板材 安全无异味，配置桌面信息插</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组</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小会议桌</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1、会议桌长桌简约现代，3.2米*1.2米，奶茶色+咖色，可容纳11-15人</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2、烤漆包边，桌面采用E1级的环保板材，不起边，耐脏、耐刮、耐高温 。健康环保板材 安全无异味</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组</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人体工学椅</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1、专业办公网布饰面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2、黑色PA尼龙+玻纤椅背/头枕配PU西皮面/带衣架 </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3、升降扶手配PU面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4、定型海绵，三档锁定及前后滑动功能底盘</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5、通过SGS认证三级黑色气压棒</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6、340#尼龙五星高脚，配∮60黑色PU轮</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张</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403"/>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会议椅</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1、专业办公网布饰面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2、黑色PP+玻纤椅背，滑动升降腰靠</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3、12mm厚度座板</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4、高密度回弹力原生海绵</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5、1.8厚方管电镀弓形架</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张</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运输安装费</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含辅材及零配件，定制运输安装</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bl>
    <w:p>
      <w:r/>
      <w:r/>
    </w:p>
    <w:p>
      <w:r>
        <w:tab/>
      </w:r>
      <w:r/>
    </w:p>
    <w:tbl>
      <w:tblPr>
        <w:tblStyle w:val="8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1511"/>
        <w:gridCol w:w="4337"/>
        <w:gridCol w:w="737"/>
        <w:gridCol w:w="938"/>
        <w:gridCol w:w="614"/>
      </w:tblGrid>
      <w:tr>
        <w:trPr>
          <w:trHeight w:val="510"/>
        </w:trPr>
        <w:tc>
          <w:tcPr>
            <w:gridSpan w:val="6"/>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b/>
                <w:bCs/>
                <w:sz w:val="21"/>
                <w:szCs w:val="21"/>
                <w:lang w:val="en-US" w:eastAsia="zh-CN" w:bidi="ar-SA"/>
              </w:rPr>
              <w:t xml:space="preserve">工作站</w:t>
            </w:r>
            <w:r/>
          </w:p>
        </w:tc>
      </w:tr>
      <w:tr>
        <w:trPr>
          <w:trHeight w:val="330"/>
        </w:trPr>
        <w:tc>
          <w:tcPr>
            <w:tcW w:w="28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序号</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产品名称</w:t>
            </w:r>
            <w:r/>
          </w:p>
        </w:tc>
        <w:tc>
          <w:tcPr>
            <w:tcW w:w="2514"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参数</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W w:w="35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85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87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微型工作站</w:t>
            </w:r>
            <w:r/>
          </w:p>
        </w:tc>
        <w:tc>
          <w:tcPr>
            <w:tcW w:w="251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22</w:t>
            </w:r>
            <w:r/>
          </w:p>
        </w:tc>
        <w:tc>
          <w:tcPr>
            <w:tcW w:w="35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85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W w:w="87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工作站</w:t>
            </w:r>
            <w:r/>
          </w:p>
        </w:tc>
        <w:tc>
          <w:tcPr>
            <w:tcW w:w="251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tcW w:w="35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28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显示器</w:t>
            </w:r>
            <w:r/>
          </w:p>
        </w:tc>
        <w:tc>
          <w:tcPr>
            <w:tcW w:w="251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23.8</w:t>
            </w:r>
            <w:r>
              <w:rPr>
                <w:rFonts w:hint="eastAsia" w:ascii="Times New Roman" w:hAnsi="Times New Roman" w:eastAsia="宋体" w:cs="Times New Roman"/>
                <w:sz w:val="21"/>
                <w:szCs w:val="21"/>
                <w:lang w:val="en-US" w:eastAsia="zh-CN" w:bidi="ar-SA"/>
              </w:rPr>
              <w:t xml:space="preserve">英寸</w:t>
            </w:r>
            <w:r>
              <w:rPr>
                <w:rFonts w:ascii="Times New Roman" w:hAnsi="Times New Roman" w:eastAsia="宋体" w:cs="Times New Roman"/>
                <w:sz w:val="21"/>
                <w:szCs w:val="21"/>
                <w:lang w:val="en-US" w:eastAsia="zh-CN" w:bidi="ar-SA"/>
              </w:rPr>
              <w:t xml:space="preserve">1080P</w:t>
            </w:r>
            <w:r>
              <w:rPr>
                <w:rFonts w:hint="eastAsia" w:ascii="Times New Roman" w:hAnsi="Times New Roman" w:eastAsia="宋体" w:cs="Times New Roman"/>
                <w:sz w:val="21"/>
                <w:szCs w:val="21"/>
                <w:lang w:val="en-US" w:eastAsia="zh-CN" w:bidi="ar-SA"/>
              </w:rPr>
              <w:t xml:space="preserve">及以上分辨率显示器，配套</w:t>
            </w:r>
            <w:r>
              <w:rPr>
                <w:rFonts w:ascii="Times New Roman" w:hAnsi="Times New Roman" w:eastAsia="宋体" w:cs="Times New Roman"/>
                <w:sz w:val="21"/>
                <w:szCs w:val="21"/>
                <w:lang w:val="en-US" w:eastAsia="zh-CN" w:bidi="ar-SA"/>
              </w:rPr>
              <w:t xml:space="preserve">HDMI/DP/DVI</w:t>
            </w:r>
            <w:r>
              <w:rPr>
                <w:rFonts w:hint="eastAsia" w:ascii="Times New Roman" w:hAnsi="Times New Roman" w:eastAsia="宋体" w:cs="Times New Roman"/>
                <w:sz w:val="21"/>
                <w:szCs w:val="21"/>
                <w:lang w:val="en-US" w:eastAsia="zh-CN" w:bidi="ar-SA"/>
              </w:rPr>
              <w:t xml:space="preserve">信号线</w:t>
            </w:r>
            <w:r>
              <w:rPr>
                <w:rFonts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US" w:eastAsia="zh-CN" w:bidi="ar-SA"/>
              </w:rPr>
              <w:t xml:space="preserve">根（1-5米，根据现场环境适配）</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10</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r>
        <w:trPr>
          <w:trHeight w:val="28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显示器2</w:t>
            </w:r>
            <w:r/>
          </w:p>
        </w:tc>
        <w:tc>
          <w:tcPr>
            <w:tcW w:w="251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27</w:t>
            </w:r>
            <w:r>
              <w:rPr>
                <w:rFonts w:hint="eastAsia" w:ascii="Times New Roman" w:hAnsi="Times New Roman" w:eastAsia="宋体" w:cs="Times New Roman"/>
                <w:sz w:val="21"/>
                <w:szCs w:val="21"/>
                <w:lang w:val="en-US" w:eastAsia="zh-CN" w:bidi="ar-SA"/>
              </w:rPr>
              <w:t xml:space="preserve">英寸</w:t>
            </w:r>
            <w:r>
              <w:rPr>
                <w:rFonts w:ascii="Times New Roman" w:hAnsi="Times New Roman" w:eastAsia="宋体" w:cs="Times New Roman"/>
                <w:sz w:val="21"/>
                <w:szCs w:val="21"/>
                <w:lang w:val="en-US" w:eastAsia="zh-CN" w:bidi="ar-SA"/>
              </w:rPr>
              <w:t xml:space="preserve">1080P</w:t>
            </w:r>
            <w:r>
              <w:rPr>
                <w:rFonts w:hint="eastAsia" w:ascii="Times New Roman" w:hAnsi="Times New Roman" w:eastAsia="宋体" w:cs="Times New Roman"/>
                <w:sz w:val="21"/>
                <w:szCs w:val="21"/>
                <w:lang w:val="en-US" w:eastAsia="zh-CN" w:bidi="ar-SA"/>
              </w:rPr>
              <w:t xml:space="preserve">及以上分辨率微边框</w:t>
            </w:r>
            <w:r>
              <w:rPr>
                <w:rFonts w:ascii="Times New Roman" w:hAnsi="Times New Roman" w:eastAsia="宋体" w:cs="Times New Roman"/>
                <w:sz w:val="21"/>
                <w:szCs w:val="21"/>
                <w:lang w:val="en-US" w:eastAsia="zh-CN" w:bidi="ar-SA"/>
              </w:rPr>
              <w:t xml:space="preserve">LED</w:t>
            </w:r>
            <w:r>
              <w:rPr>
                <w:rFonts w:hint="eastAsia" w:ascii="Times New Roman" w:hAnsi="Times New Roman" w:eastAsia="宋体" w:cs="Times New Roman"/>
                <w:sz w:val="21"/>
                <w:szCs w:val="21"/>
                <w:lang w:val="en-US" w:eastAsia="zh-CN" w:bidi="ar-SA"/>
              </w:rPr>
              <w:t xml:space="preserve">显示器，配套HDMI/DP/DVI信号线</w:t>
            </w:r>
            <w:r>
              <w:rPr>
                <w:rFonts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US" w:eastAsia="zh-CN" w:bidi="ar-SA"/>
              </w:rPr>
              <w:t xml:space="preserve">根（1-10米，根据现场环境适配）</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8</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r>
        <w:trPr>
          <w:trHeight w:val="28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8口交换机</w:t>
            </w:r>
            <w:r/>
          </w:p>
        </w:tc>
        <w:tc>
          <w:tcPr>
            <w:tcW w:w="251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8</w:t>
            </w:r>
            <w:r>
              <w:rPr>
                <w:rFonts w:hint="eastAsia" w:ascii="Times New Roman" w:hAnsi="Times New Roman" w:eastAsia="宋体" w:cs="Times New Roman"/>
                <w:sz w:val="21"/>
                <w:szCs w:val="21"/>
                <w:lang w:val="en-US" w:eastAsia="zh-CN" w:bidi="ar-SA"/>
              </w:rPr>
              <w:t xml:space="preserve">口千兆交换机</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20</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r>
        <w:trPr>
          <w:trHeight w:val="510"/>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多功能打印机</w:t>
            </w:r>
            <w:r/>
          </w:p>
        </w:tc>
        <w:tc>
          <w:tcPr>
            <w:tcW w:w="251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商用黑白激光多功能一体机，5行中英文显示屏，带打印</w:t>
            </w:r>
            <w:r>
              <w:rPr>
                <w:rFonts w:ascii="Times New Roman" w:hAnsi="Times New Roman" w:eastAsia="宋体" w:cs="Arial"/>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复印</w:t>
            </w:r>
            <w:r>
              <w:rPr>
                <w:rFonts w:ascii="Times New Roman" w:hAnsi="Times New Roman" w:eastAsia="宋体" w:cs="Arial"/>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扫描功能，自动双面打印，无线</w:t>
            </w:r>
            <w:r>
              <w:rPr>
                <w:rFonts w:ascii="Times New Roman" w:hAnsi="Times New Roman" w:eastAsia="宋体" w:cs="Arial"/>
                <w:sz w:val="21"/>
                <w:szCs w:val="21"/>
                <w:lang w:val="en-US" w:eastAsia="zh-CN" w:bidi="ar-SA"/>
              </w:rPr>
              <w:t xml:space="preserve">WIFI</w:t>
            </w:r>
            <w:r>
              <w:rPr>
                <w:rFonts w:hint="eastAsia" w:ascii="Times New Roman" w:hAnsi="Times New Roman" w:eastAsia="宋体" w:cs="Times New Roman"/>
                <w:sz w:val="21"/>
                <w:szCs w:val="21"/>
                <w:lang w:val="en-US" w:eastAsia="zh-CN" w:bidi="ar-SA"/>
              </w:rPr>
              <w:t xml:space="preserve">、有线网络，</w:t>
            </w:r>
            <w:r>
              <w:rPr>
                <w:rFonts w:ascii="Times New Roman" w:hAnsi="Times New Roman" w:eastAsia="宋体" w:cs="Arial"/>
                <w:sz w:val="21"/>
                <w:szCs w:val="21"/>
                <w:lang w:val="en-US" w:eastAsia="zh-CN" w:bidi="ar-SA"/>
              </w:rPr>
              <w:t xml:space="preserve">35</w:t>
            </w:r>
            <w:r>
              <w:rPr>
                <w:rFonts w:hint="eastAsia" w:ascii="Times New Roman" w:hAnsi="Times New Roman" w:eastAsia="宋体" w:cs="Times New Roman"/>
                <w:sz w:val="21"/>
                <w:szCs w:val="21"/>
                <w:lang w:val="en-US" w:eastAsia="zh-CN" w:bidi="ar-SA"/>
              </w:rPr>
              <w:t xml:space="preserve">页单页输稿器</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3</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r>
        <w:trPr>
          <w:trHeight w:val="28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网线</w:t>
            </w:r>
            <w:r/>
          </w:p>
        </w:tc>
        <w:tc>
          <w:tcPr>
            <w:tcW w:w="251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成品6类千兆网线（1-3米，根据现场环境适配）</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根</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rPr>
                <w:rFonts w:ascii="Times New Roman" w:hAnsi="Times New Roman" w:eastAsia="宋体" w:cs="Times New Roman"/>
                <w:sz w:val="21"/>
                <w:szCs w:val="21"/>
                <w:lang w:val="en-US" w:eastAsia="zh-CN" w:bidi="ar-SA"/>
              </w:rPr>
              <w:t xml:space="preserve">0</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bl>
    <w:p>
      <w:r/>
      <w:r/>
    </w:p>
    <w:p>
      <w:pPr>
        <w:pStyle w:val="1071"/>
        <w:rPr>
          <w:sz w:val="28"/>
          <w:szCs w:val="28"/>
        </w:rPr>
      </w:pPr>
      <w:r/>
      <w:bookmarkStart w:id="206" w:name="_Toc175326563"/>
      <w:r>
        <w:rPr>
          <w:rFonts w:hint="eastAsia"/>
          <w:sz w:val="28"/>
          <w:szCs w:val="28"/>
        </w:rPr>
        <w:t xml:space="preserve">后端扩容建设</w:t>
      </w:r>
      <w:bookmarkEnd w:id="206"/>
      <w:r/>
      <w:r/>
    </w:p>
    <w:p>
      <w:r/>
      <w:r/>
    </w:p>
    <w:tbl>
      <w:tblPr>
        <w:tblStyle w:val="88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3"/>
        <w:gridCol w:w="2246"/>
        <w:gridCol w:w="3576"/>
        <w:gridCol w:w="711"/>
        <w:gridCol w:w="697"/>
        <w:gridCol w:w="702"/>
      </w:tblGrid>
      <w:tr>
        <w:trPr>
          <w:trHeight w:val="510"/>
        </w:trPr>
        <w:tc>
          <w:tcPr>
            <w:gridSpan w:val="6"/>
            <w:tcBorders>
              <w:top w:val="single" w:color="auto" w:sz="4" w:space="0"/>
              <w:left w:val="single" w:color="auto" w:sz="4" w:space="0"/>
              <w:bottom w:val="single" w:color="auto" w:sz="4" w:space="0"/>
              <w:right w:val="single" w:color="auto" w:sz="4" w:space="0"/>
            </w:tcBorders>
            <w:tcW w:w="5000" w:type="pct"/>
            <w:vAlign w:val="bottom"/>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b/>
                <w:bCs/>
                <w:sz w:val="21"/>
                <w:szCs w:val="21"/>
                <w:lang w:val="en-US" w:eastAsia="zh-CN" w:bidi="ar-SA"/>
              </w:rPr>
              <w:t xml:space="preserve">后端扩容</w:t>
            </w:r>
            <w:r/>
          </w:p>
        </w:tc>
      </w:tr>
      <w:tr>
        <w:trPr>
          <w:trHeight w:val="375"/>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序号</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产品类别</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参数</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备注</w:t>
            </w:r>
            <w:r/>
          </w:p>
        </w:tc>
      </w:tr>
      <w:tr>
        <w:trPr>
          <w:trHeight w:val="750"/>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网络存储设备（48盘位，满配16T硬盘）</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50"/>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核心交换机</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50"/>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万兆单模光模块</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60</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光转电模块</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36</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24口万兆光交换机</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24盘位存储服务器</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4T IoT盘</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块</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200</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8T IoT盘</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块</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10</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eastAsia="宋体"/>
                <w:lang w:val="en-US" w:eastAsia="zh-CN"/>
              </w:rPr>
              <w:t xml:space="preserve">融合</w:t>
            </w:r>
            <w:r>
              <w:rPr>
                <w:rFonts w:hint="eastAsia" w:ascii="Times New Roman" w:hAnsi="Times New Roman" w:eastAsia="宋体" w:cs="Times New Roman"/>
                <w:sz w:val="21"/>
                <w:szCs w:val="21"/>
                <w:lang w:val="en-US" w:eastAsia="zh-CN" w:bidi="ar-SA"/>
              </w:rPr>
              <w:t xml:space="preserve">服务器</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bl>
    <w:p>
      <w:pPr>
        <w:jc w:val="center"/>
        <w:rPr>
          <w:rFonts w:hint="eastAsia"/>
          <w:b/>
          <w:bCs/>
        </w:rPr>
      </w:pPr>
      <w:r>
        <w:rPr>
          <w:rFonts w:hint="eastAsia"/>
          <w:b/>
          <w:bCs/>
        </w:rPr>
      </w:r>
      <w:r/>
    </w:p>
    <w:p>
      <w:pPr>
        <w:jc w:val="center"/>
        <w:rPr>
          <w:b/>
          <w:bCs/>
        </w:rPr>
      </w:pPr>
      <w:r>
        <w:rPr>
          <w:rFonts w:hint="eastAsia"/>
          <w:b/>
          <w:bCs/>
        </w:rPr>
        <w:t xml:space="preserve">网络安全产品清单</w:t>
      </w:r>
      <w:r/>
    </w:p>
    <w:tbl>
      <w:tblPr>
        <w:tblStyle w:val="887"/>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601"/>
        <w:gridCol w:w="2941"/>
        <w:gridCol w:w="3786"/>
        <w:gridCol w:w="602"/>
        <w:gridCol w:w="602"/>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2"/>
              <w:jc w:val="center"/>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2"/>
              <w:jc w:val="center"/>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产品描述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数量</w:t>
            </w:r>
            <w:r/>
          </w:p>
        </w:tc>
      </w:tr>
      <w:tr>
        <w:trPr>
          <w:trHeight w:val="44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物联网安全准入控制系统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693"/>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物联网安全准入控制系统管理平台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防火墙1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防火墙2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防火墙特征库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请求服务访问控制系统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等保测评费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包含两个三级等保系统两年的测评费用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bl>
    <w:p>
      <w:p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700" w:bottom="1440" w:left="1797" w:header="851" w:footer="851" w:gutter="0"/>
          <w:pgNumType w:start="1"/>
          <w:cols w:num="1" w:sep="0" w:space="720" w:equalWidth="1"/>
          <w:docGrid w:linePitch="360"/>
        </w:sectPr>
      </w:pPr>
      <w:r/>
      <w:r/>
    </w:p>
    <w:p>
      <w:pPr>
        <w:pStyle w:val="1070"/>
        <w:ind w:firstLine="640"/>
        <w:rPr>
          <w:sz w:val="36"/>
          <w:szCs w:val="36"/>
        </w:rPr>
      </w:pPr>
      <w:r/>
      <w:bookmarkStart w:id="207" w:name="_Toc175326564"/>
      <w:r>
        <w:rPr>
          <w:rFonts w:hint="eastAsia"/>
          <w:sz w:val="36"/>
          <w:szCs w:val="36"/>
        </w:rPr>
        <w:t xml:space="preserve">3.6外场设备通信、供电方案</w:t>
      </w:r>
      <w:bookmarkEnd w:id="207"/>
      <w:r/>
      <w:r/>
    </w:p>
    <w:p>
      <w:pPr>
        <w:pStyle w:val="1071"/>
      </w:pPr>
      <w:r/>
      <w:bookmarkStart w:id="208" w:name="_Toc175326565"/>
      <w:r/>
      <w:bookmarkStart w:id="209" w:name="_Toc91064132"/>
      <w:r/>
      <w:bookmarkStart w:id="210" w:name="_Toc110456650"/>
      <w:r>
        <w:rPr>
          <w:rFonts w:hint="eastAsia"/>
        </w:rPr>
        <w:t xml:space="preserve">3.6.1外场设备通信接入方案</w:t>
      </w:r>
      <w:bookmarkEnd w:id="208"/>
      <w:r/>
      <w:bookmarkEnd w:id="209"/>
      <w:r/>
      <w:bookmarkEnd w:id="210"/>
      <w:r/>
      <w:r/>
    </w:p>
    <w:p>
      <w:r>
        <w:rPr>
          <w:rFonts w:hint="eastAsia"/>
        </w:rPr>
        <w:t xml:space="preserve">（1）设备与以太网交换机间距离超过80m，需要增加网络连接器或采用光缆传输。</w:t>
      </w:r>
      <w:r/>
    </w:p>
    <w:p>
      <w:r>
        <w:rPr>
          <w:rFonts w:hint="eastAsia"/>
        </w:rPr>
        <w:t xml:space="preserve">（2）采用基于TCP/IP通信协议的支持，在上层按照应用要求建立多通道的直接通信。</w:t>
      </w:r>
      <w:r/>
    </w:p>
    <w:p>
      <w:r/>
      <w:bookmarkStart w:id="211" w:name="_Toc306878075"/>
      <w:r/>
      <w:bookmarkStart w:id="212" w:name="_Toc346744508"/>
      <w:r>
        <w:rPr>
          <w:rFonts w:hint="eastAsia"/>
        </w:rPr>
        <w:t xml:space="preserve">（3）本工程前端设备与控制中心网络接入采用原有网络或租赁运营商光缆方式接入控制中心。</w:t>
      </w:r>
      <w:r/>
    </w:p>
    <w:p>
      <w:r>
        <w:rPr>
          <w:rFonts w:hint="eastAsia"/>
        </w:rPr>
        <w:t xml:space="preserve">（4）本工程前端设备的接口标准需与交警支队现有平台接口标准保持一致，无缝接入。</w:t>
      </w:r>
      <w:r/>
    </w:p>
    <w:p>
      <w:pPr>
        <w:ind w:firstLine="560"/>
        <w:rPr>
          <w:sz w:val="28"/>
          <w:szCs w:val="28"/>
        </w:rPr>
      </w:pPr>
      <w:r>
        <w:rPr>
          <w:rFonts w:hint="eastAsia"/>
          <w:sz w:val="28"/>
          <w:szCs w:val="28"/>
        </w:rPr>
        <w:t xml:space="preserve">（</w:t>
      </w:r>
      <w:r>
        <w:rPr>
          <w:sz w:val="28"/>
          <w:szCs w:val="28"/>
        </w:rPr>
        <w:t xml:space="preserve">5</w:t>
      </w:r>
      <w:r>
        <w:rPr>
          <w:rFonts w:hint="eastAsia"/>
          <w:sz w:val="28"/>
          <w:szCs w:val="28"/>
        </w:rPr>
        <w:t xml:space="preserve">）</w:t>
      </w:r>
      <w:r>
        <w:rPr>
          <w:rFonts w:hint="eastAsia"/>
        </w:rPr>
        <w:t xml:space="preserve">保证数据安全稳定传输（包含所有传输设备）</w:t>
      </w:r>
      <w:r/>
    </w:p>
    <w:p>
      <w:pPr>
        <w:pStyle w:val="1071"/>
      </w:pPr>
      <w:r/>
      <w:bookmarkStart w:id="213" w:name="_Toc175326566"/>
      <w:r/>
      <w:bookmarkStart w:id="214" w:name="_Toc110456651"/>
      <w:r/>
      <w:bookmarkStart w:id="215" w:name="_Toc520563385"/>
      <w:r/>
      <w:bookmarkStart w:id="216" w:name="_Toc520671483"/>
      <w:r/>
      <w:bookmarkStart w:id="217" w:name="_Toc91064133"/>
      <w:r>
        <w:rPr>
          <w:rFonts w:hint="eastAsia"/>
        </w:rPr>
        <w:t xml:space="preserve">3.6.2外场设备远程通信光缆</w:t>
      </w:r>
      <w:bookmarkEnd w:id="211"/>
      <w:r/>
      <w:bookmarkEnd w:id="212"/>
      <w:r/>
      <w:bookmarkEnd w:id="213"/>
      <w:r/>
      <w:bookmarkEnd w:id="214"/>
      <w:r/>
      <w:bookmarkEnd w:id="215"/>
      <w:r/>
      <w:bookmarkEnd w:id="216"/>
      <w:r/>
      <w:bookmarkEnd w:id="217"/>
      <w:r/>
      <w:r/>
    </w:p>
    <w:p>
      <w:r>
        <w:rPr>
          <w:rFonts w:hint="eastAsia"/>
        </w:rPr>
        <w:t xml:space="preserve">本工程通信网络租用运营商光纤链路的方式，保证数据安全稳定传输。</w:t>
      </w:r>
      <w:r/>
    </w:p>
    <w:p>
      <w:pPr>
        <w:pStyle w:val="1071"/>
      </w:pPr>
      <w:r/>
      <w:bookmarkStart w:id="218" w:name="_Toc91064134"/>
      <w:r/>
      <w:bookmarkStart w:id="219" w:name="_Toc175326567"/>
      <w:r/>
      <w:bookmarkStart w:id="220" w:name="_Toc45198492"/>
      <w:r/>
      <w:bookmarkStart w:id="221" w:name="_Toc110456652"/>
      <w:r>
        <w:rPr>
          <w:rFonts w:hint="eastAsia"/>
        </w:rPr>
        <w:t xml:space="preserve">3.6.3外场设备供电方案</w:t>
      </w:r>
      <w:bookmarkEnd w:id="218"/>
      <w:r/>
      <w:bookmarkEnd w:id="219"/>
      <w:r/>
      <w:bookmarkEnd w:id="220"/>
      <w:r/>
      <w:bookmarkEnd w:id="221"/>
      <w:r/>
      <w:r/>
    </w:p>
    <w:p>
      <w:r>
        <w:rPr>
          <w:rFonts w:hint="eastAsia"/>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r>
        <w:rPr>
          <w:rFonts w:hint="eastAsia"/>
        </w:rPr>
        <w:t xml:space="preserve">本工程中，交通监控设备的用电负荷为三级负荷。</w:t>
      </w:r>
      <w:bookmarkStart w:id="222" w:name="_Toc175306226"/>
      <w:r/>
      <w:r/>
    </w:p>
    <w:p>
      <w:pPr>
        <w:rPr>
          <w:b/>
          <w:bCs/>
          <w:sz w:val="32"/>
          <w:szCs w:val="32"/>
        </w:rPr>
      </w:pPr>
      <w:r>
        <w:rPr>
          <w:rFonts w:hint="eastAsia"/>
          <w:b/>
          <w:bCs/>
          <w:sz w:val="32"/>
          <w:szCs w:val="32"/>
        </w:rPr>
        <w:t xml:space="preserve">3.6.4点位安装示意图</w:t>
      </w:r>
      <w:bookmarkEnd w:id="222"/>
      <w:r/>
      <w:r/>
    </w:p>
    <w:p>
      <w:r>
        <mc:AlternateContent>
          <mc:Choice Requires="wpg">
            <w:drawing>
              <wp:inline xmlns:wp="http://schemas.openxmlformats.org/drawingml/2006/wordprocessingDrawing" distT="0" distB="0" distL="0" distR="0">
                <wp:extent cx="4779010" cy="3517900"/>
                <wp:effectExtent l="0" t="0" r="2540" b="635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4"/>
                        <a:stretch/>
                      </pic:blipFill>
                      <pic:spPr bwMode="auto">
                        <a:xfrm>
                          <a:off x="0" y="0"/>
                          <a:ext cx="4779010" cy="351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6.3pt;height:277.0pt;mso-wrap-distance-left:0.0pt;mso-wrap-distance-top:0.0pt;mso-wrap-distance-right:0.0pt;mso-wrap-distance-bottom:0.0pt;" stroked="f">
                <v:path textboxrect="0,0,0,0"/>
                <v:imagedata r:id="rId24" o:title=""/>
              </v:shape>
            </w:pict>
          </mc:Fallback>
        </mc:AlternateContent>
      </w:r>
      <w:r/>
    </w:p>
    <w:p>
      <w:r>
        <mc:AlternateContent>
          <mc:Choice Requires="wpg">
            <w:drawing>
              <wp:inline xmlns:wp="http://schemas.openxmlformats.org/drawingml/2006/wordprocessingDrawing" distT="0" distB="0" distL="0" distR="0">
                <wp:extent cx="5274310" cy="4889500"/>
                <wp:effectExtent l="0" t="0" r="2540" b="635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5"/>
                        <a:stretch/>
                      </pic:blipFill>
                      <pic:spPr bwMode="auto">
                        <a:xfrm>
                          <a:off x="0" y="0"/>
                          <a:ext cx="5274310" cy="488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3pt;height:385.0pt;mso-wrap-distance-left:0.0pt;mso-wrap-distance-top:0.0pt;mso-wrap-distance-right:0.0pt;mso-wrap-distance-bottom:0.0pt;" stroked="f">
                <v:path textboxrect="0,0,0,0"/>
                <v:imagedata r:id="rId25" o:title=""/>
              </v:shape>
            </w:pict>
          </mc:Fallback>
        </mc:AlternateContent>
      </w:r>
      <w:r/>
    </w:p>
    <w:p>
      <w:pPr>
        <w:pStyle w:val="1070"/>
        <w:ind w:firstLine="640"/>
        <w:rPr>
          <w:sz w:val="30"/>
          <w:szCs w:val="30"/>
        </w:rPr>
      </w:pPr>
      <w:r/>
      <w:bookmarkStart w:id="223" w:name="_Toc175326568"/>
      <w:r>
        <w:rPr>
          <w:rFonts w:hint="eastAsia"/>
          <w:sz w:val="30"/>
          <w:szCs w:val="30"/>
        </w:rPr>
        <w:t xml:space="preserve">3.7基础配套工程</w:t>
      </w:r>
      <w:bookmarkEnd w:id="223"/>
      <w:r/>
      <w:r/>
    </w:p>
    <w:p>
      <w:pPr>
        <w:pStyle w:val="1071"/>
        <w:rPr>
          <w:sz w:val="28"/>
          <w:szCs w:val="28"/>
        </w:rPr>
      </w:pPr>
      <w:r/>
      <w:bookmarkStart w:id="224" w:name="_Toc427834223"/>
      <w:r/>
      <w:bookmarkStart w:id="225" w:name="_Toc110456654"/>
      <w:r/>
      <w:bookmarkStart w:id="226" w:name="_Toc45198494"/>
      <w:r/>
      <w:bookmarkStart w:id="227" w:name="_Toc448153452"/>
      <w:r/>
      <w:bookmarkStart w:id="228" w:name="_Toc520671486"/>
      <w:r/>
      <w:bookmarkStart w:id="229" w:name="_Toc426148471"/>
      <w:r/>
      <w:bookmarkStart w:id="230" w:name="_Toc449453938"/>
      <w:r/>
      <w:bookmarkStart w:id="231" w:name="_Toc520563388"/>
      <w:r/>
      <w:bookmarkStart w:id="232" w:name="_Toc175326569"/>
      <w:r/>
      <w:bookmarkStart w:id="233" w:name="_Toc423897279"/>
      <w:r/>
      <w:bookmarkStart w:id="234" w:name="_Toc91064136"/>
      <w:r>
        <w:rPr>
          <w:rFonts w:hint="eastAsia"/>
          <w:sz w:val="28"/>
          <w:szCs w:val="28"/>
        </w:rPr>
        <w:t xml:space="preserve">3.7.1管道工程设计</w:t>
      </w:r>
      <w:bookmarkEnd w:id="224"/>
      <w:r/>
      <w:bookmarkEnd w:id="225"/>
      <w:r/>
      <w:bookmarkEnd w:id="226"/>
      <w:r/>
      <w:bookmarkEnd w:id="227"/>
      <w:r/>
      <w:bookmarkEnd w:id="228"/>
      <w:r/>
      <w:bookmarkEnd w:id="229"/>
      <w:r/>
      <w:bookmarkEnd w:id="230"/>
      <w:r/>
      <w:bookmarkEnd w:id="231"/>
      <w:r/>
      <w:bookmarkEnd w:id="232"/>
      <w:r/>
      <w:bookmarkEnd w:id="233"/>
      <w:r/>
      <w:bookmarkEnd w:id="234"/>
      <w:r/>
      <w:r/>
    </w:p>
    <w:p>
      <w: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r>
        <w:t xml:space="preserve">进行施工放样前先校核施工图纸，按施工图纸提供的路线及位置，定出管道线路走向。认真详细做好记录，必要时应附示意图方便资料的整理。</w:t>
      </w:r>
      <w:r/>
    </w:p>
    <w:p>
      <w:r>
        <w:t xml:space="preserve">施工中沥青和水泥混凝路面采取横平竖直开挖，人行道按沿砖缝线开挖，路面恢复后应平整、不积水，并保持施工完后路面的完整。</w:t>
      </w:r>
      <w:r/>
    </w:p>
    <w:p>
      <w:r>
        <w:rPr>
          <w:rFonts w:hint="eastAsia"/>
        </w:rPr>
        <w:t xml:space="preserve">（</w:t>
      </w:r>
      <w:r>
        <w:t xml:space="preserve">1</w:t>
      </w:r>
      <w:r>
        <w:rPr>
          <w:rFonts w:hint="eastAsia"/>
        </w:rPr>
        <w:t xml:space="preserve">）、</w:t>
      </w:r>
      <w:r>
        <w:t xml:space="preserve">沥青路面挖掘及恢复施工：</w:t>
      </w:r>
      <w:r/>
    </w:p>
    <w:p>
      <w:r>
        <w:t xml:space="preserve">1）现场打围后，严格按照设计施工图进行测量放线；</w:t>
      </w:r>
      <w:r/>
    </w:p>
    <w:p>
      <w:r>
        <w:t xml:space="preserve">2）现场复核后按照放线位置进行路面切割，保证切割的直顺度，人工破除路面及基层；</w:t>
      </w:r>
      <w:r/>
    </w:p>
    <w:p>
      <w:r>
        <w:t xml:space="preserve">3）为避免道路恢复后路面下沉，管道沟槽开挖后形成</w:t>
      </w:r>
      <w:r>
        <w:rPr>
          <w:rFonts w:hint="eastAsia"/>
        </w:rPr>
        <w:t xml:space="preserve">V</w:t>
      </w:r>
      <w:r>
        <w:t xml:space="preserve">形沟槽,搭肩宽度为 100 mm。</w:t>
      </w:r>
      <w:r/>
    </w:p>
    <w:p>
      <w:r>
        <w:t xml:space="preserve">4）沥青路面开挖宽度为</w:t>
      </w:r>
      <w:r>
        <w:rPr>
          <w:rFonts w:hint="eastAsia"/>
        </w:rPr>
        <w:t xml:space="preserve">60</w:t>
      </w:r>
      <w:r>
        <w:t xml:space="preserve">0mm，沟槽总深度为 </w:t>
      </w:r>
      <w:r>
        <w:rPr>
          <w:rFonts w:hint="eastAsia"/>
        </w:rPr>
        <w:t xml:space="preserve">8</w:t>
      </w:r>
      <w:r>
        <w:t xml:space="preserve">00mm。</w:t>
      </w:r>
      <w:r/>
    </w:p>
    <w:p>
      <w:r>
        <w:t xml:space="preserve">5）沟底土基土质较差时应换尽不良土，沟底土须碾压密实后敷设管道，要求土基回弹模量 Eo≥35Mpa，压实度要求≥95%。</w:t>
      </w:r>
      <w:r/>
    </w:p>
    <w:p>
      <w:r>
        <w:t xml:space="preserve">6）管道敷设后采用最终强度可达 80～90Mpa 的（快干、早强）C25 混凝土浇灌至离路面100 mm 位置。</w:t>
      </w:r>
      <w:r/>
    </w:p>
    <w:p>
      <w:r>
        <w:t xml:space="preserve">7）C25 混凝土至离路面 100 mm 位置采用热沥青罩面，用压实机具进行夯实。为保证沥青路面恢复质量，沥青路面恢复由指定专业道路管护单位统一安排施工。</w:t>
      </w:r>
      <w:r/>
    </w:p>
    <w:p>
      <w:r>
        <w:rPr>
          <w:rFonts w:hint="eastAsia"/>
        </w:rPr>
        <w:t xml:space="preserve">（</w:t>
      </w:r>
      <w:r>
        <w:t xml:space="preserve">2</w:t>
      </w:r>
      <w:r>
        <w:rPr>
          <w:rFonts w:hint="eastAsia"/>
        </w:rPr>
        <w:t xml:space="preserve">）</w:t>
      </w:r>
      <w:r>
        <w:t xml:space="preserve">、水泥混凝土路面挖掘及恢复施工：</w:t>
      </w:r>
      <w:r/>
    </w:p>
    <w:p>
      <w:r>
        <w:t xml:space="preserve">1）现场打围后，严格按照设计施工图进行测量放线；</w:t>
      </w:r>
      <w:r/>
    </w:p>
    <w:p>
      <w:r>
        <w:t xml:space="preserve">2）现场复核后按照放线位置进行路面切割，保证切割的直顺度，人工破除路面及基层；</w:t>
      </w:r>
      <w:r/>
    </w:p>
    <w:p>
      <w:r>
        <w:t xml:space="preserve">3）为避免道路恢复后路面下沉，管道沟槽开挖后形成</w:t>
      </w:r>
      <w:r>
        <w:rPr>
          <w:rFonts w:hint="eastAsia"/>
        </w:rPr>
        <w:t xml:space="preserve">V</w:t>
      </w:r>
      <w:r>
        <w:t xml:space="preserve">形沟槽,搭肩宽度为100 mm。</w:t>
      </w:r>
      <w:r/>
    </w:p>
    <w:p>
      <w:r>
        <w:t xml:space="preserve">4）为减少对水泥路面的伤害，开挖沟槽应尽量选择伸缩缝作为一边开挖线。</w:t>
      </w:r>
      <w:r/>
    </w:p>
    <w:p>
      <w:r>
        <w:t xml:space="preserve">5）水泥混凝土路面开挖宽度</w:t>
      </w:r>
      <w:r>
        <w:rPr>
          <w:rFonts w:hint="eastAsia"/>
        </w:rPr>
        <w:t xml:space="preserve">600</w:t>
      </w:r>
      <w:r>
        <w:t xml:space="preserve">mm，沟槽总深度为</w:t>
      </w:r>
      <w:r>
        <w:rPr>
          <w:rFonts w:hint="eastAsia"/>
        </w:rPr>
        <w:t xml:space="preserve">8</w:t>
      </w:r>
      <w:r>
        <w:t xml:space="preserve">00mm。</w:t>
      </w:r>
      <w:r/>
    </w:p>
    <w:p>
      <w:r>
        <w:t xml:space="preserve">6）沟底土基土质较差时应换尽不良土，沟底土须碾压密实后敷设管道，要求土基回弹模量 Eo≥35Mpa，压实度要求≥95%。</w:t>
      </w:r>
      <w:r/>
    </w:p>
    <w:p>
      <w:r>
        <w:t xml:space="preserve">7）管道敷设后采用最终强度可达80～90Mpa 的（快干、早强）C25 混凝土浇灌至原路面位置。</w:t>
      </w:r>
      <w:r/>
    </w:p>
    <w:p>
      <w:r>
        <w:rPr>
          <w:rFonts w:hint="eastAsia"/>
        </w:rPr>
        <w:t xml:space="preserve">（</w:t>
      </w:r>
      <w:r>
        <w:t xml:space="preserve">3</w:t>
      </w:r>
      <w:r>
        <w:rPr>
          <w:rFonts w:hint="eastAsia"/>
        </w:rPr>
        <w:t xml:space="preserve">）</w:t>
      </w:r>
      <w:r>
        <w:t xml:space="preserve">、人行道路面挖掘及恢复施工：</w:t>
      </w:r>
      <w:r/>
    </w:p>
    <w:p>
      <w:r>
        <w:t xml:space="preserve">1）现场打围后，严格按照设计施工图进行测量放线；</w:t>
      </w:r>
      <w:r/>
    </w:p>
    <w:p>
      <w:r>
        <w:t xml:space="preserve">2）现场复核后按照放线位置进行路面切割，保证切割的直顺度，人工破除路面及基层；</w:t>
      </w:r>
      <w:r/>
    </w:p>
    <w:p>
      <w:r>
        <w:t xml:space="preserve">3）为避免道路恢复后路面下沉，管道沟槽开挖后形成</w:t>
      </w:r>
      <w:r>
        <w:rPr>
          <w:rFonts w:hint="eastAsia"/>
        </w:rPr>
        <w:t xml:space="preserve">V</w:t>
      </w:r>
      <w:r>
        <w:t xml:space="preserve">形沟槽。</w:t>
      </w:r>
      <w:r/>
    </w:p>
    <w:p>
      <w:r>
        <w:t xml:space="preserve">4）人行道路面开挖沟槽应尽量选择花砖缝作为开挖线，应根据花砖宽度调整开挖宽度，</w:t>
      </w:r>
      <w:r>
        <w:rPr>
          <w:rFonts w:hint="eastAsia"/>
        </w:rPr>
        <w:t xml:space="preserve">开挖宽度不低于400mm，</w:t>
      </w:r>
      <w:r>
        <w:t xml:space="preserve">沟槽总深度为 600mm。</w:t>
      </w:r>
      <w:r/>
    </w:p>
    <w:p>
      <w:r>
        <w:t xml:space="preserve">5）沟底土基土质较差时应换尽不良土，沟底土须碾压密实后敷设管道，要求土基回弹模量 Eo≥35Mpa，压实度要求≥95%。</w:t>
      </w:r>
      <w:r/>
    </w:p>
    <w:p>
      <w:r>
        <w:t xml:space="preserve">6）人行道路恢复选用与原人行道路面相同材料对路面进行恢复，达到与原路面材料颜色花纹协调一致。</w:t>
      </w:r>
      <w:r/>
    </w:p>
    <w:p>
      <w:r>
        <w:rPr>
          <w:rFonts w:hint="eastAsia"/>
        </w:rPr>
        <w:t xml:space="preserve">(</w:t>
      </w:r>
      <w:r>
        <w:t xml:space="preserve">4</w:t>
      </w:r>
      <w:r>
        <w:rPr>
          <w:rFonts w:hint="eastAsia"/>
        </w:rPr>
        <w:t xml:space="preserve">)</w:t>
      </w:r>
      <w:r>
        <w:t xml:space="preserve">、绿化带管道开挖及恢复：</w:t>
      </w:r>
      <w:r/>
    </w:p>
    <w:p>
      <w:r>
        <w:t xml:space="preserve">1)现场打围后，严格按照设计施工图进行测量放线；</w:t>
      </w:r>
      <w:r/>
    </w:p>
    <w:p>
      <w:r>
        <w:t xml:space="preserve">2)现场复核后按照放线位置绿化带的开挖，开挖时注意对管道外的绿化的保护；</w:t>
      </w:r>
      <w:r/>
    </w:p>
    <w:p>
      <w:r>
        <w:t xml:space="preserve">3)绿化带管道开挖宽度为4</w:t>
      </w:r>
      <w:r>
        <w:rPr>
          <w:rFonts w:hint="eastAsia"/>
        </w:rPr>
        <w:t xml:space="preserve">0</w:t>
      </w:r>
      <w:r>
        <w:t xml:space="preserve">0mm，沟槽总深度为600mm。</w:t>
      </w:r>
      <w:r/>
    </w:p>
    <w:p>
      <w:r>
        <w:t xml:space="preserve">4）沟底土基土质较差时应换尽不良土，沟底土须碾压密实后敷设管道，要求土基回弹模量 Eo≥35Mpa，压实度要求≥95%。</w:t>
      </w:r>
      <w:r/>
    </w:p>
    <w:p>
      <w:r>
        <w:t xml:space="preserve">5）管道敷设后将其恢复成原绿化带的标准。</w:t>
      </w:r>
      <w:r/>
    </w:p>
    <w:p>
      <w: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pStyle w:val="1071"/>
      </w:pPr>
      <w:r/>
      <w:bookmarkStart w:id="235" w:name="_Toc110456655"/>
      <w:r/>
      <w:bookmarkStart w:id="236" w:name="_Toc427834225"/>
      <w:r/>
      <w:bookmarkStart w:id="237" w:name="_Toc91064137"/>
      <w:r/>
      <w:bookmarkStart w:id="238" w:name="_Toc45198496"/>
      <w:r/>
      <w:bookmarkStart w:id="239" w:name="_Toc520563390"/>
      <w:r/>
      <w:bookmarkStart w:id="240" w:name="_Toc449453940"/>
      <w:r/>
      <w:bookmarkStart w:id="241" w:name="_Toc426148473"/>
      <w:r/>
      <w:bookmarkStart w:id="242" w:name="_Toc423897281"/>
      <w:r/>
      <w:bookmarkStart w:id="243" w:name="_Toc448153454"/>
      <w:r/>
      <w:bookmarkStart w:id="244" w:name="_Toc175326570"/>
      <w:r/>
      <w:bookmarkStart w:id="245" w:name="_Toc520671488"/>
      <w:r>
        <w:rPr>
          <w:rFonts w:hint="eastAsia"/>
        </w:rPr>
        <w:t xml:space="preserve">3.7.2窨井设计</w:t>
      </w:r>
      <w:bookmarkEnd w:id="235"/>
      <w:r/>
      <w:bookmarkEnd w:id="236"/>
      <w:r/>
      <w:bookmarkEnd w:id="237"/>
      <w:r/>
      <w:bookmarkEnd w:id="238"/>
      <w:r/>
      <w:bookmarkEnd w:id="239"/>
      <w:r/>
      <w:bookmarkEnd w:id="240"/>
      <w:r/>
      <w:bookmarkEnd w:id="241"/>
      <w:r/>
      <w:bookmarkEnd w:id="242"/>
      <w:r/>
      <w:bookmarkEnd w:id="243"/>
      <w:r/>
      <w:bookmarkEnd w:id="244"/>
      <w:r/>
      <w:bookmarkEnd w:id="245"/>
      <w:r/>
      <w:r/>
    </w:p>
    <w:p>
      <w:r>
        <w:rPr>
          <w:rFonts w:hint="eastAsia"/>
        </w:rPr>
        <w:t xml:space="preserve">（</w:t>
      </w:r>
      <w:r>
        <w:t xml:space="preserve">1</w:t>
      </w:r>
      <w:r>
        <w:rPr>
          <w:rFonts w:hint="eastAsia"/>
        </w:rPr>
        <w:t xml:space="preserve">）</w:t>
      </w:r>
      <w:r>
        <w:t xml:space="preserve">砌筑前校核基础尺寸及高程，测放出井中及砌筑边线。灰砂砖在建筑前用水湿润，含水量为 10%~15%，砂浆配合比由实验室确定。</w:t>
      </w:r>
      <w:r/>
    </w:p>
    <w:p>
      <w:r>
        <w:rPr>
          <w:rFonts w:hint="eastAsia"/>
        </w:rPr>
        <w:t xml:space="preserve">（</w:t>
      </w:r>
      <w:r>
        <w:t xml:space="preserve">2</w:t>
      </w:r>
      <w:r>
        <w:rPr>
          <w:rFonts w:hint="eastAsia"/>
        </w:rPr>
        <w:t xml:space="preserve">）</w:t>
      </w:r>
      <w:r>
        <w:t xml:space="preserve">基础砌筑前，基垫层表面应清扫干净，淋水湿润。</w:t>
      </w:r>
      <w:r/>
    </w:p>
    <w:p>
      <w:r>
        <w:rPr>
          <w:rFonts w:hint="eastAsia"/>
        </w:rPr>
        <w:t xml:space="preserve">（</w:t>
      </w:r>
      <w:r>
        <w:t xml:space="preserve">3</w:t>
      </w:r>
      <w:r>
        <w:rPr>
          <w:rFonts w:hint="eastAsia"/>
        </w:rPr>
        <w:t xml:space="preserve">）</w:t>
      </w:r>
      <w:r>
        <w:t xml:space="preserve">砌筑时须挂线施工：先挂线对中点，砌筑时经常以此垂线对中点，用钢尺检查各边尺寸、距离是否符合要求。保证方井砌筑时墙体垂直，井口方正。</w:t>
      </w:r>
      <w:r/>
    </w:p>
    <w:p>
      <w:r>
        <w:rPr>
          <w:rFonts w:hint="eastAsia"/>
        </w:rPr>
        <w:t xml:space="preserve">（</w:t>
      </w:r>
      <w:r>
        <w:t xml:space="preserve">4</w:t>
      </w:r>
      <w:r>
        <w:rPr>
          <w:rFonts w:hint="eastAsia"/>
        </w:rPr>
        <w:t xml:space="preserve">）</w:t>
      </w:r>
      <w:r>
        <w:t xml:space="preserve">砌筑宜采用一铲灰，一块砖，一挤揉的砌法。砌体应分层，上下错缝，内外搭接，砌体的转角处和交接处应同时砌筑，不能同时砌筑的应用梯级槎。</w:t>
      </w:r>
      <w:r/>
    </w:p>
    <w:p>
      <w:r>
        <w:rPr>
          <w:rFonts w:hint="eastAsia"/>
        </w:rPr>
        <w:t xml:space="preserve">（</w:t>
      </w:r>
      <w:r>
        <w:t xml:space="preserve">5</w:t>
      </w:r>
      <w:r>
        <w:rPr>
          <w:rFonts w:hint="eastAsia"/>
        </w:rPr>
        <w:t xml:space="preserve">）</w:t>
      </w:r>
      <w:r>
        <w:t xml:space="preserve">砌筑圆形检查井时要注意圆度。挂线校核内径，收口段每皮检查，看有无偏移。井下部干管伸入处，特别是管底两侧要用砂浆碎砖捣插密实，使其不渗漏，收口高度事先算出，按每层缩入2cm，即每圈缩入4cm计算。</w:t>
      </w:r>
      <w:r/>
    </w:p>
    <w:p>
      <w:r>
        <w:rPr>
          <w:rFonts w:hint="eastAsia"/>
        </w:rPr>
        <w:t xml:space="preserve">（</w:t>
      </w:r>
      <w:r>
        <w:t xml:space="preserve">6</w:t>
      </w:r>
      <w:r>
        <w:rPr>
          <w:rFonts w:hint="eastAsia"/>
        </w:rPr>
        <w:t xml:space="preserve">）</w:t>
      </w:r>
      <w:r>
        <w:t xml:space="preserve">水泥砂浆必须在4h内用完，不得使用过夜砂浆。</w:t>
      </w:r>
      <w:r/>
    </w:p>
    <w:p>
      <w:r>
        <w:rPr>
          <w:rFonts w:hint="eastAsia"/>
        </w:rPr>
        <w:t xml:space="preserve">（</w:t>
      </w:r>
      <w:r>
        <w:t xml:space="preserve">7</w:t>
      </w:r>
      <w:r>
        <w:rPr>
          <w:rFonts w:hint="eastAsia"/>
        </w:rPr>
        <w:t xml:space="preserve">）</w:t>
      </w:r>
      <w:r>
        <w:t xml:space="preserve">检查井的井环用 1:2 水泥砂浆固定。井环面应与路面标高相同。</w:t>
      </w:r>
      <w:r/>
    </w:p>
    <w:p>
      <w:pPr>
        <w:pStyle w:val="1071"/>
      </w:pPr>
      <w:r/>
      <w:bookmarkStart w:id="246" w:name="_Toc175326571"/>
      <w:r/>
      <w:bookmarkStart w:id="247" w:name="_Toc91064138"/>
      <w:r/>
      <w:bookmarkStart w:id="248" w:name="_Toc520671489"/>
      <w:r/>
      <w:bookmarkStart w:id="249" w:name="_Toc45198497"/>
      <w:r/>
      <w:bookmarkStart w:id="250" w:name="_Toc110456656"/>
      <w:r/>
      <w:bookmarkStart w:id="251" w:name="_Toc520563391"/>
      <w:r/>
      <w:bookmarkStart w:id="252" w:name="_Toc423897284"/>
      <w:r/>
      <w:bookmarkStart w:id="253" w:name="_Toc426148476"/>
      <w:r/>
      <w:bookmarkStart w:id="254" w:name="_Toc427834228"/>
      <w:r/>
      <w:bookmarkStart w:id="255" w:name="_Toc449453943"/>
      <w:r/>
      <w:bookmarkStart w:id="256" w:name="_Toc448153457"/>
      <w:r>
        <w:rPr>
          <w:rFonts w:hint="eastAsia"/>
        </w:rPr>
        <w:t xml:space="preserve">3.7.3线缆敷设工程设计</w:t>
      </w:r>
      <w:bookmarkEnd w:id="246"/>
      <w:r/>
      <w:bookmarkEnd w:id="247"/>
      <w:r/>
      <w:bookmarkEnd w:id="248"/>
      <w:r/>
      <w:bookmarkEnd w:id="249"/>
      <w:r/>
      <w:bookmarkEnd w:id="250"/>
      <w:r/>
      <w:bookmarkEnd w:id="251"/>
      <w:r/>
      <w:r/>
    </w:p>
    <w:p>
      <w:r/>
      <w:bookmarkStart w:id="257" w:name="_Toc520671490"/>
      <w:r/>
      <w:bookmarkStart w:id="258" w:name="_Toc45198498"/>
      <w:r/>
      <w:bookmarkStart w:id="259" w:name="_Toc520563392"/>
      <w:r>
        <w:t xml:space="preserve">供电</w:t>
      </w:r>
      <w:r>
        <w:rPr>
          <w:rFonts w:hint="eastAsia"/>
        </w:rPr>
        <w:t xml:space="preserve">线缆敷设</w:t>
      </w:r>
      <w:bookmarkEnd w:id="252"/>
      <w:r/>
      <w:bookmarkEnd w:id="253"/>
      <w:r/>
      <w:bookmarkEnd w:id="254"/>
      <w:r/>
      <w:bookmarkEnd w:id="255"/>
      <w:r/>
      <w:bookmarkEnd w:id="256"/>
      <w:r/>
      <w:bookmarkEnd w:id="257"/>
      <w:r/>
      <w:bookmarkEnd w:id="258"/>
      <w:r/>
      <w:bookmarkEnd w:id="259"/>
      <w:r/>
      <w:r/>
    </w:p>
    <w:p>
      <w:r/>
      <w:bookmarkStart w:id="260" w:name="_Toc520563393"/>
      <w:r/>
      <w:bookmarkStart w:id="261" w:name="_Toc520671491"/>
      <w:r/>
      <w:bookmarkStart w:id="262" w:name="_Toc427834229"/>
      <w:r/>
      <w:bookmarkStart w:id="263" w:name="_Toc426148477"/>
      <w:r/>
      <w:bookmarkStart w:id="264" w:name="_Toc423897285"/>
      <w:r/>
      <w:bookmarkStart w:id="265" w:name="_Toc448153458"/>
      <w:r/>
      <w:bookmarkStart w:id="266" w:name="_Toc449453944"/>
      <w:r>
        <w:t xml:space="preserve">一般要求</w:t>
      </w:r>
      <w:bookmarkEnd w:id="260"/>
      <w:r/>
      <w:bookmarkEnd w:id="261"/>
      <w:r/>
      <w:bookmarkEnd w:id="262"/>
      <w:r/>
      <w:bookmarkEnd w:id="263"/>
      <w:r/>
      <w:bookmarkEnd w:id="264"/>
      <w:r/>
      <w:bookmarkEnd w:id="265"/>
      <w:r/>
      <w:bookmarkEnd w:id="266"/>
      <w:r/>
      <w:r/>
    </w:p>
    <w:p>
      <w:r>
        <w:t xml:space="preserve">运到现场的电缆及材料均应核对其型号、规格符合设计要求，并有合格证。</w:t>
      </w:r>
      <w:r/>
    </w:p>
    <w:p>
      <w:r>
        <w:t xml:space="preserve">检查电缆及材料外观无损伤和缺陷。</w:t>
      </w:r>
      <w:r/>
    </w:p>
    <w:p>
      <w:r>
        <w:t xml:space="preserve">卸货和搬运作业时，均不得使设备或外来物体接触到电缆表面。</w:t>
      </w:r>
      <w:r/>
    </w:p>
    <w:p>
      <w:r>
        <w:t xml:space="preserve">在任何情况下，均不得将电缆盘从所载运的车辆上推到地面上。</w:t>
      </w:r>
      <w:r/>
    </w:p>
    <w:p>
      <w:r>
        <w:t xml:space="preserve">经切割的电缆两端应立即密封，以避免潮气侵入。</w:t>
      </w:r>
      <w:r/>
    </w:p>
    <w:p>
      <w:r/>
      <w:bookmarkStart w:id="267" w:name="_Toc427834230"/>
      <w:r/>
      <w:bookmarkStart w:id="268" w:name="_Toc520671492"/>
      <w:r/>
      <w:bookmarkStart w:id="269" w:name="_Toc423897286"/>
      <w:r/>
      <w:bookmarkStart w:id="270" w:name="_Toc449453945"/>
      <w:r/>
      <w:bookmarkStart w:id="271" w:name="_Toc448153459"/>
      <w:r/>
      <w:bookmarkStart w:id="272" w:name="_Toc520563394"/>
      <w:r/>
      <w:bookmarkStart w:id="273" w:name="_Toc426148478"/>
      <w:r>
        <w:t xml:space="preserve">电缆导管敷设</w:t>
      </w:r>
      <w:bookmarkEnd w:id="267"/>
      <w:r/>
      <w:bookmarkEnd w:id="268"/>
      <w:r/>
      <w:bookmarkEnd w:id="269"/>
      <w:r/>
      <w:bookmarkEnd w:id="270"/>
      <w:r/>
      <w:bookmarkEnd w:id="271"/>
      <w:r/>
      <w:bookmarkEnd w:id="272"/>
      <w:r/>
      <w:bookmarkEnd w:id="273"/>
      <w:r/>
      <w:r/>
    </w:p>
    <w:p>
      <w:r>
        <w:t xml:space="preserve">管口切割以后，内边缘必须锉平。</w:t>
      </w:r>
      <w:r/>
    </w:p>
    <w:p>
      <w:r>
        <w:t xml:space="preserve">导线管必须冷弯，弯曲半径符合规范要求。</w:t>
      </w:r>
      <w:r/>
    </w:p>
    <w:p>
      <w:r>
        <w:t xml:space="preserve">埋地导管在安装预制前，先按施工图确定好路径，安装好的导管要用非木质件固定并随导管一起埋入地坪，导管埋深符合规范要求。</w:t>
      </w:r>
      <w:r/>
    </w:p>
    <w:p>
      <w:r>
        <w:t xml:space="preserve">在地面上敷设的导管要适当地固定在附近的结构或支架上，接线盒的安装要避免雨水进入。</w:t>
      </w:r>
      <w:r/>
    </w:p>
    <w:p>
      <w:r>
        <w:t xml:space="preserve">镀锌管锌层剥落处应涂以防腐漆。</w:t>
      </w:r>
      <w:r/>
    </w:p>
    <w:p>
      <w:r>
        <w:t xml:space="preserve">电缆敷设前准备</w:t>
      </w:r>
      <w:r/>
    </w:p>
    <w:p>
      <w:r>
        <w:t xml:space="preserve">根据电缆到货长度，敷设长度编制电缆分配表，分列各编号电缆的起点、终点、长度及分配盘号。</w:t>
      </w:r>
      <w:r/>
    </w:p>
    <w:p>
      <w:r>
        <w:t xml:space="preserve">根据现场电缆分布情况和电缆分配表，安排电缆敷设顺序，宜先远后近，先集中后分散。</w:t>
      </w:r>
      <w:r/>
    </w:p>
    <w:p>
      <w:r>
        <w:t xml:space="preserve">电缆敷设前需对每盘电缆进行导通性和绝缘性检查，合格电缆方可敷设，绝缘检查低压电缆用500VM表测试。</w:t>
      </w:r>
      <w:r/>
    </w:p>
    <w:p>
      <w:r>
        <w:t xml:space="preserve">电缆型号、规格等应符合设计要求，外观良好，保护层无破损。</w:t>
      </w:r>
      <w:r/>
    </w:p>
    <w:p>
      <w:r>
        <w:t xml:space="preserve">电缆槽/托盘安装完，直埋电缆区域无土方开挖，电缆保护管预埋工作已完成，导管中穿好铁丝。</w:t>
      </w:r>
      <w:r/>
    </w:p>
    <w:p>
      <w:r>
        <w:t xml:space="preserve">设计一个合适的表格，记录每个电缆盘每次提取的电缆数量和剩余的电缆数量。</w:t>
      </w:r>
      <w:r/>
    </w:p>
    <w:p>
      <w:r>
        <w:t xml:space="preserve">管内穿线</w:t>
      </w:r>
      <w:r/>
    </w:p>
    <w:p>
      <w:r>
        <w:t xml:space="preserve">对穿管敷设的绝缘导线，其额定电压不低于 500V。</w:t>
      </w:r>
      <w:r/>
    </w:p>
    <w:p>
      <w:r>
        <w:t xml:space="preserve">不同回路、不同电压等级的导线，不穿在同一根管内。</w:t>
      </w:r>
      <w:r/>
    </w:p>
    <w:p>
      <w:r>
        <w:t xml:space="preserve">同类供电的几个回路可穿入同一根管内，但管内导线总数不多于 8 根。</w:t>
      </w:r>
      <w:r/>
    </w:p>
    <w:p>
      <w:r>
        <w:t xml:space="preserve">同一交流回路的导线穿于同一钢管内。</w:t>
      </w:r>
      <w:r/>
    </w:p>
    <w:p>
      <w:r>
        <w:t xml:space="preserve">导线在管内无接头和扭结，接头设在接线盒（箱）内。</w:t>
      </w:r>
      <w:r/>
    </w:p>
    <w:p>
      <w:r>
        <w:t xml:space="preserve">管内导线包括绝缘层在内的总截面积不大于管子内空截面积的 40％。</w:t>
      </w:r>
      <w:r/>
    </w:p>
    <w:p>
      <w:r>
        <w:t xml:space="preserve">接头连接和终端连接</w:t>
      </w:r>
      <w:r/>
    </w:p>
    <w:p>
      <w:r>
        <w:t xml:space="preserve">电力电缆终端头的制作，必须按制造厂提供的详图由熟悉制作工艺的人员进行。</w:t>
      </w:r>
      <w:r/>
    </w:p>
    <w:p>
      <w:r>
        <w:t xml:space="preserve">低压电缆终端头采用绝缘胶带包扎密封。</w:t>
      </w:r>
      <w:r/>
    </w:p>
    <w:p>
      <w:r>
        <w:t xml:space="preserve">电缆在最终连接前，进行导通性和绝缘性测试，中压电缆按 MLD-01-F-60-001 规定做直流耐压试验。</w:t>
      </w:r>
      <w:r/>
    </w:p>
    <w:p>
      <w:r/>
      <w:bookmarkStart w:id="274" w:name="_Toc423897287"/>
      <w:r/>
      <w:bookmarkStart w:id="275" w:name="_Toc520563395"/>
      <w:r/>
      <w:bookmarkStart w:id="276" w:name="_Toc449453946"/>
      <w:r/>
      <w:bookmarkStart w:id="277" w:name="_Toc520671493"/>
      <w:r/>
      <w:bookmarkStart w:id="278" w:name="_Toc427834231"/>
      <w:r/>
      <w:bookmarkStart w:id="279" w:name="_Toc448153460"/>
      <w:r/>
      <w:bookmarkStart w:id="280" w:name="_Toc45198499"/>
      <w:r/>
      <w:bookmarkStart w:id="281" w:name="_Toc426148479"/>
      <w:r>
        <w:t xml:space="preserve">通信</w:t>
      </w:r>
      <w:r>
        <w:rPr>
          <w:rFonts w:hint="eastAsia"/>
        </w:rPr>
        <w:t xml:space="preserve">线缆敷设</w:t>
      </w:r>
      <w:bookmarkEnd w:id="274"/>
      <w:r/>
      <w:bookmarkEnd w:id="275"/>
      <w:r/>
      <w:bookmarkEnd w:id="276"/>
      <w:r/>
      <w:bookmarkEnd w:id="277"/>
      <w:r/>
      <w:bookmarkEnd w:id="278"/>
      <w:r/>
      <w:bookmarkEnd w:id="279"/>
      <w:r/>
      <w:bookmarkEnd w:id="280"/>
      <w:r/>
      <w:bookmarkEnd w:id="281"/>
      <w:r/>
      <w:r/>
    </w:p>
    <w:p>
      <w:r>
        <w:rPr>
          <w:rFonts w:hint="eastAsia"/>
        </w:rPr>
        <w:t xml:space="preserve">（</w:t>
      </w:r>
      <w:r>
        <w:t xml:space="preserve">1）光缆将按实际长度铺设，铺设时不超过光缆厂家规定的牵引张力和弯曲半径的要求。在铺设光缆之前，每个管道要用合适的方法清理。</w:t>
      </w:r>
      <w:r/>
    </w:p>
    <w:p>
      <w:r>
        <w:rPr>
          <w:rFonts w:hint="eastAsia"/>
        </w:rPr>
        <w:t xml:space="preserve">（</w:t>
      </w:r>
      <w:r>
        <w:t xml:space="preserve">2）光缆在人孔</w:t>
      </w:r>
      <w:r>
        <w:rPr>
          <w:rFonts w:hint="eastAsia"/>
        </w:rPr>
        <w:t xml:space="preserve">井</w:t>
      </w:r>
      <w:r>
        <w:t xml:space="preserve">外十分清洁的环境中接续。光缆接续采用熔接法，光缆接头应配有单独的接头护套。</w:t>
      </w:r>
      <w:r/>
    </w:p>
    <w:p>
      <w:r>
        <w:rPr>
          <w:rFonts w:hint="eastAsia"/>
        </w:rPr>
        <w:t xml:space="preserve">（</w:t>
      </w:r>
      <w:r>
        <w:t xml:space="preserve">3）备有备用光缆并装在光缆接头盒的托盘上，放在托盘上的光纤不应产生微弯曲损耗。每根光缆在1310nm波长的接头损耗不超过0.ldB。</w:t>
      </w:r>
      <w:r/>
    </w:p>
    <w:p>
      <w:r>
        <w:rPr>
          <w:rFonts w:hint="eastAsia"/>
        </w:rPr>
        <w:t xml:space="preserve">（</w:t>
      </w:r>
      <w:r>
        <w:t xml:space="preserve">4）在所有光缆需要分歧或分配出与单独终端单元相连的光纤接头应使用接头盒保护；接头盒的设计应易于安装。</w:t>
      </w:r>
      <w:r/>
    </w:p>
    <w:p>
      <w:r>
        <w:rPr>
          <w:rFonts w:hint="eastAsia"/>
        </w:rPr>
        <w:t xml:space="preserve">（</w:t>
      </w:r>
      <w:r>
        <w:t xml:space="preserve">5）接头盒应为光缆接头提供一个密闭的、防潮的环境。接头盒应能重新进入，以便维修和满足其它工作要求。</w:t>
      </w:r>
      <w:r/>
    </w:p>
    <w:p>
      <w:r>
        <w:rPr>
          <w:rFonts w:hint="eastAsia"/>
        </w:rPr>
        <w:t xml:space="preserve">（</w:t>
      </w:r>
      <w:r>
        <w:t xml:space="preserve">6）接头牢固地安装在每个人孔中。接头应安装在尽可能高处，以免浸水。</w:t>
      </w:r>
      <w:r/>
    </w:p>
    <w:p>
      <w:r>
        <w:rPr>
          <w:rFonts w:hint="eastAsia"/>
        </w:rPr>
        <w:t xml:space="preserve">（</w:t>
      </w:r>
      <w:r>
        <w:t xml:space="preserve">7）每根光缆端接在光缆终端和接线板上，光缆应在每个站端接。接线板的容量足以端接所有室外光纤。进局光缆有标志，以区别其它电缆。</w:t>
      </w:r>
      <w:r/>
    </w:p>
    <w:p>
      <w:r>
        <w:rPr>
          <w:rFonts w:hint="eastAsia"/>
        </w:rPr>
        <w:t xml:space="preserve">（8</w:t>
      </w:r>
      <w:r>
        <w:t xml:space="preserve">）设备侧的光缆长度应作适当预留，一股为10~20m，可存在光端机室或进线室。进局光缆的弯曲半径不应太小，以免产生微弯曲损耗。</w:t>
      </w:r>
      <w:r/>
    </w:p>
    <w:p>
      <w:r>
        <w:t xml:space="preserve">光缆接续及测试</w:t>
      </w:r>
      <w:r/>
    </w:p>
    <w:p>
      <w:r>
        <w:t xml:space="preserve">（1）通信光缆接续工艺流程</w:t>
      </w:r>
      <w:r/>
    </w:p>
    <w:p>
      <w:r>
        <w:t xml:space="preserve">1）在接续过程中通过 OTDR 监测，以确保光纤持续质量。</w:t>
      </w:r>
      <w:r/>
    </w:p>
    <w:p>
      <w:r>
        <w:t xml:space="preserve">2）中继段测试采用 OTDR 和介入法两种方法测试。</w:t>
      </w:r>
      <w:r/>
    </w:p>
    <w:p>
      <w:r>
        <w:t xml:space="preserve">（2）操作要求</w:t>
      </w:r>
      <w:r/>
    </w:p>
    <w:p>
      <w:r>
        <w:t xml:space="preserve">1）清理场地、塔置防尘帐篷，准备好工具、材料；</w:t>
      </w:r>
      <w:r/>
    </w:p>
    <w:p>
      <w:r>
        <w:t xml:space="preserve">2）切断光缆缆芯，但不得用钢锯，必须用电缆剪刀；</w:t>
      </w:r>
      <w:r/>
    </w:p>
    <w:p>
      <w:r>
        <w:t xml:space="preserve">3）光缆余留及切割尺寸，弯曲半径等应符合规定；光纤接续操作时，操作人员应穿作业服、戴作业帽、工作手套；</w:t>
      </w:r>
      <w:r/>
    </w:p>
    <w:p>
      <w:r>
        <w:t xml:space="preserve">4）将待接续光纤被覆层擦干净，以免弄脏加强保护热熔管和熔接机后面。接续过程中应特别注意清洁，尤其是环境条件及操作人员的双手；</w:t>
      </w:r>
      <w:r/>
    </w:p>
    <w:p>
      <w:r>
        <w:t xml:space="preserve">5）用剥除器剥除光纤被覆，用丙酮将裸光纤擦净，用光纤切割器切出端面，端面不合格时需重新切割；</w:t>
      </w:r>
      <w:r/>
    </w:p>
    <w:p>
      <w:r>
        <w:t xml:space="preserve">6）监视光纤熔接测定值及仔细观察接续图像有无缺陷情况，如不合格则重新制备光纤端面，再次接续，直到合格为止；</w:t>
      </w:r>
      <w:r/>
    </w:p>
    <w:p>
      <w:r>
        <w:t xml:space="preserve">7）接续好的光线从容阶级取出时，注意动作要慢，移动加强保护热熔管位置应适中，收缩后两端应包住光纤的被覆层不小于10mm；</w:t>
      </w:r>
      <w:r/>
    </w:p>
    <w:p>
      <w:r>
        <w:t xml:space="preserve">8）光纤收容时注意弯曲半径应不小于40mm；</w:t>
      </w:r>
      <w:r/>
    </w:p>
    <w:p>
      <w:r>
        <w:t xml:space="preserve">9）接头盒内壁、密封条、槽等应用酒精擦拭干净，组装时应严格按操作规程进行。</w:t>
      </w:r>
      <w:r/>
    </w:p>
    <w:p>
      <w:pPr>
        <w:pStyle w:val="1071"/>
      </w:pPr>
      <w:r/>
      <w:bookmarkStart w:id="282" w:name="_Toc45198500"/>
      <w:r/>
      <w:bookmarkStart w:id="283" w:name="_Toc423897288"/>
      <w:r/>
      <w:bookmarkStart w:id="284" w:name="_Toc520563396"/>
      <w:r/>
      <w:bookmarkStart w:id="285" w:name="_Toc175326572"/>
      <w:r/>
      <w:bookmarkStart w:id="286" w:name="_Toc91064139"/>
      <w:r/>
      <w:bookmarkStart w:id="287" w:name="_Toc520671494"/>
      <w:r/>
      <w:bookmarkStart w:id="288" w:name="_Toc427834232"/>
      <w:r/>
      <w:bookmarkStart w:id="289" w:name="_Toc449453947"/>
      <w:r/>
      <w:bookmarkStart w:id="290" w:name="_Toc448153461"/>
      <w:r/>
      <w:bookmarkStart w:id="291" w:name="_Toc110456657"/>
      <w:r/>
      <w:bookmarkStart w:id="292" w:name="_Toc426148480"/>
      <w:r>
        <w:rPr>
          <w:rFonts w:hint="eastAsia"/>
        </w:rPr>
        <w:t xml:space="preserve">3.7.4杆件设计</w:t>
      </w:r>
      <w:bookmarkEnd w:id="282"/>
      <w:r/>
      <w:bookmarkEnd w:id="283"/>
      <w:r/>
      <w:bookmarkEnd w:id="284"/>
      <w:r/>
      <w:bookmarkEnd w:id="285"/>
      <w:r/>
      <w:bookmarkEnd w:id="286"/>
      <w:r/>
      <w:bookmarkEnd w:id="287"/>
      <w:r/>
      <w:bookmarkEnd w:id="288"/>
      <w:r/>
      <w:bookmarkEnd w:id="289"/>
      <w:r/>
      <w:bookmarkEnd w:id="290"/>
      <w:r/>
      <w:bookmarkEnd w:id="291"/>
      <w:r/>
      <w:bookmarkEnd w:id="292"/>
      <w:r/>
      <w:r/>
    </w:p>
    <w:p>
      <w:r>
        <w:t xml:space="preserve">独立立杆式样应充分考虑美观及与周边环境的协调，立杆横臂长度根据安装点位所要实现的功能而定，须符合道路或场所的整体视觉效果，具体式样及颜色须经采购方确认。</w:t>
      </w:r>
      <w:r/>
    </w:p>
    <w:p>
      <w:r>
        <w:t xml:space="preserve">立杆净高度不低于</w:t>
      </w:r>
      <w:r>
        <w:rPr>
          <w:rFonts w:hint="eastAsia"/>
        </w:rPr>
        <w:t xml:space="preserve">道路净高要求</w:t>
      </w:r>
      <w:r>
        <w:t xml:space="preserve">，立杆横臂根据实际需要确定,立杆应满足如下条件：</w:t>
      </w:r>
      <w:r/>
    </w:p>
    <w:p>
      <w:r>
        <w:t xml:space="preserve">底座：采用不低于A3型的钢板。</w:t>
      </w:r>
      <w:r/>
    </w:p>
    <w:p>
      <w:r>
        <w:t xml:space="preserve">立杆采用</w:t>
      </w:r>
      <w:r>
        <w:rPr>
          <w:rFonts w:hint="eastAsia"/>
        </w:rPr>
        <w:t xml:space="preserve">Q235钢材</w:t>
      </w:r>
      <w:r>
        <w:t xml:space="preserve">，镀层厚度≥60μm，达到双重</w:t>
      </w:r>
      <w:r>
        <w:rPr>
          <w:rFonts w:hint="eastAsia"/>
        </w:rPr>
        <w:t xml:space="preserve">防锈、</w:t>
      </w:r>
      <w:r>
        <w:t xml:space="preserve">防腐的目的。</w:t>
      </w:r>
      <w:r/>
    </w:p>
    <w:p>
      <w:r>
        <w:t xml:space="preserve">立杆施工时，需同步完成接地的安装。</w:t>
      </w:r>
      <w:r/>
    </w:p>
    <w:p>
      <w:r>
        <w:t xml:space="preserve">立杆要求抗风等级达到12级。</w:t>
      </w:r>
      <w:r/>
    </w:p>
    <w:p>
      <w:r>
        <w:t xml:space="preserve">基础地笼要求：</w:t>
      </w:r>
      <w:r/>
    </w:p>
    <w:p>
      <w:r>
        <w:rPr>
          <w:rFonts w:hint="eastAsia"/>
        </w:rPr>
        <w:t xml:space="preserve">（</w:t>
      </w:r>
      <w:r>
        <w:t xml:space="preserve">1</w:t>
      </w:r>
      <w:r>
        <w:rPr>
          <w:rFonts w:hint="eastAsia"/>
        </w:rPr>
        <w:t xml:space="preserve">）</w:t>
      </w:r>
      <w:r>
        <w:t xml:space="preserve">M</w:t>
      </w:r>
      <w:r>
        <w:rPr>
          <w:rFonts w:hint="eastAsia"/>
        </w:rPr>
        <w:t xml:space="preserve">18、</w:t>
      </w:r>
      <w:r>
        <w:t xml:space="preserve">M</w:t>
      </w:r>
      <w:r>
        <w:rPr>
          <w:rFonts w:hint="eastAsia"/>
        </w:rPr>
        <w:t xml:space="preserve">20、</w:t>
      </w:r>
      <w:r>
        <w:t xml:space="preserve">M</w:t>
      </w:r>
      <w:r>
        <w:rPr>
          <w:rFonts w:hint="eastAsia"/>
        </w:rPr>
        <w:t xml:space="preserve">22、</w:t>
      </w:r>
      <w:r>
        <w:t xml:space="preserve">M</w:t>
      </w:r>
      <w:r>
        <w:rPr>
          <w:rFonts w:hint="eastAsia"/>
        </w:rPr>
        <w:t xml:space="preserve">24、</w:t>
      </w:r>
      <w:r>
        <w:t xml:space="preserve">M</w:t>
      </w:r>
      <w:r>
        <w:rPr>
          <w:rFonts w:hint="eastAsia"/>
        </w:rPr>
        <w:t xml:space="preserve">26、</w:t>
      </w:r>
      <w:r>
        <w:t xml:space="preserve">M</w:t>
      </w:r>
      <w:r>
        <w:rPr>
          <w:rFonts w:hint="eastAsia"/>
        </w:rPr>
        <w:t xml:space="preserve">28、</w:t>
      </w:r>
      <w:r>
        <w:t xml:space="preserve">M</w:t>
      </w:r>
      <w:r>
        <w:rPr>
          <w:rFonts w:hint="eastAsia"/>
        </w:rPr>
        <w:t xml:space="preserve">30</w:t>
      </w:r>
      <w:r>
        <w:t xml:space="preserve">螺纹钢。钢筋采用HRB400；基础混凝土为C25。</w:t>
      </w:r>
      <w:r/>
    </w:p>
    <w:p>
      <w:r>
        <w:rPr>
          <w:rFonts w:hint="eastAsia"/>
        </w:rPr>
        <w:t xml:space="preserve">（</w:t>
      </w:r>
      <w:r>
        <w:t xml:space="preserve">2</w:t>
      </w:r>
      <w:r>
        <w:rPr>
          <w:rFonts w:hint="eastAsia"/>
        </w:rPr>
        <w:t xml:space="preserve">）</w:t>
      </w:r>
      <w:r>
        <w:t xml:space="preserve">钢构件连接板材质应为Q235B，其力学性能和化学成分应符合《碳素结构钢》（GB/T700-</w:t>
      </w:r>
      <w:r>
        <w:rPr>
          <w:rFonts w:hint="eastAsia"/>
        </w:rPr>
        <w:t xml:space="preserve">2006</w:t>
      </w:r>
      <w:r>
        <w:t xml:space="preserve">）的规定。</w:t>
      </w:r>
      <w:r/>
    </w:p>
    <w:p>
      <w:r>
        <w:rPr>
          <w:rFonts w:hint="eastAsia"/>
        </w:rPr>
        <w:t xml:space="preserve">（</w:t>
      </w:r>
      <w:r>
        <w:t xml:space="preserve">3</w:t>
      </w:r>
      <w:r>
        <w:rPr>
          <w:rFonts w:hint="eastAsia"/>
        </w:rPr>
        <w:t xml:space="preserve">）</w:t>
      </w:r>
      <w:r>
        <w:t xml:space="preserve">地基承载力特征值不小于120kPa。基础设计时取地基承载力fak=120kPa。基础应坐落于好土层上。若好土层位置较深，则应采取粘土换填，换填至设计标高，换填深度为0.6m，压实系数为0.97。</w:t>
      </w:r>
      <w:r/>
    </w:p>
    <w:p>
      <w:r>
        <w:rPr>
          <w:rFonts w:hint="eastAsia"/>
        </w:rPr>
        <w:t xml:space="preserve">（</w:t>
      </w:r>
      <w:r>
        <w:t xml:space="preserve">4</w:t>
      </w:r>
      <w:r>
        <w:rPr>
          <w:rFonts w:hint="eastAsia"/>
        </w:rPr>
        <w:t xml:space="preserve">）</w:t>
      </w:r>
      <w:r>
        <w:t xml:space="preserve">地脚螺栓外露部分及螺母和垫块宜事先进行热浸镀锌处理，镀锌量为350g/m 。</w:t>
      </w:r>
      <w:r/>
    </w:p>
    <w:p>
      <w:r>
        <w:rPr>
          <w:rFonts w:hint="eastAsia"/>
        </w:rPr>
        <w:t xml:space="preserve">（</w:t>
      </w:r>
      <w:r>
        <w:t xml:space="preserve">5</w:t>
      </w:r>
      <w:r>
        <w:rPr>
          <w:rFonts w:hint="eastAsia"/>
        </w:rPr>
        <w:t xml:space="preserve">）</w:t>
      </w:r>
      <w:r>
        <w:t xml:space="preserve">钢结构的安装应按照《GB50205-200</w:t>
      </w:r>
      <w:r>
        <w:rPr>
          <w:rFonts w:hint="eastAsia"/>
        </w:rPr>
        <w:t xml:space="preserve">1</w:t>
      </w:r>
      <w:r>
        <w:t xml:space="preserve">》、《JG144-20</w:t>
      </w:r>
      <w:r>
        <w:rPr>
          <w:rFonts w:hint="eastAsia"/>
        </w:rPr>
        <w:t xml:space="preserve">16</w:t>
      </w:r>
      <w:r>
        <w:t xml:space="preserve">》进行。</w:t>
      </w:r>
      <w:r/>
    </w:p>
    <w:p>
      <w:r>
        <w:rPr>
          <w:rFonts w:hint="eastAsia"/>
        </w:rPr>
        <w:t xml:space="preserve">（</w:t>
      </w:r>
      <w:r>
        <w:t xml:space="preserve">6</w:t>
      </w:r>
      <w:r>
        <w:rPr>
          <w:rFonts w:hint="eastAsia"/>
        </w:rPr>
        <w:t xml:space="preserve">）</w:t>
      </w:r>
      <w:r>
        <w:t xml:space="preserve">基础范围内的上部及周边的回填土应用粘土分层压实回填，压实系数为0.94。</w:t>
      </w:r>
      <w:r/>
    </w:p>
    <w:p>
      <w:pPr>
        <w:pStyle w:val="1071"/>
      </w:pPr>
      <w:r/>
      <w:bookmarkStart w:id="293" w:name="_Toc175326573"/>
      <w:r/>
      <w:bookmarkStart w:id="294" w:name="_Toc426148481"/>
      <w:r/>
      <w:bookmarkStart w:id="295" w:name="_Toc423897289"/>
      <w:r/>
      <w:bookmarkStart w:id="296" w:name="_Toc520671495"/>
      <w:r/>
      <w:bookmarkStart w:id="297" w:name="_Toc449453948"/>
      <w:r/>
      <w:bookmarkStart w:id="298" w:name="_Toc91064140"/>
      <w:r/>
      <w:bookmarkStart w:id="299" w:name="_Toc520563397"/>
      <w:r/>
      <w:bookmarkStart w:id="300" w:name="_Toc448153462"/>
      <w:r/>
      <w:bookmarkStart w:id="301" w:name="_Toc110456658"/>
      <w:r/>
      <w:bookmarkStart w:id="302" w:name="_Toc45198501"/>
      <w:r/>
      <w:bookmarkStart w:id="303" w:name="_Toc427834233"/>
      <w:r>
        <w:rPr>
          <w:rFonts w:hint="eastAsia"/>
        </w:rPr>
        <w:t xml:space="preserve">3.7.5箱体设计</w:t>
      </w:r>
      <w:bookmarkEnd w:id="293"/>
      <w:r/>
      <w:bookmarkEnd w:id="294"/>
      <w:r/>
      <w:bookmarkEnd w:id="295"/>
      <w:r/>
      <w:bookmarkEnd w:id="296"/>
      <w:r/>
      <w:bookmarkEnd w:id="297"/>
      <w:r/>
      <w:bookmarkEnd w:id="298"/>
      <w:r/>
      <w:bookmarkEnd w:id="299"/>
      <w:r/>
      <w:bookmarkEnd w:id="300"/>
      <w:r/>
      <w:bookmarkEnd w:id="301"/>
      <w:r/>
      <w:bookmarkEnd w:id="302"/>
      <w:r/>
      <w:bookmarkEnd w:id="303"/>
      <w:r/>
      <w:r/>
    </w:p>
    <w:p>
      <w:r/>
      <w:bookmarkStart w:id="304" w:name="_Toc423897290"/>
      <w:r/>
      <w:bookmarkStart w:id="305" w:name="_Toc449453949"/>
      <w:r/>
      <w:bookmarkStart w:id="306" w:name="_Toc427834234"/>
      <w:r/>
      <w:bookmarkStart w:id="307" w:name="_Toc448153463"/>
      <w:r/>
      <w:bookmarkStart w:id="308" w:name="_Toc426148482"/>
      <w:r>
        <w:rPr>
          <w:rFonts w:hint="eastAsia"/>
        </w:rPr>
        <w:t xml:space="preserve">（1）机箱内强、弱电应分层隔开，内部各种线缆应固定可靠。</w:t>
      </w:r>
      <w:r/>
    </w:p>
    <w:p>
      <w:r>
        <w:rPr>
          <w:rFonts w:hint="eastAsia"/>
        </w:rPr>
        <w:t xml:space="preserve">（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p>
    <w:p>
      <w:r>
        <w:rPr>
          <w:rFonts w:hint="eastAsia"/>
        </w:rPr>
        <w:t xml:space="preserve">（3）地面安装的落地箱柜基础应高出地面(200mm)，以免积水。</w:t>
      </w:r>
      <w:r/>
    </w:p>
    <w:p>
      <w:r>
        <w:rPr>
          <w:rFonts w:hint="eastAsia"/>
        </w:rPr>
        <w:t xml:space="preserve">（4）进入箱柜内的各类保护管应高出基础底面(100mm)。</w:t>
      </w:r>
      <w:r/>
    </w:p>
    <w:p>
      <w:r>
        <w:rPr>
          <w:rFonts w:hint="eastAsia"/>
        </w:rPr>
        <w:t xml:space="preserve">（5）配电箱与设备箱分开设置，尺寸高度与路口信号箱保持一致。</w:t>
      </w:r>
      <w:r/>
    </w:p>
    <w:p>
      <w:pPr>
        <w:pStyle w:val="1071"/>
      </w:pPr>
      <w:r/>
      <w:bookmarkStart w:id="309" w:name="_Toc520563398"/>
      <w:r/>
      <w:bookmarkStart w:id="310" w:name="_Toc175326574"/>
      <w:r/>
      <w:bookmarkStart w:id="311" w:name="_Toc110456659"/>
      <w:r/>
      <w:bookmarkStart w:id="312" w:name="_Toc45198502"/>
      <w:r/>
      <w:bookmarkStart w:id="313" w:name="_Toc520671496"/>
      <w:r/>
      <w:bookmarkStart w:id="314" w:name="_Toc91064141"/>
      <w:r>
        <w:rPr>
          <w:rFonts w:hint="eastAsia"/>
        </w:rPr>
        <w:t xml:space="preserve">3.7.6杆件防雷接地</w:t>
      </w:r>
      <w:bookmarkEnd w:id="304"/>
      <w:r/>
      <w:bookmarkEnd w:id="305"/>
      <w:r/>
      <w:bookmarkEnd w:id="306"/>
      <w:r/>
      <w:bookmarkEnd w:id="307"/>
      <w:r/>
      <w:bookmarkEnd w:id="308"/>
      <w:r/>
      <w:bookmarkEnd w:id="309"/>
      <w:r/>
      <w:bookmarkEnd w:id="310"/>
      <w:r/>
      <w:bookmarkEnd w:id="311"/>
      <w:r/>
      <w:bookmarkEnd w:id="312"/>
      <w:r/>
      <w:bookmarkEnd w:id="313"/>
      <w:r/>
      <w:bookmarkEnd w:id="314"/>
      <w:r/>
      <w:r/>
    </w:p>
    <w:p>
      <w:r>
        <w:t xml:space="preserve">设备有要求时应进行工作接地、所有配套的外露金属设施构件都应按照IEC 的有关规定进行综合接地处理，接地电阻必须小于设备规定的工作接地和安全接地电阻，综合接地电阻≤4Ω。</w:t>
      </w:r>
      <w:r/>
    </w:p>
    <w:p>
      <w:r>
        <w:t xml:space="preserve">所有接地极的接地电阻将进行测量；经测量达不到要求时，将在接地极回填土中加入无腐蚀性长效降阻剂；当仍达不到要求时，将经过业主同意，采用更换接地装置的措施。</w:t>
      </w:r>
      <w:r/>
    </w:p>
    <w:p>
      <w:r/>
      <w:r/>
    </w:p>
    <w:p>
      <w:pPr>
        <w:pStyle w:val="1069"/>
        <w:ind w:firstLine="883"/>
        <w:rPr>
          <w:sz w:val="30"/>
          <w:szCs w:val="30"/>
        </w:rPr>
      </w:pPr>
      <w:r/>
      <w:bookmarkStart w:id="315" w:name="_Toc15549410"/>
      <w:r/>
      <w:bookmarkStart w:id="316" w:name="_Toc65184882"/>
      <w:r/>
      <w:bookmarkStart w:id="317" w:name="_Toc91064154"/>
      <w:r/>
      <w:bookmarkStart w:id="318" w:name="_Toc110456672"/>
      <w:r/>
      <w:bookmarkStart w:id="319" w:name="_Toc175326575"/>
      <w:r>
        <w:rPr>
          <w:rFonts w:hint="eastAsia"/>
          <w:sz w:val="30"/>
          <w:szCs w:val="30"/>
        </w:rPr>
        <w:t xml:space="preserve">四、项目组织机构和人员</w:t>
      </w:r>
      <w:bookmarkEnd w:id="315"/>
      <w:r/>
      <w:bookmarkEnd w:id="316"/>
      <w:r/>
      <w:bookmarkEnd w:id="317"/>
      <w:r/>
      <w:bookmarkEnd w:id="318"/>
      <w:r/>
      <w:bookmarkEnd w:id="319"/>
      <w:r/>
      <w:r/>
    </w:p>
    <w:p>
      <w:pPr>
        <w:pStyle w:val="1070"/>
        <w:ind w:firstLine="640"/>
        <w:rPr>
          <w:sz w:val="30"/>
          <w:szCs w:val="30"/>
        </w:rPr>
      </w:pPr>
      <w:r/>
      <w:bookmarkStart w:id="320" w:name="_Toc513710743"/>
      <w:r/>
      <w:bookmarkStart w:id="321" w:name="_Toc175326576"/>
      <w:r/>
      <w:bookmarkStart w:id="322" w:name="_Toc65184883"/>
      <w:r/>
      <w:bookmarkStart w:id="323" w:name="_Toc110456673"/>
      <w:r/>
      <w:bookmarkStart w:id="324" w:name="_Toc15549411"/>
      <w:r/>
      <w:bookmarkStart w:id="325" w:name="_Toc516046663"/>
      <w:r/>
      <w:bookmarkStart w:id="326" w:name="_Toc91064155"/>
      <w:r/>
      <w:bookmarkStart w:id="327" w:name="_Toc529546876"/>
      <w:r>
        <w:rPr>
          <w:rFonts w:hint="eastAsia"/>
          <w:sz w:val="30"/>
          <w:szCs w:val="30"/>
        </w:rPr>
        <w:t xml:space="preserve">4.1领导和管理机构</w:t>
      </w:r>
      <w:bookmarkEnd w:id="320"/>
      <w:r/>
      <w:bookmarkEnd w:id="321"/>
      <w:r/>
      <w:bookmarkEnd w:id="322"/>
      <w:r/>
      <w:bookmarkEnd w:id="323"/>
      <w:r/>
      <w:bookmarkEnd w:id="324"/>
      <w:r/>
      <w:bookmarkEnd w:id="325"/>
      <w:r/>
      <w:bookmarkEnd w:id="326"/>
      <w:r/>
      <w:bookmarkEnd w:id="327"/>
      <w:r/>
      <w:r/>
    </w:p>
    <w:p>
      <w:r>
        <w:t xml:space="preserve">本项目成立专门项目领导小组，加强项目建设的统筹协调、指导督导，推动解决项目建设工作中的存在的重大问题。</w:t>
      </w:r>
      <w:r/>
    </w:p>
    <w:p>
      <w:pPr>
        <w:pStyle w:val="1070"/>
        <w:ind w:firstLine="640"/>
      </w:pPr>
      <w:r/>
      <w:bookmarkStart w:id="328" w:name="_Toc513710744"/>
      <w:r/>
      <w:bookmarkStart w:id="329" w:name="_Toc516046664"/>
      <w:r/>
      <w:bookmarkStart w:id="330" w:name="_Toc91064156"/>
      <w:r/>
      <w:bookmarkStart w:id="331" w:name="_Toc15549412"/>
      <w:r/>
      <w:bookmarkStart w:id="332" w:name="_Toc110456674"/>
      <w:r/>
      <w:bookmarkStart w:id="333" w:name="_Toc175326577"/>
      <w:r/>
      <w:bookmarkStart w:id="334" w:name="_Toc65184884"/>
      <w:r/>
      <w:bookmarkStart w:id="335" w:name="_Toc529546877"/>
      <w:r>
        <w:rPr>
          <w:rFonts w:hint="eastAsia"/>
          <w:sz w:val="30"/>
          <w:szCs w:val="30"/>
        </w:rPr>
        <w:t xml:space="preserve">4.2项目实施机构</w:t>
      </w:r>
      <w:bookmarkEnd w:id="328"/>
      <w:r/>
      <w:bookmarkEnd w:id="329"/>
      <w:r/>
      <w:bookmarkEnd w:id="330"/>
      <w:r/>
      <w:bookmarkEnd w:id="331"/>
      <w:r/>
      <w:bookmarkEnd w:id="332"/>
      <w:r/>
      <w:bookmarkEnd w:id="333"/>
      <w:r/>
      <w:bookmarkEnd w:id="334"/>
      <w:r/>
      <w:bookmarkEnd w:id="335"/>
      <w:r/>
      <w:r/>
    </w:p>
    <w:p>
      <w:r>
        <w:t xml:space="preserve">项目实施机构主要由业主单位的各相关部门、承建单位和监理单位共同组成。项目实施机构职责：具体负责本项目的实施过程中的协调、安装、调试、试运行、验收等工作，保证项目按时高质量地交付使用。</w:t>
      </w:r>
      <w:r/>
    </w:p>
    <w:p>
      <w:pPr>
        <w:pStyle w:val="1070"/>
        <w:ind w:firstLine="640"/>
        <w:rPr>
          <w:sz w:val="30"/>
          <w:szCs w:val="30"/>
        </w:rPr>
      </w:pPr>
      <w:r/>
      <w:bookmarkStart w:id="336" w:name="_Toc175326578"/>
      <w:r/>
      <w:bookmarkStart w:id="337" w:name="_Toc15549419"/>
      <w:r/>
      <w:bookmarkStart w:id="338" w:name="_Toc91064157"/>
      <w:r/>
      <w:bookmarkStart w:id="339" w:name="_Toc65184885"/>
      <w:r/>
      <w:bookmarkStart w:id="340" w:name="_Toc110456675"/>
      <w:r>
        <w:rPr>
          <w:rFonts w:hint="eastAsia"/>
          <w:sz w:val="30"/>
          <w:szCs w:val="30"/>
        </w:rPr>
        <w:t xml:space="preserve">4.3人员培训需求和计划</w:t>
      </w:r>
      <w:bookmarkEnd w:id="336"/>
      <w:r/>
      <w:bookmarkEnd w:id="337"/>
      <w:r/>
      <w:bookmarkEnd w:id="338"/>
      <w:r/>
      <w:bookmarkEnd w:id="339"/>
      <w:r/>
      <w:bookmarkEnd w:id="340"/>
      <w:r/>
      <w:r/>
    </w:p>
    <w:p>
      <w:r>
        <w:t xml:space="preserve">为保证项目建设质量，更好地满足系统应用的需要，特制定以下培训方案：</w:t>
      </w:r>
      <w:r/>
    </w:p>
    <w:p>
      <w:r>
        <w:t xml:space="preserve">（1）培训计划</w:t>
      </w:r>
      <w:r/>
    </w:p>
    <w:p>
      <w:r>
        <w:t xml:space="preserve">系统管理员培训：掌握系统日常维护各种技术，熟练掌握对网络管理和维护、硬件管理和维护、应用系统的管理和维护以及安全管理等。</w:t>
      </w:r>
      <w:r/>
    </w:p>
    <w:p>
      <w: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r>
        <w:t xml:space="preserve">系统操作员培训：能够熟练使用系统各类前台操作模块、快速调用相关业务处理模块并规范输入各种信息。</w:t>
      </w:r>
      <w:r/>
    </w:p>
    <w:p>
      <w:r>
        <w:t xml:space="preserve">（2）培训主要内容</w:t>
      </w:r>
      <w:r/>
    </w:p>
    <w:p>
      <w:r>
        <w:t xml:space="preserve">培训主要内容有：前端点位勘察、系统应用、软硬件的运行与维护、网络和安全管理等。</w:t>
      </w:r>
      <w:r/>
    </w:p>
    <w:p>
      <w:r>
        <w:t xml:space="preserve">（3）培训主要方式</w:t>
      </w:r>
      <w:r/>
    </w:p>
    <w:p>
      <w:r>
        <w:t xml:space="preserve">室内培训：对专业运维人员分批集中进行培训，承建单位免费提供培训教材及师资。</w:t>
      </w:r>
      <w:r/>
    </w:p>
    <w:p>
      <w:r>
        <w:t xml:space="preserve">现场培训：对指定人员独立进行设备的安装、操作、测试、运营、维护等等进行培训，承建单位免费提供培训教材及师资。</w:t>
      </w:r>
      <w:r/>
    </w:p>
    <w:p>
      <w:r/>
      <w:r/>
    </w:p>
    <w:p>
      <w:pPr>
        <w:pStyle w:val="1069"/>
        <w:ind w:firstLine="883"/>
        <w:rPr>
          <w:sz w:val="30"/>
          <w:szCs w:val="30"/>
        </w:rPr>
      </w:pPr>
      <w:r/>
      <w:bookmarkStart w:id="341" w:name="_Toc175326579"/>
      <w:r>
        <w:rPr>
          <w:rFonts w:hint="eastAsia"/>
          <w:sz w:val="30"/>
          <w:szCs w:val="30"/>
        </w:rPr>
        <w:t xml:space="preserve">五、初步设计概算</w:t>
      </w:r>
      <w:bookmarkEnd w:id="341"/>
      <w:r/>
      <w:r/>
    </w:p>
    <w:p>
      <w:pPr>
        <w:pStyle w:val="1070"/>
        <w:ind w:firstLine="640"/>
        <w:rPr>
          <w:sz w:val="30"/>
          <w:szCs w:val="30"/>
        </w:rPr>
      </w:pPr>
      <w:r/>
      <w:bookmarkStart w:id="342" w:name="_Toc175326580"/>
      <w:r/>
      <w:bookmarkStart w:id="343" w:name="_Toc14483"/>
      <w:r/>
      <w:bookmarkStart w:id="344" w:name="_Toc8625"/>
      <w:r/>
      <w:bookmarkStart w:id="345" w:name="_Toc25601"/>
      <w:r>
        <w:rPr>
          <w:rFonts w:hint="eastAsia"/>
          <w:sz w:val="30"/>
          <w:szCs w:val="30"/>
        </w:rPr>
        <w:t xml:space="preserve">5.1投资概算编制说明</w:t>
      </w:r>
      <w:bookmarkEnd w:id="342"/>
      <w:r/>
      <w:bookmarkEnd w:id="343"/>
      <w:r/>
      <w:bookmarkEnd w:id="344"/>
      <w:r/>
      <w:bookmarkEnd w:id="345"/>
      <w:r/>
      <w:r/>
    </w:p>
    <w:p>
      <w:r/>
      <w:bookmarkStart w:id="346" w:name="_Toc7228"/>
      <w:r/>
      <w:bookmarkStart w:id="347" w:name="_Toc11237"/>
      <w:r/>
      <w:bookmarkStart w:id="348" w:name="_Toc3330"/>
      <w:r>
        <w:rPr>
          <w:rFonts w:hint="eastAsia"/>
        </w:rPr>
        <w:t xml:space="preserve">硬件设备</w:t>
      </w:r>
      <w:bookmarkEnd w:id="346"/>
      <w:r/>
      <w:bookmarkEnd w:id="347"/>
      <w:r/>
      <w:bookmarkEnd w:id="348"/>
      <w:r/>
      <w:r/>
    </w:p>
    <w:p>
      <w:r>
        <w:rPr>
          <w:rFonts w:hint="eastAsia"/>
        </w:rPr>
        <w:t xml:space="preserve">硬件设备建设主要依据：</w:t>
      </w:r>
      <w:r/>
    </w:p>
    <w:p>
      <w:r>
        <w:rPr>
          <w:rFonts w:hint="eastAsia"/>
        </w:rPr>
        <w:t xml:space="preserve">（1）根据需求分析及业务量预测推算出本期项目的建设规模、内容、设备性能需求等，最终得出本期工程所需设备配置；</w:t>
      </w:r>
      <w:r/>
    </w:p>
    <w:p>
      <w:r>
        <w:rPr>
          <w:rFonts w:hint="eastAsia"/>
        </w:rPr>
        <w:t xml:space="preserve">（2）根据相关已建项目的投资及有关设备厂家提供的设备报价，完成本期项目硬件设备的投资估算。</w:t>
      </w:r>
      <w:r/>
    </w:p>
    <w:p>
      <w:r>
        <w:rPr>
          <w:rFonts w:hint="eastAsia"/>
        </w:rPr>
        <w:t xml:space="preserve">（3）优先考虑国产先进、成熟的主流设备。</w:t>
      </w:r>
      <w:r/>
    </w:p>
    <w:p>
      <w:r/>
      <w:bookmarkStart w:id="349" w:name="_Toc7509"/>
      <w:r/>
      <w:bookmarkStart w:id="350" w:name="_Toc1633"/>
      <w:r/>
      <w:bookmarkStart w:id="351" w:name="_Toc18753"/>
      <w:r>
        <w:rPr>
          <w:rFonts w:hint="eastAsia"/>
        </w:rPr>
        <w:t xml:space="preserve">工程建设其它费</w:t>
      </w:r>
      <w:bookmarkEnd w:id="349"/>
      <w:r/>
      <w:bookmarkEnd w:id="350"/>
      <w:r/>
      <w:bookmarkEnd w:id="351"/>
      <w:r/>
      <w:r/>
    </w:p>
    <w:p>
      <w:r>
        <w:rPr>
          <w:rFonts w:hint="eastAsia"/>
        </w:rPr>
        <w:t xml:space="preserve">（1）项目建设管理费</w:t>
      </w:r>
      <w:r/>
    </w:p>
    <w:p>
      <w:r>
        <w:rPr>
          <w:rFonts w:hint="eastAsia"/>
        </w:rPr>
        <w:t xml:space="preserve">项目建设管理费是指建设单位从项目开工之日起至办理竣工财务决算之日止发生的管理性质的开支。包括：不在原单位发工资的工作人员工资、基本养老保险费、基本医疗保险费、失业保险费，办公费、差旅交通费、劳动保护费、工具用具使用费、固定资产使用费、零星购置费、招募生产工人费、技术图书资料费、印花税、业务招待费、施工现场津贴、竣工验收费、评审费、验收费和其它管理性质开支。本项目不单独计列项目建设管理费。</w:t>
      </w:r>
      <w:r/>
    </w:p>
    <w:p>
      <w:r>
        <w:rPr>
          <w:rFonts w:hint="eastAsia"/>
        </w:rPr>
        <w:t xml:space="preserve">（2）勘察设计费</w:t>
      </w:r>
      <w:r/>
    </w:p>
    <w:p>
      <w:r>
        <w:rPr>
          <w:rFonts w:hint="eastAsia"/>
        </w:rPr>
        <w:t xml:space="preserve">参考《工程勘察设计收费管理规定计价格》计价格〔2002〕10号文，及项目相关招标结果计取。</w:t>
      </w:r>
      <w:r/>
    </w:p>
    <w:p>
      <w:r>
        <w:rPr>
          <w:rFonts w:hint="eastAsia"/>
        </w:rPr>
        <w:t xml:space="preserve">（</w:t>
      </w:r>
      <w:r>
        <w:t xml:space="preserve">3</w:t>
      </w:r>
      <w:r>
        <w:rPr>
          <w:rFonts w:hint="eastAsia"/>
        </w:rPr>
        <w:t xml:space="preserve">）安全生产费</w:t>
      </w:r>
      <w:r/>
    </w:p>
    <w:p>
      <w:r>
        <w:rPr>
          <w:rFonts w:hint="eastAsia"/>
        </w:rPr>
        <w:t xml:space="preserve">财企〔2012〕16号发布的《企业安全生产费用提取和使用管理办法》中安全生产费用（以下简称安全费用）是指企业按照规定标准提取，在成本中列支，专门用于完善和改进企业安全生产条件的资金。</w:t>
      </w:r>
      <w:r/>
    </w:p>
    <w:p>
      <w:r>
        <w:rPr>
          <w:rFonts w:hint="eastAsia"/>
        </w:rPr>
        <w:t xml:space="preserve">安全生产费计取工程范围主要包括土木工程、建筑工程、井巷工程、线路管道和设备安装及装修工程的新建、扩建、改建以及矿山建设等。本项目安全生产费按建安费的1.5%计取。</w:t>
      </w:r>
      <w:r/>
    </w:p>
    <w:p>
      <w:pPr>
        <w:pStyle w:val="1070"/>
        <w:ind w:firstLine="640"/>
        <w:rPr>
          <w:sz w:val="30"/>
          <w:szCs w:val="30"/>
        </w:rPr>
      </w:pPr>
      <w:r/>
      <w:bookmarkStart w:id="352" w:name="_Toc14903"/>
      <w:r/>
      <w:bookmarkStart w:id="353" w:name="_Toc18066"/>
      <w:r/>
      <w:bookmarkStart w:id="354" w:name="_Toc175326581"/>
      <w:r/>
      <w:bookmarkStart w:id="355" w:name="_Toc393"/>
      <w:r>
        <w:rPr>
          <w:rFonts w:hint="eastAsia"/>
          <w:sz w:val="30"/>
          <w:szCs w:val="30"/>
        </w:rPr>
        <w:t xml:space="preserve">5.2初步设计投资概算书</w:t>
      </w:r>
      <w:bookmarkEnd w:id="352"/>
      <w:r/>
      <w:bookmarkEnd w:id="353"/>
      <w:r/>
      <w:bookmarkEnd w:id="354"/>
      <w:r/>
      <w:bookmarkEnd w:id="355"/>
      <w:r/>
      <w:r/>
    </w:p>
    <w:p>
      <w:pPr>
        <w:rPr>
          <w:b/>
          <w:bCs/>
        </w:rPr>
      </w:pPr>
      <w:r>
        <w:t xml:space="preserve">本项目投资概算为</w:t>
      </w:r>
      <w:r>
        <w:rPr>
          <w:rFonts w:hint="eastAsia"/>
          <w:color w:val="000000"/>
        </w:rPr>
        <w:t xml:space="preserve">990</w:t>
      </w:r>
      <w:r>
        <w:rPr>
          <w:rFonts w:hint="eastAsia"/>
          <w:color w:val="000000"/>
          <w:lang w:val="en-GB"/>
        </w:rPr>
        <w:t xml:space="preserve">万</w:t>
      </w:r>
      <w:r>
        <w:t xml:space="preserve">元。</w:t>
      </w:r>
      <w:r>
        <w:rPr>
          <w:rFonts w:hint="eastAsia"/>
        </w:rPr>
        <w:t xml:space="preserve">详见附件</w:t>
      </w:r>
      <w:r>
        <w:t xml:space="preserve">初步设计概算表格</w:t>
      </w:r>
      <w:r>
        <w:rPr>
          <w:rFonts w:hint="eastAsia"/>
        </w:rPr>
        <w:t xml:space="preserve">。</w:t>
      </w:r>
      <w:r/>
    </w:p>
    <w:p>
      <w:pPr>
        <w:pStyle w:val="1070"/>
        <w:ind w:firstLine="640"/>
        <w:rPr>
          <w:sz w:val="30"/>
          <w:szCs w:val="30"/>
        </w:rPr>
      </w:pPr>
      <w:r/>
      <w:bookmarkStart w:id="356" w:name="_Toc175326582"/>
      <w:r>
        <w:rPr>
          <w:rFonts w:hint="eastAsia"/>
          <w:sz w:val="30"/>
          <w:szCs w:val="30"/>
        </w:rPr>
        <w:t xml:space="preserve">5.3</w:t>
      </w:r>
      <w:bookmarkStart w:id="357" w:name="_Toc65184889"/>
      <w:r/>
      <w:bookmarkStart w:id="358" w:name="_Toc110456679"/>
      <w:r/>
      <w:bookmarkStart w:id="359" w:name="_Toc91064161"/>
      <w:r>
        <w:rPr>
          <w:rFonts w:hint="eastAsia"/>
          <w:sz w:val="30"/>
          <w:szCs w:val="30"/>
        </w:rPr>
        <w:t xml:space="preserve">资金筹措及投资计划</w:t>
      </w:r>
      <w:bookmarkEnd w:id="356"/>
      <w:r/>
      <w:bookmarkEnd w:id="357"/>
      <w:r/>
      <w:bookmarkEnd w:id="358"/>
      <w:r/>
      <w:bookmarkEnd w:id="359"/>
      <w:r/>
      <w:r/>
    </w:p>
    <w:p>
      <w:r>
        <w:t xml:space="preserve">本项目所用资金来源为</w:t>
      </w:r>
      <w:r>
        <w:rPr>
          <w:rFonts w:hint="eastAsia"/>
        </w:rPr>
        <w:t xml:space="preserve">财政拔款。</w:t>
      </w:r>
      <w:r/>
    </w:p>
    <w:p>
      <w:r/>
      <w:r/>
    </w:p>
    <w:p>
      <w:pPr>
        <w:pStyle w:val="1069"/>
        <w:ind w:firstLine="883"/>
        <w:rPr>
          <w:sz w:val="32"/>
          <w:szCs w:val="32"/>
        </w:rPr>
      </w:pPr>
      <w:r/>
      <w:bookmarkStart w:id="360" w:name="_Toc105623167"/>
      <w:r/>
      <w:bookmarkStart w:id="361" w:name="_Toc175326583"/>
      <w:r>
        <w:rPr>
          <w:rFonts w:hint="eastAsia"/>
          <w:sz w:val="32"/>
          <w:szCs w:val="32"/>
        </w:rPr>
        <w:t xml:space="preserve">六、 环保、消防、职业安全卫生和节能措施</w:t>
      </w:r>
      <w:bookmarkEnd w:id="360"/>
      <w:r/>
      <w:bookmarkEnd w:id="361"/>
      <w:r/>
      <w:r/>
    </w:p>
    <w:p>
      <w:pPr>
        <w:pStyle w:val="1070"/>
        <w:ind w:firstLine="640"/>
        <w:rPr>
          <w:sz w:val="32"/>
          <w:szCs w:val="32"/>
        </w:rPr>
      </w:pPr>
      <w:r/>
      <w:bookmarkStart w:id="362" w:name="_Toc103953578"/>
      <w:r/>
      <w:bookmarkStart w:id="363" w:name="_Toc103952707"/>
      <w:r/>
      <w:bookmarkStart w:id="364" w:name="_Toc175326584"/>
      <w:r/>
      <w:bookmarkStart w:id="365" w:name="_Toc105623168"/>
      <w:r>
        <w:rPr>
          <w:rFonts w:hint="eastAsia"/>
          <w:sz w:val="32"/>
          <w:szCs w:val="32"/>
        </w:rPr>
        <w:t xml:space="preserve">6.1 环境保护</w:t>
      </w:r>
      <w:bookmarkEnd w:id="362"/>
      <w:r/>
      <w:bookmarkEnd w:id="363"/>
      <w:r/>
      <w:bookmarkEnd w:id="364"/>
      <w:r/>
      <w:bookmarkEnd w:id="365"/>
      <w:r>
        <w:rPr>
          <w:rFonts w:hint="eastAsia"/>
          <w:sz w:val="32"/>
          <w:szCs w:val="32"/>
        </w:rPr>
        <w:t xml:space="preserve"> </w:t>
      </w:r>
      <w:r/>
    </w:p>
    <w:p>
      <w:r>
        <w:rPr>
          <w:rFonts w:hint="eastAsia"/>
        </w:rPr>
        <w:t xml:space="preserve">工程严格遵循</w:t>
      </w:r>
      <w:r>
        <w:t xml:space="preserve">“三同时制度”，</w:t>
      </w:r>
      <w:r>
        <w:rPr>
          <w:rFonts w:hint="eastAsia"/>
        </w:rPr>
        <w:t xml:space="preserve">将</w:t>
      </w:r>
      <w:r>
        <w:t xml:space="preserve">环境保护工作纳入建设计划</w:t>
      </w:r>
      <w:r>
        <w:rPr>
          <w:rFonts w:hint="eastAsia"/>
        </w:rPr>
        <w:t xml:space="preserve">，并</w:t>
      </w:r>
      <w:r>
        <w:t xml:space="preserve">与主体工程同时设计、同时施工、同时投产使用</w:t>
      </w:r>
      <w:r>
        <w:rPr>
          <w:rFonts w:hint="eastAsia"/>
        </w:rPr>
        <w:t xml:space="preserve">。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p>
    <w:p>
      <w:pPr>
        <w:pStyle w:val="1071"/>
      </w:pPr>
      <w:r/>
      <w:bookmarkStart w:id="366" w:name="_Toc103953579"/>
      <w:r/>
      <w:bookmarkStart w:id="367" w:name="_Toc105623169"/>
      <w:r/>
      <w:bookmarkStart w:id="368" w:name="_Toc175326585"/>
      <w:r>
        <w:rPr>
          <w:rFonts w:hint="eastAsia"/>
        </w:rPr>
        <w:t xml:space="preserve">6.1.1 光污染控制</w:t>
      </w:r>
      <w:bookmarkEnd w:id="366"/>
      <w:r/>
      <w:bookmarkEnd w:id="367"/>
      <w:r/>
      <w:bookmarkEnd w:id="368"/>
      <w:r/>
      <w:r/>
    </w:p>
    <w:p>
      <w:r>
        <w:rPr>
          <w:rFonts w:hint="eastAsia"/>
        </w:rPr>
        <w:t xml:space="preserve">1、尽量避免或减少施工过程中的光污染。夜间室外照明灯加设灯罩，透光方向集中在施工范围。</w:t>
      </w:r>
      <w:r/>
    </w:p>
    <w:p>
      <w:r>
        <w:rPr>
          <w:rFonts w:hint="eastAsia"/>
        </w:rPr>
        <w:t xml:space="preserve">2、电焊作业采取遮挡措施，避免电焊弧光外泄。</w:t>
      </w:r>
      <w:r/>
    </w:p>
    <w:p>
      <w:pPr>
        <w:pStyle w:val="1071"/>
      </w:pPr>
      <w:r/>
      <w:bookmarkStart w:id="369" w:name="_Toc103953580"/>
      <w:r/>
      <w:bookmarkStart w:id="370" w:name="_Toc175326586"/>
      <w:r/>
      <w:bookmarkStart w:id="371" w:name="_Toc105623170"/>
      <w:r>
        <w:rPr>
          <w:rFonts w:hint="eastAsia"/>
        </w:rPr>
        <w:t xml:space="preserve">6.1.2 废水、废气污染控制</w:t>
      </w:r>
      <w:bookmarkEnd w:id="369"/>
      <w:r/>
      <w:bookmarkEnd w:id="370"/>
      <w:r/>
      <w:bookmarkEnd w:id="371"/>
      <w:r/>
      <w:r/>
    </w:p>
    <w:p>
      <w:r>
        <w:rPr>
          <w:rFonts w:hint="eastAsia"/>
        </w:rPr>
        <w:t xml:space="preserve">本项目为信息系统工程，项目建设将依托现有基础设施，不涉及新增的土建项目，系统建成运行后不会产生工业废水、废气等污染物。</w:t>
      </w:r>
      <w:r/>
    </w:p>
    <w:p>
      <w:r>
        <w:rPr>
          <w:rFonts w:hint="eastAsia"/>
        </w:rPr>
        <w:t xml:space="preserve">项目用水环节主要是系统维护人员生活污水。生活污水由现有污水收集管网收集后，进入市政污水处理管网。</w:t>
      </w:r>
      <w:r/>
    </w:p>
    <w:p>
      <w:pPr>
        <w:pStyle w:val="1071"/>
      </w:pPr>
      <w:r/>
      <w:bookmarkStart w:id="372" w:name="_Toc103953581"/>
      <w:r/>
      <w:bookmarkStart w:id="373" w:name="_Toc175326587"/>
      <w:r/>
      <w:bookmarkStart w:id="374" w:name="_Toc105623171"/>
      <w:r>
        <w:rPr>
          <w:rFonts w:hint="eastAsia"/>
        </w:rPr>
        <w:t xml:space="preserve">6.1.3 噪声控制</w:t>
      </w:r>
      <w:bookmarkEnd w:id="372"/>
      <w:r/>
      <w:bookmarkEnd w:id="373"/>
      <w:r/>
      <w:bookmarkEnd w:id="374"/>
      <w:r/>
      <w:r/>
    </w:p>
    <w:p>
      <w:r>
        <w:rPr>
          <w:rFonts w:hint="eastAsia"/>
        </w:rPr>
        <w:t xml:space="preserve">1、信息化建设项目在城市市区范围内向周围生活环境排放的建筑施工噪声，应当符合GB 12523《建筑施工场界环境噪声排放标准》的规定，并符合当地环保部门的相关要求。</w:t>
      </w:r>
      <w:r/>
    </w:p>
    <w:p>
      <w:r>
        <w:rPr>
          <w:rFonts w:hint="eastAsia"/>
        </w:rPr>
        <w:t xml:space="preserve">2、在城市范围内的机房，向周围生活环境排放噪声的，应符合GB 12348《工业企业厂界环境噪声排放标准》的相关要求。</w:t>
      </w:r>
      <w:r/>
    </w:p>
    <w:p>
      <w:r>
        <w:rPr>
          <w:rFonts w:hint="eastAsia"/>
        </w:rPr>
        <w:t xml:space="preserve">3、根据《通信工程建设环境保护技术暂行规定》规定：必须保持防治环境噪声污染的设施正常使用，拆除或闲置环境噪声污染防治设施应报环境保护行政主管部门批准。</w:t>
      </w:r>
      <w:r/>
    </w:p>
    <w:p>
      <w:pPr>
        <w:pStyle w:val="1071"/>
      </w:pPr>
      <w:r/>
      <w:bookmarkStart w:id="375" w:name="_Toc175326588"/>
      <w:r/>
      <w:bookmarkStart w:id="376" w:name="_Toc103953582"/>
      <w:r/>
      <w:bookmarkStart w:id="377" w:name="_Toc105623172"/>
      <w:r>
        <w:rPr>
          <w:rFonts w:hint="eastAsia"/>
        </w:rPr>
        <w:t xml:space="preserve">6.1.4 电磁辐射</w:t>
      </w:r>
      <w:bookmarkEnd w:id="375"/>
      <w:r/>
      <w:bookmarkEnd w:id="376"/>
      <w:r/>
      <w:bookmarkEnd w:id="377"/>
      <w:r/>
      <w:r/>
    </w:p>
    <w:p>
      <w:r>
        <w:rPr>
          <w:rFonts w:hint="eastAsia"/>
        </w:rPr>
        <w:t xml:space="preserve">本期工程产生电磁辐射主要为网络设备、服务器和计算机等设备，带来的电磁辐射。本期使用设备电磁辐射能够满足GB 8702-2014《电磁环境控制限值》的相关要求，不产生电磁辐射危害。</w:t>
      </w:r>
      <w:r/>
    </w:p>
    <w:p>
      <w:pPr>
        <w:pStyle w:val="1071"/>
      </w:pPr>
      <w:r/>
      <w:bookmarkStart w:id="378" w:name="_Toc103953583"/>
      <w:r/>
      <w:bookmarkStart w:id="379" w:name="_Toc105623173"/>
      <w:r/>
      <w:bookmarkStart w:id="380" w:name="_Toc175326589"/>
      <w:r>
        <w:rPr>
          <w:rFonts w:hint="eastAsia"/>
        </w:rPr>
        <w:t xml:space="preserve">6.1.5 固体废弃物回收和处置</w:t>
      </w:r>
      <w:bookmarkEnd w:id="378"/>
      <w:r/>
      <w:bookmarkEnd w:id="379"/>
      <w:r/>
      <w:bookmarkEnd w:id="380"/>
      <w:r/>
      <w:r/>
    </w:p>
    <w:p>
      <w:r>
        <w:rPr>
          <w:rFonts w:hint="eastAsia"/>
        </w:rPr>
        <w:t xml:space="preserve">1、工程建设单位和施工单位应采取措施，防止或减少固体废物对环境的污染，施工单位应及时清运施工工程中产生的固体废弃物，并按照环境卫生行政主管部门的规定进行利用或处置。</w:t>
      </w:r>
      <w:r/>
    </w:p>
    <w:p>
      <w:r>
        <w:rPr>
          <w:rFonts w:hint="eastAsia"/>
        </w:rPr>
        <w:t xml:space="preserve">2、严禁向江河、湖波、运河、渠道、水库及最高水位线以下的滩地和岸坡倾倒、堆放固体废弃物。</w:t>
      </w:r>
      <w:r/>
    </w:p>
    <w:p>
      <w:r>
        <w:rPr>
          <w:rFonts w:hint="eastAsia"/>
        </w:rPr>
        <w:t xml:space="preserve">3、废旧电池、废矿物油、含汞废日光灯等毒性大、不宜用通用方式进行管理和处置的特殊危险废物，应与生活垃圾分类收集、妥善贮存、安全处置。</w:t>
      </w:r>
      <w:r/>
    </w:p>
    <w:p>
      <w:pPr>
        <w:pStyle w:val="1070"/>
        <w:rPr>
          <w:sz w:val="32"/>
          <w:szCs w:val="32"/>
        </w:rPr>
      </w:pPr>
      <w:r/>
      <w:bookmarkStart w:id="381" w:name="_Toc175326590"/>
      <w:r/>
      <w:bookmarkStart w:id="382" w:name="_Toc103952708"/>
      <w:r/>
      <w:bookmarkStart w:id="383" w:name="_Toc105623174"/>
      <w:r/>
      <w:bookmarkStart w:id="384" w:name="_Toc103953584"/>
      <w:r>
        <w:rPr>
          <w:rFonts w:hint="eastAsia"/>
          <w:sz w:val="32"/>
          <w:szCs w:val="32"/>
        </w:rPr>
        <w:t xml:space="preserve">6.2 绿色节能</w:t>
      </w:r>
      <w:bookmarkEnd w:id="381"/>
      <w:r/>
      <w:bookmarkEnd w:id="382"/>
      <w:r/>
      <w:bookmarkEnd w:id="383"/>
      <w:r/>
      <w:bookmarkEnd w:id="384"/>
      <w:r/>
      <w:r/>
    </w:p>
    <w:p>
      <w:r>
        <w:rPr>
          <w:rFonts w:hint="eastAsia"/>
        </w:rPr>
        <w:t xml:space="preserve">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r/>
    </w:p>
    <w:p>
      <w:r/>
      <w:bookmarkStart w:id="385" w:name="_Toc41924965"/>
      <w:r>
        <w:rPr>
          <w:rFonts w:hint="eastAsia"/>
        </w:rPr>
        <w:t xml:space="preserve">本期设计</w:t>
      </w:r>
      <w:bookmarkEnd w:id="385"/>
      <w:r>
        <w:rPr>
          <w:rFonts w:hint="eastAsia"/>
        </w:rPr>
        <w:t xml:space="preserve">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pStyle w:val="1071"/>
      </w:pPr>
      <w:r/>
      <w:bookmarkStart w:id="386" w:name="_Toc103953585"/>
      <w:r/>
      <w:bookmarkStart w:id="387" w:name="_Toc105623175"/>
      <w:r/>
      <w:bookmarkStart w:id="388" w:name="_Toc175326591"/>
      <w:r>
        <w:rPr>
          <w:rFonts w:hint="eastAsia"/>
        </w:rPr>
        <w:t xml:space="preserve">6.2.1 设备选择及选型要求</w:t>
      </w:r>
      <w:bookmarkEnd w:id="386"/>
      <w:r/>
      <w:bookmarkEnd w:id="387"/>
      <w:r/>
      <w:bookmarkEnd w:id="388"/>
      <w:r/>
      <w:r/>
    </w:p>
    <w:p>
      <w:r>
        <w:rPr>
          <w:rFonts w:hint="eastAsia"/>
        </w:rPr>
        <w:t xml:space="preserve">设备选择应遵循节能、节材、节地、环保的原则。主设备选型时应符合以下绿色节能要求：</w:t>
      </w:r>
      <w:r/>
    </w:p>
    <w:p>
      <w:r>
        <w:rPr>
          <w:rFonts w:hint="eastAsia"/>
        </w:rPr>
        <w:t xml:space="preserve">1、在满足技术和服务指标的前提下，宜优先选用高度集成化、低功耗、高能效比、具有智能节电功能的设备。</w:t>
      </w:r>
      <w:r/>
    </w:p>
    <w:p>
      <w:r>
        <w:rPr>
          <w:rFonts w:hint="eastAsia"/>
        </w:rPr>
        <w:t xml:space="preserve">2、在满足设备正常运行、维护要求的基础上，优先选用自然散热产品，减少风扇的使用。</w:t>
      </w:r>
      <w:r/>
    </w:p>
    <w:p>
      <w:r>
        <w:rPr>
          <w:rFonts w:hint="eastAsia"/>
        </w:rPr>
        <w:t xml:space="preserve">3、在满足运输安全的前提下，优先选择包装材料轻、绿色环保包装材料，避免过度包装。</w:t>
      </w:r>
      <w:r/>
    </w:p>
    <w:p>
      <w:r>
        <w:rPr>
          <w:rFonts w:hint="eastAsia"/>
        </w:rPr>
        <w:t xml:space="preserve">4、在保证网络安全的前提下，适时引入新技术，优化网络设计，简化网络结构，提高网络利用率，避免设备闲置。</w:t>
      </w:r>
      <w:r/>
    </w:p>
    <w:p>
      <w:pPr>
        <w:pStyle w:val="1070"/>
        <w:ind w:firstLine="640"/>
        <w:rPr>
          <w:sz w:val="32"/>
          <w:szCs w:val="32"/>
        </w:rPr>
      </w:pPr>
      <w:r/>
      <w:bookmarkStart w:id="389" w:name="_Toc103953586"/>
      <w:r/>
      <w:bookmarkStart w:id="390" w:name="_Toc175326592"/>
      <w:r/>
      <w:bookmarkStart w:id="391" w:name="_Toc105623176"/>
      <w:r/>
      <w:bookmarkStart w:id="392" w:name="_Toc103952709"/>
      <w:r>
        <w:rPr>
          <w:rFonts w:hint="eastAsia"/>
          <w:sz w:val="32"/>
          <w:szCs w:val="32"/>
        </w:rPr>
        <w:t xml:space="preserve">6.3 职业安全卫生</w:t>
      </w:r>
      <w:bookmarkEnd w:id="389"/>
      <w:r/>
      <w:bookmarkEnd w:id="390"/>
      <w:r/>
      <w:bookmarkEnd w:id="391"/>
      <w:r/>
      <w:bookmarkEnd w:id="392"/>
      <w:r/>
      <w:r/>
    </w:p>
    <w:p>
      <w:r>
        <w:rPr>
          <w:rFonts w:hint="eastAsia"/>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pStyle w:val="1071"/>
      </w:pPr>
      <w:r/>
      <w:bookmarkStart w:id="393" w:name="_Toc175326593"/>
      <w:r/>
      <w:bookmarkStart w:id="394" w:name="_Toc105623177"/>
      <w:r/>
      <w:bookmarkStart w:id="395" w:name="_Toc103953587"/>
      <w:r>
        <w:rPr>
          <w:rFonts w:hint="eastAsia"/>
        </w:rPr>
        <w:t xml:space="preserve">6.3.1 职业安全卫生主要影响因素</w:t>
      </w:r>
      <w:bookmarkEnd w:id="393"/>
      <w:r/>
      <w:bookmarkEnd w:id="394"/>
      <w:r/>
      <w:bookmarkEnd w:id="395"/>
      <w:r/>
      <w:r/>
    </w:p>
    <w:p>
      <w:r/>
      <w:bookmarkStart w:id="396" w:name="_Toc41924976"/>
      <w:r>
        <w:rPr>
          <w:rFonts w:hint="eastAsia"/>
        </w:rPr>
        <w:t xml:space="preserve">本项目涉及信息化机房施工作业和信息化系统运营，涉及主要的职业卫生安全因素如下：</w:t>
      </w:r>
      <w:r/>
    </w:p>
    <w:p>
      <w:r>
        <w:rPr>
          <w:rFonts w:hint="eastAsia"/>
        </w:rPr>
        <w:t xml:space="preserve">1、机房环境布置、洁净度、新风量等不符合要求产生对人员、设备相关危害；</w:t>
      </w:r>
      <w:r/>
    </w:p>
    <w:p>
      <w:r>
        <w:rPr>
          <w:rFonts w:hint="eastAsia"/>
        </w:rPr>
        <w:t xml:space="preserve">2、工程施工安全，包括用电安全、高处作业安全、交通安全、器材搬运安全等</w:t>
      </w:r>
      <w:r/>
    </w:p>
    <w:p>
      <w:r>
        <w:rPr>
          <w:rFonts w:hint="eastAsia"/>
        </w:rPr>
        <w:t xml:space="preserve">3、信息化设备产生的电磁波辐射，对人员和环境的影响</w:t>
      </w:r>
      <w:r/>
    </w:p>
    <w:p>
      <w:r>
        <w:rPr>
          <w:rFonts w:hint="eastAsia"/>
        </w:rPr>
        <w:t xml:space="preserve">4、工程施工产生噪声影响、设备运行过程产生的噪声影响</w:t>
      </w:r>
      <w:r/>
    </w:p>
    <w:p>
      <w:r>
        <w:rPr>
          <w:rFonts w:hint="eastAsia"/>
        </w:rPr>
        <w:t xml:space="preserve">5、系统运行过程静电干扰产生的危害</w:t>
      </w:r>
      <w:bookmarkEnd w:id="396"/>
      <w:r/>
      <w:r/>
    </w:p>
    <w:p>
      <w:pPr>
        <w:pStyle w:val="1071"/>
      </w:pPr>
      <w:r/>
      <w:bookmarkStart w:id="397" w:name="_Toc175326594"/>
      <w:r/>
      <w:bookmarkStart w:id="398" w:name="_Toc105623178"/>
      <w:r/>
      <w:bookmarkStart w:id="399" w:name="_Toc103953588"/>
      <w:r>
        <w:rPr>
          <w:rFonts w:hint="eastAsia"/>
        </w:rPr>
        <w:t xml:space="preserve">6.3.2 噪声控制</w:t>
      </w:r>
      <w:bookmarkEnd w:id="397"/>
      <w:r/>
      <w:bookmarkEnd w:id="398"/>
      <w:r/>
      <w:bookmarkEnd w:id="399"/>
      <w:r/>
      <w:r/>
    </w:p>
    <w:p>
      <w:r>
        <w:rPr>
          <w:rFonts w:hint="eastAsia"/>
        </w:rPr>
        <w:t xml:space="preserve">1、设备运行所产生的噪声应符合相关产品标准的规定；高噪声设备宜配备隔声设施</w:t>
      </w:r>
      <w:r/>
    </w:p>
    <w:p>
      <w:r>
        <w:rPr>
          <w:rFonts w:hint="eastAsia"/>
        </w:rPr>
        <w:t xml:space="preserve">2、所有设备停机时，机房内的噪声应小于60</w:t>
      </w:r>
      <w:r>
        <w:t xml:space="preserve"> </w:t>
      </w:r>
      <w:r>
        <w:rPr>
          <w:rFonts w:hint="eastAsia"/>
        </w:rPr>
        <w:t xml:space="preserve">d</w:t>
      </w:r>
      <w:r>
        <w:t xml:space="preserve">B</w:t>
      </w:r>
      <w:r>
        <w:rPr>
          <w:rFonts w:hint="eastAsia"/>
        </w:rPr>
        <w:t xml:space="preserve">（A）。</w:t>
      </w:r>
      <w:r/>
    </w:p>
    <w:p>
      <w:r>
        <w:rPr>
          <w:rFonts w:hint="eastAsia"/>
        </w:rPr>
        <w:t xml:space="preserve">3、所有对外的噪声应满足GB</w:t>
      </w:r>
      <w:r>
        <w:t xml:space="preserve"> </w:t>
      </w:r>
      <w:r>
        <w:rPr>
          <w:rFonts w:hint="eastAsia"/>
        </w:rPr>
        <w:t xml:space="preserve">3096的规定值要求。</w:t>
      </w:r>
      <w:r/>
    </w:p>
    <w:p>
      <w:pPr>
        <w:pStyle w:val="1071"/>
      </w:pPr>
      <w:r/>
      <w:bookmarkStart w:id="400" w:name="_Toc103953589"/>
      <w:r/>
      <w:bookmarkStart w:id="401" w:name="_Toc175326595"/>
      <w:r/>
      <w:bookmarkStart w:id="402" w:name="_Toc105623179"/>
      <w:r>
        <w:rPr>
          <w:rFonts w:hint="eastAsia"/>
        </w:rPr>
        <w:t xml:space="preserve">6.3.3 电辐射</w:t>
      </w:r>
      <w:bookmarkEnd w:id="400"/>
      <w:r/>
      <w:bookmarkEnd w:id="401"/>
      <w:r/>
      <w:bookmarkEnd w:id="402"/>
      <w:r/>
      <w:r/>
    </w:p>
    <w:p>
      <w:r>
        <w:rPr>
          <w:rFonts w:hint="eastAsia"/>
        </w:rPr>
        <w:t xml:space="preserve">本期新建或扩容设备符合国家质量标准，设备运行产生的辐射符合国家行业标准要求，对人体和环境不产生危害影响</w:t>
      </w:r>
      <w:r/>
    </w:p>
    <w:p>
      <w:pPr>
        <w:pStyle w:val="1071"/>
      </w:pPr>
      <w:r/>
      <w:bookmarkStart w:id="403" w:name="_Toc175326596"/>
      <w:r/>
      <w:bookmarkStart w:id="404" w:name="_Toc103953590"/>
      <w:r/>
      <w:bookmarkStart w:id="405" w:name="_Toc105623180"/>
      <w:r>
        <w:rPr>
          <w:rFonts w:hint="eastAsia"/>
        </w:rPr>
        <w:t xml:space="preserve">6.3.4 安全生产</w:t>
      </w:r>
      <w:bookmarkEnd w:id="403"/>
      <w:r/>
      <w:bookmarkEnd w:id="404"/>
      <w:r/>
      <w:bookmarkEnd w:id="405"/>
      <w:r/>
      <w:r/>
    </w:p>
    <w:p>
      <w:pPr>
        <w:pStyle w:val="1072"/>
      </w:pPr>
      <w:r>
        <w:t xml:space="preserve">6.3.4.1 </w:t>
      </w:r>
      <w:r>
        <w:rPr>
          <w:rFonts w:hint="eastAsia"/>
        </w:rPr>
        <w:t xml:space="preserve">工程安全管理组织</w:t>
      </w:r>
      <w:r/>
    </w:p>
    <w:p>
      <w:r>
        <w:t xml:space="preserve">通信建设施工企业在施工生产中，以下几方面必须符合国家法律、法规相关规定</w:t>
      </w:r>
      <w:r>
        <w:rPr>
          <w:rFonts w:hint="eastAsia"/>
        </w:rPr>
        <w:t xml:space="preserve">：</w:t>
      </w:r>
      <w:r/>
    </w:p>
    <w:p>
      <w:r>
        <w:t xml:space="preserve">施工企业资质及安全生产许可证情况；</w:t>
      </w:r>
      <w:r/>
    </w:p>
    <w:p>
      <w:r>
        <w:t xml:space="preserve">施工单位安全生产管理机构设置情况；</w:t>
      </w:r>
      <w:r/>
    </w:p>
    <w:p>
      <w:r>
        <w:t xml:space="preserve">施工单位的主要负责人、项目负责人、专职安全生产管理人员、特种作业人员任职或上岗条件；</w:t>
      </w:r>
      <w:r/>
    </w:p>
    <w:p>
      <w:r>
        <w:t xml:space="preserve">施工单位主要负责人、项目负责人、专职安全生产管理人员的职责；</w:t>
      </w:r>
      <w:r/>
    </w:p>
    <w:p>
      <w:r>
        <w:t xml:space="preserve">施工人员的权利和义务。</w:t>
      </w:r>
      <w:r/>
    </w:p>
    <w:p>
      <w:r>
        <w:rPr>
          <w:rFonts w:hint="eastAsia"/>
        </w:rPr>
        <w:t xml:space="preserve">工程安全管理组织</w:t>
      </w:r>
      <w:r/>
    </w:p>
    <w:p>
      <w:r>
        <w:t xml:space="preserve">建设单位要根据相关法律、法规规定，设置安全生产管理机构或者配备专职（或兼职）安全生产管理人员。</w:t>
      </w:r>
      <w:r/>
    </w:p>
    <w:p>
      <w:r>
        <w:t xml:space="preserve">新建、改建、扩建工程项目的安全生产设施必须要与主体工程同时设计、同时施工、同时投产使用。</w:t>
      </w:r>
      <w:r/>
    </w:p>
    <w:p>
      <w:r>
        <w:t xml:space="preserve">工程监理要严格按安全生产专篇要求实施安全监督和管理。</w:t>
      </w:r>
      <w:r/>
    </w:p>
    <w:p>
      <w:r>
        <w:t xml:space="preserve">工程施工要严格按安全生产专篇要求，对施工人员要进行安全教育和培训，落实安全防护措施和安全经费。</w:t>
      </w:r>
      <w:r/>
    </w:p>
    <w:p>
      <w:r>
        <w:t xml:space="preserve">单位在施工前应对施工作业现场的作业环境进行勘查，并制定相应的安全生产和文明施工的防范措施，加强施工现场安全管理和检查。</w:t>
      </w:r>
      <w:r/>
    </w:p>
    <w:p>
      <w:r>
        <w:t xml:space="preserve">施工单位必须严禁使用未取得有关部门颁发的《特种作业人员岗位操作证》的人员从事特种作业，禁止使用未经上岗培训的人员上岗作业。</w:t>
      </w:r>
      <w:r/>
    </w:p>
    <w:p>
      <w:r>
        <w:t xml:space="preserve">施工单位必须保证施工现场安全措施费用和施工人员的安全生产用品的落实。</w:t>
      </w:r>
      <w:r/>
    </w:p>
    <w:p>
      <w:r>
        <w:t xml:space="preserve">建设项目竣工投产前，其安全设施必须经安全部门验收合格。</w:t>
      </w:r>
      <w:r/>
    </w:p>
    <w:p>
      <w: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r>
        <w:t xml:space="preserve">企业主要负责人、工程项目负责人和专职安全员应对建设工程项目的安全施工负责。当发生安全事故时，应及时、如实地报告。</w:t>
      </w:r>
      <w:r/>
    </w:p>
    <w:p>
      <w:r>
        <w:t xml:space="preserve">工程项目施工必须实行安全技术逐级交底制度，纵向延伸到全体作业人员。</w:t>
      </w:r>
      <w:r/>
    </w:p>
    <w:p>
      <w: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r/>
    </w:p>
    <w:p>
      <w:r>
        <w:t xml:space="preserve">发生任何事故，必须及时逐级上报。报告的内容应包括事故发生的单位、时间、地点、简要事故经过、伤亡人数、财产损失情况和已采取的应急措施等。报告人应适时作出书面记录。</w:t>
      </w:r>
      <w:r/>
    </w:p>
    <w:p>
      <w:r>
        <w:t xml:space="preserve">项目负责人接到事故报告后，应迅速采取有效措施，积极组织救护、抢险，减少人员伤亡和财产损失，防止事故继续扩大，并立即报告安全生产主管部门或上级应急指挥中心。</w:t>
      </w:r>
      <w:r/>
    </w:p>
    <w:p>
      <w:r>
        <w:t xml:space="preserve">设备安装前须检查：机房荷载、消防、抗震、接地的证明。</w:t>
      </w:r>
      <w:r/>
    </w:p>
    <w:p>
      <w:r>
        <w:t xml:space="preserve">当施工作业可能对毗邻设备、管线等造成损害时，监理工程师应要求承包单位采取防护措施。</w:t>
      </w:r>
      <w:r/>
    </w:p>
    <w:p>
      <w: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r>
        <w:t xml:space="preserve">工程项目施工必须实行安全技术交底制度，接受交底的人员必须覆盖全体作业人员。</w:t>
      </w:r>
      <w:r/>
    </w:p>
    <w:p>
      <w:r>
        <w:t xml:space="preserve">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r/>
    </w:p>
    <w:p>
      <w: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pStyle w:val="1072"/>
      </w:pPr>
      <w:r>
        <w:t xml:space="preserve">6.3.4.2 </w:t>
      </w:r>
      <w:r>
        <w:rPr>
          <w:rFonts w:hint="eastAsia"/>
        </w:rPr>
        <w:t xml:space="preserve">施工现场安全</w:t>
      </w:r>
      <w:r/>
    </w:p>
    <w:p>
      <w:r>
        <w:t xml:space="preserve">在城镇交人员密集处施工时必须设置有关部门规定的警示标志，必要时派专人警戒看守。</w:t>
      </w:r>
      <w:r/>
    </w:p>
    <w:p>
      <w:r>
        <w:t xml:space="preserve">施工现场的安全警示标志和防护设施应随工作地点的变动而转移，作业完毕应及时撤除、清理干净。</w:t>
      </w:r>
      <w:r/>
    </w:p>
    <w:p>
      <w:r>
        <w:t xml:space="preserve">施工人员应阻止非工作人员进人施工作业区，接近或触碰正在施工运行中的各种机具与设施。</w:t>
      </w:r>
      <w:r/>
    </w:p>
    <w:p>
      <w:r>
        <w:t xml:space="preserve">在城镇和居民区内施工有噪音扰民时，应采取防止或减轻噪音扰民的措施，并在相关部门规定时间内施工。需要在夜间或在禁止时间内施工的，应报请有关单位和部门批准。</w:t>
      </w:r>
      <w:r/>
    </w:p>
    <w:p>
      <w:r>
        <w:t xml:space="preserve">从事高处作业的施工人员，必须正确使用安全带、安全帽。</w:t>
      </w:r>
      <w:r/>
    </w:p>
    <w:p>
      <w:r>
        <w:t xml:space="preserve">从事高处作业的人员应定期进行健康检查，如发现身体不适合高处作业时，不得从事这一工作。</w:t>
      </w:r>
      <w:r/>
    </w:p>
    <w:p>
      <w:r>
        <w:t xml:space="preserve">高处作业时，所用工具、材料应放置稳妥，不得扔抛工具或材料。</w:t>
      </w:r>
      <w:r/>
    </w:p>
    <w:p>
      <w:r>
        <w:t xml:space="preserve">施工现场有两个以上施工单位施工时，建设单位应明确各方的安全职责，对施工现场实行统一管理。</w:t>
      </w:r>
      <w:r/>
    </w:p>
    <w:p>
      <w:pPr>
        <w:pStyle w:val="1072"/>
      </w:pPr>
      <w:r>
        <w:t xml:space="preserve">6.3.4.3 施工驻地安全</w:t>
      </w:r>
      <w:r/>
    </w:p>
    <w:p>
      <w:r>
        <w:t xml:space="preserve">临时搭建的员工办公室等设施必须安全、牢固、符合消防安全规定，严禁使用易燃材料搭建临时设施。临时设施严禁靠近电力设施，与高压架空电线的水平距离必须符合相关规定。</w:t>
      </w:r>
      <w:r/>
    </w:p>
    <w:p>
      <w:r>
        <w:t xml:space="preserve">施工驻地应按规定配备消防设施，设置安全通道。</w:t>
      </w:r>
      <w:r/>
    </w:p>
    <w:p>
      <w:pPr>
        <w:pStyle w:val="1072"/>
      </w:pPr>
      <w:r>
        <w:t xml:space="preserve">6.3.4.4 </w:t>
      </w:r>
      <w:r>
        <w:rPr>
          <w:rFonts w:hint="eastAsia"/>
        </w:rPr>
        <w:t xml:space="preserve">施工现场用电安全要求</w:t>
      </w:r>
      <w:r/>
    </w:p>
    <w:p>
      <w:r>
        <w:rPr>
          <w:rFonts w:hint="eastAsia"/>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r>
        <w:rPr>
          <w:rFonts w:hint="eastAsia"/>
        </w:rPr>
        <w:t xml:space="preserve">操作电器装置应熟悉其性能和使用方法，不得任意开动电源装置，严禁在电源装置上放置物件，施工人员需在施工授权范围内操作，不得超出范围进行操作。</w:t>
      </w:r>
      <w:r/>
    </w:p>
    <w:p>
      <w:r>
        <w:rPr>
          <w:rFonts w:hint="eastAsia"/>
        </w:rPr>
        <w:t xml:space="preserve">在低压作业中，人体及其所携带工具与带电体的距离不应小于</w:t>
      </w:r>
      <w:r>
        <w:t xml:space="preserve">0.1m。</w:t>
      </w:r>
      <w:r/>
    </w:p>
    <w:p>
      <w:r>
        <w:rPr>
          <w:rFonts w:hint="eastAsia"/>
        </w:rPr>
        <w:t xml:space="preserve">施工现场用电线路应采用绝缘护套导线。</w:t>
      </w:r>
      <w:r/>
    </w:p>
    <w:p>
      <w:r>
        <w:rPr>
          <w:rFonts w:hint="eastAsia"/>
        </w:rPr>
        <w:t xml:space="preserve">检修各类配电箱、开关箱、电气设备和电力工具时，必须切断电源。在总配线箱或者分配线箱一侧悬挂“检修设备请勿合闸”警示标牌，必要时设专人看管。</w:t>
      </w:r>
      <w:r/>
    </w:p>
    <w:p>
      <w:r>
        <w:rPr>
          <w:rFonts w:hint="eastAsia"/>
        </w:rPr>
        <w:t xml:space="preserve">用电设备的总功率不得超过供电负荷。</w:t>
      </w:r>
      <w:r/>
    </w:p>
    <w:p>
      <w:r>
        <w:rPr>
          <w:rFonts w:hint="eastAsia"/>
        </w:rPr>
        <w:t xml:space="preserve">设备加电测试</w:t>
      </w:r>
      <w:r/>
    </w:p>
    <w:p>
      <w:r>
        <w:rPr>
          <w:rFonts w:hint="eastAsia"/>
        </w:rPr>
        <w:t xml:space="preserve">1、设备在加电前应进行检查以下内容</w:t>
      </w:r>
      <w:r>
        <w:t xml:space="preserve">:设备内不得有金属碎屑，电源正负极不得接反和短路，设备保护地线应引接良好，各级电源熔断器和空气开关规格应符合设计和设备的技术要求。</w:t>
      </w:r>
      <w:r/>
    </w:p>
    <w:p>
      <w:r>
        <w:rPr>
          <w:rFonts w:hint="eastAsia"/>
        </w:rPr>
        <w:t xml:space="preserve">2、设备加电时，操作人员必须穿戴绝缘鞋、绝缘手套，使用绝缘工具，并应由</w:t>
      </w:r>
      <w:r>
        <w:t xml:space="preserve">2人互相配合，沿电流方向逐级加电，逐级测量并留存测试记录。</w:t>
      </w:r>
      <w:r/>
    </w:p>
    <w:p>
      <w:r>
        <w:rPr>
          <w:rFonts w:hint="eastAsia"/>
        </w:rPr>
        <w:t xml:space="preserve">3、插拔板卡、模块时应配戴接地良好的防静电手环。</w:t>
      </w:r>
      <w:r/>
    </w:p>
    <w:p>
      <w:r>
        <w:rPr>
          <w:rFonts w:hint="eastAsia"/>
        </w:rPr>
        <w:t xml:space="preserve">4、插拔电源熔断器应使用专用工具，不得用其他工具代替。</w:t>
      </w:r>
      <w:r/>
    </w:p>
    <w:p>
      <w:pPr>
        <w:pStyle w:val="1072"/>
      </w:pPr>
      <w:r>
        <w:t xml:space="preserve">6.3.4.5 </w:t>
      </w:r>
      <w:r>
        <w:rPr>
          <w:rFonts w:hint="eastAsia"/>
        </w:rPr>
        <w:t xml:space="preserve">施工交通安全</w:t>
      </w:r>
      <w:r/>
    </w:p>
    <w:p>
      <w:r>
        <w:rPr>
          <w:rFonts w:hint="eastAsia"/>
        </w:rPr>
        <w:t xml:space="preserve">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r/>
    </w:p>
    <w:p>
      <w:r>
        <w:rPr>
          <w:rFonts w:hint="eastAsia"/>
        </w:rPr>
        <w:t xml:space="preserve">车辆行驶时，乘坐人员应注意沿途的电线、树枝及其他障碍物，不得将肢体露于车厢外。车辆停稳后方可上下车。</w:t>
      </w:r>
      <w:r/>
    </w:p>
    <w:p>
      <w:r>
        <w:rPr>
          <w:rFonts w:hint="eastAsia"/>
        </w:rPr>
        <w:t xml:space="preserve">若需租用车辆，应与车主签订租车协议，明确双方安全责任和义务。</w:t>
      </w:r>
      <w:r/>
    </w:p>
    <w:p>
      <w:pPr>
        <w:pStyle w:val="1072"/>
      </w:pPr>
      <w:r>
        <w:t xml:space="preserve">6.3.4.6 </w:t>
      </w:r>
      <w:r>
        <w:rPr>
          <w:rFonts w:hint="eastAsia"/>
        </w:rPr>
        <w:t xml:space="preserve">器材搬运要求</w:t>
      </w:r>
      <w:r/>
    </w:p>
    <w:p>
      <w:r>
        <w:rPr>
          <w:rFonts w:hint="eastAsia"/>
        </w:rPr>
        <w:t xml:space="preserve">1、一般规定</w:t>
      </w:r>
      <w:r/>
    </w:p>
    <w:p>
      <w:r>
        <w:rPr>
          <w:rFonts w:hint="eastAsia"/>
        </w:rPr>
        <w:t xml:space="preserve">（1）搬运通信设备、线缆等器材时，使用的杠、绳、链、撬棍、滚筒、滑车、挂钩、绞车（盘）、跳板等搬运工具应有足够的强度。不得使用有破损、腐蚀、腐朽现象的搬运工具。</w:t>
      </w:r>
      <w:r/>
    </w:p>
    <w:p>
      <w:r>
        <w:rPr>
          <w:rFonts w:hint="eastAsia"/>
        </w:rPr>
        <w:t xml:space="preserve">（2）人工挑、抬、扛工作应采取适当的人身安全措施。</w:t>
      </w:r>
      <w:r/>
    </w:p>
    <w:p>
      <w:r>
        <w:rPr>
          <w:rFonts w:hint="eastAsia"/>
        </w:rPr>
        <w:t xml:space="preserve">2、大型设备搬运</w:t>
      </w:r>
      <w:r/>
    </w:p>
    <w:p>
      <w:r>
        <w:rPr>
          <w:rFonts w:hint="eastAsia"/>
        </w:rPr>
        <w:t xml:space="preserve">（1）</w:t>
      </w:r>
      <w:r>
        <w:t xml:space="preserve">装卸大型设备宜采用吊车或叉车。搬运设备时应注意包装箱上的标志，不得倒置。</w:t>
      </w:r>
      <w:r/>
    </w:p>
    <w:p>
      <w:r>
        <w:rPr>
          <w:rFonts w:hint="eastAsia"/>
        </w:rPr>
        <w:t xml:space="preserve">（2）</w:t>
      </w:r>
      <w:r>
        <w:t xml:space="preserve">人工搬运时，应有专人指挥，多人合作，步调一致；每人负重男工不得超过40kg，女工不得超过20kg；不得让患有不适于搬运工作疾病者参与搬运工作。</w:t>
      </w:r>
      <w:r/>
    </w:p>
    <w:p>
      <w:r>
        <w:rPr>
          <w:rFonts w:hint="eastAsia"/>
        </w:rPr>
        <w:t xml:space="preserve">（3）</w:t>
      </w:r>
      <w:r>
        <w:t xml:space="preserve">人工搬运设备上下楼梯时，应按照身高、体力妥善安排位置，负重均匀；急拐弯处要慢行，前后的人应相互照应。</w:t>
      </w:r>
      <w:r/>
    </w:p>
    <w:p>
      <w:r>
        <w:rPr>
          <w:rFonts w:hint="eastAsia"/>
        </w:rPr>
        <w:t xml:space="preserve">（4）</w:t>
      </w:r>
      <w:r>
        <w:t xml:space="preserve">使用电梯搬运设备上下楼时，宜使用货梯，电梯的大小和承重应满足搬运要求。</w:t>
      </w:r>
      <w:r/>
    </w:p>
    <w:p>
      <w:r>
        <w:rPr>
          <w:rFonts w:hint="eastAsia"/>
        </w:rPr>
        <w:t xml:space="preserve">（5）</w:t>
      </w:r>
      <w:r>
        <w:t xml:space="preserve">手搬、肩扛没有包装的设备时，应搬、扛设备的牢固部位，不得抓碰布线、盒盖、零部件等不牢固、不能承重的部位。在搬运过程中不得直接将机柜在地面上拖拉、推动。</w:t>
      </w:r>
      <w:r/>
    </w:p>
    <w:p>
      <w:pPr>
        <w:pStyle w:val="1072"/>
      </w:pPr>
      <w:r>
        <w:t xml:space="preserve">6.3.4.7 </w:t>
      </w:r>
      <w:r>
        <w:rPr>
          <w:rFonts w:hint="eastAsia"/>
        </w:rPr>
        <w:t xml:space="preserve">室内设备安装</w:t>
      </w:r>
      <w:r/>
    </w:p>
    <w:p>
      <w:r>
        <w:rPr>
          <w:rFonts w:hint="eastAsia"/>
        </w:rPr>
        <w:t xml:space="preserve">1、</w:t>
      </w:r>
      <w:r>
        <w:t xml:space="preserve">设备开箱时应注意包装箱上的标志，不得倒置。开箱时应使用专用工具，不得猛力敲打包装箱。开箱后应及时清理箱板、铁皮、泡沫等杂物。雨雪、潮湿天气不得在室外开箱。</w:t>
      </w:r>
      <w:r/>
    </w:p>
    <w:p>
      <w:r>
        <w:rPr>
          <w:rFonts w:hint="eastAsia"/>
        </w:rPr>
        <w:t xml:space="preserve">2、</w:t>
      </w:r>
      <w:r>
        <w:t xml:space="preserve">在机房内搬移设备时，不得损坏地板和其他设备。</w:t>
      </w:r>
      <w:r/>
    </w:p>
    <w:p>
      <w:r>
        <w:rPr>
          <w:rFonts w:hint="eastAsia"/>
        </w:rPr>
        <w:t xml:space="preserve">3、在已有运行设备的机房内作业时，应划定施工作业区域，作业人员不得随意触碰已有运行设备，不得随意触碰消防设施。</w:t>
      </w:r>
      <w:r/>
    </w:p>
    <w:p>
      <w:r>
        <w:rPr>
          <w:rFonts w:hint="eastAsia"/>
        </w:rPr>
        <w:t xml:space="preserve">4、严禁擅自关断运行设备的电源开关。使用机房原有电源插座时应核实电源容量。</w:t>
      </w:r>
      <w:r/>
    </w:p>
    <w:p>
      <w:r>
        <w:rPr>
          <w:rFonts w:hint="eastAsia"/>
        </w:rPr>
        <w:t xml:space="preserve">5、铁架、槽道、机架、人字梯上不得放置工具和器材。不得脚踩铁架、机架、电缆走道、端子板等设备。</w:t>
      </w:r>
      <w:r/>
    </w:p>
    <w:p>
      <w:r>
        <w:rPr>
          <w:rFonts w:hint="eastAsia"/>
        </w:rPr>
        <w:t xml:space="preserve">6、在运行设备顶部操作时，应对运行设备采取防护措施，避免工具、螺丝等金属物品落入机柜内。</w:t>
      </w:r>
      <w:r/>
    </w:p>
    <w:p>
      <w:r>
        <w:rPr>
          <w:rFonts w:hint="eastAsia"/>
        </w:rPr>
        <w:t xml:space="preserve">7、机架安装时，应用膨胀螺栓对地加固。在需要抗震加固的地区，应按设计要求，对机架采取抗震加固措施，机架防雷接地需严格按照机房及设计要求。在已运行的设备旁安装机架时应防止碰撞原有设备。</w:t>
      </w:r>
      <w:r/>
    </w:p>
    <w:p>
      <w:r>
        <w:rPr>
          <w:rFonts w:hint="eastAsia"/>
        </w:rPr>
        <w:t xml:space="preserve">8、交直流供电设备安装</w:t>
      </w:r>
      <w:r/>
    </w:p>
    <w:p>
      <w:r>
        <w:rPr>
          <w:rFonts w:hint="eastAsia"/>
        </w:rPr>
        <w:t xml:space="preserve">（1）设备的防雷和保护接地线应安装牢固，接地电阻值应符合要求。</w:t>
      </w:r>
      <w:r/>
    </w:p>
    <w:p>
      <w:r>
        <w:rPr>
          <w:rFonts w:hint="eastAsia"/>
        </w:rPr>
        <w:t xml:space="preserve">（2）设备安装完毕后，应进行清洁，彻底清除在安装时落入机内的杂物。</w:t>
      </w:r>
      <w:r/>
    </w:p>
    <w:p>
      <w:r>
        <w:rPr>
          <w:rFonts w:hint="eastAsia"/>
        </w:rPr>
        <w:t xml:space="preserve">（3）交流配电屏的中性线应与机架绝缘。不得采用中性线做交流保护地线。</w:t>
      </w:r>
      <w:r/>
    </w:p>
    <w:p>
      <w:r>
        <w:rPr>
          <w:rFonts w:hint="eastAsia"/>
        </w:rPr>
        <w:t xml:space="preserve">（4）供电前，需要检查设备内线缆、元器件等连接是否正确、牢固，确认正确后方可供电；交、直流配电屏和其他供电设备前后的地面应铺放绝缘橡胶垫。</w:t>
      </w:r>
      <w:r/>
    </w:p>
    <w:p>
      <w:r>
        <w:rPr>
          <w:rFonts w:hint="eastAsia"/>
        </w:rPr>
        <w:t xml:space="preserve">（5）电源熔断器及空气开关容量应符合设计要求，插拔电源熔断器应使用专用工具，不得用其他工具代替。</w:t>
      </w:r>
      <w:r/>
    </w:p>
    <w:p>
      <w:r>
        <w:rPr>
          <w:rFonts w:hint="eastAsia"/>
        </w:rPr>
        <w:t xml:space="preserve">（6）设备供电时，操作人员应穿绝缘鞋，带绝缘手套，并应有两人互相配合，采取逐级加电的方法进行。如发现异常，应立即切断电源开关，检查原因。</w:t>
      </w:r>
      <w:r/>
    </w:p>
    <w:p>
      <w:pPr>
        <w:pStyle w:val="1072"/>
      </w:pPr>
      <w:r>
        <w:t xml:space="preserve">6.3.4.8 </w:t>
      </w:r>
      <w:r>
        <w:rPr>
          <w:rFonts w:hint="eastAsia"/>
        </w:rPr>
        <w:t xml:space="preserve">电缆布放安全要求</w:t>
      </w:r>
      <w:r/>
    </w:p>
    <w:p>
      <w:r>
        <w:rPr>
          <w:rFonts w:hint="eastAsia"/>
        </w:rPr>
        <w:t xml:space="preserve">1、布放线缆时应做好标识，其中电源线端头应作绝缘处理。</w:t>
      </w:r>
      <w:r/>
    </w:p>
    <w:p>
      <w:r>
        <w:rPr>
          <w:rFonts w:hint="eastAsia"/>
        </w:rPr>
        <w:t xml:space="preserve">2、电源线的布放：</w:t>
      </w:r>
      <w:r/>
    </w:p>
    <w:p>
      <w:r>
        <w:rPr>
          <w:rFonts w:hint="eastAsia"/>
        </w:rPr>
        <w:t xml:space="preserve">（1）在地槽内布放电源线时，必须注意防潮。</w:t>
      </w:r>
      <w:r/>
    </w:p>
    <w:p>
      <w:r>
        <w:rPr>
          <w:rFonts w:hint="eastAsia"/>
        </w:rPr>
        <w:t xml:space="preserve">（2）布放电源线时，无论是明敷或暗敷，必须是整条线料，中间严禁有接头。</w:t>
      </w:r>
      <w:r/>
    </w:p>
    <w:p>
      <w:r>
        <w:rPr>
          <w:rFonts w:hint="eastAsia"/>
        </w:rPr>
        <w:t xml:space="preserve">（3）截面在10mm</w:t>
      </w:r>
      <w:r>
        <w:rPr>
          <w:rFonts w:hint="eastAsia"/>
          <w:sz w:val="24"/>
          <w:vertAlign w:val="superscript"/>
        </w:rPr>
        <w:t xml:space="preserve">2</w:t>
      </w:r>
      <w:r>
        <w:rPr>
          <w:rFonts w:hint="eastAsia"/>
        </w:rPr>
        <w:t xml:space="preserve">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r/>
    </w:p>
    <w:p>
      <w:r>
        <w:rPr>
          <w:rFonts w:hint="eastAsia"/>
        </w:rPr>
        <w:t xml:space="preserve">（4）电源线穿越墙洞或楼层时，应预留“S”弯。洞口两端应按要求用阻燃材料的盖板堵封洞口。施工尚未结束时，应用临时阻燃材料堵封洞口。</w:t>
      </w:r>
      <w:r/>
    </w:p>
    <w:p>
      <w:r>
        <w:rPr>
          <w:rFonts w:hint="eastAsia"/>
        </w:rPr>
        <w:t xml:space="preserve">（5）交流线、直流线、信号线应分开布放，不得绑扎在一起，如走在同一路由时，间距必须符合工程验收规范要求。非同一级电力电缆不得穿放在同一管孔内。</w:t>
      </w:r>
      <w:r/>
    </w:p>
    <w:p>
      <w:r>
        <w:rPr>
          <w:rFonts w:hint="eastAsia"/>
        </w:rPr>
        <w:t xml:space="preserve">（6）设备电源的正负极性严禁接反。</w:t>
      </w:r>
      <w:r/>
    </w:p>
    <w:p>
      <w:r>
        <w:rPr>
          <w:rFonts w:hint="eastAsia"/>
        </w:rPr>
        <w:t xml:space="preserve">（7）电源线、信号线必须是整条线料，外皮完整，中间严禁有接头和急弯处。</w:t>
      </w:r>
      <w:r/>
    </w:p>
    <w:p>
      <w:r>
        <w:rPr>
          <w:rFonts w:hint="eastAsia"/>
        </w:rPr>
        <w:t xml:space="preserve">（8）直流电源线、交流电源线、信号线必须分开布放，应避免在同一线束内。其中直流电源线正极外皮颜色应为红色，负极外皮颜色应为兰色。</w:t>
      </w:r>
      <w:r/>
    </w:p>
    <w:p>
      <w:pPr>
        <w:pStyle w:val="1072"/>
      </w:pPr>
      <w:r>
        <w:t xml:space="preserve">6.3.4.9 铁件加工和安装</w:t>
      </w:r>
      <w:r/>
    </w:p>
    <w:p>
      <w:r>
        <w:rPr>
          <w:rFonts w:hint="eastAsia"/>
        </w:rPr>
        <w:t xml:space="preserve">1、</w:t>
      </w:r>
      <w:r>
        <w:t xml:space="preserve">加工铁件应在指定的区域操作。不得在已安装设备的机房内切割铁件。</w:t>
      </w:r>
      <w:r/>
    </w:p>
    <w:p>
      <w:r>
        <w:rPr>
          <w:rFonts w:hint="eastAsia"/>
        </w:rPr>
        <w:t xml:space="preserve">2、</w:t>
      </w:r>
      <w:r>
        <w:t xml:space="preserve">锯、锉铁件时，加工的铁件应在台虎钳或电锯平台上夹紧。在台虎钳上夹持固定槽钢、角钢、钢管时，应用木块在钳口处垫实、夹牢，不得松动，锯、锉点距钳口的距离不应过远，防止铁件振动损害机具。</w:t>
      </w:r>
      <w:r/>
    </w:p>
    <w:p>
      <w:r>
        <w:rPr>
          <w:rFonts w:hint="eastAsia"/>
        </w:rPr>
        <w:t xml:space="preserve">3、</w:t>
      </w:r>
      <w:r>
        <w:t xml:space="preserve">锯铁件时，锯条或砂轮与铁件的夹角要小，不宜超过10°，锯条松紧适度。锯槽钢、角钢时，不宜从顶角开始，宜从边角开始。当铁件快要锯断时，要降低手锯或电锯的速度，并有人扶住铁件的另一端，防止卡锯或铁件余料飞出。</w:t>
      </w:r>
      <w:r/>
    </w:p>
    <w:p>
      <w:r>
        <w:rPr>
          <w:rFonts w:hint="eastAsia"/>
        </w:rPr>
        <w:t xml:space="preserve">4、</w:t>
      </w:r>
      <w:r>
        <w:t xml:space="preserve">对铁件钻孔时，应用力均匀，铁件应夹紧，固定牢靠，不得左右摆动；如发生卡住钻头现象，应立即停机处理。</w:t>
      </w:r>
      <w:r/>
    </w:p>
    <w:p>
      <w:r>
        <w:rPr>
          <w:rFonts w:hint="eastAsia"/>
        </w:rPr>
        <w:t xml:space="preserve">5、</w:t>
      </w:r>
      <w:r>
        <w:t xml:space="preserve">管件攻丝、套丝时，管件在台虎钳上应固定牢固。如两人操作时，动作应协调。攻、套丝时，应注意加注机油，及时清理铁屑，防止飞溅。</w:t>
      </w:r>
      <w:r/>
    </w:p>
    <w:p>
      <w:r>
        <w:rPr>
          <w:rFonts w:hint="eastAsia"/>
        </w:rPr>
        <w:t xml:space="preserve">6、</w:t>
      </w:r>
      <w:r>
        <w:t xml:space="preserve">铁件作弯时，应在台虎钳或作弯工具上夹紧。用锤敲击时，应防止振伤手臂。管件需加热作弯时，喷灯烘烤管件间距适当，操作人员不得面对管口。</w:t>
      </w:r>
      <w:r/>
    </w:p>
    <w:p>
      <w:r>
        <w:rPr>
          <w:rFonts w:hint="eastAsia"/>
        </w:rPr>
        <w:t xml:space="preserve">7、</w:t>
      </w:r>
      <w:r>
        <w:t xml:space="preserve">铁件去锈和喷刷漆时，作业人员应戴口罩、手套。喷刷后的余漆、废液应集中回收，统一处理，不得随意丢放。</w:t>
      </w:r>
      <w:r/>
    </w:p>
    <w:p>
      <w:r>
        <w:rPr>
          <w:rFonts w:hint="eastAsia"/>
        </w:rPr>
        <w:t xml:space="preserve">8、</w:t>
      </w:r>
      <w:r>
        <w:t xml:space="preserve">铁件安装工作中，不得抛掷铁件及工具。传递较长的铁件时，应注意周围人员、设备的安全。手扶铁件固定时，应固定牢靠后才能松手。</w:t>
      </w:r>
      <w:r/>
    </w:p>
    <w:p>
      <w:r>
        <w:rPr>
          <w:rFonts w:hint="eastAsia"/>
        </w:rPr>
        <w:t xml:space="preserve">9、</w:t>
      </w:r>
      <w:r>
        <w:t xml:space="preserve">走线架、吊挂、通风管道等应安装接地线，与机房接地排连接可靠。</w:t>
      </w:r>
      <w:r/>
    </w:p>
    <w:p>
      <w:pPr>
        <w:pStyle w:val="1072"/>
      </w:pPr>
      <w:r>
        <w:t xml:space="preserve">6.3.4.10 </w:t>
      </w:r>
      <w:r>
        <w:rPr>
          <w:rFonts w:hint="eastAsia"/>
        </w:rPr>
        <w:t xml:space="preserve">高处作业时安全施工要求</w:t>
      </w:r>
      <w:r/>
    </w:p>
    <w:p>
      <w:r>
        <w:rPr>
          <w:rFonts w:hint="eastAsia"/>
        </w:rPr>
        <w:t xml:space="preserve">高处作业是一项危险性较大的作业项目，容易发生人员、物体坠落等事故。高处作业的安全防护要求如下:</w:t>
      </w:r>
      <w:r/>
    </w:p>
    <w:p>
      <w:r>
        <w:rPr>
          <w:rFonts w:hint="eastAsia"/>
        </w:rPr>
        <w:t xml:space="preserve">高处作业人员应当持证上岗。安全员必须严格按照安全控制措施和操作规程进行现场监督、检查。</w:t>
      </w:r>
      <w:r/>
    </w:p>
    <w:p>
      <w:r>
        <w:rPr>
          <w:rFonts w:hint="eastAsia"/>
        </w:rPr>
        <w:t xml:space="preserve">作业人员应佩戴安全帽、安全带，穿工作服、工作鞋，并认真检查各种劳保用具是否安全可靠。高处作业人员情绪不稳定、不能保证精神集中地进行高处作业时不得上岗。高空作业前不准饮酒，前一天不准过量饮酒。</w:t>
      </w:r>
      <w:r/>
    </w:p>
    <w:p>
      <w:r>
        <w:rPr>
          <w:rFonts w:hint="eastAsia"/>
        </w:rPr>
        <w:t xml:space="preserve">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r/>
    </w:p>
    <w:p>
      <w:r>
        <w:rPr>
          <w:rFonts w:hint="eastAsia"/>
        </w:rPr>
        <w:t xml:space="preserve">高处作业须确保踩踏物牢靠。作业人员应身体健康，并做好自我安全防护工作。操作过程中应防止坠落物伤害他人。</w:t>
      </w:r>
      <w:r/>
    </w:p>
    <w:p>
      <w:pPr>
        <w:pStyle w:val="1072"/>
      </w:pPr>
      <w:r>
        <w:t xml:space="preserve">6.3.4.11 </w:t>
      </w:r>
      <w:r>
        <w:rPr>
          <w:rFonts w:hint="eastAsia"/>
        </w:rPr>
        <w:t xml:space="preserve">梯子、高登使用要求</w:t>
      </w:r>
      <w:r/>
    </w:p>
    <w:p>
      <w:r>
        <w:rPr>
          <w:rFonts w:hint="eastAsia"/>
        </w:rPr>
        <w:t xml:space="preserve">选用的梯子应能满足承重要求，长度应适当，方便操作。</w:t>
      </w:r>
      <w:r/>
    </w:p>
    <w:p>
      <w:r>
        <w:rPr>
          <w:rFonts w:hint="eastAsia"/>
        </w:rPr>
        <w:t xml:space="preserve">带电作业或在运行的设备附近作业时，应选择绝缘梯子。</w:t>
      </w:r>
      <w:r/>
    </w:p>
    <w:p>
      <w:r>
        <w:rPr>
          <w:rFonts w:hint="eastAsia"/>
        </w:rPr>
        <w:t xml:space="preserve">使用梯子前应检查梯子是否完好。梯子配件应齐全，各部位连接应牢固，梯梁与踏板无歪斜、折断、松驰、破裂、腐朽、扭曲、变形等缺陷；</w:t>
      </w:r>
      <w:r/>
    </w:p>
    <w:p>
      <w:r>
        <w:rPr>
          <w:rFonts w:hint="eastAsia"/>
        </w:rPr>
        <w:t xml:space="preserve">折叠梯、伸缩梯应活动自如；伸缩梯的绳索应无破损和断股现象；金属梯踏板应做防滑处理，梯脚应装防滑绝缘橡胶垫。</w:t>
      </w:r>
      <w:r/>
    </w:p>
    <w:p>
      <w:r>
        <w:rPr>
          <w:rFonts w:hint="eastAsia"/>
        </w:rPr>
        <w:t xml:space="preserve">移动超过5米长的梯子，应用2个人抬，且不要在移动的梯子上摆放任何工具或东西。</w:t>
      </w:r>
      <w:r/>
    </w:p>
    <w:p>
      <w:r>
        <w:rPr>
          <w:rFonts w:hint="eastAsia"/>
        </w:rPr>
        <w:t xml:space="preserve">有架空线缆或其它障碍物的地方，不得举梯移动。</w:t>
      </w:r>
      <w:r/>
    </w:p>
    <w:p>
      <w:r>
        <w:rPr>
          <w:rFonts w:hint="eastAsia"/>
        </w:rPr>
        <w:t xml:space="preserve">梯子应安置平稳可靠。放置基础及所搭靠的支撑物要稳固，并能承受梯上最大负荷；地面应平整、无杂物、不湿滑。</w:t>
      </w:r>
      <w:r/>
    </w:p>
    <w:p>
      <w:r>
        <w:rPr>
          <w:rFonts w:hint="eastAsia"/>
        </w:rPr>
        <w:t xml:space="preserve">梯子放置的斜度要适当，梯子上端的接触点与下端支撑点间水平距离宜等于接触点和支撑点间距离的1/4至1/3。</w:t>
      </w:r>
      <w:r/>
    </w:p>
    <w:p>
      <w:r>
        <w:rPr>
          <w:rFonts w:hint="eastAsia"/>
        </w:rPr>
        <w:t xml:space="preserve">上下梯子时，应面向梯子，保持三点接触原则，且不得手持器物，不得携带笨重工具和材料。</w:t>
      </w:r>
      <w:r/>
    </w:p>
    <w:p>
      <w:r>
        <w:rPr>
          <w:rFonts w:hint="eastAsia"/>
        </w:rPr>
        <w:t xml:space="preserve">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r/>
    </w:p>
    <w:p>
      <w:r>
        <w:rPr>
          <w:rFonts w:hint="eastAsia"/>
        </w:rPr>
        <w:t xml:space="preserve">使用高凳前应检查高凳是否牢固平稳，凳脚、踏板材质应结实。上、下高凳时不得携带笨重材料和工具，一个人不得脚踩两只高凳作业。</w:t>
      </w:r>
      <w:r/>
    </w:p>
    <w:p>
      <w:r>
        <w:rPr>
          <w:rFonts w:hint="eastAsia"/>
        </w:rPr>
        <w:t xml:space="preserve">高凳上放置工具和器材时，人离开时应随手取下。搬移高凳时，应先检查、清理高凳上的工具和器材</w:t>
      </w:r>
      <w:r/>
    </w:p>
    <w:p>
      <w:pPr>
        <w:pStyle w:val="1072"/>
      </w:pPr>
      <w:r>
        <w:t xml:space="preserve">6.3.4.12 </w:t>
      </w:r>
      <w:r>
        <w:rPr>
          <w:rFonts w:hint="eastAsia"/>
        </w:rPr>
        <w:t xml:space="preserve">人员密集场所施工要求</w:t>
      </w:r>
      <w:r/>
    </w:p>
    <w:p>
      <w:r>
        <w:rPr>
          <w:rFonts w:hint="eastAsia"/>
        </w:rPr>
        <w:t xml:space="preserve">在人员密集场所施工时，需在施工地点设置围挡，并设置专门人员在现场维持秩序，疏导人流。群众围观时应及时劝其离去。不得与群众发生冲突。</w:t>
      </w:r>
      <w:r/>
    </w:p>
    <w:p>
      <w:r>
        <w:rPr>
          <w:rFonts w:hint="eastAsia"/>
        </w:rPr>
        <w:t xml:space="preserve">施工现场噪声白天应控制在60dB以下，夜间应控制在45dB以下。</w:t>
      </w:r>
      <w:r/>
    </w:p>
    <w:p>
      <w:r>
        <w:rPr>
          <w:rFonts w:hint="eastAsia"/>
        </w:rPr>
        <w:t xml:space="preserve">施工结束后，应车去围挡，并清扫现场，不得遗留施工垃圾、废料。</w:t>
      </w:r>
      <w:r/>
    </w:p>
    <w:p>
      <w:pPr>
        <w:pStyle w:val="1072"/>
      </w:pPr>
      <w:r>
        <w:t xml:space="preserve">6.3.4.13 </w:t>
      </w:r>
      <w:r>
        <w:rPr>
          <w:rFonts w:hint="eastAsia"/>
        </w:rPr>
        <w:t xml:space="preserve">电动工具使用安全</w:t>
      </w:r>
      <w:r/>
    </w:p>
    <w:p>
      <w:r>
        <w:rPr>
          <w:rFonts w:hint="eastAsia"/>
        </w:rPr>
        <w:t xml:space="preserve">作业前需检查</w:t>
      </w:r>
      <w:r/>
    </w:p>
    <w:p>
      <w:r>
        <w:rPr>
          <w:rFonts w:hint="eastAsia"/>
        </w:rPr>
        <w:t xml:space="preserve">外壳、手柄不出现裂缝、破损；</w:t>
      </w:r>
      <w:r/>
    </w:p>
    <w:p>
      <w:r>
        <w:rPr>
          <w:rFonts w:hint="eastAsia"/>
        </w:rPr>
        <w:t xml:space="preserve">电缆软线及插头等完好无损，开关动作正常，保护接零连接正确、牢固可靠；</w:t>
      </w:r>
      <w:r/>
    </w:p>
    <w:p>
      <w:r>
        <w:rPr>
          <w:rFonts w:hint="eastAsia"/>
        </w:rPr>
        <w:t xml:space="preserve">各部防护罩齐全牢固，电气保护装置可靠。</w:t>
      </w:r>
      <w:r>
        <w:t xml:space="preserve"> </w:t>
      </w:r>
      <w:r/>
    </w:p>
    <w:p>
      <w:r>
        <w:rPr>
          <w:rFonts w:hint="eastAsia"/>
        </w:rPr>
        <w:t xml:space="preserve">机具启动后</w:t>
      </w:r>
      <w:r/>
    </w:p>
    <w:p>
      <w:r>
        <w:rPr>
          <w:rFonts w:hint="eastAsia"/>
        </w:rPr>
        <w:t xml:space="preserve">应空载运转，应检查并确认机具联动灵活无阻。作业时，加力应平稳，不得用力过猛。</w:t>
      </w:r>
      <w:r>
        <w:t xml:space="preserve"> </w:t>
      </w:r>
      <w:r/>
    </w:p>
    <w:p>
      <w:r>
        <w:rPr>
          <w:rFonts w:hint="eastAsia"/>
        </w:rPr>
        <w:t xml:space="preserve">作业时应掌握电钻或电锤手柄，打孔时先将钻头抵在工作表面，然后开动，用力适度，避免晃动；转速若急剧下降，应减少用力，防止电机过载，严禁用木杠加压。</w:t>
      </w:r>
      <w:r/>
    </w:p>
    <w:p>
      <w:r>
        <w:rPr>
          <w:rFonts w:hint="eastAsia"/>
        </w:rPr>
        <w:t xml:space="preserve">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r/>
    </w:p>
    <w:p>
      <w:pPr>
        <w:pStyle w:val="1070"/>
        <w:ind w:firstLine="640"/>
        <w:rPr>
          <w:sz w:val="32"/>
          <w:szCs w:val="32"/>
        </w:rPr>
      </w:pPr>
      <w:r/>
      <w:bookmarkStart w:id="406" w:name="_Toc103952710"/>
      <w:r/>
      <w:bookmarkStart w:id="407" w:name="_Toc105623181"/>
      <w:r/>
      <w:bookmarkStart w:id="408" w:name="_Toc103953591"/>
      <w:r/>
      <w:bookmarkStart w:id="409" w:name="_Toc175326597"/>
      <w:r>
        <w:rPr>
          <w:rFonts w:hint="eastAsia"/>
          <w:sz w:val="32"/>
          <w:szCs w:val="32"/>
        </w:rPr>
        <w:t xml:space="preserve">6.4 消防</w:t>
      </w:r>
      <w:bookmarkEnd w:id="406"/>
      <w:r/>
      <w:bookmarkEnd w:id="407"/>
      <w:r/>
      <w:bookmarkEnd w:id="408"/>
      <w:r/>
      <w:bookmarkEnd w:id="409"/>
      <w:r/>
      <w:r/>
    </w:p>
    <w:p>
      <w:pPr>
        <w:pStyle w:val="1071"/>
      </w:pPr>
      <w:r/>
      <w:bookmarkStart w:id="410" w:name="_Toc175326598"/>
      <w:r/>
      <w:bookmarkStart w:id="411" w:name="_Toc105623182"/>
      <w:r/>
      <w:bookmarkStart w:id="412" w:name="_Toc103953592"/>
      <w:r>
        <w:rPr>
          <w:rFonts w:hint="eastAsia"/>
        </w:rPr>
        <w:t xml:space="preserve">6.4.1 一般要求</w:t>
      </w:r>
      <w:bookmarkEnd w:id="410"/>
      <w:r/>
      <w:bookmarkEnd w:id="411"/>
      <w:r/>
      <w:bookmarkEnd w:id="412"/>
      <w:r/>
      <w:r/>
    </w:p>
    <w:p>
      <w:r>
        <w:rPr>
          <w:rFonts w:hint="eastAsia"/>
        </w:rPr>
        <w:t xml:space="preserve">在项目建设中，将遵循“预防为主，消防结合”的方针，严格贯彻执行国家《建筑设计防火规划》。本期消防采取以下措施：</w:t>
      </w:r>
      <w:r/>
    </w:p>
    <w:p>
      <w:r>
        <w:rPr>
          <w:rFonts w:hint="eastAsia"/>
        </w:rPr>
        <w:t xml:space="preserve">1、严格按照国家规定，选购符合国家规定标准或使用许可的设备（如空调、不间断供电电源等）。</w:t>
      </w:r>
      <w:r/>
    </w:p>
    <w:p>
      <w:r>
        <w:rPr>
          <w:rFonts w:hint="eastAsia"/>
        </w:rPr>
        <w:t xml:space="preserve">2、建筑物按防火规定，设置防火门、疏散通道、消防电梯、安全出入口、火灾自动报警系统等，建筑物内部装修选用不燃性和难燃性材料。</w:t>
      </w:r>
      <w:r/>
    </w:p>
    <w:p>
      <w:r>
        <w:rPr>
          <w:rFonts w:hint="eastAsia"/>
        </w:rPr>
        <w:t xml:space="preserve">3、机房内宜设置火灾自动报警系统和气体灭火系统。</w:t>
      </w:r>
      <w:r/>
    </w:p>
    <w:p>
      <w:r>
        <w:rPr>
          <w:rFonts w:hint="eastAsia"/>
        </w:rPr>
        <w:t xml:space="preserve">4、建筑的机房内均应配置手提式灭火器或移动式灭火器。</w:t>
      </w:r>
      <w:r/>
    </w:p>
    <w:p>
      <w:r>
        <w:rPr>
          <w:rFonts w:hint="eastAsia"/>
        </w:rPr>
        <w:t xml:space="preserve">5、机房及楼道应配置手提式或移动式灭火器、防毒面具。消防通道有疏散指示，通道内不得堆放杂物和易燃物品，不得封堵消防疏散通道，以利发生火灾时安全疏散人员。</w:t>
      </w:r>
      <w:r/>
    </w:p>
    <w:p>
      <w:r>
        <w:rPr>
          <w:rFonts w:hint="eastAsia"/>
        </w:rPr>
        <w:t xml:space="preserve">6、建筑物内外，严格按照国家消防规定设置消防设施、通道和各种指示标志。</w:t>
      </w:r>
      <w:r/>
    </w:p>
    <w:p>
      <w:pPr>
        <w:pStyle w:val="1071"/>
      </w:pPr>
      <w:r/>
      <w:bookmarkStart w:id="413" w:name="_Toc103953593"/>
      <w:r/>
      <w:bookmarkStart w:id="414" w:name="_Toc175326599"/>
      <w:r/>
      <w:bookmarkStart w:id="415" w:name="_Toc105623183"/>
      <w:r>
        <w:rPr>
          <w:rFonts w:hint="eastAsia"/>
        </w:rPr>
        <w:t xml:space="preserve">6.4.2 防火封堵要求</w:t>
      </w:r>
      <w:bookmarkEnd w:id="413"/>
      <w:r/>
      <w:bookmarkEnd w:id="414"/>
      <w:r/>
      <w:bookmarkEnd w:id="415"/>
      <w:r/>
      <w:r/>
    </w:p>
    <w:p>
      <w:r>
        <w:rPr>
          <w:rFonts w:hint="eastAsia"/>
        </w:rPr>
        <w:t xml:space="preserve">1、光缆穿越楼板、墙体的孔洞敷设后，必须采用防火封堵材料将孔洞封堵严密。</w:t>
      </w:r>
      <w:r/>
    </w:p>
    <w:p>
      <w:r>
        <w:rPr>
          <w:rFonts w:hint="eastAsia"/>
        </w:rPr>
        <w:t xml:space="preserve">2、</w:t>
      </w:r>
      <w:r>
        <w:t xml:space="preserve">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r/>
    </w:p>
    <w:p>
      <w:r>
        <w:rPr>
          <w:rFonts w:hint="eastAsia"/>
        </w:rPr>
        <w:t xml:space="preserve">3、</w:t>
      </w:r>
      <w:r>
        <w:t xml:space="preserve">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r/>
    </w:p>
    <w:p>
      <w:pPr>
        <w:pStyle w:val="1071"/>
      </w:pPr>
      <w:r/>
      <w:bookmarkStart w:id="416" w:name="_Toc175326600"/>
      <w:r/>
      <w:bookmarkStart w:id="417" w:name="_Toc105623184"/>
      <w:r/>
      <w:bookmarkStart w:id="418" w:name="_Toc103953594"/>
      <w:r>
        <w:rPr>
          <w:rFonts w:hint="eastAsia"/>
        </w:rPr>
        <w:t xml:space="preserve">6.4.3 施工现场防火要求</w:t>
      </w:r>
      <w:bookmarkEnd w:id="416"/>
      <w:r/>
      <w:bookmarkEnd w:id="417"/>
      <w:r/>
      <w:bookmarkEnd w:id="418"/>
      <w:r/>
      <w:r/>
    </w:p>
    <w:p>
      <w:r>
        <w:rPr>
          <w:rFonts w:hint="eastAsia"/>
        </w:rPr>
        <w:t xml:space="preserve">1、施工单位应当在施工现场建立消防安全责任制度，并确定消防安全责任人，制定用火、用电、使用易燃易爆材料等各项消防安全管理制度和操作规程。</w:t>
      </w:r>
      <w:r/>
    </w:p>
    <w:p>
      <w:r>
        <w:rPr>
          <w:rFonts w:hint="eastAsia"/>
        </w:rPr>
        <w:t xml:space="preserve">2、施工现场应配备必要的消防器材。消防器材设置地点应合理，便于取用，使用方法应明示。</w:t>
      </w:r>
      <w:r/>
    </w:p>
    <w:p>
      <w:r>
        <w:rPr>
          <w:rFonts w:hint="eastAsia"/>
        </w:rPr>
        <w:t xml:space="preserve">3、施工现场配备的消防器材应完好无损且在有效期内。</w:t>
      </w:r>
      <w:r/>
    </w:p>
    <w:p>
      <w:r>
        <w:rPr>
          <w:rFonts w:hint="eastAsia"/>
        </w:rPr>
        <w:t xml:space="preserve">4、人员首次进人施工现场，应首先了解消防设施、器材的设置点，不得随意挪动。作业人员进入新的岗位或者新的施工现场前或在采用新技术、新工艺、新设备、新材料时，应当对作业人员进行相应安全生产教育培训。</w:t>
      </w:r>
      <w:r/>
    </w:p>
    <w:p>
      <w:r>
        <w:rPr>
          <w:rFonts w:hint="eastAsia"/>
        </w:rPr>
        <w:t xml:space="preserve">5、不得堵塞消防通道、遮挡消防设施。机房施工、扩容、维修等设备包装材料以及电报纸、打印纸等易燃物品，要随用随清随运，不得堆放在机房内和走廊通道上。</w:t>
      </w:r>
      <w:r/>
    </w:p>
    <w:p>
      <w:r>
        <w:rPr>
          <w:rFonts w:hint="eastAsia"/>
        </w:rPr>
        <w:t xml:space="preserve">6、</w:t>
      </w:r>
      <w:r>
        <w:t xml:space="preserve">电气设备着火时，应首先切断电源，必须使用干粉灭火器，严禁使用水和泡沫灭火器。</w:t>
      </w:r>
      <w:r/>
    </w:p>
    <w:p>
      <w:r>
        <w:rPr>
          <w:rFonts w:hint="eastAsia"/>
        </w:rPr>
        <w:t xml:space="preserve">7、在封闭和特殊要求的施工场所严禁吸烟。</w:t>
      </w:r>
      <w:r/>
    </w:p>
    <w:p>
      <w:r>
        <w:rPr>
          <w:rFonts w:hint="eastAsia"/>
        </w:rPr>
        <w:t xml:space="preserve">8、机房内施工不得使用明火。需要使用明火时应经相关单位部门批准，落实安全防火措施，并在指定的地点、时间内作业。每天施工结束后必须认真清理现场，消除火种。</w:t>
      </w:r>
      <w:r/>
    </w:p>
    <w:p>
      <w:r/>
      <w:bookmarkStart w:id="419" w:name="_Toc20127"/>
      <w:r/>
      <w:bookmarkStart w:id="420" w:name="_Toc27904"/>
      <w:r/>
      <w:bookmarkStart w:id="421" w:name="_Toc25239"/>
      <w:r/>
      <w:bookmarkStart w:id="422" w:name="_Toc175326601"/>
      <w:r/>
      <w:r/>
    </w:p>
    <w:p>
      <w:pPr>
        <w:rPr>
          <w:b/>
          <w:bCs/>
          <w:sz w:val="36"/>
          <w:szCs w:val="36"/>
        </w:rPr>
      </w:pPr>
      <w:r>
        <w:rPr>
          <w:rFonts w:hint="eastAsia"/>
          <w:b/>
          <w:bCs/>
          <w:sz w:val="36"/>
          <w:szCs w:val="36"/>
        </w:rPr>
        <w:t xml:space="preserve">七、风险及效益分析</w:t>
      </w:r>
      <w:bookmarkEnd w:id="419"/>
      <w:r/>
      <w:bookmarkEnd w:id="420"/>
      <w:r/>
      <w:bookmarkEnd w:id="421"/>
      <w:r/>
      <w:bookmarkEnd w:id="422"/>
      <w:r/>
      <w:r/>
    </w:p>
    <w:p>
      <w:pPr>
        <w:pStyle w:val="1070"/>
        <w:ind w:firstLine="640"/>
        <w:rPr>
          <w:sz w:val="32"/>
          <w:szCs w:val="32"/>
        </w:rPr>
      </w:pPr>
      <w:r/>
      <w:bookmarkStart w:id="423" w:name="_Toc25022"/>
      <w:r/>
      <w:bookmarkStart w:id="424" w:name="_Toc6603"/>
      <w:r/>
      <w:bookmarkStart w:id="425" w:name="_Toc16659"/>
      <w:r/>
      <w:bookmarkStart w:id="426" w:name="_Toc175326602"/>
      <w:r>
        <w:rPr>
          <w:rFonts w:hint="eastAsia"/>
          <w:sz w:val="32"/>
          <w:szCs w:val="32"/>
        </w:rPr>
        <w:t xml:space="preserve">7.1风险分析</w:t>
      </w:r>
      <w:bookmarkEnd w:id="423"/>
      <w:r/>
      <w:bookmarkEnd w:id="424"/>
      <w:r/>
      <w:bookmarkEnd w:id="425"/>
      <w:r/>
      <w:bookmarkEnd w:id="426"/>
      <w:r/>
      <w:r/>
    </w:p>
    <w:p>
      <w:r/>
      <w:bookmarkStart w:id="427" w:name="_Toc28950"/>
      <w:r/>
      <w:bookmarkStart w:id="428" w:name="_Toc8607"/>
      <w:r/>
      <w:bookmarkStart w:id="429" w:name="_Toc28518"/>
      <w:r>
        <w:t xml:space="preserve">项目主要风险因素识别</w:t>
      </w:r>
      <w:bookmarkEnd w:id="427"/>
      <w:r/>
      <w:bookmarkEnd w:id="428"/>
      <w:r/>
      <w:bookmarkEnd w:id="429"/>
      <w:r>
        <w:rPr>
          <w:rFonts w:hint="eastAsia"/>
        </w:rPr>
        <w:t xml:space="preserve">：</w:t>
      </w:r>
      <w:r>
        <w:t xml:space="preserve">项目风险分析贯穿于项目建设和生产运营的全过程，项目风险因素主要有市场风险、工程风险、资金风险、政策风险、外部协作条件和社会风险等。 </w:t>
      </w:r>
      <w:r/>
    </w:p>
    <w:p>
      <w:r>
        <w:t xml:space="preserve">市场风险</w:t>
      </w:r>
      <w:r>
        <w:rPr>
          <w:rFonts w:hint="eastAsia"/>
        </w:rPr>
        <w:t xml:space="preserve">：</w:t>
      </w:r>
      <w:r>
        <w:t xml:space="preserve">主要因素有市场需求量、竞争能力和价格等。本项目市场前景较好，企业具有很强的市场竞争力。 </w:t>
      </w:r>
      <w:r/>
    </w:p>
    <w:p>
      <w:r>
        <w:t xml:space="preserve">工程风险</w:t>
      </w:r>
      <w:r>
        <w:rPr>
          <w:rFonts w:hint="eastAsia"/>
        </w:rPr>
        <w:t xml:space="preserve">：</w:t>
      </w:r>
      <w:r>
        <w:t xml:space="preserve">本项目在筹备和立项阶段已对场区的工程地质条件、水文地质条件进行了详细地勘察，为初步设计、施工图设计和工程建设提供了可靠的依据，可保证工程的顺利实施，避免了工程风险。 </w:t>
      </w:r>
      <w:r/>
    </w:p>
    <w:p>
      <w:r>
        <w:t xml:space="preserve">资金风险</w:t>
      </w:r>
      <w:r>
        <w:rPr>
          <w:rFonts w:hint="eastAsia"/>
        </w:rPr>
        <w:t xml:space="preserve">：</w:t>
      </w:r>
      <w:r>
        <w:t xml:space="preserve">工程建设所需资金有可靠保证，不会因资金供应不足或中断而导致项目工期拖长或终止的现象发生。 </w:t>
      </w:r>
      <w:r/>
    </w:p>
    <w:p>
      <w:r>
        <w:t xml:space="preserve">政策风险</w:t>
      </w:r>
      <w:r>
        <w:rPr>
          <w:rFonts w:hint="eastAsia"/>
        </w:rPr>
        <w:t xml:space="preserve">：</w:t>
      </w:r>
      <w:r>
        <w:t xml:space="preserve">自改革开放以来，我国的政治经济形式一直在稳步发展，近年来又提出了国家支持资源性城市转型和重点产业振兴的重大决策。为本项目的尽快实施提供了便利和保障。</w:t>
      </w:r>
      <w:r/>
    </w:p>
    <w:p>
      <w:r>
        <w:t xml:space="preserve">外部协作条件风险</w:t>
      </w:r>
      <w:r>
        <w:rPr>
          <w:rFonts w:hint="eastAsia"/>
        </w:rPr>
        <w:t xml:space="preserve">：</w:t>
      </w:r>
      <w:r>
        <w:t xml:space="preserve">本项目所在地为</w:t>
      </w:r>
      <w:r>
        <w:rPr>
          <w:rFonts w:hint="eastAsia"/>
        </w:rPr>
        <w:t xml:space="preserve">盐城市大丰区</w:t>
      </w:r>
      <w:r>
        <w:t xml:space="preserve">，具有良好的交通运输、供水、供电等主要外部协作配套条件，可保证项目建设和运营的正常进行。 </w:t>
      </w:r>
      <w:r/>
    </w:p>
    <w:p>
      <w:r/>
      <w:bookmarkStart w:id="430" w:name="_Toc6788"/>
      <w:r/>
      <w:bookmarkStart w:id="431" w:name="_Toc8809"/>
      <w:r/>
      <w:bookmarkStart w:id="432" w:name="_Toc11808"/>
      <w:r>
        <w:t xml:space="preserve">防范和降低风险对策</w:t>
      </w:r>
      <w:bookmarkEnd w:id="430"/>
      <w:r/>
      <w:bookmarkEnd w:id="431"/>
      <w:r/>
      <w:bookmarkEnd w:id="432"/>
      <w:r>
        <w:rPr>
          <w:rFonts w:hint="eastAsia"/>
        </w:rPr>
        <w:t xml:space="preserve">：</w:t>
      </w:r>
      <w:r>
        <w:t xml:space="preserve">任何经济活动都有风险，由于预测的不确定性，项目经营的未来状况会与设想状况发生偏离，因而使投资项目面临潜在的风险，面对风险企业必须采取有效措施降低、规避、分散或防范风险。 </w:t>
      </w:r>
      <w:r/>
    </w:p>
    <w:p>
      <w:r>
        <w:t xml:space="preserve">降低、规避、分散或防范风险的有效措施</w:t>
      </w:r>
      <w:r>
        <w:rPr>
          <w:rFonts w:hint="eastAsia"/>
        </w:rPr>
        <w:t xml:space="preserve">：</w:t>
      </w:r>
      <w:r>
        <w:t xml:space="preserve">对于可能发生的重大自然灾害，本项目应采取投保的方式进行解决，尽量减少损失；对于可能发生的融资问题如扶助到位不及时问题， 应加大协调力度，尽力争取扶助资金及时足额到位，同确保本项目能按计划如期完成</w:t>
      </w:r>
      <w:r>
        <w:rPr>
          <w:rFonts w:hint="eastAsia"/>
        </w:rPr>
        <w:t xml:space="preserve">。</w:t>
      </w:r>
      <w:r>
        <w:t xml:space="preserve"> </w:t>
      </w:r>
      <w:r/>
    </w:p>
    <w:p>
      <w:r>
        <w:t xml:space="preserve">风险转移</w:t>
      </w:r>
      <w:r>
        <w:rPr>
          <w:rFonts w:hint="eastAsia"/>
        </w:rPr>
        <w:t xml:space="preserve">：</w:t>
      </w:r>
      <w:r>
        <w:t xml:space="preserve">在购买设备和工程施工中可能存在的风险，可以采取非保险转移的方式，即在签订合同时将部分风险损失转移给合同方承担。 </w:t>
      </w:r>
      <w:r/>
    </w:p>
    <w:p>
      <w:r>
        <w:t xml:space="preserve">从我国现阶段经济发展的形势看，上述风险发生的可能性不大，属一般风险，不影响项目的可行性。</w:t>
      </w:r>
      <w:r/>
    </w:p>
    <w:p>
      <w:pPr>
        <w:pStyle w:val="1070"/>
        <w:ind w:firstLine="640"/>
        <w:rPr>
          <w:sz w:val="32"/>
          <w:szCs w:val="32"/>
        </w:rPr>
      </w:pPr>
      <w:r/>
      <w:bookmarkStart w:id="433" w:name="_Toc175326603"/>
      <w:r>
        <w:rPr>
          <w:rFonts w:hint="eastAsia"/>
          <w:sz w:val="32"/>
          <w:szCs w:val="32"/>
        </w:rPr>
        <w:t xml:space="preserve">7.2效益分析</w:t>
      </w:r>
      <w:bookmarkEnd w:id="433"/>
      <w:r/>
      <w:r/>
    </w:p>
    <w:p>
      <w:pPr>
        <w:pStyle w:val="1071"/>
      </w:pPr>
      <w:r/>
      <w:bookmarkStart w:id="434" w:name="_Toc91064163"/>
      <w:r/>
      <w:bookmarkStart w:id="435" w:name="_Toc110456681"/>
      <w:r/>
      <w:bookmarkStart w:id="436" w:name="_Toc175326604"/>
      <w:r/>
      <w:bookmarkStart w:id="437" w:name="_Toc65184891"/>
      <w:r>
        <w:rPr>
          <w:rFonts w:hint="eastAsia"/>
        </w:rPr>
        <w:t xml:space="preserve">7.2.1经济效益分析</w:t>
      </w:r>
      <w:bookmarkEnd w:id="434"/>
      <w:r/>
      <w:bookmarkEnd w:id="435"/>
      <w:r/>
      <w:bookmarkEnd w:id="436"/>
      <w:r/>
      <w:bookmarkEnd w:id="437"/>
      <w:r/>
      <w:r/>
    </w:p>
    <w:p>
      <w:r>
        <w:t xml:space="preserve">本项目的建设，可以提高公安机关打击犯罪、维护社会治安稳定以及城市智能化管理的能力，减少各类案事件导致的经济损失而产生直接的经济效益。避免各类案事件的发生，为各种社会案事件的发现和解决提供先期预警、快速发现、快速解决的机制，缩短事件指挥响应时间，为案事件处置节省了大量人力成本、节省了城市维护运行成本。</w:t>
      </w:r>
      <w:r/>
    </w:p>
    <w:p>
      <w:r>
        <w:t xml:space="preserve">为盐城市</w:t>
      </w:r>
      <w:r>
        <w:rPr>
          <w:rFonts w:hint="eastAsia"/>
        </w:rPr>
        <w:t xml:space="preserve">大丰区</w:t>
      </w:r>
      <w:r>
        <w:t xml:space="preserve">城市管理提供及时、准确、科学的信息，并由此产生巨大的经济效益。包括：</w:t>
      </w:r>
      <w:r/>
    </w:p>
    <w:p>
      <w:r>
        <w:t xml:space="preserve">由于资源整合、信息整合而提高资源的利用率，减少重复建设投资；</w:t>
      </w:r>
      <w:r/>
    </w:p>
    <w:p>
      <w:r>
        <w:t xml:space="preserve">由于技术手段的使用、业务流程的优化而减少城市管理成本，缩短事件处置时间，提高人民群众满意，减少社会治安事件带来的损失；</w:t>
      </w:r>
      <w:r/>
    </w:p>
    <w:p>
      <w:r>
        <w:t xml:space="preserve">由于良好城市智能化管理能力的增强、城市生态环境的改善</w:t>
      </w:r>
      <w:r>
        <w:rPr>
          <w:rFonts w:hint="eastAsia"/>
        </w:rPr>
        <w:t xml:space="preserve">、提高</w:t>
      </w:r>
      <w:r>
        <w:t xml:space="preserve">群众出行便利而产生的外资吸引、旅游发展等方面的增值效应。</w:t>
      </w:r>
      <w:r/>
    </w:p>
    <w:p>
      <w:pPr>
        <w:pStyle w:val="1071"/>
      </w:pPr>
      <w:r/>
      <w:bookmarkStart w:id="438" w:name="_Toc175326605"/>
      <w:r/>
      <w:bookmarkStart w:id="439" w:name="_Toc91064164"/>
      <w:r/>
      <w:bookmarkStart w:id="440" w:name="_Toc65184892"/>
      <w:r/>
      <w:bookmarkStart w:id="441" w:name="_Toc110456682"/>
      <w:r>
        <w:rPr>
          <w:rFonts w:hint="eastAsia"/>
        </w:rPr>
        <w:t xml:space="preserve">7.2.2社会效益分析</w:t>
      </w:r>
      <w:bookmarkEnd w:id="438"/>
      <w:r/>
      <w:bookmarkEnd w:id="439"/>
      <w:r/>
      <w:bookmarkEnd w:id="440"/>
      <w:r/>
      <w:bookmarkEnd w:id="441"/>
      <w:r/>
      <w:r/>
    </w:p>
    <w:p>
      <w:pPr>
        <w:ind w:firstLine="420"/>
      </w:pPr>
      <w:r>
        <w:t xml:space="preserve">通过</w:t>
      </w:r>
      <w:r>
        <w:rPr>
          <w:rFonts w:hint="eastAsia"/>
        </w:rPr>
        <w:t xml:space="preserve">项目</w:t>
      </w:r>
      <w:r>
        <w:t xml:space="preserve">的建设可全面提升盐城市</w:t>
      </w:r>
      <w:r>
        <w:rPr>
          <w:rFonts w:hint="eastAsia"/>
        </w:rPr>
        <w:t xml:space="preserve">大</w:t>
      </w:r>
      <w:r>
        <w:t xml:space="preserve">丰区的公共安全管理和综合服务水平，提高针对社会安全事件反应能力，改善治安环境，创造稳定、和谐的社会秩序，巩固重点区域管控，具有重要的社会效益。</w:t>
      </w:r>
      <w:r/>
    </w:p>
    <w:p>
      <w:pPr>
        <w:ind w:firstLine="420"/>
        <w:rPr>
          <w:rFonts w:hint="eastAsia"/>
        </w:rPr>
      </w:pPr>
      <w:r>
        <w:t xml:space="preserve">通过</w:t>
      </w:r>
      <w:r>
        <w:rPr>
          <w:rFonts w:hint="eastAsia"/>
        </w:rPr>
        <w:t xml:space="preserve">项目的</w:t>
      </w:r>
      <w:r>
        <w:t xml:space="preserve">建设，增强了执法机关打击犯罪的能力，提升群众安全指数和管理水平，提高处置治安突发事件的能力。为开展视频信息资源在指挥决策、治安防控、侦查破案、打击犯罪方面的应用奠定了良好的基础</w:t>
      </w:r>
      <w:r>
        <w:rPr>
          <w:rFonts w:hint="eastAsia"/>
        </w:rPr>
        <w:t xml:space="preserve">。</w:t>
      </w:r>
      <w:r/>
    </w:p>
    <w:p>
      <w:pPr>
        <w:ind w:firstLine="420"/>
        <w:rPr>
          <w:rFonts w:hint="eastAsia"/>
        </w:rPr>
      </w:pPr>
      <w:r>
        <w:rPr>
          <w:rFonts w:hint="eastAsia"/>
        </w:rPr>
      </w:r>
      <w:r/>
    </w:p>
    <w:p>
      <w:r/>
      <w:r/>
    </w:p>
    <w:p>
      <w:pPr>
        <w:pStyle w:val="1086"/>
        <w:spacing w:line="400" w:lineRule="exact"/>
        <w:rPr>
          <w:rFonts w:hint="eastAsia" w:hAnsi="宋体" w:cs="宋体"/>
          <w:sz w:val="24"/>
          <w:szCs w:val="24"/>
        </w:rPr>
      </w:pPr>
      <w:r>
        <w:rPr>
          <w:rFonts w:hint="eastAsia" w:hAnsi="宋体" w:cs="宋体"/>
          <w:b/>
          <w:bCs/>
          <w:sz w:val="24"/>
          <w:szCs w:val="24"/>
        </w:rPr>
        <w:t xml:space="preserve">注：1、本项目所采购的</w:t>
      </w:r>
      <w:r>
        <w:rPr>
          <w:rFonts w:hint="eastAsia" w:hAnsi="宋体" w:cs="宋体"/>
          <w:b/>
          <w:bCs/>
          <w:sz w:val="24"/>
          <w:szCs w:val="24"/>
          <w:lang w:val="en-US" w:eastAsia="zh-CN"/>
        </w:rPr>
        <w:t xml:space="preserve">监控类</w:t>
      </w:r>
      <w:r>
        <w:rPr>
          <w:rFonts w:hint="eastAsia" w:hAnsi="宋体" w:cs="宋体"/>
          <w:b/>
          <w:bCs/>
          <w:sz w:val="24"/>
          <w:szCs w:val="24"/>
        </w:rPr>
        <w:t xml:space="preserve">设备采集的各类数据必须无缝</w:t>
      </w:r>
      <w:r>
        <w:rPr>
          <w:rFonts w:hint="eastAsia" w:hAnsi="宋体" w:cs="宋体"/>
          <w:b/>
          <w:bCs/>
          <w:sz w:val="24"/>
          <w:szCs w:val="24"/>
          <w:lang w:val="en-US" w:eastAsia="zh-CN"/>
        </w:rPr>
        <w:t xml:space="preserve">接入盐城</w:t>
      </w:r>
      <w:r>
        <w:rPr>
          <w:rFonts w:hint="eastAsia" w:hAnsi="宋体" w:cs="宋体"/>
          <w:b/>
          <w:bCs/>
          <w:sz w:val="24"/>
          <w:szCs w:val="24"/>
        </w:rPr>
        <w:t xml:space="preserve">大丰公安视频图象信息应用平台（抓拍数据</w:t>
      </w:r>
      <w:r>
        <w:rPr>
          <w:rFonts w:hint="eastAsia" w:hAnsi="宋体" w:cs="宋体"/>
          <w:b/>
          <w:bCs/>
          <w:sz w:val="24"/>
          <w:szCs w:val="24"/>
          <w:lang w:val="en-US" w:eastAsia="zh-CN"/>
        </w:rPr>
        <w:t xml:space="preserve">全量</w:t>
      </w:r>
      <w:r>
        <w:rPr>
          <w:rFonts w:hint="eastAsia" w:hAnsi="宋体" w:cs="宋体"/>
          <w:b/>
          <w:bCs/>
          <w:sz w:val="24"/>
          <w:szCs w:val="24"/>
        </w:rPr>
        <w:t xml:space="preserve">汇聚至</w:t>
      </w:r>
      <w:r>
        <w:rPr>
          <w:rFonts w:hint="eastAsia" w:hAnsi="宋体" w:cs="宋体"/>
          <w:b/>
          <w:bCs/>
          <w:sz w:val="24"/>
          <w:szCs w:val="24"/>
          <w:lang w:val="en-US" w:eastAsia="zh-CN"/>
        </w:rPr>
        <w:t xml:space="preserve">现有</w:t>
      </w:r>
      <w:r>
        <w:rPr>
          <w:rFonts w:hint="eastAsia" w:hAnsi="宋体" w:cs="宋体"/>
          <w:b/>
          <w:bCs/>
          <w:sz w:val="24"/>
          <w:szCs w:val="24"/>
        </w:rPr>
        <w:t xml:space="preserve">视图库），</w:t>
      </w:r>
      <w:r>
        <w:rPr>
          <w:rFonts w:hint="eastAsia" w:hAnsi="宋体" w:cs="宋体"/>
          <w:b/>
          <w:bCs/>
          <w:sz w:val="24"/>
          <w:szCs w:val="24"/>
          <w:lang w:val="en-US" w:eastAsia="zh-CN"/>
        </w:rPr>
        <w:t xml:space="preserve">监控</w:t>
      </w:r>
      <w:r>
        <w:rPr>
          <w:rFonts w:hint="eastAsia" w:hAnsi="宋体" w:cs="宋体"/>
          <w:b/>
          <w:bCs/>
          <w:sz w:val="24"/>
          <w:szCs w:val="24"/>
        </w:rPr>
        <w:t xml:space="preserve">抓拍</w:t>
      </w:r>
      <w:r>
        <w:rPr>
          <w:rFonts w:hint="eastAsia" w:hAnsi="宋体" w:cs="宋体"/>
          <w:b/>
          <w:bCs/>
          <w:sz w:val="24"/>
          <w:szCs w:val="24"/>
          <w:lang w:val="en-US" w:eastAsia="zh-CN"/>
        </w:rPr>
        <w:t xml:space="preserve">的交通违法</w:t>
      </w:r>
      <w:r>
        <w:rPr>
          <w:rFonts w:hint="eastAsia" w:hAnsi="宋体" w:cs="宋体"/>
          <w:b/>
          <w:bCs/>
          <w:sz w:val="24"/>
          <w:szCs w:val="24"/>
        </w:rPr>
        <w:t xml:space="preserve">数据需同时实现</w:t>
      </w:r>
      <w:r>
        <w:rPr>
          <w:rFonts w:hint="eastAsia" w:hAnsi="宋体" w:cs="宋体"/>
          <w:b/>
          <w:bCs/>
          <w:sz w:val="24"/>
          <w:szCs w:val="24"/>
          <w:lang w:val="en-US" w:eastAsia="zh-CN"/>
        </w:rPr>
        <w:t xml:space="preserve">自动上传至</w:t>
      </w:r>
      <w:r>
        <w:rPr>
          <w:rFonts w:hint="eastAsia" w:hAnsi="宋体" w:cs="宋体"/>
          <w:b/>
          <w:bCs/>
          <w:sz w:val="24"/>
          <w:szCs w:val="24"/>
        </w:rPr>
        <w:t xml:space="preserve">公安部集成指挥平台</w:t>
      </w:r>
      <w:r>
        <w:rPr>
          <w:rFonts w:hint="eastAsia" w:hAnsi="宋体" w:cs="宋体"/>
          <w:b/>
          <w:bCs/>
          <w:sz w:val="24"/>
          <w:szCs w:val="24"/>
          <w:lang w:val="en-US" w:eastAsia="zh-CN"/>
        </w:rPr>
        <w:t xml:space="preserve">应用</w:t>
      </w:r>
      <w:r>
        <w:rPr>
          <w:rFonts w:hint="eastAsia" w:hAnsi="宋体" w:cs="宋体"/>
          <w:b/>
          <w:bCs/>
          <w:sz w:val="24"/>
          <w:szCs w:val="24"/>
        </w:rPr>
        <w:t xml:space="preserve">。投标人投标时必须提供各类数据无缝对接公安以上各类平台的承诺函并加盖投标人公章（承诺函格式自拟）。</w:t>
      </w:r>
      <w:r/>
    </w:p>
    <w:p>
      <w:pPr>
        <w:pStyle w:val="1086"/>
        <w:spacing w:line="400" w:lineRule="exact"/>
        <w:rPr>
          <w:rFonts w:hint="eastAsia" w:hAnsi="宋体" w:cs="宋体"/>
          <w:b/>
          <w:bCs/>
          <w:sz w:val="24"/>
          <w:szCs w:val="24"/>
          <w:highlight w:val="yellow"/>
        </w:rPr>
      </w:pPr>
      <w:r>
        <w:rPr>
          <w:rFonts w:hint="eastAsia" w:hAnsi="宋体" w:eastAsia="宋体" w:cs="宋体"/>
          <w:b/>
          <w:bCs/>
          <w:sz w:val="24"/>
          <w:szCs w:val="24"/>
          <w:lang w:val="en-US" w:eastAsia="zh-CN"/>
        </w:rPr>
        <w:t xml:space="preserve">2、</w:t>
      </w:r>
      <w:r>
        <w:rPr>
          <w:rFonts w:hint="eastAsia" w:hAnsi="宋体" w:cs="宋体"/>
          <w:b/>
          <w:bCs/>
          <w:sz w:val="24"/>
          <w:szCs w:val="24"/>
        </w:rPr>
        <w:t xml:space="preserve">本项目中标后中标人自接到采购人通知后2日内到采购人指定地点对</w:t>
      </w:r>
      <w:r>
        <w:rPr>
          <w:rFonts w:hint="eastAsia" w:cs="宋体"/>
          <w:b/>
          <w:bCs/>
          <w:sz w:val="24"/>
          <w:szCs w:val="24"/>
        </w:rPr>
        <w:t xml:space="preserve">主要产品及检测报告</w:t>
      </w:r>
      <w:r>
        <w:rPr>
          <w:rFonts w:hint="eastAsia" w:cs="宋体"/>
          <w:b/>
          <w:bCs/>
          <w:sz w:val="24"/>
          <w:szCs w:val="24"/>
          <w:lang w:eastAsia="zh-CN"/>
        </w:rPr>
        <w:t xml:space="preserve">（</w:t>
      </w:r>
      <w:r>
        <w:rPr>
          <w:rFonts w:hint="eastAsia" w:cs="宋体"/>
          <w:b/>
          <w:bCs/>
          <w:sz w:val="24"/>
          <w:szCs w:val="24"/>
          <w:lang w:val="en-US" w:eastAsia="zh-CN"/>
        </w:rPr>
        <w:t xml:space="preserve">需提供原件</w:t>
      </w:r>
      <w:r>
        <w:rPr>
          <w:rFonts w:hint="eastAsia" w:cs="宋体"/>
          <w:b/>
          <w:bCs/>
          <w:sz w:val="24"/>
          <w:szCs w:val="24"/>
          <w:lang w:eastAsia="zh-CN"/>
        </w:rPr>
        <w:t xml:space="preserve">）</w:t>
      </w:r>
      <w:r>
        <w:rPr>
          <w:rFonts w:hint="eastAsia" w:cs="宋体"/>
          <w:b/>
          <w:bCs/>
          <w:sz w:val="24"/>
          <w:szCs w:val="24"/>
        </w:rPr>
        <w:t xml:space="preserve">进行核实</w:t>
      </w:r>
      <w:r>
        <w:rPr>
          <w:rFonts w:hint="eastAsia" w:hAnsi="宋体" w:cs="宋体"/>
          <w:b/>
          <w:bCs/>
          <w:sz w:val="24"/>
          <w:szCs w:val="24"/>
        </w:rPr>
        <w:t xml:space="preserve">，投标人所投材料</w:t>
      </w:r>
      <w:r>
        <w:rPr>
          <w:rFonts w:hint="eastAsia" w:cs="宋体"/>
          <w:b/>
          <w:bCs/>
          <w:sz w:val="24"/>
          <w:szCs w:val="24"/>
        </w:rPr>
        <w:t xml:space="preserve">如发现</w:t>
      </w:r>
      <w:r>
        <w:rPr>
          <w:rFonts w:hint="eastAsia" w:hAnsi="宋体" w:cs="宋体"/>
          <w:b/>
          <w:bCs/>
          <w:sz w:val="24"/>
          <w:szCs w:val="24"/>
        </w:rPr>
        <w:t xml:space="preserve">虚假响应，甲方有权</w:t>
      </w:r>
      <w:r>
        <w:rPr>
          <w:rFonts w:hint="eastAsia" w:cs="宋体"/>
          <w:b/>
          <w:bCs/>
          <w:sz w:val="24"/>
          <w:szCs w:val="24"/>
        </w:rPr>
        <w:t xml:space="preserve">拒签合同，</w:t>
      </w:r>
      <w:r>
        <w:rPr>
          <w:rFonts w:hint="eastAsia" w:hAnsi="宋体" w:cs="宋体"/>
          <w:b/>
          <w:bCs/>
          <w:sz w:val="24"/>
          <w:szCs w:val="24"/>
        </w:rPr>
        <w:t xml:space="preserve">核实所产生的费用由投标人考虑至报价中，甲方不再另行支付。</w:t>
      </w:r>
      <w:r/>
    </w:p>
    <w:p>
      <w:pPr>
        <w:pStyle w:val="1086"/>
        <w:spacing w:line="400" w:lineRule="exact"/>
        <w:rPr>
          <w:rFonts w:hint="eastAsia" w:hAnsi="宋体" w:cs="宋体"/>
          <w:b/>
          <w:bCs/>
          <w:sz w:val="24"/>
          <w:szCs w:val="24"/>
        </w:rPr>
      </w:pPr>
      <w:r>
        <w:rPr>
          <w:rFonts w:hint="eastAsia" w:hAnsi="宋体" w:cs="宋体"/>
          <w:b/>
          <w:bCs/>
          <w:sz w:val="24"/>
          <w:szCs w:val="24"/>
        </w:rPr>
        <w:t xml:space="preserve">2、投标人投标前应充分了解招标的实际需求，投标前可到公安后端对各类现有平台进行勘察测试，充分理解设计意图，保证接入各类数据可以对接各类平台的使用功能和深度应用。</w:t>
      </w:r>
      <w:r/>
    </w:p>
    <w:p>
      <w:pPr>
        <w:pStyle w:val="1086"/>
        <w:spacing w:line="400" w:lineRule="exact"/>
        <w:rPr>
          <w:rFonts w:hint="eastAsia" w:hAnsi="宋体" w:cs="宋体"/>
          <w:b/>
          <w:bCs/>
          <w:sz w:val="24"/>
          <w:szCs w:val="24"/>
        </w:rPr>
      </w:pPr>
      <w:r>
        <w:rPr>
          <w:rFonts w:hint="eastAsia" w:hAnsi="宋体" w:cs="宋体"/>
          <w:b/>
          <w:bCs/>
          <w:sz w:val="24"/>
          <w:szCs w:val="24"/>
        </w:rPr>
        <w:t xml:space="preserve">3、投标人需协调对接各类平台和推送各类数据，所产生的任何费用均由投标人自行承担（包括对接所需的所有软硬件）。</w:t>
      </w:r>
      <w:r/>
    </w:p>
    <w:p>
      <w:pPr>
        <w:pStyle w:val="1086"/>
        <w:spacing w:line="400" w:lineRule="exact"/>
        <w:rPr>
          <w:rFonts w:hint="eastAsia" w:hAnsi="宋体" w:cs="宋体"/>
          <w:b/>
          <w:bCs/>
          <w:sz w:val="24"/>
          <w:szCs w:val="24"/>
        </w:rPr>
      </w:pPr>
      <w:r>
        <w:rPr>
          <w:rFonts w:hint="eastAsia" w:hAnsi="宋体" w:cs="宋体"/>
          <w:b/>
          <w:bCs/>
          <w:sz w:val="24"/>
          <w:szCs w:val="24"/>
        </w:rPr>
        <w:t xml:space="preserve">4、本项目所有传输设备接口均需达到千兆或以上等级如交换机、光纤收发器等，光纤传输带宽均须达到千兆或以上并且保证画面稳定，无卡顿、无跳帧、无延时等。</w:t>
      </w:r>
      <w:r/>
    </w:p>
    <w:p>
      <w:pPr>
        <w:pStyle w:val="1086"/>
        <w:spacing w:line="400" w:lineRule="exact"/>
        <w:rPr>
          <w:rFonts w:hint="eastAsia" w:hAnsi="宋体" w:cs="宋体"/>
          <w:b/>
          <w:bCs/>
          <w:sz w:val="24"/>
          <w:szCs w:val="24"/>
        </w:rPr>
      </w:pPr>
      <w:r>
        <w:rPr>
          <w:rFonts w:hint="eastAsia" w:hAnsi="宋体" w:cs="宋体"/>
          <w:b/>
          <w:bCs/>
          <w:sz w:val="24"/>
          <w:szCs w:val="24"/>
          <w:lang w:val="en-US" w:eastAsia="zh-CN"/>
        </w:rPr>
        <w:t xml:space="preserve">5</w:t>
      </w:r>
      <w:r>
        <w:rPr>
          <w:rFonts w:hint="eastAsia" w:hAnsi="宋体" w:cs="宋体"/>
          <w:b/>
          <w:bCs/>
          <w:sz w:val="24"/>
          <w:szCs w:val="24"/>
        </w:rPr>
        <w:t xml:space="preserve">、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r/>
    </w:p>
    <w:p>
      <w:pPr>
        <w:pStyle w:val="1086"/>
        <w:spacing w:line="400" w:lineRule="exact"/>
        <w:rPr>
          <w:rFonts w:hint="default" w:hAnsi="宋体" w:cs="宋体"/>
          <w:b/>
          <w:bCs/>
          <w:sz w:val="24"/>
          <w:szCs w:val="24"/>
          <w:lang w:val="en-US" w:eastAsia="zh-CN"/>
        </w:rPr>
      </w:pPr>
      <w:r>
        <w:rPr>
          <w:rFonts w:hint="eastAsia" w:hAnsi="宋体" w:cs="宋体"/>
          <w:b/>
          <w:bCs/>
          <w:sz w:val="24"/>
          <w:szCs w:val="24"/>
          <w:lang w:val="en-US" w:eastAsia="zh-CN"/>
        </w:rPr>
        <w:t xml:space="preserve">6、本项目采购的各类产品，由中标方负责联系厂家到场进行培训，确保采购方熟练掌握使用，不限培训次数；质保期间，需要厂家到场解决或提供支撑服务的，厂家亦须无条件到场解决支持；培训支持等费用由中标方全部解决。</w:t>
      </w:r>
      <w:r/>
    </w:p>
    <w:p>
      <w:pPr>
        <w:ind w:right="-286"/>
      </w:pPr>
      <w:r/>
      <w:r/>
    </w:p>
    <w:p>
      <w:pPr>
        <w:pStyle w:val="1080"/>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1080"/>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1080"/>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1080"/>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888"/>
        <w:rPr>
          <w:rFonts w:hint="eastAsia" w:ascii="宋体" w:hAnsi="宋体" w:eastAsia="宋体" w:cs="宋体"/>
          <w:bCs/>
          <w:sz w:val="44"/>
        </w:rPr>
      </w:pPr>
      <w:r>
        <w:rPr>
          <w:rFonts w:hint="eastAsia" w:ascii="宋体" w:hAnsi="宋体" w:eastAsia="宋体" w:cs="宋体"/>
          <w:bCs/>
          <w:sz w:val="44"/>
        </w:rPr>
      </w:r>
      <w:r/>
    </w:p>
    <w:p>
      <w:pPr>
        <w:pStyle w:val="888"/>
        <w:rPr>
          <w:rFonts w:hint="eastAsia" w:ascii="宋体" w:hAnsi="宋体" w:eastAsia="宋体" w:cs="宋体"/>
          <w:bCs/>
          <w:sz w:val="44"/>
        </w:rPr>
      </w:pPr>
      <w:r>
        <w:rPr>
          <w:rFonts w:hint="eastAsia" w:ascii="宋体" w:hAnsi="宋体" w:eastAsia="宋体" w:cs="宋体"/>
          <w:bCs/>
          <w:sz w:val="44"/>
        </w:rPr>
      </w:r>
      <w:r/>
    </w:p>
    <w:p>
      <w:pPr>
        <w:pStyle w:val="888"/>
        <w:rPr>
          <w:rFonts w:hint="eastAsia" w:ascii="宋体" w:hAnsi="宋体" w:eastAsia="宋体" w:cs="宋体"/>
          <w:bCs/>
          <w:sz w:val="44"/>
        </w:rPr>
      </w:pPr>
      <w:r>
        <w:rPr>
          <w:rFonts w:hint="eastAsia" w:ascii="宋体" w:hAnsi="宋体" w:eastAsia="宋体" w:cs="宋体"/>
          <w:bCs/>
          <w:sz w:val="44"/>
        </w:rPr>
      </w:r>
      <w:r/>
    </w:p>
    <w:p>
      <w:pPr>
        <w:pStyle w:val="888"/>
        <w:rPr>
          <w:rFonts w:hint="eastAsia" w:ascii="宋体" w:hAnsi="宋体" w:eastAsia="宋体" w:cs="宋体"/>
          <w:bCs/>
          <w:sz w:val="44"/>
        </w:rPr>
      </w:pPr>
      <w:r>
        <w:rPr>
          <w:rFonts w:hint="eastAsia" w:ascii="宋体" w:hAnsi="宋体" w:eastAsia="宋体" w:cs="宋体"/>
          <w:bCs/>
          <w:sz w:val="44"/>
        </w:rPr>
      </w:r>
      <w:r/>
    </w:p>
    <w:p>
      <w:pPr>
        <w:pStyle w:val="888"/>
        <w:rPr>
          <w:rFonts w:hint="eastAsia" w:ascii="宋体" w:hAnsi="宋体" w:eastAsia="宋体" w:cs="宋体"/>
          <w:bCs/>
          <w:sz w:val="44"/>
        </w:rPr>
      </w:pPr>
      <w:r>
        <w:rPr>
          <w:rFonts w:hint="eastAsia" w:ascii="宋体" w:hAnsi="宋体" w:eastAsia="宋体" w:cs="宋体"/>
          <w:bCs/>
          <w:sz w:val="44"/>
        </w:rPr>
      </w:r>
      <w:r/>
    </w:p>
    <w:p>
      <w:pPr>
        <w:pStyle w:val="1080"/>
        <w:ind w:right="-286"/>
        <w:rPr>
          <w:rFonts w:hint="eastAsia" w:ascii="宋体" w:hAnsi="宋体" w:eastAsia="宋体" w:cs="宋体"/>
          <w:bCs/>
          <w:sz w:val="44"/>
        </w:rPr>
      </w:pPr>
      <w:r>
        <w:rPr>
          <w:rFonts w:hint="eastAsia" w:ascii="宋体" w:hAnsi="宋体" w:eastAsia="宋体" w:cs="宋体"/>
          <w:bCs/>
          <w:sz w:val="44"/>
        </w:rPr>
      </w:r>
      <w:r/>
    </w:p>
    <w:p>
      <w:pPr>
        <w:pStyle w:val="1080"/>
        <w:ind w:right="-286"/>
        <w:rPr>
          <w:rFonts w:hint="eastAsia" w:ascii="宋体" w:hAnsi="宋体" w:eastAsia="宋体" w:cs="宋体"/>
          <w:bCs/>
          <w:sz w:val="44"/>
        </w:rPr>
      </w:pPr>
      <w:r>
        <w:rPr>
          <w:rFonts w:hint="eastAsia" w:ascii="宋体" w:hAnsi="宋体" w:eastAsia="宋体" w:cs="宋体"/>
          <w:bCs/>
          <w:sz w:val="44"/>
        </w:rPr>
        <w:t xml:space="preserve">第五章  </w:t>
      </w:r>
      <w:r>
        <w:rPr>
          <w:rFonts w:hint="eastAsia" w:ascii="宋体" w:hAnsi="宋体" w:eastAsia="宋体" w:cs="宋体"/>
          <w:b/>
          <w:bCs/>
          <w:sz w:val="44"/>
        </w:rPr>
        <w:t xml:space="preserve">定标原则与评标标准</w:t>
      </w:r>
      <w:r/>
    </w:p>
    <w:p>
      <w:pPr>
        <w:ind w:right="-286"/>
        <w:rPr>
          <w:rFonts w:hint="eastAsia" w:ascii="宋体" w:hAnsi="宋体" w:cs="宋体"/>
        </w:rPr>
      </w:pPr>
      <w:r>
        <w:rPr>
          <w:rFonts w:hint="eastAsia" w:ascii="宋体" w:hAnsi="宋体" w:cs="宋体"/>
        </w:rPr>
      </w:r>
      <w:r/>
    </w:p>
    <w:p>
      <w:pPr>
        <w:ind w:right="-286"/>
        <w:spacing w:line="360" w:lineRule="auto"/>
        <w:rPr>
          <w:rFonts w:hint="eastAsia" w:ascii="宋体" w:hAnsi="宋体" w:cs="宋体"/>
          <w:b/>
          <w:bCs/>
          <w:sz w:val="24"/>
          <w:szCs w:val="24"/>
        </w:rPr>
      </w:pPr>
      <w:r>
        <w:rPr>
          <w:rFonts w:hint="eastAsia" w:ascii="宋体" w:hAnsi="宋体" w:cs="宋体"/>
          <w:b/>
          <w:bCs/>
          <w:sz w:val="24"/>
          <w:szCs w:val="24"/>
        </w:rPr>
        <w:t xml:space="preserve">一、定标原则</w:t>
      </w:r>
      <w:r/>
    </w:p>
    <w:p>
      <w:pPr>
        <w:ind w:right="-286" w:firstLine="480"/>
        <w:spacing w:line="500" w:lineRule="exact"/>
        <w:rPr>
          <w:rFonts w:hint="eastAsia" w:ascii="宋体" w:hAnsi="宋体" w:cs="宋体"/>
          <w:sz w:val="24"/>
          <w:szCs w:val="24"/>
        </w:rPr>
      </w:pPr>
      <w:r>
        <w:rPr>
          <w:rFonts w:hint="eastAsia" w:ascii="宋体" w:hAnsi="宋体" w:cs="宋体"/>
          <w:bCs/>
          <w:sz w:val="24"/>
          <w:szCs w:val="24"/>
        </w:rPr>
        <w:t xml:space="preserve">本项目采用</w:t>
      </w:r>
      <w:r>
        <w:rPr>
          <w:rFonts w:hint="eastAsia" w:ascii="宋体" w:hAnsi="宋体" w:cs="宋体"/>
          <w:bCs/>
          <w:sz w:val="24"/>
          <w:szCs w:val="24"/>
          <w:u w:val="single"/>
        </w:rPr>
        <w:t xml:space="preserve"> 综合评分 </w:t>
      </w:r>
      <w:r>
        <w:rPr>
          <w:rFonts w:hint="eastAsia" w:ascii="宋体" w:hAnsi="宋体" w:cs="宋体"/>
          <w:bCs/>
          <w:sz w:val="24"/>
          <w:szCs w:val="24"/>
        </w:rPr>
        <w:t xml:space="preserve">法。</w:t>
      </w:r>
      <w:r>
        <w:rPr>
          <w:rFonts w:hint="eastAsia" w:ascii="宋体" w:hAnsi="宋体" w:cs="宋体"/>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088"/>
        <w:ind w:right="-286" w:firstLine="479"/>
        <w:spacing w:before="0" w:after="0"/>
        <w:rPr>
          <w:rFonts w:hint="eastAsia" w:ascii="宋体" w:hAnsi="宋体" w:cs="宋体"/>
          <w:b/>
        </w:rPr>
      </w:pPr>
      <w:r>
        <w:rPr>
          <w:rFonts w:hint="eastAsia" w:ascii="宋体" w:hAnsi="宋体" w:cs="宋体"/>
          <w:b/>
        </w:rPr>
        <w:t xml:space="preserve">政府采购政策功能落实</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1、小微型企业价格扣除</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（1）本项目对小型和微型企业产品给予20%的扣除价格，用扣除后的价格参与评审。</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（2）供应商需按照采购文件的要求提供相应的《企业声明函》。</w:t>
      </w:r>
      <w:r/>
    </w:p>
    <w:p>
      <w:pPr>
        <w:ind w:right="-286" w:firstLine="480"/>
        <w:spacing w:line="360" w:lineRule="auto"/>
        <w:rPr>
          <w:rFonts w:hint="eastAsia" w:ascii="宋体" w:hAnsi="宋体" w:cs="宋体"/>
          <w:sz w:val="24"/>
          <w:szCs w:val="24"/>
        </w:rPr>
      </w:pPr>
      <w:r>
        <w:rPr>
          <w:rFonts w:hint="eastAsia" w:ascii="宋体" w:hAnsi="宋体" w:cs="宋体"/>
          <w:bCs/>
          <w:sz w:val="24"/>
          <w:szCs w:val="24"/>
        </w:rPr>
        <w:t xml:space="preserve">（3）企业标准请参照《关于印发中小企业划型标准规定的通知》（工信部联企</w:t>
      </w:r>
      <w:r>
        <w:rPr>
          <w:rFonts w:hint="eastAsia" w:ascii="宋体" w:hAnsi="宋体" w:cs="宋体"/>
          <w:sz w:val="24"/>
          <w:szCs w:val="24"/>
        </w:rPr>
        <w:t xml:space="preserve">业[2011]300号）文件规定自行填写。</w:t>
      </w:r>
      <w:r/>
    </w:p>
    <w:p>
      <w:pPr>
        <w:ind w:right="-286" w:firstLine="480"/>
        <w:spacing w:line="360" w:lineRule="auto"/>
        <w:rPr>
          <w:rFonts w:hint="eastAsia" w:ascii="宋体" w:hAnsi="宋体" w:cs="宋体"/>
          <w:sz w:val="24"/>
          <w:szCs w:val="24"/>
        </w:rPr>
      </w:pPr>
      <w:r>
        <w:rPr>
          <w:rFonts w:hint="eastAsia" w:ascii="宋体" w:hAnsi="宋体" w:cs="宋体"/>
          <w:sz w:val="24"/>
          <w:szCs w:val="24"/>
        </w:rPr>
        <w:t xml:space="preserve">（4）在货物采购项目中，供应商提供的货物既有中小企业制造货物，也有大型企业制造货物的，不享受本办法规定的中小企业扶持政策。</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2、残疾人福利单位价格扣除</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（1）本项目对残疾人福利性单位视同小型、微型企业，给予20%的价格扣除，用扣除后的价格参与评审。</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（2）残疾人福利单位需按照采购文件的要求提供《残疾人福利性单位声明函》。</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（3）残疾人福利单位标准请参照《关于促进残疾人就业政府采购政策的通知》（财库〔2017〕141号）。</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3、监狱和戒毒企业价格扣除</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（1）本项目对监狱和戒毒企业（简称监狱企业）视同小型、微型企业，给予20%的价格扣除，用扣除后的价格参与评审。</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（3）监狱企业标准请参照《关于政府采购实现监狱企业发展有关问题的通知》（财库[2014]68号）。</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4、残疾人福利单位、监狱企业属于小型、微型企业的，不重复享受政策。</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5、严格执行政府采购关于实现</w:t>
      </w:r>
      <w:r>
        <w:rPr>
          <w:rFonts w:hint="eastAsia" w:ascii="宋体" w:hAnsi="宋体" w:cs="宋体"/>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6、接受联合体供应商的情况：</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6.1</w:t>
      </w:r>
      <w:r>
        <w:rPr>
          <w:rFonts w:hint="eastAsia" w:ascii="宋体" w:hAnsi="宋体" w:cs="宋体"/>
          <w:bCs/>
          <w:sz w:val="24"/>
          <w:szCs w:val="24"/>
        </w:rPr>
        <w:t xml:space="preserve">大中型企业和其他自然人、法人或者其他组织并与小型、微型企业组成联合体共同参加政府采购活动。联合协议中约定，小型、微型企业的协议合同金额占到联合体协议合同总金额30%以上的，给予联合体6%的价格扣除，用扣除后的价格参与评审。</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6.2</w:t>
      </w:r>
      <w:r>
        <w:rPr>
          <w:rFonts w:hint="eastAsia" w:ascii="宋体" w:hAnsi="宋体" w:cs="宋体"/>
          <w:bCs/>
          <w:sz w:val="24"/>
          <w:szCs w:val="24"/>
        </w:rPr>
        <w:t xml:space="preserve">联合体各方均为小型、微型企业的，联合体视同为小型、微型企业并享受20%价格扣除，用扣除后的价格参与评审。</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6.3</w:t>
      </w:r>
      <w:r>
        <w:rPr>
          <w:rFonts w:hint="eastAsia" w:ascii="宋体" w:hAnsi="宋体" w:cs="宋体"/>
          <w:bCs/>
          <w:sz w:val="24"/>
          <w:szCs w:val="24"/>
        </w:rPr>
        <w:t xml:space="preserve">供应商如为联合体的，请按照采购文件的要求提供相应的《联合体协议》。</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、供应商对于投标产品的包装应按照“财办库〔2020〕123号《关于印发《商品包装政府采购需求标准（试行）》、《快递包装政府采购需求标准（试行）》的通知》”执行。</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、本文件中若涉及到数据中心采购，应按照《&lt;绿色数据中心政府采购需求标准（试行）&gt;的通知》（财库〔2023〕7号）执行。</w:t>
      </w:r>
      <w:r/>
    </w:p>
    <w:p>
      <w:pPr>
        <w:ind w:right="-286"/>
        <w:spacing w:line="360" w:lineRule="auto"/>
        <w:rPr>
          <w:rFonts w:hint="eastAsia" w:ascii="宋体" w:hAnsi="宋体" w:cs="宋体"/>
          <w:b/>
          <w:bCs/>
          <w:sz w:val="24"/>
          <w:szCs w:val="24"/>
        </w:rPr>
      </w:pPr>
      <w:r>
        <w:rPr>
          <w:rFonts w:hint="eastAsia" w:ascii="宋体" w:hAnsi="宋体" w:cs="宋体"/>
          <w:b/>
          <w:bCs/>
          <w:sz w:val="24"/>
          <w:szCs w:val="24"/>
        </w:rPr>
        <w:t xml:space="preserve">二、评标标准</w:t>
      </w:r>
      <w:r/>
    </w:p>
    <w:p>
      <w:pPr>
        <w:ind w:firstLine="480"/>
        <w:spacing w:line="520" w:lineRule="exact"/>
        <w:rPr>
          <w:rFonts w:hint="eastAsia" w:ascii="宋体" w:hAnsi="宋体" w:cs="Courier New"/>
          <w:bCs/>
          <w:sz w:val="24"/>
          <w:szCs w:val="24"/>
        </w:rPr>
      </w:pPr>
      <w:r>
        <w:rPr>
          <w:rFonts w:hint="eastAsia" w:ascii="宋体" w:hAnsi="宋体" w:cs="Courier New"/>
          <w:bCs/>
          <w:sz w:val="24"/>
          <w:szCs w:val="24"/>
        </w:rPr>
        <w:t xml:space="preserve">本项目评分总分值为100分。</w:t>
      </w:r>
      <w:r/>
    </w:p>
    <w:tbl>
      <w:tblPr>
        <w:tblStyle w:val="887"/>
        <w:tblW w:w="963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828"/>
        <w:gridCol w:w="6996"/>
      </w:tblGrid>
      <w:tr>
        <w:trPr>
          <w:trHeight w:val="471"/>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评审项目</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jc w:val="center"/>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投标报价</w:t>
            </w:r>
            <w:r/>
          </w:p>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价格分采用低价优先法计算，即满足招标文件要求且投标价格最低的投标报价为评标基准价，报价得分按照下列公式计算：投标报价得分=（评标基准价/投标报价）×3</w:t>
            </w:r>
            <w:r>
              <w:rPr>
                <w:rFonts w:ascii="宋体" w:hAnsi="宋体" w:eastAsia="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，结果保留两位小数。（有效投标报价为未被评标委员会判定为无效标的投标文件）。</w:t>
            </w:r>
            <w:r/>
          </w:p>
        </w:tc>
      </w:tr>
      <w:tr>
        <w:trPr>
          <w:trHeight w:val="702"/>
        </w:trPr>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w:t>
            </w:r>
            <w:r/>
          </w:p>
        </w:tc>
        <w:tc>
          <w:tcPr>
            <w:tcBorders>
              <w:top w:val="single" w:color="auto" w:sz="4" w:space="0"/>
              <w:left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技术响应</w:t>
            </w:r>
            <w:r/>
          </w:p>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（40分）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加★项参数负偏离（1-5）项得30分，负偏离（6-10）项得25分，负偏离（11-15）项得20分，负偏离（16-20）项得15分，负偏离（21-25）项得10分，负偏离（26-30）项得5分，负偏离（31-40）项得4分，负偏离（41-50）项得3分，负偏离（51-60）项得2分，负偏离（61-70）项得1分，负偏离71项及以上的不得分；完全满足招标技术参数要求得35分。</w:t>
            </w:r>
            <w:r/>
          </w:p>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其它参数（不包含★）负偏离（1-5）项得4分，负偏离（6-10）项得3分，负偏离（11-20）项得2分，负偏离（21-30）项得1分，负偏离（31-40）项得0.5分，负偏离41项及以上的不得分，完全满足招标技术参数要求得5分。</w:t>
            </w:r>
            <w:r/>
          </w:p>
          <w:p>
            <w:pPr>
              <w:jc w:val="left"/>
              <w:spacing w:line="460" w:lineRule="exact"/>
              <w:widowControl/>
              <w:rPr>
                <w:rFonts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技术参数不得虚假响应，如经查实，将予以取消中标资格，并提交财政监管部门处理，有可能面临着被列入失信名单的法律风险。</w:t>
            </w:r>
            <w:r/>
          </w:p>
        </w:tc>
      </w:tr>
      <w:tr>
        <w:trPr>
          <w:trHeight w:val="1075"/>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企业综合能力（3分）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具有ISO20000信息技术服务管理体系认证证书、ISO27001信息安全管理体系认证，每提供1个得1.5分，未提供不得分，本项最高得3分，提供的证书必须在有效期范围内，且在全国认证认可信息服务平台查询状态必须是合格状态。</w:t>
            </w:r>
            <w:r/>
          </w:p>
        </w:tc>
      </w:tr>
      <w:tr>
        <w:trPr>
          <w:trHeight w:val="528"/>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履约能力（7分）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1、拟投入本项目项目负责人（1人）：具有信息系统项目管理师证书、电子信息高级工程师证书的，每提供一项得2分，最高得4分。</w:t>
            </w:r>
            <w:r/>
          </w:p>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拟投入本项目的团队成员（不含项目负责人）具有网络工程师(中级及以上）证书、信息技术应用创新服务工程师（ITSS）证书、注册信息安全（CISP）证书的，每提供一个人员证书，得1分，本项最高得3分；同一人员、同专业证书不重复计分。</w:t>
            </w:r>
            <w:r/>
          </w:p>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注：投标时以上人员需提供人员证书原件扫描件及投标人与以上人员签订的劳动合同原件扫描件，未按要求提供证明材料的不得分。</w:t>
            </w:r>
            <w:r/>
          </w:p>
        </w:tc>
      </w:tr>
      <w:tr>
        <w:trPr>
          <w:trHeight w:val="487"/>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施工组织方案（4分）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根据项目工期、质量要求，投标人根据实际情况制定合理的施工组织方案，方案须包括但不限于如下内容：</w:t>
            </w:r>
            <w:r/>
          </w:p>
          <w:p>
            <w:pPr>
              <w:pStyle w:val="1102"/>
              <w:ind w:right="-160"/>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人员安排；人员安排合理、分工明确满足采购需求、针对本项目服务人员安排合理化建议大于等于5条的得1分；人员安排合理、分工明确满足采购需求、针对本项目服务人员安排合理化建议3-4条的得0.5分；人员安排合理、分工明确满足采购需求、针对本项目服务人员安排合理化建议1-2条的得0.2分；方案内容有明显重大缺陷的或未提供本项内容的不得分。（0-1分）</w:t>
            </w:r>
            <w:r/>
          </w:p>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施工进度安排：进度计划方案完全满足工期要求、内容完整、进度保证措施不少于5条的得1分；进度计划方案完全满足工期要求、内容完整、进度保证措施3-4条的得0.5分；进度计划方案完全满足工期要求、内容完整、进度保证措施1-2条的得0.2分；方案内容有明显重大缺陷的或未提供本项内容的不得分。（0-1分）</w:t>
            </w:r>
            <w:r/>
          </w:p>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施工安全保证措施：安全保证方案内容完整、安全保证措施不少于5条的得1分；安全保证方案内容完整、安全保证措施3-4条的得0.5分，安全保证方案内容完整、安全保证措施1-2条的得0.2分，方案内容有明显重大缺陷的或未提供本项内容的不得分。（0-1分）</w:t>
            </w:r>
            <w:r/>
          </w:p>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施工质量保证措施：质量保证方案内容完整、质量保证措施不少于5条的得1分；质量保证方案内容完整、质量保证措施3-4条的得0.5分；质量保证方案内容完整、质量保证措施1-2条的得0.2分，方案内容有明显重大缺陷的或未提供本项内容的不得分。（0-1分）</w:t>
            </w:r>
            <w:r/>
          </w:p>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售后服务方案（4分）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对投标人提供的售后技术服务方案进行打分，方案须包含但不限于以下内容：</w:t>
            </w:r>
            <w:r/>
          </w:p>
          <w:p>
            <w:pPr>
              <w:pStyle w:val="1102"/>
              <w:numPr>
                <w:ilvl w:val="0"/>
                <w:numId w:val="11"/>
              </w:numPr>
              <w:jc w:val="left"/>
              <w:spacing w:line="460" w:lineRule="exact"/>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具体可行的售后服务体系；</w:t>
            </w:r>
            <w:r>
              <w:rPr>
                <w:rFonts w:hint="eastAsia" w:ascii="宋体" w:hAnsi="宋体" w:eastAsia="宋体" w:cs="宋体"/>
                <w:sz w:val="24"/>
                <w:szCs w:val="24"/>
                <w:lang w:val="en-US" w:eastAsia="zh-CN" w:bidi="ar-SA"/>
              </w:rPr>
              <w:t xml:space="preserve">（0</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1分）</w:t>
            </w:r>
            <w:r/>
          </w:p>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承诺、售后服务内容、质保期内（含设备发生故障后，按照不同故障类型所采取的处置方案）的售后服务方案、售后服务响应时间、备品备件全部满目采购需求的得1分；服务承诺、售后服务内容、质保期内（含设备发生故障后，按照不同故障类型所采取的处置方案）的售后服务方案、售后服务响应时间满足采购需求，备品备件响应度略低的得0.5分；方案内容有明显重大缺陷的或未提供的不得分。</w:t>
            </w:r>
            <w:r/>
          </w:p>
          <w:p>
            <w:pPr>
              <w:pStyle w:val="1102"/>
              <w:jc w:val="left"/>
              <w:spacing w:line="460" w:lineRule="exact"/>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出现问题</w:t>
            </w:r>
            <w:r>
              <w:rPr>
                <w:rFonts w:hint="eastAsia" w:ascii="宋体" w:hAnsi="宋体" w:eastAsia="宋体" w:cs="宋体"/>
                <w:sz w:val="24"/>
                <w:szCs w:val="24"/>
                <w:lang w:val="en-US" w:eastAsia="zh-CN" w:bidi="ar-SA"/>
              </w:rPr>
              <w:t xml:space="preserve">应急</w:t>
            </w:r>
            <w:r>
              <w:rPr>
                <w:rFonts w:ascii="宋体" w:hAnsi="宋体" w:eastAsia="宋体" w:cs="宋体"/>
                <w:sz w:val="24"/>
                <w:szCs w:val="24"/>
                <w:lang w:val="en-US" w:eastAsia="zh-CN" w:bidi="ar-SA"/>
              </w:rPr>
              <w:t xml:space="preserve">方案；</w:t>
            </w:r>
            <w:r>
              <w:rPr>
                <w:rFonts w:hint="eastAsia" w:ascii="宋体" w:hAnsi="宋体" w:eastAsia="宋体" w:cs="宋体"/>
                <w:sz w:val="24"/>
                <w:szCs w:val="24"/>
                <w:lang w:val="en-US" w:eastAsia="zh-CN" w:bidi="ar-SA"/>
              </w:rPr>
              <w:t xml:space="preserve">应急响应整体架构完整、响应时间合理、人员设备应急响应能力充足应急方案中具有针对本项目的合理化建议大于等于5条的得1分；急响应整体架构完整、响应时间合理、人员设备应急响应能力充足应急方案中具有针对本项目的合理化建议3-4条的得0.5分；急响应整体架构完整、响应时间合理、人员设备应急响应能力充足应急方案中具有针对本项目的合理化建议大于等于1-2条的得0.2分；方案内容有明显重大缺陷的或未提供的不得分。（0</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1分）</w:t>
            </w:r>
            <w:r/>
          </w:p>
          <w:p>
            <w:pPr>
              <w:pStyle w:val="1102"/>
              <w:jc w:val="left"/>
              <w:spacing w:line="460" w:lineRule="exact"/>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售后技术服务。</w:t>
            </w:r>
            <w:r>
              <w:rPr>
                <w:rFonts w:hint="eastAsia" w:ascii="宋体" w:hAnsi="宋体" w:eastAsia="宋体" w:cs="宋体"/>
                <w:sz w:val="24"/>
                <w:szCs w:val="24"/>
                <w:lang w:val="en-US" w:eastAsia="zh-CN" w:bidi="ar-SA"/>
              </w:rPr>
              <w:t xml:space="preserve">投标人承诺在整体项目（该项目所有采购设备及租赁服务）5年质保期基础之上，每延长1年质保的，得2分，最高得2分，不承诺的不得分。投标时需提供延长质保承诺函，并加盖投标单位公章。（0</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2分）</w:t>
            </w:r>
            <w:r/>
          </w:p>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业绩（2分）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02"/>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投标人提供2021年1月1日以来类似项目业绩合同（以合同签订日期为准），每提供1个得0.5分，最高得2分，未提供的不得分。业绩材料须提供项目合同彩色扫描件上传至投标文件。</w:t>
            </w:r>
            <w:r/>
          </w:p>
        </w:tc>
      </w:tr>
      <w:tr>
        <w:trPr>
          <w:trHeight w:val="702"/>
        </w:trPr>
        <w:tc>
          <w:tcPr>
            <w:tcBorders>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w:t>
            </w:r>
            <w:r/>
          </w:p>
        </w:tc>
        <w:tc>
          <w:tcPr>
            <w:tcBorders>
              <w:left w:val="single" w:color="auto" w:sz="4" w:space="0"/>
              <w:bottom w:val="single" w:color="auto" w:sz="4" w:space="0"/>
              <w:right w:val="single" w:color="auto" w:sz="4" w:space="0"/>
            </w:tcBorders>
            <w:tcW w:w="1828" w:type="dxa"/>
            <w:vAlign w:val="center"/>
            <w:textDirection w:val="lrTb"/>
            <w:noWrap w:val="false"/>
          </w:tcPr>
          <w:p>
            <w:pPr>
              <w:jc w:val="center"/>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其他（10分）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02"/>
              <w:numPr>
                <w:ilvl w:val="0"/>
                <w:numId w:val="12"/>
              </w:numPr>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投标人所投固态雷达具有：国产自主可控产品证明材料、中国船级社的型式认证证书、雷达有效的无线电发射设备型号核准证（</w:t>
            </w:r>
            <w:r>
              <w:rPr>
                <w:rFonts w:hint="eastAsia" w:ascii="宋体" w:hAnsi="宋体" w:eastAsia="宋体" w:cs="Times New Roman"/>
                <w:sz w:val="24"/>
                <w:szCs w:val="24"/>
                <w:lang w:val="en-US" w:eastAsia="zh-CN" w:bidi="ar"/>
              </w:rPr>
              <w:t xml:space="preserve">提供证书扫描件</w:t>
            </w:r>
            <w:r>
              <w:rPr>
                <w:rFonts w:hint="eastAsia" w:ascii="宋体" w:hAnsi="宋体" w:eastAsia="宋体" w:cs="宋体"/>
                <w:sz w:val="24"/>
                <w:szCs w:val="24"/>
                <w:lang w:val="en-US" w:eastAsia="zh-CN" w:bidi="ar-SA"/>
              </w:rPr>
              <w:t xml:space="preserve">加盖原厂公章）、</w:t>
            </w:r>
            <w:r>
              <w:rPr>
                <w:rFonts w:hint="eastAsia" w:ascii="宋体" w:hAnsi="宋体" w:eastAsia="宋体" w:cs="Times New Roman"/>
                <w:sz w:val="24"/>
                <w:szCs w:val="24"/>
                <w:lang w:val="en-US" w:eastAsia="zh-CN" w:bidi="ar"/>
              </w:rPr>
              <w:t xml:space="preserve">具有CNAS或CMA标识的</w:t>
            </w:r>
            <w:r>
              <w:rPr>
                <w:rFonts w:hint="eastAsia" w:ascii="宋体" w:hAnsi="宋体" w:eastAsia="宋体" w:cs="宋体"/>
                <w:sz w:val="24"/>
                <w:szCs w:val="24"/>
                <w:lang w:val="en-US" w:eastAsia="zh-CN" w:bidi="ar-SA"/>
              </w:rPr>
              <w:t xml:space="preserve">雷达电磁兼容性测试检验报告、</w:t>
            </w:r>
            <w:r>
              <w:rPr>
                <w:rFonts w:hint="eastAsia" w:ascii="宋体" w:hAnsi="宋体" w:eastAsia="宋体" w:cs="Times New Roman"/>
                <w:sz w:val="24"/>
                <w:szCs w:val="24"/>
                <w:lang w:val="en-US" w:eastAsia="zh-CN" w:bidi="ar"/>
              </w:rPr>
              <w:t xml:space="preserve">具有CNAS或CMA标识的雷达型式试验检验报告</w:t>
            </w:r>
            <w:r>
              <w:rPr>
                <w:rFonts w:hint="eastAsia" w:ascii="宋体" w:hAnsi="宋体" w:eastAsia="宋体" w:cs="宋体"/>
                <w:sz w:val="24"/>
                <w:szCs w:val="24"/>
                <w:lang w:val="en-US" w:eastAsia="zh-CN" w:bidi="ar-SA"/>
              </w:rPr>
              <w:t xml:space="preserve">，上述证明材料每提供1个得0.5分，最高得分2.5分。（除特别说明外，其他须</w:t>
            </w:r>
            <w:r>
              <w:rPr>
                <w:rFonts w:hint="eastAsia" w:ascii="宋体" w:hAnsi="宋体" w:eastAsia="宋体" w:cs="Times New Roman"/>
                <w:sz w:val="24"/>
                <w:szCs w:val="24"/>
                <w:lang w:val="en-US" w:eastAsia="zh-CN" w:bidi="ar"/>
              </w:rPr>
              <w:t xml:space="preserve">提供证书、证明文件扫描件并加盖</w:t>
            </w:r>
            <w:r>
              <w:rPr>
                <w:rFonts w:hint="eastAsia" w:ascii="宋体" w:hAnsi="宋体" w:eastAsia="宋体" w:cs="宋体"/>
                <w:sz w:val="24"/>
                <w:szCs w:val="24"/>
                <w:lang w:val="en-US" w:eastAsia="zh-CN" w:bidi="ar-SA"/>
              </w:rPr>
              <w:t xml:space="preserve">投标人</w:t>
            </w:r>
            <w:r>
              <w:rPr>
                <w:rFonts w:hint="eastAsia" w:ascii="宋体" w:hAnsi="宋体" w:eastAsia="宋体" w:cs="Times New Roman"/>
                <w:sz w:val="24"/>
                <w:szCs w:val="24"/>
                <w:lang w:val="en-US" w:eastAsia="zh-CN" w:bidi="ar"/>
              </w:rPr>
              <w:t xml:space="preserve">公章）</w:t>
            </w:r>
            <w:r/>
          </w:p>
          <w:p>
            <w:pPr>
              <w:pStyle w:val="1102"/>
              <w:numPr>
                <w:ilvl w:val="0"/>
                <w:numId w:val="12"/>
              </w:numPr>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所投雷达数据处理系统、多源融合数据处理系统、视频联动系统三个软件，取得相应软件著作权证书的，每提供1个，得0.5分，最高得分1.5分。（须提供证书扫描件，并加盖投标人公章）</w:t>
            </w:r>
            <w:r/>
          </w:p>
          <w:p>
            <w:pPr>
              <w:pStyle w:val="1102"/>
              <w:numPr>
                <w:ilvl w:val="0"/>
                <w:numId w:val="12"/>
              </w:numPr>
              <w:jc w:val="left"/>
              <w:spacing w:line="460" w:lineRule="exact"/>
              <w:widowControl w:val="off"/>
              <w:rPr>
                <w:rFonts w:hint="eastAsia" w:ascii="等线" w:hAnsi="等线" w:eastAsia="等线" w:cs="Times New Roman"/>
                <w:sz w:val="22"/>
                <w:szCs w:val="22"/>
                <w:lang w:val="en-US" w:eastAsia="zh-CN" w:bidi="ar-SA"/>
              </w:rPr>
            </w:pPr>
            <w:r>
              <w:rPr>
                <w:rFonts w:hint="eastAsia" w:ascii="宋体" w:hAnsi="宋体" w:eastAsia="宋体" w:cs="宋体"/>
                <w:sz w:val="24"/>
                <w:szCs w:val="24"/>
                <w:lang w:val="en-US" w:eastAsia="zh-CN" w:bidi="ar-SA"/>
              </w:rPr>
              <w:t xml:space="preserve">所投LED小间距显示大屏制造商已购买产品责任险、公众责任险、财产一切险、雇主责任险，每提供上述1项保险保单，得0.5分，最高得2分。（须提供保险保单原件的扫描件，并加盖投标人公章）</w:t>
            </w:r>
            <w:r/>
          </w:p>
          <w:p>
            <w:pPr>
              <w:pStyle w:val="1102"/>
              <w:numPr>
                <w:ilvl w:val="0"/>
                <w:numId w:val="12"/>
              </w:numPr>
              <w:jc w:val="left"/>
              <w:spacing w:line="460" w:lineRule="exact"/>
              <w:widowControl w:val="off"/>
              <w:rPr>
                <w:rFonts w:hint="eastAsia" w:ascii="等线" w:hAnsi="等线" w:eastAsia="等线" w:cs="Times New Roman"/>
                <w:sz w:val="22"/>
                <w:szCs w:val="22"/>
                <w:lang w:val="en-US" w:eastAsia="zh-CN" w:bidi="ar-SA"/>
              </w:rPr>
            </w:pPr>
            <w:r>
              <w:rPr>
                <w:rFonts w:ascii="宋体" w:hAnsi="宋体" w:eastAsia="宋体" w:cs="宋体"/>
                <w:sz w:val="24"/>
                <w:szCs w:val="24"/>
                <w:lang w:val="en-US" w:eastAsia="zh-CN" w:bidi="ar-SA"/>
              </w:rPr>
              <w:t xml:space="preserve">所投分布式产品具有节能产品认证证书</w:t>
            </w:r>
            <w:r>
              <w:rPr>
                <w:rFonts w:hint="eastAsia" w:ascii="宋体" w:hAnsi="宋体" w:eastAsia="宋体" w:cs="宋体"/>
                <w:sz w:val="24"/>
                <w:szCs w:val="24"/>
                <w:lang w:val="en-US" w:eastAsia="zh-CN" w:bidi="ar-SA"/>
              </w:rPr>
              <w:t xml:space="preserve">、环境保护标志产品认证证书的，每提供1个证书得1分，最高得2分。（须提供证书扫描件，并加盖投标人公章）</w:t>
            </w:r>
            <w:r/>
          </w:p>
          <w:p>
            <w:pPr>
              <w:pStyle w:val="1102"/>
              <w:numPr>
                <w:ilvl w:val="0"/>
                <w:numId w:val="12"/>
              </w:numPr>
              <w:jc w:val="left"/>
              <w:spacing w:line="460" w:lineRule="exact"/>
              <w:widowControl w:val="off"/>
              <w:rPr>
                <w:rFonts w:hint="eastAsia" w:ascii="等线" w:hAnsi="等线" w:eastAsia="等线" w:cs="Times New Roman"/>
                <w:sz w:val="22"/>
                <w:szCs w:val="22"/>
                <w:lang w:val="en-US" w:eastAsia="zh-CN" w:bidi="ar-SA"/>
              </w:rPr>
            </w:pPr>
            <w:r>
              <w:rPr>
                <w:rFonts w:hint="eastAsia" w:ascii="宋体" w:hAnsi="宋体" w:eastAsia="宋体" w:cs="宋体"/>
                <w:sz w:val="24"/>
                <w:szCs w:val="24"/>
                <w:lang w:val="en-US" w:eastAsia="zh-CN" w:bidi="ar-SA"/>
              </w:rPr>
              <w:t xml:space="preserve">为保障网络设备安全可靠，所投核心交换机关键芯片（CPU、交换芯片）为厂商自主研发，提供第三方检测报告原件扫描件，并加盖投标单位公章得2分，未提供不得分。</w:t>
            </w:r>
            <w:r/>
          </w:p>
        </w:tc>
      </w:tr>
    </w:tbl>
    <w:p>
      <w:pPr>
        <w:pStyle w:val="1076"/>
        <w:ind w:right="-286" w:firstLine="0"/>
        <w:rPr>
          <w:rFonts w:hint="eastAsia" w:cs="宋体"/>
        </w:rPr>
      </w:pPr>
      <w:r>
        <w:rPr>
          <w:rFonts w:hint="eastAsia" w:cs="宋体"/>
        </w:rPr>
      </w:r>
      <w:r/>
    </w:p>
    <w:p>
      <w:pPr>
        <w:pStyle w:val="1079"/>
      </w:pPr>
      <w:r/>
      <w:r/>
    </w:p>
    <w:p>
      <w:pPr>
        <w:pStyle w:val="1076"/>
        <w:ind w:right="-286"/>
        <w:rPr>
          <w:rFonts w:hint="eastAsia" w:cs="宋体"/>
        </w:rPr>
      </w:pPr>
      <w:r>
        <w:rPr>
          <w:rFonts w:hint="eastAsia" w:cs="宋体"/>
          <w:b/>
          <w:bCs/>
          <w:sz w:val="24"/>
          <w:szCs w:val="24"/>
        </w:rPr>
        <w:t xml:space="preserve">注：</w:t>
      </w:r>
      <w:r>
        <w:rPr>
          <w:rFonts w:hint="eastAsia" w:cs="宋体"/>
        </w:rPr>
        <w:t xml:space="preserve"> </w:t>
      </w:r>
      <w:r>
        <w:rPr>
          <w:rFonts w:hint="eastAsia" w:cs="宋体"/>
          <w:b/>
          <w:bCs/>
          <w:sz w:val="24"/>
          <w:szCs w:val="24"/>
        </w:rPr>
        <w:t xml:space="preserve">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pStyle w:val="1080"/>
        <w:ind w:right="-286"/>
        <w:rPr>
          <w:rFonts w:hint="eastAsia" w:ascii="宋体" w:hAnsi="宋体" w:eastAsia="宋体" w:cs="宋体"/>
          <w:b/>
          <w:sz w:val="44"/>
        </w:rPr>
      </w:pPr>
      <w:r>
        <w:rPr>
          <w:rFonts w:hint="eastAsia" w:ascii="宋体" w:hAnsi="宋体" w:eastAsia="宋体" w:cs="宋体"/>
          <w:bCs/>
          <w:sz w:val="44"/>
        </w:rPr>
        <w:br w:type="page" w:clear="all"/>
      </w:r>
      <w:r>
        <w:rPr>
          <w:rFonts w:hint="eastAsia" w:ascii="宋体" w:hAnsi="宋体" w:eastAsia="宋体" w:cs="宋体"/>
          <w:b/>
          <w:sz w:val="44"/>
        </w:rPr>
        <w:t xml:space="preserve">第六章  投标</w:t>
      </w:r>
      <w:bookmarkEnd w:id="150"/>
      <w:r/>
      <w:bookmarkEnd w:id="151"/>
      <w:r/>
      <w:bookmarkEnd w:id="155"/>
      <w:r>
        <w:rPr>
          <w:rFonts w:hint="eastAsia" w:ascii="宋体" w:hAnsi="宋体" w:eastAsia="宋体" w:cs="宋体"/>
          <w:b/>
          <w:sz w:val="44"/>
        </w:rPr>
        <w:t xml:space="preserve">文件格式</w:t>
      </w:r>
      <w:r/>
    </w:p>
    <w:p>
      <w:pPr>
        <w:ind w:right="-286"/>
        <w:jc w:val="center"/>
        <w:rPr>
          <w:rFonts w:hint="eastAsia" w:ascii="宋体" w:hAnsi="宋体" w:cs="宋体"/>
          <w:b/>
          <w:sz w:val="72"/>
        </w:rPr>
      </w:pPr>
      <w:r/>
      <w:bookmarkStart w:id="442" w:name="_Hlt26955039"/>
      <w:r/>
      <w:bookmarkEnd w:id="442"/>
      <w:r/>
      <w:bookmarkStart w:id="443" w:name="_Hlt26671244"/>
      <w:r/>
      <w:bookmarkEnd w:id="443"/>
      <w:r/>
      <w:bookmarkStart w:id="444" w:name="_Toc26554094"/>
      <w:r/>
      <w:bookmarkStart w:id="445" w:name="_Toc120614282"/>
      <w:r/>
      <w:bookmarkStart w:id="446" w:name="_Toc49090576"/>
      <w:r/>
      <w:r/>
    </w:p>
    <w:p>
      <w:pPr>
        <w:pStyle w:val="888"/>
        <w:ind w:left="1470" w:right="1470"/>
        <w:rPr>
          <w:rFonts w:hint="eastAsia" w:ascii="宋体" w:hAnsi="宋体" w:cs="宋体"/>
          <w:b/>
          <w:sz w:val="72"/>
        </w:rPr>
      </w:pPr>
      <w:r>
        <w:rPr>
          <w:rFonts w:hint="eastAsia" w:ascii="宋体" w:hAnsi="宋体" w:cs="宋体"/>
          <w:b/>
          <w:sz w:val="72"/>
        </w:rPr>
      </w:r>
      <w:r/>
    </w:p>
    <w:p>
      <w:pPr>
        <w:pStyle w:val="888"/>
        <w:ind w:left="1470" w:right="1470"/>
        <w:rPr>
          <w:rFonts w:hint="eastAsia" w:ascii="宋体" w:hAnsi="宋体" w:cs="宋体"/>
          <w:b/>
          <w:sz w:val="72"/>
        </w:rPr>
      </w:pPr>
      <w:r>
        <w:rPr>
          <w:rFonts w:hint="eastAsia" w:ascii="宋体" w:hAnsi="宋体" w:cs="宋体"/>
          <w:b/>
          <w:sz w:val="72"/>
        </w:rPr>
      </w:r>
      <w:r/>
    </w:p>
    <w:p>
      <w:pPr>
        <w:ind w:right="-286"/>
        <w:jc w:val="center"/>
        <w:rPr>
          <w:rFonts w:hint="eastAsia" w:ascii="宋体" w:hAnsi="宋体" w:cs="宋体"/>
          <w:b/>
          <w:sz w:val="72"/>
        </w:rPr>
      </w:pPr>
      <w:r>
        <w:rPr>
          <w:rFonts w:hint="eastAsia" w:ascii="宋体" w:hAnsi="宋体" w:cs="宋体"/>
          <w:b/>
          <w:sz w:val="72"/>
        </w:rPr>
        <w:t xml:space="preserve">投  标  文  件</w:t>
      </w:r>
      <w:r/>
    </w:p>
    <w:p>
      <w:pPr>
        <w:ind w:right="-286"/>
        <w:jc w:val="center"/>
        <w:rPr>
          <w:rFonts w:hint="eastAsia" w:ascii="宋体" w:hAnsi="宋体" w:cs="宋体"/>
          <w:b/>
          <w:sz w:val="72"/>
        </w:rPr>
      </w:pPr>
      <w:r>
        <w:rPr>
          <w:rFonts w:hint="eastAsia" w:ascii="宋体" w:hAnsi="宋体" w:cs="宋体"/>
          <w:b/>
          <w:sz w:val="72"/>
        </w:rPr>
      </w:r>
      <w:r/>
    </w:p>
    <w:p>
      <w:pPr>
        <w:ind w:right="-286"/>
        <w:jc w:val="center"/>
        <w:rPr>
          <w:rFonts w:hint="eastAsia" w:ascii="宋体" w:hAnsi="宋体" w:cs="宋体"/>
          <w:b/>
          <w:sz w:val="72"/>
        </w:rPr>
      </w:pPr>
      <w:r>
        <w:rPr>
          <w:rFonts w:hint="eastAsia" w:ascii="宋体" w:hAnsi="宋体" w:cs="宋体"/>
          <w:b/>
          <w:sz w:val="72"/>
        </w:rPr>
      </w:r>
      <w:r/>
    </w:p>
    <w:p>
      <w:pPr>
        <w:ind w:right="-286"/>
        <w:jc w:val="center"/>
        <w:rPr>
          <w:rFonts w:hint="eastAsia" w:ascii="宋体" w:hAnsi="宋体" w:cs="宋体"/>
          <w:b/>
          <w:sz w:val="36"/>
        </w:rPr>
      </w:pPr>
      <w:r>
        <w:rPr>
          <w:rFonts w:hint="eastAsia" w:ascii="宋体" w:hAnsi="宋体" w:cs="宋体"/>
          <w:b/>
          <w:sz w:val="36"/>
        </w:rPr>
      </w:r>
      <w:r/>
    </w:p>
    <w:p>
      <w:pPr>
        <w:ind w:right="-286"/>
        <w:jc w:val="center"/>
        <w:rPr>
          <w:rFonts w:hint="eastAsia" w:ascii="宋体" w:hAnsi="宋体" w:cs="宋体"/>
          <w:b/>
          <w:sz w:val="36"/>
        </w:rPr>
      </w:pPr>
      <w:r>
        <w:rPr>
          <w:rFonts w:hint="eastAsia" w:ascii="宋体" w:hAnsi="宋体" w:cs="宋体"/>
          <w:b/>
          <w:sz w:val="36"/>
        </w:rPr>
      </w:r>
      <w:r/>
    </w:p>
    <w:p>
      <w:pPr>
        <w:ind w:right="-286"/>
        <w:jc w:val="center"/>
        <w:rPr>
          <w:rFonts w:hint="eastAsia" w:ascii="宋体" w:hAnsi="宋体" w:cs="宋体"/>
          <w:b/>
          <w:sz w:val="36"/>
        </w:rPr>
      </w:pPr>
      <w:r>
        <w:rPr>
          <w:rFonts w:hint="eastAsia" w:ascii="宋体" w:hAnsi="宋体" w:cs="宋体"/>
          <w:b/>
          <w:sz w:val="36"/>
        </w:rPr>
      </w:r>
      <w:r/>
    </w:p>
    <w:p>
      <w:pPr>
        <w:ind w:right="-286"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right="-286" w:firstLine="1084"/>
        <w:rPr>
          <w:rFonts w:hint="eastAsia" w:ascii="宋体" w:hAnsi="宋体" w:cs="宋体"/>
          <w:b/>
          <w:sz w:val="36"/>
          <w:u w:val="single"/>
        </w:rPr>
      </w:pPr>
      <w:r>
        <w:rPr>
          <w:rFonts w:hint="eastAsia" w:ascii="宋体" w:hAnsi="宋体" w:cs="宋体"/>
          <w:b/>
          <w:sz w:val="36"/>
        </w:rPr>
        <w:t xml:space="preserve">招 标 编 号：</w:t>
      </w:r>
      <w:r>
        <w:rPr>
          <w:rFonts w:hint="eastAsia" w:ascii="宋体" w:hAnsi="宋体" w:cs="宋体"/>
          <w:b/>
          <w:sz w:val="36"/>
          <w:u w:val="single"/>
        </w:rPr>
        <w:t xml:space="preserve">               </w:t>
      </w:r>
      <w:r/>
    </w:p>
    <w:p>
      <w:pPr>
        <w:ind w:right="-286"/>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right="-286"/>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right="-286"/>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jc w:val="center"/>
        <w:spacing w:line="440" w:lineRule="exact"/>
        <w:rPr>
          <w:rFonts w:hint="eastAsia" w:ascii="宋体" w:hAnsi="宋体" w:cs="宋体"/>
          <w:b/>
          <w:sz w:val="30"/>
          <w:szCs w:val="30"/>
        </w:rPr>
      </w:pPr>
      <w:r>
        <w:rPr>
          <w:rFonts w:hint="eastAsia" w:ascii="宋体" w:hAnsi="宋体" w:cs="宋体"/>
          <w:sz w:val="24"/>
        </w:rPr>
        <w:br w:type="page" w:clear="all"/>
      </w:r>
      <w:r>
        <w:rPr>
          <w:rFonts w:hint="eastAsia" w:ascii="宋体" w:hAnsi="宋体" w:cs="宋体"/>
          <w:b/>
          <w:sz w:val="30"/>
          <w:szCs w:val="30"/>
        </w:rPr>
        <w:t xml:space="preserve">评分索引表</w:t>
      </w:r>
      <w:r/>
    </w:p>
    <w:p>
      <w:pPr>
        <w:ind w:right="-286"/>
        <w:jc w:val="center"/>
        <w:spacing w:line="440" w:lineRule="exact"/>
        <w:rPr>
          <w:rFonts w:hint="eastAsia" w:ascii="宋体" w:hAnsi="宋体" w:cs="宋体"/>
          <w:b/>
          <w:sz w:val="30"/>
          <w:szCs w:val="30"/>
        </w:rPr>
      </w:pPr>
      <w:r>
        <w:rPr>
          <w:rFonts w:hint="eastAsia" w:ascii="宋体" w:hAnsi="宋体" w:cs="宋体"/>
          <w:b/>
          <w:sz w:val="30"/>
          <w:szCs w:val="30"/>
        </w:rPr>
      </w:r>
      <w:r/>
    </w:p>
    <w:tbl>
      <w:tblPr>
        <w:tblStyle w:val="8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1089"/>
              <w:contextualSpacing/>
              <w:ind w:left="420" w:right="-286"/>
              <w:jc w:val="center"/>
              <w:spacing w:line="265" w:lineRule="atLeast"/>
              <w:shd w:val="clear" w:color="auto" w:fill="ffffff"/>
              <w:widowControl/>
              <w:rPr>
                <w:rFonts w:hint="eastAsia" w:ascii="宋体" w:hAnsi="宋体" w:eastAsia="宋体" w:cs="宋体"/>
                <w:b/>
                <w:bCs/>
                <w:sz w:val="24"/>
                <w:szCs w:val="24"/>
                <w:lang w:val="en-US" w:eastAsia="zh-CN" w:bidi="en-US"/>
              </w:rPr>
            </w:pPr>
            <w:r>
              <w:rPr>
                <w:rFonts w:hint="eastAsia" w:ascii="宋体" w:hAnsi="宋体" w:eastAsia="宋体" w:cs="宋体"/>
                <w:b/>
                <w:sz w:val="24"/>
                <w:szCs w:val="24"/>
                <w:lang w:val="en-US" w:eastAsia="en-US" w:bidi="en-US"/>
              </w:rPr>
              <w:t xml:space="preserve">评分项目</w:t>
            </w:r>
            <w:r/>
          </w:p>
        </w:tc>
        <w:tc>
          <w:tcPr>
            <w:tcW w:w="3570" w:type="dxa"/>
            <w:vAlign w:val="top"/>
            <w:textDirection w:val="lrTb"/>
            <w:noWrap w:val="false"/>
          </w:tcPr>
          <w:p>
            <w:pPr>
              <w:ind w:right="-286"/>
              <w:jc w:val="center"/>
              <w:widowControl w:val="off"/>
              <w:rPr>
                <w:rFonts w:hint="eastAsia" w:ascii="宋体" w:hAnsi="宋体" w:eastAsia="宋体" w:cs="宋体"/>
                <w:b/>
                <w:sz w:val="21"/>
                <w:szCs w:val="21"/>
                <w:lang w:val="en-US" w:eastAsia="zh-CN" w:bidi="ar-SA"/>
              </w:rPr>
            </w:pPr>
            <w:r>
              <w:rPr>
                <w:rFonts w:hint="eastAsia" w:ascii="宋体" w:hAnsi="宋体" w:eastAsia="宋体" w:cs="宋体"/>
                <w:b/>
                <w:sz w:val="24"/>
                <w:szCs w:val="21"/>
                <w:lang w:val="en-US" w:eastAsia="zh-CN" w:bidi="en-US"/>
              </w:rPr>
              <w:t xml:space="preserve">在投标文件中的页码位置</w:t>
            </w:r>
            <w:r/>
          </w:p>
        </w:tc>
      </w:tr>
      <w:tr>
        <w:trPr>
          <w:trHeight w:val="446"/>
        </w:trPr>
        <w:tc>
          <w:tcPr>
            <w:tcW w:w="5670" w:type="dxa"/>
            <w:vAlign w:val="top"/>
            <w:textDirection w:val="lrTb"/>
            <w:noWrap w:val="false"/>
          </w:tcPr>
          <w:p>
            <w:pPr>
              <w:pStyle w:val="1089"/>
              <w:contextualSpacing/>
              <w:ind w:left="420" w:right="-286"/>
              <w:jc w:val="both"/>
              <w:spacing w:line="265" w:lineRule="atLeast"/>
              <w:shd w:val="clear" w:color="auto" w:fill="ffffff"/>
              <w:widowControl/>
              <w:rPr>
                <w:rFonts w:hint="eastAsia" w:ascii="宋体" w:hAnsi="宋体" w:eastAsia="宋体" w:cs="宋体"/>
                <w:b/>
                <w:sz w:val="24"/>
                <w:szCs w:val="24"/>
                <w:lang w:val="en-US" w:eastAsia="zh-CN" w:bidi="en-US"/>
              </w:rPr>
            </w:pPr>
            <w:r>
              <w:rPr>
                <w:rFonts w:hint="eastAsia" w:ascii="宋体" w:hAnsi="宋体" w:eastAsia="宋体" w:cs="宋体"/>
                <w:b/>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b/>
                <w:sz w:val="24"/>
                <w:szCs w:val="21"/>
                <w:lang w:val="en-US" w:eastAsia="zh-CN" w:bidi="en-US"/>
              </w:rPr>
            </w:pPr>
            <w:r>
              <w:rPr>
                <w:rFonts w:hint="eastAsia" w:ascii="宋体" w:hAnsi="宋体" w:eastAsia="宋体" w:cs="宋体"/>
                <w:b/>
                <w:sz w:val="24"/>
                <w:szCs w:val="21"/>
                <w:lang w:val="en-US" w:eastAsia="zh-CN" w:bidi="en-US"/>
              </w:rPr>
            </w:r>
            <w:r/>
          </w:p>
        </w:tc>
      </w:tr>
      <w:tr>
        <w:trPr>
          <w:trHeight w:val="300"/>
        </w:trPr>
        <w:tc>
          <w:tcPr>
            <w:gridSpan w:val="2"/>
            <w:tcW w:w="9240" w:type="dxa"/>
            <w:vAlign w:val="top"/>
            <w:textDirection w:val="lrTb"/>
            <w:noWrap w:val="false"/>
          </w:tcPr>
          <w:p>
            <w:pPr>
              <w:pStyle w:val="1089"/>
              <w:contextualSpacing/>
              <w:ind w:left="420" w:right="-286"/>
              <w:jc w:val="both"/>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r>
      <w:tr>
        <w:trPr>
          <w:trHeight w:val="32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6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6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89"/>
        </w:trPr>
        <w:tc>
          <w:tcPr>
            <w:gridSpan w:val="2"/>
            <w:tcW w:w="9240" w:type="dxa"/>
            <w:vAlign w:val="top"/>
            <w:textDirection w:val="lrTb"/>
            <w:noWrap w:val="false"/>
          </w:tcPr>
          <w:p>
            <w:pPr>
              <w:pStyle w:val="1089"/>
              <w:contextualSpacing/>
              <w:ind w:left="420" w:right="-286"/>
              <w:jc w:val="both"/>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r>
      <w:tr>
        <w:trPr>
          <w:trHeight w:val="60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16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9"/>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78"/>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69"/>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60"/>
        </w:trPr>
        <w:tc>
          <w:tcPr>
            <w:gridSpan w:val="2"/>
            <w:tcW w:w="9240" w:type="dxa"/>
            <w:vAlign w:val="top"/>
            <w:textDirection w:val="lrTb"/>
            <w:noWrap w:val="false"/>
          </w:tcPr>
          <w:p>
            <w:pPr>
              <w:pStyle w:val="1089"/>
              <w:contextualSpacing/>
              <w:ind w:left="420" w:right="-286"/>
              <w:jc w:val="both"/>
              <w:spacing w:line="265" w:lineRule="atLeast"/>
              <w:shd w:val="clear" w:color="auto" w:fill="ffffff"/>
              <w:widowControl/>
              <w:rPr>
                <w:rFonts w:hint="eastAsia" w:ascii="宋体" w:hAnsi="宋体" w:eastAsia="宋体" w:cs="宋体"/>
                <w:b/>
                <w:sz w:val="24"/>
                <w:szCs w:val="24"/>
                <w:lang w:val="en-US" w:eastAsia="zh-CN" w:bidi="en-US"/>
              </w:rPr>
            </w:pPr>
            <w:r>
              <w:rPr>
                <w:rFonts w:hint="eastAsia" w:ascii="宋体" w:hAnsi="宋体" w:eastAsia="宋体" w:cs="宋体"/>
                <w:b/>
                <w:sz w:val="24"/>
                <w:szCs w:val="24"/>
                <w:lang w:val="en-US" w:eastAsia="zh-CN" w:bidi="en-US"/>
              </w:rPr>
            </w:r>
            <w:r/>
          </w:p>
        </w:tc>
      </w:tr>
      <w:tr>
        <w:trPr>
          <w:trHeight w:val="32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b/>
                <w:bCs/>
                <w:sz w:val="24"/>
                <w:szCs w:val="24"/>
                <w:lang w:val="en-US" w:eastAsia="zh-CN" w:bidi="en-US"/>
              </w:rPr>
            </w:pPr>
            <w:r>
              <w:rPr>
                <w:rFonts w:hint="eastAsia" w:ascii="宋体" w:hAnsi="宋体" w:eastAsia="宋体" w:cs="宋体"/>
                <w:b/>
                <w:bCs/>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20"/>
        </w:trPr>
        <w:tc>
          <w:tcPr>
            <w:tcW w:w="5670" w:type="dxa"/>
            <w:vAlign w:val="top"/>
            <w:textDirection w:val="lrTb"/>
            <w:noWrap w:val="false"/>
          </w:tcPr>
          <w:p>
            <w:pPr>
              <w:pStyle w:val="1089"/>
              <w:contextualSpacing/>
              <w:ind w:left="420" w:right="-286"/>
              <w:jc w:val="left"/>
              <w:spacing w:line="265" w:lineRule="atLeast"/>
              <w:shd w:val="clear" w:color="auto" w:fill="ffffff"/>
              <w:widowControl/>
              <w:rPr>
                <w:rFonts w:hint="eastAsia" w:ascii="宋体" w:hAnsi="宋体" w:eastAsia="宋体" w:cs="宋体"/>
                <w:b/>
                <w:bCs/>
                <w:sz w:val="24"/>
                <w:szCs w:val="24"/>
                <w:lang w:val="en-US" w:eastAsia="zh-CN" w:bidi="en-US"/>
              </w:rPr>
            </w:pPr>
            <w:r>
              <w:rPr>
                <w:rFonts w:hint="eastAsia" w:ascii="宋体" w:hAnsi="宋体" w:eastAsia="宋体" w:cs="宋体"/>
                <w:b/>
                <w:bCs/>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60"/>
        </w:trPr>
        <w:tc>
          <w:tcPr>
            <w:gridSpan w:val="2"/>
            <w:tcW w:w="9240" w:type="dxa"/>
            <w:vAlign w:val="top"/>
            <w:textDirection w:val="lrTb"/>
            <w:noWrap w:val="false"/>
          </w:tcPr>
          <w:p>
            <w:pPr>
              <w:pStyle w:val="1089"/>
              <w:contextualSpacing/>
              <w:ind w:left="420" w:right="-286"/>
              <w:jc w:val="both"/>
              <w:spacing w:line="265" w:lineRule="atLeast"/>
              <w:shd w:val="clear" w:color="auto" w:fill="ffffff"/>
              <w:widowControl/>
              <w:rPr>
                <w:rFonts w:hint="eastAsia" w:ascii="宋体" w:hAnsi="宋体" w:eastAsia="宋体" w:cs="宋体"/>
                <w:b/>
                <w:sz w:val="24"/>
                <w:szCs w:val="24"/>
                <w:lang w:val="en-US" w:eastAsia="zh-CN" w:bidi="en-US"/>
              </w:rPr>
            </w:pPr>
            <w:r>
              <w:rPr>
                <w:rFonts w:hint="eastAsia" w:ascii="宋体" w:hAnsi="宋体" w:eastAsia="宋体" w:cs="宋体"/>
                <w:b/>
                <w:sz w:val="24"/>
                <w:szCs w:val="24"/>
                <w:lang w:val="en-US" w:eastAsia="zh-CN" w:bidi="en-US"/>
              </w:rPr>
            </w:r>
            <w:r/>
          </w:p>
        </w:tc>
      </w:tr>
      <w:tr>
        <w:trPr>
          <w:trHeight w:val="500"/>
        </w:trPr>
        <w:tc>
          <w:tcPr>
            <w:tcW w:w="5670" w:type="dxa"/>
            <w:vAlign w:val="top"/>
            <w:textDirection w:val="lrTb"/>
            <w:noWrap w:val="false"/>
          </w:tcPr>
          <w:p>
            <w:pPr>
              <w:pStyle w:val="1089"/>
              <w:contextualSpacing/>
              <w:ind w:left="0" w:right="-286" w:firstLine="480"/>
              <w:jc w:val="left"/>
              <w:spacing w:line="265" w:lineRule="atLeast"/>
              <w:shd w:val="clear" w:color="auto" w:fill="ffffff"/>
              <w:widowControl/>
              <w:rPr>
                <w:rFonts w:hint="eastAsia" w:ascii="宋体" w:hAnsi="宋体" w:eastAsia="宋体" w:cs="宋体"/>
                <w:sz w:val="24"/>
                <w:szCs w:val="21"/>
                <w:lang w:val="en-US" w:eastAsia="zh-CN" w:bidi="en-US"/>
              </w:rPr>
            </w:pPr>
            <w:r>
              <w:rPr>
                <w:rFonts w:hint="eastAsia" w:ascii="宋体" w:hAnsi="宋体" w:eastAsia="宋体" w:cs="宋体"/>
                <w:sz w:val="24"/>
                <w:szCs w:val="21"/>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40"/>
        </w:trPr>
        <w:tc>
          <w:tcPr>
            <w:tcBorders>
              <w:bottom w:val="single" w:color="000000" w:sz="4" w:space="0"/>
            </w:tcBorders>
            <w:tcW w:w="5670" w:type="dxa"/>
            <w:vAlign w:val="top"/>
            <w:textDirection w:val="lrTb"/>
            <w:noWrap w:val="false"/>
          </w:tcPr>
          <w:p>
            <w:pPr>
              <w:pStyle w:val="1089"/>
              <w:contextualSpacing/>
              <w:ind w:left="0" w:right="-286" w:firstLine="480"/>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Borders>
              <w:bottom w:val="single" w:color="000000" w:sz="4" w:space="0"/>
            </w:tcBorders>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ind w:right="-286"/>
        <w:rPr>
          <w:rFonts w:hint="eastAsia" w:ascii="宋体" w:hAnsi="宋体" w:cs="宋体"/>
        </w:rPr>
      </w:pPr>
      <w:r>
        <w:rPr>
          <w:rFonts w:hint="eastAsia" w:ascii="宋体" w:hAnsi="宋体" w:cs="宋体"/>
        </w:rPr>
      </w:r>
      <w:r/>
    </w:p>
    <w:p>
      <w:pPr>
        <w:ind w:right="-286" w:firstLine="1084"/>
        <w:jc w:val="center"/>
        <w:rPr>
          <w:rFonts w:hint="eastAsia" w:ascii="宋体" w:hAnsi="宋体" w:cs="宋体"/>
          <w:b/>
          <w:bCs/>
          <w:sz w:val="32"/>
          <w:szCs w:val="32"/>
        </w:rPr>
      </w:pPr>
      <w:r>
        <w:rPr>
          <w:rFonts w:hint="eastAsia" w:ascii="宋体" w:hAnsi="宋体" w:cs="宋体"/>
          <w:b/>
          <w:sz w:val="36"/>
          <w:u w:val="single"/>
        </w:rPr>
        <w:br w:type="page" w:clear="all"/>
      </w:r>
      <w:r>
        <w:rPr>
          <w:rFonts w:hint="eastAsia" w:ascii="宋体" w:hAnsi="宋体" w:cs="宋体"/>
          <w:b/>
          <w:bCs/>
          <w:sz w:val="32"/>
          <w:szCs w:val="32"/>
        </w:rPr>
        <w:t xml:space="preserve">投标主要文件目录</w:t>
      </w:r>
      <w:r/>
    </w:p>
    <w:p>
      <w:pPr>
        <w:ind w:right="-286"/>
        <w:jc w:val="center"/>
        <w:spacing w:line="440" w:lineRule="exact"/>
        <w:rPr>
          <w:rFonts w:hint="eastAsia" w:ascii="宋体" w:hAnsi="宋体" w:cs="宋体"/>
          <w:b/>
          <w:bCs/>
          <w:sz w:val="32"/>
          <w:szCs w:val="32"/>
        </w:rPr>
      </w:pPr>
      <w:r>
        <w:rPr>
          <w:rFonts w:hint="eastAsia" w:ascii="宋体" w:hAnsi="宋体" w:cs="宋体"/>
          <w:b/>
          <w:bCs/>
          <w:sz w:val="32"/>
          <w:szCs w:val="32"/>
        </w:rPr>
      </w:r>
      <w:r/>
    </w:p>
    <w:p>
      <w:pPr>
        <w:numPr>
          <w:ilvl w:val="0"/>
          <w:numId w:val="13"/>
        </w:numPr>
        <w:ind w:right="-286"/>
        <w:spacing w:line="360" w:lineRule="auto"/>
        <w:rPr>
          <w:rFonts w:hint="eastAsia" w:ascii="宋体" w:hAnsi="宋体" w:cs="宋体"/>
          <w:bCs/>
          <w:sz w:val="24"/>
        </w:rPr>
      </w:pPr>
      <w:r>
        <w:rPr>
          <w:rFonts w:hint="eastAsia" w:ascii="宋体" w:hAnsi="宋体" w:cs="宋体"/>
          <w:bCs/>
          <w:sz w:val="24"/>
        </w:rPr>
        <w:t xml:space="preserve">资信证明文件</w:t>
      </w:r>
      <w:r/>
    </w:p>
    <w:p>
      <w:pPr>
        <w:numPr>
          <w:ilvl w:val="0"/>
          <w:numId w:val="13"/>
        </w:numPr>
        <w:ind w:right="-286"/>
        <w:spacing w:line="360" w:lineRule="auto"/>
        <w:rPr>
          <w:rFonts w:hint="eastAsia" w:ascii="宋体" w:hAnsi="宋体" w:cs="宋体"/>
          <w:sz w:val="24"/>
        </w:rPr>
      </w:pPr>
      <w:r>
        <w:rPr>
          <w:rFonts w:hint="eastAsia" w:ascii="宋体" w:hAnsi="宋体" w:cs="宋体"/>
          <w:sz w:val="24"/>
        </w:rPr>
        <w:t xml:space="preserve">资格性审查响应对照表</w:t>
      </w:r>
      <w:r/>
    </w:p>
    <w:p>
      <w:pPr>
        <w:ind w:right="-286" w:firstLine="480"/>
        <w:spacing w:line="360" w:lineRule="auto"/>
        <w:rPr>
          <w:rFonts w:hint="eastAsia" w:ascii="宋体" w:hAnsi="宋体" w:cs="宋体"/>
          <w:bCs/>
          <w:sz w:val="24"/>
        </w:rPr>
      </w:pPr>
      <w:r>
        <w:rPr>
          <w:rFonts w:hint="eastAsia" w:ascii="宋体" w:hAnsi="宋体" w:cs="宋体"/>
          <w:sz w:val="24"/>
        </w:rPr>
        <w:t xml:space="preserve">三、符合性检查响应对照表</w:t>
      </w:r>
      <w:r/>
    </w:p>
    <w:p>
      <w:pPr>
        <w:ind w:right="-286" w:firstLine="480"/>
        <w:spacing w:line="360" w:lineRule="auto"/>
        <w:rPr>
          <w:rFonts w:hint="eastAsia" w:ascii="宋体" w:hAnsi="宋体" w:cs="宋体"/>
          <w:sz w:val="24"/>
        </w:rPr>
      </w:pPr>
      <w:r>
        <w:rPr>
          <w:rFonts w:hint="eastAsia" w:ascii="宋体" w:hAnsi="宋体" w:cs="宋体"/>
          <w:sz w:val="24"/>
        </w:rPr>
        <w:t xml:space="preserve">四、投标函</w:t>
      </w:r>
      <w:r/>
    </w:p>
    <w:p>
      <w:pPr>
        <w:ind w:right="-286"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b/>
          <w:bCs/>
          <w:sz w:val="24"/>
        </w:rPr>
        <w:t xml:space="preserve">、</w:t>
      </w:r>
      <w:r>
        <w:rPr>
          <w:rFonts w:hint="eastAsia" w:ascii="宋体" w:hAnsi="宋体" w:cs="宋体"/>
          <w:sz w:val="24"/>
        </w:rPr>
        <w:t xml:space="preserve">开标一览表</w:t>
      </w:r>
      <w:r/>
    </w:p>
    <w:p>
      <w:pPr>
        <w:ind w:right="-286" w:firstLine="480"/>
        <w:spacing w:line="360" w:lineRule="auto"/>
        <w:rPr>
          <w:rFonts w:hint="eastAsia" w:ascii="宋体" w:hAnsi="宋体" w:cs="宋体"/>
          <w:sz w:val="24"/>
        </w:rPr>
      </w:pPr>
      <w:r>
        <w:rPr>
          <w:rFonts w:hint="eastAsia" w:ascii="宋体" w:hAnsi="宋体" w:cs="宋体"/>
          <w:sz w:val="24"/>
        </w:rPr>
        <w:t xml:space="preserve">六、投标报价分项表</w:t>
      </w:r>
      <w:r/>
    </w:p>
    <w:p>
      <w:pPr>
        <w:ind w:right="-286" w:firstLine="480"/>
        <w:spacing w:line="360" w:lineRule="auto"/>
        <w:rPr>
          <w:rFonts w:hint="eastAsia" w:ascii="宋体" w:hAnsi="宋体" w:cs="宋体"/>
          <w:sz w:val="24"/>
          <w:szCs w:val="24"/>
        </w:rPr>
      </w:pPr>
      <w:r>
        <w:rPr>
          <w:rFonts w:hint="eastAsia" w:ascii="宋体" w:hAnsi="宋体" w:cs="宋体"/>
          <w:sz w:val="24"/>
          <w:szCs w:val="24"/>
        </w:rPr>
        <w:t xml:space="preserve">七、技术部分</w:t>
      </w:r>
      <w:r/>
    </w:p>
    <w:p>
      <w:pPr>
        <w:ind w:right="-286" w:firstLine="480"/>
        <w:spacing w:line="360" w:lineRule="auto"/>
        <w:rPr>
          <w:rFonts w:hint="eastAsia" w:ascii="宋体" w:hAnsi="宋体" w:cs="宋体"/>
          <w:sz w:val="24"/>
          <w:szCs w:val="24"/>
        </w:rPr>
      </w:pPr>
      <w:r>
        <w:rPr>
          <w:rFonts w:hint="eastAsia" w:ascii="宋体" w:hAnsi="宋体" w:cs="宋体"/>
          <w:sz w:val="24"/>
          <w:szCs w:val="24"/>
        </w:rPr>
        <w:t xml:space="preserve">八、招标文件中规定要求提供的证明材料和投标人认为需要提供的其他材料</w:t>
      </w:r>
      <w:r/>
    </w:p>
    <w:p>
      <w:pPr>
        <w:ind w:right="-286" w:firstLine="480"/>
        <w:spacing w:line="360" w:lineRule="auto"/>
        <w:rPr>
          <w:rFonts w:hint="eastAsia" w:ascii="宋体" w:hAnsi="宋体" w:cs="宋体"/>
          <w:sz w:val="24"/>
          <w:szCs w:val="24"/>
        </w:rPr>
      </w:pPr>
      <w:r>
        <w:rPr>
          <w:rFonts w:hint="eastAsia" w:ascii="宋体" w:hAnsi="宋体" w:cs="宋体"/>
          <w:sz w:val="24"/>
          <w:szCs w:val="24"/>
        </w:rPr>
        <w:t xml:space="preserve">九、盐城市大丰区政府采购供应商承诺书</w:t>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numPr>
          <w:ilvl w:val="0"/>
          <w:numId w:val="14"/>
        </w:numPr>
        <w:ind w:right="-286"/>
        <w:jc w:val="center"/>
        <w:spacing w:before="50" w:after="50"/>
        <w:rPr>
          <w:rFonts w:hint="eastAsia"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 xml:space="preserve">资信证明文件要求</w:t>
      </w:r>
      <w:r/>
    </w:p>
    <w:p>
      <w:pPr>
        <w:pStyle w:val="1089"/>
        <w:ind w:left="0" w:right="-286"/>
        <w:rPr>
          <w:rFonts w:hint="eastAsia" w:ascii="宋体" w:hAnsi="宋体" w:cs="宋体"/>
        </w:rPr>
      </w:pPr>
      <w:r>
        <w:rPr>
          <w:rFonts w:hint="eastAsia" w:ascii="宋体" w:hAnsi="宋体" w:cs="宋体"/>
        </w:rPr>
      </w:r>
      <w:r/>
    </w:p>
    <w:p>
      <w:pPr>
        <w:ind w:right="-286"/>
        <w:spacing w:before="50" w:after="50"/>
        <w:rPr>
          <w:rFonts w:hint="eastAsia" w:ascii="宋体" w:hAnsi="宋体" w:cs="宋体"/>
          <w:sz w:val="24"/>
          <w:szCs w:val="20"/>
        </w:rPr>
      </w:pPr>
      <w:r>
        <w:rPr>
          <w:rFonts w:hint="eastAsia" w:ascii="宋体" w:hAnsi="宋体" w:cs="宋体"/>
          <w:sz w:val="44"/>
        </w:rPr>
        <w:t xml:space="preserve"> </w:t>
      </w:r>
      <w:r>
        <w:rPr>
          <w:rFonts w:hint="eastAsia" w:ascii="宋体" w:hAnsi="宋体" w:cs="宋体"/>
          <w:b/>
          <w:bCs/>
          <w:sz w:val="24"/>
        </w:rPr>
        <w:t xml:space="preserve">1、实质性资格证明文件目录</w:t>
      </w:r>
      <w:r/>
    </w:p>
    <w:p>
      <w:pPr>
        <w:pStyle w:val="1079"/>
        <w:ind w:right="-286"/>
        <w:spacing w:line="360" w:lineRule="auto"/>
        <w:rPr>
          <w:rFonts w:hint="eastAsia" w:ascii="宋体" w:hAnsi="宋体" w:cs="宋体"/>
          <w:sz w:val="24"/>
          <w:szCs w:val="24"/>
        </w:rPr>
      </w:pPr>
      <w:r>
        <w:rPr>
          <w:rFonts w:hint="eastAsia" w:ascii="宋体" w:hAnsi="宋体" w:cs="宋体"/>
          <w:sz w:val="24"/>
          <w:szCs w:val="24"/>
        </w:rPr>
        <w:t xml:space="preserve">文件1  法人或者其他组织的营业执照等证明文件，自然人的身份证明</w:t>
      </w:r>
      <w:r/>
    </w:p>
    <w:p>
      <w:pPr>
        <w:pStyle w:val="1079"/>
        <w:ind w:right="-286"/>
        <w:spacing w:line="360" w:lineRule="auto"/>
        <w:rPr>
          <w:rFonts w:hint="eastAsia" w:ascii="宋体" w:hAnsi="宋体" w:cs="宋体"/>
          <w:sz w:val="24"/>
          <w:szCs w:val="24"/>
        </w:rPr>
      </w:pPr>
      <w:r>
        <w:rPr>
          <w:rFonts w:hint="eastAsia" w:ascii="宋体" w:hAnsi="宋体" w:cs="宋体"/>
          <w:sz w:val="24"/>
          <w:szCs w:val="24"/>
        </w:rPr>
        <w:t xml:space="preserve">文件2  上一年度财务状况报告（成立不满一年不需提供）</w:t>
      </w:r>
      <w:r/>
    </w:p>
    <w:p>
      <w:pPr>
        <w:pStyle w:val="1079"/>
        <w:ind w:right="-286"/>
        <w:spacing w:line="360" w:lineRule="auto"/>
        <w:rPr>
          <w:rFonts w:hint="eastAsia" w:ascii="宋体" w:hAnsi="宋体" w:cs="宋体"/>
          <w:sz w:val="24"/>
          <w:szCs w:val="24"/>
        </w:rPr>
      </w:pPr>
      <w:r>
        <w:rPr>
          <w:rFonts w:hint="eastAsia" w:ascii="宋体" w:hAnsi="宋体" w:cs="宋体"/>
          <w:sz w:val="24"/>
          <w:szCs w:val="24"/>
        </w:rPr>
        <w:t xml:space="preserve">文件3  依法缴纳税收和社会保障资金的相关材料</w:t>
      </w:r>
      <w:r/>
    </w:p>
    <w:p>
      <w:pPr>
        <w:pStyle w:val="1079"/>
        <w:ind w:right="-286"/>
        <w:spacing w:line="360" w:lineRule="auto"/>
        <w:rPr>
          <w:rFonts w:hint="eastAsia" w:ascii="宋体" w:hAnsi="宋体" w:cs="宋体"/>
          <w:sz w:val="24"/>
          <w:szCs w:val="24"/>
        </w:rPr>
      </w:pPr>
      <w:r>
        <w:rPr>
          <w:rFonts w:hint="eastAsia" w:ascii="宋体" w:hAnsi="宋体" w:cs="宋体"/>
          <w:sz w:val="24"/>
          <w:szCs w:val="24"/>
        </w:rPr>
        <w:t xml:space="preserve">文件4  具备履行合同所必需的设备和专业技术能力证明材料</w:t>
      </w:r>
      <w:r/>
    </w:p>
    <w:p>
      <w:pPr>
        <w:pStyle w:val="1079"/>
        <w:ind w:right="-286"/>
        <w:spacing w:line="360" w:lineRule="auto"/>
        <w:rPr>
          <w:rFonts w:hint="eastAsia" w:ascii="宋体" w:hAnsi="宋体" w:cs="宋体"/>
          <w:sz w:val="24"/>
          <w:szCs w:val="24"/>
        </w:rPr>
      </w:pPr>
      <w:r>
        <w:rPr>
          <w:rFonts w:hint="eastAsia" w:ascii="宋体" w:hAnsi="宋体" w:cs="宋体"/>
          <w:sz w:val="24"/>
          <w:szCs w:val="24"/>
        </w:rPr>
        <w:t xml:space="preserve">文件5  参加政府采购活动前 3 年内在经营活动中没有重大违法记录的书面声明</w:t>
      </w:r>
      <w:r/>
    </w:p>
    <w:p>
      <w:pPr>
        <w:pStyle w:val="1079"/>
        <w:ind w:right="-286"/>
        <w:spacing w:line="360" w:lineRule="auto"/>
        <w:rPr>
          <w:rFonts w:hint="eastAsia" w:ascii="宋体" w:hAnsi="宋体" w:cs="宋体"/>
          <w:sz w:val="24"/>
          <w:szCs w:val="24"/>
        </w:rPr>
      </w:pPr>
      <w:r>
        <w:rPr>
          <w:rFonts w:hint="eastAsia" w:ascii="宋体" w:hAnsi="宋体" w:cs="宋体"/>
          <w:sz w:val="24"/>
          <w:szCs w:val="24"/>
        </w:rPr>
        <w:t xml:space="preserve">文件6  法人授权书</w:t>
      </w:r>
      <w:r/>
    </w:p>
    <w:p>
      <w:pPr>
        <w:pStyle w:val="1079"/>
        <w:ind w:right="-286"/>
        <w:spacing w:line="360" w:lineRule="auto"/>
        <w:rPr>
          <w:rFonts w:hint="eastAsia" w:ascii="宋体" w:hAnsi="宋体" w:cs="宋体"/>
          <w:sz w:val="24"/>
          <w:szCs w:val="24"/>
        </w:rPr>
      </w:pPr>
      <w:r>
        <w:rPr>
          <w:rFonts w:hint="eastAsia" w:ascii="宋体" w:hAnsi="宋体" w:cs="宋体"/>
          <w:sz w:val="24"/>
          <w:szCs w:val="24"/>
        </w:rPr>
        <w:t xml:space="preserve">文件7  招标文件中规定要求提供的证明材料和投标人认为需要提供的其他材料</w:t>
      </w:r>
      <w:r/>
    </w:p>
    <w:p>
      <w:pPr>
        <w:ind w:right="-286"/>
        <w:jc w:val="left"/>
        <w:spacing w:before="50" w:after="145"/>
        <w:rPr>
          <w:rFonts w:hint="eastAsia" w:ascii="宋体" w:hAnsi="宋体" w:cs="宋体"/>
          <w:b/>
          <w:i/>
          <w:sz w:val="24"/>
          <w:u w:val="single"/>
        </w:rPr>
      </w:pPr>
      <w:r>
        <w:rPr>
          <w:rFonts w:hint="eastAsia" w:ascii="宋体" w:hAnsi="宋体" w:cs="宋体"/>
          <w:b/>
          <w:i/>
          <w:sz w:val="24"/>
          <w:u w:val="single"/>
        </w:rPr>
      </w:r>
      <w:r/>
    </w:p>
    <w:p>
      <w:pPr>
        <w:ind w:right="-286" w:firstLine="482"/>
        <w:spacing w:before="50" w:after="50"/>
        <w:rPr>
          <w:rFonts w:hint="eastAsia" w:ascii="宋体" w:hAnsi="宋体" w:cs="宋体"/>
          <w:sz w:val="24"/>
          <w:szCs w:val="20"/>
        </w:rPr>
      </w:pPr>
      <w:r>
        <w:rPr>
          <w:rFonts w:hint="eastAsia" w:ascii="宋体" w:hAnsi="宋体" w:cs="宋体"/>
          <w:b/>
          <w:bCs/>
          <w:sz w:val="24"/>
        </w:rPr>
        <w:t xml:space="preserve">2、非实质性资信证明文件目录</w:t>
      </w:r>
      <w:r/>
    </w:p>
    <w:p>
      <w:pPr>
        <w:pStyle w:val="1079"/>
        <w:ind w:right="-286"/>
        <w:spacing w:line="360" w:lineRule="auto"/>
        <w:rPr>
          <w:rFonts w:hint="eastAsia" w:ascii="宋体" w:hAnsi="宋体" w:cs="宋体"/>
          <w:sz w:val="24"/>
          <w:szCs w:val="24"/>
        </w:rPr>
      </w:pPr>
      <w:r>
        <w:rPr>
          <w:rFonts w:hint="eastAsia" w:ascii="宋体" w:hAnsi="宋体" w:cs="宋体"/>
          <w:sz w:val="24"/>
          <w:szCs w:val="24"/>
        </w:rPr>
        <w:t xml:space="preserve">格式1  《企业申明函》</w:t>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color w:val="0000ff"/>
          <w:sz w:val="24"/>
          <w:szCs w:val="24"/>
        </w:rPr>
      </w:pPr>
      <w:r>
        <w:rPr>
          <w:rFonts w:hint="eastAsia" w:ascii="宋体" w:hAnsi="宋体" w:cs="宋体"/>
          <w:color w:val="0000ff"/>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spacing w:line="0" w:lineRule="atLeast"/>
        <w:rPr>
          <w:rFonts w:hint="eastAsia" w:ascii="宋体" w:hAnsi="宋体" w:cs="宋体"/>
          <w:sz w:val="24"/>
          <w:szCs w:val="24"/>
        </w:rPr>
      </w:pPr>
      <w:r>
        <w:rPr>
          <w:rFonts w:hint="eastAsia" w:ascii="宋体" w:hAnsi="宋体" w:cs="宋体"/>
          <w:sz w:val="24"/>
          <w:szCs w:val="24"/>
        </w:rPr>
      </w:r>
      <w:r/>
    </w:p>
    <w:p>
      <w:pPr>
        <w:pStyle w:val="1079"/>
        <w:ind w:right="-286" w:firstLine="0"/>
        <w:spacing w:line="0" w:lineRule="atLeast"/>
        <w:rPr>
          <w:rFonts w:hint="eastAsia" w:ascii="宋体" w:hAnsi="宋体" w:cs="宋体"/>
          <w:sz w:val="24"/>
          <w:szCs w:val="24"/>
        </w:rPr>
      </w:pPr>
      <w:r>
        <w:rPr>
          <w:rFonts w:hint="eastAsia" w:ascii="宋体" w:hAnsi="宋体" w:cs="宋体"/>
          <w:sz w:val="24"/>
          <w:szCs w:val="24"/>
        </w:rPr>
      </w:r>
      <w:r/>
    </w:p>
    <w:p>
      <w:pPr>
        <w:pStyle w:val="1083"/>
        <w:ind w:right="-286"/>
        <w:jc w:val="center"/>
        <w:rPr>
          <w:rFonts w:hint="eastAsia" w:ascii="宋体" w:hAnsi="宋体" w:cs="宋体"/>
          <w:b w:val="0"/>
          <w:bCs w:val="0"/>
          <w:sz w:val="30"/>
          <w:szCs w:val="30"/>
        </w:rPr>
      </w:pPr>
      <w:r>
        <w:rPr>
          <w:rFonts w:hint="eastAsia" w:ascii="宋体" w:hAnsi="宋体" w:cs="宋体"/>
          <w:sz w:val="24"/>
          <w:szCs w:val="24"/>
        </w:rPr>
        <w:t xml:space="preserve">具备履行合同所必需的设备和专业技术能力的书面声明</w:t>
      </w:r>
      <w:r/>
    </w:p>
    <w:p>
      <w:pPr>
        <w:ind w:right="-286" w:firstLine="492"/>
        <w:spacing w:line="460" w:lineRule="exact"/>
        <w:rPr>
          <w:rFonts w:hint="eastAsia" w:ascii="宋体" w:hAnsi="宋体" w:cs="宋体"/>
          <w:bCs/>
          <w:sz w:val="24"/>
        </w:rPr>
      </w:pPr>
      <w:r>
        <w:rPr>
          <w:rFonts w:hint="eastAsia" w:ascii="宋体" w:hAnsi="宋体" w:cs="宋体"/>
          <w:bCs/>
          <w:sz w:val="24"/>
        </w:rPr>
        <w:t xml:space="preserve">我公司郑重声明：我公司具备履行本项采购合同所必需的设备和专业技术能力，为履行本项采购合同我公司具备如下主要设备和主要专业技术能力：</w:t>
      </w:r>
      <w:r/>
    </w:p>
    <w:p>
      <w:pPr>
        <w:ind w:right="-286" w:firstLine="492"/>
        <w:spacing w:line="460" w:lineRule="exact"/>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ind w:right="-286" w:firstLine="492"/>
        <w:spacing w:line="460" w:lineRule="exact"/>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ind w:right="-286" w:firstLine="492"/>
        <w:spacing w:line="460" w:lineRule="exact"/>
        <w:rPr>
          <w:rFonts w:hint="eastAsia" w:ascii="宋体" w:hAnsi="宋体" w:cs="宋体"/>
          <w:bCs/>
          <w:sz w:val="24"/>
        </w:rPr>
      </w:pPr>
      <w:r>
        <w:rPr>
          <w:rFonts w:hint="eastAsia" w:ascii="宋体" w:hAnsi="宋体" w:cs="宋体"/>
          <w:bCs/>
          <w:sz w:val="24"/>
        </w:rPr>
      </w:r>
      <w:r/>
    </w:p>
    <w:p>
      <w:pPr>
        <w:ind w:right="-286" w:firstLine="492"/>
        <w:spacing w:line="460" w:lineRule="exact"/>
        <w:rPr>
          <w:rFonts w:hint="eastAsia" w:ascii="宋体" w:hAnsi="宋体" w:cs="宋体"/>
          <w:bCs/>
          <w:sz w:val="24"/>
        </w:rPr>
      </w:pPr>
      <w:r>
        <w:rPr>
          <w:rFonts w:hint="eastAsia" w:ascii="宋体" w:hAnsi="宋体" w:cs="宋体"/>
          <w:bCs/>
          <w:sz w:val="24"/>
        </w:rPr>
      </w:r>
      <w:r/>
    </w:p>
    <w:p>
      <w:pPr>
        <w:ind w:right="-286" w:firstLine="492"/>
        <w:spacing w:line="460" w:lineRule="exact"/>
        <w:rPr>
          <w:rFonts w:hint="eastAsia" w:ascii="宋体" w:hAnsi="宋体" w:cs="宋体"/>
          <w:bCs/>
          <w:sz w:val="24"/>
        </w:rPr>
      </w:pPr>
      <w:r>
        <w:rPr>
          <w:rFonts w:hint="eastAsia" w:ascii="宋体" w:hAnsi="宋体" w:cs="宋体"/>
          <w:bCs/>
          <w:sz w:val="24"/>
        </w:rPr>
      </w:r>
      <w:r/>
    </w:p>
    <w:p>
      <w:pPr>
        <w:ind w:right="-286"/>
        <w:spacing w:line="460" w:lineRule="exact"/>
        <w:rPr>
          <w:rFonts w:hint="eastAsia" w:ascii="宋体" w:hAnsi="宋体" w:cs="宋体"/>
          <w:bCs/>
          <w:sz w:val="24"/>
        </w:rPr>
      </w:pPr>
      <w:r>
        <w:rPr>
          <w:rFonts w:hint="eastAsia" w:ascii="宋体" w:hAnsi="宋体" w:cs="宋体"/>
          <w:bCs/>
          <w:sz w:val="24"/>
        </w:rPr>
        <w:t xml:space="preserve">                                      供应商名称（公章）：</w:t>
      </w:r>
      <w:r/>
    </w:p>
    <w:p>
      <w:pPr>
        <w:ind w:right="-286"/>
        <w:spacing w:line="460" w:lineRule="exact"/>
        <w:rPr>
          <w:rFonts w:hint="eastAsia" w:ascii="宋体" w:hAnsi="宋体" w:cs="宋体"/>
          <w:bCs/>
          <w:sz w:val="24"/>
        </w:rPr>
      </w:pPr>
      <w:r>
        <w:rPr>
          <w:rFonts w:hint="eastAsia" w:ascii="宋体" w:hAnsi="宋体" w:cs="宋体"/>
          <w:bCs/>
          <w:sz w:val="24"/>
        </w:rPr>
        <w:t xml:space="preserve">                                     </w:t>
      </w:r>
      <w:r/>
    </w:p>
    <w:p>
      <w:pPr>
        <w:ind w:right="-286"/>
        <w:spacing w:line="46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______</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right="-286"/>
        <w:spacing w:line="460" w:lineRule="exact"/>
        <w:rPr>
          <w:rFonts w:hint="eastAsia" w:ascii="宋体" w:hAnsi="宋体" w:cs="宋体"/>
          <w:bCs/>
          <w:sz w:val="24"/>
        </w:rPr>
      </w:pPr>
      <w:r>
        <w:rPr>
          <w:rFonts w:hint="eastAsia" w:ascii="宋体" w:hAnsi="宋体" w:cs="宋体"/>
          <w:bCs/>
          <w:sz w:val="24"/>
        </w:rPr>
        <w:t xml:space="preserve">                             </w:t>
      </w:r>
      <w:r/>
    </w:p>
    <w:p>
      <w:pPr>
        <w:pStyle w:val="1083"/>
        <w:ind w:right="-286"/>
        <w:jc w:val="center"/>
        <w:rPr>
          <w:rFonts w:hint="eastAsia" w:ascii="宋体" w:hAnsi="宋体" w:cs="宋体"/>
          <w:sz w:val="24"/>
          <w:szCs w:val="24"/>
        </w:rPr>
      </w:pPr>
      <w:r>
        <w:rPr>
          <w:rFonts w:hint="eastAsia" w:ascii="宋体" w:hAnsi="宋体" w:cs="宋体"/>
        </w:rPr>
        <w:br w:type="page" w:clear="all"/>
      </w:r>
      <w:r>
        <w:rPr>
          <w:rFonts w:hint="eastAsia" w:ascii="宋体" w:hAnsi="宋体" w:cs="宋体"/>
          <w:sz w:val="24"/>
          <w:szCs w:val="24"/>
        </w:rPr>
        <w:t xml:space="preserve">参加政府采购活动前 3 年内在经营活动中没有重大违法记录的书面声明</w:t>
      </w:r>
      <w:r/>
    </w:p>
    <w:p>
      <w:pPr>
        <w:ind w:right="-286"/>
        <w:spacing w:line="460" w:lineRule="exact"/>
        <w:rPr>
          <w:rFonts w:hint="eastAsia" w:ascii="宋体" w:hAnsi="宋体" w:cs="宋体"/>
          <w:b/>
          <w:bCs/>
          <w:sz w:val="44"/>
          <w:szCs w:val="44"/>
        </w:rPr>
      </w:pPr>
      <w:r>
        <w:rPr>
          <w:rFonts w:hint="eastAsia" w:ascii="宋体" w:hAnsi="宋体" w:cs="宋体"/>
          <w:b/>
          <w:bCs/>
          <w:sz w:val="24"/>
        </w:rPr>
        <w:t xml:space="preserve">                       </w:t>
      </w:r>
      <w:r>
        <w:rPr>
          <w:rFonts w:hint="eastAsia" w:ascii="宋体" w:hAnsi="宋体" w:cs="宋体"/>
          <w:b/>
          <w:bCs/>
          <w:sz w:val="44"/>
          <w:szCs w:val="44"/>
        </w:rPr>
        <w:t xml:space="preserve">   </w:t>
      </w:r>
      <w:r/>
    </w:p>
    <w:p>
      <w:pPr>
        <w:ind w:right="-286"/>
        <w:spacing w:line="460" w:lineRule="exact"/>
        <w:rPr>
          <w:rFonts w:hint="eastAsia" w:ascii="宋体" w:hAnsi="宋体" w:cs="宋体"/>
          <w:b/>
          <w:bCs/>
          <w:sz w:val="44"/>
          <w:szCs w:val="44"/>
        </w:rPr>
      </w:pPr>
      <w:r>
        <w:rPr>
          <w:rFonts w:hint="eastAsia" w:ascii="宋体" w:hAnsi="宋体" w:cs="宋体"/>
          <w:b/>
          <w:bCs/>
          <w:sz w:val="44"/>
          <w:szCs w:val="44"/>
        </w:rPr>
        <w:t xml:space="preserve">                   声  明</w:t>
      </w:r>
      <w:r/>
    </w:p>
    <w:p>
      <w:pPr>
        <w:ind w:right="-286"/>
        <w:spacing w:line="460" w:lineRule="exact"/>
        <w:rPr>
          <w:rFonts w:hint="eastAsia" w:ascii="宋体" w:hAnsi="宋体" w:cs="宋体"/>
          <w:bCs/>
          <w:sz w:val="24"/>
        </w:rPr>
      </w:pPr>
      <w:r>
        <w:rPr>
          <w:rFonts w:hint="eastAsia" w:ascii="宋体" w:hAnsi="宋体" w:cs="宋体"/>
          <w:b/>
          <w:bCs/>
          <w:sz w:val="24"/>
        </w:rPr>
        <w:t xml:space="preserve">    </w:t>
      </w:r>
      <w:r>
        <w:rPr>
          <w:rFonts w:hint="eastAsia" w:ascii="宋体" w:hAnsi="宋体" w:cs="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right="-286"/>
        <w:spacing w:line="460" w:lineRule="exact"/>
        <w:rPr>
          <w:rFonts w:hint="eastAsia" w:ascii="宋体" w:hAnsi="宋体" w:cs="宋体"/>
          <w:bCs/>
          <w:sz w:val="24"/>
        </w:rPr>
      </w:pPr>
      <w:r>
        <w:rPr>
          <w:rFonts w:hint="eastAsia" w:ascii="宋体" w:hAnsi="宋体" w:cs="宋体"/>
          <w:bCs/>
          <w:sz w:val="24"/>
        </w:rPr>
        <w:t xml:space="preserve">                                      供应商名称（公章）：</w:t>
      </w:r>
      <w:r/>
    </w:p>
    <w:p>
      <w:pPr>
        <w:ind w:right="-286"/>
        <w:spacing w:line="460" w:lineRule="exact"/>
        <w:rPr>
          <w:rFonts w:hint="eastAsia"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_______________________</w:t>
      </w:r>
      <w:r/>
    </w:p>
    <w:p>
      <w:pPr>
        <w:ind w:right="-286"/>
        <w:spacing w:line="46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______</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right="-286"/>
        <w:spacing w:line="460" w:lineRule="exact"/>
        <w:rPr>
          <w:rFonts w:hint="eastAsia" w:ascii="宋体" w:hAnsi="宋体" w:cs="宋体"/>
          <w:bCs/>
          <w:sz w:val="24"/>
        </w:rPr>
      </w:pPr>
      <w:r>
        <w:rPr>
          <w:rFonts w:hint="eastAsia" w:ascii="宋体" w:hAnsi="宋体" w:cs="宋体"/>
          <w:bCs/>
          <w:sz w:val="24"/>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ind w:right="-286" w:firstLine="480"/>
        <w:spacing w:line="400" w:lineRule="exact"/>
        <w:rPr>
          <w:rFonts w:hint="eastAsia" w:ascii="宋体" w:hAnsi="宋体" w:cs="宋体"/>
          <w:sz w:val="24"/>
          <w:szCs w:val="24"/>
        </w:rPr>
      </w:pPr>
      <w:r>
        <w:rPr>
          <w:rFonts w:hint="eastAsia" w:ascii="宋体" w:hAnsi="宋体" w:cs="宋体"/>
          <w:sz w:val="24"/>
          <w:szCs w:val="24"/>
        </w:rPr>
      </w:r>
      <w:r/>
    </w:p>
    <w:p>
      <w:pPr>
        <w:ind w:right="-286" w:firstLine="480"/>
        <w:spacing w:line="400" w:lineRule="exact"/>
        <w:rPr>
          <w:rFonts w:hint="eastAsia" w:ascii="宋体" w:hAnsi="宋体" w:cs="宋体"/>
          <w:sz w:val="24"/>
          <w:szCs w:val="24"/>
        </w:rPr>
      </w:pPr>
      <w:r>
        <w:rPr>
          <w:rFonts w:hint="eastAsia" w:ascii="宋体" w:hAnsi="宋体" w:cs="宋体"/>
          <w:sz w:val="24"/>
          <w:szCs w:val="24"/>
        </w:rPr>
      </w:r>
      <w:r/>
    </w:p>
    <w:p>
      <w:pPr>
        <w:ind w:right="-286" w:firstLine="480"/>
        <w:jc w:val="center"/>
        <w:spacing w:line="400" w:lineRule="exact"/>
        <w:rPr>
          <w:rFonts w:hint="eastAsia" w:ascii="宋体" w:hAnsi="宋体" w:cs="宋体"/>
          <w:b/>
          <w:bCs/>
          <w:sz w:val="24"/>
          <w:szCs w:val="24"/>
        </w:rPr>
      </w:pPr>
      <w:r>
        <w:rPr>
          <w:rFonts w:hint="eastAsia" w:ascii="宋体" w:hAnsi="宋体" w:cs="宋体"/>
          <w:b/>
          <w:bCs/>
          <w:sz w:val="24"/>
          <w:szCs w:val="24"/>
        </w:rPr>
      </w:r>
      <w:r/>
    </w:p>
    <w:p>
      <w:pPr>
        <w:ind w:right="-286" w:firstLine="480"/>
        <w:jc w:val="center"/>
        <w:spacing w:line="400" w:lineRule="exact"/>
        <w:rPr>
          <w:rFonts w:hint="eastAsia" w:ascii="宋体" w:hAnsi="宋体" w:cs="宋体"/>
          <w:b/>
          <w:bCs/>
          <w:sz w:val="28"/>
          <w:szCs w:val="28"/>
        </w:rPr>
      </w:pPr>
      <w:r>
        <w:rPr>
          <w:rFonts w:hint="eastAsia" w:ascii="宋体" w:hAnsi="宋体" w:cs="宋体"/>
          <w:b/>
          <w:bCs/>
          <w:sz w:val="28"/>
          <w:szCs w:val="28"/>
        </w:rPr>
        <w:t xml:space="preserve">法人授权书</w:t>
      </w:r>
      <w:r/>
    </w:p>
    <w:p>
      <w:pPr>
        <w:pStyle w:val="888"/>
        <w:ind w:left="1470" w:right="1470"/>
      </w:pPr>
      <w:r/>
      <w:r/>
    </w:p>
    <w:p>
      <w:pPr>
        <w:pStyle w:val="1090"/>
        <w:ind w:right="-286" w:firstLine="480"/>
        <w:rPr>
          <w:rFonts w:hint="eastAsia"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号项目采购活动的合法代理人，以本公司名义全权处理一切与该项目采购有关的事务。</w:t>
      </w:r>
      <w:r/>
    </w:p>
    <w:p>
      <w:pPr>
        <w:pStyle w:val="1090"/>
        <w:ind w:right="-286" w:firstLine="480"/>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1090"/>
        <w:ind w:right="-286" w:firstLine="0"/>
        <w:rPr>
          <w:rFonts w:hint="eastAsia" w:ascii="宋体" w:hAnsi="宋体" w:cs="宋体"/>
          <w:sz w:val="24"/>
          <w:szCs w:val="24"/>
        </w:rPr>
      </w:pPr>
      <w:r>
        <w:rPr>
          <w:rFonts w:hint="eastAsia" w:ascii="宋体" w:hAnsi="宋体" w:cs="宋体"/>
          <w:sz w:val="24"/>
          <w:szCs w:val="24"/>
        </w:rPr>
        <w:t xml:space="preserve">          代理人（被授权人）：_______________________</w:t>
      </w:r>
      <w:r/>
    </w:p>
    <w:p>
      <w:pPr>
        <w:pStyle w:val="1090"/>
        <w:ind w:right="-286" w:firstLine="0"/>
        <w:rPr>
          <w:rFonts w:hint="eastAsia" w:ascii="宋体" w:hAnsi="宋体" w:cs="宋体"/>
          <w:sz w:val="24"/>
          <w:szCs w:val="24"/>
        </w:rPr>
      </w:pPr>
      <w:r>
        <w:rPr>
          <w:rFonts w:hint="eastAsia" w:ascii="宋体" w:hAnsi="宋体" w:cs="宋体"/>
          <w:sz w:val="24"/>
          <w:szCs w:val="24"/>
        </w:rPr>
        <w:t xml:space="preserve">         </w:t>
      </w:r>
      <w:r/>
    </w:p>
    <w:p>
      <w:pPr>
        <w:pStyle w:val="1090"/>
        <w:ind w:right="-286" w:firstLine="0"/>
        <w:rPr>
          <w:rFonts w:hint="eastAsia" w:ascii="宋体" w:hAnsi="宋体" w:cs="宋体"/>
          <w:sz w:val="24"/>
          <w:szCs w:val="24"/>
        </w:rPr>
      </w:pPr>
      <w:r>
        <w:rPr>
          <w:rFonts w:hint="eastAsia" w:ascii="宋体" w:hAnsi="宋体" w:cs="宋体"/>
          <w:sz w:val="24"/>
          <w:szCs w:val="24"/>
        </w:rPr>
        <w:t xml:space="preserve">          单位名称：_____________________________________</w:t>
      </w:r>
      <w:r/>
    </w:p>
    <w:p>
      <w:pPr>
        <w:pStyle w:val="1090"/>
        <w:ind w:right="-286" w:firstLine="480"/>
        <w:rPr>
          <w:rFonts w:hint="eastAsia" w:ascii="宋体" w:hAnsi="宋体" w:cs="宋体"/>
          <w:sz w:val="24"/>
          <w:szCs w:val="24"/>
        </w:rPr>
      </w:pPr>
      <w:r>
        <w:rPr>
          <w:rFonts w:hint="eastAsia" w:ascii="宋体" w:hAnsi="宋体" w:cs="宋体"/>
          <w:sz w:val="24"/>
          <w:szCs w:val="24"/>
        </w:rPr>
      </w:r>
      <w:r/>
    </w:p>
    <w:p>
      <w:pPr>
        <w:pStyle w:val="1090"/>
        <w:ind w:right="-286" w:firstLine="0"/>
        <w:rPr>
          <w:rFonts w:hint="eastAsia" w:ascii="宋体" w:hAnsi="宋体" w:cs="宋体"/>
          <w:sz w:val="24"/>
          <w:szCs w:val="24"/>
        </w:rPr>
      </w:pPr>
      <w:r>
        <w:rPr>
          <w:rFonts w:hint="eastAsia" w:ascii="宋体" w:hAnsi="宋体" w:cs="宋体"/>
          <w:sz w:val="24"/>
          <w:szCs w:val="24"/>
        </w:rPr>
        <w:t xml:space="preserve">          授权单位盖章：_________________________________</w:t>
      </w:r>
      <w:r/>
    </w:p>
    <w:p>
      <w:pPr>
        <w:pStyle w:val="1090"/>
        <w:ind w:right="-286" w:firstLine="480"/>
        <w:rPr>
          <w:rFonts w:hint="eastAsia" w:ascii="宋体" w:hAnsi="宋体" w:cs="宋体"/>
          <w:sz w:val="24"/>
          <w:szCs w:val="24"/>
        </w:rPr>
      </w:pPr>
      <w:r>
        <w:rPr>
          <w:rFonts w:hint="eastAsia" w:ascii="宋体" w:hAnsi="宋体" w:cs="宋体"/>
          <w:sz w:val="24"/>
          <w:szCs w:val="24"/>
        </w:rPr>
        <w:t xml:space="preserve">      单位名称：_____________________________________</w:t>
      </w:r>
      <w:r/>
    </w:p>
    <w:p>
      <w:pPr>
        <w:pStyle w:val="1090"/>
        <w:ind w:right="-286" w:firstLine="480"/>
        <w:rPr>
          <w:rFonts w:hint="eastAsia" w:ascii="宋体" w:hAnsi="宋体" w:cs="宋体"/>
          <w:sz w:val="24"/>
          <w:szCs w:val="24"/>
          <w:u w:val="single"/>
        </w:rPr>
      </w:pPr>
      <w:r>
        <w:rPr>
          <w:rFonts w:hint="eastAsia" w:ascii="宋体" w:hAnsi="宋体" w:cs="宋体"/>
          <w:sz w:val="24"/>
          <w:szCs w:val="24"/>
        </w:rPr>
        <w:t xml:space="preserve">      地址：</w:t>
      </w:r>
      <w:r>
        <w:rPr>
          <w:rFonts w:hint="eastAsia" w:ascii="宋体" w:hAnsi="宋体" w:cs="宋体"/>
          <w:sz w:val="24"/>
          <w:szCs w:val="24"/>
          <w:u w:val="single"/>
        </w:rPr>
        <w:t xml:space="preserve">                                         </w:t>
      </w:r>
      <w:r/>
    </w:p>
    <w:p>
      <w:pPr>
        <w:pStyle w:val="1090"/>
        <w:ind w:right="-286" w:firstLine="480"/>
        <w:rPr>
          <w:rFonts w:hint="eastAsia" w:ascii="宋体" w:hAnsi="宋体" w:cs="宋体"/>
          <w:sz w:val="24"/>
          <w:szCs w:val="24"/>
        </w:rPr>
      </w:pPr>
      <w:r>
        <w:rPr>
          <w:rFonts w:hint="eastAsia" w:ascii="宋体" w:hAnsi="宋体" w:cs="宋体"/>
          <w:sz w:val="24"/>
          <w:szCs w:val="24"/>
        </w:rPr>
        <w:t xml:space="preserve">      日期：                    </w:t>
      </w:r>
      <w:bookmarkStart w:id="447" w:name="_Hlt26671380"/>
      <w:r/>
      <w:bookmarkEnd w:id="447"/>
      <w:r/>
      <w:bookmarkStart w:id="448" w:name="_Hlt26955070"/>
      <w:r/>
      <w:bookmarkEnd w:id="448"/>
      <w:r/>
      <w:bookmarkStart w:id="449" w:name="_格式3__银行出具的资信证明"/>
      <w:r/>
      <w:bookmarkEnd w:id="449"/>
      <w:r/>
      <w:r/>
    </w:p>
    <w:p>
      <w:pPr>
        <w:pStyle w:val="1079"/>
        <w:ind w:right="-286"/>
      </w:pPr>
      <w:r/>
      <w:r/>
    </w:p>
    <w:p>
      <w:pPr>
        <w:pStyle w:val="1079"/>
        <w:ind w:right="-286"/>
      </w:pPr>
      <w:r/>
      <w:r/>
    </w:p>
    <w:p>
      <w:pPr>
        <w:pStyle w:val="1079"/>
        <w:ind w:right="-286" w:firstLine="0"/>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79"/>
        <w:ind w:right="-286"/>
        <w:rPr>
          <w:rFonts w:hint="eastAsia" w:ascii="宋体" w:hAnsi="宋体" w:cs="宋体"/>
        </w:rPr>
      </w:pPr>
      <w:r>
        <w:rPr>
          <w:rFonts w:hint="eastAsia" w:ascii="宋体" w:hAnsi="宋体" w:cs="宋体"/>
        </w:rPr>
      </w:r>
      <w:r/>
    </w:p>
    <w:p>
      <w:pPr>
        <w:pStyle w:val="1081"/>
        <w:ind w:right="-286"/>
        <w:rPr>
          <w:rFonts w:hint="eastAsia" w:ascii="宋体" w:hAnsi="宋体" w:eastAsia="宋体" w:cs="宋体"/>
          <w:b/>
          <w:bCs/>
        </w:rPr>
      </w:pPr>
      <w:r>
        <w:rPr>
          <w:rFonts w:hint="eastAsia" w:ascii="宋体" w:hAnsi="宋体" w:eastAsia="宋体" w:cs="宋体"/>
          <w:b/>
          <w:bCs/>
        </w:rPr>
      </w:r>
      <w:r/>
    </w:p>
    <w:p>
      <w:pPr>
        <w:ind w:right="-286"/>
        <w:jc w:val="center"/>
        <w:spacing w:line="560" w:lineRule="exact"/>
        <w:rPr>
          <w:rFonts w:hint="eastAsia" w:ascii="等线 Light" w:hAnsi="等线 Light" w:eastAsia="等线 Light"/>
          <w:b/>
          <w:bCs/>
          <w:sz w:val="32"/>
          <w:szCs w:val="32"/>
        </w:rPr>
      </w:pPr>
      <w:r/>
      <w:bookmarkStart w:id="450" w:name="_Hlk130828322"/>
      <w:r>
        <w:rPr>
          <w:rFonts w:hint="eastAsia" w:ascii="等线 Light" w:hAnsi="等线 Light" w:eastAsia="等线 Light"/>
          <w:b/>
          <w:bCs/>
          <w:sz w:val="32"/>
          <w:szCs w:val="32"/>
        </w:rPr>
        <w:t xml:space="preserve">中小企业声明函（货物）</w:t>
      </w:r>
      <w:r/>
    </w:p>
    <w:p>
      <w:pPr>
        <w:ind w:right="-286"/>
        <w:jc w:val="center"/>
        <w:spacing w:line="560" w:lineRule="exact"/>
        <w:rPr>
          <w:rFonts w:hint="eastAsia" w:ascii="宋体" w:hAnsi="宋体"/>
          <w:b/>
          <w:bCs/>
          <w:sz w:val="32"/>
          <w:szCs w:val="32"/>
        </w:rPr>
      </w:pPr>
      <w:r>
        <w:rPr>
          <w:rFonts w:hint="eastAsia" w:ascii="宋体" w:hAnsi="宋体"/>
          <w:b/>
          <w:bCs/>
          <w:sz w:val="32"/>
          <w:szCs w:val="32"/>
        </w:rPr>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i/>
          <w:iCs/>
          <w:sz w:val="24"/>
          <w:szCs w:val="24"/>
          <w:u w:val="single"/>
        </w:rPr>
        <w:t xml:space="preserve">（单位名称）</w:t>
      </w:r>
      <w:r>
        <w:rPr>
          <w:rFonts w:hint="eastAsia" w:ascii="宋体" w:hAnsi="宋体" w:cs="宋体"/>
          <w:sz w:val="24"/>
          <w:szCs w:val="24"/>
        </w:rPr>
        <w:t xml:space="preserve">的</w:t>
      </w:r>
      <w:r>
        <w:rPr>
          <w:rFonts w:hint="eastAsia" w:ascii="宋体" w:hAnsi="宋体" w:cs="宋体"/>
          <w:i/>
          <w:iCs/>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w:t>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286" w:firstLine="4080"/>
        <w:jc w:val="left"/>
        <w:widowControl/>
        <w:rPr>
          <w:rFonts w:hint="eastAsia" w:ascii="宋体" w:hAnsi="宋体" w:cs="宋体"/>
          <w:sz w:val="24"/>
          <w:szCs w:val="24"/>
        </w:rPr>
      </w:pPr>
      <w:r>
        <w:rPr>
          <w:rFonts w:hint="eastAsia" w:ascii="宋体" w:hAnsi="宋体" w:cs="宋体"/>
          <w:sz w:val="24"/>
          <w:szCs w:val="24"/>
        </w:rPr>
        <w:t xml:space="preserve">企业名称（盖章）：</w:t>
      </w:r>
      <w:r/>
    </w:p>
    <w:p>
      <w:pPr>
        <w:ind w:right="-286" w:firstLine="4080"/>
        <w:jc w:val="left"/>
        <w:widowControl/>
        <w:rPr>
          <w:rFonts w:hint="eastAsia" w:ascii="宋体" w:hAnsi="宋体" w:cs="宋体"/>
          <w:sz w:val="24"/>
          <w:szCs w:val="24"/>
        </w:rPr>
      </w:pPr>
      <w:r>
        <w:rPr>
          <w:rFonts w:hint="eastAsia" w:ascii="宋体" w:hAnsi="宋体" w:cs="宋体"/>
          <w:sz w:val="24"/>
          <w:szCs w:val="24"/>
        </w:rPr>
        <w:t xml:space="preserve">日期：</w:t>
      </w:r>
      <w:r/>
    </w:p>
    <w:p>
      <w:pPr>
        <w:ind w:right="-286"/>
        <w:jc w:val="center"/>
        <w:spacing w:line="560" w:lineRule="exact"/>
        <w:rPr>
          <w:rFonts w:hint="eastAsia" w:ascii="宋体" w:hAnsi="宋体"/>
          <w:b/>
          <w:bCs/>
        </w:rPr>
      </w:pPr>
      <w:r>
        <w:rPr>
          <w:rFonts w:hint="eastAsia" w:ascii="宋体" w:hAnsi="宋体"/>
          <w:b/>
          <w:bCs/>
        </w:rPr>
        <w:t xml:space="preserve">从业人员、营业收入、资产总额填报上一年度数据，无上一年度数据的新成立企业可不填报。</w:t>
      </w:r>
      <w:bookmarkEnd w:id="450"/>
      <w:r/>
      <w:r/>
    </w:p>
    <w:p>
      <w:pPr>
        <w:ind w:right="-286"/>
        <w:jc w:val="center"/>
        <w:spacing w:line="560" w:lineRule="exact"/>
        <w:rPr>
          <w:rFonts w:hint="eastAsia" w:ascii="宋体" w:hAnsi="宋体"/>
          <w:b/>
          <w:bCs/>
          <w:sz w:val="24"/>
          <w:szCs w:val="24"/>
        </w:rPr>
      </w:pPr>
      <w:r>
        <w:rPr>
          <w:rFonts w:hint="eastAsia" w:ascii="宋体" w:hAnsi="宋体"/>
          <w:b/>
          <w:bCs/>
          <w:sz w:val="24"/>
          <w:szCs w:val="24"/>
        </w:rPr>
      </w:r>
      <w:r/>
    </w:p>
    <w:p>
      <w:pPr>
        <w:ind w:right="-286" w:firstLine="2730"/>
        <w:jc w:val="left"/>
        <w:spacing w:before="100" w:beforeAutospacing="1" w:after="100" w:afterAutospacing="1" w:line="360" w:lineRule="auto"/>
        <w:widowControl/>
        <w:rPr>
          <w:rFonts w:hint="eastAsia" w:ascii="宋体" w:hAnsi="宋体" w:cs="宋体"/>
        </w:rPr>
      </w:pPr>
      <w:r>
        <w:rPr>
          <w:rFonts w:hint="eastAsia" w:ascii="宋体" w:hAnsi="宋体" w:cs="宋体"/>
        </w:rPr>
        <w:t xml:space="preserve">    </w:t>
      </w:r>
      <w:r/>
    </w:p>
    <w:p>
      <w:pPr>
        <w:pStyle w:val="1076"/>
        <w:ind w:right="-286"/>
        <w:rPr>
          <w:rFonts w:hint="eastAsia"/>
        </w:rPr>
      </w:pPr>
      <w:r>
        <w:rPr>
          <w:rFonts w:hint="eastAsia"/>
        </w:r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pStyle w:val="1079"/>
        <w:ind w:right="-286"/>
      </w:pPr>
      <w:r/>
      <w:r/>
    </w:p>
    <w:p>
      <w:pPr>
        <w:ind w:right="-286"/>
        <w:jc w:val="center"/>
        <w:spacing w:before="50" w:after="50"/>
        <w:rPr>
          <w:rFonts w:hint="eastAsia" w:ascii="宋体" w:hAnsi="宋体" w:cs="宋体"/>
          <w:sz w:val="32"/>
          <w:szCs w:val="32"/>
        </w:rPr>
      </w:pPr>
      <w:r>
        <w:rPr>
          <w:rFonts w:hint="eastAsia" w:ascii="宋体" w:hAnsi="宋体" w:cs="宋体"/>
          <w:sz w:val="32"/>
          <w:szCs w:val="32"/>
        </w:rPr>
        <w:t xml:space="preserve">二、资格性审查响应对照表</w:t>
      </w:r>
      <w:r/>
    </w:p>
    <w:p>
      <w:pPr>
        <w:ind w:right="-286" w:firstLine="309"/>
        <w:rPr>
          <w:rFonts w:hint="eastAsia" w:ascii="宋体" w:hAnsi="宋体" w:cs="宋体"/>
          <w:sz w:val="24"/>
          <w:szCs w:val="24"/>
        </w:rPr>
      </w:pPr>
      <w:r>
        <w:rPr>
          <w:rFonts w:hint="eastAsia" w:ascii="宋体" w:hAnsi="宋体" w:cs="宋体"/>
          <w:sz w:val="24"/>
          <w:szCs w:val="24"/>
        </w:rPr>
        <w:t xml:space="preserve">投标人全称（加盖公章）：</w:t>
      </w:r>
      <w:r/>
    </w:p>
    <w:tbl>
      <w:tblPr>
        <w:tblStyle w:val="8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tblGrid>
      <w:tr>
        <w:trPr>
          <w:jc w:val="center"/>
          <w:trHeight w:val="882"/>
        </w:trPr>
        <w:tc>
          <w:tcPr>
            <w:tcW w:w="646"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序号</w:t>
            </w:r>
            <w:r/>
          </w:p>
        </w:tc>
        <w:tc>
          <w:tcPr>
            <w:tcW w:w="5447"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资格性审查响应内容</w:t>
            </w:r>
            <w:r/>
          </w:p>
        </w:tc>
        <w:tc>
          <w:tcPr>
            <w:tcW w:w="1680"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是否响应</w:t>
            </w:r>
            <w:r/>
          </w:p>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（填是或者否）</w:t>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1</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bookmarkEnd w:id="444"/>
            <w:r/>
            <w:bookmarkEnd w:id="445"/>
            <w:r/>
            <w:bookmarkEnd w:id="446"/>
            <w:r/>
            <w:r/>
          </w:p>
        </w:tc>
      </w:tr>
    </w:tbl>
    <w:p>
      <w:pPr>
        <w:ind w:right="-286" w:firstLine="480"/>
        <w:spacing w:line="440" w:lineRule="exact"/>
        <w:rPr>
          <w:rFonts w:hint="eastAsia" w:ascii="宋体" w:hAnsi="宋体" w:cs="宋体"/>
          <w:sz w:val="24"/>
        </w:rPr>
      </w:pPr>
      <w:r>
        <w:rPr>
          <w:rFonts w:hint="eastAsia" w:ascii="宋体" w:hAnsi="宋体" w:cs="宋体"/>
          <w:sz w:val="24"/>
        </w:rPr>
      </w:r>
      <w:r/>
    </w:p>
    <w:p>
      <w:pPr>
        <w:ind w:right="-286"/>
        <w:spacing w:before="50" w:after="50"/>
        <w:rPr>
          <w:rFonts w:hint="eastAsia" w:ascii="宋体" w:hAnsi="宋体" w:cs="宋体"/>
          <w:sz w:val="44"/>
        </w:rPr>
      </w:pPr>
      <w:r>
        <w:rPr>
          <w:rFonts w:hint="eastAsia" w:ascii="宋体" w:hAnsi="宋体" w:cs="宋体"/>
          <w:sz w:val="44"/>
        </w:rPr>
        <w:t xml:space="preserve"> </w:t>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pStyle w:val="1081"/>
        <w:ind w:right="-286"/>
        <w:rPr>
          <w:rFonts w:hint="eastAsia" w:ascii="宋体" w:hAnsi="宋体" w:eastAsia="宋体" w:cs="宋体"/>
          <w:sz w:val="44"/>
        </w:rPr>
      </w:pPr>
      <w:r>
        <w:rPr>
          <w:rFonts w:hint="eastAsia" w:ascii="宋体" w:hAnsi="宋体" w:eastAsia="宋体" w:cs="宋体"/>
          <w:sz w:val="44"/>
        </w:rPr>
      </w:r>
      <w:r/>
    </w:p>
    <w:p>
      <w:pPr>
        <w:pStyle w:val="1081"/>
        <w:ind w:right="-286"/>
        <w:rPr>
          <w:rFonts w:hint="eastAsia" w:ascii="宋体" w:hAnsi="宋体" w:eastAsia="宋体" w:cs="宋体"/>
          <w:sz w:val="44"/>
        </w:rPr>
      </w:pPr>
      <w:r>
        <w:rPr>
          <w:rFonts w:hint="eastAsia" w:ascii="宋体" w:hAnsi="宋体" w:eastAsia="宋体" w:cs="宋体"/>
          <w:sz w:val="44"/>
        </w:rPr>
      </w:r>
      <w:r/>
    </w:p>
    <w:p>
      <w:pPr>
        <w:pStyle w:val="1081"/>
        <w:ind w:right="-286"/>
        <w:rPr>
          <w:rFonts w:hint="eastAsia" w:ascii="宋体" w:hAnsi="宋体" w:eastAsia="宋体" w:cs="宋体"/>
          <w:sz w:val="44"/>
        </w:rPr>
      </w:pPr>
      <w:r>
        <w:rPr>
          <w:rFonts w:hint="eastAsia" w:ascii="宋体" w:hAnsi="宋体" w:eastAsia="宋体" w:cs="宋体"/>
          <w:sz w:val="44"/>
        </w:rPr>
      </w:r>
      <w:r/>
    </w:p>
    <w:p>
      <w:pPr>
        <w:pStyle w:val="1081"/>
        <w:ind w:right="-286"/>
        <w:rPr>
          <w:rFonts w:hint="eastAsia" w:ascii="宋体" w:hAnsi="宋体" w:eastAsia="宋体" w:cs="宋体"/>
          <w:sz w:val="44"/>
        </w:rPr>
      </w:pPr>
      <w:r>
        <w:rPr>
          <w:rFonts w:hint="eastAsia" w:ascii="宋体" w:hAnsi="宋体" w:eastAsia="宋体" w:cs="宋体"/>
          <w:sz w:val="44"/>
        </w:rPr>
      </w:r>
      <w:r/>
    </w:p>
    <w:p>
      <w:pPr>
        <w:pStyle w:val="1081"/>
        <w:ind w:right="-286"/>
        <w:rPr>
          <w:rFonts w:hint="eastAsia" w:ascii="宋体" w:hAnsi="宋体" w:eastAsia="宋体" w:cs="宋体"/>
          <w:sz w:val="44"/>
        </w:rPr>
      </w:pPr>
      <w:r>
        <w:rPr>
          <w:rFonts w:hint="eastAsia" w:ascii="宋体" w:hAnsi="宋体" w:eastAsia="宋体" w:cs="宋体"/>
          <w:sz w:val="44"/>
        </w:rPr>
      </w:r>
      <w:r/>
    </w:p>
    <w:p>
      <w:pPr>
        <w:pStyle w:val="1081"/>
        <w:ind w:right="-286"/>
        <w:rPr>
          <w:rFonts w:hint="eastAsia" w:ascii="宋体" w:hAnsi="宋体" w:eastAsia="宋体" w:cs="宋体"/>
          <w:sz w:val="44"/>
        </w:rPr>
      </w:pPr>
      <w:r>
        <w:rPr>
          <w:rFonts w:hint="eastAsia" w:ascii="宋体" w:hAnsi="宋体" w:eastAsia="宋体" w:cs="宋体"/>
          <w:sz w:val="44"/>
        </w:rPr>
      </w:r>
      <w:r/>
    </w:p>
    <w:p>
      <w:pPr>
        <w:pStyle w:val="1081"/>
        <w:ind w:right="-286"/>
        <w:rPr>
          <w:rFonts w:hint="eastAsia" w:ascii="宋体" w:hAnsi="宋体" w:eastAsia="宋体" w:cs="宋体"/>
          <w:sz w:val="44"/>
        </w:rPr>
      </w:pPr>
      <w:r>
        <w:rPr>
          <w:rFonts w:hint="eastAsia" w:ascii="宋体" w:hAnsi="宋体" w:eastAsia="宋体" w:cs="宋体"/>
          <w:sz w:val="44"/>
        </w:rPr>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jc w:val="center"/>
        <w:spacing w:before="50" w:after="50"/>
        <w:rPr>
          <w:rFonts w:hint="eastAsia" w:ascii="宋体" w:hAnsi="宋体" w:cs="宋体"/>
          <w:sz w:val="32"/>
          <w:szCs w:val="32"/>
        </w:rPr>
      </w:pPr>
      <w:r>
        <w:rPr>
          <w:rFonts w:hint="eastAsia" w:ascii="宋体" w:hAnsi="宋体" w:cs="宋体"/>
          <w:sz w:val="32"/>
          <w:szCs w:val="32"/>
        </w:rPr>
        <w:t xml:space="preserve">三、符合性检查响应对照表</w:t>
      </w:r>
      <w:r/>
    </w:p>
    <w:p>
      <w:pPr>
        <w:ind w:right="-286" w:firstLine="309"/>
        <w:rPr>
          <w:rFonts w:hint="eastAsia" w:ascii="宋体" w:hAnsi="宋体" w:cs="宋体"/>
          <w:sz w:val="24"/>
          <w:szCs w:val="24"/>
        </w:rPr>
      </w:pPr>
      <w:r>
        <w:rPr>
          <w:rFonts w:hint="eastAsia" w:ascii="宋体" w:hAnsi="宋体" w:cs="宋体"/>
          <w:sz w:val="24"/>
          <w:szCs w:val="24"/>
        </w:rPr>
        <w:t xml:space="preserve">投标人全称（加盖公章）：</w:t>
      </w:r>
      <w:r/>
    </w:p>
    <w:tbl>
      <w:tblPr>
        <w:tblStyle w:val="8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tblGrid>
      <w:tr>
        <w:trPr>
          <w:jc w:val="center"/>
          <w:trHeight w:val="998"/>
        </w:trPr>
        <w:tc>
          <w:tcPr>
            <w:tcW w:w="646"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序号</w:t>
            </w:r>
            <w:r/>
          </w:p>
        </w:tc>
        <w:tc>
          <w:tcPr>
            <w:tcW w:w="5447"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符合性检查响应内容</w:t>
            </w:r>
            <w:r/>
          </w:p>
        </w:tc>
        <w:tc>
          <w:tcPr>
            <w:tcW w:w="1680"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是否响应</w:t>
            </w:r>
            <w:r/>
          </w:p>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（填是或者否）</w:t>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1</w:t>
            </w:r>
            <w:r/>
          </w:p>
        </w:tc>
        <w:tc>
          <w:tcPr>
            <w:tcW w:w="5447" w:type="dxa"/>
            <w:vAlign w:val="center"/>
            <w:textDirection w:val="lrTb"/>
            <w:noWrap w:val="false"/>
          </w:tcPr>
          <w:p>
            <w:pPr>
              <w:ind w:right="-286"/>
              <w:jc w:val="both"/>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5447" w:type="dxa"/>
            <w:vAlign w:val="center"/>
            <w:textDirection w:val="lrTb"/>
            <w:noWrap w:val="false"/>
          </w:tcPr>
          <w:p>
            <w:pPr>
              <w:ind w:right="-286"/>
              <w:jc w:val="both"/>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5447" w:type="dxa"/>
            <w:vAlign w:val="center"/>
            <w:textDirection w:val="lrTb"/>
            <w:noWrap w:val="false"/>
          </w:tcPr>
          <w:p>
            <w:pPr>
              <w:ind w:right="-286"/>
              <w:jc w:val="both"/>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5447" w:type="dxa"/>
            <w:vAlign w:val="center"/>
            <w:textDirection w:val="lrTb"/>
            <w:noWrap w:val="false"/>
          </w:tcPr>
          <w:p>
            <w:pPr>
              <w:ind w:right="-286"/>
              <w:jc w:val="both"/>
              <w:spacing w:line="360" w:lineRule="auto"/>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p>
        </w:tc>
        <w:tc>
          <w:tcPr>
            <w:tcW w:w="5447" w:type="dxa"/>
            <w:vAlign w:val="center"/>
            <w:textDirection w:val="lrTb"/>
            <w:noWrap w:val="false"/>
          </w:tcPr>
          <w:p>
            <w:pPr>
              <w:ind w:right="-286"/>
              <w:jc w:val="both"/>
              <w:spacing w:line="590" w:lineRule="atLeas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c>
          <w:tcPr>
            <w:tcW w:w="5447" w:type="dxa"/>
            <w:vAlign w:val="center"/>
            <w:textDirection w:val="lrTb"/>
            <w:noWrap w:val="false"/>
          </w:tcPr>
          <w:p>
            <w:pPr>
              <w:ind w:right="-286"/>
              <w:jc w:val="both"/>
              <w:spacing w:line="590" w:lineRule="atLeas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w:t>
            </w:r>
            <w:r/>
          </w:p>
        </w:tc>
        <w:tc>
          <w:tcPr>
            <w:tcW w:w="5447" w:type="dxa"/>
            <w:vAlign w:val="center"/>
            <w:textDirection w:val="lrTb"/>
            <w:noWrap w:val="false"/>
          </w:tcPr>
          <w:p>
            <w:pPr>
              <w:ind w:right="-286"/>
              <w:jc w:val="both"/>
              <w:spacing w:line="590" w:lineRule="atLeas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t xml:space="preserve">招标文件中的其他实质性要求</w:t>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pStyle w:val="1075"/>
        <w:ind w:right="-286"/>
      </w:pPr>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32"/>
          <w:szCs w:val="32"/>
        </w:rPr>
      </w:pPr>
      <w:r>
        <w:rPr>
          <w:rFonts w:hint="eastAsia" w:ascii="宋体" w:hAnsi="宋体" w:cs="宋体"/>
          <w:sz w:val="32"/>
          <w:szCs w:val="32"/>
        </w:rPr>
        <w:t xml:space="preserve">           </w:t>
      </w:r>
      <w:bookmarkStart w:id="451" w:name="_Toc120614284"/>
      <w:r/>
      <w:r/>
    </w:p>
    <w:p>
      <w:pPr>
        <w:ind w:right="-286"/>
        <w:spacing w:before="50" w:after="50"/>
        <w:rPr>
          <w:rFonts w:hint="eastAsia" w:ascii="宋体" w:hAnsi="宋体" w:cs="宋体"/>
          <w:sz w:val="24"/>
          <w:szCs w:val="24"/>
        </w:rPr>
      </w:pPr>
      <w:r>
        <w:rPr>
          <w:rFonts w:hint="eastAsia" w:ascii="宋体" w:hAnsi="宋体" w:cs="宋体"/>
          <w:sz w:val="24"/>
          <w:szCs w:val="24"/>
        </w:rPr>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jc w:val="center"/>
        <w:spacing w:before="50" w:after="50"/>
        <w:rPr>
          <w:rFonts w:hint="eastAsia" w:ascii="宋体" w:hAnsi="宋体" w:cs="宋体"/>
          <w:sz w:val="32"/>
          <w:szCs w:val="32"/>
        </w:rPr>
      </w:pPr>
      <w:r>
        <w:rPr>
          <w:rFonts w:hint="eastAsia" w:ascii="宋体" w:hAnsi="宋体" w:cs="宋体"/>
          <w:sz w:val="32"/>
          <w:szCs w:val="32"/>
        </w:rPr>
        <w:t xml:space="preserve">四、投标函</w:t>
      </w:r>
      <w:r/>
    </w:p>
    <w:p>
      <w:pPr>
        <w:pStyle w:val="1088"/>
        <w:ind w:right="-286" w:firstLine="0"/>
        <w:spacing w:before="0" w:after="0" w:line="420" w:lineRule="exact"/>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根据贵方的</w:t>
      </w:r>
      <w:r>
        <w:rPr>
          <w:rFonts w:hint="eastAsia" w:ascii="宋体" w:hAnsi="宋体" w:cs="宋体"/>
          <w:b/>
          <w:sz w:val="36"/>
          <w:u w:val="single"/>
        </w:rPr>
        <w:t xml:space="preserve">           </w:t>
      </w:r>
      <w:r>
        <w:rPr>
          <w:rFonts w:hint="eastAsia" w:ascii="宋体" w:hAnsi="宋体" w:cs="宋体"/>
          <w:szCs w:val="21"/>
        </w:rPr>
        <w:t xml:space="preserve">（项目名称）招标文件，正式授权下述签字人_________________(姓名)代表我方______________（投标人的名称），全权处理本次项目投标的有关事宜。</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据此函，__________签字人兹宣布同意如下：</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1.按招标文件规定的各项要求，向买方提供所需货物与服务。</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2.我们完全理解贵方不一定将合同授予最低报价的投标人。</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5.如果在开标后规定的投标有效期内撤回投标或中标后拒绝签订合同，则按照国家相关法律法规受到相应处罚。</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6.同意向贵方提供贵方可能另外要求的与投标有关的任何证据或资料，并保证我方已提供和将要提供的文件是真实的、准确的。</w:t>
      </w:r>
      <w:r/>
    </w:p>
    <w:p>
      <w:pPr>
        <w:pStyle w:val="1088"/>
        <w:ind w:right="-286"/>
        <w:spacing w:before="0" w:after="0" w:line="420" w:lineRule="exact"/>
        <w:rPr>
          <w:rFonts w:hint="eastAsia" w:ascii="宋体" w:hAnsi="宋体" w:cs="宋体"/>
          <w:szCs w:val="21"/>
        </w:rPr>
      </w:pPr>
      <w:r>
        <w:rPr>
          <w:rFonts w:hint="eastAsia" w:ascii="宋体" w:hAnsi="宋体" w:cs="宋体"/>
          <w:szCs w:val="21"/>
        </w:rPr>
        <w:t xml:space="preserve">7.一旦我方中标,我方将根据招标文件的规定，严格履行合同的责任和义务,并保证在招标文件规定的时间完成项目，交付买方验收、使用。</w:t>
      </w:r>
      <w:r/>
    </w:p>
    <w:p>
      <w:pPr>
        <w:pStyle w:val="1088"/>
        <w:ind w:left="425" w:right="-286" w:firstLine="0"/>
        <w:spacing w:before="0" w:after="0" w:line="420" w:lineRule="exact"/>
        <w:rPr>
          <w:rFonts w:hint="eastAsia" w:ascii="宋体" w:hAnsi="宋体" w:cs="宋体"/>
          <w:szCs w:val="21"/>
        </w:rPr>
      </w:pPr>
      <w:r>
        <w:rPr>
          <w:rFonts w:hint="eastAsia" w:ascii="宋体" w:hAnsi="宋体" w:cs="宋体"/>
          <w:szCs w:val="21"/>
        </w:rPr>
        <w:t xml:space="preserve">8.与本投标有关的正式通讯地址为：</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地          址：</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邮          编：</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电          话：</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传          真：</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投标人开户行：</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账          户： </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投标人授权代表姓名（签字）：</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 投标人授权代表电话（手机号码）：</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投标人名称（公章）： </w:t>
      </w:r>
      <w:r/>
    </w:p>
    <w:p>
      <w:pPr>
        <w:pStyle w:val="1088"/>
        <w:ind w:left="420" w:right="-286"/>
        <w:spacing w:before="0" w:after="0" w:line="420" w:lineRule="exact"/>
        <w:rPr>
          <w:rFonts w:hint="eastAsia" w:ascii="宋体" w:hAnsi="宋体" w:cs="宋体"/>
          <w:szCs w:val="21"/>
        </w:rPr>
      </w:pPr>
      <w:r>
        <w:rPr>
          <w:rFonts w:hint="eastAsia" w:ascii="宋体" w:hAnsi="宋体" w:cs="宋体"/>
          <w:szCs w:val="21"/>
        </w:rPr>
        <w:t xml:space="preserve">日           期：________年____月____日</w:t>
      </w:r>
      <w:r/>
    </w:p>
    <w:p>
      <w:pPr>
        <w:ind w:right="-286"/>
        <w:jc w:val="left"/>
        <w:spacing w:before="50" w:after="145"/>
        <w:rPr>
          <w:rFonts w:hint="eastAsia" w:ascii="宋体" w:hAnsi="宋体" w:cs="宋体"/>
          <w:sz w:val="24"/>
          <w:szCs w:val="20"/>
        </w:rPr>
      </w:pPr>
      <w:r>
        <w:rPr>
          <w:rFonts w:hint="eastAsia" w:ascii="宋体" w:hAnsi="宋体" w:cs="宋体"/>
          <w:sz w:val="44"/>
        </w:rPr>
        <w:t xml:space="preserve">          </w:t>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pStyle w:val="1081"/>
        <w:ind w:right="-286"/>
        <w:rPr>
          <w:rFonts w:hint="eastAsia" w:ascii="宋体" w:hAnsi="宋体" w:eastAsia="宋体" w:cs="宋体"/>
        </w:rPr>
      </w:pPr>
      <w:r>
        <w:rPr>
          <w:rFonts w:hint="eastAsia" w:ascii="宋体" w:hAnsi="宋体" w:eastAsia="宋体" w:cs="宋体"/>
        </w:rPr>
      </w:r>
      <w:r/>
    </w:p>
    <w:p>
      <w:pPr>
        <w:pStyle w:val="1081"/>
        <w:ind w:right="-286"/>
        <w:rPr>
          <w:rFonts w:hint="eastAsia" w:ascii="宋体" w:hAnsi="宋体" w:eastAsia="宋体" w:cs="宋体"/>
        </w:rPr>
      </w:pPr>
      <w:r>
        <w:rPr>
          <w:rFonts w:hint="eastAsia" w:ascii="宋体" w:hAnsi="宋体" w:eastAsia="宋体" w:cs="宋体"/>
        </w:rPr>
      </w:r>
      <w:r/>
    </w:p>
    <w:p>
      <w:pPr>
        <w:ind w:right="-286"/>
        <w:jc w:val="center"/>
        <w:spacing w:before="50" w:after="50"/>
        <w:rPr>
          <w:rFonts w:hint="eastAsia" w:ascii="宋体" w:hAnsi="宋体" w:cs="宋体"/>
          <w:sz w:val="32"/>
          <w:szCs w:val="32"/>
        </w:rPr>
      </w:pPr>
      <w:r>
        <w:rPr>
          <w:rFonts w:hint="eastAsia" w:ascii="宋体" w:hAnsi="宋体" w:cs="宋体"/>
          <w:sz w:val="32"/>
          <w:szCs w:val="32"/>
        </w:rPr>
        <w:t xml:space="preserve">五、开标一览表</w:t>
      </w:r>
      <w:r/>
    </w:p>
    <w:p>
      <w:pPr>
        <w:ind w:right="-286"/>
        <w:jc w:val="center"/>
        <w:spacing w:before="50" w:after="50"/>
        <w:rPr>
          <w:rFonts w:hint="eastAsia" w:ascii="宋体" w:hAnsi="宋体" w:cs="宋体"/>
          <w:sz w:val="32"/>
          <w:szCs w:val="32"/>
        </w:rPr>
      </w:pPr>
      <w:r>
        <w:rPr>
          <w:rFonts w:hint="eastAsia" w:ascii="宋体" w:hAnsi="宋体" w:cs="宋体"/>
          <w:sz w:val="32"/>
          <w:szCs w:val="32"/>
        </w:rPr>
      </w:r>
      <w:r/>
    </w:p>
    <w:tbl>
      <w:tblPr>
        <w:tblStyle w:val="887"/>
        <w:tblW w:w="10145"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right="-286"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 目 编 号</w:t>
            </w:r>
            <w:r/>
          </w:p>
        </w:tc>
        <w:tc>
          <w:tcPr>
            <w:tcW w:w="7445" w:type="dxa"/>
            <w:vAlign w:val="center"/>
            <w:textDirection w:val="lrTb"/>
            <w:noWrap w:val="false"/>
          </w:tcPr>
          <w:p>
            <w:pPr>
              <w:pStyle w:val="1082"/>
              <w:ind w:right="-286" w:firstLine="689"/>
              <w:jc w:val="both"/>
              <w:keepLines/>
              <w:keepNext/>
              <w:spacing w:before="260" w:after="260" w:line="416"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r>
            <w:r/>
          </w:p>
        </w:tc>
      </w:tr>
      <w:tr>
        <w:trPr>
          <w:cantSplit/>
          <w:trHeight w:val="789"/>
        </w:trPr>
        <w:tc>
          <w:tcPr>
            <w:tcW w:w="2700" w:type="dxa"/>
            <w:vAlign w:val="center"/>
            <w:textDirection w:val="lrTb"/>
            <w:noWrap w:val="false"/>
          </w:tcPr>
          <w:p>
            <w:pPr>
              <w:ind w:right="-286"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 目 名 称</w:t>
            </w:r>
            <w:r/>
          </w:p>
        </w:tc>
        <w:tc>
          <w:tcPr>
            <w:tcW w:w="7445" w:type="dxa"/>
            <w:vAlign w:val="center"/>
            <w:textDirection w:val="lrTb"/>
            <w:noWrap w:val="false"/>
          </w:tcPr>
          <w:p>
            <w:pPr>
              <w:pStyle w:val="1082"/>
              <w:ind w:right="-286"/>
              <w:jc w:val="both"/>
              <w:keepLines/>
              <w:keepNext/>
              <w:spacing w:before="260" w:after="260" w:line="416"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r>
            <w:r/>
          </w:p>
        </w:tc>
      </w:tr>
      <w:tr>
        <w:trPr>
          <w:cantSplit/>
          <w:trHeight w:val="821"/>
        </w:trPr>
        <w:tc>
          <w:tcPr>
            <w:gridSpan w:val="2"/>
            <w:tcW w:w="10145" w:type="dxa"/>
            <w:vAlign w:val="center"/>
            <w:textDirection w:val="lrTb"/>
            <w:noWrap w:val="false"/>
          </w:tcPr>
          <w:p>
            <w:pPr>
              <w:ind w:right="-286"/>
              <w:jc w:val="both"/>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项目投标报价：（大写）</w:t>
            </w:r>
            <w:r>
              <w:rPr>
                <w:rFonts w:hint="eastAsia" w:ascii="宋体" w:hAnsi="宋体" w:eastAsia="宋体" w:cs="宋体"/>
                <w:b/>
                <w:bCs/>
                <w:sz w:val="24"/>
                <w:szCs w:val="24"/>
                <w:u w:val="single"/>
                <w:lang w:val="en-US" w:eastAsia="zh-CN" w:bidi="ar-SA"/>
              </w:rPr>
              <w:t xml:space="preserve">                       元</w:t>
            </w:r>
            <w:r>
              <w:rPr>
                <w:rFonts w:hint="eastAsia" w:ascii="宋体" w:hAnsi="宋体" w:eastAsia="宋体" w:cs="宋体"/>
                <w:b/>
                <w:bCs/>
                <w:sz w:val="24"/>
                <w:szCs w:val="24"/>
                <w:lang w:val="en-US" w:eastAsia="zh-CN" w:bidi="ar-SA"/>
              </w:rPr>
              <w:t xml:space="preserve">，小写：</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b/>
                <w:bCs/>
                <w:sz w:val="24"/>
                <w:szCs w:val="24"/>
                <w:lang w:val="en-US" w:eastAsia="zh-CN" w:bidi="ar-SA"/>
              </w:rPr>
              <w:t xml:space="preserve">元</w:t>
            </w:r>
            <w:r/>
          </w:p>
        </w:tc>
      </w:tr>
      <w:tr>
        <w:trPr>
          <w:cantSplit/>
          <w:trHeight w:val="821"/>
        </w:trPr>
        <w:tc>
          <w:tcPr>
            <w:gridSpan w:val="2"/>
            <w:tcW w:w="10145" w:type="dxa"/>
            <w:vAlign w:val="center"/>
            <w:textDirection w:val="lrTb"/>
            <w:noWrap w:val="false"/>
          </w:tcPr>
          <w:p>
            <w:pPr>
              <w:ind w:right="-286"/>
              <w:jc w:val="both"/>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1"/>
                <w:szCs w:val="28"/>
                <w:lang w:val="en-US" w:eastAsia="zh-CN" w:bidi="ar-SA"/>
              </w:rPr>
              <w:t xml:space="preserve">是否提供《企业类型声明函》：</w:t>
            </w:r>
            <w:r>
              <w:rPr>
                <w:rFonts w:hint="eastAsia" w:ascii="宋体" w:hAnsi="宋体" w:eastAsia="宋体" w:cs="宋体"/>
                <w:b/>
                <w:bCs/>
                <w:sz w:val="21"/>
                <w:szCs w:val="28"/>
                <w:u w:val="single"/>
                <w:lang w:val="en-US" w:eastAsia="zh-CN" w:bidi="ar-SA"/>
              </w:rPr>
              <w:t xml:space="preserve">  是/否   </w:t>
            </w:r>
            <w:r>
              <w:rPr>
                <w:rFonts w:hint="eastAsia" w:ascii="宋体" w:hAnsi="宋体" w:eastAsia="宋体" w:cs="宋体"/>
                <w:b/>
                <w:bCs/>
                <w:sz w:val="21"/>
                <w:szCs w:val="28"/>
                <w:lang w:val="en-US" w:eastAsia="zh-CN" w:bidi="ar-SA"/>
              </w:rPr>
              <w:t xml:space="preserve">           见</w:t>
            </w:r>
            <w:r>
              <w:rPr>
                <w:rFonts w:hint="eastAsia" w:ascii="宋体" w:hAnsi="宋体" w:eastAsia="宋体" w:cs="宋体"/>
                <w:b/>
                <w:bCs/>
                <w:sz w:val="21"/>
                <w:szCs w:val="28"/>
                <w:u w:val="single"/>
                <w:lang w:val="en-US" w:eastAsia="zh-CN" w:bidi="ar-SA"/>
              </w:rPr>
              <w:t xml:space="preserve">（          ）</w:t>
            </w:r>
            <w:r>
              <w:rPr>
                <w:rFonts w:hint="eastAsia" w:ascii="宋体" w:hAnsi="宋体" w:eastAsia="宋体" w:cs="宋体"/>
                <w:b/>
                <w:bCs/>
                <w:sz w:val="21"/>
                <w:szCs w:val="28"/>
                <w:lang w:val="en-US" w:eastAsia="zh-CN" w:bidi="ar-SA"/>
              </w:rPr>
              <w:t xml:space="preserve">页</w:t>
            </w:r>
            <w:r/>
          </w:p>
        </w:tc>
      </w:tr>
      <w:tr>
        <w:trPr>
          <w:cantSplit/>
          <w:trHeight w:val="807"/>
        </w:trPr>
        <w:tc>
          <w:tcPr>
            <w:gridSpan w:val="2"/>
            <w:tcW w:w="10145" w:type="dxa"/>
            <w:vAlign w:val="center"/>
            <w:textDirection w:val="lrTb"/>
            <w:noWrap w:val="false"/>
          </w:tcPr>
          <w:p>
            <w:pPr>
              <w:ind w:right="-286"/>
              <w:jc w:val="both"/>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合同履行期限： </w:t>
            </w:r>
            <w:r/>
          </w:p>
        </w:tc>
      </w:tr>
      <w:tr>
        <w:trPr>
          <w:cantSplit/>
          <w:trHeight w:val="807"/>
        </w:trPr>
        <w:tc>
          <w:tcPr>
            <w:gridSpan w:val="2"/>
            <w:tcW w:w="10145" w:type="dxa"/>
            <w:vAlign w:val="center"/>
            <w:textDirection w:val="lrTb"/>
            <w:noWrap w:val="false"/>
          </w:tcPr>
          <w:p>
            <w:pPr>
              <w:ind w:right="-286"/>
              <w:jc w:val="both"/>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项目负责人：</w:t>
            </w:r>
            <w:r/>
          </w:p>
        </w:tc>
      </w:tr>
    </w:tbl>
    <w:p>
      <w:pPr>
        <w:ind w:right="-286"/>
        <w:spacing w:line="180" w:lineRule="atLeast"/>
        <w:rPr>
          <w:rFonts w:hint="eastAsia" w:ascii="宋体" w:hAnsi="宋体" w:cs="宋体"/>
          <w:sz w:val="24"/>
          <w:szCs w:val="24"/>
        </w:rPr>
      </w:pPr>
      <w:r>
        <w:rPr>
          <w:rFonts w:hint="eastAsia" w:ascii="宋体" w:hAnsi="宋体" w:cs="宋体"/>
          <w:sz w:val="24"/>
          <w:szCs w:val="24"/>
        </w:rPr>
        <w:t xml:space="preserve">填写说明：</w:t>
      </w:r>
      <w:r/>
    </w:p>
    <w:p>
      <w:pPr>
        <w:ind w:right="-286"/>
        <w:spacing w:line="360" w:lineRule="auto"/>
        <w:rPr>
          <w:rFonts w:hint="eastAsia" w:ascii="宋体" w:hAnsi="宋体" w:cs="宋体"/>
          <w:sz w:val="24"/>
          <w:szCs w:val="24"/>
        </w:rPr>
      </w:pPr>
      <w:r>
        <w:rPr>
          <w:rFonts w:hint="eastAsia" w:ascii="宋体" w:hAnsi="宋体" w:cs="宋体"/>
          <w:sz w:val="24"/>
          <w:szCs w:val="24"/>
        </w:rPr>
        <w:t xml:space="preserve">1.开标一览表不得填报选择性报价，否则将作为无效投标；</w:t>
      </w:r>
      <w:r/>
    </w:p>
    <w:p>
      <w:pPr>
        <w:ind w:right="-286"/>
        <w:spacing w:line="360" w:lineRule="auto"/>
        <w:rPr>
          <w:rFonts w:hint="eastAsia" w:ascii="宋体" w:hAnsi="宋体" w:cs="宋体"/>
          <w:sz w:val="24"/>
          <w:szCs w:val="24"/>
        </w:rPr>
      </w:pPr>
      <w:r>
        <w:rPr>
          <w:rFonts w:hint="eastAsia" w:ascii="宋体" w:hAnsi="宋体" w:cs="宋体"/>
          <w:sz w:val="24"/>
          <w:szCs w:val="24"/>
        </w:rPr>
        <w:t xml:space="preserve">2.开标一览表中报价与投标分项明细报价表中不符时时，以开标一览表为准；</w:t>
      </w:r>
      <w:r/>
    </w:p>
    <w:p>
      <w:pPr>
        <w:ind w:right="-286" w:firstLine="2640"/>
        <w:rPr>
          <w:rFonts w:hint="eastAsia" w:ascii="宋体" w:hAnsi="宋体" w:cs="宋体"/>
          <w:sz w:val="44"/>
        </w:rPr>
      </w:pPr>
      <w:r>
        <w:rPr>
          <w:rFonts w:hint="eastAsia" w:ascii="宋体" w:hAnsi="宋体" w:cs="宋体"/>
          <w:sz w:val="44"/>
        </w:rPr>
      </w:r>
      <w:r/>
    </w:p>
    <w:p>
      <w:pPr>
        <w:ind w:right="-286" w:firstLine="480"/>
        <w:rPr>
          <w:rFonts w:hint="eastAsia" w:ascii="宋体" w:hAnsi="宋体" w:cs="宋体"/>
          <w:sz w:val="24"/>
        </w:rPr>
      </w:pPr>
      <w:r>
        <w:rPr>
          <w:rFonts w:hint="eastAsia" w:ascii="宋体" w:hAnsi="宋体" w:cs="宋体"/>
          <w:sz w:val="24"/>
        </w:rPr>
      </w:r>
      <w:r/>
    </w:p>
    <w:p>
      <w:pPr>
        <w:ind w:right="-286" w:firstLine="480"/>
        <w:rPr>
          <w:rFonts w:hint="eastAsia" w:ascii="宋体" w:hAnsi="宋体" w:cs="宋体"/>
          <w:sz w:val="24"/>
        </w:rPr>
      </w:pPr>
      <w:r>
        <w:rPr>
          <w:rFonts w:hint="eastAsia" w:ascii="宋体" w:hAnsi="宋体" w:cs="宋体"/>
          <w:sz w:val="24"/>
        </w:rPr>
      </w:r>
      <w:r/>
    </w:p>
    <w:p>
      <w:pPr>
        <w:ind w:right="-286" w:firstLine="480"/>
        <w:jc w:val="right"/>
        <w:rPr>
          <w:rFonts w:hint="eastAsia" w:ascii="宋体" w:hAnsi="宋体" w:cs="宋体"/>
          <w:sz w:val="24"/>
        </w:rPr>
      </w:pPr>
      <w:r>
        <w:rPr>
          <w:rFonts w:hint="eastAsia" w:ascii="宋体" w:hAnsi="宋体" w:cs="宋体"/>
          <w:bCs/>
          <w:sz w:val="24"/>
        </w:rPr>
        <w:t xml:space="preserve">供应商名称（公章）：</w:t>
      </w:r>
      <w:r/>
    </w:p>
    <w:p>
      <w:pPr>
        <w:ind w:right="-286" w:firstLine="480"/>
        <w:rPr>
          <w:rFonts w:hint="eastAsia" w:ascii="宋体" w:hAnsi="宋体" w:cs="宋体"/>
          <w:sz w:val="24"/>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right="-286"/>
        <w:jc w:val="center"/>
        <w:rPr>
          <w:rFonts w:hint="eastAsia" w:ascii="宋体" w:hAnsi="宋体" w:cs="宋体"/>
          <w:b/>
          <w:sz w:val="32"/>
          <w:szCs w:val="32"/>
        </w:rPr>
      </w:pPr>
      <w:r>
        <w:rPr>
          <w:rFonts w:hint="eastAsia" w:ascii="宋体" w:hAnsi="宋体" w:cs="宋体"/>
          <w:b/>
          <w:sz w:val="32"/>
          <w:szCs w:val="32"/>
        </w:rPr>
      </w:r>
      <w:r/>
    </w:p>
    <w:p>
      <w:pPr>
        <w:ind w:right="-286"/>
        <w:jc w:val="center"/>
        <w:rPr>
          <w:rFonts w:hint="eastAsia" w:ascii="宋体" w:hAnsi="宋体" w:cs="宋体"/>
          <w:b/>
          <w:sz w:val="32"/>
          <w:szCs w:val="32"/>
        </w:rPr>
      </w:pPr>
      <w:r>
        <w:rPr>
          <w:rFonts w:hint="eastAsia" w:ascii="宋体" w:hAnsi="宋体" w:cs="宋体"/>
          <w:b/>
          <w:sz w:val="32"/>
          <w:szCs w:val="32"/>
        </w:rPr>
      </w:r>
      <w:r/>
    </w:p>
    <w:p>
      <w:pPr>
        <w:pStyle w:val="1075"/>
        <w:ind w:left="1260" w:right="-286"/>
      </w:pPr>
      <w:r/>
      <w:r/>
    </w:p>
    <w:p>
      <w:pPr>
        <w:ind w:right="-286"/>
      </w:pPr>
      <w:r/>
      <w:r/>
    </w:p>
    <w:p>
      <w:pPr>
        <w:pStyle w:val="1075"/>
        <w:ind w:right="-286"/>
      </w:pPr>
      <w:r/>
      <w:r/>
    </w:p>
    <w:p>
      <w:pPr>
        <w:ind w:right="-286"/>
      </w:pPr>
      <w:r/>
      <w:r/>
    </w:p>
    <w:p>
      <w:pPr>
        <w:ind w:right="-286"/>
      </w:pPr>
      <w:r/>
      <w:r/>
    </w:p>
    <w:p>
      <w:pPr>
        <w:pStyle w:val="1075"/>
        <w:ind w:right="-286"/>
      </w:pPr>
      <w:r/>
      <w:r/>
    </w:p>
    <w:p>
      <w:pPr>
        <w:ind w:right="-286"/>
      </w:pPr>
      <w:r/>
      <w:r/>
    </w:p>
    <w:p>
      <w:pPr>
        <w:ind w:right="-286"/>
        <w:rPr>
          <w:rFonts w:hint="eastAsia" w:ascii="宋体" w:hAnsi="宋体" w:cs="宋体"/>
          <w:b/>
          <w:sz w:val="32"/>
          <w:szCs w:val="32"/>
        </w:rPr>
      </w:pPr>
      <w:r>
        <w:rPr>
          <w:rFonts w:hint="eastAsia" w:ascii="宋体" w:hAnsi="宋体" w:cs="宋体"/>
          <w:b/>
          <w:sz w:val="32"/>
          <w:szCs w:val="32"/>
        </w:rPr>
      </w:r>
      <w:r/>
    </w:p>
    <w:p>
      <w:pPr>
        <w:pStyle w:val="1079"/>
        <w:ind w:right="-286" w:firstLine="0"/>
      </w:pPr>
      <w:r/>
      <w:r/>
    </w:p>
    <w:p>
      <w:pPr>
        <w:ind w:right="-286"/>
        <w:jc w:val="center"/>
        <w:spacing w:before="50" w:after="50"/>
        <w:rPr>
          <w:rFonts w:hint="eastAsia" w:ascii="宋体" w:hAnsi="宋体" w:cs="宋体"/>
          <w:sz w:val="24"/>
          <w:szCs w:val="24"/>
        </w:rPr>
      </w:pPr>
      <w:r>
        <w:rPr>
          <w:rFonts w:hint="eastAsia" w:ascii="宋体" w:hAnsi="宋体" w:cs="宋体"/>
          <w:sz w:val="32"/>
          <w:szCs w:val="32"/>
        </w:rPr>
        <w:t xml:space="preserve">六、投标报价分项表</w:t>
      </w:r>
      <w:r/>
    </w:p>
    <w:p>
      <w:pPr>
        <w:ind w:right="-286"/>
        <w:rPr>
          <w:rFonts w:hint="eastAsia" w:ascii="宋体" w:hAnsi="宋体" w:cs="宋体"/>
          <w:sz w:val="24"/>
          <w:szCs w:val="24"/>
        </w:rPr>
      </w:pPr>
      <w:r>
        <w:rPr>
          <w:rFonts w:hint="eastAsia" w:ascii="宋体" w:hAnsi="宋体" w:cs="宋体"/>
          <w:sz w:val="24"/>
          <w:szCs w:val="24"/>
        </w:rPr>
        <w:t xml:space="preserve">投标人全称（加盖公章）：</w:t>
      </w:r>
      <w:r/>
    </w:p>
    <w:tbl>
      <w:tblPr>
        <w:tblStyle w:val="887"/>
        <w:tblW w:w="0" w:type="auto"/>
        <w:jc w:val="center"/>
        <w:tblLayout w:type="fixed"/>
        <w:tblCellMar>
          <w:left w:w="108" w:type="dxa"/>
          <w:top w:w="0" w:type="dxa"/>
          <w:right w:w="108" w:type="dxa"/>
          <w:bottom w:w="0" w:type="dxa"/>
        </w:tblCellMar>
        <w:tblLook w:val="04A0" w:firstRow="1" w:lastRow="0" w:firstColumn="1" w:lastColumn="0" w:noHBand="0" w:noVBand="1"/>
      </w:tblPr>
      <w:tblGrid>
        <w:gridCol w:w="1124"/>
        <w:gridCol w:w="1680"/>
        <w:gridCol w:w="1470"/>
        <w:gridCol w:w="728"/>
        <w:gridCol w:w="784"/>
        <w:gridCol w:w="898"/>
        <w:gridCol w:w="898"/>
        <w:gridCol w:w="1417"/>
      </w:tblGrid>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名称</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要求</w:t>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4" w:space="0"/>
              <w:left w:val="single" w:color="000000" w:sz="6" w:space="0"/>
              <w:bottom w:val="single" w:color="000000" w:sz="4" w:space="0"/>
              <w:right w:val="single" w:color="000000" w:sz="6" w:space="0"/>
            </w:tcBorders>
            <w:tcW w:w="898"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单价</w:t>
            </w:r>
            <w:r/>
          </w:p>
        </w:tc>
        <w:tc>
          <w:tcPr>
            <w:tcBorders>
              <w:top w:val="single" w:color="000000" w:sz="4" w:space="0"/>
              <w:left w:val="single" w:color="000000" w:sz="6" w:space="0"/>
              <w:bottom w:val="single" w:color="000000" w:sz="4" w:space="0"/>
              <w:right w:val="single" w:color="000000" w:sz="6" w:space="0"/>
            </w:tcBorders>
            <w:tcW w:w="898"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总价</w:t>
            </w:r>
            <w:r/>
          </w:p>
        </w:tc>
        <w:tc>
          <w:tcPr>
            <w:tcBorders>
              <w:top w:val="single" w:color="000000" w:sz="4" w:space="0"/>
              <w:left w:val="single" w:color="000000" w:sz="6" w:space="0"/>
              <w:bottom w:val="single" w:color="000000" w:sz="4" w:space="0"/>
              <w:right w:val="single" w:color="000000" w:sz="4" w:space="0"/>
            </w:tcBorders>
            <w:tcW w:w="1417"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备注（厂家、品牌、型号）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ind w:right="-286"/>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t xml:space="preserve">法定代表人（或者负责人）或被授权人（签字）：</w:t>
      </w:r>
      <w:r>
        <w:rPr>
          <w:rFonts w:hint="eastAsia" w:ascii="宋体" w:hAnsi="宋体" w:cs="宋体"/>
          <w:sz w:val="24"/>
          <w:szCs w:val="24"/>
          <w:u w:val="single"/>
        </w:rPr>
        <w:t xml:space="preserve">              </w:t>
      </w:r>
      <w:r/>
    </w:p>
    <w:p>
      <w:pPr>
        <w:ind w:right="-286" w:firstLine="1680"/>
        <w:spacing w:line="440" w:lineRule="exact"/>
        <w:rPr>
          <w:rFonts w:hint="eastAsia" w:ascii="宋体" w:hAnsi="宋体" w:cs="宋体"/>
          <w:sz w:val="24"/>
          <w:szCs w:val="24"/>
        </w:rPr>
      </w:pPr>
      <w:r>
        <w:rPr>
          <w:rFonts w:hint="eastAsia" w:ascii="宋体" w:hAnsi="宋体" w:cs="宋体"/>
          <w:sz w:val="24"/>
          <w:szCs w:val="24"/>
        </w:rPr>
        <w:t xml:space="preserve">投标人（盖单位公章）：</w:t>
      </w:r>
      <w:r>
        <w:rPr>
          <w:rFonts w:hint="eastAsia" w:ascii="宋体" w:hAnsi="宋体" w:cs="宋体"/>
          <w:sz w:val="24"/>
          <w:szCs w:val="24"/>
          <w:u w:val="single"/>
        </w:rPr>
        <w:t xml:space="preserve">               </w:t>
      </w:r>
      <w:r/>
    </w:p>
    <w:p>
      <w:pPr>
        <w:ind w:right="-286" w:firstLine="4622"/>
        <w:jc w:val="center"/>
        <w:spacing w:line="360" w:lineRule="auto"/>
        <w:rPr>
          <w:rFonts w:hint="eastAsia" w:ascii="宋体" w:hAnsi="宋体" w:cs="宋体"/>
          <w:sz w:val="32"/>
          <w:szCs w:val="32"/>
        </w:rPr>
      </w:pP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rPr>
        <w:br w:type="page" w:clear="all"/>
      </w:r>
      <w:r>
        <w:rPr>
          <w:rFonts w:hint="eastAsia" w:ascii="宋体" w:hAnsi="宋体" w:cs="宋体"/>
          <w:sz w:val="32"/>
          <w:szCs w:val="32"/>
        </w:rPr>
        <w:t xml:space="preserve">七、技术部分</w:t>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jc w:val="center"/>
        <w:spacing w:line="360" w:lineRule="auto"/>
        <w:rPr>
          <w:rFonts w:hint="eastAsia" w:ascii="宋体" w:hAnsi="宋体" w:cs="宋体"/>
          <w:sz w:val="32"/>
          <w:szCs w:val="32"/>
        </w:rPr>
      </w:pPr>
      <w:r>
        <w:rPr>
          <w:rFonts w:hint="eastAsia" w:ascii="宋体" w:hAnsi="宋体" w:cs="宋体"/>
          <w:sz w:val="32"/>
          <w:szCs w:val="32"/>
        </w:rPr>
        <w:t xml:space="preserve">八、采购需求响应及偏离表</w:t>
      </w:r>
      <w:r/>
    </w:p>
    <w:p>
      <w:pPr>
        <w:ind w:right="-286"/>
        <w:rPr>
          <w:rFonts w:hint="eastAsia" w:ascii="宋体" w:hAnsi="宋体" w:cs="宋体"/>
          <w:sz w:val="24"/>
          <w:szCs w:val="24"/>
        </w:rPr>
      </w:pPr>
      <w:r>
        <w:rPr>
          <w:rFonts w:hint="eastAsia" w:ascii="宋体" w:hAnsi="宋体" w:cs="宋体"/>
          <w:sz w:val="24"/>
          <w:szCs w:val="24"/>
        </w:rPr>
        <w:t xml:space="preserve">投标人全称（加盖公章）：       </w:t>
      </w:r>
      <w:r/>
    </w:p>
    <w:tbl>
      <w:tblPr>
        <w:tblStyle w:val="887"/>
        <w:tblW w:w="96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877"/>
        <w:gridCol w:w="2940"/>
        <w:gridCol w:w="3540"/>
        <w:gridCol w:w="1260"/>
      </w:tblGrid>
      <w:tr>
        <w:trPr>
          <w:cantSplit/>
          <w:trHeight w:val="526"/>
        </w:trPr>
        <w:tc>
          <w:tcPr>
            <w:tcW w:w="984" w:type="dxa"/>
            <w:vAlign w:val="center"/>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877" w:type="dxa"/>
            <w:vAlign w:val="center"/>
            <w:textDirection w:val="lrTb"/>
            <w:noWrap w:val="false"/>
          </w:tcPr>
          <w:p>
            <w:pPr>
              <w:ind w:right="-286"/>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p>
        </w:tc>
        <w:tc>
          <w:tcPr>
            <w:tcW w:w="2940" w:type="dxa"/>
            <w:vAlign w:val="center"/>
            <w:textDirection w:val="lrTb"/>
            <w:noWrap w:val="false"/>
          </w:tcPr>
          <w:p>
            <w:pPr>
              <w:ind w:right="-286"/>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招标文件中采购需求内容</w:t>
            </w:r>
            <w:r/>
          </w:p>
        </w:tc>
        <w:tc>
          <w:tcPr>
            <w:tcW w:w="3540" w:type="dxa"/>
            <w:vAlign w:val="center"/>
            <w:textDirection w:val="lrTb"/>
            <w:noWrap w:val="false"/>
          </w:tcPr>
          <w:p>
            <w:pPr>
              <w:ind w:right="-286"/>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投标文件中响应采购需求的内容</w:t>
            </w:r>
            <w:r/>
          </w:p>
        </w:tc>
        <w:tc>
          <w:tcPr>
            <w:tcW w:w="1260" w:type="dxa"/>
            <w:vAlign w:val="center"/>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ind w:right="-286" w:firstLine="420"/>
        <w:spacing w:line="440" w:lineRule="exact"/>
        <w:rPr>
          <w:rFonts w:hint="eastAsia" w:ascii="宋体" w:hAnsi="宋体" w:cs="宋体"/>
          <w:sz w:val="24"/>
          <w:szCs w:val="24"/>
        </w:rPr>
      </w:pPr>
      <w:r>
        <w:rPr>
          <w:rFonts w:hint="eastAsia" w:ascii="宋体" w:hAnsi="宋体" w:cs="宋体"/>
          <w:sz w:val="24"/>
          <w:szCs w:val="24"/>
        </w:rPr>
        <w:t xml:space="preserve">注：该表必须按照招标文件要求逐条如实填写，根据所供产品情况在“偏离说明”项填写正偏离或负偏离及原因，完全符合的填写“无偏离”。</w:t>
      </w:r>
      <w:r/>
    </w:p>
    <w:p>
      <w:pPr>
        <w:ind w:right="-286"/>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t xml:space="preserve">法定代表人（或者负责人）或被授权人（签字）：</w:t>
      </w:r>
      <w:r>
        <w:rPr>
          <w:rFonts w:hint="eastAsia" w:ascii="宋体" w:hAnsi="宋体" w:cs="宋体"/>
          <w:sz w:val="24"/>
          <w:szCs w:val="24"/>
          <w:u w:val="single"/>
        </w:rPr>
        <w:t xml:space="preserve">              </w:t>
      </w:r>
      <w:r/>
    </w:p>
    <w:p>
      <w:pPr>
        <w:ind w:right="-286" w:firstLine="1680"/>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t xml:space="preserve">投标人（盖单位公章）：</w:t>
      </w:r>
      <w:r>
        <w:rPr>
          <w:rFonts w:hint="eastAsia" w:ascii="宋体" w:hAnsi="宋体" w:cs="宋体"/>
          <w:sz w:val="24"/>
          <w:szCs w:val="24"/>
          <w:u w:val="single"/>
        </w:rPr>
        <w:t xml:space="preserve">               </w:t>
      </w:r>
      <w:r/>
    </w:p>
    <w:p>
      <w:pPr>
        <w:ind w:right="-286" w:firstLine="1200"/>
        <w:spacing w:line="440" w:lineRule="exact"/>
        <w:rPr>
          <w:rFonts w:hint="eastAsia" w:ascii="宋体" w:hAnsi="宋体" w:cs="宋体"/>
          <w:sz w:val="24"/>
          <w:szCs w:val="24"/>
        </w:rPr>
      </w:pPr>
      <w:r>
        <w:rPr>
          <w:rFonts w:hint="eastAsia" w:ascii="宋体" w:hAnsi="宋体" w:cs="宋体"/>
          <w:sz w:val="24"/>
          <w:szCs w:val="24"/>
        </w:rPr>
      </w:r>
      <w:r/>
    </w:p>
    <w:p>
      <w:pPr>
        <w:ind w:right="-286"/>
        <w:spacing w:line="440" w:lineRule="exact"/>
        <w:rPr>
          <w:rFonts w:hint="eastAsia" w:ascii="宋体" w:hAnsi="宋体" w:cs="宋体"/>
          <w:sz w:val="24"/>
          <w:szCs w:val="24"/>
        </w:rPr>
      </w:pPr>
      <w:r>
        <w:rPr>
          <w:rFonts w:hint="eastAsia" w:ascii="宋体" w:hAnsi="宋体" w:cs="宋体"/>
          <w:sz w:val="24"/>
          <w:szCs w:val="24"/>
        </w:rPr>
      </w:r>
      <w:r/>
    </w:p>
    <w:p>
      <w:pPr>
        <w:ind w:right="-286" w:firstLine="1200"/>
        <w:spacing w:line="440" w:lineRule="exact"/>
        <w:rPr>
          <w:rFonts w:hint="eastAsia" w:ascii="宋体" w:hAnsi="宋体" w:cs="宋体"/>
          <w:sz w:val="24"/>
          <w:szCs w:val="24"/>
        </w:rPr>
      </w:pPr>
      <w:r>
        <w:rPr>
          <w:rFonts w:hint="eastAsia" w:ascii="宋体" w:hAnsi="宋体" w:cs="宋体"/>
          <w:sz w:val="24"/>
          <w:szCs w:val="24"/>
        </w:rPr>
      </w:r>
      <w:r/>
    </w:p>
    <w:p>
      <w:pPr>
        <w:ind w:right="-286" w:firstLine="4622"/>
        <w:spacing w:line="360" w:lineRule="auto"/>
        <w:rPr>
          <w:rFonts w:hint="eastAsia" w:ascii="宋体" w:hAnsi="宋体" w:cs="宋体"/>
          <w:bCs/>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p>
    <w:p>
      <w:pPr>
        <w:ind w:right="-286"/>
        <w:rPr>
          <w:rFonts w:hint="eastAsia" w:ascii="宋体" w:hAnsi="宋体" w:cs="宋体"/>
          <w:b/>
          <w:sz w:val="36"/>
        </w:rPr>
      </w:pPr>
      <w:r>
        <w:rPr>
          <w:rFonts w:hint="eastAsia" w:ascii="宋体" w:hAnsi="宋体" w:cs="宋体"/>
          <w:b/>
          <w:sz w:val="36"/>
        </w:rPr>
      </w:r>
      <w:bookmarkEnd w:id="152"/>
      <w:r/>
      <w:bookmarkEnd w:id="153"/>
      <w:r/>
      <w:bookmarkEnd w:id="451"/>
      <w:r/>
      <w:r/>
    </w:p>
    <w:p>
      <w:pPr>
        <w:pStyle w:val="1076"/>
        <w:ind w:right="-286"/>
        <w:rPr>
          <w:rFonts w:hint="eastAsia"/>
        </w:rPr>
      </w:pPr>
      <w:r>
        <w:rPr>
          <w:rFonts w:hint="eastAsia"/>
        </w:rPr>
      </w:r>
      <w:r/>
    </w:p>
    <w:p>
      <w:pPr>
        <w:ind w:right="-286"/>
        <w:spacing w:before="50" w:after="50"/>
        <w:rPr>
          <w:rFonts w:hint="eastAsia" w:ascii="宋体" w:hAnsi="宋体" w:cs="宋体"/>
          <w:sz w:val="32"/>
          <w:szCs w:val="32"/>
        </w:rPr>
      </w:pPr>
      <w:r/>
      <w:bookmarkStart w:id="452" w:name="_Hlt26955054"/>
      <w:r/>
      <w:bookmarkEnd w:id="452"/>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pPr>
      <w:r/>
      <w:r/>
    </w:p>
    <w:sectPr>
      <w:headerReference w:type="default" r:id="rId12"/>
      <w:headerReference w:type="first" r:id="rId13"/>
      <w:footerReference w:type="default" r:id="rId18"/>
      <w:footerReference w:type="even" r:id="rId19"/>
      <w:footerReference w:type="first" r:id="rId20"/>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等线">
    <w:panose1 w:val="02010600030101010101"/>
  </w:font>
  <w:font w:name="楷体_GB2312">
    <w:panose1 w:val="02010609060101010101"/>
  </w:font>
  <w:font w:name="Calibri Light">
    <w:panose1 w:val="020F0302020204030204"/>
  </w:font>
  <w:font w:name="Wingdings">
    <w:panose1 w:val="05000000000000000000"/>
  </w:font>
  <w:font w:name="Courier New">
    <w:panose1 w:val="02070309020205020404"/>
  </w:font>
  <w:font w:name="仿宋_GB2312">
    <w:panose1 w:val="0201060906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3"/>
                          </w:pPr>
                          <w:r>
                            <w:fldChar w:fldCharType="begin"/>
                          </w:r>
                          <w:r>
                            <w:instrText xml:space="preserve"> PAGE  \* MERGEFORMAT </w:instrText>
                          </w:r>
                          <w:r>
                            <w:fldChar w:fldCharType="separate"/>
                          </w:r>
                          <w:r>
                            <w:t xml:space="preserve">90</w:t>
                          </w:r>
                          <w:r>
                            <w:fldChar w:fldCharType="end"/>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90</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Style w:val="1093"/>
      </w:rPr>
      <w:framePr w:wrap="around" w:vAnchor="text" w:hAnchor="margin" w:xAlign="center" w:y="1"/>
    </w:pPr>
    <w:r>
      <w:fldChar w:fldCharType="begin"/>
    </w:r>
    <w:r>
      <w:rPr>
        <w:rStyle w:val="1093"/>
      </w:rPr>
      <w:instrText xml:space="preserve">PAGE  </w:instrText>
    </w:r>
    <w:r>
      <w:fldChar w:fldCharType="separate"/>
    </w:r>
    <w:r>
      <w:rPr>
        <w:rStyle w:val="1093"/>
      </w:rPr>
      <w:t xml:space="preserve">1</w:t>
    </w:r>
    <w:r>
      <w:fldChar w:fldCharType="end"/>
    </w:r>
    <w:r/>
  </w:p>
  <w:p>
    <w:pPr>
      <w:pStyle w:val="109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3"/>
                          </w:pPr>
                          <w:r>
                            <w:fldChar w:fldCharType="begin"/>
                          </w:r>
                          <w:r>
                            <w:instrText xml:space="preserve"> PAGE  \* MERGEFORMAT </w:instrText>
                          </w:r>
                          <w:r>
                            <w:fldChar w:fldCharType="separate"/>
                          </w:r>
                          <w:r>
                            <w:t xml:space="preserve">89</w:t>
                          </w:r>
                          <w:r>
                            <w:fldChar w:fldCharType="end"/>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both"/>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884"/>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975" w:hanging="495"/>
      </w:pPr>
      <w:rPr>
        <w:b/>
        <w:lang w:val="en-US"/>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9"/>
  </w:num>
  <w:num w:numId="4">
    <w:abstractNumId w:val="6"/>
  </w:num>
  <w:num w:numId="5">
    <w:abstractNumId w:val="3"/>
  </w:num>
  <w:num w:numId="6">
    <w:abstractNumId w:val="13"/>
  </w:num>
  <w:num w:numId="7">
    <w:abstractNumId w:val="5"/>
  </w:num>
  <w:num w:numId="8">
    <w:abstractNumId w:val="0"/>
  </w:num>
  <w:num w:numId="9">
    <w:abstractNumId w:val="4"/>
  </w:num>
  <w:num w:numId="10">
    <w:abstractNumId w:val="11"/>
  </w:num>
  <w:num w:numId="11">
    <w:abstractNumId w:val="2"/>
  </w:num>
  <w:num w:numId="12">
    <w:abstractNumId w:val="10"/>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3">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2">
    <w:name w:val="TOC Heading"/>
    <w:uiPriority w:val="39"/>
    <w:unhideWhenUsed/>
  </w:style>
  <w:style w:type="paragraph" w:styleId="883" w:default="1">
    <w:name w:val="Normal"/>
    <w:next w:val="888"/>
    <w:uiPriority w:val="0"/>
    <w:qFormat/>
    <w:pPr>
      <w:jc w:val="both"/>
      <w:widowControl w:val="off"/>
    </w:pPr>
    <w:rPr>
      <w:rFonts w:hint="default" w:ascii="Times New Roman" w:hAnsi="Times New Roman" w:eastAsia="宋体" w:cs="Times New Roman"/>
      <w:sz w:val="21"/>
      <w:szCs w:val="21"/>
      <w:lang w:eastAsia="zh-CN"/>
    </w:rPr>
  </w:style>
  <w:style w:type="paragraph" w:styleId="884">
    <w:name w:val="Heading 1"/>
    <w:basedOn w:val="883"/>
    <w:next w:val="883"/>
    <w:uiPriority w:val="0"/>
    <w:pPr>
      <w:numPr>
        <w:ilvl w:val="0"/>
        <w:numId w:val="1"/>
      </w:numPr>
      <w:ind w:firstLine="0"/>
      <w:keepLines/>
      <w:keepNext/>
      <w:spacing w:beforeAutospacing="0" w:afterAutospacing="0" w:line="360" w:lineRule="auto"/>
      <w:outlineLvl w:val="0"/>
    </w:pPr>
    <w:rPr>
      <w:rFonts w:ascii="Times New Roman" w:hAnsi="Times New Roman" w:eastAsia="微软雅黑" w:cs="Times New Roman"/>
      <w:b/>
      <w:sz w:val="32"/>
      <w:szCs w:val="20"/>
    </w:rPr>
  </w:style>
  <w:style w:type="paragraph" w:styleId="885">
    <w:name w:val="Heading 4"/>
    <w:basedOn w:val="883"/>
    <w:next w:val="883"/>
    <w:uiPriority w:val="9"/>
    <w:unhideWhenUsed/>
    <w:qFormat/>
    <w:pPr>
      <w:keepLines/>
      <w:keepNext/>
      <w:spacing w:before="280" w:beforeAutospacing="0" w:after="290" w:afterAutospacing="0" w:line="372" w:lineRule="auto"/>
      <w:outlineLvl w:val="3"/>
    </w:pPr>
    <w:rPr>
      <w:rFonts w:ascii="Arial" w:hAnsi="Arial" w:eastAsia="黑体"/>
      <w:b/>
      <w:sz w:val="28"/>
    </w:rPr>
  </w:style>
  <w:style w:type="character" w:styleId="886" w:default="1">
    <w:name w:val="Default Paragraph Font"/>
    <w:uiPriority w:val="1"/>
    <w:unhideWhenUsed/>
    <w:qFormat/>
  </w:style>
  <w:style w:type="table" w:styleId="887" w:default="1">
    <w:name w:val="Normal Table"/>
    <w:uiPriority w:val="99"/>
    <w:unhideWhenUsed/>
    <w:qFormat/>
    <w:tblPr>
      <w:tblCellMar>
        <w:left w:w="108" w:type="dxa"/>
        <w:top w:w="0" w:type="dxa"/>
        <w:right w:w="108" w:type="dxa"/>
        <w:bottom w:w="0" w:type="dxa"/>
      </w:tblCellMar>
    </w:tblPr>
  </w:style>
  <w:style w:type="paragraph" w:styleId="888">
    <w:name w:val="Block Text"/>
    <w:basedOn w:val="883"/>
    <w:uiPriority w:val="99"/>
    <w:unhideWhenUsed/>
    <w:qFormat/>
    <w:pPr>
      <w:ind w:left="1440" w:right="1440"/>
      <w:spacing w:after="120"/>
    </w:pPr>
  </w:style>
  <w:style w:type="paragraph" w:styleId="889">
    <w:name w:val="toc 7"/>
    <w:basedOn w:val="883"/>
    <w:next w:val="883"/>
    <w:uiPriority w:val="39"/>
    <w:unhideWhenUsed/>
    <w:pPr>
      <w:ind w:left="1701" w:right="0" w:firstLine="0"/>
      <w:spacing w:after="57"/>
    </w:pPr>
  </w:style>
  <w:style w:type="paragraph" w:styleId="890">
    <w:name w:val="annotation text"/>
    <w:basedOn w:val="883"/>
    <w:link w:val="914"/>
    <w:uiPriority w:val="0"/>
    <w:qFormat/>
    <w:pPr>
      <w:jc w:val="left"/>
    </w:pPr>
  </w:style>
  <w:style w:type="paragraph" w:styleId="891">
    <w:name w:val="Body Text"/>
    <w:basedOn w:val="883"/>
    <w:next w:val="883"/>
    <w:uiPriority w:val="0"/>
    <w:qFormat/>
    <w:pPr>
      <w:spacing w:after="120"/>
    </w:pPr>
  </w:style>
  <w:style w:type="paragraph" w:styleId="892">
    <w:name w:val="toc 5"/>
    <w:basedOn w:val="883"/>
    <w:next w:val="883"/>
    <w:uiPriority w:val="39"/>
    <w:unhideWhenUsed/>
    <w:pPr>
      <w:ind w:left="1134" w:right="0" w:firstLine="0"/>
      <w:spacing w:after="57"/>
    </w:pPr>
  </w:style>
  <w:style w:type="paragraph" w:styleId="893">
    <w:name w:val="toc 3"/>
    <w:basedOn w:val="883"/>
    <w:next w:val="883"/>
    <w:uiPriority w:val="39"/>
    <w:unhideWhenUsed/>
    <w:qFormat/>
    <w:pPr>
      <w:ind w:left="840"/>
    </w:pPr>
  </w:style>
  <w:style w:type="paragraph" w:styleId="894">
    <w:name w:val="Plain Text"/>
    <w:basedOn w:val="883"/>
    <w:uiPriority w:val="0"/>
    <w:qFormat/>
    <w:rPr>
      <w:rFonts w:ascii="宋体" w:hAnsi="Courier New"/>
    </w:rPr>
  </w:style>
  <w:style w:type="paragraph" w:styleId="895">
    <w:name w:val="toc 8"/>
    <w:basedOn w:val="883"/>
    <w:next w:val="883"/>
    <w:uiPriority w:val="39"/>
    <w:unhideWhenUsed/>
    <w:qFormat/>
    <w:pPr>
      <w:ind w:left="1984" w:right="0" w:firstLine="0"/>
      <w:spacing w:after="57"/>
    </w:pPr>
  </w:style>
  <w:style w:type="paragraph" w:styleId="896">
    <w:name w:val="Body Text Indent 2"/>
    <w:basedOn w:val="883"/>
    <w:uiPriority w:val="0"/>
    <w:qFormat/>
    <w:pPr>
      <w:ind w:left="420"/>
      <w:spacing w:after="120" w:line="480" w:lineRule="auto"/>
    </w:pPr>
  </w:style>
  <w:style w:type="paragraph" w:styleId="897">
    <w:name w:val="endnote text"/>
    <w:basedOn w:val="883"/>
    <w:link w:val="915"/>
    <w:uiPriority w:val="99"/>
    <w:unhideWhenUsed/>
    <w:pPr>
      <w:spacing w:after="0" w:line="240" w:lineRule="auto"/>
    </w:pPr>
    <w:rPr>
      <w:sz w:val="20"/>
    </w:rPr>
  </w:style>
  <w:style w:type="paragraph" w:styleId="898">
    <w:name w:val="toc 1"/>
    <w:basedOn w:val="883"/>
    <w:next w:val="883"/>
    <w:uiPriority w:val="39"/>
    <w:unhideWhenUsed/>
    <w:qFormat/>
  </w:style>
  <w:style w:type="paragraph" w:styleId="899">
    <w:name w:val="toc 4"/>
    <w:basedOn w:val="883"/>
    <w:next w:val="883"/>
    <w:uiPriority w:val="39"/>
    <w:unhideWhenUsed/>
    <w:pPr>
      <w:ind w:left="850" w:right="0" w:firstLine="0"/>
      <w:spacing w:after="57"/>
    </w:pPr>
  </w:style>
  <w:style w:type="paragraph" w:styleId="900">
    <w:name w:val="Subtitle"/>
    <w:basedOn w:val="883"/>
    <w:next w:val="883"/>
    <w:link w:val="916"/>
    <w:uiPriority w:val="11"/>
    <w:qFormat/>
    <w:pPr>
      <w:spacing w:before="200" w:after="200"/>
    </w:pPr>
    <w:rPr>
      <w:sz w:val="24"/>
      <w:szCs w:val="24"/>
    </w:rPr>
  </w:style>
  <w:style w:type="paragraph" w:styleId="901">
    <w:name w:val="footnote text"/>
    <w:basedOn w:val="883"/>
    <w:link w:val="917"/>
    <w:uiPriority w:val="99"/>
    <w:unhideWhenUsed/>
    <w:qFormat/>
    <w:pPr>
      <w:spacing w:after="40" w:line="240" w:lineRule="auto"/>
    </w:pPr>
    <w:rPr>
      <w:sz w:val="18"/>
    </w:rPr>
  </w:style>
  <w:style w:type="paragraph" w:styleId="902">
    <w:name w:val="toc 6"/>
    <w:basedOn w:val="883"/>
    <w:next w:val="883"/>
    <w:uiPriority w:val="39"/>
    <w:unhideWhenUsed/>
    <w:qFormat/>
    <w:pPr>
      <w:ind w:left="1417" w:right="0" w:firstLine="0"/>
      <w:spacing w:after="57"/>
    </w:pPr>
  </w:style>
  <w:style w:type="paragraph" w:styleId="903">
    <w:name w:val="table of figures"/>
    <w:basedOn w:val="883"/>
    <w:next w:val="883"/>
    <w:uiPriority w:val="99"/>
    <w:unhideWhenUsed/>
    <w:qFormat/>
    <w:pPr>
      <w:spacing w:after="0" w:afterAutospacing="0"/>
    </w:pPr>
  </w:style>
  <w:style w:type="paragraph" w:styleId="904">
    <w:name w:val="toc 2"/>
    <w:basedOn w:val="883"/>
    <w:next w:val="883"/>
    <w:uiPriority w:val="39"/>
    <w:unhideWhenUsed/>
    <w:qFormat/>
    <w:pPr>
      <w:ind w:left="420"/>
    </w:pPr>
  </w:style>
  <w:style w:type="paragraph" w:styleId="905">
    <w:name w:val="toc 9"/>
    <w:basedOn w:val="883"/>
    <w:next w:val="883"/>
    <w:uiPriority w:val="39"/>
    <w:unhideWhenUsed/>
    <w:qFormat/>
    <w:pPr>
      <w:ind w:left="2268" w:right="0" w:firstLine="0"/>
      <w:spacing w:after="57"/>
    </w:pPr>
  </w:style>
  <w:style w:type="paragraph" w:styleId="906">
    <w:name w:val="Title"/>
    <w:basedOn w:val="883"/>
    <w:next w:val="883"/>
    <w:link w:val="918"/>
    <w:uiPriority w:val="10"/>
    <w:qFormat/>
    <w:pPr>
      <w:contextualSpacing/>
      <w:spacing w:before="300" w:after="200"/>
    </w:pPr>
    <w:rPr>
      <w:sz w:val="48"/>
      <w:szCs w:val="48"/>
    </w:rPr>
  </w:style>
  <w:style w:type="paragraph" w:styleId="907">
    <w:name w:val="annotation subject"/>
    <w:basedOn w:val="890"/>
    <w:next w:val="890"/>
    <w:link w:val="919"/>
    <w:uiPriority w:val="0"/>
    <w:qFormat/>
    <w:rPr>
      <w:b/>
      <w:bCs/>
    </w:rPr>
  </w:style>
  <w:style w:type="table" w:styleId="908">
    <w:name w:val="Table Grid"/>
    <w:basedOn w:val="887"/>
    <w:uiPriority w:val="0"/>
    <w:qFormat/>
    <w:rPr>
      <w:rFonts w:ascii="Calibri" w:hAnsi="Calibri" w:eastAsia="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endnote reference"/>
    <w:basedOn w:val="886"/>
    <w:uiPriority w:val="99"/>
    <w:unhideWhenUsed/>
    <w:qFormat/>
    <w:rPr>
      <w:vertAlign w:val="superscript"/>
    </w:rPr>
  </w:style>
  <w:style w:type="character" w:styleId="910">
    <w:name w:val="page number"/>
    <w:uiPriority w:val="0"/>
    <w:qFormat/>
  </w:style>
  <w:style w:type="character" w:styleId="911">
    <w:name w:val="Hyperlink"/>
    <w:basedOn w:val="886"/>
    <w:uiPriority w:val="99"/>
    <w:unhideWhenUsed/>
    <w:qFormat/>
    <w:rPr>
      <w:color w:val="0026e5"/>
      <w:u w:val="single"/>
    </w:rPr>
  </w:style>
  <w:style w:type="character" w:styleId="912">
    <w:name w:val="annotation reference"/>
    <w:basedOn w:val="886"/>
    <w:uiPriority w:val="0"/>
    <w:qFormat/>
    <w:rPr>
      <w:sz w:val="21"/>
      <w:szCs w:val="21"/>
    </w:rPr>
  </w:style>
  <w:style w:type="character" w:styleId="913">
    <w:name w:val="footnote reference"/>
    <w:basedOn w:val="886"/>
    <w:uiPriority w:val="99"/>
    <w:unhideWhenUsed/>
    <w:rPr>
      <w:vertAlign w:val="superscript"/>
    </w:rPr>
  </w:style>
  <w:style w:type="character" w:styleId="914" w:customStyle="1">
    <w:name w:val="批注文字 字符"/>
    <w:basedOn w:val="886"/>
    <w:link w:val="890"/>
    <w:uiPriority w:val="0"/>
    <w:qFormat/>
    <w:rPr>
      <w:sz w:val="21"/>
      <w:szCs w:val="21"/>
    </w:rPr>
  </w:style>
  <w:style w:type="character" w:styleId="915" w:customStyle="1">
    <w:name w:val="Endnote Text Char"/>
    <w:link w:val="897"/>
    <w:uiPriority w:val="99"/>
    <w:qFormat/>
    <w:rPr>
      <w:sz w:val="20"/>
    </w:rPr>
  </w:style>
  <w:style w:type="character" w:styleId="916" w:customStyle="1">
    <w:name w:val="Subtitle Char"/>
    <w:basedOn w:val="886"/>
    <w:link w:val="900"/>
    <w:uiPriority w:val="11"/>
    <w:rPr>
      <w:sz w:val="24"/>
      <w:szCs w:val="24"/>
    </w:rPr>
  </w:style>
  <w:style w:type="character" w:styleId="917" w:customStyle="1">
    <w:name w:val="Footnote Text Char"/>
    <w:link w:val="901"/>
    <w:uiPriority w:val="99"/>
    <w:rPr>
      <w:sz w:val="18"/>
    </w:rPr>
  </w:style>
  <w:style w:type="character" w:styleId="918" w:customStyle="1">
    <w:name w:val="Title Char"/>
    <w:basedOn w:val="886"/>
    <w:link w:val="906"/>
    <w:uiPriority w:val="10"/>
    <w:rPr>
      <w:sz w:val="48"/>
      <w:szCs w:val="48"/>
    </w:rPr>
  </w:style>
  <w:style w:type="character" w:styleId="919" w:customStyle="1">
    <w:name w:val="批注主题 字符"/>
    <w:basedOn w:val="914"/>
    <w:link w:val="907"/>
    <w:uiPriority w:val="0"/>
    <w:qFormat/>
    <w:rPr>
      <w:b/>
      <w:bCs/>
      <w:sz w:val="21"/>
      <w:szCs w:val="21"/>
    </w:rPr>
  </w:style>
  <w:style w:type="character" w:styleId="920" w:customStyle="1">
    <w:name w:val="Heading 1 Char"/>
    <w:basedOn w:val="886"/>
    <w:uiPriority w:val="9"/>
    <w:rPr>
      <w:rFonts w:ascii="Arial" w:hAnsi="Arial" w:eastAsia="Arial" w:cs="Arial"/>
      <w:sz w:val="40"/>
      <w:szCs w:val="40"/>
    </w:rPr>
  </w:style>
  <w:style w:type="character" w:styleId="921" w:customStyle="1">
    <w:name w:val="Heading 2 Char"/>
    <w:basedOn w:val="886"/>
    <w:uiPriority w:val="9"/>
    <w:rPr>
      <w:rFonts w:ascii="Arial" w:hAnsi="Arial" w:eastAsia="Arial" w:cs="Arial"/>
      <w:sz w:val="34"/>
    </w:rPr>
  </w:style>
  <w:style w:type="character" w:styleId="922" w:customStyle="1">
    <w:name w:val="Heading 3 Char"/>
    <w:basedOn w:val="886"/>
    <w:uiPriority w:val="9"/>
    <w:rPr>
      <w:rFonts w:ascii="Arial" w:hAnsi="Arial" w:eastAsia="Arial" w:cs="Arial"/>
      <w:sz w:val="30"/>
      <w:szCs w:val="30"/>
    </w:rPr>
  </w:style>
  <w:style w:type="character" w:styleId="923" w:customStyle="1">
    <w:name w:val="Heading 4 Char"/>
    <w:basedOn w:val="886"/>
    <w:uiPriority w:val="9"/>
    <w:rPr>
      <w:rFonts w:ascii="Arial" w:hAnsi="Arial" w:eastAsia="Arial" w:cs="Arial"/>
      <w:b/>
      <w:bCs/>
      <w:sz w:val="26"/>
      <w:szCs w:val="26"/>
    </w:rPr>
  </w:style>
  <w:style w:type="paragraph" w:styleId="924" w:customStyle="1">
    <w:name w:val="Heading 5"/>
    <w:basedOn w:val="883"/>
    <w:next w:val="883"/>
    <w:link w:val="925"/>
    <w:uiPriority w:val="9"/>
    <w:unhideWhenUsed/>
    <w:qFormat/>
    <w:pPr>
      <w:keepLines/>
      <w:keepNext/>
      <w:spacing w:before="320" w:after="200"/>
      <w:outlineLvl w:val="4"/>
    </w:pPr>
    <w:rPr>
      <w:rFonts w:ascii="Arial" w:hAnsi="Arial" w:eastAsia="Arial" w:cs="Arial"/>
      <w:b/>
      <w:bCs/>
      <w:sz w:val="24"/>
      <w:szCs w:val="24"/>
    </w:rPr>
  </w:style>
  <w:style w:type="character" w:styleId="925" w:customStyle="1">
    <w:name w:val="Heading 5 Char"/>
    <w:basedOn w:val="886"/>
    <w:link w:val="924"/>
    <w:uiPriority w:val="9"/>
    <w:rPr>
      <w:rFonts w:ascii="Arial" w:hAnsi="Arial" w:eastAsia="Arial" w:cs="Arial"/>
      <w:b/>
      <w:bCs/>
      <w:sz w:val="24"/>
      <w:szCs w:val="24"/>
    </w:rPr>
  </w:style>
  <w:style w:type="paragraph" w:styleId="926" w:customStyle="1">
    <w:name w:val="Heading 6"/>
    <w:basedOn w:val="883"/>
    <w:next w:val="883"/>
    <w:link w:val="927"/>
    <w:uiPriority w:val="9"/>
    <w:unhideWhenUsed/>
    <w:qFormat/>
    <w:pPr>
      <w:keepLines/>
      <w:keepNext/>
      <w:spacing w:before="320" w:after="200"/>
      <w:outlineLvl w:val="5"/>
    </w:pPr>
    <w:rPr>
      <w:rFonts w:ascii="Arial" w:hAnsi="Arial" w:eastAsia="Arial" w:cs="Arial"/>
      <w:b/>
      <w:bCs/>
      <w:sz w:val="22"/>
      <w:szCs w:val="22"/>
    </w:rPr>
  </w:style>
  <w:style w:type="character" w:styleId="927" w:customStyle="1">
    <w:name w:val="Heading 6 Char"/>
    <w:basedOn w:val="886"/>
    <w:link w:val="926"/>
    <w:uiPriority w:val="9"/>
    <w:rPr>
      <w:rFonts w:ascii="Arial" w:hAnsi="Arial" w:eastAsia="Arial" w:cs="Arial"/>
      <w:b/>
      <w:bCs/>
      <w:sz w:val="22"/>
      <w:szCs w:val="22"/>
    </w:rPr>
  </w:style>
  <w:style w:type="paragraph" w:styleId="928" w:customStyle="1">
    <w:name w:val="Heading 7"/>
    <w:basedOn w:val="883"/>
    <w:next w:val="883"/>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customStyle="1">
    <w:name w:val="Heading 7 Char"/>
    <w:basedOn w:val="886"/>
    <w:link w:val="928"/>
    <w:uiPriority w:val="9"/>
    <w:rPr>
      <w:rFonts w:ascii="Arial" w:hAnsi="Arial" w:eastAsia="Arial" w:cs="Arial"/>
      <w:b/>
      <w:bCs/>
      <w:i/>
      <w:iCs/>
      <w:sz w:val="22"/>
      <w:szCs w:val="22"/>
    </w:rPr>
  </w:style>
  <w:style w:type="paragraph" w:styleId="930" w:customStyle="1">
    <w:name w:val="Heading 8"/>
    <w:basedOn w:val="883"/>
    <w:next w:val="883"/>
    <w:link w:val="931"/>
    <w:uiPriority w:val="9"/>
    <w:unhideWhenUsed/>
    <w:qFormat/>
    <w:pPr>
      <w:keepLines/>
      <w:keepNext/>
      <w:spacing w:before="320" w:after="200"/>
      <w:outlineLvl w:val="7"/>
    </w:pPr>
    <w:rPr>
      <w:rFonts w:ascii="Arial" w:hAnsi="Arial" w:eastAsia="Arial" w:cs="Arial"/>
      <w:i/>
      <w:iCs/>
      <w:sz w:val="22"/>
      <w:szCs w:val="22"/>
    </w:rPr>
  </w:style>
  <w:style w:type="character" w:styleId="931" w:customStyle="1">
    <w:name w:val="Heading 8 Char"/>
    <w:basedOn w:val="886"/>
    <w:link w:val="930"/>
    <w:uiPriority w:val="9"/>
    <w:rPr>
      <w:rFonts w:ascii="Arial" w:hAnsi="Arial" w:eastAsia="Arial" w:cs="Arial"/>
      <w:i/>
      <w:iCs/>
      <w:sz w:val="22"/>
      <w:szCs w:val="22"/>
    </w:rPr>
  </w:style>
  <w:style w:type="paragraph" w:styleId="932" w:customStyle="1">
    <w:name w:val="Heading 9"/>
    <w:basedOn w:val="883"/>
    <w:next w:val="883"/>
    <w:link w:val="933"/>
    <w:uiPriority w:val="9"/>
    <w:unhideWhenUsed/>
    <w:qFormat/>
    <w:pPr>
      <w:keepLines/>
      <w:keepNext/>
      <w:spacing w:before="320" w:after="200"/>
      <w:outlineLvl w:val="8"/>
    </w:pPr>
    <w:rPr>
      <w:rFonts w:ascii="Arial" w:hAnsi="Arial" w:eastAsia="Arial" w:cs="Arial"/>
      <w:i/>
      <w:iCs/>
      <w:sz w:val="21"/>
      <w:szCs w:val="21"/>
    </w:rPr>
  </w:style>
  <w:style w:type="character" w:styleId="933" w:customStyle="1">
    <w:name w:val="Heading 9 Char"/>
    <w:basedOn w:val="886"/>
    <w:link w:val="932"/>
    <w:uiPriority w:val="9"/>
    <w:rPr>
      <w:rFonts w:ascii="Arial" w:hAnsi="Arial" w:eastAsia="Arial" w:cs="Arial"/>
      <w:i/>
      <w:iCs/>
      <w:sz w:val="21"/>
      <w:szCs w:val="21"/>
    </w:rPr>
  </w:style>
  <w:style w:type="paragraph" w:styleId="934">
    <w:name w:val="No Spacing"/>
    <w:uiPriority w:val="1"/>
    <w:qFormat/>
    <w:pPr>
      <w:spacing w:before="0" w:after="0" w:line="240" w:lineRule="auto"/>
    </w:pPr>
    <w:rPr>
      <w:rFonts w:hint="default" w:ascii="Times New Roman" w:hAnsi="Times New Roman" w:eastAsia="宋体" w:cs="Times New Roman"/>
    </w:rPr>
  </w:style>
  <w:style w:type="paragraph" w:styleId="935">
    <w:name w:val="Quote"/>
    <w:basedOn w:val="883"/>
    <w:next w:val="883"/>
    <w:link w:val="936"/>
    <w:uiPriority w:val="29"/>
    <w:qFormat/>
    <w:pPr>
      <w:ind w:left="720" w:right="720"/>
    </w:pPr>
    <w:rPr>
      <w:i/>
    </w:rPr>
  </w:style>
  <w:style w:type="character" w:styleId="936" w:customStyle="1">
    <w:name w:val="Quote Char"/>
    <w:link w:val="935"/>
    <w:uiPriority w:val="29"/>
    <w:rPr>
      <w:i/>
    </w:rPr>
  </w:style>
  <w:style w:type="paragraph" w:styleId="937">
    <w:name w:val="Intense Quote"/>
    <w:basedOn w:val="883"/>
    <w:next w:val="883"/>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rPr>
      <w:i/>
    </w:rPr>
  </w:style>
  <w:style w:type="character" w:styleId="939" w:customStyle="1">
    <w:name w:val="Header Char"/>
    <w:basedOn w:val="886"/>
    <w:uiPriority w:val="99"/>
  </w:style>
  <w:style w:type="character" w:styleId="940" w:customStyle="1">
    <w:name w:val="Footer Char"/>
    <w:basedOn w:val="886"/>
    <w:uiPriority w:val="99"/>
  </w:style>
  <w:style w:type="paragraph" w:styleId="941" w:customStyle="1">
    <w:name w:val="Caption"/>
    <w:basedOn w:val="883"/>
    <w:next w:val="883"/>
    <w:uiPriority w:val="35"/>
    <w:unhideWhenUsed/>
    <w:qFormat/>
    <w:pPr>
      <w:spacing w:line="276" w:lineRule="auto"/>
    </w:pPr>
    <w:rPr>
      <w:b/>
      <w:bCs/>
      <w:color w:val="4874cb"/>
      <w:sz w:val="18"/>
      <w:szCs w:val="18"/>
    </w:rPr>
  </w:style>
  <w:style w:type="character" w:styleId="942" w:customStyle="1">
    <w:name w:val="Caption Char"/>
    <w:uiPriority w:val="99"/>
  </w:style>
  <w:style w:type="table" w:styleId="943" w:customStyle="1">
    <w:name w:val="Table Grid Light"/>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4" w:customStyle="1">
    <w:name w:val="_Style 61"/>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Wingdings" w:hAnsi="Wingdings"/>
        <w:b/>
        <w:color w:val="404040"/>
        <w:sz w:val="22"/>
      </w:rPr>
    </w:tblStylePr>
    <w:tblStylePr w:type="firstRow">
      <w:rPr>
        <w:rFonts w:ascii="Wingdings" w:hAnsi="Wingdings"/>
        <w:b/>
        <w:color w:val="404040"/>
        <w:sz w:val="22"/>
      </w:rPr>
    </w:tblStylePr>
    <w:tblStylePr w:type="lastCol">
      <w:rPr>
        <w:rFonts w:ascii="Wingdings" w:hAnsi="Wingdings"/>
        <w:b/>
        <w:color w:val="404040"/>
        <w:sz w:val="22"/>
      </w:rPr>
    </w:tblStylePr>
    <w:tblStylePr w:type="lastRow">
      <w:rPr>
        <w:rFonts w:ascii="Wingdings" w:hAnsi="Wingdings"/>
        <w:b/>
        <w:color w:val="404040"/>
        <w:sz w:val="22"/>
      </w:rPr>
    </w:tblStylePr>
  </w:style>
  <w:style w:type="table" w:styleId="945" w:customStyle="1">
    <w:name w:val="_Style 62"/>
    <w:basedOn w:val="887"/>
    <w:uiPriority w:val="59"/>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blStylePr>
  </w:style>
  <w:style w:type="table" w:styleId="946" w:customStyle="1">
    <w:name w:val="_Style 63"/>
    <w:basedOn w:val="887"/>
    <w:uiPriority w:val="99"/>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47" w:customStyle="1">
    <w:name w:val="_Style 64"/>
    <w:basedOn w:val="887"/>
    <w:uiPriority w:val="99"/>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_Style 65"/>
    <w:basedOn w:val="887"/>
    <w:uiPriority w:val="99"/>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_Style 66"/>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Grid Table 1 Light - Accent 1"/>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Grid Table 1 Light - Accent 2"/>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2" w:customStyle="1">
    <w:name w:val="Grid Table 1 Light - Accent 3"/>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3" w:customStyle="1">
    <w:name w:val="Grid Table 1 Light - Accent 4"/>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4" w:customStyle="1">
    <w:name w:val="Grid Table 1 Light - Accent 5"/>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5" w:customStyle="1">
    <w:name w:val="Grid Table 1 Light - Accent 6"/>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6" w:customStyle="1">
    <w:name w:val="_Style 73"/>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2 - Accent 1"/>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9e3f4"/>
      </w:tcPr>
    </w:tblStylePr>
    <w:tblStylePr w:type="band1Vert">
      <w:rPr>
        <w:rFonts w:ascii="Wingdings" w:hAnsi="Wingdings"/>
        <w:color w:val="404040"/>
        <w:sz w:val="22"/>
      </w:rPr>
      <w:tcPr>
        <w:shd w:val="clear" w:color="ffffff" w:fill="d9e3f4"/>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2 - Accent 2"/>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be6d6"/>
      </w:tcPr>
    </w:tblStylePr>
    <w:tblStylePr w:type="band1Vert">
      <w:rPr>
        <w:rFonts w:ascii="Wingdings" w:hAnsi="Wingdings"/>
        <w:color w:val="404040"/>
        <w:sz w:val="22"/>
      </w:rPr>
      <w:tcPr>
        <w:shd w:val="clear" w:color="ffffff" w:fill="fbe6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2 - Accent 3"/>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ef1c9"/>
      </w:tcPr>
    </w:tblStylePr>
    <w:tblStylePr w:type="band1Vert">
      <w:rPr>
        <w:rFonts w:ascii="Wingdings" w:hAnsi="Wingdings"/>
        <w:color w:val="404040"/>
        <w:sz w:val="22"/>
      </w:rPr>
      <w:tcPr>
        <w:shd w:val="clear" w:color="ffffff" w:fill="fef1c9"/>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2 - Accent 4"/>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3f1d8"/>
      </w:tcPr>
    </w:tblStylePr>
    <w:tblStylePr w:type="band1Vert">
      <w:rPr>
        <w:rFonts w:ascii="Wingdings" w:hAnsi="Wingdings"/>
        <w:color w:val="404040"/>
        <w:sz w:val="22"/>
      </w:rPr>
      <w:tcPr>
        <w:shd w:val="clear" w:color="ffffff" w:fill="e3f1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2 - Accent 5"/>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2f3f0"/>
      </w:tcPr>
    </w:tblStylePr>
    <w:tblStylePr w:type="band1Vert">
      <w:rPr>
        <w:rFonts w:ascii="Wingdings" w:hAnsi="Wingdings"/>
        <w:color w:val="404040"/>
        <w:sz w:val="22"/>
      </w:rPr>
      <w:tcPr>
        <w:shd w:val="clear" w:color="ffffff" w:fill="d2f3f0"/>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2 - Accent 6"/>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9dade"/>
      </w:tcPr>
    </w:tblStylePr>
    <w:tblStylePr w:type="band1Vert">
      <w:rPr>
        <w:rFonts w:ascii="Wingdings" w:hAnsi="Wingdings"/>
        <w:color w:val="404040"/>
        <w:sz w:val="22"/>
      </w:rPr>
      <w:tcPr>
        <w:shd w:val="clear" w:color="ffffff" w:fill="f9dade"/>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_Style 80"/>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3 - Accent 1"/>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9e3f4"/>
      </w:tcPr>
    </w:tblStylePr>
    <w:tblStylePr w:type="band1Vert">
      <w:rPr>
        <w:rFonts w:ascii="Wingdings" w:hAnsi="Wingdings"/>
        <w:color w:val="404040"/>
        <w:sz w:val="22"/>
      </w:rPr>
      <w:tcPr>
        <w:shd w:val="clear" w:color="ffffff" w:fill="d9e3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3 - Accent 2"/>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be6d6"/>
      </w:tcPr>
    </w:tblStylePr>
    <w:tblStylePr w:type="band1Vert">
      <w:rPr>
        <w:rFonts w:ascii="Wingdings" w:hAnsi="Wingdings"/>
        <w:color w:val="404040"/>
        <w:sz w:val="22"/>
      </w:rPr>
      <w:tcPr>
        <w:shd w:val="clear" w:color="ffffff"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3 - Accent 3"/>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ef1c9"/>
      </w:tcPr>
    </w:tblStylePr>
    <w:tblStylePr w:type="band1Vert">
      <w:rPr>
        <w:rFonts w:ascii="Wingdings" w:hAnsi="Wingdings"/>
        <w:color w:val="404040"/>
        <w:sz w:val="22"/>
      </w:rPr>
      <w:tcPr>
        <w:shd w:val="clear" w:color="ffffff" w:fill="fef1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3 - Accent 4"/>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3f1d8"/>
      </w:tcPr>
    </w:tblStylePr>
    <w:tblStylePr w:type="band1Vert">
      <w:rPr>
        <w:rFonts w:ascii="Wingdings" w:hAnsi="Wingdings"/>
        <w:color w:val="404040"/>
        <w:sz w:val="22"/>
      </w:rPr>
      <w:tcPr>
        <w:shd w:val="clear" w:color="ffffff" w:fill="e3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3 - Accent 5"/>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2f3f0"/>
      </w:tcPr>
    </w:tblStylePr>
    <w:tblStylePr w:type="band1Vert">
      <w:rPr>
        <w:rFonts w:ascii="Wingdings" w:hAnsi="Wingdings"/>
        <w:color w:val="404040"/>
        <w:sz w:val="22"/>
      </w:rPr>
      <w:tcPr>
        <w:shd w:val="clear" w:color="ffffff" w:fill="d2f3f0"/>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6"/>
    <w:basedOn w:val="887"/>
    <w:uiPriority w:val="99"/>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9dade"/>
      </w:tcPr>
    </w:tblStylePr>
    <w:tblStylePr w:type="band1Vert">
      <w:rPr>
        <w:rFonts w:ascii="Wingdings" w:hAnsi="Wingdings"/>
        <w:color w:val="404040"/>
        <w:sz w:val="22"/>
      </w:rPr>
      <w:tcPr>
        <w:shd w:val="clear" w:color="ffffff"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_Style 87"/>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b/>
        <w:color w:val="404040"/>
      </w:rPr>
    </w:tblStylePr>
    <w:tblStylePr w:type="firstRow">
      <w:rPr>
        <w:rFonts w:ascii="Wingdings" w:hAnsi="Wingdings"/>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4 - Accent 1"/>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be4f4"/>
      </w:tcPr>
    </w:tblStylePr>
    <w:tblStylePr w:type="band1Vert">
      <w:rPr>
        <w:rFonts w:ascii="Wingdings" w:hAnsi="Wingdings"/>
        <w:color w:val="404040"/>
        <w:sz w:val="22"/>
      </w:rPr>
      <w:tcPr>
        <w:shd w:val="clear" w:color="ffffff" w:fill="dbe4f4"/>
      </w:tcPr>
    </w:tblStylePr>
    <w:tblStylePr w:type="firstCol">
      <w:rPr>
        <w:b/>
        <w:color w:val="404040"/>
      </w:rPr>
    </w:tblStylePr>
    <w:tblStylePr w:type="firstRow">
      <w:rPr>
        <w:rFonts w:ascii="Wingdings" w:hAnsi="Wingdings"/>
        <w:b/>
        <w:color w:val="ffffff"/>
        <w:sz w:val="22"/>
      </w:rPr>
      <w:tcPr>
        <w:shd w:val="clear" w:color="ffffff" w:fill="5681cf"/>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4 - Accent 2"/>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be6d6"/>
      </w:tcPr>
    </w:tblStylePr>
    <w:tblStylePr w:type="band1Vert">
      <w:rPr>
        <w:rFonts w:ascii="Wingdings" w:hAnsi="Wingdings"/>
        <w:color w:val="404040"/>
        <w:sz w:val="22"/>
      </w:rPr>
      <w:tcPr>
        <w:shd w:val="clear" w:color="ffffff" w:fill="fbe6d6"/>
      </w:tcPr>
    </w:tblStylePr>
    <w:tblStylePr w:type="firstCol">
      <w:rPr>
        <w:b/>
        <w:color w:val="404040"/>
      </w:rPr>
    </w:tblStylePr>
    <w:tblStylePr w:type="firstRow">
      <w:rPr>
        <w:rFonts w:ascii="Wingdings" w:hAnsi="Wingdings"/>
        <w:b/>
        <w:color w:val="ffffff"/>
        <w:sz w:val="22"/>
      </w:rPr>
      <w:tcPr>
        <w:shd w:val="clear" w:color="ffffff" w:fill="f4b383"/>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 Accent 3"/>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ef1c9"/>
      </w:tcPr>
    </w:tblStylePr>
    <w:tblStylePr w:type="band1Vert">
      <w:rPr>
        <w:rFonts w:ascii="Wingdings" w:hAnsi="Wingdings"/>
        <w:color w:val="404040"/>
        <w:sz w:val="22"/>
      </w:rPr>
      <w:tcPr>
        <w:shd w:val="clear" w:color="ffffff" w:fill="fef1c9"/>
      </w:tcPr>
    </w:tblStylePr>
    <w:tblStylePr w:type="firstCol">
      <w:rPr>
        <w:b/>
        <w:color w:val="404040"/>
      </w:rPr>
    </w:tblStylePr>
    <w:tblStylePr w:type="firstRow">
      <w:rPr>
        <w:rFonts w:ascii="Wingdings" w:hAnsi="Wingdings"/>
        <w:b/>
        <w:color w:val="ffffff"/>
        <w:sz w:val="22"/>
      </w:rPr>
      <w:tcPr>
        <w:shd w:val="clear" w:color="ffffff" w:fill="f3b802"/>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4 - Accent 4"/>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3f1d8"/>
      </w:tcPr>
    </w:tblStylePr>
    <w:tblStylePr w:type="band1Vert">
      <w:rPr>
        <w:rFonts w:ascii="Wingdings" w:hAnsi="Wingdings"/>
        <w:color w:val="404040"/>
        <w:sz w:val="22"/>
      </w:rPr>
      <w:tcPr>
        <w:shd w:val="clear" w:color="ffffff" w:fill="e3f1d8"/>
      </w:tcPr>
    </w:tblStylePr>
    <w:tblStylePr w:type="firstCol">
      <w:rPr>
        <w:b/>
        <w:color w:val="404040"/>
      </w:rPr>
    </w:tblStylePr>
    <w:tblStylePr w:type="firstRow">
      <w:rPr>
        <w:rFonts w:ascii="Wingdings" w:hAnsi="Wingdings"/>
        <w:b/>
        <w:color w:val="ffffff"/>
        <w:sz w:val="22"/>
      </w:rPr>
      <w:tcPr>
        <w:shd w:val="clear" w:color="ffffff" w:fill="acd78c"/>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4 - Accent 5"/>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2f3f0"/>
      </w:tcPr>
    </w:tblStylePr>
    <w:tblStylePr w:type="band1Vert">
      <w:rPr>
        <w:rFonts w:ascii="Wingdings" w:hAnsi="Wingdings"/>
        <w:color w:val="404040"/>
        <w:sz w:val="22"/>
      </w:rPr>
      <w:tcPr>
        <w:shd w:val="clear" w:color="ffffff" w:fill="d2f3f0"/>
      </w:tcPr>
    </w:tblStylePr>
    <w:tblStylePr w:type="firstCol">
      <w:rPr>
        <w:b/>
        <w:color w:val="404040"/>
      </w:rPr>
    </w:tblStylePr>
    <w:tblStylePr w:type="firstRow">
      <w:rPr>
        <w:rFonts w:ascii="Wingdings" w:hAnsi="Wingdings"/>
        <w:b/>
        <w:color w:val="ffffff"/>
        <w:sz w:val="22"/>
      </w:rPr>
      <w:tcPr>
        <w:shd w:val="clear" w:color="ffffff" w:fill="30c0b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6"/>
    <w:basedOn w:val="887"/>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9dade"/>
      </w:tcPr>
    </w:tblStylePr>
    <w:tblStylePr w:type="band1Vert">
      <w:rPr>
        <w:rFonts w:ascii="Wingdings" w:hAnsi="Wingdings"/>
        <w:color w:val="404040"/>
        <w:sz w:val="22"/>
      </w:rPr>
      <w:tcPr>
        <w:shd w:val="clear" w:color="ffffff" w:fill="f9dade"/>
      </w:tcPr>
    </w:tblStylePr>
    <w:tblStylePr w:type="firstCol">
      <w:rPr>
        <w:b/>
        <w:color w:val="404040"/>
      </w:rPr>
    </w:tblStylePr>
    <w:tblStylePr w:type="firstRow">
      <w:rPr>
        <w:rFonts w:ascii="Wingdings" w:hAnsi="Wingdings"/>
        <w:b/>
        <w:color w:val="ffffff"/>
        <w:sz w:val="22"/>
      </w:rPr>
      <w:tcPr>
        <w:shd w:val="clear" w:color="ffffff" w:fill="e54c5e"/>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_Style 94"/>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Wingdings" w:hAnsi="Wingdings"/>
        <w:b/>
        <w:color w:val="ffffff"/>
        <w:sz w:val="22"/>
      </w:rPr>
      <w:tcPr>
        <w:shd w:val="clear" w:color="ffffff" w:fill="000000"/>
      </w:tcPr>
    </w:tblStylePr>
    <w:tblStylePr w:type="firstRow">
      <w:rPr>
        <w:rFonts w:ascii="Wingdings" w:hAnsi="Wingdings"/>
        <w:b/>
        <w:color w:val="ffffff"/>
        <w:sz w:val="22"/>
      </w:rPr>
      <w:tcPr>
        <w:shd w:val="clear" w:color="ffffff" w:fill="000000"/>
      </w:tcPr>
    </w:tblStylePr>
    <w:tblStylePr w:type="lastCol">
      <w:rPr>
        <w:rFonts w:ascii="Wingdings" w:hAnsi="Wingdings"/>
        <w:b/>
        <w:color w:val="ffffff"/>
        <w:sz w:val="22"/>
      </w:rPr>
      <w:tcPr>
        <w:shd w:val="clear" w:color="ffffff" w:fill="000000"/>
      </w:tcPr>
    </w:tblStylePr>
    <w:tblStylePr w:type="lastRow">
      <w:rPr>
        <w:rFonts w:ascii="Wingdings" w:hAnsi="Wingdings"/>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5 Dark- Accent 1"/>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c0e7"/>
      </w:tcPr>
    </w:tblStylePr>
    <w:tblStylePr w:type="band1Vert">
      <w:tcPr>
        <w:shd w:val="clear" w:color="ffffff" w:fill="aac0e7"/>
      </w:tcPr>
    </w:tblStylePr>
    <w:tblStylePr w:type="firstCol">
      <w:rPr>
        <w:rFonts w:ascii="Wingdings" w:hAnsi="Wingdings"/>
        <w:b/>
        <w:color w:val="ffffff"/>
        <w:sz w:val="22"/>
      </w:rPr>
      <w:tcPr>
        <w:shd w:val="clear" w:color="ffffff" w:fill="4874cb"/>
      </w:tcPr>
    </w:tblStylePr>
    <w:tblStylePr w:type="firstRow">
      <w:rPr>
        <w:rFonts w:ascii="Wingdings" w:hAnsi="Wingdings"/>
        <w:b/>
        <w:color w:val="ffffff"/>
        <w:sz w:val="22"/>
      </w:rPr>
      <w:tcPr>
        <w:shd w:val="clear" w:color="ffffff" w:fill="4874cb"/>
      </w:tcPr>
    </w:tblStylePr>
    <w:tblStylePr w:type="lastCol">
      <w:rPr>
        <w:rFonts w:ascii="Wingdings" w:hAnsi="Wingdings"/>
        <w:b/>
        <w:color w:val="ffffff"/>
        <w:sz w:val="22"/>
      </w:rPr>
      <w:tcPr>
        <w:shd w:val="clear" w:color="ffffff" w:fill="4874cb"/>
      </w:tcPr>
    </w:tblStylePr>
    <w:tblStylePr w:type="lastRow">
      <w:rPr>
        <w:rFonts w:ascii="Wingdings" w:hAnsi="Wingdings"/>
        <w:b/>
        <w:color w:val="ffffff"/>
        <w:sz w:val="22"/>
      </w:rPr>
      <w:tcPr>
        <w:shd w:val="clear" w:color="ffffff" w:fill="4874cb"/>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5 Dark - Accent 2"/>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7c49e"/>
      </w:tcPr>
    </w:tblStylePr>
    <w:tblStylePr w:type="band1Vert">
      <w:tcPr>
        <w:shd w:val="clear" w:color="ffffff" w:fill="f7c49e"/>
      </w:tcPr>
    </w:tblStylePr>
    <w:tblStylePr w:type="firstCol">
      <w:rPr>
        <w:rFonts w:ascii="Wingdings" w:hAnsi="Wingdings"/>
        <w:b/>
        <w:color w:val="ffffff"/>
        <w:sz w:val="22"/>
      </w:rPr>
      <w:tcPr>
        <w:shd w:val="clear" w:color="ffffff" w:fill="ee822f"/>
      </w:tcPr>
    </w:tblStylePr>
    <w:tblStylePr w:type="firstRow">
      <w:rPr>
        <w:rFonts w:ascii="Wingdings" w:hAnsi="Wingdings"/>
        <w:b/>
        <w:color w:val="ffffff"/>
        <w:sz w:val="22"/>
      </w:rPr>
      <w:tcPr>
        <w:shd w:val="clear" w:color="ffffff" w:fill="ee822f"/>
      </w:tcPr>
    </w:tblStylePr>
    <w:tblStylePr w:type="lastCol">
      <w:rPr>
        <w:rFonts w:ascii="Wingdings" w:hAnsi="Wingdings"/>
        <w:b/>
        <w:color w:val="ffffff"/>
        <w:sz w:val="22"/>
      </w:rPr>
      <w:tcPr>
        <w:shd w:val="clear" w:color="ffffff" w:fill="ee822f"/>
      </w:tcPr>
    </w:tblStylePr>
    <w:tblStylePr w:type="lastRow">
      <w:rPr>
        <w:rFonts w:ascii="Wingdings" w:hAnsi="Wingdings"/>
        <w:b/>
        <w:color w:val="ffffff"/>
        <w:sz w:val="22"/>
      </w:rPr>
      <w:tcPr>
        <w:shd w:val="clear" w:color="ffffff" w:fill="ee822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5 Dark - Accent 3"/>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de086"/>
      </w:tcPr>
    </w:tblStylePr>
    <w:tblStylePr w:type="band1Vert">
      <w:tcPr>
        <w:shd w:val="clear" w:color="ffffff" w:fill="fde086"/>
      </w:tcPr>
    </w:tblStylePr>
    <w:tblStylePr w:type="firstCol">
      <w:rPr>
        <w:rFonts w:ascii="Wingdings" w:hAnsi="Wingdings"/>
        <w:b/>
        <w:color w:val="ffffff"/>
        <w:sz w:val="22"/>
      </w:rPr>
      <w:tcPr>
        <w:shd w:val="clear" w:color="ffffff" w:fill="f2ba02"/>
      </w:tcPr>
    </w:tblStylePr>
    <w:tblStylePr w:type="firstRow">
      <w:rPr>
        <w:rFonts w:ascii="Wingdings" w:hAnsi="Wingdings"/>
        <w:b/>
        <w:color w:val="ffffff"/>
        <w:sz w:val="22"/>
      </w:rPr>
      <w:tcPr>
        <w:shd w:val="clear" w:color="ffffff" w:fill="f2ba02"/>
      </w:tcPr>
    </w:tblStylePr>
    <w:tblStylePr w:type="lastCol">
      <w:rPr>
        <w:rFonts w:ascii="Wingdings" w:hAnsi="Wingdings"/>
        <w:b/>
        <w:color w:val="ffffff"/>
        <w:sz w:val="22"/>
      </w:rPr>
      <w:tcPr>
        <w:shd w:val="clear" w:color="ffffff" w:fill="f2ba02"/>
      </w:tcPr>
    </w:tblStylePr>
    <w:tblStylePr w:type="lastRow">
      <w:rPr>
        <w:rFonts w:ascii="Wingdings" w:hAnsi="Wingdings"/>
        <w:b/>
        <w:color w:val="ffffff"/>
        <w:sz w:val="22"/>
      </w:rPr>
      <w:tcPr>
        <w:shd w:val="clear" w:color="ffffff" w:fill="f2ba0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5 Dark- Accent 4"/>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fe0a7"/>
      </w:tcPr>
    </w:tblStylePr>
    <w:tblStylePr w:type="band1Vert">
      <w:tcPr>
        <w:shd w:val="clear" w:color="ffffff" w:fill="bfe0a7"/>
      </w:tcPr>
    </w:tblStylePr>
    <w:tblStylePr w:type="firstCol">
      <w:rPr>
        <w:rFonts w:ascii="Wingdings" w:hAnsi="Wingdings"/>
        <w:b/>
        <w:color w:val="ffffff"/>
        <w:sz w:val="22"/>
      </w:rPr>
      <w:tcPr>
        <w:shd w:val="clear" w:color="ffffff" w:fill="75bd42"/>
      </w:tcPr>
    </w:tblStylePr>
    <w:tblStylePr w:type="firstRow">
      <w:rPr>
        <w:rFonts w:ascii="Wingdings" w:hAnsi="Wingdings"/>
        <w:b/>
        <w:color w:val="ffffff"/>
        <w:sz w:val="22"/>
      </w:rPr>
      <w:tcPr>
        <w:shd w:val="clear" w:color="ffffff" w:fill="75bd42"/>
      </w:tcPr>
    </w:tblStylePr>
    <w:tblStylePr w:type="lastCol">
      <w:rPr>
        <w:rFonts w:ascii="Wingdings" w:hAnsi="Wingdings"/>
        <w:b/>
        <w:color w:val="ffffff"/>
        <w:sz w:val="22"/>
      </w:rPr>
      <w:tcPr>
        <w:shd w:val="clear" w:color="ffffff" w:fill="75bd42"/>
      </w:tcPr>
    </w:tblStylePr>
    <w:tblStylePr w:type="lastRow">
      <w:rPr>
        <w:rFonts w:ascii="Wingdings" w:hAnsi="Wingdings"/>
        <w:b/>
        <w:color w:val="ffffff"/>
        <w:sz w:val="22"/>
      </w:rPr>
      <w:tcPr>
        <w:shd w:val="clear" w:color="ffffff" w:fill="75bd4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5 Dark - Accent 5"/>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9be6de"/>
      </w:tcPr>
    </w:tblStylePr>
    <w:tblStylePr w:type="band1Vert">
      <w:tcPr>
        <w:shd w:val="clear" w:color="ffffff" w:fill="9be6de"/>
      </w:tcPr>
    </w:tblStylePr>
    <w:tblStylePr w:type="firstCol">
      <w:rPr>
        <w:rFonts w:ascii="Wingdings" w:hAnsi="Wingdings"/>
        <w:b/>
        <w:color w:val="ffffff"/>
        <w:sz w:val="22"/>
      </w:rPr>
      <w:tcPr>
        <w:shd w:val="clear" w:color="ffffff" w:fill="30c0b4"/>
      </w:tcPr>
    </w:tblStylePr>
    <w:tblStylePr w:type="firstRow">
      <w:rPr>
        <w:rFonts w:ascii="Wingdings" w:hAnsi="Wingdings"/>
        <w:b/>
        <w:color w:val="ffffff"/>
        <w:sz w:val="22"/>
      </w:rPr>
      <w:tcPr>
        <w:shd w:val="clear" w:color="ffffff" w:fill="30c0b4"/>
      </w:tcPr>
    </w:tblStylePr>
    <w:tblStylePr w:type="lastCol">
      <w:rPr>
        <w:rFonts w:ascii="Wingdings" w:hAnsi="Wingdings"/>
        <w:b/>
        <w:color w:val="ffffff"/>
        <w:sz w:val="22"/>
      </w:rPr>
      <w:tcPr>
        <w:shd w:val="clear" w:color="ffffff" w:fill="30c0b4"/>
      </w:tcPr>
    </w:tblStylePr>
    <w:tblStylePr w:type="lastRow">
      <w:rPr>
        <w:rFonts w:ascii="Wingdings" w:hAnsi="Wingdings"/>
        <w:b/>
        <w:color w:val="ffffff"/>
        <w:sz w:val="22"/>
      </w:rPr>
      <w:tcPr>
        <w:shd w:val="clear" w:color="ffffff" w:fill="30c0b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5 Dark - Accent 6"/>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3acb5"/>
      </w:tcPr>
    </w:tblStylePr>
    <w:tblStylePr w:type="band1Vert">
      <w:tcPr>
        <w:shd w:val="clear" w:color="ffffff" w:fill="f3acb5"/>
      </w:tcPr>
    </w:tblStylePr>
    <w:tblStylePr w:type="firstCol">
      <w:rPr>
        <w:rFonts w:ascii="Wingdings" w:hAnsi="Wingdings"/>
        <w:b/>
        <w:color w:val="ffffff"/>
        <w:sz w:val="22"/>
      </w:rPr>
      <w:tcPr>
        <w:shd w:val="clear" w:color="ffffff" w:fill="e54c5e"/>
      </w:tcPr>
    </w:tblStylePr>
    <w:tblStylePr w:type="firstRow">
      <w:rPr>
        <w:rFonts w:ascii="Wingdings" w:hAnsi="Wingdings"/>
        <w:b/>
        <w:color w:val="ffffff"/>
        <w:sz w:val="22"/>
      </w:rPr>
      <w:tcPr>
        <w:shd w:val="clear" w:color="ffffff" w:fill="e54c5e"/>
      </w:tcPr>
    </w:tblStylePr>
    <w:tblStylePr w:type="lastCol">
      <w:rPr>
        <w:rFonts w:ascii="Wingdings" w:hAnsi="Wingdings"/>
        <w:b/>
        <w:color w:val="ffffff"/>
        <w:sz w:val="22"/>
      </w:rPr>
      <w:tcPr>
        <w:shd w:val="clear" w:color="ffffff" w:fill="e54c5e"/>
      </w:tcPr>
    </w:tblStylePr>
    <w:tblStylePr w:type="lastRow">
      <w:rPr>
        <w:rFonts w:ascii="Wingdings" w:hAnsi="Wingdings"/>
        <w:b/>
        <w:color w:val="ffffff"/>
        <w:sz w:val="22"/>
      </w:rPr>
      <w:tcPr>
        <w:shd w:val="clear" w:color="ffffff" w:fill="e54c5e"/>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_Style 101"/>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tcPr>
        <w:shd w:val="clear" w:color="ffffff" w:fill="cbcbcb"/>
      </w:tcPr>
    </w:tblStylePr>
    <w:tblStylePr w:type="band2Horz">
      <w:rPr>
        <w:rFonts w:ascii="Wingdings" w:hAnsi="Wingdings"/>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85" w:customStyle="1">
    <w:name w:val="Grid Table 6 Colorful - Accent 1"/>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9e3f4"/>
      </w:tcPr>
    </w:tblStylePr>
    <w:tblStylePr w:type="band1Vert">
      <w:tcPr>
        <w:shd w:val="clear" w:color="ffffff" w:fill="d9e3f4"/>
      </w:tcPr>
    </w:tblStylePr>
    <w:tblStylePr w:type="band2Horz">
      <w:rPr>
        <w:rFonts w:ascii="Wingdings" w:hAnsi="Wingdings"/>
        <w:color w:val="404040"/>
        <w:sz w:val="22"/>
      </w:rPr>
    </w:tblStylePr>
    <w:tblStylePr w:type="firstCol">
      <w:rPr>
        <w:b/>
        <w:color w:val="3362b0"/>
      </w:rPr>
    </w:tblStylePr>
    <w:tblStylePr w:type="firstRow">
      <w:rPr>
        <w:b/>
        <w:color w:val="3362b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362b0"/>
      </w:rPr>
    </w:tblStylePr>
    <w:tblStylePr w:type="lastRow">
      <w:rPr>
        <w:b/>
        <w:color w:val="3362b0"/>
      </w:rPr>
    </w:tblStylePr>
  </w:style>
  <w:style w:type="table" w:styleId="986" w:customStyle="1">
    <w:name w:val="Grid Table 6 Colorful - Accent 2"/>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be6d6"/>
      </w:tcPr>
    </w:tblStylePr>
    <w:tblStylePr w:type="band1Vert">
      <w:tcPr>
        <w:shd w:val="clear" w:color="ffffff" w:fill="fbe6d6"/>
      </w:tcPr>
    </w:tblStylePr>
    <w:tblStylePr w:type="band2Horz">
      <w:rPr>
        <w:rFonts w:ascii="Wingdings" w:hAnsi="Wingdings"/>
        <w:color w:val="404040"/>
        <w:sz w:val="22"/>
      </w:rPr>
    </w:tblStylePr>
    <w:tblStylePr w:type="firstCol">
      <w:rPr>
        <w:b/>
        <w:color w:val="c85f11"/>
      </w:rPr>
    </w:tblStylePr>
    <w:tblStylePr w:type="firstRow">
      <w:rPr>
        <w:b/>
        <w:color w:val="c85f11"/>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85f11"/>
      </w:rPr>
    </w:tblStylePr>
    <w:tblStylePr w:type="lastRow">
      <w:rPr>
        <w:b/>
        <w:color w:val="c85f11"/>
      </w:rPr>
    </w:tblStylePr>
  </w:style>
  <w:style w:type="table" w:styleId="987" w:customStyle="1">
    <w:name w:val="Grid Table 6 Colorful - Accent 3"/>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ef1c9"/>
      </w:tcPr>
    </w:tblStylePr>
    <w:tblStylePr w:type="band1Vert">
      <w:tcPr>
        <w:shd w:val="clear" w:color="ffffff" w:fill="fef1c9"/>
      </w:tcPr>
    </w:tblStylePr>
    <w:tblStylePr w:type="band2Horz">
      <w:rPr>
        <w:rFonts w:ascii="Wingdings" w:hAnsi="Wingdings"/>
        <w:color w:val="404040"/>
        <w:sz w:val="22"/>
      </w:rPr>
    </w:tblStylePr>
    <w:tblStylePr w:type="firstCol">
      <w:rPr>
        <w:b/>
        <w:color w:val="8c6a01"/>
      </w:rPr>
    </w:tblStylePr>
    <w:tblStylePr w:type="firstRow">
      <w:rPr>
        <w:b/>
        <w:color w:val="8c6a01"/>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8c6a01"/>
      </w:rPr>
    </w:tblStylePr>
    <w:tblStylePr w:type="lastRow">
      <w:rPr>
        <w:b/>
        <w:color w:val="8c6a01"/>
      </w:rPr>
    </w:tblStylePr>
  </w:style>
  <w:style w:type="table" w:styleId="988" w:customStyle="1">
    <w:name w:val="Grid Table 6 Colorful - Accent 4"/>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3f1d8"/>
      </w:tcPr>
    </w:tblStylePr>
    <w:tblStylePr w:type="band1Vert">
      <w:tcPr>
        <w:shd w:val="clear" w:color="ffffff" w:fill="e3f1d8"/>
      </w:tcPr>
    </w:tblStylePr>
    <w:tblStylePr w:type="band2Horz">
      <w:rPr>
        <w:rFonts w:ascii="Wingdings" w:hAnsi="Wingdings"/>
        <w:color w:val="404040"/>
        <w:sz w:val="22"/>
      </w:rPr>
    </w:tblStylePr>
    <w:tblStylePr w:type="firstCol">
      <w:rPr>
        <w:b/>
        <w:color w:val="619835"/>
      </w:rPr>
    </w:tblStylePr>
    <w:tblStylePr w:type="firstRow">
      <w:rPr>
        <w:b/>
        <w:color w:val="619835"/>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19835"/>
      </w:rPr>
    </w:tblStylePr>
    <w:tblStylePr w:type="lastRow">
      <w:rPr>
        <w:b/>
        <w:color w:val="619835"/>
      </w:rPr>
    </w:tblStylePr>
  </w:style>
  <w:style w:type="table" w:styleId="989" w:customStyle="1">
    <w:name w:val="Grid Table 6 Colorful - Accent 5"/>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1c7069"/>
        <w:sz w:val="22"/>
      </w:rPr>
      <w:tcPr>
        <w:shd w:val="clear" w:color="ffffff" w:fill="d2f3f0"/>
      </w:tcPr>
    </w:tblStylePr>
    <w:tblStylePr w:type="band1Vert">
      <w:tcPr>
        <w:shd w:val="clear" w:color="ffffff" w:fill="d2f3f0"/>
      </w:tcPr>
    </w:tblStylePr>
    <w:tblStylePr w:type="band2Horz">
      <w:rPr>
        <w:rFonts w:ascii="Wingdings" w:hAnsi="Wingdings"/>
        <w:color w:val="1c7069"/>
        <w:sz w:val="22"/>
      </w:rPr>
    </w:tblStylePr>
    <w:tblStylePr w:type="firstCol">
      <w:rPr>
        <w:b/>
        <w:color w:val="1c7067"/>
      </w:rPr>
    </w:tblStylePr>
    <w:tblStylePr w:type="firstRow">
      <w:rPr>
        <w:b/>
        <w:color w:val="1c706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1c7067"/>
      </w:rPr>
    </w:tblStylePr>
    <w:tblStylePr w:type="lastRow">
      <w:rPr>
        <w:b/>
        <w:color w:val="1c7067"/>
      </w:rPr>
    </w:tblStylePr>
  </w:style>
  <w:style w:type="table" w:styleId="990" w:customStyle="1">
    <w:name w:val="Grid Table 6 Colorful - Accent 6"/>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1c7069"/>
        <w:sz w:val="22"/>
      </w:rPr>
      <w:tcPr>
        <w:shd w:val="clear" w:color="ffffff" w:fill="f9dade"/>
      </w:tcPr>
    </w:tblStylePr>
    <w:tblStylePr w:type="band1Vert">
      <w:tcPr>
        <w:shd w:val="clear" w:color="ffffff" w:fill="f9dade"/>
      </w:tcPr>
    </w:tblStylePr>
    <w:tblStylePr w:type="band2Horz">
      <w:rPr>
        <w:rFonts w:ascii="Wingdings" w:hAnsi="Wingdings"/>
        <w:color w:val="1c7069"/>
        <w:sz w:val="22"/>
      </w:rPr>
    </w:tblStylePr>
    <w:tblStylePr w:type="firstCol">
      <w:rPr>
        <w:b/>
        <w:color w:val="1c7067"/>
      </w:rPr>
    </w:tblStylePr>
    <w:tblStylePr w:type="firstRow">
      <w:rPr>
        <w:b/>
        <w:color w:val="1c706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1c7067"/>
      </w:rPr>
    </w:tblStylePr>
    <w:tblStylePr w:type="lastRow">
      <w:rPr>
        <w:b/>
        <w:color w:val="1c7067"/>
      </w:rPr>
    </w:tblStylePr>
  </w:style>
  <w:style w:type="table" w:styleId="991" w:customStyle="1">
    <w:name w:val="_Style 108"/>
    <w:basedOn w:val="887"/>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a4a4a"/>
        <w:sz w:val="22"/>
      </w:rPr>
      <w:tcPr>
        <w:shd w:val="clear" w:color="ffffff" w:fill="f2f2f2"/>
      </w:tcPr>
    </w:tblStylePr>
    <w:tblStylePr w:type="band1Vert">
      <w:tcPr>
        <w:shd w:val="clear" w:color="ffffff" w:fill="f2f2f2"/>
      </w:tcPr>
    </w:tblStylePr>
    <w:tblStylePr w:type="band2Horz">
      <w:rPr>
        <w:rFonts w:ascii="Wingdings" w:hAnsi="Wingdings"/>
        <w:color w:val="4a4a4a"/>
        <w:sz w:val="22"/>
      </w:rPr>
    </w:tblStylePr>
    <w:tblStylePr w:type="firstCol">
      <w:rPr>
        <w:rFonts w:ascii="Wingdings" w:hAnsi="Wingding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7 Colorful - Accent 1"/>
    <w:basedOn w:val="887"/>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3362b0"/>
        <w:sz w:val="22"/>
      </w:rPr>
      <w:tcPr>
        <w:shd w:val="clear" w:color="ffffff" w:fill="d9e3f4"/>
      </w:tcPr>
    </w:tblStylePr>
    <w:tblStylePr w:type="band1Vert">
      <w:tcPr>
        <w:shd w:val="clear" w:color="ffffff" w:fill="d9e3f4"/>
      </w:tcPr>
    </w:tblStylePr>
    <w:tblStylePr w:type="band2Horz">
      <w:rPr>
        <w:rFonts w:ascii="Wingdings" w:hAnsi="Wingdings"/>
        <w:color w:val="3362b0"/>
        <w:sz w:val="22"/>
      </w:rPr>
    </w:tblStylePr>
    <w:tblStylePr w:type="firstCol">
      <w:rPr>
        <w:rFonts w:ascii="Wingdings" w:hAnsi="Wingdings"/>
        <w:i/>
        <w:color w:val="3362b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3362b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3362b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3362b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7 Colorful - Accent 2"/>
    <w:basedOn w:val="887"/>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c85f11"/>
        <w:sz w:val="22"/>
      </w:rPr>
      <w:tcPr>
        <w:shd w:val="clear" w:color="ffffff" w:fill="fbe6d6"/>
      </w:tcPr>
    </w:tblStylePr>
    <w:tblStylePr w:type="band1Vert">
      <w:tcPr>
        <w:shd w:val="clear" w:color="ffffff" w:fill="fbe6d6"/>
      </w:tcPr>
    </w:tblStylePr>
    <w:tblStylePr w:type="band2Horz">
      <w:rPr>
        <w:rFonts w:ascii="Wingdings" w:hAnsi="Wingdings"/>
        <w:color w:val="c85f11"/>
        <w:sz w:val="22"/>
      </w:rPr>
    </w:tblStylePr>
    <w:tblStylePr w:type="firstCol">
      <w:rPr>
        <w:rFonts w:ascii="Wingdings" w:hAnsi="Wingdings"/>
        <w:i/>
        <w:color w:val="c85f1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c85f1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c85f1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c85f1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7 Colorful - Accent 3"/>
    <w:basedOn w:val="887"/>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8c6a01"/>
        <w:sz w:val="22"/>
      </w:rPr>
      <w:tcPr>
        <w:shd w:val="clear" w:color="ffffff" w:fill="fef1c9"/>
      </w:tcPr>
    </w:tblStylePr>
    <w:tblStylePr w:type="band1Vert">
      <w:tcPr>
        <w:shd w:val="clear" w:color="ffffff" w:fill="fef1c9"/>
      </w:tcPr>
    </w:tblStylePr>
    <w:tblStylePr w:type="band2Horz">
      <w:rPr>
        <w:rFonts w:ascii="Wingdings" w:hAnsi="Wingdings"/>
        <w:color w:val="8c6a01"/>
        <w:sz w:val="22"/>
      </w:rPr>
    </w:tblStylePr>
    <w:tblStylePr w:type="firstCol">
      <w:rPr>
        <w:rFonts w:ascii="Wingdings" w:hAnsi="Wingdings"/>
        <w:i/>
        <w:color w:val="8c6a0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8c6a0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8c6a0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8c6a0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Grid Table 7 Colorful - Accent 4"/>
    <w:basedOn w:val="887"/>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619835"/>
        <w:sz w:val="22"/>
      </w:rPr>
      <w:tcPr>
        <w:shd w:val="clear" w:color="ffffff" w:fill="e3f1d8"/>
      </w:tcPr>
    </w:tblStylePr>
    <w:tblStylePr w:type="band1Vert">
      <w:tcPr>
        <w:shd w:val="clear" w:color="ffffff" w:fill="e3f1d8"/>
      </w:tcPr>
    </w:tblStylePr>
    <w:tblStylePr w:type="band2Horz">
      <w:rPr>
        <w:rFonts w:ascii="Wingdings" w:hAnsi="Wingdings"/>
        <w:color w:val="619835"/>
        <w:sz w:val="22"/>
      </w:rPr>
    </w:tblStylePr>
    <w:tblStylePr w:type="firstCol">
      <w:rPr>
        <w:rFonts w:ascii="Wingdings" w:hAnsi="Wingdings"/>
        <w:i/>
        <w:color w:val="61983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61983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61983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61983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Grid Table 7 Colorful - Accent 5"/>
    <w:basedOn w:val="887"/>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1c7067"/>
        <w:sz w:val="22"/>
      </w:rPr>
      <w:tcPr>
        <w:shd w:val="clear" w:color="ffffff" w:fill="d2f3f0"/>
      </w:tcPr>
    </w:tblStylePr>
    <w:tblStylePr w:type="band1Vert">
      <w:tcPr>
        <w:shd w:val="clear" w:color="ffffff" w:fill="d2f3f0"/>
      </w:tcPr>
    </w:tblStylePr>
    <w:tblStylePr w:type="band2Horz">
      <w:rPr>
        <w:rFonts w:ascii="Wingdings" w:hAnsi="Wingdings"/>
        <w:color w:val="1c7067"/>
        <w:sz w:val="22"/>
      </w:rPr>
    </w:tblStylePr>
    <w:tblStylePr w:type="firstCol">
      <w:rPr>
        <w:rFonts w:ascii="Wingdings" w:hAnsi="Wingdings"/>
        <w:i/>
        <w:color w:val="1c706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1c706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1c706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1c706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Grid Table 7 Colorful - Accent 6"/>
    <w:basedOn w:val="887"/>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9b1626"/>
        <w:sz w:val="22"/>
      </w:rPr>
      <w:tcPr>
        <w:shd w:val="clear" w:color="ffffff" w:fill="f9dade"/>
      </w:tcPr>
    </w:tblStylePr>
    <w:tblStylePr w:type="band1Vert">
      <w:tcPr>
        <w:shd w:val="clear" w:color="ffffff" w:fill="f9dade"/>
      </w:tcPr>
    </w:tblStylePr>
    <w:tblStylePr w:type="band2Horz">
      <w:rPr>
        <w:rFonts w:ascii="Wingdings" w:hAnsi="Wingdings"/>
        <w:color w:val="9b1626"/>
        <w:sz w:val="22"/>
      </w:rPr>
    </w:tblStylePr>
    <w:tblStylePr w:type="firstCol">
      <w:rPr>
        <w:rFonts w:ascii="Wingdings" w:hAnsi="Wingdings"/>
        <w:i/>
        <w:color w:val="9b1626"/>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9b1626"/>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9b1626"/>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9b1626"/>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_Style 115"/>
    <w:basedOn w:val="887"/>
    <w:uiPriority w:val="99"/>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1 Light - Accent 1"/>
    <w:basedOn w:val="887"/>
    <w:uiPriority w:val="99"/>
    <w:pPr>
      <w:spacing w:after="0" w:line="240" w:lineRule="auto"/>
    </w:pPr>
    <w:tblPr/>
    <w:tblStylePr w:type="band1Horz">
      <w:tcPr>
        <w:shd w:val="clear" w:color="ffffff" w:fill="d0dcf1"/>
      </w:tcPr>
    </w:tblStylePr>
    <w:tblStylePr w:type="band1Vert">
      <w:tcPr>
        <w:shd w:val="clear" w:color="ffffff" w:fill="d0dcf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1 Light - Accent 2"/>
    <w:basedOn w:val="887"/>
    <w:uiPriority w:val="99"/>
    <w:pPr>
      <w:spacing w:after="0" w:line="240" w:lineRule="auto"/>
    </w:pPr>
    <w:tblPr/>
    <w:tblStylePr w:type="band1Horz">
      <w:tcPr>
        <w:shd w:val="clear" w:color="ffffff" w:fill="fadfcb"/>
      </w:tcPr>
    </w:tblStylePr>
    <w:tblStylePr w:type="band1Vert">
      <w:tcPr>
        <w:shd w:val="clear" w:color="ffffff" w:fill="fadf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1 Light - Accent 3"/>
    <w:basedOn w:val="887"/>
    <w:uiPriority w:val="99"/>
    <w:pPr>
      <w:spacing w:after="0" w:line="240" w:lineRule="auto"/>
    </w:pPr>
    <w:tblPr/>
    <w:tblStylePr w:type="band1Horz">
      <w:tcPr>
        <w:shd w:val="clear" w:color="ffffff" w:fill="feeebd"/>
      </w:tcPr>
    </w:tblStylePr>
    <w:tblStylePr w:type="band1Vert">
      <w:tcPr>
        <w:shd w:val="clear" w:color="ffffff" w:fill="feeebd"/>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1 Light - Accent 4"/>
    <w:basedOn w:val="887"/>
    <w:uiPriority w:val="99"/>
    <w:pPr>
      <w:spacing w:after="0" w:line="240" w:lineRule="auto"/>
    </w:pPr>
    <w:tblPr/>
    <w:tblStylePr w:type="band1Horz">
      <w:tcPr>
        <w:shd w:val="clear" w:color="ffffff" w:fill="dceecf"/>
      </w:tcPr>
    </w:tblStylePr>
    <w:tblStylePr w:type="band1Vert">
      <w:tcPr>
        <w:shd w:val="clear" w:color="ffffff" w:fill="dceec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1 Light - Accent 5"/>
    <w:basedOn w:val="887"/>
    <w:uiPriority w:val="99"/>
    <w:pPr>
      <w:spacing w:after="0" w:line="240" w:lineRule="auto"/>
    </w:pPr>
    <w:tblPr/>
    <w:tblStylePr w:type="band1Horz">
      <w:tcPr>
        <w:shd w:val="clear" w:color="ffffff" w:fill="c8f1ed"/>
      </w:tcPr>
    </w:tblStylePr>
    <w:tblStylePr w:type="band1Vert">
      <w:tcPr>
        <w:shd w:val="clear" w:color="ffffff" w:fill="c8f1ed"/>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1 Light - Accent 6"/>
    <w:basedOn w:val="887"/>
    <w:uiPriority w:val="99"/>
    <w:pPr>
      <w:spacing w:after="0" w:line="240" w:lineRule="auto"/>
    </w:pPr>
    <w:tblPr/>
    <w:tblStylePr w:type="band1Horz">
      <w:tcPr>
        <w:shd w:val="clear" w:color="ffffff" w:fill="f8d1d6"/>
      </w:tcPr>
    </w:tblStylePr>
    <w:tblStylePr w:type="band1Vert">
      <w:tcPr>
        <w:shd w:val="clear" w:color="ffffff" w:fill="f8d1d6"/>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_Style 122"/>
    <w:basedOn w:val="887"/>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bfbfbf"/>
      </w:tcPr>
    </w:tblStylePr>
    <w:tblStylePr w:type="band1Vert">
      <w:rPr>
        <w:rFonts w:ascii="Wingdings" w:hAnsi="Wingdings"/>
        <w:color w:val="404040"/>
        <w:sz w:val="22"/>
      </w:rPr>
      <w:tcPr>
        <w:shd w:val="clear" w:color="ffffff" w:fill="bfbfbf"/>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2 - Accent 1"/>
    <w:basedOn w:val="887"/>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d0dcf1"/>
      </w:tcPr>
    </w:tblStylePr>
    <w:tblStylePr w:type="band1Vert">
      <w:rPr>
        <w:rFonts w:ascii="Wingdings" w:hAnsi="Wingdings"/>
        <w:color w:val="404040"/>
        <w:sz w:val="22"/>
      </w:rPr>
      <w:tcPr>
        <w:shd w:val="clear" w:color="ffffff" w:fill="d0dcf1"/>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2 - Accent 2"/>
    <w:basedOn w:val="887"/>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fadfcb"/>
      </w:tcPr>
    </w:tblStylePr>
    <w:tblStylePr w:type="band1Vert">
      <w:rPr>
        <w:rFonts w:ascii="Wingdings" w:hAnsi="Wingdings"/>
        <w:color w:val="404040"/>
        <w:sz w:val="22"/>
      </w:rPr>
      <w:tcPr>
        <w:shd w:val="clear" w:color="ffffff" w:fill="fadfcb"/>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2 - Accent 3"/>
    <w:basedOn w:val="887"/>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feeebd"/>
      </w:tcPr>
    </w:tblStylePr>
    <w:tblStylePr w:type="band1Vert">
      <w:rPr>
        <w:rFonts w:ascii="Wingdings" w:hAnsi="Wingdings"/>
        <w:color w:val="404040"/>
        <w:sz w:val="22"/>
      </w:rPr>
      <w:tcPr>
        <w:shd w:val="clear" w:color="ffffff" w:fill="feeebd"/>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2 - Accent 4"/>
    <w:basedOn w:val="887"/>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dceecf"/>
      </w:tcPr>
    </w:tblStylePr>
    <w:tblStylePr w:type="band1Vert">
      <w:rPr>
        <w:rFonts w:ascii="Wingdings" w:hAnsi="Wingdings"/>
        <w:color w:val="404040"/>
        <w:sz w:val="22"/>
      </w:rPr>
      <w:tcPr>
        <w:shd w:val="clear" w:color="ffffff" w:fill="dceecf"/>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2 - Accent 5"/>
    <w:basedOn w:val="887"/>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c8f1ed"/>
      </w:tcPr>
    </w:tblStylePr>
    <w:tblStylePr w:type="band1Vert">
      <w:rPr>
        <w:rFonts w:ascii="Wingdings" w:hAnsi="Wingdings"/>
        <w:color w:val="404040"/>
        <w:sz w:val="22"/>
      </w:rPr>
      <w:tcPr>
        <w:shd w:val="clear" w:color="ffffff" w:fill="c8f1ed"/>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2 - Accent 6"/>
    <w:basedOn w:val="887"/>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f8d1d6"/>
      </w:tcPr>
    </w:tblStylePr>
    <w:tblStylePr w:type="band1Vert">
      <w:rPr>
        <w:rFonts w:ascii="Wingdings" w:hAnsi="Wingdings"/>
        <w:color w:val="404040"/>
        <w:sz w:val="22"/>
      </w:rPr>
      <w:tcPr>
        <w:shd w:val="clear" w:color="ffffff" w:fill="f8d1d6"/>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_Style 129"/>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000000"/>
      </w:tcPr>
    </w:tblStylePr>
    <w:tblStylePr w:type="lastCol">
      <w:rPr>
        <w:b/>
        <w:color w:val="404040"/>
      </w:rPr>
    </w:tblStylePr>
    <w:tblStylePr w:type="lastRow">
      <w:rPr>
        <w:b/>
        <w:color w:val="404040"/>
      </w:rPr>
    </w:tblStylePr>
  </w:style>
  <w:style w:type="table" w:styleId="1013" w:customStyle="1">
    <w:name w:val="List Table 3 - Accent 1"/>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4874cb"/>
      </w:tcPr>
    </w:tblStylePr>
    <w:tblStylePr w:type="lastCol">
      <w:rPr>
        <w:b/>
        <w:color w:val="404040"/>
      </w:rPr>
    </w:tblStylePr>
    <w:tblStylePr w:type="lastRow">
      <w:rPr>
        <w:b/>
        <w:color w:val="404040"/>
      </w:rPr>
    </w:tblStylePr>
  </w:style>
  <w:style w:type="table" w:styleId="1014" w:customStyle="1">
    <w:name w:val="List Table 3 - Accent 2"/>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f4b383"/>
      </w:tcPr>
    </w:tblStylePr>
    <w:tblStylePr w:type="lastCol">
      <w:rPr>
        <w:b/>
        <w:color w:val="404040"/>
      </w:rPr>
    </w:tblStylePr>
    <w:tblStylePr w:type="lastRow">
      <w:rPr>
        <w:b/>
        <w:color w:val="404040"/>
      </w:rPr>
    </w:tblStylePr>
  </w:style>
  <w:style w:type="table" w:styleId="1015" w:customStyle="1">
    <w:name w:val="List Table 3 - Accent 3"/>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fdd762"/>
      </w:tcPr>
    </w:tblStylePr>
    <w:tblStylePr w:type="lastCol">
      <w:rPr>
        <w:b/>
        <w:color w:val="404040"/>
      </w:rPr>
    </w:tblStylePr>
    <w:tblStylePr w:type="lastRow">
      <w:rPr>
        <w:b/>
        <w:color w:val="404040"/>
      </w:rPr>
    </w:tblStylePr>
  </w:style>
  <w:style w:type="table" w:styleId="1016" w:customStyle="1">
    <w:name w:val="List Table 3 - Accent 4"/>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acd78c"/>
      </w:tcPr>
    </w:tblStylePr>
    <w:tblStylePr w:type="lastCol">
      <w:rPr>
        <w:b/>
        <w:color w:val="404040"/>
      </w:rPr>
    </w:tblStylePr>
    <w:tblStylePr w:type="lastRow">
      <w:rPr>
        <w:b/>
        <w:color w:val="404040"/>
      </w:rPr>
    </w:tblStylePr>
  </w:style>
  <w:style w:type="table" w:styleId="1017" w:customStyle="1">
    <w:name w:val="List Table 3 - Accent 5"/>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7bded3"/>
      </w:tcPr>
    </w:tblStylePr>
    <w:tblStylePr w:type="lastCol">
      <w:rPr>
        <w:b/>
        <w:color w:val="404040"/>
      </w:rPr>
    </w:tblStylePr>
    <w:tblStylePr w:type="lastRow">
      <w:rPr>
        <w:b/>
        <w:color w:val="404040"/>
      </w:rPr>
    </w:tblStylePr>
  </w:style>
  <w:style w:type="table" w:styleId="1018" w:customStyle="1">
    <w:name w:val="List Table 3 - Accent 6"/>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ef949f"/>
      </w:tcPr>
    </w:tblStylePr>
    <w:tblStylePr w:type="lastCol">
      <w:rPr>
        <w:b/>
        <w:color w:val="404040"/>
      </w:rPr>
    </w:tblStylePr>
    <w:tblStylePr w:type="lastRow">
      <w:rPr>
        <w:b/>
        <w:color w:val="404040"/>
      </w:rPr>
    </w:tblStylePr>
  </w:style>
  <w:style w:type="table" w:styleId="1019" w:customStyle="1">
    <w:name w:val="_Style 136"/>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bfbfbf"/>
      </w:tcPr>
    </w:tblStylePr>
    <w:tblStylePr w:type="band1Vert">
      <w:rPr>
        <w:rFonts w:ascii="Wingdings" w:hAnsi="Wingdings"/>
        <w:color w:val="404040"/>
        <w:sz w:val="22"/>
      </w:rPr>
      <w:tcPr>
        <w:shd w:val="clear" w:color="ffffff" w:fill="bfbfbf"/>
      </w:tcPr>
    </w:tblStylePr>
    <w:tblStylePr w:type="firstCol">
      <w:rPr>
        <w:b/>
        <w:color w:val="404040"/>
      </w:rPr>
    </w:tblStylePr>
    <w:tblStylePr w:type="firstRow">
      <w:rPr>
        <w:rFonts w:ascii="Wingdings" w:hAnsi="Wingdings"/>
        <w:b/>
        <w:color w:val="ffffff"/>
        <w:sz w:val="22"/>
      </w:rPr>
      <w:tcPr>
        <w:shd w:val="clear" w:color="ffffff" w:fill="000000"/>
      </w:tcPr>
    </w:tblStylePr>
    <w:tblStylePr w:type="lastCol">
      <w:rPr>
        <w:b/>
        <w:color w:val="404040"/>
      </w:rPr>
    </w:tblStylePr>
    <w:tblStylePr w:type="lastRow">
      <w:rPr>
        <w:b/>
        <w:color w:val="404040"/>
      </w:rPr>
    </w:tblStylePr>
  </w:style>
  <w:style w:type="table" w:styleId="1020" w:customStyle="1">
    <w:name w:val="List Table 4 - Accent 1"/>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d0dcf1"/>
      </w:tcPr>
    </w:tblStylePr>
    <w:tblStylePr w:type="band1Vert">
      <w:rPr>
        <w:rFonts w:ascii="Wingdings" w:hAnsi="Wingdings"/>
        <w:color w:val="404040"/>
        <w:sz w:val="22"/>
      </w:rPr>
      <w:tcPr>
        <w:shd w:val="clear" w:color="ffffff" w:fill="d0dcf1"/>
      </w:tcPr>
    </w:tblStylePr>
    <w:tblStylePr w:type="firstCol">
      <w:rPr>
        <w:b/>
        <w:color w:val="404040"/>
      </w:rPr>
    </w:tblStylePr>
    <w:tblStylePr w:type="firstRow">
      <w:rPr>
        <w:rFonts w:ascii="Wingdings" w:hAnsi="Wingdings"/>
        <w:b/>
        <w:color w:val="ffffff"/>
        <w:sz w:val="22"/>
      </w:rPr>
      <w:tcPr>
        <w:shd w:val="clear" w:color="ffffff" w:fill="4874cb"/>
      </w:tcPr>
    </w:tblStylePr>
    <w:tblStylePr w:type="lastCol">
      <w:rPr>
        <w:b/>
        <w:color w:val="404040"/>
      </w:rPr>
    </w:tblStylePr>
    <w:tblStylePr w:type="lastRow">
      <w:rPr>
        <w:b/>
        <w:color w:val="404040"/>
      </w:rPr>
    </w:tblStylePr>
  </w:style>
  <w:style w:type="table" w:styleId="1021" w:customStyle="1">
    <w:name w:val="List Table 4 - Accent 2"/>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fadfcb"/>
      </w:tcPr>
    </w:tblStylePr>
    <w:tblStylePr w:type="band1Vert">
      <w:rPr>
        <w:rFonts w:ascii="Wingdings" w:hAnsi="Wingdings"/>
        <w:color w:val="404040"/>
        <w:sz w:val="22"/>
      </w:rPr>
      <w:tcPr>
        <w:shd w:val="clear" w:color="ffffff" w:fill="fadfcb"/>
      </w:tcPr>
    </w:tblStylePr>
    <w:tblStylePr w:type="firstCol">
      <w:rPr>
        <w:b/>
        <w:color w:val="404040"/>
      </w:rPr>
    </w:tblStylePr>
    <w:tblStylePr w:type="firstRow">
      <w:rPr>
        <w:rFonts w:ascii="Wingdings" w:hAnsi="Wingdings"/>
        <w:b/>
        <w:color w:val="ffffff"/>
        <w:sz w:val="22"/>
      </w:rPr>
      <w:tcPr>
        <w:shd w:val="clear" w:color="ffffff" w:fill="ee822f"/>
      </w:tcPr>
    </w:tblStylePr>
    <w:tblStylePr w:type="lastCol">
      <w:rPr>
        <w:b/>
        <w:color w:val="404040"/>
      </w:rPr>
    </w:tblStylePr>
    <w:tblStylePr w:type="lastRow">
      <w:rPr>
        <w:b/>
        <w:color w:val="404040"/>
      </w:rPr>
    </w:tblStylePr>
  </w:style>
  <w:style w:type="table" w:styleId="1022" w:customStyle="1">
    <w:name w:val="List Table 4 - Accent 3"/>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feeebd"/>
      </w:tcPr>
    </w:tblStylePr>
    <w:tblStylePr w:type="band1Vert">
      <w:rPr>
        <w:rFonts w:ascii="Wingdings" w:hAnsi="Wingdings"/>
        <w:color w:val="404040"/>
        <w:sz w:val="22"/>
      </w:rPr>
      <w:tcPr>
        <w:shd w:val="clear" w:color="ffffff" w:fill="feeebd"/>
      </w:tcPr>
    </w:tblStylePr>
    <w:tblStylePr w:type="firstCol">
      <w:rPr>
        <w:b/>
        <w:color w:val="404040"/>
      </w:rPr>
    </w:tblStylePr>
    <w:tblStylePr w:type="firstRow">
      <w:rPr>
        <w:rFonts w:ascii="Wingdings" w:hAnsi="Wingdings"/>
        <w:b/>
        <w:color w:val="ffffff"/>
        <w:sz w:val="22"/>
      </w:rPr>
      <w:tcPr>
        <w:shd w:val="clear" w:color="ffffff" w:fill="f2ba02"/>
      </w:tcPr>
    </w:tblStylePr>
    <w:tblStylePr w:type="lastCol">
      <w:rPr>
        <w:b/>
        <w:color w:val="404040"/>
      </w:rPr>
    </w:tblStylePr>
    <w:tblStylePr w:type="lastRow">
      <w:rPr>
        <w:b/>
        <w:color w:val="404040"/>
      </w:rPr>
    </w:tblStylePr>
  </w:style>
  <w:style w:type="table" w:styleId="1023" w:customStyle="1">
    <w:name w:val="List Table 4 - Accent 4"/>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dceecf"/>
      </w:tcPr>
    </w:tblStylePr>
    <w:tblStylePr w:type="band1Vert">
      <w:rPr>
        <w:rFonts w:ascii="Wingdings" w:hAnsi="Wingdings"/>
        <w:color w:val="404040"/>
        <w:sz w:val="22"/>
      </w:rPr>
      <w:tcPr>
        <w:shd w:val="clear" w:color="ffffff" w:fill="dceecf"/>
      </w:tcPr>
    </w:tblStylePr>
    <w:tblStylePr w:type="firstCol">
      <w:rPr>
        <w:b/>
        <w:color w:val="404040"/>
      </w:rPr>
    </w:tblStylePr>
    <w:tblStylePr w:type="firstRow">
      <w:rPr>
        <w:rFonts w:ascii="Wingdings" w:hAnsi="Wingdings"/>
        <w:b/>
        <w:color w:val="ffffff"/>
        <w:sz w:val="22"/>
      </w:rPr>
      <w:tcPr>
        <w:shd w:val="clear" w:color="ffffff" w:fill="75bd42"/>
      </w:tcPr>
    </w:tblStylePr>
    <w:tblStylePr w:type="lastCol">
      <w:rPr>
        <w:b/>
        <w:color w:val="404040"/>
      </w:rPr>
    </w:tblStylePr>
    <w:tblStylePr w:type="lastRow">
      <w:rPr>
        <w:b/>
        <w:color w:val="404040"/>
      </w:rPr>
    </w:tblStylePr>
  </w:style>
  <w:style w:type="table" w:styleId="1024" w:customStyle="1">
    <w:name w:val="List Table 4 - Accent 5"/>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c8f1ed"/>
      </w:tcPr>
    </w:tblStylePr>
    <w:tblStylePr w:type="band1Vert">
      <w:rPr>
        <w:rFonts w:ascii="Wingdings" w:hAnsi="Wingdings"/>
        <w:color w:val="404040"/>
        <w:sz w:val="22"/>
      </w:rPr>
      <w:tcPr>
        <w:shd w:val="clear" w:color="ffffff" w:fill="c8f1ed"/>
      </w:tcPr>
    </w:tblStylePr>
    <w:tblStylePr w:type="firstCol">
      <w:rPr>
        <w:b/>
        <w:color w:val="404040"/>
      </w:rPr>
    </w:tblStylePr>
    <w:tblStylePr w:type="firstRow">
      <w:rPr>
        <w:rFonts w:ascii="Wingdings" w:hAnsi="Wingdings"/>
        <w:b/>
        <w:color w:val="ffffff"/>
        <w:sz w:val="22"/>
      </w:rPr>
      <w:tcPr>
        <w:shd w:val="clear" w:color="ffffff" w:fill="30c0b4"/>
      </w:tcPr>
    </w:tblStylePr>
    <w:tblStylePr w:type="lastCol">
      <w:rPr>
        <w:b/>
        <w:color w:val="404040"/>
      </w:rPr>
    </w:tblStylePr>
    <w:tblStylePr w:type="lastRow">
      <w:rPr>
        <w:b/>
        <w:color w:val="404040"/>
      </w:rPr>
    </w:tblStylePr>
  </w:style>
  <w:style w:type="table" w:styleId="1025" w:customStyle="1">
    <w:name w:val="List Table 4 - Accent 6"/>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f8d1d6"/>
      </w:tcPr>
    </w:tblStylePr>
    <w:tblStylePr w:type="band1Vert">
      <w:rPr>
        <w:rFonts w:ascii="Wingdings" w:hAnsi="Wingdings"/>
        <w:color w:val="404040"/>
        <w:sz w:val="22"/>
      </w:rPr>
      <w:tcPr>
        <w:shd w:val="clear" w:color="ffffff" w:fill="f8d1d6"/>
      </w:tcPr>
    </w:tblStylePr>
    <w:tblStylePr w:type="firstCol">
      <w:rPr>
        <w:b/>
        <w:color w:val="404040"/>
      </w:rPr>
    </w:tblStylePr>
    <w:tblStylePr w:type="firstRow">
      <w:rPr>
        <w:rFonts w:ascii="Wingdings" w:hAnsi="Wingdings"/>
        <w:b/>
        <w:color w:val="ffffff"/>
        <w:sz w:val="22"/>
      </w:rPr>
      <w:tcPr>
        <w:shd w:val="clear" w:color="ffffff" w:fill="e54c5e"/>
      </w:tcPr>
    </w:tblStylePr>
    <w:tblStylePr w:type="lastCol">
      <w:rPr>
        <w:b/>
        <w:color w:val="404040"/>
      </w:rPr>
    </w:tblStylePr>
    <w:tblStylePr w:type="lastRow">
      <w:rPr>
        <w:b/>
        <w:color w:val="404040"/>
      </w:rPr>
    </w:tblStylePr>
  </w:style>
  <w:style w:type="table" w:styleId="1026" w:customStyle="1">
    <w:name w:val="_Style 143"/>
    <w:basedOn w:val="887"/>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27" w:customStyle="1">
    <w:name w:val="List Table 5 Dark - Accent 1"/>
    <w:basedOn w:val="887"/>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874c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874cb"/>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874c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4874cb"/>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28" w:customStyle="1">
    <w:name w:val="List Table 5 Dark - Accent 2"/>
    <w:basedOn w:val="887"/>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383"/>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383"/>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383"/>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f4b383"/>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29" w:customStyle="1">
    <w:name w:val="List Table 5 Dark - Accent 3"/>
    <w:basedOn w:val="887"/>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dd762"/>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dd762"/>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dd762"/>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fdd762"/>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30" w:customStyle="1">
    <w:name w:val="List Table 5 Dark - Accent 4"/>
    <w:basedOn w:val="887"/>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cd78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cd78c"/>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cd78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acd78c"/>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31" w:customStyle="1">
    <w:name w:val="List Table 5 Dark - Accent 5"/>
    <w:basedOn w:val="887"/>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bded3"/>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bded3"/>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bded3"/>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7bded3"/>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32" w:customStyle="1">
    <w:name w:val="List Table 5 Dark - Accent 6"/>
    <w:basedOn w:val="887"/>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ef949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ef949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ef949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ef949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33" w:customStyle="1">
    <w:name w:val="_Style 150"/>
    <w:basedOn w:val="887"/>
    <w:uiPriority w:val="99"/>
    <w:pPr>
      <w:spacing w:after="0" w:line="240" w:lineRule="auto"/>
    </w:pPr>
    <w:tblPr>
      <w:tblBorders>
        <w:top w:val="single" w:color="000000" w:sz="4" w:space="0"/>
        <w:bottom w:val="single" w:color="000000" w:sz="4" w:space="0"/>
      </w:tblBorders>
    </w:tblPr>
    <w:tblStylePr w:type="band1Horz">
      <w:rPr>
        <w:rFonts w:ascii="Wingdings" w:hAnsi="Wingdings"/>
        <w:color w:val="000000"/>
        <w:sz w:val="22"/>
      </w:rPr>
      <w:tcPr>
        <w:shd w:val="clear" w:color="ffffff" w:fill="bfbfbf"/>
      </w:tcPr>
    </w:tblStylePr>
    <w:tblStylePr w:type="band1Vert">
      <w:tcPr>
        <w:shd w:val="clear" w:color="ffffff" w:fill="bfbfbf"/>
      </w:tcPr>
    </w:tblStylePr>
    <w:tblStylePr w:type="band2Horz">
      <w:rPr>
        <w:rFonts w:ascii="Wingdings" w:hAnsi="Wingdings"/>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6 Colorful - Accent 1"/>
    <w:basedOn w:val="887"/>
    <w:uiPriority w:val="99"/>
    <w:pPr>
      <w:spacing w:after="0" w:line="240" w:lineRule="auto"/>
    </w:pPr>
    <w:tblPr>
      <w:tblBorders>
        <w:top w:val="single" w:color="000000" w:sz="4" w:space="0"/>
        <w:bottom w:val="single" w:color="000000" w:sz="4" w:space="0"/>
      </w:tblBorders>
    </w:tblPr>
    <w:tblStylePr w:type="band1Horz">
      <w:rPr>
        <w:rFonts w:ascii="Wingdings" w:hAnsi="Wingdings"/>
        <w:color w:val="23417d"/>
        <w:sz w:val="22"/>
      </w:rPr>
      <w:tcPr>
        <w:shd w:val="clear" w:color="ffffff" w:fill="d0dcf1"/>
      </w:tcPr>
    </w:tblStylePr>
    <w:tblStylePr w:type="band1Vert">
      <w:tcPr>
        <w:shd w:val="clear" w:color="ffffff" w:fill="d0dcf1"/>
      </w:tcPr>
    </w:tblStylePr>
    <w:tblStylePr w:type="band2Horz">
      <w:rPr>
        <w:rFonts w:ascii="Wingdings" w:hAnsi="Wingdings"/>
        <w:color w:val="23417d"/>
        <w:sz w:val="22"/>
      </w:rPr>
    </w:tblStylePr>
    <w:tblStylePr w:type="firstCol">
      <w:rPr>
        <w:b/>
        <w:color w:val="23427c"/>
      </w:rPr>
    </w:tblStylePr>
    <w:tblStylePr w:type="firstRow">
      <w:rPr>
        <w:b/>
        <w:color w:val="23427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3427c"/>
      </w:rPr>
    </w:tblStylePr>
    <w:tblStylePr w:type="lastRow">
      <w:rPr>
        <w:b/>
        <w:color w:val="23427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6 Colorful - Accent 2"/>
    <w:basedOn w:val="887"/>
    <w:uiPriority w:val="99"/>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fadfcb"/>
      </w:tcPr>
    </w:tblStylePr>
    <w:tblStylePr w:type="band1Vert">
      <w:tcPr>
        <w:shd w:val="clear" w:color="ffffff" w:fill="fadfcb"/>
      </w:tcPr>
    </w:tblStylePr>
    <w:tblStylePr w:type="band2Horz">
      <w:rPr>
        <w:rFonts w:ascii="Wingdings" w:hAnsi="Wingdings"/>
        <w:color w:val="404040"/>
        <w:sz w:val="22"/>
      </w:rPr>
    </w:tblStylePr>
    <w:tblStylePr w:type="firstCol">
      <w:rPr>
        <w:b/>
        <w:color w:val="c85f11"/>
      </w:rPr>
    </w:tblStylePr>
    <w:tblStylePr w:type="firstRow">
      <w:rPr>
        <w:b/>
        <w:color w:val="c85f1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85f11"/>
      </w:rPr>
    </w:tblStylePr>
    <w:tblStylePr w:type="lastRow">
      <w:rPr>
        <w:b/>
        <w:color w:val="c85f1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6 Colorful - Accent 3"/>
    <w:basedOn w:val="887"/>
    <w:uiPriority w:val="99"/>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feeebd"/>
      </w:tcPr>
    </w:tblStylePr>
    <w:tblStylePr w:type="band1Vert">
      <w:tcPr>
        <w:shd w:val="clear" w:color="ffffff" w:fill="feeebd"/>
      </w:tcPr>
    </w:tblStylePr>
    <w:tblStylePr w:type="band2Horz">
      <w:rPr>
        <w:rFonts w:ascii="Wingdings" w:hAnsi="Wingdings"/>
        <w:color w:val="404040"/>
        <w:sz w:val="22"/>
      </w:rPr>
    </w:tblStylePr>
    <w:tblStylePr w:type="firstCol">
      <w:rPr>
        <w:b/>
        <w:color w:val="c99802"/>
      </w:rPr>
    </w:tblStylePr>
    <w:tblStylePr w:type="firstRow">
      <w:rPr>
        <w:b/>
        <w:color w:val="c9980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9802"/>
      </w:rPr>
    </w:tblStylePr>
    <w:tblStylePr w:type="lastRow">
      <w:rPr>
        <w:b/>
        <w:color w:val="c9980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6 Colorful - Accent 4"/>
    <w:basedOn w:val="887"/>
    <w:uiPriority w:val="99"/>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dceecf"/>
      </w:tcPr>
    </w:tblStylePr>
    <w:tblStylePr w:type="band1Vert">
      <w:tcPr>
        <w:shd w:val="clear" w:color="ffffff" w:fill="dceecf"/>
      </w:tcPr>
    </w:tblStylePr>
    <w:tblStylePr w:type="band2Horz">
      <w:rPr>
        <w:rFonts w:ascii="Wingdings" w:hAnsi="Wingdings"/>
        <w:color w:val="404040"/>
        <w:sz w:val="22"/>
      </w:rPr>
    </w:tblStylePr>
    <w:tblStylePr w:type="firstCol">
      <w:rPr>
        <w:b/>
        <w:color w:val="619835"/>
      </w:rPr>
    </w:tblStylePr>
    <w:tblStylePr w:type="firstRow">
      <w:rPr>
        <w:b/>
        <w:color w:val="61983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619835"/>
      </w:rPr>
    </w:tblStylePr>
    <w:tblStylePr w:type="lastRow">
      <w:rPr>
        <w:b/>
        <w:color w:val="61983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st Table 6 Colorful - Accent 5"/>
    <w:basedOn w:val="887"/>
    <w:uiPriority w:val="99"/>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c8f1ed"/>
      </w:tcPr>
    </w:tblStylePr>
    <w:tblStylePr w:type="band1Vert">
      <w:tcPr>
        <w:shd w:val="clear" w:color="ffffff" w:fill="c8f1ed"/>
      </w:tcPr>
    </w:tblStylePr>
    <w:tblStylePr w:type="band2Horz">
      <w:rPr>
        <w:rFonts w:ascii="Wingdings" w:hAnsi="Wingdings"/>
        <w:color w:val="404040"/>
        <w:sz w:val="22"/>
      </w:rPr>
    </w:tblStylePr>
    <w:tblStylePr w:type="firstCol">
      <w:rPr>
        <w:b/>
        <w:color w:val="28a191"/>
      </w:rPr>
    </w:tblStylePr>
    <w:tblStylePr w:type="firstRow">
      <w:rPr>
        <w:b/>
        <w:color w:val="28a19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8a191"/>
      </w:rPr>
    </w:tblStylePr>
    <w:tblStylePr w:type="lastRow">
      <w:rPr>
        <w:b/>
        <w:color w:val="28a19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List Table 6 Colorful - Accent 6"/>
    <w:basedOn w:val="887"/>
    <w:uiPriority w:val="99"/>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f8d1d6"/>
      </w:tcPr>
    </w:tblStylePr>
    <w:tblStylePr w:type="band1Vert">
      <w:tcPr>
        <w:shd w:val="clear" w:color="ffffff" w:fill="f8d1d6"/>
      </w:tcPr>
    </w:tblStylePr>
    <w:tblStylePr w:type="band2Horz">
      <w:rPr>
        <w:rFonts w:ascii="Wingdings" w:hAnsi="Wingdings"/>
        <w:color w:val="404040"/>
        <w:sz w:val="22"/>
      </w:rPr>
    </w:tblStylePr>
    <w:tblStylePr w:type="firstCol">
      <w:rPr>
        <w:b/>
        <w:color w:val="c41d35"/>
      </w:rPr>
    </w:tblStylePr>
    <w:tblStylePr w:type="firstRow">
      <w:rPr>
        <w:b/>
        <w:color w:val="c41d3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41d35"/>
      </w:rPr>
    </w:tblStylePr>
    <w:tblStylePr w:type="lastRow">
      <w:rPr>
        <w:b/>
        <w:color w:val="c41d3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_Style 157"/>
    <w:basedOn w:val="887"/>
    <w:uiPriority w:val="99"/>
    <w:pPr>
      <w:spacing w:after="0" w:line="240" w:lineRule="auto"/>
    </w:pPr>
    <w:tblPr>
      <w:tblBorders>
        <w:right w:val="single" w:color="000000" w:sz="4" w:space="0"/>
      </w:tblBorders>
    </w:tblPr>
    <w:tblStylePr w:type="band1Horz">
      <w:rPr>
        <w:rFonts w:ascii="Wingdings" w:hAnsi="Wingdings"/>
        <w:color w:val="4a4a4a"/>
        <w:sz w:val="22"/>
      </w:rPr>
      <w:tcPr>
        <w:shd w:val="clear" w:color="ffffff" w:fill="bfbfbf"/>
      </w:tcPr>
    </w:tblStylePr>
    <w:tblStylePr w:type="band1Vert">
      <w:tcPr>
        <w:shd w:val="clear" w:color="ffffff" w:fill="bfbfbf"/>
      </w:tcPr>
    </w:tblStylePr>
    <w:tblStylePr w:type="band2Horz">
      <w:rPr>
        <w:rFonts w:ascii="Wingdings" w:hAnsi="Wingdings"/>
        <w:color w:val="4a4a4a"/>
        <w:sz w:val="22"/>
      </w:rPr>
    </w:tblStylePr>
    <w:tblStylePr w:type="firstCol">
      <w:rPr>
        <w:rFonts w:ascii="Wingdings" w:hAnsi="Wingding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List Table 7 Colorful - Accent 1"/>
    <w:basedOn w:val="887"/>
    <w:uiPriority w:val="99"/>
    <w:pPr>
      <w:spacing w:after="0" w:line="240" w:lineRule="auto"/>
    </w:pPr>
    <w:tblPr>
      <w:tblBorders>
        <w:right w:val="single" w:color="000000" w:sz="4" w:space="0"/>
      </w:tblBorders>
    </w:tblPr>
    <w:tblStylePr w:type="band1Horz">
      <w:rPr>
        <w:rFonts w:ascii="Wingdings" w:hAnsi="Wingdings"/>
        <w:color w:val="23427c"/>
        <w:sz w:val="22"/>
      </w:rPr>
      <w:tcPr>
        <w:shd w:val="clear" w:color="ffffff" w:fill="d0dcf1"/>
      </w:tcPr>
    </w:tblStylePr>
    <w:tblStylePr w:type="band1Vert">
      <w:tcPr>
        <w:shd w:val="clear" w:color="ffffff" w:fill="d0dcf1"/>
      </w:tcPr>
    </w:tblStylePr>
    <w:tblStylePr w:type="band2Horz">
      <w:rPr>
        <w:rFonts w:ascii="Wingdings" w:hAnsi="Wingdings"/>
        <w:color w:val="23427c"/>
        <w:sz w:val="22"/>
      </w:rPr>
    </w:tblStylePr>
    <w:tblStylePr w:type="firstCol">
      <w:rPr>
        <w:rFonts w:ascii="Wingdings" w:hAnsi="Wingdings"/>
        <w:i/>
        <w:color w:val="23427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23427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23427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23427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List Table 7 Colorful - Accent 2"/>
    <w:basedOn w:val="887"/>
    <w:uiPriority w:val="99"/>
    <w:pPr>
      <w:spacing w:after="0" w:line="240" w:lineRule="auto"/>
    </w:pPr>
    <w:tblPr>
      <w:tblBorders>
        <w:right w:val="single" w:color="000000" w:sz="4" w:space="0"/>
      </w:tblBorders>
    </w:tblPr>
    <w:tblStylePr w:type="band1Horz">
      <w:rPr>
        <w:rFonts w:ascii="Wingdings" w:hAnsi="Wingdings"/>
        <w:color w:val="c85f11"/>
        <w:sz w:val="22"/>
      </w:rPr>
      <w:tcPr>
        <w:shd w:val="clear" w:color="ffffff" w:fill="fadfcb"/>
      </w:tcPr>
    </w:tblStylePr>
    <w:tblStylePr w:type="band1Vert">
      <w:tcPr>
        <w:shd w:val="clear" w:color="ffffff" w:fill="fadfcb"/>
      </w:tcPr>
    </w:tblStylePr>
    <w:tblStylePr w:type="band2Horz">
      <w:rPr>
        <w:rFonts w:ascii="Wingdings" w:hAnsi="Wingdings"/>
        <w:color w:val="c85f11"/>
        <w:sz w:val="22"/>
      </w:rPr>
    </w:tblStylePr>
    <w:tblStylePr w:type="firstCol">
      <w:rPr>
        <w:rFonts w:ascii="Wingdings" w:hAnsi="Wingdings"/>
        <w:i/>
        <w:color w:val="c85f1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c85f1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c85f1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c85f1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List Table 7 Colorful - Accent 3"/>
    <w:basedOn w:val="887"/>
    <w:uiPriority w:val="99"/>
    <w:pPr>
      <w:spacing w:after="0" w:line="240" w:lineRule="auto"/>
    </w:pPr>
    <w:tblPr>
      <w:tblBorders>
        <w:right w:val="single" w:color="000000" w:sz="4" w:space="0"/>
      </w:tblBorders>
    </w:tblPr>
    <w:tblStylePr w:type="band1Horz">
      <w:rPr>
        <w:rFonts w:ascii="Wingdings" w:hAnsi="Wingdings"/>
        <w:color w:val="c99802"/>
        <w:sz w:val="22"/>
      </w:rPr>
      <w:tcPr>
        <w:shd w:val="clear" w:color="ffffff" w:fill="feeebd"/>
      </w:tcPr>
    </w:tblStylePr>
    <w:tblStylePr w:type="band1Vert">
      <w:tcPr>
        <w:shd w:val="clear" w:color="ffffff" w:fill="feeebd"/>
      </w:tcPr>
    </w:tblStylePr>
    <w:tblStylePr w:type="band2Horz">
      <w:rPr>
        <w:rFonts w:ascii="Wingdings" w:hAnsi="Wingdings"/>
        <w:color w:val="c99802"/>
        <w:sz w:val="22"/>
      </w:rPr>
    </w:tblStylePr>
    <w:tblStylePr w:type="firstCol">
      <w:rPr>
        <w:rFonts w:ascii="Wingdings" w:hAnsi="Wingdings"/>
        <w:i/>
        <w:color w:val="c9980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c9980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c9980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c9980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List Table 7 Colorful - Accent 4"/>
    <w:basedOn w:val="887"/>
    <w:uiPriority w:val="99"/>
    <w:pPr>
      <w:spacing w:after="0" w:line="240" w:lineRule="auto"/>
    </w:pPr>
    <w:tblPr>
      <w:tblBorders>
        <w:right w:val="single" w:color="000000" w:sz="4" w:space="0"/>
      </w:tblBorders>
    </w:tblPr>
    <w:tblStylePr w:type="band1Horz">
      <w:rPr>
        <w:rFonts w:ascii="Wingdings" w:hAnsi="Wingdings"/>
        <w:color w:val="619835"/>
        <w:sz w:val="22"/>
      </w:rPr>
      <w:tcPr>
        <w:shd w:val="clear" w:color="ffffff" w:fill="dceecf"/>
      </w:tcPr>
    </w:tblStylePr>
    <w:tblStylePr w:type="band1Vert">
      <w:tcPr>
        <w:shd w:val="clear" w:color="ffffff" w:fill="dceecf"/>
      </w:tcPr>
    </w:tblStylePr>
    <w:tblStylePr w:type="band2Horz">
      <w:rPr>
        <w:rFonts w:ascii="Wingdings" w:hAnsi="Wingdings"/>
        <w:color w:val="619835"/>
        <w:sz w:val="22"/>
      </w:rPr>
    </w:tblStylePr>
    <w:tblStylePr w:type="firstCol">
      <w:rPr>
        <w:rFonts w:ascii="Wingdings" w:hAnsi="Wingdings"/>
        <w:i/>
        <w:color w:val="61983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61983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61983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61983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7 Colorful - Accent 5"/>
    <w:basedOn w:val="887"/>
    <w:uiPriority w:val="99"/>
    <w:pPr>
      <w:spacing w:after="0" w:line="240" w:lineRule="auto"/>
    </w:pPr>
    <w:tblPr>
      <w:tblBorders>
        <w:right w:val="single" w:color="000000" w:sz="4" w:space="0"/>
      </w:tblBorders>
    </w:tblPr>
    <w:tblStylePr w:type="band1Horz">
      <w:rPr>
        <w:rFonts w:ascii="Wingdings" w:hAnsi="Wingdings"/>
        <w:color w:val="28a191"/>
        <w:sz w:val="22"/>
      </w:rPr>
      <w:tcPr>
        <w:shd w:val="clear" w:color="ffffff" w:fill="c8f1ed"/>
      </w:tcPr>
    </w:tblStylePr>
    <w:tblStylePr w:type="band1Vert">
      <w:tcPr>
        <w:shd w:val="clear" w:color="ffffff" w:fill="c8f1ed"/>
      </w:tcPr>
    </w:tblStylePr>
    <w:tblStylePr w:type="band2Horz">
      <w:rPr>
        <w:rFonts w:ascii="Wingdings" w:hAnsi="Wingdings"/>
        <w:color w:val="28a191"/>
        <w:sz w:val="22"/>
      </w:rPr>
    </w:tblStylePr>
    <w:tblStylePr w:type="firstCol">
      <w:rPr>
        <w:rFonts w:ascii="Wingdings" w:hAnsi="Wingdings"/>
        <w:i/>
        <w:color w:val="28a19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28a19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28a19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28a19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List Table 7 Colorful - Accent 6"/>
    <w:basedOn w:val="887"/>
    <w:uiPriority w:val="99"/>
    <w:pPr>
      <w:spacing w:after="0" w:line="240" w:lineRule="auto"/>
    </w:pPr>
    <w:tblPr>
      <w:tblBorders>
        <w:right w:val="single" w:color="000000" w:sz="4" w:space="0"/>
      </w:tblBorders>
    </w:tblPr>
    <w:tblStylePr w:type="band1Horz">
      <w:rPr>
        <w:rFonts w:ascii="Wingdings" w:hAnsi="Wingdings"/>
        <w:color w:val="c41d35"/>
        <w:sz w:val="22"/>
      </w:rPr>
      <w:tcPr>
        <w:shd w:val="clear" w:color="ffffff" w:fill="f8d1d6"/>
      </w:tcPr>
    </w:tblStylePr>
    <w:tblStylePr w:type="band1Vert">
      <w:tcPr>
        <w:shd w:val="clear" w:color="ffffff" w:fill="f8d1d6"/>
      </w:tcPr>
    </w:tblStylePr>
    <w:tblStylePr w:type="band2Horz">
      <w:rPr>
        <w:rFonts w:ascii="Wingdings" w:hAnsi="Wingdings"/>
        <w:color w:val="c41d35"/>
        <w:sz w:val="22"/>
      </w:rPr>
    </w:tblStylePr>
    <w:tblStylePr w:type="firstCol">
      <w:rPr>
        <w:rFonts w:ascii="Wingdings" w:hAnsi="Wingdings"/>
        <w:i/>
        <w:color w:val="c41d3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c41d3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c41d3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c41d3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Lined - Accent"/>
    <w:basedOn w:val="887"/>
    <w:uiPriority w:val="99"/>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f2f2"/>
      </w:tcPr>
    </w:tblStylePr>
    <w:tblStylePr w:type="band2Vert">
      <w:rPr>
        <w:rFonts w:ascii="Wingdings" w:hAnsi="Wingdings"/>
        <w:color w:val="404040"/>
        <w:sz w:val="22"/>
      </w:rPr>
      <w:tcPr>
        <w:shd w:val="clear" w:color="ffffff" w:fill="f2f2f2"/>
      </w:tcPr>
    </w:tblStylePr>
    <w:tblStylePr w:type="firstCol">
      <w:rPr>
        <w:rFonts w:ascii="Wingdings" w:hAnsi="Wingdings"/>
        <w:color w:val="f2f2f2"/>
        <w:sz w:val="22"/>
      </w:rPr>
      <w:tcPr>
        <w:shd w:val="clear" w:color="ffffff" w:fill="7f7f7f"/>
      </w:tcPr>
    </w:tblStylePr>
    <w:tblStylePr w:type="firstRow">
      <w:rPr>
        <w:rFonts w:ascii="Wingdings" w:hAnsi="Wingdings"/>
        <w:color w:val="f2f2f2"/>
        <w:sz w:val="22"/>
      </w:rPr>
      <w:tcPr>
        <w:shd w:val="clear" w:color="ffffff" w:fill="7f7f7f"/>
      </w:tcPr>
    </w:tblStylePr>
    <w:tblStylePr w:type="lastCol">
      <w:rPr>
        <w:rFonts w:ascii="Wingdings" w:hAnsi="Wingdings"/>
        <w:color w:val="f2f2f2"/>
        <w:sz w:val="22"/>
      </w:rPr>
      <w:tcPr>
        <w:shd w:val="clear" w:color="ffffff" w:fill="7f7f7f"/>
      </w:tcPr>
    </w:tblStylePr>
    <w:tblStylePr w:type="lastRow">
      <w:rPr>
        <w:rFonts w:ascii="Wingdings" w:hAnsi="Wingdings"/>
        <w:color w:val="f2f2f2"/>
        <w:sz w:val="22"/>
      </w:rPr>
      <w:tcPr>
        <w:shd w:val="clear" w:color="ffffff" w:fill="7f7f7f"/>
      </w:tcPr>
    </w:tblStylePr>
  </w:style>
  <w:style w:type="table" w:styleId="1048" w:customStyle="1">
    <w:name w:val="Lined - Accent 1"/>
    <w:basedOn w:val="887"/>
    <w:uiPriority w:val="99"/>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c5d3ee"/>
      </w:tcPr>
    </w:tblStylePr>
    <w:tblStylePr w:type="band2Vert">
      <w:rPr>
        <w:rFonts w:ascii="Wingdings" w:hAnsi="Wingdings"/>
        <w:color w:val="404040"/>
        <w:sz w:val="22"/>
      </w:rPr>
      <w:tcPr>
        <w:shd w:val="clear" w:color="ffffff" w:fill="c5d3ee"/>
      </w:tcPr>
    </w:tblStylePr>
    <w:tblStylePr w:type="firstCol">
      <w:rPr>
        <w:rFonts w:ascii="Wingdings" w:hAnsi="Wingdings"/>
        <w:color w:val="f2f2f2"/>
        <w:sz w:val="22"/>
      </w:rPr>
      <w:tcPr>
        <w:shd w:val="clear" w:color="ffffff" w:fill="5681cf"/>
      </w:tcPr>
    </w:tblStylePr>
    <w:tblStylePr w:type="firstRow">
      <w:rPr>
        <w:rFonts w:ascii="Wingdings" w:hAnsi="Wingdings"/>
        <w:color w:val="f2f2f2"/>
        <w:sz w:val="22"/>
      </w:rPr>
      <w:tcPr>
        <w:shd w:val="clear" w:color="ffffff" w:fill="5681cf"/>
      </w:tcPr>
    </w:tblStylePr>
    <w:tblStylePr w:type="lastCol">
      <w:rPr>
        <w:rFonts w:ascii="Wingdings" w:hAnsi="Wingdings"/>
        <w:color w:val="f2f2f2"/>
        <w:sz w:val="22"/>
      </w:rPr>
      <w:tcPr>
        <w:shd w:val="clear" w:color="ffffff" w:fill="5681cf"/>
      </w:tcPr>
    </w:tblStylePr>
    <w:tblStylePr w:type="lastRow">
      <w:rPr>
        <w:rFonts w:ascii="Wingdings" w:hAnsi="Wingdings"/>
        <w:color w:val="f2f2f2"/>
        <w:sz w:val="22"/>
      </w:rPr>
      <w:tcPr>
        <w:shd w:val="clear" w:color="ffffff" w:fill="5681cf"/>
      </w:tcPr>
    </w:tblStylePr>
  </w:style>
  <w:style w:type="table" w:styleId="1049" w:customStyle="1">
    <w:name w:val="Lined - Accent 2"/>
    <w:basedOn w:val="887"/>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be6d6"/>
      </w:tcPr>
    </w:tblStylePr>
    <w:tblStylePr w:type="band2Vert">
      <w:rPr>
        <w:rFonts w:ascii="Wingdings" w:hAnsi="Wingdings"/>
        <w:color w:val="404040"/>
        <w:sz w:val="22"/>
      </w:rPr>
      <w:tcPr>
        <w:shd w:val="clear" w:color="ffffff" w:fill="fbe6d6"/>
      </w:tcPr>
    </w:tblStylePr>
    <w:tblStylePr w:type="firstCol">
      <w:rPr>
        <w:rFonts w:ascii="Wingdings" w:hAnsi="Wingdings"/>
        <w:color w:val="f2f2f2"/>
        <w:sz w:val="22"/>
      </w:rPr>
      <w:tcPr>
        <w:shd w:val="clear" w:color="ffffff" w:fill="f4b383"/>
      </w:tcPr>
    </w:tblStylePr>
    <w:tblStylePr w:type="firstRow">
      <w:rPr>
        <w:rFonts w:ascii="Wingdings" w:hAnsi="Wingdings"/>
        <w:color w:val="f2f2f2"/>
        <w:sz w:val="22"/>
      </w:rPr>
      <w:tcPr>
        <w:shd w:val="clear" w:color="ffffff" w:fill="f4b383"/>
      </w:tcPr>
    </w:tblStylePr>
    <w:tblStylePr w:type="lastCol">
      <w:rPr>
        <w:rFonts w:ascii="Wingdings" w:hAnsi="Wingdings"/>
        <w:color w:val="f2f2f2"/>
        <w:sz w:val="22"/>
      </w:rPr>
      <w:tcPr>
        <w:shd w:val="clear" w:color="ffffff" w:fill="f4b383"/>
      </w:tcPr>
    </w:tblStylePr>
    <w:tblStylePr w:type="lastRow">
      <w:rPr>
        <w:rFonts w:ascii="Wingdings" w:hAnsi="Wingdings"/>
        <w:color w:val="f2f2f2"/>
        <w:sz w:val="22"/>
      </w:rPr>
      <w:tcPr>
        <w:shd w:val="clear" w:color="ffffff" w:fill="f4b383"/>
      </w:tcPr>
    </w:tblStylePr>
  </w:style>
  <w:style w:type="table" w:styleId="1050" w:customStyle="1">
    <w:name w:val="Lined - Accent 3"/>
    <w:basedOn w:val="887"/>
    <w:uiPriority w:val="99"/>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ef1c9"/>
      </w:tcPr>
    </w:tblStylePr>
    <w:tblStylePr w:type="band2Vert">
      <w:rPr>
        <w:rFonts w:ascii="Wingdings" w:hAnsi="Wingdings"/>
        <w:color w:val="404040"/>
        <w:sz w:val="22"/>
      </w:rPr>
      <w:tcPr>
        <w:shd w:val="clear" w:color="ffffff" w:fill="fef1c9"/>
      </w:tcPr>
    </w:tblStylePr>
    <w:tblStylePr w:type="firstCol">
      <w:rPr>
        <w:rFonts w:ascii="Wingdings" w:hAnsi="Wingdings"/>
        <w:color w:val="f2f2f2"/>
        <w:sz w:val="22"/>
      </w:rPr>
      <w:tcPr>
        <w:shd w:val="clear" w:color="ffffff" w:fill="f3b802"/>
      </w:tcPr>
    </w:tblStylePr>
    <w:tblStylePr w:type="firstRow">
      <w:rPr>
        <w:rFonts w:ascii="Wingdings" w:hAnsi="Wingdings"/>
        <w:color w:val="f2f2f2"/>
        <w:sz w:val="22"/>
      </w:rPr>
      <w:tcPr>
        <w:shd w:val="clear" w:color="ffffff" w:fill="f3b802"/>
      </w:tcPr>
    </w:tblStylePr>
    <w:tblStylePr w:type="lastCol">
      <w:rPr>
        <w:rFonts w:ascii="Wingdings" w:hAnsi="Wingdings"/>
        <w:color w:val="f2f2f2"/>
        <w:sz w:val="22"/>
      </w:rPr>
      <w:tcPr>
        <w:shd w:val="clear" w:color="ffffff" w:fill="f3b802"/>
      </w:tcPr>
    </w:tblStylePr>
    <w:tblStylePr w:type="lastRow">
      <w:rPr>
        <w:rFonts w:ascii="Wingdings" w:hAnsi="Wingdings"/>
        <w:color w:val="f2f2f2"/>
        <w:sz w:val="22"/>
      </w:rPr>
      <w:tcPr>
        <w:shd w:val="clear" w:color="ffffff" w:fill="f3b802"/>
      </w:tcPr>
    </w:tblStylePr>
  </w:style>
  <w:style w:type="table" w:styleId="1051" w:customStyle="1">
    <w:name w:val="Lined - Accent 4"/>
    <w:basedOn w:val="887"/>
    <w:uiPriority w:val="99"/>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3f1d8"/>
      </w:tcPr>
    </w:tblStylePr>
    <w:tblStylePr w:type="band2Vert">
      <w:rPr>
        <w:rFonts w:ascii="Wingdings" w:hAnsi="Wingdings"/>
        <w:color w:val="404040"/>
        <w:sz w:val="22"/>
      </w:rPr>
      <w:tcPr>
        <w:shd w:val="clear" w:color="ffffff" w:fill="e3f1d8"/>
      </w:tcPr>
    </w:tblStylePr>
    <w:tblStylePr w:type="firstCol">
      <w:rPr>
        <w:rFonts w:ascii="Wingdings" w:hAnsi="Wingdings"/>
        <w:color w:val="f2f2f2"/>
        <w:sz w:val="22"/>
      </w:rPr>
      <w:tcPr>
        <w:shd w:val="clear" w:color="ffffff" w:fill="acd78c"/>
      </w:tcPr>
    </w:tblStylePr>
    <w:tblStylePr w:type="firstRow">
      <w:rPr>
        <w:rFonts w:ascii="Wingdings" w:hAnsi="Wingdings"/>
        <w:color w:val="f2f2f2"/>
        <w:sz w:val="22"/>
      </w:rPr>
      <w:tcPr>
        <w:shd w:val="clear" w:color="ffffff" w:fill="acd78c"/>
      </w:tcPr>
    </w:tblStylePr>
    <w:tblStylePr w:type="lastCol">
      <w:rPr>
        <w:rFonts w:ascii="Wingdings" w:hAnsi="Wingdings"/>
        <w:color w:val="f2f2f2"/>
        <w:sz w:val="22"/>
      </w:rPr>
      <w:tcPr>
        <w:shd w:val="clear" w:color="ffffff" w:fill="acd78c"/>
      </w:tcPr>
    </w:tblStylePr>
    <w:tblStylePr w:type="lastRow">
      <w:rPr>
        <w:rFonts w:ascii="Wingdings" w:hAnsi="Wingdings"/>
        <w:color w:val="f2f2f2"/>
        <w:sz w:val="22"/>
      </w:rPr>
      <w:tcPr>
        <w:shd w:val="clear" w:color="ffffff" w:fill="acd78c"/>
      </w:tcPr>
    </w:tblStylePr>
  </w:style>
  <w:style w:type="table" w:styleId="1052" w:customStyle="1">
    <w:name w:val="Lined - Accent 5"/>
    <w:basedOn w:val="887"/>
    <w:uiPriority w:val="99"/>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d2f3f0"/>
      </w:tcPr>
    </w:tblStylePr>
    <w:tblStylePr w:type="band2Vert">
      <w:rPr>
        <w:rFonts w:ascii="Wingdings" w:hAnsi="Wingdings"/>
        <w:color w:val="404040"/>
        <w:sz w:val="22"/>
      </w:rPr>
      <w:tcPr>
        <w:shd w:val="clear" w:color="ffffff" w:fill="d2f3f0"/>
      </w:tcPr>
    </w:tblStylePr>
    <w:tblStylePr w:type="firstCol">
      <w:rPr>
        <w:rFonts w:ascii="Wingdings" w:hAnsi="Wingdings"/>
        <w:color w:val="f2f2f2"/>
        <w:sz w:val="22"/>
      </w:rPr>
      <w:tcPr>
        <w:shd w:val="clear" w:color="ffffff" w:fill="30c0b4"/>
      </w:tcPr>
    </w:tblStylePr>
    <w:tblStylePr w:type="firstRow">
      <w:rPr>
        <w:rFonts w:ascii="Wingdings" w:hAnsi="Wingdings"/>
        <w:color w:val="f2f2f2"/>
        <w:sz w:val="22"/>
      </w:rPr>
      <w:tcPr>
        <w:shd w:val="clear" w:color="ffffff" w:fill="30c0b4"/>
      </w:tcPr>
    </w:tblStylePr>
    <w:tblStylePr w:type="lastCol">
      <w:rPr>
        <w:rFonts w:ascii="Wingdings" w:hAnsi="Wingdings"/>
        <w:color w:val="f2f2f2"/>
        <w:sz w:val="22"/>
      </w:rPr>
      <w:tcPr>
        <w:shd w:val="clear" w:color="ffffff" w:fill="30c0b4"/>
      </w:tcPr>
    </w:tblStylePr>
    <w:tblStylePr w:type="lastRow">
      <w:rPr>
        <w:rFonts w:ascii="Wingdings" w:hAnsi="Wingdings"/>
        <w:color w:val="f2f2f2"/>
        <w:sz w:val="22"/>
      </w:rPr>
      <w:tcPr>
        <w:shd w:val="clear" w:color="ffffff" w:fill="30c0b4"/>
      </w:tcPr>
    </w:tblStylePr>
  </w:style>
  <w:style w:type="table" w:styleId="1053" w:customStyle="1">
    <w:name w:val="Lined - Accent 6"/>
    <w:basedOn w:val="887"/>
    <w:uiPriority w:val="99"/>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9dade"/>
      </w:tcPr>
    </w:tblStylePr>
    <w:tblStylePr w:type="band2Vert">
      <w:rPr>
        <w:rFonts w:ascii="Wingdings" w:hAnsi="Wingdings"/>
        <w:color w:val="404040"/>
        <w:sz w:val="22"/>
      </w:rPr>
      <w:tcPr>
        <w:shd w:val="clear" w:color="ffffff" w:fill="f9dade"/>
      </w:tcPr>
    </w:tblStylePr>
    <w:tblStylePr w:type="firstCol">
      <w:rPr>
        <w:rFonts w:ascii="Wingdings" w:hAnsi="Wingdings"/>
        <w:color w:val="f2f2f2"/>
        <w:sz w:val="22"/>
      </w:rPr>
      <w:tcPr>
        <w:shd w:val="clear" w:color="ffffff" w:fill="e54c5e"/>
      </w:tcPr>
    </w:tblStylePr>
    <w:tblStylePr w:type="firstRow">
      <w:rPr>
        <w:rFonts w:ascii="Wingdings" w:hAnsi="Wingdings"/>
        <w:color w:val="f2f2f2"/>
        <w:sz w:val="22"/>
      </w:rPr>
      <w:tcPr>
        <w:shd w:val="clear" w:color="ffffff" w:fill="e54c5e"/>
      </w:tcPr>
    </w:tblStylePr>
    <w:tblStylePr w:type="lastCol">
      <w:rPr>
        <w:rFonts w:ascii="Wingdings" w:hAnsi="Wingdings"/>
        <w:color w:val="f2f2f2"/>
        <w:sz w:val="22"/>
      </w:rPr>
      <w:tcPr>
        <w:shd w:val="clear" w:color="ffffff" w:fill="e54c5e"/>
      </w:tcPr>
    </w:tblStylePr>
    <w:tblStylePr w:type="lastRow">
      <w:rPr>
        <w:rFonts w:ascii="Wingdings" w:hAnsi="Wingdings"/>
        <w:color w:val="f2f2f2"/>
        <w:sz w:val="22"/>
      </w:rPr>
      <w:tcPr>
        <w:shd w:val="clear" w:color="ffffff" w:fill="e54c5e"/>
      </w:tcPr>
    </w:tblStylePr>
  </w:style>
  <w:style w:type="table" w:styleId="1054" w:customStyle="1">
    <w:name w:val="Bordered &amp; Lined - Accent"/>
    <w:basedOn w:val="887"/>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f2f2"/>
      </w:tcPr>
    </w:tblStylePr>
    <w:tblStylePr w:type="band2Vert">
      <w:rPr>
        <w:rFonts w:ascii="Wingdings" w:hAnsi="Wingdings"/>
        <w:color w:val="404040"/>
        <w:sz w:val="22"/>
      </w:rPr>
      <w:tcPr>
        <w:shd w:val="clear" w:color="ffffff" w:fill="f2f2f2"/>
      </w:tcPr>
    </w:tblStylePr>
    <w:tblStylePr w:type="firstCol">
      <w:rPr>
        <w:rFonts w:ascii="Wingdings" w:hAnsi="Wingdings"/>
        <w:color w:val="f2f2f2"/>
        <w:sz w:val="22"/>
      </w:rPr>
      <w:tcPr>
        <w:shd w:val="clear" w:color="ffffff" w:fill="7f7f7f"/>
      </w:tcPr>
    </w:tblStylePr>
    <w:tblStylePr w:type="firstRow">
      <w:rPr>
        <w:rFonts w:ascii="Wingdings" w:hAnsi="Wingdings"/>
        <w:color w:val="f2f2f2"/>
        <w:sz w:val="22"/>
      </w:rPr>
      <w:tcPr>
        <w:shd w:val="clear" w:color="ffffff" w:fill="7f7f7f"/>
      </w:tcPr>
    </w:tblStylePr>
    <w:tblStylePr w:type="lastCol">
      <w:rPr>
        <w:rFonts w:ascii="Wingdings" w:hAnsi="Wingdings"/>
        <w:color w:val="f2f2f2"/>
        <w:sz w:val="22"/>
      </w:rPr>
      <w:tcPr>
        <w:shd w:val="clear" w:color="ffffff" w:fill="7f7f7f"/>
      </w:tcPr>
    </w:tblStylePr>
    <w:tblStylePr w:type="lastRow">
      <w:rPr>
        <w:rFonts w:ascii="Wingdings" w:hAnsi="Wingdings"/>
        <w:color w:val="f2f2f2"/>
        <w:sz w:val="22"/>
      </w:rPr>
      <w:tcPr>
        <w:shd w:val="clear" w:color="ffffff" w:fill="7f7f7f"/>
      </w:tcPr>
    </w:tblStylePr>
  </w:style>
  <w:style w:type="table" w:styleId="1055" w:customStyle="1">
    <w:name w:val="Bordered &amp; Lined - Accent 1"/>
    <w:basedOn w:val="887"/>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c5d3ee"/>
      </w:tcPr>
    </w:tblStylePr>
    <w:tblStylePr w:type="band2Vert">
      <w:rPr>
        <w:rFonts w:ascii="Wingdings" w:hAnsi="Wingdings"/>
        <w:color w:val="404040"/>
        <w:sz w:val="22"/>
      </w:rPr>
      <w:tcPr>
        <w:shd w:val="clear" w:color="ffffff" w:fill="c5d3ee"/>
      </w:tcPr>
    </w:tblStylePr>
    <w:tblStylePr w:type="firstCol">
      <w:rPr>
        <w:rFonts w:ascii="Wingdings" w:hAnsi="Wingdings"/>
        <w:color w:val="f2f2f2"/>
        <w:sz w:val="22"/>
      </w:rPr>
      <w:tcPr>
        <w:shd w:val="clear" w:color="ffffff" w:fill="5681cf"/>
      </w:tcPr>
    </w:tblStylePr>
    <w:tblStylePr w:type="firstRow">
      <w:rPr>
        <w:rFonts w:ascii="Wingdings" w:hAnsi="Wingdings"/>
        <w:color w:val="f2f2f2"/>
        <w:sz w:val="22"/>
      </w:rPr>
      <w:tcPr>
        <w:shd w:val="clear" w:color="ffffff" w:fill="5681cf"/>
      </w:tcPr>
    </w:tblStylePr>
    <w:tblStylePr w:type="lastCol">
      <w:rPr>
        <w:rFonts w:ascii="Wingdings" w:hAnsi="Wingdings"/>
        <w:color w:val="f2f2f2"/>
        <w:sz w:val="22"/>
      </w:rPr>
      <w:tcPr>
        <w:shd w:val="clear" w:color="ffffff" w:fill="5681cf"/>
      </w:tcPr>
    </w:tblStylePr>
    <w:tblStylePr w:type="lastRow">
      <w:rPr>
        <w:rFonts w:ascii="Wingdings" w:hAnsi="Wingdings"/>
        <w:color w:val="f2f2f2"/>
        <w:sz w:val="22"/>
      </w:rPr>
      <w:tcPr>
        <w:shd w:val="clear" w:color="ffffff" w:fill="5681cf"/>
      </w:tcPr>
    </w:tblStylePr>
  </w:style>
  <w:style w:type="table" w:styleId="1056" w:customStyle="1">
    <w:name w:val="Bordered &amp; Lined - Accent 2"/>
    <w:basedOn w:val="887"/>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be6d6"/>
      </w:tcPr>
    </w:tblStylePr>
    <w:tblStylePr w:type="band2Vert">
      <w:rPr>
        <w:rFonts w:ascii="Wingdings" w:hAnsi="Wingdings"/>
        <w:color w:val="404040"/>
        <w:sz w:val="22"/>
      </w:rPr>
      <w:tcPr>
        <w:shd w:val="clear" w:color="ffffff" w:fill="fbe6d6"/>
      </w:tcPr>
    </w:tblStylePr>
    <w:tblStylePr w:type="firstCol">
      <w:rPr>
        <w:rFonts w:ascii="Wingdings" w:hAnsi="Wingdings"/>
        <w:color w:val="f2f2f2"/>
        <w:sz w:val="22"/>
      </w:rPr>
      <w:tcPr>
        <w:shd w:val="clear" w:color="ffffff" w:fill="f4b383"/>
      </w:tcPr>
    </w:tblStylePr>
    <w:tblStylePr w:type="firstRow">
      <w:rPr>
        <w:rFonts w:ascii="Wingdings" w:hAnsi="Wingdings"/>
        <w:color w:val="f2f2f2"/>
        <w:sz w:val="22"/>
      </w:rPr>
      <w:tcPr>
        <w:shd w:val="clear" w:color="ffffff" w:fill="f4b383"/>
      </w:tcPr>
    </w:tblStylePr>
    <w:tblStylePr w:type="lastCol">
      <w:rPr>
        <w:rFonts w:ascii="Wingdings" w:hAnsi="Wingdings"/>
        <w:color w:val="f2f2f2"/>
        <w:sz w:val="22"/>
      </w:rPr>
      <w:tcPr>
        <w:shd w:val="clear" w:color="ffffff" w:fill="f4b383"/>
      </w:tcPr>
    </w:tblStylePr>
    <w:tblStylePr w:type="lastRow">
      <w:rPr>
        <w:rFonts w:ascii="Wingdings" w:hAnsi="Wingdings"/>
        <w:color w:val="f2f2f2"/>
        <w:sz w:val="22"/>
      </w:rPr>
      <w:tcPr>
        <w:shd w:val="clear" w:color="ffffff" w:fill="f4b383"/>
      </w:tcPr>
    </w:tblStylePr>
  </w:style>
  <w:style w:type="table" w:styleId="1057" w:customStyle="1">
    <w:name w:val="Bordered &amp; Lined - Accent 3"/>
    <w:basedOn w:val="887"/>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ef1c9"/>
      </w:tcPr>
    </w:tblStylePr>
    <w:tblStylePr w:type="band2Vert">
      <w:rPr>
        <w:rFonts w:ascii="Wingdings" w:hAnsi="Wingdings"/>
        <w:color w:val="404040"/>
        <w:sz w:val="22"/>
      </w:rPr>
      <w:tcPr>
        <w:shd w:val="clear" w:color="ffffff" w:fill="fef1c9"/>
      </w:tcPr>
    </w:tblStylePr>
    <w:tblStylePr w:type="firstCol">
      <w:rPr>
        <w:rFonts w:ascii="Wingdings" w:hAnsi="Wingdings"/>
        <w:color w:val="f2f2f2"/>
        <w:sz w:val="22"/>
      </w:rPr>
      <w:tcPr>
        <w:shd w:val="clear" w:color="ffffff" w:fill="f3b802"/>
      </w:tcPr>
    </w:tblStylePr>
    <w:tblStylePr w:type="firstRow">
      <w:rPr>
        <w:rFonts w:ascii="Wingdings" w:hAnsi="Wingdings"/>
        <w:color w:val="f2f2f2"/>
        <w:sz w:val="22"/>
      </w:rPr>
      <w:tcPr>
        <w:shd w:val="clear" w:color="ffffff" w:fill="f3b802"/>
      </w:tcPr>
    </w:tblStylePr>
    <w:tblStylePr w:type="lastCol">
      <w:rPr>
        <w:rFonts w:ascii="Wingdings" w:hAnsi="Wingdings"/>
        <w:color w:val="f2f2f2"/>
        <w:sz w:val="22"/>
      </w:rPr>
      <w:tcPr>
        <w:shd w:val="clear" w:color="ffffff" w:fill="f3b802"/>
      </w:tcPr>
    </w:tblStylePr>
    <w:tblStylePr w:type="lastRow">
      <w:rPr>
        <w:rFonts w:ascii="Wingdings" w:hAnsi="Wingdings"/>
        <w:color w:val="f2f2f2"/>
        <w:sz w:val="22"/>
      </w:rPr>
      <w:tcPr>
        <w:shd w:val="clear" w:color="ffffff" w:fill="f3b802"/>
      </w:tcPr>
    </w:tblStylePr>
  </w:style>
  <w:style w:type="table" w:styleId="1058" w:customStyle="1">
    <w:name w:val="Bordered &amp; Lined - Accent 4"/>
    <w:basedOn w:val="887"/>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3f1d8"/>
      </w:tcPr>
    </w:tblStylePr>
    <w:tblStylePr w:type="band2Vert">
      <w:rPr>
        <w:rFonts w:ascii="Wingdings" w:hAnsi="Wingdings"/>
        <w:color w:val="404040"/>
        <w:sz w:val="22"/>
      </w:rPr>
      <w:tcPr>
        <w:shd w:val="clear" w:color="ffffff" w:fill="e3f1d8"/>
      </w:tcPr>
    </w:tblStylePr>
    <w:tblStylePr w:type="firstCol">
      <w:rPr>
        <w:rFonts w:ascii="Wingdings" w:hAnsi="Wingdings"/>
        <w:color w:val="f2f2f2"/>
        <w:sz w:val="22"/>
      </w:rPr>
      <w:tcPr>
        <w:shd w:val="clear" w:color="ffffff" w:fill="acd78c"/>
      </w:tcPr>
    </w:tblStylePr>
    <w:tblStylePr w:type="firstRow">
      <w:rPr>
        <w:rFonts w:ascii="Wingdings" w:hAnsi="Wingdings"/>
        <w:color w:val="f2f2f2"/>
        <w:sz w:val="22"/>
      </w:rPr>
      <w:tcPr>
        <w:shd w:val="clear" w:color="ffffff" w:fill="acd78c"/>
      </w:tcPr>
    </w:tblStylePr>
    <w:tblStylePr w:type="lastCol">
      <w:rPr>
        <w:rFonts w:ascii="Wingdings" w:hAnsi="Wingdings"/>
        <w:color w:val="f2f2f2"/>
        <w:sz w:val="22"/>
      </w:rPr>
      <w:tcPr>
        <w:shd w:val="clear" w:color="ffffff" w:fill="acd78c"/>
      </w:tcPr>
    </w:tblStylePr>
    <w:tblStylePr w:type="lastRow">
      <w:rPr>
        <w:rFonts w:ascii="Wingdings" w:hAnsi="Wingdings"/>
        <w:color w:val="f2f2f2"/>
        <w:sz w:val="22"/>
      </w:rPr>
      <w:tcPr>
        <w:shd w:val="clear" w:color="ffffff" w:fill="acd78c"/>
      </w:tcPr>
    </w:tblStylePr>
  </w:style>
  <w:style w:type="table" w:styleId="1059" w:customStyle="1">
    <w:name w:val="Bordered &amp; Lined - Accent 5"/>
    <w:basedOn w:val="887"/>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d2f3f0"/>
      </w:tcPr>
    </w:tblStylePr>
    <w:tblStylePr w:type="band2Vert">
      <w:rPr>
        <w:rFonts w:ascii="Wingdings" w:hAnsi="Wingdings"/>
        <w:color w:val="404040"/>
        <w:sz w:val="22"/>
      </w:rPr>
      <w:tcPr>
        <w:shd w:val="clear" w:color="ffffff" w:fill="d2f3f0"/>
      </w:tcPr>
    </w:tblStylePr>
    <w:tblStylePr w:type="firstCol">
      <w:rPr>
        <w:rFonts w:ascii="Wingdings" w:hAnsi="Wingdings"/>
        <w:color w:val="f2f2f2"/>
        <w:sz w:val="22"/>
      </w:rPr>
      <w:tcPr>
        <w:shd w:val="clear" w:color="ffffff" w:fill="30c0b4"/>
      </w:tcPr>
    </w:tblStylePr>
    <w:tblStylePr w:type="firstRow">
      <w:rPr>
        <w:rFonts w:ascii="Wingdings" w:hAnsi="Wingdings"/>
        <w:color w:val="f2f2f2"/>
        <w:sz w:val="22"/>
      </w:rPr>
      <w:tcPr>
        <w:shd w:val="clear" w:color="ffffff" w:fill="30c0b4"/>
      </w:tcPr>
    </w:tblStylePr>
    <w:tblStylePr w:type="lastCol">
      <w:rPr>
        <w:rFonts w:ascii="Wingdings" w:hAnsi="Wingdings"/>
        <w:color w:val="f2f2f2"/>
        <w:sz w:val="22"/>
      </w:rPr>
      <w:tcPr>
        <w:shd w:val="clear" w:color="ffffff" w:fill="30c0b4"/>
      </w:tcPr>
    </w:tblStylePr>
    <w:tblStylePr w:type="lastRow">
      <w:rPr>
        <w:rFonts w:ascii="Wingdings" w:hAnsi="Wingdings"/>
        <w:color w:val="f2f2f2"/>
        <w:sz w:val="22"/>
      </w:rPr>
      <w:tcPr>
        <w:shd w:val="clear" w:color="ffffff" w:fill="30c0b4"/>
      </w:tcPr>
    </w:tblStylePr>
  </w:style>
  <w:style w:type="table" w:styleId="1060" w:customStyle="1">
    <w:name w:val="Bordered &amp; Lined - Accent 6"/>
    <w:basedOn w:val="887"/>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9dade"/>
      </w:tcPr>
    </w:tblStylePr>
    <w:tblStylePr w:type="band2Vert">
      <w:rPr>
        <w:rFonts w:ascii="Wingdings" w:hAnsi="Wingdings"/>
        <w:color w:val="404040"/>
        <w:sz w:val="22"/>
      </w:rPr>
      <w:tcPr>
        <w:shd w:val="clear" w:color="ffffff" w:fill="f9dade"/>
      </w:tcPr>
    </w:tblStylePr>
    <w:tblStylePr w:type="firstCol">
      <w:rPr>
        <w:rFonts w:ascii="Wingdings" w:hAnsi="Wingdings"/>
        <w:color w:val="f2f2f2"/>
        <w:sz w:val="22"/>
      </w:rPr>
      <w:tcPr>
        <w:shd w:val="clear" w:color="ffffff" w:fill="e54c5e"/>
      </w:tcPr>
    </w:tblStylePr>
    <w:tblStylePr w:type="firstRow">
      <w:rPr>
        <w:rFonts w:ascii="Wingdings" w:hAnsi="Wingdings"/>
        <w:color w:val="f2f2f2"/>
        <w:sz w:val="22"/>
      </w:rPr>
      <w:tcPr>
        <w:shd w:val="clear" w:color="ffffff" w:fill="e54c5e"/>
      </w:tcPr>
    </w:tblStylePr>
    <w:tblStylePr w:type="lastCol">
      <w:rPr>
        <w:rFonts w:ascii="Wingdings" w:hAnsi="Wingdings"/>
        <w:color w:val="f2f2f2"/>
        <w:sz w:val="22"/>
      </w:rPr>
      <w:tcPr>
        <w:shd w:val="clear" w:color="ffffff" w:fill="e54c5e"/>
      </w:tcPr>
    </w:tblStylePr>
    <w:tblStylePr w:type="lastRow">
      <w:rPr>
        <w:rFonts w:ascii="Wingdings" w:hAnsi="Wingdings"/>
        <w:color w:val="f2f2f2"/>
        <w:sz w:val="22"/>
      </w:rPr>
      <w:tcPr>
        <w:shd w:val="clear" w:color="ffffff" w:fill="e54c5e"/>
      </w:tcPr>
    </w:tblStylePr>
  </w:style>
  <w:style w:type="table" w:styleId="1061" w:customStyle="1">
    <w:name w:val="Bordered"/>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2" w:customStyle="1">
    <w:name w:val="Bordered - Accent 1"/>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3" w:customStyle="1">
    <w:name w:val="Bordered - Accent 2"/>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4" w:customStyle="1">
    <w:name w:val="Bordered - Accent 3"/>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Bordered - Accent 4"/>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Bordered - Accent 5"/>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7" w:customStyle="1">
    <w:name w:val="Bordered - Accent 6"/>
    <w:basedOn w:val="887"/>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68" w:customStyle="1">
    <w:name w:val="_Style 185"/>
    <w:uiPriority w:val="39"/>
    <w:unhideWhenUsed/>
    <w:rPr>
      <w:rFonts w:hint="default" w:ascii="Times New Roman" w:hAnsi="Times New Roman" w:eastAsia="宋体" w:cs="Times New Roman"/>
    </w:rPr>
  </w:style>
  <w:style w:type="paragraph" w:styleId="1069" w:customStyle="1">
    <w:name w:val="Heading 1"/>
    <w:basedOn w:val="883"/>
    <w:next w:val="883"/>
    <w:uiPriority w:val="9"/>
    <w:qFormat/>
    <w:pPr>
      <w:keepLines/>
      <w:keepNext/>
      <w:spacing w:before="340" w:after="330" w:line="578" w:lineRule="auto"/>
      <w:outlineLvl w:val="0"/>
    </w:pPr>
    <w:rPr>
      <w:b/>
      <w:bCs/>
      <w:sz w:val="44"/>
      <w:szCs w:val="44"/>
    </w:rPr>
  </w:style>
  <w:style w:type="paragraph" w:styleId="1070" w:customStyle="1">
    <w:name w:val="Heading 2"/>
    <w:basedOn w:val="883"/>
    <w:next w:val="8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1" w:customStyle="1">
    <w:name w:val="Heading 3"/>
    <w:basedOn w:val="883"/>
    <w:next w:val="883"/>
    <w:uiPriority w:val="0"/>
    <w:unhideWhenUsed/>
    <w:qFormat/>
    <w:pPr>
      <w:keepLines/>
      <w:keepNext/>
      <w:spacing w:before="260" w:after="260" w:line="416" w:lineRule="auto"/>
      <w:outlineLvl w:val="2"/>
    </w:pPr>
    <w:rPr>
      <w:b/>
      <w:bCs/>
      <w:sz w:val="32"/>
      <w:szCs w:val="32"/>
    </w:rPr>
  </w:style>
  <w:style w:type="paragraph" w:styleId="1072" w:customStyle="1">
    <w:name w:val="Heading 4"/>
    <w:basedOn w:val="883"/>
    <w:next w:val="883"/>
    <w:uiPriority w:val="9"/>
    <w:unhideWhenUsed/>
    <w:qFormat/>
    <w:pPr>
      <w:keepLines/>
      <w:keepNext/>
      <w:spacing w:before="280" w:after="290" w:line="376" w:lineRule="auto"/>
      <w:outlineLvl w:val="3"/>
    </w:pPr>
    <w:rPr>
      <w:rFonts w:ascii="Calibri Light" w:hAnsi="Calibri Light" w:eastAsia="Arial" w:cs="Arial"/>
      <w:b/>
      <w:bCs/>
      <w:sz w:val="28"/>
      <w:szCs w:val="28"/>
    </w:rPr>
  </w:style>
  <w:style w:type="paragraph" w:styleId="1073" w:customStyle="1">
    <w:name w:val="Footer"/>
    <w:basedOn w:val="883"/>
    <w:uiPriority w:val="99"/>
    <w:unhideWhenUsed/>
    <w:qFormat/>
    <w:pPr>
      <w:jc w:val="left"/>
      <w:tabs>
        <w:tab w:val="center" w:pos="4153" w:leader="none"/>
        <w:tab w:val="right" w:pos="8306" w:leader="none"/>
      </w:tabs>
    </w:pPr>
    <w:rPr>
      <w:sz w:val="18"/>
      <w:szCs w:val="18"/>
    </w:rPr>
  </w:style>
  <w:style w:type="paragraph" w:styleId="1074" w:customStyle="1">
    <w:name w:val="Header"/>
    <w:basedOn w:val="8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75" w:customStyle="1">
    <w:name w:val="索引 41"/>
    <w:basedOn w:val="883"/>
    <w:next w:val="883"/>
    <w:uiPriority w:val="99"/>
    <w:unhideWhenUsed/>
    <w:qFormat/>
    <w:pPr>
      <w:ind w:left="600"/>
      <w:spacing w:before="100" w:beforeAutospacing="1" w:after="100" w:afterAutospacing="1"/>
    </w:pPr>
    <w:rPr>
      <w:rFonts w:ascii="宋体"/>
      <w:b/>
      <w:bCs/>
      <w:position w:val="-10"/>
      <w:sz w:val="24"/>
      <w:szCs w:val="22"/>
    </w:rPr>
  </w:style>
  <w:style w:type="paragraph" w:styleId="1076" w:customStyle="1">
    <w:name w:val="正文文本首行缩进 21"/>
    <w:basedOn w:val="1077"/>
    <w:next w:val="1079"/>
    <w:uiPriority w:val="0"/>
    <w:qFormat/>
    <w:pPr>
      <w:ind w:firstLine="420"/>
      <w:spacing w:line="360" w:lineRule="auto"/>
    </w:pPr>
    <w:rPr>
      <w:rFonts w:ascii="宋体" w:hAnsi="宋体" w:eastAsia="宋体"/>
      <w:sz w:val="21"/>
      <w:szCs w:val="20"/>
    </w:rPr>
  </w:style>
  <w:style w:type="paragraph" w:styleId="1077" w:customStyle="1">
    <w:name w:val="正文文本缩进1"/>
    <w:basedOn w:val="883"/>
    <w:next w:val="1078"/>
    <w:uiPriority w:val="99"/>
    <w:qFormat/>
    <w:pPr>
      <w:ind w:firstLine="645"/>
    </w:pPr>
    <w:rPr>
      <w:rFonts w:ascii="楷体_GB2312" w:eastAsia="楷体_GB2312"/>
      <w:sz w:val="32"/>
      <w:szCs w:val="32"/>
    </w:rPr>
  </w:style>
  <w:style w:type="paragraph" w:styleId="1078" w:customStyle="1">
    <w:name w:val="寄信人地址1"/>
    <w:basedOn w:val="883"/>
    <w:uiPriority w:val="0"/>
    <w:qFormat/>
    <w:rPr>
      <w:rFonts w:ascii="Arial" w:hAnsi="Arial"/>
    </w:rPr>
  </w:style>
  <w:style w:type="paragraph" w:styleId="1079" w:customStyle="1">
    <w:name w:val="正文缩进1"/>
    <w:basedOn w:val="883"/>
    <w:uiPriority w:val="0"/>
    <w:qFormat/>
    <w:pPr>
      <w:ind w:firstLine="420"/>
    </w:pPr>
  </w:style>
  <w:style w:type="paragraph" w:styleId="1080" w:customStyle="1">
    <w:name w:val="标题 11"/>
    <w:basedOn w:val="883"/>
    <w:next w:val="883"/>
    <w:uiPriority w:val="9"/>
    <w:qFormat/>
    <w:pPr>
      <w:jc w:val="center"/>
      <w:keepNext/>
      <w:outlineLvl w:val="0"/>
    </w:pPr>
    <w:rPr>
      <w:rFonts w:ascii="楷体_GB2312" w:eastAsia="楷体_GB2312"/>
      <w:sz w:val="28"/>
      <w:szCs w:val="28"/>
    </w:rPr>
  </w:style>
  <w:style w:type="paragraph" w:styleId="1081" w:customStyle="1">
    <w:name w:val="Default"/>
    <w:uiPriority w:val="0"/>
    <w:qFormat/>
    <w:pPr>
      <w:widowControl w:val="off"/>
    </w:pPr>
    <w:rPr>
      <w:rFonts w:hint="default" w:ascii="仿宋_GB2312" w:hAnsi="Times New Roman" w:eastAsia="仿宋_GB2312" w:cs="仿宋_GB2312"/>
      <w:color w:val="000000"/>
      <w:sz w:val="24"/>
      <w:szCs w:val="24"/>
      <w:lang w:eastAsia="zh-CN"/>
    </w:rPr>
  </w:style>
  <w:style w:type="paragraph" w:styleId="1082" w:customStyle="1">
    <w:name w:val="标题 21"/>
    <w:basedOn w:val="883"/>
    <w:next w:val="1079"/>
    <w:uiPriority w:val="9"/>
    <w:qFormat/>
    <w:pPr>
      <w:jc w:val="center"/>
      <w:keepLines/>
      <w:keepNext/>
      <w:spacing w:before="260" w:after="260" w:line="416" w:lineRule="auto"/>
      <w:outlineLvl w:val="1"/>
    </w:pPr>
    <w:rPr>
      <w:rFonts w:ascii="Arial" w:hAnsi="Arial" w:eastAsia="幼圆"/>
      <w:b/>
      <w:bCs/>
      <w:sz w:val="44"/>
      <w:szCs w:val="44"/>
    </w:rPr>
  </w:style>
  <w:style w:type="paragraph" w:styleId="1083" w:customStyle="1">
    <w:name w:val="标题 31"/>
    <w:basedOn w:val="883"/>
    <w:next w:val="1079"/>
    <w:uiPriority w:val="0"/>
    <w:qFormat/>
    <w:pPr>
      <w:keepLines/>
      <w:keepNext/>
      <w:spacing w:before="260" w:after="260" w:line="416" w:lineRule="auto"/>
      <w:outlineLvl w:val="2"/>
    </w:pPr>
    <w:rPr>
      <w:b/>
      <w:bCs/>
      <w:sz w:val="32"/>
      <w:szCs w:val="32"/>
    </w:rPr>
  </w:style>
  <w:style w:type="paragraph" w:styleId="1084" w:customStyle="1">
    <w:name w:val="标题 41"/>
    <w:basedOn w:val="883"/>
    <w:next w:val="1079"/>
    <w:uiPriority w:val="9"/>
    <w:qFormat/>
    <w:pPr>
      <w:keepLines/>
      <w:keepNext/>
      <w:spacing w:before="280" w:after="290" w:line="376" w:lineRule="auto"/>
      <w:outlineLvl w:val="3"/>
    </w:pPr>
    <w:rPr>
      <w:rFonts w:ascii="Arial" w:hAnsi="Arial" w:eastAsia="黑体"/>
      <w:b/>
      <w:bCs/>
      <w:sz w:val="28"/>
      <w:szCs w:val="28"/>
    </w:rPr>
  </w:style>
  <w:style w:type="paragraph" w:styleId="1085" w:customStyle="1">
    <w:name w:val="正文文本1"/>
    <w:basedOn w:val="883"/>
    <w:uiPriority w:val="99"/>
    <w:qFormat/>
    <w:rPr>
      <w:rFonts w:ascii="楷体_GB2312" w:hAnsi="Arial" w:eastAsia="楷体_GB2312"/>
      <w:sz w:val="28"/>
      <w:szCs w:val="28"/>
    </w:rPr>
  </w:style>
  <w:style w:type="paragraph" w:styleId="1086" w:customStyle="1">
    <w:name w:val="纯文本1"/>
    <w:basedOn w:val="883"/>
    <w:uiPriority w:val="0"/>
    <w:qFormat/>
    <w:rPr>
      <w:rFonts w:ascii="宋体" w:hAnsi="Courier New"/>
    </w:rPr>
  </w:style>
  <w:style w:type="paragraph" w:styleId="1087" w:customStyle="1">
    <w:name w:val="列表段落1"/>
    <w:basedOn w:val="883"/>
    <w:uiPriority w:val="34"/>
    <w:qFormat/>
    <w:pPr>
      <w:ind w:firstLine="420"/>
    </w:pPr>
    <w:rPr>
      <w:szCs w:val="24"/>
    </w:rPr>
  </w:style>
  <w:style w:type="paragraph" w:styleId="1088" w:customStyle="1">
    <w:name w:val="普通正文"/>
    <w:basedOn w:val="883"/>
    <w:uiPriority w:val="0"/>
    <w:qFormat/>
    <w:pPr>
      <w:ind w:firstLine="480"/>
      <w:jc w:val="left"/>
      <w:spacing w:before="120" w:after="120" w:line="360" w:lineRule="auto"/>
    </w:pPr>
    <w:rPr>
      <w:rFonts w:ascii="Arial" w:hAnsi="Arial"/>
      <w:sz w:val="24"/>
      <w:szCs w:val="24"/>
    </w:rPr>
  </w:style>
  <w:style w:type="paragraph" w:styleId="1089" w:customStyle="1">
    <w:name w:val="列出段落1"/>
    <w:basedOn w:val="883"/>
    <w:uiPriority w:val="0"/>
    <w:qFormat/>
    <w:pPr>
      <w:contextualSpacing/>
      <w:ind w:left="720"/>
      <w:jc w:val="left"/>
      <w:widowControl/>
    </w:pPr>
    <w:rPr>
      <w:rFonts w:ascii="Calibri" w:hAnsi="Calibri"/>
      <w:sz w:val="24"/>
      <w:szCs w:val="24"/>
      <w:lang w:eastAsia="en-US" w:bidi="en-US"/>
    </w:rPr>
  </w:style>
  <w:style w:type="paragraph" w:styleId="1090" w:customStyle="1">
    <w:name w:val="Char"/>
    <w:basedOn w:val="883"/>
    <w:uiPriority w:val="0"/>
    <w:qFormat/>
    <w:pPr>
      <w:ind w:firstLine="200"/>
      <w:tabs>
        <w:tab w:val="left" w:pos="360" w:leader="none"/>
      </w:tabs>
    </w:pPr>
    <w:rPr>
      <w:sz w:val="28"/>
      <w:szCs w:val="30"/>
    </w:rPr>
  </w:style>
  <w:style w:type="paragraph" w:styleId="1091" w:customStyle="1">
    <w:name w:val="页脚1"/>
    <w:basedOn w:val="883"/>
    <w:uiPriority w:val="99"/>
    <w:qFormat/>
    <w:pPr>
      <w:jc w:val="left"/>
      <w:tabs>
        <w:tab w:val="center" w:pos="4153" w:leader="none"/>
        <w:tab w:val="right" w:pos="8306" w:leader="none"/>
      </w:tabs>
    </w:pPr>
    <w:rPr>
      <w:sz w:val="18"/>
      <w:szCs w:val="18"/>
    </w:rPr>
  </w:style>
  <w:style w:type="paragraph" w:styleId="1092" w:customStyle="1">
    <w:name w:val="页眉1"/>
    <w:basedOn w:val="883"/>
    <w:uiPriority w:val="99"/>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码1"/>
    <w:uiPriority w:val="0"/>
    <w:qFormat/>
    <w:rPr>
      <w:rFonts w:hint="default" w:ascii="Times New Roman" w:hAnsi="Times New Roman" w:eastAsia="宋体" w:cs="Times New Roman"/>
      <w:sz w:val="21"/>
      <w:szCs w:val="21"/>
      <w:lang w:val="en-US" w:eastAsia="zh-CN" w:bidi="ar-SA"/>
    </w:rPr>
  </w:style>
  <w:style w:type="paragraph" w:styleId="1094">
    <w:name w:val="List Paragraph"/>
    <w:basedOn w:val="883"/>
    <w:uiPriority w:val="34"/>
    <w:qFormat/>
    <w:pPr>
      <w:ind w:firstLine="420"/>
    </w:pPr>
  </w:style>
  <w:style w:type="paragraph" w:styleId="1095" w:customStyle="1">
    <w:name w:val="样式 首行缩进:  0 字符"/>
    <w:basedOn w:val="883"/>
    <w:uiPriority w:val="0"/>
    <w:qFormat/>
    <w:rPr>
      <w:rFonts w:ascii="Arial" w:hAnsi="Arial" w:cs="宋体"/>
      <w:szCs w:val="20"/>
    </w:rPr>
  </w:style>
  <w:style w:type="paragraph" w:styleId="1096" w:customStyle="1">
    <w:name w:val="!正文"/>
    <w:basedOn w:val="883"/>
    <w:uiPriority w:val="0"/>
    <w:qFormat/>
    <w:pPr>
      <w:widowControl/>
    </w:pPr>
    <w:rPr>
      <w:szCs w:val="28"/>
    </w:rPr>
  </w:style>
  <w:style w:type="character" w:styleId="1097" w:customStyle="1">
    <w:name w:val="font11"/>
    <w:basedOn w:val="886"/>
    <w:uiPriority w:val="0"/>
    <w:qFormat/>
    <w:rPr>
      <w:rFonts w:hint="eastAsia" w:ascii="微软雅黑" w:hAnsi="微软雅黑" w:eastAsia="微软雅黑" w:cs="微软雅黑"/>
      <w:b/>
      <w:bCs/>
      <w:color w:val="000000"/>
      <w:sz w:val="18"/>
      <w:szCs w:val="18"/>
      <w:u w:val="none"/>
    </w:rPr>
  </w:style>
  <w:style w:type="character" w:styleId="1098" w:customStyle="1">
    <w:name w:val="font31"/>
    <w:basedOn w:val="886"/>
    <w:uiPriority w:val="0"/>
    <w:qFormat/>
    <w:rPr>
      <w:rFonts w:hint="eastAsia" w:ascii="微软雅黑" w:hAnsi="微软雅黑" w:eastAsia="微软雅黑" w:cs="微软雅黑"/>
      <w:b/>
      <w:bCs/>
      <w:color w:val="ffffff"/>
      <w:sz w:val="18"/>
      <w:szCs w:val="18"/>
      <w:u w:val="none"/>
    </w:rPr>
  </w:style>
  <w:style w:type="character" w:styleId="1099" w:customStyle="1">
    <w:name w:val="font51"/>
    <w:basedOn w:val="886"/>
    <w:uiPriority w:val="0"/>
    <w:qFormat/>
    <w:rPr>
      <w:rFonts w:hint="eastAsia" w:ascii="微软雅黑" w:hAnsi="微软雅黑" w:eastAsia="微软雅黑" w:cs="微软雅黑"/>
      <w:color w:val="000000"/>
      <w:sz w:val="18"/>
      <w:szCs w:val="18"/>
      <w:u w:val="none"/>
    </w:rPr>
  </w:style>
  <w:style w:type="character" w:styleId="1100" w:customStyle="1">
    <w:name w:val="font41"/>
    <w:basedOn w:val="886"/>
    <w:uiPriority w:val="0"/>
    <w:qFormat/>
    <w:rPr>
      <w:rFonts w:hint="eastAsia" w:ascii="微软雅黑" w:hAnsi="微软雅黑" w:eastAsia="微软雅黑" w:cs="微软雅黑"/>
      <w:color w:val="000000"/>
      <w:sz w:val="18"/>
      <w:szCs w:val="18"/>
      <w:u w:val="none"/>
    </w:rPr>
  </w:style>
  <w:style w:type="character" w:styleId="1101" w:customStyle="1">
    <w:name w:val="font61"/>
    <w:basedOn w:val="886"/>
    <w:uiPriority w:val="0"/>
    <w:qFormat/>
    <w:rPr>
      <w:rFonts w:hint="eastAsia" w:ascii="微软雅黑" w:hAnsi="微软雅黑" w:eastAsia="微软雅黑" w:cs="微软雅黑"/>
      <w:color w:val="ff0000"/>
      <w:sz w:val="18"/>
      <w:szCs w:val="18"/>
      <w:u w:val="none"/>
    </w:rPr>
  </w:style>
  <w:style w:type="paragraph" w:styleId="1102" w:customStyle="1">
    <w:name w:val="Table Paragraph"/>
    <w:basedOn w:val="883"/>
    <w:uiPriority w:val="1"/>
    <w:qFormat/>
    <w:pPr>
      <w:jc w:val="left"/>
    </w:pPr>
    <w:rPr>
      <w:rFonts w:ascii="等线" w:hAnsi="等线" w:eastAsia="等线"/>
      <w:sz w:val="22"/>
      <w:szCs w:val="22"/>
      <w:lang w:eastAsia="en-US"/>
    </w:rPr>
  </w:style>
  <w:style w:type="paragraph" w:styleId="1103" w:customStyle="1">
    <w:name w:val="TOC 标题1"/>
    <w:basedOn w:val="1069"/>
    <w:next w:val="883"/>
    <w:uiPriority w:val="39"/>
    <w:unhideWhenUsed/>
    <w:qFormat/>
    <w:pPr>
      <w:jc w:val="left"/>
      <w:spacing w:before="240" w:after="0" w:line="259" w:lineRule="auto"/>
      <w:outlineLvl w:val="9"/>
    </w:pPr>
    <w:rPr>
      <w:rFonts w:ascii="Calibri Light" w:hAnsi="Calibri Light" w:eastAsia="Arial" w:cs="Arial"/>
      <w:b w:val="0"/>
      <w:bCs w:val="0"/>
      <w:color w:val="2e54a1"/>
      <w:sz w:val="32"/>
      <w:szCs w:val="32"/>
    </w:rPr>
  </w:style>
  <w:style w:type="paragraph" w:styleId="1104" w:customStyle="1">
    <w:name w:val="1正文"/>
    <w:basedOn w:val="883"/>
    <w:uiPriority w:val="0"/>
    <w:qFormat/>
    <w:pPr>
      <w:ind w:firstLine="420"/>
      <w:spacing w:before="120" w:after="120"/>
    </w:pPr>
    <w:rPr>
      <w:rFonts w:ascii="Calibri" w:hAnsi="Calibri"/>
    </w:rPr>
  </w:style>
  <w:style w:type="paragraph" w:styleId="1105" w:customStyle="1">
    <w:name w:val="*正文"/>
    <w:basedOn w:val="883"/>
    <w:uiPriority w:val="0"/>
    <w:qFormat/>
    <w:pPr>
      <w:ind w:firstLine="482"/>
    </w:pPr>
    <w:rPr>
      <w:szCs w:val="20"/>
      <w:shd w:val="clear" w:color="auto" w:fill="ffffff"/>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盐城润恒工程项目管理有限公司</cp:lastModifiedBy>
  <cp:revision>8</cp:revision>
  <dcterms:created xsi:type="dcterms:W3CDTF">2023-06-02T09:06:00Z</dcterms:created>
  <dcterms:modified xsi:type="dcterms:W3CDTF">2024-09-24T03:46:43Z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D76B0C1E4A774D07A7C8D54499818029_13</vt:lpwstr>
  </property>
  <property fmtid="{D5CDD505-2E9C-101B-9397-08002B2CF9AE}" pid="3" name="KSOProductBuildVer">
    <vt:lpwstr>2052-12.1.0.18276</vt:lpwstr>
  </property>
</Properties>
</file>