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271D8F">
      <w:pPr>
        <w:widowControl/>
        <w:shd w:val="clear" w:color="auto" w:fill="FFFFFF"/>
        <w:spacing w:before="90" w:after="90" w:line="360" w:lineRule="atLeast"/>
        <w:jc w:val="right"/>
        <w:rPr>
          <w:rFonts w:hint="eastAsia" w:ascii="宋体" w:hAnsi="宋体" w:cs="宋体"/>
          <w:b/>
          <w:sz w:val="36"/>
          <w:szCs w:val="36"/>
        </w:rPr>
      </w:pPr>
      <w:r>
        <w:rPr>
          <w:rFonts w:hint="eastAsia" w:ascii="宋体" w:hAnsi="宋体" w:cs="宋体"/>
          <w:b/>
          <w:sz w:val="36"/>
          <w:szCs w:val="36"/>
        </w:rPr>
        <w:t>JSZC-321012-YZCC-C2025-0011</w:t>
      </w:r>
    </w:p>
    <w:p w14:paraId="5FA5BA62">
      <w:pPr>
        <w:widowControl/>
        <w:shd w:val="clear" w:color="auto" w:fill="FFFFFF"/>
        <w:spacing w:before="90" w:after="90" w:line="360" w:lineRule="atLeast"/>
        <w:jc w:val="center"/>
        <w:rPr>
          <w:rFonts w:hint="eastAsia" w:ascii="宋体" w:hAnsi="宋体" w:cs="宋体"/>
          <w:b/>
          <w:sz w:val="36"/>
          <w:szCs w:val="36"/>
        </w:rPr>
      </w:pPr>
    </w:p>
    <w:p w14:paraId="73EC2DB8">
      <w:pPr>
        <w:widowControl/>
        <w:shd w:val="clear" w:color="auto" w:fill="FFFFFF"/>
        <w:spacing w:before="90" w:after="90" w:line="360" w:lineRule="atLeast"/>
        <w:jc w:val="center"/>
        <w:rPr>
          <w:rFonts w:hint="eastAsia" w:ascii="宋体" w:hAnsi="宋体" w:cs="宋体"/>
          <w:b/>
          <w:sz w:val="36"/>
          <w:szCs w:val="36"/>
        </w:rPr>
      </w:pPr>
      <w:r>
        <w:rPr>
          <w:rFonts w:hint="eastAsia" w:ascii="宋体" w:hAnsi="宋体" w:cs="宋体"/>
          <w:b/>
          <w:sz w:val="36"/>
          <w:szCs w:val="36"/>
        </w:rPr>
        <w:t>扬州空港新城产业发展</w:t>
      </w:r>
      <w:r>
        <w:rPr>
          <w:rFonts w:hint="eastAsia" w:ascii="宋体" w:hAnsi="宋体" w:cs="宋体"/>
          <w:b/>
          <w:sz w:val="36"/>
          <w:szCs w:val="36"/>
          <w:lang w:val="en-US" w:eastAsia="zh-CN"/>
        </w:rPr>
        <w:t>战略</w:t>
      </w:r>
      <w:r>
        <w:rPr>
          <w:rFonts w:hint="eastAsia" w:ascii="宋体" w:hAnsi="宋体" w:cs="宋体"/>
          <w:b/>
          <w:sz w:val="36"/>
          <w:szCs w:val="36"/>
        </w:rPr>
        <w:t>规划竞争性磋商文件</w:t>
      </w:r>
    </w:p>
    <w:p w14:paraId="46A2F02B">
      <w:pPr>
        <w:jc w:val="center"/>
        <w:rPr>
          <w:rFonts w:hint="eastAsia" w:ascii="宋体" w:hAnsi="宋体" w:cs="宋体"/>
          <w:sz w:val="36"/>
          <w:szCs w:val="36"/>
        </w:rPr>
      </w:pPr>
    </w:p>
    <w:p w14:paraId="73E47311">
      <w:pPr>
        <w:jc w:val="center"/>
        <w:rPr>
          <w:rFonts w:hint="eastAsia" w:ascii="宋体" w:hAnsi="宋体" w:cs="宋体"/>
          <w:sz w:val="36"/>
          <w:szCs w:val="36"/>
        </w:rPr>
      </w:pPr>
    </w:p>
    <w:p w14:paraId="1E1F3E07">
      <w:pPr>
        <w:jc w:val="center"/>
        <w:rPr>
          <w:rFonts w:hint="eastAsia" w:ascii="宋体" w:hAnsi="宋体" w:cs="宋体"/>
        </w:rPr>
      </w:pPr>
      <w:r>
        <w:rPr>
          <w:rFonts w:hint="eastAsia" w:ascii="宋体" w:hAnsi="宋体" w:cs="宋体"/>
        </w:rPr>
        <w:object>
          <v:shape id="_x0000_i1025" o:spt="75" type="#_x0000_t75" style="height:294pt;width:391.5pt;" o:ole="t" filled="f" o:preferrelative="t" stroked="f" coordsize="21600,21600">
            <v:path/>
            <v:fill on="f" focussize="0,0"/>
            <v:stroke on="f" joinstyle="miter"/>
            <v:imagedata r:id="rId11" o:title=""/>
            <o:lock v:ext="edit" aspectratio="t"/>
            <w10:wrap type="none"/>
            <w10:anchorlock/>
          </v:shape>
          <o:OLEObject Type="Embed" ProgID="StaticMetafile" ShapeID="_x0000_i1025" DrawAspect="Content" ObjectID="_1468075725" r:id="rId10">
            <o:LockedField>false</o:LockedField>
          </o:OLEObject>
        </w:object>
      </w:r>
    </w:p>
    <w:p w14:paraId="2F9B46EB">
      <w:pPr>
        <w:rPr>
          <w:rFonts w:hint="eastAsia" w:ascii="宋体" w:hAnsi="宋体" w:cs="宋体"/>
        </w:rPr>
      </w:pPr>
    </w:p>
    <w:p w14:paraId="72FC7DEF">
      <w:pPr>
        <w:jc w:val="center"/>
        <w:rPr>
          <w:rFonts w:hint="eastAsia" w:ascii="宋体" w:hAnsi="宋体" w:cs="宋体"/>
          <w:sz w:val="48"/>
          <w:szCs w:val="48"/>
        </w:rPr>
      </w:pPr>
    </w:p>
    <w:p w14:paraId="5B782E7C">
      <w:pPr>
        <w:widowControl/>
        <w:shd w:val="clear" w:color="auto" w:fill="FFFFFF"/>
        <w:spacing w:before="90" w:after="90" w:line="360" w:lineRule="atLeast"/>
        <w:ind w:firstLine="1928" w:firstLineChars="600"/>
        <w:jc w:val="both"/>
        <w:rPr>
          <w:rFonts w:hint="default" w:ascii="宋体" w:hAnsi="宋体" w:eastAsia="宋体" w:cs="宋体"/>
          <w:b/>
          <w:sz w:val="32"/>
          <w:szCs w:val="32"/>
          <w:lang w:val="en-US" w:eastAsia="zh-CN"/>
        </w:rPr>
      </w:pPr>
      <w:r>
        <w:rPr>
          <w:rFonts w:hint="eastAsia" w:ascii="宋体" w:hAnsi="宋体" w:cs="宋体"/>
          <w:b/>
          <w:sz w:val="32"/>
          <w:szCs w:val="32"/>
        </w:rPr>
        <w:t>采购人：</w:t>
      </w:r>
      <w:r>
        <w:rPr>
          <w:rFonts w:hint="eastAsia" w:ascii="宋体" w:hAnsi="宋体" w:cs="宋体"/>
          <w:b/>
          <w:sz w:val="32"/>
          <w:szCs w:val="32"/>
          <w:lang w:val="en-US" w:eastAsia="zh-CN"/>
        </w:rPr>
        <w:t>扬州市空港新城管理委员会</w:t>
      </w:r>
    </w:p>
    <w:p w14:paraId="2C9C4435">
      <w:pPr>
        <w:widowControl/>
        <w:shd w:val="clear" w:color="auto" w:fill="FFFFFF"/>
        <w:spacing w:before="90" w:after="90" w:line="360" w:lineRule="atLeast"/>
        <w:jc w:val="center"/>
        <w:rPr>
          <w:rFonts w:hint="eastAsia" w:ascii="宋体" w:hAnsi="宋体" w:cs="宋体"/>
          <w:b/>
          <w:sz w:val="32"/>
          <w:szCs w:val="32"/>
        </w:rPr>
      </w:pPr>
      <w:r>
        <w:rPr>
          <w:rFonts w:hint="eastAsia" w:ascii="宋体" w:hAnsi="宋体" w:cs="宋体"/>
          <w:b/>
          <w:sz w:val="32"/>
          <w:szCs w:val="32"/>
        </w:rPr>
        <w:t>采购代理机构：江苏辰诚工程咨询有限公司</w:t>
      </w:r>
    </w:p>
    <w:p w14:paraId="01F17415">
      <w:pPr>
        <w:widowControl/>
        <w:shd w:val="clear" w:color="auto" w:fill="FFFFFF"/>
        <w:spacing w:before="90" w:after="90" w:line="360" w:lineRule="atLeast"/>
        <w:jc w:val="center"/>
        <w:rPr>
          <w:rFonts w:hint="eastAsia" w:ascii="宋体" w:hAnsi="宋体" w:cs="宋体"/>
          <w:sz w:val="28"/>
          <w:szCs w:val="28"/>
        </w:rPr>
        <w:sectPr>
          <w:headerReference r:id="rId3" w:type="default"/>
          <w:pgSz w:w="11906" w:h="16838"/>
          <w:pgMar w:top="1440" w:right="1080" w:bottom="1440" w:left="1080" w:header="851" w:footer="992" w:gutter="0"/>
          <w:cols w:space="425" w:num="1"/>
          <w:docGrid w:type="lines" w:linePitch="312" w:charSpace="0"/>
        </w:sectPr>
      </w:pPr>
      <w:r>
        <w:rPr>
          <w:rFonts w:hint="eastAsia" w:ascii="宋体" w:hAnsi="宋体" w:cs="宋体"/>
          <w:b/>
          <w:sz w:val="32"/>
          <w:szCs w:val="32"/>
        </w:rPr>
        <w:t xml:space="preserve">  二〇二五年</w:t>
      </w:r>
      <w:r>
        <w:rPr>
          <w:rFonts w:hint="eastAsia" w:ascii="宋体" w:hAnsi="宋体" w:cs="宋体"/>
          <w:b/>
          <w:sz w:val="32"/>
          <w:szCs w:val="32"/>
          <w:lang w:val="en-US" w:eastAsia="zh-CN"/>
        </w:rPr>
        <w:t>十</w:t>
      </w:r>
      <w:r>
        <w:rPr>
          <w:rFonts w:hint="eastAsia" w:ascii="宋体" w:hAnsi="宋体" w:cs="宋体"/>
          <w:b/>
          <w:sz w:val="32"/>
          <w:szCs w:val="32"/>
        </w:rPr>
        <w:t>月</w:t>
      </w:r>
    </w:p>
    <w:p w14:paraId="26FF0067">
      <w:pPr>
        <w:rPr>
          <w:rFonts w:hint="eastAsia" w:ascii="宋体" w:hAnsi="宋体" w:cs="宋体"/>
          <w:b/>
          <w:bCs/>
          <w:sz w:val="40"/>
          <w:szCs w:val="40"/>
        </w:rPr>
      </w:pPr>
    </w:p>
    <w:p w14:paraId="1FBF40CB">
      <w:pPr>
        <w:jc w:val="center"/>
        <w:rPr>
          <w:rFonts w:hint="eastAsia" w:ascii="宋体" w:hAnsi="宋体" w:cs="宋体"/>
          <w:b/>
          <w:bCs/>
          <w:sz w:val="40"/>
          <w:szCs w:val="40"/>
        </w:rPr>
      </w:pPr>
      <w:r>
        <w:rPr>
          <w:rFonts w:hint="eastAsia" w:ascii="宋体" w:hAnsi="宋体" w:cs="宋体"/>
          <w:b/>
          <w:bCs/>
          <w:sz w:val="40"/>
          <w:szCs w:val="40"/>
        </w:rPr>
        <w:t>目  录</w:t>
      </w:r>
    </w:p>
    <w:p w14:paraId="07258045">
      <w:pPr>
        <w:tabs>
          <w:tab w:val="right" w:leader="dot" w:pos="9660"/>
        </w:tabs>
        <w:ind w:left="420" w:leftChars="200"/>
        <w:rPr>
          <w:rFonts w:hint="eastAsia" w:ascii="宋体" w:hAnsi="宋体" w:cs="宋体"/>
          <w:sz w:val="28"/>
          <w:szCs w:val="28"/>
        </w:rPr>
      </w:pPr>
    </w:p>
    <w:p w14:paraId="44B68659">
      <w:pPr>
        <w:tabs>
          <w:tab w:val="right" w:leader="dot" w:pos="9660"/>
        </w:tabs>
        <w:ind w:left="420" w:leftChars="200"/>
        <w:rPr>
          <w:rFonts w:hint="eastAsia" w:ascii="宋体" w:hAnsi="宋体" w:cs="宋体"/>
          <w:sz w:val="28"/>
          <w:szCs w:val="28"/>
        </w:rPr>
      </w:pPr>
      <w:r>
        <w:rPr>
          <w:rFonts w:hint="eastAsia" w:ascii="宋体" w:hAnsi="宋体" w:cs="宋体"/>
          <w:sz w:val="28"/>
          <w:szCs w:val="28"/>
        </w:rPr>
        <w:t>第一章、竞争性磋商公告</w:t>
      </w:r>
      <w:r>
        <w:rPr>
          <w:rFonts w:hint="eastAsia" w:ascii="宋体" w:hAnsi="宋体" w:cs="宋体"/>
          <w:sz w:val="28"/>
          <w:szCs w:val="28"/>
        </w:rPr>
        <w:tab/>
      </w:r>
      <w:r>
        <w:rPr>
          <w:rFonts w:hint="eastAsia" w:ascii="宋体" w:hAnsi="宋体" w:cs="宋体"/>
          <w:sz w:val="28"/>
          <w:szCs w:val="28"/>
        </w:rPr>
        <w:t>1</w:t>
      </w:r>
    </w:p>
    <w:p w14:paraId="294CCF69">
      <w:pPr>
        <w:tabs>
          <w:tab w:val="right" w:leader="dot" w:pos="9660"/>
        </w:tabs>
        <w:ind w:left="420" w:leftChars="200"/>
        <w:rPr>
          <w:rFonts w:hint="eastAsia" w:ascii="宋体" w:hAnsi="宋体" w:cs="宋体"/>
          <w:sz w:val="28"/>
          <w:szCs w:val="28"/>
        </w:rPr>
      </w:pPr>
      <w:r>
        <w:rPr>
          <w:rFonts w:hint="eastAsia" w:ascii="宋体" w:hAnsi="宋体" w:cs="宋体"/>
          <w:sz w:val="28"/>
          <w:szCs w:val="28"/>
        </w:rPr>
        <w:t>第二章、磋商须知</w:t>
      </w:r>
      <w:r>
        <w:rPr>
          <w:rFonts w:hint="eastAsia" w:ascii="宋体" w:hAnsi="宋体" w:cs="宋体"/>
          <w:sz w:val="28"/>
          <w:szCs w:val="28"/>
        </w:rPr>
        <w:tab/>
      </w:r>
      <w:r>
        <w:rPr>
          <w:rFonts w:hint="eastAsia" w:ascii="宋体" w:hAnsi="宋体" w:cs="宋体"/>
          <w:sz w:val="28"/>
          <w:szCs w:val="28"/>
        </w:rPr>
        <w:t>4</w:t>
      </w:r>
    </w:p>
    <w:p w14:paraId="02BDC923">
      <w:pPr>
        <w:tabs>
          <w:tab w:val="right" w:leader="dot" w:pos="9660"/>
        </w:tabs>
        <w:ind w:left="420" w:leftChars="200"/>
        <w:rPr>
          <w:rFonts w:hint="eastAsia" w:ascii="宋体" w:hAnsi="宋体" w:cs="宋体"/>
          <w:sz w:val="28"/>
          <w:szCs w:val="28"/>
        </w:rPr>
      </w:pPr>
      <w:r>
        <w:rPr>
          <w:rFonts w:hint="eastAsia" w:ascii="宋体" w:hAnsi="宋体" w:cs="宋体"/>
          <w:sz w:val="28"/>
          <w:szCs w:val="28"/>
        </w:rPr>
        <w:t>第三章、</w:t>
      </w:r>
      <w:r>
        <w:rPr>
          <w:rFonts w:hint="eastAsia" w:ascii="宋体" w:hAnsi="宋体" w:cs="宋体"/>
          <w:sz w:val="28"/>
          <w:szCs w:val="28"/>
          <w:lang w:val="zh-CN"/>
        </w:rPr>
        <w:t>合同主要条款及合同签订方式</w:t>
      </w:r>
      <w:r>
        <w:rPr>
          <w:rFonts w:hint="eastAsia" w:ascii="宋体" w:hAnsi="宋体" w:cs="宋体"/>
          <w:sz w:val="28"/>
          <w:szCs w:val="28"/>
        </w:rPr>
        <w:tab/>
      </w:r>
      <w:r>
        <w:rPr>
          <w:rFonts w:hint="eastAsia" w:ascii="宋体" w:hAnsi="宋体" w:cs="宋体"/>
          <w:sz w:val="28"/>
          <w:szCs w:val="28"/>
        </w:rPr>
        <w:t>13</w:t>
      </w:r>
    </w:p>
    <w:p w14:paraId="45D9FCF6">
      <w:pPr>
        <w:tabs>
          <w:tab w:val="right" w:leader="dot" w:pos="9660"/>
        </w:tabs>
        <w:ind w:left="420" w:leftChars="200"/>
        <w:rPr>
          <w:rFonts w:hint="eastAsia" w:ascii="宋体" w:hAnsi="宋体" w:cs="宋体"/>
          <w:sz w:val="28"/>
          <w:szCs w:val="28"/>
        </w:rPr>
      </w:pPr>
      <w:r>
        <w:rPr>
          <w:rFonts w:hint="eastAsia" w:ascii="宋体" w:hAnsi="宋体" w:cs="宋体"/>
          <w:sz w:val="28"/>
          <w:szCs w:val="28"/>
        </w:rPr>
        <w:t>第四章、项目需求</w:t>
      </w:r>
      <w:r>
        <w:rPr>
          <w:rFonts w:hint="eastAsia" w:ascii="宋体" w:hAnsi="宋体" w:cs="宋体"/>
          <w:sz w:val="28"/>
          <w:szCs w:val="28"/>
        </w:rPr>
        <w:tab/>
      </w:r>
      <w:r>
        <w:rPr>
          <w:rFonts w:hint="eastAsia" w:ascii="宋体" w:hAnsi="宋体" w:cs="宋体"/>
          <w:sz w:val="28"/>
          <w:szCs w:val="28"/>
        </w:rPr>
        <w:t>39</w:t>
      </w:r>
    </w:p>
    <w:p w14:paraId="56CA3A84">
      <w:pPr>
        <w:tabs>
          <w:tab w:val="right" w:leader="dot" w:pos="9660"/>
        </w:tabs>
        <w:ind w:left="420" w:leftChars="200"/>
        <w:rPr>
          <w:rFonts w:hint="eastAsia" w:ascii="宋体" w:hAnsi="宋体" w:cs="宋体"/>
          <w:sz w:val="28"/>
          <w:szCs w:val="28"/>
        </w:rPr>
      </w:pPr>
      <w:r>
        <w:rPr>
          <w:rFonts w:hint="eastAsia" w:ascii="宋体" w:hAnsi="宋体" w:cs="宋体"/>
          <w:sz w:val="28"/>
          <w:szCs w:val="28"/>
        </w:rPr>
        <w:t>第五章、评审标准</w:t>
      </w:r>
      <w:r>
        <w:rPr>
          <w:rFonts w:hint="eastAsia" w:ascii="宋体" w:hAnsi="宋体" w:cs="宋体"/>
          <w:sz w:val="28"/>
          <w:szCs w:val="28"/>
        </w:rPr>
        <w:tab/>
      </w:r>
      <w:r>
        <w:rPr>
          <w:rFonts w:hint="eastAsia" w:ascii="宋体" w:hAnsi="宋体" w:cs="宋体"/>
          <w:sz w:val="28"/>
          <w:szCs w:val="28"/>
        </w:rPr>
        <w:t>41</w:t>
      </w:r>
    </w:p>
    <w:p w14:paraId="2733BFEF">
      <w:pPr>
        <w:tabs>
          <w:tab w:val="right" w:leader="dot" w:pos="9660"/>
        </w:tabs>
        <w:ind w:left="420" w:leftChars="200"/>
        <w:rPr>
          <w:rFonts w:hint="eastAsia" w:ascii="宋体" w:hAnsi="宋体" w:cs="宋体"/>
          <w:sz w:val="28"/>
          <w:szCs w:val="28"/>
        </w:rPr>
      </w:pPr>
      <w:r>
        <w:rPr>
          <w:rFonts w:hint="eastAsia" w:ascii="宋体" w:hAnsi="宋体" w:cs="宋体"/>
          <w:sz w:val="28"/>
          <w:szCs w:val="28"/>
        </w:rPr>
        <w:t>第六章、竞争性磋商投标文件（格式）</w:t>
      </w:r>
      <w:r>
        <w:rPr>
          <w:rFonts w:hint="eastAsia" w:ascii="宋体" w:hAnsi="宋体" w:cs="宋体"/>
          <w:sz w:val="28"/>
          <w:szCs w:val="28"/>
        </w:rPr>
        <w:tab/>
      </w:r>
      <w:r>
        <w:rPr>
          <w:rFonts w:hint="eastAsia" w:ascii="宋体" w:hAnsi="宋体" w:cs="宋体"/>
          <w:sz w:val="28"/>
          <w:szCs w:val="28"/>
        </w:rPr>
        <w:t>43</w:t>
      </w:r>
    </w:p>
    <w:p w14:paraId="0756EF79">
      <w:pPr>
        <w:jc w:val="left"/>
        <w:rPr>
          <w:rFonts w:hint="eastAsia" w:ascii="宋体" w:hAnsi="宋体" w:cs="宋体"/>
          <w:sz w:val="28"/>
          <w:szCs w:val="28"/>
        </w:rPr>
      </w:pPr>
    </w:p>
    <w:p w14:paraId="2D2D988D">
      <w:pPr>
        <w:jc w:val="center"/>
        <w:rPr>
          <w:rFonts w:hint="eastAsia" w:ascii="宋体" w:hAnsi="宋体" w:cs="宋体"/>
          <w:sz w:val="32"/>
          <w:szCs w:val="32"/>
        </w:rPr>
      </w:pPr>
    </w:p>
    <w:p w14:paraId="4942176A">
      <w:pPr>
        <w:jc w:val="center"/>
        <w:rPr>
          <w:rFonts w:hint="eastAsia" w:ascii="宋体" w:hAnsi="宋体" w:cs="宋体"/>
          <w:sz w:val="32"/>
          <w:szCs w:val="32"/>
        </w:rPr>
      </w:pPr>
    </w:p>
    <w:p w14:paraId="07890E36">
      <w:pPr>
        <w:jc w:val="center"/>
        <w:rPr>
          <w:rFonts w:hint="eastAsia" w:ascii="宋体" w:hAnsi="宋体" w:cs="宋体"/>
          <w:sz w:val="32"/>
          <w:szCs w:val="32"/>
        </w:rPr>
      </w:pPr>
    </w:p>
    <w:p w14:paraId="2FF2D2C8">
      <w:pPr>
        <w:jc w:val="center"/>
        <w:rPr>
          <w:rFonts w:hint="eastAsia" w:ascii="宋体" w:hAnsi="宋体" w:cs="宋体"/>
          <w:sz w:val="32"/>
          <w:szCs w:val="32"/>
        </w:rPr>
      </w:pPr>
    </w:p>
    <w:p w14:paraId="118D2018">
      <w:pPr>
        <w:jc w:val="center"/>
        <w:rPr>
          <w:rFonts w:hint="eastAsia" w:ascii="宋体" w:hAnsi="宋体" w:cs="宋体"/>
          <w:sz w:val="32"/>
          <w:szCs w:val="32"/>
        </w:rPr>
      </w:pPr>
    </w:p>
    <w:p w14:paraId="6E14FF99">
      <w:pPr>
        <w:jc w:val="center"/>
        <w:rPr>
          <w:rFonts w:hint="eastAsia" w:ascii="宋体" w:hAnsi="宋体" w:cs="宋体"/>
          <w:sz w:val="32"/>
          <w:szCs w:val="32"/>
        </w:rPr>
      </w:pPr>
    </w:p>
    <w:p w14:paraId="369E8A57">
      <w:pPr>
        <w:jc w:val="center"/>
        <w:rPr>
          <w:rFonts w:hint="eastAsia" w:ascii="宋体" w:hAnsi="宋体" w:cs="宋体"/>
          <w:sz w:val="32"/>
          <w:szCs w:val="32"/>
        </w:rPr>
      </w:pPr>
    </w:p>
    <w:p w14:paraId="7B2E0BE3">
      <w:pPr>
        <w:jc w:val="center"/>
        <w:rPr>
          <w:rFonts w:hint="eastAsia" w:ascii="宋体" w:hAnsi="宋体" w:cs="宋体"/>
          <w:sz w:val="32"/>
          <w:szCs w:val="32"/>
        </w:rPr>
      </w:pPr>
    </w:p>
    <w:p w14:paraId="308AECF7">
      <w:pPr>
        <w:jc w:val="center"/>
        <w:rPr>
          <w:rFonts w:hint="eastAsia" w:ascii="宋体" w:hAnsi="宋体" w:cs="宋体"/>
          <w:sz w:val="32"/>
          <w:szCs w:val="32"/>
        </w:rPr>
      </w:pPr>
    </w:p>
    <w:p w14:paraId="5CB18FFA">
      <w:pPr>
        <w:jc w:val="center"/>
        <w:rPr>
          <w:rFonts w:hint="eastAsia" w:ascii="宋体" w:hAnsi="宋体" w:cs="宋体"/>
          <w:sz w:val="32"/>
          <w:szCs w:val="32"/>
        </w:rPr>
      </w:pPr>
    </w:p>
    <w:p w14:paraId="22ED5844">
      <w:pPr>
        <w:pStyle w:val="35"/>
      </w:pPr>
    </w:p>
    <w:p w14:paraId="065FF881">
      <w:pPr>
        <w:pStyle w:val="3"/>
        <w:keepLines w:val="0"/>
        <w:adjustRightInd w:val="0"/>
        <w:snapToGrid w:val="0"/>
        <w:spacing w:before="0" w:after="0" w:line="360" w:lineRule="auto"/>
        <w:jc w:val="center"/>
        <w:rPr>
          <w:rFonts w:hint="eastAsia" w:ascii="宋体" w:hAnsi="宋体" w:cs="宋体"/>
          <w:sz w:val="28"/>
          <w:szCs w:val="28"/>
        </w:rPr>
        <w:sectPr>
          <w:footerReference r:id="rId4" w:type="default"/>
          <w:pgSz w:w="11906" w:h="16838"/>
          <w:pgMar w:top="1440" w:right="1080" w:bottom="1440" w:left="1080" w:header="851" w:footer="992" w:gutter="0"/>
          <w:pgNumType w:start="1"/>
          <w:cols w:space="425" w:num="1"/>
          <w:docGrid w:type="lines" w:linePitch="312" w:charSpace="0"/>
        </w:sectPr>
      </w:pPr>
      <w:bookmarkStart w:id="0" w:name="_Hlk67319400"/>
    </w:p>
    <w:p w14:paraId="2ACD3180">
      <w:pPr>
        <w:pStyle w:val="3"/>
        <w:keepLines w:val="0"/>
        <w:adjustRightInd w:val="0"/>
        <w:snapToGrid w:val="0"/>
        <w:spacing w:before="0" w:after="0" w:line="360" w:lineRule="auto"/>
        <w:jc w:val="center"/>
        <w:rPr>
          <w:rFonts w:hint="eastAsia" w:ascii="宋体" w:hAnsi="宋体" w:cs="宋体"/>
          <w:sz w:val="28"/>
          <w:szCs w:val="28"/>
        </w:rPr>
      </w:pPr>
      <w:r>
        <w:rPr>
          <w:rFonts w:hint="eastAsia" w:ascii="宋体" w:hAnsi="宋体" w:cs="宋体"/>
          <w:sz w:val="28"/>
          <w:szCs w:val="28"/>
        </w:rPr>
        <w:t>第一章</w:t>
      </w:r>
      <w:bookmarkEnd w:id="0"/>
      <w:r>
        <w:rPr>
          <w:rFonts w:hint="eastAsia" w:ascii="宋体" w:hAnsi="宋体" w:cs="宋体"/>
          <w:sz w:val="28"/>
          <w:szCs w:val="28"/>
        </w:rPr>
        <w:t>、扬州空港新城产业发展</w:t>
      </w:r>
      <w:r>
        <w:rPr>
          <w:rFonts w:hint="eastAsia" w:ascii="宋体" w:hAnsi="宋体" w:cs="宋体"/>
          <w:sz w:val="28"/>
          <w:szCs w:val="28"/>
          <w:lang w:val="en-US" w:eastAsia="zh-CN"/>
        </w:rPr>
        <w:t>战略</w:t>
      </w:r>
      <w:r>
        <w:rPr>
          <w:rFonts w:hint="eastAsia" w:ascii="宋体" w:hAnsi="宋体" w:cs="宋体"/>
          <w:sz w:val="28"/>
          <w:szCs w:val="28"/>
        </w:rPr>
        <w:t>规划竞争性磋商公告</w:t>
      </w:r>
      <w:bookmarkStart w:id="1" w:name="_Toc28359012"/>
      <w:bookmarkStart w:id="2" w:name="OLE_LINK3"/>
      <w:bookmarkStart w:id="3" w:name="_Toc28359089"/>
      <w:bookmarkStart w:id="4" w:name="_Toc35393798"/>
      <w:bookmarkStart w:id="5" w:name="_Toc35393629"/>
      <w:bookmarkStart w:id="6" w:name="OLE_LINK4"/>
    </w:p>
    <w:bookmarkEnd w:id="1"/>
    <w:bookmarkEnd w:id="2"/>
    <w:bookmarkEnd w:id="3"/>
    <w:bookmarkEnd w:id="4"/>
    <w:bookmarkEnd w:id="5"/>
    <w:bookmarkEnd w:id="6"/>
    <w:p w14:paraId="1CF0BDAA">
      <w:pPr>
        <w:pStyle w:val="3"/>
        <w:keepNext w:val="0"/>
        <w:keepLines w:val="0"/>
        <w:widowControl/>
        <w:shd w:val="clear" w:color="auto" w:fill="FFFFFF"/>
        <w:spacing w:before="0" w:after="0" w:line="653" w:lineRule="atLeast"/>
        <w:jc w:val="center"/>
        <w:rPr>
          <w:rFonts w:ascii="Times New Roman" w:hAnsi="Times New Roman"/>
          <w:color w:val="212529"/>
          <w:sz w:val="43"/>
          <w:szCs w:val="43"/>
        </w:rPr>
      </w:pPr>
      <w:r>
        <w:rPr>
          <w:rStyle w:val="26"/>
          <w:rFonts w:hint="eastAsia" w:ascii="Helvetica" w:hAnsi="Helvetica" w:cs="Helvetica"/>
          <w:b/>
          <w:color w:val="212529"/>
          <w:sz w:val="32"/>
          <w:szCs w:val="32"/>
          <w:shd w:val="clear" w:color="auto" w:fill="FFFFFF"/>
        </w:rPr>
        <w:t>扬州空港新城产业发展</w:t>
      </w:r>
      <w:r>
        <w:rPr>
          <w:rStyle w:val="26"/>
          <w:rFonts w:hint="eastAsia" w:ascii="Helvetica" w:hAnsi="Helvetica" w:cs="Helvetica"/>
          <w:b/>
          <w:color w:val="212529"/>
          <w:sz w:val="32"/>
          <w:szCs w:val="32"/>
          <w:shd w:val="clear" w:color="auto" w:fill="FFFFFF"/>
          <w:lang w:val="en-US" w:eastAsia="zh-CN"/>
        </w:rPr>
        <w:t>战略</w:t>
      </w:r>
      <w:r>
        <w:rPr>
          <w:rStyle w:val="26"/>
          <w:rFonts w:hint="eastAsia" w:ascii="Helvetica" w:hAnsi="Helvetica" w:cs="Helvetica"/>
          <w:b/>
          <w:color w:val="212529"/>
          <w:sz w:val="32"/>
          <w:szCs w:val="32"/>
          <w:shd w:val="clear" w:color="auto" w:fill="FFFFFF"/>
        </w:rPr>
        <w:t>规划竞争性磋商</w:t>
      </w:r>
      <w:r>
        <w:rPr>
          <w:rStyle w:val="26"/>
          <w:rFonts w:ascii="Helvetica" w:hAnsi="Helvetica" w:eastAsia="Helvetica" w:cs="Helvetica"/>
          <w:b/>
          <w:color w:val="212529"/>
          <w:sz w:val="32"/>
          <w:szCs w:val="32"/>
          <w:shd w:val="clear" w:color="auto" w:fill="FFFFFF"/>
        </w:rPr>
        <w:t>公告</w:t>
      </w:r>
    </w:p>
    <w:p w14:paraId="5AA8E525">
      <w:pPr>
        <w:pStyle w:val="22"/>
        <w:widowControl/>
        <w:shd w:val="clear" w:color="auto" w:fill="FFFFFF"/>
        <w:wordWrap w:val="0"/>
        <w:spacing w:before="0" w:beforeAutospacing="0" w:after="0" w:afterAutospacing="0" w:line="360" w:lineRule="atLeast"/>
        <w:ind w:firstLine="48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受</w:t>
      </w:r>
      <w:r>
        <w:rPr>
          <w:rFonts w:hint="eastAsia" w:ascii="Helvetica" w:hAnsi="Helvetica" w:eastAsia="Helvetica" w:cs="Helvetica"/>
          <w:color w:val="212529"/>
          <w:sz w:val="21"/>
          <w:szCs w:val="21"/>
          <w:shd w:val="clear" w:color="auto" w:fill="FFFFFF"/>
        </w:rPr>
        <w:t>扬州市空港新城管理委员会</w:t>
      </w:r>
      <w:r>
        <w:rPr>
          <w:rFonts w:ascii="Helvetica" w:hAnsi="Helvetica" w:eastAsia="Helvetica" w:cs="Helvetica"/>
          <w:color w:val="212529"/>
          <w:sz w:val="21"/>
          <w:szCs w:val="21"/>
          <w:shd w:val="clear" w:color="auto" w:fill="FFFFFF"/>
        </w:rPr>
        <w:t>的委托，江苏</w:t>
      </w:r>
      <w:r>
        <w:rPr>
          <w:rFonts w:hint="eastAsia" w:ascii="Helvetica" w:hAnsi="Helvetica" w:cs="Helvetica"/>
          <w:color w:val="212529"/>
          <w:sz w:val="21"/>
          <w:szCs w:val="21"/>
          <w:shd w:val="clear" w:color="auto" w:fill="FFFFFF"/>
        </w:rPr>
        <w:t>辰诚</w:t>
      </w:r>
      <w:r>
        <w:rPr>
          <w:rFonts w:ascii="Helvetica" w:hAnsi="Helvetica" w:eastAsia="Helvetica" w:cs="Helvetica"/>
          <w:color w:val="212529"/>
          <w:sz w:val="21"/>
          <w:szCs w:val="21"/>
          <w:shd w:val="clear" w:color="auto" w:fill="FFFFFF"/>
        </w:rPr>
        <w:t>工程咨询有限公司关于扬州空港新城产业发展</w:t>
      </w:r>
      <w:r>
        <w:rPr>
          <w:rFonts w:hint="eastAsia" w:ascii="Helvetica" w:hAnsi="Helvetica" w:cs="Helvetica"/>
          <w:color w:val="212529"/>
          <w:sz w:val="21"/>
          <w:szCs w:val="21"/>
          <w:shd w:val="clear" w:color="auto" w:fill="FFFFFF"/>
          <w:lang w:val="en-US" w:eastAsia="zh-CN"/>
        </w:rPr>
        <w:t>战略</w:t>
      </w:r>
      <w:r>
        <w:rPr>
          <w:rFonts w:ascii="Helvetica" w:hAnsi="Helvetica" w:eastAsia="Helvetica" w:cs="Helvetica"/>
          <w:color w:val="212529"/>
          <w:sz w:val="21"/>
          <w:szCs w:val="21"/>
          <w:shd w:val="clear" w:color="auto" w:fill="FFFFFF"/>
        </w:rPr>
        <w:t>规划</w:t>
      </w:r>
      <w:r>
        <w:rPr>
          <w:rFonts w:hint="eastAsia" w:ascii="Helvetica" w:hAnsi="Helvetica" w:cs="Helvetica"/>
          <w:color w:val="212529"/>
          <w:sz w:val="21"/>
          <w:szCs w:val="21"/>
          <w:shd w:val="clear" w:color="auto" w:fill="FFFFFF"/>
          <w:lang w:val="en-US" w:eastAsia="zh-CN"/>
        </w:rPr>
        <w:t>项目</w:t>
      </w:r>
      <w:r>
        <w:rPr>
          <w:rFonts w:ascii="Helvetica" w:hAnsi="Helvetica" w:eastAsia="Helvetica" w:cs="Helvetica"/>
          <w:color w:val="212529"/>
          <w:sz w:val="21"/>
          <w:szCs w:val="21"/>
          <w:shd w:val="clear" w:color="auto" w:fill="FFFFFF"/>
        </w:rPr>
        <w:t>进行竞争性磋商采购，欢迎符合条件的供应商</w:t>
      </w:r>
      <w:r>
        <w:rPr>
          <w:rFonts w:hint="eastAsia" w:ascii="宋体" w:hAnsi="宋体" w:cs="宋体"/>
          <w:color w:val="212529"/>
          <w:sz w:val="21"/>
          <w:szCs w:val="21"/>
          <w:shd w:val="clear" w:color="auto" w:fill="FFFFFF"/>
        </w:rPr>
        <w:t>参加磋商</w:t>
      </w:r>
      <w:r>
        <w:rPr>
          <w:rFonts w:ascii="Helvetica" w:hAnsi="Helvetica" w:eastAsia="Helvetica" w:cs="Helvetica"/>
          <w:color w:val="212529"/>
          <w:sz w:val="21"/>
          <w:szCs w:val="21"/>
          <w:shd w:val="clear" w:color="auto" w:fill="FFFFFF"/>
        </w:rPr>
        <w:t>。</w:t>
      </w:r>
    </w:p>
    <w:p w14:paraId="1C6B93BC">
      <w:pPr>
        <w:pStyle w:val="22"/>
        <w:widowControl/>
        <w:pBdr>
          <w:top w:val="single" w:color="auto" w:sz="8" w:space="1"/>
          <w:left w:val="single" w:color="auto" w:sz="8" w:space="4"/>
          <w:bottom w:val="single" w:color="auto" w:sz="8" w:space="1"/>
          <w:right w:val="single" w:color="auto" w:sz="8" w:space="4"/>
        </w:pBdr>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项</w:t>
      </w:r>
      <w:r>
        <w:rPr>
          <w:rFonts w:ascii="Helvetica" w:hAnsi="Helvetica" w:eastAsia="Helvetica" w:cs="Helvetica"/>
          <w:color w:val="212529"/>
          <w:sz w:val="21"/>
          <w:szCs w:val="21"/>
          <w:shd w:val="clear" w:color="auto" w:fill="FFFFFF"/>
        </w:rPr>
        <w:t>目概况：</w:t>
      </w:r>
    </w:p>
    <w:p w14:paraId="660F5E39">
      <w:pPr>
        <w:pStyle w:val="22"/>
        <w:widowControl/>
        <w:pBdr>
          <w:top w:val="single" w:color="auto" w:sz="8" w:space="1"/>
          <w:left w:val="single" w:color="auto" w:sz="8" w:space="4"/>
          <w:bottom w:val="single" w:color="auto" w:sz="8" w:space="1"/>
          <w:right w:val="single" w:color="auto" w:sz="8" w:space="4"/>
        </w:pBdr>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u w:val="single"/>
          <w:shd w:val="clear" w:color="auto" w:fill="FFFFFF"/>
        </w:rPr>
        <w:t>扬</w:t>
      </w:r>
      <w:r>
        <w:rPr>
          <w:rFonts w:ascii="Helvetica" w:hAnsi="Helvetica" w:eastAsia="Helvetica" w:cs="Helvetica"/>
          <w:color w:val="212529"/>
          <w:sz w:val="21"/>
          <w:szCs w:val="21"/>
          <w:u w:val="single"/>
          <w:shd w:val="clear" w:color="auto" w:fill="FFFFFF"/>
        </w:rPr>
        <w:t>州空港新城产业发展</w:t>
      </w:r>
      <w:r>
        <w:rPr>
          <w:rFonts w:hint="eastAsia" w:ascii="Helvetica" w:hAnsi="Helvetica" w:cs="Helvetica"/>
          <w:color w:val="212529"/>
          <w:sz w:val="21"/>
          <w:szCs w:val="21"/>
          <w:u w:val="single"/>
          <w:shd w:val="clear" w:color="auto" w:fill="FFFFFF"/>
          <w:lang w:val="en-US" w:eastAsia="zh-CN"/>
        </w:rPr>
        <w:t>战略</w:t>
      </w:r>
      <w:r>
        <w:rPr>
          <w:rFonts w:ascii="Helvetica" w:hAnsi="Helvetica" w:eastAsia="Helvetica" w:cs="Helvetica"/>
          <w:color w:val="212529"/>
          <w:sz w:val="21"/>
          <w:szCs w:val="21"/>
          <w:u w:val="single"/>
          <w:shd w:val="clear" w:color="auto" w:fill="FFFFFF"/>
        </w:rPr>
        <w:t>规划</w:t>
      </w:r>
      <w:r>
        <w:rPr>
          <w:rFonts w:hint="eastAsia" w:ascii="Helvetica" w:hAnsi="Helvetica" w:eastAsia="Helvetica" w:cs="Helvetica"/>
          <w:color w:val="212529"/>
          <w:sz w:val="21"/>
          <w:szCs w:val="21"/>
          <w:u w:val="single"/>
          <w:shd w:val="clear" w:color="auto" w:fill="FFFFFF"/>
        </w:rPr>
        <w:t>JSZC-321012-YZCC-C2025-0011</w:t>
      </w:r>
      <w:r>
        <w:rPr>
          <w:rFonts w:hint="eastAsia" w:ascii="Helvetica" w:hAnsi="Helvetica" w:cs="Helvetica"/>
          <w:color w:val="212529"/>
          <w:sz w:val="21"/>
          <w:szCs w:val="21"/>
          <w:u w:val="single"/>
          <w:shd w:val="clear" w:color="auto" w:fill="FFFFFF"/>
          <w:lang w:val="en-US" w:eastAsia="zh-CN"/>
        </w:rPr>
        <w:t xml:space="preserve"> </w:t>
      </w:r>
      <w:r>
        <w:rPr>
          <w:rFonts w:ascii="Helvetica" w:hAnsi="Helvetica" w:eastAsia="Helvetica" w:cs="Helvetica"/>
          <w:color w:val="212529"/>
          <w:sz w:val="21"/>
          <w:szCs w:val="21"/>
          <w:shd w:val="clear" w:color="auto" w:fill="FFFFFF"/>
        </w:rPr>
        <w:t>采购项目的潜在供应商应在</w:t>
      </w:r>
      <w:r>
        <w:rPr>
          <w:rFonts w:ascii="Helvetica" w:hAnsi="Helvetica" w:eastAsia="Helvetica" w:cs="Helvetica"/>
          <w:color w:val="212529"/>
          <w:sz w:val="21"/>
          <w:szCs w:val="21"/>
          <w:u w:val="single"/>
          <w:shd w:val="clear" w:color="auto" w:fill="FFFFFF"/>
        </w:rPr>
        <w:t>“</w:t>
      </w:r>
      <w:r>
        <w:rPr>
          <w:rFonts w:hint="eastAsia" w:ascii="Helvetica" w:hAnsi="Helvetica" w:eastAsia="Helvetica" w:cs="Helvetica"/>
          <w:color w:val="212529"/>
          <w:sz w:val="21"/>
          <w:szCs w:val="21"/>
          <w:u w:val="single"/>
          <w:shd w:val="clear" w:color="auto" w:fill="FFFFFF"/>
        </w:rPr>
        <w:t>扬州市政府采购网”、“江苏省政府采购网”</w:t>
      </w:r>
      <w:r>
        <w:rPr>
          <w:rFonts w:ascii="Helvetica" w:hAnsi="Helvetica" w:eastAsia="Helvetica" w:cs="Helvetica"/>
          <w:color w:val="212529"/>
          <w:sz w:val="21"/>
          <w:szCs w:val="21"/>
          <w:shd w:val="clear" w:color="auto" w:fill="FFFFFF"/>
        </w:rPr>
        <w:t>获取</w:t>
      </w:r>
      <w:r>
        <w:rPr>
          <w:rFonts w:hint="eastAsia" w:ascii="Helvetica" w:hAnsi="Helvetica" w:cs="Helvetica"/>
          <w:color w:val="212529"/>
          <w:sz w:val="21"/>
          <w:szCs w:val="21"/>
          <w:shd w:val="clear" w:color="auto" w:fill="FFFFFF"/>
        </w:rPr>
        <w:t>竞争性磋商文件</w:t>
      </w:r>
      <w:r>
        <w:rPr>
          <w:rFonts w:ascii="Helvetica" w:hAnsi="Helvetica" w:eastAsia="Helvetica" w:cs="Helvetica"/>
          <w:color w:val="212529"/>
          <w:sz w:val="21"/>
          <w:szCs w:val="21"/>
          <w:shd w:val="clear" w:color="auto" w:fill="FFFFFF"/>
        </w:rPr>
        <w:t>，并于</w:t>
      </w:r>
      <w:r>
        <w:rPr>
          <w:rFonts w:ascii="Helvetica" w:hAnsi="Helvetica" w:eastAsia="Helvetica" w:cs="Helvetica"/>
          <w:color w:val="212529"/>
          <w:sz w:val="21"/>
          <w:szCs w:val="21"/>
          <w:u w:val="single"/>
          <w:shd w:val="clear" w:color="auto" w:fill="FFFFFF"/>
        </w:rPr>
        <w:t>2025年</w:t>
      </w:r>
      <w:r>
        <w:rPr>
          <w:rFonts w:hint="eastAsia" w:ascii="Helvetica" w:hAnsi="Helvetica" w:cs="Helvetica"/>
          <w:color w:val="212529"/>
          <w:sz w:val="21"/>
          <w:szCs w:val="21"/>
          <w:u w:val="single"/>
          <w:shd w:val="clear" w:color="auto" w:fill="FFFFFF"/>
          <w:lang w:val="en-US" w:eastAsia="zh-CN"/>
        </w:rPr>
        <w:t>10</w:t>
      </w:r>
      <w:r>
        <w:rPr>
          <w:rFonts w:ascii="Helvetica" w:hAnsi="Helvetica" w:eastAsia="Helvetica" w:cs="Helvetica"/>
          <w:color w:val="212529"/>
          <w:sz w:val="21"/>
          <w:szCs w:val="21"/>
          <w:u w:val="single"/>
          <w:shd w:val="clear" w:color="auto" w:fill="FFFFFF"/>
        </w:rPr>
        <w:t>月</w:t>
      </w:r>
      <w:r>
        <w:rPr>
          <w:rFonts w:hint="eastAsia" w:ascii="Helvetica" w:hAnsi="Helvetica" w:cs="Helvetica"/>
          <w:color w:val="212529"/>
          <w:sz w:val="21"/>
          <w:szCs w:val="21"/>
          <w:u w:val="single"/>
          <w:shd w:val="clear" w:color="auto" w:fill="FFFFFF"/>
          <w:lang w:val="en-US" w:eastAsia="zh-CN"/>
        </w:rPr>
        <w:t>28</w:t>
      </w:r>
      <w:r>
        <w:rPr>
          <w:rFonts w:ascii="Helvetica" w:hAnsi="Helvetica" w:eastAsia="Helvetica" w:cs="Helvetica"/>
          <w:color w:val="212529"/>
          <w:sz w:val="21"/>
          <w:szCs w:val="21"/>
          <w:u w:val="single"/>
          <w:shd w:val="clear" w:color="auto" w:fill="FFFFFF"/>
        </w:rPr>
        <w:t>日14时30分（北京时间）</w:t>
      </w:r>
      <w:r>
        <w:rPr>
          <w:rFonts w:ascii="Helvetica" w:hAnsi="Helvetica" w:eastAsia="Helvetica" w:cs="Helvetica"/>
          <w:color w:val="212529"/>
          <w:sz w:val="21"/>
          <w:szCs w:val="21"/>
          <w:shd w:val="clear" w:color="auto" w:fill="FFFFFF"/>
        </w:rPr>
        <w:t>前提交投标文件。</w:t>
      </w:r>
    </w:p>
    <w:p w14:paraId="769EA31F">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 </w:t>
      </w:r>
    </w:p>
    <w:p w14:paraId="3EE4C41D">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一</w:t>
      </w:r>
      <w:r>
        <w:rPr>
          <w:rStyle w:val="26"/>
          <w:rFonts w:ascii="Helvetica" w:hAnsi="Helvetica" w:eastAsia="Helvetica" w:cs="Helvetica"/>
          <w:bCs/>
          <w:color w:val="212529"/>
          <w:sz w:val="21"/>
          <w:szCs w:val="21"/>
          <w:shd w:val="clear" w:color="auto" w:fill="FFFFFF"/>
        </w:rPr>
        <w:t>、项目基本情况</w:t>
      </w:r>
    </w:p>
    <w:p w14:paraId="69445D15">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1、项目编号：</w:t>
      </w:r>
      <w:r>
        <w:rPr>
          <w:rFonts w:hint="eastAsia" w:ascii="Helvetica" w:hAnsi="Helvetica" w:eastAsia="Helvetica" w:cs="Helvetica"/>
          <w:color w:val="212529"/>
          <w:sz w:val="21"/>
          <w:szCs w:val="21"/>
          <w:shd w:val="clear" w:color="auto" w:fill="FFFFFF"/>
        </w:rPr>
        <w:t>JSZC-321012-YZCC-C2025-0011</w:t>
      </w:r>
    </w:p>
    <w:p w14:paraId="7EB3D294">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 w:val="21"/>
          <w:szCs w:val="21"/>
          <w:shd w:val="clear" w:color="auto" w:fill="FFFFFF"/>
        </w:rPr>
      </w:pPr>
      <w:r>
        <w:rPr>
          <w:rFonts w:ascii="Helvetica" w:hAnsi="Helvetica" w:eastAsia="Helvetica" w:cs="Helvetica"/>
          <w:color w:val="212529"/>
          <w:sz w:val="21"/>
          <w:szCs w:val="21"/>
          <w:shd w:val="clear" w:color="auto" w:fill="FFFFFF"/>
        </w:rPr>
        <w:t>2、项目名称：扬州空港新城产业发展</w:t>
      </w:r>
      <w:r>
        <w:rPr>
          <w:rFonts w:hint="eastAsia" w:ascii="Helvetica" w:hAnsi="Helvetica" w:cs="Helvetica"/>
          <w:color w:val="212529"/>
          <w:sz w:val="21"/>
          <w:szCs w:val="21"/>
          <w:shd w:val="clear" w:color="auto" w:fill="FFFFFF"/>
          <w:lang w:val="en-US" w:eastAsia="zh-CN"/>
        </w:rPr>
        <w:t>战略</w:t>
      </w:r>
      <w:r>
        <w:rPr>
          <w:rFonts w:ascii="Helvetica" w:hAnsi="Helvetica" w:eastAsia="Helvetica" w:cs="Helvetica"/>
          <w:color w:val="212529"/>
          <w:sz w:val="21"/>
          <w:szCs w:val="21"/>
          <w:shd w:val="clear" w:color="auto" w:fill="FFFFFF"/>
        </w:rPr>
        <w:t>规划</w:t>
      </w:r>
    </w:p>
    <w:p w14:paraId="53A283CE">
      <w:pPr>
        <w:pStyle w:val="22"/>
        <w:widowControl/>
        <w:shd w:val="clear" w:color="auto" w:fill="FFFFFF"/>
        <w:wordWrap w:val="0"/>
        <w:spacing w:before="0" w:beforeAutospacing="0" w:after="0" w:afterAutospacing="0" w:line="360" w:lineRule="atLeast"/>
        <w:ind w:firstLine="420"/>
        <w:jc w:val="both"/>
        <w:rPr>
          <w:rFonts w:ascii="Helvetica" w:hAnsi="Helvetica" w:cs="Helvetica"/>
          <w:color w:val="212529"/>
          <w:szCs w:val="24"/>
        </w:rPr>
      </w:pPr>
      <w:r>
        <w:rPr>
          <w:rFonts w:ascii="Helvetica" w:hAnsi="Helvetica" w:eastAsia="Helvetica" w:cs="Helvetica"/>
          <w:color w:val="212529"/>
          <w:sz w:val="21"/>
          <w:szCs w:val="21"/>
          <w:shd w:val="clear" w:color="auto" w:fill="FFFFFF"/>
        </w:rPr>
        <w:t>3、采购方式：</w:t>
      </w:r>
      <w:r>
        <w:rPr>
          <w:rFonts w:hint="eastAsia" w:ascii="Helvetica" w:hAnsi="Helvetica" w:cs="Helvetica"/>
          <w:color w:val="212529"/>
          <w:sz w:val="21"/>
          <w:szCs w:val="21"/>
          <w:shd w:val="clear" w:color="auto" w:fill="FFFFFF"/>
        </w:rPr>
        <w:t>竞争性磋商</w:t>
      </w:r>
    </w:p>
    <w:p w14:paraId="1CA76269">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4、预算金额：</w:t>
      </w:r>
      <w:r>
        <w:rPr>
          <w:rFonts w:hint="eastAsia" w:ascii="Helvetica" w:hAnsi="Helvetica" w:cs="Helvetica"/>
          <w:color w:val="212529"/>
          <w:sz w:val="21"/>
          <w:szCs w:val="21"/>
          <w:shd w:val="clear" w:color="auto" w:fill="FFFFFF"/>
        </w:rPr>
        <w:t>80</w:t>
      </w:r>
      <w:r>
        <w:rPr>
          <w:rFonts w:ascii="Helvetica" w:hAnsi="Helvetica" w:eastAsia="Helvetica" w:cs="Helvetica"/>
          <w:color w:val="212529"/>
          <w:sz w:val="21"/>
          <w:szCs w:val="21"/>
          <w:shd w:val="clear" w:color="auto" w:fill="FFFFFF"/>
        </w:rPr>
        <w:t>万元</w:t>
      </w:r>
    </w:p>
    <w:p w14:paraId="5C771130">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5、最高限价：</w:t>
      </w:r>
      <w:r>
        <w:rPr>
          <w:rFonts w:hint="eastAsia" w:ascii="Helvetica" w:hAnsi="Helvetica" w:cs="Helvetica"/>
          <w:color w:val="212529"/>
          <w:sz w:val="21"/>
          <w:szCs w:val="21"/>
          <w:shd w:val="clear" w:color="auto" w:fill="FFFFFF"/>
        </w:rPr>
        <w:t>80</w:t>
      </w:r>
      <w:r>
        <w:rPr>
          <w:rFonts w:ascii="Helvetica" w:hAnsi="Helvetica" w:eastAsia="Helvetica" w:cs="Helvetica"/>
          <w:color w:val="212529"/>
          <w:sz w:val="21"/>
          <w:szCs w:val="21"/>
          <w:shd w:val="clear" w:color="auto" w:fill="FFFFFF"/>
        </w:rPr>
        <w:t>万元，报价超过最高限价的视为无效响应文件。</w:t>
      </w:r>
    </w:p>
    <w:p w14:paraId="5EDB3D5F">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6、采购需求：详见第</w:t>
      </w:r>
      <w:r>
        <w:rPr>
          <w:rFonts w:hint="eastAsia" w:ascii="Helvetica" w:hAnsi="Helvetica" w:cs="Helvetica"/>
          <w:color w:val="212529"/>
          <w:sz w:val="21"/>
          <w:szCs w:val="21"/>
          <w:shd w:val="clear" w:color="auto" w:fill="FFFFFF"/>
        </w:rPr>
        <w:t>四</w:t>
      </w:r>
      <w:r>
        <w:rPr>
          <w:rFonts w:ascii="Helvetica" w:hAnsi="Helvetica" w:eastAsia="Helvetica" w:cs="Helvetica"/>
          <w:color w:val="212529"/>
          <w:sz w:val="21"/>
          <w:szCs w:val="21"/>
          <w:shd w:val="clear" w:color="auto" w:fill="FFFFFF"/>
        </w:rPr>
        <w:t>章项目招标要求</w:t>
      </w:r>
    </w:p>
    <w:p w14:paraId="1BCE44AC">
      <w:pPr>
        <w:pStyle w:val="22"/>
        <w:widowControl/>
        <w:shd w:val="clear" w:color="auto" w:fill="FFFFFF"/>
        <w:wordWrap w:val="0"/>
        <w:spacing w:before="0" w:beforeAutospacing="0" w:after="0" w:afterAutospacing="0" w:line="360" w:lineRule="atLeast"/>
        <w:ind w:firstLine="420"/>
        <w:jc w:val="both"/>
        <w:rPr>
          <w:rFonts w:ascii="Helvetica" w:hAnsi="Helvetica" w:cs="Helvetica"/>
          <w:color w:val="212529"/>
          <w:szCs w:val="24"/>
        </w:rPr>
      </w:pPr>
      <w:r>
        <w:rPr>
          <w:rFonts w:ascii="Helvetica" w:hAnsi="Helvetica" w:eastAsia="Helvetica" w:cs="Helvetica"/>
          <w:color w:val="212529"/>
          <w:sz w:val="21"/>
          <w:szCs w:val="21"/>
          <w:shd w:val="clear" w:color="auto" w:fill="FFFFFF"/>
        </w:rPr>
        <w:t>7、服务期限：自合同签订之日起至2025年12月31日前提交全部成果</w:t>
      </w:r>
    </w:p>
    <w:p w14:paraId="532D482F">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8、本项目不接受联合体投标，不接受中标后分包</w:t>
      </w:r>
    </w:p>
    <w:p w14:paraId="0B371AC7">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二</w:t>
      </w:r>
      <w:r>
        <w:rPr>
          <w:rStyle w:val="26"/>
          <w:rFonts w:ascii="Helvetica" w:hAnsi="Helvetica" w:eastAsia="Helvetica" w:cs="Helvetica"/>
          <w:bCs/>
          <w:color w:val="212529"/>
          <w:sz w:val="21"/>
          <w:szCs w:val="21"/>
          <w:shd w:val="clear" w:color="auto" w:fill="FFFFFF"/>
        </w:rPr>
        <w:t>、申请人的资格要求：</w:t>
      </w:r>
    </w:p>
    <w:p w14:paraId="0350DD6F">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ascii="Helvetica" w:hAnsi="Helvetica" w:eastAsia="Helvetica" w:cs="Helvetica"/>
          <w:i w:val="0"/>
          <w:iCs w:val="0"/>
          <w:color w:val="212529"/>
          <w:sz w:val="21"/>
          <w:szCs w:val="21"/>
          <w:u w:val="none"/>
          <w:shd w:val="clear" w:color="auto" w:fill="FFFFFF"/>
        </w:rPr>
      </w:pPr>
      <w:bookmarkStart w:id="7" w:name="_Toc28359001"/>
      <w:bookmarkEnd w:id="7"/>
      <w:r>
        <w:rPr>
          <w:rFonts w:hint="eastAsia" w:ascii="Helvetica" w:hAnsi="Helvetica" w:eastAsia="Helvetica" w:cs="Helvetica"/>
          <w:i w:val="0"/>
          <w:iCs w:val="0"/>
          <w:color w:val="212529"/>
          <w:sz w:val="21"/>
          <w:szCs w:val="21"/>
          <w:u w:val="none"/>
          <w:shd w:val="clear" w:color="auto" w:fill="FFFFFF"/>
        </w:rPr>
        <w:t>1.满足《中华人民共和国政府采购法》第二十二条规定；</w:t>
      </w:r>
    </w:p>
    <w:p w14:paraId="70080B77">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1.1法人或者其他组织的营业执照等证明文件，自然人的身份证明（身份证为正、反面）</w:t>
      </w:r>
    </w:p>
    <w:p w14:paraId="2521396B">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1.2 依法缴纳职工社会保障资金的证明材料（可提供“基本资格条件承诺函”）</w:t>
      </w:r>
    </w:p>
    <w:p w14:paraId="537786C8">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1.3 投标人依法纳税的缴款凭证（可提供“基本资格条件承诺函”）</w:t>
      </w:r>
    </w:p>
    <w:p w14:paraId="51A85F9D">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1.4 上一年度的财务报告情况(成立不满一年不需提供)（可提供“基本资格条件承诺函”）</w:t>
      </w:r>
    </w:p>
    <w:p w14:paraId="59FEE76E">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1.5 具备履行合同所必需的设备和专业技术能力的证明材料（可提供“基本资格条件承诺函”）</w:t>
      </w:r>
    </w:p>
    <w:p w14:paraId="3100931A">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1.6 参加本次政府采购活动前3年内在经营活动中没有重大违法记录的书面声明（可提供“基本资格条件承诺函”）</w:t>
      </w:r>
    </w:p>
    <w:p w14:paraId="627DA896">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1.7 未被“信用中国”网站（http://www.creditchina.gov.cn）、“中国政府采购网"(http://www.ccgp.gov.cn)列入失信被执行人、重大税收违法案件当事人名单、政府采购严重违法失信行为记录名单（可提供“基本资格条件承诺函”）</w:t>
      </w:r>
    </w:p>
    <w:p w14:paraId="65131545">
      <w:pPr>
        <w:pStyle w:val="2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360" w:lineRule="auto"/>
        <w:ind w:firstLine="420"/>
        <w:jc w:val="both"/>
        <w:textAlignment w:val="auto"/>
        <w:rPr>
          <w:rFonts w:hint="eastAsia" w:ascii="Helvetica" w:hAnsi="Helvetica" w:eastAsia="Helvetica" w:cs="Helvetica"/>
          <w:i/>
          <w:iCs/>
          <w:color w:val="212529"/>
          <w:sz w:val="21"/>
          <w:szCs w:val="21"/>
          <w:u w:val="single"/>
          <w:shd w:val="clear" w:color="auto" w:fill="FFFFFF"/>
        </w:rPr>
      </w:pPr>
      <w:r>
        <w:rPr>
          <w:rFonts w:hint="eastAsia" w:ascii="Helvetica" w:hAnsi="Helvetica" w:eastAsia="Helvetica" w:cs="Helvetica"/>
          <w:i/>
          <w:iCs/>
          <w:color w:val="212529"/>
          <w:sz w:val="21"/>
          <w:szCs w:val="21"/>
          <w:u w:val="single"/>
          <w:shd w:val="clear" w:color="auto" w:fill="FFFFFF"/>
        </w:rPr>
        <w:t>1.8供应商信用承诺函</w:t>
      </w:r>
    </w:p>
    <w:p w14:paraId="0B52806D">
      <w:pPr>
        <w:pStyle w:val="22"/>
        <w:widowControl/>
        <w:numPr>
          <w:ilvl w:val="0"/>
          <w:numId w:val="0"/>
        </w:numPr>
        <w:shd w:val="clear" w:color="auto" w:fill="FFFFFF"/>
        <w:wordWrap w:val="0"/>
        <w:spacing w:before="0" w:beforeAutospacing="0" w:after="0" w:afterAutospacing="0" w:line="360" w:lineRule="atLeast"/>
        <w:ind w:firstLine="420" w:firstLineChars="0"/>
        <w:jc w:val="both"/>
        <w:rPr>
          <w:rStyle w:val="27"/>
          <w:rFonts w:hint="default" w:ascii="Helvetica" w:hAnsi="Helvetica" w:eastAsia="宋体" w:cs="Helvetica"/>
          <w:i w:val="0"/>
          <w:color w:val="212529"/>
          <w:sz w:val="21"/>
          <w:szCs w:val="21"/>
          <w:u w:val="single"/>
          <w:shd w:val="clear" w:color="auto" w:fill="FFFFFF"/>
          <w:lang w:val="en-US" w:eastAsia="zh-CN"/>
        </w:rPr>
      </w:pPr>
      <w:r>
        <w:rPr>
          <w:rFonts w:ascii="Helvetica" w:hAnsi="Helvetica" w:eastAsia="Helvetica" w:cs="Helvetica"/>
          <w:i w:val="0"/>
          <w:color w:val="212529"/>
          <w:kern w:val="0"/>
          <w:sz w:val="21"/>
          <w:szCs w:val="21"/>
          <w:shd w:val="clear" w:fill="FFFFFF"/>
          <w:lang w:val="en-US" w:eastAsia="zh-CN" w:bidi="ar-SA"/>
        </w:rPr>
        <w:t>2、</w:t>
      </w:r>
      <w:r>
        <w:rPr>
          <w:rStyle w:val="27"/>
          <w:rFonts w:ascii="Helvetica" w:hAnsi="Helvetica" w:eastAsia="Helvetica" w:cs="Helvetica"/>
          <w:i w:val="0"/>
          <w:color w:val="212529"/>
          <w:sz w:val="21"/>
          <w:szCs w:val="21"/>
          <w:shd w:val="clear" w:color="auto" w:fill="FFFFFF"/>
        </w:rPr>
        <w:t>落实采购政策需满足的资格要求：</w:t>
      </w:r>
      <w:r>
        <w:rPr>
          <w:rStyle w:val="27"/>
          <w:rFonts w:hint="eastAsia" w:ascii="Helvetica" w:hAnsi="Helvetica" w:cs="Helvetica"/>
          <w:i w:val="0"/>
          <w:color w:val="212529"/>
          <w:sz w:val="21"/>
          <w:szCs w:val="21"/>
          <w:u w:val="single"/>
          <w:shd w:val="clear" w:color="auto" w:fill="FFFFFF"/>
          <w:lang w:val="en-US" w:eastAsia="zh-CN"/>
        </w:rPr>
        <w:t xml:space="preserve">   /   </w:t>
      </w:r>
    </w:p>
    <w:p w14:paraId="400B795A">
      <w:pPr>
        <w:pStyle w:val="22"/>
        <w:widowControl/>
        <w:numPr>
          <w:ilvl w:val="0"/>
          <w:numId w:val="0"/>
        </w:numPr>
        <w:shd w:val="clear" w:color="auto" w:fill="FFFFFF"/>
        <w:wordWrap w:val="0"/>
        <w:spacing w:before="0" w:beforeAutospacing="0" w:after="0" w:afterAutospacing="0" w:line="360" w:lineRule="atLeast"/>
        <w:ind w:firstLine="420" w:firstLineChars="0"/>
        <w:jc w:val="both"/>
        <w:rPr>
          <w:rFonts w:ascii="Helvetica" w:hAnsi="Helvetica" w:eastAsia="Helvetica" w:cs="Helvetica"/>
          <w:b/>
          <w:bCs/>
          <w:i/>
          <w:iCs/>
          <w:color w:val="212529"/>
          <w:sz w:val="21"/>
          <w:szCs w:val="21"/>
          <w:u w:val="single"/>
          <w:shd w:val="clear" w:color="auto" w:fill="FFFFFF"/>
        </w:rPr>
      </w:pPr>
      <w:r>
        <w:rPr>
          <w:rFonts w:ascii="Helvetica" w:hAnsi="Helvetica" w:eastAsia="Helvetica" w:cs="Helvetica"/>
          <w:i/>
          <w:iCs/>
          <w:color w:val="212529"/>
          <w:sz w:val="21"/>
          <w:szCs w:val="21"/>
          <w:u w:val="single"/>
          <w:shd w:val="clear" w:color="auto" w:fill="FFFFFF"/>
        </w:rPr>
        <w:t>3、本项目的特定资格要求：</w:t>
      </w:r>
      <w:r>
        <w:rPr>
          <w:rFonts w:hint="eastAsia" w:ascii="Helvetica" w:hAnsi="Helvetica" w:cs="Helvetica"/>
          <w:b/>
          <w:bCs/>
          <w:i/>
          <w:iCs/>
          <w:color w:val="212529"/>
          <w:sz w:val="21"/>
          <w:szCs w:val="21"/>
          <w:u w:val="single"/>
          <w:shd w:val="clear" w:color="auto" w:fill="FFFFFF"/>
        </w:rPr>
        <w:t>供应商</w:t>
      </w:r>
      <w:r>
        <w:rPr>
          <w:rFonts w:ascii="Helvetica" w:hAnsi="Helvetica" w:eastAsia="Helvetica" w:cs="Helvetica"/>
          <w:b/>
          <w:bCs/>
          <w:i/>
          <w:iCs/>
          <w:color w:val="212529"/>
          <w:sz w:val="21"/>
          <w:szCs w:val="21"/>
          <w:u w:val="single"/>
          <w:shd w:val="clear" w:color="auto" w:fill="FFFFFF"/>
        </w:rPr>
        <w:t>具有有效的城乡规划编制甲级资质证书</w:t>
      </w:r>
    </w:p>
    <w:p w14:paraId="133B4F35">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bookmarkStart w:id="8" w:name="_Toc35393631"/>
      <w:bookmarkEnd w:id="8"/>
      <w:r>
        <w:rPr>
          <w:rFonts w:ascii="Helvetica" w:hAnsi="Helvetica" w:eastAsia="Helvetica" w:cs="Helvetica"/>
          <w:color w:val="212529"/>
          <w:sz w:val="21"/>
          <w:szCs w:val="21"/>
          <w:shd w:val="clear" w:color="auto" w:fill="FFFFFF"/>
        </w:rPr>
        <w:t>4、拒绝下述供应商参加本次采购活动：</w:t>
      </w:r>
    </w:p>
    <w:p w14:paraId="655A721A">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w:t>
      </w:r>
      <w:r>
        <w:rPr>
          <w:rFonts w:ascii="Helvetica" w:hAnsi="Helvetica" w:eastAsia="Helvetica" w:cs="Helvetica"/>
          <w:color w:val="212529"/>
          <w:sz w:val="21"/>
          <w:szCs w:val="21"/>
          <w:shd w:val="clear" w:color="auto" w:fill="FFFFFF"/>
        </w:rPr>
        <w:t>1）供应商单位负责人为同一人或者存在直接控股、管理关系的不同供应商，不得参加同一合同项下的政府采购活动。</w:t>
      </w:r>
    </w:p>
    <w:p w14:paraId="59D84515">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w:t>
      </w:r>
      <w:r>
        <w:rPr>
          <w:rFonts w:ascii="Helvetica" w:hAnsi="Helvetica" w:eastAsia="Helvetica" w:cs="Helvetica"/>
          <w:color w:val="212529"/>
          <w:sz w:val="21"/>
          <w:szCs w:val="21"/>
          <w:shd w:val="clear" w:color="auto" w:fill="FFFFFF"/>
        </w:rPr>
        <w:t>2）凡为采购项目提供整体设计、规范编制或者项目管理、监理、检测等服务的供应商，不得再参加该项目的其他采购活动。</w:t>
      </w:r>
    </w:p>
    <w:p w14:paraId="58DF1736">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w:t>
      </w:r>
      <w:r>
        <w:rPr>
          <w:rFonts w:ascii="Helvetica" w:hAnsi="Helvetica" w:eastAsia="Helvetica" w:cs="Helvetica"/>
          <w:color w:val="212529"/>
          <w:sz w:val="21"/>
          <w:szCs w:val="21"/>
          <w:shd w:val="clear" w:color="auto" w:fill="FFFFFF"/>
        </w:rPr>
        <w:t>3）供应商被“信用中国”网站（www.creditchina.gov.cn）、“中国政府采购网"(www.ccgp.gov.cn)列入失信被执行人、重大税收违法案件当事人名单、政府采购严重违法失信行为记录名单。</w:t>
      </w:r>
    </w:p>
    <w:p w14:paraId="018A51A1">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三</w:t>
      </w:r>
      <w:r>
        <w:rPr>
          <w:rStyle w:val="26"/>
          <w:rFonts w:ascii="Helvetica" w:hAnsi="Helvetica" w:eastAsia="Helvetica" w:cs="Helvetica"/>
          <w:bCs/>
          <w:color w:val="212529"/>
          <w:sz w:val="21"/>
          <w:szCs w:val="21"/>
          <w:shd w:val="clear" w:color="auto" w:fill="FFFFFF"/>
        </w:rPr>
        <w:t>、获取采购文件</w:t>
      </w:r>
    </w:p>
    <w:p w14:paraId="326A4D41">
      <w:pPr>
        <w:pStyle w:val="22"/>
        <w:widowControl/>
        <w:shd w:val="clear" w:color="auto" w:fill="FFFFFF"/>
        <w:wordWrap w:val="0"/>
        <w:spacing w:before="0" w:beforeAutospacing="0" w:after="0" w:afterAutospacing="0" w:line="360" w:lineRule="atLeast"/>
        <w:ind w:firstLine="525"/>
        <w:jc w:val="both"/>
        <w:rPr>
          <w:rFonts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lang w:val="en-US" w:eastAsia="zh-CN"/>
        </w:rPr>
        <w:t>1.</w:t>
      </w:r>
      <w:r>
        <w:rPr>
          <w:rFonts w:hint="eastAsia" w:ascii="宋体" w:hAnsi="宋体" w:cs="宋体"/>
          <w:color w:val="212529"/>
          <w:sz w:val="21"/>
          <w:szCs w:val="21"/>
          <w:shd w:val="clear" w:color="auto" w:fill="FFFFFF"/>
        </w:rPr>
        <w:t>地</w:t>
      </w:r>
      <w:r>
        <w:rPr>
          <w:rFonts w:ascii="Helvetica" w:hAnsi="Helvetica" w:eastAsia="Helvetica" w:cs="Helvetica"/>
          <w:color w:val="212529"/>
          <w:sz w:val="21"/>
          <w:szCs w:val="21"/>
          <w:shd w:val="clear" w:color="auto" w:fill="FFFFFF"/>
        </w:rPr>
        <w:t>点：</w:t>
      </w:r>
      <w:r>
        <w:rPr>
          <w:rFonts w:hint="eastAsia" w:ascii="Helvetica" w:hAnsi="Helvetica" w:eastAsia="Helvetica" w:cs="Helvetica"/>
          <w:color w:val="212529"/>
          <w:sz w:val="21"/>
          <w:szCs w:val="21"/>
          <w:shd w:val="clear" w:color="auto" w:fill="FFFFFF"/>
        </w:rPr>
        <w:t>扬州市政府采购网”、“江苏省政府采购网”</w:t>
      </w:r>
    </w:p>
    <w:p w14:paraId="4D9CCB61">
      <w:pPr>
        <w:pStyle w:val="22"/>
        <w:widowControl/>
        <w:shd w:val="clear" w:color="auto" w:fill="FFFFFF"/>
        <w:wordWrap w:val="0"/>
        <w:spacing w:before="0" w:beforeAutospacing="0" w:after="0" w:afterAutospacing="0" w:line="360" w:lineRule="atLeast"/>
        <w:ind w:firstLine="540"/>
        <w:jc w:val="both"/>
        <w:rPr>
          <w:rFonts w:ascii="Helvetica" w:hAnsi="Helvetica" w:eastAsia="Helvetica" w:cs="Helvetica"/>
          <w:color w:val="212529"/>
          <w:sz w:val="21"/>
          <w:szCs w:val="21"/>
          <w:shd w:val="clear" w:color="auto" w:fill="FFFFFF"/>
        </w:rPr>
      </w:pPr>
      <w:r>
        <w:rPr>
          <w:rFonts w:hint="eastAsia" w:ascii="Helvetica" w:hAnsi="Helvetica" w:cs="Helvetica"/>
          <w:color w:val="212529"/>
          <w:sz w:val="21"/>
          <w:szCs w:val="21"/>
          <w:shd w:val="clear" w:color="auto" w:fill="FFFFFF"/>
          <w:lang w:val="en-US" w:eastAsia="zh-CN"/>
        </w:rPr>
        <w:t>2.售</w:t>
      </w:r>
      <w:r>
        <w:rPr>
          <w:rFonts w:ascii="Helvetica" w:hAnsi="Helvetica" w:eastAsia="Helvetica" w:cs="Helvetica"/>
          <w:color w:val="212529"/>
          <w:sz w:val="21"/>
          <w:szCs w:val="21"/>
          <w:shd w:val="clear" w:color="auto" w:fill="FFFFFF"/>
        </w:rPr>
        <w:t>价：人民币</w:t>
      </w:r>
      <w:r>
        <w:rPr>
          <w:rFonts w:hint="eastAsia" w:ascii="Helvetica" w:hAnsi="Helvetica" w:cs="Helvetica"/>
          <w:color w:val="212529"/>
          <w:sz w:val="21"/>
          <w:szCs w:val="21"/>
          <w:shd w:val="clear" w:color="auto" w:fill="FFFFFF"/>
          <w:lang w:val="en-US" w:eastAsia="zh-CN"/>
        </w:rPr>
        <w:t>0.00</w:t>
      </w:r>
      <w:r>
        <w:rPr>
          <w:rFonts w:ascii="Helvetica" w:hAnsi="Helvetica" w:eastAsia="Helvetica" w:cs="Helvetica"/>
          <w:color w:val="212529"/>
          <w:sz w:val="21"/>
          <w:szCs w:val="21"/>
          <w:shd w:val="clear" w:color="auto" w:fill="FFFFFF"/>
        </w:rPr>
        <w:t>元/份。</w:t>
      </w:r>
    </w:p>
    <w:p w14:paraId="667D61E4">
      <w:pPr>
        <w:pStyle w:val="22"/>
        <w:widowControl/>
        <w:shd w:val="clear" w:color="auto" w:fill="FFFFFF"/>
        <w:wordWrap w:val="0"/>
        <w:spacing w:before="0" w:beforeAutospacing="0" w:after="0" w:afterAutospacing="0" w:line="360" w:lineRule="atLeast"/>
        <w:ind w:firstLine="540"/>
        <w:jc w:val="both"/>
        <w:rPr>
          <w:rFonts w:ascii="Helvetica" w:hAnsi="Helvetica" w:eastAsia="Helvetica" w:cs="Helvetica"/>
          <w:color w:val="212529"/>
          <w:sz w:val="21"/>
          <w:szCs w:val="21"/>
          <w:shd w:val="clear" w:color="auto" w:fill="FFFFFF"/>
        </w:rPr>
      </w:pPr>
      <w:r>
        <w:rPr>
          <w:rFonts w:hint="eastAsia" w:ascii="Helvetica" w:hAnsi="Helvetica" w:cs="Helvetica"/>
          <w:color w:val="212529"/>
          <w:sz w:val="21"/>
          <w:szCs w:val="21"/>
          <w:shd w:val="clear" w:color="auto" w:fill="FFFFFF"/>
          <w:lang w:val="en-US" w:eastAsia="zh-CN"/>
        </w:rPr>
        <w:t>3</w:t>
      </w:r>
      <w:r>
        <w:rPr>
          <w:rFonts w:hint="eastAsia" w:ascii="Helvetica" w:hAnsi="Helvetica" w:eastAsia="Helvetica" w:cs="Helvetica"/>
          <w:color w:val="212529"/>
          <w:sz w:val="21"/>
          <w:szCs w:val="21"/>
          <w:shd w:val="clear" w:color="auto" w:fill="FFFFFF"/>
        </w:rPr>
        <w:t>.获取方式：本项目采用网上注册登记方式。</w:t>
      </w:r>
    </w:p>
    <w:p w14:paraId="7F329B04">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cs="Helvetica"/>
          <w:color w:val="212529"/>
          <w:sz w:val="21"/>
          <w:szCs w:val="21"/>
          <w:shd w:val="clear" w:color="auto" w:fill="FFFFFF"/>
          <w:lang w:val="en-US" w:eastAsia="zh-CN"/>
        </w:rPr>
        <w:t>4</w:t>
      </w:r>
      <w:r>
        <w:rPr>
          <w:rFonts w:hint="eastAsia" w:ascii="Helvetica" w:hAnsi="Helvetica" w:eastAsia="Helvetica" w:cs="Helvetica"/>
          <w:color w:val="212529"/>
          <w:sz w:val="21"/>
          <w:szCs w:val="21"/>
          <w:shd w:val="clear" w:color="auto" w:fill="FFFFFF"/>
        </w:rPr>
        <w:t>.潜在投标人访问政府采购管理交易系统（苏采云）的网络地址和方法：</w:t>
      </w:r>
    </w:p>
    <w:p w14:paraId="5C9A5EE7">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1）潜在供应商访问政府采购管理交易系统（苏采云）的方法：“苏采云”系统用户注册--获取“CA数字证书”--CA绑定与登录--网上报名--下载采购文件（后缀名为“.kedt”）--将后缀名为“.kedt”的采购文件导入政府采购客户端工具--制作投标文件--导出加密的投标文件（后缀名为zip）--通过“苏采云”系统上传投标文件。</w:t>
      </w:r>
    </w:p>
    <w:p w14:paraId="23C8231F">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（2）“CA数字证书”的获取：供应商需办理CA锁，“苏采云”系统目前仅支持“苏采云”系统下的政务CA，省内各地区办理的“苏采云”系统下的政务CA全省通用。</w:t>
      </w:r>
    </w:p>
    <w:p w14:paraId="6B7CEBBE">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（3）“CA数字证书”的办理材料以及供应商操作手册详见：</w:t>
      </w:r>
    </w:p>
    <w:p w14:paraId="05B0284A">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http://zfcg.yangzhou.gov.cn/xzzx/art/2023/art_4d7de1f7865f4a2894fc22bc452f94d8.html。</w:t>
      </w:r>
    </w:p>
    <w:p w14:paraId="53F51830">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（4）潜在供应商访问“苏采云”系统的网络地址和方法：“苏采云”系统的网址：http://jszfcg.jsczt.cn/。</w:t>
      </w:r>
    </w:p>
    <w:p w14:paraId="1AC7C2D5">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（5）采购文件（后缀名为“.kedt”）、供应商操作手册及政府采购客户端工具也可通过“苏采云”系统--已报名项目--报名详情页面内相应链接进行下载。</w:t>
      </w:r>
    </w:p>
    <w:p w14:paraId="0385ACCB">
      <w:pPr>
        <w:pStyle w:val="22"/>
        <w:widowControl/>
        <w:shd w:val="clear" w:color="auto" w:fill="FFFFFF"/>
        <w:wordWrap w:val="0"/>
        <w:spacing w:before="0" w:beforeAutospacing="0" w:after="0" w:afterAutospacing="0" w:line="360" w:lineRule="atLeast"/>
        <w:ind w:firstLine="540"/>
        <w:jc w:val="both"/>
        <w:rPr>
          <w:rFonts w:hint="eastAsia"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（6）招标代理机构（采购代理机构）将数据电文形式的采购文件加载至“苏采云”系统，供潜在供应商下载或者查阅。</w:t>
      </w:r>
    </w:p>
    <w:p w14:paraId="654E28AC">
      <w:pPr>
        <w:pStyle w:val="22"/>
        <w:widowControl/>
        <w:shd w:val="clear" w:color="auto" w:fill="FFFFFF"/>
        <w:wordWrap w:val="0"/>
        <w:spacing w:before="0" w:beforeAutospacing="0" w:after="0" w:afterAutospacing="0" w:line="360" w:lineRule="atLeast"/>
        <w:ind w:firstLine="540"/>
        <w:jc w:val="both"/>
        <w:rPr>
          <w:rFonts w:ascii="Helvetica" w:hAnsi="Helvetica" w:eastAsia="Helvetica" w:cs="Helvetica"/>
          <w:color w:val="212529"/>
          <w:sz w:val="21"/>
          <w:szCs w:val="21"/>
          <w:shd w:val="clear" w:color="auto" w:fill="FFFFFF"/>
        </w:rPr>
      </w:pPr>
      <w:r>
        <w:rPr>
          <w:rFonts w:hint="eastAsia" w:ascii="Helvetica" w:hAnsi="Helvetica" w:eastAsia="Helvetica" w:cs="Helvetica"/>
          <w:color w:val="212529"/>
          <w:sz w:val="21"/>
          <w:szCs w:val="21"/>
          <w:shd w:val="clear" w:color="auto" w:fill="FFFFFF"/>
        </w:rPr>
        <w:t>（7）苏采云系统使用谷歌浏览器参与不见面开标。</w:t>
      </w:r>
    </w:p>
    <w:p w14:paraId="29D9300C">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四</w:t>
      </w:r>
      <w:r>
        <w:rPr>
          <w:rStyle w:val="26"/>
          <w:rFonts w:ascii="Helvetica" w:hAnsi="Helvetica" w:eastAsia="Helvetica" w:cs="Helvetica"/>
          <w:bCs/>
          <w:color w:val="212529"/>
          <w:sz w:val="21"/>
          <w:szCs w:val="21"/>
          <w:shd w:val="clear" w:color="auto" w:fill="FFFFFF"/>
        </w:rPr>
        <w:t>、响应文件提交</w:t>
      </w:r>
    </w:p>
    <w:p w14:paraId="0C150186">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截</w:t>
      </w:r>
      <w:r>
        <w:rPr>
          <w:rFonts w:ascii="Helvetica" w:hAnsi="Helvetica" w:eastAsia="Helvetica" w:cs="Helvetica"/>
          <w:color w:val="212529"/>
          <w:sz w:val="21"/>
          <w:szCs w:val="21"/>
          <w:shd w:val="clear" w:color="auto" w:fill="FFFFFF"/>
        </w:rPr>
        <w:t>止时间：2025年</w:t>
      </w:r>
      <w:r>
        <w:rPr>
          <w:rFonts w:hint="eastAsia" w:ascii="Helvetica" w:hAnsi="Helvetica" w:cs="Helvetica"/>
          <w:color w:val="212529"/>
          <w:sz w:val="21"/>
          <w:szCs w:val="21"/>
          <w:shd w:val="clear" w:color="auto" w:fill="FFFFFF"/>
          <w:lang w:val="en-US" w:eastAsia="zh-CN"/>
        </w:rPr>
        <w:t>10</w:t>
      </w:r>
      <w:r>
        <w:rPr>
          <w:rFonts w:ascii="Helvetica" w:hAnsi="Helvetica" w:eastAsia="Helvetica" w:cs="Helvetica"/>
          <w:color w:val="212529"/>
          <w:sz w:val="21"/>
          <w:szCs w:val="21"/>
          <w:shd w:val="clear" w:color="auto" w:fill="FFFFFF"/>
        </w:rPr>
        <w:t>月</w:t>
      </w:r>
      <w:r>
        <w:rPr>
          <w:rFonts w:hint="eastAsia" w:ascii="Helvetica" w:hAnsi="Helvetica" w:cs="Helvetica"/>
          <w:color w:val="212529"/>
          <w:sz w:val="21"/>
          <w:szCs w:val="21"/>
          <w:shd w:val="clear" w:color="auto" w:fill="FFFFFF"/>
          <w:lang w:val="en-US" w:eastAsia="zh-CN"/>
        </w:rPr>
        <w:t>28</w:t>
      </w:r>
      <w:r>
        <w:rPr>
          <w:rFonts w:ascii="Helvetica" w:hAnsi="Helvetica" w:eastAsia="Helvetica" w:cs="Helvetica"/>
          <w:color w:val="212529"/>
          <w:sz w:val="21"/>
          <w:szCs w:val="21"/>
          <w:shd w:val="clear" w:color="auto" w:fill="FFFFFF"/>
        </w:rPr>
        <w:t>日14时30分（北京时间）</w:t>
      </w:r>
    </w:p>
    <w:p w14:paraId="5445645C">
      <w:pPr>
        <w:pStyle w:val="22"/>
        <w:widowControl/>
        <w:shd w:val="clear" w:color="auto" w:fill="FFFFFF"/>
        <w:wordWrap w:val="0"/>
        <w:spacing w:before="0" w:beforeAutospacing="0" w:after="0" w:afterAutospacing="0" w:line="360" w:lineRule="atLeast"/>
        <w:ind w:firstLine="420"/>
        <w:jc w:val="both"/>
        <w:rPr>
          <w:rFonts w:hint="eastAsia" w:ascii="Helvetica" w:hAnsi="Helvetica" w:cs="Helvetica"/>
          <w:color w:val="212529"/>
          <w:sz w:val="21"/>
          <w:szCs w:val="21"/>
          <w:shd w:val="clear" w:color="auto" w:fill="FFFFFF"/>
        </w:rPr>
      </w:pPr>
      <w:r>
        <w:rPr>
          <w:rFonts w:hint="eastAsia" w:ascii="宋体" w:hAnsi="宋体" w:cs="宋体"/>
          <w:color w:val="212529"/>
          <w:sz w:val="21"/>
          <w:szCs w:val="21"/>
          <w:shd w:val="clear" w:color="auto" w:fill="FFFFFF"/>
        </w:rPr>
        <w:t>地</w:t>
      </w:r>
      <w:r>
        <w:rPr>
          <w:rFonts w:ascii="Helvetica" w:hAnsi="Helvetica" w:eastAsia="Helvetica" w:cs="Helvetica"/>
          <w:color w:val="212529"/>
          <w:sz w:val="21"/>
          <w:szCs w:val="21"/>
          <w:shd w:val="clear" w:color="auto" w:fill="FFFFFF"/>
        </w:rPr>
        <w:t>点：</w:t>
      </w:r>
      <w:r>
        <w:rPr>
          <w:rFonts w:hint="eastAsia" w:ascii="Helvetica" w:hAnsi="Helvetica" w:cs="Helvetica"/>
          <w:color w:val="212529"/>
          <w:sz w:val="21"/>
          <w:szCs w:val="21"/>
          <w:shd w:val="clear" w:color="auto" w:fill="FFFFFF"/>
        </w:rPr>
        <w:t>“苏采云”系统（网址：http://jszfcg.jsczt.cn/）“开标大厅”</w:t>
      </w:r>
    </w:p>
    <w:p w14:paraId="2DB10AA2">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五</w:t>
      </w:r>
      <w:r>
        <w:rPr>
          <w:rStyle w:val="26"/>
          <w:rFonts w:ascii="Helvetica" w:hAnsi="Helvetica" w:eastAsia="Helvetica" w:cs="Helvetica"/>
          <w:bCs/>
          <w:color w:val="212529"/>
          <w:sz w:val="21"/>
          <w:szCs w:val="21"/>
          <w:shd w:val="clear" w:color="auto" w:fill="FFFFFF"/>
        </w:rPr>
        <w:t>、开启</w:t>
      </w:r>
    </w:p>
    <w:p w14:paraId="7BF1C17D">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时</w:t>
      </w:r>
      <w:r>
        <w:rPr>
          <w:rFonts w:ascii="Helvetica" w:hAnsi="Helvetica" w:eastAsia="Helvetica" w:cs="Helvetica"/>
          <w:color w:val="212529"/>
          <w:sz w:val="21"/>
          <w:szCs w:val="21"/>
          <w:shd w:val="clear" w:color="auto" w:fill="FFFFFF"/>
        </w:rPr>
        <w:t>间：2025年</w:t>
      </w:r>
      <w:r>
        <w:rPr>
          <w:rFonts w:hint="eastAsia" w:ascii="Helvetica" w:hAnsi="Helvetica" w:cs="Helvetica"/>
          <w:color w:val="212529"/>
          <w:sz w:val="21"/>
          <w:szCs w:val="21"/>
          <w:shd w:val="clear" w:color="auto" w:fill="FFFFFF"/>
          <w:lang w:val="en-US" w:eastAsia="zh-CN"/>
        </w:rPr>
        <w:t>10</w:t>
      </w:r>
      <w:r>
        <w:rPr>
          <w:rFonts w:ascii="Helvetica" w:hAnsi="Helvetica" w:eastAsia="Helvetica" w:cs="Helvetica"/>
          <w:color w:val="212529"/>
          <w:sz w:val="21"/>
          <w:szCs w:val="21"/>
          <w:shd w:val="clear" w:color="auto" w:fill="FFFFFF"/>
        </w:rPr>
        <w:t>月</w:t>
      </w:r>
      <w:r>
        <w:rPr>
          <w:rFonts w:hint="eastAsia" w:ascii="Helvetica" w:hAnsi="Helvetica" w:cs="Helvetica"/>
          <w:color w:val="212529"/>
          <w:sz w:val="21"/>
          <w:szCs w:val="21"/>
          <w:shd w:val="clear" w:color="auto" w:fill="FFFFFF"/>
          <w:lang w:val="en-US" w:eastAsia="zh-CN"/>
        </w:rPr>
        <w:t>28</w:t>
      </w:r>
      <w:r>
        <w:rPr>
          <w:rFonts w:ascii="Helvetica" w:hAnsi="Helvetica" w:eastAsia="Helvetica" w:cs="Helvetica"/>
          <w:color w:val="212529"/>
          <w:sz w:val="21"/>
          <w:szCs w:val="21"/>
          <w:shd w:val="clear" w:color="auto" w:fill="FFFFFF"/>
        </w:rPr>
        <w:t>日14时30分（北京时间）</w:t>
      </w:r>
    </w:p>
    <w:p w14:paraId="0498D40C">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地</w:t>
      </w:r>
      <w:r>
        <w:rPr>
          <w:rFonts w:ascii="Helvetica" w:hAnsi="Helvetica" w:eastAsia="Helvetica" w:cs="Helvetica"/>
          <w:color w:val="212529"/>
          <w:sz w:val="21"/>
          <w:szCs w:val="21"/>
          <w:shd w:val="clear" w:color="auto" w:fill="FFFFFF"/>
        </w:rPr>
        <w:t>点：</w:t>
      </w:r>
      <w:r>
        <w:rPr>
          <w:rFonts w:hint="eastAsia" w:ascii="Helvetica" w:hAnsi="Helvetica" w:cs="Helvetica"/>
          <w:color w:val="212529"/>
          <w:sz w:val="21"/>
          <w:szCs w:val="21"/>
          <w:shd w:val="clear" w:color="auto" w:fill="FFFFFF"/>
        </w:rPr>
        <w:t>“苏采云”系统（网址：http://jszfcg.jsczt.cn/）“开标大厅”</w:t>
      </w:r>
    </w:p>
    <w:p w14:paraId="760B78BE">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六</w:t>
      </w:r>
      <w:r>
        <w:rPr>
          <w:rStyle w:val="26"/>
          <w:rFonts w:ascii="Helvetica" w:hAnsi="Helvetica" w:eastAsia="Helvetica" w:cs="Helvetica"/>
          <w:bCs/>
          <w:color w:val="212529"/>
          <w:sz w:val="21"/>
          <w:szCs w:val="21"/>
          <w:shd w:val="clear" w:color="auto" w:fill="FFFFFF"/>
        </w:rPr>
        <w:t>、公告期限</w:t>
      </w:r>
    </w:p>
    <w:p w14:paraId="31240D8E">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自</w:t>
      </w:r>
      <w:r>
        <w:rPr>
          <w:rFonts w:ascii="Helvetica" w:hAnsi="Helvetica" w:eastAsia="Helvetica" w:cs="Helvetica"/>
          <w:color w:val="212529"/>
          <w:sz w:val="21"/>
          <w:szCs w:val="21"/>
          <w:shd w:val="clear" w:color="auto" w:fill="FFFFFF"/>
        </w:rPr>
        <w:t>本公告发布之日起5个工作日。</w:t>
      </w:r>
    </w:p>
    <w:p w14:paraId="4F28D63A">
      <w:pPr>
        <w:pStyle w:val="22"/>
        <w:widowControl/>
        <w:shd w:val="clear" w:color="auto" w:fill="FFFFFF"/>
        <w:wordWrap w:val="0"/>
        <w:spacing w:before="0" w:beforeAutospacing="0" w:after="0" w:afterAutospacing="0" w:line="360" w:lineRule="atLeast"/>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七</w:t>
      </w:r>
      <w:r>
        <w:rPr>
          <w:rStyle w:val="26"/>
          <w:rFonts w:ascii="Helvetica" w:hAnsi="Helvetica" w:eastAsia="Helvetica" w:cs="Helvetica"/>
          <w:bCs/>
          <w:color w:val="212529"/>
          <w:sz w:val="21"/>
          <w:szCs w:val="21"/>
          <w:shd w:val="clear" w:color="auto" w:fill="FFFFFF"/>
        </w:rPr>
        <w:t>、其他补充事宜</w:t>
      </w:r>
    </w:p>
    <w:p w14:paraId="2F12C8DA">
      <w:pPr>
        <w:pStyle w:val="22"/>
        <w:widowControl/>
        <w:shd w:val="clear" w:color="auto" w:fill="FFFFFF"/>
        <w:wordWrap w:val="0"/>
        <w:spacing w:before="0" w:beforeAutospacing="0" w:after="0" w:afterAutospacing="0" w:line="360" w:lineRule="atLeast"/>
        <w:ind w:firstLine="422"/>
        <w:jc w:val="both"/>
        <w:rPr>
          <w:rStyle w:val="27"/>
          <w:rFonts w:hint="eastAsia" w:ascii="Helvetica" w:hAnsi="Helvetica" w:cs="Helvetica"/>
          <w:b/>
          <w:bCs/>
          <w:i w:val="0"/>
          <w:color w:val="212529"/>
          <w:sz w:val="21"/>
          <w:szCs w:val="21"/>
          <w:u w:val="single"/>
          <w:shd w:val="clear" w:color="auto" w:fill="FFFFFF"/>
          <w:lang w:val="en-US" w:eastAsia="zh-CN"/>
        </w:rPr>
      </w:pPr>
      <w:r>
        <w:rPr>
          <w:rStyle w:val="27"/>
          <w:rFonts w:hint="eastAsia" w:ascii="Helvetica" w:hAnsi="Helvetica" w:cs="Helvetica"/>
          <w:b/>
          <w:bCs/>
          <w:i w:val="0"/>
          <w:color w:val="212529"/>
          <w:sz w:val="21"/>
          <w:szCs w:val="21"/>
          <w:u w:val="single"/>
          <w:shd w:val="clear" w:color="auto" w:fill="FFFFFF"/>
          <w:lang w:val="en-US" w:eastAsia="zh-CN"/>
        </w:rPr>
        <w:t>1.本次采购采用“政府采购管理交易系统（苏采云）”，招标、投标、评标和中标结果发布全程电子化，开标方式为不见面开标。投标人应当按照《政府采购管理交易系统（苏采云）供应商操作手册》参加投标活动。如投标人未按要求操作，由此所产生的风险由投标人自行承担。</w:t>
      </w:r>
    </w:p>
    <w:p w14:paraId="3E69C3C0">
      <w:pPr>
        <w:pStyle w:val="22"/>
        <w:widowControl/>
        <w:shd w:val="clear" w:color="auto" w:fill="FFFFFF"/>
        <w:wordWrap w:val="0"/>
        <w:spacing w:before="0" w:beforeAutospacing="0" w:after="0" w:afterAutospacing="0" w:line="360" w:lineRule="atLeast"/>
        <w:ind w:firstLine="422"/>
        <w:jc w:val="both"/>
        <w:rPr>
          <w:rStyle w:val="27"/>
          <w:rFonts w:hint="eastAsia" w:ascii="Helvetica" w:hAnsi="Helvetica" w:cs="Helvetica"/>
          <w:b/>
          <w:bCs/>
          <w:i w:val="0"/>
          <w:color w:val="212529"/>
          <w:sz w:val="21"/>
          <w:szCs w:val="21"/>
          <w:u w:val="single"/>
          <w:shd w:val="clear" w:color="auto" w:fill="FFFFFF"/>
          <w:lang w:val="en-US" w:eastAsia="zh-CN"/>
        </w:rPr>
      </w:pPr>
      <w:r>
        <w:rPr>
          <w:rStyle w:val="27"/>
          <w:rFonts w:hint="eastAsia" w:ascii="Helvetica" w:hAnsi="Helvetica" w:cs="Helvetica"/>
          <w:b/>
          <w:bCs/>
          <w:i w:val="0"/>
          <w:color w:val="212529"/>
          <w:sz w:val="21"/>
          <w:szCs w:val="21"/>
          <w:u w:val="single"/>
          <w:shd w:val="clear" w:color="auto" w:fill="FFFFFF"/>
          <w:lang w:val="en-US" w:eastAsia="zh-CN"/>
        </w:rPr>
        <w:t>2.供应商如确定参加投标，可自行下载招标文件及有关资料，按照《操作手册》进行注册，领取CA和办理电子签章，并按《操作手册》要求制作、上传电子投标文件，技术支持联系方式：13813140731。</w:t>
      </w:r>
    </w:p>
    <w:p w14:paraId="5DEEEC72">
      <w:pPr>
        <w:pStyle w:val="22"/>
        <w:widowControl/>
        <w:shd w:val="clear" w:color="auto" w:fill="FFFFFF"/>
        <w:wordWrap w:val="0"/>
        <w:spacing w:before="0" w:beforeAutospacing="0" w:after="0" w:afterAutospacing="0" w:line="360" w:lineRule="atLeast"/>
        <w:ind w:firstLine="422"/>
        <w:jc w:val="both"/>
        <w:rPr>
          <w:rStyle w:val="27"/>
          <w:rFonts w:hint="eastAsia" w:ascii="Helvetica" w:hAnsi="Helvetica" w:cs="Helvetica"/>
          <w:b/>
          <w:bCs/>
          <w:i w:val="0"/>
          <w:color w:val="212529"/>
          <w:sz w:val="21"/>
          <w:szCs w:val="21"/>
          <w:u w:val="single"/>
          <w:shd w:val="clear" w:color="auto" w:fill="FFFFFF"/>
          <w:lang w:val="en-US" w:eastAsia="zh-CN"/>
        </w:rPr>
      </w:pPr>
      <w:r>
        <w:rPr>
          <w:rStyle w:val="27"/>
          <w:rFonts w:hint="eastAsia" w:ascii="Helvetica" w:hAnsi="Helvetica" w:cs="Helvetica"/>
          <w:b/>
          <w:bCs/>
          <w:i w:val="0"/>
          <w:color w:val="212529"/>
          <w:sz w:val="21"/>
          <w:szCs w:val="21"/>
          <w:u w:val="single"/>
          <w:shd w:val="clear" w:color="auto" w:fill="FFFFFF"/>
          <w:lang w:val="en-US" w:eastAsia="zh-CN"/>
        </w:rPr>
        <w:t>3.本次采购不收取磋商保证金。</w:t>
      </w:r>
    </w:p>
    <w:p w14:paraId="42D893A8">
      <w:pPr>
        <w:pStyle w:val="22"/>
        <w:widowControl/>
        <w:shd w:val="clear" w:color="auto" w:fill="FFFFFF"/>
        <w:wordWrap w:val="0"/>
        <w:spacing w:before="0" w:beforeAutospacing="0" w:after="0" w:afterAutospacing="0" w:line="360" w:lineRule="atLeast"/>
        <w:ind w:firstLine="422"/>
        <w:jc w:val="both"/>
        <w:rPr>
          <w:rStyle w:val="27"/>
          <w:rFonts w:hint="eastAsia" w:ascii="Helvetica" w:hAnsi="Helvetica" w:cs="Helvetica"/>
          <w:b/>
          <w:bCs/>
          <w:i w:val="0"/>
          <w:color w:val="212529"/>
          <w:sz w:val="21"/>
          <w:szCs w:val="21"/>
          <w:u w:val="single"/>
          <w:shd w:val="clear" w:color="auto" w:fill="FFFFFF"/>
          <w:lang w:val="en-US" w:eastAsia="zh-CN"/>
        </w:rPr>
      </w:pPr>
      <w:r>
        <w:rPr>
          <w:rStyle w:val="27"/>
          <w:rFonts w:hint="eastAsia" w:ascii="Helvetica" w:hAnsi="Helvetica" w:cs="Helvetica"/>
          <w:b/>
          <w:bCs/>
          <w:i w:val="0"/>
          <w:color w:val="212529"/>
          <w:sz w:val="21"/>
          <w:szCs w:val="21"/>
          <w:u w:val="single"/>
          <w:shd w:val="clear" w:color="auto" w:fill="FFFFFF"/>
          <w:lang w:val="en-US" w:eastAsia="zh-CN"/>
        </w:rPr>
        <w:t xml:space="preserve">4.有关本次采购的事项若存在变动或修改，敬请及时关注“江苏政府采购网”、“扬州市政府采购网”发布的信息。 </w:t>
      </w:r>
    </w:p>
    <w:p w14:paraId="07EE6632">
      <w:pPr>
        <w:pStyle w:val="22"/>
        <w:widowControl/>
        <w:shd w:val="clear" w:color="auto" w:fill="FFFFFF"/>
        <w:wordWrap w:val="0"/>
        <w:spacing w:before="0" w:beforeAutospacing="0" w:after="0" w:afterAutospacing="0" w:line="360" w:lineRule="atLeast"/>
        <w:ind w:firstLine="422"/>
        <w:jc w:val="both"/>
        <w:rPr>
          <w:rStyle w:val="27"/>
          <w:rFonts w:hint="eastAsia" w:ascii="Helvetica" w:hAnsi="Helvetica" w:cs="Helvetica"/>
          <w:b/>
          <w:bCs/>
          <w:i w:val="0"/>
          <w:color w:val="212529"/>
          <w:sz w:val="21"/>
          <w:szCs w:val="21"/>
          <w:u w:val="single"/>
          <w:shd w:val="clear" w:color="auto" w:fill="FFFFFF"/>
          <w:lang w:val="en-US" w:eastAsia="zh-CN"/>
        </w:rPr>
      </w:pPr>
      <w:r>
        <w:rPr>
          <w:rStyle w:val="27"/>
          <w:rFonts w:hint="eastAsia" w:ascii="Helvetica" w:hAnsi="Helvetica" w:cs="Helvetica"/>
          <w:b/>
          <w:bCs/>
          <w:i w:val="0"/>
          <w:color w:val="212529"/>
          <w:sz w:val="21"/>
          <w:szCs w:val="21"/>
          <w:u w:val="single"/>
          <w:shd w:val="clear" w:color="auto" w:fill="FFFFFF"/>
          <w:lang w:val="en-US" w:eastAsia="zh-CN"/>
        </w:rPr>
        <w:t>5.竞争性磋商、竞争性谈判、单一来源采购项目将与供应商就磋商（谈判）文件进行线上磋商（谈判），请供应商在开标前登录谷歌浏览器进入不见面大厅，并准备好耳麦和摄像设备。因供应商网络与电源不稳定、未按要求配置上述设备、上述设备发生故障等自身原因，导致磋商（谈判）失败，供应商自行承担其后果。</w:t>
      </w:r>
    </w:p>
    <w:p w14:paraId="3201DC7E">
      <w:pPr>
        <w:pStyle w:val="22"/>
        <w:widowControl/>
        <w:shd w:val="clear" w:color="auto" w:fill="FFFFFF"/>
        <w:wordWrap w:val="0"/>
        <w:spacing w:before="0" w:beforeAutospacing="0" w:after="0" w:afterAutospacing="0" w:line="360" w:lineRule="atLeast"/>
        <w:ind w:firstLine="422"/>
        <w:jc w:val="both"/>
        <w:rPr>
          <w:rStyle w:val="27"/>
          <w:rFonts w:hint="eastAsia" w:ascii="Helvetica" w:hAnsi="Helvetica" w:cs="Helvetica"/>
          <w:b/>
          <w:bCs/>
          <w:i w:val="0"/>
          <w:color w:val="212529"/>
          <w:sz w:val="21"/>
          <w:szCs w:val="21"/>
          <w:u w:val="single"/>
          <w:shd w:val="clear" w:color="auto" w:fill="FFFFFF"/>
          <w:lang w:val="en-US" w:eastAsia="zh-CN"/>
        </w:rPr>
      </w:pPr>
      <w:r>
        <w:rPr>
          <w:rStyle w:val="27"/>
          <w:rFonts w:hint="eastAsia" w:ascii="Helvetica" w:hAnsi="Helvetica" w:cs="Helvetica"/>
          <w:b/>
          <w:bCs/>
          <w:i w:val="0"/>
          <w:color w:val="212529"/>
          <w:sz w:val="21"/>
          <w:szCs w:val="21"/>
          <w:u w:val="single"/>
          <w:shd w:val="clear" w:color="auto" w:fill="FFFFFF"/>
          <w:lang w:val="en-US" w:eastAsia="zh-CN"/>
        </w:rPr>
        <w:t>6.潜在供应商对采购文件项目需求部分的询问、质疑请向采购人提出，由采购人负责答复。</w:t>
      </w:r>
    </w:p>
    <w:p w14:paraId="2F42771B">
      <w:pPr>
        <w:pStyle w:val="22"/>
        <w:widowControl/>
        <w:shd w:val="clear" w:color="auto" w:fill="FFFFFF"/>
        <w:wordWrap w:val="0"/>
        <w:spacing w:before="0" w:beforeAutospacing="0" w:after="0" w:afterAutospacing="0" w:line="360" w:lineRule="atLeast"/>
        <w:ind w:firstLine="422"/>
        <w:jc w:val="both"/>
        <w:rPr>
          <w:rStyle w:val="27"/>
          <w:rFonts w:hint="eastAsia" w:ascii="Helvetica" w:hAnsi="Helvetica" w:cs="Helvetica"/>
          <w:b/>
          <w:bCs/>
          <w:i/>
          <w:iCs/>
          <w:color w:val="212529"/>
          <w:sz w:val="21"/>
          <w:szCs w:val="21"/>
          <w:u w:val="single"/>
          <w:shd w:val="clear" w:color="auto" w:fill="FFFFFF"/>
          <w:lang w:val="en-US" w:eastAsia="zh-CN"/>
        </w:rPr>
      </w:pPr>
      <w:r>
        <w:rPr>
          <w:rStyle w:val="27"/>
          <w:rFonts w:hint="eastAsia" w:ascii="Helvetica" w:hAnsi="Helvetica" w:cs="Helvetica"/>
          <w:b/>
          <w:bCs/>
          <w:i/>
          <w:iCs/>
          <w:color w:val="212529"/>
          <w:sz w:val="21"/>
          <w:szCs w:val="21"/>
          <w:u w:val="single"/>
          <w:shd w:val="clear" w:color="auto" w:fill="FFFFFF"/>
          <w:lang w:val="en-US" w:eastAsia="zh-CN"/>
        </w:rPr>
        <w:t>7.本项目采购文件中所有斜体下划线部分为实质性条款，如不满足，则为无效响应。</w:t>
      </w:r>
    </w:p>
    <w:p w14:paraId="6193FF0B">
      <w:pPr>
        <w:pStyle w:val="22"/>
        <w:widowControl/>
        <w:shd w:val="clear" w:color="auto" w:fill="FFFFFF"/>
        <w:wordWrap w:val="0"/>
        <w:spacing w:before="0" w:beforeAutospacing="0" w:after="0" w:afterAutospacing="0" w:line="360" w:lineRule="atLeast"/>
        <w:ind w:firstLine="422"/>
        <w:jc w:val="both"/>
        <w:rPr>
          <w:rFonts w:ascii="Helvetica" w:hAnsi="Helvetica" w:eastAsia="Helvetica" w:cs="Helvetica"/>
          <w:color w:val="212529"/>
          <w:szCs w:val="24"/>
        </w:rPr>
      </w:pPr>
      <w:r>
        <w:rPr>
          <w:rStyle w:val="26"/>
          <w:rFonts w:hint="eastAsia" w:ascii="宋体" w:hAnsi="宋体" w:cs="宋体"/>
          <w:bCs/>
          <w:color w:val="212529"/>
          <w:sz w:val="21"/>
          <w:szCs w:val="21"/>
          <w:shd w:val="clear" w:color="auto" w:fill="FFFFFF"/>
        </w:rPr>
        <w:t>八</w:t>
      </w:r>
      <w:r>
        <w:rPr>
          <w:rStyle w:val="26"/>
          <w:rFonts w:ascii="Helvetica" w:hAnsi="Helvetica" w:eastAsia="Helvetica" w:cs="Helvetica"/>
          <w:bCs/>
          <w:color w:val="212529"/>
          <w:sz w:val="21"/>
          <w:szCs w:val="21"/>
          <w:shd w:val="clear" w:color="auto" w:fill="FFFFFF"/>
        </w:rPr>
        <w:t>、凡对本次采购提出询问，请按以下方式联系。</w:t>
      </w:r>
    </w:p>
    <w:p w14:paraId="05AC3486">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1.采购人信息</w:t>
      </w:r>
    </w:p>
    <w:p w14:paraId="3A679EE5">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 w:val="21"/>
          <w:szCs w:val="21"/>
          <w:shd w:val="clear" w:color="auto" w:fill="FFFFFF"/>
        </w:rPr>
      </w:pPr>
      <w:r>
        <w:rPr>
          <w:rFonts w:hint="eastAsia" w:ascii="宋体" w:hAnsi="宋体" w:cs="宋体"/>
          <w:color w:val="212529"/>
          <w:sz w:val="21"/>
          <w:szCs w:val="21"/>
          <w:shd w:val="clear" w:color="auto" w:fill="FFFFFF"/>
        </w:rPr>
        <w:t>名</w:t>
      </w:r>
      <w:r>
        <w:rPr>
          <w:rFonts w:ascii="Helvetica" w:hAnsi="Helvetica" w:eastAsia="Helvetica" w:cs="Helvetica"/>
          <w:color w:val="212529"/>
          <w:sz w:val="21"/>
          <w:szCs w:val="21"/>
          <w:shd w:val="clear" w:color="auto" w:fill="FFFFFF"/>
        </w:rPr>
        <w:t> 称：</w:t>
      </w:r>
      <w:r>
        <w:rPr>
          <w:rFonts w:hint="eastAsia" w:ascii="Helvetica" w:hAnsi="Helvetica" w:eastAsia="Helvetica" w:cs="Helvetica"/>
          <w:color w:val="212529"/>
          <w:sz w:val="21"/>
          <w:szCs w:val="21"/>
          <w:shd w:val="clear" w:color="auto" w:fill="FFFFFF"/>
        </w:rPr>
        <w:t>扬州市空港新城管理委员会</w:t>
      </w:r>
    </w:p>
    <w:p w14:paraId="34478318">
      <w:pPr>
        <w:pStyle w:val="22"/>
        <w:widowControl/>
        <w:shd w:val="clear" w:color="auto" w:fill="FFFFFF"/>
        <w:wordWrap w:val="0"/>
        <w:spacing w:before="0" w:beforeAutospacing="0" w:after="0" w:afterAutospacing="0" w:line="360" w:lineRule="atLeast"/>
        <w:ind w:firstLine="420"/>
        <w:jc w:val="both"/>
        <w:rPr>
          <w:rFonts w:hint="eastAsia" w:ascii="Helvetica" w:hAnsi="Helvetica" w:eastAsia="宋体" w:cs="Helvetica"/>
          <w:color w:val="212529"/>
          <w:szCs w:val="24"/>
          <w:lang w:eastAsia="zh-CN"/>
        </w:rPr>
      </w:pPr>
      <w:r>
        <w:rPr>
          <w:rFonts w:hint="eastAsia" w:ascii="宋体" w:hAnsi="宋体" w:cs="宋体"/>
          <w:color w:val="212529"/>
          <w:sz w:val="21"/>
          <w:szCs w:val="21"/>
          <w:shd w:val="clear" w:color="auto" w:fill="FFFFFF"/>
        </w:rPr>
        <w:t>地</w:t>
      </w:r>
      <w:r>
        <w:rPr>
          <w:rFonts w:ascii="Helvetica" w:hAnsi="Helvetica" w:eastAsia="Helvetica" w:cs="Helvetica"/>
          <w:color w:val="212529"/>
          <w:sz w:val="21"/>
          <w:szCs w:val="21"/>
          <w:shd w:val="clear" w:color="auto" w:fill="FFFFFF"/>
        </w:rPr>
        <w:t> 址：扬州市丁沟</w:t>
      </w:r>
      <w:r>
        <w:rPr>
          <w:rFonts w:hint="eastAsia" w:ascii="Helvetica" w:hAnsi="Helvetica" w:cs="Helvetica"/>
          <w:color w:val="212529"/>
          <w:sz w:val="21"/>
          <w:szCs w:val="21"/>
          <w:shd w:val="clear" w:color="auto" w:fill="FFFFFF"/>
          <w:lang w:val="en-US" w:eastAsia="zh-CN"/>
        </w:rPr>
        <w:t>镇</w:t>
      </w:r>
    </w:p>
    <w:p w14:paraId="367D09A2">
      <w:pPr>
        <w:pStyle w:val="22"/>
        <w:widowControl/>
        <w:shd w:val="clear" w:color="auto" w:fill="FFFFFF"/>
        <w:wordWrap w:val="0"/>
        <w:spacing w:before="0" w:beforeAutospacing="0" w:after="0" w:afterAutospacing="0" w:line="360" w:lineRule="atLeast"/>
        <w:ind w:left="420"/>
        <w:jc w:val="both"/>
        <w:rPr>
          <w:rFonts w:ascii="Helvetica" w:hAnsi="Helvetica" w:eastAsia="Helvetica" w:cs="Helvetica"/>
          <w:color w:val="212529"/>
          <w:szCs w:val="24"/>
        </w:rPr>
      </w:pPr>
      <w:r>
        <w:rPr>
          <w:rFonts w:ascii="Helvetica" w:hAnsi="Helvetica" w:eastAsia="Helvetica" w:cs="Helvetica"/>
          <w:color w:val="212529"/>
          <w:sz w:val="21"/>
          <w:szCs w:val="21"/>
          <w:shd w:val="clear" w:color="auto" w:fill="FFFFFF"/>
        </w:rPr>
        <w:t>2.代理公司信息</w:t>
      </w:r>
    </w:p>
    <w:p w14:paraId="75E7647D">
      <w:pPr>
        <w:pStyle w:val="22"/>
        <w:widowControl/>
        <w:shd w:val="clear" w:color="auto" w:fill="FFFFFF"/>
        <w:wordWrap w:val="0"/>
        <w:spacing w:before="0" w:beforeAutospacing="0" w:after="0" w:afterAutospacing="0" w:line="360" w:lineRule="atLeast"/>
        <w:ind w:firstLine="420"/>
        <w:jc w:val="both"/>
        <w:rPr>
          <w:rFonts w:ascii="Helvetica" w:hAnsi="Helvetica" w:eastAsia="Helvetica" w:cs="Helvetica"/>
          <w:color w:val="212529"/>
          <w:szCs w:val="24"/>
        </w:rPr>
      </w:pPr>
      <w:r>
        <w:rPr>
          <w:rFonts w:hint="eastAsia" w:ascii="宋体" w:hAnsi="宋体" w:cs="宋体"/>
          <w:color w:val="212529"/>
          <w:sz w:val="21"/>
          <w:szCs w:val="21"/>
          <w:shd w:val="clear" w:color="auto" w:fill="FFFFFF"/>
        </w:rPr>
        <w:t>名</w:t>
      </w:r>
      <w:r>
        <w:rPr>
          <w:rFonts w:ascii="Helvetica" w:hAnsi="Helvetica" w:eastAsia="Helvetica" w:cs="Helvetica"/>
          <w:color w:val="212529"/>
          <w:sz w:val="21"/>
          <w:szCs w:val="21"/>
          <w:shd w:val="clear" w:color="auto" w:fill="FFFFFF"/>
        </w:rPr>
        <w:t>  称：江苏</w:t>
      </w:r>
      <w:r>
        <w:rPr>
          <w:rFonts w:hint="eastAsia" w:ascii="Helvetica" w:hAnsi="Helvetica" w:cs="Helvetica"/>
          <w:color w:val="212529"/>
          <w:sz w:val="21"/>
          <w:szCs w:val="21"/>
          <w:shd w:val="clear" w:color="auto" w:fill="FFFFFF"/>
        </w:rPr>
        <w:t>辰诚</w:t>
      </w:r>
      <w:r>
        <w:rPr>
          <w:rFonts w:ascii="Helvetica" w:hAnsi="Helvetica" w:eastAsia="Helvetica" w:cs="Helvetica"/>
          <w:color w:val="212529"/>
          <w:sz w:val="21"/>
          <w:szCs w:val="21"/>
          <w:shd w:val="clear" w:color="auto" w:fill="FFFFFF"/>
        </w:rPr>
        <w:t>工程咨询有限公司</w:t>
      </w:r>
    </w:p>
    <w:p w14:paraId="49070B0B">
      <w:pPr>
        <w:pStyle w:val="22"/>
        <w:widowControl/>
        <w:shd w:val="clear" w:color="auto" w:fill="FFFFFF"/>
        <w:wordWrap w:val="0"/>
        <w:spacing w:before="0" w:beforeAutospacing="0" w:after="0" w:afterAutospacing="0" w:line="360" w:lineRule="atLeast"/>
        <w:ind w:firstLine="420"/>
        <w:jc w:val="both"/>
        <w:rPr>
          <w:rFonts w:ascii="Helvetica" w:hAnsi="Helvetica" w:cs="Helvetica"/>
          <w:color w:val="212529"/>
          <w:szCs w:val="24"/>
        </w:rPr>
      </w:pPr>
      <w:r>
        <w:rPr>
          <w:rFonts w:hint="eastAsia" w:ascii="宋体" w:hAnsi="宋体" w:cs="宋体"/>
          <w:color w:val="212529"/>
          <w:sz w:val="21"/>
          <w:szCs w:val="21"/>
          <w:shd w:val="clear" w:color="auto" w:fill="FFFFFF"/>
        </w:rPr>
        <w:t>地</w:t>
      </w:r>
      <w:r>
        <w:rPr>
          <w:rFonts w:ascii="Helvetica" w:hAnsi="Helvetica" w:eastAsia="Helvetica" w:cs="Helvetica"/>
          <w:color w:val="212529"/>
          <w:sz w:val="21"/>
          <w:szCs w:val="21"/>
          <w:shd w:val="clear" w:color="auto" w:fill="FFFFFF"/>
        </w:rPr>
        <w:t>　址：扬州市江都区</w:t>
      </w:r>
      <w:r>
        <w:rPr>
          <w:rFonts w:hint="eastAsia" w:ascii="Helvetica" w:hAnsi="Helvetica" w:cs="Helvetica"/>
          <w:color w:val="212529"/>
          <w:sz w:val="21"/>
          <w:szCs w:val="21"/>
          <w:shd w:val="clear" w:color="auto" w:fill="FFFFFF"/>
        </w:rPr>
        <w:t>龙城路31号物价局</w:t>
      </w:r>
    </w:p>
    <w:p w14:paraId="2E3F73BF">
      <w:pPr>
        <w:pStyle w:val="22"/>
        <w:widowControl/>
        <w:shd w:val="clear" w:color="auto" w:fill="FFFFFF"/>
        <w:wordWrap w:val="0"/>
        <w:spacing w:before="0" w:beforeAutospacing="0" w:after="0" w:afterAutospacing="0" w:line="360" w:lineRule="atLeast"/>
        <w:ind w:firstLine="420"/>
        <w:jc w:val="both"/>
        <w:rPr>
          <w:rFonts w:ascii="Helvetica" w:hAnsi="Helvetica" w:cs="Helvetica"/>
          <w:color w:val="212529"/>
          <w:sz w:val="21"/>
          <w:szCs w:val="21"/>
          <w:shd w:val="clear" w:color="auto" w:fill="FFFFFF"/>
        </w:rPr>
      </w:pPr>
      <w:r>
        <w:rPr>
          <w:rFonts w:hint="eastAsia" w:ascii="宋体" w:hAnsi="宋体" w:cs="宋体"/>
          <w:color w:val="212529"/>
          <w:sz w:val="21"/>
          <w:szCs w:val="21"/>
          <w:shd w:val="clear" w:color="auto" w:fill="FFFFFF"/>
        </w:rPr>
        <w:t>联</w:t>
      </w:r>
      <w:r>
        <w:rPr>
          <w:rFonts w:ascii="Helvetica" w:hAnsi="Helvetica" w:eastAsia="Helvetica" w:cs="Helvetica"/>
          <w:color w:val="212529"/>
          <w:sz w:val="21"/>
          <w:szCs w:val="21"/>
          <w:shd w:val="clear" w:color="auto" w:fill="FFFFFF"/>
        </w:rPr>
        <w:t>系人：</w:t>
      </w:r>
      <w:r>
        <w:rPr>
          <w:rFonts w:hint="eastAsia" w:ascii="Helvetica" w:hAnsi="Helvetica" w:cs="Helvetica"/>
          <w:color w:val="212529"/>
          <w:sz w:val="21"/>
          <w:szCs w:val="21"/>
          <w:shd w:val="clear" w:color="auto" w:fill="FFFFFF"/>
        </w:rPr>
        <w:t>李工</w:t>
      </w:r>
    </w:p>
    <w:p w14:paraId="53483C8E">
      <w:pPr>
        <w:pStyle w:val="22"/>
        <w:widowControl/>
        <w:shd w:val="clear" w:color="auto" w:fill="FFFFFF"/>
        <w:wordWrap w:val="0"/>
        <w:spacing w:before="0" w:beforeAutospacing="0" w:after="0" w:afterAutospacing="0" w:line="360" w:lineRule="atLeast"/>
        <w:ind w:firstLine="420"/>
        <w:jc w:val="both"/>
        <w:rPr>
          <w:rFonts w:ascii="Helvetica" w:hAnsi="Helvetica" w:cs="Helvetica"/>
          <w:color w:val="212529"/>
          <w:szCs w:val="24"/>
        </w:rPr>
      </w:pPr>
      <w:r>
        <w:rPr>
          <w:rFonts w:hint="eastAsia" w:ascii="宋体" w:hAnsi="宋体" w:cs="宋体"/>
          <w:color w:val="212529"/>
          <w:sz w:val="21"/>
          <w:szCs w:val="21"/>
          <w:shd w:val="clear" w:color="auto" w:fill="FFFFFF"/>
        </w:rPr>
        <w:t>联</w:t>
      </w:r>
      <w:r>
        <w:rPr>
          <w:rFonts w:ascii="Helvetica" w:hAnsi="Helvetica" w:eastAsia="Helvetica" w:cs="Helvetica"/>
          <w:color w:val="212529"/>
          <w:sz w:val="21"/>
          <w:szCs w:val="21"/>
          <w:shd w:val="clear" w:color="auto" w:fill="FFFFFF"/>
        </w:rPr>
        <w:t>系方式：</w:t>
      </w:r>
      <w:r>
        <w:rPr>
          <w:rFonts w:hint="eastAsia" w:ascii="Helvetica" w:hAnsi="Helvetica" w:cs="Helvetica"/>
          <w:color w:val="212529"/>
          <w:sz w:val="21"/>
          <w:szCs w:val="21"/>
          <w:shd w:val="clear" w:color="auto" w:fill="FFFFFF"/>
        </w:rPr>
        <w:t>15371292521</w:t>
      </w:r>
    </w:p>
    <w:p w14:paraId="1547E915"/>
    <w:p w14:paraId="02C587C6">
      <w:pPr>
        <w:jc w:val="center"/>
        <w:rPr>
          <w:rFonts w:hint="eastAsia" w:ascii="宋体" w:hAnsi="宋体" w:cs="宋体"/>
          <w:b/>
          <w:bCs/>
          <w:sz w:val="28"/>
          <w:szCs w:val="28"/>
        </w:rPr>
      </w:pPr>
    </w:p>
    <w:p w14:paraId="6EF672CB">
      <w:pPr>
        <w:jc w:val="center"/>
        <w:rPr>
          <w:rFonts w:hint="eastAsia" w:ascii="宋体" w:hAnsi="宋体" w:cs="宋体"/>
          <w:b/>
          <w:bCs/>
          <w:sz w:val="28"/>
          <w:szCs w:val="28"/>
        </w:rPr>
      </w:pPr>
    </w:p>
    <w:p w14:paraId="7F9EDAF8">
      <w:pPr>
        <w:jc w:val="center"/>
        <w:rPr>
          <w:rFonts w:hint="eastAsia" w:ascii="宋体" w:hAnsi="宋体" w:cs="宋体"/>
          <w:b/>
          <w:bCs/>
          <w:sz w:val="28"/>
          <w:szCs w:val="28"/>
        </w:rPr>
      </w:pPr>
    </w:p>
    <w:p w14:paraId="0C434B5E">
      <w:pPr>
        <w:tabs>
          <w:tab w:val="left" w:pos="7124"/>
        </w:tabs>
        <w:jc w:val="left"/>
        <w:rPr>
          <w:rFonts w:hint="eastAsia" w:ascii="宋体" w:hAnsi="宋体" w:cs="宋体"/>
          <w:b/>
          <w:bCs/>
          <w:sz w:val="28"/>
          <w:szCs w:val="28"/>
        </w:rPr>
      </w:pPr>
      <w:r>
        <w:rPr>
          <w:rFonts w:hint="eastAsia" w:ascii="宋体" w:hAnsi="宋体" w:cs="宋体"/>
          <w:b/>
          <w:bCs/>
          <w:sz w:val="28"/>
          <w:szCs w:val="28"/>
        </w:rPr>
        <w:tab/>
      </w:r>
    </w:p>
    <w:p w14:paraId="0CAEFE96">
      <w:pPr>
        <w:jc w:val="center"/>
        <w:rPr>
          <w:rFonts w:hint="eastAsia" w:ascii="宋体" w:hAnsi="宋体" w:cs="宋体"/>
          <w:b/>
          <w:bCs/>
          <w:sz w:val="28"/>
          <w:szCs w:val="28"/>
        </w:rPr>
      </w:pPr>
    </w:p>
    <w:p w14:paraId="30698521">
      <w:pPr>
        <w:jc w:val="center"/>
        <w:rPr>
          <w:rFonts w:hint="eastAsia" w:ascii="宋体" w:hAnsi="宋体" w:cs="宋体"/>
          <w:b/>
          <w:bCs/>
          <w:sz w:val="28"/>
          <w:szCs w:val="28"/>
        </w:rPr>
      </w:pPr>
    </w:p>
    <w:p w14:paraId="5B250526">
      <w:pPr>
        <w:jc w:val="center"/>
        <w:rPr>
          <w:rFonts w:hint="eastAsia" w:ascii="宋体" w:hAnsi="宋体" w:cs="宋体"/>
          <w:b/>
          <w:bCs/>
          <w:sz w:val="28"/>
          <w:szCs w:val="28"/>
        </w:rPr>
      </w:pPr>
    </w:p>
    <w:p w14:paraId="36436B8E">
      <w:pPr>
        <w:jc w:val="center"/>
        <w:rPr>
          <w:rFonts w:hint="eastAsia" w:ascii="宋体" w:hAnsi="宋体" w:cs="宋体"/>
          <w:b/>
          <w:bCs/>
          <w:sz w:val="28"/>
          <w:szCs w:val="28"/>
        </w:rPr>
      </w:pPr>
    </w:p>
    <w:p w14:paraId="5381FDE0">
      <w:pPr>
        <w:jc w:val="center"/>
        <w:rPr>
          <w:rFonts w:hint="eastAsia" w:ascii="宋体" w:hAnsi="宋体" w:cs="宋体"/>
          <w:b/>
          <w:bCs/>
          <w:sz w:val="28"/>
          <w:szCs w:val="28"/>
        </w:rPr>
      </w:pPr>
    </w:p>
    <w:p w14:paraId="3CF56BAB">
      <w:pPr>
        <w:jc w:val="center"/>
        <w:rPr>
          <w:rFonts w:hint="eastAsia" w:ascii="宋体" w:hAnsi="宋体" w:cs="宋体"/>
          <w:b/>
          <w:bCs/>
          <w:sz w:val="28"/>
          <w:szCs w:val="28"/>
        </w:rPr>
      </w:pPr>
    </w:p>
    <w:p w14:paraId="7E878318">
      <w:pPr>
        <w:jc w:val="center"/>
        <w:rPr>
          <w:rFonts w:hint="eastAsia" w:ascii="宋体" w:hAnsi="宋体" w:cs="宋体"/>
          <w:b/>
          <w:bCs/>
          <w:sz w:val="28"/>
          <w:szCs w:val="28"/>
        </w:rPr>
      </w:pPr>
    </w:p>
    <w:p w14:paraId="7A779395">
      <w:pPr>
        <w:pStyle w:val="23"/>
        <w:ind w:firstLine="562"/>
        <w:rPr>
          <w:rFonts w:hint="eastAsia" w:ascii="宋体" w:hAnsi="宋体" w:eastAsia="宋体" w:cs="宋体"/>
          <w:b/>
          <w:bCs/>
          <w:sz w:val="28"/>
          <w:szCs w:val="28"/>
        </w:rPr>
      </w:pPr>
    </w:p>
    <w:p w14:paraId="5865BE8E">
      <w:pPr>
        <w:pStyle w:val="23"/>
        <w:ind w:firstLine="562"/>
        <w:rPr>
          <w:rFonts w:hint="eastAsia" w:ascii="宋体" w:hAnsi="宋体" w:eastAsia="宋体" w:cs="宋体"/>
          <w:b/>
          <w:bCs/>
          <w:sz w:val="28"/>
          <w:szCs w:val="28"/>
        </w:rPr>
      </w:pPr>
    </w:p>
    <w:p w14:paraId="524C2F11">
      <w:pPr>
        <w:rPr>
          <w:rFonts w:hint="eastAsia" w:ascii="宋体" w:hAnsi="宋体" w:cs="宋体"/>
          <w:b/>
          <w:bCs/>
          <w:sz w:val="28"/>
          <w:szCs w:val="28"/>
        </w:rPr>
      </w:pPr>
      <w:r>
        <w:rPr>
          <w:rFonts w:hint="eastAsia" w:ascii="宋体" w:hAnsi="宋体" w:cs="宋体"/>
          <w:b/>
          <w:bCs/>
          <w:sz w:val="28"/>
          <w:szCs w:val="28"/>
        </w:rPr>
        <w:br w:type="page"/>
      </w:r>
    </w:p>
    <w:p w14:paraId="46765F87">
      <w:pPr>
        <w:numPr>
          <w:ilvl w:val="0"/>
          <w:numId w:val="0"/>
        </w:numPr>
        <w:jc w:val="center"/>
        <w:rPr>
          <w:rFonts w:hint="eastAsia"/>
        </w:rPr>
      </w:pPr>
      <w:r>
        <w:rPr>
          <w:rFonts w:hint="eastAsia" w:ascii="宋体" w:hAnsi="宋体" w:eastAsia="宋体" w:cs="宋体"/>
          <w:b/>
          <w:bCs/>
          <w:kern w:val="2"/>
          <w:sz w:val="28"/>
          <w:szCs w:val="28"/>
          <w:lang w:val="en-US" w:eastAsia="zh-CN" w:bidi="ar-SA"/>
        </w:rPr>
        <w:t>第二章、</w:t>
      </w:r>
      <w:r>
        <w:rPr>
          <w:rFonts w:hint="eastAsia" w:ascii="宋体" w:hAnsi="宋体" w:cs="宋体"/>
          <w:b/>
          <w:bCs/>
          <w:sz w:val="28"/>
          <w:szCs w:val="28"/>
        </w:rPr>
        <w:t>磋商须知</w:t>
      </w:r>
    </w:p>
    <w:p w14:paraId="39C7657B">
      <w:pPr>
        <w:spacing w:line="360" w:lineRule="auto"/>
        <w:ind w:right="-155" w:firstLine="420"/>
        <w:jc w:val="left"/>
        <w:rPr>
          <w:rFonts w:hint="eastAsia" w:ascii="宋体" w:hAnsi="宋体" w:cs="宋体"/>
          <w:b/>
          <w:bCs/>
          <w:sz w:val="22"/>
          <w:szCs w:val="22"/>
        </w:rPr>
      </w:pPr>
      <w:r>
        <w:rPr>
          <w:rFonts w:hint="eastAsia" w:ascii="宋体" w:hAnsi="宋体" w:cs="宋体"/>
          <w:b/>
          <w:bCs/>
          <w:sz w:val="22"/>
          <w:szCs w:val="22"/>
        </w:rPr>
        <w:t>1、采购方式</w:t>
      </w:r>
    </w:p>
    <w:p w14:paraId="2421CB5D">
      <w:pPr>
        <w:spacing w:line="360" w:lineRule="auto"/>
        <w:ind w:right="-155" w:firstLine="420"/>
        <w:jc w:val="left"/>
        <w:rPr>
          <w:rFonts w:hint="eastAsia" w:ascii="宋体" w:hAnsi="宋体" w:cs="宋体"/>
          <w:sz w:val="22"/>
          <w:szCs w:val="22"/>
        </w:rPr>
      </w:pPr>
      <w:r>
        <w:rPr>
          <w:rFonts w:hint="eastAsia" w:ascii="宋体" w:hAnsi="宋体" w:cs="宋体"/>
          <w:sz w:val="22"/>
          <w:szCs w:val="22"/>
        </w:rPr>
        <w:t>1.1 本次采购采取竞争性磋商方式，本采购文件仅适用于JSZC-321012-YZCC-C2025-0011号项目。</w:t>
      </w:r>
    </w:p>
    <w:p w14:paraId="443C5395">
      <w:pPr>
        <w:spacing w:line="360" w:lineRule="auto"/>
        <w:ind w:right="-155" w:firstLine="420"/>
        <w:jc w:val="left"/>
        <w:rPr>
          <w:rFonts w:hint="eastAsia" w:ascii="宋体" w:hAnsi="宋体" w:cs="宋体"/>
          <w:b/>
          <w:bCs/>
          <w:sz w:val="22"/>
          <w:szCs w:val="22"/>
        </w:rPr>
      </w:pPr>
      <w:r>
        <w:rPr>
          <w:rFonts w:hint="eastAsia" w:ascii="宋体" w:hAnsi="宋体" w:cs="宋体"/>
          <w:b/>
          <w:bCs/>
          <w:sz w:val="22"/>
          <w:szCs w:val="22"/>
        </w:rPr>
        <w:t>2、供应商</w:t>
      </w:r>
    </w:p>
    <w:p w14:paraId="4116F5C3">
      <w:pPr>
        <w:spacing w:line="360" w:lineRule="auto"/>
        <w:ind w:right="-155" w:firstLine="420"/>
        <w:jc w:val="left"/>
        <w:rPr>
          <w:rFonts w:hint="eastAsia" w:ascii="宋体" w:hAnsi="宋体" w:cs="宋体"/>
          <w:sz w:val="22"/>
          <w:szCs w:val="22"/>
        </w:rPr>
      </w:pPr>
      <w:r>
        <w:rPr>
          <w:rFonts w:hint="eastAsia" w:ascii="宋体" w:hAnsi="宋体" w:cs="宋体"/>
          <w:sz w:val="22"/>
          <w:szCs w:val="22"/>
        </w:rPr>
        <w:t>2.1 参加竞争性磋商的供应商以下简称“供应商”，是指参加磋商并符合采购文件规定资格条件的法人、其他组织或者自然人。</w:t>
      </w:r>
    </w:p>
    <w:p w14:paraId="277257B8">
      <w:pPr>
        <w:spacing w:line="360" w:lineRule="auto"/>
        <w:ind w:right="-155" w:firstLine="420"/>
        <w:jc w:val="left"/>
        <w:rPr>
          <w:rFonts w:hint="eastAsia" w:ascii="宋体" w:hAnsi="宋体" w:cs="宋体"/>
          <w:sz w:val="22"/>
          <w:szCs w:val="22"/>
        </w:rPr>
      </w:pPr>
      <w:r>
        <w:rPr>
          <w:rFonts w:hint="eastAsia" w:ascii="宋体" w:hAnsi="宋体" w:cs="宋体"/>
          <w:sz w:val="22"/>
          <w:szCs w:val="22"/>
        </w:rPr>
        <w:t>2.2合格的供应商</w:t>
      </w:r>
    </w:p>
    <w:p w14:paraId="6B93EE78">
      <w:pPr>
        <w:spacing w:line="360" w:lineRule="auto"/>
        <w:ind w:right="-155" w:firstLine="420"/>
        <w:jc w:val="left"/>
        <w:rPr>
          <w:rFonts w:hint="eastAsia" w:ascii="宋体" w:hAnsi="宋体" w:cs="宋体"/>
          <w:sz w:val="22"/>
          <w:szCs w:val="22"/>
        </w:rPr>
      </w:pPr>
      <w:r>
        <w:rPr>
          <w:rFonts w:hint="eastAsia" w:ascii="宋体" w:hAnsi="宋体" w:cs="宋体"/>
          <w:sz w:val="22"/>
          <w:szCs w:val="22"/>
        </w:rPr>
        <w:t>2.2.1 满足采购公告中供应商的资格条件要求的规定。</w:t>
      </w:r>
    </w:p>
    <w:p w14:paraId="4969D838">
      <w:pPr>
        <w:spacing w:line="360" w:lineRule="auto"/>
        <w:ind w:right="-155" w:firstLine="420"/>
        <w:jc w:val="left"/>
        <w:rPr>
          <w:rFonts w:hint="eastAsia" w:ascii="宋体" w:hAnsi="宋体" w:cs="宋体"/>
          <w:sz w:val="22"/>
          <w:szCs w:val="22"/>
        </w:rPr>
      </w:pPr>
      <w:r>
        <w:rPr>
          <w:rFonts w:hint="eastAsia" w:ascii="宋体" w:hAnsi="宋体" w:cs="宋体"/>
          <w:sz w:val="22"/>
          <w:szCs w:val="22"/>
        </w:rPr>
        <w:t>2.2.2 满足本文件实质性条款的规定。</w:t>
      </w:r>
    </w:p>
    <w:p w14:paraId="635C9EE0">
      <w:pPr>
        <w:spacing w:line="360" w:lineRule="auto"/>
        <w:ind w:right="-155" w:firstLine="420"/>
        <w:jc w:val="left"/>
        <w:rPr>
          <w:rFonts w:hint="eastAsia" w:ascii="宋体" w:hAnsi="宋体" w:cs="宋体"/>
          <w:b/>
          <w:bCs/>
          <w:sz w:val="22"/>
          <w:szCs w:val="22"/>
        </w:rPr>
      </w:pPr>
      <w:r>
        <w:rPr>
          <w:rFonts w:hint="eastAsia" w:ascii="宋体" w:hAnsi="宋体" w:cs="宋体"/>
          <w:b/>
          <w:bCs/>
          <w:sz w:val="22"/>
          <w:szCs w:val="22"/>
        </w:rPr>
        <w:t>3、适用法律</w:t>
      </w:r>
    </w:p>
    <w:p w14:paraId="2FCC5012">
      <w:pPr>
        <w:spacing w:line="360" w:lineRule="auto"/>
        <w:ind w:right="-155" w:firstLine="420"/>
        <w:jc w:val="left"/>
        <w:rPr>
          <w:rFonts w:hint="eastAsia" w:ascii="宋体" w:hAnsi="宋体" w:cs="宋体"/>
          <w:sz w:val="22"/>
          <w:szCs w:val="22"/>
        </w:rPr>
      </w:pPr>
      <w:r>
        <w:rPr>
          <w:rFonts w:hint="eastAsia" w:ascii="宋体" w:hAnsi="宋体" w:cs="宋体"/>
          <w:sz w:val="22"/>
          <w:szCs w:val="22"/>
        </w:rPr>
        <w:t>3.1 本次采购及由此产生的合同受中华人民共和国有关的法律法规制约和保护。</w:t>
      </w:r>
    </w:p>
    <w:p w14:paraId="356AF6EB">
      <w:pPr>
        <w:tabs>
          <w:tab w:val="left" w:pos="0"/>
        </w:tabs>
        <w:spacing w:line="360" w:lineRule="auto"/>
        <w:ind w:firstLine="422"/>
        <w:jc w:val="left"/>
        <w:rPr>
          <w:rFonts w:hint="eastAsia" w:ascii="宋体" w:hAnsi="宋体" w:cs="宋体"/>
          <w:b/>
          <w:bCs/>
          <w:sz w:val="22"/>
          <w:szCs w:val="22"/>
        </w:rPr>
      </w:pPr>
      <w:r>
        <w:rPr>
          <w:rFonts w:hint="eastAsia" w:ascii="宋体" w:hAnsi="宋体" w:cs="宋体"/>
          <w:b/>
          <w:bCs/>
          <w:sz w:val="22"/>
          <w:szCs w:val="22"/>
          <w:lang w:val="en-US" w:eastAsia="zh-CN"/>
        </w:rPr>
        <w:t>4</w:t>
      </w:r>
      <w:r>
        <w:rPr>
          <w:rFonts w:hint="eastAsia" w:ascii="宋体" w:hAnsi="宋体" w:cs="宋体"/>
          <w:b/>
          <w:bCs/>
          <w:sz w:val="22"/>
          <w:szCs w:val="22"/>
        </w:rPr>
        <w:t>、参加竞争性磋商的费用</w:t>
      </w:r>
    </w:p>
    <w:p w14:paraId="638F6984">
      <w:pPr>
        <w:tabs>
          <w:tab w:val="left" w:pos="0"/>
        </w:tabs>
        <w:spacing w:line="360" w:lineRule="auto"/>
        <w:ind w:firstLine="420"/>
        <w:jc w:val="left"/>
        <w:rPr>
          <w:rFonts w:hint="eastAsia" w:ascii="宋体" w:hAnsi="宋体" w:cs="宋体"/>
          <w:sz w:val="22"/>
          <w:szCs w:val="22"/>
        </w:rPr>
      </w:pPr>
      <w:r>
        <w:rPr>
          <w:rFonts w:hint="eastAsia" w:ascii="宋体" w:hAnsi="宋体" w:cs="宋体"/>
          <w:sz w:val="22"/>
          <w:szCs w:val="22"/>
          <w:lang w:val="en-US" w:eastAsia="zh-CN"/>
        </w:rPr>
        <w:t>4</w:t>
      </w:r>
      <w:r>
        <w:rPr>
          <w:rFonts w:hint="eastAsia" w:ascii="宋体" w:hAnsi="宋体" w:cs="宋体"/>
          <w:sz w:val="22"/>
          <w:szCs w:val="22"/>
        </w:rPr>
        <w:t>.1竞争性磋商投标人应自行承担所有与参加本次竞争性磋商有关的费用。不论竞争性磋商的结果如何，竞争性磋商组织人在任何情况下均无义务和责任承担这些费用。</w:t>
      </w:r>
    </w:p>
    <w:p w14:paraId="4C42C9E4">
      <w:pPr>
        <w:spacing w:line="360" w:lineRule="auto"/>
        <w:ind w:firstLine="420"/>
        <w:rPr>
          <w:rFonts w:hint="eastAsia" w:ascii="宋体" w:hAnsi="宋体" w:cs="宋体"/>
          <w:b/>
          <w:bCs/>
          <w:sz w:val="22"/>
          <w:szCs w:val="22"/>
          <w:lang w:eastAsia="zh-CN"/>
        </w:rPr>
      </w:pPr>
      <w:r>
        <w:rPr>
          <w:rFonts w:hint="eastAsia" w:ascii="宋体" w:hAnsi="宋体" w:cs="宋体"/>
          <w:b/>
          <w:bCs/>
          <w:sz w:val="22"/>
          <w:szCs w:val="22"/>
          <w:lang w:val="en-US" w:eastAsia="zh-CN"/>
        </w:rPr>
        <w:t>4</w:t>
      </w:r>
      <w:r>
        <w:rPr>
          <w:rFonts w:hint="eastAsia" w:ascii="宋体" w:hAnsi="宋体" w:cs="宋体"/>
          <w:b/>
          <w:bCs/>
          <w:sz w:val="22"/>
          <w:szCs w:val="22"/>
        </w:rPr>
        <w:t>.2项目代理服务费由成交单位承担，成交单位在领取成交通知书前，向招标代理人一次性支付代理服务费。代理服务费按苏招协〔2022〕002文标准计算</w:t>
      </w:r>
      <w:r>
        <w:rPr>
          <w:rFonts w:hint="eastAsia" w:ascii="宋体" w:hAnsi="宋体" w:cs="宋体"/>
          <w:b/>
          <w:bCs/>
          <w:sz w:val="22"/>
          <w:szCs w:val="22"/>
          <w:lang w:eastAsia="zh-CN"/>
        </w:rPr>
        <w:t>。</w:t>
      </w:r>
    </w:p>
    <w:p w14:paraId="27037F6E">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（1）代理服务费以人民币支付；</w:t>
      </w:r>
    </w:p>
    <w:p w14:paraId="3CBB871F">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（2）代理服务费一次性以电汇、转账等形式支付；</w:t>
      </w:r>
    </w:p>
    <w:p w14:paraId="09609618">
      <w:pPr>
        <w:spacing w:line="360" w:lineRule="auto"/>
        <w:ind w:firstLine="420"/>
        <w:rPr>
          <w:rFonts w:hint="eastAsia"/>
          <w:lang w:eastAsia="zh-CN"/>
        </w:rPr>
      </w:pPr>
      <w:r>
        <w:rPr>
          <w:rFonts w:hint="eastAsia" w:ascii="宋体" w:hAnsi="宋体"/>
          <w:color w:val="000000" w:themeColor="text1"/>
          <w14:textFill>
            <w14:solidFill>
              <w14:schemeClr w14:val="tx1"/>
            </w14:solidFill>
          </w14:textFill>
        </w:rPr>
        <w:t>（3）代理服务费不在投标报价中单列，包含在投标总价中。</w:t>
      </w:r>
    </w:p>
    <w:p w14:paraId="0DB6C83F">
      <w:pPr>
        <w:spacing w:line="360" w:lineRule="auto"/>
        <w:ind w:right="-155"/>
        <w:jc w:val="left"/>
        <w:rPr>
          <w:rFonts w:hint="eastAsia" w:ascii="宋体" w:hAnsi="宋体" w:cs="宋体"/>
          <w:b/>
          <w:bCs/>
          <w:sz w:val="22"/>
          <w:szCs w:val="22"/>
        </w:rPr>
      </w:pPr>
      <w:r>
        <w:rPr>
          <w:rFonts w:hint="eastAsia" w:ascii="宋体" w:hAnsi="宋体" w:cs="宋体"/>
          <w:b/>
          <w:bCs/>
          <w:sz w:val="22"/>
          <w:szCs w:val="22"/>
        </w:rPr>
        <w:t>二、竞争性磋商文件</w:t>
      </w:r>
    </w:p>
    <w:p w14:paraId="6C5426D7">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5、采购文件的约束力</w:t>
      </w:r>
    </w:p>
    <w:p w14:paraId="07422E06">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5.1 供应商一旦参加本项目采购活动，即被认为接受了本采购文件的规定和约束。</w:t>
      </w:r>
    </w:p>
    <w:p w14:paraId="77C94B1D">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6、采购文件构成</w:t>
      </w:r>
    </w:p>
    <w:p w14:paraId="44038C79">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6.1 采购文件有以下部分组成：</w:t>
      </w:r>
    </w:p>
    <w:p w14:paraId="19105E51">
      <w:pPr>
        <w:spacing w:line="360" w:lineRule="auto"/>
        <w:ind w:firstLine="315"/>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（1）采购公告</w:t>
      </w:r>
    </w:p>
    <w:p w14:paraId="099014A8">
      <w:pPr>
        <w:spacing w:line="360" w:lineRule="auto"/>
        <w:ind w:firstLine="31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（2）磋商须知</w:t>
      </w:r>
      <w:r>
        <w:rPr>
          <w:rFonts w:hint="eastAsia" w:ascii="宋体" w:hAnsi="宋体"/>
          <w:color w:val="000000" w:themeColor="text1"/>
          <w14:textFill>
            <w14:solidFill>
              <w14:schemeClr w14:val="tx1"/>
            </w14:solidFill>
          </w14:textFill>
        </w:rPr>
        <w:tab/>
      </w:r>
    </w:p>
    <w:p w14:paraId="6F69FA89">
      <w:pPr>
        <w:spacing w:line="360" w:lineRule="auto"/>
        <w:ind w:firstLine="31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（3）合同条款及格式</w:t>
      </w:r>
    </w:p>
    <w:p w14:paraId="7E3D6389">
      <w:pPr>
        <w:spacing w:line="360" w:lineRule="auto"/>
        <w:ind w:firstLine="31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（4）项目需求</w:t>
      </w:r>
    </w:p>
    <w:p w14:paraId="30F48A38">
      <w:pPr>
        <w:spacing w:line="360" w:lineRule="auto"/>
        <w:ind w:firstLine="31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（5）评审方法与评审标准</w:t>
      </w:r>
    </w:p>
    <w:p w14:paraId="37975040">
      <w:pPr>
        <w:spacing w:line="360" w:lineRule="auto"/>
        <w:ind w:firstLine="31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（6）竞争性磋商响应文件格式</w:t>
      </w:r>
    </w:p>
    <w:p w14:paraId="2F72B801">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请仔细检查采购文件是否齐全，如有缺漏请立即与代理机构联系解决。</w:t>
      </w:r>
    </w:p>
    <w:p w14:paraId="656B7C39">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6.2 采购的最小单位是包。采购服务数量及技术要求中未分包的，供应商对要求提供的服务不得部分响应；采购服务数量及技术要求中已经分包的，应当以包为单位响应。</w:t>
      </w:r>
    </w:p>
    <w:p w14:paraId="3227B1B7">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6.3 采购文件如果要求供应商提交备选响应方案的，供应商可以提交备选方案；否则，备选方案将被拒绝。</w:t>
      </w:r>
    </w:p>
    <w:p w14:paraId="394E68BF">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6.4 供应商应认真阅读采购文件中所有的事项、格式、条款和规范等要求。按采购文件要求和规定编制响应文件，并保证所提供的全部资料的真实性，以使其响应文件对采购文件作出实质性响应，否则其风险由供应商自行承担。</w:t>
      </w:r>
    </w:p>
    <w:p w14:paraId="179CF233">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w:t>
      </w:r>
      <w:r>
        <w:rPr>
          <w:rFonts w:hint="eastAsia" w:ascii="宋体" w:hAnsi="宋体" w:eastAsia="宋体"/>
          <w:b w:val="0"/>
          <w:bCs w:val="0"/>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采购文件的澄清</w:t>
      </w:r>
    </w:p>
    <w:p w14:paraId="7CAB0D02">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7.1 任何要求对采购文件进行澄清的供应商，应在提交首次响应文件截止时间至少5日前按采购公告中的通讯地址，以书面形式通知代理机构。</w:t>
      </w:r>
    </w:p>
    <w:p w14:paraId="293E9473">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w:t>
      </w:r>
      <w:r>
        <w:rPr>
          <w:rFonts w:hint="eastAsia" w:ascii="宋体" w:hAnsi="宋体" w:eastAsia="宋体"/>
          <w:b w:val="0"/>
          <w:bCs w:val="0"/>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采购文件的修改</w:t>
      </w:r>
    </w:p>
    <w:p w14:paraId="021C9961">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8.1 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14:paraId="678F3252">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8.2采购文件的修改将在“扬州市政府采购网”、“江苏政府采购网”公布，补充文件将作为采购文件的组成部分，并对供应商具有约束力。</w:t>
      </w:r>
    </w:p>
    <w:p w14:paraId="06327CAE">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9、采购文件的语言、度量衡单位、货币</w:t>
      </w:r>
    </w:p>
    <w:p w14:paraId="4AE2255E">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9.1供应商提交的响应文件以及供应商与代理机构就有关磋商的所有来往通知、函件和文件均应使用简体中文。</w:t>
      </w:r>
    </w:p>
    <w:p w14:paraId="2A397AB8">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9.2 除技术性能另有规定外，采购文件所使用的度量衡单位，均须采用国家法定计量单位。</w:t>
      </w:r>
    </w:p>
    <w:p w14:paraId="590E6D6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9.3采购文件中的服务单价和总价无特殊规定的采用人民币报价，以元为单位标注。采购文件中另有规定的按规定执行。</w:t>
      </w:r>
    </w:p>
    <w:p w14:paraId="30E5607C">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10、响应文件构成</w:t>
      </w:r>
    </w:p>
    <w:p w14:paraId="776BC3B8">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10.1投标文件由以下部分组成：</w:t>
      </w:r>
    </w:p>
    <w:p w14:paraId="15EA4896">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10.1.1资格审查响应对照表</w:t>
      </w:r>
    </w:p>
    <w:p w14:paraId="797CDC6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10.1.2符合性审查响应对照表</w:t>
      </w:r>
    </w:p>
    <w:p w14:paraId="3EC167F3">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10.1.3非实质性响应对照表</w:t>
      </w:r>
    </w:p>
    <w:p w14:paraId="0D6E1E13">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10.1.4磋商报价表 </w:t>
      </w:r>
    </w:p>
    <w:p w14:paraId="7FC3BA8D">
      <w:pPr>
        <w:spacing w:line="360" w:lineRule="auto"/>
        <w:ind w:firstLine="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10.1.5商务条款响应及偏离表</w:t>
      </w:r>
    </w:p>
    <w:p w14:paraId="68587D4A">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10.1.6其他（供应商认为有必要提供的声明和文件，如有自拟并自行添加）</w:t>
      </w:r>
    </w:p>
    <w:p w14:paraId="01072EE5">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10.2 供应商应当根据采购文件要求编制响应文件，响应文件应对采购文件提出的要求和条件作出响应，并在相应的响应文件中逐条标明满足与否。</w:t>
      </w:r>
    </w:p>
    <w:p w14:paraId="480AFAA4">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11、证明供应商资格及符合采购文件规定的文件</w:t>
      </w:r>
    </w:p>
    <w:p w14:paraId="05B60EA1">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11.1供应商应按要求提交资格证明文件及符合采购文件规定的文件。</w:t>
      </w:r>
    </w:p>
    <w:p w14:paraId="30A7B75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11.2供应商应提交证明其有资格参加磋商和成交后有能力独立履行合同的文件。</w:t>
      </w:r>
    </w:p>
    <w:p w14:paraId="4D858656">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11.3供应商除必须具有履行合同所需提供的产品或服务的能力外，还必须具备相应的财务、技术方面的能力。</w:t>
      </w:r>
    </w:p>
    <w:p w14:paraId="62F56849">
      <w:pPr>
        <w:spacing w:line="360" w:lineRule="auto"/>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11.4供应商应提交根据合同要求提供的证明服务质量合格以及符合采购文件规定的证明文件。</w:t>
      </w:r>
    </w:p>
    <w:p w14:paraId="160CE768">
      <w:pPr>
        <w:spacing w:line="360" w:lineRule="auto"/>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11.5证明供应商所提供服务与采购文件的要求相一致的文件可以是手册、图纸、文字资料和数据。</w:t>
      </w:r>
    </w:p>
    <w:p w14:paraId="703FD30A">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12、磋商报价表</w:t>
      </w:r>
    </w:p>
    <w:p w14:paraId="256346C6">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12.1 供应商应按照采购文件规定格式填报磋商报价表，每项服务只允许有一个报价，任何有选择的报价将不予接受。</w:t>
      </w:r>
    </w:p>
    <w:p w14:paraId="5D795134">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12.2 标的物</w:t>
      </w:r>
    </w:p>
    <w:p w14:paraId="41EB5A5A">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采购人招标范围内所有内容。</w:t>
      </w:r>
    </w:p>
    <w:p w14:paraId="51026C32">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12.3其它费用处理</w:t>
      </w:r>
    </w:p>
    <w:p w14:paraId="64239F4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采购文件未列明，而供应商认为必需的费用也需列入报价。</w:t>
      </w:r>
    </w:p>
    <w:p w14:paraId="2CF9B45A">
      <w:pPr>
        <w:spacing w:line="360" w:lineRule="auto"/>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13、技术参数响应及偏离表、商务条款响应及偏离表及磋商服务说明（如有）</w:t>
      </w:r>
    </w:p>
    <w:p w14:paraId="396F73F8">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13.1 对采购文件中的技术与商务条款要求逐项作出响应或偏离，并说明原因；</w:t>
      </w:r>
    </w:p>
    <w:p w14:paraId="222D3FD8">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13.2 提供参加本项目类似案例简介；</w:t>
      </w:r>
    </w:p>
    <w:p w14:paraId="6FB8B40F">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13.3 详细阐述所投服务的主要组成部分、功能设计、实现思路及关键技术；</w:t>
      </w:r>
    </w:p>
    <w:p w14:paraId="1A2FCED5">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13.4 供应商认为需要的其他技术文件或说明。</w:t>
      </w:r>
    </w:p>
    <w:p w14:paraId="259B2B06">
      <w:pPr>
        <w:spacing w:line="360" w:lineRule="auto"/>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14、服务承诺及售后服务机构、人员的情况介绍(如有）</w:t>
      </w:r>
    </w:p>
    <w:p w14:paraId="657294B4">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14.1供应商的服务承诺应按不低于采购文件中商务要求的标准。</w:t>
      </w:r>
    </w:p>
    <w:p w14:paraId="4852A0D1">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14.2提供供应商有关售后服务的管理制度、售后服务机构的分布情况、售后服务人员的数量、素质、技术水平及售后服务的反应能力。</w:t>
      </w:r>
    </w:p>
    <w:p w14:paraId="10B40D3A">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15、磋商响应函</w:t>
      </w:r>
    </w:p>
    <w:p w14:paraId="0C8FE759">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15.1 供应商应按照扬州市政府采购交易管理系统提供的格式完整、正确填写磋商响应函。</w:t>
      </w:r>
    </w:p>
    <w:p w14:paraId="5E70FA00">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16、磋商响应有效期</w:t>
      </w:r>
    </w:p>
    <w:p w14:paraId="0DE98108">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16.1 磋商响应有效期为代理机构规定的响应文件接收截止时间后</w:t>
      </w:r>
      <w:r>
        <w:rPr>
          <w:rFonts w:hint="eastAsia" w:ascii="宋体" w:hAnsi="宋体"/>
          <w:b/>
          <w:bCs/>
          <w:color w:val="000000" w:themeColor="text1"/>
          <w:u w:val="single"/>
          <w14:textFill>
            <w14:solidFill>
              <w14:schemeClr w14:val="tx1"/>
            </w14:solidFill>
          </w14:textFill>
        </w:rPr>
        <w:t>六十（60）天</w:t>
      </w:r>
      <w:r>
        <w:rPr>
          <w:rFonts w:hint="eastAsia" w:ascii="宋体" w:hAnsi="宋体"/>
          <w:color w:val="000000" w:themeColor="text1"/>
          <w14:textFill>
            <w14:solidFill>
              <w14:schemeClr w14:val="tx1"/>
            </w14:solidFill>
          </w14:textFill>
        </w:rPr>
        <w:t>。磋商响应有效期比规定短的将被视为非实质性响应性而予以拒绝。</w:t>
      </w:r>
    </w:p>
    <w:p w14:paraId="4181C3C4">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16.2 在特殊情况下，代理机构于原磋商响应有效期满之前，可向供应商提出延长磋商响应有效期的要求。这种要求与答复均应采用书面形式。供应商可以拒绝代理机构的这一要求而放弃磋商响应；同意延长磋商响应有效期的供应商既不能要求也不允许修改其响应文件。本采购文件受磋商响应有效期约束的所有权利与义务均延长至新的有效期。</w:t>
      </w:r>
    </w:p>
    <w:p w14:paraId="34F9B4C1">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bookmarkStart w:id="9" w:name="_Toc20823297"/>
      <w:bookmarkStart w:id="10" w:name="_Toc16938541"/>
      <w:r>
        <w:rPr>
          <w:rFonts w:hint="eastAsia" w:ascii="宋体" w:hAnsi="宋体" w:eastAsia="宋体"/>
          <w:color w:val="000000" w:themeColor="text1"/>
          <w:sz w:val="21"/>
          <w:szCs w:val="21"/>
          <w14:textFill>
            <w14:solidFill>
              <w14:schemeClr w14:val="tx1"/>
            </w14:solidFill>
          </w14:textFill>
        </w:rPr>
        <w:t>17、响应文件</w:t>
      </w:r>
      <w:bookmarkEnd w:id="9"/>
      <w:bookmarkEnd w:id="10"/>
      <w:r>
        <w:rPr>
          <w:rFonts w:hint="eastAsia" w:ascii="宋体" w:hAnsi="宋体" w:eastAsia="宋体"/>
          <w:color w:val="000000" w:themeColor="text1"/>
          <w:sz w:val="21"/>
          <w:szCs w:val="21"/>
          <w14:textFill>
            <w14:solidFill>
              <w14:schemeClr w14:val="tx1"/>
            </w14:solidFill>
          </w14:textFill>
        </w:rPr>
        <w:t>的递交</w:t>
      </w:r>
    </w:p>
    <w:p w14:paraId="538E3F21">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17.1 电子响应文件的递交供应商应当按照《操作手册》规定，在磋商响应截止时间前制作并上传电子响应文件。</w:t>
      </w:r>
      <w:bookmarkStart w:id="11" w:name="_Toc20823298"/>
      <w:bookmarkStart w:id="12" w:name="_Toc16938542"/>
    </w:p>
    <w:p w14:paraId="47E724C3">
      <w:pPr>
        <w:pStyle w:val="64"/>
        <w:widowControl w:val="0"/>
        <w:spacing w:line="360" w:lineRule="auto"/>
        <w:ind w:firstLine="422"/>
        <w:rPr>
          <w:rFonts w:ascii="宋体" w:hAnsi="宋体"/>
          <w:b/>
          <w:bCs/>
          <w:color w:val="000000" w:themeColor="text1"/>
          <w:sz w:val="21"/>
          <w14:textFill>
            <w14:solidFill>
              <w14:schemeClr w14:val="tx1"/>
            </w14:solidFill>
          </w14:textFill>
        </w:rPr>
      </w:pPr>
      <w:r>
        <w:rPr>
          <w:rFonts w:hint="eastAsia" w:ascii="宋体" w:hAnsi="宋体"/>
          <w:b/>
          <w:bCs/>
          <w:color w:val="000000" w:themeColor="text1"/>
          <w:sz w:val="21"/>
          <w14:textFill>
            <w14:solidFill>
              <w14:schemeClr w14:val="tx1"/>
            </w14:solidFill>
          </w14:textFill>
        </w:rPr>
        <w:t>17.2政府采购管理交易系统（苏采云）相关要求是本采购文件的组成部分。</w:t>
      </w:r>
    </w:p>
    <w:p w14:paraId="01CA3049">
      <w:pPr>
        <w:pStyle w:val="64"/>
        <w:widowControl w:val="0"/>
        <w:spacing w:line="360" w:lineRule="auto"/>
        <w:ind w:firstLine="422"/>
        <w:rPr>
          <w:rFonts w:ascii="宋体" w:hAnsi="宋体"/>
          <w:b/>
          <w:bCs/>
          <w:color w:val="000000" w:themeColor="text1"/>
          <w:sz w:val="21"/>
          <w14:textFill>
            <w14:solidFill>
              <w14:schemeClr w14:val="tx1"/>
            </w14:solidFill>
          </w14:textFill>
        </w:rPr>
      </w:pPr>
      <w:r>
        <w:rPr>
          <w:rFonts w:hint="eastAsia" w:ascii="宋体" w:hAnsi="宋体"/>
          <w:b/>
          <w:bCs/>
          <w:color w:val="000000" w:themeColor="text1"/>
          <w:sz w:val="21"/>
          <w14:textFill>
            <w14:solidFill>
              <w14:schemeClr w14:val="tx1"/>
            </w14:solidFill>
          </w14:textFill>
        </w:rPr>
        <w:t>17.3供应商应对 CA 证书妥善保管，如被他人盗用投标，因此带来的结果均由供应商自行承担。</w:t>
      </w:r>
    </w:p>
    <w:p w14:paraId="746ABCD0">
      <w:pPr>
        <w:pStyle w:val="64"/>
        <w:widowControl w:val="0"/>
        <w:spacing w:line="360" w:lineRule="auto"/>
        <w:ind w:firstLine="422"/>
        <w:rPr>
          <w:rFonts w:ascii="宋体" w:hAnsi="宋体"/>
          <w:b/>
          <w:bCs/>
          <w:color w:val="000000" w:themeColor="text1"/>
          <w:sz w:val="21"/>
          <w14:textFill>
            <w14:solidFill>
              <w14:schemeClr w14:val="tx1"/>
            </w14:solidFill>
          </w14:textFill>
        </w:rPr>
      </w:pPr>
      <w:r>
        <w:rPr>
          <w:rFonts w:hint="eastAsia" w:ascii="宋体" w:hAnsi="宋体"/>
          <w:b/>
          <w:bCs/>
          <w:color w:val="000000" w:themeColor="text1"/>
          <w:sz w:val="21"/>
          <w14:textFill>
            <w14:solidFill>
              <w14:schemeClr w14:val="tx1"/>
            </w14:solidFill>
          </w14:textFill>
        </w:rPr>
        <w:t>17.4供应商应当对采购文件提出的要求和条件作出实质性响应，并在电子投标系统逐条应答。</w:t>
      </w:r>
    </w:p>
    <w:p w14:paraId="3ECB6976">
      <w:pPr>
        <w:pStyle w:val="64"/>
        <w:widowControl w:val="0"/>
        <w:spacing w:line="360" w:lineRule="auto"/>
        <w:ind w:firstLine="422"/>
        <w:rPr>
          <w:rFonts w:ascii="宋体" w:hAnsi="宋体"/>
          <w:b/>
          <w:bCs/>
          <w:color w:val="000000" w:themeColor="text1"/>
          <w:sz w:val="21"/>
          <w14:textFill>
            <w14:solidFill>
              <w14:schemeClr w14:val="tx1"/>
            </w14:solidFill>
          </w14:textFill>
        </w:rPr>
      </w:pPr>
      <w:r>
        <w:rPr>
          <w:rFonts w:hint="eastAsia" w:ascii="宋体" w:hAnsi="宋体"/>
          <w:b/>
          <w:bCs/>
          <w:color w:val="000000" w:themeColor="text1"/>
          <w:sz w:val="21"/>
          <w14:textFill>
            <w14:solidFill>
              <w14:schemeClr w14:val="tx1"/>
            </w14:solidFill>
          </w14:textFill>
        </w:rPr>
        <w:t>17.5供应商应对要求提供的资格证明文件（如资质证书、资格证书）、技术资料（如白皮书、彩页、手册、检测报告等）扫描上传至投标系统。</w:t>
      </w:r>
    </w:p>
    <w:p w14:paraId="70EB07E5">
      <w:pPr>
        <w:pStyle w:val="64"/>
        <w:widowControl w:val="0"/>
        <w:spacing w:line="360" w:lineRule="auto"/>
        <w:ind w:firstLine="422"/>
        <w:rPr>
          <w:rFonts w:ascii="宋体" w:hAnsi="宋体"/>
          <w:b/>
          <w:bCs/>
          <w:color w:val="000000" w:themeColor="text1"/>
          <w:sz w:val="21"/>
          <w14:textFill>
            <w14:solidFill>
              <w14:schemeClr w14:val="tx1"/>
            </w14:solidFill>
          </w14:textFill>
        </w:rPr>
      </w:pPr>
      <w:r>
        <w:rPr>
          <w:rFonts w:hint="eastAsia" w:ascii="宋体" w:hAnsi="宋体"/>
          <w:b/>
          <w:bCs/>
          <w:color w:val="000000" w:themeColor="text1"/>
          <w:sz w:val="21"/>
          <w14:textFill>
            <w14:solidFill>
              <w14:schemeClr w14:val="tx1"/>
            </w14:solidFill>
          </w14:textFill>
        </w:rPr>
        <w:t>17.6各供应商应在规定时间内凭CA证书进行网上解密。</w:t>
      </w:r>
    </w:p>
    <w:p w14:paraId="54FB488B">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18、磋商响应截止日期</w:t>
      </w:r>
      <w:bookmarkEnd w:id="11"/>
      <w:bookmarkEnd w:id="12"/>
    </w:p>
    <w:p w14:paraId="4E2575DC">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i/>
          <w:iCs/>
          <w:color w:val="000000" w:themeColor="text1"/>
          <w:u w:val="single"/>
          <w14:textFill>
            <w14:solidFill>
              <w14:schemeClr w14:val="tx1"/>
            </w14:solidFill>
          </w14:textFill>
        </w:rPr>
        <w:t>18.1 供应商上传电子响应文件的时间不得迟于采购公告中规定的磋商响应截止时间。</w:t>
      </w:r>
    </w:p>
    <w:p w14:paraId="22AFBF79">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供应商应充分考虑到网络环境、网络带宽等风险因素，如因供应商自身原因造成的电子响应文件上传不成功由供应商自行承担全部责任。</w:t>
      </w:r>
    </w:p>
    <w:p w14:paraId="5E3D0B22">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18.2 代理机构可以按照规定，通过修改采购文件延长磋商截止日期，在此情况下，供应商的所有权利和义务以及供应商受制的截止日期均应以延长后新的截止日期为准。</w:t>
      </w:r>
    </w:p>
    <w:p w14:paraId="4822F2B5">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bookmarkStart w:id="13" w:name="_Toc20823299"/>
      <w:bookmarkStart w:id="14" w:name="_Toc16938543"/>
      <w:r>
        <w:rPr>
          <w:rFonts w:hint="eastAsia" w:ascii="宋体" w:hAnsi="宋体" w:eastAsia="宋体"/>
          <w:color w:val="000000" w:themeColor="text1"/>
          <w:sz w:val="21"/>
          <w:szCs w:val="21"/>
          <w14:textFill>
            <w14:solidFill>
              <w14:schemeClr w14:val="tx1"/>
            </w14:solidFill>
          </w14:textFill>
        </w:rPr>
        <w:t>19、响应文件</w:t>
      </w:r>
      <w:bookmarkEnd w:id="13"/>
      <w:bookmarkEnd w:id="14"/>
      <w:r>
        <w:rPr>
          <w:rFonts w:hint="eastAsia" w:ascii="宋体" w:hAnsi="宋体" w:eastAsia="宋体"/>
          <w:color w:val="000000" w:themeColor="text1"/>
          <w:sz w:val="21"/>
          <w:szCs w:val="21"/>
          <w14:textFill>
            <w14:solidFill>
              <w14:schemeClr w14:val="tx1"/>
            </w14:solidFill>
          </w14:textFill>
        </w:rPr>
        <w:t>的拒收</w:t>
      </w:r>
    </w:p>
    <w:p w14:paraId="6737FFC7">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19.1代理机构拒绝接收在其规定的磋商截止时间后上传的任何响应文件。</w:t>
      </w:r>
    </w:p>
    <w:p w14:paraId="7B79D897">
      <w:pPr>
        <w:pStyle w:val="7"/>
        <w:spacing w:before="0" w:after="0" w:line="360" w:lineRule="auto"/>
        <w:ind w:firstLine="422"/>
        <w:jc w:val="left"/>
        <w:rPr>
          <w:rFonts w:ascii="宋体" w:hAnsi="宋体" w:eastAsia="宋体"/>
          <w:color w:val="000000" w:themeColor="text1"/>
          <w:sz w:val="21"/>
          <w:szCs w:val="21"/>
          <w14:textFill>
            <w14:solidFill>
              <w14:schemeClr w14:val="tx1"/>
            </w14:solidFill>
          </w14:textFill>
        </w:rPr>
      </w:pPr>
      <w:bookmarkStart w:id="15" w:name="_Toc16938544"/>
      <w:bookmarkStart w:id="16" w:name="_Toc20823300"/>
      <w:r>
        <w:rPr>
          <w:rFonts w:hint="eastAsia" w:ascii="宋体" w:hAnsi="宋体" w:eastAsia="宋体"/>
          <w:color w:val="000000" w:themeColor="text1"/>
          <w:sz w:val="21"/>
          <w:szCs w:val="21"/>
          <w14:textFill>
            <w14:solidFill>
              <w14:schemeClr w14:val="tx1"/>
            </w14:solidFill>
          </w14:textFill>
        </w:rPr>
        <w:t>20、响应文件的撤回和修改</w:t>
      </w:r>
      <w:bookmarkEnd w:id="15"/>
      <w:bookmarkEnd w:id="16"/>
    </w:p>
    <w:p w14:paraId="6AD3E273">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20.1 响应文件的撤回</w:t>
      </w:r>
    </w:p>
    <w:p w14:paraId="2C8B2994">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20.1.1 电子响应文件的撤回</w:t>
      </w:r>
    </w:p>
    <w:p w14:paraId="0A525172">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供应商可在磋商截止时间前，撤回其电子响应文件，具体操作方法见《操作手册》。</w:t>
      </w:r>
    </w:p>
    <w:p w14:paraId="7766DAD1">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20.1.2 供应商撤回电子响应文件，则认为其不再参与本项目磋商。</w:t>
      </w:r>
    </w:p>
    <w:p w14:paraId="2963D6CA">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20.2 响应文件的修改</w:t>
      </w:r>
    </w:p>
    <w:p w14:paraId="02C4577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供应商可在磋商截止时间前，对其电子响应文件进行修改，具体操作方法见《操作手册》。</w:t>
      </w:r>
    </w:p>
    <w:p w14:paraId="30642E90">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20.3 在磋商截止时间之后，供应商不得对其电子响应文件作任何修改。</w:t>
      </w:r>
    </w:p>
    <w:p w14:paraId="10283E79">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20.4 在磋商截止时间至采购文件中规定的磋商有效期满之间的这段时间内，供应商不得撤回其响应文件。</w:t>
      </w:r>
    </w:p>
    <w:p w14:paraId="360BBF19">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21、磋商</w:t>
      </w:r>
    </w:p>
    <w:p w14:paraId="418CB8D4">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21.1 代理机构将在采购公告中规定的时间和地点组织磋商开始仪式。供应商应当按照《操作手册》规定，参加磋商活动。</w:t>
      </w:r>
    </w:p>
    <w:p w14:paraId="62C1F0A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21.2供应商在磋商过程中涉及到的响应文件解密等工作，应按照《操作手册》规定执行。</w:t>
      </w:r>
    </w:p>
    <w:p w14:paraId="076DED86">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22、磋商小组</w:t>
      </w:r>
    </w:p>
    <w:p w14:paraId="41A80461">
      <w:pPr>
        <w:spacing w:line="360" w:lineRule="auto"/>
        <w:jc w:val="left"/>
        <w:rPr>
          <w:rFonts w:ascii="宋体" w:hAnsi="宋体"/>
          <w:b/>
          <w:bC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22.1磋商开始后，代理机构将立即组织磋商小组进行评审。</w:t>
      </w:r>
    </w:p>
    <w:p w14:paraId="7DA1CF2A">
      <w:pPr>
        <w:spacing w:line="360" w:lineRule="auto"/>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22.2磋商小组由采购人代表和有关技术、经济等方面的专家组成，且人员构成符合政府采购有关规定。</w:t>
      </w:r>
    </w:p>
    <w:p w14:paraId="2AB49F7A">
      <w:pPr>
        <w:spacing w:line="360" w:lineRule="auto"/>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22.3磋商小组独立工作，负责评审有效响应文件并确定成交候选供应商。</w:t>
      </w:r>
    </w:p>
    <w:p w14:paraId="221AA45C">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23、评审过程的保密与公正</w:t>
      </w:r>
    </w:p>
    <w:p w14:paraId="437685FA">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23.1评审专家应当遵守评审工作纪律，不得泄露评审情况和评审中获悉的商业秘密。</w:t>
      </w:r>
    </w:p>
    <w:p w14:paraId="54D71F28">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23.2在评审过程中，供应商不得以任何行为影响评审过程，否则其响应文件将被作为无效响应文件。</w:t>
      </w:r>
    </w:p>
    <w:p w14:paraId="6FA73DFF">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23.3 在评审期间，代理机构将设专门工作人员与供应商联系。</w:t>
      </w:r>
    </w:p>
    <w:p w14:paraId="4CD5BF93">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23.4 代理机构和磋商小组不向未成交的供应商解释未成交原因，也不公布评审过程中的相关细节。</w:t>
      </w:r>
    </w:p>
    <w:p w14:paraId="6398E699">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24、磋商的澄清</w:t>
      </w:r>
    </w:p>
    <w:p w14:paraId="4B99ADA5">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24.1评审期间，磋商小组要求供应商澄清、说明或者更正响应文件以电子函件形式提交但并非对每个供应商都作澄清要求。</w:t>
      </w:r>
    </w:p>
    <w:p w14:paraId="54E273DD">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24.2接到磋商小组澄清要求的供应商应按磋商小组规定的时间和格式在</w:t>
      </w:r>
      <w:r>
        <w:rPr>
          <w:rFonts w:hint="eastAsia" w:ascii="宋体" w:hAnsi="宋体"/>
          <w:b/>
          <w:bCs/>
          <w:color w:val="000000" w:themeColor="text1"/>
          <w14:textFill>
            <w14:solidFill>
              <w14:schemeClr w14:val="tx1"/>
            </w14:solidFill>
          </w14:textFill>
        </w:rPr>
        <w:t>“政府采购管理交易系统（苏采云）”</w:t>
      </w:r>
      <w:r>
        <w:rPr>
          <w:rFonts w:hint="eastAsia" w:ascii="宋体" w:hAnsi="宋体"/>
          <w:color w:val="000000" w:themeColor="text1"/>
          <w14:textFill>
            <w14:solidFill>
              <w14:schemeClr w14:val="tx1"/>
            </w14:solidFill>
          </w14:textFill>
        </w:rPr>
        <w:t>中做出澄清，澄清的内容作为响应文件的补充部分。具体</w:t>
      </w:r>
      <w:r>
        <w:rPr>
          <w:rFonts w:ascii="宋体" w:hAnsi="宋体"/>
          <w:color w:val="000000" w:themeColor="text1"/>
          <w14:textFill>
            <w14:solidFill>
              <w14:schemeClr w14:val="tx1"/>
            </w14:solidFill>
          </w14:textFill>
        </w:rPr>
        <w:t>操作</w:t>
      </w:r>
      <w:r>
        <w:rPr>
          <w:rFonts w:hint="eastAsia" w:ascii="宋体" w:hAnsi="宋体"/>
          <w:color w:val="000000" w:themeColor="text1"/>
          <w14:textFill>
            <w14:solidFill>
              <w14:schemeClr w14:val="tx1"/>
            </w14:solidFill>
          </w14:textFill>
        </w:rPr>
        <w:t>方式</w:t>
      </w:r>
      <w:r>
        <w:rPr>
          <w:rFonts w:ascii="宋体" w:hAnsi="宋体"/>
          <w:color w:val="000000" w:themeColor="text1"/>
          <w14:textFill>
            <w14:solidFill>
              <w14:schemeClr w14:val="tx1"/>
            </w14:solidFill>
          </w14:textFill>
        </w:rPr>
        <w:t>见</w:t>
      </w:r>
      <w:r>
        <w:rPr>
          <w:rFonts w:hint="eastAsia" w:ascii="宋体" w:hAnsi="宋体"/>
          <w:bCs/>
          <w:color w:val="000000" w:themeColor="text1"/>
          <w14:textFill>
            <w14:solidFill>
              <w14:schemeClr w14:val="tx1"/>
            </w14:solidFill>
          </w14:textFill>
        </w:rPr>
        <w:t>《操作手册》</w:t>
      </w:r>
      <w:r>
        <w:rPr>
          <w:rFonts w:hint="eastAsia" w:ascii="宋体" w:hAnsi="宋体"/>
          <w:color w:val="000000" w:themeColor="text1"/>
          <w14:textFill>
            <w14:solidFill>
              <w14:schemeClr w14:val="tx1"/>
            </w14:solidFill>
          </w14:textFill>
        </w:rPr>
        <w:t>。</w:t>
      </w:r>
    </w:p>
    <w:p w14:paraId="69C99215">
      <w:pPr>
        <w:spacing w:line="360" w:lineRule="auto"/>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24.3 接到磋商小组澄清要求的供应商如未按规定做出澄清，其风险由供应商自行承担。</w:t>
      </w:r>
    </w:p>
    <w:p w14:paraId="1EA17827">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25、对响应文件的初审</w:t>
      </w:r>
    </w:p>
    <w:p w14:paraId="5C0B1DAE">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25.1响应文件初审分为资格审查和符合性审查。</w:t>
      </w:r>
    </w:p>
    <w:p w14:paraId="23A7CAAD">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25.1.1资格审查：依据法律法规和采购文件的规定，对响应文件中的资格证明文件进行审查。以确定供应商是否具备参加磋商的资格。</w:t>
      </w:r>
    </w:p>
    <w:p w14:paraId="2FABB837">
      <w:pPr>
        <w:spacing w:line="440" w:lineRule="exact"/>
        <w:ind w:firstLine="42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采购人在进行资格性审查的同时，将在“信用中国”网站（http://www.creditchina.gov.cn）、“中国政府采购网"(http://www.ccgp.gov.cn)对投标人是否被列入失信被执行人、重大税收违法案件当事人名单、政府采购严重失信行为记录名单情况进行查询，以确定投标人是否具备投标资格。查询结果将以网页打印的形式留存并归档。</w:t>
      </w:r>
    </w:p>
    <w:p w14:paraId="638F63C8">
      <w:pPr>
        <w:spacing w:line="440" w:lineRule="exact"/>
        <w:ind w:firstLine="420"/>
        <w:rPr>
          <w:rFonts w:ascii="宋体" w:hAnsi="宋体"/>
          <w:bCs/>
        </w:rPr>
      </w:pPr>
      <w:r>
        <w:rPr>
          <w:rFonts w:hint="eastAsia" w:ascii="宋体" w:hAnsi="宋体"/>
          <w:bCs/>
          <w:color w:val="000000" w:themeColor="text1"/>
          <w14:textFill>
            <w14:solidFill>
              <w14:schemeClr w14:val="tx1"/>
            </w14:solidFill>
          </w14:textFill>
        </w:rPr>
        <w:t>若接受联合体投标的项目，两个以上的自然人、法人或者其他组织</w:t>
      </w:r>
      <w:r>
        <w:rPr>
          <w:rFonts w:hint="eastAsia" w:ascii="宋体" w:hAnsi="宋体"/>
          <w:bCs/>
        </w:rPr>
        <w:t>组成一个联合体，以一个供应商的身份共同参加政府采购活动的,联合体成员存在不良信用记录的，视同联合体存在不良信用记录。</w:t>
      </w:r>
    </w:p>
    <w:p w14:paraId="0DAF97B2">
      <w:pPr>
        <w:spacing w:line="360" w:lineRule="auto"/>
        <w:ind w:firstLine="420"/>
        <w:jc w:val="left"/>
        <w:rPr>
          <w:rFonts w:ascii="宋体" w:hAnsi="宋体"/>
        </w:rPr>
      </w:pPr>
      <w:r>
        <w:rPr>
          <w:rFonts w:hint="eastAsia" w:ascii="宋体" w:hAnsi="宋体"/>
        </w:rPr>
        <w:t>25.1.2符合性检查：依据采购文件的规定，由磋商小组从响应文件的有效性、完整性和对采购文件的响应程度进行审查，以确定是否对采购文件的实质性要求作出响应。</w:t>
      </w:r>
    </w:p>
    <w:p w14:paraId="520FEA24">
      <w:pPr>
        <w:spacing w:line="360" w:lineRule="auto"/>
        <w:ind w:firstLine="420"/>
        <w:jc w:val="left"/>
        <w:rPr>
          <w:rFonts w:ascii="宋体" w:hAnsi="宋体"/>
        </w:rPr>
      </w:pPr>
      <w:r>
        <w:rPr>
          <w:rFonts w:hint="eastAsia" w:ascii="宋体" w:hAnsi="宋体"/>
        </w:rPr>
        <w:t>25.1.3 未通过资格审查或符合性审查的供应商，代理机构将在</w:t>
      </w:r>
      <w:r>
        <w:rPr>
          <w:rFonts w:hint="eastAsia" w:ascii="宋体" w:hAnsi="宋体"/>
          <w:b/>
          <w:bCs/>
        </w:rPr>
        <w:t>“政府采购管理交易系统（苏采云）”</w:t>
      </w:r>
      <w:r>
        <w:rPr>
          <w:rFonts w:hint="eastAsia" w:ascii="宋体" w:hAnsi="宋体"/>
        </w:rPr>
        <w:t>中告知未通过资格审查或符合性审查的原因，评审结束后，代理机构将不再告知未通过资格审查或符合性审查的原因。</w:t>
      </w:r>
    </w:p>
    <w:p w14:paraId="7771B75C">
      <w:pPr>
        <w:spacing w:line="360" w:lineRule="auto"/>
        <w:ind w:firstLine="420"/>
        <w:jc w:val="left"/>
        <w:rPr>
          <w:rFonts w:ascii="宋体" w:hAnsi="宋体"/>
        </w:rPr>
      </w:pPr>
      <w:r>
        <w:rPr>
          <w:rFonts w:hint="eastAsia" w:ascii="宋体" w:hAnsi="宋体"/>
        </w:rPr>
        <w:t>25.2在详细评审之前，磋商小组将首先审查每份响应文件是否实质性响应了采购文件的要求。实质性响应的响应文件应该是与采购文件要求的全部条款、条件和规格相符，没有重大偏离或保留。</w:t>
      </w:r>
    </w:p>
    <w:p w14:paraId="7A9B7471">
      <w:pPr>
        <w:spacing w:line="360" w:lineRule="auto"/>
        <w:ind w:firstLine="420"/>
        <w:jc w:val="left"/>
        <w:rPr>
          <w:rFonts w:ascii="宋体" w:hAnsi="宋体"/>
        </w:rPr>
      </w:pPr>
      <w:r>
        <w:rPr>
          <w:rFonts w:hint="eastAsia" w:ascii="宋体" w:hAnsi="宋体"/>
        </w:rPr>
        <w:t>所谓重大偏离或保留是指与采购文件规定的实质性要求存在负偏离，或者在实质上与采购文件不一致，而且限制了合同中买方（采购人）和见证方（代理机构）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5AE3CF77">
      <w:pPr>
        <w:spacing w:line="360" w:lineRule="auto"/>
        <w:ind w:firstLine="420"/>
        <w:jc w:val="left"/>
        <w:rPr>
          <w:rFonts w:ascii="宋体" w:hAnsi="宋体"/>
        </w:rPr>
      </w:pPr>
      <w:r>
        <w:rPr>
          <w:rFonts w:hint="eastAsia" w:ascii="宋体" w:hAnsi="宋体"/>
        </w:rPr>
        <w:t>25.3如果响应文件实质上没有响应采购文件的要求，磋商小组将予以拒绝，供应商不得通过修改或撤销不合要求的偏离或保留而使其响应文件成为实质性响应的文件。</w:t>
      </w:r>
    </w:p>
    <w:p w14:paraId="036D80D5">
      <w:pPr>
        <w:spacing w:line="360" w:lineRule="auto"/>
        <w:ind w:firstLine="420"/>
        <w:jc w:val="left"/>
        <w:rPr>
          <w:rFonts w:ascii="宋体" w:hAnsi="宋体"/>
        </w:rPr>
      </w:pPr>
      <w:r>
        <w:rPr>
          <w:rFonts w:hint="eastAsia" w:ascii="宋体" w:hAnsi="宋体"/>
        </w:rPr>
        <w:t>25.4 供应商在开、评标全过程中应保持通讯畅通，并安排专人与代理机构及磋商小组联系。</w:t>
      </w:r>
    </w:p>
    <w:p w14:paraId="3787F4F2">
      <w:pPr>
        <w:spacing w:line="360" w:lineRule="auto"/>
        <w:ind w:firstLine="422"/>
        <w:jc w:val="left"/>
        <w:rPr>
          <w:rFonts w:ascii="宋体" w:hAnsi="宋体" w:cs="Times New Roman"/>
          <w:b/>
          <w:bCs/>
        </w:rPr>
      </w:pPr>
      <w:r>
        <w:rPr>
          <w:rFonts w:hint="eastAsia" w:ascii="宋体" w:hAnsi="宋体" w:cs="Times New Roman"/>
          <w:b/>
          <w:bCs/>
        </w:rPr>
        <w:t>26、磋商程序及评审方法和标准</w:t>
      </w:r>
    </w:p>
    <w:p w14:paraId="4BDE7A05">
      <w:pPr>
        <w:spacing w:line="360" w:lineRule="auto"/>
        <w:ind w:firstLine="420"/>
        <w:jc w:val="left"/>
        <w:rPr>
          <w:rFonts w:ascii="宋体" w:hAnsi="宋体"/>
        </w:rPr>
      </w:pPr>
      <w:r>
        <w:rPr>
          <w:rFonts w:hint="eastAsia" w:ascii="宋体" w:hAnsi="宋体"/>
        </w:rPr>
        <w:t>26.1磋商程序</w:t>
      </w:r>
    </w:p>
    <w:p w14:paraId="05635528">
      <w:pPr>
        <w:spacing w:line="360" w:lineRule="auto"/>
        <w:ind w:firstLine="420"/>
        <w:jc w:val="left"/>
        <w:rPr>
          <w:rFonts w:ascii="宋体" w:hAnsi="宋体"/>
        </w:rPr>
      </w:pPr>
      <w:r>
        <w:rPr>
          <w:rFonts w:hint="eastAsia" w:ascii="宋体" w:hAnsi="宋体"/>
        </w:rPr>
        <w:t>26.1.1 对于通过资格性和符合性审查的供应商，磋商小组所有成员将集中与单一供应商在“扬州市政府采购交易管理系统”中分别进行磋商。</w:t>
      </w:r>
    </w:p>
    <w:p w14:paraId="0130C00B">
      <w:pPr>
        <w:spacing w:line="360" w:lineRule="auto"/>
        <w:ind w:firstLine="420"/>
        <w:jc w:val="left"/>
        <w:rPr>
          <w:rFonts w:ascii="宋体" w:hAnsi="宋体"/>
        </w:rPr>
      </w:pPr>
      <w:r>
        <w:rPr>
          <w:rFonts w:hint="eastAsia" w:ascii="宋体" w:hAnsi="宋体"/>
        </w:rPr>
        <w:t>在磋商过程中，磋商小组可能根据磋商文件和磋商情况实质性变动的内容有：采购需求中的技术、服务要求以及合同草案条款。对磋商文件作出的实质性变动是磋商文件的有效组成部分，磋商小组将以电子函件形式同时通知所有参加磋商的供应商。供应商应当按照磋商文件的变动情况和磋商小组的要求重新提交响应文件，并加盖电子签章。</w:t>
      </w:r>
    </w:p>
    <w:p w14:paraId="0ED15EDE">
      <w:pPr>
        <w:spacing w:line="360" w:lineRule="auto"/>
        <w:ind w:firstLine="420"/>
        <w:jc w:val="left"/>
        <w:rPr>
          <w:rFonts w:ascii="宋体" w:hAnsi="宋体"/>
        </w:rPr>
      </w:pPr>
      <w:r>
        <w:rPr>
          <w:rFonts w:hint="eastAsia" w:ascii="宋体" w:hAnsi="宋体"/>
        </w:rPr>
        <w:t>26.1.2 采购文件能够详细列明采购标的的技术、服务要求的，磋商结束后，磋商小组将要求所有实质性响应的供应商在规定时间内提交最后报价。</w:t>
      </w:r>
    </w:p>
    <w:p w14:paraId="4BA6D746">
      <w:pPr>
        <w:spacing w:line="360" w:lineRule="auto"/>
        <w:ind w:firstLine="420"/>
        <w:jc w:val="left"/>
        <w:rPr>
          <w:rFonts w:ascii="宋体" w:hAnsi="宋体"/>
        </w:rPr>
      </w:pPr>
      <w:r>
        <w:rPr>
          <w:rFonts w:hint="eastAsia" w:ascii="宋体" w:hAnsi="宋体"/>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0E7343ED">
      <w:pPr>
        <w:spacing w:line="360" w:lineRule="auto"/>
        <w:ind w:firstLine="420"/>
        <w:jc w:val="left"/>
        <w:rPr>
          <w:rFonts w:ascii="宋体" w:hAnsi="宋体"/>
        </w:rPr>
      </w:pPr>
      <w:r>
        <w:rPr>
          <w:rFonts w:hint="eastAsia" w:ascii="宋体" w:hAnsi="宋体"/>
        </w:rPr>
        <w:t>26.1.3 供应商未在磋商小组规定的时间内完成最后报价的视为放弃磋商，其响应按无效响应处理。最后报价须加盖电子签章。已提交响应文件的供应商，在提交最后报价之前，可以根据磋商情况退出磋商。</w:t>
      </w:r>
    </w:p>
    <w:p w14:paraId="692824BE">
      <w:pPr>
        <w:spacing w:line="360" w:lineRule="auto"/>
        <w:ind w:firstLine="420"/>
        <w:jc w:val="left"/>
        <w:rPr>
          <w:rFonts w:ascii="宋体" w:hAnsi="宋体"/>
        </w:rPr>
      </w:pPr>
      <w:r>
        <w:rPr>
          <w:rFonts w:hint="eastAsia" w:ascii="宋体" w:hAnsi="宋体"/>
        </w:rPr>
        <w:t>26.2 评审方法和标准</w:t>
      </w:r>
    </w:p>
    <w:p w14:paraId="16E6311A">
      <w:pPr>
        <w:spacing w:line="360" w:lineRule="auto"/>
        <w:ind w:firstLine="420"/>
        <w:jc w:val="left"/>
        <w:rPr>
          <w:rFonts w:ascii="宋体" w:hAnsi="宋体"/>
        </w:rPr>
      </w:pPr>
      <w:r>
        <w:rPr>
          <w:rFonts w:hint="eastAsia" w:ascii="宋体" w:hAnsi="宋体"/>
        </w:rPr>
        <w:t>26.2.1评审方法。经磋商确定最终采购需求和提交最后报价的供应商后，由磋商小组采用综合评分法对提交最后报价的供应商的响应文件和最后报价进行综合评分。</w:t>
      </w:r>
    </w:p>
    <w:p w14:paraId="06115051">
      <w:pPr>
        <w:spacing w:line="360" w:lineRule="auto"/>
        <w:ind w:firstLine="420"/>
        <w:jc w:val="left"/>
        <w:rPr>
          <w:rFonts w:ascii="宋体" w:hAnsi="宋体"/>
        </w:rPr>
      </w:pPr>
      <w:r>
        <w:rPr>
          <w:rFonts w:hint="eastAsia" w:ascii="宋体" w:hAnsi="宋体"/>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6940F0C2">
      <w:pPr>
        <w:spacing w:line="360" w:lineRule="auto"/>
        <w:ind w:firstLine="420"/>
        <w:jc w:val="left"/>
        <w:rPr>
          <w:rFonts w:ascii="宋体" w:hAnsi="宋体"/>
        </w:rPr>
      </w:pPr>
      <w:r>
        <w:rPr>
          <w:rFonts w:hint="eastAsia" w:ascii="宋体" w:hAnsi="宋体"/>
        </w:rPr>
        <w:t>26.2.2评审标准</w:t>
      </w:r>
    </w:p>
    <w:p w14:paraId="2164FAE0">
      <w:pPr>
        <w:spacing w:line="360" w:lineRule="auto"/>
        <w:ind w:firstLine="420"/>
        <w:jc w:val="left"/>
        <w:rPr>
          <w:rFonts w:ascii="宋体" w:hAnsi="宋体"/>
        </w:rPr>
      </w:pPr>
      <w:r>
        <w:rPr>
          <w:rFonts w:hint="eastAsia" w:ascii="宋体" w:hAnsi="宋体"/>
        </w:rPr>
        <w:t>见本采购文件第五章规定。</w:t>
      </w:r>
    </w:p>
    <w:p w14:paraId="3D6D7B07">
      <w:pPr>
        <w:spacing w:line="360" w:lineRule="auto"/>
        <w:ind w:firstLine="422"/>
        <w:jc w:val="left"/>
        <w:rPr>
          <w:rFonts w:ascii="宋体" w:hAnsi="宋体" w:cs="Times New Roman"/>
          <w:b/>
          <w:bCs/>
        </w:rPr>
      </w:pPr>
      <w:r>
        <w:rPr>
          <w:rFonts w:hint="eastAsia" w:ascii="宋体" w:hAnsi="宋体" w:cs="Times New Roman"/>
          <w:b/>
          <w:bCs/>
        </w:rPr>
        <w:t>27、无效投标及采购活动终止的情况</w:t>
      </w:r>
    </w:p>
    <w:p w14:paraId="7F1A05AC">
      <w:pPr>
        <w:spacing w:line="360" w:lineRule="auto"/>
        <w:ind w:firstLine="422"/>
        <w:jc w:val="left"/>
        <w:rPr>
          <w:rFonts w:ascii="宋体" w:hAnsi="宋体"/>
          <w:bCs/>
        </w:rPr>
      </w:pPr>
      <w:r>
        <w:rPr>
          <w:rFonts w:hint="eastAsia" w:ascii="宋体" w:hAnsi="宋体"/>
          <w:bCs/>
        </w:rPr>
        <w:t>27.1无效投标条款</w:t>
      </w:r>
    </w:p>
    <w:p w14:paraId="6A74B826">
      <w:pPr>
        <w:spacing w:line="440" w:lineRule="exact"/>
        <w:ind w:firstLine="420"/>
        <w:rPr>
          <w:rFonts w:ascii="宋体" w:hAnsi="宋体"/>
          <w:bCs/>
        </w:rPr>
      </w:pPr>
      <w:r>
        <w:rPr>
          <w:rFonts w:hint="eastAsia" w:ascii="宋体" w:hAnsi="宋体"/>
          <w:bCs/>
        </w:rPr>
        <w:t>27.1.1 供应商未按照采购文件要求上传电子磋商响应文件的。</w:t>
      </w:r>
    </w:p>
    <w:p w14:paraId="2CEEB38F">
      <w:pPr>
        <w:spacing w:line="440" w:lineRule="exact"/>
        <w:ind w:firstLine="420"/>
        <w:rPr>
          <w:rFonts w:ascii="宋体" w:hAnsi="宋体"/>
          <w:bCs/>
        </w:rPr>
      </w:pPr>
      <w:r>
        <w:rPr>
          <w:rFonts w:hint="eastAsia" w:ascii="宋体" w:hAnsi="宋体"/>
          <w:bCs/>
        </w:rPr>
        <w:t>27.1.2 供应商未成功解密电子磋商响应文件的。</w:t>
      </w:r>
    </w:p>
    <w:p w14:paraId="02CDE51A">
      <w:pPr>
        <w:spacing w:line="440" w:lineRule="exact"/>
        <w:ind w:firstLine="420"/>
        <w:rPr>
          <w:rFonts w:ascii="宋体" w:hAnsi="宋体"/>
          <w:bCs/>
        </w:rPr>
      </w:pPr>
      <w:r>
        <w:rPr>
          <w:rFonts w:hint="eastAsia" w:ascii="宋体" w:hAnsi="宋体"/>
          <w:bCs/>
        </w:rPr>
        <w:t>27.1.3 供应商不具备采购文件中规定资格要求的。</w:t>
      </w:r>
    </w:p>
    <w:p w14:paraId="169D19F3">
      <w:pPr>
        <w:spacing w:line="440" w:lineRule="exact"/>
        <w:ind w:firstLine="420"/>
        <w:rPr>
          <w:rFonts w:ascii="宋体" w:hAnsi="宋体"/>
          <w:bCs/>
          <w:i/>
          <w:u w:val="single"/>
        </w:rPr>
      </w:pPr>
      <w:r>
        <w:rPr>
          <w:rFonts w:hint="eastAsia" w:ascii="宋体" w:hAnsi="宋体"/>
          <w:bCs/>
        </w:rPr>
        <w:t>27.1.4 未通过符合性审查的。</w:t>
      </w:r>
    </w:p>
    <w:p w14:paraId="46B9E15A">
      <w:pPr>
        <w:spacing w:line="440" w:lineRule="exact"/>
        <w:ind w:firstLine="315"/>
        <w:rPr>
          <w:rFonts w:ascii="宋体" w:hAnsi="宋体"/>
          <w:bCs/>
          <w:i/>
          <w:u w:val="single"/>
        </w:rPr>
      </w:pPr>
      <w:r>
        <w:rPr>
          <w:rFonts w:hint="eastAsia" w:ascii="宋体" w:hAnsi="宋体"/>
          <w:bCs/>
        </w:rPr>
        <w:t xml:space="preserve"> 27.1.5 不符合采购文件中规定的其他实质性要求和条件的（</w:t>
      </w:r>
      <w:r>
        <w:rPr>
          <w:rFonts w:hint="eastAsia" w:ascii="宋体" w:hAnsi="宋体"/>
          <w:bCs/>
          <w:i/>
          <w:u w:val="single"/>
        </w:rPr>
        <w:t>本采购文件中斜体且有下划线部分为实质性要求和条件）。</w:t>
      </w:r>
    </w:p>
    <w:p w14:paraId="12481215">
      <w:pPr>
        <w:spacing w:line="440" w:lineRule="exact"/>
        <w:ind w:firstLine="420"/>
        <w:rPr>
          <w:rFonts w:ascii="宋体" w:hAnsi="宋体"/>
          <w:bCs/>
        </w:rPr>
      </w:pPr>
      <w:r>
        <w:rPr>
          <w:rFonts w:hint="eastAsia" w:ascii="宋体" w:hAnsi="宋体"/>
          <w:bCs/>
        </w:rPr>
        <w:t xml:space="preserve">27.1.6 </w:t>
      </w:r>
      <w:r>
        <w:rPr>
          <w:rFonts w:hint="eastAsia" w:ascii="宋体" w:hAnsi="宋体"/>
        </w:rPr>
        <w:t>供应商被 “信用中国”网站（</w:t>
      </w:r>
      <w:r>
        <w:rPr>
          <w:rFonts w:hint="eastAsia" w:ascii="宋体" w:hAnsi="宋体"/>
          <w:bCs/>
        </w:rPr>
        <w:t>http://</w:t>
      </w:r>
      <w:r>
        <w:rPr>
          <w:rFonts w:hint="eastAsia" w:ascii="宋体" w:hAnsi="宋体"/>
        </w:rPr>
        <w:t>www.creditchina.gov.cn）、“中国政府采购网"(</w:t>
      </w:r>
      <w:r>
        <w:rPr>
          <w:rFonts w:hint="eastAsia" w:ascii="宋体" w:hAnsi="宋体"/>
          <w:bCs/>
        </w:rPr>
        <w:t>http://</w:t>
      </w:r>
      <w:r>
        <w:rPr>
          <w:rFonts w:hint="eastAsia" w:ascii="宋体" w:hAnsi="宋体"/>
        </w:rPr>
        <w:t>www.ccgp.gov.cn)列入失信被执行人或重大税收违法案件当事人名单或政府采购严重失信行为记录名单。若接受联合体的项目，两个以上的自然人、法人或者其他组织组成一个联合体，以一个供应商的身份共同参加政府采购活动的，联合体成员存在不良信用记录的，视同联合体存在不良应用记录。</w:t>
      </w:r>
    </w:p>
    <w:p w14:paraId="130DAE63">
      <w:pPr>
        <w:spacing w:line="440" w:lineRule="exact"/>
        <w:ind w:firstLine="420"/>
        <w:rPr>
          <w:rFonts w:ascii="宋体" w:hAnsi="宋体"/>
          <w:bCs/>
        </w:rPr>
      </w:pPr>
      <w:r>
        <w:rPr>
          <w:rFonts w:hint="eastAsia" w:ascii="宋体" w:hAnsi="宋体"/>
          <w:bCs/>
        </w:rPr>
        <w:t>27.1.7 本项目采购产品被财政部、国家发改委、生态环境部等列入“节能产品品目清单”、“环境标志产品品目清单”强制采购范围，而供应商所磋商产品不在强制采购范围内的。</w:t>
      </w:r>
    </w:p>
    <w:p w14:paraId="4B55FEA0">
      <w:pPr>
        <w:spacing w:line="440" w:lineRule="exact"/>
        <w:ind w:firstLine="420"/>
        <w:rPr>
          <w:rFonts w:ascii="宋体" w:hAnsi="宋体"/>
          <w:bCs/>
        </w:rPr>
      </w:pPr>
      <w:r>
        <w:rPr>
          <w:rFonts w:hint="eastAsia" w:ascii="宋体" w:hAnsi="宋体"/>
          <w:bCs/>
        </w:rPr>
        <w:t>27.1.8 响应文件未按照采购文件要求加盖电子签章。</w:t>
      </w:r>
    </w:p>
    <w:p w14:paraId="48BE8A4A">
      <w:pPr>
        <w:spacing w:line="440" w:lineRule="exact"/>
        <w:ind w:firstLine="42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27.1.9异常低价投标（响应）</w:t>
      </w:r>
    </w:p>
    <w:p w14:paraId="28FD9662">
      <w:pPr>
        <w:spacing w:line="440" w:lineRule="exact"/>
        <w:ind w:firstLine="42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27.1.9.1投标（响应）报价低于采购项目预算 50% 的，即投标（响应）报价&lt;采购项目预算×50% ；</w:t>
      </w:r>
    </w:p>
    <w:p w14:paraId="5DB836F8">
      <w:pPr>
        <w:spacing w:line="440" w:lineRule="exact"/>
        <w:ind w:firstLine="42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27.1.9.2投标（响应）报价低于采购项目最高限价 45% 的，即投标（响应）报价&lt;采购项目最高限价×45% ；</w:t>
      </w:r>
    </w:p>
    <w:p w14:paraId="4537A069">
      <w:pPr>
        <w:spacing w:line="440" w:lineRule="exact"/>
        <w:ind w:firstLine="42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27.1.9.3评审委员会认定的供应商报价过低、有可能影响产品质量或者不能诚信履约的其他情形。</w:t>
      </w:r>
    </w:p>
    <w:p w14:paraId="605C4A5B">
      <w:pPr>
        <w:spacing w:line="440" w:lineRule="exact"/>
        <w:ind w:firstLine="42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27.1.9.4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15C57644">
      <w:pPr>
        <w:spacing w:line="440" w:lineRule="exact"/>
        <w:ind w:firstLine="420"/>
        <w:jc w:val="left"/>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27.1.10 其他法律、法规及本采购文件规定的属无效投标的情形。</w:t>
      </w:r>
    </w:p>
    <w:p w14:paraId="4925A9DA">
      <w:pPr>
        <w:spacing w:line="440" w:lineRule="exact"/>
        <w:ind w:firstLine="420"/>
        <w:jc w:val="left"/>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27.2 </w:t>
      </w:r>
      <w:r>
        <w:rPr>
          <w:rFonts w:hint="eastAsia" w:ascii="宋体" w:hAnsi="宋体"/>
          <w:color w:val="000000" w:themeColor="text1"/>
          <w14:textFill>
            <w14:solidFill>
              <w14:schemeClr w14:val="tx1"/>
            </w14:solidFill>
          </w14:textFill>
        </w:rPr>
        <w:t>采购活动终止的情况</w:t>
      </w:r>
      <w:r>
        <w:rPr>
          <w:rFonts w:hint="eastAsia" w:ascii="宋体" w:hAnsi="宋体"/>
          <w:bCs/>
          <w:color w:val="000000" w:themeColor="text1"/>
          <w14:textFill>
            <w14:solidFill>
              <w14:schemeClr w14:val="tx1"/>
            </w14:solidFill>
          </w14:textFill>
        </w:rPr>
        <w:t>：</w:t>
      </w:r>
    </w:p>
    <w:p w14:paraId="566E957A">
      <w:pPr>
        <w:spacing w:line="440" w:lineRule="exact"/>
        <w:ind w:firstLine="420"/>
        <w:jc w:val="left"/>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27.2.1 因情况变化，不再符合规定的竞争性磋商采购方式适用情形的；</w:t>
      </w:r>
    </w:p>
    <w:p w14:paraId="6CDB8003">
      <w:pPr>
        <w:spacing w:line="440" w:lineRule="exact"/>
        <w:ind w:firstLine="420"/>
        <w:jc w:val="left"/>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27.2.2 出现影响采购公正的违法、违规行为的；</w:t>
      </w:r>
    </w:p>
    <w:p w14:paraId="6A004F2B">
      <w:pPr>
        <w:spacing w:line="440" w:lineRule="exact"/>
        <w:ind w:firstLine="420"/>
        <w:jc w:val="left"/>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 xml:space="preserve">27.2.3 </w:t>
      </w:r>
      <w:r>
        <w:rPr>
          <w:rFonts w:hint="eastAsia" w:ascii="宋体" w:hAnsi="宋体"/>
          <w:color w:val="000000" w:themeColor="text1"/>
          <w14:textFill>
            <w14:solidFill>
              <w14:schemeClr w14:val="tx1"/>
            </w14:solidFill>
          </w14:textFill>
        </w:rPr>
        <w:t>除本磋商文件第26.1.2条第三款规定的情形外，在采购过程中符合要求的供应商或者报价未超过采购预算的供应商不足3家的。</w:t>
      </w:r>
    </w:p>
    <w:p w14:paraId="03A39904">
      <w:pPr>
        <w:spacing w:line="440" w:lineRule="exact"/>
        <w:ind w:firstLine="420"/>
        <w:jc w:val="left"/>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27.2.4 因重大变故，采购任务取消的。</w:t>
      </w:r>
    </w:p>
    <w:p w14:paraId="03EA48F6">
      <w:pPr>
        <w:pStyle w:val="7"/>
        <w:spacing w:before="0" w:after="0" w:line="360" w:lineRule="auto"/>
        <w:ind w:firstLine="422"/>
        <w:jc w:val="left"/>
        <w:rPr>
          <w:rFonts w:ascii="宋体" w:hAnsi="宋体" w:eastAsia="宋体"/>
          <w:b w:val="0"/>
          <w:bCs w:val="0"/>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28、确定成交单位</w:t>
      </w:r>
    </w:p>
    <w:p w14:paraId="642F3184">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28.1 磋商小组根据综合评分情况，按照评审得分由高到低顺序推荐3名以上成交候选供应商，并编写评审报告。符合本文件第26.1.2条情形的，可以推荐2家成交候选供应商。评审得分相同的，按照最后报价由低到高的顺序推荐。评审得分且最后报价相同的，按照技术指标优劣顺序推荐。</w:t>
      </w:r>
    </w:p>
    <w:p w14:paraId="29416B1C">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28.2 采购人应根据磋商推荐的成交候选人，按照排序由高到低的顺序确定成交供应商。</w:t>
      </w:r>
    </w:p>
    <w:p w14:paraId="2F3FB70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28.3 代理机构将在“扬州市政府采购网”、“江苏政府采购网”发布成交公告，公告期限为1个工作日。</w:t>
      </w:r>
    </w:p>
    <w:p w14:paraId="3B70FF52">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 若有充分证据证明，成交供应商出现下列情况之一的，一经查实，将被取消成交资格：</w:t>
      </w:r>
    </w:p>
    <w:p w14:paraId="6FAB556E">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28.4.1 提供虚假材料谋取成交的；</w:t>
      </w:r>
    </w:p>
    <w:p w14:paraId="60A13EEB">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28.4.2 向采购人、代理机构行贿或者提供其他不正当利益的；</w:t>
      </w:r>
    </w:p>
    <w:p w14:paraId="07D84B9A">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28.4.3 恶意竞争，最终总报价明显低于其自身合理成本且又无法提供证明的；</w:t>
      </w:r>
    </w:p>
    <w:p w14:paraId="12364CD9">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28.4.4 属于本文件规定的无效条件，但在评审过程中又未被磋商小组发现的；</w:t>
      </w:r>
    </w:p>
    <w:p w14:paraId="41BF7415">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28.4.5 与采购人或者其他供应商恶意串通的；</w:t>
      </w:r>
    </w:p>
    <w:p w14:paraId="59036A24">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28.4.6 采取不正当手段诋毁、排挤其他供应商的；</w:t>
      </w:r>
    </w:p>
    <w:p w14:paraId="70985306">
      <w:pPr>
        <w:spacing w:line="360" w:lineRule="auto"/>
        <w:ind w:firstLine="42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28.4.7 不符合法律、法规的规定的。</w:t>
      </w:r>
    </w:p>
    <w:p w14:paraId="653BA776">
      <w:pPr>
        <w:pStyle w:val="7"/>
        <w:spacing w:before="0" w:after="0" w:line="360" w:lineRule="auto"/>
        <w:ind w:firstLine="422"/>
        <w:jc w:val="left"/>
        <w:rPr>
          <w:rFonts w:ascii="宋体" w:hAnsi="宋体" w:eastAsia="宋体"/>
          <w:sz w:val="21"/>
          <w:szCs w:val="21"/>
        </w:rPr>
      </w:pPr>
      <w:r>
        <w:rPr>
          <w:rFonts w:hint="eastAsia" w:ascii="宋体" w:hAnsi="宋体" w:eastAsia="宋体"/>
          <w:sz w:val="21"/>
          <w:szCs w:val="21"/>
        </w:rPr>
        <w:t>29、质疑处理</w:t>
      </w:r>
    </w:p>
    <w:p w14:paraId="77EF50E4">
      <w:pPr>
        <w:spacing w:line="480" w:lineRule="exact"/>
        <w:ind w:firstLine="420"/>
        <w:jc w:val="left"/>
        <w:rPr>
          <w:rFonts w:ascii="宋体" w:hAnsi="宋体"/>
        </w:rPr>
      </w:pPr>
      <w:r>
        <w:rPr>
          <w:rFonts w:hint="eastAsia" w:ascii="宋体" w:hAnsi="宋体"/>
        </w:rPr>
        <w:t>29.1提出质疑的供应商应当是参与所质疑项目采购活动的供应商。潜在供应商依法获取其可质疑的采购文件的，可以对采购文件提出质疑。</w:t>
      </w:r>
    </w:p>
    <w:p w14:paraId="5AAFA928">
      <w:pPr>
        <w:spacing w:line="480" w:lineRule="exact"/>
        <w:ind w:firstLine="420"/>
        <w:jc w:val="left"/>
        <w:rPr>
          <w:rFonts w:ascii="宋体" w:hAnsi="宋体"/>
        </w:rPr>
      </w:pPr>
      <w:r>
        <w:rPr>
          <w:rFonts w:hint="eastAsia" w:ascii="宋体" w:hAnsi="宋体"/>
        </w:rPr>
        <w:t>对项目需求部分的质疑，潜在供应商应向采购人提出，由采购人负责答复。</w:t>
      </w:r>
    </w:p>
    <w:p w14:paraId="2B6B6CC0">
      <w:pPr>
        <w:spacing w:line="360" w:lineRule="auto"/>
        <w:ind w:firstLine="420"/>
        <w:jc w:val="left"/>
        <w:rPr>
          <w:rFonts w:ascii="宋体" w:hAnsi="宋体"/>
        </w:rPr>
      </w:pPr>
      <w:r>
        <w:rPr>
          <w:rFonts w:hint="eastAsia" w:ascii="宋体" w:hAnsi="宋体"/>
        </w:rPr>
        <w:t>29.2供应商认为采购文件、采购过程和中标或成交结果使自己的权益受到损害的，可以在知道或应知其权益受到损害之日起7个工作日内，以书面形式向采购人或代理机构提出质疑。</w:t>
      </w:r>
    </w:p>
    <w:p w14:paraId="47DD1590">
      <w:pPr>
        <w:spacing w:line="360" w:lineRule="auto"/>
        <w:ind w:firstLine="420"/>
        <w:jc w:val="left"/>
        <w:rPr>
          <w:rFonts w:ascii="宋体" w:hAnsi="宋体"/>
        </w:rPr>
      </w:pPr>
      <w:r>
        <w:rPr>
          <w:rFonts w:hint="eastAsia" w:ascii="宋体" w:hAnsi="宋体"/>
        </w:rPr>
        <w:t>29.2.1对采购文件提出质疑的，应当在获取采购文件之日或者采购文件公告期限届满之日起7个工作日内提出。</w:t>
      </w:r>
    </w:p>
    <w:p w14:paraId="1571601D">
      <w:pPr>
        <w:spacing w:line="360" w:lineRule="auto"/>
        <w:ind w:firstLine="420"/>
        <w:jc w:val="left"/>
        <w:rPr>
          <w:rFonts w:ascii="宋体" w:hAnsi="宋体"/>
        </w:rPr>
      </w:pPr>
      <w:r>
        <w:rPr>
          <w:rFonts w:hint="eastAsia" w:ascii="宋体" w:hAnsi="宋体"/>
        </w:rPr>
        <w:t>29.2.2对采购过程提出质疑的，为各采购程序环节结束之日起7个工作日内提出。</w:t>
      </w:r>
    </w:p>
    <w:p w14:paraId="2956A625">
      <w:pPr>
        <w:spacing w:line="360" w:lineRule="auto"/>
        <w:ind w:firstLine="420"/>
        <w:jc w:val="left"/>
        <w:rPr>
          <w:rFonts w:ascii="宋体" w:hAnsi="宋体"/>
        </w:rPr>
      </w:pPr>
      <w:r>
        <w:rPr>
          <w:rFonts w:hint="eastAsia" w:ascii="宋体" w:hAnsi="宋体"/>
        </w:rPr>
        <w:t>29.2.3对成交结果提出质疑的，为成交结果公告期限届满之日起7个工作日内提出。</w:t>
      </w:r>
    </w:p>
    <w:p w14:paraId="4B3C1F87">
      <w:pPr>
        <w:spacing w:line="360" w:lineRule="auto"/>
        <w:ind w:firstLine="420"/>
        <w:jc w:val="left"/>
        <w:rPr>
          <w:rFonts w:ascii="宋体" w:hAnsi="宋体"/>
        </w:rPr>
      </w:pPr>
      <w:r>
        <w:rPr>
          <w:rFonts w:hint="eastAsia" w:ascii="宋体" w:hAnsi="宋体"/>
        </w:rPr>
        <w:t>29.3供应商应在法定质疑期内一次性提出针对同一采购程序环节的质疑。供应商如在法定期限内对同一采购程序环节提出多次质疑的，代理机构、采购人将只对供应商第一次质疑作出答复。</w:t>
      </w:r>
    </w:p>
    <w:p w14:paraId="5E211FA3">
      <w:pPr>
        <w:spacing w:line="360" w:lineRule="auto"/>
        <w:ind w:firstLine="409"/>
        <w:jc w:val="left"/>
        <w:rPr>
          <w:rFonts w:ascii="宋体" w:hAnsi="宋体"/>
        </w:rPr>
      </w:pPr>
      <w:r>
        <w:rPr>
          <w:rFonts w:hint="eastAsia" w:ascii="宋体" w:hAnsi="宋体"/>
        </w:rPr>
        <w:t>29.4质疑函必须按照《质疑函范本》及《授权委托书》要求的格式和内容进行填写，格式见网址：http://zfcg.yangzhou.gov.cn。供应商如组成联合体参加磋商，则《质疑函范本》及《授权委托书》中要求签字、盖章、加盖公章之处，联合体各方均须按要求签字、盖章、加盖公章。</w:t>
      </w:r>
    </w:p>
    <w:p w14:paraId="2B4D500D">
      <w:pPr>
        <w:spacing w:line="360" w:lineRule="auto"/>
        <w:ind w:firstLine="409"/>
        <w:jc w:val="left"/>
        <w:rPr>
          <w:rFonts w:ascii="宋体" w:hAnsi="宋体"/>
        </w:rPr>
      </w:pPr>
      <w:r>
        <w:rPr>
          <w:rFonts w:hint="eastAsia" w:ascii="宋体" w:hAnsi="宋体"/>
        </w:rPr>
        <w:t>29.5 代理机构及采购人只接收以纸质原件形式送达的质疑。</w:t>
      </w:r>
    </w:p>
    <w:p w14:paraId="6DE00BB2">
      <w:pPr>
        <w:spacing w:line="360" w:lineRule="auto"/>
        <w:ind w:firstLine="409"/>
        <w:jc w:val="left"/>
        <w:rPr>
          <w:rFonts w:ascii="宋体" w:hAnsi="宋体"/>
        </w:rPr>
      </w:pPr>
      <w:r>
        <w:rPr>
          <w:rFonts w:hint="eastAsia" w:ascii="宋体" w:hAnsi="宋体"/>
        </w:rPr>
        <w:t>采购人质疑接收人及联系方式见采购文件第一章。</w:t>
      </w:r>
    </w:p>
    <w:p w14:paraId="65848507">
      <w:pPr>
        <w:spacing w:line="360" w:lineRule="auto"/>
        <w:ind w:firstLine="409"/>
        <w:jc w:val="left"/>
        <w:rPr>
          <w:rFonts w:ascii="宋体" w:hAnsi="宋体"/>
        </w:rPr>
      </w:pPr>
      <w:r>
        <w:rPr>
          <w:rFonts w:hint="eastAsia" w:ascii="宋体" w:hAnsi="宋体"/>
        </w:rPr>
        <w:t>29.6代理机构收到质疑申请后，将对质疑的形式和内容进行审查，如质疑内容、格式不符合规定，代理机构将告知质疑人进行补正。</w:t>
      </w:r>
    </w:p>
    <w:p w14:paraId="052F96E2">
      <w:pPr>
        <w:spacing w:line="360" w:lineRule="auto"/>
        <w:ind w:firstLine="409"/>
        <w:jc w:val="left"/>
        <w:rPr>
          <w:rFonts w:ascii="宋体" w:hAnsi="宋体"/>
        </w:rPr>
      </w:pPr>
      <w:r>
        <w:rPr>
          <w:rFonts w:hint="eastAsia" w:ascii="宋体" w:hAnsi="宋体"/>
        </w:rPr>
        <w:t>29.7质疑人应当在法定质疑期限内进行补正并重新提交质疑函。</w:t>
      </w:r>
    </w:p>
    <w:p w14:paraId="53410E08">
      <w:pPr>
        <w:spacing w:line="360" w:lineRule="auto"/>
        <w:ind w:firstLine="409"/>
        <w:jc w:val="left"/>
        <w:rPr>
          <w:rFonts w:ascii="宋体" w:hAnsi="宋体"/>
        </w:rPr>
      </w:pPr>
      <w:r>
        <w:rPr>
          <w:rFonts w:hint="eastAsia" w:ascii="宋体" w:hAnsi="宋体"/>
        </w:rPr>
        <w:t>29.8 以下情形的质疑不予受理</w:t>
      </w:r>
    </w:p>
    <w:p w14:paraId="23DDE854">
      <w:pPr>
        <w:spacing w:line="360" w:lineRule="auto"/>
        <w:ind w:firstLine="409"/>
        <w:jc w:val="left"/>
        <w:rPr>
          <w:rFonts w:ascii="宋体" w:hAnsi="宋体"/>
        </w:rPr>
      </w:pPr>
      <w:r>
        <w:rPr>
          <w:rFonts w:hint="eastAsia" w:ascii="宋体" w:hAnsi="宋体"/>
        </w:rPr>
        <w:t>29.8.1 内容不符合《政府采购质疑和投诉办法》第十二条规定的质疑。</w:t>
      </w:r>
    </w:p>
    <w:p w14:paraId="2F4EFF1D">
      <w:pPr>
        <w:spacing w:line="360" w:lineRule="auto"/>
        <w:ind w:firstLine="409"/>
        <w:jc w:val="left"/>
        <w:rPr>
          <w:rFonts w:ascii="宋体" w:hAnsi="宋体"/>
        </w:rPr>
      </w:pPr>
      <w:r>
        <w:rPr>
          <w:rFonts w:hint="eastAsia" w:ascii="宋体" w:hAnsi="宋体"/>
        </w:rPr>
        <w:t>29.8.2 超出政府采购法定期限的质疑。</w:t>
      </w:r>
    </w:p>
    <w:p w14:paraId="15231D39">
      <w:pPr>
        <w:spacing w:line="360" w:lineRule="auto"/>
        <w:ind w:firstLine="409"/>
        <w:jc w:val="left"/>
        <w:rPr>
          <w:rFonts w:ascii="宋体" w:hAnsi="宋体"/>
        </w:rPr>
      </w:pPr>
      <w:r>
        <w:rPr>
          <w:rFonts w:hint="eastAsia" w:ascii="宋体" w:hAnsi="宋体"/>
        </w:rPr>
        <w:t>29.8.3 以传真、电子邮件等方式递交的非原件形式的质疑。</w:t>
      </w:r>
    </w:p>
    <w:p w14:paraId="45D072AD">
      <w:pPr>
        <w:spacing w:line="360" w:lineRule="auto"/>
        <w:ind w:firstLine="409"/>
        <w:jc w:val="left"/>
        <w:rPr>
          <w:rFonts w:ascii="宋体" w:hAnsi="宋体"/>
        </w:rPr>
      </w:pPr>
      <w:r>
        <w:rPr>
          <w:rFonts w:hint="eastAsia" w:ascii="宋体" w:hAnsi="宋体"/>
        </w:rPr>
        <w:t>29.8.4 未参加磋商活动的供应商或在磋商活动中自身权益未受到损害的供应商所提出的质疑。</w:t>
      </w:r>
    </w:p>
    <w:p w14:paraId="3F201055">
      <w:pPr>
        <w:spacing w:line="360" w:lineRule="auto"/>
        <w:ind w:firstLine="409"/>
        <w:jc w:val="left"/>
        <w:rPr>
          <w:rFonts w:ascii="宋体" w:hAnsi="宋体"/>
        </w:rPr>
      </w:pPr>
      <w:r>
        <w:rPr>
          <w:rFonts w:hint="eastAsia" w:ascii="宋体" w:hAnsi="宋体"/>
        </w:rPr>
        <w:t>29.8.5供应商组成联合体参加磋商，联合体中任何一方或多方未按要求签字、盖章、加盖公章的质疑。</w:t>
      </w:r>
    </w:p>
    <w:p w14:paraId="0FE18195">
      <w:pPr>
        <w:spacing w:line="360" w:lineRule="auto"/>
        <w:ind w:firstLine="409"/>
        <w:jc w:val="left"/>
        <w:rPr>
          <w:rFonts w:ascii="宋体" w:hAnsi="宋体"/>
        </w:rPr>
      </w:pPr>
      <w:r>
        <w:rPr>
          <w:rFonts w:hint="eastAsia" w:ascii="宋体" w:hAnsi="宋体"/>
        </w:rPr>
        <w:t xml:space="preserve">29.9 供应商提出书面质疑必须有理、有据，不得捏造事实、提供虚假材料进行恶意质疑。否则，一经查实，代理机构有权依据政府采购的有关规定，报请政府采购监管部门对该供应商进行相应的行政处罚和记录该供应商的失信信息。 </w:t>
      </w:r>
    </w:p>
    <w:p w14:paraId="0C78D7D3">
      <w:pPr>
        <w:spacing w:line="360" w:lineRule="auto"/>
        <w:ind w:firstLine="409"/>
        <w:jc w:val="left"/>
        <w:rPr>
          <w:rFonts w:ascii="宋体" w:hAnsi="宋体"/>
        </w:rPr>
      </w:pPr>
      <w:r>
        <w:rPr>
          <w:rFonts w:hint="eastAsia" w:ascii="宋体" w:hAnsi="宋体"/>
        </w:rPr>
        <w:t>29.10代理机构应当在收到供应商的书面质疑后7个工作日内作出答复，并以书面形式通知质疑供应商和其他有关供应商，但答复的内容不得涉及商业秘密。</w:t>
      </w:r>
    </w:p>
    <w:p w14:paraId="48F29F9B">
      <w:pPr>
        <w:pStyle w:val="7"/>
        <w:spacing w:before="0" w:after="0" w:line="360" w:lineRule="auto"/>
        <w:ind w:firstLine="422"/>
        <w:jc w:val="left"/>
        <w:rPr>
          <w:rFonts w:ascii="宋体" w:hAnsi="宋体" w:eastAsia="宋体"/>
          <w:b w:val="0"/>
          <w:bCs w:val="0"/>
          <w:sz w:val="21"/>
          <w:szCs w:val="21"/>
        </w:rPr>
      </w:pPr>
      <w:r>
        <w:rPr>
          <w:rFonts w:hint="eastAsia" w:ascii="宋体" w:hAnsi="宋体" w:eastAsia="宋体"/>
          <w:sz w:val="21"/>
          <w:szCs w:val="21"/>
        </w:rPr>
        <w:t>30、成交通知书</w:t>
      </w:r>
    </w:p>
    <w:p w14:paraId="3E56A1C3">
      <w:pPr>
        <w:spacing w:line="360" w:lineRule="auto"/>
        <w:ind w:firstLine="420"/>
        <w:jc w:val="left"/>
        <w:rPr>
          <w:rFonts w:ascii="宋体" w:hAnsi="宋体"/>
        </w:rPr>
      </w:pPr>
      <w:r>
        <w:rPr>
          <w:rFonts w:hint="eastAsia" w:ascii="宋体" w:hAnsi="宋体"/>
        </w:rPr>
        <w:t>30.l成交结果确定后，代理机构将向成交供应商发出成交通知书。</w:t>
      </w:r>
    </w:p>
    <w:p w14:paraId="63E40445">
      <w:pPr>
        <w:spacing w:line="360" w:lineRule="auto"/>
        <w:ind w:firstLine="420"/>
        <w:jc w:val="left"/>
        <w:rPr>
          <w:rFonts w:ascii="宋体" w:hAnsi="宋体"/>
        </w:rPr>
      </w:pPr>
      <w:r>
        <w:rPr>
          <w:rFonts w:hint="eastAsia" w:ascii="宋体" w:hAnsi="宋体"/>
        </w:rPr>
        <w:t>30.2 成交供应商可在“扬州市政府采购交易管理系统（苏采云）”成交通知书下载模块中自行下载成交通知书。</w:t>
      </w:r>
    </w:p>
    <w:p w14:paraId="0C1475E0">
      <w:pPr>
        <w:spacing w:line="360" w:lineRule="auto"/>
        <w:ind w:firstLine="420"/>
        <w:jc w:val="left"/>
        <w:rPr>
          <w:rFonts w:ascii="宋体" w:hAnsi="宋体"/>
        </w:rPr>
      </w:pPr>
      <w:r>
        <w:rPr>
          <w:rFonts w:hint="eastAsia" w:ascii="宋体" w:hAnsi="宋体"/>
        </w:rPr>
        <w:t>30.3成交通知书将是合同的一个组成部分。对采购人和成交供应商均具有法律效力。成交通知书发出后，采购人改变成交结果的，或者成交供应商放弃成交项目的，应当依法承担法律责任。</w:t>
      </w:r>
    </w:p>
    <w:p w14:paraId="0D65180A">
      <w:pPr>
        <w:pStyle w:val="7"/>
        <w:spacing w:before="0" w:after="0" w:line="360" w:lineRule="auto"/>
        <w:ind w:firstLine="422"/>
        <w:jc w:val="left"/>
        <w:rPr>
          <w:rFonts w:ascii="宋体" w:hAnsi="宋体" w:eastAsia="宋体"/>
          <w:sz w:val="21"/>
          <w:szCs w:val="21"/>
        </w:rPr>
      </w:pPr>
      <w:r>
        <w:rPr>
          <w:rFonts w:hint="eastAsia" w:ascii="宋体" w:hAnsi="宋体" w:eastAsia="宋体"/>
          <w:sz w:val="21"/>
          <w:szCs w:val="21"/>
        </w:rPr>
        <w:t>31、签订合同</w:t>
      </w:r>
    </w:p>
    <w:p w14:paraId="5424FE84">
      <w:pPr>
        <w:spacing w:line="360" w:lineRule="auto"/>
        <w:ind w:firstLine="420"/>
        <w:jc w:val="left"/>
        <w:rPr>
          <w:rFonts w:ascii="宋体" w:hAnsi="宋体"/>
        </w:rPr>
      </w:pPr>
      <w:r>
        <w:rPr>
          <w:rFonts w:hint="eastAsia" w:ascii="宋体" w:hAnsi="宋体"/>
        </w:rPr>
        <w:t>31.l成交供应商应在成交通知书发出之日起三十日内，按照采购文件确定的事项与采购人签订政府采购合同。</w:t>
      </w:r>
    </w:p>
    <w:p w14:paraId="19C0C2CB">
      <w:pPr>
        <w:spacing w:line="360" w:lineRule="auto"/>
        <w:ind w:firstLine="420"/>
        <w:jc w:val="left"/>
        <w:rPr>
          <w:rFonts w:ascii="宋体" w:hAnsi="宋体"/>
        </w:rPr>
      </w:pPr>
      <w:r>
        <w:rPr>
          <w:rFonts w:hint="eastAsia" w:ascii="宋体" w:hAnsi="宋体"/>
        </w:rPr>
        <w:t>31.2采购文件、成交供应商的响应文件及磋商过程中有关澄清、承诺文件均应作为合同附件。</w:t>
      </w:r>
    </w:p>
    <w:p w14:paraId="2E1CB6E8">
      <w:pPr>
        <w:spacing w:line="360" w:lineRule="auto"/>
        <w:ind w:firstLine="420"/>
        <w:jc w:val="left"/>
        <w:rPr>
          <w:rFonts w:ascii="宋体" w:hAnsi="宋体"/>
        </w:rPr>
      </w:pPr>
      <w:r>
        <w:rPr>
          <w:rFonts w:hint="eastAsia" w:ascii="宋体" w:hAnsi="宋体"/>
        </w:rPr>
        <w:t>31.3 签订合同后，</w:t>
      </w:r>
      <w:r>
        <w:rPr>
          <w:rFonts w:hint="eastAsia" w:ascii="宋体" w:hAnsi="宋体"/>
          <w:i/>
          <w:iCs/>
          <w:u w:val="single"/>
        </w:rPr>
        <w:t>成交供应商不得将货物或服务及其他服务进行转包</w:t>
      </w:r>
      <w:r>
        <w:rPr>
          <w:rFonts w:hint="eastAsia" w:ascii="宋体" w:hAnsi="宋体"/>
        </w:rPr>
        <w:t>。未经采购人同意，成交供应商也不得采用分包的形式履行合同，否则采购人有权终止合同。转包或分包造成采购人损失的，成交供应商应承担赔偿责任。</w:t>
      </w:r>
    </w:p>
    <w:p w14:paraId="708B9290">
      <w:pPr>
        <w:spacing w:line="360" w:lineRule="auto"/>
        <w:ind w:firstLine="420"/>
        <w:jc w:val="left"/>
        <w:rPr>
          <w:rFonts w:ascii="宋体" w:hAnsi="宋体" w:cs="Times New Roman"/>
        </w:rPr>
      </w:pPr>
      <w:r>
        <w:rPr>
          <w:rFonts w:hint="eastAsia" w:ascii="宋体" w:hAnsi="宋体" w:cs="Times New Roman"/>
        </w:rPr>
        <w:t>31.4采购人不得向成交供应商提出任何不合理的要求作为签订合同的条件，不得与成交供应商私下订立背离合同实质性内容的协议。所签订的合同不得对采购文件确定事项和成交供应商响应文件作实质性修改。</w:t>
      </w:r>
    </w:p>
    <w:p w14:paraId="33DD4AE8">
      <w:pPr>
        <w:spacing w:line="360" w:lineRule="auto"/>
        <w:ind w:firstLine="420"/>
        <w:jc w:val="left"/>
        <w:rPr>
          <w:rFonts w:ascii="宋体" w:hAnsi="宋体"/>
        </w:rPr>
      </w:pPr>
      <w:r>
        <w:rPr>
          <w:rFonts w:hint="eastAsia" w:ascii="宋体" w:hAnsi="宋体"/>
        </w:rPr>
        <w:t>32、其他</w:t>
      </w:r>
    </w:p>
    <w:p w14:paraId="1584FD55">
      <w:pPr>
        <w:spacing w:line="360" w:lineRule="auto"/>
        <w:ind w:firstLine="420"/>
        <w:jc w:val="left"/>
        <w:rPr>
          <w:rFonts w:ascii="宋体" w:hAnsi="宋体"/>
        </w:rPr>
      </w:pPr>
      <w:r>
        <w:rPr>
          <w:rFonts w:hint="eastAsia" w:ascii="宋体" w:hAnsi="宋体"/>
        </w:rPr>
        <w:t>32.1 依据《政府采购促进中小企业发展管理办法》享受扶持政策获得政府采购合同的，小微企业不得将合同分包给大中型企业，中型企业不得将合同分包给大型企业。</w:t>
      </w:r>
    </w:p>
    <w:p w14:paraId="2DE77814">
      <w:pPr>
        <w:spacing w:line="360" w:lineRule="auto"/>
        <w:ind w:firstLine="420"/>
        <w:jc w:val="left"/>
        <w:rPr>
          <w:rFonts w:ascii="宋体" w:hAnsi="宋体"/>
        </w:rPr>
      </w:pPr>
      <w:r>
        <w:rPr>
          <w:rFonts w:hint="eastAsia" w:ascii="宋体" w:hAnsi="宋体"/>
        </w:rPr>
        <w:t>32.2落实好政府采购履约资金扶持政策。中标/成交供应商可凭政府采购合同办理融资贷款，详见江苏政府采购网“政采贷”专栏。</w:t>
      </w:r>
    </w:p>
    <w:p w14:paraId="0A73A506">
      <w:pPr>
        <w:spacing w:line="360" w:lineRule="auto"/>
        <w:ind w:firstLine="422" w:firstLineChars="200"/>
        <w:rPr>
          <w:rFonts w:hint="eastAsia" w:ascii="宋体" w:hAnsi="宋体" w:cs="宋体"/>
          <w:b/>
          <w:bCs/>
        </w:rPr>
      </w:pPr>
    </w:p>
    <w:p w14:paraId="135DC8F4">
      <w:pPr>
        <w:spacing w:line="360" w:lineRule="auto"/>
        <w:ind w:right="-155"/>
        <w:jc w:val="left"/>
        <w:rPr>
          <w:rFonts w:hint="eastAsia" w:ascii="宋体" w:hAnsi="宋体" w:cs="宋体"/>
          <w:b/>
          <w:bCs/>
        </w:rPr>
      </w:pPr>
    </w:p>
    <w:p w14:paraId="0FF2F82F">
      <w:pPr>
        <w:pStyle w:val="30"/>
        <w:spacing w:line="360" w:lineRule="auto"/>
        <w:ind w:right="-153"/>
        <w:jc w:val="center"/>
        <w:rPr>
          <w:rFonts w:hint="eastAsia" w:ascii="宋体" w:hAnsi="宋体" w:cs="宋体"/>
          <w:b/>
          <w:bCs/>
          <w:sz w:val="28"/>
          <w:szCs w:val="28"/>
          <w:lang w:val="zh-CN"/>
        </w:rPr>
        <w:sectPr>
          <w:footerReference r:id="rId5" w:type="default"/>
          <w:pgSz w:w="11907" w:h="16840"/>
          <w:pgMar w:top="1440" w:right="1080" w:bottom="1440" w:left="1080" w:header="851" w:footer="851" w:gutter="0"/>
          <w:cols w:space="720" w:num="1"/>
          <w:docGrid w:linePitch="312" w:charSpace="0"/>
        </w:sectPr>
      </w:pPr>
    </w:p>
    <w:p w14:paraId="7727D7BF">
      <w:pPr>
        <w:pStyle w:val="3"/>
        <w:jc w:val="center"/>
        <w:rPr>
          <w:rFonts w:hint="eastAsia" w:ascii="宋体" w:hAnsi="宋体"/>
          <w:color w:val="000000"/>
          <w:sz w:val="36"/>
        </w:rPr>
      </w:pPr>
      <w:bookmarkStart w:id="17" w:name="_Toc24359"/>
      <w:bookmarkStart w:id="18" w:name="_Toc4850"/>
      <w:bookmarkStart w:id="19" w:name="_Toc175214496"/>
      <w:bookmarkStart w:id="20" w:name="_Toc180764258"/>
      <w:r>
        <w:rPr>
          <w:rFonts w:hint="eastAsia" w:ascii="宋体" w:hAnsi="宋体"/>
          <w:color w:val="000000"/>
          <w:sz w:val="36"/>
        </w:rPr>
        <w:t>第三章 合同条款及格式</w:t>
      </w:r>
      <w:bookmarkEnd w:id="17"/>
      <w:bookmarkEnd w:id="18"/>
    </w:p>
    <w:p w14:paraId="4E8CAED3">
      <w:pPr>
        <w:pStyle w:val="13"/>
        <w:spacing w:line="360" w:lineRule="auto"/>
        <w:ind w:firstLine="420" w:firstLineChars="200"/>
        <w:rPr>
          <w:rFonts w:cs="宋体"/>
        </w:rPr>
      </w:pPr>
      <w:r>
        <w:rPr>
          <w:rFonts w:hint="eastAsia" w:cs="宋体"/>
        </w:rPr>
        <w:t>以下为中标后签定本项目合同的通用条款，中标供应商不得提出实质性的修改。关于专用条款将由采购人与中标供应商结合本项目具体情况协商后补充，但补充内容对招标文件和投标文件以及通用条款，不得作实质性修改。</w:t>
      </w:r>
    </w:p>
    <w:p w14:paraId="061BB8FC">
      <w:pPr>
        <w:pStyle w:val="13"/>
        <w:rPr>
          <w:rFonts w:cs="宋体"/>
        </w:rPr>
      </w:pPr>
    </w:p>
    <w:p w14:paraId="70945756">
      <w:pPr>
        <w:pStyle w:val="62"/>
        <w:spacing w:before="120" w:after="120" w:line="440" w:lineRule="exact"/>
        <w:ind w:firstLine="422"/>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服务合同</w:t>
      </w:r>
    </w:p>
    <w:p w14:paraId="05E77C80">
      <w:pPr>
        <w:pStyle w:val="62"/>
        <w:spacing w:before="120" w:after="120" w:line="440" w:lineRule="exact"/>
        <w:ind w:firstLine="420"/>
        <w:rPr>
          <w:rFonts w:hint="eastAsia" w:ascii="仿宋" w:hAnsi="仿宋" w:eastAsia="仿宋" w:cs="仿宋"/>
          <w:sz w:val="24"/>
          <w:szCs w:val="24"/>
          <w:u w:val="single"/>
          <w:lang w:eastAsia="zh-CN"/>
        </w:rPr>
      </w:pPr>
      <w:r>
        <w:rPr>
          <w:rFonts w:hint="eastAsia" w:ascii="仿宋" w:hAnsi="仿宋" w:eastAsia="仿宋" w:cs="仿宋"/>
          <w:sz w:val="24"/>
          <w:szCs w:val="24"/>
          <w:lang w:eastAsia="zh-CN"/>
        </w:rPr>
        <w:t>甲方：（买方）</w:t>
      </w:r>
      <w:r>
        <w:rPr>
          <w:rFonts w:hint="eastAsia" w:ascii="仿宋" w:hAnsi="仿宋" w:eastAsia="仿宋" w:cs="仿宋"/>
          <w:sz w:val="24"/>
          <w:szCs w:val="24"/>
          <w:u w:val="single"/>
          <w:lang w:eastAsia="zh-CN"/>
        </w:rPr>
        <w:t xml:space="preserve">                          </w:t>
      </w:r>
    </w:p>
    <w:p w14:paraId="1C9FF087">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乙方：（卖方）</w:t>
      </w:r>
      <w:r>
        <w:rPr>
          <w:rFonts w:hint="eastAsia" w:ascii="仿宋" w:hAnsi="仿宋" w:eastAsia="仿宋" w:cs="仿宋"/>
          <w:sz w:val="24"/>
          <w:szCs w:val="24"/>
          <w:u w:val="single"/>
          <w:lang w:eastAsia="zh-CN"/>
        </w:rPr>
        <w:t xml:space="preserve">                          </w:t>
      </w:r>
    </w:p>
    <w:p w14:paraId="3EDB1D18">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甲、乙双方根据项目中标的结果，签署本合同。</w:t>
      </w:r>
    </w:p>
    <w:p w14:paraId="76F80871">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一、服务及产品内容</w:t>
      </w:r>
    </w:p>
    <w:p w14:paraId="2468D861">
      <w:pPr>
        <w:spacing w:line="360" w:lineRule="auto"/>
        <w:ind w:firstLine="420"/>
        <w:rPr>
          <w:rStyle w:val="28"/>
          <w:rFonts w:hint="eastAsia" w:ascii="宋体" w:hAnsi="宋体" w:cs="宋体"/>
          <w:color w:val="000000"/>
          <w:sz w:val="24"/>
        </w:rPr>
      </w:pPr>
      <w:r>
        <w:rPr>
          <w:rFonts w:hint="eastAsia" w:ascii="仿宋" w:hAnsi="仿宋" w:eastAsia="仿宋" w:cs="仿宋"/>
          <w:sz w:val="24"/>
          <w:szCs w:val="24"/>
        </w:rPr>
        <w:t>1.1 项目（产品）名称：扬州空港新城产业发展</w:t>
      </w:r>
      <w:r>
        <w:rPr>
          <w:rFonts w:hint="eastAsia" w:ascii="仿宋" w:hAnsi="仿宋" w:eastAsia="仿宋" w:cs="仿宋"/>
          <w:sz w:val="24"/>
          <w:szCs w:val="24"/>
          <w:lang w:val="en-US" w:eastAsia="zh-CN"/>
        </w:rPr>
        <w:t>战略</w:t>
      </w:r>
      <w:r>
        <w:rPr>
          <w:rFonts w:hint="eastAsia" w:ascii="仿宋" w:hAnsi="仿宋" w:eastAsia="仿宋" w:cs="仿宋"/>
          <w:sz w:val="24"/>
          <w:szCs w:val="24"/>
        </w:rPr>
        <w:t>规划服务</w:t>
      </w:r>
    </w:p>
    <w:p w14:paraId="6541C87E">
      <w:pPr>
        <w:adjustRightInd w:val="0"/>
        <w:snapToGrid w:val="0"/>
        <w:spacing w:before="60" w:after="60" w:line="360" w:lineRule="auto"/>
        <w:ind w:firstLine="480" w:firstLineChars="200"/>
        <w:jc w:val="left"/>
        <w:rPr>
          <w:rStyle w:val="28"/>
          <w:rFonts w:hint="eastAsia" w:ascii="宋体" w:hAnsi="宋体" w:cs="宋体"/>
          <w:color w:val="000000"/>
          <w:sz w:val="24"/>
          <w:lang w:val="zh-CN"/>
        </w:rPr>
      </w:pPr>
      <w:r>
        <w:rPr>
          <w:rFonts w:hint="eastAsia" w:ascii="仿宋" w:hAnsi="仿宋" w:eastAsia="仿宋" w:cs="仿宋"/>
          <w:sz w:val="24"/>
          <w:szCs w:val="24"/>
        </w:rPr>
        <w:t>1.2 项目服务内容：以扬州空港新城15.35平方公里规划范围（其中包含核心片区13.93平方公里、麾村片区1.42平方公里）为本次核心研究范围。以扬泰机场为中心，半径6km范围作为本次拓展研究范围，为空港新城的可持续发展保留弹性空间。</w:t>
      </w:r>
    </w:p>
    <w:p w14:paraId="27B58003">
      <w:pPr>
        <w:pStyle w:val="62"/>
        <w:spacing w:before="120" w:after="120"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二、合同金额</w:t>
      </w:r>
    </w:p>
    <w:p w14:paraId="78FCBEB0">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2.1 本合同金额为（大写）：</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元）人民币。（含税价）</w:t>
      </w:r>
    </w:p>
    <w:p w14:paraId="132C70B5">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三、技术资料</w:t>
      </w:r>
    </w:p>
    <w:p w14:paraId="2AEC9284">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3.1乙方应按招标文件规定的时间向甲方提供使用服务或产品的有关技术资料。</w:t>
      </w:r>
    </w:p>
    <w:p w14:paraId="50BDA5B9">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68B86E5">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四、知识产权</w:t>
      </w:r>
    </w:p>
    <w:p w14:paraId="01C2CD1F">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4.1乙方应保证甲方在使用、接受本合同服务或产品或其任何一部分时不受第三方提出侵犯其专利权、版权、商标权和工业设计权等知识产权的起诉。一旦出现侵权，由乙方负全部责任。</w:t>
      </w:r>
    </w:p>
    <w:p w14:paraId="2943CE25">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五、产权担保</w:t>
      </w:r>
    </w:p>
    <w:p w14:paraId="2948178B">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5.1 乙方保证所交付的服务或产品的所有权完全属于乙方且无任何抵押、查封等产权瑕疵。</w:t>
      </w:r>
    </w:p>
    <w:p w14:paraId="4DBBFF85">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六、履约保证金</w:t>
      </w:r>
    </w:p>
    <w:p w14:paraId="40466ADB">
      <w:pPr>
        <w:pStyle w:val="62"/>
        <w:spacing w:before="120" w:after="120" w:line="440" w:lineRule="exact"/>
        <w:ind w:firstLine="422"/>
        <w:rPr>
          <w:rFonts w:hint="eastAsia" w:ascii="仿宋" w:hAnsi="仿宋" w:eastAsia="仿宋" w:cs="仿宋"/>
          <w:sz w:val="24"/>
          <w:szCs w:val="24"/>
          <w:lang w:eastAsia="zh-CN"/>
        </w:rPr>
      </w:pPr>
      <w:r>
        <w:rPr>
          <w:rFonts w:hint="eastAsia" w:ascii="仿宋" w:hAnsi="仿宋" w:eastAsia="仿宋" w:cs="仿宋"/>
          <w:sz w:val="24"/>
          <w:szCs w:val="24"/>
          <w:lang w:eastAsia="zh-CN"/>
        </w:rPr>
        <w:t>本项目不收取履约保证金。</w:t>
      </w:r>
    </w:p>
    <w:p w14:paraId="687E2FB8">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七、转包或分包</w:t>
      </w:r>
    </w:p>
    <w:p w14:paraId="4BF98FB8">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7.1本合同范围的服务或产品，应由乙方直接供应，不得转让他人供应；</w:t>
      </w:r>
    </w:p>
    <w:p w14:paraId="400B5292">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7.2 除非得到甲方的书面同意，乙方不得部分分包给他人供应。</w:t>
      </w:r>
    </w:p>
    <w:p w14:paraId="0D6B84E2">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7.3如有转让和未经甲方同意的分包行为，甲方有权给予终止合同。</w:t>
      </w:r>
    </w:p>
    <w:p w14:paraId="70D57D68">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八、质保期</w:t>
      </w:r>
    </w:p>
    <w:p w14:paraId="4938FE89">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8.1 质保期  </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 xml:space="preserve"> 年。（自交货验收合格之日起计）</w:t>
      </w:r>
    </w:p>
    <w:p w14:paraId="2A899C12">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九、交付期、交付方式及交付地点</w:t>
      </w:r>
    </w:p>
    <w:p w14:paraId="7C353142">
      <w:pPr>
        <w:spacing w:line="360" w:lineRule="auto"/>
        <w:ind w:firstLine="420"/>
        <w:rPr>
          <w:rFonts w:hint="eastAsia" w:ascii="仿宋" w:hAnsi="仿宋" w:eastAsia="仿宋" w:cs="仿宋"/>
          <w:sz w:val="24"/>
          <w:szCs w:val="24"/>
          <w:u w:val="single"/>
        </w:rPr>
      </w:pPr>
      <w:r>
        <w:rPr>
          <w:rFonts w:hint="eastAsia" w:ascii="仿宋" w:hAnsi="仿宋" w:eastAsia="仿宋" w:cs="仿宋"/>
          <w:sz w:val="24"/>
          <w:szCs w:val="24"/>
        </w:rPr>
        <w:t>9.1 交付期：</w:t>
      </w:r>
      <w:r>
        <w:rPr>
          <w:rFonts w:hint="eastAsia" w:ascii="仿宋" w:hAnsi="仿宋" w:eastAsia="仿宋" w:cs="仿宋"/>
          <w:sz w:val="24"/>
          <w:szCs w:val="24"/>
          <w:u w:val="single"/>
        </w:rPr>
        <w:t xml:space="preserve">                。</w:t>
      </w:r>
    </w:p>
    <w:p w14:paraId="1FAF9F33">
      <w:pPr>
        <w:pStyle w:val="62"/>
        <w:spacing w:before="120" w:after="120" w:line="440" w:lineRule="exact"/>
        <w:ind w:firstLine="420"/>
        <w:rPr>
          <w:rFonts w:hint="eastAsia" w:ascii="仿宋" w:hAnsi="仿宋" w:eastAsia="仿宋" w:cs="仿宋"/>
          <w:sz w:val="24"/>
          <w:szCs w:val="24"/>
          <w:u w:val="single"/>
          <w:lang w:eastAsia="zh-CN"/>
        </w:rPr>
      </w:pPr>
      <w:r>
        <w:rPr>
          <w:rFonts w:hint="eastAsia" w:ascii="仿宋" w:hAnsi="仿宋" w:eastAsia="仿宋" w:cs="仿宋"/>
          <w:sz w:val="24"/>
          <w:szCs w:val="24"/>
        </w:rPr>
        <w:t>9.2 交付方式：</w:t>
      </w:r>
      <w:r>
        <w:rPr>
          <w:rFonts w:hint="eastAsia" w:ascii="仿宋" w:hAnsi="仿宋" w:eastAsia="仿宋" w:cs="仿宋"/>
          <w:sz w:val="24"/>
          <w:szCs w:val="24"/>
          <w:u w:val="single"/>
          <w:lang w:eastAsia="zh-CN"/>
        </w:rPr>
        <w:t xml:space="preserve">               </w:t>
      </w:r>
    </w:p>
    <w:p w14:paraId="2F7B227F">
      <w:pPr>
        <w:pStyle w:val="62"/>
        <w:spacing w:before="120" w:after="120" w:line="440" w:lineRule="exact"/>
        <w:ind w:firstLine="420"/>
        <w:rPr>
          <w:rFonts w:hint="eastAsia" w:ascii="仿宋" w:hAnsi="仿宋" w:eastAsia="仿宋" w:cs="仿宋"/>
          <w:sz w:val="24"/>
          <w:szCs w:val="24"/>
          <w:u w:val="single"/>
          <w:lang w:eastAsia="zh-CN"/>
        </w:rPr>
      </w:pPr>
      <w:r>
        <w:rPr>
          <w:rFonts w:hint="eastAsia" w:ascii="仿宋" w:hAnsi="仿宋" w:eastAsia="仿宋" w:cs="仿宋"/>
          <w:sz w:val="24"/>
          <w:szCs w:val="24"/>
          <w:lang w:eastAsia="zh-CN"/>
        </w:rPr>
        <w:t>9.3 交付地点：</w:t>
      </w:r>
      <w:r>
        <w:rPr>
          <w:rFonts w:hint="eastAsia" w:ascii="仿宋" w:hAnsi="仿宋" w:eastAsia="仿宋" w:cs="仿宋"/>
          <w:sz w:val="24"/>
          <w:szCs w:val="24"/>
          <w:u w:val="single"/>
          <w:lang w:eastAsia="zh-CN"/>
        </w:rPr>
        <w:t xml:space="preserve">                  </w:t>
      </w:r>
    </w:p>
    <w:p w14:paraId="21E73A1B">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十、货款支付</w:t>
      </w:r>
    </w:p>
    <w:p w14:paraId="3EACDABA">
      <w:pPr>
        <w:spacing w:line="440" w:lineRule="exact"/>
        <w:ind w:firstLine="420"/>
        <w:rPr>
          <w:rFonts w:hint="eastAsia" w:ascii="仿宋" w:hAnsi="仿宋" w:eastAsia="仿宋" w:cs="仿宋"/>
          <w:sz w:val="24"/>
          <w:szCs w:val="24"/>
        </w:rPr>
      </w:pPr>
      <w:r>
        <w:rPr>
          <w:rFonts w:hint="eastAsia" w:ascii="仿宋" w:hAnsi="仿宋" w:eastAsia="仿宋" w:cs="仿宋"/>
          <w:sz w:val="24"/>
          <w:szCs w:val="24"/>
        </w:rPr>
        <w:t xml:space="preserve">10.1 本合同项下所有款项均以人民币支付。 </w:t>
      </w:r>
    </w:p>
    <w:p w14:paraId="084FDEE6">
      <w:pPr>
        <w:spacing w:line="440" w:lineRule="exact"/>
        <w:ind w:firstLine="420"/>
        <w:rPr>
          <w:rFonts w:hint="eastAsia" w:ascii="仿宋" w:hAnsi="仿宋" w:eastAsia="仿宋" w:cs="仿宋"/>
          <w:sz w:val="24"/>
          <w:szCs w:val="24"/>
        </w:rPr>
      </w:pPr>
      <w:r>
        <w:rPr>
          <w:rFonts w:hint="eastAsia" w:ascii="仿宋" w:hAnsi="仿宋" w:eastAsia="仿宋" w:cs="仿宋"/>
          <w:sz w:val="24"/>
          <w:szCs w:val="24"/>
        </w:rPr>
        <w:t>10.2 本合同项下的资金由甲方支付，付款前乙方向甲方开具发票。</w:t>
      </w:r>
    </w:p>
    <w:p w14:paraId="7B26E269">
      <w:pPr>
        <w:spacing w:line="440" w:lineRule="exact"/>
        <w:ind w:firstLine="420"/>
        <w:rPr>
          <w:rFonts w:hint="eastAsia" w:ascii="仿宋" w:hAnsi="仿宋" w:eastAsia="仿宋" w:cs="仿宋"/>
          <w:sz w:val="24"/>
          <w:szCs w:val="24"/>
        </w:rPr>
      </w:pPr>
      <w:r>
        <w:rPr>
          <w:rFonts w:hint="eastAsia" w:ascii="仿宋" w:hAnsi="仿宋" w:eastAsia="仿宋" w:cs="仿宋"/>
          <w:sz w:val="24"/>
          <w:szCs w:val="24"/>
        </w:rPr>
        <w:t>10.3甲方付款方式：</w:t>
      </w:r>
    </w:p>
    <w:p w14:paraId="5ACEEBA2">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中标即合同价，合同签订生效后，乙方向甲方提交的方案成果通过区相关政府职能部门认可后，甲方向乙方支付合同总价款的30%；乙方向甲方提交的方案成果通过市国土空间规划委员会的审议或者通过市相关政府职能部门的审查后一个月内，甲方向乙方支付合同总价款的70%。</w:t>
      </w:r>
    </w:p>
    <w:p w14:paraId="3C698AF0">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十一、质量保证及售后服务</w:t>
      </w:r>
    </w:p>
    <w:p w14:paraId="3803FF8A">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11.1 乙方应按招标文件规定的服务或产品性能、技术要求、质量标准向甲方提供。</w:t>
      </w:r>
    </w:p>
    <w:p w14:paraId="0C6F2F9F">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11.2 乙方提供的服务或产品在质量期内因服务及产品本身的质量问题发生故障，乙方应负责免费更换。对达不到技术要求者，根据实际情况，经双方协商，可按以下办法处理：</w:t>
      </w:r>
    </w:p>
    <w:p w14:paraId="20829C1D">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⑴更换：由乙方承担所发生的全部费用。</w:t>
      </w:r>
    </w:p>
    <w:p w14:paraId="4DABC499">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⑵贬值处理：由甲乙双方合议定价。</w:t>
      </w:r>
    </w:p>
    <w:p w14:paraId="51A20709">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⑶退还处理：乙方应退还甲方支付的合同款，同时应承担该服务或产品的直接费用（运输、保险、检验、款项利息及银行手续费等）。</w:t>
      </w:r>
    </w:p>
    <w:p w14:paraId="4FF4BBDC">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11.3 如在使用过程中发生质量问题，乙方在接到甲方通知后在</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小时内到达甲方现场。</w:t>
      </w:r>
    </w:p>
    <w:p w14:paraId="7AD7CDB8">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11.4 在质保期内，乙方应对服务或产品出现的质量及安全问题负责处理解决并承担一切费用。</w:t>
      </w:r>
    </w:p>
    <w:p w14:paraId="43FC1423">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11.5上述的服务或产品免费保修期为</w:t>
      </w:r>
      <w:r>
        <w:rPr>
          <w:rFonts w:hint="eastAsia" w:ascii="仿宋" w:hAnsi="仿宋" w:eastAsia="仿宋" w:cs="仿宋"/>
          <w:sz w:val="24"/>
          <w:szCs w:val="24"/>
          <w:u w:val="single"/>
          <w:lang w:eastAsia="zh-CN"/>
        </w:rPr>
        <w:t xml:space="preserve"> /  </w:t>
      </w:r>
      <w:r>
        <w:rPr>
          <w:rFonts w:hint="eastAsia" w:ascii="仿宋" w:hAnsi="仿宋" w:eastAsia="仿宋" w:cs="仿宋"/>
          <w:sz w:val="24"/>
          <w:szCs w:val="24"/>
          <w:lang w:eastAsia="zh-CN"/>
        </w:rPr>
        <w:t>年，因人为因素出现的故障不在免费保修范围内。超过保修期的机器设备，终生维修，维修时只收部件成本费。</w:t>
      </w:r>
    </w:p>
    <w:p w14:paraId="389D6C24">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十二、调试和验收</w:t>
      </w:r>
    </w:p>
    <w:p w14:paraId="0A4A6A5D">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12.1 甲方对乙方提交的服务或产品依据招标文件上的技术规格要求和国家有关质量标准进行现场初步验收，外观、说明书符合招标文件技术要求的，给予签收，初步验收不合格的不予签收。交付后，甲方需在五个工作日内验收。</w:t>
      </w:r>
    </w:p>
    <w:p w14:paraId="63DF179F">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12.2 乙方交付前应对服务或产品作出全面检查和对验收文件进行整理，并列出清单，作为甲方交付验收和使用的技术条件依据，检验的结果应随服务或产品交甲方。</w:t>
      </w:r>
    </w:p>
    <w:p w14:paraId="009A248E">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12.3 甲方对乙方提供的服务或产品在使用前进行调试时，乙方需负责安装并培训甲方的使用操作人员，并协助甲方一起调试，直到符合技术要求，甲方才做最终验收。</w:t>
      </w:r>
    </w:p>
    <w:p w14:paraId="3478FD61">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12.4 对技术复杂的服务或产品，甲方可请国家认可的专业检测机构参与初步验收及最终验收，并由其出具质量检测报告。</w:t>
      </w:r>
    </w:p>
    <w:p w14:paraId="209D4902">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12.5 验收时乙方必须在现场，验收完毕后作出验收结果报告；验收费用由甲乙双方协商解决。</w:t>
      </w:r>
    </w:p>
    <w:p w14:paraId="4D069DBE">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十三、服务或产品包装、发运及运输</w:t>
      </w:r>
    </w:p>
    <w:p w14:paraId="11DE5336">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13.1 乙方应在服务或产品发运前对其进行满足运输距离、防潮、防震、防锈和防破损装卸等要求包装，以保证服务或产品安全运达甲方指定地点。</w:t>
      </w:r>
    </w:p>
    <w:p w14:paraId="192AFDDC">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13.2 使用说明书、质量检验证明书、随配附件和工具以及清单一并交付甲方。</w:t>
      </w:r>
    </w:p>
    <w:p w14:paraId="2159A017">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13.3 乙方在服务或产品发运手续办理完毕后24小时内或交付到甲方48小时前通知甲方，以准备接受交付。</w:t>
      </w:r>
    </w:p>
    <w:p w14:paraId="065F4A8E">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13.4 服务在交付甲方前发生的风险均由乙方负责。</w:t>
      </w:r>
    </w:p>
    <w:p w14:paraId="10BBE5E8">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13.5 服务或产品在规定的交付期限内由乙方送达甲方指定的地点视为交付，乙方同时需通知甲方服务或产品已送达。</w:t>
      </w:r>
    </w:p>
    <w:p w14:paraId="136FB13A">
      <w:pPr>
        <w:pStyle w:val="62"/>
        <w:spacing w:before="120" w:after="120" w:line="440" w:lineRule="exact"/>
        <w:ind w:firstLine="42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十四、违约责任</w:t>
      </w:r>
    </w:p>
    <w:p w14:paraId="3EEEBD89">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14.1 甲方无正当理由拒收服务或产品的，甲方向乙方偿付拒收款项总值的百分之五违约金。</w:t>
      </w:r>
    </w:p>
    <w:p w14:paraId="67EA04D6">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14.2 甲方无故逾期验收和办理款项支付手续的,甲方应按逾期付款总额每日万分之五向乙方支付违约金。</w:t>
      </w:r>
    </w:p>
    <w:p w14:paraId="17C87E4E">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14.3 乙方逾期交付服务或产品的，乙方应按逾期交付总额每日千分之六向甲方支付违约金，由甲方从待付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01A233C8">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14.4 乙方所交的服务或产品数量、质量不符合合同规定及招标文件规定标准的，甲方有权拒收该服务或产品，乙方愿意更换服务或产品但逾期交付的，按乙方逾期交付处理。乙方拒绝更换服务或产品的，甲方可单方面解除合同。</w:t>
      </w:r>
    </w:p>
    <w:p w14:paraId="46A93109">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十五、不可抗力事件处理</w:t>
      </w:r>
    </w:p>
    <w:p w14:paraId="63CAF4A5">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15.1 在合同有效期内，任何一方因不可抗力事件导致不能履行合同，则合同履行期可延长，其延长期与不可抗力影响期相同。</w:t>
      </w:r>
    </w:p>
    <w:p w14:paraId="7C184317">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15.2 不可抗力事件发生后，应立即通知对方，并寄送有关权威机构出具的证明。</w:t>
      </w:r>
    </w:p>
    <w:p w14:paraId="49D2D1CD">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15.3 不可抗力事件延续120天以上，双方应通过友好协商，确定是否继续履行合同。</w:t>
      </w:r>
    </w:p>
    <w:p w14:paraId="37C77679">
      <w:pPr>
        <w:pStyle w:val="62"/>
        <w:spacing w:before="120" w:after="120" w:line="440" w:lineRule="exact"/>
        <w:ind w:firstLine="422"/>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十六、诉讼</w:t>
      </w:r>
    </w:p>
    <w:p w14:paraId="7A18C0FE">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16.1 双方在执行合同中所发生的一切争议，应通过协商解决。如协商不成，可向合同签订地法院起诉，合同签订地在此约定为扬州市江都区。</w:t>
      </w:r>
    </w:p>
    <w:p w14:paraId="22B0C397">
      <w:pPr>
        <w:spacing w:line="440" w:lineRule="exact"/>
        <w:ind w:firstLine="422"/>
        <w:rPr>
          <w:rFonts w:hint="eastAsia" w:ascii="仿宋" w:hAnsi="仿宋" w:eastAsia="仿宋" w:cs="仿宋"/>
          <w:b/>
          <w:bCs/>
          <w:sz w:val="24"/>
          <w:szCs w:val="24"/>
        </w:rPr>
      </w:pPr>
      <w:r>
        <w:rPr>
          <w:rFonts w:hint="eastAsia" w:ascii="仿宋" w:hAnsi="仿宋" w:eastAsia="仿宋" w:cs="仿宋"/>
          <w:b/>
          <w:bCs/>
          <w:sz w:val="24"/>
          <w:szCs w:val="24"/>
        </w:rPr>
        <w:t>十七、合同生效及其它</w:t>
      </w:r>
    </w:p>
    <w:p w14:paraId="724C404F">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17.1 合同经双方法定代表人或授权代表签字并加盖单位公章，并经见证方见证盖章后生效。</w:t>
      </w:r>
    </w:p>
    <w:p w14:paraId="724C0956">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17.2本合同未尽事宜，遵照《民法典》有关条文执行。</w:t>
      </w:r>
    </w:p>
    <w:p w14:paraId="6A0F2525">
      <w:pPr>
        <w:pStyle w:val="62"/>
        <w:spacing w:before="120" w:after="120" w:line="440" w:lineRule="exact"/>
        <w:ind w:firstLine="420"/>
        <w:rPr>
          <w:rFonts w:hint="eastAsia" w:ascii="仿宋" w:hAnsi="仿宋" w:eastAsia="仿宋" w:cs="仿宋"/>
          <w:sz w:val="24"/>
          <w:szCs w:val="24"/>
          <w:lang w:eastAsia="zh-CN"/>
        </w:rPr>
      </w:pPr>
      <w:r>
        <w:rPr>
          <w:rFonts w:hint="eastAsia" w:ascii="仿宋" w:hAnsi="仿宋" w:eastAsia="仿宋" w:cs="仿宋"/>
          <w:sz w:val="24"/>
          <w:szCs w:val="24"/>
          <w:lang w:eastAsia="zh-CN"/>
        </w:rPr>
        <w:t>17.3 本合同正本一式陆份，具有同等法律效力，甲方、乙方各执叁份。</w:t>
      </w:r>
    </w:p>
    <w:p w14:paraId="6210F4D9">
      <w:pPr>
        <w:pStyle w:val="62"/>
        <w:spacing w:before="120" w:after="120" w:line="440" w:lineRule="exact"/>
        <w:ind w:firstLine="420"/>
        <w:rPr>
          <w:rFonts w:hint="eastAsia" w:ascii="仿宋" w:hAnsi="仿宋" w:eastAsia="仿宋" w:cs="仿宋"/>
          <w:sz w:val="24"/>
          <w:szCs w:val="24"/>
          <w:lang w:eastAsia="zh-CN"/>
        </w:rPr>
      </w:pPr>
    </w:p>
    <w:p w14:paraId="3F8E2510">
      <w:pPr>
        <w:pStyle w:val="62"/>
        <w:spacing w:before="120" w:after="120" w:line="440" w:lineRule="exact"/>
        <w:ind w:firstLine="420"/>
        <w:rPr>
          <w:rFonts w:hint="eastAsia" w:ascii="仿宋" w:hAnsi="仿宋" w:eastAsia="仿宋" w:cs="仿宋"/>
          <w:sz w:val="24"/>
          <w:szCs w:val="24"/>
          <w:lang w:eastAsia="zh-CN"/>
        </w:rPr>
      </w:pPr>
    </w:p>
    <w:tbl>
      <w:tblPr>
        <w:tblStyle w:val="24"/>
        <w:tblW w:w="0" w:type="auto"/>
        <w:tblInd w:w="135" w:type="dxa"/>
        <w:tblLayout w:type="fixed"/>
        <w:tblCellMar>
          <w:top w:w="0" w:type="dxa"/>
          <w:left w:w="108" w:type="dxa"/>
          <w:bottom w:w="0" w:type="dxa"/>
          <w:right w:w="108" w:type="dxa"/>
        </w:tblCellMar>
      </w:tblPr>
      <w:tblGrid>
        <w:gridCol w:w="4284"/>
        <w:gridCol w:w="4238"/>
      </w:tblGrid>
      <w:tr w14:paraId="33A17608">
        <w:tblPrEx>
          <w:tblCellMar>
            <w:top w:w="0" w:type="dxa"/>
            <w:left w:w="108" w:type="dxa"/>
            <w:bottom w:w="0" w:type="dxa"/>
            <w:right w:w="108" w:type="dxa"/>
          </w:tblCellMar>
        </w:tblPrEx>
        <w:tc>
          <w:tcPr>
            <w:tcW w:w="4284" w:type="dxa"/>
            <w:tcBorders>
              <w:top w:val="nil"/>
              <w:left w:val="nil"/>
              <w:bottom w:val="nil"/>
              <w:right w:val="nil"/>
            </w:tcBorders>
          </w:tcPr>
          <w:p w14:paraId="4B30B6CC">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甲方：</w:t>
            </w:r>
            <w:r>
              <w:rPr>
                <w:rFonts w:hint="eastAsia" w:ascii="仿宋" w:hAnsi="仿宋" w:eastAsia="仿宋" w:cs="仿宋"/>
                <w:sz w:val="24"/>
                <w:szCs w:val="24"/>
                <w:u w:val="single"/>
                <w:lang w:eastAsia="zh-CN"/>
              </w:rPr>
              <w:t xml:space="preserve">                          </w:t>
            </w:r>
          </w:p>
        </w:tc>
        <w:tc>
          <w:tcPr>
            <w:tcW w:w="4238" w:type="dxa"/>
            <w:tcBorders>
              <w:top w:val="nil"/>
              <w:left w:val="nil"/>
              <w:bottom w:val="nil"/>
              <w:right w:val="nil"/>
            </w:tcBorders>
          </w:tcPr>
          <w:p w14:paraId="26E17DBD">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乙方： </w:t>
            </w:r>
            <w:r>
              <w:rPr>
                <w:rFonts w:hint="eastAsia" w:ascii="仿宋" w:hAnsi="仿宋" w:eastAsia="仿宋" w:cs="仿宋"/>
                <w:sz w:val="24"/>
                <w:szCs w:val="24"/>
                <w:u w:val="single"/>
                <w:lang w:eastAsia="zh-CN"/>
              </w:rPr>
              <w:t xml:space="preserve">                         </w:t>
            </w:r>
          </w:p>
        </w:tc>
      </w:tr>
      <w:tr w14:paraId="646D91F0">
        <w:tblPrEx>
          <w:tblCellMar>
            <w:top w:w="0" w:type="dxa"/>
            <w:left w:w="108" w:type="dxa"/>
            <w:bottom w:w="0" w:type="dxa"/>
            <w:right w:w="108" w:type="dxa"/>
          </w:tblCellMar>
        </w:tblPrEx>
        <w:tc>
          <w:tcPr>
            <w:tcW w:w="4284" w:type="dxa"/>
            <w:tcBorders>
              <w:top w:val="nil"/>
              <w:left w:val="nil"/>
              <w:bottom w:val="nil"/>
              <w:right w:val="nil"/>
            </w:tcBorders>
          </w:tcPr>
          <w:p w14:paraId="5439D77D">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地址：</w:t>
            </w:r>
            <w:r>
              <w:rPr>
                <w:rFonts w:hint="eastAsia" w:ascii="仿宋" w:hAnsi="仿宋" w:eastAsia="仿宋" w:cs="仿宋"/>
                <w:sz w:val="24"/>
                <w:szCs w:val="24"/>
                <w:u w:val="single"/>
                <w:lang w:eastAsia="zh-CN"/>
              </w:rPr>
              <w:t xml:space="preserve">                          </w:t>
            </w:r>
          </w:p>
        </w:tc>
        <w:tc>
          <w:tcPr>
            <w:tcW w:w="4238" w:type="dxa"/>
            <w:tcBorders>
              <w:top w:val="nil"/>
              <w:left w:val="nil"/>
              <w:bottom w:val="nil"/>
              <w:right w:val="nil"/>
            </w:tcBorders>
          </w:tcPr>
          <w:p w14:paraId="4A0CB44C">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地址：</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lang w:eastAsia="zh-CN"/>
              </w:rPr>
              <w:t xml:space="preserve"> </w:t>
            </w:r>
          </w:p>
        </w:tc>
      </w:tr>
      <w:tr w14:paraId="3D8760E0">
        <w:tblPrEx>
          <w:tblCellMar>
            <w:top w:w="0" w:type="dxa"/>
            <w:left w:w="108" w:type="dxa"/>
            <w:bottom w:w="0" w:type="dxa"/>
            <w:right w:w="108" w:type="dxa"/>
          </w:tblCellMar>
        </w:tblPrEx>
        <w:tc>
          <w:tcPr>
            <w:tcW w:w="4284" w:type="dxa"/>
            <w:tcBorders>
              <w:top w:val="nil"/>
              <w:left w:val="nil"/>
              <w:bottom w:val="nil"/>
              <w:right w:val="nil"/>
            </w:tcBorders>
          </w:tcPr>
          <w:p w14:paraId="5A848538">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法定代表人或授权代表：</w:t>
            </w:r>
            <w:r>
              <w:rPr>
                <w:rFonts w:hint="eastAsia" w:ascii="仿宋" w:hAnsi="仿宋" w:eastAsia="仿宋" w:cs="仿宋"/>
                <w:sz w:val="24"/>
                <w:szCs w:val="24"/>
                <w:u w:val="single"/>
                <w:lang w:eastAsia="zh-CN"/>
              </w:rPr>
              <w:t xml:space="preserve">          </w:t>
            </w:r>
          </w:p>
        </w:tc>
        <w:tc>
          <w:tcPr>
            <w:tcW w:w="4238" w:type="dxa"/>
            <w:tcBorders>
              <w:top w:val="nil"/>
              <w:left w:val="nil"/>
              <w:bottom w:val="nil"/>
              <w:right w:val="nil"/>
            </w:tcBorders>
          </w:tcPr>
          <w:p w14:paraId="28F797CD">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法定代表人或授权代表：</w:t>
            </w:r>
            <w:r>
              <w:rPr>
                <w:rFonts w:hint="eastAsia" w:ascii="仿宋" w:hAnsi="仿宋" w:eastAsia="仿宋" w:cs="仿宋"/>
                <w:sz w:val="24"/>
                <w:szCs w:val="24"/>
                <w:u w:val="single"/>
                <w:lang w:eastAsia="zh-CN"/>
              </w:rPr>
              <w:t xml:space="preserve">          </w:t>
            </w:r>
          </w:p>
        </w:tc>
      </w:tr>
      <w:tr w14:paraId="0CACDC82">
        <w:tblPrEx>
          <w:tblCellMar>
            <w:top w:w="0" w:type="dxa"/>
            <w:left w:w="108" w:type="dxa"/>
            <w:bottom w:w="0" w:type="dxa"/>
            <w:right w:w="108" w:type="dxa"/>
          </w:tblCellMar>
        </w:tblPrEx>
        <w:tc>
          <w:tcPr>
            <w:tcW w:w="4284" w:type="dxa"/>
            <w:tcBorders>
              <w:top w:val="nil"/>
              <w:left w:val="nil"/>
              <w:bottom w:val="nil"/>
              <w:right w:val="nil"/>
            </w:tcBorders>
          </w:tcPr>
          <w:p w14:paraId="0D9C3D35">
            <w:pPr>
              <w:pStyle w:val="62"/>
              <w:spacing w:before="120" w:after="120" w:line="440" w:lineRule="exact"/>
              <w:rPr>
                <w:rFonts w:hint="eastAsia" w:ascii="仿宋" w:hAnsi="仿宋" w:eastAsia="仿宋" w:cs="仿宋"/>
                <w:sz w:val="24"/>
                <w:szCs w:val="24"/>
                <w:u w:val="single"/>
                <w:lang w:eastAsia="zh-CN"/>
              </w:rPr>
            </w:pPr>
            <w:r>
              <w:rPr>
                <w:rFonts w:hint="eastAsia" w:ascii="仿宋" w:hAnsi="仿宋" w:eastAsia="仿宋" w:cs="仿宋"/>
                <w:sz w:val="24"/>
                <w:szCs w:val="24"/>
                <w:lang w:eastAsia="zh-CN"/>
              </w:rPr>
              <w:t>联系电话：</w:t>
            </w:r>
            <w:r>
              <w:rPr>
                <w:rFonts w:hint="eastAsia" w:ascii="仿宋" w:hAnsi="仿宋" w:eastAsia="仿宋" w:cs="仿宋"/>
                <w:sz w:val="24"/>
                <w:szCs w:val="24"/>
                <w:u w:val="single"/>
                <w:lang w:eastAsia="zh-CN"/>
              </w:rPr>
              <w:t xml:space="preserve">                      </w:t>
            </w:r>
          </w:p>
        </w:tc>
        <w:tc>
          <w:tcPr>
            <w:tcW w:w="4238" w:type="dxa"/>
            <w:tcBorders>
              <w:top w:val="nil"/>
              <w:left w:val="nil"/>
              <w:bottom w:val="nil"/>
              <w:right w:val="nil"/>
            </w:tcBorders>
          </w:tcPr>
          <w:p w14:paraId="3DE4C6D6">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联系电话：</w:t>
            </w:r>
            <w:r>
              <w:rPr>
                <w:rFonts w:hint="eastAsia" w:ascii="仿宋" w:hAnsi="仿宋" w:eastAsia="仿宋" w:cs="仿宋"/>
                <w:sz w:val="24"/>
                <w:szCs w:val="24"/>
                <w:u w:val="single"/>
                <w:lang w:eastAsia="zh-CN"/>
              </w:rPr>
              <w:t xml:space="preserve">                      </w:t>
            </w:r>
          </w:p>
        </w:tc>
      </w:tr>
      <w:tr w14:paraId="71F91B6A">
        <w:tblPrEx>
          <w:tblCellMar>
            <w:top w:w="0" w:type="dxa"/>
            <w:left w:w="108" w:type="dxa"/>
            <w:bottom w:w="0" w:type="dxa"/>
            <w:right w:w="108" w:type="dxa"/>
          </w:tblCellMar>
        </w:tblPrEx>
        <w:tc>
          <w:tcPr>
            <w:tcW w:w="4284" w:type="dxa"/>
            <w:tcBorders>
              <w:top w:val="nil"/>
              <w:left w:val="nil"/>
              <w:bottom w:val="nil"/>
              <w:right w:val="nil"/>
            </w:tcBorders>
          </w:tcPr>
          <w:p w14:paraId="5E9415C1">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日期：      年    月    日  </w:t>
            </w:r>
          </w:p>
        </w:tc>
        <w:tc>
          <w:tcPr>
            <w:tcW w:w="4238" w:type="dxa"/>
            <w:tcBorders>
              <w:top w:val="nil"/>
              <w:left w:val="nil"/>
              <w:bottom w:val="nil"/>
              <w:right w:val="nil"/>
            </w:tcBorders>
          </w:tcPr>
          <w:p w14:paraId="72138598">
            <w:pPr>
              <w:pStyle w:val="62"/>
              <w:spacing w:before="120" w:after="120" w:line="4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日期：      年    月    日</w:t>
            </w:r>
          </w:p>
        </w:tc>
      </w:tr>
    </w:tbl>
    <w:p w14:paraId="7C9DB3CE">
      <w:pPr>
        <w:pStyle w:val="13"/>
        <w:snapToGrid w:val="0"/>
        <w:spacing w:before="120" w:after="120" w:line="360" w:lineRule="auto"/>
        <w:ind w:firstLine="210" w:firstLineChars="100"/>
        <w:rPr>
          <w:rFonts w:hint="eastAsia" w:hAnsi="宋体"/>
        </w:rPr>
      </w:pPr>
    </w:p>
    <w:p w14:paraId="4907E13E">
      <w:pPr>
        <w:pStyle w:val="13"/>
        <w:snapToGrid w:val="0"/>
        <w:spacing w:before="120" w:after="120" w:line="360" w:lineRule="auto"/>
        <w:ind w:firstLine="210" w:firstLineChars="100"/>
        <w:rPr>
          <w:rFonts w:hint="eastAsia" w:hAnsi="宋体"/>
        </w:rPr>
      </w:pPr>
    </w:p>
    <w:p w14:paraId="4E58E7A8">
      <w:pPr>
        <w:pStyle w:val="13"/>
        <w:snapToGrid w:val="0"/>
        <w:spacing w:before="120" w:after="120" w:line="360" w:lineRule="auto"/>
        <w:ind w:firstLine="210" w:firstLineChars="100"/>
        <w:rPr>
          <w:rFonts w:hint="eastAsia" w:hAnsi="宋体"/>
        </w:rPr>
      </w:pPr>
    </w:p>
    <w:p w14:paraId="43BBF398">
      <w:pPr>
        <w:pStyle w:val="13"/>
        <w:snapToGrid w:val="0"/>
        <w:spacing w:before="120" w:after="120" w:line="360" w:lineRule="auto"/>
        <w:ind w:firstLine="210" w:firstLineChars="100"/>
        <w:rPr>
          <w:rFonts w:hint="eastAsia" w:hAnsi="宋体"/>
        </w:rPr>
      </w:pPr>
    </w:p>
    <w:bookmarkEnd w:id="19"/>
    <w:bookmarkEnd w:id="20"/>
    <w:p w14:paraId="1C7CE6B6">
      <w:pPr>
        <w:rPr>
          <w:rFonts w:cs="宋体"/>
          <w:sz w:val="20"/>
          <w:szCs w:val="20"/>
        </w:rPr>
      </w:pPr>
    </w:p>
    <w:p w14:paraId="7EAB9B72">
      <w:pPr>
        <w:pStyle w:val="13"/>
        <w:jc w:val="center"/>
        <w:rPr>
          <w:rFonts w:hint="eastAsia" w:hAnsi="宋体" w:cs="宋体"/>
          <w:b/>
          <w:bCs/>
          <w:sz w:val="28"/>
          <w:szCs w:val="28"/>
        </w:rPr>
      </w:pPr>
    </w:p>
    <w:p w14:paraId="1877619F">
      <w:pPr>
        <w:pStyle w:val="13"/>
        <w:jc w:val="center"/>
        <w:rPr>
          <w:rFonts w:hint="eastAsia" w:hAnsi="宋体" w:cs="宋体"/>
          <w:sz w:val="28"/>
          <w:szCs w:val="28"/>
        </w:rPr>
      </w:pPr>
      <w:r>
        <w:rPr>
          <w:rFonts w:hint="eastAsia" w:hAnsi="宋体" w:cs="宋体"/>
          <w:b/>
          <w:bCs/>
          <w:sz w:val="28"/>
          <w:szCs w:val="28"/>
        </w:rPr>
        <w:t>第四章  项目需求</w:t>
      </w:r>
    </w:p>
    <w:p w14:paraId="26B2E659">
      <w:pPr>
        <w:spacing w:line="360" w:lineRule="auto"/>
        <w:ind w:left="420" w:leftChars="200"/>
        <w:rPr>
          <w:rFonts w:hint="eastAsia" w:ascii="宋体" w:hAnsi="宋体" w:cs="宋体"/>
          <w:sz w:val="22"/>
          <w:szCs w:val="22"/>
        </w:rPr>
      </w:pPr>
      <w:r>
        <w:rPr>
          <w:rFonts w:hint="eastAsia" w:ascii="宋体" w:hAnsi="宋体" w:cs="宋体"/>
          <w:sz w:val="22"/>
          <w:szCs w:val="22"/>
          <w:lang w:val="en-US" w:eastAsia="zh-CN"/>
        </w:rPr>
        <w:t>一、</w:t>
      </w:r>
      <w:r>
        <w:rPr>
          <w:rFonts w:hint="eastAsia" w:ascii="宋体" w:hAnsi="宋体" w:cs="宋体"/>
          <w:sz w:val="22"/>
          <w:szCs w:val="22"/>
        </w:rPr>
        <w:t>项目类别：服务类</w:t>
      </w:r>
    </w:p>
    <w:p w14:paraId="68B8015D">
      <w:pPr>
        <w:pStyle w:val="3"/>
        <w:spacing w:before="0" w:after="0" w:line="360" w:lineRule="auto"/>
        <w:ind w:firstLine="426"/>
        <w:rPr>
          <w:rFonts w:ascii="宋体" w:hAnsi="宋体" w:cs="宋体"/>
          <w:sz w:val="21"/>
          <w:szCs w:val="21"/>
        </w:rPr>
      </w:pPr>
      <w:r>
        <w:rPr>
          <w:rFonts w:hint="eastAsia" w:ascii="宋体" w:hAnsi="宋体" w:cs="宋体"/>
          <w:sz w:val="21"/>
          <w:szCs w:val="21"/>
        </w:rPr>
        <w:t>其他要求</w:t>
      </w:r>
    </w:p>
    <w:p w14:paraId="2F67DADE">
      <w:pPr>
        <w:spacing w:line="360" w:lineRule="auto"/>
        <w:ind w:firstLine="426"/>
        <w:rPr>
          <w:rFonts w:ascii="宋体" w:hAnsi="宋体" w:cs="宋体"/>
        </w:rPr>
      </w:pPr>
      <w:r>
        <w:rPr>
          <w:rFonts w:hint="eastAsia" w:ascii="宋体" w:hAnsi="宋体" w:cs="宋体"/>
        </w:rPr>
        <w:t>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响应文件中提供所投产品的相关证书(由国家确定的认证机构出具的、处于有效期之内的节能产品、环境标志产品认证证书)。节能产品、环境标志产品品目清单以递交响应文件截止时已正式公布的最近一期信息为准，</w:t>
      </w:r>
      <w:r>
        <w:rPr>
          <w:rFonts w:hint="eastAsia" w:ascii="宋体" w:hAnsi="宋体" w:cs="宋体"/>
          <w:i/>
          <w:iCs/>
          <w:u w:val="single"/>
        </w:rPr>
        <w:t>如属政府强制采购产品未提供认证证书的或认证证书提供不全的将视为未实质性响应采购要求</w:t>
      </w:r>
      <w:r>
        <w:rPr>
          <w:rFonts w:hint="eastAsia" w:ascii="宋体" w:hAnsi="宋体" w:cs="宋体"/>
        </w:rPr>
        <w:t>。其他条件相同情况下，应当优先采购节能产品、环境标志产品。</w:t>
      </w:r>
    </w:p>
    <w:p w14:paraId="58209FD9">
      <w:pPr>
        <w:spacing w:line="360" w:lineRule="auto"/>
        <w:ind w:firstLine="426"/>
        <w:rPr>
          <w:rFonts w:cs="Times New Roman"/>
        </w:rPr>
      </w:pPr>
      <w:r>
        <w:rPr>
          <w:rFonts w:hint="eastAsia" w:ascii="宋体" w:hAnsi="宋体" w:cs="宋体"/>
        </w:rPr>
        <w:t>供应商对于投标产品的包装应按照“财办库〔2020〕123号《关于印发《商品包装政府采购需求标准（试行）》、《快递包装政府采购需求标准（试行）》的通知》”执行。</w:t>
      </w:r>
    </w:p>
    <w:p w14:paraId="0D9721D4">
      <w:pPr>
        <w:spacing w:line="360" w:lineRule="auto"/>
        <w:rPr>
          <w:rFonts w:cs="Times New Roman"/>
        </w:rPr>
      </w:pPr>
      <w:r>
        <w:rPr>
          <w:rFonts w:hint="eastAsia" w:cs="Times New Roman"/>
        </w:rPr>
        <w:t>注：本章内容里斜体且有下划线部分为实质性要求和条件，投标文件不满足的，视为无效投标处理。请各供应商制作电子投标文件时，将实质性响应的内容在政府采购交易系统</w:t>
      </w:r>
      <w:r>
        <w:rPr>
          <w:rFonts w:cs="Times New Roman"/>
        </w:rPr>
        <w:t>“</w:t>
      </w:r>
      <w:r>
        <w:rPr>
          <w:rFonts w:hint="eastAsia" w:cs="Times New Roman"/>
        </w:rPr>
        <w:t>符合证明文件格式</w:t>
      </w:r>
      <w:r>
        <w:rPr>
          <w:rFonts w:cs="Times New Roman"/>
        </w:rPr>
        <w:t>”</w:t>
      </w:r>
      <w:r>
        <w:rPr>
          <w:rFonts w:hint="eastAsia" w:cs="Times New Roman"/>
        </w:rPr>
        <w:t>中准确填写或上传。</w:t>
      </w:r>
    </w:p>
    <w:p w14:paraId="5033AF22">
      <w:pPr>
        <w:widowControl/>
        <w:jc w:val="left"/>
      </w:pPr>
      <w:r>
        <w:rPr>
          <w:rFonts w:hint="eastAsia" w:ascii="宋体" w:hAnsi="宋体" w:cs="宋体"/>
          <w:sz w:val="22"/>
          <w:szCs w:val="22"/>
          <w:lang w:val="en-US" w:eastAsia="zh-CN"/>
        </w:rPr>
        <w:t>二</w:t>
      </w:r>
      <w:r>
        <w:rPr>
          <w:rFonts w:hint="eastAsia" w:ascii="宋体" w:hAnsi="宋体" w:cs="宋体"/>
          <w:sz w:val="22"/>
          <w:szCs w:val="22"/>
        </w:rPr>
        <w:t>、采购需求：</w:t>
      </w:r>
      <w:r>
        <w:rPr>
          <w:rFonts w:hint="eastAsia" w:ascii="宋体" w:hAnsi="宋体" w:cs="宋体"/>
          <w:color w:val="000000"/>
          <w:kern w:val="0"/>
          <w:sz w:val="52"/>
          <w:szCs w:val="52"/>
          <w:lang w:bidi="ar"/>
        </w:rPr>
        <w:t xml:space="preserve"> </w:t>
      </w:r>
    </w:p>
    <w:p w14:paraId="69D28663">
      <w:pPr>
        <w:spacing w:line="360" w:lineRule="auto"/>
        <w:ind w:firstLine="409" w:firstLineChars="186"/>
        <w:rPr>
          <w:rFonts w:hint="eastAsia" w:ascii="宋体" w:hAnsi="宋体" w:cs="宋体"/>
          <w:sz w:val="22"/>
          <w:szCs w:val="22"/>
        </w:rPr>
      </w:pPr>
      <w:r>
        <w:rPr>
          <w:rFonts w:hint="eastAsia" w:ascii="宋体" w:hAnsi="宋体" w:cs="宋体"/>
          <w:sz w:val="22"/>
          <w:szCs w:val="22"/>
        </w:rPr>
        <w:t>（一）研究背景</w:t>
      </w:r>
    </w:p>
    <w:p w14:paraId="4C7A7867">
      <w:pPr>
        <w:spacing w:line="360" w:lineRule="auto"/>
        <w:ind w:firstLine="409" w:firstLineChars="186"/>
        <w:rPr>
          <w:rFonts w:hint="eastAsia" w:ascii="宋体" w:hAnsi="宋体" w:cs="宋体"/>
          <w:sz w:val="22"/>
          <w:szCs w:val="22"/>
        </w:rPr>
      </w:pPr>
      <w:r>
        <w:rPr>
          <w:rFonts w:hint="eastAsia" w:ascii="宋体" w:hAnsi="宋体" w:cs="宋体"/>
          <w:sz w:val="22"/>
          <w:szCs w:val="22"/>
        </w:rPr>
        <w:t>扬州泰州国际机场（后续简称扬泰机场）作为4E级国际空港，依托“空铁水公”多式联运体系构建起辐射苏中、皖东及苏北的立体交通网络，强化了扬州、泰州与长三角城市群及全球市场的互联互通，填补了江苏中部综合交通枢纽空白，成为苏中地区经济发展的重要引擎。</w:t>
      </w:r>
    </w:p>
    <w:p w14:paraId="1169EB9A">
      <w:pPr>
        <w:spacing w:line="360" w:lineRule="auto"/>
        <w:ind w:firstLine="409" w:firstLineChars="186"/>
        <w:rPr>
          <w:rFonts w:hint="eastAsia" w:ascii="宋体" w:hAnsi="宋体" w:cs="宋体"/>
          <w:sz w:val="22"/>
          <w:szCs w:val="22"/>
        </w:rPr>
      </w:pPr>
      <w:r>
        <w:rPr>
          <w:rFonts w:hint="eastAsia" w:ascii="宋体" w:hAnsi="宋体" w:cs="宋体"/>
          <w:sz w:val="22"/>
          <w:szCs w:val="22"/>
        </w:rPr>
        <w:t>以扬泰机场为核心建设的空港新城，依托“枢纽-产业-城市”三维联动发展模式，推动科技创新与临空产业“双轮驱动”，打造扬州东部地区的重要“增长极”，助力扬州更好地融入区域发展，提升扬州在全国乃至全球产业分工和经济格局中的地位。</w:t>
      </w:r>
    </w:p>
    <w:p w14:paraId="278020CE">
      <w:pPr>
        <w:spacing w:line="360" w:lineRule="auto"/>
        <w:ind w:firstLine="409" w:firstLineChars="186"/>
        <w:rPr>
          <w:rFonts w:hint="eastAsia" w:ascii="宋体" w:hAnsi="宋体" w:cs="宋体"/>
          <w:sz w:val="22"/>
          <w:szCs w:val="22"/>
        </w:rPr>
      </w:pPr>
      <w:r>
        <w:rPr>
          <w:rFonts w:hint="eastAsia" w:ascii="宋体" w:hAnsi="宋体" w:cs="宋体"/>
          <w:sz w:val="22"/>
          <w:szCs w:val="22"/>
        </w:rPr>
        <w:t>基于上述背景，拟全面落实江苏省委、省政府“一中心一基地一枢纽”安排部署，响应扬州市委、市政府工作要求，站在“更高层级、更广维度、更全体系”谋划空港新城的产业发展规划，科学确定产业发展思路与功能空间布局，高标准高质量推进扬州空港新城建设，全力推动临空经济做大做强做优，为扬州高质量发展和高水平开放提供有力支撑。</w:t>
      </w:r>
    </w:p>
    <w:p w14:paraId="7977389A">
      <w:pPr>
        <w:spacing w:line="360" w:lineRule="auto"/>
        <w:ind w:firstLine="409" w:firstLineChars="186"/>
        <w:rPr>
          <w:rFonts w:hint="eastAsia" w:ascii="宋体" w:hAnsi="宋体" w:cs="宋体"/>
          <w:sz w:val="22"/>
          <w:szCs w:val="22"/>
        </w:rPr>
      </w:pPr>
      <w:r>
        <w:rPr>
          <w:rFonts w:hint="eastAsia" w:ascii="宋体" w:hAnsi="宋体" w:cs="宋体"/>
          <w:sz w:val="22"/>
          <w:szCs w:val="22"/>
        </w:rPr>
        <w:t>（二）研究范围</w:t>
      </w:r>
    </w:p>
    <w:p w14:paraId="6DC36DDE">
      <w:pPr>
        <w:spacing w:line="360" w:lineRule="auto"/>
        <w:ind w:firstLine="409" w:firstLineChars="186"/>
        <w:rPr>
          <w:rFonts w:hint="eastAsia" w:ascii="宋体" w:hAnsi="宋体" w:cs="宋体"/>
          <w:sz w:val="22"/>
          <w:szCs w:val="22"/>
        </w:rPr>
      </w:pPr>
      <w:r>
        <w:rPr>
          <w:rFonts w:hint="eastAsia" w:ascii="宋体" w:hAnsi="宋体" w:cs="宋体"/>
          <w:sz w:val="22"/>
          <w:szCs w:val="22"/>
        </w:rPr>
        <w:t>以扬州空港新城15.35平方公里规划范围（其中包含核心片区13.93平方公里、麾村片区1.42平方公里）为本次核心研究范围。以扬泰机场为中心，半径6km范围作为本次拓展研究范围，为空港新城的可持续发展保留弹性空间。</w:t>
      </w:r>
    </w:p>
    <w:p w14:paraId="7D5ADCA6">
      <w:pPr>
        <w:spacing w:line="360" w:lineRule="auto"/>
        <w:ind w:firstLine="409" w:firstLineChars="186"/>
        <w:rPr>
          <w:rFonts w:hint="eastAsia" w:ascii="宋体" w:hAnsi="宋体" w:cs="宋体"/>
          <w:sz w:val="22"/>
          <w:szCs w:val="22"/>
        </w:rPr>
      </w:pPr>
      <w:r>
        <w:rPr>
          <w:rFonts w:hint="eastAsia" w:ascii="宋体" w:hAnsi="宋体" w:cs="宋体"/>
          <w:sz w:val="22"/>
          <w:szCs w:val="22"/>
        </w:rPr>
        <w:t>（三）研究内容</w:t>
      </w:r>
    </w:p>
    <w:p w14:paraId="21CFC803">
      <w:pPr>
        <w:spacing w:line="360" w:lineRule="auto"/>
        <w:ind w:firstLine="409" w:firstLineChars="186"/>
        <w:rPr>
          <w:rFonts w:hint="eastAsia" w:ascii="宋体" w:hAnsi="宋体" w:cs="宋体"/>
          <w:sz w:val="22"/>
          <w:szCs w:val="22"/>
        </w:rPr>
      </w:pPr>
      <w:r>
        <w:rPr>
          <w:rFonts w:hint="eastAsia" w:ascii="宋体" w:hAnsi="宋体" w:cs="宋体"/>
          <w:sz w:val="22"/>
          <w:szCs w:val="22"/>
        </w:rPr>
        <w:t>1、空港新城战略价值研判</w:t>
      </w:r>
    </w:p>
    <w:p w14:paraId="3B38F0BC">
      <w:pPr>
        <w:spacing w:line="360" w:lineRule="auto"/>
        <w:ind w:firstLine="409" w:firstLineChars="186"/>
        <w:rPr>
          <w:rFonts w:hint="eastAsia" w:ascii="宋体" w:hAnsi="宋体" w:cs="宋体"/>
          <w:sz w:val="22"/>
          <w:szCs w:val="22"/>
        </w:rPr>
      </w:pPr>
      <w:r>
        <w:rPr>
          <w:rFonts w:hint="eastAsia" w:ascii="宋体" w:hAnsi="宋体" w:cs="宋体"/>
          <w:sz w:val="22"/>
          <w:szCs w:val="22"/>
        </w:rPr>
        <w:t>考虑到扬泰机场对于江苏中部地区经济发展的重要带动作用，亟需站位苏中地区发展校正机场枢纽价值，进一步分析苏中地区城市之间的竞合关系，明确扬州市在区域经济发展中的独特站位和发展思路，研判枢纽经济对于扬州经济发展的带动规模，明晰扬州空港新城区域发展定位。</w:t>
      </w:r>
    </w:p>
    <w:p w14:paraId="12782761">
      <w:pPr>
        <w:spacing w:line="360" w:lineRule="auto"/>
        <w:ind w:firstLine="409" w:firstLineChars="186"/>
        <w:rPr>
          <w:rFonts w:hint="eastAsia" w:ascii="宋体" w:hAnsi="宋体" w:cs="宋体"/>
          <w:color w:val="auto"/>
          <w:sz w:val="22"/>
          <w:szCs w:val="22"/>
        </w:rPr>
      </w:pPr>
      <w:r>
        <w:rPr>
          <w:rFonts w:hint="eastAsia" w:ascii="宋体" w:hAnsi="宋体" w:cs="宋体"/>
          <w:color w:val="auto"/>
          <w:sz w:val="22"/>
          <w:szCs w:val="22"/>
        </w:rPr>
        <w:t>2、</w:t>
      </w:r>
      <w:ins w:id="0" w:author="kaka NI" w:date="2025-06-26T16:25:00Z">
        <w:r>
          <w:rPr>
            <w:rFonts w:hint="eastAsia" w:ascii="宋体" w:hAnsi="宋体" w:cs="宋体"/>
            <w:color w:val="auto"/>
            <w:sz w:val="22"/>
            <w:szCs w:val="22"/>
            <w:u w:val="none"/>
            <w14:textFill>
              <w14:gradFill>
                <w14:gsLst>
                  <w14:gs w14:pos="50410">
                    <w14:srgbClr w14:val="1F1F1F"/>
                  </w14:gs>
                  <w14:gs w14:pos="0">
                    <w14:srgbClr w14:val="020202"/>
                  </w14:gs>
                  <w14:gs w14:pos="100000">
                    <w14:srgbClr w14:val="424242"/>
                  </w14:gs>
                </w14:gsLst>
                <w14:lin w14:ang="5400000" w14:scaled="1"/>
              </w14:gradFill>
            </w14:textFill>
          </w:rPr>
          <w:t>重点案例研究</w:t>
        </w:r>
      </w:ins>
    </w:p>
    <w:p w14:paraId="268B67DE">
      <w:pPr>
        <w:spacing w:line="360" w:lineRule="auto"/>
        <w:ind w:firstLine="409" w:firstLineChars="186"/>
        <w:rPr>
          <w:ins w:id="1" w:author="kaka NI" w:date="2025-06-26T16:26:00Z"/>
          <w:rFonts w:ascii="宋体" w:hAnsi="宋体" w:cs="宋体"/>
          <w:sz w:val="22"/>
          <w:szCs w:val="22"/>
        </w:rPr>
      </w:pPr>
      <w:r>
        <w:rPr>
          <w:rFonts w:hint="eastAsia" w:ascii="宋体" w:hAnsi="宋体" w:cs="宋体"/>
          <w:sz w:val="22"/>
          <w:szCs w:val="22"/>
        </w:rPr>
        <w:t>选取与扬泰机场条件相仿的国内外典型空港区域作为研究样本，围绕"综合交通组织、空间组织模式、产业发展经验"等维度开展系统性对标研究，提炼空港新城发展的核心规律与实施路径，为扬州空港新城突破发展瓶颈、构建差异化竞争优势提供战略指引。</w:t>
      </w:r>
    </w:p>
    <w:p w14:paraId="0C157661">
      <w:pPr>
        <w:pStyle w:val="19"/>
        <w:spacing w:line="360" w:lineRule="auto"/>
        <w:ind w:firstLine="440" w:firstLineChars="200"/>
        <w:rPr>
          <w:rFonts w:hint="eastAsia" w:ascii="宋体" w:hAnsi="宋体" w:cs="宋体"/>
          <w:sz w:val="22"/>
          <w:szCs w:val="22"/>
        </w:rPr>
      </w:pPr>
      <w:r>
        <w:rPr>
          <w:rFonts w:hint="eastAsia" w:ascii="宋体" w:hAnsi="宋体" w:cs="宋体"/>
          <w:sz w:val="22"/>
          <w:szCs w:val="22"/>
        </w:rPr>
        <w:t>选取国内成功产业新城案例，围绕“产业定位与集群化发展、空间规划与功能融合、交通与区位优势转化、政策创新与营商环境优化、基础设施与公共服务配套、生态保护与绿色发展、人才引育与土地集约利用”等维度展开借鉴研究，总结产业新城在产业发展、新城建设等方面的成果经验，</w:t>
      </w:r>
      <w:r>
        <w:rPr>
          <w:rFonts w:ascii="宋体" w:hAnsi="宋体" w:cs="宋体"/>
          <w:sz w:val="22"/>
          <w:szCs w:val="22"/>
        </w:rPr>
        <w:t>形成可复制的产业新城发展经验框架。</w:t>
      </w:r>
    </w:p>
    <w:p w14:paraId="6EDDEAA5">
      <w:pPr>
        <w:spacing w:line="360" w:lineRule="auto"/>
        <w:ind w:firstLine="409" w:firstLineChars="186"/>
        <w:rPr>
          <w:ins w:id="2" w:author="kaka NI" w:date="2025-06-26T16:28:00Z"/>
          <w:rFonts w:ascii="宋体" w:hAnsi="宋体" w:cs="宋体"/>
          <w:color w:val="auto"/>
          <w:sz w:val="22"/>
          <w:szCs w:val="22"/>
          <w14:textFill>
            <w14:gradFill>
              <w14:gsLst>
                <w14:gs w14:pos="50410">
                  <w14:srgbClr w14:val="1F1F1F"/>
                </w14:gs>
                <w14:gs w14:pos="0">
                  <w14:srgbClr w14:val="020202"/>
                </w14:gs>
                <w14:gs w14:pos="100000">
                  <w14:srgbClr w14:val="424242"/>
                </w14:gs>
              </w14:gsLst>
              <w14:lin w14:ang="5400000" w14:scaled="1"/>
            </w14:gradFill>
          </w14:textFill>
        </w:rPr>
      </w:pPr>
      <w:r>
        <w:rPr>
          <w:rFonts w:hint="eastAsia" w:ascii="宋体" w:hAnsi="宋体" w:cs="宋体"/>
          <w:sz w:val="22"/>
          <w:szCs w:val="22"/>
        </w:rPr>
        <w:t>3、</w:t>
      </w:r>
      <w:ins w:id="3" w:author="kaka NI" w:date="2025-06-26T16:28:00Z">
        <w:r>
          <w:rPr>
            <w:rFonts w:hint="eastAsia" w:ascii="宋体" w:hAnsi="宋体" w:cs="宋体"/>
            <w:color w:val="auto"/>
            <w:sz w:val="22"/>
            <w:szCs w:val="22"/>
            <w14:textFill>
              <w14:gradFill>
                <w14:gsLst>
                  <w14:gs w14:pos="50410">
                    <w14:srgbClr w14:val="1F1F1F"/>
                  </w14:gs>
                  <w14:gs w14:pos="0">
                    <w14:srgbClr w14:val="020202"/>
                  </w14:gs>
                  <w14:gs w14:pos="100000">
                    <w14:srgbClr w14:val="424242"/>
                  </w14:gs>
                </w14:gsLst>
                <w14:lin w14:ang="5400000" w14:scaled="1"/>
              </w14:gradFill>
            </w14:textFill>
          </w:rPr>
          <w:t>现状分析和问题总结</w:t>
        </w:r>
      </w:ins>
    </w:p>
    <w:p w14:paraId="55F0EA56">
      <w:pPr>
        <w:spacing w:line="360" w:lineRule="auto"/>
        <w:ind w:firstLine="409" w:firstLineChars="186"/>
        <w:rPr>
          <w:rFonts w:hint="eastAsia" w:ascii="宋体" w:hAnsi="宋体" w:cs="宋体"/>
          <w:sz w:val="22"/>
          <w:szCs w:val="22"/>
        </w:rPr>
      </w:pPr>
      <w:ins w:id="4" w:author="kaka NI" w:date="2025-06-26T16:30:00Z">
        <w:r>
          <w:rPr>
            <w:rFonts w:hint="eastAsia" w:ascii="宋体" w:hAnsi="宋体" w:cs="宋体"/>
            <w:color w:val="auto"/>
            <w:sz w:val="22"/>
            <w:szCs w:val="22"/>
            <w14:textFill>
              <w14:gradFill>
                <w14:gsLst>
                  <w14:gs w14:pos="50410">
                    <w14:srgbClr w14:val="1F1F1F"/>
                  </w14:gs>
                  <w14:gs w14:pos="0">
                    <w14:srgbClr w14:val="020202"/>
                  </w14:gs>
                  <w14:gs w14:pos="100000">
                    <w14:srgbClr w14:val="424242"/>
                  </w14:gs>
                </w14:gsLst>
                <w14:lin w14:ang="5400000" w14:scaled="1"/>
              </w14:gradFill>
            </w14:textFill>
          </w:rPr>
          <w:t>对扬州空港新城的现状产业发展、空间布局、交通建设等内容进行系统分析，形成对扬州空港新城发展的充分认识与理解，对现状问题进行综合研判。</w:t>
        </w:r>
      </w:ins>
      <w:ins w:id="5" w:author="kaka NI" w:date="2025-06-26T16:31:00Z">
        <w:r>
          <w:rPr>
            <w:rFonts w:hint="eastAsia" w:ascii="宋体" w:hAnsi="宋体" w:cs="宋体"/>
            <w:color w:val="auto"/>
            <w:sz w:val="22"/>
            <w:szCs w:val="22"/>
            <w14:textFill>
              <w14:gradFill>
                <w14:gsLst>
                  <w14:gs w14:pos="50410">
                    <w14:srgbClr w14:val="1F1F1F"/>
                  </w14:gs>
                  <w14:gs w14:pos="0">
                    <w14:srgbClr w14:val="020202"/>
                  </w14:gs>
                  <w14:gs w14:pos="100000">
                    <w14:srgbClr w14:val="424242"/>
                  </w14:gs>
                </w14:gsLst>
                <w14:lin w14:ang="5400000" w14:scaled="1"/>
              </w14:gradFill>
            </w14:textFill>
          </w:rPr>
          <w:t>其中，重点针对空港新城的现状产业发展专项，</w:t>
        </w:r>
      </w:ins>
      <w:r>
        <w:rPr>
          <w:rFonts w:hint="eastAsia" w:ascii="宋体" w:hAnsi="宋体" w:cs="宋体"/>
          <w:sz w:val="22"/>
          <w:szCs w:val="22"/>
        </w:rPr>
        <w:t>全面分析苏中地区临空产业发展现状，研究扬州与苏中地区其他重点城市的临空产业协同发展关系，结合扬州空港新城产业发展现状和瓶颈短板分析，明确扬州空港新城产业发展的核心优劣势。</w:t>
      </w:r>
    </w:p>
    <w:p w14:paraId="165ADA95">
      <w:pPr>
        <w:spacing w:line="360" w:lineRule="auto"/>
        <w:ind w:firstLine="409" w:firstLineChars="186"/>
        <w:rPr>
          <w:rFonts w:hint="eastAsia" w:ascii="宋体" w:hAnsi="宋体" w:cs="宋体"/>
          <w:sz w:val="22"/>
          <w:szCs w:val="22"/>
        </w:rPr>
      </w:pPr>
      <w:r>
        <w:rPr>
          <w:rFonts w:hint="eastAsia" w:ascii="宋体" w:hAnsi="宋体" w:cs="宋体"/>
          <w:sz w:val="22"/>
          <w:szCs w:val="22"/>
        </w:rPr>
        <w:t>4、临空产业发展方向与策略研究</w:t>
      </w:r>
    </w:p>
    <w:p w14:paraId="36804AD7">
      <w:pPr>
        <w:spacing w:line="360" w:lineRule="auto"/>
        <w:ind w:firstLine="409" w:firstLineChars="186"/>
        <w:rPr>
          <w:rFonts w:hint="eastAsia" w:ascii="宋体" w:hAnsi="宋体" w:cs="宋体"/>
          <w:sz w:val="22"/>
          <w:szCs w:val="22"/>
        </w:rPr>
      </w:pPr>
      <w:r>
        <w:rPr>
          <w:rFonts w:hint="eastAsia" w:ascii="宋体" w:hAnsi="宋体" w:cs="宋体"/>
          <w:sz w:val="22"/>
          <w:szCs w:val="22"/>
        </w:rPr>
        <w:t>结合案例研究成果和产业发展现状分析，筛选适合本地的临空产业发展方向，同时，聚焦“延链补链”发展思路，引导现状临空产业相关企业向高附加值产业环节延伸，明确片区产业发展细分赛道，提出切实可行的产业发展策略。</w:t>
      </w:r>
    </w:p>
    <w:p w14:paraId="72C3E33C">
      <w:pPr>
        <w:spacing w:line="360" w:lineRule="auto"/>
        <w:ind w:firstLine="409" w:firstLineChars="186"/>
        <w:rPr>
          <w:rFonts w:hint="eastAsia" w:ascii="宋体" w:hAnsi="宋体" w:cs="宋体"/>
          <w:sz w:val="22"/>
          <w:szCs w:val="22"/>
        </w:rPr>
      </w:pPr>
      <w:r>
        <w:rPr>
          <w:rFonts w:hint="eastAsia" w:ascii="宋体" w:hAnsi="宋体" w:cs="宋体"/>
          <w:sz w:val="22"/>
          <w:szCs w:val="22"/>
        </w:rPr>
        <w:t>5、临空产业发展目标制定</w:t>
      </w:r>
    </w:p>
    <w:p w14:paraId="5FF1596D">
      <w:pPr>
        <w:spacing w:line="360" w:lineRule="auto"/>
        <w:ind w:firstLine="409" w:firstLineChars="186"/>
        <w:rPr>
          <w:rFonts w:hint="eastAsia" w:ascii="宋体" w:hAnsi="宋体" w:cs="宋体"/>
          <w:sz w:val="22"/>
          <w:szCs w:val="22"/>
        </w:rPr>
      </w:pPr>
      <w:r>
        <w:rPr>
          <w:rFonts w:hint="eastAsia" w:ascii="宋体" w:hAnsi="宋体" w:cs="宋体"/>
          <w:sz w:val="22"/>
          <w:szCs w:val="22"/>
        </w:rPr>
        <w:t>站位扬泰机场区域战略价值发挥，明确扬州空港新城临空产业发展总体目标和功能定位，明确产业分阶段发展预期和重点任务。</w:t>
      </w:r>
    </w:p>
    <w:p w14:paraId="49008257">
      <w:pPr>
        <w:spacing w:line="360" w:lineRule="auto"/>
        <w:ind w:firstLine="409" w:firstLineChars="186"/>
        <w:rPr>
          <w:rFonts w:hint="eastAsia" w:ascii="宋体" w:hAnsi="宋体" w:cs="宋体"/>
          <w:sz w:val="22"/>
          <w:szCs w:val="22"/>
        </w:rPr>
      </w:pPr>
      <w:r>
        <w:rPr>
          <w:rFonts w:hint="eastAsia" w:ascii="宋体" w:hAnsi="宋体" w:cs="宋体"/>
          <w:sz w:val="22"/>
          <w:szCs w:val="22"/>
        </w:rPr>
        <w:t>6、服务临空产业发展的保障功能梳理</w:t>
      </w:r>
    </w:p>
    <w:p w14:paraId="339511FB">
      <w:pPr>
        <w:spacing w:line="360" w:lineRule="auto"/>
        <w:ind w:firstLine="409" w:firstLineChars="186"/>
        <w:rPr>
          <w:rFonts w:hint="eastAsia" w:ascii="宋体" w:hAnsi="宋体" w:cs="宋体"/>
          <w:sz w:val="22"/>
          <w:szCs w:val="22"/>
        </w:rPr>
      </w:pPr>
      <w:r>
        <w:rPr>
          <w:rFonts w:hint="eastAsia" w:ascii="宋体" w:hAnsi="宋体" w:cs="宋体"/>
          <w:sz w:val="22"/>
          <w:szCs w:val="22"/>
        </w:rPr>
        <w:t>总结临空产业发展规律和产业集群培育机制，分析服务临空产业发展的保障功能类型，梳理重点保障功能所需的空间载体形式。</w:t>
      </w:r>
    </w:p>
    <w:p w14:paraId="78DFA3DF">
      <w:pPr>
        <w:spacing w:line="360" w:lineRule="auto"/>
        <w:ind w:firstLine="409" w:firstLineChars="186"/>
        <w:rPr>
          <w:rFonts w:hint="eastAsia" w:ascii="宋体" w:hAnsi="宋体" w:cs="宋体"/>
          <w:sz w:val="22"/>
          <w:szCs w:val="22"/>
        </w:rPr>
      </w:pPr>
      <w:r>
        <w:rPr>
          <w:rFonts w:hint="eastAsia" w:ascii="宋体" w:hAnsi="宋体" w:cs="宋体"/>
          <w:sz w:val="22"/>
          <w:szCs w:val="22"/>
        </w:rPr>
        <w:t>7、空间组织与用地布局规划</w:t>
      </w:r>
    </w:p>
    <w:p w14:paraId="369E8C1C">
      <w:pPr>
        <w:spacing w:line="360" w:lineRule="auto"/>
        <w:ind w:firstLine="409" w:firstLineChars="186"/>
        <w:rPr>
          <w:rFonts w:hint="eastAsia" w:ascii="宋体" w:hAnsi="宋体" w:cs="宋体"/>
          <w:sz w:val="22"/>
          <w:szCs w:val="22"/>
        </w:rPr>
      </w:pPr>
      <w:r>
        <w:rPr>
          <w:rFonts w:hint="eastAsia" w:ascii="宋体" w:hAnsi="宋体" w:cs="宋体"/>
          <w:sz w:val="22"/>
          <w:szCs w:val="22"/>
        </w:rPr>
        <w:t>合理确定片区开发建设规模，结合空港新城与扬州主城区的发展关系研究，明确空港新城的空间拓展方向，重新梳理空港新城空间布局策略，组织产业空间结构和产业功能分区，指导产业重点保障功能的空间布局，依托“以枢纽战略为指引、以产业定功能、以功能定空间”的规划思路助力实现港产城深度融合。</w:t>
      </w:r>
    </w:p>
    <w:p w14:paraId="7B71EFCD">
      <w:pPr>
        <w:spacing w:line="360" w:lineRule="auto"/>
        <w:ind w:firstLine="409" w:firstLineChars="186"/>
        <w:rPr>
          <w:rFonts w:hint="eastAsia" w:ascii="宋体" w:hAnsi="宋体" w:cs="宋体"/>
          <w:sz w:val="22"/>
          <w:szCs w:val="22"/>
        </w:rPr>
      </w:pPr>
      <w:r>
        <w:rPr>
          <w:rFonts w:hint="eastAsia" w:ascii="宋体" w:hAnsi="宋体" w:cs="宋体"/>
          <w:sz w:val="22"/>
          <w:szCs w:val="22"/>
        </w:rPr>
        <w:t>（四）成果内容</w:t>
      </w:r>
    </w:p>
    <w:p w14:paraId="5D097F4F">
      <w:pPr>
        <w:spacing w:line="360" w:lineRule="auto"/>
        <w:ind w:firstLine="409" w:firstLineChars="186"/>
        <w:rPr>
          <w:rFonts w:hint="eastAsia" w:ascii="宋体" w:hAnsi="宋体" w:cs="宋体"/>
          <w:sz w:val="22"/>
          <w:szCs w:val="22"/>
        </w:rPr>
      </w:pPr>
      <w:r>
        <w:rPr>
          <w:rFonts w:hint="eastAsia" w:ascii="宋体" w:hAnsi="宋体" w:cs="宋体"/>
          <w:sz w:val="22"/>
          <w:szCs w:val="22"/>
        </w:rPr>
        <w:t>1、纸质成果</w:t>
      </w:r>
    </w:p>
    <w:p w14:paraId="5065F302">
      <w:pPr>
        <w:spacing w:line="360" w:lineRule="auto"/>
        <w:ind w:firstLine="409" w:firstLineChars="186"/>
        <w:rPr>
          <w:rFonts w:hint="eastAsia" w:ascii="宋体" w:hAnsi="宋体" w:cs="宋体"/>
          <w:sz w:val="22"/>
          <w:szCs w:val="22"/>
        </w:rPr>
      </w:pPr>
      <w:r>
        <w:rPr>
          <w:rFonts w:hint="eastAsia" w:ascii="宋体" w:hAnsi="宋体" w:cs="宋体"/>
          <w:sz w:val="22"/>
          <w:szCs w:val="22"/>
        </w:rPr>
        <w:t>成果内容包括研究报告文本、相关图纸等。</w:t>
      </w:r>
    </w:p>
    <w:p w14:paraId="7228707C">
      <w:pPr>
        <w:spacing w:line="360" w:lineRule="auto"/>
        <w:ind w:firstLine="409" w:firstLineChars="186"/>
        <w:rPr>
          <w:rFonts w:hint="eastAsia" w:ascii="宋体" w:hAnsi="宋体" w:cs="宋体"/>
          <w:sz w:val="22"/>
          <w:szCs w:val="22"/>
        </w:rPr>
      </w:pPr>
      <w:r>
        <w:rPr>
          <w:rFonts w:hint="eastAsia" w:ascii="宋体" w:hAnsi="宋体" w:cs="宋体"/>
          <w:sz w:val="22"/>
          <w:szCs w:val="22"/>
        </w:rPr>
        <w:t>2、电子成果</w:t>
      </w:r>
    </w:p>
    <w:p w14:paraId="1470404F">
      <w:pPr>
        <w:spacing w:line="360" w:lineRule="auto"/>
        <w:ind w:firstLine="409" w:firstLineChars="186"/>
        <w:rPr>
          <w:rFonts w:hint="eastAsia" w:ascii="宋体" w:hAnsi="宋体" w:cs="宋体"/>
          <w:sz w:val="22"/>
          <w:szCs w:val="22"/>
        </w:rPr>
      </w:pPr>
      <w:r>
        <w:rPr>
          <w:rFonts w:hint="eastAsia" w:ascii="宋体" w:hAnsi="宋体" w:cs="宋体"/>
          <w:sz w:val="22"/>
          <w:szCs w:val="22"/>
        </w:rPr>
        <w:t>规划成果包括文本类成果、相应电子数据成果、成果演示光盘。文本类应为word或pdf格式。图纸类应为dwg或jpg格式，jpg格式分辨率应不低于300dpi。</w:t>
      </w:r>
    </w:p>
    <w:p w14:paraId="315FC289">
      <w:pPr>
        <w:spacing w:line="360" w:lineRule="auto"/>
        <w:ind w:firstLine="409" w:firstLineChars="186"/>
        <w:rPr>
          <w:rFonts w:hint="eastAsia" w:ascii="宋体" w:hAnsi="宋体" w:cs="宋体"/>
          <w:sz w:val="22"/>
          <w:szCs w:val="22"/>
        </w:rPr>
      </w:pPr>
      <w:r>
        <w:rPr>
          <w:rFonts w:hint="eastAsia" w:ascii="宋体" w:hAnsi="宋体" w:cs="宋体"/>
          <w:sz w:val="22"/>
          <w:szCs w:val="22"/>
        </w:rPr>
        <w:t>五、服务周期：自合同签订之日起至2025年12月31日前提交全部成果</w:t>
      </w:r>
    </w:p>
    <w:p w14:paraId="41B6BF36">
      <w:pPr>
        <w:spacing w:line="360" w:lineRule="auto"/>
        <w:ind w:firstLine="409" w:firstLineChars="186"/>
        <w:rPr>
          <w:rFonts w:hint="eastAsia" w:ascii="宋体" w:hAnsi="宋体" w:cs="宋体"/>
          <w:b/>
          <w:bCs/>
          <w:sz w:val="22"/>
          <w:szCs w:val="22"/>
        </w:rPr>
      </w:pPr>
      <w:r>
        <w:rPr>
          <w:rFonts w:hint="eastAsia" w:ascii="宋体" w:hAnsi="宋体" w:cs="宋体"/>
          <w:sz w:val="22"/>
          <w:szCs w:val="22"/>
        </w:rPr>
        <w:t>六、质量要求：合格</w:t>
      </w:r>
    </w:p>
    <w:p w14:paraId="1AD2525C">
      <w:pPr>
        <w:ind w:firstLine="414"/>
        <w:rPr>
          <w:rFonts w:hint="eastAsia" w:ascii="宋体" w:hAnsi="宋体" w:cs="宋体"/>
          <w:color w:val="0000FF"/>
          <w:sz w:val="22"/>
          <w:szCs w:val="22"/>
        </w:rPr>
      </w:pPr>
      <w:r>
        <w:rPr>
          <w:rFonts w:hint="eastAsia" w:ascii="宋体" w:hAnsi="宋体" w:cs="宋体"/>
          <w:sz w:val="22"/>
          <w:szCs w:val="22"/>
        </w:rPr>
        <w:t>七、付款方式：中标即合同价，合同签订生效后，乙方向甲方提交的方案成果通过区相关政府职能部门认可后，甲方向乙方支付合同总价款的30%；乙方向甲方提交的方案成果通过市国土空间规划委员会的审议或者通过市相关政府职能部门的审查后一个月内，甲方向乙方支付合同总价款的70%。</w:t>
      </w:r>
    </w:p>
    <w:p w14:paraId="11AE61CD">
      <w:pPr>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八、磋商报价编制要求</w:t>
      </w:r>
    </w:p>
    <w:p w14:paraId="69EAA8CC">
      <w:pPr>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1、所有磋商报价以人民币表示 ，供应商报价单位为元 ，保留小数点后两位。</w:t>
      </w:r>
    </w:p>
    <w:p w14:paraId="6A5A8435">
      <w:pPr>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w:t>
      </w:r>
    </w:p>
    <w:p w14:paraId="2D8EC6E3">
      <w:pPr>
        <w:snapToGrid w:val="0"/>
        <w:spacing w:line="360" w:lineRule="auto"/>
        <w:ind w:firstLine="420" w:firstLineChars="200"/>
        <w:rPr>
          <w:rFonts w:hint="eastAsia" w:ascii="宋体" w:hAnsi="宋体" w:cs="宋体"/>
        </w:rPr>
      </w:pPr>
      <w:bookmarkStart w:id="21" w:name="_Toc436989824"/>
    </w:p>
    <w:p w14:paraId="5970BFF1">
      <w:pPr>
        <w:spacing w:line="360" w:lineRule="auto"/>
        <w:jc w:val="center"/>
        <w:rPr>
          <w:rFonts w:hint="eastAsia" w:ascii="宋体" w:hAnsi="宋体" w:cs="宋体"/>
          <w:b/>
          <w:bCs/>
          <w:sz w:val="28"/>
          <w:szCs w:val="28"/>
        </w:rPr>
      </w:pPr>
    </w:p>
    <w:p w14:paraId="69FC7756">
      <w:pPr>
        <w:spacing w:line="360" w:lineRule="auto"/>
        <w:jc w:val="both"/>
        <w:rPr>
          <w:rFonts w:hint="eastAsia" w:ascii="宋体" w:hAnsi="宋体" w:cs="宋体"/>
          <w:b/>
          <w:bCs/>
          <w:sz w:val="28"/>
          <w:szCs w:val="28"/>
        </w:rPr>
      </w:pPr>
    </w:p>
    <w:p w14:paraId="13F807C3">
      <w:pPr>
        <w:rPr>
          <w:rFonts w:hint="eastAsia" w:ascii="宋体" w:hAnsi="宋体" w:cs="宋体"/>
          <w:b/>
          <w:bCs/>
          <w:sz w:val="28"/>
          <w:szCs w:val="28"/>
        </w:rPr>
      </w:pPr>
      <w:r>
        <w:rPr>
          <w:rFonts w:hint="eastAsia" w:ascii="宋体" w:hAnsi="宋体" w:cs="宋体"/>
          <w:b/>
          <w:bCs/>
          <w:sz w:val="28"/>
          <w:szCs w:val="28"/>
        </w:rPr>
        <w:br w:type="page"/>
      </w:r>
    </w:p>
    <w:p w14:paraId="157AFF21">
      <w:pPr>
        <w:spacing w:line="360" w:lineRule="auto"/>
        <w:jc w:val="center"/>
        <w:rPr>
          <w:rFonts w:hint="eastAsia" w:ascii="宋体" w:hAnsi="宋体" w:cs="宋体"/>
          <w:b/>
          <w:bCs/>
          <w:sz w:val="28"/>
          <w:szCs w:val="28"/>
        </w:rPr>
      </w:pPr>
      <w:r>
        <w:rPr>
          <w:rFonts w:hint="eastAsia" w:ascii="宋体" w:hAnsi="宋体" w:cs="宋体"/>
          <w:b/>
          <w:bCs/>
          <w:sz w:val="28"/>
          <w:szCs w:val="28"/>
        </w:rPr>
        <w:t>第五章、评审标准</w:t>
      </w:r>
    </w:p>
    <w:p w14:paraId="2A9A4325">
      <w:pPr>
        <w:spacing w:line="360" w:lineRule="auto"/>
        <w:ind w:firstLine="442" w:firstLineChars="200"/>
        <w:rPr>
          <w:rFonts w:hint="eastAsia" w:ascii="宋体" w:hAnsi="宋体" w:cs="宋体"/>
          <w:sz w:val="22"/>
          <w:szCs w:val="22"/>
        </w:rPr>
      </w:pPr>
      <w:r>
        <w:rPr>
          <w:rFonts w:hint="eastAsia" w:ascii="宋体" w:hAnsi="宋体" w:cs="宋体"/>
          <w:b/>
          <w:bCs/>
          <w:sz w:val="22"/>
          <w:szCs w:val="22"/>
        </w:rPr>
        <w:t>一、评标方法</w:t>
      </w:r>
    </w:p>
    <w:p w14:paraId="7D1A0CC7">
      <w:pPr>
        <w:keepNext w:val="0"/>
        <w:keepLines w:val="0"/>
        <w:pageBreakBefore w:val="0"/>
        <w:widowControl w:val="0"/>
        <w:tabs>
          <w:tab w:val="left" w:pos="0"/>
          <w:tab w:val="left" w:pos="1134"/>
        </w:tabs>
        <w:kinsoku/>
        <w:wordWrap/>
        <w:overflowPunct/>
        <w:topLinePunct w:val="0"/>
        <w:autoSpaceDE/>
        <w:autoSpaceDN/>
        <w:bidi w:val="0"/>
        <w:adjustRightInd w:val="0"/>
        <w:snapToGrid w:val="0"/>
        <w:spacing w:line="360" w:lineRule="auto"/>
        <w:ind w:firstLine="440" w:firstLineChars="200"/>
        <w:jc w:val="left"/>
        <w:textAlignment w:val="auto"/>
        <w:rPr>
          <w:rFonts w:hint="eastAsia" w:ascii="宋体" w:hAnsi="宋体" w:cs="宋体"/>
          <w:sz w:val="22"/>
          <w:szCs w:val="22"/>
        </w:rPr>
      </w:pPr>
      <w:r>
        <w:rPr>
          <w:rFonts w:hint="eastAsia" w:ascii="宋体" w:hAnsi="宋体" w:cs="宋体"/>
          <w:sz w:val="22"/>
          <w:szCs w:val="22"/>
        </w:rPr>
        <w:t>本项目采用综合评分法，磋商小组将对确定为实质性响应采购文件要求的响应文件进行评价和比较。评审结果按评审后得分由高到低顺序排列。得分相同的，按最后报价由低到高顺序排列。得分且最后报价相同的并列，按照技术指标评审得分最高的供应商为排名第一的成交候选人。</w:t>
      </w:r>
    </w:p>
    <w:p w14:paraId="4C65CEB1">
      <w:pPr>
        <w:spacing w:line="360" w:lineRule="auto"/>
        <w:ind w:firstLine="422"/>
        <w:rPr>
          <w:rFonts w:ascii="宋体" w:cs="Times New Roman"/>
          <w:b/>
        </w:rPr>
      </w:pPr>
      <w:r>
        <w:rPr>
          <w:rFonts w:hint="eastAsia" w:ascii="宋体" w:hAnsi="宋体" w:cs="Times New Roman"/>
          <w:b/>
        </w:rPr>
        <w:t>二、政府采购政策功能落实</w:t>
      </w:r>
    </w:p>
    <w:p w14:paraId="72C8B449">
      <w:pPr>
        <w:spacing w:line="360" w:lineRule="auto"/>
        <w:ind w:firstLine="420"/>
        <w:jc w:val="left"/>
        <w:rPr>
          <w:rFonts w:ascii="宋体" w:cs="Times New Roman"/>
        </w:rPr>
      </w:pPr>
      <w:r>
        <w:rPr>
          <w:rFonts w:hint="eastAsia" w:ascii="宋体" w:hAnsi="宋体" w:cs="Times New Roman"/>
        </w:rPr>
        <w:t>按照《政府采购促进中小企业发展管理办法》的规定，未预留份额专门面向中小企业采购的采购项目或分包，对符合条件的小微型企业、监狱和戒毒企业价格或残疾人福利单位所制造生产的货物或提供的服务进行价格扣除，具体如下：</w:t>
      </w:r>
    </w:p>
    <w:p w14:paraId="10DCCA1A">
      <w:pPr>
        <w:spacing w:line="360" w:lineRule="auto"/>
        <w:ind w:firstLine="420"/>
        <w:jc w:val="left"/>
        <w:rPr>
          <w:rFonts w:ascii="宋体" w:cs="宋体"/>
        </w:rPr>
      </w:pPr>
      <w:r>
        <w:rPr>
          <w:rFonts w:ascii="宋体" w:hAnsi="宋体" w:cs="宋体"/>
        </w:rPr>
        <w:t>1</w:t>
      </w:r>
      <w:r>
        <w:rPr>
          <w:rFonts w:hint="eastAsia" w:ascii="宋体" w:hAnsi="宋体" w:cs="宋体"/>
        </w:rPr>
        <w:t>、小微型企业价格扣除</w:t>
      </w:r>
    </w:p>
    <w:p w14:paraId="5F25E109">
      <w:pPr>
        <w:spacing w:line="360" w:lineRule="auto"/>
        <w:ind w:firstLine="420"/>
        <w:jc w:val="left"/>
        <w:rPr>
          <w:rFonts w:ascii="宋体" w:hAnsi="宋体" w:cs="宋体"/>
        </w:rPr>
      </w:pPr>
      <w:r>
        <w:rPr>
          <w:rFonts w:hint="eastAsia" w:ascii="宋体" w:hAnsi="宋体" w:cs="宋体"/>
        </w:rPr>
        <w:t>（</w:t>
      </w:r>
      <w:r>
        <w:rPr>
          <w:rFonts w:ascii="宋体" w:hAnsi="宋体" w:cs="宋体"/>
        </w:rPr>
        <w:t>1</w:t>
      </w:r>
      <w:r>
        <w:rPr>
          <w:rFonts w:hint="eastAsia" w:ascii="宋体" w:hAnsi="宋体" w:cs="宋体"/>
        </w:rPr>
        <w:t>）根据《政府采购促进中小企业发展管理办法》（财库【</w:t>
      </w:r>
      <w:r>
        <w:rPr>
          <w:rFonts w:ascii="宋体" w:hAnsi="宋体" w:cs="宋体"/>
        </w:rPr>
        <w:t>2020</w:t>
      </w:r>
      <w:r>
        <w:rPr>
          <w:rFonts w:hint="eastAsia" w:ascii="宋体" w:hAnsi="宋体" w:cs="宋体"/>
        </w:rPr>
        <w:t>】</w:t>
      </w:r>
      <w:r>
        <w:rPr>
          <w:rFonts w:ascii="宋体" w:hAnsi="宋体" w:cs="宋体"/>
        </w:rPr>
        <w:t>46</w:t>
      </w:r>
      <w:r>
        <w:rPr>
          <w:rFonts w:hint="eastAsia" w:ascii="宋体" w:hAnsi="宋体" w:cs="宋体"/>
        </w:rPr>
        <w:t>号）文件的要求，对小型和微型企业产品价格给予20</w:t>
      </w:r>
      <w:r>
        <w:rPr>
          <w:rFonts w:ascii="宋体" w:hAnsi="宋体" w:cs="宋体"/>
        </w:rPr>
        <w:t>%(</w:t>
      </w:r>
      <w:r>
        <w:rPr>
          <w:rFonts w:hint="eastAsia" w:ascii="宋体" w:hAnsi="宋体" w:cs="宋体"/>
        </w:rPr>
        <w:t>工程</w:t>
      </w:r>
      <w:r>
        <w:rPr>
          <w:rFonts w:ascii="宋体" w:hAnsi="宋体" w:cs="宋体"/>
        </w:rPr>
        <w:t>5%)</w:t>
      </w:r>
      <w:r>
        <w:rPr>
          <w:rFonts w:hint="eastAsia" w:ascii="宋体" w:hAnsi="宋体" w:cs="宋体"/>
        </w:rPr>
        <w:t>的扣除，用扣除后的价格参与评审。</w:t>
      </w:r>
    </w:p>
    <w:p w14:paraId="7B573720">
      <w:pPr>
        <w:spacing w:line="360" w:lineRule="auto"/>
        <w:ind w:firstLine="420"/>
        <w:jc w:val="left"/>
        <w:rPr>
          <w:rFonts w:ascii="宋体" w:hAnsi="宋体" w:cs="宋体"/>
        </w:rPr>
      </w:pPr>
      <w:r>
        <w:rPr>
          <w:rFonts w:hint="eastAsia" w:ascii="宋体" w:hAnsi="宋体" w:cs="宋体"/>
        </w:rPr>
        <w:t>（</w:t>
      </w:r>
      <w:r>
        <w:rPr>
          <w:rFonts w:ascii="宋体" w:hAnsi="宋体" w:cs="宋体"/>
        </w:rPr>
        <w:t>2</w:t>
      </w:r>
      <w:r>
        <w:rPr>
          <w:rFonts w:hint="eastAsia" w:ascii="宋体" w:hAnsi="宋体" w:cs="宋体"/>
        </w:rPr>
        <w:t>）供应商需按照采购文件的要求提供相应的《中小企业声明函》。</w:t>
      </w:r>
    </w:p>
    <w:p w14:paraId="048A129E">
      <w:pPr>
        <w:spacing w:line="360" w:lineRule="auto"/>
        <w:ind w:firstLine="420"/>
        <w:jc w:val="left"/>
        <w:rPr>
          <w:rFonts w:ascii="宋体" w:cs="宋体"/>
        </w:rPr>
      </w:pPr>
      <w:r>
        <w:rPr>
          <w:rFonts w:hint="eastAsia" w:ascii="宋体" w:hAnsi="宋体" w:cs="宋体"/>
        </w:rPr>
        <w:t>（</w:t>
      </w:r>
      <w:r>
        <w:rPr>
          <w:rFonts w:ascii="宋体" w:hAnsi="宋体" w:cs="宋体"/>
        </w:rPr>
        <w:t>3</w:t>
      </w:r>
      <w:r>
        <w:rPr>
          <w:rFonts w:hint="eastAsia" w:ascii="宋体" w:hAnsi="宋体" w:cs="宋体"/>
        </w:rPr>
        <w:t>）企业标准请参照《关于印发中小企业划型标准规定的通知》（工信部联企业</w:t>
      </w:r>
      <w:r>
        <w:rPr>
          <w:rFonts w:ascii="宋体" w:hAnsi="宋体" w:cs="宋体"/>
        </w:rPr>
        <w:t>[2011]300</w:t>
      </w:r>
      <w:r>
        <w:rPr>
          <w:rFonts w:hint="eastAsia" w:ascii="宋体" w:hAnsi="宋体" w:cs="宋体"/>
        </w:rPr>
        <w:t>号）文件规定自行填写。</w:t>
      </w:r>
    </w:p>
    <w:p w14:paraId="31981888">
      <w:pPr>
        <w:spacing w:line="360" w:lineRule="auto"/>
        <w:ind w:firstLine="420"/>
        <w:jc w:val="left"/>
        <w:rPr>
          <w:rFonts w:ascii="宋体" w:hAnsi="宋体" w:cs="宋体"/>
        </w:rPr>
      </w:pPr>
      <w:r>
        <w:rPr>
          <w:rFonts w:ascii="宋体" w:hAnsi="宋体" w:cs="宋体"/>
        </w:rPr>
        <w:t>2</w:t>
      </w:r>
      <w:r>
        <w:rPr>
          <w:rFonts w:hint="eastAsia" w:ascii="宋体" w:hAnsi="宋体" w:cs="宋体"/>
        </w:rPr>
        <w:t>、残疾人福利单位价格扣除</w:t>
      </w:r>
    </w:p>
    <w:p w14:paraId="26D6DDAA">
      <w:pPr>
        <w:spacing w:line="360" w:lineRule="auto"/>
        <w:ind w:firstLine="420"/>
        <w:jc w:val="left"/>
        <w:rPr>
          <w:rFonts w:ascii="宋体" w:hAnsi="宋体" w:cs="宋体"/>
        </w:rPr>
      </w:pPr>
      <w:r>
        <w:rPr>
          <w:rFonts w:hint="eastAsia" w:ascii="宋体" w:hAnsi="宋体" w:cs="宋体"/>
        </w:rPr>
        <w:t>（1）对残疾人福利性单位视同小型、微型企业，给予20%(工程5%)的价格扣除，用扣除后的价格参与评审。</w:t>
      </w:r>
    </w:p>
    <w:p w14:paraId="21F418AF">
      <w:pPr>
        <w:spacing w:line="360" w:lineRule="auto"/>
        <w:ind w:firstLine="420"/>
        <w:jc w:val="left"/>
        <w:rPr>
          <w:rFonts w:ascii="宋体" w:hAnsi="宋体" w:cs="宋体"/>
        </w:rPr>
      </w:pPr>
      <w:r>
        <w:rPr>
          <w:rFonts w:hint="eastAsia" w:ascii="宋体" w:hAnsi="宋体" w:cs="宋体"/>
        </w:rPr>
        <w:t>（2）残疾人福利单位需按照采购文件的要求提供《残疾人福利性单位声明函》。</w:t>
      </w:r>
    </w:p>
    <w:p w14:paraId="689D2D92">
      <w:pPr>
        <w:spacing w:line="360" w:lineRule="auto"/>
        <w:ind w:firstLine="420"/>
        <w:jc w:val="left"/>
        <w:rPr>
          <w:rFonts w:ascii="宋体" w:hAnsi="宋体" w:cs="宋体"/>
        </w:rPr>
      </w:pPr>
      <w:r>
        <w:rPr>
          <w:rFonts w:hint="eastAsia" w:ascii="宋体" w:hAnsi="宋体" w:cs="宋体"/>
        </w:rPr>
        <w:t>（3）残疾人福利单位标准请参照《关于促进残疾人就业政府采购政策的通知》（财库〔2017〕141号）。</w:t>
      </w:r>
    </w:p>
    <w:p w14:paraId="15215F7C">
      <w:pPr>
        <w:spacing w:line="360" w:lineRule="auto"/>
        <w:ind w:firstLine="420"/>
        <w:jc w:val="left"/>
        <w:rPr>
          <w:rFonts w:ascii="宋体" w:hAnsi="宋体" w:cs="宋体"/>
        </w:rPr>
      </w:pPr>
      <w:r>
        <w:rPr>
          <w:rFonts w:ascii="宋体" w:hAnsi="宋体" w:cs="宋体"/>
        </w:rPr>
        <w:t>3</w:t>
      </w:r>
      <w:r>
        <w:rPr>
          <w:rFonts w:hint="eastAsia" w:ascii="宋体" w:hAnsi="宋体" w:cs="宋体"/>
        </w:rPr>
        <w:t>、监狱和戒毒企业价格扣除</w:t>
      </w:r>
    </w:p>
    <w:p w14:paraId="13517B92">
      <w:pPr>
        <w:spacing w:line="360" w:lineRule="auto"/>
        <w:ind w:firstLine="420"/>
        <w:jc w:val="left"/>
        <w:rPr>
          <w:rFonts w:ascii="宋体" w:hAnsi="宋体" w:cs="宋体"/>
        </w:rPr>
      </w:pPr>
      <w:r>
        <w:rPr>
          <w:rFonts w:hint="eastAsia" w:ascii="宋体" w:hAnsi="宋体" w:cs="宋体"/>
        </w:rPr>
        <w:t>（1）对监狱和戒毒企业（简称监狱企业）视同小型、微型企业，给予20%(工程5%)的价格扣除，用扣除后的价格参与评审。</w:t>
      </w:r>
    </w:p>
    <w:p w14:paraId="3E5BFB03">
      <w:pPr>
        <w:spacing w:line="360" w:lineRule="auto"/>
        <w:ind w:firstLine="420"/>
        <w:jc w:val="left"/>
        <w:rPr>
          <w:rFonts w:ascii="宋体" w:hAnsi="宋体" w:cs="宋体"/>
        </w:rPr>
      </w:pPr>
      <w:r>
        <w:rPr>
          <w:rFonts w:hint="eastAsia" w:ascii="宋体" w:hAnsi="宋体" w:cs="宋体"/>
        </w:rPr>
        <w:t>（2）监狱企业参加政府采购活动时，需提供由省级以上监狱管理局、戒毒管理局(含新疆生产建设兵团)出具的属于监狱企业的证明文件。供应商如不提供上述证明文件，价格将不做相应扣除。</w:t>
      </w:r>
    </w:p>
    <w:p w14:paraId="0B0AC25C">
      <w:pPr>
        <w:spacing w:line="360" w:lineRule="auto"/>
        <w:ind w:firstLine="420"/>
        <w:jc w:val="left"/>
        <w:rPr>
          <w:rFonts w:ascii="宋体" w:cs="宋体"/>
        </w:rPr>
      </w:pPr>
      <w:r>
        <w:rPr>
          <w:rFonts w:hint="eastAsia" w:ascii="宋体" w:hAnsi="宋体" w:cs="宋体"/>
        </w:rPr>
        <w:t>（3）监狱企业标准请参照《关于政府采购支持监狱企业发展有关问题的通知》（财库[2014]68号）。</w:t>
      </w:r>
    </w:p>
    <w:p w14:paraId="50546284">
      <w:pPr>
        <w:spacing w:line="360" w:lineRule="auto"/>
        <w:ind w:firstLine="420"/>
        <w:jc w:val="left"/>
        <w:rPr>
          <w:rFonts w:ascii="宋体" w:cs="宋体"/>
        </w:rPr>
      </w:pPr>
      <w:r>
        <w:rPr>
          <w:rFonts w:ascii="宋体" w:hAnsi="宋体" w:cs="宋体"/>
        </w:rPr>
        <w:t>4</w:t>
      </w:r>
      <w:r>
        <w:rPr>
          <w:rFonts w:hint="eastAsia" w:ascii="宋体" w:hAnsi="宋体" w:cs="宋体"/>
        </w:rPr>
        <w:t>、残疾人福利单位、监狱企业属于小型、微型企业的，不重复享受政策。</w:t>
      </w:r>
    </w:p>
    <w:p w14:paraId="2383E392">
      <w:pPr>
        <w:spacing w:line="360" w:lineRule="auto"/>
        <w:ind w:firstLine="420"/>
        <w:jc w:val="left"/>
        <w:rPr>
          <w:rFonts w:ascii="宋体" w:cs="宋体"/>
        </w:rPr>
      </w:pPr>
      <w:r>
        <w:rPr>
          <w:rFonts w:ascii="宋体" w:hAnsi="宋体" w:cs="宋体"/>
        </w:rPr>
        <w:t>5</w:t>
      </w:r>
      <w:r>
        <w:rPr>
          <w:rFonts w:hint="eastAsia" w:ascii="宋体" w:hAnsi="宋体" w:cs="宋体"/>
        </w:rPr>
        <w:t>、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w:t>
      </w:r>
      <w:r>
        <w:rPr>
          <w:rFonts w:ascii="宋体" w:hAnsi="宋体" w:cs="宋体"/>
        </w:rPr>
        <w:t>30%</w:t>
      </w:r>
      <w:r>
        <w:rPr>
          <w:rFonts w:hint="eastAsia" w:ascii="宋体" w:hAnsi="宋体" w:cs="宋体"/>
        </w:rPr>
        <w:t>以上的，给予联合体6</w:t>
      </w:r>
      <w:r>
        <w:rPr>
          <w:rFonts w:ascii="宋体" w:hAnsi="宋体" w:cs="宋体"/>
        </w:rPr>
        <w:t>%</w:t>
      </w:r>
      <w:r>
        <w:rPr>
          <w:rFonts w:hint="eastAsia" w:ascii="宋体" w:hAnsi="宋体" w:cs="宋体"/>
        </w:rPr>
        <w:t>（工程项目为</w:t>
      </w:r>
      <w:r>
        <w:rPr>
          <w:rFonts w:ascii="宋体" w:hAnsi="宋体" w:cs="宋体"/>
        </w:rPr>
        <w:t>2%</w:t>
      </w:r>
      <w:r>
        <w:rPr>
          <w:rFonts w:hint="eastAsia" w:ascii="宋体" w:hAnsi="宋体" w:cs="宋体"/>
        </w:rPr>
        <w:t>）的价格扣除，用扣除后的价格参与评审。</w:t>
      </w:r>
    </w:p>
    <w:p w14:paraId="76316D0F">
      <w:pPr>
        <w:spacing w:line="360" w:lineRule="auto"/>
        <w:ind w:firstLine="420"/>
        <w:jc w:val="left"/>
        <w:rPr>
          <w:rFonts w:ascii="宋体" w:cs="宋体"/>
        </w:rPr>
      </w:pPr>
      <w:r>
        <w:rPr>
          <w:rFonts w:ascii="宋体" w:hAnsi="宋体" w:cs="宋体"/>
        </w:rPr>
        <w:t>6</w:t>
      </w:r>
      <w:r>
        <w:rPr>
          <w:rFonts w:hint="eastAsia" w:ascii="宋体" w:hAnsi="宋体" w:cs="宋体"/>
        </w:rPr>
        <w:t>、组成联合体的小微企业与联合体内其他企业之间存在直接控股、管理关系的，不享受价格扣除优惠政策。</w:t>
      </w:r>
      <w:r>
        <w:rPr>
          <w:rFonts w:ascii="宋体" w:cs="宋体"/>
        </w:rPr>
        <w:t> </w:t>
      </w:r>
    </w:p>
    <w:p w14:paraId="0AAC9F2D">
      <w:pPr>
        <w:spacing w:line="360" w:lineRule="auto"/>
        <w:ind w:firstLine="420"/>
        <w:jc w:val="left"/>
        <w:rPr>
          <w:rFonts w:hint="eastAsia" w:ascii="宋体" w:hAnsi="宋体" w:cs="宋体"/>
        </w:rPr>
      </w:pPr>
      <w:r>
        <w:rPr>
          <w:rFonts w:ascii="宋体" w:hAnsi="宋体" w:cs="宋体"/>
        </w:rPr>
        <w:t>7</w:t>
      </w:r>
      <w:r>
        <w:rPr>
          <w:rFonts w:hint="eastAsia" w:ascii="宋体" w:hAnsi="宋体" w:cs="宋体"/>
        </w:rPr>
        <w:t>、联合体各方均为小型、微型企业（残疾人福利单位、监狱企业）的，联合体享受20</w:t>
      </w:r>
      <w:r>
        <w:rPr>
          <w:rFonts w:ascii="宋体" w:hAnsi="宋体" w:cs="宋体"/>
        </w:rPr>
        <w:t>%(</w:t>
      </w:r>
      <w:r>
        <w:rPr>
          <w:rFonts w:hint="eastAsia" w:ascii="宋体" w:hAnsi="宋体" w:cs="宋体"/>
        </w:rPr>
        <w:t>工程</w:t>
      </w:r>
      <w:r>
        <w:rPr>
          <w:rFonts w:ascii="宋体" w:hAnsi="宋体" w:cs="宋体"/>
        </w:rPr>
        <w:t>5%)</w:t>
      </w:r>
      <w:r>
        <w:rPr>
          <w:rFonts w:hint="eastAsia" w:ascii="宋体" w:hAnsi="宋体" w:cs="宋体"/>
        </w:rPr>
        <w:t>的价格扣除，用扣除后的价格参与评审。</w:t>
      </w:r>
    </w:p>
    <w:tbl>
      <w:tblPr>
        <w:tblStyle w:val="56"/>
        <w:tblpPr w:leftFromText="180" w:rightFromText="180" w:vertAnchor="text" w:tblpXSpec="center" w:tblpY="1"/>
        <w:tblOverlap w:val="never"/>
        <w:tblW w:w="51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139"/>
        <w:gridCol w:w="1507"/>
        <w:gridCol w:w="5282"/>
      </w:tblGrid>
      <w:tr w14:paraId="52E3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33" w:type="pct"/>
          </w:tcPr>
          <w:p w14:paraId="0C4A0A64">
            <w:pPr>
              <w:pStyle w:val="57"/>
              <w:spacing w:before="158" w:line="218" w:lineRule="auto"/>
              <w:jc w:val="center"/>
              <w:rPr>
                <w:color w:val="auto"/>
                <w:lang w:eastAsia="zh-CN"/>
              </w:rPr>
            </w:pPr>
            <w:r>
              <w:rPr>
                <w:rFonts w:hint="eastAsia"/>
                <w:color w:val="auto"/>
                <w:lang w:eastAsia="zh-CN"/>
              </w:rPr>
              <w:t>序号</w:t>
            </w:r>
          </w:p>
        </w:tc>
        <w:tc>
          <w:tcPr>
            <w:tcW w:w="670" w:type="pct"/>
          </w:tcPr>
          <w:p w14:paraId="6F1DE27E">
            <w:pPr>
              <w:pStyle w:val="57"/>
              <w:spacing w:before="166" w:line="229" w:lineRule="auto"/>
              <w:ind w:left="134"/>
              <w:jc w:val="center"/>
              <w:rPr>
                <w:color w:val="auto"/>
              </w:rPr>
            </w:pPr>
            <w:r>
              <w:rPr>
                <w:color w:val="auto"/>
                <w:spacing w:val="7"/>
              </w:rPr>
              <w:t>评审项</w:t>
            </w:r>
          </w:p>
        </w:tc>
        <w:tc>
          <w:tcPr>
            <w:tcW w:w="886" w:type="pct"/>
          </w:tcPr>
          <w:p w14:paraId="64F7AE6C">
            <w:pPr>
              <w:pStyle w:val="57"/>
              <w:spacing w:before="166" w:line="228" w:lineRule="auto"/>
              <w:jc w:val="center"/>
              <w:rPr>
                <w:color w:val="auto"/>
              </w:rPr>
            </w:pPr>
            <w:r>
              <w:rPr>
                <w:color w:val="auto"/>
                <w:spacing w:val="7"/>
              </w:rPr>
              <w:t>评审因素</w:t>
            </w:r>
          </w:p>
        </w:tc>
        <w:tc>
          <w:tcPr>
            <w:tcW w:w="3108" w:type="pct"/>
          </w:tcPr>
          <w:p w14:paraId="35119316">
            <w:pPr>
              <w:pStyle w:val="57"/>
              <w:spacing w:before="166" w:line="229" w:lineRule="auto"/>
              <w:ind w:left="2297"/>
              <w:rPr>
                <w:color w:val="auto"/>
              </w:rPr>
            </w:pPr>
            <w:r>
              <w:rPr>
                <w:color w:val="auto"/>
                <w:spacing w:val="7"/>
              </w:rPr>
              <w:t>评审标准</w:t>
            </w:r>
          </w:p>
        </w:tc>
      </w:tr>
      <w:tr w14:paraId="423E1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33" w:type="pct"/>
          </w:tcPr>
          <w:p w14:paraId="6E3111B4">
            <w:pPr>
              <w:spacing w:line="248" w:lineRule="auto"/>
              <w:rPr>
                <w:rFonts w:ascii="Arial"/>
                <w:color w:val="auto"/>
              </w:rPr>
            </w:pPr>
          </w:p>
          <w:p w14:paraId="118DF6D3">
            <w:pPr>
              <w:spacing w:line="249" w:lineRule="auto"/>
              <w:rPr>
                <w:rFonts w:ascii="Arial"/>
                <w:color w:val="auto"/>
              </w:rPr>
            </w:pPr>
          </w:p>
          <w:p w14:paraId="4449B13F">
            <w:pPr>
              <w:pStyle w:val="57"/>
              <w:spacing w:before="65" w:line="189" w:lineRule="auto"/>
              <w:ind w:left="220"/>
              <w:rPr>
                <w:color w:val="auto"/>
                <w:spacing w:val="9"/>
                <w:lang w:eastAsia="zh-CN"/>
              </w:rPr>
            </w:pPr>
            <w:r>
              <w:rPr>
                <w:rFonts w:hint="eastAsia"/>
                <w:color w:val="auto"/>
                <w:lang w:eastAsia="zh-CN"/>
              </w:rPr>
              <w:t>1</w:t>
            </w:r>
          </w:p>
        </w:tc>
        <w:tc>
          <w:tcPr>
            <w:tcW w:w="670" w:type="pct"/>
          </w:tcPr>
          <w:p w14:paraId="5DB5320F">
            <w:pPr>
              <w:spacing w:line="263" w:lineRule="auto"/>
              <w:rPr>
                <w:rFonts w:ascii="Arial"/>
                <w:color w:val="auto"/>
              </w:rPr>
            </w:pPr>
          </w:p>
          <w:p w14:paraId="40EDE396">
            <w:pPr>
              <w:pStyle w:val="57"/>
              <w:spacing w:before="22" w:line="227" w:lineRule="auto"/>
              <w:ind w:left="236"/>
              <w:rPr>
                <w:rFonts w:hint="default" w:eastAsia="宋体"/>
                <w:color w:val="auto"/>
                <w:lang w:val="en-US" w:eastAsia="zh-CN"/>
              </w:rPr>
            </w:pPr>
            <w:r>
              <w:rPr>
                <w:rFonts w:hint="eastAsia"/>
                <w:color w:val="auto"/>
                <w:spacing w:val="5"/>
                <w:lang w:val="en-US" w:eastAsia="zh-CN"/>
              </w:rPr>
              <w:t>报价得分</w:t>
            </w:r>
          </w:p>
          <w:p w14:paraId="473388EE">
            <w:pPr>
              <w:pStyle w:val="57"/>
              <w:spacing w:before="26" w:line="231" w:lineRule="auto"/>
              <w:rPr>
                <w:color w:val="auto"/>
                <w:spacing w:val="7"/>
              </w:rPr>
            </w:pPr>
            <w:r>
              <w:rPr>
                <w:color w:val="auto"/>
                <w:spacing w:val="2"/>
              </w:rPr>
              <w:t>（10分）</w:t>
            </w:r>
          </w:p>
        </w:tc>
        <w:tc>
          <w:tcPr>
            <w:tcW w:w="886" w:type="pct"/>
          </w:tcPr>
          <w:p w14:paraId="21A6D9AB">
            <w:pPr>
              <w:spacing w:line="264" w:lineRule="auto"/>
              <w:jc w:val="center"/>
              <w:rPr>
                <w:rFonts w:ascii="Arial"/>
                <w:color w:val="auto"/>
              </w:rPr>
            </w:pPr>
          </w:p>
          <w:p w14:paraId="17362EB0">
            <w:pPr>
              <w:pStyle w:val="57"/>
              <w:spacing w:before="65" w:line="227" w:lineRule="auto"/>
              <w:jc w:val="left"/>
              <w:rPr>
                <w:color w:val="auto"/>
              </w:rPr>
            </w:pPr>
            <w:r>
              <w:rPr>
                <w:color w:val="auto"/>
                <w:spacing w:val="7"/>
              </w:rPr>
              <w:t>投标报价</w:t>
            </w:r>
          </w:p>
          <w:p w14:paraId="7A884507">
            <w:pPr>
              <w:pStyle w:val="57"/>
              <w:spacing w:before="25" w:line="229" w:lineRule="auto"/>
              <w:jc w:val="left"/>
              <w:rPr>
                <w:color w:val="auto"/>
                <w:spacing w:val="7"/>
              </w:rPr>
            </w:pPr>
            <w:r>
              <w:rPr>
                <w:color w:val="auto"/>
                <w:spacing w:val="2"/>
              </w:rPr>
              <w:t>（10分）</w:t>
            </w:r>
          </w:p>
        </w:tc>
        <w:tc>
          <w:tcPr>
            <w:tcW w:w="3108" w:type="pct"/>
          </w:tcPr>
          <w:p w14:paraId="3C979701">
            <w:pPr>
              <w:pStyle w:val="57"/>
              <w:spacing w:before="28" w:line="239" w:lineRule="auto"/>
              <w:ind w:left="114" w:right="276" w:firstLine="2"/>
              <w:rPr>
                <w:color w:val="auto"/>
                <w:spacing w:val="7"/>
                <w:lang w:eastAsia="zh-CN"/>
              </w:rPr>
            </w:pPr>
            <w:r>
              <w:rPr>
                <w:rFonts w:hint="eastAsia" w:ascii="宋体" w:hAnsi="宋体"/>
                <w:bCs/>
                <w:lang w:val="zh-CN"/>
              </w:rPr>
              <w:t>满足磋商文件要求且最后报价最低的供应商的价格为磋商基准价，其价格分为满分。其他供应商的价格分统一按照下列公式计算：磋商报价得分=（磋商基准价/最后磋商报价）×10（四舍五入，保留两位小数）</w:t>
            </w:r>
          </w:p>
        </w:tc>
      </w:tr>
      <w:tr w14:paraId="7E0FA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jc w:val="center"/>
        </w:trPr>
        <w:tc>
          <w:tcPr>
            <w:tcW w:w="333" w:type="pct"/>
            <w:vMerge w:val="restart"/>
          </w:tcPr>
          <w:p w14:paraId="2B410381">
            <w:pPr>
              <w:spacing w:line="248" w:lineRule="auto"/>
              <w:rPr>
                <w:rFonts w:ascii="Arial"/>
                <w:color w:val="auto"/>
              </w:rPr>
            </w:pPr>
          </w:p>
          <w:p w14:paraId="0C8B4ED9">
            <w:pPr>
              <w:spacing w:line="248" w:lineRule="auto"/>
              <w:rPr>
                <w:rFonts w:ascii="Arial"/>
                <w:color w:val="auto"/>
              </w:rPr>
            </w:pPr>
          </w:p>
          <w:p w14:paraId="7E72504B">
            <w:pPr>
              <w:spacing w:line="248" w:lineRule="auto"/>
              <w:rPr>
                <w:rFonts w:ascii="Arial"/>
                <w:color w:val="auto"/>
              </w:rPr>
            </w:pPr>
          </w:p>
          <w:p w14:paraId="4387F995">
            <w:pPr>
              <w:spacing w:line="248" w:lineRule="auto"/>
              <w:rPr>
                <w:rFonts w:ascii="Arial"/>
                <w:color w:val="auto"/>
              </w:rPr>
            </w:pPr>
          </w:p>
          <w:p w14:paraId="11FC4E97">
            <w:pPr>
              <w:spacing w:line="248" w:lineRule="auto"/>
              <w:rPr>
                <w:rFonts w:ascii="Arial"/>
                <w:color w:val="auto"/>
              </w:rPr>
            </w:pPr>
          </w:p>
          <w:p w14:paraId="2E71DEF6">
            <w:pPr>
              <w:spacing w:line="248" w:lineRule="auto"/>
              <w:rPr>
                <w:rFonts w:ascii="Arial"/>
                <w:color w:val="auto"/>
              </w:rPr>
            </w:pPr>
          </w:p>
          <w:p w14:paraId="50A9BC6A">
            <w:pPr>
              <w:spacing w:line="248" w:lineRule="auto"/>
              <w:rPr>
                <w:rFonts w:ascii="Arial"/>
                <w:color w:val="auto"/>
              </w:rPr>
            </w:pPr>
          </w:p>
          <w:p w14:paraId="5469FD4F">
            <w:pPr>
              <w:spacing w:line="249" w:lineRule="auto"/>
              <w:rPr>
                <w:rFonts w:ascii="Arial"/>
                <w:color w:val="auto"/>
              </w:rPr>
            </w:pPr>
          </w:p>
          <w:p w14:paraId="0FE37D10">
            <w:pPr>
              <w:spacing w:line="249" w:lineRule="auto"/>
              <w:rPr>
                <w:rFonts w:ascii="Arial"/>
                <w:color w:val="auto"/>
              </w:rPr>
            </w:pPr>
          </w:p>
          <w:p w14:paraId="4E6C6FAE">
            <w:pPr>
              <w:spacing w:line="249" w:lineRule="auto"/>
              <w:rPr>
                <w:rFonts w:ascii="Arial"/>
                <w:color w:val="auto"/>
              </w:rPr>
            </w:pPr>
          </w:p>
          <w:p w14:paraId="63ED4600">
            <w:pPr>
              <w:spacing w:line="249" w:lineRule="auto"/>
              <w:rPr>
                <w:rFonts w:ascii="Arial"/>
                <w:color w:val="auto"/>
              </w:rPr>
            </w:pPr>
          </w:p>
          <w:p w14:paraId="0F84CB4B">
            <w:pPr>
              <w:spacing w:line="249" w:lineRule="auto"/>
              <w:rPr>
                <w:rFonts w:ascii="Arial"/>
                <w:color w:val="auto"/>
              </w:rPr>
            </w:pPr>
          </w:p>
          <w:p w14:paraId="433FDD44">
            <w:pPr>
              <w:spacing w:line="249" w:lineRule="auto"/>
              <w:rPr>
                <w:rFonts w:ascii="Arial"/>
                <w:color w:val="auto"/>
              </w:rPr>
            </w:pPr>
          </w:p>
          <w:p w14:paraId="7E97414E">
            <w:pPr>
              <w:spacing w:line="249" w:lineRule="auto"/>
              <w:rPr>
                <w:rFonts w:ascii="Arial"/>
                <w:color w:val="auto"/>
              </w:rPr>
            </w:pPr>
          </w:p>
          <w:p w14:paraId="10EB3226">
            <w:pPr>
              <w:spacing w:line="249" w:lineRule="auto"/>
              <w:rPr>
                <w:rFonts w:ascii="Arial"/>
                <w:color w:val="auto"/>
              </w:rPr>
            </w:pPr>
          </w:p>
          <w:p w14:paraId="006235C5">
            <w:pPr>
              <w:spacing w:line="249" w:lineRule="auto"/>
              <w:rPr>
                <w:rFonts w:ascii="Arial"/>
                <w:color w:val="auto"/>
              </w:rPr>
            </w:pPr>
          </w:p>
          <w:p w14:paraId="294D1834">
            <w:pPr>
              <w:spacing w:line="249" w:lineRule="auto"/>
              <w:rPr>
                <w:rFonts w:ascii="Arial"/>
                <w:color w:val="auto"/>
              </w:rPr>
            </w:pPr>
          </w:p>
          <w:p w14:paraId="23E2583E">
            <w:pPr>
              <w:spacing w:line="249" w:lineRule="auto"/>
              <w:rPr>
                <w:rFonts w:ascii="Arial"/>
                <w:color w:val="auto"/>
              </w:rPr>
            </w:pPr>
          </w:p>
          <w:p w14:paraId="535DA403">
            <w:pPr>
              <w:spacing w:line="249" w:lineRule="auto"/>
              <w:rPr>
                <w:rFonts w:ascii="Arial"/>
                <w:color w:val="auto"/>
              </w:rPr>
            </w:pPr>
          </w:p>
          <w:p w14:paraId="1F97694B">
            <w:pPr>
              <w:spacing w:line="249" w:lineRule="auto"/>
              <w:rPr>
                <w:rFonts w:ascii="Arial"/>
                <w:color w:val="auto"/>
              </w:rPr>
            </w:pPr>
          </w:p>
          <w:p w14:paraId="39E009A6">
            <w:pPr>
              <w:spacing w:line="249" w:lineRule="auto"/>
              <w:rPr>
                <w:rFonts w:ascii="Arial"/>
                <w:color w:val="auto"/>
              </w:rPr>
            </w:pPr>
          </w:p>
          <w:p w14:paraId="5C2CF6B2">
            <w:pPr>
              <w:spacing w:line="249" w:lineRule="auto"/>
              <w:rPr>
                <w:rFonts w:ascii="Arial"/>
                <w:color w:val="auto"/>
              </w:rPr>
            </w:pPr>
          </w:p>
          <w:p w14:paraId="04FEA5F9">
            <w:pPr>
              <w:pStyle w:val="57"/>
              <w:spacing w:before="65" w:line="189" w:lineRule="auto"/>
              <w:ind w:left="233"/>
              <w:rPr>
                <w:color w:val="auto"/>
                <w:lang w:eastAsia="zh-CN"/>
              </w:rPr>
            </w:pPr>
          </w:p>
          <w:p w14:paraId="44162432">
            <w:pPr>
              <w:pStyle w:val="57"/>
              <w:spacing w:before="65" w:line="189" w:lineRule="auto"/>
              <w:ind w:left="233"/>
              <w:rPr>
                <w:color w:val="auto"/>
                <w:lang w:eastAsia="zh-CN"/>
              </w:rPr>
            </w:pPr>
          </w:p>
          <w:p w14:paraId="2B1C84A0">
            <w:pPr>
              <w:pStyle w:val="57"/>
              <w:spacing w:before="65" w:line="189" w:lineRule="auto"/>
              <w:ind w:left="233"/>
              <w:rPr>
                <w:color w:val="auto"/>
                <w:lang w:eastAsia="zh-CN"/>
              </w:rPr>
            </w:pPr>
          </w:p>
          <w:p w14:paraId="7570459C">
            <w:pPr>
              <w:pStyle w:val="57"/>
              <w:spacing w:before="65" w:line="189" w:lineRule="auto"/>
              <w:rPr>
                <w:color w:val="auto"/>
                <w:lang w:eastAsia="zh-CN"/>
              </w:rPr>
            </w:pPr>
          </w:p>
          <w:p w14:paraId="3B11FEBF">
            <w:pPr>
              <w:pStyle w:val="57"/>
              <w:spacing w:before="65" w:line="189" w:lineRule="auto"/>
              <w:ind w:left="233"/>
              <w:rPr>
                <w:color w:val="auto"/>
                <w:lang w:eastAsia="zh-CN"/>
              </w:rPr>
            </w:pPr>
          </w:p>
          <w:p w14:paraId="7EB14FFE">
            <w:pPr>
              <w:pStyle w:val="57"/>
              <w:spacing w:before="65" w:line="189" w:lineRule="auto"/>
              <w:ind w:left="233"/>
              <w:rPr>
                <w:color w:val="auto"/>
                <w:lang w:eastAsia="zh-CN"/>
              </w:rPr>
            </w:pPr>
            <w:r>
              <w:rPr>
                <w:rFonts w:hint="eastAsia"/>
                <w:color w:val="auto"/>
                <w:lang w:eastAsia="zh-CN"/>
              </w:rPr>
              <w:t>2</w:t>
            </w:r>
          </w:p>
        </w:tc>
        <w:tc>
          <w:tcPr>
            <w:tcW w:w="670" w:type="pct"/>
            <w:vMerge w:val="restart"/>
          </w:tcPr>
          <w:p w14:paraId="1868DB05">
            <w:pPr>
              <w:rPr>
                <w:rFonts w:ascii="Arial"/>
                <w:color w:val="auto"/>
              </w:rPr>
            </w:pPr>
          </w:p>
          <w:p w14:paraId="06314D9C">
            <w:pPr>
              <w:rPr>
                <w:rFonts w:ascii="Arial"/>
                <w:color w:val="auto"/>
              </w:rPr>
            </w:pPr>
          </w:p>
          <w:p w14:paraId="53692E6F">
            <w:pPr>
              <w:rPr>
                <w:rFonts w:ascii="Arial"/>
                <w:color w:val="auto"/>
              </w:rPr>
            </w:pPr>
          </w:p>
          <w:p w14:paraId="4F3B5F35">
            <w:pPr>
              <w:rPr>
                <w:rFonts w:ascii="Arial"/>
                <w:color w:val="auto"/>
              </w:rPr>
            </w:pPr>
          </w:p>
          <w:p w14:paraId="0B47643A">
            <w:pPr>
              <w:rPr>
                <w:rFonts w:ascii="Arial"/>
                <w:color w:val="auto"/>
              </w:rPr>
            </w:pPr>
          </w:p>
          <w:p w14:paraId="0C0B8C87">
            <w:pPr>
              <w:rPr>
                <w:rFonts w:ascii="Arial"/>
                <w:color w:val="auto"/>
              </w:rPr>
            </w:pPr>
          </w:p>
          <w:p w14:paraId="6DDB11F2">
            <w:pPr>
              <w:rPr>
                <w:rFonts w:ascii="Arial"/>
                <w:color w:val="auto"/>
              </w:rPr>
            </w:pPr>
          </w:p>
          <w:p w14:paraId="357558B1">
            <w:pPr>
              <w:rPr>
                <w:rFonts w:ascii="Arial"/>
                <w:color w:val="auto"/>
              </w:rPr>
            </w:pPr>
          </w:p>
          <w:p w14:paraId="3ED9A780">
            <w:pPr>
              <w:rPr>
                <w:rFonts w:ascii="Arial"/>
                <w:color w:val="auto"/>
              </w:rPr>
            </w:pPr>
          </w:p>
          <w:p w14:paraId="2F757179">
            <w:pPr>
              <w:rPr>
                <w:rFonts w:ascii="Arial"/>
                <w:color w:val="auto"/>
              </w:rPr>
            </w:pPr>
          </w:p>
          <w:p w14:paraId="2D945846">
            <w:pPr>
              <w:rPr>
                <w:rFonts w:ascii="Arial"/>
                <w:color w:val="auto"/>
              </w:rPr>
            </w:pPr>
          </w:p>
          <w:p w14:paraId="599EEB81">
            <w:pPr>
              <w:rPr>
                <w:rFonts w:ascii="Arial"/>
                <w:color w:val="auto"/>
              </w:rPr>
            </w:pPr>
          </w:p>
          <w:p w14:paraId="22BA60D2">
            <w:pPr>
              <w:rPr>
                <w:rFonts w:ascii="Arial"/>
                <w:color w:val="auto"/>
              </w:rPr>
            </w:pPr>
          </w:p>
          <w:p w14:paraId="493CD091">
            <w:pPr>
              <w:rPr>
                <w:rFonts w:ascii="Arial"/>
                <w:color w:val="auto"/>
              </w:rPr>
            </w:pPr>
          </w:p>
          <w:p w14:paraId="57C9FFE3">
            <w:pPr>
              <w:rPr>
                <w:rFonts w:ascii="Arial"/>
                <w:color w:val="auto"/>
              </w:rPr>
            </w:pPr>
          </w:p>
          <w:p w14:paraId="3AFAED2F">
            <w:pPr>
              <w:spacing w:line="241" w:lineRule="auto"/>
              <w:rPr>
                <w:rFonts w:ascii="Arial"/>
                <w:color w:val="auto"/>
              </w:rPr>
            </w:pPr>
          </w:p>
          <w:p w14:paraId="47E7BCFB">
            <w:pPr>
              <w:spacing w:line="241" w:lineRule="auto"/>
              <w:rPr>
                <w:rFonts w:ascii="Arial"/>
                <w:color w:val="auto"/>
              </w:rPr>
            </w:pPr>
          </w:p>
          <w:p w14:paraId="5D69F3DC">
            <w:pPr>
              <w:spacing w:line="241" w:lineRule="auto"/>
              <w:rPr>
                <w:rFonts w:ascii="Arial"/>
                <w:color w:val="auto"/>
              </w:rPr>
            </w:pPr>
          </w:p>
          <w:p w14:paraId="64450377">
            <w:pPr>
              <w:spacing w:line="241" w:lineRule="auto"/>
              <w:rPr>
                <w:rFonts w:ascii="Arial"/>
                <w:color w:val="auto"/>
              </w:rPr>
            </w:pPr>
          </w:p>
          <w:p w14:paraId="6BC2576B">
            <w:pPr>
              <w:pStyle w:val="23"/>
              <w:ind w:firstLine="640"/>
              <w:rPr>
                <w:color w:val="auto"/>
              </w:rPr>
            </w:pPr>
          </w:p>
          <w:p w14:paraId="7CB65288">
            <w:pPr>
              <w:pStyle w:val="23"/>
              <w:ind w:firstLine="640"/>
              <w:rPr>
                <w:color w:val="auto"/>
              </w:rPr>
            </w:pPr>
          </w:p>
          <w:p w14:paraId="43501E4F">
            <w:pPr>
              <w:pStyle w:val="23"/>
              <w:ind w:firstLine="640"/>
              <w:rPr>
                <w:color w:val="auto"/>
              </w:rPr>
            </w:pPr>
          </w:p>
          <w:p w14:paraId="130FD3CA">
            <w:pPr>
              <w:pStyle w:val="23"/>
              <w:ind w:firstLine="0" w:firstLineChars="0"/>
              <w:rPr>
                <w:color w:val="auto"/>
              </w:rPr>
            </w:pPr>
          </w:p>
          <w:p w14:paraId="20DC4734">
            <w:pPr>
              <w:pStyle w:val="57"/>
              <w:spacing w:before="25" w:line="231" w:lineRule="auto"/>
              <w:jc w:val="center"/>
              <w:rPr>
                <w:color w:val="auto"/>
                <w:spacing w:val="5"/>
                <w:lang w:eastAsia="zh-CN"/>
              </w:rPr>
            </w:pPr>
            <w:r>
              <w:rPr>
                <w:rFonts w:hint="eastAsia"/>
                <w:color w:val="auto"/>
                <w:spacing w:val="5"/>
                <w:lang w:eastAsia="zh-CN"/>
              </w:rPr>
              <w:t>方案设</w:t>
            </w:r>
          </w:p>
          <w:p w14:paraId="65C6256E">
            <w:pPr>
              <w:pStyle w:val="57"/>
              <w:spacing w:before="25" w:line="231" w:lineRule="auto"/>
              <w:jc w:val="center"/>
              <w:rPr>
                <w:color w:val="auto"/>
                <w:spacing w:val="5"/>
                <w:lang w:eastAsia="zh-CN"/>
              </w:rPr>
            </w:pPr>
            <w:r>
              <w:rPr>
                <w:rFonts w:hint="eastAsia"/>
                <w:color w:val="auto"/>
                <w:spacing w:val="5"/>
                <w:lang w:eastAsia="zh-CN"/>
              </w:rPr>
              <w:t>计文件</w:t>
            </w:r>
          </w:p>
          <w:p w14:paraId="6C90EFDE">
            <w:pPr>
              <w:pStyle w:val="57"/>
              <w:spacing w:before="25" w:line="231" w:lineRule="auto"/>
              <w:jc w:val="center"/>
              <w:rPr>
                <w:color w:val="auto"/>
              </w:rPr>
            </w:pPr>
            <w:r>
              <w:rPr>
                <w:color w:val="auto"/>
                <w:spacing w:val="2"/>
              </w:rPr>
              <w:t>（</w:t>
            </w:r>
            <w:r>
              <w:rPr>
                <w:rFonts w:hint="eastAsia"/>
                <w:color w:val="auto"/>
                <w:spacing w:val="2"/>
                <w:lang w:eastAsia="zh-CN"/>
              </w:rPr>
              <w:t>5</w:t>
            </w:r>
            <w:r>
              <w:rPr>
                <w:rFonts w:hint="eastAsia"/>
                <w:color w:val="auto"/>
                <w:spacing w:val="2"/>
                <w:lang w:val="en-US" w:eastAsia="zh-CN"/>
              </w:rPr>
              <w:t>6</w:t>
            </w:r>
            <w:r>
              <w:rPr>
                <w:color w:val="auto"/>
                <w:spacing w:val="2"/>
              </w:rPr>
              <w:t>分）</w:t>
            </w:r>
          </w:p>
        </w:tc>
        <w:tc>
          <w:tcPr>
            <w:tcW w:w="886" w:type="pct"/>
          </w:tcPr>
          <w:p w14:paraId="4D7A306F">
            <w:pPr>
              <w:spacing w:line="262" w:lineRule="auto"/>
              <w:rPr>
                <w:rFonts w:ascii="Arial"/>
                <w:color w:val="auto"/>
              </w:rPr>
            </w:pPr>
          </w:p>
          <w:p w14:paraId="18E28D39">
            <w:pPr>
              <w:pStyle w:val="57"/>
              <w:spacing w:before="65"/>
              <w:ind w:left="290" w:right="123" w:hanging="157"/>
              <w:jc w:val="center"/>
              <w:rPr>
                <w:color w:val="auto"/>
                <w:lang w:eastAsia="zh-CN"/>
              </w:rPr>
            </w:pPr>
            <w:r>
              <w:rPr>
                <w:rFonts w:hint="eastAsia"/>
                <w:color w:val="auto"/>
                <w:lang w:eastAsia="zh-CN"/>
              </w:rPr>
              <w:t>项目背景与空港新城战略价值研判（10分）</w:t>
            </w:r>
          </w:p>
        </w:tc>
        <w:tc>
          <w:tcPr>
            <w:tcW w:w="3108" w:type="pct"/>
          </w:tcPr>
          <w:p w14:paraId="15672D20">
            <w:pPr>
              <w:pStyle w:val="57"/>
              <w:spacing w:before="28" w:line="239" w:lineRule="auto"/>
              <w:ind w:left="114" w:right="276" w:firstLine="2"/>
              <w:rPr>
                <w:color w:val="auto"/>
                <w:lang w:eastAsia="zh-CN"/>
              </w:rPr>
            </w:pPr>
            <w:r>
              <w:rPr>
                <w:rFonts w:hint="eastAsia"/>
                <w:color w:val="auto"/>
                <w:spacing w:val="7"/>
                <w:lang w:eastAsia="zh-CN"/>
              </w:rPr>
              <w:t>对扬州空港新城产业发展规划项目背景和空港新城战略价值研判展开分析，形成整体认知研判。项目理解全面深刻、对空港新城战略价值研判准确的得10分；项目理解程度一般、对空港新城战略价值研判基本准确的得6分；项目理解程度不全面、对空港新城战略价值研判简单的得3分；内容较差或未提供相关内容的不得分。</w:t>
            </w:r>
          </w:p>
        </w:tc>
      </w:tr>
      <w:tr w14:paraId="1D38B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jc w:val="center"/>
        </w:trPr>
        <w:tc>
          <w:tcPr>
            <w:tcW w:w="333" w:type="pct"/>
            <w:vMerge w:val="continue"/>
          </w:tcPr>
          <w:p w14:paraId="56E574C7">
            <w:pPr>
              <w:rPr>
                <w:rFonts w:ascii="Arial"/>
                <w:color w:val="auto"/>
              </w:rPr>
            </w:pPr>
          </w:p>
        </w:tc>
        <w:tc>
          <w:tcPr>
            <w:tcW w:w="670" w:type="pct"/>
            <w:vMerge w:val="continue"/>
          </w:tcPr>
          <w:p w14:paraId="15AA18CB">
            <w:pPr>
              <w:rPr>
                <w:rFonts w:ascii="Arial"/>
                <w:color w:val="auto"/>
              </w:rPr>
            </w:pPr>
          </w:p>
        </w:tc>
        <w:tc>
          <w:tcPr>
            <w:tcW w:w="886" w:type="pct"/>
          </w:tcPr>
          <w:p w14:paraId="0676FB08">
            <w:pPr>
              <w:spacing w:line="242" w:lineRule="auto"/>
              <w:rPr>
                <w:rFonts w:ascii="Arial"/>
                <w:color w:val="auto"/>
              </w:rPr>
            </w:pPr>
          </w:p>
          <w:p w14:paraId="7E6AC1DC">
            <w:pPr>
              <w:pStyle w:val="57"/>
              <w:spacing w:before="65" w:line="229" w:lineRule="auto"/>
              <w:ind w:left="133"/>
              <w:jc w:val="center"/>
              <w:rPr>
                <w:color w:val="auto"/>
                <w:lang w:eastAsia="zh-CN"/>
              </w:rPr>
            </w:pPr>
            <w:r>
              <w:rPr>
                <w:rFonts w:hint="eastAsia"/>
                <w:color w:val="auto"/>
                <w:lang w:eastAsia="zh-CN"/>
              </w:rPr>
              <w:t>同类型机场地区案例借鉴研究（10分）</w:t>
            </w:r>
          </w:p>
        </w:tc>
        <w:tc>
          <w:tcPr>
            <w:tcW w:w="3108" w:type="pct"/>
          </w:tcPr>
          <w:p w14:paraId="0C9E61D8">
            <w:pPr>
              <w:pStyle w:val="57"/>
              <w:spacing w:before="23" w:line="217" w:lineRule="auto"/>
              <w:ind w:left="124"/>
              <w:rPr>
                <w:color w:val="auto"/>
                <w:lang w:eastAsia="zh-CN"/>
              </w:rPr>
            </w:pPr>
            <w:r>
              <w:rPr>
                <w:rFonts w:hint="eastAsia"/>
                <w:color w:val="auto"/>
                <w:lang w:eastAsia="zh-CN"/>
              </w:rPr>
              <w:t>选取与扬泰机场条件相仿的国内外典型空港区域开展对标研究。内容详细、研究成果科学合理的得10分；内容较为详实、研究成果较科学合理的得6分；内容简单提及的得3分；内容较差或未提供相关内容的不得分。</w:t>
            </w:r>
          </w:p>
        </w:tc>
      </w:tr>
      <w:tr w14:paraId="72A7A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jc w:val="center"/>
        </w:trPr>
        <w:tc>
          <w:tcPr>
            <w:tcW w:w="333" w:type="pct"/>
            <w:vMerge w:val="continue"/>
          </w:tcPr>
          <w:p w14:paraId="4299ADAB">
            <w:pPr>
              <w:rPr>
                <w:rFonts w:ascii="Arial"/>
                <w:color w:val="auto"/>
              </w:rPr>
            </w:pPr>
          </w:p>
        </w:tc>
        <w:tc>
          <w:tcPr>
            <w:tcW w:w="670" w:type="pct"/>
            <w:vMerge w:val="continue"/>
          </w:tcPr>
          <w:p w14:paraId="4ECDE684">
            <w:pPr>
              <w:rPr>
                <w:rFonts w:ascii="Arial"/>
                <w:color w:val="auto"/>
              </w:rPr>
            </w:pPr>
          </w:p>
        </w:tc>
        <w:tc>
          <w:tcPr>
            <w:tcW w:w="886" w:type="pct"/>
          </w:tcPr>
          <w:p w14:paraId="525AEFD2">
            <w:pPr>
              <w:pStyle w:val="57"/>
              <w:spacing w:before="65" w:line="228" w:lineRule="auto"/>
              <w:ind w:left="130"/>
              <w:jc w:val="center"/>
              <w:rPr>
                <w:color w:val="auto"/>
                <w:lang w:eastAsia="zh-CN"/>
              </w:rPr>
            </w:pPr>
          </w:p>
          <w:p w14:paraId="3F808706">
            <w:pPr>
              <w:pStyle w:val="57"/>
              <w:spacing w:before="65" w:line="228" w:lineRule="auto"/>
              <w:ind w:left="130"/>
              <w:jc w:val="center"/>
              <w:rPr>
                <w:color w:val="auto"/>
                <w:lang w:eastAsia="zh-CN"/>
              </w:rPr>
            </w:pPr>
            <w:r>
              <w:rPr>
                <w:rFonts w:hint="eastAsia"/>
                <w:color w:val="auto"/>
                <w:lang w:eastAsia="zh-CN"/>
              </w:rPr>
              <w:t>技术路线与项目思路（1</w:t>
            </w:r>
            <w:r>
              <w:rPr>
                <w:rFonts w:hint="eastAsia"/>
                <w:color w:val="auto"/>
                <w:lang w:val="en-US" w:eastAsia="zh-CN"/>
              </w:rPr>
              <w:t>2</w:t>
            </w:r>
            <w:r>
              <w:rPr>
                <w:rFonts w:hint="eastAsia"/>
                <w:color w:val="auto"/>
                <w:lang w:eastAsia="zh-CN"/>
              </w:rPr>
              <w:t>分）</w:t>
            </w:r>
          </w:p>
        </w:tc>
        <w:tc>
          <w:tcPr>
            <w:tcW w:w="3108" w:type="pct"/>
          </w:tcPr>
          <w:p w14:paraId="5C3351C8">
            <w:pPr>
              <w:pStyle w:val="57"/>
              <w:spacing w:before="26" w:line="232" w:lineRule="auto"/>
              <w:ind w:left="113" w:right="231"/>
              <w:rPr>
                <w:color w:val="auto"/>
                <w:lang w:eastAsia="zh-CN"/>
              </w:rPr>
            </w:pPr>
            <w:r>
              <w:rPr>
                <w:rFonts w:hint="eastAsia"/>
                <w:color w:val="auto"/>
                <w:lang w:eastAsia="zh-CN"/>
              </w:rPr>
              <w:t>技术路线清晰、具有前瞻性，项目思路详实具体、科学合理的得1</w:t>
            </w:r>
            <w:r>
              <w:rPr>
                <w:rFonts w:hint="eastAsia"/>
                <w:color w:val="auto"/>
                <w:lang w:val="en-US" w:eastAsia="zh-CN"/>
              </w:rPr>
              <w:t>2</w:t>
            </w:r>
            <w:r>
              <w:rPr>
                <w:rFonts w:hint="eastAsia"/>
                <w:color w:val="auto"/>
                <w:lang w:eastAsia="zh-CN"/>
              </w:rPr>
              <w:t>分；技术路线基本合理、方法可行，项目思路相对具体、</w:t>
            </w:r>
            <w:r>
              <w:rPr>
                <w:rFonts w:hint="eastAsia"/>
                <w:color w:val="auto"/>
                <w:lang w:val="en-US" w:eastAsia="zh-CN"/>
              </w:rPr>
              <w:t>基本</w:t>
            </w:r>
            <w:r>
              <w:rPr>
                <w:rFonts w:hint="eastAsia"/>
                <w:color w:val="auto"/>
                <w:lang w:eastAsia="zh-CN"/>
              </w:rPr>
              <w:t>合理的得</w:t>
            </w:r>
            <w:r>
              <w:rPr>
                <w:rFonts w:hint="eastAsia"/>
                <w:color w:val="auto"/>
                <w:lang w:val="en-US" w:eastAsia="zh-CN"/>
              </w:rPr>
              <w:t>9</w:t>
            </w:r>
            <w:r>
              <w:rPr>
                <w:rFonts w:hint="eastAsia"/>
                <w:color w:val="auto"/>
                <w:lang w:eastAsia="zh-CN"/>
              </w:rPr>
              <w:t>分；技术路线</w:t>
            </w:r>
            <w:r>
              <w:rPr>
                <w:rFonts w:hint="eastAsia"/>
                <w:color w:val="auto"/>
                <w:lang w:val="en-US" w:eastAsia="zh-CN"/>
              </w:rPr>
              <w:t>一般</w:t>
            </w:r>
            <w:r>
              <w:rPr>
                <w:rFonts w:hint="eastAsia"/>
                <w:color w:val="auto"/>
                <w:lang w:eastAsia="zh-CN"/>
              </w:rPr>
              <w:t>、方法</w:t>
            </w:r>
            <w:r>
              <w:rPr>
                <w:rFonts w:hint="eastAsia"/>
                <w:color w:val="auto"/>
                <w:lang w:val="en-US" w:eastAsia="zh-CN"/>
              </w:rPr>
              <w:t>一般</w:t>
            </w:r>
            <w:r>
              <w:rPr>
                <w:rFonts w:hint="eastAsia"/>
                <w:color w:val="auto"/>
                <w:lang w:eastAsia="zh-CN"/>
              </w:rPr>
              <w:t>，项目思路</w:t>
            </w:r>
            <w:r>
              <w:rPr>
                <w:rFonts w:hint="eastAsia"/>
                <w:color w:val="auto"/>
                <w:lang w:val="en-US" w:eastAsia="zh-CN"/>
              </w:rPr>
              <w:t>一般</w:t>
            </w:r>
            <w:r>
              <w:rPr>
                <w:rFonts w:hint="eastAsia"/>
                <w:color w:val="auto"/>
                <w:lang w:eastAsia="zh-CN"/>
              </w:rPr>
              <w:t>得</w:t>
            </w:r>
            <w:r>
              <w:rPr>
                <w:rFonts w:hint="eastAsia"/>
                <w:color w:val="auto"/>
                <w:lang w:val="en-US" w:eastAsia="zh-CN"/>
              </w:rPr>
              <w:t>6</w:t>
            </w:r>
            <w:r>
              <w:rPr>
                <w:rFonts w:hint="eastAsia"/>
                <w:color w:val="auto"/>
                <w:lang w:eastAsia="zh-CN"/>
              </w:rPr>
              <w:t>分；技术路线缺乏前瞻性、与项目背景契合程度低，项目思路不具体的得</w:t>
            </w:r>
            <w:r>
              <w:rPr>
                <w:rFonts w:hint="eastAsia"/>
                <w:color w:val="auto"/>
                <w:lang w:val="en-US" w:eastAsia="zh-CN"/>
              </w:rPr>
              <w:t>3</w:t>
            </w:r>
            <w:r>
              <w:rPr>
                <w:rFonts w:hint="eastAsia"/>
                <w:color w:val="auto"/>
                <w:lang w:eastAsia="zh-CN"/>
              </w:rPr>
              <w:t>分；内容较差或未提供相关内容的不得分。</w:t>
            </w:r>
          </w:p>
        </w:tc>
      </w:tr>
      <w:tr w14:paraId="537AB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jc w:val="center"/>
        </w:trPr>
        <w:tc>
          <w:tcPr>
            <w:tcW w:w="333" w:type="pct"/>
            <w:vMerge w:val="continue"/>
          </w:tcPr>
          <w:p w14:paraId="142ED02D">
            <w:pPr>
              <w:rPr>
                <w:rFonts w:ascii="Arial"/>
                <w:color w:val="auto"/>
              </w:rPr>
            </w:pPr>
          </w:p>
        </w:tc>
        <w:tc>
          <w:tcPr>
            <w:tcW w:w="670" w:type="pct"/>
            <w:vMerge w:val="continue"/>
          </w:tcPr>
          <w:p w14:paraId="3FD114DA">
            <w:pPr>
              <w:rPr>
                <w:rFonts w:ascii="Arial"/>
                <w:color w:val="auto"/>
              </w:rPr>
            </w:pPr>
          </w:p>
        </w:tc>
        <w:tc>
          <w:tcPr>
            <w:tcW w:w="886" w:type="pct"/>
          </w:tcPr>
          <w:p w14:paraId="65A4A7DF">
            <w:pPr>
              <w:pStyle w:val="57"/>
              <w:spacing w:before="171" w:line="229" w:lineRule="auto"/>
              <w:jc w:val="center"/>
              <w:rPr>
                <w:color w:val="auto"/>
                <w:spacing w:val="7"/>
                <w:lang w:eastAsia="zh-CN"/>
              </w:rPr>
            </w:pPr>
          </w:p>
          <w:p w14:paraId="0A782C5B">
            <w:pPr>
              <w:pStyle w:val="57"/>
              <w:spacing w:before="171" w:line="229" w:lineRule="auto"/>
              <w:rPr>
                <w:color w:val="auto"/>
                <w:spacing w:val="7"/>
                <w:lang w:eastAsia="zh-CN"/>
              </w:rPr>
            </w:pPr>
          </w:p>
          <w:p w14:paraId="36A333A6">
            <w:pPr>
              <w:pStyle w:val="57"/>
              <w:spacing w:before="171" w:line="229" w:lineRule="auto"/>
              <w:jc w:val="center"/>
              <w:rPr>
                <w:color w:val="auto"/>
              </w:rPr>
            </w:pPr>
            <w:r>
              <w:rPr>
                <w:rFonts w:hint="eastAsia"/>
                <w:color w:val="auto"/>
              </w:rPr>
              <w:t>规划编制成果</w:t>
            </w:r>
          </w:p>
          <w:p w14:paraId="44418384">
            <w:pPr>
              <w:pStyle w:val="57"/>
              <w:spacing w:before="171" w:line="229" w:lineRule="auto"/>
              <w:jc w:val="center"/>
              <w:rPr>
                <w:color w:val="auto"/>
              </w:rPr>
            </w:pPr>
            <w:r>
              <w:rPr>
                <w:rFonts w:hint="eastAsia"/>
                <w:color w:val="auto"/>
              </w:rPr>
              <w:t>（1</w:t>
            </w:r>
            <w:r>
              <w:rPr>
                <w:color w:val="auto"/>
              </w:rPr>
              <w:t>2</w:t>
            </w:r>
            <w:r>
              <w:rPr>
                <w:rFonts w:hint="eastAsia"/>
                <w:color w:val="auto"/>
              </w:rPr>
              <w:t>分）</w:t>
            </w:r>
          </w:p>
        </w:tc>
        <w:tc>
          <w:tcPr>
            <w:tcW w:w="3108" w:type="pct"/>
          </w:tcPr>
          <w:p w14:paraId="3B3E6955">
            <w:pPr>
              <w:pStyle w:val="57"/>
              <w:spacing w:before="23" w:line="235" w:lineRule="auto"/>
              <w:ind w:left="113" w:right="142"/>
              <w:rPr>
                <w:color w:val="auto"/>
                <w:lang w:eastAsia="zh-CN"/>
              </w:rPr>
            </w:pPr>
            <w:r>
              <w:rPr>
                <w:rFonts w:hint="eastAsia"/>
                <w:color w:val="auto"/>
                <w:lang w:eastAsia="zh-CN"/>
              </w:rPr>
              <w:t>根据技术思路编制项目成果，通过对区域临空产业发展现状分析，针对临空产业发展方向与策略、产业发展目标、服务临空产业发展的保障功能、空间组织与用地布局等相关内容形成初步项目方案，同时提供相应的分析图纸及说明文字。能够构建相对完整的规划编制成果体系，条理清晰、逻辑严密，完全符合采购需求的得1</w:t>
            </w:r>
            <w:r>
              <w:rPr>
                <w:color w:val="auto"/>
                <w:lang w:eastAsia="zh-CN"/>
              </w:rPr>
              <w:t>2</w:t>
            </w:r>
            <w:r>
              <w:rPr>
                <w:rFonts w:hint="eastAsia"/>
                <w:color w:val="auto"/>
                <w:lang w:eastAsia="zh-CN"/>
              </w:rPr>
              <w:t>分；能够明确规划编制成果的基础内容，条理相对清晰，能够符合采购需求的得</w:t>
            </w:r>
            <w:r>
              <w:rPr>
                <w:color w:val="auto"/>
                <w:lang w:eastAsia="zh-CN"/>
              </w:rPr>
              <w:t>9</w:t>
            </w:r>
            <w:r>
              <w:rPr>
                <w:rFonts w:hint="eastAsia"/>
                <w:color w:val="auto"/>
                <w:lang w:eastAsia="zh-CN"/>
              </w:rPr>
              <w:t>分；规划编制成果的基础内容整体一般，基本符合采购需求的得</w:t>
            </w:r>
            <w:r>
              <w:rPr>
                <w:color w:val="auto"/>
                <w:lang w:eastAsia="zh-CN"/>
              </w:rPr>
              <w:t>6</w:t>
            </w:r>
            <w:r>
              <w:rPr>
                <w:rFonts w:hint="eastAsia"/>
                <w:color w:val="auto"/>
                <w:lang w:eastAsia="zh-CN"/>
              </w:rPr>
              <w:t>分；对规划编制成果的基本内容不够了解，条理不够清晰，勉强符合采购需求的得</w:t>
            </w:r>
            <w:r>
              <w:rPr>
                <w:color w:val="auto"/>
                <w:lang w:eastAsia="zh-CN"/>
              </w:rPr>
              <w:t>3</w:t>
            </w:r>
            <w:r>
              <w:rPr>
                <w:rFonts w:hint="eastAsia"/>
                <w:color w:val="auto"/>
                <w:lang w:eastAsia="zh-CN"/>
              </w:rPr>
              <w:t>分；内容较差或未提供相关内容的不得分。</w:t>
            </w:r>
          </w:p>
        </w:tc>
      </w:tr>
      <w:tr w14:paraId="4EDC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jc w:val="center"/>
        </w:trPr>
        <w:tc>
          <w:tcPr>
            <w:tcW w:w="333" w:type="pct"/>
            <w:vMerge w:val="continue"/>
          </w:tcPr>
          <w:p w14:paraId="66267656">
            <w:pPr>
              <w:rPr>
                <w:rFonts w:ascii="Arial"/>
                <w:color w:val="auto"/>
              </w:rPr>
            </w:pPr>
          </w:p>
        </w:tc>
        <w:tc>
          <w:tcPr>
            <w:tcW w:w="670" w:type="pct"/>
            <w:vMerge w:val="continue"/>
          </w:tcPr>
          <w:p w14:paraId="5F8F9CD8">
            <w:pPr>
              <w:rPr>
                <w:rFonts w:ascii="Arial"/>
                <w:color w:val="auto"/>
              </w:rPr>
            </w:pPr>
          </w:p>
        </w:tc>
        <w:tc>
          <w:tcPr>
            <w:tcW w:w="886" w:type="pct"/>
          </w:tcPr>
          <w:p w14:paraId="5A165E7A">
            <w:pPr>
              <w:spacing w:line="300" w:lineRule="exact"/>
              <w:rPr>
                <w:rFonts w:ascii="Arial"/>
                <w:color w:val="auto"/>
              </w:rPr>
            </w:pPr>
          </w:p>
          <w:p w14:paraId="66A35413">
            <w:pPr>
              <w:spacing w:line="300" w:lineRule="exact"/>
              <w:rPr>
                <w:rFonts w:ascii="Arial"/>
                <w:color w:val="auto"/>
              </w:rPr>
            </w:pPr>
          </w:p>
          <w:p w14:paraId="340CF718">
            <w:pPr>
              <w:pStyle w:val="57"/>
              <w:spacing w:before="65" w:line="300" w:lineRule="exact"/>
              <w:ind w:left="133"/>
              <w:jc w:val="center"/>
              <w:rPr>
                <w:color w:val="auto"/>
                <w:lang w:eastAsia="zh-CN"/>
              </w:rPr>
            </w:pPr>
            <w:r>
              <w:rPr>
                <w:rFonts w:hint="eastAsia"/>
                <w:color w:val="auto"/>
                <w:lang w:eastAsia="zh-CN"/>
              </w:rPr>
              <w:t>服务实施计划与进度保证措施（</w:t>
            </w:r>
            <w:r>
              <w:rPr>
                <w:color w:val="auto"/>
                <w:lang w:eastAsia="zh-CN"/>
              </w:rPr>
              <w:t>6</w:t>
            </w:r>
            <w:r>
              <w:rPr>
                <w:rFonts w:hint="eastAsia"/>
                <w:color w:val="auto"/>
                <w:lang w:eastAsia="zh-CN"/>
              </w:rPr>
              <w:t>分）</w:t>
            </w:r>
          </w:p>
        </w:tc>
        <w:tc>
          <w:tcPr>
            <w:tcW w:w="3108" w:type="pct"/>
          </w:tcPr>
          <w:p w14:paraId="25133DC8">
            <w:pPr>
              <w:pStyle w:val="57"/>
              <w:spacing w:before="25" w:line="300" w:lineRule="exact"/>
              <w:ind w:left="122" w:right="171" w:hanging="9"/>
              <w:rPr>
                <w:color w:val="auto"/>
                <w:lang w:eastAsia="zh-CN"/>
              </w:rPr>
            </w:pPr>
            <w:r>
              <w:rPr>
                <w:rFonts w:hint="eastAsia"/>
                <w:color w:val="auto"/>
                <w:lang w:eastAsia="zh-CN"/>
              </w:rPr>
              <w:t>针对本项目实际提出科学、可行、具体的进度计划安排，为确保本项目在规定时间内通过各级评审，编制全面、详尽、精准的进度安排，且进度控制措施得当。实施计划与进度安排合理、考虑全面的得</w:t>
            </w:r>
            <w:r>
              <w:rPr>
                <w:color w:val="auto"/>
                <w:lang w:eastAsia="zh-CN"/>
              </w:rPr>
              <w:t>6</w:t>
            </w:r>
            <w:r>
              <w:rPr>
                <w:rFonts w:hint="eastAsia"/>
                <w:color w:val="auto"/>
                <w:lang w:eastAsia="zh-CN"/>
              </w:rPr>
              <w:t>分；实施计划与进度安排一般的得</w:t>
            </w:r>
            <w:r>
              <w:rPr>
                <w:color w:val="auto"/>
                <w:lang w:eastAsia="zh-CN"/>
              </w:rPr>
              <w:t>4</w:t>
            </w:r>
            <w:r>
              <w:rPr>
                <w:rFonts w:hint="eastAsia"/>
                <w:color w:val="auto"/>
                <w:lang w:eastAsia="zh-CN"/>
              </w:rPr>
              <w:t>分；实施计划与进度安排简单的得</w:t>
            </w:r>
            <w:r>
              <w:rPr>
                <w:color w:val="auto"/>
                <w:lang w:eastAsia="zh-CN"/>
              </w:rPr>
              <w:t>2</w:t>
            </w:r>
            <w:r>
              <w:rPr>
                <w:rFonts w:hint="eastAsia"/>
                <w:color w:val="auto"/>
                <w:lang w:eastAsia="zh-CN"/>
              </w:rPr>
              <w:t>分；内容较差或未提供相关内容的不得分。</w:t>
            </w:r>
          </w:p>
        </w:tc>
      </w:tr>
      <w:tr w14:paraId="014A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jc w:val="center"/>
        </w:trPr>
        <w:tc>
          <w:tcPr>
            <w:tcW w:w="333" w:type="pct"/>
            <w:vMerge w:val="continue"/>
          </w:tcPr>
          <w:p w14:paraId="5DB246BA">
            <w:pPr>
              <w:rPr>
                <w:rFonts w:ascii="Arial"/>
                <w:color w:val="auto"/>
              </w:rPr>
            </w:pPr>
          </w:p>
        </w:tc>
        <w:tc>
          <w:tcPr>
            <w:tcW w:w="670" w:type="pct"/>
            <w:vMerge w:val="continue"/>
          </w:tcPr>
          <w:p w14:paraId="09E9F863">
            <w:pPr>
              <w:rPr>
                <w:rFonts w:ascii="Arial"/>
                <w:color w:val="auto"/>
              </w:rPr>
            </w:pPr>
          </w:p>
        </w:tc>
        <w:tc>
          <w:tcPr>
            <w:tcW w:w="886" w:type="pct"/>
          </w:tcPr>
          <w:p w14:paraId="194A2FFD">
            <w:pPr>
              <w:pStyle w:val="57"/>
              <w:spacing w:before="65" w:line="300" w:lineRule="exact"/>
              <w:ind w:right="123"/>
              <w:jc w:val="center"/>
              <w:rPr>
                <w:color w:val="auto"/>
                <w:lang w:eastAsia="zh-CN"/>
              </w:rPr>
            </w:pPr>
          </w:p>
          <w:p w14:paraId="79FF1B35">
            <w:pPr>
              <w:pStyle w:val="57"/>
              <w:spacing w:before="65" w:line="300" w:lineRule="exact"/>
              <w:ind w:right="123"/>
              <w:jc w:val="center"/>
              <w:rPr>
                <w:color w:val="auto"/>
                <w:lang w:eastAsia="zh-CN"/>
              </w:rPr>
            </w:pPr>
            <w:r>
              <w:rPr>
                <w:color w:val="auto"/>
                <w:lang w:eastAsia="zh-CN"/>
              </w:rPr>
              <w:t>质量保证措施（6分）</w:t>
            </w:r>
          </w:p>
        </w:tc>
        <w:tc>
          <w:tcPr>
            <w:tcW w:w="3108" w:type="pct"/>
          </w:tcPr>
          <w:p w14:paraId="7D81E6D0">
            <w:pPr>
              <w:pStyle w:val="57"/>
              <w:spacing w:before="27" w:line="300" w:lineRule="exact"/>
              <w:ind w:left="114" w:right="171" w:hanging="1"/>
              <w:rPr>
                <w:color w:val="auto"/>
                <w:lang w:eastAsia="zh-CN"/>
              </w:rPr>
            </w:pPr>
            <w:r>
              <w:rPr>
                <w:rFonts w:hint="eastAsia"/>
                <w:color w:val="auto"/>
                <w:lang w:eastAsia="zh-CN"/>
              </w:rPr>
              <w:t>针对本项目特点编制合理的质量保证措施。质量保证措施科学合理、切实可行的得</w:t>
            </w:r>
            <w:r>
              <w:rPr>
                <w:color w:val="auto"/>
                <w:lang w:eastAsia="zh-CN"/>
              </w:rPr>
              <w:t>6</w:t>
            </w:r>
            <w:r>
              <w:rPr>
                <w:rFonts w:hint="eastAsia"/>
                <w:color w:val="auto"/>
                <w:lang w:eastAsia="zh-CN"/>
              </w:rPr>
              <w:t>分；质量保证措施较为科学合理，可行性较高的得</w:t>
            </w:r>
            <w:r>
              <w:rPr>
                <w:color w:val="auto"/>
                <w:lang w:eastAsia="zh-CN"/>
              </w:rPr>
              <w:t>4</w:t>
            </w:r>
            <w:r>
              <w:rPr>
                <w:rFonts w:hint="eastAsia"/>
                <w:color w:val="auto"/>
                <w:lang w:eastAsia="zh-CN"/>
              </w:rPr>
              <w:t>分；质量保证措施简单、具有一定可行性的得</w:t>
            </w:r>
            <w:r>
              <w:rPr>
                <w:color w:val="auto"/>
                <w:lang w:eastAsia="zh-CN"/>
              </w:rPr>
              <w:t>2</w:t>
            </w:r>
            <w:r>
              <w:rPr>
                <w:rFonts w:hint="eastAsia"/>
                <w:color w:val="auto"/>
                <w:lang w:eastAsia="zh-CN"/>
              </w:rPr>
              <w:t>分；内容较差或未提供相关内容的不得分。</w:t>
            </w:r>
          </w:p>
        </w:tc>
      </w:tr>
      <w:tr w14:paraId="308BE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jc w:val="center"/>
        </w:trPr>
        <w:tc>
          <w:tcPr>
            <w:tcW w:w="333" w:type="pct"/>
            <w:vMerge w:val="restart"/>
          </w:tcPr>
          <w:p w14:paraId="0D27878F">
            <w:pPr>
              <w:spacing w:line="256" w:lineRule="auto"/>
              <w:rPr>
                <w:rFonts w:ascii="Arial"/>
                <w:color w:val="auto"/>
              </w:rPr>
            </w:pPr>
          </w:p>
          <w:p w14:paraId="0F7E494D">
            <w:pPr>
              <w:spacing w:line="256" w:lineRule="auto"/>
              <w:rPr>
                <w:rFonts w:ascii="Arial"/>
                <w:color w:val="auto"/>
              </w:rPr>
            </w:pPr>
          </w:p>
          <w:p w14:paraId="16F977BE">
            <w:pPr>
              <w:spacing w:line="256" w:lineRule="auto"/>
              <w:rPr>
                <w:rFonts w:ascii="Arial"/>
                <w:color w:val="auto"/>
              </w:rPr>
            </w:pPr>
          </w:p>
          <w:p w14:paraId="69278355">
            <w:pPr>
              <w:spacing w:line="256" w:lineRule="auto"/>
              <w:rPr>
                <w:rFonts w:ascii="Arial"/>
                <w:color w:val="auto"/>
              </w:rPr>
            </w:pPr>
          </w:p>
          <w:p w14:paraId="422A9A8E">
            <w:pPr>
              <w:spacing w:line="256" w:lineRule="auto"/>
              <w:rPr>
                <w:rFonts w:ascii="Arial"/>
                <w:color w:val="auto"/>
              </w:rPr>
            </w:pPr>
          </w:p>
          <w:p w14:paraId="67835071">
            <w:pPr>
              <w:spacing w:line="257" w:lineRule="auto"/>
              <w:rPr>
                <w:rFonts w:ascii="Arial"/>
                <w:color w:val="auto"/>
              </w:rPr>
            </w:pPr>
          </w:p>
          <w:p w14:paraId="3CEF2634">
            <w:pPr>
              <w:spacing w:line="257" w:lineRule="auto"/>
              <w:rPr>
                <w:rFonts w:ascii="Arial"/>
                <w:color w:val="auto"/>
              </w:rPr>
            </w:pPr>
          </w:p>
          <w:p w14:paraId="0C32ABBB">
            <w:pPr>
              <w:spacing w:line="257" w:lineRule="auto"/>
              <w:rPr>
                <w:rFonts w:ascii="Arial"/>
                <w:color w:val="auto"/>
              </w:rPr>
            </w:pPr>
          </w:p>
          <w:p w14:paraId="0992CC47">
            <w:pPr>
              <w:spacing w:line="257" w:lineRule="auto"/>
              <w:rPr>
                <w:rFonts w:ascii="Arial"/>
                <w:color w:val="auto"/>
              </w:rPr>
            </w:pPr>
          </w:p>
          <w:p w14:paraId="243204DA">
            <w:pPr>
              <w:pStyle w:val="23"/>
              <w:ind w:firstLine="640"/>
              <w:rPr>
                <w:color w:val="auto"/>
              </w:rPr>
            </w:pPr>
          </w:p>
          <w:p w14:paraId="1D2EA82C">
            <w:pPr>
              <w:pStyle w:val="57"/>
              <w:spacing w:before="65" w:line="189" w:lineRule="auto"/>
              <w:ind w:left="221"/>
              <w:rPr>
                <w:color w:val="auto"/>
              </w:rPr>
            </w:pPr>
            <w:r>
              <w:rPr>
                <w:color w:val="auto"/>
              </w:rPr>
              <w:t>3</w:t>
            </w:r>
          </w:p>
        </w:tc>
        <w:tc>
          <w:tcPr>
            <w:tcW w:w="670" w:type="pct"/>
            <w:vMerge w:val="restart"/>
          </w:tcPr>
          <w:p w14:paraId="617F25B0">
            <w:pPr>
              <w:spacing w:line="267" w:lineRule="auto"/>
              <w:rPr>
                <w:rFonts w:ascii="Arial"/>
                <w:color w:val="auto"/>
              </w:rPr>
            </w:pPr>
          </w:p>
          <w:p w14:paraId="4D9C24DB">
            <w:pPr>
              <w:spacing w:line="267" w:lineRule="auto"/>
              <w:rPr>
                <w:rFonts w:ascii="Arial"/>
                <w:color w:val="auto"/>
              </w:rPr>
            </w:pPr>
          </w:p>
          <w:p w14:paraId="48750D48">
            <w:pPr>
              <w:spacing w:line="267" w:lineRule="auto"/>
              <w:rPr>
                <w:rFonts w:ascii="Arial"/>
                <w:color w:val="auto"/>
              </w:rPr>
            </w:pPr>
          </w:p>
          <w:p w14:paraId="4E58E323">
            <w:pPr>
              <w:spacing w:line="267" w:lineRule="auto"/>
              <w:rPr>
                <w:rFonts w:ascii="Arial"/>
                <w:color w:val="auto"/>
              </w:rPr>
            </w:pPr>
          </w:p>
          <w:p w14:paraId="6788BECD">
            <w:pPr>
              <w:spacing w:line="267" w:lineRule="auto"/>
              <w:rPr>
                <w:rFonts w:ascii="Arial"/>
                <w:color w:val="auto"/>
              </w:rPr>
            </w:pPr>
          </w:p>
          <w:p w14:paraId="119DAF2B">
            <w:pPr>
              <w:spacing w:line="267" w:lineRule="auto"/>
              <w:rPr>
                <w:rFonts w:ascii="Arial"/>
                <w:color w:val="auto"/>
              </w:rPr>
            </w:pPr>
          </w:p>
          <w:p w14:paraId="758A0B78">
            <w:pPr>
              <w:pStyle w:val="23"/>
              <w:ind w:firstLine="640"/>
              <w:rPr>
                <w:color w:val="auto"/>
              </w:rPr>
            </w:pPr>
          </w:p>
          <w:p w14:paraId="59D9FEBD">
            <w:pPr>
              <w:spacing w:line="267" w:lineRule="auto"/>
              <w:rPr>
                <w:rFonts w:ascii="Arial"/>
                <w:color w:val="auto"/>
              </w:rPr>
            </w:pPr>
          </w:p>
          <w:p w14:paraId="7F978BA0">
            <w:pPr>
              <w:pStyle w:val="57"/>
              <w:spacing w:before="65" w:line="244" w:lineRule="auto"/>
              <w:ind w:left="137" w:right="129"/>
              <w:jc w:val="center"/>
              <w:rPr>
                <w:color w:val="auto"/>
                <w:spacing w:val="5"/>
              </w:rPr>
            </w:pPr>
          </w:p>
          <w:p w14:paraId="376BC711">
            <w:pPr>
              <w:pStyle w:val="57"/>
              <w:spacing w:before="65" w:line="244" w:lineRule="auto"/>
              <w:ind w:left="137" w:right="129"/>
              <w:jc w:val="center"/>
              <w:rPr>
                <w:color w:val="auto"/>
              </w:rPr>
            </w:pPr>
            <w:r>
              <w:rPr>
                <w:color w:val="auto"/>
                <w:spacing w:val="5"/>
              </w:rPr>
              <w:t>项目管</w:t>
            </w:r>
            <w:r>
              <w:rPr>
                <w:color w:val="auto"/>
                <w:spacing w:val="1"/>
              </w:rPr>
              <w:t xml:space="preserve"> </w:t>
            </w:r>
            <w:r>
              <w:rPr>
                <w:color w:val="auto"/>
                <w:spacing w:val="6"/>
              </w:rPr>
              <w:t>理机构</w:t>
            </w:r>
            <w:r>
              <w:rPr>
                <w:color w:val="auto"/>
              </w:rPr>
              <w:t xml:space="preserve"> </w:t>
            </w:r>
            <w:r>
              <w:rPr>
                <w:rFonts w:hint="eastAsia"/>
                <w:color w:val="auto"/>
                <w:spacing w:val="4"/>
                <w:lang w:eastAsia="zh-CN"/>
              </w:rPr>
              <w:t>(</w:t>
            </w:r>
            <w:r>
              <w:rPr>
                <w:color w:val="auto"/>
                <w:spacing w:val="4"/>
              </w:rPr>
              <w:t>1</w:t>
            </w:r>
            <w:r>
              <w:rPr>
                <w:color w:val="auto"/>
                <w:spacing w:val="4"/>
                <w:lang w:eastAsia="zh-CN"/>
              </w:rPr>
              <w:t>6</w:t>
            </w:r>
            <w:r>
              <w:rPr>
                <w:color w:val="auto"/>
                <w:spacing w:val="4"/>
              </w:rPr>
              <w:t>分</w:t>
            </w:r>
            <w:r>
              <w:rPr>
                <w:color w:val="auto"/>
              </w:rPr>
              <w:t>)</w:t>
            </w:r>
          </w:p>
        </w:tc>
        <w:tc>
          <w:tcPr>
            <w:tcW w:w="3995" w:type="pct"/>
            <w:gridSpan w:val="2"/>
          </w:tcPr>
          <w:p w14:paraId="2D0A4F0F">
            <w:pPr>
              <w:pStyle w:val="57"/>
              <w:spacing w:before="36" w:line="300" w:lineRule="exact"/>
              <w:ind w:left="117"/>
              <w:rPr>
                <w:color w:val="auto"/>
                <w:lang w:eastAsia="zh-CN"/>
              </w:rPr>
            </w:pPr>
            <w:r>
              <w:rPr>
                <w:color w:val="auto"/>
                <w:spacing w:val="6"/>
                <w:lang w:eastAsia="zh-CN"/>
              </w:rPr>
              <w:t>项目负责人（</w:t>
            </w:r>
            <w:r>
              <w:rPr>
                <w:rFonts w:hint="eastAsia"/>
                <w:color w:val="auto"/>
                <w:spacing w:val="6"/>
                <w:lang w:eastAsia="zh-CN"/>
              </w:rPr>
              <w:t>8</w:t>
            </w:r>
            <w:r>
              <w:rPr>
                <w:color w:val="auto"/>
                <w:spacing w:val="6"/>
                <w:lang w:eastAsia="zh-CN"/>
              </w:rPr>
              <w:t>分）</w:t>
            </w:r>
          </w:p>
          <w:p w14:paraId="06F49580">
            <w:pPr>
              <w:pStyle w:val="57"/>
              <w:spacing w:before="25" w:line="300" w:lineRule="exact"/>
              <w:ind w:left="114" w:right="317" w:hanging="1"/>
              <w:rPr>
                <w:color w:val="auto"/>
                <w:lang w:eastAsia="zh-CN"/>
              </w:rPr>
            </w:pPr>
            <w:r>
              <w:rPr>
                <w:color w:val="auto"/>
                <w:lang w:eastAsia="zh-CN"/>
              </w:rPr>
              <w:t>（1）项目负责人取得正高级（教授级）职称的得3分，副高级（高级）职称的得2分，中级职称的得1分；同时取得注册城乡规划师执业资格的加1分，最高为4分；</w:t>
            </w:r>
          </w:p>
          <w:p w14:paraId="0CCDC4BC">
            <w:pPr>
              <w:pStyle w:val="57"/>
              <w:spacing w:before="25" w:line="300" w:lineRule="exact"/>
              <w:ind w:left="114" w:right="317" w:hanging="1"/>
              <w:rPr>
                <w:color w:val="auto"/>
                <w:lang w:eastAsia="zh-CN"/>
              </w:rPr>
            </w:pPr>
            <w:r>
              <w:rPr>
                <w:color w:val="auto"/>
                <w:lang w:eastAsia="zh-CN"/>
              </w:rPr>
              <w:t>提供项目负责人相关证书及</w:t>
            </w:r>
            <w:r>
              <w:rPr>
                <w:rFonts w:hint="eastAsia" w:ascii="宋体" w:hAnsi="宋体" w:cs="宋体"/>
                <w:bCs/>
              </w:rPr>
              <w:t>供应商为其缴纳的近三个月内任意一个月的社保证明材料原件扫描上传。</w:t>
            </w:r>
          </w:p>
          <w:p w14:paraId="2B4F19B2">
            <w:pPr>
              <w:pStyle w:val="57"/>
              <w:spacing w:before="25" w:line="300" w:lineRule="exact"/>
              <w:ind w:left="114" w:right="317" w:hanging="1"/>
              <w:rPr>
                <w:color w:val="auto"/>
                <w:lang w:eastAsia="zh-CN"/>
              </w:rPr>
            </w:pPr>
            <w:r>
              <w:rPr>
                <w:color w:val="auto"/>
                <w:lang w:eastAsia="zh-CN"/>
              </w:rPr>
              <w:t>（2）项目负责人2022年1月1日以来，</w:t>
            </w:r>
            <w:r>
              <w:rPr>
                <w:rFonts w:hint="eastAsia"/>
                <w:color w:val="auto"/>
                <w:lang w:eastAsia="zh-CN"/>
              </w:rPr>
              <w:t>参与的规划编制项目，</w:t>
            </w:r>
            <w:r>
              <w:rPr>
                <w:rFonts w:hint="eastAsia"/>
                <w:color w:val="auto"/>
                <w:spacing w:val="9"/>
                <w:lang w:eastAsia="zh-CN"/>
              </w:rPr>
              <w:t>获得设区市级及以上政府部门颁发的奖项的</w:t>
            </w:r>
            <w:r>
              <w:rPr>
                <w:color w:val="auto"/>
                <w:lang w:eastAsia="zh-CN"/>
              </w:rPr>
              <w:t>，每有一项得1分；本项最高得4分。</w:t>
            </w:r>
          </w:p>
          <w:p w14:paraId="6FC951B3">
            <w:pPr>
              <w:pStyle w:val="57"/>
              <w:spacing w:before="25" w:line="300" w:lineRule="exact"/>
              <w:ind w:left="114" w:right="317" w:hanging="1"/>
              <w:rPr>
                <w:color w:val="auto"/>
                <w:lang w:eastAsia="zh-CN"/>
              </w:rPr>
            </w:pPr>
            <w:r>
              <w:rPr>
                <w:color w:val="auto"/>
                <w:lang w:eastAsia="zh-CN"/>
              </w:rPr>
              <w:t>投标文件内提供相关获奖证书</w:t>
            </w:r>
            <w:r>
              <w:rPr>
                <w:rFonts w:hint="eastAsia"/>
                <w:color w:val="auto"/>
                <w:lang w:eastAsia="zh-CN"/>
              </w:rPr>
              <w:t>扫描件</w:t>
            </w:r>
            <w:r>
              <w:rPr>
                <w:color w:val="auto"/>
                <w:lang w:eastAsia="zh-CN"/>
              </w:rPr>
              <w:t>。时间以奖项证书颁发时间为准，同一项目所获奖项只计最高分，不重复计分。</w:t>
            </w:r>
          </w:p>
        </w:tc>
      </w:tr>
      <w:tr w14:paraId="04FC1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333" w:type="pct"/>
            <w:vMerge w:val="continue"/>
          </w:tcPr>
          <w:p w14:paraId="6F9A5271">
            <w:pPr>
              <w:rPr>
                <w:rFonts w:ascii="Arial"/>
                <w:color w:val="auto"/>
              </w:rPr>
            </w:pPr>
          </w:p>
        </w:tc>
        <w:tc>
          <w:tcPr>
            <w:tcW w:w="670" w:type="pct"/>
            <w:vMerge w:val="continue"/>
          </w:tcPr>
          <w:p w14:paraId="529D1EB7">
            <w:pPr>
              <w:rPr>
                <w:rFonts w:ascii="Arial"/>
                <w:color w:val="auto"/>
              </w:rPr>
            </w:pPr>
          </w:p>
        </w:tc>
        <w:tc>
          <w:tcPr>
            <w:tcW w:w="3995" w:type="pct"/>
            <w:gridSpan w:val="2"/>
          </w:tcPr>
          <w:p w14:paraId="17A44DE1">
            <w:pPr>
              <w:pStyle w:val="57"/>
              <w:spacing w:before="37" w:line="300" w:lineRule="exact"/>
              <w:ind w:left="117"/>
              <w:rPr>
                <w:color w:val="auto"/>
                <w:lang w:eastAsia="zh-CN"/>
              </w:rPr>
            </w:pPr>
            <w:r>
              <w:rPr>
                <w:color w:val="auto"/>
                <w:spacing w:val="9"/>
                <w:lang w:eastAsia="zh-CN"/>
              </w:rPr>
              <w:t>项目组成员（项目负责人除外</w:t>
            </w:r>
            <w:r>
              <w:rPr>
                <w:color w:val="auto"/>
                <w:spacing w:val="1"/>
                <w:lang w:eastAsia="zh-CN"/>
              </w:rPr>
              <w:t>）（</w:t>
            </w:r>
            <w:r>
              <w:rPr>
                <w:color w:val="auto"/>
                <w:spacing w:val="9"/>
                <w:lang w:eastAsia="zh-CN"/>
              </w:rPr>
              <w:t>8分）</w:t>
            </w:r>
          </w:p>
          <w:p w14:paraId="79B74B2C">
            <w:pPr>
              <w:pStyle w:val="57"/>
              <w:spacing w:before="23" w:line="300" w:lineRule="exact"/>
              <w:ind w:left="113"/>
              <w:rPr>
                <w:color w:val="auto"/>
                <w:lang w:eastAsia="zh-CN"/>
              </w:rPr>
            </w:pPr>
            <w:r>
              <w:rPr>
                <w:color w:val="auto"/>
                <w:lang w:eastAsia="zh-CN"/>
              </w:rPr>
              <w:t>（1）针对本项目配置的城市（乡）规划专业成员且具有高级（或以上）职称的，每配置一员得1分，具有以上专业中级职称的，每配置一员（专业不重复）得0.5分，最高为4分；</w:t>
            </w:r>
          </w:p>
          <w:p w14:paraId="09A84E19">
            <w:pPr>
              <w:pStyle w:val="57"/>
              <w:spacing w:before="23" w:line="300" w:lineRule="exact"/>
              <w:ind w:left="113"/>
              <w:rPr>
                <w:color w:val="auto"/>
                <w:lang w:eastAsia="zh-CN"/>
              </w:rPr>
            </w:pPr>
            <w:r>
              <w:rPr>
                <w:color w:val="auto"/>
                <w:lang w:eastAsia="zh-CN"/>
              </w:rPr>
              <w:t>（2）针对本项目配置具有注册城乡规划师执业资格的，每配置一员得1分，最高为4分。</w:t>
            </w:r>
          </w:p>
          <w:p w14:paraId="1F5FBDDB">
            <w:pPr>
              <w:pStyle w:val="57"/>
              <w:spacing w:before="23" w:line="300" w:lineRule="exact"/>
              <w:ind w:left="113"/>
              <w:rPr>
                <w:color w:val="auto"/>
                <w:lang w:eastAsia="zh-CN"/>
              </w:rPr>
            </w:pPr>
            <w:r>
              <w:rPr>
                <w:color w:val="auto"/>
                <w:lang w:eastAsia="zh-CN"/>
              </w:rPr>
              <w:t>单个人员不重复计算得分。提供对应人员的相关职称证书（若职称证书未能体现专业的，则以毕业证书专业为准）、注册证书及</w:t>
            </w:r>
            <w:r>
              <w:rPr>
                <w:rFonts w:hint="eastAsia" w:ascii="宋体" w:hAnsi="宋体" w:cs="宋体"/>
                <w:bCs/>
              </w:rPr>
              <w:t>供应商为其缴纳的近三个月内任意一个月的社保证明材料原件扫描上传。</w:t>
            </w:r>
          </w:p>
        </w:tc>
      </w:tr>
      <w:tr w14:paraId="7CBAA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jc w:val="center"/>
        </w:trPr>
        <w:tc>
          <w:tcPr>
            <w:tcW w:w="333" w:type="pct"/>
            <w:vMerge w:val="restart"/>
            <w:tcBorders>
              <w:bottom w:val="single" w:color="000000" w:sz="2" w:space="0"/>
            </w:tcBorders>
          </w:tcPr>
          <w:p w14:paraId="6A1869EA">
            <w:pPr>
              <w:spacing w:line="248" w:lineRule="auto"/>
              <w:rPr>
                <w:rFonts w:ascii="Arial"/>
                <w:color w:val="auto"/>
              </w:rPr>
            </w:pPr>
          </w:p>
          <w:p w14:paraId="011211E9">
            <w:pPr>
              <w:spacing w:line="248" w:lineRule="auto"/>
              <w:rPr>
                <w:rFonts w:ascii="Arial"/>
                <w:color w:val="auto"/>
              </w:rPr>
            </w:pPr>
          </w:p>
          <w:p w14:paraId="40421869">
            <w:pPr>
              <w:spacing w:line="248" w:lineRule="auto"/>
              <w:rPr>
                <w:rFonts w:ascii="Arial"/>
                <w:color w:val="auto"/>
              </w:rPr>
            </w:pPr>
          </w:p>
          <w:p w14:paraId="0AD03AF9">
            <w:pPr>
              <w:spacing w:line="248" w:lineRule="auto"/>
              <w:rPr>
                <w:rFonts w:ascii="Arial"/>
                <w:color w:val="auto"/>
              </w:rPr>
            </w:pPr>
          </w:p>
          <w:p w14:paraId="53C222C8">
            <w:pPr>
              <w:spacing w:line="249" w:lineRule="auto"/>
              <w:rPr>
                <w:rFonts w:ascii="Arial"/>
                <w:color w:val="auto"/>
              </w:rPr>
            </w:pPr>
          </w:p>
          <w:p w14:paraId="353EC5BE">
            <w:pPr>
              <w:spacing w:line="249" w:lineRule="auto"/>
              <w:rPr>
                <w:rFonts w:ascii="Arial"/>
                <w:color w:val="auto"/>
              </w:rPr>
            </w:pPr>
          </w:p>
          <w:p w14:paraId="5591842D">
            <w:pPr>
              <w:spacing w:line="249" w:lineRule="auto"/>
              <w:rPr>
                <w:rFonts w:ascii="Arial"/>
                <w:color w:val="auto"/>
              </w:rPr>
            </w:pPr>
          </w:p>
          <w:p w14:paraId="6C73BFC1">
            <w:pPr>
              <w:spacing w:line="249" w:lineRule="auto"/>
              <w:rPr>
                <w:rFonts w:ascii="Arial"/>
                <w:color w:val="auto"/>
              </w:rPr>
            </w:pPr>
          </w:p>
          <w:p w14:paraId="45C7C666">
            <w:pPr>
              <w:spacing w:line="249" w:lineRule="auto"/>
              <w:rPr>
                <w:rFonts w:ascii="Arial"/>
                <w:color w:val="auto"/>
              </w:rPr>
            </w:pPr>
          </w:p>
          <w:p w14:paraId="2B0F0382">
            <w:pPr>
              <w:spacing w:line="249" w:lineRule="auto"/>
              <w:rPr>
                <w:rFonts w:ascii="Arial"/>
                <w:color w:val="auto"/>
              </w:rPr>
            </w:pPr>
          </w:p>
          <w:p w14:paraId="1EE2AADE">
            <w:pPr>
              <w:spacing w:line="249" w:lineRule="auto"/>
              <w:rPr>
                <w:rFonts w:ascii="Arial"/>
                <w:color w:val="auto"/>
              </w:rPr>
            </w:pPr>
          </w:p>
          <w:p w14:paraId="2A03DB78">
            <w:pPr>
              <w:spacing w:line="249" w:lineRule="auto"/>
              <w:rPr>
                <w:rFonts w:ascii="Arial"/>
                <w:color w:val="auto"/>
              </w:rPr>
            </w:pPr>
          </w:p>
          <w:p w14:paraId="12A96A37">
            <w:pPr>
              <w:spacing w:line="249" w:lineRule="auto"/>
              <w:rPr>
                <w:rFonts w:ascii="Arial"/>
                <w:color w:val="auto"/>
              </w:rPr>
            </w:pPr>
          </w:p>
          <w:p w14:paraId="35027680">
            <w:pPr>
              <w:pStyle w:val="57"/>
              <w:spacing w:before="65" w:line="189" w:lineRule="auto"/>
              <w:ind w:left="216"/>
              <w:rPr>
                <w:color w:val="auto"/>
              </w:rPr>
            </w:pPr>
            <w:r>
              <w:rPr>
                <w:color w:val="auto"/>
              </w:rPr>
              <w:t>4</w:t>
            </w:r>
          </w:p>
        </w:tc>
        <w:tc>
          <w:tcPr>
            <w:tcW w:w="670" w:type="pct"/>
            <w:vMerge w:val="restart"/>
            <w:tcBorders>
              <w:bottom w:val="single" w:color="000000" w:sz="2" w:space="0"/>
            </w:tcBorders>
          </w:tcPr>
          <w:p w14:paraId="413405A4">
            <w:pPr>
              <w:spacing w:line="252" w:lineRule="auto"/>
              <w:rPr>
                <w:rFonts w:ascii="Arial"/>
                <w:color w:val="auto"/>
              </w:rPr>
            </w:pPr>
          </w:p>
          <w:p w14:paraId="2D1D1B7A">
            <w:pPr>
              <w:spacing w:line="252" w:lineRule="auto"/>
              <w:rPr>
                <w:rFonts w:ascii="Arial"/>
                <w:color w:val="auto"/>
              </w:rPr>
            </w:pPr>
          </w:p>
          <w:p w14:paraId="74167B0C">
            <w:pPr>
              <w:spacing w:line="252" w:lineRule="auto"/>
              <w:rPr>
                <w:rFonts w:ascii="Arial"/>
                <w:color w:val="auto"/>
              </w:rPr>
            </w:pPr>
          </w:p>
          <w:p w14:paraId="68EB206C">
            <w:pPr>
              <w:spacing w:line="252" w:lineRule="auto"/>
              <w:rPr>
                <w:rFonts w:ascii="Arial"/>
                <w:color w:val="auto"/>
              </w:rPr>
            </w:pPr>
          </w:p>
          <w:p w14:paraId="29D36FB9">
            <w:pPr>
              <w:spacing w:line="252" w:lineRule="auto"/>
              <w:rPr>
                <w:rFonts w:ascii="Arial"/>
                <w:color w:val="auto"/>
              </w:rPr>
            </w:pPr>
          </w:p>
          <w:p w14:paraId="2D9BE639">
            <w:pPr>
              <w:spacing w:line="252" w:lineRule="auto"/>
              <w:rPr>
                <w:rFonts w:ascii="Arial"/>
                <w:color w:val="auto"/>
              </w:rPr>
            </w:pPr>
          </w:p>
          <w:p w14:paraId="6226FD78">
            <w:pPr>
              <w:spacing w:line="252" w:lineRule="auto"/>
              <w:rPr>
                <w:rFonts w:ascii="Arial"/>
                <w:color w:val="auto"/>
              </w:rPr>
            </w:pPr>
          </w:p>
          <w:p w14:paraId="59DB165C">
            <w:pPr>
              <w:spacing w:line="252" w:lineRule="auto"/>
              <w:rPr>
                <w:rFonts w:ascii="Arial"/>
                <w:color w:val="auto"/>
              </w:rPr>
            </w:pPr>
          </w:p>
          <w:p w14:paraId="27F026EA">
            <w:pPr>
              <w:pStyle w:val="57"/>
              <w:spacing w:before="65" w:line="239" w:lineRule="auto"/>
              <w:ind w:left="346" w:right="129" w:hanging="208"/>
              <w:rPr>
                <w:color w:val="auto"/>
                <w:lang w:eastAsia="zh-CN"/>
              </w:rPr>
            </w:pPr>
          </w:p>
          <w:p w14:paraId="2FB784F6">
            <w:pPr>
              <w:pStyle w:val="57"/>
              <w:spacing w:before="65" w:line="239" w:lineRule="auto"/>
              <w:ind w:left="346" w:right="129" w:hanging="208"/>
              <w:rPr>
                <w:color w:val="auto"/>
                <w:lang w:eastAsia="zh-CN"/>
              </w:rPr>
            </w:pPr>
          </w:p>
          <w:p w14:paraId="471A8050">
            <w:pPr>
              <w:pStyle w:val="57"/>
              <w:spacing w:before="65" w:line="239" w:lineRule="auto"/>
              <w:ind w:left="346" w:right="129" w:hanging="208"/>
              <w:rPr>
                <w:color w:val="auto"/>
                <w:lang w:eastAsia="zh-CN"/>
              </w:rPr>
            </w:pPr>
          </w:p>
          <w:p w14:paraId="0BB372D2">
            <w:pPr>
              <w:pStyle w:val="57"/>
              <w:spacing w:before="65" w:line="239" w:lineRule="auto"/>
              <w:ind w:left="346" w:right="129" w:hanging="208"/>
              <w:rPr>
                <w:color w:val="auto"/>
                <w:lang w:eastAsia="zh-CN"/>
              </w:rPr>
            </w:pPr>
          </w:p>
          <w:p w14:paraId="14CB1F11">
            <w:pPr>
              <w:pStyle w:val="57"/>
              <w:spacing w:before="65" w:line="239" w:lineRule="auto"/>
              <w:ind w:left="346" w:right="129" w:hanging="208"/>
              <w:rPr>
                <w:color w:val="auto"/>
                <w:lang w:eastAsia="zh-CN"/>
              </w:rPr>
            </w:pPr>
            <w:r>
              <w:rPr>
                <w:rFonts w:hint="eastAsia"/>
                <w:color w:val="auto"/>
                <w:lang w:eastAsia="zh-CN"/>
              </w:rPr>
              <w:t>企业实力(</w:t>
            </w:r>
            <w:r>
              <w:rPr>
                <w:rFonts w:hint="eastAsia"/>
                <w:color w:val="auto"/>
                <w:lang w:val="en-US" w:eastAsia="zh-CN"/>
              </w:rPr>
              <w:t>18</w:t>
            </w:r>
            <w:r>
              <w:rPr>
                <w:rFonts w:hint="eastAsia"/>
                <w:color w:val="auto"/>
                <w:lang w:eastAsia="zh-CN"/>
              </w:rPr>
              <w:t>分)</w:t>
            </w:r>
          </w:p>
        </w:tc>
        <w:tc>
          <w:tcPr>
            <w:tcW w:w="886" w:type="pct"/>
            <w:tcBorders>
              <w:bottom w:val="single" w:color="000000" w:sz="2" w:space="0"/>
            </w:tcBorders>
            <w:vAlign w:val="center"/>
          </w:tcPr>
          <w:p w14:paraId="0E13722F">
            <w:pPr>
              <w:pStyle w:val="57"/>
              <w:spacing w:before="65" w:line="229" w:lineRule="auto"/>
              <w:jc w:val="center"/>
              <w:rPr>
                <w:color w:val="auto"/>
                <w:spacing w:val="6"/>
                <w:lang w:eastAsia="zh-CN"/>
              </w:rPr>
            </w:pPr>
            <w:r>
              <w:rPr>
                <w:color w:val="auto"/>
                <w:spacing w:val="6"/>
              </w:rPr>
              <w:t>企业</w:t>
            </w:r>
            <w:r>
              <w:rPr>
                <w:rFonts w:hint="eastAsia"/>
                <w:color w:val="auto"/>
                <w:spacing w:val="6"/>
                <w:lang w:eastAsia="zh-CN"/>
              </w:rPr>
              <w:t>业绩</w:t>
            </w:r>
          </w:p>
          <w:p w14:paraId="28683C93">
            <w:pPr>
              <w:pStyle w:val="57"/>
              <w:spacing w:before="65" w:line="229" w:lineRule="auto"/>
              <w:jc w:val="center"/>
              <w:rPr>
                <w:color w:val="auto"/>
              </w:rPr>
            </w:pPr>
            <w:r>
              <w:rPr>
                <w:color w:val="auto"/>
                <w:spacing w:val="6"/>
              </w:rPr>
              <w:t>（</w:t>
            </w:r>
            <w:r>
              <w:rPr>
                <w:rFonts w:hint="eastAsia"/>
                <w:color w:val="auto"/>
                <w:spacing w:val="6"/>
                <w:lang w:val="en-US" w:eastAsia="zh-CN"/>
              </w:rPr>
              <w:t>10</w:t>
            </w:r>
            <w:r>
              <w:rPr>
                <w:color w:val="auto"/>
                <w:spacing w:val="6"/>
              </w:rPr>
              <w:t>分）</w:t>
            </w:r>
          </w:p>
        </w:tc>
        <w:tc>
          <w:tcPr>
            <w:tcW w:w="3108" w:type="pct"/>
            <w:tcBorders>
              <w:bottom w:val="single" w:color="000000" w:sz="2" w:space="0"/>
            </w:tcBorders>
          </w:tcPr>
          <w:p w14:paraId="433CEC40">
            <w:pPr>
              <w:pStyle w:val="57"/>
              <w:spacing w:before="33" w:line="243" w:lineRule="auto"/>
              <w:ind w:left="117" w:right="216"/>
              <w:rPr>
                <w:color w:val="auto"/>
                <w:lang w:eastAsia="zh-CN"/>
              </w:rPr>
            </w:pPr>
            <w:r>
              <w:rPr>
                <w:color w:val="auto"/>
                <w:spacing w:val="9"/>
                <w:lang w:eastAsia="zh-CN"/>
              </w:rPr>
              <w:t>投标单位2022年1月1日至今</w:t>
            </w:r>
            <w:r>
              <w:rPr>
                <w:rFonts w:hint="eastAsia"/>
                <w:color w:val="auto"/>
                <w:spacing w:val="9"/>
                <w:lang w:eastAsia="zh-CN"/>
              </w:rPr>
              <w:t>，</w:t>
            </w:r>
            <w:bookmarkStart w:id="35" w:name="_GoBack"/>
            <w:bookmarkEnd w:id="35"/>
            <w:r>
              <w:rPr>
                <w:color w:val="auto"/>
                <w:lang w:eastAsia="zh-CN"/>
              </w:rPr>
              <w:t>承担过</w:t>
            </w:r>
            <w:r>
              <w:rPr>
                <w:rFonts w:hint="eastAsia"/>
                <w:color w:val="auto"/>
                <w:lang w:val="en-US" w:eastAsia="zh-CN"/>
              </w:rPr>
              <w:t>类似</w:t>
            </w:r>
            <w:r>
              <w:rPr>
                <w:color w:val="auto"/>
                <w:lang w:eastAsia="zh-CN"/>
              </w:rPr>
              <w:t>设计类项目</w:t>
            </w:r>
            <w:r>
              <w:rPr>
                <w:rFonts w:hint="eastAsia"/>
                <w:color w:val="auto"/>
                <w:lang w:val="en-US" w:eastAsia="zh-CN"/>
              </w:rPr>
              <w:t>或</w:t>
            </w:r>
            <w:r>
              <w:rPr>
                <w:color w:val="auto"/>
                <w:lang w:eastAsia="zh-CN"/>
              </w:rPr>
              <w:t>产业发展规划项目，每有一项得2分，最高得</w:t>
            </w:r>
            <w:r>
              <w:rPr>
                <w:rFonts w:hint="eastAsia"/>
                <w:color w:val="auto"/>
                <w:lang w:val="en-US" w:eastAsia="zh-CN"/>
              </w:rPr>
              <w:t>10</w:t>
            </w:r>
            <w:r>
              <w:rPr>
                <w:color w:val="auto"/>
                <w:lang w:eastAsia="zh-CN"/>
              </w:rPr>
              <w:t>分。</w:t>
            </w:r>
          </w:p>
          <w:p w14:paraId="4B61F055">
            <w:pPr>
              <w:pStyle w:val="57"/>
              <w:spacing w:before="33" w:line="243" w:lineRule="auto"/>
              <w:ind w:left="117" w:right="216"/>
              <w:rPr>
                <w:color w:val="auto"/>
                <w:lang w:eastAsia="zh-CN"/>
              </w:rPr>
            </w:pPr>
            <w:r>
              <w:rPr>
                <w:color w:val="auto"/>
                <w:spacing w:val="9"/>
                <w:lang w:eastAsia="zh-CN"/>
              </w:rPr>
              <w:t>投标文件</w:t>
            </w:r>
            <w:r>
              <w:rPr>
                <w:rFonts w:hint="eastAsia"/>
                <w:color w:val="auto"/>
                <w:lang w:eastAsia="zh-CN"/>
              </w:rPr>
              <w:t>中提供完整合同扫描件</w:t>
            </w:r>
            <w:r>
              <w:rPr>
                <w:color w:val="auto"/>
                <w:spacing w:val="9"/>
                <w:lang w:eastAsia="zh-CN"/>
              </w:rPr>
              <w:t>，未提供不得分</w:t>
            </w:r>
            <w:r>
              <w:rPr>
                <w:rFonts w:hint="eastAsia"/>
                <w:color w:val="auto"/>
                <w:lang w:eastAsia="zh-CN"/>
              </w:rPr>
              <w:t>。</w:t>
            </w:r>
          </w:p>
          <w:p w14:paraId="67780190">
            <w:pPr>
              <w:pStyle w:val="57"/>
              <w:spacing w:before="33" w:line="243" w:lineRule="auto"/>
              <w:ind w:right="216"/>
              <w:rPr>
                <w:color w:val="auto"/>
                <w:lang w:eastAsia="zh-CN"/>
              </w:rPr>
            </w:pPr>
          </w:p>
        </w:tc>
      </w:tr>
      <w:tr w14:paraId="0C4E4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jc w:val="center"/>
        </w:trPr>
        <w:tc>
          <w:tcPr>
            <w:tcW w:w="333" w:type="pct"/>
            <w:vMerge w:val="continue"/>
            <w:tcBorders>
              <w:top w:val="single" w:color="000000" w:sz="2" w:space="0"/>
              <w:bottom w:val="single" w:color="000000" w:sz="2" w:space="0"/>
            </w:tcBorders>
          </w:tcPr>
          <w:p w14:paraId="5BC564BA">
            <w:pPr>
              <w:rPr>
                <w:rFonts w:ascii="Arial"/>
                <w:color w:val="auto"/>
              </w:rPr>
            </w:pPr>
          </w:p>
        </w:tc>
        <w:tc>
          <w:tcPr>
            <w:tcW w:w="670" w:type="pct"/>
            <w:vMerge w:val="continue"/>
            <w:tcBorders>
              <w:top w:val="single" w:color="000000" w:sz="2" w:space="0"/>
              <w:bottom w:val="single" w:color="000000" w:sz="2" w:space="0"/>
            </w:tcBorders>
          </w:tcPr>
          <w:p w14:paraId="0885E873">
            <w:pPr>
              <w:rPr>
                <w:rFonts w:ascii="Arial"/>
                <w:color w:val="auto"/>
              </w:rPr>
            </w:pPr>
          </w:p>
        </w:tc>
        <w:tc>
          <w:tcPr>
            <w:tcW w:w="886" w:type="pct"/>
            <w:tcBorders>
              <w:top w:val="single" w:color="000000" w:sz="2" w:space="0"/>
              <w:bottom w:val="single" w:color="000000" w:sz="2" w:space="0"/>
            </w:tcBorders>
            <w:vAlign w:val="center"/>
          </w:tcPr>
          <w:p w14:paraId="47FEC148">
            <w:pPr>
              <w:pStyle w:val="57"/>
              <w:spacing w:before="65" w:line="228" w:lineRule="auto"/>
              <w:jc w:val="center"/>
              <w:rPr>
                <w:color w:val="auto"/>
                <w:spacing w:val="6"/>
              </w:rPr>
            </w:pPr>
            <w:r>
              <w:rPr>
                <w:color w:val="auto"/>
                <w:spacing w:val="6"/>
              </w:rPr>
              <w:t>企业表彰</w:t>
            </w:r>
          </w:p>
          <w:p w14:paraId="17F77F4B">
            <w:pPr>
              <w:pStyle w:val="57"/>
              <w:spacing w:before="65" w:line="228" w:lineRule="auto"/>
              <w:jc w:val="center"/>
              <w:rPr>
                <w:color w:val="auto"/>
              </w:rPr>
            </w:pPr>
            <w:r>
              <w:rPr>
                <w:color w:val="auto"/>
                <w:spacing w:val="6"/>
              </w:rPr>
              <w:t>（</w:t>
            </w:r>
            <w:r>
              <w:rPr>
                <w:color w:val="auto"/>
                <w:spacing w:val="6"/>
                <w:lang w:eastAsia="zh-CN"/>
              </w:rPr>
              <w:t>5</w:t>
            </w:r>
            <w:r>
              <w:rPr>
                <w:color w:val="auto"/>
                <w:spacing w:val="6"/>
              </w:rPr>
              <w:t>分）</w:t>
            </w:r>
          </w:p>
        </w:tc>
        <w:tc>
          <w:tcPr>
            <w:tcW w:w="3108" w:type="pct"/>
            <w:tcBorders>
              <w:top w:val="single" w:color="000000" w:sz="2" w:space="0"/>
              <w:bottom w:val="single" w:color="000000" w:sz="2" w:space="0"/>
            </w:tcBorders>
          </w:tcPr>
          <w:p w14:paraId="3826C992">
            <w:pPr>
              <w:pStyle w:val="57"/>
              <w:spacing w:before="23" w:line="234" w:lineRule="auto"/>
              <w:ind w:left="133" w:right="216" w:hanging="19"/>
              <w:rPr>
                <w:color w:val="auto"/>
                <w:lang w:eastAsia="zh-CN"/>
              </w:rPr>
            </w:pPr>
            <w:r>
              <w:rPr>
                <w:color w:val="auto"/>
                <w:spacing w:val="9"/>
                <w:lang w:eastAsia="zh-CN"/>
              </w:rPr>
              <w:t>投标单位2022年1月1日至今（时间以奖项证书颁发时间为准）承担的规划编制项目，</w:t>
            </w:r>
            <w:r>
              <w:rPr>
                <w:rFonts w:hint="eastAsia"/>
                <w:color w:val="auto"/>
                <w:spacing w:val="9"/>
                <w:lang w:eastAsia="zh-CN"/>
              </w:rPr>
              <w:t>获得设区市级及以上政府部门颁发的奖项的</w:t>
            </w:r>
            <w:r>
              <w:rPr>
                <w:color w:val="auto"/>
                <w:spacing w:val="9"/>
                <w:lang w:eastAsia="zh-CN"/>
              </w:rPr>
              <w:t>，</w:t>
            </w:r>
            <w:r>
              <w:rPr>
                <w:rFonts w:hint="eastAsia"/>
                <w:color w:val="auto"/>
                <w:spacing w:val="9"/>
                <w:lang w:eastAsia="zh-CN"/>
              </w:rPr>
              <w:t>每有一项得</w:t>
            </w:r>
            <w:r>
              <w:rPr>
                <w:color w:val="auto"/>
                <w:spacing w:val="9"/>
                <w:lang w:eastAsia="zh-CN"/>
              </w:rPr>
              <w:t>1</w:t>
            </w:r>
            <w:r>
              <w:rPr>
                <w:rFonts w:hint="eastAsia"/>
                <w:color w:val="auto"/>
                <w:spacing w:val="9"/>
                <w:lang w:eastAsia="zh-CN"/>
              </w:rPr>
              <w:t>分，本项最高得</w:t>
            </w:r>
            <w:r>
              <w:rPr>
                <w:color w:val="auto"/>
                <w:spacing w:val="9"/>
                <w:lang w:eastAsia="zh-CN"/>
              </w:rPr>
              <w:t>5</w:t>
            </w:r>
            <w:r>
              <w:rPr>
                <w:rFonts w:hint="eastAsia"/>
                <w:color w:val="auto"/>
                <w:spacing w:val="9"/>
                <w:lang w:eastAsia="zh-CN"/>
              </w:rPr>
              <w:t>分</w:t>
            </w:r>
            <w:r>
              <w:rPr>
                <w:color w:val="auto"/>
                <w:spacing w:val="9"/>
                <w:lang w:eastAsia="zh-CN"/>
              </w:rPr>
              <w:t>。投标文件内提供获奖证书扫描件，未提供不得分。</w:t>
            </w:r>
            <w:r>
              <w:rPr>
                <w:rFonts w:hint="eastAsia"/>
                <w:color w:val="auto"/>
                <w:spacing w:val="9"/>
                <w:lang w:eastAsia="zh-CN"/>
              </w:rPr>
              <w:t>与上述项目负责人获奖不重复计分。</w:t>
            </w:r>
          </w:p>
        </w:tc>
      </w:tr>
      <w:tr w14:paraId="43510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333" w:type="pct"/>
            <w:vMerge w:val="continue"/>
            <w:tcBorders>
              <w:top w:val="single" w:color="000000" w:sz="2" w:space="0"/>
              <w:bottom w:val="single" w:color="000000" w:sz="2" w:space="0"/>
            </w:tcBorders>
          </w:tcPr>
          <w:p w14:paraId="7348A3A3">
            <w:pPr>
              <w:rPr>
                <w:rFonts w:ascii="Arial"/>
                <w:color w:val="auto"/>
              </w:rPr>
            </w:pPr>
          </w:p>
        </w:tc>
        <w:tc>
          <w:tcPr>
            <w:tcW w:w="670" w:type="pct"/>
            <w:vMerge w:val="continue"/>
            <w:tcBorders>
              <w:top w:val="single" w:color="000000" w:sz="2" w:space="0"/>
              <w:bottom w:val="single" w:color="000000" w:sz="2" w:space="0"/>
            </w:tcBorders>
          </w:tcPr>
          <w:p w14:paraId="2BFE2F68">
            <w:pPr>
              <w:rPr>
                <w:rFonts w:ascii="Arial"/>
                <w:color w:val="auto"/>
              </w:rPr>
            </w:pPr>
          </w:p>
        </w:tc>
        <w:tc>
          <w:tcPr>
            <w:tcW w:w="886" w:type="pct"/>
            <w:tcBorders>
              <w:top w:val="single" w:color="000000" w:sz="2" w:space="0"/>
              <w:bottom w:val="single" w:color="000000" w:sz="2" w:space="0"/>
            </w:tcBorders>
            <w:vAlign w:val="center"/>
          </w:tcPr>
          <w:p w14:paraId="53AE357B">
            <w:pPr>
              <w:pStyle w:val="57"/>
              <w:spacing w:before="65" w:line="228" w:lineRule="auto"/>
              <w:jc w:val="center"/>
              <w:rPr>
                <w:color w:val="auto"/>
                <w:spacing w:val="6"/>
              </w:rPr>
            </w:pPr>
            <w:r>
              <w:rPr>
                <w:color w:val="auto"/>
                <w:spacing w:val="6"/>
              </w:rPr>
              <w:t>管理体系</w:t>
            </w:r>
          </w:p>
          <w:p w14:paraId="54DC6E9D">
            <w:pPr>
              <w:pStyle w:val="57"/>
              <w:spacing w:before="65" w:line="228" w:lineRule="auto"/>
              <w:jc w:val="center"/>
              <w:rPr>
                <w:color w:val="auto"/>
              </w:rPr>
            </w:pPr>
            <w:r>
              <w:rPr>
                <w:color w:val="auto"/>
                <w:spacing w:val="6"/>
              </w:rPr>
              <w:t>（</w:t>
            </w:r>
            <w:r>
              <w:rPr>
                <w:rFonts w:hint="eastAsia"/>
                <w:color w:val="auto"/>
                <w:spacing w:val="6"/>
                <w:lang w:eastAsia="zh-CN"/>
              </w:rPr>
              <w:t>3</w:t>
            </w:r>
            <w:r>
              <w:rPr>
                <w:color w:val="auto"/>
                <w:spacing w:val="6"/>
              </w:rPr>
              <w:t>分）</w:t>
            </w:r>
          </w:p>
        </w:tc>
        <w:tc>
          <w:tcPr>
            <w:tcW w:w="3108" w:type="pct"/>
            <w:tcBorders>
              <w:top w:val="single" w:color="000000" w:sz="2" w:space="0"/>
              <w:bottom w:val="single" w:color="000000" w:sz="2" w:space="0"/>
            </w:tcBorders>
          </w:tcPr>
          <w:p w14:paraId="437288DF">
            <w:pPr>
              <w:pStyle w:val="57"/>
              <w:spacing w:before="35" w:line="249" w:lineRule="auto"/>
              <w:ind w:left="115" w:right="113" w:firstLine="1"/>
              <w:rPr>
                <w:color w:val="auto"/>
                <w:lang w:eastAsia="zh-CN"/>
              </w:rPr>
            </w:pPr>
            <w:r>
              <w:rPr>
                <w:color w:val="auto"/>
                <w:spacing w:val="9"/>
                <w:lang w:eastAsia="zh-CN"/>
              </w:rPr>
              <w:t>投标人同时具备有效期内的质量管理体系认证证书、环境管理体系认证证书、职业健康与安全管理体</w:t>
            </w:r>
            <w:r>
              <w:rPr>
                <w:color w:val="auto"/>
                <w:spacing w:val="8"/>
                <w:lang w:eastAsia="zh-CN"/>
              </w:rPr>
              <w:t>系认证证书的</w:t>
            </w:r>
            <w:r>
              <w:rPr>
                <w:rFonts w:hint="eastAsia"/>
                <w:color w:val="auto"/>
                <w:spacing w:val="8"/>
                <w:lang w:eastAsia="zh-CN"/>
              </w:rPr>
              <w:t>有一个得一分。</w:t>
            </w:r>
          </w:p>
          <w:p w14:paraId="70593DE3">
            <w:pPr>
              <w:pStyle w:val="57"/>
              <w:spacing w:before="7" w:line="216" w:lineRule="auto"/>
              <w:ind w:left="114"/>
              <w:rPr>
                <w:color w:val="auto"/>
                <w:lang w:eastAsia="zh-CN"/>
              </w:rPr>
            </w:pPr>
            <w:r>
              <w:rPr>
                <w:color w:val="auto"/>
                <w:spacing w:val="8"/>
                <w:lang w:eastAsia="zh-CN"/>
              </w:rPr>
              <w:t>注：</w:t>
            </w:r>
            <w:r>
              <w:rPr>
                <w:rFonts w:hint="eastAsia"/>
                <w:color w:val="auto"/>
                <w:spacing w:val="8"/>
                <w:lang w:eastAsia="zh-CN"/>
              </w:rPr>
              <w:t>上述认证证书，须在有效认证期内，必须在中国国家认证认可监督管理委员会官网可查，响应文件中必须提供在此网站上查验的截图（失效、撤销或暂停的对应证书视为未提供）及证书扫描件，否则对应项不得分</w:t>
            </w:r>
            <w:r>
              <w:rPr>
                <w:color w:val="auto"/>
                <w:spacing w:val="8"/>
                <w:lang w:eastAsia="zh-CN"/>
              </w:rPr>
              <w:t>。</w:t>
            </w:r>
          </w:p>
        </w:tc>
      </w:tr>
    </w:tbl>
    <w:p w14:paraId="7D73F6DB">
      <w:pPr>
        <w:tabs>
          <w:tab w:val="left" w:pos="0"/>
          <w:tab w:val="left" w:pos="1134"/>
        </w:tabs>
        <w:adjustRightInd w:val="0"/>
        <w:snapToGrid w:val="0"/>
        <w:spacing w:line="360" w:lineRule="auto"/>
        <w:ind w:firstLine="442" w:firstLineChars="200"/>
        <w:jc w:val="left"/>
        <w:rPr>
          <w:rFonts w:hint="eastAsia" w:ascii="宋体" w:hAnsi="宋体" w:cs="宋体"/>
          <w:b/>
          <w:sz w:val="22"/>
          <w:szCs w:val="22"/>
        </w:rPr>
      </w:pPr>
    </w:p>
    <w:p w14:paraId="30E1E104">
      <w:pPr>
        <w:tabs>
          <w:tab w:val="left" w:pos="0"/>
          <w:tab w:val="left" w:pos="1134"/>
        </w:tabs>
        <w:adjustRightInd w:val="0"/>
        <w:snapToGrid w:val="0"/>
        <w:spacing w:line="360" w:lineRule="auto"/>
        <w:jc w:val="left"/>
        <w:rPr>
          <w:rFonts w:hint="eastAsia" w:ascii="宋体" w:hAnsi="宋体" w:cs="宋体"/>
          <w:sz w:val="22"/>
          <w:szCs w:val="22"/>
        </w:rPr>
      </w:pPr>
      <w:r>
        <w:rPr>
          <w:rFonts w:hint="eastAsia" w:ascii="宋体" w:hAnsi="宋体" w:cs="宋体"/>
          <w:b/>
          <w:sz w:val="22"/>
          <w:szCs w:val="22"/>
        </w:rPr>
        <w:t>注：评委应对以上各得分项独立评分，投标人最终得分为所有评委评分汇总的平均值。</w:t>
      </w:r>
    </w:p>
    <w:p w14:paraId="64822D98">
      <w:pPr>
        <w:tabs>
          <w:tab w:val="left" w:pos="0"/>
          <w:tab w:val="left" w:pos="1134"/>
        </w:tabs>
        <w:adjustRightInd w:val="0"/>
        <w:snapToGrid w:val="0"/>
        <w:spacing w:line="360" w:lineRule="auto"/>
        <w:ind w:firstLine="420" w:firstLineChars="200"/>
        <w:jc w:val="left"/>
        <w:rPr>
          <w:rFonts w:hint="eastAsia" w:ascii="宋体" w:hAnsi="宋体" w:cs="宋体"/>
        </w:rPr>
      </w:pPr>
    </w:p>
    <w:p w14:paraId="711C0392">
      <w:pPr>
        <w:pStyle w:val="23"/>
        <w:ind w:firstLine="640"/>
      </w:pPr>
    </w:p>
    <w:p w14:paraId="0F421F52">
      <w:pPr>
        <w:pStyle w:val="23"/>
        <w:ind w:left="0" w:leftChars="0" w:firstLine="0" w:firstLineChars="0"/>
      </w:pPr>
    </w:p>
    <w:p w14:paraId="6A640B4D">
      <w:pPr>
        <w:rPr>
          <w:rFonts w:hint="eastAsia" w:ascii="宋体" w:hAnsi="宋体" w:cs="宋体"/>
          <w:b/>
          <w:sz w:val="32"/>
          <w:szCs w:val="32"/>
        </w:rPr>
      </w:pPr>
      <w:r>
        <w:rPr>
          <w:rFonts w:hint="eastAsia" w:ascii="宋体" w:hAnsi="宋体" w:cs="宋体"/>
          <w:b/>
          <w:sz w:val="32"/>
          <w:szCs w:val="32"/>
        </w:rPr>
        <w:br w:type="page"/>
      </w:r>
    </w:p>
    <w:p w14:paraId="5D887DD7">
      <w:pPr>
        <w:ind w:firstLine="1285" w:firstLineChars="400"/>
        <w:rPr>
          <w:rFonts w:hint="eastAsia" w:ascii="宋体" w:hAnsi="宋体" w:cs="宋体"/>
          <w:b/>
          <w:sz w:val="32"/>
          <w:szCs w:val="32"/>
        </w:rPr>
      </w:pPr>
      <w:r>
        <w:rPr>
          <w:rFonts w:hint="eastAsia" w:ascii="宋体" w:hAnsi="宋体" w:cs="宋体"/>
          <w:b/>
          <w:sz w:val="32"/>
          <w:szCs w:val="32"/>
        </w:rPr>
        <w:t>第六章、竞争性磋商投标文件（格式）</w:t>
      </w:r>
      <w:bookmarkEnd w:id="21"/>
    </w:p>
    <w:p w14:paraId="58507F84">
      <w:pPr>
        <w:pStyle w:val="3"/>
        <w:spacing w:line="500" w:lineRule="exact"/>
        <w:jc w:val="center"/>
        <w:rPr>
          <w:rFonts w:hint="eastAsia" w:ascii="宋体" w:hAnsi="宋体" w:cs="宋体"/>
          <w:b w:val="0"/>
          <w:bCs w:val="0"/>
          <w:sz w:val="48"/>
        </w:rPr>
      </w:pPr>
      <w:bookmarkStart w:id="22" w:name="_Toc80184570"/>
      <w:bookmarkStart w:id="23" w:name="_Toc506957184"/>
      <w:bookmarkStart w:id="24" w:name="_Toc26554094"/>
      <w:bookmarkStart w:id="25" w:name="_Toc80184787"/>
    </w:p>
    <w:bookmarkEnd w:id="22"/>
    <w:bookmarkEnd w:id="23"/>
    <w:bookmarkEnd w:id="24"/>
    <w:bookmarkEnd w:id="25"/>
    <w:p w14:paraId="2338BFB3">
      <w:pPr>
        <w:spacing w:line="500" w:lineRule="exact"/>
        <w:jc w:val="center"/>
        <w:rPr>
          <w:rFonts w:hint="eastAsia" w:ascii="宋体" w:hAnsi="宋体" w:cs="宋体"/>
          <w:b/>
          <w:bCs/>
          <w:smallCaps/>
          <w:sz w:val="32"/>
          <w:szCs w:val="32"/>
        </w:rPr>
      </w:pPr>
    </w:p>
    <w:p w14:paraId="531EFA36">
      <w:pPr>
        <w:spacing w:line="500" w:lineRule="exact"/>
        <w:ind w:firstLine="2702" w:firstLineChars="841"/>
        <w:rPr>
          <w:rFonts w:hint="eastAsia" w:ascii="宋体" w:hAnsi="宋体" w:cs="宋体"/>
          <w:b/>
          <w:bCs/>
          <w:smallCaps/>
          <w:sz w:val="32"/>
          <w:szCs w:val="32"/>
        </w:rPr>
      </w:pPr>
    </w:p>
    <w:p w14:paraId="6671CEB2">
      <w:pPr>
        <w:spacing w:line="500" w:lineRule="exact"/>
        <w:ind w:firstLine="2702" w:firstLineChars="841"/>
        <w:rPr>
          <w:rFonts w:hint="eastAsia" w:ascii="宋体" w:hAnsi="宋体" w:cs="宋体"/>
          <w:b/>
          <w:bCs/>
          <w:smallCaps/>
          <w:sz w:val="32"/>
          <w:szCs w:val="32"/>
        </w:rPr>
      </w:pPr>
    </w:p>
    <w:p w14:paraId="37135DC7">
      <w:pPr>
        <w:spacing w:line="500" w:lineRule="exact"/>
        <w:ind w:firstLine="2702" w:firstLineChars="841"/>
        <w:rPr>
          <w:rFonts w:hint="eastAsia" w:ascii="宋体" w:hAnsi="宋体" w:cs="宋体"/>
          <w:b/>
          <w:bCs/>
          <w:smallCaps/>
          <w:sz w:val="32"/>
          <w:szCs w:val="32"/>
        </w:rPr>
      </w:pPr>
    </w:p>
    <w:p w14:paraId="7D017055">
      <w:pPr>
        <w:spacing w:line="500" w:lineRule="exact"/>
        <w:ind w:firstLine="1789" w:firstLineChars="495"/>
        <w:rPr>
          <w:rFonts w:hint="eastAsia" w:ascii="宋体" w:hAnsi="宋体" w:cs="宋体"/>
          <w:b/>
          <w:bCs/>
          <w:sz w:val="36"/>
          <w:szCs w:val="36"/>
        </w:rPr>
      </w:pPr>
      <w:r>
        <w:rPr>
          <w:rFonts w:hint="eastAsia" w:ascii="宋体" w:hAnsi="宋体" w:cs="宋体"/>
          <w:b/>
          <w:bCs/>
          <w:smallCaps/>
          <w:sz w:val="36"/>
          <w:szCs w:val="36"/>
        </w:rPr>
        <w:t>项目编号</w:t>
      </w:r>
      <w:r>
        <w:rPr>
          <w:rFonts w:hint="eastAsia" w:ascii="宋体" w:hAnsi="宋体" w:cs="宋体"/>
          <w:b/>
          <w:bCs/>
          <w:sz w:val="36"/>
          <w:szCs w:val="36"/>
        </w:rPr>
        <w:t>：</w:t>
      </w:r>
      <w:r>
        <w:rPr>
          <w:rFonts w:hint="eastAsia" w:ascii="宋体" w:hAnsi="宋体" w:cs="宋体"/>
          <w:b/>
          <w:bCs/>
          <w:sz w:val="36"/>
          <w:szCs w:val="36"/>
          <w:u w:val="single"/>
        </w:rPr>
        <w:t xml:space="preserve">                   </w:t>
      </w:r>
    </w:p>
    <w:p w14:paraId="3B3F734D">
      <w:pPr>
        <w:spacing w:line="500" w:lineRule="exact"/>
        <w:ind w:firstLine="1789" w:firstLineChars="495"/>
        <w:rPr>
          <w:rFonts w:hint="eastAsia" w:ascii="宋体" w:hAnsi="宋体" w:cs="宋体"/>
          <w:b/>
          <w:bCs/>
          <w:sz w:val="36"/>
          <w:szCs w:val="36"/>
        </w:rPr>
      </w:pPr>
    </w:p>
    <w:p w14:paraId="0C3725B8">
      <w:pPr>
        <w:spacing w:line="500" w:lineRule="exact"/>
        <w:ind w:firstLine="1789" w:firstLineChars="495"/>
        <w:rPr>
          <w:rFonts w:hint="eastAsia" w:ascii="宋体" w:hAnsi="宋体" w:cs="宋体"/>
          <w:b/>
          <w:bCs/>
          <w:sz w:val="36"/>
          <w:szCs w:val="36"/>
        </w:rPr>
      </w:pPr>
      <w:r>
        <w:rPr>
          <w:rFonts w:hint="eastAsia" w:ascii="宋体" w:hAnsi="宋体" w:cs="宋体"/>
          <w:b/>
          <w:bCs/>
          <w:smallCaps/>
          <w:sz w:val="36"/>
          <w:szCs w:val="36"/>
        </w:rPr>
        <w:t>项目名称</w:t>
      </w:r>
      <w:r>
        <w:rPr>
          <w:rFonts w:hint="eastAsia" w:ascii="宋体" w:hAnsi="宋体" w:cs="宋体"/>
          <w:b/>
          <w:bCs/>
          <w:sz w:val="36"/>
          <w:szCs w:val="36"/>
        </w:rPr>
        <w:t xml:space="preserve">: </w:t>
      </w:r>
      <w:r>
        <w:rPr>
          <w:rFonts w:hint="eastAsia" w:ascii="宋体" w:hAnsi="宋体" w:cs="宋体"/>
          <w:b/>
          <w:bCs/>
          <w:sz w:val="36"/>
          <w:szCs w:val="36"/>
          <w:u w:val="single"/>
        </w:rPr>
        <w:t xml:space="preserve">                   </w:t>
      </w:r>
    </w:p>
    <w:p w14:paraId="3AAEC807">
      <w:pPr>
        <w:spacing w:line="500" w:lineRule="exact"/>
        <w:jc w:val="center"/>
        <w:rPr>
          <w:rFonts w:hint="eastAsia" w:ascii="宋体" w:hAnsi="宋体" w:cs="宋体"/>
          <w:b/>
          <w:bCs/>
          <w:sz w:val="36"/>
          <w:szCs w:val="36"/>
        </w:rPr>
      </w:pPr>
    </w:p>
    <w:p w14:paraId="5E3C999F">
      <w:pPr>
        <w:spacing w:line="500" w:lineRule="exact"/>
        <w:jc w:val="center"/>
        <w:rPr>
          <w:rFonts w:hint="eastAsia" w:ascii="宋体" w:hAnsi="宋体" w:cs="宋体"/>
          <w:sz w:val="36"/>
          <w:szCs w:val="36"/>
        </w:rPr>
      </w:pPr>
    </w:p>
    <w:p w14:paraId="55DE43E0">
      <w:pPr>
        <w:spacing w:line="500" w:lineRule="exact"/>
        <w:jc w:val="center"/>
        <w:rPr>
          <w:rFonts w:hint="eastAsia" w:ascii="宋体" w:hAnsi="宋体" w:cs="宋体"/>
          <w:sz w:val="28"/>
        </w:rPr>
      </w:pPr>
    </w:p>
    <w:p w14:paraId="4ADEBD6B">
      <w:pPr>
        <w:spacing w:line="500" w:lineRule="exact"/>
        <w:jc w:val="center"/>
        <w:rPr>
          <w:rFonts w:hint="eastAsia" w:ascii="宋体" w:hAnsi="宋体" w:cs="宋体"/>
          <w:sz w:val="28"/>
        </w:rPr>
      </w:pPr>
    </w:p>
    <w:p w14:paraId="5E1591ED">
      <w:pPr>
        <w:spacing w:line="500" w:lineRule="exact"/>
        <w:jc w:val="center"/>
        <w:rPr>
          <w:rFonts w:hint="eastAsia" w:ascii="宋体" w:hAnsi="宋体" w:cs="宋体"/>
          <w:sz w:val="28"/>
        </w:rPr>
      </w:pPr>
    </w:p>
    <w:p w14:paraId="7C8C2C0D">
      <w:pPr>
        <w:spacing w:line="500" w:lineRule="exact"/>
        <w:jc w:val="center"/>
        <w:rPr>
          <w:rFonts w:hint="eastAsia" w:ascii="宋体" w:hAnsi="宋体" w:cs="宋体"/>
          <w:sz w:val="28"/>
        </w:rPr>
      </w:pPr>
    </w:p>
    <w:p w14:paraId="2882F1B3">
      <w:pPr>
        <w:spacing w:line="500" w:lineRule="exact"/>
        <w:jc w:val="center"/>
        <w:rPr>
          <w:rFonts w:hint="eastAsia" w:ascii="宋体" w:hAnsi="宋体" w:cs="宋体"/>
          <w:sz w:val="28"/>
        </w:rPr>
      </w:pPr>
    </w:p>
    <w:p w14:paraId="427F26FC">
      <w:pPr>
        <w:spacing w:line="500" w:lineRule="exact"/>
        <w:ind w:right="1124" w:firstLine="1214" w:firstLineChars="378"/>
        <w:rPr>
          <w:rFonts w:hint="eastAsia" w:ascii="宋体" w:hAnsi="宋体" w:cs="宋体"/>
          <w:b/>
          <w:bCs/>
          <w:sz w:val="32"/>
          <w:szCs w:val="32"/>
        </w:rPr>
      </w:pPr>
      <w:r>
        <w:rPr>
          <w:rFonts w:hint="eastAsia" w:ascii="宋体" w:hAnsi="宋体" w:cs="宋体"/>
          <w:b/>
          <w:bCs/>
          <w:sz w:val="32"/>
          <w:szCs w:val="32"/>
        </w:rPr>
        <w:t>竞争性磋商供应商全称：</w:t>
      </w:r>
      <w:r>
        <w:rPr>
          <w:rFonts w:hint="eastAsia" w:ascii="宋体" w:hAnsi="宋体" w:cs="宋体"/>
          <w:b/>
          <w:bCs/>
          <w:sz w:val="32"/>
          <w:szCs w:val="32"/>
          <w:u w:val="single"/>
        </w:rPr>
        <w:t>　　　　　　　     　　</w:t>
      </w:r>
    </w:p>
    <w:p w14:paraId="23076BEA">
      <w:pPr>
        <w:spacing w:line="500" w:lineRule="exact"/>
        <w:ind w:right="1124" w:firstLine="411" w:firstLineChars="128"/>
        <w:rPr>
          <w:rFonts w:hint="eastAsia" w:ascii="宋体" w:hAnsi="宋体" w:cs="宋体"/>
          <w:b/>
          <w:bCs/>
          <w:sz w:val="32"/>
          <w:szCs w:val="32"/>
        </w:rPr>
      </w:pPr>
      <w:r>
        <w:rPr>
          <w:rFonts w:hint="eastAsia" w:ascii="宋体" w:hAnsi="宋体" w:cs="宋体"/>
          <w:b/>
          <w:bCs/>
          <w:sz w:val="32"/>
          <w:szCs w:val="32"/>
        </w:rPr>
        <w:t xml:space="preserve">　　　　　    </w:t>
      </w:r>
    </w:p>
    <w:p w14:paraId="6EC3A5BB">
      <w:pPr>
        <w:spacing w:line="500" w:lineRule="exact"/>
        <w:ind w:right="1124" w:firstLine="411" w:firstLineChars="128"/>
        <w:rPr>
          <w:rFonts w:hint="eastAsia" w:ascii="宋体" w:hAnsi="宋体" w:cs="宋体"/>
          <w:b/>
          <w:bCs/>
          <w:sz w:val="32"/>
          <w:szCs w:val="32"/>
        </w:rPr>
      </w:pPr>
    </w:p>
    <w:p w14:paraId="62B9D9D6">
      <w:pPr>
        <w:spacing w:line="500" w:lineRule="exact"/>
        <w:ind w:right="1124" w:firstLine="411" w:firstLineChars="128"/>
        <w:jc w:val="center"/>
        <w:rPr>
          <w:rFonts w:hint="eastAsia" w:ascii="宋体" w:hAnsi="宋体" w:cs="宋体"/>
          <w:b/>
          <w:bCs/>
          <w:sz w:val="32"/>
          <w:szCs w:val="32"/>
        </w:rPr>
      </w:pPr>
    </w:p>
    <w:p w14:paraId="0EE6DDF5">
      <w:pPr>
        <w:spacing w:line="500" w:lineRule="exact"/>
        <w:ind w:right="1124" w:firstLine="411" w:firstLineChars="128"/>
        <w:jc w:val="center"/>
        <w:rPr>
          <w:rFonts w:hint="eastAsia" w:ascii="宋体" w:hAnsi="宋体" w:cs="宋体"/>
          <w:b/>
          <w:bCs/>
          <w:sz w:val="32"/>
          <w:szCs w:val="32"/>
        </w:rPr>
      </w:pPr>
      <w:r>
        <w:rPr>
          <w:rFonts w:hint="eastAsia" w:ascii="宋体" w:hAnsi="宋体" w:cs="宋体"/>
          <w:b/>
          <w:bCs/>
          <w:sz w:val="32"/>
          <w:szCs w:val="32"/>
        </w:rPr>
        <w:t xml:space="preserve">         年   月   日</w:t>
      </w:r>
    </w:p>
    <w:p w14:paraId="49DDB31B">
      <w:pPr>
        <w:rPr>
          <w:rFonts w:hint="eastAsia" w:ascii="宋体" w:hAnsi="宋体" w:cs="宋体"/>
        </w:rPr>
      </w:pPr>
      <w:r>
        <w:rPr>
          <w:rFonts w:hint="eastAsia" w:ascii="宋体" w:hAnsi="宋体" w:cs="宋体"/>
          <w:sz w:val="36"/>
        </w:rPr>
        <w:br w:type="page"/>
      </w:r>
    </w:p>
    <w:p w14:paraId="592CE800">
      <w:pPr>
        <w:spacing w:line="500" w:lineRule="exact"/>
        <w:ind w:right="1124"/>
        <w:outlineLvl w:val="0"/>
        <w:rPr>
          <w:rFonts w:hint="eastAsia" w:ascii="宋体" w:hAnsi="宋体" w:cs="宋体"/>
          <w:b/>
          <w:bCs/>
          <w:sz w:val="28"/>
          <w:szCs w:val="28"/>
        </w:rPr>
        <w:sectPr>
          <w:footerReference r:id="rId6" w:type="default"/>
          <w:pgSz w:w="11906" w:h="16838"/>
          <w:pgMar w:top="1440" w:right="1800" w:bottom="1440" w:left="1800" w:header="851" w:footer="992" w:gutter="0"/>
          <w:cols w:space="720" w:num="1"/>
          <w:docGrid w:type="lines" w:linePitch="312" w:charSpace="0"/>
        </w:sectPr>
      </w:pPr>
    </w:p>
    <w:p w14:paraId="2ACD35FF">
      <w:pPr>
        <w:spacing w:line="360" w:lineRule="auto"/>
        <w:jc w:val="center"/>
        <w:rPr>
          <w:rFonts w:hint="eastAsia" w:ascii="宋体" w:hAnsi="宋体" w:cs="宋体"/>
          <w:b/>
          <w:bCs/>
        </w:rPr>
      </w:pPr>
    </w:p>
    <w:p w14:paraId="1D9D43FE">
      <w:pPr>
        <w:spacing w:line="360" w:lineRule="auto"/>
        <w:jc w:val="center"/>
        <w:rPr>
          <w:rFonts w:hint="eastAsia" w:ascii="宋体" w:hAnsi="宋体" w:cs="宋体"/>
          <w:b/>
          <w:bCs/>
          <w:sz w:val="22"/>
          <w:szCs w:val="22"/>
        </w:rPr>
      </w:pPr>
      <w:r>
        <w:rPr>
          <w:rFonts w:hint="eastAsia" w:ascii="宋体" w:hAnsi="宋体" w:cs="宋体"/>
          <w:b/>
          <w:bCs/>
          <w:sz w:val="22"/>
          <w:szCs w:val="22"/>
        </w:rPr>
        <w:t>响应文件主要目录</w:t>
      </w:r>
    </w:p>
    <w:p w14:paraId="35461E46">
      <w:pPr>
        <w:spacing w:line="360" w:lineRule="auto"/>
        <w:jc w:val="center"/>
        <w:rPr>
          <w:rFonts w:hint="eastAsia" w:ascii="宋体" w:hAnsi="宋体" w:cs="宋体"/>
          <w:b/>
          <w:bCs/>
          <w:sz w:val="22"/>
          <w:szCs w:val="22"/>
        </w:rPr>
      </w:pPr>
    </w:p>
    <w:p w14:paraId="0087666F">
      <w:pPr>
        <w:spacing w:line="360" w:lineRule="auto"/>
        <w:ind w:firstLine="480"/>
        <w:rPr>
          <w:rFonts w:ascii="宋体" w:hAnsi="宋体"/>
          <w:sz w:val="24"/>
        </w:rPr>
      </w:pPr>
      <w:r>
        <w:rPr>
          <w:rFonts w:hint="eastAsia" w:ascii="宋体" w:hAnsi="宋体"/>
          <w:sz w:val="24"/>
        </w:rPr>
        <w:t>一、资格审查响应对照表</w:t>
      </w:r>
    </w:p>
    <w:p w14:paraId="5A150F1F">
      <w:pPr>
        <w:spacing w:line="360" w:lineRule="auto"/>
        <w:ind w:left="480"/>
        <w:rPr>
          <w:rFonts w:ascii="宋体" w:hAnsi="宋体"/>
          <w:sz w:val="24"/>
        </w:rPr>
      </w:pPr>
      <w:r>
        <w:rPr>
          <w:rFonts w:hint="eastAsia" w:ascii="宋体" w:hAnsi="宋体"/>
          <w:sz w:val="24"/>
        </w:rPr>
        <w:t>二、符合性审查响应对照表</w:t>
      </w:r>
    </w:p>
    <w:p w14:paraId="0A801AA3">
      <w:pPr>
        <w:spacing w:line="360" w:lineRule="auto"/>
        <w:ind w:firstLine="480"/>
        <w:rPr>
          <w:rFonts w:ascii="宋体" w:hAnsi="宋体"/>
          <w:b/>
          <w:bCs/>
          <w:sz w:val="24"/>
        </w:rPr>
      </w:pPr>
      <w:r>
        <w:rPr>
          <w:rFonts w:hint="eastAsia" w:ascii="宋体" w:hAnsi="宋体"/>
          <w:sz w:val="24"/>
        </w:rPr>
        <w:t>三</w:t>
      </w:r>
      <w:r>
        <w:rPr>
          <w:rFonts w:hint="eastAsia" w:ascii="宋体" w:hAnsi="宋体"/>
          <w:b/>
          <w:bCs/>
          <w:sz w:val="24"/>
        </w:rPr>
        <w:t>、</w:t>
      </w:r>
      <w:r>
        <w:rPr>
          <w:rFonts w:hint="eastAsia" w:ascii="宋体" w:hAnsi="宋体"/>
          <w:i/>
          <w:iCs/>
          <w:sz w:val="24"/>
          <w:u w:val="single"/>
        </w:rPr>
        <w:t>磋商报价表</w:t>
      </w:r>
    </w:p>
    <w:p w14:paraId="1883AE0B">
      <w:pPr>
        <w:spacing w:line="360" w:lineRule="auto"/>
        <w:ind w:firstLine="480"/>
        <w:rPr>
          <w:rFonts w:ascii="宋体" w:hAnsi="宋体"/>
          <w:sz w:val="24"/>
        </w:rPr>
      </w:pPr>
      <w:r>
        <w:rPr>
          <w:rFonts w:hint="eastAsia" w:ascii="宋体" w:hAnsi="宋体"/>
          <w:sz w:val="24"/>
        </w:rPr>
        <w:t>四、拟投入本项目人员一览表</w:t>
      </w:r>
    </w:p>
    <w:p w14:paraId="299E13A1">
      <w:pPr>
        <w:spacing w:line="360" w:lineRule="auto"/>
        <w:ind w:firstLine="480"/>
        <w:rPr>
          <w:rFonts w:ascii="宋体" w:hAnsi="宋体"/>
          <w:sz w:val="24"/>
        </w:rPr>
      </w:pPr>
      <w:r>
        <w:rPr>
          <w:rFonts w:hint="eastAsia" w:ascii="宋体" w:hAnsi="宋体"/>
          <w:sz w:val="24"/>
        </w:rPr>
        <w:t>五</w:t>
      </w:r>
      <w:r>
        <w:rPr>
          <w:rFonts w:hint="eastAsia" w:ascii="宋体" w:hAnsi="宋体" w:cs="Courier New"/>
          <w:sz w:val="24"/>
          <w:szCs w:val="24"/>
        </w:rPr>
        <w:t>、</w:t>
      </w:r>
      <w:r>
        <w:rPr>
          <w:rFonts w:hint="eastAsia" w:ascii="宋体" w:hAnsi="宋体"/>
          <w:sz w:val="24"/>
        </w:rPr>
        <w:t>商务条款响应及偏离表</w:t>
      </w:r>
    </w:p>
    <w:p w14:paraId="6AF50D27">
      <w:pPr>
        <w:spacing w:line="360" w:lineRule="auto"/>
        <w:ind w:firstLine="480"/>
        <w:rPr>
          <w:rFonts w:ascii="宋体" w:hAnsi="宋体" w:cs="Courier New"/>
          <w:sz w:val="24"/>
          <w:szCs w:val="24"/>
        </w:rPr>
      </w:pPr>
      <w:r>
        <w:rPr>
          <w:rFonts w:hint="eastAsia" w:ascii="宋体" w:hAnsi="宋体" w:cs="Courier New"/>
          <w:sz w:val="24"/>
          <w:szCs w:val="24"/>
        </w:rPr>
        <w:t>六、</w:t>
      </w:r>
      <w:r>
        <w:rPr>
          <w:rFonts w:hint="eastAsia" w:ascii="宋体" w:hAnsi="宋体"/>
          <w:sz w:val="24"/>
        </w:rPr>
        <w:t>主要标的信息</w:t>
      </w:r>
    </w:p>
    <w:p w14:paraId="55811E2C">
      <w:pPr>
        <w:spacing w:line="360" w:lineRule="auto"/>
        <w:ind w:firstLine="480"/>
        <w:rPr>
          <w:rFonts w:ascii="宋体" w:hAnsi="宋体" w:cs="Courier New"/>
          <w:sz w:val="24"/>
          <w:szCs w:val="24"/>
        </w:rPr>
      </w:pPr>
      <w:r>
        <w:rPr>
          <w:rFonts w:hint="eastAsia" w:ascii="宋体" w:hAnsi="宋体" w:cs="Courier New"/>
          <w:sz w:val="24"/>
          <w:szCs w:val="24"/>
        </w:rPr>
        <w:t>七、</w:t>
      </w:r>
      <w:r>
        <w:rPr>
          <w:rFonts w:hint="eastAsia" w:ascii="宋体" w:hAnsi="宋体"/>
          <w:sz w:val="24"/>
        </w:rPr>
        <w:t>其他 （投标人认为有必要提供的声明和文件，如有自拟并自行添加）</w:t>
      </w:r>
    </w:p>
    <w:p w14:paraId="65DCB688">
      <w:pPr>
        <w:spacing w:line="360" w:lineRule="auto"/>
        <w:ind w:firstLine="440" w:firstLineChars="200"/>
        <w:rPr>
          <w:rFonts w:hint="eastAsia" w:ascii="宋体" w:hAnsi="宋体" w:cs="宋体"/>
          <w:sz w:val="22"/>
          <w:szCs w:val="22"/>
        </w:rPr>
      </w:pPr>
    </w:p>
    <w:p w14:paraId="49F4BD3E">
      <w:pPr>
        <w:rPr>
          <w:rFonts w:hint="eastAsia" w:ascii="宋体" w:hAnsi="宋体"/>
          <w:b/>
          <w:sz w:val="32"/>
          <w:szCs w:val="32"/>
        </w:rPr>
      </w:pPr>
      <w:r>
        <w:rPr>
          <w:rFonts w:hint="eastAsia" w:ascii="宋体" w:hAnsi="宋体"/>
          <w:b/>
          <w:sz w:val="32"/>
          <w:szCs w:val="32"/>
        </w:rPr>
        <w:br w:type="page"/>
      </w:r>
    </w:p>
    <w:p w14:paraId="7AC6E48D">
      <w:pPr>
        <w:jc w:val="center"/>
        <w:rPr>
          <w:rFonts w:ascii="宋体" w:hAnsi="宋体"/>
          <w:b/>
          <w:sz w:val="32"/>
          <w:szCs w:val="32"/>
        </w:rPr>
      </w:pPr>
      <w:r>
        <w:rPr>
          <w:rFonts w:hint="eastAsia" w:ascii="宋体" w:hAnsi="宋体"/>
          <w:b/>
          <w:sz w:val="32"/>
          <w:szCs w:val="32"/>
        </w:rPr>
        <w:t>一、资格审查响应对照表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5573"/>
        <w:gridCol w:w="2158"/>
      </w:tblGrid>
      <w:tr w14:paraId="3EDE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20" w:type="dxa"/>
            <w:noWrap w:val="0"/>
            <w:vAlign w:val="center"/>
          </w:tcPr>
          <w:p w14:paraId="09790901">
            <w:pPr>
              <w:spacing w:line="240" w:lineRule="atLeast"/>
              <w:jc w:val="center"/>
              <w:rPr>
                <w:rFonts w:ascii="幼圆" w:eastAsia="幼圆"/>
                <w:b/>
              </w:rPr>
            </w:pPr>
            <w:r>
              <w:rPr>
                <w:rFonts w:hint="eastAsia" w:ascii="幼圆" w:eastAsia="幼圆"/>
                <w:b/>
              </w:rPr>
              <w:t>序号</w:t>
            </w:r>
          </w:p>
        </w:tc>
        <w:tc>
          <w:tcPr>
            <w:tcW w:w="5573" w:type="dxa"/>
            <w:noWrap w:val="0"/>
            <w:vAlign w:val="center"/>
          </w:tcPr>
          <w:p w14:paraId="6468FD41">
            <w:pPr>
              <w:spacing w:line="240" w:lineRule="atLeast"/>
              <w:jc w:val="center"/>
              <w:rPr>
                <w:rFonts w:ascii="幼圆" w:eastAsia="幼圆"/>
                <w:b/>
              </w:rPr>
            </w:pPr>
            <w:r>
              <w:rPr>
                <w:rFonts w:hint="eastAsia" w:ascii="幼圆" w:eastAsia="幼圆"/>
                <w:b/>
              </w:rPr>
              <w:t>资格审查响应内容</w:t>
            </w:r>
          </w:p>
        </w:tc>
        <w:tc>
          <w:tcPr>
            <w:tcW w:w="2158" w:type="dxa"/>
            <w:noWrap w:val="0"/>
            <w:vAlign w:val="center"/>
          </w:tcPr>
          <w:p w14:paraId="36CDCDA4">
            <w:pPr>
              <w:spacing w:line="240" w:lineRule="atLeast"/>
              <w:jc w:val="center"/>
              <w:rPr>
                <w:rFonts w:ascii="幼圆" w:eastAsia="幼圆"/>
                <w:b/>
              </w:rPr>
            </w:pPr>
            <w:r>
              <w:rPr>
                <w:rFonts w:hint="eastAsia" w:ascii="幼圆" w:eastAsia="幼圆"/>
                <w:b/>
              </w:rPr>
              <w:t>是否响应</w:t>
            </w:r>
          </w:p>
          <w:p w14:paraId="56A83B54">
            <w:pPr>
              <w:spacing w:line="240" w:lineRule="atLeast"/>
              <w:jc w:val="center"/>
              <w:rPr>
                <w:rFonts w:ascii="幼圆" w:eastAsia="幼圆"/>
                <w:b/>
              </w:rPr>
            </w:pPr>
            <w:r>
              <w:rPr>
                <w:rFonts w:hint="eastAsia" w:ascii="幼圆" w:eastAsia="幼圆"/>
                <w:b/>
              </w:rPr>
              <w:t>（填是或者否）</w:t>
            </w:r>
          </w:p>
        </w:tc>
      </w:tr>
      <w:tr w14:paraId="7D9E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251" w:type="dxa"/>
            <w:gridSpan w:val="3"/>
            <w:noWrap w:val="0"/>
            <w:vAlign w:val="center"/>
          </w:tcPr>
          <w:p w14:paraId="565EBB03">
            <w:pPr>
              <w:rPr>
                <w:rFonts w:ascii="宋体" w:hAnsi="宋体"/>
                <w:b/>
              </w:rPr>
            </w:pPr>
            <w:r>
              <w:rPr>
                <w:rFonts w:hint="eastAsia" w:ascii="宋体" w:hAnsi="宋体"/>
                <w:b/>
              </w:rPr>
              <w:t>通用资格条件</w:t>
            </w:r>
          </w:p>
        </w:tc>
      </w:tr>
      <w:tr w14:paraId="4405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20" w:type="dxa"/>
            <w:noWrap w:val="0"/>
            <w:vAlign w:val="center"/>
          </w:tcPr>
          <w:p w14:paraId="4A657F3A">
            <w:pPr>
              <w:jc w:val="center"/>
              <w:rPr>
                <w:rFonts w:ascii="宋体" w:hAnsi="宋体"/>
                <w:b/>
              </w:rPr>
            </w:pPr>
            <w:r>
              <w:rPr>
                <w:rFonts w:hint="eastAsia" w:ascii="宋体" w:hAnsi="宋体"/>
              </w:rPr>
              <w:t>1</w:t>
            </w:r>
          </w:p>
        </w:tc>
        <w:tc>
          <w:tcPr>
            <w:tcW w:w="5573" w:type="dxa"/>
            <w:noWrap w:val="0"/>
            <w:vAlign w:val="center"/>
          </w:tcPr>
          <w:p w14:paraId="6F5AF722">
            <w:pPr>
              <w:spacing w:line="360" w:lineRule="auto"/>
              <w:rPr>
                <w:rFonts w:ascii="宋体" w:hAnsi="宋体"/>
                <w:iCs/>
              </w:rPr>
            </w:pPr>
            <w:r>
              <w:rPr>
                <w:rFonts w:hint="eastAsia" w:ascii="宋体" w:hAnsi="宋体" w:cs="宋体"/>
              </w:rPr>
              <w:t>法人或者其他组织的营业执照等证明文件，自然人的身份证明</w:t>
            </w:r>
            <w:r>
              <w:rPr>
                <w:rFonts w:hint="eastAsia" w:ascii="宋体" w:hAnsi="宋体"/>
              </w:rPr>
              <w:t>（身份证为正、反面）</w:t>
            </w:r>
          </w:p>
        </w:tc>
        <w:tc>
          <w:tcPr>
            <w:tcW w:w="2158" w:type="dxa"/>
            <w:noWrap w:val="0"/>
            <w:vAlign w:val="center"/>
          </w:tcPr>
          <w:p w14:paraId="72CDEE7C">
            <w:pPr>
              <w:rPr>
                <w:rFonts w:ascii="宋体" w:hAnsi="宋体"/>
                <w:b/>
              </w:rPr>
            </w:pPr>
          </w:p>
        </w:tc>
      </w:tr>
      <w:tr w14:paraId="70A9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0" w:type="dxa"/>
            <w:noWrap w:val="0"/>
            <w:vAlign w:val="center"/>
          </w:tcPr>
          <w:p w14:paraId="2B53EDBC">
            <w:pPr>
              <w:jc w:val="center"/>
              <w:rPr>
                <w:rFonts w:ascii="宋体" w:hAnsi="宋体"/>
              </w:rPr>
            </w:pPr>
            <w:r>
              <w:rPr>
                <w:rFonts w:hint="eastAsia" w:ascii="宋体" w:hAnsi="宋体"/>
              </w:rPr>
              <w:t>2</w:t>
            </w:r>
          </w:p>
        </w:tc>
        <w:tc>
          <w:tcPr>
            <w:tcW w:w="5573" w:type="dxa"/>
            <w:noWrap w:val="0"/>
            <w:vAlign w:val="center"/>
          </w:tcPr>
          <w:p w14:paraId="51DDC4F4">
            <w:pPr>
              <w:spacing w:line="360" w:lineRule="auto"/>
              <w:rPr>
                <w:rFonts w:ascii="宋体" w:hAnsi="宋体"/>
                <w:iCs/>
              </w:rPr>
            </w:pPr>
            <w:r>
              <w:rPr>
                <w:rFonts w:hint="eastAsia" w:ascii="宋体" w:hAnsi="宋体" w:cs="宋体"/>
              </w:rPr>
              <w:t>依法缴纳职工社会保障资金的证明材料</w:t>
            </w:r>
            <w:r>
              <w:rPr>
                <w:rFonts w:hint="eastAsia" w:ascii="宋体" w:hAnsi="宋体" w:cs="宋体"/>
                <w:b/>
                <w:bCs/>
              </w:rPr>
              <w:t>（可提供“基本资格条件承诺函”）</w:t>
            </w:r>
          </w:p>
        </w:tc>
        <w:tc>
          <w:tcPr>
            <w:tcW w:w="2158" w:type="dxa"/>
            <w:noWrap w:val="0"/>
            <w:vAlign w:val="center"/>
          </w:tcPr>
          <w:p w14:paraId="65DD7A43">
            <w:pPr>
              <w:rPr>
                <w:rFonts w:ascii="宋体" w:hAnsi="宋体"/>
              </w:rPr>
            </w:pPr>
          </w:p>
        </w:tc>
      </w:tr>
      <w:tr w14:paraId="02CA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20" w:type="dxa"/>
            <w:noWrap w:val="0"/>
            <w:vAlign w:val="center"/>
          </w:tcPr>
          <w:p w14:paraId="619C44B6">
            <w:pPr>
              <w:jc w:val="center"/>
              <w:rPr>
                <w:rFonts w:ascii="宋体" w:hAnsi="宋体"/>
              </w:rPr>
            </w:pPr>
            <w:r>
              <w:rPr>
                <w:rFonts w:hint="eastAsia" w:ascii="宋体" w:hAnsi="宋体"/>
              </w:rPr>
              <w:t>3</w:t>
            </w:r>
          </w:p>
        </w:tc>
        <w:tc>
          <w:tcPr>
            <w:tcW w:w="5573" w:type="dxa"/>
            <w:noWrap w:val="0"/>
            <w:vAlign w:val="center"/>
          </w:tcPr>
          <w:p w14:paraId="5BC2CC88">
            <w:pPr>
              <w:spacing w:line="360" w:lineRule="auto"/>
              <w:rPr>
                <w:rFonts w:ascii="宋体" w:hAnsi="宋体"/>
                <w:iCs/>
              </w:rPr>
            </w:pPr>
            <w:r>
              <w:rPr>
                <w:rFonts w:hint="eastAsia" w:ascii="宋体" w:hAnsi="宋体" w:cs="宋体"/>
              </w:rPr>
              <w:t>投标人依法纳税的缴款凭证</w:t>
            </w:r>
            <w:r>
              <w:rPr>
                <w:rFonts w:hint="eastAsia" w:ascii="宋体" w:hAnsi="宋体" w:cs="宋体"/>
                <w:b/>
                <w:bCs/>
              </w:rPr>
              <w:t>（可提供“基本资格条件承诺函”）</w:t>
            </w:r>
          </w:p>
        </w:tc>
        <w:tc>
          <w:tcPr>
            <w:tcW w:w="2158" w:type="dxa"/>
            <w:noWrap w:val="0"/>
            <w:vAlign w:val="center"/>
          </w:tcPr>
          <w:p w14:paraId="19EEA11B">
            <w:pPr>
              <w:rPr>
                <w:rFonts w:ascii="宋体" w:hAnsi="宋体"/>
              </w:rPr>
            </w:pPr>
          </w:p>
        </w:tc>
      </w:tr>
      <w:tr w14:paraId="30F3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20" w:type="dxa"/>
            <w:noWrap w:val="0"/>
            <w:vAlign w:val="center"/>
          </w:tcPr>
          <w:p w14:paraId="2282B887">
            <w:pPr>
              <w:jc w:val="center"/>
              <w:rPr>
                <w:rFonts w:ascii="宋体" w:hAnsi="宋体"/>
              </w:rPr>
            </w:pPr>
            <w:r>
              <w:rPr>
                <w:rFonts w:hint="eastAsia" w:ascii="宋体" w:hAnsi="宋体"/>
              </w:rPr>
              <w:t>4</w:t>
            </w:r>
          </w:p>
        </w:tc>
        <w:tc>
          <w:tcPr>
            <w:tcW w:w="5573" w:type="dxa"/>
            <w:noWrap w:val="0"/>
            <w:vAlign w:val="center"/>
          </w:tcPr>
          <w:p w14:paraId="73172474">
            <w:pPr>
              <w:spacing w:line="360" w:lineRule="auto"/>
              <w:rPr>
                <w:rFonts w:ascii="宋体" w:hAnsi="宋体"/>
                <w:iCs/>
              </w:rPr>
            </w:pPr>
            <w:r>
              <w:rPr>
                <w:rFonts w:hint="eastAsia" w:ascii="宋体" w:hAnsi="宋体" w:cs="宋体"/>
              </w:rPr>
              <w:t>上一年度的财务状况情况(成立不满一年不需提供)</w:t>
            </w:r>
            <w:r>
              <w:rPr>
                <w:rFonts w:hint="eastAsia" w:ascii="宋体" w:hAnsi="宋体" w:cs="宋体"/>
                <w:b/>
                <w:bCs/>
              </w:rPr>
              <w:t>（可提供“基本资格条件承诺函”）</w:t>
            </w:r>
          </w:p>
        </w:tc>
        <w:tc>
          <w:tcPr>
            <w:tcW w:w="2158" w:type="dxa"/>
            <w:noWrap w:val="0"/>
            <w:vAlign w:val="center"/>
          </w:tcPr>
          <w:p w14:paraId="116BC00E">
            <w:pPr>
              <w:rPr>
                <w:rFonts w:ascii="宋体" w:hAnsi="宋体"/>
              </w:rPr>
            </w:pPr>
          </w:p>
        </w:tc>
      </w:tr>
      <w:tr w14:paraId="18B8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20" w:type="dxa"/>
            <w:noWrap w:val="0"/>
            <w:vAlign w:val="center"/>
          </w:tcPr>
          <w:p w14:paraId="5461FDB4">
            <w:pPr>
              <w:jc w:val="center"/>
              <w:rPr>
                <w:rFonts w:ascii="宋体" w:hAnsi="宋体"/>
              </w:rPr>
            </w:pPr>
            <w:r>
              <w:rPr>
                <w:rFonts w:hint="eastAsia" w:ascii="宋体" w:hAnsi="宋体"/>
              </w:rPr>
              <w:t>5</w:t>
            </w:r>
          </w:p>
        </w:tc>
        <w:tc>
          <w:tcPr>
            <w:tcW w:w="5573" w:type="dxa"/>
            <w:noWrap w:val="0"/>
            <w:vAlign w:val="center"/>
          </w:tcPr>
          <w:p w14:paraId="71DE0850">
            <w:pPr>
              <w:spacing w:line="360" w:lineRule="auto"/>
              <w:rPr>
                <w:rFonts w:ascii="宋体" w:hAnsi="宋体"/>
                <w:iCs/>
              </w:rPr>
            </w:pPr>
            <w:r>
              <w:rPr>
                <w:rFonts w:hint="eastAsia" w:ascii="宋体" w:hAnsi="宋体" w:cs="宋体"/>
              </w:rPr>
              <w:t>具备履行合同所必需的设备和专业技术能力的证明材料</w:t>
            </w:r>
            <w:r>
              <w:rPr>
                <w:rFonts w:hint="eastAsia" w:ascii="宋体" w:hAnsi="宋体" w:cs="宋体"/>
                <w:b/>
                <w:bCs/>
              </w:rPr>
              <w:t>（可提供“基本资格条件承诺函”）</w:t>
            </w:r>
          </w:p>
        </w:tc>
        <w:tc>
          <w:tcPr>
            <w:tcW w:w="2158" w:type="dxa"/>
            <w:noWrap w:val="0"/>
            <w:vAlign w:val="center"/>
          </w:tcPr>
          <w:p w14:paraId="5EB923FF">
            <w:pPr>
              <w:rPr>
                <w:rFonts w:ascii="宋体" w:hAnsi="宋体"/>
              </w:rPr>
            </w:pPr>
          </w:p>
        </w:tc>
      </w:tr>
      <w:tr w14:paraId="5769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20" w:type="dxa"/>
            <w:noWrap w:val="0"/>
            <w:vAlign w:val="center"/>
          </w:tcPr>
          <w:p w14:paraId="47FDEA9B">
            <w:pPr>
              <w:jc w:val="center"/>
              <w:rPr>
                <w:rFonts w:ascii="宋体" w:hAnsi="宋体"/>
              </w:rPr>
            </w:pPr>
            <w:r>
              <w:rPr>
                <w:rFonts w:hint="eastAsia" w:ascii="宋体" w:hAnsi="宋体"/>
              </w:rPr>
              <w:t>6</w:t>
            </w:r>
          </w:p>
        </w:tc>
        <w:tc>
          <w:tcPr>
            <w:tcW w:w="5573" w:type="dxa"/>
            <w:noWrap w:val="0"/>
            <w:vAlign w:val="center"/>
          </w:tcPr>
          <w:p w14:paraId="60170515">
            <w:pPr>
              <w:spacing w:line="360" w:lineRule="auto"/>
              <w:rPr>
                <w:rFonts w:ascii="宋体" w:hAnsi="宋体"/>
                <w:iCs/>
              </w:rPr>
            </w:pPr>
            <w:r>
              <w:rPr>
                <w:rFonts w:hint="eastAsia" w:ascii="宋体" w:hAnsi="宋体" w:cs="宋体"/>
              </w:rPr>
              <w:t xml:space="preserve"> 参加本次政府采购活动前3年内在经营活动中没有重大违法记录的书面声明</w:t>
            </w:r>
            <w:r>
              <w:rPr>
                <w:rFonts w:hint="eastAsia" w:ascii="宋体" w:hAnsi="宋体" w:cs="宋体"/>
                <w:b/>
                <w:bCs/>
              </w:rPr>
              <w:t>（可提供“基本资格条件承诺函”）</w:t>
            </w:r>
          </w:p>
        </w:tc>
        <w:tc>
          <w:tcPr>
            <w:tcW w:w="2158" w:type="dxa"/>
            <w:noWrap w:val="0"/>
            <w:vAlign w:val="center"/>
          </w:tcPr>
          <w:p w14:paraId="70E92F9F">
            <w:pPr>
              <w:rPr>
                <w:rFonts w:ascii="宋体" w:hAnsi="宋体"/>
              </w:rPr>
            </w:pPr>
          </w:p>
        </w:tc>
      </w:tr>
      <w:tr w14:paraId="1CF1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20" w:type="dxa"/>
            <w:noWrap w:val="0"/>
            <w:vAlign w:val="center"/>
          </w:tcPr>
          <w:p w14:paraId="41BD43C0">
            <w:pPr>
              <w:jc w:val="center"/>
              <w:rPr>
                <w:rFonts w:ascii="宋体" w:hAnsi="宋体"/>
              </w:rPr>
            </w:pPr>
            <w:r>
              <w:rPr>
                <w:rFonts w:hint="eastAsia" w:ascii="宋体" w:hAnsi="宋体"/>
              </w:rPr>
              <w:t>7</w:t>
            </w:r>
          </w:p>
        </w:tc>
        <w:tc>
          <w:tcPr>
            <w:tcW w:w="5573" w:type="dxa"/>
            <w:noWrap w:val="0"/>
            <w:vAlign w:val="center"/>
          </w:tcPr>
          <w:p w14:paraId="19729577">
            <w:pPr>
              <w:spacing w:line="360" w:lineRule="auto"/>
              <w:rPr>
                <w:rFonts w:ascii="宋体" w:hAnsi="宋体" w:cs="宋体"/>
              </w:rPr>
            </w:pPr>
            <w:r>
              <w:rPr>
                <w:rFonts w:hint="eastAsia" w:ascii="宋体" w:hAnsi="宋体" w:cs="宋体"/>
              </w:rPr>
              <w:t>未被“信用中国”网站（http://www.creditchina.gov.cn）、“中国政府采购网"(http://www.ccgp.gov.cn)列入失信被执行人、重大税收违法案件当事人名单、政府采购严重违法失信行为记录名单</w:t>
            </w:r>
            <w:r>
              <w:rPr>
                <w:rFonts w:hint="eastAsia" w:ascii="宋体" w:hAnsi="宋体" w:cs="宋体"/>
                <w:b/>
                <w:bCs/>
              </w:rPr>
              <w:t>（可提供“基本资格条件承诺函”）</w:t>
            </w:r>
          </w:p>
        </w:tc>
        <w:tc>
          <w:tcPr>
            <w:tcW w:w="2158" w:type="dxa"/>
            <w:noWrap w:val="0"/>
            <w:vAlign w:val="center"/>
          </w:tcPr>
          <w:p w14:paraId="3FB7A7E4">
            <w:pPr>
              <w:rPr>
                <w:rFonts w:ascii="宋体" w:hAnsi="宋体"/>
              </w:rPr>
            </w:pPr>
          </w:p>
        </w:tc>
      </w:tr>
      <w:tr w14:paraId="1A21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20" w:type="dxa"/>
            <w:noWrap w:val="0"/>
            <w:vAlign w:val="center"/>
          </w:tcPr>
          <w:p w14:paraId="3E4029B5">
            <w:pPr>
              <w:jc w:val="center"/>
              <w:rPr>
                <w:rFonts w:ascii="宋体" w:hAnsi="宋体"/>
              </w:rPr>
            </w:pPr>
            <w:r>
              <w:rPr>
                <w:rFonts w:hint="eastAsia" w:ascii="宋体" w:hAnsi="宋体"/>
              </w:rPr>
              <w:t>8</w:t>
            </w:r>
          </w:p>
        </w:tc>
        <w:tc>
          <w:tcPr>
            <w:tcW w:w="5573" w:type="dxa"/>
            <w:noWrap w:val="0"/>
            <w:vAlign w:val="center"/>
          </w:tcPr>
          <w:p w14:paraId="232521FA">
            <w:pPr>
              <w:spacing w:line="360" w:lineRule="auto"/>
              <w:rPr>
                <w:rFonts w:ascii="宋体" w:hAnsi="宋体" w:cs="宋体"/>
              </w:rPr>
            </w:pPr>
            <w:r>
              <w:rPr>
                <w:rFonts w:hint="eastAsia" w:ascii="宋体" w:hAnsi="宋体" w:cs="宋体"/>
              </w:rPr>
              <w:t>供应商信用承诺函</w:t>
            </w:r>
          </w:p>
        </w:tc>
        <w:tc>
          <w:tcPr>
            <w:tcW w:w="2158" w:type="dxa"/>
            <w:noWrap w:val="0"/>
            <w:vAlign w:val="center"/>
          </w:tcPr>
          <w:p w14:paraId="176A080B">
            <w:pPr>
              <w:rPr>
                <w:rFonts w:ascii="宋体" w:hAnsi="宋体"/>
              </w:rPr>
            </w:pPr>
          </w:p>
        </w:tc>
      </w:tr>
      <w:tr w14:paraId="0CD2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251" w:type="dxa"/>
            <w:gridSpan w:val="3"/>
            <w:noWrap w:val="0"/>
            <w:vAlign w:val="center"/>
          </w:tcPr>
          <w:p w14:paraId="06E93FD1">
            <w:pPr>
              <w:rPr>
                <w:rFonts w:ascii="宋体" w:hAnsi="宋体"/>
              </w:rPr>
            </w:pPr>
            <w:r>
              <w:rPr>
                <w:rFonts w:hint="eastAsia" w:ascii="宋体" w:hAnsi="宋体" w:cs="宋体"/>
                <w:b/>
                <w:bCs/>
              </w:rPr>
              <w:t>落实政府采购政策需满足的资格要求</w:t>
            </w:r>
          </w:p>
        </w:tc>
      </w:tr>
      <w:tr w14:paraId="06E2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20" w:type="dxa"/>
            <w:noWrap w:val="0"/>
            <w:vAlign w:val="center"/>
          </w:tcPr>
          <w:p w14:paraId="3C856156">
            <w:pPr>
              <w:jc w:val="center"/>
              <w:rPr>
                <w:rFonts w:ascii="宋体" w:hAnsi="宋体"/>
              </w:rPr>
            </w:pPr>
            <w:r>
              <w:rPr>
                <w:rFonts w:hint="eastAsia" w:ascii="宋体" w:hAnsi="宋体"/>
              </w:rPr>
              <w:t>9</w:t>
            </w:r>
          </w:p>
        </w:tc>
        <w:tc>
          <w:tcPr>
            <w:tcW w:w="5573" w:type="dxa"/>
            <w:noWrap w:val="0"/>
            <w:vAlign w:val="center"/>
          </w:tcPr>
          <w:p w14:paraId="362AE2A8">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0" w:beforeAutospacing="0" w:after="0" w:afterAutospacing="0" w:line="240" w:lineRule="atLeast"/>
              <w:ind w:right="0" w:rightChars="0"/>
              <w:jc w:val="left"/>
              <w:textAlignment w:val="auto"/>
              <w:rPr>
                <w:rFonts w:hint="default" w:eastAsia="宋体"/>
                <w:u w:val="single"/>
                <w:lang w:val="en-US" w:eastAsia="zh-CN"/>
              </w:rPr>
            </w:pPr>
            <w:r>
              <w:rPr>
                <w:rFonts w:hint="eastAsia" w:ascii="宋体" w:hAnsi="宋体" w:cs="宋体"/>
                <w:b/>
                <w:bCs/>
                <w:i w:val="0"/>
                <w:iCs w:val="0"/>
                <w:caps w:val="0"/>
                <w:color w:val="333333"/>
                <w:spacing w:val="0"/>
                <w:sz w:val="21"/>
                <w:szCs w:val="21"/>
                <w:u w:val="single"/>
                <w:lang w:val="en-US" w:eastAsia="zh-CN"/>
              </w:rPr>
              <w:t xml:space="preserve">/   </w:t>
            </w:r>
          </w:p>
        </w:tc>
        <w:tc>
          <w:tcPr>
            <w:tcW w:w="2158" w:type="dxa"/>
            <w:noWrap w:val="0"/>
            <w:vAlign w:val="center"/>
          </w:tcPr>
          <w:p w14:paraId="6E13C968">
            <w:pPr>
              <w:rPr>
                <w:rFonts w:ascii="宋体" w:hAnsi="宋体"/>
              </w:rPr>
            </w:pPr>
          </w:p>
        </w:tc>
      </w:tr>
      <w:tr w14:paraId="4AAB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251" w:type="dxa"/>
            <w:gridSpan w:val="3"/>
            <w:noWrap w:val="0"/>
            <w:vAlign w:val="center"/>
          </w:tcPr>
          <w:p w14:paraId="72D0CBF7">
            <w:pPr>
              <w:spacing w:line="360" w:lineRule="auto"/>
              <w:rPr>
                <w:rFonts w:ascii="宋体" w:hAnsi="宋体"/>
              </w:rPr>
            </w:pPr>
            <w:r>
              <w:rPr>
                <w:rFonts w:hint="eastAsia" w:ascii="宋体" w:hAnsi="宋体"/>
                <w:b/>
              </w:rPr>
              <w:t>特定资格条件</w:t>
            </w:r>
          </w:p>
        </w:tc>
      </w:tr>
      <w:tr w14:paraId="3D4E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20" w:type="dxa"/>
            <w:noWrap w:val="0"/>
            <w:vAlign w:val="center"/>
          </w:tcPr>
          <w:p w14:paraId="54694CEB">
            <w:pPr>
              <w:jc w:val="center"/>
              <w:rPr>
                <w:rFonts w:ascii="宋体" w:hAnsi="宋体"/>
              </w:rPr>
            </w:pPr>
            <w:r>
              <w:rPr>
                <w:rFonts w:hint="eastAsia" w:ascii="宋体" w:hAnsi="宋体"/>
              </w:rPr>
              <w:t>10</w:t>
            </w:r>
          </w:p>
        </w:tc>
        <w:tc>
          <w:tcPr>
            <w:tcW w:w="5573" w:type="dxa"/>
            <w:noWrap w:val="0"/>
            <w:vAlign w:val="center"/>
          </w:tcPr>
          <w:p w14:paraId="58407E70">
            <w:pPr>
              <w:pStyle w:val="22"/>
              <w:widowControl/>
              <w:shd w:val="clear" w:color="auto" w:fill="FFFFFF"/>
              <w:wordWrap w:val="0"/>
              <w:spacing w:before="0" w:beforeAutospacing="0" w:after="0" w:afterAutospacing="0" w:line="360" w:lineRule="atLeast"/>
              <w:ind w:firstLine="420"/>
              <w:jc w:val="both"/>
              <w:rPr>
                <w:rFonts w:ascii="宋体" w:hAnsi="宋体"/>
                <w:i/>
                <w:u w:val="single"/>
              </w:rPr>
            </w:pPr>
            <w:r>
              <w:rPr>
                <w:rFonts w:hint="eastAsia" w:ascii="Helvetica" w:hAnsi="Helvetica" w:cs="Helvetica"/>
                <w:b/>
                <w:bCs/>
                <w:color w:val="212529"/>
                <w:sz w:val="21"/>
                <w:szCs w:val="21"/>
                <w:shd w:val="clear" w:color="auto" w:fill="FFFFFF"/>
              </w:rPr>
              <w:t>供应商</w:t>
            </w:r>
            <w:r>
              <w:rPr>
                <w:rFonts w:ascii="Helvetica" w:hAnsi="Helvetica" w:eastAsia="Helvetica" w:cs="Helvetica"/>
                <w:b/>
                <w:bCs/>
                <w:color w:val="212529"/>
                <w:sz w:val="21"/>
                <w:szCs w:val="21"/>
                <w:shd w:val="clear" w:color="auto" w:fill="FFFFFF"/>
              </w:rPr>
              <w:t>具有有效的城乡规划编制甲级资质证书</w:t>
            </w:r>
          </w:p>
        </w:tc>
        <w:tc>
          <w:tcPr>
            <w:tcW w:w="2158" w:type="dxa"/>
            <w:noWrap w:val="0"/>
            <w:vAlign w:val="center"/>
          </w:tcPr>
          <w:p w14:paraId="09A39791">
            <w:pPr>
              <w:rPr>
                <w:rFonts w:ascii="宋体" w:hAnsi="宋体"/>
              </w:rPr>
            </w:pPr>
          </w:p>
        </w:tc>
      </w:tr>
      <w:tr w14:paraId="58B1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251" w:type="dxa"/>
            <w:gridSpan w:val="3"/>
            <w:noWrap w:val="0"/>
            <w:vAlign w:val="center"/>
          </w:tcPr>
          <w:p w14:paraId="7047B5C1">
            <w:pPr>
              <w:rPr>
                <w:rFonts w:ascii="宋体" w:hAnsi="宋体"/>
              </w:rPr>
            </w:pPr>
            <w:r>
              <w:rPr>
                <w:rFonts w:hint="eastAsia" w:ascii="宋体" w:hAnsi="宋体"/>
                <w:b/>
              </w:rPr>
              <w:t>其他资格条件</w:t>
            </w:r>
          </w:p>
        </w:tc>
      </w:tr>
      <w:tr w14:paraId="7AF8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20" w:type="dxa"/>
            <w:noWrap w:val="0"/>
            <w:vAlign w:val="center"/>
          </w:tcPr>
          <w:p w14:paraId="63E91899">
            <w:pPr>
              <w:jc w:val="center"/>
              <w:rPr>
                <w:rFonts w:ascii="宋体" w:hAnsi="宋体"/>
              </w:rPr>
            </w:pPr>
            <w:r>
              <w:rPr>
                <w:rFonts w:hint="eastAsia" w:ascii="宋体" w:hAnsi="宋体"/>
              </w:rPr>
              <w:t>11</w:t>
            </w:r>
          </w:p>
        </w:tc>
        <w:tc>
          <w:tcPr>
            <w:tcW w:w="5573" w:type="dxa"/>
            <w:noWrap w:val="0"/>
            <w:vAlign w:val="center"/>
          </w:tcPr>
          <w:p w14:paraId="5FF82B4E">
            <w:pPr>
              <w:spacing w:line="0" w:lineRule="atLeast"/>
              <w:jc w:val="left"/>
              <w:rPr>
                <w:rFonts w:ascii="宋体" w:hAnsi="宋体"/>
                <w:iCs/>
              </w:rPr>
            </w:pPr>
            <w:r>
              <w:rPr>
                <w:rFonts w:hint="eastAsia" w:ascii="宋体" w:hAnsi="宋体"/>
                <w:iCs/>
              </w:rPr>
              <w:t>磋商响应函</w:t>
            </w:r>
          </w:p>
        </w:tc>
        <w:tc>
          <w:tcPr>
            <w:tcW w:w="2158" w:type="dxa"/>
            <w:noWrap w:val="0"/>
            <w:vAlign w:val="center"/>
          </w:tcPr>
          <w:p w14:paraId="60159BF8">
            <w:pPr>
              <w:rPr>
                <w:rFonts w:ascii="宋体" w:hAnsi="宋体"/>
              </w:rPr>
            </w:pPr>
          </w:p>
        </w:tc>
      </w:tr>
      <w:tr w14:paraId="725A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20" w:type="dxa"/>
            <w:noWrap w:val="0"/>
            <w:vAlign w:val="center"/>
          </w:tcPr>
          <w:p w14:paraId="22E963B4">
            <w:pPr>
              <w:jc w:val="center"/>
              <w:rPr>
                <w:rFonts w:ascii="宋体" w:hAnsi="宋体"/>
              </w:rPr>
            </w:pPr>
            <w:r>
              <w:rPr>
                <w:rFonts w:hint="eastAsia" w:ascii="宋体" w:hAnsi="宋体"/>
              </w:rPr>
              <w:t>12</w:t>
            </w:r>
          </w:p>
        </w:tc>
        <w:tc>
          <w:tcPr>
            <w:tcW w:w="5573" w:type="dxa"/>
            <w:noWrap w:val="0"/>
            <w:vAlign w:val="center"/>
          </w:tcPr>
          <w:p w14:paraId="2F56E94D">
            <w:pPr>
              <w:spacing w:line="0" w:lineRule="atLeast"/>
              <w:jc w:val="left"/>
              <w:rPr>
                <w:rFonts w:ascii="宋体" w:hAnsi="宋体"/>
                <w:iCs/>
              </w:rPr>
            </w:pPr>
            <w:r>
              <w:rPr>
                <w:rFonts w:hint="eastAsia" w:ascii="宋体" w:hAnsi="宋体"/>
                <w:iCs/>
              </w:rPr>
              <w:t>法人授权书</w:t>
            </w:r>
          </w:p>
        </w:tc>
        <w:tc>
          <w:tcPr>
            <w:tcW w:w="2158" w:type="dxa"/>
            <w:noWrap w:val="0"/>
            <w:vAlign w:val="center"/>
          </w:tcPr>
          <w:p w14:paraId="2E43B96E">
            <w:pPr>
              <w:rPr>
                <w:rFonts w:ascii="宋体" w:hAnsi="宋体"/>
              </w:rPr>
            </w:pPr>
          </w:p>
        </w:tc>
      </w:tr>
    </w:tbl>
    <w:p w14:paraId="44D510F1">
      <w:pPr>
        <w:pStyle w:val="46"/>
        <w:spacing w:line="360" w:lineRule="auto"/>
        <w:ind w:firstLine="561"/>
        <w:jc w:val="center"/>
        <w:rPr>
          <w:rFonts w:hint="eastAsia" w:ascii="宋体" w:hAnsi="宋体" w:cs="宋体"/>
          <w:b/>
          <w:bCs/>
          <w:sz w:val="21"/>
        </w:rPr>
      </w:pPr>
    </w:p>
    <w:p w14:paraId="0C060C98">
      <w:pPr>
        <w:pStyle w:val="46"/>
        <w:spacing w:line="360" w:lineRule="auto"/>
        <w:ind w:firstLine="561"/>
        <w:jc w:val="center"/>
        <w:rPr>
          <w:rFonts w:hint="eastAsia" w:ascii="宋体" w:hAnsi="宋体" w:cs="宋体"/>
          <w:b/>
          <w:bCs/>
          <w:sz w:val="21"/>
        </w:rPr>
      </w:pPr>
    </w:p>
    <w:p w14:paraId="377B7ECC">
      <w:pPr>
        <w:pStyle w:val="46"/>
        <w:spacing w:line="360" w:lineRule="auto"/>
        <w:ind w:firstLine="561"/>
        <w:jc w:val="center"/>
        <w:rPr>
          <w:rFonts w:hint="eastAsia" w:ascii="宋体" w:hAnsi="宋体" w:cs="宋体"/>
          <w:b/>
          <w:sz w:val="21"/>
        </w:rPr>
      </w:pPr>
      <w:r>
        <w:rPr>
          <w:rFonts w:hint="eastAsia" w:ascii="宋体" w:hAnsi="宋体" w:cs="宋体"/>
          <w:b/>
          <w:bCs/>
          <w:sz w:val="21"/>
        </w:rPr>
        <w:t>法人</w:t>
      </w:r>
      <w:r>
        <w:rPr>
          <w:rFonts w:hint="eastAsia" w:ascii="宋体" w:hAnsi="宋体" w:cs="宋体"/>
          <w:b/>
          <w:sz w:val="21"/>
        </w:rPr>
        <w:t>授权书</w:t>
      </w:r>
    </w:p>
    <w:p w14:paraId="17BC285C">
      <w:pPr>
        <w:pStyle w:val="46"/>
        <w:spacing w:line="360" w:lineRule="auto"/>
        <w:ind w:firstLine="480"/>
        <w:rPr>
          <w:rFonts w:hint="eastAsia" w:ascii="宋体" w:hAnsi="宋体" w:cs="宋体"/>
          <w:sz w:val="21"/>
        </w:rPr>
      </w:pPr>
      <w:r>
        <w:rPr>
          <w:rFonts w:hint="eastAsia" w:ascii="宋体" w:hAnsi="宋体" w:cs="宋体"/>
          <w:sz w:val="21"/>
        </w:rPr>
        <w:t>本授权书声明：____________（供应商名称）授权________________（被授权人的姓名）为我方就 号项目采购活动的合法代理人，以本公司名义全权处理一切与该项目采购有关的事务。</w:t>
      </w:r>
    </w:p>
    <w:p w14:paraId="28651981">
      <w:pPr>
        <w:pStyle w:val="46"/>
        <w:spacing w:line="360" w:lineRule="auto"/>
        <w:ind w:firstLine="480"/>
        <w:rPr>
          <w:rFonts w:hint="eastAsia" w:ascii="宋体" w:hAnsi="宋体" w:cs="宋体"/>
          <w:sz w:val="21"/>
        </w:rPr>
      </w:pPr>
      <w:r>
        <w:rPr>
          <w:rFonts w:hint="eastAsia" w:ascii="宋体" w:hAnsi="宋体" w:cs="宋体"/>
          <w:sz w:val="21"/>
        </w:rPr>
        <w:t>本授权书于______年____月____日起生效，特此声明。</w:t>
      </w:r>
    </w:p>
    <w:p w14:paraId="499039A9">
      <w:pPr>
        <w:pStyle w:val="46"/>
        <w:spacing w:line="360" w:lineRule="auto"/>
        <w:rPr>
          <w:rFonts w:hint="eastAsia" w:ascii="宋体" w:hAnsi="宋体" w:cs="宋体"/>
          <w:sz w:val="21"/>
        </w:rPr>
      </w:pPr>
      <w:r>
        <w:rPr>
          <w:rFonts w:hint="eastAsia" w:ascii="宋体" w:hAnsi="宋体" w:cs="宋体"/>
          <w:sz w:val="21"/>
        </w:rPr>
        <w:t xml:space="preserve">     被授权人：_______________________</w:t>
      </w:r>
    </w:p>
    <w:p w14:paraId="3D00F365">
      <w:pPr>
        <w:pStyle w:val="46"/>
        <w:spacing w:line="360" w:lineRule="auto"/>
        <w:rPr>
          <w:rFonts w:hint="eastAsia" w:ascii="宋体" w:hAnsi="宋体" w:cs="宋体"/>
          <w:sz w:val="21"/>
        </w:rPr>
      </w:pPr>
      <w:r>
        <w:rPr>
          <w:rFonts w:hint="eastAsia" w:ascii="宋体" w:hAnsi="宋体" w:cs="宋体"/>
          <w:sz w:val="21"/>
        </w:rPr>
        <w:t xml:space="preserve">     单位名称：_____________________________________</w:t>
      </w:r>
    </w:p>
    <w:p w14:paraId="68862BDA">
      <w:pPr>
        <w:pStyle w:val="46"/>
        <w:spacing w:line="360" w:lineRule="auto"/>
        <w:rPr>
          <w:rFonts w:hint="eastAsia" w:ascii="宋体" w:hAnsi="宋体" w:cs="宋体"/>
          <w:sz w:val="21"/>
        </w:rPr>
      </w:pPr>
      <w:r>
        <w:rPr>
          <w:rFonts w:hint="eastAsia" w:ascii="宋体" w:hAnsi="宋体" w:cs="宋体"/>
          <w:sz w:val="21"/>
        </w:rPr>
        <w:t xml:space="preserve">     授权单位盖章：_________________________________</w:t>
      </w:r>
    </w:p>
    <w:p w14:paraId="7E4D32F1">
      <w:pPr>
        <w:pStyle w:val="46"/>
        <w:spacing w:line="360" w:lineRule="auto"/>
        <w:ind w:firstLine="480"/>
        <w:rPr>
          <w:rFonts w:hint="eastAsia" w:ascii="宋体" w:hAnsi="宋体" w:cs="宋体"/>
          <w:sz w:val="21"/>
        </w:rPr>
      </w:pPr>
      <w:r>
        <w:rPr>
          <w:rFonts w:hint="eastAsia" w:ascii="宋体" w:hAnsi="宋体" w:cs="宋体"/>
          <w:sz w:val="21"/>
        </w:rPr>
        <w:t>单位名称：_____________________________________</w:t>
      </w:r>
    </w:p>
    <w:p w14:paraId="72A84534">
      <w:pPr>
        <w:pStyle w:val="46"/>
        <w:spacing w:line="360" w:lineRule="auto"/>
        <w:ind w:firstLine="480"/>
        <w:rPr>
          <w:rFonts w:hint="eastAsia" w:ascii="宋体" w:hAnsi="宋体" w:cs="宋体"/>
          <w:sz w:val="21"/>
          <w:u w:val="single"/>
        </w:rPr>
      </w:pPr>
      <w:r>
        <w:rPr>
          <w:rFonts w:hint="eastAsia" w:ascii="宋体" w:hAnsi="宋体" w:cs="宋体"/>
          <w:sz w:val="21"/>
        </w:rPr>
        <w:t>地址：</w:t>
      </w:r>
    </w:p>
    <w:p w14:paraId="3C73CD42">
      <w:pPr>
        <w:pStyle w:val="46"/>
        <w:spacing w:line="360" w:lineRule="auto"/>
        <w:ind w:firstLine="480"/>
        <w:rPr>
          <w:rFonts w:hint="eastAsia" w:ascii="宋体" w:hAnsi="宋体" w:cs="宋体"/>
          <w:sz w:val="21"/>
        </w:rPr>
      </w:pPr>
      <w:r>
        <w:rPr>
          <w:rFonts w:hint="eastAsia" w:ascii="宋体" w:hAnsi="宋体" w:cs="宋体"/>
          <w:sz w:val="21"/>
        </w:rPr>
        <w:t>日期：年月日</w:t>
      </w:r>
    </w:p>
    <w:p w14:paraId="41963013">
      <w:pPr>
        <w:pStyle w:val="5"/>
        <w:spacing w:line="360" w:lineRule="auto"/>
        <w:rPr>
          <w:rFonts w:hint="eastAsia" w:ascii="宋体" w:hAnsi="宋体" w:cs="宋体"/>
          <w:szCs w:val="21"/>
        </w:rPr>
      </w:pPr>
    </w:p>
    <w:p w14:paraId="39BF0D3D">
      <w:pPr>
        <w:pStyle w:val="5"/>
        <w:spacing w:line="360" w:lineRule="auto"/>
        <w:rPr>
          <w:rFonts w:hint="eastAsia" w:ascii="宋体" w:hAnsi="宋体" w:cs="宋体"/>
          <w:szCs w:val="21"/>
        </w:rPr>
      </w:pPr>
    </w:p>
    <w:p w14:paraId="716BA9CF">
      <w:pPr>
        <w:pStyle w:val="46"/>
        <w:spacing w:line="360" w:lineRule="auto"/>
        <w:ind w:firstLine="801" w:firstLineChars="380"/>
        <w:rPr>
          <w:rFonts w:hint="eastAsia" w:ascii="宋体" w:hAnsi="宋体" w:cs="宋体"/>
          <w:b/>
          <w:bCs/>
          <w:sz w:val="21"/>
        </w:rPr>
      </w:pPr>
      <w:r>
        <w:rPr>
          <w:rFonts w:hint="eastAsia" w:ascii="宋体" w:hAnsi="宋体" w:cs="宋体"/>
          <w:b/>
          <w:bCs/>
          <w:sz w:val="21"/>
        </w:rPr>
        <w:br w:type="page"/>
      </w:r>
    </w:p>
    <w:p w14:paraId="4A5E636F">
      <w:pPr>
        <w:spacing w:line="500" w:lineRule="exact"/>
        <w:jc w:val="center"/>
        <w:rPr>
          <w:rFonts w:hint="eastAsia" w:ascii="宋体" w:hAnsi="宋体"/>
          <w:b/>
        </w:rPr>
      </w:pPr>
      <w:bookmarkStart w:id="26" w:name="_Toc403825211"/>
      <w:r>
        <w:rPr>
          <w:rFonts w:ascii="宋体" w:hAnsi="宋体"/>
          <w:b/>
        </w:rPr>
        <w:t>基本资格条件承诺函</w:t>
      </w:r>
    </w:p>
    <w:p w14:paraId="22196F45">
      <w:pPr>
        <w:tabs>
          <w:tab w:val="left" w:pos="6300"/>
        </w:tabs>
        <w:spacing w:line="530" w:lineRule="exact"/>
        <w:rPr>
          <w:rFonts w:ascii="Times New Roman" w:hAnsi="Times New Roman"/>
          <w:sz w:val="24"/>
        </w:rPr>
      </w:pPr>
    </w:p>
    <w:p w14:paraId="44CE6AA8">
      <w:pPr>
        <w:spacing w:line="560" w:lineRule="exact"/>
        <w:ind w:firstLine="420"/>
        <w:rPr>
          <w:rFonts w:hint="eastAsia" w:ascii="宋体" w:hAnsi="宋体"/>
        </w:rPr>
      </w:pPr>
      <w:r>
        <w:rPr>
          <w:rFonts w:ascii="宋体" w:hAnsi="宋体"/>
        </w:rPr>
        <w:t xml:space="preserve">致 </w:t>
      </w:r>
      <w:r>
        <w:rPr>
          <w:rFonts w:hint="eastAsia" w:ascii="宋体" w:hAnsi="宋体"/>
          <w:u w:val="single"/>
        </w:rPr>
        <w:t xml:space="preserve">                     </w:t>
      </w:r>
      <w:r>
        <w:rPr>
          <w:rFonts w:ascii="宋体" w:hAnsi="宋体"/>
        </w:rPr>
        <w:t>（采购代理机构名称）：</w:t>
      </w:r>
    </w:p>
    <w:p w14:paraId="3DDE7889">
      <w:pPr>
        <w:spacing w:line="560" w:lineRule="exact"/>
        <w:ind w:firstLine="420"/>
        <w:rPr>
          <w:rFonts w:hint="eastAsia" w:ascii="宋体" w:hAnsi="宋体"/>
        </w:rPr>
      </w:pPr>
      <w:r>
        <w:rPr>
          <w:rFonts w:hint="eastAsia" w:ascii="宋体" w:hAnsi="宋体"/>
        </w:rPr>
        <w:t>我公司自愿参加</w:t>
      </w:r>
      <w:r>
        <w:rPr>
          <w:rFonts w:hint="eastAsia" w:ascii="宋体" w:hAnsi="宋体"/>
          <w:u w:val="single"/>
        </w:rPr>
        <w:t xml:space="preserve">                            </w:t>
      </w:r>
      <w:r>
        <w:rPr>
          <w:rFonts w:ascii="宋体" w:hAnsi="宋体"/>
        </w:rPr>
        <w:t>（</w:t>
      </w:r>
      <w:r>
        <w:rPr>
          <w:rFonts w:hint="eastAsia" w:ascii="宋体" w:hAnsi="宋体"/>
        </w:rPr>
        <w:t>项目</w:t>
      </w:r>
      <w:r>
        <w:rPr>
          <w:rFonts w:ascii="宋体" w:hAnsi="宋体"/>
        </w:rPr>
        <w:t>名称）</w:t>
      </w:r>
      <w:r>
        <w:rPr>
          <w:rFonts w:hint="eastAsia" w:ascii="宋体" w:hAnsi="宋体"/>
        </w:rPr>
        <w:t>采购活动，并</w:t>
      </w:r>
      <w:r>
        <w:rPr>
          <w:rFonts w:ascii="宋体" w:hAnsi="宋体"/>
        </w:rPr>
        <w:t>郑重承诺：</w:t>
      </w:r>
    </w:p>
    <w:p w14:paraId="1AC300E1">
      <w:pPr>
        <w:spacing w:line="560" w:lineRule="exact"/>
        <w:ind w:firstLine="420"/>
        <w:rPr>
          <w:rFonts w:hint="eastAsia" w:ascii="宋体" w:hAnsi="宋体"/>
        </w:rPr>
      </w:pPr>
      <w:r>
        <w:rPr>
          <w:rFonts w:ascii="宋体" w:hAnsi="宋体"/>
        </w:rPr>
        <w:t>1.我方具有良好的商业信誉和健全的财务会计制度，具有履行合同所必需的设备和专业技术能力，具</w:t>
      </w:r>
      <w:r>
        <w:rPr>
          <w:rFonts w:ascii="宋体" w:hAnsi="宋体"/>
          <w:lang w:val="zh-CN"/>
        </w:rPr>
        <w:t>有依法缴纳税收和社会保障金的良好记录</w:t>
      </w:r>
      <w:r>
        <w:rPr>
          <w:rFonts w:ascii="宋体" w:hAnsi="宋体"/>
        </w:rPr>
        <w:t>，参加本项目采购活动前三年内无重大违法活动记录。</w:t>
      </w:r>
    </w:p>
    <w:p w14:paraId="46057ACD">
      <w:pPr>
        <w:spacing w:line="560" w:lineRule="exact"/>
        <w:ind w:firstLine="420"/>
        <w:rPr>
          <w:rFonts w:hint="eastAsia" w:ascii="宋体" w:hAnsi="宋体"/>
        </w:rPr>
      </w:pPr>
      <w:r>
        <w:rPr>
          <w:rFonts w:ascii="宋体" w:hAnsi="宋体"/>
        </w:rPr>
        <w:t>2.我方未列入在信用中国网站（www.creditchina.gov.cn）“失信被执行人”、“重大税收违法案件当事人名单”中，也未列入中国政府采购网（www.ccgp.gov.cn）“政府采购严重违法失信行为记录名单”中。</w:t>
      </w:r>
    </w:p>
    <w:p w14:paraId="5B44D3C0">
      <w:pPr>
        <w:spacing w:line="560" w:lineRule="exact"/>
        <w:ind w:firstLine="420"/>
        <w:rPr>
          <w:rFonts w:hint="eastAsia" w:ascii="宋体" w:hAnsi="宋体"/>
        </w:rPr>
      </w:pPr>
      <w:r>
        <w:rPr>
          <w:rFonts w:ascii="宋体" w:hAnsi="宋体"/>
        </w:rPr>
        <w:t>3.我方在采购项目评审（评标）环节结束后，随时接受采购人、采购代理机构的检查验证，配合提供相关证明材料，证明符合《中华人民共和国政府采购法》规定的投标人基本资格条件。</w:t>
      </w:r>
    </w:p>
    <w:p w14:paraId="7A7C5F50">
      <w:pPr>
        <w:spacing w:line="560" w:lineRule="exact"/>
        <w:ind w:firstLine="420"/>
        <w:rPr>
          <w:rFonts w:hint="eastAsia" w:ascii="宋体" w:hAnsi="宋体"/>
        </w:rPr>
      </w:pPr>
      <w:r>
        <w:rPr>
          <w:rFonts w:ascii="宋体" w:hAnsi="宋体"/>
        </w:rPr>
        <w:t>我方对以上承诺负全部法律责任。</w:t>
      </w:r>
    </w:p>
    <w:p w14:paraId="106175DA">
      <w:pPr>
        <w:spacing w:line="560" w:lineRule="exact"/>
        <w:ind w:firstLine="420"/>
        <w:rPr>
          <w:rFonts w:hint="eastAsia" w:ascii="宋体" w:hAnsi="宋体"/>
        </w:rPr>
      </w:pPr>
      <w:r>
        <w:rPr>
          <w:rFonts w:ascii="宋体" w:hAnsi="宋体"/>
        </w:rPr>
        <w:t>特此承诺。</w:t>
      </w:r>
    </w:p>
    <w:p w14:paraId="05F2F45B">
      <w:pPr>
        <w:spacing w:line="560" w:lineRule="exact"/>
        <w:ind w:firstLine="420"/>
        <w:rPr>
          <w:rFonts w:hint="eastAsia" w:ascii="宋体" w:hAnsi="宋体"/>
        </w:rPr>
      </w:pPr>
    </w:p>
    <w:p w14:paraId="5494F776">
      <w:pPr>
        <w:spacing w:line="560" w:lineRule="exact"/>
        <w:ind w:firstLine="420"/>
        <w:jc w:val="right"/>
        <w:rPr>
          <w:rFonts w:hint="eastAsia" w:ascii="宋体" w:hAnsi="宋体"/>
        </w:rPr>
      </w:pPr>
      <w:r>
        <w:rPr>
          <w:rFonts w:hint="eastAsia" w:ascii="宋体" w:hAnsi="宋体"/>
        </w:rPr>
        <w:t>供应商名称（签章）：</w:t>
      </w:r>
    </w:p>
    <w:p w14:paraId="71E650BE">
      <w:pPr>
        <w:spacing w:line="560" w:lineRule="exact"/>
        <w:ind w:firstLine="1260"/>
        <w:jc w:val="right"/>
        <w:rPr>
          <w:rFonts w:hint="eastAsia" w:ascii="宋体" w:hAnsi="宋体"/>
        </w:rPr>
      </w:pPr>
      <w:r>
        <w:rPr>
          <w:rFonts w:hint="eastAsia" w:ascii="宋体" w:hAnsi="宋体"/>
        </w:rPr>
        <w:t xml:space="preserve">            法定代表人（签章）：</w:t>
      </w:r>
    </w:p>
    <w:p w14:paraId="2BB471ED">
      <w:pPr>
        <w:spacing w:line="560" w:lineRule="exact"/>
        <w:ind w:firstLine="420"/>
        <w:jc w:val="right"/>
        <w:rPr>
          <w:rFonts w:hint="eastAsia" w:ascii="宋体" w:hAnsi="宋体"/>
        </w:rPr>
      </w:pPr>
      <w:r>
        <w:rPr>
          <w:rFonts w:hint="eastAsia" w:ascii="宋体" w:hAnsi="宋体"/>
        </w:rPr>
        <w:t xml:space="preserve">                                            </w:t>
      </w:r>
    </w:p>
    <w:p w14:paraId="44834FF6">
      <w:pPr>
        <w:spacing w:before="156" w:beforeLines="50" w:line="360" w:lineRule="auto"/>
        <w:ind w:right="312" w:firstLine="420" w:firstLineChars="200"/>
        <w:jc w:val="right"/>
        <w:rPr>
          <w:rFonts w:hint="eastAsia" w:ascii="宋体" w:hAnsi="宋体" w:cs="宋体"/>
          <w:b/>
          <w:sz w:val="28"/>
          <w:szCs w:val="28"/>
        </w:rPr>
      </w:pPr>
      <w:r>
        <w:rPr>
          <w:rFonts w:hint="eastAsia" w:ascii="宋体" w:hAnsi="宋体"/>
        </w:rPr>
        <w:t xml:space="preserve">     </w:t>
      </w:r>
      <w:r>
        <w:rPr>
          <w:rFonts w:ascii="宋体" w:hAnsi="宋体"/>
        </w:rPr>
        <w:t>年   月   日</w:t>
      </w:r>
    </w:p>
    <w:p w14:paraId="7C9F796A">
      <w:pPr>
        <w:spacing w:before="156" w:beforeLines="50" w:line="360" w:lineRule="auto"/>
        <w:ind w:right="312"/>
        <w:rPr>
          <w:rFonts w:hint="eastAsia" w:ascii="宋体" w:hAnsi="宋体" w:cs="宋体"/>
          <w:b/>
          <w:sz w:val="28"/>
          <w:szCs w:val="28"/>
        </w:rPr>
        <w:sectPr>
          <w:pgSz w:w="11906" w:h="16838"/>
          <w:pgMar w:top="1440" w:right="1800" w:bottom="1440" w:left="1800" w:header="851" w:footer="992" w:gutter="0"/>
          <w:cols w:space="720" w:num="1"/>
          <w:docGrid w:type="lines" w:linePitch="312" w:charSpace="0"/>
        </w:sectPr>
      </w:pPr>
    </w:p>
    <w:p w14:paraId="0D01CAAD">
      <w:pPr>
        <w:spacing w:line="360" w:lineRule="auto"/>
        <w:jc w:val="center"/>
        <w:rPr>
          <w:rFonts w:hint="eastAsia" w:ascii="宋体" w:hAnsi="宋体" w:cs="宋体"/>
          <w:b/>
        </w:rPr>
      </w:pPr>
      <w:r>
        <w:rPr>
          <w:rFonts w:hint="eastAsia" w:ascii="宋体" w:hAnsi="宋体" w:cs="宋体"/>
          <w:b/>
        </w:rPr>
        <w:t>供应商信用承诺书</w:t>
      </w:r>
    </w:p>
    <w:p w14:paraId="18C9095F">
      <w:pPr>
        <w:spacing w:line="360" w:lineRule="auto"/>
        <w:rPr>
          <w:rFonts w:hint="eastAsia" w:ascii="宋体" w:hAnsi="宋体" w:cs="宋体"/>
        </w:rPr>
      </w:pPr>
      <w:r>
        <w:rPr>
          <w:rFonts w:hint="eastAsia" w:ascii="宋体" w:hAnsi="宋体" w:cs="宋体"/>
        </w:rPr>
        <w:t>承诺主体名称：</w:t>
      </w:r>
    </w:p>
    <w:p w14:paraId="73792FAA">
      <w:pPr>
        <w:spacing w:line="360" w:lineRule="auto"/>
        <w:rPr>
          <w:rFonts w:hint="eastAsia" w:ascii="宋体" w:hAnsi="宋体" w:cs="宋体"/>
        </w:rPr>
      </w:pPr>
      <w:r>
        <w:rPr>
          <w:rFonts w:hint="eastAsia" w:ascii="宋体" w:hAnsi="宋体" w:cs="宋体"/>
        </w:rPr>
        <w:t>统一社会信用代码：</w:t>
      </w:r>
    </w:p>
    <w:p w14:paraId="0B2688C5">
      <w:pPr>
        <w:spacing w:line="360" w:lineRule="auto"/>
        <w:ind w:firstLine="420" w:firstLineChars="200"/>
        <w:rPr>
          <w:rFonts w:hint="eastAsia" w:ascii="宋体" w:hAnsi="宋体" w:cs="宋体"/>
        </w:rPr>
      </w:pPr>
      <w:r>
        <w:rPr>
          <w:rFonts w:hint="eastAsia" w:ascii="宋体" w:hAnsi="宋体" w:cs="宋体"/>
        </w:rPr>
        <w:t>为维护公平竞争、规范有序的市场秩序，营造诚实守信的信用环境，共同推进社会信用体系建设完善，树立企业诚信守法形象，本企业对________________________项目国企采购活动郑重承诺如下:</w:t>
      </w:r>
    </w:p>
    <w:p w14:paraId="6059925B">
      <w:pPr>
        <w:spacing w:line="360" w:lineRule="auto"/>
        <w:ind w:firstLine="420" w:firstLineChars="200"/>
        <w:rPr>
          <w:rFonts w:hint="eastAsia" w:ascii="宋体" w:hAnsi="宋体" w:cs="宋体"/>
        </w:rPr>
      </w:pPr>
      <w:r>
        <w:rPr>
          <w:rFonts w:hint="eastAsia" w:ascii="宋体" w:hAnsi="宋体" w:cs="宋体"/>
        </w:rPr>
        <w:t>一、对提供给注册登记部门、行业管理部门、司法部门、行业组织以及在政府采购活动中提交的所有资料的合法性、真实性、准确性和有效性负责；</w:t>
      </w:r>
    </w:p>
    <w:p w14:paraId="67508E04">
      <w:pPr>
        <w:spacing w:line="360" w:lineRule="auto"/>
        <w:ind w:firstLine="420" w:firstLineChars="200"/>
        <w:rPr>
          <w:rFonts w:hint="eastAsia" w:ascii="宋体" w:hAnsi="宋体" w:cs="宋体"/>
        </w:rPr>
      </w:pPr>
      <w:r>
        <w:rPr>
          <w:rFonts w:hint="eastAsia" w:ascii="宋体" w:hAnsi="宋体" w:cs="宋体"/>
        </w:rPr>
        <w:t>二、严格按照国家法律、法规和规章开展采购活动，全面履行应尽的责任和义务，全面做到履约守信，具备《中华人民共和国政府采购法》第二十二条第一款规定的条件;</w:t>
      </w:r>
    </w:p>
    <w:p w14:paraId="18650AF1">
      <w:pPr>
        <w:spacing w:line="360" w:lineRule="auto"/>
        <w:ind w:firstLine="420" w:firstLineChars="200"/>
        <w:rPr>
          <w:rFonts w:hint="eastAsia" w:ascii="宋体" w:hAnsi="宋体" w:cs="宋体"/>
        </w:rPr>
      </w:pPr>
      <w:r>
        <w:rPr>
          <w:rFonts w:hint="eastAsia" w:ascii="宋体" w:hAnsi="宋体" w:cs="宋体"/>
        </w:rPr>
        <w:t>三、严格依法开展生产经营活动，主动接受行业监管，自愿接受依法开展的日常检查；违法失信经营后将自愿接受约束和惩戒，并依法承担相应责任；</w:t>
      </w:r>
    </w:p>
    <w:p w14:paraId="77619112">
      <w:pPr>
        <w:spacing w:line="360" w:lineRule="auto"/>
        <w:ind w:firstLine="420" w:firstLineChars="200"/>
        <w:rPr>
          <w:rFonts w:hint="eastAsia" w:ascii="宋体" w:hAnsi="宋体" w:cs="宋体"/>
        </w:rPr>
      </w:pPr>
      <w:r>
        <w:rPr>
          <w:rFonts w:hint="eastAsia" w:ascii="宋体" w:hAnsi="宋体" w:cs="宋体"/>
        </w:rPr>
        <w:t>四、自觉接受行政管理部门、行业组织、社会公众、新闻舆论的监督；</w:t>
      </w:r>
    </w:p>
    <w:p w14:paraId="7507515A">
      <w:pPr>
        <w:spacing w:line="360" w:lineRule="auto"/>
        <w:ind w:firstLine="420" w:firstLineChars="200"/>
        <w:rPr>
          <w:rFonts w:hint="eastAsia" w:ascii="宋体" w:hAnsi="宋体" w:cs="宋体"/>
        </w:rPr>
      </w:pPr>
      <w:r>
        <w:rPr>
          <w:rFonts w:hint="eastAsia" w:ascii="宋体" w:hAnsi="宋体" w:cs="宋体"/>
        </w:rPr>
        <w:t>五、自觉做到自我约束、自我管理，不制假售假、商标侵权、虚假宣传、违约毁约、恶意逃债、偷税漏税、垄断和不正当竞争，维护经营者、消费者的合法权益；</w:t>
      </w:r>
    </w:p>
    <w:p w14:paraId="34C8E69A">
      <w:pPr>
        <w:spacing w:line="360" w:lineRule="auto"/>
        <w:ind w:firstLine="420" w:firstLineChars="200"/>
        <w:rPr>
          <w:rFonts w:hint="eastAsia" w:ascii="宋体" w:hAnsi="宋体" w:cs="宋体"/>
        </w:rPr>
      </w:pPr>
      <w:r>
        <w:rPr>
          <w:rFonts w:hint="eastAsia" w:ascii="宋体" w:hAnsi="宋体" w:cs="宋体"/>
        </w:rPr>
        <w:t>六、提出政府采购质疑和投诉坚持依法依规、诚实信用原则，在全国范围12个月内没有三次以上查无实据的政府采购投诉；</w:t>
      </w:r>
    </w:p>
    <w:p w14:paraId="1A4373FF">
      <w:pPr>
        <w:spacing w:line="360" w:lineRule="auto"/>
        <w:ind w:firstLine="420" w:firstLineChars="200"/>
        <w:rPr>
          <w:rFonts w:hint="eastAsia" w:ascii="宋体" w:hAnsi="宋体" w:cs="宋体"/>
        </w:rPr>
      </w:pPr>
      <w:r>
        <w:rPr>
          <w:rFonts w:hint="eastAsia" w:ascii="宋体" w:hAnsi="宋体" w:cs="宋体"/>
        </w:rPr>
        <w:t>七、严格遵守信用信息公示相关规定，向社会公示信用信息；</w:t>
      </w:r>
    </w:p>
    <w:p w14:paraId="28C5AD25">
      <w:pPr>
        <w:spacing w:line="360" w:lineRule="auto"/>
        <w:ind w:firstLine="420" w:firstLineChars="200"/>
        <w:rPr>
          <w:rFonts w:hint="eastAsia" w:ascii="宋体" w:hAnsi="宋体" w:cs="宋体"/>
        </w:rPr>
      </w:pPr>
      <w:r>
        <w:rPr>
          <w:rFonts w:hint="eastAsia" w:ascii="宋体" w:hAnsi="宋体" w:cs="宋体"/>
        </w:rPr>
        <w:t>八、在“信用中国”和“中国政府采购网”网站中无违法违规、较重或严重失信记录；</w:t>
      </w:r>
    </w:p>
    <w:p w14:paraId="42901E10">
      <w:pPr>
        <w:spacing w:line="360" w:lineRule="auto"/>
        <w:ind w:firstLine="420" w:firstLineChars="200"/>
        <w:rPr>
          <w:rFonts w:hint="eastAsia" w:ascii="宋体" w:hAnsi="宋体" w:cs="宋体"/>
        </w:rPr>
      </w:pPr>
      <w:r>
        <w:rPr>
          <w:rFonts w:hint="eastAsia" w:ascii="宋体" w:hAnsi="宋体" w:cs="宋体"/>
        </w:rPr>
        <w:t>九、如违反承诺，自愿接受管理部门依法给予的行政处罚，同意将违反承诺的行为作为不良记录记入信用档案，依法依规进行信息公示，并承担所产生的一切法律责任和经济损失。</w:t>
      </w:r>
    </w:p>
    <w:p w14:paraId="2DDE1971">
      <w:pPr>
        <w:spacing w:line="360" w:lineRule="auto"/>
        <w:ind w:firstLine="420" w:firstLineChars="200"/>
        <w:rPr>
          <w:rFonts w:hint="eastAsia" w:ascii="宋体" w:hAnsi="宋体" w:cs="宋体"/>
        </w:rPr>
      </w:pPr>
      <w:r>
        <w:rPr>
          <w:rFonts w:hint="eastAsia" w:ascii="宋体" w:hAnsi="宋体" w:cs="宋体"/>
        </w:rPr>
        <w:t>十、本承诺书自签订之日起生效。</w:t>
      </w:r>
    </w:p>
    <w:p w14:paraId="3C82BE6C">
      <w:pPr>
        <w:spacing w:line="360" w:lineRule="auto"/>
        <w:ind w:firstLine="420" w:firstLineChars="200"/>
        <w:rPr>
          <w:rFonts w:hint="eastAsia" w:ascii="宋体" w:hAnsi="宋体" w:cs="宋体"/>
        </w:rPr>
      </w:pPr>
      <w:r>
        <w:rPr>
          <w:rFonts w:hint="eastAsia" w:ascii="宋体" w:hAnsi="宋体" w:cs="宋体"/>
        </w:rPr>
        <w:t> （注：法定代表人或负责人、主体名称发生变更的应当重新做出承诺。）</w:t>
      </w:r>
    </w:p>
    <w:p w14:paraId="7ECFFBD0">
      <w:pPr>
        <w:spacing w:line="560" w:lineRule="exact"/>
        <w:rPr>
          <w:rFonts w:hint="eastAsia" w:ascii="宋体" w:hAnsi="宋体" w:cs="宋体"/>
        </w:rPr>
      </w:pPr>
    </w:p>
    <w:p w14:paraId="0BFC5ED0">
      <w:pPr>
        <w:spacing w:line="560" w:lineRule="exact"/>
        <w:jc w:val="center"/>
        <w:rPr>
          <w:rFonts w:hint="eastAsia" w:ascii="宋体" w:hAnsi="宋体" w:cs="宋体"/>
        </w:rPr>
      </w:pPr>
      <w:r>
        <w:rPr>
          <w:rFonts w:hint="eastAsia" w:ascii="宋体" w:hAnsi="宋体" w:cs="宋体"/>
        </w:rPr>
        <w:t xml:space="preserve">　　　　　　　　　　                     承诺单位（公章）：           </w:t>
      </w:r>
    </w:p>
    <w:p w14:paraId="6BCE1BF7">
      <w:pPr>
        <w:spacing w:line="560" w:lineRule="exact"/>
        <w:jc w:val="center"/>
        <w:rPr>
          <w:rFonts w:hint="eastAsia" w:ascii="宋体" w:hAnsi="宋体" w:cs="宋体"/>
        </w:rPr>
      </w:pPr>
      <w:r>
        <w:rPr>
          <w:rFonts w:hint="eastAsia" w:ascii="宋体" w:hAnsi="宋体" w:cs="宋体"/>
        </w:rPr>
        <w:t>　　　　　　　　　   　  法定代表人（签字或盖章）：</w:t>
      </w:r>
    </w:p>
    <w:p w14:paraId="22E67819">
      <w:pPr>
        <w:spacing w:before="156" w:beforeLines="50" w:line="360" w:lineRule="auto"/>
        <w:ind w:right="312"/>
        <w:rPr>
          <w:rFonts w:hint="eastAsia" w:ascii="宋体" w:hAnsi="宋体" w:cs="宋体"/>
        </w:rPr>
      </w:pPr>
      <w:r>
        <w:rPr>
          <w:rFonts w:hint="eastAsia" w:ascii="宋体" w:hAnsi="宋体" w:cs="宋体"/>
        </w:rPr>
        <w:t>　　　　　　　　　       　                 年    月    日</w:t>
      </w:r>
    </w:p>
    <w:p w14:paraId="5D13BABB">
      <w:pPr>
        <w:rPr>
          <w:rFonts w:hint="eastAsia" w:ascii="宋体" w:hAnsi="宋体" w:cs="宋体"/>
        </w:rPr>
      </w:pPr>
      <w:r>
        <w:rPr>
          <w:rFonts w:hint="eastAsia" w:ascii="宋体" w:hAnsi="宋体" w:cs="宋体"/>
        </w:rPr>
        <w:br w:type="page"/>
      </w:r>
    </w:p>
    <w:p w14:paraId="5130003F">
      <w:pPr>
        <w:spacing w:line="360" w:lineRule="auto"/>
        <w:jc w:val="center"/>
        <w:rPr>
          <w:rFonts w:ascii="宋体" w:hAnsi="宋体"/>
          <w:b/>
          <w:bCs/>
        </w:rPr>
      </w:pPr>
      <w:r>
        <w:rPr>
          <w:rFonts w:hint="eastAsia" w:ascii="宋体" w:hAnsi="宋体"/>
          <w:b/>
        </w:rPr>
        <w:t>磋商响应函</w:t>
      </w:r>
    </w:p>
    <w:p w14:paraId="11C0B11B">
      <w:pPr>
        <w:pStyle w:val="46"/>
        <w:spacing w:line="360" w:lineRule="auto"/>
        <w:ind w:firstLine="420"/>
        <w:rPr>
          <w:rFonts w:ascii="宋体" w:hAnsi="宋体"/>
          <w:sz w:val="21"/>
          <w:szCs w:val="21"/>
        </w:rPr>
      </w:pPr>
      <w:r>
        <w:rPr>
          <w:rFonts w:hint="eastAsia" w:ascii="宋体" w:hAnsi="宋体"/>
          <w:sz w:val="21"/>
          <w:szCs w:val="21"/>
        </w:rPr>
        <w:t>致：（代理公司）</w:t>
      </w:r>
    </w:p>
    <w:p w14:paraId="3E9FB063">
      <w:pPr>
        <w:pStyle w:val="46"/>
        <w:spacing w:line="360" w:lineRule="auto"/>
        <w:ind w:firstLine="420"/>
        <w:jc w:val="left"/>
        <w:rPr>
          <w:rFonts w:ascii="宋体" w:hAnsi="宋体"/>
          <w:sz w:val="21"/>
          <w:szCs w:val="21"/>
        </w:rPr>
      </w:pPr>
      <w:r>
        <w:rPr>
          <w:rFonts w:hint="eastAsia" w:ascii="宋体" w:hAnsi="宋体"/>
          <w:sz w:val="21"/>
          <w:szCs w:val="21"/>
        </w:rPr>
        <w:t>根据贵方的号磋商文件，正式授权下述签字人_________ (姓名和职务)代表我方______________（供应商的名称），全权处理本次项目磋商采购的有关事宜。</w:t>
      </w:r>
    </w:p>
    <w:p w14:paraId="5281F1AA">
      <w:pPr>
        <w:pStyle w:val="46"/>
        <w:spacing w:line="360" w:lineRule="auto"/>
        <w:ind w:firstLine="420"/>
        <w:rPr>
          <w:rFonts w:ascii="宋体" w:hAnsi="宋体"/>
          <w:sz w:val="21"/>
          <w:szCs w:val="21"/>
        </w:rPr>
      </w:pPr>
      <w:r>
        <w:rPr>
          <w:rFonts w:hint="eastAsia" w:ascii="宋体" w:hAnsi="宋体"/>
          <w:sz w:val="21"/>
          <w:szCs w:val="21"/>
        </w:rPr>
        <w:t>据此函，__________（签字人）兹宣布同意如下：</w:t>
      </w:r>
    </w:p>
    <w:p w14:paraId="0363FEE9">
      <w:pPr>
        <w:pStyle w:val="46"/>
        <w:spacing w:line="360" w:lineRule="auto"/>
        <w:ind w:firstLine="420"/>
        <w:rPr>
          <w:rFonts w:ascii="宋体" w:hAnsi="宋体"/>
          <w:sz w:val="21"/>
          <w:szCs w:val="21"/>
        </w:rPr>
      </w:pPr>
      <w:r>
        <w:rPr>
          <w:rFonts w:hint="eastAsia" w:ascii="宋体" w:hAnsi="宋体"/>
          <w:sz w:val="21"/>
          <w:szCs w:val="21"/>
        </w:rPr>
        <w:t>1.按磋商文件规定的各项要求，向买方提供所需服务。</w:t>
      </w:r>
    </w:p>
    <w:p w14:paraId="367E96DF">
      <w:pPr>
        <w:pStyle w:val="46"/>
        <w:spacing w:line="360" w:lineRule="auto"/>
        <w:ind w:firstLine="420"/>
        <w:rPr>
          <w:rFonts w:ascii="宋体" w:hAnsi="宋体"/>
          <w:sz w:val="21"/>
          <w:szCs w:val="21"/>
        </w:rPr>
      </w:pPr>
      <w:r>
        <w:rPr>
          <w:rFonts w:hint="eastAsia" w:ascii="宋体" w:hAnsi="宋体"/>
          <w:sz w:val="21"/>
          <w:szCs w:val="21"/>
        </w:rPr>
        <w:t>2.我们已详细审核全部磋商文件及其有效补充文件，我们知道必须放弃提出含糊不清或误解问题的权利。</w:t>
      </w:r>
    </w:p>
    <w:p w14:paraId="14F44716">
      <w:pPr>
        <w:pStyle w:val="46"/>
        <w:spacing w:line="360" w:lineRule="auto"/>
        <w:ind w:firstLine="420"/>
        <w:rPr>
          <w:rFonts w:ascii="宋体" w:hAnsi="宋体"/>
          <w:sz w:val="21"/>
          <w:szCs w:val="21"/>
        </w:rPr>
      </w:pPr>
      <w:r>
        <w:rPr>
          <w:rFonts w:hint="eastAsia" w:ascii="宋体" w:hAnsi="宋体"/>
          <w:sz w:val="21"/>
          <w:szCs w:val="21"/>
        </w:rPr>
        <w:t>3.我们同意从规定的响应文件接收截止时间起遵循本响应文件，并在规定的磋商有效期期满之前均具有约束力。</w:t>
      </w:r>
    </w:p>
    <w:p w14:paraId="1FE4A4DC">
      <w:pPr>
        <w:pStyle w:val="46"/>
        <w:spacing w:line="360" w:lineRule="auto"/>
        <w:ind w:firstLine="420"/>
        <w:rPr>
          <w:rFonts w:ascii="宋体" w:hAnsi="宋体"/>
          <w:sz w:val="21"/>
          <w:szCs w:val="21"/>
        </w:rPr>
      </w:pPr>
      <w:r>
        <w:rPr>
          <w:rFonts w:hint="eastAsia" w:ascii="宋体" w:hAnsi="宋体"/>
          <w:sz w:val="21"/>
          <w:szCs w:val="21"/>
        </w:rPr>
        <w:t>4.同意向贵方提供贵方可能另外要求的与磋商采购有关的任何证据或资料，并保证我方已提供和将要提供的文件是真实的、准确的。</w:t>
      </w:r>
    </w:p>
    <w:p w14:paraId="12B9DF6C">
      <w:pPr>
        <w:pStyle w:val="46"/>
        <w:spacing w:line="360" w:lineRule="auto"/>
        <w:ind w:firstLine="420"/>
        <w:rPr>
          <w:rFonts w:ascii="宋体" w:hAnsi="宋体"/>
          <w:sz w:val="21"/>
          <w:szCs w:val="21"/>
        </w:rPr>
      </w:pPr>
      <w:r>
        <w:rPr>
          <w:rFonts w:hint="eastAsia" w:ascii="宋体" w:hAnsi="宋体"/>
          <w:sz w:val="21"/>
          <w:szCs w:val="21"/>
        </w:rPr>
        <w:t>5.一旦我方成交，我方将根据磋商文件的规定，严格履行合同的责任和义务，并保证在磋商文件规定的时间完成项目，交付买方验收、使用。</w:t>
      </w:r>
    </w:p>
    <w:p w14:paraId="43283654">
      <w:pPr>
        <w:pStyle w:val="46"/>
        <w:spacing w:line="360" w:lineRule="auto"/>
        <w:ind w:firstLine="420"/>
        <w:rPr>
          <w:rFonts w:ascii="宋体" w:hAnsi="宋体"/>
          <w:sz w:val="21"/>
          <w:szCs w:val="21"/>
        </w:rPr>
      </w:pPr>
      <w:r>
        <w:rPr>
          <w:rFonts w:hint="eastAsia" w:ascii="宋体" w:hAnsi="宋体"/>
          <w:sz w:val="21"/>
          <w:szCs w:val="21"/>
        </w:rPr>
        <w:t>6.遵守磋商文件中要求的收费项目和标准。</w:t>
      </w:r>
    </w:p>
    <w:p w14:paraId="19124F9A">
      <w:pPr>
        <w:pStyle w:val="46"/>
        <w:spacing w:line="360" w:lineRule="auto"/>
        <w:ind w:firstLine="420"/>
        <w:rPr>
          <w:rFonts w:ascii="宋体" w:hAnsi="宋体"/>
          <w:sz w:val="21"/>
          <w:szCs w:val="21"/>
        </w:rPr>
      </w:pPr>
      <w:r>
        <w:rPr>
          <w:rFonts w:hint="eastAsia" w:ascii="宋体" w:hAnsi="宋体"/>
          <w:sz w:val="21"/>
          <w:szCs w:val="21"/>
        </w:rPr>
        <w:t>7.与本磋商采购有关的正式通讯地址为：</w:t>
      </w:r>
    </w:p>
    <w:p w14:paraId="264E5A1E">
      <w:pPr>
        <w:pStyle w:val="46"/>
        <w:spacing w:line="360" w:lineRule="auto"/>
        <w:ind w:firstLine="420"/>
        <w:rPr>
          <w:rFonts w:ascii="宋体" w:hAnsi="宋体"/>
          <w:sz w:val="21"/>
          <w:szCs w:val="21"/>
        </w:rPr>
      </w:pPr>
      <w:r>
        <w:rPr>
          <w:rFonts w:hint="eastAsia" w:ascii="宋体" w:hAnsi="宋体"/>
          <w:sz w:val="21"/>
          <w:szCs w:val="21"/>
        </w:rPr>
        <w:t>地 址：                         邮 编：</w:t>
      </w:r>
    </w:p>
    <w:p w14:paraId="643D1A43">
      <w:pPr>
        <w:pStyle w:val="46"/>
        <w:spacing w:line="360" w:lineRule="auto"/>
        <w:ind w:firstLine="420"/>
        <w:rPr>
          <w:rFonts w:ascii="宋体" w:hAnsi="宋体"/>
          <w:sz w:val="21"/>
          <w:szCs w:val="21"/>
        </w:rPr>
      </w:pPr>
      <w:r>
        <w:rPr>
          <w:rFonts w:hint="eastAsia" w:ascii="宋体" w:hAnsi="宋体"/>
          <w:sz w:val="21"/>
          <w:szCs w:val="21"/>
        </w:rPr>
        <w:t>电 话：                         传 真：</w:t>
      </w:r>
    </w:p>
    <w:p w14:paraId="25137B2A">
      <w:pPr>
        <w:pStyle w:val="46"/>
        <w:spacing w:line="360" w:lineRule="auto"/>
        <w:ind w:firstLine="420"/>
        <w:rPr>
          <w:rFonts w:ascii="宋体" w:hAnsi="宋体"/>
          <w:sz w:val="21"/>
          <w:szCs w:val="21"/>
        </w:rPr>
      </w:pPr>
      <w:r>
        <w:rPr>
          <w:rFonts w:hint="eastAsia" w:ascii="宋体" w:hAnsi="宋体"/>
          <w:sz w:val="21"/>
          <w:szCs w:val="21"/>
        </w:rPr>
        <w:t xml:space="preserve">供应商开户行：                  账 户： </w:t>
      </w:r>
    </w:p>
    <w:p w14:paraId="0CA9D230">
      <w:pPr>
        <w:pStyle w:val="46"/>
        <w:spacing w:line="360" w:lineRule="auto"/>
        <w:ind w:firstLine="420"/>
        <w:rPr>
          <w:rFonts w:ascii="宋体" w:hAnsi="宋体"/>
          <w:sz w:val="21"/>
          <w:szCs w:val="21"/>
        </w:rPr>
      </w:pPr>
      <w:r>
        <w:rPr>
          <w:rFonts w:hint="eastAsia" w:ascii="宋体" w:hAnsi="宋体"/>
          <w:sz w:val="21"/>
          <w:szCs w:val="21"/>
        </w:rPr>
        <w:t>法定代表人姓名（签章）：        联系电话：</w:t>
      </w:r>
    </w:p>
    <w:p w14:paraId="773C2BAC">
      <w:pPr>
        <w:pStyle w:val="46"/>
        <w:spacing w:line="360" w:lineRule="auto"/>
        <w:ind w:firstLine="420"/>
        <w:rPr>
          <w:rFonts w:ascii="宋体" w:hAnsi="宋体"/>
          <w:sz w:val="21"/>
          <w:szCs w:val="21"/>
        </w:rPr>
      </w:pPr>
      <w:r>
        <w:rPr>
          <w:rFonts w:hint="eastAsia" w:ascii="宋体" w:hAnsi="宋体"/>
          <w:sz w:val="21"/>
          <w:szCs w:val="21"/>
        </w:rPr>
        <w:t xml:space="preserve">供应商名称（签章）：            </w:t>
      </w:r>
    </w:p>
    <w:p w14:paraId="4A48DD36">
      <w:pPr>
        <w:pStyle w:val="46"/>
        <w:spacing w:line="360" w:lineRule="auto"/>
        <w:ind w:firstLine="420"/>
        <w:rPr>
          <w:rFonts w:hint="eastAsia" w:ascii="宋体" w:hAnsi="宋体"/>
          <w:sz w:val="21"/>
          <w:szCs w:val="21"/>
        </w:rPr>
      </w:pPr>
      <w:r>
        <w:rPr>
          <w:rFonts w:hint="eastAsia" w:ascii="宋体" w:hAnsi="宋体"/>
          <w:sz w:val="21"/>
          <w:szCs w:val="21"/>
        </w:rPr>
        <w:t>日 期：________年____月____日</w:t>
      </w:r>
    </w:p>
    <w:p w14:paraId="7446CBF6">
      <w:pPr>
        <w:rPr>
          <w:rFonts w:hint="eastAsia" w:ascii="宋体" w:hAnsi="宋体"/>
          <w:sz w:val="21"/>
          <w:szCs w:val="21"/>
        </w:rPr>
      </w:pPr>
      <w:r>
        <w:rPr>
          <w:rFonts w:hint="eastAsia" w:ascii="宋体" w:hAnsi="宋体"/>
          <w:sz w:val="21"/>
          <w:szCs w:val="21"/>
        </w:rPr>
        <w:br w:type="page"/>
      </w:r>
    </w:p>
    <w:p w14:paraId="17F02811">
      <w:pPr>
        <w:keepNext w:val="0"/>
        <w:keepLines w:val="0"/>
        <w:pageBreakBefore w:val="0"/>
        <w:widowControl w:val="0"/>
        <w:kinsoku/>
        <w:wordWrap/>
        <w:overflowPunct/>
        <w:topLinePunct w:val="0"/>
        <w:autoSpaceDE/>
        <w:autoSpaceDN/>
        <w:bidi w:val="0"/>
        <w:adjustRightInd/>
        <w:snapToGrid/>
        <w:spacing w:before="325" w:after="325" w:line="240" w:lineRule="auto"/>
        <w:jc w:val="center"/>
        <w:textAlignment w:val="auto"/>
        <w:rPr>
          <w:b/>
          <w:bCs/>
        </w:rPr>
      </w:pPr>
      <w:r>
        <w:rPr>
          <w:rFonts w:hint="eastAsia"/>
          <w:b/>
          <w:bCs/>
        </w:rPr>
        <w:t>中小企业声明函（工程、服务）</w:t>
      </w:r>
    </w:p>
    <w:p w14:paraId="6B670D74">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pPr>
      <w:r>
        <w:rPr>
          <w:rFonts w:hint="eastAsia"/>
        </w:rPr>
        <w:t>本公司（联合体）郑重声明，根据《政府采购促进中小企业发展管理办法》（财库﹝2020﹞46 号）的规定，本公司（联合体）参加</w:t>
      </w:r>
      <w:r>
        <w:rPr>
          <w:rFonts w:hint="eastAsia"/>
          <w:u w:val="single"/>
        </w:rPr>
        <w:t>（单位名称）</w:t>
      </w:r>
      <w:r>
        <w:rPr>
          <w:rFonts w:hint="eastAsia"/>
        </w:rPr>
        <w:t>的</w:t>
      </w:r>
      <w:r>
        <w:rPr>
          <w:rFonts w:hint="eastAsia"/>
          <w:u w:val="single"/>
        </w:rPr>
        <w:t>（项目名称）</w:t>
      </w:r>
      <w:r>
        <w:rPr>
          <w:rFonts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2B5B30E6">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u w:val="single"/>
        </w:rPr>
      </w:pPr>
      <w:r>
        <w:rPr>
          <w:rFonts w:hint="eastAsia"/>
        </w:rPr>
        <w:t xml:space="preserve">1. </w:t>
      </w:r>
      <w:r>
        <w:rPr>
          <w:rFonts w:hint="eastAsia"/>
          <w:u w:val="single"/>
        </w:rPr>
        <w:t>（标的名称）</w:t>
      </w:r>
      <w:r>
        <w:rPr>
          <w:rFonts w:hint="eastAsia"/>
        </w:rPr>
        <w:t>，属于</w:t>
      </w:r>
      <w:r>
        <w:rPr>
          <w:rFonts w:hint="eastAsia"/>
          <w:u w:val="single"/>
        </w:rPr>
        <w:t>（采购文件中明确的所属行业）</w:t>
      </w:r>
      <w:r>
        <w:rPr>
          <w:rFonts w:hint="eastAsia"/>
        </w:rPr>
        <w:t>；承建（承接）企业为</w:t>
      </w:r>
      <w:r>
        <w:rPr>
          <w:rFonts w:hint="eastAsia"/>
          <w:u w:val="single"/>
        </w:rPr>
        <w:t>（企业名称）</w:t>
      </w:r>
      <w:r>
        <w:rPr>
          <w:rFonts w:hint="eastAsia"/>
        </w:rPr>
        <w:t>，从业人员人，营业收入为万元，资产总额为万元</w:t>
      </w:r>
      <w:r>
        <w:fldChar w:fldCharType="begin"/>
      </w:r>
      <w:r>
        <w:instrText xml:space="preserve"> HYPERLINK \l "br1" </w:instrText>
      </w:r>
      <w:r>
        <w:fldChar w:fldCharType="separate"/>
      </w:r>
      <w:r>
        <w:rPr>
          <w:rFonts w:ascii="仿宋" w:eastAsia="Times New Roman"/>
          <w:spacing w:val="-1"/>
          <w:vertAlign w:val="superscript"/>
        </w:rPr>
        <w:t>1</w:t>
      </w:r>
      <w:r>
        <w:rPr>
          <w:rFonts w:ascii="仿宋" w:eastAsia="Times New Roman"/>
          <w:spacing w:val="-1"/>
          <w:vertAlign w:val="superscript"/>
        </w:rPr>
        <w:fldChar w:fldCharType="end"/>
      </w:r>
      <w:r>
        <w:rPr>
          <w:rFonts w:hint="eastAsia"/>
        </w:rPr>
        <w:t>，属于</w:t>
      </w:r>
      <w:r>
        <w:rPr>
          <w:rFonts w:hint="eastAsia"/>
          <w:u w:val="single"/>
        </w:rPr>
        <w:t>（中型企业、小型企业、微型企业）；</w:t>
      </w:r>
    </w:p>
    <w:p w14:paraId="3D10BB7A">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u w:val="single"/>
        </w:rPr>
      </w:pPr>
      <w:r>
        <w:rPr>
          <w:rFonts w:hint="eastAsia"/>
        </w:rPr>
        <w:t xml:space="preserve">2. </w:t>
      </w:r>
      <w:r>
        <w:rPr>
          <w:rFonts w:hint="eastAsia"/>
          <w:u w:val="single"/>
        </w:rPr>
        <w:t>（标的名称）</w:t>
      </w:r>
      <w:r>
        <w:rPr>
          <w:rFonts w:hint="eastAsia"/>
        </w:rPr>
        <w:t>，属于</w:t>
      </w:r>
      <w:r>
        <w:rPr>
          <w:rFonts w:hint="eastAsia"/>
          <w:u w:val="single"/>
        </w:rPr>
        <w:t>（采购文件中明确的所属行业）</w:t>
      </w:r>
      <w:r>
        <w:rPr>
          <w:rFonts w:hint="eastAsia"/>
        </w:rPr>
        <w:t>；承建（承接）企业为</w:t>
      </w:r>
      <w:r>
        <w:rPr>
          <w:rFonts w:hint="eastAsia"/>
          <w:u w:val="single"/>
        </w:rPr>
        <w:t>（企业名称）</w:t>
      </w:r>
      <w:r>
        <w:rPr>
          <w:rFonts w:hint="eastAsia"/>
        </w:rPr>
        <w:t>，从业人员人，营业收入为万元，资产总额为万元，属于</w:t>
      </w:r>
      <w:r>
        <w:rPr>
          <w:rFonts w:hint="eastAsia"/>
          <w:u w:val="single"/>
        </w:rPr>
        <w:t>（中型企业、小型企业、微型企业）；</w:t>
      </w:r>
    </w:p>
    <w:p w14:paraId="69D2A718">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pPr>
      <w:r>
        <w:rPr>
          <w:rFonts w:hint="eastAsia"/>
        </w:rPr>
        <w:t>……</w:t>
      </w:r>
    </w:p>
    <w:p w14:paraId="275CE191">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pPr>
      <w:r>
        <w:rPr>
          <w:rFonts w:hint="eastAsia"/>
        </w:rPr>
        <w:t>以上企业，不属于大企业的分支机构，不存在控股股东为大企业的情形，也不存在与大企业的负责人为同一人的情形。</w:t>
      </w:r>
    </w:p>
    <w:p w14:paraId="217D507B">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pPr>
      <w:r>
        <w:rPr>
          <w:rFonts w:hint="eastAsia"/>
        </w:rPr>
        <w:t>本企业对上述声明内容的真实性负责。如有虚假，将依法承担相应责任。</w:t>
      </w:r>
    </w:p>
    <w:p w14:paraId="64618276">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rPr>
      </w:pPr>
      <w:r>
        <w:rPr>
          <w:rFonts w:hint="eastAsia" w:ascii="宋体" w:hAnsi="宋体"/>
        </w:rPr>
        <w:t>注：1、</w:t>
      </w:r>
      <w:r>
        <w:rPr>
          <w:rFonts w:hint="eastAsia"/>
        </w:rPr>
        <w:t>从业人员（不仅指在职职工）、营业收入、资产总额填报上一年度数据，无上一年度数据的新成立企业可不填报。</w:t>
      </w:r>
    </w:p>
    <w:p w14:paraId="4146DA29">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ascii="宋体" w:hAnsi="宋体"/>
        </w:rPr>
      </w:pPr>
      <w:r>
        <w:rPr>
          <w:rFonts w:hint="eastAsia" w:ascii="宋体" w:hAnsi="宋体"/>
        </w:rPr>
        <w:t>2、供应商如不提供此声明函，价格将不做相应扣除。</w:t>
      </w:r>
    </w:p>
    <w:p w14:paraId="4E516EED">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rPr>
      </w:pPr>
      <w:r>
        <w:rPr>
          <w:rFonts w:hint="eastAsia" w:ascii="宋体" w:hAnsi="宋体"/>
        </w:rPr>
        <w:t xml:space="preserve">    3、企业声明函请完整填写，中标后将公示。</w:t>
      </w:r>
    </w:p>
    <w:p w14:paraId="51590802">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pPr>
      <w:r>
        <w:rPr>
          <w:rFonts w:hint="eastAsia"/>
        </w:rPr>
        <w:t>4、投标人应当对其出具的《中小企业声明函》真实性负责，投标人出具的《中小企业声明函》内容不实的，属于提供虚假材料谋取中标。对相关制造商信息了解不充分，或者不能确定相关信息真实、准确的，不建议出具《中小企业声明函》。</w:t>
      </w:r>
    </w:p>
    <w:p w14:paraId="09C002B6">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pPr>
      <w:r>
        <w:rPr>
          <w:rFonts w:hint="eastAsia"/>
        </w:rPr>
        <w:t>5、中小企业不得属于大企业的分支机构，不得存在控股股东为大企业的情形，不得存在与大企业的负责人为同一人的情形。</w:t>
      </w:r>
    </w:p>
    <w:p w14:paraId="2A4B3813">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pPr>
      <w:r>
        <w:rPr>
          <w:rFonts w:hint="eastAsia"/>
        </w:rPr>
        <w:t>6、《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2B04D8F">
      <w:pPr>
        <w:keepNext w:val="0"/>
        <w:keepLines w:val="0"/>
        <w:pageBreakBefore w:val="0"/>
        <w:widowControl w:val="0"/>
        <w:kinsoku/>
        <w:wordWrap/>
        <w:overflowPunct/>
        <w:topLinePunct w:val="0"/>
        <w:autoSpaceDE/>
        <w:autoSpaceDN/>
        <w:bidi w:val="0"/>
        <w:adjustRightInd/>
        <w:snapToGrid/>
        <w:spacing w:line="240" w:lineRule="auto"/>
        <w:ind w:firstLine="4620"/>
        <w:jc w:val="left"/>
        <w:textAlignment w:val="auto"/>
      </w:pPr>
      <w:r>
        <w:rPr>
          <w:rFonts w:hint="eastAsia"/>
        </w:rPr>
        <w:t>企业名称（盖章）：</w:t>
      </w:r>
    </w:p>
    <w:p w14:paraId="29A238BE">
      <w:pPr>
        <w:keepNext w:val="0"/>
        <w:keepLines w:val="0"/>
        <w:pageBreakBefore w:val="0"/>
        <w:widowControl w:val="0"/>
        <w:kinsoku/>
        <w:wordWrap/>
        <w:overflowPunct/>
        <w:topLinePunct w:val="0"/>
        <w:autoSpaceDE/>
        <w:autoSpaceDN/>
        <w:bidi w:val="0"/>
        <w:adjustRightInd/>
        <w:snapToGrid/>
        <w:spacing w:line="240" w:lineRule="auto"/>
        <w:ind w:firstLine="4620"/>
        <w:jc w:val="left"/>
        <w:textAlignment w:val="auto"/>
      </w:pPr>
      <w:r>
        <w:rPr>
          <w:rFonts w:hint="eastAsia"/>
        </w:rPr>
        <w:t>日期：</w:t>
      </w:r>
    </w:p>
    <w:p w14:paraId="03F2FB68">
      <w:pPr>
        <w:rPr>
          <w:rFonts w:hint="eastAsia"/>
        </w:rPr>
      </w:pPr>
      <w:r>
        <w:rPr>
          <w:rFonts w:hint="eastAsia"/>
        </w:rPr>
        <w:br w:type="page"/>
      </w:r>
    </w:p>
    <w:p w14:paraId="4F870B86">
      <w:pPr>
        <w:spacing w:line="360" w:lineRule="auto"/>
        <w:jc w:val="center"/>
        <w:rPr>
          <w:rFonts w:hint="eastAsia"/>
        </w:rPr>
      </w:pPr>
      <w:r>
        <w:rPr>
          <w:rFonts w:hint="eastAsia"/>
        </w:rPr>
        <w:t>中小微企业划型标准</w:t>
      </w:r>
    </w:p>
    <w:p w14:paraId="74429FD1">
      <w:pPr>
        <w:pStyle w:val="22"/>
        <w:spacing w:before="300" w:after="452" w:line="360" w:lineRule="auto"/>
        <w:ind w:firstLine="420"/>
        <w:rPr>
          <w:sz w:val="21"/>
          <w:szCs w:val="21"/>
        </w:rPr>
      </w:pPr>
      <w:r>
        <w:rPr>
          <w:rFonts w:hint="eastAsia" w:cs="仿宋"/>
          <w:sz w:val="21"/>
          <w:szCs w:val="21"/>
        </w:rPr>
        <w:t>    </w:t>
      </w:r>
      <w:r>
        <w:rPr>
          <w:rStyle w:val="26"/>
          <w:rFonts w:hint="eastAsia" w:cs="仿宋"/>
          <w:sz w:val="21"/>
          <w:szCs w:val="21"/>
        </w:rPr>
        <w:t>中小微企业划型标准如下：</w:t>
      </w:r>
    </w:p>
    <w:tbl>
      <w:tblPr>
        <w:tblStyle w:val="24"/>
        <w:tblW w:w="0" w:type="auto"/>
        <w:tblCellSpacing w:w="15" w:type="dxa"/>
        <w:tblInd w:w="0" w:type="dxa"/>
        <w:tblBorders>
          <w:top w:val="single" w:color="999999" w:sz="6" w:space="0"/>
          <w:left w:val="single" w:color="999999" w:sz="6"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6"/>
        <w:gridCol w:w="1739"/>
        <w:gridCol w:w="505"/>
        <w:gridCol w:w="2089"/>
        <w:gridCol w:w="1709"/>
        <w:gridCol w:w="1500"/>
      </w:tblGrid>
      <w:tr w14:paraId="4953BFB0">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CellSpacing w:w="15" w:type="dxa"/>
        </w:trPr>
        <w:tc>
          <w:tcPr>
            <w:tcW w:w="1401"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112FFF2A">
            <w:pPr>
              <w:pStyle w:val="22"/>
              <w:spacing w:after="150" w:line="360" w:lineRule="auto"/>
              <w:rPr>
                <w:sz w:val="21"/>
                <w:szCs w:val="21"/>
              </w:rPr>
            </w:pPr>
            <w:r>
              <w:rPr>
                <w:rStyle w:val="26"/>
                <w:rFonts w:hint="eastAsia" w:cs="仿宋"/>
                <w:sz w:val="21"/>
                <w:szCs w:val="21"/>
              </w:rPr>
              <w:t>行业名称</w:t>
            </w:r>
          </w:p>
        </w:tc>
        <w:tc>
          <w:tcPr>
            <w:tcW w:w="1709"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06210324">
            <w:pPr>
              <w:pStyle w:val="22"/>
              <w:spacing w:after="150" w:line="360" w:lineRule="auto"/>
              <w:jc w:val="center"/>
              <w:rPr>
                <w:sz w:val="21"/>
                <w:szCs w:val="21"/>
              </w:rPr>
            </w:pPr>
            <w:r>
              <w:rPr>
                <w:rStyle w:val="26"/>
                <w:rFonts w:hint="eastAsia" w:cs="仿宋"/>
                <w:sz w:val="21"/>
                <w:szCs w:val="21"/>
              </w:rPr>
              <w:t>指标名称</w:t>
            </w:r>
          </w:p>
        </w:tc>
        <w:tc>
          <w:tcPr>
            <w:tcW w:w="475"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2D976AD4">
            <w:pPr>
              <w:pStyle w:val="22"/>
              <w:spacing w:after="150" w:line="360" w:lineRule="auto"/>
              <w:ind w:firstLine="420"/>
              <w:rPr>
                <w:sz w:val="21"/>
                <w:szCs w:val="21"/>
              </w:rPr>
            </w:pPr>
            <w:r>
              <w:rPr>
                <w:rStyle w:val="26"/>
                <w:rFonts w:hint="eastAsia" w:cs="仿宋"/>
                <w:sz w:val="21"/>
                <w:szCs w:val="21"/>
              </w:rPr>
              <w:t>计量单位</w:t>
            </w:r>
          </w:p>
        </w:tc>
        <w:tc>
          <w:tcPr>
            <w:tcW w:w="2059"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41C95481">
            <w:pPr>
              <w:pStyle w:val="22"/>
              <w:spacing w:after="150" w:line="360" w:lineRule="auto"/>
              <w:jc w:val="center"/>
              <w:rPr>
                <w:sz w:val="21"/>
                <w:szCs w:val="21"/>
              </w:rPr>
            </w:pPr>
            <w:r>
              <w:rPr>
                <w:rStyle w:val="26"/>
                <w:rFonts w:hint="eastAsia" w:cs="仿宋"/>
                <w:sz w:val="21"/>
                <w:szCs w:val="21"/>
              </w:rPr>
              <w:t>中型</w:t>
            </w:r>
          </w:p>
        </w:tc>
        <w:tc>
          <w:tcPr>
            <w:tcW w:w="1679"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56044011">
            <w:pPr>
              <w:pStyle w:val="22"/>
              <w:spacing w:after="150" w:line="360" w:lineRule="auto"/>
              <w:jc w:val="center"/>
              <w:rPr>
                <w:sz w:val="21"/>
                <w:szCs w:val="21"/>
              </w:rPr>
            </w:pPr>
            <w:r>
              <w:rPr>
                <w:rStyle w:val="26"/>
                <w:rFonts w:hint="eastAsia" w:cs="仿宋"/>
                <w:sz w:val="21"/>
                <w:szCs w:val="21"/>
              </w:rPr>
              <w:t>小型</w:t>
            </w:r>
          </w:p>
        </w:tc>
        <w:tc>
          <w:tcPr>
            <w:tcW w:w="1455"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4EF821B4">
            <w:pPr>
              <w:pStyle w:val="22"/>
              <w:spacing w:after="150" w:line="360" w:lineRule="auto"/>
              <w:ind w:firstLine="420"/>
              <w:rPr>
                <w:sz w:val="21"/>
                <w:szCs w:val="21"/>
              </w:rPr>
            </w:pPr>
            <w:r>
              <w:rPr>
                <w:rStyle w:val="26"/>
                <w:rFonts w:hint="eastAsia" w:cs="仿宋"/>
                <w:sz w:val="21"/>
                <w:szCs w:val="21"/>
              </w:rPr>
              <w:t>微型</w:t>
            </w:r>
          </w:p>
        </w:tc>
      </w:tr>
      <w:tr w14:paraId="6D89C0B0">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1A38FC43">
            <w:pPr>
              <w:pStyle w:val="22"/>
              <w:spacing w:after="150" w:line="360" w:lineRule="auto"/>
              <w:ind w:firstLine="420"/>
              <w:jc w:val="center"/>
              <w:rPr>
                <w:sz w:val="21"/>
                <w:szCs w:val="21"/>
              </w:rPr>
            </w:pPr>
            <w:r>
              <w:rPr>
                <w:rStyle w:val="26"/>
                <w:rFonts w:hint="eastAsia" w:cs="仿宋"/>
                <w:sz w:val="21"/>
                <w:szCs w:val="21"/>
              </w:rPr>
              <w:t>农、林、牧、渔</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1778D06">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AB5F337">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0B1D824">
            <w:pPr>
              <w:pStyle w:val="22"/>
              <w:spacing w:after="150" w:line="360" w:lineRule="auto"/>
              <w:ind w:firstLine="420"/>
              <w:rPr>
                <w:sz w:val="21"/>
                <w:szCs w:val="21"/>
              </w:rPr>
            </w:pPr>
            <w:r>
              <w:rPr>
                <w:rStyle w:val="26"/>
                <w:rFonts w:hint="eastAsia" w:cs="仿宋"/>
                <w:sz w:val="21"/>
                <w:szCs w:val="21"/>
              </w:rPr>
              <w:t>500≤Y＜20000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16CF962">
            <w:pPr>
              <w:pStyle w:val="22"/>
              <w:spacing w:after="150" w:line="360" w:lineRule="auto"/>
              <w:jc w:val="center"/>
              <w:rPr>
                <w:sz w:val="21"/>
                <w:szCs w:val="21"/>
              </w:rPr>
            </w:pPr>
            <w:r>
              <w:rPr>
                <w:rStyle w:val="26"/>
                <w:rFonts w:hint="eastAsia" w:cs="仿宋"/>
                <w:sz w:val="21"/>
                <w:szCs w:val="21"/>
              </w:rPr>
              <w:t>50≤Y＜500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8E01463">
            <w:pPr>
              <w:pStyle w:val="22"/>
              <w:spacing w:after="150" w:line="360" w:lineRule="auto"/>
              <w:ind w:firstLine="420"/>
              <w:rPr>
                <w:sz w:val="21"/>
                <w:szCs w:val="21"/>
              </w:rPr>
            </w:pPr>
            <w:r>
              <w:rPr>
                <w:rStyle w:val="26"/>
                <w:rFonts w:hint="eastAsia" w:cs="仿宋"/>
                <w:sz w:val="21"/>
                <w:szCs w:val="21"/>
              </w:rPr>
              <w:t>Y＜50</w:t>
            </w:r>
          </w:p>
        </w:tc>
      </w:tr>
      <w:tr w14:paraId="0C9CA25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1E66EEFA">
            <w:pPr>
              <w:pStyle w:val="22"/>
              <w:spacing w:after="150" w:line="360" w:lineRule="auto"/>
              <w:ind w:firstLine="420"/>
              <w:jc w:val="center"/>
              <w:rPr>
                <w:sz w:val="21"/>
                <w:szCs w:val="21"/>
              </w:rPr>
            </w:pPr>
            <w:r>
              <w:rPr>
                <w:rStyle w:val="26"/>
                <w:rFonts w:hint="eastAsia" w:cs="仿宋"/>
                <w:sz w:val="21"/>
                <w:szCs w:val="21"/>
              </w:rPr>
              <w:t>工业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83B2400">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2CE1578">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E478668">
            <w:pPr>
              <w:pStyle w:val="22"/>
              <w:spacing w:after="150" w:line="360" w:lineRule="auto"/>
              <w:ind w:firstLine="420"/>
              <w:rPr>
                <w:sz w:val="21"/>
                <w:szCs w:val="21"/>
              </w:rPr>
            </w:pPr>
            <w:r>
              <w:rPr>
                <w:rStyle w:val="26"/>
                <w:rFonts w:hint="eastAsia" w:cs="仿宋"/>
                <w:sz w:val="21"/>
                <w:szCs w:val="21"/>
              </w:rPr>
              <w:t>300≤X＜1000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4C8DE62">
            <w:pPr>
              <w:pStyle w:val="22"/>
              <w:spacing w:after="150" w:line="360" w:lineRule="auto"/>
              <w:jc w:val="center"/>
              <w:rPr>
                <w:sz w:val="21"/>
                <w:szCs w:val="21"/>
              </w:rPr>
            </w:pPr>
            <w:r>
              <w:rPr>
                <w:rStyle w:val="26"/>
                <w:rFonts w:hint="eastAsia" w:cs="仿宋"/>
                <w:sz w:val="21"/>
                <w:szCs w:val="21"/>
              </w:rPr>
              <w:t>20≤X＜300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0D3E8A0">
            <w:pPr>
              <w:pStyle w:val="22"/>
              <w:spacing w:after="150" w:line="360" w:lineRule="auto"/>
              <w:ind w:firstLine="420"/>
              <w:rPr>
                <w:sz w:val="21"/>
                <w:szCs w:val="21"/>
              </w:rPr>
            </w:pPr>
            <w:r>
              <w:rPr>
                <w:rStyle w:val="26"/>
                <w:rFonts w:hint="eastAsia" w:cs="仿宋"/>
                <w:sz w:val="21"/>
                <w:szCs w:val="21"/>
              </w:rPr>
              <w:t>X＜20</w:t>
            </w:r>
          </w:p>
        </w:tc>
      </w:tr>
      <w:tr w14:paraId="7EFC7EB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6D3F49AA">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F1C3AFF">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B6F56E2">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C4AC8F8">
            <w:pPr>
              <w:pStyle w:val="22"/>
              <w:spacing w:after="150" w:line="360" w:lineRule="auto"/>
              <w:ind w:firstLine="420"/>
              <w:rPr>
                <w:sz w:val="21"/>
                <w:szCs w:val="21"/>
              </w:rPr>
            </w:pPr>
            <w:r>
              <w:rPr>
                <w:rStyle w:val="26"/>
                <w:rFonts w:hint="eastAsia" w:cs="仿宋"/>
                <w:sz w:val="21"/>
                <w:szCs w:val="21"/>
              </w:rPr>
              <w:t>2000≤Y＜40000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BC1BB59">
            <w:pPr>
              <w:pStyle w:val="22"/>
              <w:spacing w:after="150" w:line="360" w:lineRule="auto"/>
              <w:jc w:val="center"/>
              <w:rPr>
                <w:sz w:val="21"/>
                <w:szCs w:val="21"/>
              </w:rPr>
            </w:pPr>
            <w:r>
              <w:rPr>
                <w:rStyle w:val="26"/>
                <w:rFonts w:hint="eastAsia" w:cs="仿宋"/>
                <w:sz w:val="21"/>
                <w:szCs w:val="21"/>
              </w:rPr>
              <w:t>300≤Y＜2000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7F7E755">
            <w:pPr>
              <w:pStyle w:val="22"/>
              <w:spacing w:after="150" w:line="360" w:lineRule="auto"/>
              <w:ind w:firstLine="420"/>
              <w:rPr>
                <w:sz w:val="21"/>
                <w:szCs w:val="21"/>
              </w:rPr>
            </w:pPr>
            <w:r>
              <w:rPr>
                <w:rStyle w:val="26"/>
                <w:rFonts w:hint="eastAsia" w:cs="仿宋"/>
                <w:sz w:val="21"/>
                <w:szCs w:val="21"/>
              </w:rPr>
              <w:t>Y＜300</w:t>
            </w:r>
          </w:p>
        </w:tc>
      </w:tr>
      <w:tr w14:paraId="3D718E9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4B77D090">
            <w:pPr>
              <w:pStyle w:val="22"/>
              <w:spacing w:after="150" w:line="360" w:lineRule="auto"/>
              <w:ind w:firstLine="420"/>
              <w:jc w:val="center"/>
              <w:rPr>
                <w:sz w:val="21"/>
                <w:szCs w:val="21"/>
              </w:rPr>
            </w:pPr>
            <w:r>
              <w:rPr>
                <w:rStyle w:val="26"/>
                <w:rFonts w:hint="eastAsia" w:cs="仿宋"/>
                <w:sz w:val="21"/>
                <w:szCs w:val="21"/>
              </w:rPr>
              <w:t>建筑业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60EC2E3">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8D7210E">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9C1B357">
            <w:pPr>
              <w:pStyle w:val="22"/>
              <w:spacing w:after="150" w:line="360" w:lineRule="auto"/>
              <w:ind w:firstLine="420"/>
              <w:rPr>
                <w:sz w:val="21"/>
                <w:szCs w:val="21"/>
              </w:rPr>
            </w:pPr>
            <w:r>
              <w:rPr>
                <w:rStyle w:val="26"/>
                <w:rFonts w:hint="eastAsia" w:cs="仿宋"/>
                <w:sz w:val="21"/>
                <w:szCs w:val="21"/>
              </w:rPr>
              <w:t>6000≤Y＜80000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93C698C">
            <w:pPr>
              <w:pStyle w:val="22"/>
              <w:spacing w:after="150" w:line="360" w:lineRule="auto"/>
              <w:jc w:val="center"/>
              <w:rPr>
                <w:sz w:val="21"/>
                <w:szCs w:val="21"/>
              </w:rPr>
            </w:pPr>
            <w:r>
              <w:rPr>
                <w:rStyle w:val="26"/>
                <w:rFonts w:hint="eastAsia" w:cs="仿宋"/>
                <w:sz w:val="21"/>
                <w:szCs w:val="21"/>
              </w:rPr>
              <w:t>300≤Y＜6000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99C0076">
            <w:pPr>
              <w:pStyle w:val="22"/>
              <w:spacing w:after="150" w:line="360" w:lineRule="auto"/>
              <w:ind w:firstLine="420"/>
              <w:rPr>
                <w:sz w:val="21"/>
                <w:szCs w:val="21"/>
              </w:rPr>
            </w:pPr>
            <w:r>
              <w:rPr>
                <w:rStyle w:val="26"/>
                <w:rFonts w:hint="eastAsia" w:cs="仿宋"/>
                <w:sz w:val="21"/>
                <w:szCs w:val="21"/>
              </w:rPr>
              <w:t>Y＜300</w:t>
            </w:r>
          </w:p>
        </w:tc>
      </w:tr>
      <w:tr w14:paraId="28B4EF66">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28595EB9">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E178B59">
            <w:pPr>
              <w:pStyle w:val="22"/>
              <w:spacing w:after="150" w:line="360" w:lineRule="auto"/>
              <w:ind w:firstLine="420"/>
              <w:rPr>
                <w:sz w:val="21"/>
                <w:szCs w:val="21"/>
              </w:rPr>
            </w:pPr>
            <w:r>
              <w:rPr>
                <w:rStyle w:val="26"/>
                <w:rFonts w:hint="eastAsia" w:cs="仿宋"/>
                <w:sz w:val="21"/>
                <w:szCs w:val="21"/>
              </w:rPr>
              <w:t>资产总额（Z）</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ACECECC">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7E8E71D">
            <w:pPr>
              <w:pStyle w:val="22"/>
              <w:spacing w:after="150" w:line="360" w:lineRule="auto"/>
              <w:ind w:firstLine="420"/>
              <w:rPr>
                <w:sz w:val="21"/>
                <w:szCs w:val="21"/>
              </w:rPr>
            </w:pPr>
            <w:r>
              <w:rPr>
                <w:rStyle w:val="26"/>
                <w:rFonts w:hint="eastAsia" w:cs="仿宋"/>
                <w:sz w:val="21"/>
                <w:szCs w:val="21"/>
              </w:rPr>
              <w:t>5000≤Z＜80000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B82CAF">
            <w:pPr>
              <w:pStyle w:val="22"/>
              <w:spacing w:after="150" w:line="360" w:lineRule="auto"/>
              <w:jc w:val="center"/>
              <w:rPr>
                <w:sz w:val="21"/>
                <w:szCs w:val="21"/>
              </w:rPr>
            </w:pPr>
            <w:r>
              <w:rPr>
                <w:rStyle w:val="26"/>
                <w:rFonts w:hint="eastAsia" w:cs="仿宋"/>
                <w:sz w:val="21"/>
                <w:szCs w:val="21"/>
              </w:rPr>
              <w:t>300≤Z＜5000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82177A1">
            <w:pPr>
              <w:pStyle w:val="22"/>
              <w:spacing w:after="150" w:line="360" w:lineRule="auto"/>
              <w:ind w:firstLine="420"/>
              <w:rPr>
                <w:sz w:val="21"/>
                <w:szCs w:val="21"/>
              </w:rPr>
            </w:pPr>
            <w:r>
              <w:rPr>
                <w:rStyle w:val="26"/>
                <w:rFonts w:hint="eastAsia" w:cs="仿宋"/>
                <w:sz w:val="21"/>
                <w:szCs w:val="21"/>
              </w:rPr>
              <w:t>Z＜300</w:t>
            </w:r>
          </w:p>
        </w:tc>
      </w:tr>
      <w:tr w14:paraId="12BB8ABA">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2FF147B6">
            <w:pPr>
              <w:pStyle w:val="22"/>
              <w:spacing w:after="150" w:line="360" w:lineRule="auto"/>
              <w:ind w:firstLine="420"/>
              <w:jc w:val="center"/>
              <w:rPr>
                <w:sz w:val="21"/>
                <w:szCs w:val="21"/>
              </w:rPr>
            </w:pPr>
            <w:r>
              <w:rPr>
                <w:rStyle w:val="26"/>
                <w:rFonts w:hint="eastAsia" w:cs="仿宋"/>
                <w:sz w:val="21"/>
                <w:szCs w:val="21"/>
              </w:rPr>
              <w:t>批发业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4BD975E">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D0B559D">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7023E2E">
            <w:pPr>
              <w:pStyle w:val="22"/>
              <w:spacing w:after="150" w:line="360" w:lineRule="auto"/>
              <w:ind w:firstLine="420"/>
              <w:rPr>
                <w:sz w:val="21"/>
                <w:szCs w:val="21"/>
              </w:rPr>
            </w:pPr>
            <w:r>
              <w:rPr>
                <w:rStyle w:val="26"/>
                <w:rFonts w:hint="eastAsia" w:cs="仿宋"/>
                <w:sz w:val="21"/>
                <w:szCs w:val="21"/>
              </w:rPr>
              <w:t>20≤X＜200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348B90F">
            <w:pPr>
              <w:pStyle w:val="22"/>
              <w:spacing w:after="150" w:line="360" w:lineRule="auto"/>
              <w:jc w:val="center"/>
              <w:rPr>
                <w:sz w:val="21"/>
                <w:szCs w:val="21"/>
              </w:rPr>
            </w:pPr>
            <w:r>
              <w:rPr>
                <w:rStyle w:val="26"/>
                <w:rFonts w:hint="eastAsia" w:cs="仿宋"/>
                <w:sz w:val="21"/>
                <w:szCs w:val="21"/>
              </w:rPr>
              <w:t>5≤X＜20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FE5CBDB">
            <w:pPr>
              <w:pStyle w:val="22"/>
              <w:spacing w:after="150" w:line="360" w:lineRule="auto"/>
              <w:ind w:firstLine="420"/>
              <w:rPr>
                <w:sz w:val="21"/>
                <w:szCs w:val="21"/>
              </w:rPr>
            </w:pPr>
            <w:r>
              <w:rPr>
                <w:rStyle w:val="26"/>
                <w:rFonts w:hint="eastAsia" w:cs="仿宋"/>
                <w:sz w:val="21"/>
                <w:szCs w:val="21"/>
              </w:rPr>
              <w:t>X＜5</w:t>
            </w:r>
          </w:p>
        </w:tc>
      </w:tr>
      <w:tr w14:paraId="6521F8FC">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786B592F">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637B30E">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9AC6E18">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222D673">
            <w:pPr>
              <w:pStyle w:val="22"/>
              <w:spacing w:after="150" w:line="360" w:lineRule="auto"/>
              <w:ind w:firstLine="420"/>
              <w:rPr>
                <w:sz w:val="21"/>
                <w:szCs w:val="21"/>
              </w:rPr>
            </w:pPr>
            <w:r>
              <w:rPr>
                <w:rStyle w:val="26"/>
                <w:rFonts w:hint="eastAsia" w:cs="仿宋"/>
                <w:sz w:val="21"/>
                <w:szCs w:val="21"/>
              </w:rPr>
              <w:t>5000≤Y＜40000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60D0416">
            <w:pPr>
              <w:pStyle w:val="22"/>
              <w:spacing w:after="150" w:line="360" w:lineRule="auto"/>
              <w:jc w:val="center"/>
              <w:rPr>
                <w:sz w:val="21"/>
                <w:szCs w:val="21"/>
              </w:rPr>
            </w:pPr>
            <w:r>
              <w:rPr>
                <w:rStyle w:val="26"/>
                <w:rFonts w:hint="eastAsia" w:cs="仿宋"/>
                <w:sz w:val="21"/>
                <w:szCs w:val="21"/>
              </w:rPr>
              <w:t>1000≤Y＜5000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B1D4730">
            <w:pPr>
              <w:pStyle w:val="22"/>
              <w:spacing w:after="150" w:line="360" w:lineRule="auto"/>
              <w:ind w:firstLine="420"/>
              <w:rPr>
                <w:sz w:val="21"/>
                <w:szCs w:val="21"/>
              </w:rPr>
            </w:pPr>
            <w:r>
              <w:rPr>
                <w:rStyle w:val="26"/>
                <w:rFonts w:hint="eastAsia" w:cs="仿宋"/>
                <w:sz w:val="21"/>
                <w:szCs w:val="21"/>
              </w:rPr>
              <w:t>Y＜1000</w:t>
            </w:r>
          </w:p>
        </w:tc>
      </w:tr>
      <w:tr w14:paraId="495544B3">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0FB7419E">
            <w:pPr>
              <w:pStyle w:val="22"/>
              <w:spacing w:after="150" w:line="360" w:lineRule="auto"/>
              <w:ind w:firstLine="420"/>
              <w:jc w:val="center"/>
              <w:rPr>
                <w:sz w:val="21"/>
                <w:szCs w:val="21"/>
              </w:rPr>
            </w:pPr>
            <w:r>
              <w:rPr>
                <w:rStyle w:val="26"/>
                <w:rFonts w:hint="eastAsia" w:cs="仿宋"/>
                <w:sz w:val="21"/>
                <w:szCs w:val="21"/>
              </w:rPr>
              <w:t>零售业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AA5B2A0">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50E645E">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109F6CB">
            <w:pPr>
              <w:pStyle w:val="22"/>
              <w:spacing w:after="150" w:line="360" w:lineRule="auto"/>
              <w:ind w:firstLine="420"/>
              <w:rPr>
                <w:sz w:val="21"/>
                <w:szCs w:val="21"/>
              </w:rPr>
            </w:pPr>
            <w:r>
              <w:rPr>
                <w:rStyle w:val="26"/>
                <w:rFonts w:hint="eastAsia" w:cs="仿宋"/>
                <w:sz w:val="21"/>
                <w:szCs w:val="21"/>
              </w:rPr>
              <w:t>50≤X＜300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2BE636A">
            <w:pPr>
              <w:pStyle w:val="22"/>
              <w:spacing w:after="150" w:line="360" w:lineRule="auto"/>
              <w:jc w:val="center"/>
              <w:rPr>
                <w:sz w:val="21"/>
                <w:szCs w:val="21"/>
              </w:rPr>
            </w:pPr>
            <w:r>
              <w:rPr>
                <w:rStyle w:val="26"/>
                <w:rFonts w:hint="eastAsia" w:cs="仿宋"/>
                <w:sz w:val="21"/>
                <w:szCs w:val="21"/>
              </w:rPr>
              <w:t>10≤X＜50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2851987">
            <w:pPr>
              <w:pStyle w:val="22"/>
              <w:spacing w:after="150" w:line="360" w:lineRule="auto"/>
              <w:ind w:firstLine="420"/>
              <w:rPr>
                <w:sz w:val="21"/>
                <w:szCs w:val="21"/>
              </w:rPr>
            </w:pPr>
            <w:r>
              <w:rPr>
                <w:rStyle w:val="26"/>
                <w:rFonts w:hint="eastAsia" w:cs="仿宋"/>
                <w:sz w:val="21"/>
                <w:szCs w:val="21"/>
              </w:rPr>
              <w:t>X＜10</w:t>
            </w:r>
          </w:p>
        </w:tc>
      </w:tr>
      <w:tr w14:paraId="585A94B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576F7DEF">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8895B1C">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EC0B45">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1B825B6">
            <w:pPr>
              <w:pStyle w:val="22"/>
              <w:spacing w:after="150" w:line="360" w:lineRule="auto"/>
              <w:ind w:firstLine="420"/>
              <w:rPr>
                <w:sz w:val="21"/>
                <w:szCs w:val="21"/>
              </w:rPr>
            </w:pPr>
            <w:r>
              <w:rPr>
                <w:rStyle w:val="26"/>
                <w:rFonts w:hint="eastAsia" w:cs="仿宋"/>
                <w:sz w:val="21"/>
                <w:szCs w:val="21"/>
              </w:rPr>
              <w:t>500≤Y＜20000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E262C2C">
            <w:pPr>
              <w:pStyle w:val="22"/>
              <w:spacing w:after="150" w:line="360" w:lineRule="auto"/>
              <w:jc w:val="center"/>
              <w:rPr>
                <w:sz w:val="21"/>
                <w:szCs w:val="21"/>
              </w:rPr>
            </w:pPr>
            <w:r>
              <w:rPr>
                <w:rStyle w:val="26"/>
                <w:rFonts w:hint="eastAsia" w:cs="仿宋"/>
                <w:sz w:val="21"/>
                <w:szCs w:val="21"/>
              </w:rPr>
              <w:t>100≤Y＜500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733FABC">
            <w:pPr>
              <w:pStyle w:val="22"/>
              <w:spacing w:after="150" w:line="360" w:lineRule="auto"/>
              <w:ind w:firstLine="420"/>
              <w:rPr>
                <w:sz w:val="21"/>
                <w:szCs w:val="21"/>
              </w:rPr>
            </w:pPr>
            <w:r>
              <w:rPr>
                <w:rStyle w:val="26"/>
                <w:rFonts w:hint="eastAsia" w:cs="仿宋"/>
                <w:sz w:val="21"/>
                <w:szCs w:val="21"/>
              </w:rPr>
              <w:t>Y＜100</w:t>
            </w:r>
          </w:p>
        </w:tc>
      </w:tr>
      <w:tr w14:paraId="18864B05">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43070A61">
            <w:pPr>
              <w:pStyle w:val="22"/>
              <w:spacing w:after="150" w:line="360" w:lineRule="auto"/>
              <w:ind w:firstLine="420"/>
              <w:jc w:val="center"/>
              <w:rPr>
                <w:sz w:val="21"/>
                <w:szCs w:val="21"/>
              </w:rPr>
            </w:pPr>
            <w:r>
              <w:rPr>
                <w:rStyle w:val="26"/>
                <w:rFonts w:hint="eastAsia" w:cs="仿宋"/>
                <w:sz w:val="21"/>
                <w:szCs w:val="21"/>
              </w:rPr>
              <w:t>交通运输业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15FF2CD">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C863835">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E989921">
            <w:pPr>
              <w:pStyle w:val="22"/>
              <w:spacing w:after="150" w:line="360" w:lineRule="auto"/>
              <w:ind w:firstLine="420"/>
              <w:rPr>
                <w:sz w:val="21"/>
                <w:szCs w:val="21"/>
              </w:rPr>
            </w:pPr>
            <w:r>
              <w:rPr>
                <w:rStyle w:val="26"/>
                <w:rFonts w:hint="eastAsia" w:cs="仿宋"/>
                <w:sz w:val="21"/>
                <w:szCs w:val="21"/>
              </w:rPr>
              <w:t>300≤X＜1000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6F0B549">
            <w:pPr>
              <w:pStyle w:val="22"/>
              <w:spacing w:after="150" w:line="360" w:lineRule="auto"/>
              <w:jc w:val="center"/>
              <w:rPr>
                <w:sz w:val="21"/>
                <w:szCs w:val="21"/>
              </w:rPr>
            </w:pPr>
            <w:r>
              <w:rPr>
                <w:rStyle w:val="26"/>
                <w:rFonts w:hint="eastAsia" w:cs="仿宋"/>
                <w:sz w:val="21"/>
                <w:szCs w:val="21"/>
              </w:rPr>
              <w:t>20≤X＜300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7A80AE2">
            <w:pPr>
              <w:pStyle w:val="22"/>
              <w:spacing w:after="150" w:line="360" w:lineRule="auto"/>
              <w:ind w:firstLine="420"/>
              <w:rPr>
                <w:sz w:val="21"/>
                <w:szCs w:val="21"/>
              </w:rPr>
            </w:pPr>
            <w:r>
              <w:rPr>
                <w:rStyle w:val="26"/>
                <w:rFonts w:hint="eastAsia" w:cs="仿宋"/>
                <w:sz w:val="21"/>
                <w:szCs w:val="21"/>
              </w:rPr>
              <w:t>X＜20</w:t>
            </w:r>
          </w:p>
        </w:tc>
      </w:tr>
      <w:tr w14:paraId="3F199DC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11515E26">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FA9C68E">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D313293">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C324C0F">
            <w:pPr>
              <w:pStyle w:val="22"/>
              <w:spacing w:after="150" w:line="360" w:lineRule="auto"/>
              <w:ind w:firstLine="420"/>
              <w:rPr>
                <w:sz w:val="21"/>
                <w:szCs w:val="21"/>
              </w:rPr>
            </w:pPr>
            <w:r>
              <w:rPr>
                <w:rStyle w:val="26"/>
                <w:rFonts w:hint="eastAsia" w:cs="仿宋"/>
                <w:sz w:val="21"/>
                <w:szCs w:val="21"/>
              </w:rPr>
              <w:t>3000≤Y＜30000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8227293">
            <w:pPr>
              <w:pStyle w:val="22"/>
              <w:spacing w:after="150" w:line="360" w:lineRule="auto"/>
              <w:jc w:val="center"/>
              <w:rPr>
                <w:sz w:val="21"/>
                <w:szCs w:val="21"/>
              </w:rPr>
            </w:pPr>
            <w:r>
              <w:rPr>
                <w:rStyle w:val="26"/>
                <w:rFonts w:hint="eastAsia" w:cs="仿宋"/>
                <w:sz w:val="21"/>
                <w:szCs w:val="21"/>
              </w:rPr>
              <w:t>200≤Y＜3000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1E502FD">
            <w:pPr>
              <w:pStyle w:val="22"/>
              <w:spacing w:after="150" w:line="360" w:lineRule="auto"/>
              <w:ind w:firstLine="420"/>
              <w:rPr>
                <w:sz w:val="21"/>
                <w:szCs w:val="21"/>
              </w:rPr>
            </w:pPr>
            <w:r>
              <w:rPr>
                <w:rStyle w:val="26"/>
                <w:rFonts w:hint="eastAsia" w:cs="仿宋"/>
                <w:sz w:val="21"/>
                <w:szCs w:val="21"/>
              </w:rPr>
              <w:t>Y＜200</w:t>
            </w:r>
          </w:p>
        </w:tc>
      </w:tr>
      <w:tr w14:paraId="695A354C">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1C71222E">
            <w:pPr>
              <w:pStyle w:val="22"/>
              <w:spacing w:after="150" w:line="360" w:lineRule="auto"/>
              <w:ind w:firstLine="420"/>
              <w:jc w:val="center"/>
              <w:rPr>
                <w:sz w:val="21"/>
                <w:szCs w:val="21"/>
              </w:rPr>
            </w:pPr>
            <w:r>
              <w:rPr>
                <w:rStyle w:val="26"/>
                <w:rFonts w:hint="eastAsia" w:cs="仿宋"/>
                <w:sz w:val="21"/>
                <w:szCs w:val="21"/>
              </w:rPr>
              <w:t>仓储业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ECE1188">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8F66926">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EEA0B9">
            <w:pPr>
              <w:pStyle w:val="22"/>
              <w:spacing w:after="150" w:line="360" w:lineRule="auto"/>
              <w:ind w:firstLine="420"/>
              <w:rPr>
                <w:sz w:val="21"/>
                <w:szCs w:val="21"/>
              </w:rPr>
            </w:pPr>
            <w:r>
              <w:rPr>
                <w:rStyle w:val="26"/>
                <w:rFonts w:hint="eastAsia" w:cs="仿宋"/>
                <w:sz w:val="21"/>
                <w:szCs w:val="21"/>
              </w:rPr>
              <w:t>100≤X＜200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74A6DD9">
            <w:pPr>
              <w:pStyle w:val="22"/>
              <w:spacing w:after="150" w:line="360" w:lineRule="auto"/>
              <w:jc w:val="center"/>
              <w:rPr>
                <w:sz w:val="21"/>
                <w:szCs w:val="21"/>
              </w:rPr>
            </w:pPr>
            <w:r>
              <w:rPr>
                <w:rStyle w:val="26"/>
                <w:rFonts w:hint="eastAsia" w:cs="仿宋"/>
                <w:sz w:val="21"/>
                <w:szCs w:val="21"/>
              </w:rPr>
              <w:t>20≤X＜100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A858B9A">
            <w:pPr>
              <w:pStyle w:val="22"/>
              <w:spacing w:after="150" w:line="360" w:lineRule="auto"/>
              <w:ind w:firstLine="420"/>
              <w:rPr>
                <w:sz w:val="21"/>
                <w:szCs w:val="21"/>
              </w:rPr>
            </w:pPr>
            <w:r>
              <w:rPr>
                <w:rStyle w:val="26"/>
                <w:rFonts w:hint="eastAsia" w:cs="仿宋"/>
                <w:sz w:val="21"/>
                <w:szCs w:val="21"/>
              </w:rPr>
              <w:t>X＜20</w:t>
            </w:r>
          </w:p>
        </w:tc>
      </w:tr>
      <w:tr w14:paraId="092D45D1">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196FADD2">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454E2F8">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064485F">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12382AF">
            <w:pPr>
              <w:pStyle w:val="22"/>
              <w:spacing w:after="150" w:line="360" w:lineRule="auto"/>
              <w:ind w:firstLine="420"/>
              <w:rPr>
                <w:sz w:val="21"/>
                <w:szCs w:val="21"/>
              </w:rPr>
            </w:pPr>
            <w:r>
              <w:rPr>
                <w:rStyle w:val="26"/>
                <w:rFonts w:hint="eastAsia" w:cs="仿宋"/>
                <w:sz w:val="21"/>
                <w:szCs w:val="21"/>
              </w:rPr>
              <w:t>1000≤Y＜30000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83FE582">
            <w:pPr>
              <w:pStyle w:val="22"/>
              <w:spacing w:after="150" w:line="360" w:lineRule="auto"/>
              <w:jc w:val="center"/>
              <w:rPr>
                <w:sz w:val="21"/>
                <w:szCs w:val="21"/>
              </w:rPr>
            </w:pPr>
            <w:r>
              <w:rPr>
                <w:rStyle w:val="26"/>
                <w:rFonts w:hint="eastAsia" w:cs="仿宋"/>
                <w:sz w:val="21"/>
                <w:szCs w:val="21"/>
              </w:rPr>
              <w:t>100≤Y＜1000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0C3AB5F">
            <w:pPr>
              <w:pStyle w:val="22"/>
              <w:spacing w:after="150" w:line="360" w:lineRule="auto"/>
              <w:ind w:firstLine="420"/>
              <w:rPr>
                <w:sz w:val="21"/>
                <w:szCs w:val="21"/>
              </w:rPr>
            </w:pPr>
            <w:r>
              <w:rPr>
                <w:rStyle w:val="26"/>
                <w:rFonts w:hint="eastAsia" w:cs="仿宋"/>
                <w:sz w:val="21"/>
                <w:szCs w:val="21"/>
              </w:rPr>
              <w:t>Y＜100</w:t>
            </w:r>
          </w:p>
        </w:tc>
      </w:tr>
      <w:tr w14:paraId="1FE6050B">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5C0A50D6">
            <w:pPr>
              <w:pStyle w:val="22"/>
              <w:spacing w:after="150" w:line="360" w:lineRule="auto"/>
              <w:ind w:firstLine="420"/>
              <w:jc w:val="center"/>
              <w:rPr>
                <w:sz w:val="21"/>
                <w:szCs w:val="21"/>
              </w:rPr>
            </w:pPr>
            <w:r>
              <w:rPr>
                <w:rStyle w:val="26"/>
                <w:rFonts w:hint="eastAsia" w:cs="仿宋"/>
                <w:sz w:val="21"/>
                <w:szCs w:val="21"/>
              </w:rPr>
              <w:t>邮政业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D060A72">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FA66CAB">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5A5C5C3">
            <w:pPr>
              <w:pStyle w:val="22"/>
              <w:spacing w:after="150" w:line="360" w:lineRule="auto"/>
              <w:ind w:firstLine="420"/>
              <w:rPr>
                <w:sz w:val="21"/>
                <w:szCs w:val="21"/>
              </w:rPr>
            </w:pPr>
            <w:r>
              <w:rPr>
                <w:rStyle w:val="26"/>
                <w:rFonts w:hint="eastAsia" w:cs="仿宋"/>
                <w:sz w:val="21"/>
                <w:szCs w:val="21"/>
              </w:rPr>
              <w:t>300≤X＜1000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012DABF">
            <w:pPr>
              <w:pStyle w:val="22"/>
              <w:spacing w:after="150" w:line="360" w:lineRule="auto"/>
              <w:jc w:val="center"/>
              <w:rPr>
                <w:sz w:val="21"/>
                <w:szCs w:val="21"/>
              </w:rPr>
            </w:pPr>
            <w:r>
              <w:rPr>
                <w:rStyle w:val="26"/>
                <w:rFonts w:hint="eastAsia" w:cs="仿宋"/>
                <w:sz w:val="21"/>
                <w:szCs w:val="21"/>
              </w:rPr>
              <w:t>20≤X＜300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15A65B">
            <w:pPr>
              <w:pStyle w:val="22"/>
              <w:spacing w:after="150" w:line="360" w:lineRule="auto"/>
              <w:ind w:firstLine="420"/>
              <w:rPr>
                <w:sz w:val="21"/>
                <w:szCs w:val="21"/>
              </w:rPr>
            </w:pPr>
            <w:r>
              <w:rPr>
                <w:rStyle w:val="26"/>
                <w:rFonts w:hint="eastAsia" w:cs="仿宋"/>
                <w:sz w:val="21"/>
                <w:szCs w:val="21"/>
              </w:rPr>
              <w:t>X＜20</w:t>
            </w:r>
          </w:p>
        </w:tc>
      </w:tr>
      <w:tr w14:paraId="63C5B565">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2EECE3FB">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77E7AC1">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5E28882">
            <w:pPr>
              <w:pStyle w:val="22"/>
              <w:spacing w:after="150" w:line="360" w:lineRule="auto"/>
              <w:ind w:firstLine="420"/>
              <w:rPr>
                <w:sz w:val="21"/>
                <w:szCs w:val="21"/>
              </w:rPr>
            </w:pPr>
            <w:r>
              <w:rPr>
                <w:rStyle w:val="26"/>
                <w:rFonts w:hint="eastAsia" w:cs="仿宋"/>
                <w:sz w:val="21"/>
                <w:szCs w:val="21"/>
              </w:rPr>
              <w:t>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1ABD9A0">
            <w:pPr>
              <w:pStyle w:val="22"/>
              <w:spacing w:after="150" w:line="360" w:lineRule="auto"/>
              <w:ind w:firstLine="420"/>
              <w:rPr>
                <w:sz w:val="21"/>
                <w:szCs w:val="21"/>
              </w:rPr>
            </w:pPr>
            <w:r>
              <w:rPr>
                <w:rStyle w:val="26"/>
                <w:rFonts w:hint="eastAsia" w:cs="仿宋"/>
                <w:sz w:val="21"/>
                <w:szCs w:val="21"/>
              </w:rPr>
              <w:t>2000≤Y＜30000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1151F51">
            <w:pPr>
              <w:pStyle w:val="22"/>
              <w:spacing w:after="150" w:line="360" w:lineRule="auto"/>
              <w:jc w:val="center"/>
              <w:rPr>
                <w:sz w:val="21"/>
                <w:szCs w:val="21"/>
              </w:rPr>
            </w:pPr>
            <w:r>
              <w:rPr>
                <w:rStyle w:val="26"/>
                <w:rFonts w:hint="eastAsia" w:cs="仿宋"/>
                <w:sz w:val="21"/>
                <w:szCs w:val="21"/>
              </w:rPr>
              <w:t>100≤Y＜2000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37A8E8C">
            <w:pPr>
              <w:pStyle w:val="22"/>
              <w:spacing w:after="150" w:line="360" w:lineRule="auto"/>
              <w:ind w:firstLine="420"/>
              <w:rPr>
                <w:sz w:val="21"/>
                <w:szCs w:val="21"/>
              </w:rPr>
            </w:pPr>
            <w:r>
              <w:rPr>
                <w:rStyle w:val="26"/>
                <w:rFonts w:hint="eastAsia" w:cs="仿宋"/>
                <w:sz w:val="21"/>
                <w:szCs w:val="21"/>
              </w:rPr>
              <w:t>Y＜100</w:t>
            </w:r>
          </w:p>
        </w:tc>
      </w:tr>
      <w:tr w14:paraId="114CC7E0">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3F951176">
            <w:pPr>
              <w:pStyle w:val="22"/>
              <w:spacing w:after="150" w:line="360" w:lineRule="auto"/>
              <w:ind w:firstLine="420"/>
              <w:jc w:val="center"/>
              <w:rPr>
                <w:sz w:val="21"/>
                <w:szCs w:val="21"/>
              </w:rPr>
            </w:pPr>
            <w:r>
              <w:rPr>
                <w:rStyle w:val="26"/>
                <w:rFonts w:hint="eastAsia" w:cs="仿宋"/>
                <w:sz w:val="21"/>
                <w:szCs w:val="21"/>
              </w:rPr>
              <w:t>住宿业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F9A9455">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9F255A2">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461DFE8">
            <w:pPr>
              <w:pStyle w:val="22"/>
              <w:spacing w:after="150" w:line="360" w:lineRule="auto"/>
              <w:ind w:firstLine="420"/>
              <w:rPr>
                <w:sz w:val="21"/>
                <w:szCs w:val="21"/>
              </w:rPr>
            </w:pPr>
            <w:r>
              <w:rPr>
                <w:rStyle w:val="26"/>
                <w:rFonts w:hint="eastAsia" w:cs="仿宋"/>
                <w:sz w:val="21"/>
                <w:szCs w:val="21"/>
              </w:rPr>
              <w:t>100≤X＜300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9131755">
            <w:pPr>
              <w:pStyle w:val="22"/>
              <w:spacing w:after="150" w:line="360" w:lineRule="auto"/>
              <w:jc w:val="center"/>
              <w:rPr>
                <w:sz w:val="21"/>
                <w:szCs w:val="21"/>
              </w:rPr>
            </w:pPr>
            <w:r>
              <w:rPr>
                <w:rStyle w:val="26"/>
                <w:rFonts w:hint="eastAsia" w:cs="仿宋"/>
                <w:sz w:val="21"/>
                <w:szCs w:val="21"/>
              </w:rPr>
              <w:t>10≤X＜100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9EC6E1D">
            <w:pPr>
              <w:pStyle w:val="22"/>
              <w:spacing w:after="150" w:line="360" w:lineRule="auto"/>
              <w:ind w:firstLine="420"/>
              <w:rPr>
                <w:sz w:val="21"/>
                <w:szCs w:val="21"/>
              </w:rPr>
            </w:pPr>
            <w:r>
              <w:rPr>
                <w:rStyle w:val="26"/>
                <w:rFonts w:hint="eastAsia" w:cs="仿宋"/>
                <w:sz w:val="21"/>
                <w:szCs w:val="21"/>
              </w:rPr>
              <w:t>X＜10</w:t>
            </w:r>
          </w:p>
        </w:tc>
      </w:tr>
      <w:tr w14:paraId="7C875997">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1707E71B">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CE43DA6">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A4581BD">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BB74019">
            <w:pPr>
              <w:pStyle w:val="22"/>
              <w:spacing w:after="150" w:line="360" w:lineRule="auto"/>
              <w:ind w:firstLine="420"/>
              <w:rPr>
                <w:sz w:val="21"/>
                <w:szCs w:val="21"/>
              </w:rPr>
            </w:pPr>
            <w:r>
              <w:rPr>
                <w:rStyle w:val="26"/>
                <w:rFonts w:hint="eastAsia" w:cs="仿宋"/>
                <w:sz w:val="21"/>
                <w:szCs w:val="21"/>
              </w:rPr>
              <w:t>2000≤Y＜10000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CFF72C2">
            <w:pPr>
              <w:pStyle w:val="22"/>
              <w:spacing w:after="150" w:line="360" w:lineRule="auto"/>
              <w:jc w:val="center"/>
              <w:rPr>
                <w:sz w:val="21"/>
                <w:szCs w:val="21"/>
              </w:rPr>
            </w:pPr>
            <w:r>
              <w:rPr>
                <w:rStyle w:val="26"/>
                <w:rFonts w:hint="eastAsia" w:cs="仿宋"/>
                <w:sz w:val="21"/>
                <w:szCs w:val="21"/>
              </w:rPr>
              <w:t>100≤Y＜2000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3EA4DD6">
            <w:pPr>
              <w:pStyle w:val="22"/>
              <w:spacing w:after="150" w:line="360" w:lineRule="auto"/>
              <w:ind w:firstLine="420"/>
              <w:rPr>
                <w:sz w:val="21"/>
                <w:szCs w:val="21"/>
              </w:rPr>
            </w:pPr>
            <w:r>
              <w:rPr>
                <w:rStyle w:val="26"/>
                <w:rFonts w:hint="eastAsia" w:cs="仿宋"/>
                <w:sz w:val="21"/>
                <w:szCs w:val="21"/>
              </w:rPr>
              <w:t>Y＜100</w:t>
            </w:r>
          </w:p>
        </w:tc>
      </w:tr>
      <w:tr w14:paraId="459F56D0">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16320F80">
            <w:pPr>
              <w:pStyle w:val="22"/>
              <w:spacing w:after="150" w:line="360" w:lineRule="auto"/>
              <w:ind w:firstLine="420"/>
              <w:jc w:val="center"/>
              <w:rPr>
                <w:sz w:val="21"/>
                <w:szCs w:val="21"/>
              </w:rPr>
            </w:pPr>
            <w:r>
              <w:rPr>
                <w:rStyle w:val="26"/>
                <w:rFonts w:hint="eastAsia" w:cs="仿宋"/>
                <w:sz w:val="21"/>
                <w:szCs w:val="21"/>
              </w:rPr>
              <w:t>餐饮业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75CBF05">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14BF767">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EC962DA">
            <w:pPr>
              <w:pStyle w:val="22"/>
              <w:spacing w:after="150" w:line="360" w:lineRule="auto"/>
              <w:ind w:firstLine="420"/>
              <w:rPr>
                <w:sz w:val="21"/>
                <w:szCs w:val="21"/>
              </w:rPr>
            </w:pPr>
            <w:r>
              <w:rPr>
                <w:rStyle w:val="26"/>
                <w:rFonts w:hint="eastAsia" w:cs="仿宋"/>
                <w:sz w:val="21"/>
                <w:szCs w:val="21"/>
              </w:rPr>
              <w:t>100≤X＜300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E0B8B5F">
            <w:pPr>
              <w:pStyle w:val="22"/>
              <w:spacing w:after="150" w:line="360" w:lineRule="auto"/>
              <w:jc w:val="center"/>
              <w:rPr>
                <w:sz w:val="21"/>
                <w:szCs w:val="21"/>
              </w:rPr>
            </w:pPr>
            <w:r>
              <w:rPr>
                <w:rStyle w:val="26"/>
                <w:rFonts w:hint="eastAsia" w:cs="仿宋"/>
                <w:sz w:val="21"/>
                <w:szCs w:val="21"/>
              </w:rPr>
              <w:t>10≤X＜100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989159F">
            <w:pPr>
              <w:pStyle w:val="22"/>
              <w:spacing w:after="150" w:line="360" w:lineRule="auto"/>
              <w:ind w:firstLine="420"/>
              <w:rPr>
                <w:sz w:val="21"/>
                <w:szCs w:val="21"/>
              </w:rPr>
            </w:pPr>
            <w:r>
              <w:rPr>
                <w:rStyle w:val="26"/>
                <w:rFonts w:hint="eastAsia" w:cs="仿宋"/>
                <w:sz w:val="21"/>
                <w:szCs w:val="21"/>
              </w:rPr>
              <w:t>X＜10</w:t>
            </w:r>
          </w:p>
        </w:tc>
      </w:tr>
      <w:tr w14:paraId="14515D90">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29BF20EC">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67682EA">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68D7E74">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1EA2FA8">
            <w:pPr>
              <w:pStyle w:val="22"/>
              <w:spacing w:after="150" w:line="360" w:lineRule="auto"/>
              <w:ind w:firstLine="420"/>
              <w:rPr>
                <w:sz w:val="21"/>
                <w:szCs w:val="21"/>
              </w:rPr>
            </w:pPr>
            <w:r>
              <w:rPr>
                <w:rStyle w:val="26"/>
                <w:rFonts w:hint="eastAsia" w:cs="仿宋"/>
                <w:sz w:val="21"/>
                <w:szCs w:val="21"/>
              </w:rPr>
              <w:t>2000≤Y＜10000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AC041D8">
            <w:pPr>
              <w:pStyle w:val="22"/>
              <w:spacing w:after="150" w:line="360" w:lineRule="auto"/>
              <w:jc w:val="center"/>
              <w:rPr>
                <w:sz w:val="21"/>
                <w:szCs w:val="21"/>
              </w:rPr>
            </w:pPr>
            <w:r>
              <w:rPr>
                <w:rStyle w:val="26"/>
                <w:rFonts w:hint="eastAsia" w:cs="仿宋"/>
                <w:sz w:val="21"/>
                <w:szCs w:val="21"/>
              </w:rPr>
              <w:t>100≤Y＜2000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7B54B2E">
            <w:pPr>
              <w:pStyle w:val="22"/>
              <w:spacing w:after="150" w:line="360" w:lineRule="auto"/>
              <w:ind w:firstLine="420"/>
              <w:rPr>
                <w:sz w:val="21"/>
                <w:szCs w:val="21"/>
              </w:rPr>
            </w:pPr>
            <w:r>
              <w:rPr>
                <w:rStyle w:val="26"/>
                <w:rFonts w:hint="eastAsia" w:cs="仿宋"/>
                <w:sz w:val="21"/>
                <w:szCs w:val="21"/>
              </w:rPr>
              <w:t>Y＜100</w:t>
            </w:r>
          </w:p>
        </w:tc>
      </w:tr>
      <w:tr w14:paraId="4EF9188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46FF92D8">
            <w:pPr>
              <w:pStyle w:val="22"/>
              <w:spacing w:after="150" w:line="360" w:lineRule="auto"/>
              <w:ind w:firstLine="420"/>
              <w:jc w:val="center"/>
              <w:rPr>
                <w:sz w:val="21"/>
                <w:szCs w:val="21"/>
              </w:rPr>
            </w:pPr>
            <w:r>
              <w:rPr>
                <w:rStyle w:val="26"/>
                <w:rFonts w:hint="eastAsia" w:cs="仿宋"/>
                <w:sz w:val="21"/>
                <w:szCs w:val="21"/>
              </w:rPr>
              <w:t>信息传输业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3A79E91">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0FF403A">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CEB51C5">
            <w:pPr>
              <w:pStyle w:val="22"/>
              <w:spacing w:after="150" w:line="360" w:lineRule="auto"/>
              <w:ind w:firstLine="420"/>
              <w:rPr>
                <w:sz w:val="21"/>
                <w:szCs w:val="21"/>
              </w:rPr>
            </w:pPr>
            <w:r>
              <w:rPr>
                <w:rStyle w:val="26"/>
                <w:rFonts w:hint="eastAsia" w:cs="仿宋"/>
                <w:sz w:val="21"/>
                <w:szCs w:val="21"/>
              </w:rPr>
              <w:t>100≤X＜2000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A6FB2CB">
            <w:pPr>
              <w:pStyle w:val="22"/>
              <w:spacing w:after="150" w:line="360" w:lineRule="auto"/>
              <w:jc w:val="center"/>
              <w:rPr>
                <w:sz w:val="21"/>
                <w:szCs w:val="21"/>
              </w:rPr>
            </w:pPr>
            <w:r>
              <w:rPr>
                <w:rStyle w:val="26"/>
                <w:rFonts w:hint="eastAsia" w:cs="仿宋"/>
                <w:sz w:val="21"/>
                <w:szCs w:val="21"/>
              </w:rPr>
              <w:t>10≤X＜100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3A79AFF">
            <w:pPr>
              <w:pStyle w:val="22"/>
              <w:spacing w:after="150" w:line="360" w:lineRule="auto"/>
              <w:ind w:firstLine="420"/>
              <w:rPr>
                <w:sz w:val="21"/>
                <w:szCs w:val="21"/>
              </w:rPr>
            </w:pPr>
            <w:r>
              <w:rPr>
                <w:rStyle w:val="26"/>
                <w:rFonts w:hint="eastAsia" w:cs="仿宋"/>
                <w:sz w:val="21"/>
                <w:szCs w:val="21"/>
              </w:rPr>
              <w:t>X＜10</w:t>
            </w:r>
          </w:p>
        </w:tc>
      </w:tr>
      <w:tr w14:paraId="690258EF">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068510E5">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E74B2C5">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B55C56E">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38FF78A">
            <w:pPr>
              <w:pStyle w:val="22"/>
              <w:spacing w:after="150" w:line="360" w:lineRule="auto"/>
              <w:ind w:firstLine="420"/>
              <w:rPr>
                <w:sz w:val="21"/>
                <w:szCs w:val="21"/>
              </w:rPr>
            </w:pPr>
            <w:r>
              <w:rPr>
                <w:rStyle w:val="26"/>
                <w:rFonts w:hint="eastAsia" w:cs="仿宋"/>
                <w:sz w:val="21"/>
                <w:szCs w:val="21"/>
              </w:rPr>
              <w:t>1000≤Y＜100000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5D13D73">
            <w:pPr>
              <w:pStyle w:val="22"/>
              <w:spacing w:after="150" w:line="360" w:lineRule="auto"/>
              <w:jc w:val="center"/>
              <w:rPr>
                <w:sz w:val="21"/>
                <w:szCs w:val="21"/>
              </w:rPr>
            </w:pPr>
            <w:r>
              <w:rPr>
                <w:rStyle w:val="26"/>
                <w:rFonts w:hint="eastAsia" w:cs="仿宋"/>
                <w:sz w:val="21"/>
                <w:szCs w:val="21"/>
              </w:rPr>
              <w:t>100≤Y＜1000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7AEF173">
            <w:pPr>
              <w:pStyle w:val="22"/>
              <w:spacing w:after="150" w:line="360" w:lineRule="auto"/>
              <w:ind w:firstLine="420"/>
              <w:rPr>
                <w:sz w:val="21"/>
                <w:szCs w:val="21"/>
              </w:rPr>
            </w:pPr>
            <w:r>
              <w:rPr>
                <w:rStyle w:val="26"/>
                <w:rFonts w:hint="eastAsia" w:cs="仿宋"/>
                <w:sz w:val="21"/>
                <w:szCs w:val="21"/>
              </w:rPr>
              <w:t>Y＜100</w:t>
            </w:r>
          </w:p>
        </w:tc>
      </w:tr>
      <w:tr w14:paraId="3AA0C3AF">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509FBB7C">
            <w:pPr>
              <w:pStyle w:val="22"/>
              <w:spacing w:after="150" w:line="360" w:lineRule="auto"/>
              <w:ind w:firstLine="420"/>
              <w:jc w:val="center"/>
              <w:rPr>
                <w:sz w:val="21"/>
                <w:szCs w:val="21"/>
              </w:rPr>
            </w:pPr>
            <w:r>
              <w:rPr>
                <w:rStyle w:val="26"/>
                <w:rFonts w:hint="eastAsia" w:cs="仿宋"/>
                <w:sz w:val="21"/>
                <w:szCs w:val="21"/>
              </w:rPr>
              <w:t>软件和信息技术服务业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1E420A8">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C33C847">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99AE341">
            <w:pPr>
              <w:pStyle w:val="22"/>
              <w:spacing w:after="150" w:line="360" w:lineRule="auto"/>
              <w:ind w:firstLine="420"/>
              <w:rPr>
                <w:sz w:val="21"/>
                <w:szCs w:val="21"/>
              </w:rPr>
            </w:pPr>
            <w:r>
              <w:rPr>
                <w:rStyle w:val="26"/>
                <w:rFonts w:hint="eastAsia" w:cs="仿宋"/>
                <w:sz w:val="21"/>
                <w:szCs w:val="21"/>
              </w:rPr>
              <w:t>100≤X＜300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55D48DE">
            <w:pPr>
              <w:pStyle w:val="22"/>
              <w:spacing w:after="150" w:line="360" w:lineRule="auto"/>
              <w:jc w:val="center"/>
              <w:rPr>
                <w:sz w:val="21"/>
                <w:szCs w:val="21"/>
              </w:rPr>
            </w:pPr>
            <w:r>
              <w:rPr>
                <w:rStyle w:val="26"/>
                <w:rFonts w:hint="eastAsia" w:cs="仿宋"/>
                <w:sz w:val="21"/>
                <w:szCs w:val="21"/>
              </w:rPr>
              <w:t>10≤X＜100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7CDBEE0">
            <w:pPr>
              <w:pStyle w:val="22"/>
              <w:spacing w:after="150" w:line="360" w:lineRule="auto"/>
              <w:ind w:firstLine="420"/>
              <w:rPr>
                <w:sz w:val="21"/>
                <w:szCs w:val="21"/>
              </w:rPr>
            </w:pPr>
            <w:r>
              <w:rPr>
                <w:rStyle w:val="26"/>
                <w:rFonts w:hint="eastAsia" w:cs="仿宋"/>
                <w:sz w:val="21"/>
                <w:szCs w:val="21"/>
              </w:rPr>
              <w:t>X＜10</w:t>
            </w:r>
          </w:p>
        </w:tc>
      </w:tr>
      <w:tr w14:paraId="3FC0AFA6">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5BC06447">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2C283E8">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ED31593">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10CF6C4">
            <w:pPr>
              <w:pStyle w:val="22"/>
              <w:spacing w:after="150" w:line="360" w:lineRule="auto"/>
              <w:ind w:firstLine="420"/>
              <w:rPr>
                <w:sz w:val="21"/>
                <w:szCs w:val="21"/>
              </w:rPr>
            </w:pPr>
            <w:r>
              <w:rPr>
                <w:rStyle w:val="26"/>
                <w:rFonts w:hint="eastAsia" w:cs="仿宋"/>
                <w:sz w:val="21"/>
                <w:szCs w:val="21"/>
              </w:rPr>
              <w:t>1000≤Y＜10000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C5455D9">
            <w:pPr>
              <w:pStyle w:val="22"/>
              <w:spacing w:after="150" w:line="360" w:lineRule="auto"/>
              <w:jc w:val="center"/>
              <w:rPr>
                <w:sz w:val="21"/>
                <w:szCs w:val="21"/>
              </w:rPr>
            </w:pPr>
            <w:r>
              <w:rPr>
                <w:rStyle w:val="26"/>
                <w:rFonts w:hint="eastAsia" w:cs="仿宋"/>
                <w:sz w:val="21"/>
                <w:szCs w:val="21"/>
              </w:rPr>
              <w:t>50≤Y＜1000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BAEBFEF">
            <w:pPr>
              <w:pStyle w:val="22"/>
              <w:spacing w:after="150" w:line="360" w:lineRule="auto"/>
              <w:ind w:firstLine="420"/>
              <w:rPr>
                <w:sz w:val="21"/>
                <w:szCs w:val="21"/>
              </w:rPr>
            </w:pPr>
            <w:r>
              <w:rPr>
                <w:rStyle w:val="26"/>
                <w:rFonts w:hint="eastAsia" w:cs="仿宋"/>
                <w:sz w:val="21"/>
                <w:szCs w:val="21"/>
              </w:rPr>
              <w:t>Y＜50</w:t>
            </w:r>
          </w:p>
        </w:tc>
      </w:tr>
      <w:tr w14:paraId="6B2772AF">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3E3C3774">
            <w:pPr>
              <w:pStyle w:val="22"/>
              <w:spacing w:after="150" w:line="360" w:lineRule="auto"/>
              <w:ind w:firstLine="420"/>
              <w:jc w:val="center"/>
              <w:rPr>
                <w:sz w:val="21"/>
                <w:szCs w:val="21"/>
              </w:rPr>
            </w:pPr>
            <w:r>
              <w:rPr>
                <w:rStyle w:val="26"/>
                <w:rFonts w:hint="eastAsia" w:cs="仿宋"/>
                <w:sz w:val="21"/>
                <w:szCs w:val="21"/>
              </w:rPr>
              <w:t>房地产开发经营</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BE52F3A">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49495C6">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4995759">
            <w:pPr>
              <w:pStyle w:val="22"/>
              <w:spacing w:after="150" w:line="360" w:lineRule="auto"/>
              <w:ind w:firstLine="420"/>
              <w:rPr>
                <w:sz w:val="21"/>
                <w:szCs w:val="21"/>
              </w:rPr>
            </w:pPr>
            <w:r>
              <w:rPr>
                <w:rStyle w:val="26"/>
                <w:rFonts w:hint="eastAsia" w:cs="仿宋"/>
                <w:sz w:val="21"/>
                <w:szCs w:val="21"/>
              </w:rPr>
              <w:t>1000≤Y＜200000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1449EE4">
            <w:pPr>
              <w:pStyle w:val="22"/>
              <w:spacing w:after="150" w:line="360" w:lineRule="auto"/>
              <w:jc w:val="center"/>
              <w:rPr>
                <w:sz w:val="21"/>
                <w:szCs w:val="21"/>
              </w:rPr>
            </w:pPr>
            <w:r>
              <w:rPr>
                <w:rStyle w:val="26"/>
                <w:rFonts w:hint="eastAsia" w:cs="仿宋"/>
                <w:sz w:val="21"/>
                <w:szCs w:val="21"/>
              </w:rPr>
              <w:t>100≤X＜1000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68CE17F">
            <w:pPr>
              <w:pStyle w:val="22"/>
              <w:spacing w:after="150" w:line="360" w:lineRule="auto"/>
              <w:ind w:firstLine="420"/>
              <w:rPr>
                <w:sz w:val="21"/>
                <w:szCs w:val="21"/>
              </w:rPr>
            </w:pPr>
            <w:r>
              <w:rPr>
                <w:rStyle w:val="26"/>
                <w:rFonts w:hint="eastAsia" w:cs="仿宋"/>
                <w:sz w:val="21"/>
                <w:szCs w:val="21"/>
              </w:rPr>
              <w:t>X＜100</w:t>
            </w:r>
          </w:p>
        </w:tc>
      </w:tr>
      <w:tr w14:paraId="6600C7B6">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30A6F683">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AA1195">
            <w:pPr>
              <w:pStyle w:val="22"/>
              <w:spacing w:after="150" w:line="360" w:lineRule="auto"/>
              <w:ind w:firstLine="420"/>
              <w:rPr>
                <w:sz w:val="21"/>
                <w:szCs w:val="21"/>
              </w:rPr>
            </w:pPr>
            <w:r>
              <w:rPr>
                <w:rStyle w:val="26"/>
                <w:rFonts w:hint="eastAsia" w:cs="仿宋"/>
                <w:sz w:val="21"/>
                <w:szCs w:val="21"/>
              </w:rPr>
              <w:t>资产总额（Z）</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3274F0C">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91C4AE4">
            <w:pPr>
              <w:pStyle w:val="22"/>
              <w:spacing w:after="150" w:line="360" w:lineRule="auto"/>
              <w:ind w:firstLine="420"/>
              <w:rPr>
                <w:sz w:val="21"/>
                <w:szCs w:val="21"/>
              </w:rPr>
            </w:pPr>
            <w:r>
              <w:rPr>
                <w:rStyle w:val="26"/>
                <w:rFonts w:hint="eastAsia" w:cs="仿宋"/>
                <w:sz w:val="21"/>
                <w:szCs w:val="21"/>
              </w:rPr>
              <w:t>5000≤Z＜10000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C06616A">
            <w:pPr>
              <w:pStyle w:val="22"/>
              <w:spacing w:after="150" w:line="360" w:lineRule="auto"/>
              <w:jc w:val="center"/>
              <w:rPr>
                <w:sz w:val="21"/>
                <w:szCs w:val="21"/>
              </w:rPr>
            </w:pPr>
            <w:r>
              <w:rPr>
                <w:rStyle w:val="26"/>
                <w:rFonts w:hint="eastAsia" w:cs="仿宋"/>
                <w:sz w:val="21"/>
                <w:szCs w:val="21"/>
              </w:rPr>
              <w:t>2000≤Y＜5000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499270B">
            <w:pPr>
              <w:pStyle w:val="22"/>
              <w:spacing w:after="150" w:line="360" w:lineRule="auto"/>
              <w:ind w:firstLine="420"/>
              <w:rPr>
                <w:sz w:val="21"/>
                <w:szCs w:val="21"/>
              </w:rPr>
            </w:pPr>
            <w:r>
              <w:rPr>
                <w:rStyle w:val="26"/>
                <w:rFonts w:hint="eastAsia" w:cs="仿宋"/>
                <w:sz w:val="21"/>
                <w:szCs w:val="21"/>
              </w:rPr>
              <w:t>Y＜2000</w:t>
            </w:r>
          </w:p>
        </w:tc>
      </w:tr>
      <w:tr w14:paraId="7A4D9C9B">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01C4C90C">
            <w:pPr>
              <w:pStyle w:val="22"/>
              <w:spacing w:after="150" w:line="360" w:lineRule="auto"/>
              <w:ind w:firstLine="420"/>
              <w:jc w:val="center"/>
              <w:rPr>
                <w:sz w:val="21"/>
                <w:szCs w:val="21"/>
              </w:rPr>
            </w:pPr>
            <w:r>
              <w:rPr>
                <w:rStyle w:val="26"/>
                <w:rFonts w:hint="eastAsia" w:cs="仿宋"/>
                <w:sz w:val="21"/>
                <w:szCs w:val="21"/>
              </w:rPr>
              <w:t>物业管理</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9570E65">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0C693F2">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382FBA0">
            <w:pPr>
              <w:pStyle w:val="22"/>
              <w:spacing w:after="150" w:line="360" w:lineRule="auto"/>
              <w:ind w:firstLine="420"/>
              <w:rPr>
                <w:sz w:val="21"/>
                <w:szCs w:val="21"/>
              </w:rPr>
            </w:pPr>
            <w:r>
              <w:rPr>
                <w:rStyle w:val="26"/>
                <w:rFonts w:hint="eastAsia" w:cs="仿宋"/>
                <w:sz w:val="21"/>
                <w:szCs w:val="21"/>
              </w:rPr>
              <w:t>300≤X＜1000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7AF8626">
            <w:pPr>
              <w:pStyle w:val="22"/>
              <w:spacing w:after="150" w:line="360" w:lineRule="auto"/>
              <w:jc w:val="center"/>
              <w:rPr>
                <w:sz w:val="21"/>
                <w:szCs w:val="21"/>
              </w:rPr>
            </w:pPr>
            <w:r>
              <w:rPr>
                <w:rStyle w:val="26"/>
                <w:rFonts w:hint="eastAsia" w:cs="仿宋"/>
                <w:sz w:val="21"/>
                <w:szCs w:val="21"/>
              </w:rPr>
              <w:t>100≤X＜300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76A4E15">
            <w:pPr>
              <w:pStyle w:val="22"/>
              <w:spacing w:after="150" w:line="360" w:lineRule="auto"/>
              <w:ind w:firstLine="420"/>
              <w:rPr>
                <w:sz w:val="21"/>
                <w:szCs w:val="21"/>
              </w:rPr>
            </w:pPr>
            <w:r>
              <w:rPr>
                <w:rStyle w:val="26"/>
                <w:rFonts w:hint="eastAsia" w:cs="仿宋"/>
                <w:sz w:val="21"/>
                <w:szCs w:val="21"/>
              </w:rPr>
              <w:t>X＜100</w:t>
            </w:r>
          </w:p>
        </w:tc>
      </w:tr>
      <w:tr w14:paraId="38C98EE7">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3320C500">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2EB4932">
            <w:pPr>
              <w:pStyle w:val="22"/>
              <w:spacing w:after="150" w:line="360" w:lineRule="auto"/>
              <w:ind w:firstLine="420"/>
              <w:rPr>
                <w:sz w:val="21"/>
                <w:szCs w:val="21"/>
              </w:rPr>
            </w:pPr>
            <w:r>
              <w:rPr>
                <w:rStyle w:val="26"/>
                <w:rFonts w:hint="eastAsia" w:cs="仿宋"/>
                <w:sz w:val="21"/>
                <w:szCs w:val="21"/>
              </w:rPr>
              <w:t>营业收入（Y）</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B5000F3">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6885BF">
            <w:pPr>
              <w:pStyle w:val="22"/>
              <w:spacing w:after="150" w:line="360" w:lineRule="auto"/>
              <w:ind w:firstLine="420"/>
              <w:rPr>
                <w:sz w:val="21"/>
                <w:szCs w:val="21"/>
              </w:rPr>
            </w:pPr>
            <w:r>
              <w:rPr>
                <w:rStyle w:val="26"/>
                <w:rFonts w:hint="eastAsia" w:cs="仿宋"/>
                <w:sz w:val="21"/>
                <w:szCs w:val="21"/>
              </w:rPr>
              <w:t>1000≤Y＜5000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43FF103">
            <w:pPr>
              <w:pStyle w:val="22"/>
              <w:spacing w:after="150" w:line="360" w:lineRule="auto"/>
              <w:jc w:val="center"/>
              <w:rPr>
                <w:sz w:val="21"/>
                <w:szCs w:val="21"/>
              </w:rPr>
            </w:pPr>
            <w:r>
              <w:rPr>
                <w:rStyle w:val="26"/>
                <w:rFonts w:hint="eastAsia" w:cs="仿宋"/>
                <w:sz w:val="21"/>
                <w:szCs w:val="21"/>
              </w:rPr>
              <w:t>500≤Y＜1000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1D5566C">
            <w:pPr>
              <w:pStyle w:val="22"/>
              <w:spacing w:after="150" w:line="360" w:lineRule="auto"/>
              <w:ind w:firstLine="420"/>
              <w:rPr>
                <w:sz w:val="21"/>
                <w:szCs w:val="21"/>
              </w:rPr>
            </w:pPr>
            <w:r>
              <w:rPr>
                <w:rStyle w:val="26"/>
                <w:rFonts w:hint="eastAsia" w:cs="仿宋"/>
                <w:sz w:val="21"/>
                <w:szCs w:val="21"/>
              </w:rPr>
              <w:t>Y＜500</w:t>
            </w:r>
          </w:p>
        </w:tc>
      </w:tr>
      <w:tr w14:paraId="09C09724">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6603FB1F">
            <w:pPr>
              <w:pStyle w:val="22"/>
              <w:spacing w:after="150" w:line="360" w:lineRule="auto"/>
              <w:ind w:firstLine="420"/>
              <w:jc w:val="center"/>
              <w:rPr>
                <w:sz w:val="21"/>
                <w:szCs w:val="21"/>
              </w:rPr>
            </w:pPr>
            <w:r>
              <w:rPr>
                <w:rStyle w:val="26"/>
                <w:rFonts w:hint="eastAsia" w:cs="仿宋"/>
                <w:sz w:val="21"/>
                <w:szCs w:val="21"/>
              </w:rPr>
              <w:t>租赁和商务服务业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F6501C2">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75095F4">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C6323CF">
            <w:pPr>
              <w:pStyle w:val="22"/>
              <w:spacing w:after="150" w:line="360" w:lineRule="auto"/>
              <w:ind w:firstLine="420"/>
              <w:rPr>
                <w:sz w:val="21"/>
                <w:szCs w:val="21"/>
              </w:rPr>
            </w:pPr>
            <w:r>
              <w:rPr>
                <w:rStyle w:val="26"/>
                <w:rFonts w:hint="eastAsia" w:cs="仿宋"/>
                <w:sz w:val="21"/>
                <w:szCs w:val="21"/>
              </w:rPr>
              <w:t>100≤X＜300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BA40118">
            <w:pPr>
              <w:pStyle w:val="22"/>
              <w:spacing w:after="150" w:line="360" w:lineRule="auto"/>
              <w:jc w:val="center"/>
              <w:rPr>
                <w:sz w:val="21"/>
                <w:szCs w:val="21"/>
              </w:rPr>
            </w:pPr>
            <w:r>
              <w:rPr>
                <w:rStyle w:val="26"/>
                <w:rFonts w:hint="eastAsia" w:cs="仿宋"/>
                <w:sz w:val="21"/>
                <w:szCs w:val="21"/>
              </w:rPr>
              <w:t>10≤X＜100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DDBC134">
            <w:pPr>
              <w:pStyle w:val="22"/>
              <w:spacing w:after="150" w:line="360" w:lineRule="auto"/>
              <w:ind w:firstLine="420"/>
              <w:rPr>
                <w:sz w:val="21"/>
                <w:szCs w:val="21"/>
              </w:rPr>
            </w:pPr>
            <w:r>
              <w:rPr>
                <w:rStyle w:val="26"/>
                <w:rFonts w:hint="eastAsia" w:cs="仿宋"/>
                <w:sz w:val="21"/>
                <w:szCs w:val="21"/>
              </w:rPr>
              <w:t>X＜10</w:t>
            </w:r>
          </w:p>
        </w:tc>
      </w:tr>
      <w:tr w14:paraId="1C062853">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vMerge w:val="continue"/>
            <w:tcBorders>
              <w:top w:val="nil"/>
              <w:left w:val="single" w:color="auto" w:sz="6" w:space="0"/>
              <w:bottom w:val="single" w:color="999999" w:sz="6" w:space="0"/>
              <w:right w:val="single" w:color="999999" w:sz="6" w:space="0"/>
            </w:tcBorders>
            <w:noWrap w:val="0"/>
            <w:vAlign w:val="center"/>
          </w:tcPr>
          <w:p w14:paraId="170541DA">
            <w:pPr>
              <w:widowControl/>
              <w:jc w:val="left"/>
              <w:rPr>
                <w:rFonts w:ascii="宋体" w:hAnsi="宋体"/>
              </w:rPr>
            </w:pP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BE97DAA">
            <w:pPr>
              <w:pStyle w:val="22"/>
              <w:spacing w:after="150" w:line="360" w:lineRule="auto"/>
              <w:ind w:firstLine="420"/>
              <w:rPr>
                <w:sz w:val="21"/>
                <w:szCs w:val="21"/>
              </w:rPr>
            </w:pPr>
            <w:r>
              <w:rPr>
                <w:rStyle w:val="26"/>
                <w:rFonts w:hint="eastAsia" w:cs="仿宋"/>
                <w:sz w:val="21"/>
                <w:szCs w:val="21"/>
              </w:rPr>
              <w:t>资产总额（Z）</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EDA2188">
            <w:pPr>
              <w:pStyle w:val="22"/>
              <w:spacing w:after="150" w:line="360" w:lineRule="auto"/>
              <w:ind w:firstLine="420"/>
              <w:rPr>
                <w:sz w:val="21"/>
                <w:szCs w:val="21"/>
              </w:rPr>
            </w:pPr>
            <w:r>
              <w:rPr>
                <w:rStyle w:val="26"/>
                <w:rFonts w:hint="eastAsia" w:cs="仿宋"/>
                <w:sz w:val="21"/>
                <w:szCs w:val="21"/>
              </w:rPr>
              <w:t>万万元</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AA3574A">
            <w:pPr>
              <w:pStyle w:val="22"/>
              <w:spacing w:after="150" w:line="360" w:lineRule="auto"/>
              <w:ind w:firstLine="420"/>
              <w:rPr>
                <w:sz w:val="21"/>
                <w:szCs w:val="21"/>
              </w:rPr>
            </w:pPr>
            <w:r>
              <w:rPr>
                <w:rStyle w:val="26"/>
                <w:rFonts w:hint="eastAsia" w:cs="仿宋"/>
                <w:sz w:val="21"/>
                <w:szCs w:val="21"/>
              </w:rPr>
              <w:t>8000≤Z＜120000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87E6DAA">
            <w:pPr>
              <w:pStyle w:val="22"/>
              <w:spacing w:after="150" w:line="360" w:lineRule="auto"/>
              <w:jc w:val="center"/>
              <w:rPr>
                <w:sz w:val="21"/>
                <w:szCs w:val="21"/>
              </w:rPr>
            </w:pPr>
            <w:r>
              <w:rPr>
                <w:rStyle w:val="26"/>
                <w:rFonts w:hint="eastAsia" w:cs="仿宋"/>
                <w:sz w:val="21"/>
                <w:szCs w:val="21"/>
              </w:rPr>
              <w:t>100≤Z＜8000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58743A7">
            <w:pPr>
              <w:pStyle w:val="22"/>
              <w:spacing w:after="150" w:line="360" w:lineRule="auto"/>
              <w:ind w:firstLine="420"/>
              <w:rPr>
                <w:sz w:val="21"/>
                <w:szCs w:val="21"/>
              </w:rPr>
            </w:pPr>
            <w:r>
              <w:rPr>
                <w:rStyle w:val="26"/>
                <w:rFonts w:hint="eastAsia" w:cs="仿宋"/>
                <w:sz w:val="21"/>
                <w:szCs w:val="21"/>
              </w:rPr>
              <w:t>Y＜100</w:t>
            </w:r>
          </w:p>
        </w:tc>
      </w:tr>
      <w:tr w14:paraId="210571D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blCellSpacing w:w="15" w:type="dxa"/>
        </w:trPr>
        <w:tc>
          <w:tcPr>
            <w:tcW w:w="1401" w:type="dxa"/>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7B3C34D2">
            <w:pPr>
              <w:pStyle w:val="22"/>
              <w:spacing w:after="150" w:line="360" w:lineRule="auto"/>
              <w:ind w:firstLine="420"/>
              <w:jc w:val="center"/>
              <w:rPr>
                <w:sz w:val="21"/>
                <w:szCs w:val="21"/>
              </w:rPr>
            </w:pPr>
            <w:r>
              <w:rPr>
                <w:rStyle w:val="26"/>
                <w:rFonts w:hint="eastAsia" w:cs="仿宋"/>
                <w:sz w:val="21"/>
                <w:szCs w:val="21"/>
              </w:rPr>
              <w:t>其他未列明行业</w:t>
            </w:r>
          </w:p>
        </w:tc>
        <w:tc>
          <w:tcPr>
            <w:tcW w:w="170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384E74">
            <w:pPr>
              <w:pStyle w:val="22"/>
              <w:spacing w:after="150" w:line="360" w:lineRule="auto"/>
              <w:ind w:firstLine="420"/>
              <w:rPr>
                <w:sz w:val="21"/>
                <w:szCs w:val="21"/>
              </w:rPr>
            </w:pPr>
            <w:r>
              <w:rPr>
                <w:rStyle w:val="26"/>
                <w:rFonts w:hint="eastAsia" w:cs="仿宋"/>
                <w:sz w:val="21"/>
                <w:szCs w:val="21"/>
              </w:rPr>
              <w:t>从业人员（X）</w:t>
            </w:r>
          </w:p>
        </w:tc>
        <w:tc>
          <w:tcPr>
            <w:tcW w:w="47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D367170">
            <w:pPr>
              <w:pStyle w:val="22"/>
              <w:spacing w:after="150" w:line="360" w:lineRule="auto"/>
              <w:ind w:firstLine="420"/>
              <w:rPr>
                <w:sz w:val="21"/>
                <w:szCs w:val="21"/>
              </w:rPr>
            </w:pPr>
            <w:r>
              <w:rPr>
                <w:rStyle w:val="26"/>
                <w:rFonts w:hint="eastAsia" w:cs="仿宋"/>
                <w:sz w:val="21"/>
                <w:szCs w:val="21"/>
              </w:rPr>
              <w:t>人</w:t>
            </w:r>
          </w:p>
        </w:tc>
        <w:tc>
          <w:tcPr>
            <w:tcW w:w="205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A40CE94">
            <w:pPr>
              <w:pStyle w:val="22"/>
              <w:spacing w:after="150" w:line="360" w:lineRule="auto"/>
              <w:ind w:firstLine="420"/>
              <w:rPr>
                <w:sz w:val="21"/>
                <w:szCs w:val="21"/>
              </w:rPr>
            </w:pPr>
            <w:r>
              <w:rPr>
                <w:rStyle w:val="26"/>
                <w:rFonts w:hint="eastAsia" w:cs="仿宋"/>
                <w:sz w:val="21"/>
                <w:szCs w:val="21"/>
              </w:rPr>
              <w:t>100≤X＜300</w:t>
            </w:r>
          </w:p>
        </w:tc>
        <w:tc>
          <w:tcPr>
            <w:tcW w:w="16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8B2A0D1">
            <w:pPr>
              <w:pStyle w:val="22"/>
              <w:spacing w:after="150" w:line="360" w:lineRule="auto"/>
              <w:jc w:val="center"/>
              <w:rPr>
                <w:sz w:val="21"/>
                <w:szCs w:val="21"/>
              </w:rPr>
            </w:pPr>
            <w:r>
              <w:rPr>
                <w:rStyle w:val="26"/>
                <w:rFonts w:hint="eastAsia" w:cs="仿宋"/>
                <w:sz w:val="21"/>
                <w:szCs w:val="21"/>
              </w:rPr>
              <w:t>10≤X＜100</w:t>
            </w:r>
          </w:p>
        </w:tc>
        <w:tc>
          <w:tcPr>
            <w:tcW w:w="1455"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E6E2AD7">
            <w:pPr>
              <w:pStyle w:val="22"/>
              <w:spacing w:after="150" w:line="360" w:lineRule="auto"/>
              <w:ind w:firstLine="420"/>
              <w:rPr>
                <w:sz w:val="21"/>
                <w:szCs w:val="21"/>
              </w:rPr>
            </w:pPr>
            <w:r>
              <w:rPr>
                <w:rStyle w:val="26"/>
                <w:rFonts w:hint="eastAsia" w:cs="仿宋"/>
                <w:sz w:val="21"/>
                <w:szCs w:val="21"/>
              </w:rPr>
              <w:t>X＜10</w:t>
            </w:r>
          </w:p>
        </w:tc>
      </w:tr>
    </w:tbl>
    <w:p w14:paraId="496C778D">
      <w:pPr>
        <w:pStyle w:val="22"/>
        <w:spacing w:before="300" w:after="452" w:line="360" w:lineRule="auto"/>
        <w:ind w:firstLine="810"/>
        <w:rPr>
          <w:rStyle w:val="26"/>
          <w:rFonts w:cs="仿宋"/>
          <w:sz w:val="21"/>
          <w:szCs w:val="21"/>
        </w:rPr>
      </w:pPr>
      <w:r>
        <w:rPr>
          <w:rStyle w:val="26"/>
          <w:rFonts w:hint="eastAsia" w:cs="仿宋"/>
          <w:sz w:val="2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7047540E">
      <w:pPr>
        <w:pStyle w:val="22"/>
        <w:spacing w:before="300" w:after="452" w:line="360" w:lineRule="auto"/>
        <w:ind w:firstLine="810"/>
        <w:rPr>
          <w:rStyle w:val="26"/>
          <w:rFonts w:cs="仿宋"/>
          <w:sz w:val="21"/>
          <w:szCs w:val="21"/>
        </w:rPr>
      </w:pPr>
    </w:p>
    <w:p w14:paraId="09297C16">
      <w:pPr>
        <w:pStyle w:val="22"/>
        <w:spacing w:before="300" w:after="452" w:line="360" w:lineRule="auto"/>
        <w:ind w:firstLine="810"/>
        <w:rPr>
          <w:rStyle w:val="26"/>
          <w:rFonts w:cs="仿宋"/>
          <w:sz w:val="21"/>
          <w:szCs w:val="21"/>
        </w:rPr>
      </w:pPr>
    </w:p>
    <w:p w14:paraId="511C1D27">
      <w:pPr>
        <w:pStyle w:val="22"/>
        <w:spacing w:before="300" w:after="452" w:line="360" w:lineRule="auto"/>
        <w:ind w:firstLine="810"/>
        <w:rPr>
          <w:rStyle w:val="26"/>
          <w:rFonts w:cs="仿宋"/>
          <w:sz w:val="21"/>
          <w:szCs w:val="21"/>
        </w:rPr>
      </w:pPr>
    </w:p>
    <w:p w14:paraId="6A9E7C20">
      <w:pPr>
        <w:pStyle w:val="22"/>
        <w:spacing w:before="300" w:after="452" w:line="360" w:lineRule="auto"/>
        <w:ind w:firstLine="810"/>
        <w:rPr>
          <w:rStyle w:val="26"/>
          <w:rFonts w:cs="仿宋"/>
          <w:sz w:val="21"/>
          <w:szCs w:val="21"/>
        </w:rPr>
      </w:pPr>
    </w:p>
    <w:p w14:paraId="508D9E0A">
      <w:pPr>
        <w:pStyle w:val="22"/>
        <w:spacing w:before="300" w:after="452" w:line="360" w:lineRule="auto"/>
        <w:ind w:firstLine="810"/>
        <w:rPr>
          <w:rStyle w:val="26"/>
          <w:rFonts w:cs="仿宋"/>
          <w:sz w:val="21"/>
          <w:szCs w:val="21"/>
        </w:rPr>
      </w:pPr>
    </w:p>
    <w:p w14:paraId="76095217">
      <w:pPr>
        <w:spacing w:line="360" w:lineRule="auto"/>
        <w:jc w:val="center"/>
        <w:rPr>
          <w:rFonts w:ascii="宋体" w:hAnsi="宋体"/>
          <w:b/>
          <w:bCs/>
        </w:rPr>
      </w:pPr>
    </w:p>
    <w:p w14:paraId="1A47A15C"/>
    <w:p w14:paraId="46186D51">
      <w:pPr>
        <w:rPr>
          <w:rFonts w:hint="eastAsia" w:ascii="宋体" w:hAnsi="宋体"/>
          <w:b/>
          <w:bCs/>
        </w:rPr>
      </w:pPr>
      <w:r>
        <w:rPr>
          <w:rFonts w:hint="eastAsia" w:ascii="宋体" w:hAnsi="宋体"/>
          <w:b/>
          <w:bCs/>
        </w:rPr>
        <w:br w:type="page"/>
      </w:r>
    </w:p>
    <w:p w14:paraId="343F003A">
      <w:pPr>
        <w:spacing w:line="360" w:lineRule="auto"/>
        <w:jc w:val="center"/>
        <w:rPr>
          <w:rFonts w:ascii="宋体" w:hAnsi="宋体"/>
          <w:b/>
          <w:bCs/>
        </w:rPr>
      </w:pPr>
      <w:r>
        <w:rPr>
          <w:rFonts w:hint="eastAsia" w:ascii="宋体" w:hAnsi="宋体"/>
          <w:b/>
          <w:bCs/>
        </w:rPr>
        <w:t>残疾人福利性单位声明函</w:t>
      </w:r>
    </w:p>
    <w:p w14:paraId="37EF9B94">
      <w:pPr>
        <w:spacing w:line="588" w:lineRule="exact"/>
        <w:ind w:firstLine="624"/>
        <w:rPr>
          <w:rFonts w:ascii="仿宋_GB2312" w:eastAsia="仿宋_GB2312"/>
          <w:spacing w:val="6"/>
          <w:sz w:val="30"/>
          <w:szCs w:val="30"/>
        </w:rPr>
      </w:pPr>
    </w:p>
    <w:p w14:paraId="6821C61B">
      <w:pPr>
        <w:spacing w:line="588" w:lineRule="exact"/>
        <w:ind w:firstLine="420"/>
        <w:rPr>
          <w:rFonts w:ascii="宋体" w:hAnsi="宋体"/>
        </w:rPr>
      </w:pPr>
      <w:r>
        <w:rPr>
          <w:rFonts w:hint="eastAsia" w:ascii="宋体" w:hAnsi="宋体"/>
        </w:rPr>
        <w:t>本单位郑重声明，根据《财政部 民政部 中国残疾人联合会关于促进残疾人就业政府采购政策的通知》（财库〔2017〕 141号）的规定，本单位为符合条件的残疾人福利性单位，且本单位参加______单位的采购文件编号为______的项目采购活动提供本单位制造的产品或服务（由本单位承担工程/提供服务），或者提供其他残疾人福利性单位制造的产品或服务（不包括使用非残疾人福利性单位注册商标的产品或服务）。</w:t>
      </w:r>
    </w:p>
    <w:p w14:paraId="223E330A">
      <w:pPr>
        <w:spacing w:line="588" w:lineRule="exact"/>
        <w:ind w:firstLine="420"/>
        <w:rPr>
          <w:rFonts w:ascii="宋体" w:hAnsi="宋体"/>
        </w:rPr>
      </w:pPr>
      <w:r>
        <w:rPr>
          <w:rFonts w:hint="eastAsia" w:ascii="宋体" w:hAnsi="宋体"/>
        </w:rPr>
        <w:t>本单位在本次政府采购活动中提供的残疾人福利单位产品报价合计为人民币（大写）圆整（￥：）。</w:t>
      </w:r>
    </w:p>
    <w:p w14:paraId="12923379">
      <w:pPr>
        <w:spacing w:line="588" w:lineRule="exact"/>
        <w:ind w:firstLine="420"/>
        <w:rPr>
          <w:rFonts w:ascii="宋体" w:hAnsi="宋体"/>
        </w:rPr>
      </w:pPr>
      <w:r>
        <w:rPr>
          <w:rFonts w:hint="eastAsia" w:ascii="宋体" w:hAnsi="宋体"/>
        </w:rPr>
        <w:t>本单位对上述声明的真实性负责。如有虚假，将依法承担相应责任。</w:t>
      </w:r>
    </w:p>
    <w:p w14:paraId="625AC5D1">
      <w:pPr>
        <w:spacing w:line="588" w:lineRule="exact"/>
        <w:ind w:firstLine="420"/>
        <w:rPr>
          <w:rFonts w:ascii="宋体" w:hAnsi="宋体"/>
        </w:rPr>
      </w:pPr>
    </w:p>
    <w:p w14:paraId="0C5160A2">
      <w:pPr>
        <w:spacing w:line="588" w:lineRule="exact"/>
        <w:ind w:firstLine="420"/>
        <w:rPr>
          <w:rFonts w:ascii="宋体" w:hAnsi="宋体"/>
        </w:rPr>
      </w:pPr>
      <w:r>
        <w:rPr>
          <w:rFonts w:hint="eastAsia" w:ascii="宋体" w:hAnsi="宋体"/>
        </w:rPr>
        <w:t>（备注：1、供应商如不提供此声明函，价格将不做相应扣除。2、中标供应商为残疾人福利单位的，此声明函将随中标结果同时公告，接受社会监督）</w:t>
      </w:r>
    </w:p>
    <w:p w14:paraId="546AB5DC">
      <w:pPr>
        <w:spacing w:line="588" w:lineRule="exact"/>
        <w:ind w:firstLine="444"/>
        <w:rPr>
          <w:rFonts w:ascii="仿宋_GB2312" w:eastAsia="仿宋_GB2312"/>
          <w:spacing w:val="6"/>
        </w:rPr>
      </w:pPr>
    </w:p>
    <w:p w14:paraId="501E08FB">
      <w:pPr>
        <w:tabs>
          <w:tab w:val="left" w:pos="4860"/>
        </w:tabs>
        <w:spacing w:line="588" w:lineRule="exact"/>
        <w:ind w:right="1560" w:firstLine="420"/>
        <w:jc w:val="center"/>
        <w:rPr>
          <w:rFonts w:ascii="宋体" w:hAnsi="宋体"/>
        </w:rPr>
      </w:pPr>
      <w:r>
        <w:rPr>
          <w:rFonts w:hint="eastAsia" w:ascii="宋体" w:hAnsi="宋体"/>
        </w:rPr>
        <w:t xml:space="preserve">                  供应商全称（盖章）：</w:t>
      </w:r>
    </w:p>
    <w:p w14:paraId="61C324B0">
      <w:pPr>
        <w:tabs>
          <w:tab w:val="left" w:pos="4860"/>
        </w:tabs>
        <w:spacing w:line="588" w:lineRule="exact"/>
        <w:ind w:right="1560" w:firstLine="420"/>
        <w:jc w:val="center"/>
        <w:rPr>
          <w:rFonts w:ascii="宋体" w:hAnsi="宋体"/>
        </w:rPr>
      </w:pPr>
      <w:r>
        <w:rPr>
          <w:rFonts w:hint="eastAsia" w:ascii="宋体" w:hAnsi="宋体"/>
        </w:rPr>
        <w:t xml:space="preserve">                              日  期：</w:t>
      </w:r>
    </w:p>
    <w:p w14:paraId="3AE4B21B">
      <w:pPr>
        <w:pStyle w:val="46"/>
        <w:spacing w:line="360" w:lineRule="auto"/>
        <w:ind w:firstLine="420"/>
        <w:rPr>
          <w:rFonts w:hint="eastAsia" w:ascii="宋体" w:hAnsi="宋体"/>
          <w:sz w:val="21"/>
          <w:szCs w:val="21"/>
        </w:rPr>
      </w:pPr>
    </w:p>
    <w:p w14:paraId="30A22CDA">
      <w:pPr>
        <w:rPr>
          <w:rFonts w:hint="eastAsia"/>
        </w:rPr>
      </w:pPr>
      <w:r>
        <w:rPr>
          <w:rFonts w:hint="eastAsia"/>
        </w:rPr>
        <w:br w:type="page"/>
      </w:r>
    </w:p>
    <w:p w14:paraId="6C3171B4">
      <w:pPr>
        <w:numPr>
          <w:ilvl w:val="0"/>
          <w:numId w:val="2"/>
        </w:numPr>
        <w:jc w:val="center"/>
        <w:rPr>
          <w:rFonts w:ascii="宋体" w:hAnsi="宋体"/>
          <w:b/>
          <w:sz w:val="32"/>
          <w:szCs w:val="32"/>
        </w:rPr>
      </w:pPr>
      <w:r>
        <w:rPr>
          <w:rFonts w:hint="eastAsia" w:ascii="宋体" w:hAnsi="宋体"/>
          <w:b/>
          <w:sz w:val="32"/>
          <w:szCs w:val="32"/>
        </w:rPr>
        <w:t>符合性审查响应对照表</w:t>
      </w:r>
    </w:p>
    <w:p w14:paraId="076C7A75">
      <w:pPr>
        <w:rPr>
          <w:rFonts w:ascii="宋体" w:hAnsi="宋体"/>
          <w:b/>
          <w:sz w:val="32"/>
          <w:szCs w:val="32"/>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308"/>
      </w:tblGrid>
      <w:tr w14:paraId="0D0E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5BB1398D">
            <w:pPr>
              <w:spacing w:line="240" w:lineRule="atLeast"/>
              <w:jc w:val="center"/>
              <w:rPr>
                <w:rFonts w:ascii="幼圆" w:eastAsia="幼圆"/>
                <w:b/>
              </w:rPr>
            </w:pPr>
            <w:r>
              <w:rPr>
                <w:rFonts w:hint="eastAsia" w:ascii="宋体" w:hAnsi="宋体" w:cs="宋体"/>
                <w:b/>
              </w:rPr>
              <w:t>序号</w:t>
            </w:r>
          </w:p>
        </w:tc>
        <w:tc>
          <w:tcPr>
            <w:tcW w:w="5447" w:type="dxa"/>
            <w:noWrap w:val="0"/>
            <w:vAlign w:val="center"/>
          </w:tcPr>
          <w:p w14:paraId="5AA0DB06">
            <w:pPr>
              <w:spacing w:line="240" w:lineRule="atLeast"/>
              <w:jc w:val="center"/>
              <w:rPr>
                <w:rFonts w:ascii="幼圆" w:eastAsia="幼圆"/>
                <w:b/>
              </w:rPr>
            </w:pPr>
            <w:r>
              <w:rPr>
                <w:rFonts w:hint="eastAsia" w:ascii="宋体" w:hAnsi="宋体" w:cs="宋体"/>
                <w:b/>
              </w:rPr>
              <w:t>符合性审查响应内容</w:t>
            </w:r>
          </w:p>
        </w:tc>
        <w:tc>
          <w:tcPr>
            <w:tcW w:w="1680" w:type="dxa"/>
            <w:noWrap w:val="0"/>
            <w:vAlign w:val="center"/>
          </w:tcPr>
          <w:p w14:paraId="648CCD28">
            <w:pPr>
              <w:spacing w:line="240" w:lineRule="atLeast"/>
              <w:jc w:val="center"/>
              <w:rPr>
                <w:rFonts w:ascii="宋体" w:hAnsi="宋体" w:cs="宋体"/>
                <w:b/>
              </w:rPr>
            </w:pPr>
            <w:r>
              <w:rPr>
                <w:rFonts w:hint="eastAsia" w:ascii="宋体" w:hAnsi="宋体" w:cs="宋体"/>
                <w:b/>
              </w:rPr>
              <w:t>是否响应</w:t>
            </w:r>
          </w:p>
          <w:p w14:paraId="438AF86F">
            <w:pPr>
              <w:spacing w:line="240" w:lineRule="atLeast"/>
              <w:jc w:val="center"/>
              <w:rPr>
                <w:rFonts w:ascii="幼圆" w:eastAsia="幼圆"/>
                <w:b/>
              </w:rPr>
            </w:pPr>
            <w:r>
              <w:rPr>
                <w:rFonts w:hint="eastAsia" w:ascii="宋体" w:hAnsi="宋体" w:cs="宋体"/>
                <w:b/>
              </w:rPr>
              <w:t>（填是或者否）</w:t>
            </w:r>
          </w:p>
        </w:tc>
        <w:tc>
          <w:tcPr>
            <w:tcW w:w="1308" w:type="dxa"/>
            <w:noWrap w:val="0"/>
            <w:vAlign w:val="center"/>
          </w:tcPr>
          <w:p w14:paraId="5BD7982D">
            <w:pPr>
              <w:spacing w:line="240" w:lineRule="atLeast"/>
              <w:jc w:val="center"/>
              <w:rPr>
                <w:rFonts w:ascii="幼圆" w:eastAsia="幼圆"/>
                <w:b/>
              </w:rPr>
            </w:pPr>
            <w:r>
              <w:rPr>
                <w:rFonts w:hint="eastAsia" w:ascii="宋体" w:hAnsi="宋体" w:cs="宋体"/>
                <w:b/>
              </w:rPr>
              <w:t>响应情况</w:t>
            </w:r>
          </w:p>
        </w:tc>
      </w:tr>
      <w:tr w14:paraId="1361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14:paraId="47136186">
            <w:pPr>
              <w:jc w:val="center"/>
              <w:rPr>
                <w:rFonts w:ascii="宋体" w:hAnsi="宋体"/>
                <w:b/>
              </w:rPr>
            </w:pPr>
            <w:r>
              <w:rPr>
                <w:rFonts w:hint="eastAsia" w:ascii="宋体" w:hAnsi="宋体"/>
                <w:bCs/>
              </w:rPr>
              <w:t>1</w:t>
            </w:r>
          </w:p>
        </w:tc>
        <w:tc>
          <w:tcPr>
            <w:tcW w:w="5447" w:type="dxa"/>
            <w:noWrap w:val="0"/>
            <w:vAlign w:val="center"/>
          </w:tcPr>
          <w:p w14:paraId="0740BF26">
            <w:pPr>
              <w:spacing w:line="0" w:lineRule="atLeast"/>
              <w:rPr>
                <w:rFonts w:ascii="宋体" w:hAnsi="宋体"/>
                <w:iCs/>
              </w:rPr>
            </w:pPr>
            <w:r>
              <w:rPr>
                <w:rFonts w:hint="eastAsia" w:ascii="宋体" w:hAnsi="宋体"/>
                <w:iCs/>
              </w:rPr>
              <w:t>采购需求中必须满足的实质性要求（即加斜体下划线内容，每条详细列出）</w:t>
            </w:r>
          </w:p>
        </w:tc>
        <w:tc>
          <w:tcPr>
            <w:tcW w:w="1680" w:type="dxa"/>
            <w:noWrap w:val="0"/>
            <w:vAlign w:val="center"/>
          </w:tcPr>
          <w:p w14:paraId="2A0C878B">
            <w:pPr>
              <w:rPr>
                <w:rFonts w:ascii="宋体" w:hAnsi="宋体"/>
                <w:b/>
              </w:rPr>
            </w:pPr>
          </w:p>
        </w:tc>
        <w:tc>
          <w:tcPr>
            <w:tcW w:w="1308" w:type="dxa"/>
            <w:noWrap w:val="0"/>
            <w:vAlign w:val="center"/>
          </w:tcPr>
          <w:p w14:paraId="6E04CED2">
            <w:pPr>
              <w:rPr>
                <w:rFonts w:ascii="宋体" w:hAnsi="宋体"/>
                <w:b/>
              </w:rPr>
            </w:pPr>
          </w:p>
        </w:tc>
      </w:tr>
      <w:tr w14:paraId="1B3E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14:paraId="05D02E0A">
            <w:pPr>
              <w:jc w:val="center"/>
              <w:rPr>
                <w:rFonts w:ascii="宋体" w:hAnsi="宋体"/>
              </w:rPr>
            </w:pPr>
            <w:r>
              <w:rPr>
                <w:rFonts w:hint="eastAsia" w:ascii="宋体" w:hAnsi="宋体"/>
              </w:rPr>
              <w:t>2</w:t>
            </w:r>
          </w:p>
        </w:tc>
        <w:tc>
          <w:tcPr>
            <w:tcW w:w="5447" w:type="dxa"/>
            <w:noWrap w:val="0"/>
            <w:vAlign w:val="center"/>
          </w:tcPr>
          <w:p w14:paraId="2C2C0B68">
            <w:pPr>
              <w:spacing w:line="0" w:lineRule="atLeast"/>
              <w:rPr>
                <w:rFonts w:ascii="宋体" w:hAnsi="宋体"/>
                <w:iCs/>
              </w:rPr>
            </w:pPr>
          </w:p>
        </w:tc>
        <w:tc>
          <w:tcPr>
            <w:tcW w:w="1680" w:type="dxa"/>
            <w:noWrap w:val="0"/>
            <w:vAlign w:val="center"/>
          </w:tcPr>
          <w:p w14:paraId="5B6733A2">
            <w:pPr>
              <w:rPr>
                <w:rFonts w:ascii="宋体" w:hAnsi="宋体"/>
              </w:rPr>
            </w:pPr>
          </w:p>
        </w:tc>
        <w:tc>
          <w:tcPr>
            <w:tcW w:w="1308" w:type="dxa"/>
            <w:noWrap w:val="0"/>
            <w:vAlign w:val="center"/>
          </w:tcPr>
          <w:p w14:paraId="6900929E">
            <w:pPr>
              <w:rPr>
                <w:rFonts w:ascii="宋体" w:hAnsi="宋体"/>
              </w:rPr>
            </w:pPr>
          </w:p>
        </w:tc>
      </w:tr>
      <w:tr w14:paraId="35D1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14:paraId="7472E8F6">
            <w:pPr>
              <w:jc w:val="center"/>
              <w:rPr>
                <w:rFonts w:ascii="宋体" w:hAnsi="宋体"/>
              </w:rPr>
            </w:pPr>
            <w:r>
              <w:rPr>
                <w:rFonts w:hint="eastAsia" w:ascii="宋体" w:hAnsi="宋体"/>
              </w:rPr>
              <w:t>3</w:t>
            </w:r>
          </w:p>
        </w:tc>
        <w:tc>
          <w:tcPr>
            <w:tcW w:w="5447" w:type="dxa"/>
            <w:noWrap w:val="0"/>
            <w:vAlign w:val="center"/>
          </w:tcPr>
          <w:p w14:paraId="33DDB303">
            <w:pPr>
              <w:spacing w:line="0" w:lineRule="atLeast"/>
              <w:rPr>
                <w:rFonts w:ascii="宋体" w:hAnsi="宋体"/>
                <w:iCs/>
              </w:rPr>
            </w:pPr>
          </w:p>
        </w:tc>
        <w:tc>
          <w:tcPr>
            <w:tcW w:w="1680" w:type="dxa"/>
            <w:noWrap w:val="0"/>
            <w:vAlign w:val="center"/>
          </w:tcPr>
          <w:p w14:paraId="2782DFAC">
            <w:pPr>
              <w:rPr>
                <w:rFonts w:ascii="宋体" w:hAnsi="宋体"/>
              </w:rPr>
            </w:pPr>
          </w:p>
        </w:tc>
        <w:tc>
          <w:tcPr>
            <w:tcW w:w="1308" w:type="dxa"/>
            <w:noWrap w:val="0"/>
            <w:vAlign w:val="center"/>
          </w:tcPr>
          <w:p w14:paraId="69702F87">
            <w:pPr>
              <w:rPr>
                <w:rFonts w:ascii="宋体" w:hAnsi="宋体"/>
              </w:rPr>
            </w:pPr>
          </w:p>
        </w:tc>
      </w:tr>
      <w:tr w14:paraId="7E25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6" w:type="dxa"/>
            <w:noWrap w:val="0"/>
            <w:vAlign w:val="center"/>
          </w:tcPr>
          <w:p w14:paraId="03938152">
            <w:pPr>
              <w:jc w:val="center"/>
              <w:rPr>
                <w:rFonts w:ascii="宋体" w:hAnsi="宋体"/>
              </w:rPr>
            </w:pPr>
            <w:r>
              <w:rPr>
                <w:rFonts w:hint="eastAsia" w:ascii="宋体" w:hAnsi="宋体"/>
              </w:rPr>
              <w:t>4</w:t>
            </w:r>
          </w:p>
        </w:tc>
        <w:tc>
          <w:tcPr>
            <w:tcW w:w="5447" w:type="dxa"/>
            <w:noWrap w:val="0"/>
            <w:vAlign w:val="center"/>
          </w:tcPr>
          <w:p w14:paraId="4B316A8E">
            <w:pPr>
              <w:spacing w:line="0" w:lineRule="atLeast"/>
              <w:rPr>
                <w:rFonts w:ascii="宋体" w:hAnsi="宋体"/>
                <w:iCs/>
              </w:rPr>
            </w:pPr>
          </w:p>
        </w:tc>
        <w:tc>
          <w:tcPr>
            <w:tcW w:w="1680" w:type="dxa"/>
            <w:noWrap w:val="0"/>
            <w:vAlign w:val="center"/>
          </w:tcPr>
          <w:p w14:paraId="02B47F4E">
            <w:pPr>
              <w:rPr>
                <w:rFonts w:ascii="宋体" w:hAnsi="宋体"/>
              </w:rPr>
            </w:pPr>
          </w:p>
        </w:tc>
        <w:tc>
          <w:tcPr>
            <w:tcW w:w="1308" w:type="dxa"/>
            <w:noWrap w:val="0"/>
            <w:vAlign w:val="center"/>
          </w:tcPr>
          <w:p w14:paraId="16934751">
            <w:pPr>
              <w:rPr>
                <w:rFonts w:ascii="宋体" w:hAnsi="宋体"/>
              </w:rPr>
            </w:pPr>
          </w:p>
        </w:tc>
      </w:tr>
      <w:tr w14:paraId="457E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val="0"/>
            <w:vAlign w:val="center"/>
          </w:tcPr>
          <w:p w14:paraId="737B5572">
            <w:pPr>
              <w:jc w:val="center"/>
              <w:rPr>
                <w:rFonts w:ascii="宋体" w:hAnsi="宋体"/>
              </w:rPr>
            </w:pPr>
            <w:r>
              <w:rPr>
                <w:rFonts w:hint="eastAsia" w:ascii="宋体" w:hAnsi="宋体"/>
              </w:rPr>
              <w:t>5</w:t>
            </w:r>
          </w:p>
        </w:tc>
        <w:tc>
          <w:tcPr>
            <w:tcW w:w="5447" w:type="dxa"/>
            <w:noWrap w:val="0"/>
            <w:vAlign w:val="center"/>
          </w:tcPr>
          <w:p w14:paraId="0AD22CBE">
            <w:pPr>
              <w:spacing w:line="0" w:lineRule="atLeast"/>
              <w:rPr>
                <w:rFonts w:ascii="宋体" w:hAnsi="宋体"/>
                <w:iCs/>
              </w:rPr>
            </w:pPr>
            <w:r>
              <w:rPr>
                <w:rFonts w:ascii="宋体" w:hAnsi="宋体"/>
                <w:iCs/>
              </w:rPr>
              <w:t>……</w:t>
            </w:r>
          </w:p>
        </w:tc>
        <w:tc>
          <w:tcPr>
            <w:tcW w:w="1680" w:type="dxa"/>
            <w:noWrap w:val="0"/>
            <w:vAlign w:val="center"/>
          </w:tcPr>
          <w:p w14:paraId="50EF1423">
            <w:pPr>
              <w:rPr>
                <w:rFonts w:ascii="宋体" w:hAnsi="宋体"/>
              </w:rPr>
            </w:pPr>
          </w:p>
        </w:tc>
        <w:tc>
          <w:tcPr>
            <w:tcW w:w="1308" w:type="dxa"/>
            <w:noWrap w:val="0"/>
            <w:vAlign w:val="center"/>
          </w:tcPr>
          <w:p w14:paraId="2681C6B4">
            <w:pPr>
              <w:rPr>
                <w:rFonts w:ascii="宋体" w:hAnsi="宋体"/>
              </w:rPr>
            </w:pPr>
          </w:p>
        </w:tc>
      </w:tr>
    </w:tbl>
    <w:p w14:paraId="72059DB8">
      <w:pPr>
        <w:spacing w:line="600" w:lineRule="exact"/>
        <w:contextualSpacing/>
        <w:rPr>
          <w:rFonts w:ascii="宋体" w:hAnsi="宋体"/>
          <w:b/>
          <w:bCs/>
          <w:sz w:val="28"/>
          <w:szCs w:val="28"/>
        </w:rPr>
      </w:pPr>
      <w:r>
        <w:rPr>
          <w:rFonts w:hint="eastAsia" w:ascii="宋体" w:hAnsi="宋体"/>
          <w:b/>
          <w:bCs/>
          <w:sz w:val="28"/>
          <w:szCs w:val="28"/>
        </w:rPr>
        <w:t>注：符合性审查需要提供的相关证明文件在制作标书时随此表一起上传。</w:t>
      </w:r>
    </w:p>
    <w:p w14:paraId="61A1FB1E">
      <w:pPr>
        <w:pStyle w:val="2"/>
        <w:rPr>
          <w:rFonts w:hint="eastAsia"/>
        </w:rPr>
        <w:sectPr>
          <w:pgSz w:w="11906" w:h="16838"/>
          <w:pgMar w:top="1440" w:right="1800" w:bottom="1440" w:left="1800" w:header="851" w:footer="992" w:gutter="0"/>
          <w:cols w:space="720" w:num="1"/>
          <w:docGrid w:type="lines" w:linePitch="312" w:charSpace="0"/>
        </w:sectPr>
      </w:pPr>
    </w:p>
    <w:bookmarkEnd w:id="26"/>
    <w:p w14:paraId="58EF7644">
      <w:pPr>
        <w:ind w:left="778"/>
        <w:jc w:val="center"/>
        <w:rPr>
          <w:b/>
          <w:bCs/>
          <w:sz w:val="24"/>
          <w:szCs w:val="24"/>
        </w:rPr>
      </w:pPr>
    </w:p>
    <w:p w14:paraId="798F51EA">
      <w:pPr>
        <w:jc w:val="center"/>
        <w:rPr>
          <w:rFonts w:ascii="宋体" w:hAnsi="宋体"/>
          <w:b/>
          <w:sz w:val="32"/>
          <w:szCs w:val="32"/>
        </w:rPr>
      </w:pPr>
      <w:r>
        <w:rPr>
          <w:rFonts w:hint="eastAsia" w:ascii="宋体" w:hAnsi="宋体"/>
          <w:b/>
          <w:sz w:val="32"/>
          <w:szCs w:val="32"/>
        </w:rPr>
        <w:t xml:space="preserve">三、磋商报价表 </w:t>
      </w:r>
    </w:p>
    <w:p w14:paraId="54DFB1EE">
      <w:pPr>
        <w:spacing w:line="360" w:lineRule="auto"/>
        <w:ind w:firstLine="480"/>
      </w:pPr>
      <w:r>
        <w:rPr>
          <w:rFonts w:hint="eastAsia" w:ascii="宋体" w:hAnsi="宋体"/>
        </w:rPr>
        <w:t>项目名称：</w:t>
      </w:r>
    </w:p>
    <w:p w14:paraId="461AB7CC">
      <w:pPr>
        <w:spacing w:line="360" w:lineRule="auto"/>
        <w:ind w:firstLine="480"/>
        <w:rPr>
          <w:rFonts w:ascii="宋体" w:hAnsi="宋体"/>
        </w:rPr>
      </w:pPr>
      <w:r>
        <w:rPr>
          <w:rFonts w:hint="eastAsia" w:ascii="宋体" w:hAnsi="宋体"/>
        </w:rPr>
        <w:t>项目编号：</w:t>
      </w:r>
    </w:p>
    <w:p w14:paraId="54F45B62">
      <w:pPr>
        <w:spacing w:line="360" w:lineRule="auto"/>
        <w:ind w:firstLine="480"/>
        <w:rPr>
          <w:rFonts w:ascii="宋体" w:hAnsi="宋体"/>
        </w:rPr>
      </w:pPr>
      <w:r>
        <w:rPr>
          <w:rFonts w:hint="eastAsia" w:ascii="宋体" w:hAnsi="宋体"/>
        </w:rPr>
        <w:t xml:space="preserve">分包号(如有)： </w:t>
      </w:r>
    </w:p>
    <w:p w14:paraId="2274F0B2">
      <w:pPr>
        <w:ind w:firstLine="480"/>
        <w:rPr>
          <w:rFonts w:ascii="宋体" w:hAnsi="宋体"/>
        </w:rPr>
      </w:pP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6405"/>
      </w:tblGrid>
      <w:tr w14:paraId="1D48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trPr>
        <w:tc>
          <w:tcPr>
            <w:tcW w:w="2481" w:type="dxa"/>
            <w:noWrap w:val="0"/>
            <w:vAlign w:val="center"/>
          </w:tcPr>
          <w:p w14:paraId="3F12972F">
            <w:pPr>
              <w:pStyle w:val="9"/>
              <w:spacing w:line="300" w:lineRule="auto"/>
              <w:ind w:left="0" w:leftChars="0" w:firstLine="0" w:firstLineChars="0"/>
              <w:jc w:val="both"/>
              <w:rPr>
                <w:rFonts w:ascii="宋体" w:hAnsi="宋体" w:cs="宋体"/>
              </w:rPr>
            </w:pPr>
            <w:r>
              <w:rPr>
                <w:rFonts w:hint="eastAsia" w:ascii="宋体" w:hAnsi="宋体" w:cs="宋体"/>
              </w:rPr>
              <w:t>投标货物及服务名称</w:t>
            </w:r>
          </w:p>
        </w:tc>
        <w:tc>
          <w:tcPr>
            <w:tcW w:w="6405" w:type="dxa"/>
            <w:noWrap w:val="0"/>
            <w:vAlign w:val="center"/>
          </w:tcPr>
          <w:p w14:paraId="372B1670">
            <w:pPr>
              <w:jc w:val="center"/>
              <w:rPr>
                <w:rFonts w:ascii="宋体" w:hAnsi="宋体"/>
              </w:rPr>
            </w:pPr>
            <w:r>
              <w:rPr>
                <w:rFonts w:hint="eastAsia" w:ascii="宋体" w:hAnsi="宋体"/>
              </w:rPr>
              <w:t>投标报价</w:t>
            </w:r>
          </w:p>
        </w:tc>
      </w:tr>
      <w:tr w14:paraId="470C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trPr>
        <w:tc>
          <w:tcPr>
            <w:tcW w:w="2481" w:type="dxa"/>
            <w:noWrap w:val="0"/>
            <w:vAlign w:val="center"/>
          </w:tcPr>
          <w:p w14:paraId="22E7C45F">
            <w:pPr>
              <w:pStyle w:val="9"/>
              <w:spacing w:line="300" w:lineRule="auto"/>
              <w:rPr>
                <w:rFonts w:ascii="宋体" w:hAnsi="宋体" w:cs="宋体"/>
              </w:rPr>
            </w:pPr>
          </w:p>
        </w:tc>
        <w:tc>
          <w:tcPr>
            <w:tcW w:w="6405" w:type="dxa"/>
            <w:noWrap w:val="0"/>
            <w:vAlign w:val="center"/>
          </w:tcPr>
          <w:p w14:paraId="3E47F109">
            <w:pPr>
              <w:pStyle w:val="44"/>
              <w:spacing w:before="0" w:after="0" w:line="500" w:lineRule="exact"/>
              <w:ind w:firstLine="0"/>
              <w:rPr>
                <w:rFonts w:ascii="宋体" w:hAnsi="宋体"/>
                <w:sz w:val="21"/>
                <w:szCs w:val="21"/>
              </w:rPr>
            </w:pPr>
            <w:r>
              <w:rPr>
                <w:rFonts w:hint="eastAsia" w:ascii="宋体" w:hAnsi="宋体" w:cs="宋体"/>
                <w:sz w:val="21"/>
                <w:szCs w:val="21"/>
              </w:rPr>
              <w:t>小写：                             （人民币：元）</w:t>
            </w:r>
          </w:p>
        </w:tc>
      </w:tr>
    </w:tbl>
    <w:p w14:paraId="6A0F67CD">
      <w:pPr>
        <w:rPr>
          <w:rFonts w:ascii="宋体" w:hAnsi="宋体"/>
        </w:rPr>
      </w:pPr>
    </w:p>
    <w:p w14:paraId="0128A969">
      <w:pPr>
        <w:ind w:firstLine="480"/>
        <w:rPr>
          <w:rFonts w:ascii="宋体" w:hAnsi="宋体"/>
          <w:sz w:val="32"/>
          <w:szCs w:val="32"/>
        </w:rPr>
      </w:pPr>
      <w:r>
        <w:rPr>
          <w:rFonts w:hint="eastAsia" w:ascii="宋体" w:hAnsi="宋体"/>
        </w:rPr>
        <w:t xml:space="preserve">                                              日期：    年  月  日</w:t>
      </w:r>
    </w:p>
    <w:p w14:paraId="649E986C">
      <w:pPr>
        <w:pStyle w:val="5"/>
        <w:ind w:firstLine="640"/>
        <w:rPr>
          <w:rFonts w:ascii="宋体" w:hAnsi="宋体"/>
          <w:sz w:val="32"/>
          <w:szCs w:val="32"/>
        </w:rPr>
      </w:pPr>
    </w:p>
    <w:p w14:paraId="44F9BC70">
      <w:pPr>
        <w:pStyle w:val="29"/>
        <w:ind w:firstLine="420"/>
      </w:pPr>
    </w:p>
    <w:p w14:paraId="255623CD">
      <w:pPr>
        <w:spacing w:before="42"/>
        <w:ind w:right="2586"/>
        <w:jc w:val="center"/>
        <w:rPr>
          <w:b/>
          <w:sz w:val="28"/>
          <w:szCs w:val="28"/>
        </w:rPr>
      </w:pPr>
    </w:p>
    <w:p w14:paraId="74A835FA">
      <w:pPr>
        <w:spacing w:before="42"/>
        <w:ind w:right="2586"/>
        <w:jc w:val="center"/>
        <w:rPr>
          <w:b/>
          <w:sz w:val="28"/>
          <w:szCs w:val="28"/>
        </w:rPr>
      </w:pPr>
    </w:p>
    <w:p w14:paraId="742BB519">
      <w:pPr>
        <w:spacing w:before="42"/>
        <w:ind w:right="2586"/>
        <w:jc w:val="center"/>
        <w:rPr>
          <w:b/>
          <w:sz w:val="28"/>
          <w:szCs w:val="28"/>
        </w:rPr>
      </w:pPr>
    </w:p>
    <w:p w14:paraId="4BCF74E5">
      <w:pPr>
        <w:spacing w:before="42"/>
        <w:ind w:right="2586"/>
        <w:jc w:val="center"/>
        <w:rPr>
          <w:b/>
          <w:sz w:val="28"/>
          <w:szCs w:val="28"/>
        </w:rPr>
      </w:pPr>
    </w:p>
    <w:p w14:paraId="70C455EC">
      <w:pPr>
        <w:spacing w:line="360" w:lineRule="auto"/>
        <w:jc w:val="center"/>
        <w:rPr>
          <w:rFonts w:hint="eastAsia" w:ascii="宋体" w:hAnsi="宋体" w:cs="宋体"/>
          <w:b/>
          <w:sz w:val="24"/>
          <w:szCs w:val="24"/>
        </w:rPr>
      </w:pPr>
    </w:p>
    <w:p w14:paraId="37212BAE">
      <w:pPr>
        <w:spacing w:line="360" w:lineRule="auto"/>
        <w:jc w:val="center"/>
        <w:rPr>
          <w:rFonts w:hint="eastAsia" w:ascii="宋体" w:hAnsi="宋体" w:cs="宋体"/>
          <w:b/>
          <w:sz w:val="24"/>
          <w:szCs w:val="24"/>
        </w:rPr>
      </w:pPr>
    </w:p>
    <w:p w14:paraId="66090D8B">
      <w:pPr>
        <w:rPr>
          <w:rFonts w:hint="eastAsia" w:ascii="宋体" w:hAnsi="宋体" w:cs="宋体"/>
          <w:b/>
          <w:sz w:val="24"/>
          <w:szCs w:val="24"/>
        </w:rPr>
      </w:pPr>
      <w:r>
        <w:rPr>
          <w:rFonts w:hint="eastAsia" w:ascii="宋体" w:hAnsi="宋体" w:cs="宋体"/>
          <w:b/>
          <w:sz w:val="24"/>
          <w:szCs w:val="24"/>
        </w:rPr>
        <w:br w:type="page"/>
      </w:r>
    </w:p>
    <w:p w14:paraId="0E959040">
      <w:pPr>
        <w:spacing w:after="312" w:afterLines="100" w:line="360" w:lineRule="auto"/>
        <w:jc w:val="center"/>
        <w:rPr>
          <w:rFonts w:hint="eastAsia" w:ascii="宋体" w:hAnsi="宋体" w:cs="宋体"/>
          <w:b/>
          <w:sz w:val="24"/>
          <w:szCs w:val="24"/>
        </w:rPr>
      </w:pPr>
      <w:r>
        <w:rPr>
          <w:rFonts w:hint="eastAsia" w:ascii="宋体" w:hAnsi="宋体" w:cs="宋体"/>
          <w:b/>
          <w:sz w:val="24"/>
          <w:szCs w:val="24"/>
          <w:lang w:val="en-US" w:eastAsia="zh-CN"/>
        </w:rPr>
        <w:t>四</w:t>
      </w:r>
      <w:r>
        <w:rPr>
          <w:rFonts w:hint="eastAsia" w:ascii="宋体" w:hAnsi="宋体" w:cs="宋体"/>
          <w:b/>
          <w:sz w:val="24"/>
          <w:szCs w:val="24"/>
        </w:rPr>
        <w:t>、项目组人员表</w:t>
      </w:r>
    </w:p>
    <w:tbl>
      <w:tblPr>
        <w:tblStyle w:val="24"/>
        <w:tblW w:w="7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023"/>
      </w:tblGrid>
      <w:tr w14:paraId="63AF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1ACB9928">
            <w:pPr>
              <w:jc w:val="center"/>
              <w:rPr>
                <w:rFonts w:hint="eastAsia" w:ascii="宋体" w:hAnsi="宋体" w:cs="宋体"/>
              </w:rPr>
            </w:pPr>
            <w:r>
              <w:rPr>
                <w:rFonts w:hint="eastAsia" w:ascii="宋体" w:hAnsi="宋体" w:cs="宋体"/>
              </w:rPr>
              <w:t>岗位</w:t>
            </w:r>
          </w:p>
        </w:tc>
        <w:tc>
          <w:tcPr>
            <w:tcW w:w="947" w:type="dxa"/>
          </w:tcPr>
          <w:p w14:paraId="0FBF45F6">
            <w:pPr>
              <w:jc w:val="center"/>
              <w:rPr>
                <w:rFonts w:hint="eastAsia" w:ascii="宋体" w:hAnsi="宋体" w:cs="宋体"/>
              </w:rPr>
            </w:pPr>
            <w:r>
              <w:rPr>
                <w:rFonts w:hint="eastAsia" w:ascii="宋体" w:hAnsi="宋体" w:cs="宋体"/>
              </w:rPr>
              <w:t>姓名</w:t>
            </w:r>
          </w:p>
        </w:tc>
        <w:tc>
          <w:tcPr>
            <w:tcW w:w="947" w:type="dxa"/>
          </w:tcPr>
          <w:p w14:paraId="37EBAB36">
            <w:pPr>
              <w:jc w:val="center"/>
              <w:rPr>
                <w:rFonts w:hint="eastAsia" w:ascii="宋体" w:hAnsi="宋体" w:cs="宋体"/>
              </w:rPr>
            </w:pPr>
            <w:r>
              <w:rPr>
                <w:rFonts w:hint="eastAsia" w:ascii="宋体" w:hAnsi="宋体" w:cs="宋体"/>
              </w:rPr>
              <w:t>性别</w:t>
            </w:r>
          </w:p>
        </w:tc>
        <w:tc>
          <w:tcPr>
            <w:tcW w:w="947" w:type="dxa"/>
          </w:tcPr>
          <w:p w14:paraId="6713FCF9">
            <w:pPr>
              <w:jc w:val="center"/>
              <w:rPr>
                <w:rFonts w:hint="eastAsia" w:ascii="宋体" w:hAnsi="宋体" w:cs="宋体"/>
              </w:rPr>
            </w:pPr>
            <w:r>
              <w:rPr>
                <w:rFonts w:hint="eastAsia" w:ascii="宋体" w:hAnsi="宋体" w:cs="宋体"/>
              </w:rPr>
              <w:t>年龄</w:t>
            </w:r>
          </w:p>
        </w:tc>
        <w:tc>
          <w:tcPr>
            <w:tcW w:w="947" w:type="dxa"/>
          </w:tcPr>
          <w:p w14:paraId="04DCCBCE">
            <w:pPr>
              <w:jc w:val="center"/>
              <w:rPr>
                <w:rFonts w:hint="eastAsia" w:ascii="宋体" w:hAnsi="宋体" w:cs="宋体"/>
              </w:rPr>
            </w:pPr>
            <w:r>
              <w:rPr>
                <w:rFonts w:hint="eastAsia" w:ascii="宋体" w:hAnsi="宋体" w:cs="宋体"/>
              </w:rPr>
              <w:t>职称</w:t>
            </w:r>
          </w:p>
        </w:tc>
        <w:tc>
          <w:tcPr>
            <w:tcW w:w="947" w:type="dxa"/>
          </w:tcPr>
          <w:p w14:paraId="25834E2B">
            <w:pPr>
              <w:jc w:val="center"/>
              <w:rPr>
                <w:rFonts w:hint="eastAsia" w:ascii="宋体" w:hAnsi="宋体" w:cs="宋体"/>
              </w:rPr>
            </w:pPr>
            <w:r>
              <w:rPr>
                <w:rFonts w:hint="eastAsia" w:ascii="宋体" w:hAnsi="宋体" w:cs="宋体"/>
              </w:rPr>
              <w:t>职务</w:t>
            </w:r>
          </w:p>
        </w:tc>
        <w:tc>
          <w:tcPr>
            <w:tcW w:w="947" w:type="dxa"/>
          </w:tcPr>
          <w:p w14:paraId="395A812B">
            <w:pPr>
              <w:jc w:val="center"/>
              <w:rPr>
                <w:rFonts w:hint="eastAsia" w:ascii="宋体" w:hAnsi="宋体" w:cs="宋体"/>
              </w:rPr>
            </w:pPr>
            <w:r>
              <w:rPr>
                <w:rFonts w:hint="eastAsia" w:ascii="宋体" w:hAnsi="宋体" w:cs="宋体"/>
              </w:rPr>
              <w:t>学历</w:t>
            </w:r>
          </w:p>
        </w:tc>
        <w:tc>
          <w:tcPr>
            <w:tcW w:w="1023" w:type="dxa"/>
          </w:tcPr>
          <w:p w14:paraId="601A1547">
            <w:pPr>
              <w:jc w:val="center"/>
              <w:rPr>
                <w:rFonts w:hint="eastAsia" w:ascii="宋体" w:hAnsi="宋体" w:cs="宋体"/>
              </w:rPr>
            </w:pPr>
            <w:r>
              <w:rPr>
                <w:rFonts w:hint="eastAsia" w:ascii="宋体" w:hAnsi="宋体" w:cs="宋体"/>
              </w:rPr>
              <w:t>备注</w:t>
            </w:r>
          </w:p>
        </w:tc>
      </w:tr>
      <w:tr w14:paraId="487C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51DD8B83">
            <w:pPr>
              <w:jc w:val="left"/>
              <w:rPr>
                <w:rFonts w:hint="eastAsia" w:ascii="宋体" w:hAnsi="宋体" w:cs="宋体"/>
              </w:rPr>
            </w:pPr>
          </w:p>
        </w:tc>
        <w:tc>
          <w:tcPr>
            <w:tcW w:w="947" w:type="dxa"/>
          </w:tcPr>
          <w:p w14:paraId="3B3E01FF">
            <w:pPr>
              <w:jc w:val="left"/>
              <w:rPr>
                <w:rFonts w:hint="eastAsia" w:ascii="宋体" w:hAnsi="宋体" w:cs="宋体"/>
              </w:rPr>
            </w:pPr>
          </w:p>
        </w:tc>
        <w:tc>
          <w:tcPr>
            <w:tcW w:w="947" w:type="dxa"/>
          </w:tcPr>
          <w:p w14:paraId="54DF7292">
            <w:pPr>
              <w:jc w:val="left"/>
              <w:rPr>
                <w:rFonts w:hint="eastAsia" w:ascii="宋体" w:hAnsi="宋体" w:cs="宋体"/>
              </w:rPr>
            </w:pPr>
          </w:p>
        </w:tc>
        <w:tc>
          <w:tcPr>
            <w:tcW w:w="947" w:type="dxa"/>
          </w:tcPr>
          <w:p w14:paraId="1B3B2A33">
            <w:pPr>
              <w:jc w:val="left"/>
              <w:rPr>
                <w:rFonts w:hint="eastAsia" w:ascii="宋体" w:hAnsi="宋体" w:cs="宋体"/>
              </w:rPr>
            </w:pPr>
          </w:p>
        </w:tc>
        <w:tc>
          <w:tcPr>
            <w:tcW w:w="947" w:type="dxa"/>
          </w:tcPr>
          <w:p w14:paraId="47CEB43A">
            <w:pPr>
              <w:jc w:val="left"/>
              <w:rPr>
                <w:rFonts w:hint="eastAsia" w:ascii="宋体" w:hAnsi="宋体" w:cs="宋体"/>
              </w:rPr>
            </w:pPr>
          </w:p>
        </w:tc>
        <w:tc>
          <w:tcPr>
            <w:tcW w:w="947" w:type="dxa"/>
          </w:tcPr>
          <w:p w14:paraId="5FE4FCC5">
            <w:pPr>
              <w:jc w:val="left"/>
              <w:rPr>
                <w:rFonts w:hint="eastAsia" w:ascii="宋体" w:hAnsi="宋体" w:cs="宋体"/>
              </w:rPr>
            </w:pPr>
          </w:p>
        </w:tc>
        <w:tc>
          <w:tcPr>
            <w:tcW w:w="947" w:type="dxa"/>
          </w:tcPr>
          <w:p w14:paraId="6EC1FA63">
            <w:pPr>
              <w:jc w:val="left"/>
              <w:rPr>
                <w:rFonts w:hint="eastAsia" w:ascii="宋体" w:hAnsi="宋体" w:cs="宋体"/>
              </w:rPr>
            </w:pPr>
          </w:p>
        </w:tc>
        <w:tc>
          <w:tcPr>
            <w:tcW w:w="1023" w:type="dxa"/>
          </w:tcPr>
          <w:p w14:paraId="22AFAC97">
            <w:pPr>
              <w:jc w:val="left"/>
              <w:rPr>
                <w:rFonts w:hint="eastAsia" w:ascii="宋体" w:hAnsi="宋体" w:cs="宋体"/>
              </w:rPr>
            </w:pPr>
          </w:p>
        </w:tc>
      </w:tr>
      <w:tr w14:paraId="7DE0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7A3C7CEC">
            <w:pPr>
              <w:jc w:val="left"/>
              <w:rPr>
                <w:rFonts w:hint="eastAsia" w:ascii="宋体" w:hAnsi="宋体" w:cs="宋体"/>
              </w:rPr>
            </w:pPr>
          </w:p>
        </w:tc>
        <w:tc>
          <w:tcPr>
            <w:tcW w:w="947" w:type="dxa"/>
          </w:tcPr>
          <w:p w14:paraId="7D916C2E">
            <w:pPr>
              <w:jc w:val="left"/>
              <w:rPr>
                <w:rFonts w:hint="eastAsia" w:ascii="宋体" w:hAnsi="宋体" w:cs="宋体"/>
              </w:rPr>
            </w:pPr>
          </w:p>
        </w:tc>
        <w:tc>
          <w:tcPr>
            <w:tcW w:w="947" w:type="dxa"/>
          </w:tcPr>
          <w:p w14:paraId="4EF02A0E">
            <w:pPr>
              <w:jc w:val="left"/>
              <w:rPr>
                <w:rFonts w:hint="eastAsia" w:ascii="宋体" w:hAnsi="宋体" w:cs="宋体"/>
              </w:rPr>
            </w:pPr>
          </w:p>
        </w:tc>
        <w:tc>
          <w:tcPr>
            <w:tcW w:w="947" w:type="dxa"/>
          </w:tcPr>
          <w:p w14:paraId="6E8A32F9">
            <w:pPr>
              <w:jc w:val="left"/>
              <w:rPr>
                <w:rFonts w:hint="eastAsia" w:ascii="宋体" w:hAnsi="宋体" w:cs="宋体"/>
              </w:rPr>
            </w:pPr>
          </w:p>
        </w:tc>
        <w:tc>
          <w:tcPr>
            <w:tcW w:w="947" w:type="dxa"/>
          </w:tcPr>
          <w:p w14:paraId="46D27D22">
            <w:pPr>
              <w:jc w:val="left"/>
              <w:rPr>
                <w:rFonts w:hint="eastAsia" w:ascii="宋体" w:hAnsi="宋体" w:cs="宋体"/>
              </w:rPr>
            </w:pPr>
          </w:p>
        </w:tc>
        <w:tc>
          <w:tcPr>
            <w:tcW w:w="947" w:type="dxa"/>
          </w:tcPr>
          <w:p w14:paraId="141752CD">
            <w:pPr>
              <w:jc w:val="left"/>
              <w:rPr>
                <w:rFonts w:hint="eastAsia" w:ascii="宋体" w:hAnsi="宋体" w:cs="宋体"/>
              </w:rPr>
            </w:pPr>
          </w:p>
        </w:tc>
        <w:tc>
          <w:tcPr>
            <w:tcW w:w="947" w:type="dxa"/>
          </w:tcPr>
          <w:p w14:paraId="5DD046F5">
            <w:pPr>
              <w:jc w:val="left"/>
              <w:rPr>
                <w:rFonts w:hint="eastAsia" w:ascii="宋体" w:hAnsi="宋体" w:cs="宋体"/>
              </w:rPr>
            </w:pPr>
          </w:p>
        </w:tc>
        <w:tc>
          <w:tcPr>
            <w:tcW w:w="1023" w:type="dxa"/>
          </w:tcPr>
          <w:p w14:paraId="1A3EFF98">
            <w:pPr>
              <w:jc w:val="left"/>
              <w:rPr>
                <w:rFonts w:hint="eastAsia" w:ascii="宋体" w:hAnsi="宋体" w:cs="宋体"/>
              </w:rPr>
            </w:pPr>
          </w:p>
        </w:tc>
      </w:tr>
      <w:tr w14:paraId="77B7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1D583F60">
            <w:pPr>
              <w:jc w:val="left"/>
              <w:rPr>
                <w:rFonts w:hint="eastAsia" w:ascii="宋体" w:hAnsi="宋体" w:cs="宋体"/>
              </w:rPr>
            </w:pPr>
          </w:p>
        </w:tc>
        <w:tc>
          <w:tcPr>
            <w:tcW w:w="947" w:type="dxa"/>
          </w:tcPr>
          <w:p w14:paraId="5D8417EC">
            <w:pPr>
              <w:jc w:val="left"/>
              <w:rPr>
                <w:rFonts w:hint="eastAsia" w:ascii="宋体" w:hAnsi="宋体" w:cs="宋体"/>
              </w:rPr>
            </w:pPr>
          </w:p>
        </w:tc>
        <w:tc>
          <w:tcPr>
            <w:tcW w:w="947" w:type="dxa"/>
          </w:tcPr>
          <w:p w14:paraId="2F968E9B">
            <w:pPr>
              <w:jc w:val="left"/>
              <w:rPr>
                <w:rFonts w:hint="eastAsia" w:ascii="宋体" w:hAnsi="宋体" w:cs="宋体"/>
              </w:rPr>
            </w:pPr>
          </w:p>
        </w:tc>
        <w:tc>
          <w:tcPr>
            <w:tcW w:w="947" w:type="dxa"/>
          </w:tcPr>
          <w:p w14:paraId="3DE989EE">
            <w:pPr>
              <w:jc w:val="left"/>
              <w:rPr>
                <w:rFonts w:hint="eastAsia" w:ascii="宋体" w:hAnsi="宋体" w:cs="宋体"/>
              </w:rPr>
            </w:pPr>
          </w:p>
        </w:tc>
        <w:tc>
          <w:tcPr>
            <w:tcW w:w="947" w:type="dxa"/>
          </w:tcPr>
          <w:p w14:paraId="435D3D16">
            <w:pPr>
              <w:jc w:val="left"/>
              <w:rPr>
                <w:rFonts w:hint="eastAsia" w:ascii="宋体" w:hAnsi="宋体" w:cs="宋体"/>
              </w:rPr>
            </w:pPr>
          </w:p>
        </w:tc>
        <w:tc>
          <w:tcPr>
            <w:tcW w:w="947" w:type="dxa"/>
          </w:tcPr>
          <w:p w14:paraId="6AFD55B9">
            <w:pPr>
              <w:jc w:val="left"/>
              <w:rPr>
                <w:rFonts w:hint="eastAsia" w:ascii="宋体" w:hAnsi="宋体" w:cs="宋体"/>
              </w:rPr>
            </w:pPr>
          </w:p>
        </w:tc>
        <w:tc>
          <w:tcPr>
            <w:tcW w:w="947" w:type="dxa"/>
          </w:tcPr>
          <w:p w14:paraId="13CE8728">
            <w:pPr>
              <w:jc w:val="left"/>
              <w:rPr>
                <w:rFonts w:hint="eastAsia" w:ascii="宋体" w:hAnsi="宋体" w:cs="宋体"/>
              </w:rPr>
            </w:pPr>
          </w:p>
        </w:tc>
        <w:tc>
          <w:tcPr>
            <w:tcW w:w="1023" w:type="dxa"/>
          </w:tcPr>
          <w:p w14:paraId="7523C133">
            <w:pPr>
              <w:jc w:val="left"/>
              <w:rPr>
                <w:rFonts w:hint="eastAsia" w:ascii="宋体" w:hAnsi="宋体" w:cs="宋体"/>
              </w:rPr>
            </w:pPr>
          </w:p>
        </w:tc>
      </w:tr>
      <w:tr w14:paraId="7930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5F539778">
            <w:pPr>
              <w:jc w:val="left"/>
              <w:rPr>
                <w:rFonts w:hint="eastAsia" w:ascii="宋体" w:hAnsi="宋体" w:cs="宋体"/>
              </w:rPr>
            </w:pPr>
          </w:p>
        </w:tc>
        <w:tc>
          <w:tcPr>
            <w:tcW w:w="947" w:type="dxa"/>
          </w:tcPr>
          <w:p w14:paraId="24E6C7D0">
            <w:pPr>
              <w:jc w:val="left"/>
              <w:rPr>
                <w:rFonts w:hint="eastAsia" w:ascii="宋体" w:hAnsi="宋体" w:cs="宋体"/>
              </w:rPr>
            </w:pPr>
          </w:p>
        </w:tc>
        <w:tc>
          <w:tcPr>
            <w:tcW w:w="947" w:type="dxa"/>
          </w:tcPr>
          <w:p w14:paraId="448C3BA5">
            <w:pPr>
              <w:jc w:val="left"/>
              <w:rPr>
                <w:rFonts w:hint="eastAsia" w:ascii="宋体" w:hAnsi="宋体" w:cs="宋体"/>
              </w:rPr>
            </w:pPr>
          </w:p>
        </w:tc>
        <w:tc>
          <w:tcPr>
            <w:tcW w:w="947" w:type="dxa"/>
          </w:tcPr>
          <w:p w14:paraId="52D914EA">
            <w:pPr>
              <w:jc w:val="left"/>
              <w:rPr>
                <w:rFonts w:hint="eastAsia" w:ascii="宋体" w:hAnsi="宋体" w:cs="宋体"/>
              </w:rPr>
            </w:pPr>
          </w:p>
        </w:tc>
        <w:tc>
          <w:tcPr>
            <w:tcW w:w="947" w:type="dxa"/>
          </w:tcPr>
          <w:p w14:paraId="6D042507">
            <w:pPr>
              <w:jc w:val="left"/>
              <w:rPr>
                <w:rFonts w:hint="eastAsia" w:ascii="宋体" w:hAnsi="宋体" w:cs="宋体"/>
              </w:rPr>
            </w:pPr>
          </w:p>
        </w:tc>
        <w:tc>
          <w:tcPr>
            <w:tcW w:w="947" w:type="dxa"/>
          </w:tcPr>
          <w:p w14:paraId="530D7D72">
            <w:pPr>
              <w:jc w:val="left"/>
              <w:rPr>
                <w:rFonts w:hint="eastAsia" w:ascii="宋体" w:hAnsi="宋体" w:cs="宋体"/>
              </w:rPr>
            </w:pPr>
          </w:p>
        </w:tc>
        <w:tc>
          <w:tcPr>
            <w:tcW w:w="947" w:type="dxa"/>
          </w:tcPr>
          <w:p w14:paraId="47925AA7">
            <w:pPr>
              <w:jc w:val="left"/>
              <w:rPr>
                <w:rFonts w:hint="eastAsia" w:ascii="宋体" w:hAnsi="宋体" w:cs="宋体"/>
              </w:rPr>
            </w:pPr>
          </w:p>
        </w:tc>
        <w:tc>
          <w:tcPr>
            <w:tcW w:w="1023" w:type="dxa"/>
          </w:tcPr>
          <w:p w14:paraId="54AC8325">
            <w:pPr>
              <w:jc w:val="left"/>
              <w:rPr>
                <w:rFonts w:hint="eastAsia" w:ascii="宋体" w:hAnsi="宋体" w:cs="宋体"/>
              </w:rPr>
            </w:pPr>
          </w:p>
        </w:tc>
      </w:tr>
      <w:tr w14:paraId="6D8E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4418C35C">
            <w:pPr>
              <w:jc w:val="left"/>
              <w:rPr>
                <w:rFonts w:hint="eastAsia" w:ascii="宋体" w:hAnsi="宋体" w:cs="宋体"/>
              </w:rPr>
            </w:pPr>
          </w:p>
        </w:tc>
        <w:tc>
          <w:tcPr>
            <w:tcW w:w="947" w:type="dxa"/>
          </w:tcPr>
          <w:p w14:paraId="050B6E93">
            <w:pPr>
              <w:jc w:val="left"/>
              <w:rPr>
                <w:rFonts w:hint="eastAsia" w:ascii="宋体" w:hAnsi="宋体" w:cs="宋体"/>
              </w:rPr>
            </w:pPr>
          </w:p>
        </w:tc>
        <w:tc>
          <w:tcPr>
            <w:tcW w:w="947" w:type="dxa"/>
          </w:tcPr>
          <w:p w14:paraId="229DC230">
            <w:pPr>
              <w:jc w:val="left"/>
              <w:rPr>
                <w:rFonts w:hint="eastAsia" w:ascii="宋体" w:hAnsi="宋体" w:cs="宋体"/>
              </w:rPr>
            </w:pPr>
          </w:p>
        </w:tc>
        <w:tc>
          <w:tcPr>
            <w:tcW w:w="947" w:type="dxa"/>
          </w:tcPr>
          <w:p w14:paraId="192F7B8A">
            <w:pPr>
              <w:jc w:val="left"/>
              <w:rPr>
                <w:rFonts w:hint="eastAsia" w:ascii="宋体" w:hAnsi="宋体" w:cs="宋体"/>
              </w:rPr>
            </w:pPr>
          </w:p>
        </w:tc>
        <w:tc>
          <w:tcPr>
            <w:tcW w:w="947" w:type="dxa"/>
          </w:tcPr>
          <w:p w14:paraId="4DA31747">
            <w:pPr>
              <w:jc w:val="left"/>
              <w:rPr>
                <w:rFonts w:hint="eastAsia" w:ascii="宋体" w:hAnsi="宋体" w:cs="宋体"/>
              </w:rPr>
            </w:pPr>
          </w:p>
        </w:tc>
        <w:tc>
          <w:tcPr>
            <w:tcW w:w="947" w:type="dxa"/>
          </w:tcPr>
          <w:p w14:paraId="04C0D6D6">
            <w:pPr>
              <w:jc w:val="left"/>
              <w:rPr>
                <w:rFonts w:hint="eastAsia" w:ascii="宋体" w:hAnsi="宋体" w:cs="宋体"/>
              </w:rPr>
            </w:pPr>
          </w:p>
        </w:tc>
        <w:tc>
          <w:tcPr>
            <w:tcW w:w="947" w:type="dxa"/>
          </w:tcPr>
          <w:p w14:paraId="74FE93A0">
            <w:pPr>
              <w:jc w:val="left"/>
              <w:rPr>
                <w:rFonts w:hint="eastAsia" w:ascii="宋体" w:hAnsi="宋体" w:cs="宋体"/>
              </w:rPr>
            </w:pPr>
          </w:p>
        </w:tc>
        <w:tc>
          <w:tcPr>
            <w:tcW w:w="1023" w:type="dxa"/>
          </w:tcPr>
          <w:p w14:paraId="657250B1">
            <w:pPr>
              <w:jc w:val="left"/>
              <w:rPr>
                <w:rFonts w:hint="eastAsia" w:ascii="宋体" w:hAnsi="宋体" w:cs="宋体"/>
              </w:rPr>
            </w:pPr>
          </w:p>
        </w:tc>
      </w:tr>
      <w:tr w14:paraId="2C02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0F1D07F9">
            <w:pPr>
              <w:jc w:val="left"/>
              <w:rPr>
                <w:rFonts w:hint="eastAsia" w:ascii="宋体" w:hAnsi="宋体" w:cs="宋体"/>
              </w:rPr>
            </w:pPr>
          </w:p>
        </w:tc>
        <w:tc>
          <w:tcPr>
            <w:tcW w:w="947" w:type="dxa"/>
          </w:tcPr>
          <w:p w14:paraId="67C79F1D">
            <w:pPr>
              <w:jc w:val="left"/>
              <w:rPr>
                <w:rFonts w:hint="eastAsia" w:ascii="宋体" w:hAnsi="宋体" w:cs="宋体"/>
              </w:rPr>
            </w:pPr>
          </w:p>
        </w:tc>
        <w:tc>
          <w:tcPr>
            <w:tcW w:w="947" w:type="dxa"/>
          </w:tcPr>
          <w:p w14:paraId="70301C8F">
            <w:pPr>
              <w:jc w:val="left"/>
              <w:rPr>
                <w:rFonts w:hint="eastAsia" w:ascii="宋体" w:hAnsi="宋体" w:cs="宋体"/>
              </w:rPr>
            </w:pPr>
          </w:p>
        </w:tc>
        <w:tc>
          <w:tcPr>
            <w:tcW w:w="947" w:type="dxa"/>
          </w:tcPr>
          <w:p w14:paraId="00C491EA">
            <w:pPr>
              <w:jc w:val="left"/>
              <w:rPr>
                <w:rFonts w:hint="eastAsia" w:ascii="宋体" w:hAnsi="宋体" w:cs="宋体"/>
              </w:rPr>
            </w:pPr>
          </w:p>
        </w:tc>
        <w:tc>
          <w:tcPr>
            <w:tcW w:w="947" w:type="dxa"/>
          </w:tcPr>
          <w:p w14:paraId="101E6A25">
            <w:pPr>
              <w:jc w:val="left"/>
              <w:rPr>
                <w:rFonts w:hint="eastAsia" w:ascii="宋体" w:hAnsi="宋体" w:cs="宋体"/>
              </w:rPr>
            </w:pPr>
          </w:p>
        </w:tc>
        <w:tc>
          <w:tcPr>
            <w:tcW w:w="947" w:type="dxa"/>
          </w:tcPr>
          <w:p w14:paraId="79DAC064">
            <w:pPr>
              <w:jc w:val="left"/>
              <w:rPr>
                <w:rFonts w:hint="eastAsia" w:ascii="宋体" w:hAnsi="宋体" w:cs="宋体"/>
              </w:rPr>
            </w:pPr>
          </w:p>
        </w:tc>
        <w:tc>
          <w:tcPr>
            <w:tcW w:w="947" w:type="dxa"/>
          </w:tcPr>
          <w:p w14:paraId="5813B573">
            <w:pPr>
              <w:jc w:val="left"/>
              <w:rPr>
                <w:rFonts w:hint="eastAsia" w:ascii="宋体" w:hAnsi="宋体" w:cs="宋体"/>
              </w:rPr>
            </w:pPr>
          </w:p>
        </w:tc>
        <w:tc>
          <w:tcPr>
            <w:tcW w:w="1023" w:type="dxa"/>
          </w:tcPr>
          <w:p w14:paraId="0724DB6A">
            <w:pPr>
              <w:jc w:val="left"/>
              <w:rPr>
                <w:rFonts w:hint="eastAsia" w:ascii="宋体" w:hAnsi="宋体" w:cs="宋体"/>
              </w:rPr>
            </w:pPr>
          </w:p>
        </w:tc>
      </w:tr>
      <w:tr w14:paraId="6F1D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6" w:type="dxa"/>
          </w:tcPr>
          <w:p w14:paraId="6BB02DEE">
            <w:pPr>
              <w:jc w:val="left"/>
              <w:rPr>
                <w:rFonts w:hint="eastAsia" w:ascii="宋体" w:hAnsi="宋体" w:cs="宋体"/>
              </w:rPr>
            </w:pPr>
          </w:p>
        </w:tc>
        <w:tc>
          <w:tcPr>
            <w:tcW w:w="947" w:type="dxa"/>
          </w:tcPr>
          <w:p w14:paraId="60DEE9A9">
            <w:pPr>
              <w:jc w:val="left"/>
              <w:rPr>
                <w:rFonts w:hint="eastAsia" w:ascii="宋体" w:hAnsi="宋体" w:cs="宋体"/>
              </w:rPr>
            </w:pPr>
          </w:p>
        </w:tc>
        <w:tc>
          <w:tcPr>
            <w:tcW w:w="947" w:type="dxa"/>
          </w:tcPr>
          <w:p w14:paraId="62B6EF4E">
            <w:pPr>
              <w:jc w:val="left"/>
              <w:rPr>
                <w:rFonts w:hint="eastAsia" w:ascii="宋体" w:hAnsi="宋体" w:cs="宋体"/>
              </w:rPr>
            </w:pPr>
          </w:p>
        </w:tc>
        <w:tc>
          <w:tcPr>
            <w:tcW w:w="947" w:type="dxa"/>
          </w:tcPr>
          <w:p w14:paraId="1F07674B">
            <w:pPr>
              <w:jc w:val="left"/>
              <w:rPr>
                <w:rFonts w:hint="eastAsia" w:ascii="宋体" w:hAnsi="宋体" w:cs="宋体"/>
              </w:rPr>
            </w:pPr>
          </w:p>
        </w:tc>
        <w:tc>
          <w:tcPr>
            <w:tcW w:w="947" w:type="dxa"/>
          </w:tcPr>
          <w:p w14:paraId="7A12678F">
            <w:pPr>
              <w:jc w:val="left"/>
              <w:rPr>
                <w:rFonts w:hint="eastAsia" w:ascii="宋体" w:hAnsi="宋体" w:cs="宋体"/>
              </w:rPr>
            </w:pPr>
          </w:p>
        </w:tc>
        <w:tc>
          <w:tcPr>
            <w:tcW w:w="947" w:type="dxa"/>
          </w:tcPr>
          <w:p w14:paraId="2F1BC572">
            <w:pPr>
              <w:jc w:val="left"/>
              <w:rPr>
                <w:rFonts w:hint="eastAsia" w:ascii="宋体" w:hAnsi="宋体" w:cs="宋体"/>
              </w:rPr>
            </w:pPr>
          </w:p>
        </w:tc>
        <w:tc>
          <w:tcPr>
            <w:tcW w:w="947" w:type="dxa"/>
          </w:tcPr>
          <w:p w14:paraId="577280DA">
            <w:pPr>
              <w:jc w:val="left"/>
              <w:rPr>
                <w:rFonts w:hint="eastAsia" w:ascii="宋体" w:hAnsi="宋体" w:cs="宋体"/>
              </w:rPr>
            </w:pPr>
          </w:p>
        </w:tc>
        <w:tc>
          <w:tcPr>
            <w:tcW w:w="1023" w:type="dxa"/>
          </w:tcPr>
          <w:p w14:paraId="5EC60E40">
            <w:pPr>
              <w:jc w:val="left"/>
              <w:rPr>
                <w:rFonts w:hint="eastAsia" w:ascii="宋体" w:hAnsi="宋体" w:cs="宋体"/>
              </w:rPr>
            </w:pPr>
          </w:p>
        </w:tc>
      </w:tr>
    </w:tbl>
    <w:p w14:paraId="5B92067E">
      <w:pPr>
        <w:ind w:firstLine="420" w:firstLineChars="200"/>
        <w:jc w:val="left"/>
        <w:rPr>
          <w:rFonts w:hint="eastAsia" w:ascii="宋体" w:hAnsi="宋体" w:cs="宋体"/>
        </w:rPr>
      </w:pPr>
    </w:p>
    <w:p w14:paraId="0C0FE5B8">
      <w:pPr>
        <w:spacing w:line="360" w:lineRule="auto"/>
        <w:ind w:firstLine="420" w:firstLineChars="200"/>
        <w:jc w:val="left"/>
        <w:rPr>
          <w:rFonts w:hint="eastAsia" w:ascii="宋体" w:hAnsi="宋体" w:cs="宋体"/>
        </w:rPr>
      </w:pPr>
      <w:r>
        <w:rPr>
          <w:rFonts w:hint="eastAsia" w:ascii="宋体" w:hAnsi="宋体" w:cs="宋体"/>
        </w:rPr>
        <w:t>投标人：（单位公章）</w:t>
      </w:r>
    </w:p>
    <w:p w14:paraId="58EC846E">
      <w:pPr>
        <w:spacing w:line="360" w:lineRule="auto"/>
        <w:ind w:firstLine="420" w:firstLineChars="200"/>
        <w:jc w:val="left"/>
        <w:rPr>
          <w:rFonts w:hint="eastAsia" w:ascii="宋体" w:hAnsi="宋体" w:cs="宋体"/>
        </w:rPr>
      </w:pPr>
      <w:r>
        <w:rPr>
          <w:rFonts w:hint="eastAsia" w:ascii="宋体" w:hAnsi="宋体" w:cs="宋体"/>
        </w:rPr>
        <w:t>授权代表（签字）：</w:t>
      </w:r>
    </w:p>
    <w:p w14:paraId="04A15FD5">
      <w:pPr>
        <w:spacing w:line="360" w:lineRule="auto"/>
        <w:ind w:firstLine="420" w:firstLineChars="200"/>
        <w:jc w:val="left"/>
        <w:rPr>
          <w:rFonts w:hint="eastAsia" w:ascii="宋体" w:hAnsi="宋体" w:cs="宋体"/>
        </w:rPr>
      </w:pPr>
      <w:r>
        <w:rPr>
          <w:rFonts w:hint="eastAsia" w:ascii="宋体" w:hAnsi="宋体" w:cs="宋体"/>
        </w:rPr>
        <w:t>日期</w:t>
      </w:r>
    </w:p>
    <w:p w14:paraId="3DE62920">
      <w:pPr>
        <w:spacing w:after="312" w:line="360" w:lineRule="auto"/>
        <w:jc w:val="center"/>
        <w:outlineLvl w:val="1"/>
        <w:rPr>
          <w:rFonts w:hint="eastAsia" w:ascii="宋体" w:hAnsi="宋体" w:cs="宋体"/>
          <w:b/>
          <w:kern w:val="1"/>
        </w:rPr>
        <w:sectPr>
          <w:pgSz w:w="11906" w:h="16838"/>
          <w:pgMar w:top="1440" w:right="1800" w:bottom="1440" w:left="1800" w:header="851" w:footer="992" w:gutter="0"/>
          <w:cols w:space="720" w:num="1"/>
          <w:docGrid w:type="lines" w:linePitch="312" w:charSpace="0"/>
        </w:sectPr>
      </w:pPr>
    </w:p>
    <w:p w14:paraId="7A9CC401">
      <w:pPr>
        <w:jc w:val="center"/>
        <w:rPr>
          <w:rFonts w:ascii="宋体" w:hAnsi="宋体"/>
          <w:b/>
          <w:sz w:val="32"/>
          <w:szCs w:val="32"/>
        </w:rPr>
      </w:pPr>
      <w:r>
        <w:rPr>
          <w:rFonts w:hint="eastAsia" w:ascii="宋体" w:hAnsi="宋体"/>
          <w:b/>
          <w:sz w:val="32"/>
          <w:szCs w:val="32"/>
        </w:rPr>
        <w:t>五、商务条款响应及偏离表</w:t>
      </w:r>
    </w:p>
    <w:tbl>
      <w:tblPr>
        <w:tblStyle w:val="24"/>
        <w:tblW w:w="862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646"/>
      </w:tblGrid>
      <w:tr w14:paraId="3F300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noWrap w:val="0"/>
          </w:tcPr>
          <w:p w14:paraId="38311B6F">
            <w:pPr>
              <w:spacing w:before="162"/>
              <w:jc w:val="center"/>
              <w:rPr>
                <w:rFonts w:ascii="仿宋_GB2312" w:hAnsi="宋体" w:eastAsia="仿宋_GB2312"/>
              </w:rPr>
            </w:pPr>
            <w:bookmarkStart w:id="27" w:name="_Hlt26955056"/>
            <w:bookmarkEnd w:id="27"/>
            <w:bookmarkStart w:id="28" w:name="_Hlt26782999"/>
            <w:bookmarkEnd w:id="28"/>
            <w:bookmarkStart w:id="29" w:name="_Hlt26671372"/>
            <w:bookmarkEnd w:id="29"/>
            <w:bookmarkStart w:id="30" w:name="_Hlt26671343"/>
            <w:bookmarkEnd w:id="30"/>
            <w:bookmarkStart w:id="31" w:name="_Hlt24879081"/>
            <w:bookmarkEnd w:id="31"/>
            <w:bookmarkStart w:id="32" w:name="_Hlt26580838"/>
            <w:bookmarkEnd w:id="32"/>
            <w:bookmarkStart w:id="33" w:name="_Hlt26955064"/>
            <w:bookmarkEnd w:id="33"/>
            <w:bookmarkStart w:id="34" w:name="_Hlt26609391"/>
            <w:bookmarkEnd w:id="34"/>
            <w:r>
              <w:rPr>
                <w:rFonts w:hint="eastAsia" w:ascii="仿宋_GB2312" w:hAnsi="宋体"/>
              </w:rPr>
              <w:t>项目</w:t>
            </w:r>
          </w:p>
        </w:tc>
        <w:tc>
          <w:tcPr>
            <w:tcW w:w="2502" w:type="dxa"/>
            <w:tcBorders>
              <w:top w:val="single" w:color="auto" w:sz="4" w:space="0"/>
              <w:left w:val="single" w:color="auto" w:sz="4" w:space="0"/>
              <w:bottom w:val="single" w:color="auto" w:sz="4" w:space="0"/>
              <w:right w:val="single" w:color="auto" w:sz="4" w:space="0"/>
            </w:tcBorders>
            <w:noWrap w:val="0"/>
          </w:tcPr>
          <w:p w14:paraId="6AA6FE48">
            <w:pPr>
              <w:spacing w:before="162"/>
              <w:jc w:val="center"/>
              <w:rPr>
                <w:rFonts w:ascii="仿宋_GB2312" w:hAnsi="宋体" w:eastAsia="仿宋_GB2312"/>
              </w:rPr>
            </w:pPr>
            <w:r>
              <w:rPr>
                <w:rFonts w:hint="eastAsia" w:ascii="仿宋_GB2312" w:hAnsi="宋体"/>
              </w:rPr>
              <w:t>招标文件要求</w:t>
            </w:r>
          </w:p>
        </w:tc>
        <w:tc>
          <w:tcPr>
            <w:tcW w:w="1837" w:type="dxa"/>
            <w:tcBorders>
              <w:top w:val="single" w:color="auto" w:sz="4" w:space="0"/>
              <w:left w:val="single" w:color="auto" w:sz="4" w:space="0"/>
              <w:bottom w:val="single" w:color="auto" w:sz="4" w:space="0"/>
              <w:right w:val="single" w:color="auto" w:sz="4" w:space="0"/>
            </w:tcBorders>
            <w:noWrap w:val="0"/>
          </w:tcPr>
          <w:p w14:paraId="7241D084">
            <w:pPr>
              <w:spacing w:before="162"/>
              <w:jc w:val="center"/>
              <w:rPr>
                <w:rFonts w:ascii="仿宋_GB2312" w:hAnsi="宋体" w:eastAsia="仿宋_GB2312"/>
              </w:rPr>
            </w:pPr>
            <w:r>
              <w:rPr>
                <w:rFonts w:hint="eastAsia" w:ascii="仿宋_GB2312" w:hAnsi="宋体"/>
              </w:rPr>
              <w:t>是否响应</w:t>
            </w:r>
          </w:p>
        </w:tc>
        <w:tc>
          <w:tcPr>
            <w:tcW w:w="2646" w:type="dxa"/>
            <w:tcBorders>
              <w:top w:val="single" w:color="auto" w:sz="4" w:space="0"/>
              <w:left w:val="single" w:color="auto" w:sz="4" w:space="0"/>
              <w:bottom w:val="single" w:color="auto" w:sz="4" w:space="0"/>
              <w:right w:val="single" w:color="auto" w:sz="4" w:space="0"/>
            </w:tcBorders>
            <w:noWrap w:val="0"/>
          </w:tcPr>
          <w:p w14:paraId="7CBB77B6">
            <w:pPr>
              <w:spacing w:before="162"/>
              <w:jc w:val="center"/>
              <w:rPr>
                <w:rFonts w:ascii="仿宋_GB2312" w:hAnsi="宋体" w:eastAsia="仿宋_GB2312"/>
              </w:rPr>
            </w:pPr>
            <w:r>
              <w:rPr>
                <w:rFonts w:hint="eastAsia" w:ascii="仿宋_GB2312" w:hAnsi="宋体"/>
              </w:rPr>
              <w:t>投标人的承诺或说明</w:t>
            </w:r>
          </w:p>
        </w:tc>
      </w:tr>
      <w:tr w14:paraId="0FAA9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638" w:type="dxa"/>
            <w:tcBorders>
              <w:top w:val="single" w:color="auto" w:sz="4" w:space="0"/>
              <w:left w:val="single" w:color="auto" w:sz="4" w:space="0"/>
              <w:bottom w:val="single" w:color="auto" w:sz="4" w:space="0"/>
              <w:right w:val="single" w:color="auto" w:sz="4" w:space="0"/>
            </w:tcBorders>
            <w:noWrap w:val="0"/>
          </w:tcPr>
          <w:p w14:paraId="34201126">
            <w:pPr>
              <w:spacing w:before="162"/>
              <w:jc w:val="center"/>
              <w:rPr>
                <w:rFonts w:ascii="仿宋_GB2312" w:hAnsi="宋体" w:eastAsia="仿宋_GB2312"/>
              </w:rPr>
            </w:pPr>
            <w:r>
              <w:rPr>
                <w:rFonts w:hint="eastAsia" w:ascii="仿宋_GB2312" w:hAnsi="宋体"/>
              </w:rPr>
              <w:t>服务期限</w:t>
            </w:r>
          </w:p>
        </w:tc>
        <w:tc>
          <w:tcPr>
            <w:tcW w:w="2502" w:type="dxa"/>
            <w:tcBorders>
              <w:top w:val="single" w:color="auto" w:sz="4" w:space="0"/>
              <w:left w:val="single" w:color="auto" w:sz="4" w:space="0"/>
              <w:bottom w:val="single" w:color="auto" w:sz="4" w:space="0"/>
              <w:right w:val="single" w:color="auto" w:sz="4" w:space="0"/>
            </w:tcBorders>
            <w:noWrap w:val="0"/>
          </w:tcPr>
          <w:p w14:paraId="61CCB2D0">
            <w:pPr>
              <w:spacing w:before="162"/>
              <w:jc w:val="center"/>
              <w:rPr>
                <w:rFonts w:ascii="仿宋_GB2312" w:hAnsi="宋体" w:eastAsia="仿宋_GB2312"/>
              </w:rPr>
            </w:pPr>
          </w:p>
        </w:tc>
        <w:tc>
          <w:tcPr>
            <w:tcW w:w="1837" w:type="dxa"/>
            <w:tcBorders>
              <w:top w:val="single" w:color="auto" w:sz="4" w:space="0"/>
              <w:left w:val="single" w:color="auto" w:sz="4" w:space="0"/>
              <w:bottom w:val="single" w:color="auto" w:sz="4" w:space="0"/>
              <w:right w:val="single" w:color="auto" w:sz="4" w:space="0"/>
            </w:tcBorders>
            <w:noWrap w:val="0"/>
          </w:tcPr>
          <w:p w14:paraId="7F37A207">
            <w:pPr>
              <w:spacing w:before="162"/>
              <w:jc w:val="center"/>
              <w:rPr>
                <w:rFonts w:ascii="仿宋_GB2312" w:hAnsi="宋体" w:eastAsia="仿宋_GB2312"/>
              </w:rPr>
            </w:pPr>
          </w:p>
        </w:tc>
        <w:tc>
          <w:tcPr>
            <w:tcW w:w="2646" w:type="dxa"/>
            <w:tcBorders>
              <w:top w:val="single" w:color="auto" w:sz="4" w:space="0"/>
              <w:left w:val="single" w:color="auto" w:sz="4" w:space="0"/>
              <w:bottom w:val="single" w:color="auto" w:sz="4" w:space="0"/>
              <w:right w:val="single" w:color="auto" w:sz="4" w:space="0"/>
            </w:tcBorders>
            <w:noWrap w:val="0"/>
          </w:tcPr>
          <w:p w14:paraId="39B14C95">
            <w:pPr>
              <w:spacing w:before="162"/>
              <w:jc w:val="center"/>
              <w:rPr>
                <w:rFonts w:ascii="仿宋_GB2312" w:hAnsi="宋体" w:eastAsia="仿宋_GB2312"/>
              </w:rPr>
            </w:pPr>
          </w:p>
        </w:tc>
      </w:tr>
      <w:tr w14:paraId="12C00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638" w:type="dxa"/>
            <w:tcBorders>
              <w:top w:val="single" w:color="auto" w:sz="4" w:space="0"/>
              <w:left w:val="single" w:color="auto" w:sz="4" w:space="0"/>
              <w:bottom w:val="single" w:color="auto" w:sz="4" w:space="0"/>
              <w:right w:val="single" w:color="auto" w:sz="4" w:space="0"/>
            </w:tcBorders>
            <w:noWrap w:val="0"/>
          </w:tcPr>
          <w:p w14:paraId="0E1ADF9D">
            <w:pPr>
              <w:spacing w:before="162"/>
              <w:jc w:val="center"/>
              <w:rPr>
                <w:rFonts w:hint="default" w:ascii="仿宋_GB2312" w:hAnsi="宋体" w:eastAsia="宋体"/>
                <w:lang w:val="en-US" w:eastAsia="zh-CN"/>
              </w:rPr>
            </w:pPr>
          </w:p>
        </w:tc>
        <w:tc>
          <w:tcPr>
            <w:tcW w:w="2502" w:type="dxa"/>
            <w:tcBorders>
              <w:top w:val="single" w:color="auto" w:sz="4" w:space="0"/>
              <w:left w:val="single" w:color="auto" w:sz="4" w:space="0"/>
              <w:bottom w:val="single" w:color="auto" w:sz="4" w:space="0"/>
              <w:right w:val="single" w:color="auto" w:sz="4" w:space="0"/>
            </w:tcBorders>
            <w:noWrap w:val="0"/>
          </w:tcPr>
          <w:p w14:paraId="587325AA">
            <w:pPr>
              <w:spacing w:before="162"/>
              <w:jc w:val="center"/>
              <w:rPr>
                <w:rFonts w:ascii="仿宋_GB2312" w:hAnsi="宋体" w:eastAsia="仿宋_GB2312"/>
              </w:rPr>
            </w:pPr>
          </w:p>
        </w:tc>
        <w:tc>
          <w:tcPr>
            <w:tcW w:w="1837" w:type="dxa"/>
            <w:tcBorders>
              <w:top w:val="single" w:color="auto" w:sz="4" w:space="0"/>
              <w:left w:val="single" w:color="auto" w:sz="4" w:space="0"/>
              <w:bottom w:val="single" w:color="auto" w:sz="4" w:space="0"/>
              <w:right w:val="single" w:color="auto" w:sz="4" w:space="0"/>
            </w:tcBorders>
            <w:noWrap w:val="0"/>
          </w:tcPr>
          <w:p w14:paraId="4DEC9C11">
            <w:pPr>
              <w:spacing w:before="162"/>
              <w:jc w:val="center"/>
              <w:rPr>
                <w:rFonts w:ascii="仿宋_GB2312" w:hAnsi="宋体" w:eastAsia="仿宋_GB2312"/>
              </w:rPr>
            </w:pPr>
          </w:p>
        </w:tc>
        <w:tc>
          <w:tcPr>
            <w:tcW w:w="2646" w:type="dxa"/>
            <w:tcBorders>
              <w:top w:val="single" w:color="auto" w:sz="4" w:space="0"/>
              <w:left w:val="single" w:color="auto" w:sz="4" w:space="0"/>
              <w:bottom w:val="single" w:color="auto" w:sz="4" w:space="0"/>
              <w:right w:val="single" w:color="auto" w:sz="4" w:space="0"/>
            </w:tcBorders>
            <w:noWrap w:val="0"/>
          </w:tcPr>
          <w:p w14:paraId="2C5D52D7">
            <w:pPr>
              <w:spacing w:before="162"/>
              <w:jc w:val="center"/>
              <w:rPr>
                <w:rFonts w:ascii="仿宋_GB2312" w:hAnsi="宋体" w:eastAsia="仿宋_GB2312"/>
              </w:rPr>
            </w:pPr>
          </w:p>
        </w:tc>
      </w:tr>
      <w:tr w14:paraId="3E307D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38" w:type="dxa"/>
            <w:tcBorders>
              <w:top w:val="single" w:color="auto" w:sz="4" w:space="0"/>
              <w:left w:val="single" w:color="auto" w:sz="4" w:space="0"/>
              <w:bottom w:val="single" w:color="auto" w:sz="4" w:space="0"/>
              <w:right w:val="single" w:color="auto" w:sz="4" w:space="0"/>
            </w:tcBorders>
            <w:noWrap w:val="0"/>
          </w:tcPr>
          <w:p w14:paraId="28036F72">
            <w:pPr>
              <w:spacing w:before="162"/>
              <w:jc w:val="center"/>
              <w:rPr>
                <w:rFonts w:ascii="仿宋_GB2312" w:hAnsi="宋体"/>
              </w:rPr>
            </w:pPr>
          </w:p>
        </w:tc>
        <w:tc>
          <w:tcPr>
            <w:tcW w:w="2502" w:type="dxa"/>
            <w:tcBorders>
              <w:top w:val="single" w:color="auto" w:sz="4" w:space="0"/>
              <w:left w:val="single" w:color="auto" w:sz="4" w:space="0"/>
              <w:bottom w:val="single" w:color="auto" w:sz="4" w:space="0"/>
              <w:right w:val="single" w:color="auto" w:sz="4" w:space="0"/>
            </w:tcBorders>
            <w:noWrap w:val="0"/>
          </w:tcPr>
          <w:p w14:paraId="6CF9A76C">
            <w:pPr>
              <w:spacing w:before="162"/>
              <w:jc w:val="center"/>
              <w:rPr>
                <w:rFonts w:ascii="仿宋_GB2312" w:hAnsi="宋体" w:eastAsia="仿宋_GB2312"/>
              </w:rPr>
            </w:pPr>
          </w:p>
        </w:tc>
        <w:tc>
          <w:tcPr>
            <w:tcW w:w="1837" w:type="dxa"/>
            <w:tcBorders>
              <w:top w:val="single" w:color="auto" w:sz="4" w:space="0"/>
              <w:left w:val="single" w:color="auto" w:sz="4" w:space="0"/>
              <w:bottom w:val="single" w:color="auto" w:sz="4" w:space="0"/>
              <w:right w:val="single" w:color="auto" w:sz="4" w:space="0"/>
            </w:tcBorders>
            <w:noWrap w:val="0"/>
          </w:tcPr>
          <w:p w14:paraId="4875F8BA">
            <w:pPr>
              <w:spacing w:before="162"/>
              <w:ind w:left="43"/>
              <w:jc w:val="center"/>
              <w:rPr>
                <w:rFonts w:ascii="仿宋_GB2312" w:hAnsi="宋体" w:eastAsia="仿宋_GB2312"/>
              </w:rPr>
            </w:pPr>
          </w:p>
        </w:tc>
        <w:tc>
          <w:tcPr>
            <w:tcW w:w="2646" w:type="dxa"/>
            <w:tcBorders>
              <w:top w:val="single" w:color="auto" w:sz="4" w:space="0"/>
              <w:left w:val="single" w:color="auto" w:sz="4" w:space="0"/>
              <w:bottom w:val="single" w:color="auto" w:sz="4" w:space="0"/>
              <w:right w:val="single" w:color="auto" w:sz="4" w:space="0"/>
            </w:tcBorders>
            <w:noWrap w:val="0"/>
          </w:tcPr>
          <w:p w14:paraId="601A7830">
            <w:pPr>
              <w:spacing w:before="162"/>
              <w:ind w:left="43"/>
              <w:jc w:val="center"/>
              <w:rPr>
                <w:rFonts w:ascii="仿宋_GB2312" w:hAnsi="宋体" w:eastAsia="仿宋_GB2312"/>
              </w:rPr>
            </w:pPr>
          </w:p>
        </w:tc>
      </w:tr>
      <w:tr w14:paraId="53788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38" w:type="dxa"/>
            <w:tcBorders>
              <w:top w:val="single" w:color="auto" w:sz="4" w:space="0"/>
              <w:left w:val="single" w:color="auto" w:sz="4" w:space="0"/>
              <w:bottom w:val="single" w:color="auto" w:sz="4" w:space="0"/>
              <w:right w:val="single" w:color="auto" w:sz="4" w:space="0"/>
            </w:tcBorders>
            <w:noWrap w:val="0"/>
          </w:tcPr>
          <w:p w14:paraId="56D35B04">
            <w:pPr>
              <w:spacing w:before="162"/>
              <w:jc w:val="center"/>
              <w:rPr>
                <w:rFonts w:ascii="仿宋_GB2312"/>
              </w:rPr>
            </w:pPr>
          </w:p>
        </w:tc>
        <w:tc>
          <w:tcPr>
            <w:tcW w:w="2502" w:type="dxa"/>
            <w:tcBorders>
              <w:top w:val="single" w:color="auto" w:sz="4" w:space="0"/>
              <w:left w:val="single" w:color="auto" w:sz="4" w:space="0"/>
              <w:bottom w:val="single" w:color="auto" w:sz="4" w:space="0"/>
              <w:right w:val="single" w:color="auto" w:sz="4" w:space="0"/>
            </w:tcBorders>
            <w:noWrap w:val="0"/>
          </w:tcPr>
          <w:p w14:paraId="479FD9B5">
            <w:pPr>
              <w:spacing w:before="162"/>
              <w:rPr>
                <w:rFonts w:ascii="仿宋_GB2312" w:hAnsi="宋体"/>
              </w:rPr>
            </w:pPr>
          </w:p>
        </w:tc>
        <w:tc>
          <w:tcPr>
            <w:tcW w:w="1837" w:type="dxa"/>
            <w:tcBorders>
              <w:top w:val="single" w:color="auto" w:sz="4" w:space="0"/>
              <w:left w:val="single" w:color="auto" w:sz="4" w:space="0"/>
              <w:bottom w:val="single" w:color="auto" w:sz="4" w:space="0"/>
              <w:right w:val="single" w:color="auto" w:sz="4" w:space="0"/>
            </w:tcBorders>
            <w:noWrap w:val="0"/>
          </w:tcPr>
          <w:p w14:paraId="6E6E042B">
            <w:pPr>
              <w:spacing w:before="162"/>
              <w:ind w:left="43"/>
              <w:jc w:val="center"/>
              <w:rPr>
                <w:rFonts w:ascii="仿宋_GB2312" w:hAnsi="宋体" w:eastAsia="仿宋_GB2312"/>
              </w:rPr>
            </w:pPr>
          </w:p>
        </w:tc>
        <w:tc>
          <w:tcPr>
            <w:tcW w:w="2646" w:type="dxa"/>
            <w:tcBorders>
              <w:top w:val="single" w:color="auto" w:sz="4" w:space="0"/>
              <w:left w:val="single" w:color="auto" w:sz="4" w:space="0"/>
              <w:bottom w:val="single" w:color="auto" w:sz="4" w:space="0"/>
              <w:right w:val="single" w:color="auto" w:sz="4" w:space="0"/>
            </w:tcBorders>
            <w:noWrap w:val="0"/>
          </w:tcPr>
          <w:p w14:paraId="7945DEA3">
            <w:pPr>
              <w:spacing w:before="162"/>
              <w:ind w:left="43"/>
              <w:jc w:val="center"/>
              <w:rPr>
                <w:rFonts w:ascii="仿宋_GB2312" w:hAnsi="宋体" w:eastAsia="仿宋_GB2312"/>
              </w:rPr>
            </w:pPr>
          </w:p>
        </w:tc>
      </w:tr>
      <w:tr w14:paraId="6AF1D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noWrap w:val="0"/>
          </w:tcPr>
          <w:p w14:paraId="642B1F3B">
            <w:pPr>
              <w:spacing w:before="162"/>
              <w:jc w:val="center"/>
              <w:rPr>
                <w:rFonts w:ascii="仿宋_GB2312"/>
              </w:rPr>
            </w:pPr>
          </w:p>
        </w:tc>
        <w:tc>
          <w:tcPr>
            <w:tcW w:w="2502" w:type="dxa"/>
            <w:tcBorders>
              <w:top w:val="single" w:color="auto" w:sz="4" w:space="0"/>
              <w:left w:val="single" w:color="auto" w:sz="4" w:space="0"/>
              <w:bottom w:val="single" w:color="auto" w:sz="4" w:space="0"/>
              <w:right w:val="single" w:color="auto" w:sz="4" w:space="0"/>
            </w:tcBorders>
            <w:noWrap w:val="0"/>
          </w:tcPr>
          <w:p w14:paraId="2CAA1C6B">
            <w:pPr>
              <w:spacing w:before="162"/>
              <w:rPr>
                <w:rFonts w:ascii="仿宋_GB2312" w:hAnsi="宋体"/>
              </w:rPr>
            </w:pPr>
          </w:p>
        </w:tc>
        <w:tc>
          <w:tcPr>
            <w:tcW w:w="1837" w:type="dxa"/>
            <w:tcBorders>
              <w:top w:val="single" w:color="auto" w:sz="4" w:space="0"/>
              <w:left w:val="single" w:color="auto" w:sz="4" w:space="0"/>
              <w:bottom w:val="single" w:color="auto" w:sz="4" w:space="0"/>
              <w:right w:val="single" w:color="auto" w:sz="4" w:space="0"/>
            </w:tcBorders>
            <w:noWrap w:val="0"/>
          </w:tcPr>
          <w:p w14:paraId="745C4BF7">
            <w:pPr>
              <w:spacing w:before="162"/>
              <w:ind w:left="43"/>
              <w:jc w:val="center"/>
              <w:rPr>
                <w:rFonts w:ascii="仿宋_GB2312" w:hAnsi="宋体" w:eastAsia="仿宋_GB2312"/>
              </w:rPr>
            </w:pPr>
          </w:p>
        </w:tc>
        <w:tc>
          <w:tcPr>
            <w:tcW w:w="2646" w:type="dxa"/>
            <w:tcBorders>
              <w:top w:val="single" w:color="auto" w:sz="4" w:space="0"/>
              <w:left w:val="single" w:color="auto" w:sz="4" w:space="0"/>
              <w:bottom w:val="single" w:color="auto" w:sz="4" w:space="0"/>
              <w:right w:val="single" w:color="auto" w:sz="4" w:space="0"/>
            </w:tcBorders>
            <w:noWrap w:val="0"/>
          </w:tcPr>
          <w:p w14:paraId="11ABFEA5">
            <w:pPr>
              <w:spacing w:before="162"/>
              <w:ind w:left="43"/>
              <w:jc w:val="center"/>
              <w:rPr>
                <w:rFonts w:ascii="仿宋_GB2312" w:hAnsi="宋体" w:eastAsia="仿宋_GB2312"/>
              </w:rPr>
            </w:pPr>
          </w:p>
        </w:tc>
      </w:tr>
      <w:tr w14:paraId="155A0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noWrap w:val="0"/>
          </w:tcPr>
          <w:p w14:paraId="09571896">
            <w:pPr>
              <w:spacing w:before="162"/>
              <w:jc w:val="center"/>
              <w:rPr>
                <w:rFonts w:ascii="仿宋_GB2312" w:hAnsi="宋体" w:eastAsia="仿宋_GB2312"/>
              </w:rPr>
            </w:pPr>
          </w:p>
        </w:tc>
        <w:tc>
          <w:tcPr>
            <w:tcW w:w="2502" w:type="dxa"/>
            <w:tcBorders>
              <w:top w:val="single" w:color="auto" w:sz="4" w:space="0"/>
              <w:left w:val="single" w:color="auto" w:sz="4" w:space="0"/>
              <w:bottom w:val="single" w:color="auto" w:sz="4" w:space="0"/>
              <w:right w:val="single" w:color="auto" w:sz="4" w:space="0"/>
            </w:tcBorders>
            <w:noWrap w:val="0"/>
          </w:tcPr>
          <w:p w14:paraId="4E6C6472">
            <w:pPr>
              <w:spacing w:before="162"/>
              <w:rPr>
                <w:rFonts w:ascii="仿宋_GB2312" w:hAnsi="宋体" w:eastAsia="仿宋_GB2312"/>
              </w:rPr>
            </w:pPr>
          </w:p>
        </w:tc>
        <w:tc>
          <w:tcPr>
            <w:tcW w:w="1837" w:type="dxa"/>
            <w:tcBorders>
              <w:top w:val="single" w:color="auto" w:sz="4" w:space="0"/>
              <w:left w:val="single" w:color="auto" w:sz="4" w:space="0"/>
              <w:bottom w:val="single" w:color="auto" w:sz="4" w:space="0"/>
              <w:right w:val="single" w:color="auto" w:sz="4" w:space="0"/>
            </w:tcBorders>
            <w:noWrap w:val="0"/>
          </w:tcPr>
          <w:p w14:paraId="35D14B67">
            <w:pPr>
              <w:spacing w:before="162"/>
              <w:jc w:val="center"/>
              <w:rPr>
                <w:rFonts w:ascii="仿宋_GB2312" w:hAnsi="宋体" w:eastAsia="仿宋_GB2312"/>
              </w:rPr>
            </w:pPr>
          </w:p>
        </w:tc>
        <w:tc>
          <w:tcPr>
            <w:tcW w:w="2646" w:type="dxa"/>
            <w:tcBorders>
              <w:top w:val="single" w:color="auto" w:sz="4" w:space="0"/>
              <w:left w:val="single" w:color="auto" w:sz="4" w:space="0"/>
              <w:bottom w:val="single" w:color="auto" w:sz="4" w:space="0"/>
              <w:right w:val="single" w:color="auto" w:sz="4" w:space="0"/>
            </w:tcBorders>
            <w:noWrap w:val="0"/>
          </w:tcPr>
          <w:p w14:paraId="5BD64162">
            <w:pPr>
              <w:spacing w:before="162"/>
              <w:jc w:val="center"/>
              <w:rPr>
                <w:rFonts w:ascii="仿宋_GB2312" w:hAnsi="宋体" w:eastAsia="仿宋_GB2312"/>
              </w:rPr>
            </w:pPr>
          </w:p>
        </w:tc>
      </w:tr>
    </w:tbl>
    <w:p w14:paraId="0151B64D">
      <w:pPr>
        <w:rPr>
          <w:rFonts w:hint="eastAsia" w:ascii="宋体" w:hAnsi="宋体"/>
          <w:b/>
          <w:sz w:val="32"/>
          <w:szCs w:val="32"/>
          <w:lang w:val="en-US" w:eastAsia="zh-CN"/>
        </w:rPr>
      </w:pPr>
      <w:r>
        <w:rPr>
          <w:rFonts w:hint="eastAsia" w:ascii="宋体" w:hAnsi="宋体"/>
          <w:b/>
          <w:sz w:val="32"/>
          <w:szCs w:val="32"/>
          <w:lang w:val="en-US" w:eastAsia="zh-CN"/>
        </w:rPr>
        <w:br w:type="page"/>
      </w:r>
    </w:p>
    <w:p w14:paraId="56983FF4">
      <w:pPr>
        <w:jc w:val="center"/>
        <w:rPr>
          <w:rFonts w:ascii="宋体" w:hAnsi="宋体"/>
          <w:b/>
          <w:sz w:val="32"/>
          <w:szCs w:val="32"/>
        </w:rPr>
      </w:pPr>
      <w:r>
        <w:rPr>
          <w:rFonts w:hint="eastAsia" w:ascii="宋体" w:hAnsi="宋体"/>
          <w:b/>
          <w:sz w:val="32"/>
          <w:szCs w:val="32"/>
          <w:lang w:val="en-US" w:eastAsia="zh-CN"/>
        </w:rPr>
        <w:t>六</w:t>
      </w:r>
      <w:r>
        <w:rPr>
          <w:rFonts w:hint="eastAsia" w:ascii="宋体" w:hAnsi="宋体"/>
          <w:b/>
          <w:sz w:val="32"/>
          <w:szCs w:val="32"/>
        </w:rPr>
        <w:t>、主要标的信息（中标后将公示）</w:t>
      </w:r>
    </w:p>
    <w:p w14:paraId="5ACB6B75">
      <w:pPr>
        <w:spacing w:after="325" w:line="360" w:lineRule="auto"/>
        <w:rPr>
          <w:rFonts w:ascii="宋体" w:hAnsi="宋体"/>
          <w:b/>
        </w:rPr>
      </w:pPr>
    </w:p>
    <w:p w14:paraId="534526F7">
      <w:pPr>
        <w:spacing w:after="325" w:line="360" w:lineRule="auto"/>
        <w:rPr>
          <w:rFonts w:ascii="宋体" w:hAnsi="宋体"/>
          <w:b/>
        </w:rPr>
      </w:pPr>
      <w:r>
        <w:rPr>
          <w:rFonts w:hint="eastAsia" w:ascii="宋体" w:hAnsi="宋体"/>
          <w:b/>
        </w:rPr>
        <w:t>投标人全称：</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2"/>
      </w:tblGrid>
      <w:tr w14:paraId="370E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402" w:type="dxa"/>
            <w:shd w:val="clear" w:color="auto" w:fill="auto"/>
            <w:noWrap w:val="0"/>
            <w:vAlign w:val="center"/>
          </w:tcPr>
          <w:p w14:paraId="3C73092A">
            <w:pPr>
              <w:jc w:val="center"/>
              <w:rPr>
                <w:rFonts w:ascii="宋体" w:hAnsi="宋体" w:cs="宋体"/>
                <w:b/>
              </w:rPr>
            </w:pPr>
            <w:r>
              <w:rPr>
                <w:rFonts w:hint="eastAsia" w:ascii="宋体" w:hAnsi="宋体" w:cs="宋体"/>
                <w:b/>
              </w:rPr>
              <w:t>服务类</w:t>
            </w:r>
          </w:p>
        </w:tc>
      </w:tr>
      <w:tr w14:paraId="0751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8402" w:type="dxa"/>
            <w:shd w:val="clear" w:color="auto" w:fill="auto"/>
            <w:noWrap w:val="0"/>
          </w:tcPr>
          <w:p w14:paraId="2C0D0CA0">
            <w:pPr>
              <w:spacing w:line="360" w:lineRule="auto"/>
              <w:rPr>
                <w:rFonts w:ascii="宋体" w:hAnsi="宋体" w:cs="宋体"/>
                <w:b/>
              </w:rPr>
            </w:pPr>
            <w:r>
              <w:rPr>
                <w:rFonts w:hint="eastAsia" w:ascii="宋体" w:hAnsi="宋体" w:cs="宋体"/>
                <w:b/>
              </w:rPr>
              <w:t>名称：</w:t>
            </w:r>
          </w:p>
          <w:p w14:paraId="1EA488AD">
            <w:pPr>
              <w:spacing w:line="360" w:lineRule="auto"/>
              <w:rPr>
                <w:rFonts w:ascii="宋体" w:hAnsi="宋体" w:cs="宋体"/>
                <w:b/>
              </w:rPr>
            </w:pPr>
            <w:r>
              <w:rPr>
                <w:rFonts w:hint="eastAsia" w:ascii="宋体" w:hAnsi="宋体" w:cs="宋体"/>
                <w:b/>
              </w:rPr>
              <w:t>服务范围：</w:t>
            </w:r>
          </w:p>
          <w:p w14:paraId="130EF208">
            <w:pPr>
              <w:spacing w:line="360" w:lineRule="auto"/>
              <w:rPr>
                <w:rFonts w:ascii="宋体" w:hAnsi="宋体" w:cs="宋体"/>
                <w:b/>
                <w:u w:val="single"/>
              </w:rPr>
            </w:pPr>
            <w:r>
              <w:rPr>
                <w:rFonts w:hint="eastAsia" w:ascii="宋体" w:hAnsi="宋体" w:cs="宋体"/>
                <w:b/>
              </w:rPr>
              <w:t>服务要求：</w:t>
            </w:r>
          </w:p>
          <w:p w14:paraId="4DEC5089">
            <w:pPr>
              <w:spacing w:line="360" w:lineRule="auto"/>
              <w:rPr>
                <w:rFonts w:ascii="宋体" w:hAnsi="宋体" w:cs="宋体"/>
                <w:b/>
                <w:u w:val="single"/>
              </w:rPr>
            </w:pPr>
            <w:r>
              <w:rPr>
                <w:rFonts w:hint="eastAsia" w:ascii="宋体" w:hAnsi="宋体" w:cs="宋体"/>
                <w:b/>
              </w:rPr>
              <w:t>服务时间：</w:t>
            </w:r>
          </w:p>
          <w:p w14:paraId="6861A7C8">
            <w:pPr>
              <w:spacing w:line="360" w:lineRule="auto"/>
              <w:rPr>
                <w:rFonts w:ascii="宋体" w:hAnsi="宋体" w:cs="宋体"/>
                <w:b/>
              </w:rPr>
            </w:pPr>
            <w:r>
              <w:rPr>
                <w:rFonts w:hint="eastAsia" w:ascii="宋体" w:hAnsi="宋体" w:cs="宋体"/>
                <w:b/>
              </w:rPr>
              <w:t>服务标准：</w:t>
            </w:r>
          </w:p>
        </w:tc>
      </w:tr>
    </w:tbl>
    <w:p w14:paraId="301BDD99">
      <w:pPr>
        <w:pStyle w:val="19"/>
      </w:pPr>
    </w:p>
    <w:p w14:paraId="68AD8C66">
      <w:pPr>
        <w:spacing w:before="312" w:beforeLines="100" w:after="312" w:afterLines="100" w:line="360" w:lineRule="auto"/>
        <w:jc w:val="center"/>
        <w:rPr>
          <w:rFonts w:hint="eastAsia" w:ascii="宋体" w:hAnsi="宋体" w:cs="宋体"/>
          <w:b/>
          <w:bCs/>
          <w:lang w:val="en-US" w:eastAsia="zh-CN"/>
        </w:rPr>
      </w:pPr>
    </w:p>
    <w:p w14:paraId="2B17CFFE">
      <w:pPr>
        <w:spacing w:before="312" w:beforeLines="100" w:after="312" w:afterLines="100" w:line="360" w:lineRule="auto"/>
        <w:jc w:val="center"/>
        <w:rPr>
          <w:rFonts w:hint="eastAsia" w:ascii="宋体" w:hAnsi="宋体" w:cs="宋体"/>
          <w:b/>
          <w:bCs/>
          <w:lang w:val="en-US" w:eastAsia="zh-CN"/>
        </w:rPr>
      </w:pPr>
    </w:p>
    <w:p w14:paraId="38701274">
      <w:pPr>
        <w:rPr>
          <w:rFonts w:hint="eastAsia" w:ascii="宋体" w:hAnsi="宋体" w:cs="宋体"/>
          <w:b/>
          <w:bCs/>
          <w:lang w:val="en-US" w:eastAsia="zh-CN"/>
        </w:rPr>
      </w:pPr>
      <w:r>
        <w:rPr>
          <w:rFonts w:hint="eastAsia" w:ascii="宋体" w:hAnsi="宋体" w:cs="宋体"/>
          <w:b/>
          <w:bCs/>
          <w:lang w:val="en-US" w:eastAsia="zh-CN"/>
        </w:rPr>
        <w:br w:type="page"/>
      </w:r>
    </w:p>
    <w:p w14:paraId="0945DE01">
      <w:pPr>
        <w:spacing w:before="312" w:beforeLines="100" w:after="312" w:afterLines="100" w:line="360" w:lineRule="auto"/>
        <w:jc w:val="center"/>
        <w:rPr>
          <w:rFonts w:hint="eastAsia" w:ascii="宋体" w:hAnsi="宋体" w:cs="宋体"/>
          <w:b/>
          <w:bCs/>
        </w:rPr>
      </w:pPr>
      <w:r>
        <w:rPr>
          <w:rFonts w:hint="eastAsia" w:ascii="宋体" w:hAnsi="宋体" w:cs="宋体"/>
          <w:b/>
          <w:bCs/>
          <w:lang w:val="en-US" w:eastAsia="zh-CN"/>
        </w:rPr>
        <w:t>七</w:t>
      </w:r>
      <w:r>
        <w:rPr>
          <w:rFonts w:hint="eastAsia" w:ascii="宋体" w:hAnsi="宋体" w:cs="宋体"/>
          <w:b/>
          <w:bCs/>
        </w:rPr>
        <w:t>、项目实施方案</w:t>
      </w:r>
    </w:p>
    <w:p w14:paraId="6528939C">
      <w:pPr>
        <w:spacing w:before="312" w:beforeLines="100" w:after="312" w:afterLines="100" w:line="360" w:lineRule="auto"/>
        <w:jc w:val="center"/>
      </w:pPr>
      <w:r>
        <w:rPr>
          <w:rFonts w:hint="eastAsia" w:ascii="宋体" w:hAnsi="宋体" w:cs="宋体"/>
          <w:b/>
          <w:bCs/>
        </w:rPr>
        <w:t>（根据本采购文件，投标供应商自行编制</w:t>
      </w:r>
      <w:r>
        <w:rPr>
          <w:rFonts w:hint="eastAsia" w:ascii="宋体" w:hAnsi="宋体" w:cs="宋体"/>
          <w:b/>
          <w:bCs/>
          <w:lang w:eastAsia="zh-CN"/>
        </w:rPr>
        <w:t>）</w:t>
      </w:r>
    </w:p>
    <w:sectPr>
      <w:headerReference r:id="rId7" w:type="default"/>
      <w:footerReference r:id="rId8"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MV Boli"/>
    <w:panose1 w:val="02020500000000000000"/>
    <w:charset w:val="00"/>
    <w:family w:val="auto"/>
    <w:pitch w:val="default"/>
    <w:sig w:usb0="00000000" w:usb1="00000000" w:usb2="00000000" w:usb3="00000000" w:csb0="00000000" w:csb1="00000000"/>
  </w:font>
  <w:font w:name="MV Boli">
    <w:panose1 w:val="02000500030200090000"/>
    <w:charset w:val="00"/>
    <w:family w:val="auto"/>
    <w:pitch w:val="default"/>
    <w:sig w:usb0="00000003" w:usb1="00000000" w:usb2="00000100" w:usb3="00000000" w:csb0="0000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504020202030204"/>
    <w:charset w:val="00"/>
    <w:family w:val="swiss"/>
    <w:pitch w:val="default"/>
    <w:sig w:usb0="00000000"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5089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F2C2A">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1897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6D1897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7C081">
    <w:pPr>
      <w:pStyle w:val="9"/>
      <w:spacing w:line="14" w:lineRule="auto"/>
      <w:rPr>
        <w:rFonts w:hint="eastAsia"/>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10FB7">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E1448">
                          <w:pPr>
                            <w:pStyle w:val="1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1AE1448">
                    <w:pPr>
                      <w:pStyle w:val="1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FA9C2">
    <w:pPr>
      <w:pStyle w:val="18"/>
      <w:jc w:val="right"/>
      <w:rPr>
        <w:rFonts w:hint="eastAsia" w:ascii="宋体" w:hAnsi="宋体" w:cs="宋体"/>
      </w:rPr>
    </w:pPr>
  </w:p>
  <w:p w14:paraId="52404D1E">
    <w:pPr>
      <w:pStyle w:val="18"/>
      <w:jc w:val="right"/>
      <w:rPr>
        <w:rFonts w:hint="eastAsia" w:ascii="宋体" w:hAnsi="宋体" w:cs="宋体"/>
      </w:rPr>
    </w:pPr>
    <w:r>
      <w:rPr>
        <w:rFonts w:hint="eastAsia" w:ascii="宋体" w:hAnsi="宋体" w:cs="宋体"/>
      </w:rPr>
      <w:t>JSZC-321012-YZCC-C2025-0011江苏辰诚工程咨询有限公司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AE1DE">
    <w:pPr>
      <w:pStyle w:val="18"/>
      <w:jc w:val="right"/>
      <w:rPr>
        <w:rFonts w:hint="eastAsia" w:ascii="宋体" w:hAnsi="宋体" w:cs="宋体"/>
      </w:rPr>
    </w:pPr>
    <w:r>
      <w:rPr>
        <w:rFonts w:hint="eastAsia" w:ascii="宋体" w:hAnsi="宋体" w:cs="宋体"/>
      </w:rPr>
      <w:t>JSZC-321012-YZCC-C2025-0011江苏辰诚工程咨询有限公司</w:t>
    </w:r>
  </w:p>
  <w:p w14:paraId="53871CF2">
    <w:pPr>
      <w:pStyle w:val="1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DBB299"/>
    <w:multiLevelType w:val="singleLevel"/>
    <w:tmpl w:val="EDDBB299"/>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1">
    <w:nsid w:val="59ADCABA"/>
    <w:multiLevelType w:val="multilevel"/>
    <w:tmpl w:val="59ADCABA"/>
    <w:lvl w:ilvl="0" w:tentative="0">
      <w:start w:val="2"/>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aka NI">
    <w15:presenceInfo w15:providerId="Windows Live" w15:userId="fae7dab5485fc4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FjZGFiOWVlNGY3NDFmY2NkNGRmODA5NmRlNjM5NWQifQ=="/>
  </w:docVars>
  <w:rsids>
    <w:rsidRoot w:val="00172A27"/>
    <w:rsid w:val="00017EBE"/>
    <w:rsid w:val="000268BD"/>
    <w:rsid w:val="00031CA1"/>
    <w:rsid w:val="000537FE"/>
    <w:rsid w:val="00053A1F"/>
    <w:rsid w:val="00056324"/>
    <w:rsid w:val="00072094"/>
    <w:rsid w:val="00073F44"/>
    <w:rsid w:val="00076424"/>
    <w:rsid w:val="00083944"/>
    <w:rsid w:val="000865FF"/>
    <w:rsid w:val="000970C7"/>
    <w:rsid w:val="000A0792"/>
    <w:rsid w:val="000A1751"/>
    <w:rsid w:val="000A7946"/>
    <w:rsid w:val="000B1430"/>
    <w:rsid w:val="000B7C83"/>
    <w:rsid w:val="000C50B1"/>
    <w:rsid w:val="000F0362"/>
    <w:rsid w:val="000F0E8F"/>
    <w:rsid w:val="000F1113"/>
    <w:rsid w:val="00101162"/>
    <w:rsid w:val="00102E14"/>
    <w:rsid w:val="001037F7"/>
    <w:rsid w:val="0011331A"/>
    <w:rsid w:val="00120D72"/>
    <w:rsid w:val="0013192B"/>
    <w:rsid w:val="001330AE"/>
    <w:rsid w:val="00137DD7"/>
    <w:rsid w:val="00146A3B"/>
    <w:rsid w:val="00154EE3"/>
    <w:rsid w:val="0015636B"/>
    <w:rsid w:val="001708F0"/>
    <w:rsid w:val="00172A27"/>
    <w:rsid w:val="00175842"/>
    <w:rsid w:val="00180129"/>
    <w:rsid w:val="00195478"/>
    <w:rsid w:val="001A067C"/>
    <w:rsid w:val="001A7F2A"/>
    <w:rsid w:val="001C061D"/>
    <w:rsid w:val="001D029D"/>
    <w:rsid w:val="001E7903"/>
    <w:rsid w:val="001F4167"/>
    <w:rsid w:val="0020119F"/>
    <w:rsid w:val="00207C90"/>
    <w:rsid w:val="00234833"/>
    <w:rsid w:val="002402F7"/>
    <w:rsid w:val="00243E1B"/>
    <w:rsid w:val="002458B9"/>
    <w:rsid w:val="00245C0C"/>
    <w:rsid w:val="00252595"/>
    <w:rsid w:val="00266B86"/>
    <w:rsid w:val="00270BE1"/>
    <w:rsid w:val="0027247F"/>
    <w:rsid w:val="002747F7"/>
    <w:rsid w:val="00291A97"/>
    <w:rsid w:val="00295318"/>
    <w:rsid w:val="002A1EBB"/>
    <w:rsid w:val="002A2C32"/>
    <w:rsid w:val="002A4207"/>
    <w:rsid w:val="002C4615"/>
    <w:rsid w:val="002D5438"/>
    <w:rsid w:val="002E4AC6"/>
    <w:rsid w:val="002F3308"/>
    <w:rsid w:val="00304F6A"/>
    <w:rsid w:val="00306AFD"/>
    <w:rsid w:val="00317062"/>
    <w:rsid w:val="00322104"/>
    <w:rsid w:val="00331980"/>
    <w:rsid w:val="0033527C"/>
    <w:rsid w:val="0033682C"/>
    <w:rsid w:val="00340311"/>
    <w:rsid w:val="00343696"/>
    <w:rsid w:val="00351F16"/>
    <w:rsid w:val="0036307B"/>
    <w:rsid w:val="00364839"/>
    <w:rsid w:val="003966EB"/>
    <w:rsid w:val="003A288B"/>
    <w:rsid w:val="003B74CA"/>
    <w:rsid w:val="003F1479"/>
    <w:rsid w:val="003F4D21"/>
    <w:rsid w:val="0042703D"/>
    <w:rsid w:val="004528C3"/>
    <w:rsid w:val="004717B0"/>
    <w:rsid w:val="00474BA8"/>
    <w:rsid w:val="00476039"/>
    <w:rsid w:val="00492B51"/>
    <w:rsid w:val="00497DF8"/>
    <w:rsid w:val="004B1543"/>
    <w:rsid w:val="004B7E40"/>
    <w:rsid w:val="004D7D94"/>
    <w:rsid w:val="004E2172"/>
    <w:rsid w:val="004E50DD"/>
    <w:rsid w:val="004F3E29"/>
    <w:rsid w:val="00504EC1"/>
    <w:rsid w:val="00506517"/>
    <w:rsid w:val="00514A15"/>
    <w:rsid w:val="00516CCF"/>
    <w:rsid w:val="00533DA4"/>
    <w:rsid w:val="00536B43"/>
    <w:rsid w:val="005435D2"/>
    <w:rsid w:val="00550721"/>
    <w:rsid w:val="00557217"/>
    <w:rsid w:val="0056466B"/>
    <w:rsid w:val="0058683D"/>
    <w:rsid w:val="005A1D93"/>
    <w:rsid w:val="005A70D3"/>
    <w:rsid w:val="005B53EE"/>
    <w:rsid w:val="005C5DAF"/>
    <w:rsid w:val="005D28DA"/>
    <w:rsid w:val="00600275"/>
    <w:rsid w:val="006015F4"/>
    <w:rsid w:val="00614767"/>
    <w:rsid w:val="00622442"/>
    <w:rsid w:val="006349B4"/>
    <w:rsid w:val="006402ED"/>
    <w:rsid w:val="00642FC6"/>
    <w:rsid w:val="00644FFF"/>
    <w:rsid w:val="00661982"/>
    <w:rsid w:val="00690A92"/>
    <w:rsid w:val="006A154B"/>
    <w:rsid w:val="006A1A23"/>
    <w:rsid w:val="006A44C3"/>
    <w:rsid w:val="006C4DFE"/>
    <w:rsid w:val="006C706A"/>
    <w:rsid w:val="006E4736"/>
    <w:rsid w:val="006E7683"/>
    <w:rsid w:val="006F06D1"/>
    <w:rsid w:val="007221C2"/>
    <w:rsid w:val="0073582B"/>
    <w:rsid w:val="00736043"/>
    <w:rsid w:val="00753126"/>
    <w:rsid w:val="00764CC3"/>
    <w:rsid w:val="00780CA2"/>
    <w:rsid w:val="00782EAB"/>
    <w:rsid w:val="00792A60"/>
    <w:rsid w:val="007A5800"/>
    <w:rsid w:val="007D1F42"/>
    <w:rsid w:val="007F6302"/>
    <w:rsid w:val="00800972"/>
    <w:rsid w:val="008038F6"/>
    <w:rsid w:val="008064F7"/>
    <w:rsid w:val="00807DBB"/>
    <w:rsid w:val="00811D0D"/>
    <w:rsid w:val="0083142A"/>
    <w:rsid w:val="008519D6"/>
    <w:rsid w:val="0086334C"/>
    <w:rsid w:val="0087784C"/>
    <w:rsid w:val="0088054E"/>
    <w:rsid w:val="00887F5F"/>
    <w:rsid w:val="00892E26"/>
    <w:rsid w:val="00894344"/>
    <w:rsid w:val="008970BF"/>
    <w:rsid w:val="008A6F36"/>
    <w:rsid w:val="008C46A7"/>
    <w:rsid w:val="008C68A7"/>
    <w:rsid w:val="008D09D1"/>
    <w:rsid w:val="008D3215"/>
    <w:rsid w:val="008D6460"/>
    <w:rsid w:val="008E6FCE"/>
    <w:rsid w:val="008F1705"/>
    <w:rsid w:val="008F1E50"/>
    <w:rsid w:val="008F6EE1"/>
    <w:rsid w:val="00901386"/>
    <w:rsid w:val="009375B6"/>
    <w:rsid w:val="00942B50"/>
    <w:rsid w:val="00952F8A"/>
    <w:rsid w:val="00966E04"/>
    <w:rsid w:val="00973682"/>
    <w:rsid w:val="00976E7E"/>
    <w:rsid w:val="00984D22"/>
    <w:rsid w:val="00986057"/>
    <w:rsid w:val="009863F0"/>
    <w:rsid w:val="009922C5"/>
    <w:rsid w:val="009935D0"/>
    <w:rsid w:val="00996503"/>
    <w:rsid w:val="009A2DDE"/>
    <w:rsid w:val="009C57F5"/>
    <w:rsid w:val="009E5E3B"/>
    <w:rsid w:val="009F2104"/>
    <w:rsid w:val="009F7FC5"/>
    <w:rsid w:val="00A64FC9"/>
    <w:rsid w:val="00A719AF"/>
    <w:rsid w:val="00A726AC"/>
    <w:rsid w:val="00A7697C"/>
    <w:rsid w:val="00A81BC4"/>
    <w:rsid w:val="00A83360"/>
    <w:rsid w:val="00A870F8"/>
    <w:rsid w:val="00A93627"/>
    <w:rsid w:val="00A94EED"/>
    <w:rsid w:val="00AB5D18"/>
    <w:rsid w:val="00AB7696"/>
    <w:rsid w:val="00AC00E2"/>
    <w:rsid w:val="00AC74DB"/>
    <w:rsid w:val="00AD0928"/>
    <w:rsid w:val="00AD2F6C"/>
    <w:rsid w:val="00AD4F99"/>
    <w:rsid w:val="00AE30FD"/>
    <w:rsid w:val="00AE3171"/>
    <w:rsid w:val="00B01C5A"/>
    <w:rsid w:val="00B033B6"/>
    <w:rsid w:val="00B22EB0"/>
    <w:rsid w:val="00B264B7"/>
    <w:rsid w:val="00B27FEE"/>
    <w:rsid w:val="00B360FC"/>
    <w:rsid w:val="00B50FF0"/>
    <w:rsid w:val="00B557DD"/>
    <w:rsid w:val="00B55B66"/>
    <w:rsid w:val="00B606E0"/>
    <w:rsid w:val="00B77C1F"/>
    <w:rsid w:val="00B81469"/>
    <w:rsid w:val="00BA0E8C"/>
    <w:rsid w:val="00BA6E27"/>
    <w:rsid w:val="00BC76F1"/>
    <w:rsid w:val="00BD3569"/>
    <w:rsid w:val="00BE3EC6"/>
    <w:rsid w:val="00C05DEC"/>
    <w:rsid w:val="00C1666E"/>
    <w:rsid w:val="00C2284D"/>
    <w:rsid w:val="00C34879"/>
    <w:rsid w:val="00C53E08"/>
    <w:rsid w:val="00C6692C"/>
    <w:rsid w:val="00C678E0"/>
    <w:rsid w:val="00C75E91"/>
    <w:rsid w:val="00C844E8"/>
    <w:rsid w:val="00C87AF7"/>
    <w:rsid w:val="00C92BE5"/>
    <w:rsid w:val="00C9589C"/>
    <w:rsid w:val="00CA099C"/>
    <w:rsid w:val="00CB01C3"/>
    <w:rsid w:val="00CB5AA2"/>
    <w:rsid w:val="00CF2F4B"/>
    <w:rsid w:val="00CF3877"/>
    <w:rsid w:val="00D04C8C"/>
    <w:rsid w:val="00D20324"/>
    <w:rsid w:val="00D22861"/>
    <w:rsid w:val="00D256EB"/>
    <w:rsid w:val="00D37D87"/>
    <w:rsid w:val="00D64CD9"/>
    <w:rsid w:val="00D66706"/>
    <w:rsid w:val="00D7721D"/>
    <w:rsid w:val="00D94CCD"/>
    <w:rsid w:val="00DA768C"/>
    <w:rsid w:val="00DC266F"/>
    <w:rsid w:val="00DC2D7D"/>
    <w:rsid w:val="00DD5773"/>
    <w:rsid w:val="00DF449D"/>
    <w:rsid w:val="00DF71AA"/>
    <w:rsid w:val="00E020C6"/>
    <w:rsid w:val="00E3172C"/>
    <w:rsid w:val="00E4437A"/>
    <w:rsid w:val="00E4563B"/>
    <w:rsid w:val="00E93A97"/>
    <w:rsid w:val="00EA26F8"/>
    <w:rsid w:val="00EA53BB"/>
    <w:rsid w:val="00ED1DEA"/>
    <w:rsid w:val="00ED469C"/>
    <w:rsid w:val="00ED5B22"/>
    <w:rsid w:val="00EE46CD"/>
    <w:rsid w:val="00EF5972"/>
    <w:rsid w:val="00F13953"/>
    <w:rsid w:val="00F163EB"/>
    <w:rsid w:val="00F56BC7"/>
    <w:rsid w:val="00F75834"/>
    <w:rsid w:val="00F80456"/>
    <w:rsid w:val="00F87AF6"/>
    <w:rsid w:val="00FA4B71"/>
    <w:rsid w:val="00FB41E2"/>
    <w:rsid w:val="00FD286A"/>
    <w:rsid w:val="00FD5D74"/>
    <w:rsid w:val="00FE4539"/>
    <w:rsid w:val="00FF3889"/>
    <w:rsid w:val="01180B1A"/>
    <w:rsid w:val="011949CD"/>
    <w:rsid w:val="011D7684"/>
    <w:rsid w:val="011E1F35"/>
    <w:rsid w:val="012B37BB"/>
    <w:rsid w:val="01501D94"/>
    <w:rsid w:val="01787946"/>
    <w:rsid w:val="018A58CB"/>
    <w:rsid w:val="01A8157A"/>
    <w:rsid w:val="01D775B9"/>
    <w:rsid w:val="020D5E09"/>
    <w:rsid w:val="02127F01"/>
    <w:rsid w:val="022C6982"/>
    <w:rsid w:val="02355837"/>
    <w:rsid w:val="023A4B2A"/>
    <w:rsid w:val="02402D97"/>
    <w:rsid w:val="028F64B6"/>
    <w:rsid w:val="02B74ED6"/>
    <w:rsid w:val="02CC3E6E"/>
    <w:rsid w:val="02E056D8"/>
    <w:rsid w:val="030E1890"/>
    <w:rsid w:val="03174F3D"/>
    <w:rsid w:val="03186824"/>
    <w:rsid w:val="03307761"/>
    <w:rsid w:val="03337456"/>
    <w:rsid w:val="035B24B9"/>
    <w:rsid w:val="039C353E"/>
    <w:rsid w:val="03AC3B74"/>
    <w:rsid w:val="03BF030E"/>
    <w:rsid w:val="03C03826"/>
    <w:rsid w:val="03C83CE1"/>
    <w:rsid w:val="04016CD1"/>
    <w:rsid w:val="041616A2"/>
    <w:rsid w:val="042A0FA3"/>
    <w:rsid w:val="042F62B6"/>
    <w:rsid w:val="04585B40"/>
    <w:rsid w:val="045D1075"/>
    <w:rsid w:val="047B14FB"/>
    <w:rsid w:val="049A4077"/>
    <w:rsid w:val="04B2316F"/>
    <w:rsid w:val="04CA2A02"/>
    <w:rsid w:val="04D806FC"/>
    <w:rsid w:val="04F56B48"/>
    <w:rsid w:val="057535D9"/>
    <w:rsid w:val="05827DBE"/>
    <w:rsid w:val="05B253F0"/>
    <w:rsid w:val="05D11F85"/>
    <w:rsid w:val="05EA6DA0"/>
    <w:rsid w:val="05F214A8"/>
    <w:rsid w:val="066845F6"/>
    <w:rsid w:val="06E27307"/>
    <w:rsid w:val="072D4D2F"/>
    <w:rsid w:val="073773C6"/>
    <w:rsid w:val="073E22E9"/>
    <w:rsid w:val="07865251"/>
    <w:rsid w:val="079527E5"/>
    <w:rsid w:val="07A10511"/>
    <w:rsid w:val="07B64F7B"/>
    <w:rsid w:val="07FE203C"/>
    <w:rsid w:val="080A7EEE"/>
    <w:rsid w:val="08120FEA"/>
    <w:rsid w:val="084266A0"/>
    <w:rsid w:val="086F5AA8"/>
    <w:rsid w:val="08AA76E8"/>
    <w:rsid w:val="08C50A4C"/>
    <w:rsid w:val="08D02BA5"/>
    <w:rsid w:val="08D05DD0"/>
    <w:rsid w:val="08D81A82"/>
    <w:rsid w:val="08F90913"/>
    <w:rsid w:val="09024FE8"/>
    <w:rsid w:val="09112901"/>
    <w:rsid w:val="0916514E"/>
    <w:rsid w:val="09167A44"/>
    <w:rsid w:val="09267C87"/>
    <w:rsid w:val="09397F4D"/>
    <w:rsid w:val="094A5B86"/>
    <w:rsid w:val="09552E63"/>
    <w:rsid w:val="09897F4C"/>
    <w:rsid w:val="09924FA7"/>
    <w:rsid w:val="0998157E"/>
    <w:rsid w:val="09AC0CFD"/>
    <w:rsid w:val="09C474A0"/>
    <w:rsid w:val="0A0D6E70"/>
    <w:rsid w:val="0A107B13"/>
    <w:rsid w:val="0A1D566E"/>
    <w:rsid w:val="0A2763AD"/>
    <w:rsid w:val="0A495C3D"/>
    <w:rsid w:val="0A4B7E76"/>
    <w:rsid w:val="0A567061"/>
    <w:rsid w:val="0A6115CE"/>
    <w:rsid w:val="0A636CB9"/>
    <w:rsid w:val="0A655ED0"/>
    <w:rsid w:val="0A6A2EFD"/>
    <w:rsid w:val="0AB13E68"/>
    <w:rsid w:val="0AE06FD9"/>
    <w:rsid w:val="0AF26579"/>
    <w:rsid w:val="0AF67B2D"/>
    <w:rsid w:val="0B0131EF"/>
    <w:rsid w:val="0B3B3792"/>
    <w:rsid w:val="0B5174E5"/>
    <w:rsid w:val="0B6144EB"/>
    <w:rsid w:val="0B7972B0"/>
    <w:rsid w:val="0BB377CC"/>
    <w:rsid w:val="0BD936D7"/>
    <w:rsid w:val="0BFB3E07"/>
    <w:rsid w:val="0C0F46A2"/>
    <w:rsid w:val="0C2D5688"/>
    <w:rsid w:val="0C2D6F78"/>
    <w:rsid w:val="0C3152C1"/>
    <w:rsid w:val="0C422E20"/>
    <w:rsid w:val="0C9910B8"/>
    <w:rsid w:val="0CA1506B"/>
    <w:rsid w:val="0CAD246E"/>
    <w:rsid w:val="0CCB3AD1"/>
    <w:rsid w:val="0CE7275E"/>
    <w:rsid w:val="0CF13FF1"/>
    <w:rsid w:val="0D284781"/>
    <w:rsid w:val="0D780392"/>
    <w:rsid w:val="0D8B7321"/>
    <w:rsid w:val="0DA20EF3"/>
    <w:rsid w:val="0DA46866"/>
    <w:rsid w:val="0DA64D2A"/>
    <w:rsid w:val="0E2651F7"/>
    <w:rsid w:val="0E2E256F"/>
    <w:rsid w:val="0E666BBE"/>
    <w:rsid w:val="0E6E27CC"/>
    <w:rsid w:val="0E707DDE"/>
    <w:rsid w:val="0E7100F3"/>
    <w:rsid w:val="0EB11954"/>
    <w:rsid w:val="0EB43F87"/>
    <w:rsid w:val="0EC713B1"/>
    <w:rsid w:val="0EF51CF5"/>
    <w:rsid w:val="0F2E3D3B"/>
    <w:rsid w:val="0F504A3B"/>
    <w:rsid w:val="0F655282"/>
    <w:rsid w:val="0F700D08"/>
    <w:rsid w:val="0F7C56F1"/>
    <w:rsid w:val="0F7D0389"/>
    <w:rsid w:val="0F8E33F8"/>
    <w:rsid w:val="0FA42272"/>
    <w:rsid w:val="0FAB0F38"/>
    <w:rsid w:val="0FAC466A"/>
    <w:rsid w:val="0FB00BF3"/>
    <w:rsid w:val="0FC91CB4"/>
    <w:rsid w:val="0FD824D4"/>
    <w:rsid w:val="0FFF32EC"/>
    <w:rsid w:val="10021B5E"/>
    <w:rsid w:val="10047F17"/>
    <w:rsid w:val="10256AF3"/>
    <w:rsid w:val="10344E20"/>
    <w:rsid w:val="1047079D"/>
    <w:rsid w:val="10487E27"/>
    <w:rsid w:val="104F56D8"/>
    <w:rsid w:val="10BC161C"/>
    <w:rsid w:val="10C270C8"/>
    <w:rsid w:val="10C333FD"/>
    <w:rsid w:val="10ED3781"/>
    <w:rsid w:val="11054EA1"/>
    <w:rsid w:val="110B69CC"/>
    <w:rsid w:val="11222C25"/>
    <w:rsid w:val="11327032"/>
    <w:rsid w:val="11411037"/>
    <w:rsid w:val="11474A9E"/>
    <w:rsid w:val="117864E4"/>
    <w:rsid w:val="1188174B"/>
    <w:rsid w:val="11A71793"/>
    <w:rsid w:val="11AA39E6"/>
    <w:rsid w:val="11C30945"/>
    <w:rsid w:val="11C73E1B"/>
    <w:rsid w:val="11D72B1A"/>
    <w:rsid w:val="11DF756D"/>
    <w:rsid w:val="1265085E"/>
    <w:rsid w:val="12727AD6"/>
    <w:rsid w:val="12834254"/>
    <w:rsid w:val="12B72298"/>
    <w:rsid w:val="12FC7CAB"/>
    <w:rsid w:val="13132E47"/>
    <w:rsid w:val="13142835"/>
    <w:rsid w:val="131D034D"/>
    <w:rsid w:val="138478CB"/>
    <w:rsid w:val="13892ED4"/>
    <w:rsid w:val="13BA6BA4"/>
    <w:rsid w:val="13FF2900"/>
    <w:rsid w:val="145B2E44"/>
    <w:rsid w:val="1470383A"/>
    <w:rsid w:val="14725B85"/>
    <w:rsid w:val="147E1E70"/>
    <w:rsid w:val="149F1723"/>
    <w:rsid w:val="14AD5701"/>
    <w:rsid w:val="14BE346A"/>
    <w:rsid w:val="14D02DF5"/>
    <w:rsid w:val="14D656DC"/>
    <w:rsid w:val="14E153AA"/>
    <w:rsid w:val="14E462DE"/>
    <w:rsid w:val="14E92A01"/>
    <w:rsid w:val="150B30FD"/>
    <w:rsid w:val="151C4634"/>
    <w:rsid w:val="153C0833"/>
    <w:rsid w:val="155A0390"/>
    <w:rsid w:val="15681628"/>
    <w:rsid w:val="156F3779"/>
    <w:rsid w:val="156F4D92"/>
    <w:rsid w:val="15A277CB"/>
    <w:rsid w:val="15B10A56"/>
    <w:rsid w:val="15D05B95"/>
    <w:rsid w:val="15D27A5A"/>
    <w:rsid w:val="15F03591"/>
    <w:rsid w:val="15F3739D"/>
    <w:rsid w:val="160016E7"/>
    <w:rsid w:val="162B2D81"/>
    <w:rsid w:val="16414AC9"/>
    <w:rsid w:val="166E7834"/>
    <w:rsid w:val="16911033"/>
    <w:rsid w:val="16A20124"/>
    <w:rsid w:val="16B27076"/>
    <w:rsid w:val="16F844B6"/>
    <w:rsid w:val="16FA0730"/>
    <w:rsid w:val="17354287"/>
    <w:rsid w:val="175B58E8"/>
    <w:rsid w:val="176606C2"/>
    <w:rsid w:val="17A27315"/>
    <w:rsid w:val="17A70B2D"/>
    <w:rsid w:val="17C121EB"/>
    <w:rsid w:val="17CF598E"/>
    <w:rsid w:val="17E841F0"/>
    <w:rsid w:val="181C50A0"/>
    <w:rsid w:val="18380CFF"/>
    <w:rsid w:val="18695DE3"/>
    <w:rsid w:val="186C031E"/>
    <w:rsid w:val="18EA6707"/>
    <w:rsid w:val="18EB2C9C"/>
    <w:rsid w:val="18EB67F8"/>
    <w:rsid w:val="19041EED"/>
    <w:rsid w:val="192D0BBE"/>
    <w:rsid w:val="192E32F7"/>
    <w:rsid w:val="19432E97"/>
    <w:rsid w:val="19514E64"/>
    <w:rsid w:val="19756B66"/>
    <w:rsid w:val="1986237F"/>
    <w:rsid w:val="19AF1F1B"/>
    <w:rsid w:val="19DE5E98"/>
    <w:rsid w:val="19F25175"/>
    <w:rsid w:val="19FC3851"/>
    <w:rsid w:val="1A1020E3"/>
    <w:rsid w:val="1A2D2038"/>
    <w:rsid w:val="1A2F42DE"/>
    <w:rsid w:val="1A351ED8"/>
    <w:rsid w:val="1A457E1B"/>
    <w:rsid w:val="1A824D0D"/>
    <w:rsid w:val="1AA00F10"/>
    <w:rsid w:val="1AB25060"/>
    <w:rsid w:val="1ADA59F3"/>
    <w:rsid w:val="1AF75928"/>
    <w:rsid w:val="1B010C69"/>
    <w:rsid w:val="1B1E113A"/>
    <w:rsid w:val="1B261D69"/>
    <w:rsid w:val="1B2D4F21"/>
    <w:rsid w:val="1B397CEE"/>
    <w:rsid w:val="1B4B6E23"/>
    <w:rsid w:val="1B4F2112"/>
    <w:rsid w:val="1B4F5E37"/>
    <w:rsid w:val="1B79346B"/>
    <w:rsid w:val="1B8508F4"/>
    <w:rsid w:val="1BA548B0"/>
    <w:rsid w:val="1BD87507"/>
    <w:rsid w:val="1BDD18D3"/>
    <w:rsid w:val="1BEE5ADA"/>
    <w:rsid w:val="1BF22D13"/>
    <w:rsid w:val="1C183DA8"/>
    <w:rsid w:val="1C275D99"/>
    <w:rsid w:val="1C2F586E"/>
    <w:rsid w:val="1C6F1C62"/>
    <w:rsid w:val="1C953F8F"/>
    <w:rsid w:val="1CAF6F51"/>
    <w:rsid w:val="1CCC5E30"/>
    <w:rsid w:val="1CF10D25"/>
    <w:rsid w:val="1D052203"/>
    <w:rsid w:val="1D5C5B54"/>
    <w:rsid w:val="1D6637F5"/>
    <w:rsid w:val="1D9C6CB1"/>
    <w:rsid w:val="1DB55314"/>
    <w:rsid w:val="1DBA19F5"/>
    <w:rsid w:val="1DC35F95"/>
    <w:rsid w:val="1DC6338F"/>
    <w:rsid w:val="1DFF0240"/>
    <w:rsid w:val="1E286E22"/>
    <w:rsid w:val="1E2F7187"/>
    <w:rsid w:val="1E3C6CC4"/>
    <w:rsid w:val="1E420811"/>
    <w:rsid w:val="1E5C0ECF"/>
    <w:rsid w:val="1E6E4153"/>
    <w:rsid w:val="1E7B7E48"/>
    <w:rsid w:val="1E7E5238"/>
    <w:rsid w:val="1E835AD3"/>
    <w:rsid w:val="1E9E4585"/>
    <w:rsid w:val="1EA62476"/>
    <w:rsid w:val="1EB27374"/>
    <w:rsid w:val="1ED8164D"/>
    <w:rsid w:val="1F0A5D4D"/>
    <w:rsid w:val="1F330EF8"/>
    <w:rsid w:val="1F4E2966"/>
    <w:rsid w:val="1F8A4856"/>
    <w:rsid w:val="1F912407"/>
    <w:rsid w:val="1FCF643E"/>
    <w:rsid w:val="1FEA0829"/>
    <w:rsid w:val="20714D14"/>
    <w:rsid w:val="207B2B57"/>
    <w:rsid w:val="20835478"/>
    <w:rsid w:val="2093370A"/>
    <w:rsid w:val="20BF360F"/>
    <w:rsid w:val="20C503F6"/>
    <w:rsid w:val="20D70B9B"/>
    <w:rsid w:val="20D9162C"/>
    <w:rsid w:val="20DA3C69"/>
    <w:rsid w:val="20E1319C"/>
    <w:rsid w:val="20E500A4"/>
    <w:rsid w:val="20F56D94"/>
    <w:rsid w:val="20FD356C"/>
    <w:rsid w:val="21097FEF"/>
    <w:rsid w:val="213F5933"/>
    <w:rsid w:val="21527041"/>
    <w:rsid w:val="218220B4"/>
    <w:rsid w:val="218D70AF"/>
    <w:rsid w:val="21D02A2F"/>
    <w:rsid w:val="21DA7C1D"/>
    <w:rsid w:val="21EF06C9"/>
    <w:rsid w:val="22205FE0"/>
    <w:rsid w:val="225C0144"/>
    <w:rsid w:val="22665141"/>
    <w:rsid w:val="227F6AF6"/>
    <w:rsid w:val="228A0E2F"/>
    <w:rsid w:val="22AE2582"/>
    <w:rsid w:val="22B60CEA"/>
    <w:rsid w:val="22B62117"/>
    <w:rsid w:val="22E85DAF"/>
    <w:rsid w:val="2307623B"/>
    <w:rsid w:val="230961F8"/>
    <w:rsid w:val="2338123B"/>
    <w:rsid w:val="23776020"/>
    <w:rsid w:val="2385283D"/>
    <w:rsid w:val="23B638D5"/>
    <w:rsid w:val="23C61663"/>
    <w:rsid w:val="23D92251"/>
    <w:rsid w:val="23F70746"/>
    <w:rsid w:val="240A17F7"/>
    <w:rsid w:val="24475657"/>
    <w:rsid w:val="244B0A32"/>
    <w:rsid w:val="244B2840"/>
    <w:rsid w:val="245416F5"/>
    <w:rsid w:val="24575689"/>
    <w:rsid w:val="2467529C"/>
    <w:rsid w:val="24685699"/>
    <w:rsid w:val="24843748"/>
    <w:rsid w:val="24973CD7"/>
    <w:rsid w:val="249B1395"/>
    <w:rsid w:val="24B8485E"/>
    <w:rsid w:val="24BC064E"/>
    <w:rsid w:val="24C0322E"/>
    <w:rsid w:val="24C543A1"/>
    <w:rsid w:val="250A6257"/>
    <w:rsid w:val="251946ED"/>
    <w:rsid w:val="251A6F45"/>
    <w:rsid w:val="25341526"/>
    <w:rsid w:val="25473E4E"/>
    <w:rsid w:val="25533070"/>
    <w:rsid w:val="255E64C4"/>
    <w:rsid w:val="25693C4A"/>
    <w:rsid w:val="25B85CB3"/>
    <w:rsid w:val="25BE32CE"/>
    <w:rsid w:val="25E10737"/>
    <w:rsid w:val="262F241A"/>
    <w:rsid w:val="26306EAD"/>
    <w:rsid w:val="2640492E"/>
    <w:rsid w:val="265E2DA4"/>
    <w:rsid w:val="26667E05"/>
    <w:rsid w:val="268F2EB8"/>
    <w:rsid w:val="26C14AA2"/>
    <w:rsid w:val="26C2244F"/>
    <w:rsid w:val="26CE3C95"/>
    <w:rsid w:val="26DD57A0"/>
    <w:rsid w:val="271C08C6"/>
    <w:rsid w:val="27340D6E"/>
    <w:rsid w:val="27363334"/>
    <w:rsid w:val="276071C9"/>
    <w:rsid w:val="277613D2"/>
    <w:rsid w:val="277C6E3B"/>
    <w:rsid w:val="2783676C"/>
    <w:rsid w:val="27D36AA3"/>
    <w:rsid w:val="27EE25F7"/>
    <w:rsid w:val="27FC27CF"/>
    <w:rsid w:val="280759D6"/>
    <w:rsid w:val="28076462"/>
    <w:rsid w:val="2826607C"/>
    <w:rsid w:val="28295EFE"/>
    <w:rsid w:val="2859601C"/>
    <w:rsid w:val="28806B22"/>
    <w:rsid w:val="28A219F3"/>
    <w:rsid w:val="28B1127A"/>
    <w:rsid w:val="28B93C10"/>
    <w:rsid w:val="28CB0725"/>
    <w:rsid w:val="290627A7"/>
    <w:rsid w:val="294F7A8D"/>
    <w:rsid w:val="298A7967"/>
    <w:rsid w:val="299F78B6"/>
    <w:rsid w:val="29A22230"/>
    <w:rsid w:val="29A548E3"/>
    <w:rsid w:val="29AF561F"/>
    <w:rsid w:val="29CF23E4"/>
    <w:rsid w:val="29D357B2"/>
    <w:rsid w:val="29FC1816"/>
    <w:rsid w:val="2A0274D9"/>
    <w:rsid w:val="2A09710A"/>
    <w:rsid w:val="2A0E67EA"/>
    <w:rsid w:val="2A280AD1"/>
    <w:rsid w:val="2A4E4E38"/>
    <w:rsid w:val="2A5A1159"/>
    <w:rsid w:val="2A891F45"/>
    <w:rsid w:val="2A955ABD"/>
    <w:rsid w:val="2A9F6AE3"/>
    <w:rsid w:val="2AA86D14"/>
    <w:rsid w:val="2AC847E9"/>
    <w:rsid w:val="2ADB2A24"/>
    <w:rsid w:val="2AE47356"/>
    <w:rsid w:val="2AE61BCD"/>
    <w:rsid w:val="2AEA1E25"/>
    <w:rsid w:val="2AFE7209"/>
    <w:rsid w:val="2B0B1251"/>
    <w:rsid w:val="2B345DDC"/>
    <w:rsid w:val="2B5E72FD"/>
    <w:rsid w:val="2B8443B6"/>
    <w:rsid w:val="2B9E79E8"/>
    <w:rsid w:val="2BC03B14"/>
    <w:rsid w:val="2BC3070E"/>
    <w:rsid w:val="2BD870AF"/>
    <w:rsid w:val="2BF4041D"/>
    <w:rsid w:val="2C191983"/>
    <w:rsid w:val="2C201A19"/>
    <w:rsid w:val="2C2B6DA6"/>
    <w:rsid w:val="2C6B0FBC"/>
    <w:rsid w:val="2C757DF8"/>
    <w:rsid w:val="2C7843EE"/>
    <w:rsid w:val="2C8A042C"/>
    <w:rsid w:val="2C9A47F2"/>
    <w:rsid w:val="2CB847EB"/>
    <w:rsid w:val="2CC0169E"/>
    <w:rsid w:val="2CD40DE1"/>
    <w:rsid w:val="2CFE0AD2"/>
    <w:rsid w:val="2D565603"/>
    <w:rsid w:val="2D6E3E23"/>
    <w:rsid w:val="2DAF2092"/>
    <w:rsid w:val="2DBF69B2"/>
    <w:rsid w:val="2DD93AC8"/>
    <w:rsid w:val="2DDC4BB8"/>
    <w:rsid w:val="2DE316CA"/>
    <w:rsid w:val="2DE55AB4"/>
    <w:rsid w:val="2E026666"/>
    <w:rsid w:val="2E14228A"/>
    <w:rsid w:val="2E5B474C"/>
    <w:rsid w:val="2E5D7A8C"/>
    <w:rsid w:val="2E881683"/>
    <w:rsid w:val="2EC34E0A"/>
    <w:rsid w:val="2EDB1AEE"/>
    <w:rsid w:val="2EED2D8C"/>
    <w:rsid w:val="2F1E5623"/>
    <w:rsid w:val="2F1F5442"/>
    <w:rsid w:val="2F504D51"/>
    <w:rsid w:val="2F8112BB"/>
    <w:rsid w:val="2F932010"/>
    <w:rsid w:val="2F9A03F8"/>
    <w:rsid w:val="2FB67CB4"/>
    <w:rsid w:val="302C6750"/>
    <w:rsid w:val="302D56D0"/>
    <w:rsid w:val="30441D3E"/>
    <w:rsid w:val="30492C9C"/>
    <w:rsid w:val="30790319"/>
    <w:rsid w:val="308723BC"/>
    <w:rsid w:val="309E2963"/>
    <w:rsid w:val="30D0409D"/>
    <w:rsid w:val="30E74A8B"/>
    <w:rsid w:val="31455D3E"/>
    <w:rsid w:val="31A20B3B"/>
    <w:rsid w:val="31D933A2"/>
    <w:rsid w:val="31FB3155"/>
    <w:rsid w:val="320D2892"/>
    <w:rsid w:val="320F1351"/>
    <w:rsid w:val="321F4378"/>
    <w:rsid w:val="3236656E"/>
    <w:rsid w:val="327E0C94"/>
    <w:rsid w:val="329E526B"/>
    <w:rsid w:val="32AA5162"/>
    <w:rsid w:val="32AF4BAD"/>
    <w:rsid w:val="32B67A1F"/>
    <w:rsid w:val="32F756F3"/>
    <w:rsid w:val="33072028"/>
    <w:rsid w:val="33155BAD"/>
    <w:rsid w:val="331F2D4B"/>
    <w:rsid w:val="33344A4C"/>
    <w:rsid w:val="33423F49"/>
    <w:rsid w:val="33664FA1"/>
    <w:rsid w:val="337275E2"/>
    <w:rsid w:val="33AE165E"/>
    <w:rsid w:val="33AE4630"/>
    <w:rsid w:val="33E6679A"/>
    <w:rsid w:val="33F84F14"/>
    <w:rsid w:val="34394CA3"/>
    <w:rsid w:val="346A207A"/>
    <w:rsid w:val="346E5D8E"/>
    <w:rsid w:val="34711E4F"/>
    <w:rsid w:val="34936269"/>
    <w:rsid w:val="349920F1"/>
    <w:rsid w:val="34BC51BC"/>
    <w:rsid w:val="34BD7557"/>
    <w:rsid w:val="34CE554D"/>
    <w:rsid w:val="34D326A6"/>
    <w:rsid w:val="34DF1731"/>
    <w:rsid w:val="34E43CEC"/>
    <w:rsid w:val="3541482A"/>
    <w:rsid w:val="3542193C"/>
    <w:rsid w:val="355408AC"/>
    <w:rsid w:val="35675000"/>
    <w:rsid w:val="358A119D"/>
    <w:rsid w:val="359E6DFA"/>
    <w:rsid w:val="35BC05F5"/>
    <w:rsid w:val="35D17C31"/>
    <w:rsid w:val="35D86571"/>
    <w:rsid w:val="36036670"/>
    <w:rsid w:val="363C354C"/>
    <w:rsid w:val="36844947"/>
    <w:rsid w:val="36A06A1C"/>
    <w:rsid w:val="36A858D0"/>
    <w:rsid w:val="36A95382"/>
    <w:rsid w:val="36C91DC3"/>
    <w:rsid w:val="36DA5D5B"/>
    <w:rsid w:val="36F3391D"/>
    <w:rsid w:val="36FD3A7F"/>
    <w:rsid w:val="372431A9"/>
    <w:rsid w:val="372B2789"/>
    <w:rsid w:val="372E2279"/>
    <w:rsid w:val="373B04F5"/>
    <w:rsid w:val="37427AD3"/>
    <w:rsid w:val="374675C3"/>
    <w:rsid w:val="378F5088"/>
    <w:rsid w:val="379A28DC"/>
    <w:rsid w:val="379A5776"/>
    <w:rsid w:val="37A23069"/>
    <w:rsid w:val="37CF3024"/>
    <w:rsid w:val="37D72911"/>
    <w:rsid w:val="37EA637E"/>
    <w:rsid w:val="37ED064B"/>
    <w:rsid w:val="38035A5A"/>
    <w:rsid w:val="38092997"/>
    <w:rsid w:val="382E5B98"/>
    <w:rsid w:val="383325ED"/>
    <w:rsid w:val="384A7976"/>
    <w:rsid w:val="38507FCD"/>
    <w:rsid w:val="3854031C"/>
    <w:rsid w:val="385629E5"/>
    <w:rsid w:val="3866075F"/>
    <w:rsid w:val="3882287D"/>
    <w:rsid w:val="388A34DF"/>
    <w:rsid w:val="38EE7B2F"/>
    <w:rsid w:val="394141EB"/>
    <w:rsid w:val="3943544B"/>
    <w:rsid w:val="394A0B1A"/>
    <w:rsid w:val="394A14D2"/>
    <w:rsid w:val="39502B38"/>
    <w:rsid w:val="39633943"/>
    <w:rsid w:val="398E34A3"/>
    <w:rsid w:val="39A16D33"/>
    <w:rsid w:val="39C742BF"/>
    <w:rsid w:val="39CA08E7"/>
    <w:rsid w:val="39CE02FD"/>
    <w:rsid w:val="39DA3FF3"/>
    <w:rsid w:val="39F34917"/>
    <w:rsid w:val="3A212E34"/>
    <w:rsid w:val="3A2A31CC"/>
    <w:rsid w:val="3A340ED2"/>
    <w:rsid w:val="3A385506"/>
    <w:rsid w:val="3A547980"/>
    <w:rsid w:val="3A5A3DEF"/>
    <w:rsid w:val="3A5E7E93"/>
    <w:rsid w:val="3A610E29"/>
    <w:rsid w:val="3A637262"/>
    <w:rsid w:val="3A7E4FE7"/>
    <w:rsid w:val="3A7E68A6"/>
    <w:rsid w:val="3A867BB1"/>
    <w:rsid w:val="3A954519"/>
    <w:rsid w:val="3AB87DE5"/>
    <w:rsid w:val="3ABB3E24"/>
    <w:rsid w:val="3AC436D2"/>
    <w:rsid w:val="3B151A51"/>
    <w:rsid w:val="3B27770B"/>
    <w:rsid w:val="3B360466"/>
    <w:rsid w:val="3B5847E9"/>
    <w:rsid w:val="3B782272"/>
    <w:rsid w:val="3B8A37F6"/>
    <w:rsid w:val="3B8A4B52"/>
    <w:rsid w:val="3B8C21AE"/>
    <w:rsid w:val="3B940A98"/>
    <w:rsid w:val="3BA41B23"/>
    <w:rsid w:val="3BA858B5"/>
    <w:rsid w:val="3C110A75"/>
    <w:rsid w:val="3C4B5048"/>
    <w:rsid w:val="3C551E5E"/>
    <w:rsid w:val="3C656CBD"/>
    <w:rsid w:val="3C6C37AC"/>
    <w:rsid w:val="3C894C46"/>
    <w:rsid w:val="3CC571DC"/>
    <w:rsid w:val="3D084DF0"/>
    <w:rsid w:val="3D2E203E"/>
    <w:rsid w:val="3D3D6D72"/>
    <w:rsid w:val="3D532A3A"/>
    <w:rsid w:val="3D741FBF"/>
    <w:rsid w:val="3D9D7DE8"/>
    <w:rsid w:val="3DBD4357"/>
    <w:rsid w:val="3DD76E89"/>
    <w:rsid w:val="3DF75C68"/>
    <w:rsid w:val="3E27470B"/>
    <w:rsid w:val="3E520DC7"/>
    <w:rsid w:val="3E8A6F8D"/>
    <w:rsid w:val="3E9504D9"/>
    <w:rsid w:val="3E9A4932"/>
    <w:rsid w:val="3ED44642"/>
    <w:rsid w:val="3ED55149"/>
    <w:rsid w:val="3F0233DB"/>
    <w:rsid w:val="3F027514"/>
    <w:rsid w:val="3F185CE9"/>
    <w:rsid w:val="3F1B2A0C"/>
    <w:rsid w:val="3F1C50AD"/>
    <w:rsid w:val="3F220916"/>
    <w:rsid w:val="3F3423F7"/>
    <w:rsid w:val="3F377A1D"/>
    <w:rsid w:val="3F882F0F"/>
    <w:rsid w:val="3F9844BE"/>
    <w:rsid w:val="3FA43391"/>
    <w:rsid w:val="3FFD5C4B"/>
    <w:rsid w:val="402E32EA"/>
    <w:rsid w:val="4044134D"/>
    <w:rsid w:val="4044721B"/>
    <w:rsid w:val="40493F2C"/>
    <w:rsid w:val="405A5969"/>
    <w:rsid w:val="407A652F"/>
    <w:rsid w:val="407F2EE6"/>
    <w:rsid w:val="40850A58"/>
    <w:rsid w:val="40885260"/>
    <w:rsid w:val="40B05AAD"/>
    <w:rsid w:val="40EC1D9C"/>
    <w:rsid w:val="40EE4A0F"/>
    <w:rsid w:val="40F5390E"/>
    <w:rsid w:val="40F950CE"/>
    <w:rsid w:val="41004C87"/>
    <w:rsid w:val="41201DF5"/>
    <w:rsid w:val="41940774"/>
    <w:rsid w:val="41B23756"/>
    <w:rsid w:val="41B8327F"/>
    <w:rsid w:val="41BD158B"/>
    <w:rsid w:val="41C172F0"/>
    <w:rsid w:val="41CA0DF1"/>
    <w:rsid w:val="41E95108"/>
    <w:rsid w:val="41F23419"/>
    <w:rsid w:val="42280C29"/>
    <w:rsid w:val="4246745E"/>
    <w:rsid w:val="428A6C65"/>
    <w:rsid w:val="429A1F73"/>
    <w:rsid w:val="42BB1E4A"/>
    <w:rsid w:val="42DB0D30"/>
    <w:rsid w:val="42FB173C"/>
    <w:rsid w:val="4308674D"/>
    <w:rsid w:val="43217136"/>
    <w:rsid w:val="43401B17"/>
    <w:rsid w:val="4341657A"/>
    <w:rsid w:val="43481B76"/>
    <w:rsid w:val="43705AD9"/>
    <w:rsid w:val="43DA676D"/>
    <w:rsid w:val="4465127C"/>
    <w:rsid w:val="44676030"/>
    <w:rsid w:val="446932D4"/>
    <w:rsid w:val="447B4C6E"/>
    <w:rsid w:val="44902D30"/>
    <w:rsid w:val="44C87B04"/>
    <w:rsid w:val="44D85450"/>
    <w:rsid w:val="44EA2F20"/>
    <w:rsid w:val="451707F1"/>
    <w:rsid w:val="45232E36"/>
    <w:rsid w:val="45350C77"/>
    <w:rsid w:val="45497CFE"/>
    <w:rsid w:val="45583534"/>
    <w:rsid w:val="45667082"/>
    <w:rsid w:val="45875FBD"/>
    <w:rsid w:val="45B147A1"/>
    <w:rsid w:val="45B31D10"/>
    <w:rsid w:val="464A54EA"/>
    <w:rsid w:val="46986CAF"/>
    <w:rsid w:val="46C73059"/>
    <w:rsid w:val="46FE4098"/>
    <w:rsid w:val="47213599"/>
    <w:rsid w:val="47242D51"/>
    <w:rsid w:val="4756124C"/>
    <w:rsid w:val="47732342"/>
    <w:rsid w:val="478007F8"/>
    <w:rsid w:val="478C4A97"/>
    <w:rsid w:val="47932644"/>
    <w:rsid w:val="47A64887"/>
    <w:rsid w:val="47A92F33"/>
    <w:rsid w:val="47A97F30"/>
    <w:rsid w:val="47BE3092"/>
    <w:rsid w:val="47D6229D"/>
    <w:rsid w:val="47D93B3C"/>
    <w:rsid w:val="47DE7AF2"/>
    <w:rsid w:val="488229B6"/>
    <w:rsid w:val="489518FA"/>
    <w:rsid w:val="48A95C04"/>
    <w:rsid w:val="48B40105"/>
    <w:rsid w:val="48FB4DF1"/>
    <w:rsid w:val="4935589B"/>
    <w:rsid w:val="49500187"/>
    <w:rsid w:val="49516884"/>
    <w:rsid w:val="495A110E"/>
    <w:rsid w:val="49695393"/>
    <w:rsid w:val="49743FF0"/>
    <w:rsid w:val="4977360C"/>
    <w:rsid w:val="497E5577"/>
    <w:rsid w:val="498C1A10"/>
    <w:rsid w:val="49AB444B"/>
    <w:rsid w:val="49AE2DA6"/>
    <w:rsid w:val="49B821E1"/>
    <w:rsid w:val="49C5195B"/>
    <w:rsid w:val="49C94BFF"/>
    <w:rsid w:val="49CB4B25"/>
    <w:rsid w:val="49D2118A"/>
    <w:rsid w:val="49E77D9B"/>
    <w:rsid w:val="49EE772A"/>
    <w:rsid w:val="49F7280F"/>
    <w:rsid w:val="4A015F98"/>
    <w:rsid w:val="4A0E1363"/>
    <w:rsid w:val="4A3E4206"/>
    <w:rsid w:val="4A4946C7"/>
    <w:rsid w:val="4A517016"/>
    <w:rsid w:val="4A646A8D"/>
    <w:rsid w:val="4AA7787A"/>
    <w:rsid w:val="4AAB17DF"/>
    <w:rsid w:val="4AB4263E"/>
    <w:rsid w:val="4AD73FE7"/>
    <w:rsid w:val="4AD8398F"/>
    <w:rsid w:val="4AF57D24"/>
    <w:rsid w:val="4B015167"/>
    <w:rsid w:val="4B6404AA"/>
    <w:rsid w:val="4B714A12"/>
    <w:rsid w:val="4B8B6452"/>
    <w:rsid w:val="4B8F283E"/>
    <w:rsid w:val="4B970597"/>
    <w:rsid w:val="4C0B7C3A"/>
    <w:rsid w:val="4C331863"/>
    <w:rsid w:val="4C363892"/>
    <w:rsid w:val="4C523F68"/>
    <w:rsid w:val="4C8A2C90"/>
    <w:rsid w:val="4CAE2CB9"/>
    <w:rsid w:val="4CC1205B"/>
    <w:rsid w:val="4CDF04FE"/>
    <w:rsid w:val="4CF95C45"/>
    <w:rsid w:val="4CFB1928"/>
    <w:rsid w:val="4CFC70B9"/>
    <w:rsid w:val="4D02083F"/>
    <w:rsid w:val="4D054C92"/>
    <w:rsid w:val="4D183358"/>
    <w:rsid w:val="4D243713"/>
    <w:rsid w:val="4D515E53"/>
    <w:rsid w:val="4D7F3A3B"/>
    <w:rsid w:val="4DC24624"/>
    <w:rsid w:val="4DDE4F06"/>
    <w:rsid w:val="4E3A10AC"/>
    <w:rsid w:val="4E420435"/>
    <w:rsid w:val="4E46075F"/>
    <w:rsid w:val="4E870F84"/>
    <w:rsid w:val="4EA33077"/>
    <w:rsid w:val="4EC217CD"/>
    <w:rsid w:val="4EDB63EB"/>
    <w:rsid w:val="4EE51183"/>
    <w:rsid w:val="4EFA1682"/>
    <w:rsid w:val="4F001AF9"/>
    <w:rsid w:val="4F050694"/>
    <w:rsid w:val="4F237583"/>
    <w:rsid w:val="4F377F1F"/>
    <w:rsid w:val="4F405D4D"/>
    <w:rsid w:val="4F791504"/>
    <w:rsid w:val="4F8B7E11"/>
    <w:rsid w:val="4FD23E66"/>
    <w:rsid w:val="4FEE28D0"/>
    <w:rsid w:val="4FF05B65"/>
    <w:rsid w:val="4FF27E90"/>
    <w:rsid w:val="4FFF03D2"/>
    <w:rsid w:val="500E7E3F"/>
    <w:rsid w:val="50471CA0"/>
    <w:rsid w:val="504D50C7"/>
    <w:rsid w:val="504E7500"/>
    <w:rsid w:val="508A631B"/>
    <w:rsid w:val="50966925"/>
    <w:rsid w:val="50B33D78"/>
    <w:rsid w:val="50C65C9A"/>
    <w:rsid w:val="50D353E7"/>
    <w:rsid w:val="50E16715"/>
    <w:rsid w:val="51077F64"/>
    <w:rsid w:val="5109146C"/>
    <w:rsid w:val="51136310"/>
    <w:rsid w:val="511737AC"/>
    <w:rsid w:val="51223255"/>
    <w:rsid w:val="514964B0"/>
    <w:rsid w:val="515F4958"/>
    <w:rsid w:val="51644CE4"/>
    <w:rsid w:val="51810C96"/>
    <w:rsid w:val="519F7BA4"/>
    <w:rsid w:val="51A30F55"/>
    <w:rsid w:val="51D91419"/>
    <w:rsid w:val="51FB7581"/>
    <w:rsid w:val="52140592"/>
    <w:rsid w:val="522149A9"/>
    <w:rsid w:val="524213DC"/>
    <w:rsid w:val="525E180D"/>
    <w:rsid w:val="526E7576"/>
    <w:rsid w:val="52D94912"/>
    <w:rsid w:val="53095C1D"/>
    <w:rsid w:val="530D2FD9"/>
    <w:rsid w:val="53193988"/>
    <w:rsid w:val="53593A0D"/>
    <w:rsid w:val="538934EC"/>
    <w:rsid w:val="539A6875"/>
    <w:rsid w:val="53B373CC"/>
    <w:rsid w:val="53D10898"/>
    <w:rsid w:val="53D87CA1"/>
    <w:rsid w:val="54031D26"/>
    <w:rsid w:val="54165006"/>
    <w:rsid w:val="543C3C52"/>
    <w:rsid w:val="546A5E00"/>
    <w:rsid w:val="54707211"/>
    <w:rsid w:val="5479378B"/>
    <w:rsid w:val="54980287"/>
    <w:rsid w:val="549902F2"/>
    <w:rsid w:val="54A035C0"/>
    <w:rsid w:val="54A402B9"/>
    <w:rsid w:val="54A95B63"/>
    <w:rsid w:val="54AA19D8"/>
    <w:rsid w:val="54AC0288"/>
    <w:rsid w:val="54AC260C"/>
    <w:rsid w:val="54CD15B6"/>
    <w:rsid w:val="55264E99"/>
    <w:rsid w:val="552C18E6"/>
    <w:rsid w:val="553D2CA8"/>
    <w:rsid w:val="554510F6"/>
    <w:rsid w:val="558C53DC"/>
    <w:rsid w:val="55982E74"/>
    <w:rsid w:val="55CF20A0"/>
    <w:rsid w:val="55D4129A"/>
    <w:rsid w:val="55F9756C"/>
    <w:rsid w:val="55FD78EE"/>
    <w:rsid w:val="55FF27C3"/>
    <w:rsid w:val="56112690"/>
    <w:rsid w:val="56201ABB"/>
    <w:rsid w:val="562A08CD"/>
    <w:rsid w:val="56311F3D"/>
    <w:rsid w:val="56414B0E"/>
    <w:rsid w:val="56453C97"/>
    <w:rsid w:val="56844B7D"/>
    <w:rsid w:val="56EE525E"/>
    <w:rsid w:val="5726041F"/>
    <w:rsid w:val="57567C2A"/>
    <w:rsid w:val="57707A1C"/>
    <w:rsid w:val="57715B3F"/>
    <w:rsid w:val="578D4C99"/>
    <w:rsid w:val="57B10E0E"/>
    <w:rsid w:val="57C33EC0"/>
    <w:rsid w:val="57CB4B0A"/>
    <w:rsid w:val="57D63667"/>
    <w:rsid w:val="580544D9"/>
    <w:rsid w:val="581445B0"/>
    <w:rsid w:val="5828198E"/>
    <w:rsid w:val="583A0709"/>
    <w:rsid w:val="584D65AC"/>
    <w:rsid w:val="58821C30"/>
    <w:rsid w:val="589C308F"/>
    <w:rsid w:val="58A75590"/>
    <w:rsid w:val="58BA14AF"/>
    <w:rsid w:val="58D850D3"/>
    <w:rsid w:val="58F91EF9"/>
    <w:rsid w:val="59146E50"/>
    <w:rsid w:val="5949418F"/>
    <w:rsid w:val="594D20D2"/>
    <w:rsid w:val="596C3824"/>
    <w:rsid w:val="597B7B30"/>
    <w:rsid w:val="59DB2323"/>
    <w:rsid w:val="59F308EF"/>
    <w:rsid w:val="5A02787E"/>
    <w:rsid w:val="5A241CA4"/>
    <w:rsid w:val="5A382944"/>
    <w:rsid w:val="5A396718"/>
    <w:rsid w:val="5A53322E"/>
    <w:rsid w:val="5A6373A0"/>
    <w:rsid w:val="5AA25A00"/>
    <w:rsid w:val="5AB02E22"/>
    <w:rsid w:val="5AB92F88"/>
    <w:rsid w:val="5ABE39D6"/>
    <w:rsid w:val="5AD773DC"/>
    <w:rsid w:val="5AFB6E70"/>
    <w:rsid w:val="5B066F89"/>
    <w:rsid w:val="5B0F4681"/>
    <w:rsid w:val="5B461090"/>
    <w:rsid w:val="5B4901B8"/>
    <w:rsid w:val="5B654C73"/>
    <w:rsid w:val="5B6F7C8C"/>
    <w:rsid w:val="5B724078"/>
    <w:rsid w:val="5B9F1A9A"/>
    <w:rsid w:val="5BD631BA"/>
    <w:rsid w:val="5BEC0B30"/>
    <w:rsid w:val="5BED59B0"/>
    <w:rsid w:val="5BF1724E"/>
    <w:rsid w:val="5BF70389"/>
    <w:rsid w:val="5C0B0238"/>
    <w:rsid w:val="5C203ED5"/>
    <w:rsid w:val="5C515F3F"/>
    <w:rsid w:val="5C6C1D0D"/>
    <w:rsid w:val="5C71038F"/>
    <w:rsid w:val="5CA006F4"/>
    <w:rsid w:val="5CBC1E0D"/>
    <w:rsid w:val="5CE24DE9"/>
    <w:rsid w:val="5D22487D"/>
    <w:rsid w:val="5D421AB2"/>
    <w:rsid w:val="5D891708"/>
    <w:rsid w:val="5D993F9D"/>
    <w:rsid w:val="5DB80116"/>
    <w:rsid w:val="5E0276B2"/>
    <w:rsid w:val="5E150E1F"/>
    <w:rsid w:val="5E163031"/>
    <w:rsid w:val="5E175EA2"/>
    <w:rsid w:val="5E1A464A"/>
    <w:rsid w:val="5E8A6A22"/>
    <w:rsid w:val="5E9B1404"/>
    <w:rsid w:val="5EB50A07"/>
    <w:rsid w:val="5EC8618B"/>
    <w:rsid w:val="5ED72B27"/>
    <w:rsid w:val="5F4E2C36"/>
    <w:rsid w:val="5F4F0E5B"/>
    <w:rsid w:val="5F50507F"/>
    <w:rsid w:val="5F6C6487"/>
    <w:rsid w:val="5F8A10F4"/>
    <w:rsid w:val="5FB977EA"/>
    <w:rsid w:val="5FBB6258"/>
    <w:rsid w:val="6003008C"/>
    <w:rsid w:val="600546D1"/>
    <w:rsid w:val="60153CF8"/>
    <w:rsid w:val="6041049E"/>
    <w:rsid w:val="606F72DB"/>
    <w:rsid w:val="60A06CF0"/>
    <w:rsid w:val="60E4727F"/>
    <w:rsid w:val="61105120"/>
    <w:rsid w:val="6118197E"/>
    <w:rsid w:val="612C0D28"/>
    <w:rsid w:val="61351A8E"/>
    <w:rsid w:val="614C4153"/>
    <w:rsid w:val="618A74DC"/>
    <w:rsid w:val="61DE2022"/>
    <w:rsid w:val="61EF67EB"/>
    <w:rsid w:val="62016BCF"/>
    <w:rsid w:val="620A09E6"/>
    <w:rsid w:val="62123462"/>
    <w:rsid w:val="62126170"/>
    <w:rsid w:val="621D0415"/>
    <w:rsid w:val="62406BEA"/>
    <w:rsid w:val="62541937"/>
    <w:rsid w:val="626C3AD2"/>
    <w:rsid w:val="62800B69"/>
    <w:rsid w:val="629F35D1"/>
    <w:rsid w:val="62A67D72"/>
    <w:rsid w:val="62C82406"/>
    <w:rsid w:val="631D36EB"/>
    <w:rsid w:val="63240347"/>
    <w:rsid w:val="63556314"/>
    <w:rsid w:val="635F53E5"/>
    <w:rsid w:val="63753E26"/>
    <w:rsid w:val="6382729E"/>
    <w:rsid w:val="639B6977"/>
    <w:rsid w:val="63A80D4A"/>
    <w:rsid w:val="63AB6170"/>
    <w:rsid w:val="63BE76F5"/>
    <w:rsid w:val="63EB4ECB"/>
    <w:rsid w:val="63F0603D"/>
    <w:rsid w:val="64132730"/>
    <w:rsid w:val="64134C8D"/>
    <w:rsid w:val="643F6FF4"/>
    <w:rsid w:val="644B27FA"/>
    <w:rsid w:val="645006F1"/>
    <w:rsid w:val="6481138B"/>
    <w:rsid w:val="648F2DA0"/>
    <w:rsid w:val="64D41788"/>
    <w:rsid w:val="64D50D1F"/>
    <w:rsid w:val="654A3975"/>
    <w:rsid w:val="655B0392"/>
    <w:rsid w:val="65602315"/>
    <w:rsid w:val="65674128"/>
    <w:rsid w:val="65711400"/>
    <w:rsid w:val="657B0706"/>
    <w:rsid w:val="657B5DDA"/>
    <w:rsid w:val="65B26292"/>
    <w:rsid w:val="65D45DF4"/>
    <w:rsid w:val="65DE4CE7"/>
    <w:rsid w:val="65E436D7"/>
    <w:rsid w:val="660E4EA0"/>
    <w:rsid w:val="660F53B4"/>
    <w:rsid w:val="662D2531"/>
    <w:rsid w:val="665F74AA"/>
    <w:rsid w:val="66794A10"/>
    <w:rsid w:val="667F60F5"/>
    <w:rsid w:val="66943173"/>
    <w:rsid w:val="66B258DF"/>
    <w:rsid w:val="66D71D78"/>
    <w:rsid w:val="66E10C4D"/>
    <w:rsid w:val="66E175F9"/>
    <w:rsid w:val="66F44096"/>
    <w:rsid w:val="670C1921"/>
    <w:rsid w:val="671604B0"/>
    <w:rsid w:val="67204E8B"/>
    <w:rsid w:val="672613B4"/>
    <w:rsid w:val="67540A59"/>
    <w:rsid w:val="6768744E"/>
    <w:rsid w:val="67817689"/>
    <w:rsid w:val="67955E72"/>
    <w:rsid w:val="6796690B"/>
    <w:rsid w:val="67D22629"/>
    <w:rsid w:val="67EF450D"/>
    <w:rsid w:val="67F52E69"/>
    <w:rsid w:val="68281BB2"/>
    <w:rsid w:val="683F7593"/>
    <w:rsid w:val="685E0169"/>
    <w:rsid w:val="68731653"/>
    <w:rsid w:val="68741CCE"/>
    <w:rsid w:val="68905F80"/>
    <w:rsid w:val="68AA3CFC"/>
    <w:rsid w:val="68AC5201"/>
    <w:rsid w:val="68C61A62"/>
    <w:rsid w:val="68E80452"/>
    <w:rsid w:val="690305C1"/>
    <w:rsid w:val="69083E29"/>
    <w:rsid w:val="690A194F"/>
    <w:rsid w:val="69124D14"/>
    <w:rsid w:val="69225A20"/>
    <w:rsid w:val="69562FB4"/>
    <w:rsid w:val="69813E3D"/>
    <w:rsid w:val="6981405D"/>
    <w:rsid w:val="69854A84"/>
    <w:rsid w:val="699725DE"/>
    <w:rsid w:val="69B905E2"/>
    <w:rsid w:val="69DC650B"/>
    <w:rsid w:val="6A3546A8"/>
    <w:rsid w:val="6A5103EC"/>
    <w:rsid w:val="6A9516EC"/>
    <w:rsid w:val="6A9A4F55"/>
    <w:rsid w:val="6A9E67F3"/>
    <w:rsid w:val="6AA80DE8"/>
    <w:rsid w:val="6AB43995"/>
    <w:rsid w:val="6AE85CC0"/>
    <w:rsid w:val="6AF622C8"/>
    <w:rsid w:val="6B0E4852"/>
    <w:rsid w:val="6B1A5A7B"/>
    <w:rsid w:val="6B6524FD"/>
    <w:rsid w:val="6BD43ED1"/>
    <w:rsid w:val="6BE266C6"/>
    <w:rsid w:val="6BFC0618"/>
    <w:rsid w:val="6C3604E3"/>
    <w:rsid w:val="6C570D43"/>
    <w:rsid w:val="6C924AF7"/>
    <w:rsid w:val="6C944351"/>
    <w:rsid w:val="6CA473D9"/>
    <w:rsid w:val="6CB00A5F"/>
    <w:rsid w:val="6CE1330F"/>
    <w:rsid w:val="6CED4EE2"/>
    <w:rsid w:val="6CFA1CDB"/>
    <w:rsid w:val="6D1019E3"/>
    <w:rsid w:val="6D2C7DF6"/>
    <w:rsid w:val="6D3F1832"/>
    <w:rsid w:val="6D5135D5"/>
    <w:rsid w:val="6D745521"/>
    <w:rsid w:val="6D8343C6"/>
    <w:rsid w:val="6DA43955"/>
    <w:rsid w:val="6DAC1227"/>
    <w:rsid w:val="6DF963A2"/>
    <w:rsid w:val="6DFB0BB9"/>
    <w:rsid w:val="6E245483"/>
    <w:rsid w:val="6E49050C"/>
    <w:rsid w:val="6E6B7803"/>
    <w:rsid w:val="6E921E70"/>
    <w:rsid w:val="6ECB3095"/>
    <w:rsid w:val="6ECC3968"/>
    <w:rsid w:val="6ED91B6E"/>
    <w:rsid w:val="6EDB18E4"/>
    <w:rsid w:val="6EDB7958"/>
    <w:rsid w:val="6F161492"/>
    <w:rsid w:val="700A1DE3"/>
    <w:rsid w:val="702036A5"/>
    <w:rsid w:val="70207536"/>
    <w:rsid w:val="704873F6"/>
    <w:rsid w:val="70671D7D"/>
    <w:rsid w:val="70AC7718"/>
    <w:rsid w:val="70C8281B"/>
    <w:rsid w:val="70E41994"/>
    <w:rsid w:val="713D01F2"/>
    <w:rsid w:val="71430FE8"/>
    <w:rsid w:val="71802656"/>
    <w:rsid w:val="71CC1D9D"/>
    <w:rsid w:val="71D62D16"/>
    <w:rsid w:val="71E0761F"/>
    <w:rsid w:val="71F63A2F"/>
    <w:rsid w:val="7206350D"/>
    <w:rsid w:val="721621E7"/>
    <w:rsid w:val="72311D68"/>
    <w:rsid w:val="724177ED"/>
    <w:rsid w:val="72644BE8"/>
    <w:rsid w:val="72677E12"/>
    <w:rsid w:val="726B686B"/>
    <w:rsid w:val="72A362D1"/>
    <w:rsid w:val="72DF3E4C"/>
    <w:rsid w:val="72DF486A"/>
    <w:rsid w:val="7301385C"/>
    <w:rsid w:val="734C0DB6"/>
    <w:rsid w:val="735C64AC"/>
    <w:rsid w:val="739840F2"/>
    <w:rsid w:val="73993D98"/>
    <w:rsid w:val="73D108A9"/>
    <w:rsid w:val="73D84708"/>
    <w:rsid w:val="73DD558C"/>
    <w:rsid w:val="73ED3516"/>
    <w:rsid w:val="74072D8A"/>
    <w:rsid w:val="741E68C7"/>
    <w:rsid w:val="74342D4A"/>
    <w:rsid w:val="745443C6"/>
    <w:rsid w:val="745C611A"/>
    <w:rsid w:val="7462502B"/>
    <w:rsid w:val="746E222F"/>
    <w:rsid w:val="74744A68"/>
    <w:rsid w:val="747D6730"/>
    <w:rsid w:val="748051BB"/>
    <w:rsid w:val="74845D7A"/>
    <w:rsid w:val="74BB61F3"/>
    <w:rsid w:val="74CC035B"/>
    <w:rsid w:val="74D07EF1"/>
    <w:rsid w:val="74EA0F13"/>
    <w:rsid w:val="74EC3988"/>
    <w:rsid w:val="74F66F1C"/>
    <w:rsid w:val="751A5610"/>
    <w:rsid w:val="755302E1"/>
    <w:rsid w:val="75792336"/>
    <w:rsid w:val="757C05DB"/>
    <w:rsid w:val="75812F99"/>
    <w:rsid w:val="759E6B64"/>
    <w:rsid w:val="75B415C0"/>
    <w:rsid w:val="75D274A1"/>
    <w:rsid w:val="75DB6FCC"/>
    <w:rsid w:val="75DD63C6"/>
    <w:rsid w:val="75F92A33"/>
    <w:rsid w:val="760A2D4E"/>
    <w:rsid w:val="761B51A8"/>
    <w:rsid w:val="7625426C"/>
    <w:rsid w:val="7625601A"/>
    <w:rsid w:val="763B049E"/>
    <w:rsid w:val="764549FF"/>
    <w:rsid w:val="765F2752"/>
    <w:rsid w:val="7671300D"/>
    <w:rsid w:val="76757117"/>
    <w:rsid w:val="76A2360D"/>
    <w:rsid w:val="76C42C45"/>
    <w:rsid w:val="76C540F4"/>
    <w:rsid w:val="76C75323"/>
    <w:rsid w:val="76DA691B"/>
    <w:rsid w:val="76E66AA8"/>
    <w:rsid w:val="77060EB2"/>
    <w:rsid w:val="772518E5"/>
    <w:rsid w:val="77277E88"/>
    <w:rsid w:val="77314CB7"/>
    <w:rsid w:val="7758241F"/>
    <w:rsid w:val="77616AF0"/>
    <w:rsid w:val="779033D3"/>
    <w:rsid w:val="77B845D3"/>
    <w:rsid w:val="77D175C4"/>
    <w:rsid w:val="780B21D4"/>
    <w:rsid w:val="784261A5"/>
    <w:rsid w:val="78493855"/>
    <w:rsid w:val="7852353B"/>
    <w:rsid w:val="78810124"/>
    <w:rsid w:val="78B2790D"/>
    <w:rsid w:val="78B35B5F"/>
    <w:rsid w:val="78C916ED"/>
    <w:rsid w:val="79137FB0"/>
    <w:rsid w:val="79144124"/>
    <w:rsid w:val="791B1DDE"/>
    <w:rsid w:val="7929169C"/>
    <w:rsid w:val="792C4ED6"/>
    <w:rsid w:val="794519BF"/>
    <w:rsid w:val="796E36D6"/>
    <w:rsid w:val="797572B9"/>
    <w:rsid w:val="79886FBD"/>
    <w:rsid w:val="79AC1C2C"/>
    <w:rsid w:val="79B62FF5"/>
    <w:rsid w:val="79D00993"/>
    <w:rsid w:val="7A5C2227"/>
    <w:rsid w:val="7A7A2BF3"/>
    <w:rsid w:val="7A86677F"/>
    <w:rsid w:val="7ABD1363"/>
    <w:rsid w:val="7ACC115A"/>
    <w:rsid w:val="7ADE6790"/>
    <w:rsid w:val="7AEF4E49"/>
    <w:rsid w:val="7B116CB6"/>
    <w:rsid w:val="7B181F78"/>
    <w:rsid w:val="7B3B1E3C"/>
    <w:rsid w:val="7B605592"/>
    <w:rsid w:val="7B7B5F74"/>
    <w:rsid w:val="7B7C11B0"/>
    <w:rsid w:val="7BA365E1"/>
    <w:rsid w:val="7BAF6CF2"/>
    <w:rsid w:val="7BC36AD5"/>
    <w:rsid w:val="7BD1454E"/>
    <w:rsid w:val="7C1541F8"/>
    <w:rsid w:val="7C4A32F8"/>
    <w:rsid w:val="7C8810B1"/>
    <w:rsid w:val="7C9055CF"/>
    <w:rsid w:val="7CB85197"/>
    <w:rsid w:val="7CC02BFB"/>
    <w:rsid w:val="7CD07B44"/>
    <w:rsid w:val="7CE11DD3"/>
    <w:rsid w:val="7CF5053A"/>
    <w:rsid w:val="7D061FC5"/>
    <w:rsid w:val="7D140C91"/>
    <w:rsid w:val="7D3C4044"/>
    <w:rsid w:val="7D4A2001"/>
    <w:rsid w:val="7D7D094F"/>
    <w:rsid w:val="7D7F7118"/>
    <w:rsid w:val="7D8C0DA5"/>
    <w:rsid w:val="7DA77C5D"/>
    <w:rsid w:val="7DB41EB2"/>
    <w:rsid w:val="7DB6165B"/>
    <w:rsid w:val="7DD30AA7"/>
    <w:rsid w:val="7E08757B"/>
    <w:rsid w:val="7E152E18"/>
    <w:rsid w:val="7E24305B"/>
    <w:rsid w:val="7E453566"/>
    <w:rsid w:val="7E4D2A5C"/>
    <w:rsid w:val="7E5F4093"/>
    <w:rsid w:val="7E8C254C"/>
    <w:rsid w:val="7EA10C1D"/>
    <w:rsid w:val="7EDC1C9D"/>
    <w:rsid w:val="7F01436B"/>
    <w:rsid w:val="7F2716E9"/>
    <w:rsid w:val="7F3A122E"/>
    <w:rsid w:val="7F852AF6"/>
    <w:rsid w:val="7FCC5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2" w:semiHidden="0" w:name="toc 9"/>
    <w:lsdException w:qFormat="1"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jc w:val="both"/>
    </w:pPr>
    <w:rPr>
      <w:rFonts w:ascii="Calibri" w:hAnsi="Calibri" w:eastAsia="宋体" w:cs="Calibri"/>
      <w:kern w:val="2"/>
      <w:sz w:val="21"/>
      <w:szCs w:val="21"/>
      <w:lang w:val="en-US" w:eastAsia="zh-CN" w:bidi="ar-SA"/>
    </w:rPr>
  </w:style>
  <w:style w:type="paragraph" w:styleId="3">
    <w:name w:val="heading 1"/>
    <w:basedOn w:val="1"/>
    <w:next w:val="1"/>
    <w:autoRedefine/>
    <w:qFormat/>
    <w:uiPriority w:val="1"/>
    <w:pPr>
      <w:keepNext/>
      <w:keepLines/>
      <w:spacing w:before="340" w:after="330" w:line="578" w:lineRule="auto"/>
      <w:outlineLvl w:val="0"/>
    </w:pPr>
    <w:rPr>
      <w:rFonts w:cs="Times New Roman"/>
      <w:b/>
      <w:bCs/>
      <w:kern w:val="44"/>
      <w:sz w:val="44"/>
      <w:szCs w:val="44"/>
    </w:rPr>
  </w:style>
  <w:style w:type="paragraph" w:styleId="4">
    <w:name w:val="heading 2"/>
    <w:basedOn w:val="1"/>
    <w:next w:val="5"/>
    <w:autoRedefine/>
    <w:qFormat/>
    <w:uiPriority w:val="0"/>
    <w:pPr>
      <w:keepNext/>
      <w:keepLines/>
      <w:spacing w:before="260" w:after="260" w:line="416" w:lineRule="auto"/>
      <w:jc w:val="center"/>
      <w:outlineLvl w:val="1"/>
    </w:pPr>
    <w:rPr>
      <w:rFonts w:ascii="Arial" w:hAnsi="Arial" w:eastAsia="幼圆" w:cs="Times New Roman"/>
      <w:sz w:val="44"/>
      <w:szCs w:val="20"/>
    </w:rPr>
  </w:style>
  <w:style w:type="paragraph" w:styleId="6">
    <w:name w:val="heading 3"/>
    <w:basedOn w:val="1"/>
    <w:next w:val="1"/>
    <w:autoRedefine/>
    <w:qFormat/>
    <w:uiPriority w:val="1"/>
    <w:pPr>
      <w:keepNext/>
      <w:keepLines/>
      <w:spacing w:before="260" w:after="260" w:line="416" w:lineRule="auto"/>
      <w:outlineLvl w:val="2"/>
    </w:pPr>
    <w:rPr>
      <w:b/>
      <w:bCs/>
      <w:sz w:val="32"/>
      <w:szCs w:val="32"/>
    </w:rPr>
  </w:style>
  <w:style w:type="paragraph" w:styleId="7">
    <w:name w:val="heading 4"/>
    <w:basedOn w:val="6"/>
    <w:next w:val="8"/>
    <w:autoRedefine/>
    <w:qFormat/>
    <w:uiPriority w:val="0"/>
    <w:pPr>
      <w:keepNext/>
      <w:keepLines/>
      <w:spacing w:line="372" w:lineRule="auto"/>
      <w:outlineLvl w:val="3"/>
    </w:pPr>
    <w:rPr>
      <w:rFonts w:ascii="Cambria" w:hAnsi="Cambria"/>
      <w:sz w:val="28"/>
      <w:szCs w:val="28"/>
    </w:rPr>
  </w:style>
  <w:style w:type="character" w:default="1" w:styleId="25">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qFormat/>
    <w:uiPriority w:val="0"/>
    <w:pPr>
      <w:widowControl/>
      <w:shd w:val="pct10" w:color="auto" w:fill="auto"/>
      <w:tabs>
        <w:tab w:val="left" w:pos="3240"/>
        <w:tab w:val="left" w:pos="3600"/>
        <w:tab w:val="left" w:pos="5760"/>
      </w:tabs>
      <w:ind w:left="1440"/>
      <w:jc w:val="left"/>
    </w:pPr>
    <w:rPr>
      <w:rFonts w:ascii="PMingLiU" w:eastAsia="PMingLiU" w:cs="Times New Roman"/>
      <w:sz w:val="20"/>
      <w:szCs w:val="24"/>
      <w:lang w:eastAsia="zh-TW"/>
    </w:rPr>
  </w:style>
  <w:style w:type="paragraph" w:styleId="5">
    <w:name w:val="Normal Indent"/>
    <w:basedOn w:val="1"/>
    <w:autoRedefine/>
    <w:qFormat/>
    <w:uiPriority w:val="0"/>
    <w:pPr>
      <w:ind w:firstLine="420"/>
    </w:pPr>
    <w:rPr>
      <w:szCs w:val="20"/>
    </w:rPr>
  </w:style>
  <w:style w:type="paragraph" w:customStyle="1" w:styleId="8">
    <w:name w:val="HTZH-正文格式"/>
    <w:basedOn w:val="1"/>
    <w:qFormat/>
    <w:uiPriority w:val="0"/>
    <w:pPr>
      <w:spacing w:line="360" w:lineRule="auto"/>
      <w:ind w:firstLine="560"/>
    </w:pPr>
    <w:rPr>
      <w:rFonts w:eastAsia="仿宋" w:cs="宋体"/>
      <w:sz w:val="28"/>
      <w:szCs w:val="20"/>
    </w:rPr>
  </w:style>
  <w:style w:type="paragraph" w:styleId="9">
    <w:name w:val="Body Text"/>
    <w:basedOn w:val="1"/>
    <w:next w:val="10"/>
    <w:autoRedefine/>
    <w:qFormat/>
    <w:uiPriority w:val="1"/>
    <w:pPr>
      <w:spacing w:before="161"/>
      <w:ind w:left="1138"/>
    </w:pPr>
    <w:rPr>
      <w:rFonts w:ascii="宋体" w:hAnsi="宋体" w:cs="宋体"/>
      <w:sz w:val="24"/>
      <w:szCs w:val="24"/>
      <w:lang w:val="zh-CN" w:bidi="zh-CN"/>
    </w:rPr>
  </w:style>
  <w:style w:type="paragraph" w:styleId="10">
    <w:name w:val="toc 2"/>
    <w:basedOn w:val="1"/>
    <w:next w:val="1"/>
    <w:qFormat/>
    <w:uiPriority w:val="39"/>
    <w:pPr>
      <w:ind w:left="210"/>
      <w:jc w:val="left"/>
    </w:pPr>
    <w:rPr>
      <w:smallCaps/>
      <w:sz w:val="20"/>
      <w:szCs w:val="20"/>
    </w:rPr>
  </w:style>
  <w:style w:type="paragraph" w:styleId="11">
    <w:name w:val="Body Text Indent"/>
    <w:basedOn w:val="1"/>
    <w:next w:val="1"/>
    <w:autoRedefine/>
    <w:qFormat/>
    <w:uiPriority w:val="0"/>
    <w:pPr>
      <w:ind w:firstLine="645"/>
    </w:pPr>
    <w:rPr>
      <w:rFonts w:ascii="楷体_GB2312" w:eastAsia="楷体_GB2312"/>
      <w:sz w:val="32"/>
      <w:szCs w:val="20"/>
    </w:rPr>
  </w:style>
  <w:style w:type="paragraph" w:styleId="12">
    <w:name w:val="List Bullet 2"/>
    <w:basedOn w:val="1"/>
    <w:autoRedefine/>
    <w:qFormat/>
    <w:uiPriority w:val="0"/>
    <w:pPr>
      <w:numPr>
        <w:ilvl w:val="0"/>
        <w:numId w:val="1"/>
      </w:numPr>
    </w:pPr>
  </w:style>
  <w:style w:type="paragraph" w:styleId="13">
    <w:name w:val="Plain Text"/>
    <w:basedOn w:val="1"/>
    <w:autoRedefine/>
    <w:qFormat/>
    <w:uiPriority w:val="0"/>
    <w:rPr>
      <w:rFonts w:ascii="宋体" w:hAnsi="Courier New" w:cs="Courier New"/>
    </w:rPr>
  </w:style>
  <w:style w:type="paragraph" w:styleId="14">
    <w:name w:val="Date"/>
    <w:basedOn w:val="1"/>
    <w:next w:val="1"/>
    <w:autoRedefine/>
    <w:qFormat/>
    <w:uiPriority w:val="0"/>
    <w:pPr>
      <w:autoSpaceDE w:val="0"/>
      <w:autoSpaceDN w:val="0"/>
      <w:adjustRightInd w:val="0"/>
      <w:ind w:left="100" w:leftChars="2500"/>
      <w:jc w:val="left"/>
    </w:pPr>
    <w:rPr>
      <w:rFonts w:cs="Times New Roman"/>
      <w:kern w:val="0"/>
      <w:sz w:val="24"/>
      <w:szCs w:val="20"/>
    </w:rPr>
  </w:style>
  <w:style w:type="paragraph" w:styleId="15">
    <w:name w:val="Body Text Indent 2"/>
    <w:basedOn w:val="1"/>
    <w:autoRedefine/>
    <w:qFormat/>
    <w:uiPriority w:val="0"/>
    <w:pPr>
      <w:ind w:firstLine="630" w:firstLineChars="225"/>
    </w:pPr>
    <w:rPr>
      <w:rFonts w:ascii="仿宋_GB2312" w:eastAsia="仿宋_GB2312" w:cs="Times New Roman"/>
      <w:kern w:val="0"/>
      <w:sz w:val="24"/>
      <w:szCs w:val="24"/>
    </w:rPr>
  </w:style>
  <w:style w:type="paragraph" w:styleId="16">
    <w:name w:val="footer"/>
    <w:basedOn w:val="1"/>
    <w:autoRedefine/>
    <w:qFormat/>
    <w:uiPriority w:val="0"/>
    <w:pPr>
      <w:tabs>
        <w:tab w:val="center" w:pos="4153"/>
        <w:tab w:val="right" w:pos="8306"/>
      </w:tabs>
      <w:snapToGrid w:val="0"/>
      <w:jc w:val="left"/>
    </w:pPr>
    <w:rPr>
      <w:sz w:val="18"/>
      <w:szCs w:val="18"/>
    </w:rPr>
  </w:style>
  <w:style w:type="paragraph" w:styleId="17">
    <w:name w:val="envelope return"/>
    <w:basedOn w:val="1"/>
    <w:autoRedefine/>
    <w:qFormat/>
    <w:uiPriority w:val="0"/>
    <w:pPr>
      <w:snapToGrid w:val="0"/>
    </w:pPr>
    <w:rPr>
      <w:rFonts w:ascii="Arial" w:hAnsi="Arial" w:cs="Times New Roman"/>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footnote text"/>
    <w:basedOn w:val="1"/>
    <w:semiHidden/>
    <w:unhideWhenUsed/>
    <w:qFormat/>
    <w:uiPriority w:val="99"/>
    <w:pPr>
      <w:snapToGrid w:val="0"/>
      <w:jc w:val="left"/>
    </w:pPr>
    <w:rPr>
      <w:sz w:val="18"/>
      <w:szCs w:val="18"/>
    </w:rPr>
  </w:style>
  <w:style w:type="paragraph" w:styleId="20">
    <w:name w:val="toc 9"/>
    <w:basedOn w:val="1"/>
    <w:next w:val="1"/>
    <w:autoRedefine/>
    <w:qFormat/>
    <w:uiPriority w:val="2"/>
    <w:pPr>
      <w:ind w:left="3360" w:leftChars="1600"/>
    </w:pPr>
  </w:style>
  <w:style w:type="paragraph" w:styleId="21">
    <w:name w:val="Body Text 2"/>
    <w:basedOn w:val="1"/>
    <w:autoRedefine/>
    <w:qFormat/>
    <w:uiPriority w:val="0"/>
    <w:pPr>
      <w:spacing w:after="120" w:line="480" w:lineRule="auto"/>
    </w:pPr>
  </w:style>
  <w:style w:type="paragraph" w:styleId="22">
    <w:name w:val="Normal (Web)"/>
    <w:basedOn w:val="1"/>
    <w:autoRedefine/>
    <w:qFormat/>
    <w:uiPriority w:val="0"/>
    <w:pPr>
      <w:spacing w:before="100" w:beforeAutospacing="1" w:after="100" w:afterAutospacing="1"/>
      <w:jc w:val="left"/>
    </w:pPr>
    <w:rPr>
      <w:rFonts w:cs="Times New Roman"/>
      <w:kern w:val="0"/>
      <w:sz w:val="24"/>
      <w:szCs w:val="22"/>
    </w:rPr>
  </w:style>
  <w:style w:type="paragraph" w:styleId="23">
    <w:name w:val="Body Text First Indent 2"/>
    <w:basedOn w:val="11"/>
    <w:semiHidden/>
    <w:qFormat/>
    <w:uiPriority w:val="0"/>
    <w:pPr>
      <w:ind w:firstLine="420" w:firstLineChars="200"/>
    </w:pPr>
  </w:style>
  <w:style w:type="character" w:styleId="26">
    <w:name w:val="Strong"/>
    <w:basedOn w:val="25"/>
    <w:autoRedefine/>
    <w:qFormat/>
    <w:uiPriority w:val="0"/>
    <w:rPr>
      <w:b/>
    </w:rPr>
  </w:style>
  <w:style w:type="character" w:styleId="27">
    <w:name w:val="Emphasis"/>
    <w:basedOn w:val="25"/>
    <w:qFormat/>
    <w:uiPriority w:val="0"/>
    <w:rPr>
      <w:i/>
    </w:rPr>
  </w:style>
  <w:style w:type="character" w:styleId="28">
    <w:name w:val="Hyperlink"/>
    <w:unhideWhenUsed/>
    <w:qFormat/>
    <w:uiPriority w:val="0"/>
    <w:rPr>
      <w:color w:val="333333"/>
      <w:u w:val="none"/>
    </w:rPr>
  </w:style>
  <w:style w:type="paragraph" w:customStyle="1" w:styleId="29">
    <w:name w:val="正文（缩进）"/>
    <w:basedOn w:val="1"/>
    <w:autoRedefine/>
    <w:qFormat/>
    <w:uiPriority w:val="0"/>
    <w:pPr>
      <w:spacing w:before="156" w:after="156"/>
      <w:ind w:firstLine="480" w:firstLineChars="200"/>
    </w:pPr>
  </w:style>
  <w:style w:type="paragraph" w:customStyle="1" w:styleId="30">
    <w:name w:val="p0"/>
    <w:basedOn w:val="1"/>
    <w:autoRedefine/>
    <w:qFormat/>
    <w:uiPriority w:val="0"/>
    <w:pPr>
      <w:widowControl/>
      <w:snapToGrid w:val="0"/>
      <w:spacing w:line="312" w:lineRule="atLeast"/>
    </w:pPr>
    <w:rPr>
      <w:kern w:val="0"/>
    </w:rPr>
  </w:style>
  <w:style w:type="paragraph" w:customStyle="1" w:styleId="31">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标题 3_0_0"/>
    <w:basedOn w:val="33"/>
    <w:next w:val="33"/>
    <w:autoRedefine/>
    <w:qFormat/>
    <w:uiPriority w:val="0"/>
    <w:pPr>
      <w:keepNext/>
      <w:keepLines/>
      <w:spacing w:before="260" w:after="260" w:line="413" w:lineRule="auto"/>
      <w:outlineLvl w:val="2"/>
    </w:pPr>
    <w:rPr>
      <w:rFonts w:ascii="Times New Roman" w:hAnsi="Times New Roman"/>
      <w:b/>
      <w:bCs/>
      <w:sz w:val="32"/>
      <w:szCs w:val="32"/>
    </w:rPr>
  </w:style>
  <w:style w:type="paragraph" w:customStyle="1" w:styleId="33">
    <w:name w:val="正文_0_0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标题 4_0"/>
    <w:basedOn w:val="33"/>
    <w:next w:val="33"/>
    <w:autoRedefine/>
    <w:qFormat/>
    <w:uiPriority w:val="0"/>
    <w:pPr>
      <w:keepNext/>
      <w:keepLines/>
      <w:spacing w:before="280" w:after="290" w:line="372" w:lineRule="auto"/>
      <w:outlineLvl w:val="3"/>
    </w:pPr>
    <w:rPr>
      <w:rFonts w:ascii="Cambria" w:hAnsi="Cambria"/>
      <w:b/>
      <w:bCs/>
      <w:sz w:val="28"/>
      <w:szCs w:val="28"/>
    </w:rPr>
  </w:style>
  <w:style w:type="paragraph" w:customStyle="1" w:styleId="35">
    <w:name w:val="正文1"/>
    <w:next w:val="36"/>
    <w:autoRedefine/>
    <w:qFormat/>
    <w:uiPriority w:val="0"/>
    <w:rPr>
      <w:rFonts w:ascii="Times New Roman" w:hAnsi="Times New Roman" w:eastAsia="宋体" w:cs="Times New Roman"/>
      <w:lang w:val="en-US" w:eastAsia="zh-CN" w:bidi="ar-SA"/>
    </w:rPr>
  </w:style>
  <w:style w:type="paragraph" w:customStyle="1" w:styleId="36">
    <w:name w:val="正文文本1"/>
    <w:basedOn w:val="35"/>
    <w:next w:val="37"/>
    <w:qFormat/>
    <w:uiPriority w:val="0"/>
    <w:pPr>
      <w:spacing w:after="120"/>
    </w:pPr>
    <w:rPr>
      <w:lang w:eastAsia="en-US"/>
    </w:rPr>
  </w:style>
  <w:style w:type="paragraph" w:customStyle="1" w:styleId="37">
    <w:name w:val="一级条标题"/>
    <w:basedOn w:val="38"/>
    <w:next w:val="39"/>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38">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39">
    <w:name w:val="段"/>
    <w:basedOn w:val="35"/>
    <w:next w:val="1"/>
    <w:qFormat/>
    <w:uiPriority w:val="0"/>
    <w:pPr>
      <w:ind w:firstLine="200"/>
    </w:pPr>
  </w:style>
  <w:style w:type="paragraph" w:customStyle="1" w:styleId="40">
    <w:name w:val="列表段落1"/>
    <w:basedOn w:val="1"/>
    <w:autoRedefine/>
    <w:qFormat/>
    <w:uiPriority w:val="99"/>
    <w:pPr>
      <w:ind w:firstLine="420" w:firstLineChars="200"/>
    </w:pPr>
  </w:style>
  <w:style w:type="paragraph" w:customStyle="1" w:styleId="41">
    <w:name w:val="正文空2格  1."/>
    <w:basedOn w:val="1"/>
    <w:autoRedefine/>
    <w:qFormat/>
    <w:uiPriority w:val="0"/>
    <w:pPr>
      <w:ind w:firstLine="480" w:firstLineChars="200"/>
    </w:pPr>
    <w:rPr>
      <w:rFonts w:cs="宋体"/>
      <w:sz w:val="28"/>
      <w:szCs w:val="20"/>
    </w:rPr>
  </w:style>
  <w:style w:type="paragraph" w:customStyle="1" w:styleId="42">
    <w:name w:val="无间隔1"/>
    <w:autoRedefine/>
    <w:qFormat/>
    <w:uiPriority w:val="1"/>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43">
    <w:name w:val="纯文本1"/>
    <w:basedOn w:val="1"/>
    <w:autoRedefine/>
    <w:qFormat/>
    <w:uiPriority w:val="0"/>
    <w:pPr>
      <w:adjustRightInd w:val="0"/>
      <w:textAlignment w:val="baseline"/>
    </w:pPr>
    <w:rPr>
      <w:rFonts w:ascii="宋体" w:hAnsi="Courier New" w:eastAsia="楷体_GB2312"/>
      <w:sz w:val="26"/>
      <w:szCs w:val="20"/>
    </w:rPr>
  </w:style>
  <w:style w:type="paragraph" w:customStyle="1" w:styleId="44">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45">
    <w:name w:val="列出段落1"/>
    <w:basedOn w:val="1"/>
    <w:autoRedefine/>
    <w:qFormat/>
    <w:uiPriority w:val="0"/>
    <w:pPr>
      <w:widowControl/>
      <w:ind w:left="720"/>
      <w:contextualSpacing/>
      <w:jc w:val="left"/>
    </w:pPr>
    <w:rPr>
      <w:kern w:val="0"/>
      <w:sz w:val="24"/>
      <w:lang w:eastAsia="en-US" w:bidi="en-US"/>
    </w:rPr>
  </w:style>
  <w:style w:type="paragraph" w:customStyle="1" w:styleId="46">
    <w:name w:val="Char"/>
    <w:basedOn w:val="1"/>
    <w:autoRedefine/>
    <w:qFormat/>
    <w:uiPriority w:val="0"/>
    <w:pPr>
      <w:tabs>
        <w:tab w:val="left" w:pos="360"/>
      </w:tabs>
    </w:pPr>
    <w:rPr>
      <w:sz w:val="24"/>
    </w:rPr>
  </w:style>
  <w:style w:type="paragraph" w:customStyle="1" w:styleId="47">
    <w:name w:val="Char Char Char Char Char Char Char Char Char"/>
    <w:basedOn w:val="1"/>
    <w:next w:val="48"/>
    <w:autoRedefine/>
    <w:qFormat/>
    <w:uiPriority w:val="0"/>
    <w:pPr>
      <w:ind w:left="360" w:firstLine="5784"/>
    </w:pPr>
  </w:style>
  <w:style w:type="paragraph" w:customStyle="1" w:styleId="48">
    <w:name w:val="正文文本 21"/>
    <w:basedOn w:val="1"/>
    <w:next w:val="49"/>
    <w:autoRedefine/>
    <w:qFormat/>
    <w:uiPriority w:val="0"/>
    <w:pPr>
      <w:widowControl/>
      <w:ind w:left="720" w:firstLine="5680"/>
    </w:pPr>
  </w:style>
  <w:style w:type="paragraph" w:customStyle="1" w:styleId="49">
    <w:name w:val="默认段落字体 Para Char Char Char Char Char Char Char"/>
    <w:basedOn w:val="1"/>
    <w:next w:val="50"/>
    <w:autoRedefine/>
    <w:qFormat/>
    <w:uiPriority w:val="0"/>
    <w:pPr>
      <w:ind w:firstLine="200" w:firstLineChars="200"/>
    </w:pPr>
    <w:rPr>
      <w:rFonts w:cs="Arial"/>
    </w:rPr>
  </w:style>
  <w:style w:type="paragraph" w:customStyle="1" w:styleId="50">
    <w:name w:val="样式 首行缩进:  2 字符"/>
    <w:basedOn w:val="1"/>
    <w:next w:val="51"/>
    <w:autoRedefine/>
    <w:qFormat/>
    <w:uiPriority w:val="0"/>
    <w:pPr>
      <w:spacing w:line="360" w:lineRule="auto"/>
      <w:ind w:left="480" w:firstLine="5856"/>
    </w:pPr>
  </w:style>
  <w:style w:type="paragraph" w:customStyle="1" w:styleId="51">
    <w:name w:val="样式 段后: 0.25 行"/>
    <w:basedOn w:val="1"/>
    <w:next w:val="52"/>
    <w:autoRedefine/>
    <w:qFormat/>
    <w:uiPriority w:val="0"/>
    <w:pPr>
      <w:widowControl/>
      <w:ind w:left="420" w:firstLine="5796"/>
    </w:pPr>
  </w:style>
  <w:style w:type="paragraph" w:customStyle="1" w:styleId="52">
    <w:name w:val="正文 New New New New New New New New New New New New New New"/>
    <w:next w:val="20"/>
    <w:autoRedefine/>
    <w:qFormat/>
    <w:uiPriority w:val="0"/>
    <w:pPr>
      <w:ind w:firstLine="2048"/>
      <w:jc w:val="both"/>
    </w:pPr>
    <w:rPr>
      <w:rFonts w:ascii="Calibri" w:hAnsi="Calibri" w:eastAsia="Times New Roman" w:cs="Times New Roman"/>
      <w:lang w:val="en-US" w:eastAsia="zh-CN" w:bidi="ar-SA"/>
    </w:rPr>
  </w:style>
  <w:style w:type="paragraph" w:customStyle="1" w:styleId="53">
    <w:name w:val="正文2"/>
    <w:autoRedefine/>
    <w:qFormat/>
    <w:uiPriority w:val="0"/>
    <w:rPr>
      <w:rFonts w:ascii="Times New Roman" w:hAnsi="Times New Roman" w:eastAsia="Times New Roman" w:cs="Times New Roman"/>
      <w:sz w:val="24"/>
      <w:szCs w:val="24"/>
      <w:lang w:val="en-US" w:eastAsia="zh-CN" w:bidi="ar-SA"/>
    </w:rPr>
  </w:style>
  <w:style w:type="paragraph" w:customStyle="1" w:styleId="54">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标题 3_0"/>
    <w:basedOn w:val="54"/>
    <w:next w:val="54"/>
    <w:autoRedefine/>
    <w:qFormat/>
    <w:uiPriority w:val="0"/>
    <w:pPr>
      <w:keepNext/>
      <w:keepLines/>
      <w:spacing w:before="260" w:after="260" w:line="413" w:lineRule="auto"/>
      <w:outlineLvl w:val="2"/>
    </w:pPr>
    <w:rPr>
      <w:b/>
      <w:bCs/>
      <w:sz w:val="32"/>
      <w:szCs w:val="32"/>
    </w:rPr>
  </w:style>
  <w:style w:type="table" w:customStyle="1" w:styleId="56">
    <w:name w:val="Table Normal"/>
    <w:autoRedefine/>
    <w:semiHidden/>
    <w:unhideWhenUsed/>
    <w:qFormat/>
    <w:uiPriority w:val="0"/>
    <w:tblPr>
      <w:tblCellMar>
        <w:top w:w="0" w:type="dxa"/>
        <w:left w:w="0" w:type="dxa"/>
        <w:bottom w:w="0" w:type="dxa"/>
        <w:right w:w="0" w:type="dxa"/>
      </w:tblCellMar>
    </w:tblPr>
  </w:style>
  <w:style w:type="paragraph" w:customStyle="1" w:styleId="57">
    <w:name w:val="Table Text"/>
    <w:basedOn w:val="1"/>
    <w:semiHidden/>
    <w:qFormat/>
    <w:uiPriority w:val="0"/>
    <w:rPr>
      <w:rFonts w:ascii="宋体" w:hAnsi="宋体" w:cs="宋体"/>
      <w:sz w:val="20"/>
      <w:szCs w:val="20"/>
      <w:lang w:eastAsia="en-US"/>
    </w:rPr>
  </w:style>
  <w:style w:type="paragraph" w:customStyle="1" w:styleId="58">
    <w:name w:val="首行缩进"/>
    <w:basedOn w:val="1"/>
    <w:qFormat/>
    <w:uiPriority w:val="0"/>
    <w:pPr>
      <w:ind w:firstLine="480" w:firstLineChars="200"/>
    </w:pPr>
    <w:rPr>
      <w:rFonts w:ascii="Times New Roman" w:hAnsi="Times New Roman"/>
    </w:rPr>
  </w:style>
  <w:style w:type="character" w:customStyle="1" w:styleId="59">
    <w:name w:val="MSG_EN_FONT_STYLE_NAME_TEMPLATE_ROLE_NUMBER MSG_EN_FONT_STYLE_NAME_BY_ROLE_TEXT 2"/>
    <w:basedOn w:val="60"/>
    <w:qFormat/>
    <w:uiPriority w:val="0"/>
    <w:rPr>
      <w:rFonts w:ascii="宋体" w:hAnsi="宋体" w:cs="宋体"/>
      <w:color w:val="000000"/>
      <w:spacing w:val="0"/>
      <w:w w:val="100"/>
      <w:position w:val="0"/>
      <w:sz w:val="22"/>
      <w:szCs w:val="22"/>
      <w:lang w:val="zh-CN" w:eastAsia="zh-CN" w:bidi="zh-CN"/>
    </w:rPr>
  </w:style>
  <w:style w:type="character" w:customStyle="1" w:styleId="60">
    <w:name w:val="MSG_EN_FONT_STYLE_NAME_TEMPLATE_ROLE_NUMBER MSG_EN_FONT_STYLE_NAME_BY_ROLE_TEXT 2_"/>
    <w:basedOn w:val="25"/>
    <w:link w:val="61"/>
    <w:qFormat/>
    <w:uiPriority w:val="0"/>
    <w:rPr>
      <w:rFonts w:ascii="宋体" w:hAnsi="宋体" w:cs="宋体"/>
      <w:sz w:val="22"/>
      <w:szCs w:val="22"/>
      <w:lang w:val="en-US" w:eastAsia="zh-CN" w:bidi="ar-SA"/>
    </w:rPr>
  </w:style>
  <w:style w:type="paragraph" w:customStyle="1" w:styleId="61">
    <w:name w:val="MSG_EN_FONT_STYLE_NAME_TEMPLATE_ROLE_NUMBER MSG_EN_FONT_STYLE_NAME_BY_ROLE_TEXT 22"/>
    <w:link w:val="60"/>
    <w:qFormat/>
    <w:uiPriority w:val="0"/>
    <w:pPr>
      <w:widowControl w:val="0"/>
      <w:shd w:val="clear" w:color="auto" w:fill="FFFFFF"/>
      <w:spacing w:line="355" w:lineRule="exact"/>
      <w:jc w:val="distribute"/>
    </w:pPr>
    <w:rPr>
      <w:rFonts w:ascii="宋体" w:hAnsi="宋体" w:eastAsia="宋体" w:cs="宋体"/>
      <w:sz w:val="22"/>
      <w:szCs w:val="22"/>
      <w:lang w:val="en-US" w:eastAsia="zh-CN" w:bidi="ar-SA"/>
    </w:rPr>
  </w:style>
  <w:style w:type="paragraph" w:customStyle="1" w:styleId="62">
    <w:name w:val="纯文本11"/>
    <w:basedOn w:val="1"/>
    <w:qFormat/>
    <w:uiPriority w:val="0"/>
    <w:rPr>
      <w:rFonts w:ascii="宋体" w:hAnsi="Courier New"/>
      <w:sz w:val="20"/>
      <w:szCs w:val="20"/>
      <w:lang w:eastAsia="en-US"/>
    </w:rPr>
  </w:style>
  <w:style w:type="paragraph" w:customStyle="1" w:styleId="63">
    <w:name w:val="Revision"/>
    <w:hidden/>
    <w:unhideWhenUsed/>
    <w:qFormat/>
    <w:uiPriority w:val="99"/>
    <w:rPr>
      <w:rFonts w:ascii="Calibri" w:hAnsi="Calibri" w:eastAsia="宋体" w:cs="Calibri"/>
      <w:kern w:val="2"/>
      <w:sz w:val="21"/>
      <w:szCs w:val="21"/>
      <w:lang w:val="en-US" w:eastAsia="zh-CN" w:bidi="ar-SA"/>
    </w:rPr>
  </w:style>
  <w:style w:type="paragraph" w:styleId="64">
    <w:name w:val="No Spacing"/>
    <w:qFormat/>
    <w:uiPriority w:val="1"/>
    <w:rPr>
      <w:rFonts w:hint="default"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1545</Words>
  <Characters>1901</Characters>
  <Lines>173</Lines>
  <Paragraphs>48</Paragraphs>
  <TotalTime>2</TotalTime>
  <ScaleCrop>false</ScaleCrop>
  <LinksUpToDate>false</LinksUpToDate>
  <CharactersWithSpaces>1925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2025-06-26T08:11:00Z</dcterms:created>
  <dc:creator>一棵辣白菜</dc:creator>
  <cp:lastModifiedBy>张张ฅ</cp:lastModifiedBy>
  <dcterms:modified xsi:type="dcterms:W3CDTF">2025-10-14T02:36:03Z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F4E58AB680E44B1898906EC6D2FF2E40_13</vt:lpwstr>
  </property>
  <property fmtid="{D5CDD505-2E9C-101B-9397-08002B2CF9AE}" pid="4" name="KSOTemplateDocerSaveRecord">
    <vt:lpwstr>eyJoZGlkIjoiMzU1MDg5OWU3MmM4MzFkZjY1Zjc1ZDNlODg3ZGYwYTIiLCJ1c2VySWQiOiIxMTU4Nzc3MTM2In0=</vt:lpwstr>
  </property>
</Properties>
</file>