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390" w:leader="none"/>
          <w:tab w:val="center" w:pos="4404" w:leader="none"/>
        </w:tabs>
        <w:rPr>
          <w:rFonts w:hint="eastAsia" w:ascii="宋体" w:hAnsi="宋体" w:cs="宋体"/>
          <w:color w:val="auto"/>
          <w:sz w:val="76"/>
          <w:szCs w:val="76"/>
          <w:highlight w:val="none"/>
        </w:rPr>
      </w:pPr>
      <w:r>
        <w:rPr>
          <w:rFonts w:hint="eastAsia" w:ascii="宋体" w:hAnsi="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cs="宋体"/>
          <w:color w:val="auto"/>
          <w:sz w:val="76"/>
          <w:szCs w:val="76"/>
          <w:highlight w:val="none"/>
        </w:rPr>
      </w:pPr>
      <w:r>
        <w:rPr>
          <w:rFonts w:hint="eastAsia" w:ascii="宋体" w:hAnsi="宋体" w:cs="宋体"/>
          <w:color w:val="auto"/>
          <w:sz w:val="76"/>
          <w:szCs w:val="76"/>
          <w:highlight w:val="none"/>
        </w:rPr>
        <w:t xml:space="preserve">公开招标</w:t>
      </w:r>
      <w:r/>
    </w:p>
    <w:p>
      <w:pPr>
        <w:jc w:val="center"/>
        <w:spacing w:line="360" w:lineRule="auto"/>
        <w:tabs>
          <w:tab w:val="left" w:pos="390" w:leader="none"/>
          <w:tab w:val="center" w:pos="4404" w:leader="none"/>
        </w:tabs>
        <w:rPr>
          <w:rFonts w:hint="eastAsia" w:ascii="宋体" w:hAnsi="宋体" w:cs="宋体"/>
          <w:color w:val="auto"/>
          <w:sz w:val="76"/>
          <w:szCs w:val="76"/>
          <w:highlight w:val="none"/>
        </w:rPr>
      </w:pPr>
      <w:r>
        <w:rPr>
          <w:rFonts w:hint="eastAsia" w:ascii="宋体" w:hAnsi="宋体" w:cs="宋体"/>
          <w:color w:val="auto"/>
          <w:sz w:val="76"/>
          <w:szCs w:val="76"/>
          <w:highlight w:val="none"/>
        </w:rPr>
        <w:t xml:space="preserve">采 购 文 件</w:t>
      </w:r>
      <w:r/>
    </w:p>
    <w:p>
      <w:pPr>
        <w:jc w:val="cente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tbl>
      <w:tblPr>
        <w:tblStyle w:val="818"/>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0"/>
      </w:tblGrid>
      <w:tr>
        <w:trPr>
          <w:trHeight w:val="1523"/>
        </w:trPr>
        <w:tc>
          <w:tcPr>
            <w:tcBorders>
              <w:top w:val="none" w:color="000000" w:sz="4" w:space="0"/>
              <w:left w:val="none" w:color="000000" w:sz="4" w:space="0"/>
              <w:bottom w:val="none" w:color="000000" w:sz="4" w:space="0"/>
              <w:right w:val="none" w:color="000000" w:sz="4" w:space="0"/>
            </w:tcBorders>
            <w:tcW w:w="9220" w:type="dxa"/>
            <w:textDirection w:val="lrTb"/>
            <w:noWrap w:val="false"/>
          </w:tcPr>
          <w:p>
            <w:pPr>
              <w:ind w:left="1440" w:hanging="1440"/>
              <w:jc w:val="center"/>
              <w:spacing w:line="360" w:lineRule="auto"/>
              <w:rPr>
                <w:rFonts w:hint="eastAsia" w:ascii="宋体" w:hAnsi="宋体" w:cs="宋体"/>
                <w:color w:val="auto"/>
                <w:sz w:val="32"/>
                <w:szCs w:val="36"/>
                <w:highlight w:val="none"/>
              </w:rPr>
            </w:pPr>
            <w:r>
              <w:rPr>
                <w:rFonts w:hint="eastAsia" w:ascii="宋体" w:hAnsi="宋体" w:cs="宋体"/>
                <w:color w:val="auto"/>
                <w:sz w:val="32"/>
                <w:szCs w:val="36"/>
                <w:highlight w:val="none"/>
              </w:rPr>
              <w:t xml:space="preserve">项目编号：</w:t>
            </w:r>
            <w:r>
              <w:rPr>
                <w:rFonts w:hint="eastAsia" w:ascii="宋体" w:hAnsi="宋体" w:cs="宋体"/>
                <w:color w:val="auto"/>
                <w:sz w:val="32"/>
                <w:szCs w:val="36"/>
                <w:highlight w:val="none"/>
                <w:lang w:val="zh-CN"/>
              </w:rPr>
              <w:t xml:space="preserve">JSZC-320115-NJYP-G2025-0029</w:t>
            </w:r>
            <w:r/>
          </w:p>
          <w:p>
            <w:pPr>
              <w:ind w:left="1440" w:hanging="1440"/>
              <w:jc w:val="center"/>
              <w:spacing w:line="360" w:lineRule="auto"/>
              <w:rPr>
                <w:rFonts w:hint="eastAsia" w:ascii="宋体" w:hAnsi="宋体" w:eastAsia="宋体" w:cs="宋体"/>
                <w:color w:val="auto"/>
                <w:sz w:val="32"/>
                <w:szCs w:val="36"/>
                <w:highlight w:val="none"/>
                <w:lang w:eastAsia="zh-CN"/>
              </w:rPr>
            </w:pPr>
            <w:r>
              <w:rPr>
                <w:rFonts w:hint="eastAsia" w:ascii="宋体" w:hAnsi="宋体" w:cs="宋体"/>
                <w:color w:val="auto"/>
                <w:sz w:val="32"/>
                <w:szCs w:val="36"/>
                <w:highlight w:val="none"/>
              </w:rPr>
              <w:t xml:space="preserve">项目名称：</w:t>
            </w:r>
            <w:r>
              <w:rPr>
                <w:rFonts w:hint="eastAsia" w:ascii="宋体" w:hAnsi="宋体" w:cs="宋体"/>
                <w:color w:val="auto"/>
                <w:sz w:val="32"/>
                <w:szCs w:val="36"/>
                <w:highlight w:val="none"/>
                <w:lang w:eastAsia="zh-CN"/>
              </w:rPr>
              <w:t xml:space="preserve">2026年江宁区县道日常养护服务</w:t>
            </w:r>
            <w:r/>
          </w:p>
          <w:p>
            <w:pPr>
              <w:ind w:left="1620" w:hanging="1620"/>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tc>
      </w:tr>
    </w:tbl>
    <w:p>
      <w:pPr>
        <w:jc w:val="cente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采购人：</w:t>
      </w:r>
      <w:r>
        <w:rPr>
          <w:rFonts w:hint="eastAsia" w:ascii="宋体" w:hAnsi="宋体" w:cs="宋体"/>
          <w:color w:val="auto"/>
          <w:sz w:val="36"/>
          <w:szCs w:val="36"/>
          <w:highlight w:val="none"/>
        </w:rPr>
        <w:t xml:space="preserve">南京市江宁区交通运输局</w:t>
      </w:r>
      <w:r/>
    </w:p>
    <w:p>
      <w:pPr>
        <w:jc w:val="center"/>
        <w:spacing w:line="360" w:lineRule="auto"/>
        <w:rPr>
          <w:rFonts w:hint="eastAsia" w:ascii="宋体" w:hAnsi="宋体" w:cs="宋体"/>
          <w:color w:val="auto"/>
          <w:sz w:val="44"/>
          <w:highlight w:val="none"/>
        </w:rPr>
      </w:pPr>
      <w:r>
        <w:rPr>
          <w:rFonts w:hint="eastAsia" w:ascii="宋体" w:hAnsi="宋体" w:cs="宋体"/>
          <w:color w:val="auto"/>
          <w:sz w:val="36"/>
          <w:szCs w:val="36"/>
          <w:highlight w:val="none"/>
        </w:rPr>
        <w:t xml:space="preserve">采购代理机构：南京永平建设项目管理有限公司</w:t>
      </w:r>
      <w:r/>
    </w:p>
    <w:p>
      <w:pPr>
        <w:jc w:val="center"/>
        <w:spacing w:line="360" w:lineRule="auto"/>
        <w:rPr>
          <w:rFonts w:hint="eastAsia" w:ascii="宋体" w:hAnsi="宋体" w:cs="宋体"/>
          <w:color w:val="auto"/>
          <w:sz w:val="36"/>
          <w:szCs w:val="36"/>
          <w:highlight w:val="none"/>
        </w:rPr>
        <w:sectPr>
          <w:headerReference w:type="default" r:id="rId9"/>
          <w:footnotePr/>
          <w:endnotePr/>
          <w:type w:val="nextPage"/>
          <w:pgSz w:w="11906" w:h="16838" w:orient="portrait"/>
          <w:pgMar w:top="1417" w:right="1134" w:bottom="1247" w:left="1304" w:header="851" w:footer="992" w:gutter="0"/>
          <w:cols w:num="1" w:sep="0" w:space="720" w:equalWidth="1"/>
          <w:docGrid w:linePitch="360"/>
        </w:sectPr>
      </w:pPr>
      <w:r>
        <w:rPr>
          <w:rFonts w:hint="eastAsia" w:ascii="宋体" w:hAnsi="宋体" w:cs="宋体"/>
          <w:color w:val="auto"/>
          <w:sz w:val="36"/>
          <w:szCs w:val="36"/>
          <w:highlight w:val="none"/>
        </w:rPr>
        <w:t xml:space="preserve">二</w:t>
      </w:r>
      <w:bookmarkStart w:id="0" w:name="_Hlk37241689"/>
      <w:r>
        <w:rPr>
          <w:rFonts w:hint="eastAsia" w:ascii="宋体" w:hAnsi="宋体" w:cs="宋体"/>
          <w:color w:val="auto"/>
          <w:sz w:val="36"/>
          <w:szCs w:val="36"/>
          <w:highlight w:val="none"/>
        </w:rPr>
        <w:t xml:space="preserve">〇</w:t>
      </w:r>
      <w:bookmarkEnd w:id="0"/>
      <w:r>
        <w:rPr>
          <w:rFonts w:hint="eastAsia" w:ascii="宋体" w:hAnsi="宋体" w:cs="宋体"/>
          <w:color w:val="auto"/>
          <w:sz w:val="36"/>
          <w:szCs w:val="36"/>
          <w:highlight w:val="none"/>
        </w:rPr>
        <w:t xml:space="preserve">二五年十二月</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目 录</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2"/>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_Toc27421 </w:instrText>
      </w:r>
      <w:r>
        <w:rPr>
          <w:rFonts w:hint="eastAsia" w:ascii="宋体" w:hAnsi="宋体" w:cs="宋体"/>
          <w:color w:val="auto"/>
          <w:sz w:val="28"/>
          <w:szCs w:val="28"/>
          <w:highlight w:val="none"/>
        </w:rPr>
        <w:fldChar w:fldCharType="separate"/>
      </w:r>
      <w:r>
        <w:rPr>
          <w:rFonts w:hint="eastAsia"/>
          <w:color w:val="auto"/>
          <w:sz w:val="28"/>
          <w:szCs w:val="28"/>
          <w:lang w:val="zh-CN"/>
        </w:rPr>
        <w:t xml:space="preserve">第一章 招标公告</w:t>
      </w:r>
      <w:r>
        <w:rPr>
          <w:color w:val="auto"/>
          <w:sz w:val="28"/>
          <w:szCs w:val="28"/>
        </w:rPr>
        <w:tab/>
      </w:r>
      <w:r>
        <w:rPr>
          <w:color w:val="auto"/>
          <w:sz w:val="28"/>
          <w:szCs w:val="28"/>
        </w:rPr>
        <w:fldChar w:fldCharType="begin"/>
      </w:r>
      <w:r>
        <w:rPr>
          <w:color w:val="auto"/>
          <w:sz w:val="28"/>
          <w:szCs w:val="28"/>
        </w:rPr>
        <w:instrText xml:space="preserve"> PAGEREF _Toc27421 \h </w:instrText>
      </w:r>
      <w:r>
        <w:rPr>
          <w:color w:val="auto"/>
          <w:sz w:val="28"/>
          <w:szCs w:val="28"/>
        </w:rPr>
        <w:fldChar w:fldCharType="separate"/>
      </w:r>
      <w:r>
        <w:rPr>
          <w:color w:val="auto"/>
          <w:sz w:val="28"/>
          <w:szCs w:val="28"/>
        </w:rPr>
        <w:t xml:space="preserve">2</w:t>
      </w:r>
      <w:r>
        <w:rPr>
          <w:color w:val="auto"/>
          <w:sz w:val="28"/>
          <w:szCs w:val="28"/>
        </w:rPr>
        <w:fldChar w:fldCharType="end"/>
      </w:r>
      <w:r>
        <w:rPr>
          <w:rFonts w:hint="eastAsia" w:ascii="宋体" w:hAnsi="宋体" w:cs="宋体"/>
          <w:color w:val="auto"/>
          <w:sz w:val="28"/>
          <w:szCs w:val="28"/>
          <w:highlight w:val="none"/>
        </w:rPr>
        <w:fldChar w:fldCharType="end"/>
      </w:r>
      <w:r/>
    </w:p>
    <w:p>
      <w:pPr>
        <w:pStyle w:val="832"/>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_Toc1697 </w:instrText>
      </w:r>
      <w:r>
        <w:rPr>
          <w:rFonts w:hint="eastAsia" w:ascii="宋体" w:hAnsi="宋体" w:cs="宋体"/>
          <w:color w:val="auto"/>
          <w:sz w:val="28"/>
          <w:szCs w:val="28"/>
          <w:highlight w:val="none"/>
        </w:rPr>
        <w:fldChar w:fldCharType="separate"/>
      </w:r>
      <w:r>
        <w:rPr>
          <w:rFonts w:hint="eastAsia"/>
          <w:color w:val="auto"/>
          <w:sz w:val="28"/>
          <w:szCs w:val="28"/>
          <w:lang w:val="zh-CN"/>
        </w:rPr>
        <w:t xml:space="preserve">第二章 供应商须知</w:t>
      </w:r>
      <w:r>
        <w:rPr>
          <w:color w:val="auto"/>
          <w:sz w:val="28"/>
          <w:szCs w:val="28"/>
        </w:rPr>
        <w:tab/>
      </w:r>
      <w:r>
        <w:rPr>
          <w:color w:val="auto"/>
          <w:sz w:val="28"/>
          <w:szCs w:val="28"/>
        </w:rPr>
        <w:fldChar w:fldCharType="begin"/>
      </w:r>
      <w:r>
        <w:rPr>
          <w:color w:val="auto"/>
          <w:sz w:val="28"/>
          <w:szCs w:val="28"/>
        </w:rPr>
        <w:instrText xml:space="preserve"> PAGEREF _Toc1697 \h </w:instrText>
      </w:r>
      <w:r>
        <w:rPr>
          <w:color w:val="auto"/>
          <w:sz w:val="28"/>
          <w:szCs w:val="28"/>
        </w:rPr>
        <w:fldChar w:fldCharType="separate"/>
      </w:r>
      <w:r>
        <w:rPr>
          <w:color w:val="auto"/>
          <w:sz w:val="28"/>
          <w:szCs w:val="28"/>
        </w:rPr>
        <w:t xml:space="preserve">7</w:t>
      </w:r>
      <w:r>
        <w:rPr>
          <w:color w:val="auto"/>
          <w:sz w:val="28"/>
          <w:szCs w:val="28"/>
        </w:rPr>
        <w:fldChar w:fldCharType="end"/>
      </w:r>
      <w:r>
        <w:rPr>
          <w:rFonts w:hint="eastAsia" w:ascii="宋体" w:hAnsi="宋体" w:cs="宋体"/>
          <w:color w:val="auto"/>
          <w:sz w:val="28"/>
          <w:szCs w:val="28"/>
          <w:highlight w:val="none"/>
        </w:rPr>
        <w:fldChar w:fldCharType="end"/>
      </w:r>
      <w:r/>
    </w:p>
    <w:p>
      <w:pPr>
        <w:pStyle w:val="832"/>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_Toc18231 </w:instrText>
      </w:r>
      <w:r>
        <w:rPr>
          <w:rFonts w:hint="eastAsia" w:ascii="宋体" w:hAnsi="宋体" w:cs="宋体"/>
          <w:color w:val="auto"/>
          <w:sz w:val="28"/>
          <w:szCs w:val="28"/>
          <w:highlight w:val="none"/>
        </w:rPr>
        <w:fldChar w:fldCharType="separate"/>
      </w:r>
      <w:r>
        <w:rPr>
          <w:rFonts w:hint="eastAsia" w:ascii="宋体" w:hAnsi="宋体" w:cs="宋体"/>
          <w:bCs/>
          <w:color w:val="auto"/>
          <w:sz w:val="28"/>
          <w:szCs w:val="28"/>
          <w:highlight w:val="none"/>
          <w:lang w:val="zh-CN"/>
        </w:rPr>
        <w:t xml:space="preserve">第三章 评标标准</w:t>
      </w:r>
      <w:r>
        <w:rPr>
          <w:color w:val="auto"/>
          <w:sz w:val="28"/>
          <w:szCs w:val="28"/>
        </w:rPr>
        <w:tab/>
      </w:r>
      <w:r>
        <w:rPr>
          <w:color w:val="auto"/>
          <w:sz w:val="28"/>
          <w:szCs w:val="28"/>
        </w:rPr>
        <w:fldChar w:fldCharType="begin"/>
      </w:r>
      <w:r>
        <w:rPr>
          <w:color w:val="auto"/>
          <w:sz w:val="28"/>
          <w:szCs w:val="28"/>
        </w:rPr>
        <w:instrText xml:space="preserve"> PAGEREF _Toc18231 \h </w:instrText>
      </w:r>
      <w:r>
        <w:rPr>
          <w:color w:val="auto"/>
          <w:sz w:val="28"/>
          <w:szCs w:val="28"/>
        </w:rPr>
        <w:fldChar w:fldCharType="separate"/>
      </w:r>
      <w:r>
        <w:rPr>
          <w:color w:val="auto"/>
          <w:sz w:val="28"/>
          <w:szCs w:val="28"/>
        </w:rPr>
        <w:t xml:space="preserve">18</w:t>
      </w:r>
      <w:r>
        <w:rPr>
          <w:color w:val="auto"/>
          <w:sz w:val="28"/>
          <w:szCs w:val="28"/>
        </w:rPr>
        <w:fldChar w:fldCharType="end"/>
      </w:r>
      <w:r>
        <w:rPr>
          <w:rFonts w:hint="eastAsia" w:ascii="宋体" w:hAnsi="宋体" w:cs="宋体"/>
          <w:color w:val="auto"/>
          <w:sz w:val="28"/>
          <w:szCs w:val="28"/>
          <w:highlight w:val="none"/>
        </w:rPr>
        <w:fldChar w:fldCharType="end"/>
      </w:r>
      <w:r/>
    </w:p>
    <w:p>
      <w:pPr>
        <w:pStyle w:val="832"/>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_Toc26180 </w:instrText>
      </w:r>
      <w:r>
        <w:rPr>
          <w:rFonts w:hint="eastAsia" w:ascii="宋体" w:hAnsi="宋体" w:cs="宋体"/>
          <w:color w:val="auto"/>
          <w:sz w:val="28"/>
          <w:szCs w:val="28"/>
          <w:highlight w:val="none"/>
        </w:rPr>
        <w:fldChar w:fldCharType="separate"/>
      </w:r>
      <w:r>
        <w:rPr>
          <w:rFonts w:hint="eastAsia"/>
          <w:color w:val="auto"/>
          <w:sz w:val="28"/>
          <w:szCs w:val="28"/>
          <w:lang w:val="zh-CN"/>
        </w:rPr>
        <w:t xml:space="preserve">第四章 采购项目需求</w:t>
      </w:r>
      <w:r>
        <w:rPr>
          <w:color w:val="auto"/>
          <w:sz w:val="28"/>
          <w:szCs w:val="28"/>
        </w:rPr>
        <w:tab/>
      </w:r>
      <w:r>
        <w:rPr>
          <w:color w:val="auto"/>
          <w:sz w:val="28"/>
          <w:szCs w:val="28"/>
        </w:rPr>
        <w:fldChar w:fldCharType="begin"/>
      </w:r>
      <w:r>
        <w:rPr>
          <w:color w:val="auto"/>
          <w:sz w:val="28"/>
          <w:szCs w:val="28"/>
        </w:rPr>
        <w:instrText xml:space="preserve"> PAGEREF _Toc26180 \h </w:instrText>
      </w:r>
      <w:r>
        <w:rPr>
          <w:color w:val="auto"/>
          <w:sz w:val="28"/>
          <w:szCs w:val="28"/>
        </w:rPr>
        <w:fldChar w:fldCharType="separate"/>
      </w:r>
      <w:r>
        <w:rPr>
          <w:color w:val="auto"/>
          <w:sz w:val="28"/>
          <w:szCs w:val="28"/>
        </w:rPr>
        <w:t xml:space="preserve">22</w:t>
      </w:r>
      <w:r>
        <w:rPr>
          <w:color w:val="auto"/>
          <w:sz w:val="28"/>
          <w:szCs w:val="28"/>
        </w:rPr>
        <w:fldChar w:fldCharType="end"/>
      </w:r>
      <w:r>
        <w:rPr>
          <w:rFonts w:hint="eastAsia" w:ascii="宋体" w:hAnsi="宋体" w:cs="宋体"/>
          <w:color w:val="auto"/>
          <w:sz w:val="28"/>
          <w:szCs w:val="28"/>
          <w:highlight w:val="none"/>
        </w:rPr>
        <w:fldChar w:fldCharType="end"/>
      </w:r>
      <w:r/>
    </w:p>
    <w:p>
      <w:pPr>
        <w:pStyle w:val="832"/>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_Toc22562 </w:instrText>
      </w:r>
      <w:r>
        <w:rPr>
          <w:rFonts w:hint="eastAsia" w:ascii="宋体" w:hAnsi="宋体" w:cs="宋体"/>
          <w:color w:val="auto"/>
          <w:sz w:val="28"/>
          <w:szCs w:val="28"/>
          <w:highlight w:val="none"/>
        </w:rPr>
        <w:fldChar w:fldCharType="separate"/>
      </w:r>
      <w:r>
        <w:rPr>
          <w:rFonts w:hint="eastAsia"/>
          <w:color w:val="auto"/>
          <w:sz w:val="28"/>
          <w:szCs w:val="28"/>
          <w:highlight w:val="none"/>
          <w:lang w:val="zh-CN"/>
        </w:rPr>
        <w:t xml:space="preserve">第五章</w:t>
      </w:r>
      <w:r>
        <w:rPr>
          <w:rFonts w:hint="eastAsia"/>
          <w:color w:val="auto"/>
          <w:sz w:val="28"/>
          <w:szCs w:val="28"/>
          <w:highlight w:val="none"/>
        </w:rPr>
        <w:t xml:space="preserve"> </w:t>
      </w:r>
      <w:r>
        <w:rPr>
          <w:rFonts w:hint="eastAsia"/>
          <w:color w:val="auto"/>
          <w:sz w:val="28"/>
          <w:szCs w:val="28"/>
          <w:highlight w:val="none"/>
          <w:lang w:val="zh-CN"/>
        </w:rPr>
        <w:t xml:space="preserve">合同主要条款及格式</w:t>
      </w:r>
      <w:r>
        <w:rPr>
          <w:color w:val="auto"/>
          <w:sz w:val="28"/>
          <w:szCs w:val="28"/>
        </w:rPr>
        <w:tab/>
      </w:r>
      <w:r>
        <w:rPr>
          <w:color w:val="auto"/>
          <w:sz w:val="28"/>
          <w:szCs w:val="28"/>
        </w:rPr>
        <w:fldChar w:fldCharType="begin"/>
      </w:r>
      <w:r>
        <w:rPr>
          <w:color w:val="auto"/>
          <w:sz w:val="28"/>
          <w:szCs w:val="28"/>
        </w:rPr>
        <w:instrText xml:space="preserve"> PAGEREF _Toc22562 \h </w:instrText>
      </w:r>
      <w:r>
        <w:rPr>
          <w:color w:val="auto"/>
          <w:sz w:val="28"/>
          <w:szCs w:val="28"/>
        </w:rPr>
        <w:fldChar w:fldCharType="separate"/>
      </w:r>
      <w:r>
        <w:rPr>
          <w:color w:val="auto"/>
          <w:sz w:val="28"/>
          <w:szCs w:val="28"/>
        </w:rPr>
        <w:t xml:space="preserve">34</w:t>
      </w:r>
      <w:r>
        <w:rPr>
          <w:color w:val="auto"/>
          <w:sz w:val="28"/>
          <w:szCs w:val="28"/>
        </w:rPr>
        <w:fldChar w:fldCharType="end"/>
      </w:r>
      <w:r>
        <w:rPr>
          <w:rFonts w:hint="eastAsia" w:ascii="宋体" w:hAnsi="宋体" w:cs="宋体"/>
          <w:color w:val="auto"/>
          <w:sz w:val="28"/>
          <w:szCs w:val="28"/>
          <w:highlight w:val="none"/>
        </w:rPr>
        <w:fldChar w:fldCharType="end"/>
      </w:r>
      <w:r/>
    </w:p>
    <w:p>
      <w:pPr>
        <w:pStyle w:val="832"/>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_Toc292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lang w:val="zh-CN"/>
        </w:rPr>
        <w:t xml:space="preserve">第六章</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投标文件格式及附件</w:t>
      </w:r>
      <w:r>
        <w:rPr>
          <w:color w:val="auto"/>
          <w:sz w:val="28"/>
          <w:szCs w:val="28"/>
        </w:rPr>
        <w:tab/>
      </w:r>
      <w:r>
        <w:rPr>
          <w:color w:val="auto"/>
          <w:sz w:val="28"/>
          <w:szCs w:val="28"/>
        </w:rPr>
        <w:fldChar w:fldCharType="begin"/>
      </w:r>
      <w:r>
        <w:rPr>
          <w:color w:val="auto"/>
          <w:sz w:val="28"/>
          <w:szCs w:val="28"/>
        </w:rPr>
        <w:instrText xml:space="preserve"> PAGEREF _Toc292 \h </w:instrText>
      </w:r>
      <w:r>
        <w:rPr>
          <w:color w:val="auto"/>
          <w:sz w:val="28"/>
          <w:szCs w:val="28"/>
        </w:rPr>
        <w:fldChar w:fldCharType="separate"/>
      </w:r>
      <w:r>
        <w:rPr>
          <w:color w:val="auto"/>
          <w:sz w:val="28"/>
          <w:szCs w:val="28"/>
        </w:rPr>
        <w:t xml:space="preserve">49</w:t>
      </w:r>
      <w:r>
        <w:rPr>
          <w:color w:val="auto"/>
          <w:sz w:val="28"/>
          <w:szCs w:val="28"/>
        </w:rPr>
        <w:fldChar w:fldCharType="end"/>
      </w:r>
      <w:r>
        <w:rPr>
          <w:rFonts w:hint="eastAsia" w:ascii="宋体" w:hAnsi="宋体" w:cs="宋体"/>
          <w:color w:val="auto"/>
          <w:sz w:val="28"/>
          <w:szCs w:val="28"/>
          <w:highlight w:val="none"/>
        </w:rPr>
        <w:fldChar w:fldCharType="end"/>
      </w:r>
      <w:r/>
    </w:p>
    <w:p>
      <w:pPr>
        <w:pStyle w:val="832"/>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_Toc1855 </w:instrText>
      </w:r>
      <w:r>
        <w:rPr>
          <w:rFonts w:hint="eastAsia" w:ascii="宋体" w:hAnsi="宋体" w:cs="宋体"/>
          <w:color w:val="auto"/>
          <w:sz w:val="28"/>
          <w:szCs w:val="28"/>
          <w:highlight w:val="none"/>
        </w:rPr>
        <w:fldChar w:fldCharType="separate"/>
      </w:r>
      <w:r>
        <w:rPr>
          <w:rFonts w:hint="eastAsia"/>
          <w:color w:val="auto"/>
          <w:sz w:val="28"/>
          <w:szCs w:val="28"/>
          <w:lang w:val="en-US" w:eastAsia="zh-CN"/>
        </w:rPr>
        <w:t xml:space="preserve">第七章 采购清单</w:t>
      </w:r>
      <w:r>
        <w:rPr>
          <w:color w:val="auto"/>
          <w:sz w:val="28"/>
          <w:szCs w:val="28"/>
        </w:rPr>
        <w:tab/>
      </w:r>
      <w:r>
        <w:rPr>
          <w:color w:val="auto"/>
          <w:sz w:val="28"/>
          <w:szCs w:val="28"/>
        </w:rPr>
        <w:fldChar w:fldCharType="begin"/>
      </w:r>
      <w:r>
        <w:rPr>
          <w:color w:val="auto"/>
          <w:sz w:val="28"/>
          <w:szCs w:val="28"/>
        </w:rPr>
        <w:instrText xml:space="preserve"> PAGEREF _Toc1855 \h </w:instrText>
      </w:r>
      <w:r>
        <w:rPr>
          <w:color w:val="auto"/>
          <w:sz w:val="28"/>
          <w:szCs w:val="28"/>
        </w:rPr>
        <w:fldChar w:fldCharType="separate"/>
      </w:r>
      <w:r>
        <w:rPr>
          <w:color w:val="auto"/>
          <w:sz w:val="28"/>
          <w:szCs w:val="28"/>
        </w:rPr>
        <w:t xml:space="preserve">71</w:t>
      </w:r>
      <w:r>
        <w:rPr>
          <w:color w:val="auto"/>
          <w:sz w:val="28"/>
          <w:szCs w:val="28"/>
        </w:rPr>
        <w:fldChar w:fldCharType="end"/>
      </w:r>
      <w:r>
        <w:rPr>
          <w:rFonts w:hint="eastAsia" w:ascii="宋体" w:hAnsi="宋体" w:cs="宋体"/>
          <w:color w:val="auto"/>
          <w:sz w:val="28"/>
          <w:szCs w:val="28"/>
          <w:highlight w:val="none"/>
        </w:rPr>
        <w:fldChar w:fldCharType="end"/>
      </w:r>
      <w:r/>
    </w:p>
    <w:p>
      <w:pPr>
        <w:pStyle w:val="832"/>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_Toc13129 </w:instrText>
      </w:r>
      <w:r>
        <w:rPr>
          <w:rFonts w:hint="eastAsia" w:ascii="宋体" w:hAnsi="宋体" w:cs="宋体"/>
          <w:color w:val="auto"/>
          <w:sz w:val="28"/>
          <w:szCs w:val="28"/>
          <w:highlight w:val="none"/>
        </w:rPr>
        <w:fldChar w:fldCharType="separate"/>
      </w:r>
      <w:r>
        <w:rPr>
          <w:color w:val="auto"/>
          <w:sz w:val="28"/>
          <w:szCs w:val="28"/>
        </w:rPr>
        <w:t xml:space="preserve">第</w:t>
      </w:r>
      <w:r>
        <w:rPr>
          <w:rFonts w:hint="eastAsia"/>
          <w:color w:val="auto"/>
          <w:sz w:val="28"/>
          <w:szCs w:val="28"/>
          <w:lang w:val="en-US" w:eastAsia="zh-CN"/>
        </w:rPr>
        <w:t xml:space="preserve">八</w:t>
      </w:r>
      <w:r>
        <w:rPr>
          <w:color w:val="auto"/>
          <w:sz w:val="28"/>
          <w:szCs w:val="28"/>
        </w:rPr>
        <w:t xml:space="preserve">章</w:t>
      </w:r>
      <w:r>
        <w:rPr>
          <w:rFonts w:hint="eastAsia"/>
          <w:color w:val="auto"/>
          <w:sz w:val="28"/>
          <w:szCs w:val="28"/>
          <w:lang w:val="en-US" w:eastAsia="zh-CN"/>
        </w:rPr>
        <w:t xml:space="preserve"> </w:t>
      </w:r>
      <w:r>
        <w:rPr>
          <w:color w:val="auto"/>
          <w:sz w:val="28"/>
          <w:szCs w:val="28"/>
        </w:rPr>
        <w:t xml:space="preserve">供应商中标后需要提交核验的资料</w:t>
      </w:r>
      <w:r>
        <w:rPr>
          <w:color w:val="auto"/>
          <w:sz w:val="28"/>
          <w:szCs w:val="28"/>
        </w:rPr>
        <w:tab/>
      </w:r>
      <w:r>
        <w:rPr>
          <w:color w:val="auto"/>
          <w:sz w:val="28"/>
          <w:szCs w:val="28"/>
        </w:rPr>
        <w:fldChar w:fldCharType="begin"/>
      </w:r>
      <w:r>
        <w:rPr>
          <w:color w:val="auto"/>
          <w:sz w:val="28"/>
          <w:szCs w:val="28"/>
        </w:rPr>
        <w:instrText xml:space="preserve"> PAGEREF _Toc13129 \h </w:instrText>
      </w:r>
      <w:r>
        <w:rPr>
          <w:color w:val="auto"/>
          <w:sz w:val="28"/>
          <w:szCs w:val="28"/>
        </w:rPr>
        <w:fldChar w:fldCharType="separate"/>
      </w:r>
      <w:r>
        <w:rPr>
          <w:color w:val="auto"/>
          <w:sz w:val="28"/>
          <w:szCs w:val="28"/>
        </w:rPr>
        <w:t xml:space="preserve">89</w:t>
      </w:r>
      <w:r>
        <w:rPr>
          <w:color w:val="auto"/>
          <w:sz w:val="28"/>
          <w:szCs w:val="28"/>
        </w:rPr>
        <w:fldChar w:fldCharType="end"/>
      </w:r>
      <w:r>
        <w:rPr>
          <w:rFonts w:hint="eastAsia" w:ascii="宋体" w:hAnsi="宋体" w:cs="宋体"/>
          <w:color w:val="auto"/>
          <w:sz w:val="28"/>
          <w:szCs w:val="28"/>
          <w:highlight w:val="none"/>
        </w:rPr>
        <w:fldChar w:fldCharType="end"/>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end"/>
      </w:r>
      <w:r/>
    </w:p>
    <w:p>
      <w:pPr>
        <w:pStyle w:val="998"/>
        <w:jc w:val="center"/>
        <w:spacing w:line="360" w:lineRule="auto"/>
        <w:rPr>
          <w:rFonts w:hint="eastAsia" w:ascii="宋体" w:hAnsi="宋体" w:cs="宋体"/>
          <w:color w:val="auto"/>
          <w:sz w:val="36"/>
          <w:szCs w:val="36"/>
          <w:highlight w:val="none"/>
          <w:lang w:val="zh-CN"/>
        </w:rPr>
        <w:sectPr>
          <w:footerReference w:type="default" r:id="rId10"/>
          <w:footnotePr/>
          <w:endnotePr/>
          <w:type w:val="nextPage"/>
          <w:pgSz w:w="11906" w:h="16838" w:orient="portrait"/>
          <w:pgMar w:top="1417" w:right="1134" w:bottom="1247" w:left="1304" w:header="851" w:footer="992" w:gutter="0"/>
          <w:pgNumType w:start="1"/>
          <w:cols w:num="1" w:sep="0" w:space="720" w:equalWidth="1"/>
          <w:docGrid w:linePitch="360"/>
        </w:sectPr>
      </w:pPr>
      <w:r/>
      <w:bookmarkStart w:id="1" w:name="_Toc8984"/>
      <w:r/>
      <w:bookmarkStart w:id="2" w:name="_Toc12683"/>
      <w:r/>
      <w:bookmarkStart w:id="3" w:name="_Toc12800"/>
      <w:r/>
      <w:bookmarkEnd w:id="1"/>
      <w:r/>
      <w:bookmarkEnd w:id="2"/>
      <w:r/>
      <w:bookmarkEnd w:id="3"/>
      <w:r/>
      <w:r/>
    </w:p>
    <w:p>
      <w:pPr>
        <w:pStyle w:val="808"/>
        <w:rPr>
          <w:rFonts w:hint="eastAsia"/>
          <w:color w:val="auto"/>
          <w:lang w:val="zh-CN"/>
        </w:rPr>
      </w:pPr>
      <w:r/>
      <w:bookmarkStart w:id="4" w:name="_Toc29221"/>
      <w:r/>
      <w:bookmarkStart w:id="5" w:name="_Toc14965"/>
      <w:r/>
      <w:bookmarkStart w:id="6" w:name="_Toc26954"/>
      <w:r/>
      <w:bookmarkStart w:id="7" w:name="_Toc27421"/>
      <w:r/>
      <w:bookmarkStart w:id="8" w:name="_Toc16119"/>
      <w:r/>
      <w:bookmarkStart w:id="9" w:name="_Toc26288"/>
      <w:r>
        <w:rPr>
          <w:rFonts w:hint="eastAsia"/>
          <w:color w:val="auto"/>
          <w:lang w:val="zh-CN"/>
        </w:rPr>
        <w:t xml:space="preserve">第一章 招标公告</w:t>
      </w:r>
      <w:bookmarkEnd w:id="4"/>
      <w:r/>
      <w:bookmarkEnd w:id="5"/>
      <w:r/>
      <w:bookmarkEnd w:id="6"/>
      <w:r/>
      <w:bookmarkEnd w:id="7"/>
      <w:r/>
      <w:bookmarkEnd w:id="8"/>
      <w:r/>
      <w:bookmarkEnd w:id="9"/>
      <w:r/>
      <w:r/>
    </w:p>
    <w:p>
      <w:pPr>
        <w:ind w:firstLine="440"/>
        <w:jc w:val="left"/>
        <w:spacing w:line="52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2026年江宁区县道日常养护服务</w:t>
      </w:r>
      <w:r>
        <w:rPr>
          <w:rFonts w:hint="eastAsia" w:ascii="宋体" w:hAnsi="宋体" w:cs="宋体"/>
          <w:bCs/>
          <w:color w:val="auto"/>
          <w:sz w:val="22"/>
          <w:highlight w:val="none"/>
        </w:rPr>
        <w:t xml:space="preserve">招标项目的潜在投标人应在江苏政府采购网获取招标文件</w:t>
      </w:r>
      <w:r>
        <w:rPr>
          <w:rFonts w:hint="eastAsia" w:ascii="宋体" w:hAnsi="宋体" w:cs="宋体"/>
          <w:color w:val="auto"/>
          <w:sz w:val="22"/>
          <w:highlight w:val="none"/>
        </w:rPr>
        <w:t xml:space="preserve">，</w:t>
      </w:r>
      <w:r>
        <w:rPr>
          <w:rFonts w:ascii="宋体" w:hAnsi="宋体" w:cs="宋体"/>
          <w:color w:val="auto"/>
          <w:sz w:val="22"/>
          <w:highlight w:val="none"/>
        </w:rPr>
        <w:t xml:space="preserve">并</w:t>
      </w:r>
      <w:r>
        <w:rPr>
          <w:rFonts w:hint="eastAsia" w:ascii="宋体" w:hAnsi="宋体" w:cs="宋体"/>
          <w:color w:val="auto"/>
          <w:sz w:val="22"/>
          <w:highlight w:val="none"/>
        </w:rPr>
        <w:t xml:space="preserve">于</w:t>
      </w:r>
      <w:r>
        <w:rPr>
          <w:rFonts w:hint="eastAsia" w:ascii="宋体" w:hAnsi="宋体" w:cs="宋体"/>
          <w:color w:val="auto"/>
          <w:sz w:val="22"/>
          <w:highlight w:val="none"/>
        </w:rPr>
        <w:t xml:space="preserve">2025年12月</w:t>
      </w:r>
      <w:r>
        <w:rPr>
          <w:rFonts w:hint="eastAsia" w:ascii="宋体" w:hAnsi="宋体" w:cs="宋体"/>
          <w:color w:val="auto"/>
          <w:sz w:val="22"/>
          <w:highlight w:val="none"/>
          <w:lang w:val="en-US" w:eastAsia="zh-CN"/>
        </w:rPr>
        <w:t xml:space="preserve">31</w:t>
      </w:r>
      <w:r>
        <w:rPr>
          <w:rFonts w:hint="eastAsia" w:ascii="宋体" w:hAnsi="宋体" w:cs="宋体"/>
          <w:color w:val="auto"/>
          <w:sz w:val="22"/>
          <w:highlight w:val="none"/>
        </w:rPr>
        <w:t xml:space="preserve">日9：30</w:t>
      </w:r>
      <w:r>
        <w:rPr>
          <w:rFonts w:hint="eastAsia" w:ascii="宋体" w:hAnsi="宋体" w:cs="宋体"/>
          <w:color w:val="auto"/>
          <w:sz w:val="22"/>
          <w:highlight w:val="none"/>
        </w:rPr>
        <w:t xml:space="preserve">（北京时间）前递交投标文件。</w:t>
      </w:r>
      <w:r/>
    </w:p>
    <w:p>
      <w:pPr>
        <w:pStyle w:val="809"/>
        <w:rPr>
          <w:rFonts w:hint="eastAsia"/>
          <w:color w:val="auto"/>
        </w:rPr>
      </w:pPr>
      <w:r>
        <w:rPr>
          <w:rFonts w:hint="eastAsia"/>
          <w:color w:val="auto"/>
        </w:rPr>
        <w:t xml:space="preserve">一、项目基本情况</w:t>
      </w:r>
      <w:r/>
    </w:p>
    <w:p>
      <w:pPr>
        <w:ind w:firstLine="440"/>
        <w:jc w:val="left"/>
        <w:spacing w:line="520" w:lineRule="exac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项目编号：</w:t>
      </w:r>
      <w:r>
        <w:rPr>
          <w:rFonts w:hint="eastAsia" w:ascii="宋体" w:hAnsi="宋体" w:cs="宋体"/>
          <w:color w:val="auto"/>
          <w:sz w:val="22"/>
          <w:highlight w:val="none"/>
          <w:lang w:eastAsia="zh-CN"/>
        </w:rPr>
        <w:t xml:space="preserve">JSZC-320115-NJYP-G2025-0029</w:t>
      </w:r>
      <w:r/>
    </w:p>
    <w:p>
      <w:pPr>
        <w:ind w:firstLine="440"/>
        <w:jc w:val="left"/>
        <w:spacing w:line="520" w:lineRule="exac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项目名称：</w:t>
      </w:r>
      <w:r>
        <w:rPr>
          <w:rFonts w:hint="eastAsia" w:ascii="宋体" w:hAnsi="宋体" w:cs="宋体"/>
          <w:color w:val="auto"/>
          <w:sz w:val="22"/>
          <w:highlight w:val="none"/>
          <w:lang w:eastAsia="zh-CN"/>
        </w:rPr>
        <w:t xml:space="preserve">2026年江宁区县道日常养护服务</w:t>
      </w:r>
      <w:r/>
    </w:p>
    <w:p>
      <w:pPr>
        <w:ind w:firstLine="440"/>
        <w:jc w:val="left"/>
        <w:spacing w:line="52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预算金额：2700万元</w:t>
      </w:r>
      <w:r/>
    </w:p>
    <w:p>
      <w:pPr>
        <w:ind w:firstLine="440"/>
        <w:jc w:val="left"/>
        <w:spacing w:line="52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最高限价：2700万元（投标报价不得超过采购项目最高限价金额，否则按无效投标处理）</w:t>
      </w:r>
      <w:r/>
    </w:p>
    <w:p>
      <w:pPr>
        <w:ind w:firstLine="440"/>
        <w:jc w:val="left"/>
        <w:spacing w:line="52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采购需求：</w:t>
      </w:r>
      <w:r>
        <w:rPr>
          <w:rFonts w:hint="eastAsia" w:ascii="宋体" w:hAnsi="宋体" w:eastAsia="宋体" w:cs="宋体"/>
          <w:color w:val="auto"/>
          <w:sz w:val="22"/>
          <w:highlight w:val="none"/>
        </w:rPr>
        <w:t xml:space="preserve">本项目为2026年江宁区县道日常养护服务</w:t>
      </w:r>
      <w:r>
        <w:rPr>
          <w:rFonts w:hint="eastAsia" w:ascii="宋体" w:hAnsi="宋体" w:cs="宋体"/>
          <w:color w:val="auto"/>
          <w:sz w:val="22"/>
          <w:highlight w:val="none"/>
          <w:lang w:eastAsia="zh-CN"/>
        </w:rPr>
        <w:t xml:space="preserve">，</w:t>
      </w:r>
      <w:r>
        <w:rPr>
          <w:rFonts w:hint="eastAsia" w:ascii="宋体" w:hAnsi="宋体" w:eastAsia="宋体" w:cs="宋体"/>
          <w:color w:val="auto"/>
          <w:sz w:val="22"/>
          <w:highlight w:val="none"/>
        </w:rPr>
        <w:t xml:space="preserve">主要内容包括对全区 448.245 公里县道的养护，道路病害维修、桥涵构造物维修维护、安保更换维修维护、突发道路事件处置、道路附属设施养护等以及采购人指令的其它工作内容。具体服务工作详见招标文件。</w:t>
      </w:r>
      <w:r/>
    </w:p>
    <w:p>
      <w:pPr>
        <w:ind w:firstLine="440"/>
        <w:jc w:val="left"/>
        <w:spacing w:line="520" w:lineRule="exact"/>
        <w:widowControl/>
        <w:rPr>
          <w:rFonts w:hint="eastAsia" w:ascii="宋体" w:hAnsi="宋体" w:eastAsia="宋体" w:cs="宋体"/>
          <w:color w:val="auto"/>
          <w:sz w:val="22"/>
          <w:highlight w:val="none"/>
        </w:rPr>
      </w:pPr>
      <w:r/>
      <w:bookmarkStart w:id="10" w:name="OLE_LINK5"/>
      <w:r>
        <w:rPr>
          <w:rFonts w:hint="eastAsia" w:ascii="宋体" w:hAnsi="宋体" w:eastAsia="宋体" w:cs="宋体"/>
          <w:color w:val="auto"/>
          <w:sz w:val="22"/>
          <w:highlight w:val="none"/>
        </w:rPr>
        <w:t xml:space="preserve">合同履行期限：自合同签订之日起一年</w:t>
      </w:r>
      <w:r/>
    </w:p>
    <w:p>
      <w:pPr>
        <w:ind w:firstLine="440"/>
        <w:jc w:val="left"/>
        <w:spacing w:line="520" w:lineRule="exact"/>
        <w:widowControl/>
        <w:rPr>
          <w:rFonts w:hint="eastAsia"/>
          <w:color w:val="auto"/>
          <w:highlight w:val="none"/>
        </w:rPr>
      </w:pPr>
      <w:r>
        <w:rPr>
          <w:rFonts w:hint="eastAsia" w:ascii="宋体" w:hAnsi="宋体" w:eastAsia="宋体" w:cs="宋体"/>
          <w:color w:val="auto"/>
          <w:sz w:val="22"/>
          <w:highlight w:val="none"/>
          <w:lang w:val="zh-CN"/>
        </w:rPr>
        <w:t xml:space="preserve">本项目采购标的对应的中小企业划分标准所属行业为：</w:t>
      </w:r>
      <w:r>
        <w:rPr>
          <w:rFonts w:hint="eastAsia" w:ascii="宋体" w:hAnsi="宋体" w:eastAsia="宋体" w:cs="宋体"/>
          <w:color w:val="auto"/>
          <w:sz w:val="22"/>
          <w:highlight w:val="none"/>
        </w:rPr>
        <w:t xml:space="preserve">交通运输业</w:t>
      </w:r>
      <w:r>
        <w:rPr>
          <w:rFonts w:hint="eastAsia" w:ascii="宋体" w:hAnsi="宋体" w:eastAsia="宋体" w:cs="宋体"/>
          <w:color w:val="auto"/>
          <w:sz w:val="22"/>
          <w:highlight w:val="none"/>
          <w:lang w:val="zh-CN"/>
        </w:rPr>
        <w:t xml:space="preserve">。</w:t>
      </w:r>
      <w:r/>
    </w:p>
    <w:p>
      <w:pPr>
        <w:ind w:firstLine="440"/>
        <w:jc w:val="left"/>
        <w:spacing w:line="52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本项目（是/否）接受联合体投标：否</w:t>
      </w:r>
      <w:bookmarkEnd w:id="10"/>
      <w:r/>
      <w:r/>
    </w:p>
    <w:p>
      <w:pPr>
        <w:pStyle w:val="809"/>
        <w:rPr>
          <w:rFonts w:hint="eastAsia"/>
          <w:color w:val="auto"/>
        </w:rPr>
      </w:pPr>
      <w:r>
        <w:rPr>
          <w:rFonts w:hint="eastAsia"/>
          <w:color w:val="auto"/>
        </w:rPr>
        <w:t xml:space="preserve">二、申请人的资格要求：</w:t>
      </w:r>
      <w:r/>
    </w:p>
    <w:p>
      <w:pPr>
        <w:ind w:firstLine="42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（一）</w:t>
      </w:r>
      <w:r>
        <w:rPr>
          <w:rFonts w:hint="eastAsia" w:ascii="宋体" w:hAnsi="宋体"/>
          <w:bCs/>
          <w:color w:val="auto"/>
          <w:sz w:val="22"/>
          <w:highlight w:val="none"/>
        </w:rPr>
        <w:t xml:space="preserve">满足《中华人民共和国政府采购法》第二十二条规定；</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1.具有独立承担民事责任的能力(请提供法人或者其他组织的营业执照等证明文件，自然人的身份证明)。</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2.符合《中华人民共和国政府采购法》第二十二条的相关规定，提供《南京市政府采购供应商信用记录表暨信用承诺书》，其中不适用信用承诺的情形：</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①供应商被列入严重失信主体名单；</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②被相关监管部门作出行政处罚且尚在处罚有效期内；</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③其他法律、行政法规规定的不适用信用承诺的情形。</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（二）</w:t>
      </w:r>
      <w:r>
        <w:rPr>
          <w:rFonts w:hint="eastAsia" w:ascii="宋体" w:hAnsi="宋体" w:cs="宋体"/>
          <w:bCs/>
          <w:color w:val="auto"/>
          <w:sz w:val="22"/>
          <w:highlight w:val="none"/>
        </w:rPr>
        <w:t xml:space="preserve">落实政府采购政策需满足的资格要求：（如属于专门面向中小企业采购的项目，供应商应为中小微企业、监狱企业、残疾人福利性单位）</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本项目按照以下方式落实政府采购促进中小企业发展的要求：</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本项目为非预留份额的采购项目或采购包，执行价格扣除优惠政策，具体详见招标文件第三章评审标准。</w:t>
      </w:r>
      <w:r/>
    </w:p>
    <w:p>
      <w:pPr>
        <w:ind w:firstLine="440"/>
        <w:jc w:val="left"/>
        <w:spacing w:line="520" w:lineRule="exact"/>
        <w:widowControl/>
        <w:rPr>
          <w:color w:val="auto"/>
          <w:highlight w:val="none"/>
          <w:lang w:val="en-US"/>
        </w:rPr>
      </w:pPr>
      <w:r>
        <w:rPr>
          <w:rFonts w:hint="eastAsia" w:ascii="宋体" w:hAnsi="宋体" w:cs="宋体"/>
          <w:bCs/>
          <w:color w:val="auto"/>
          <w:sz w:val="22"/>
          <w:highlight w:val="none"/>
        </w:rPr>
        <w:t xml:space="preserve">本项目不专门面向中小微企业采购，执行价格扣除优惠政策，</w:t>
      </w:r>
      <w:r>
        <w:rPr>
          <w:rFonts w:hint="eastAsia" w:ascii="宋体" w:hAnsi="宋体" w:cs="宋体"/>
          <w:b/>
          <w:color w:val="auto"/>
          <w:sz w:val="22"/>
          <w:highlight w:val="none"/>
        </w:rPr>
        <w:t xml:space="preserve">对小微企业报价给予10%的扣除</w:t>
      </w:r>
      <w:r>
        <w:rPr>
          <w:rFonts w:hint="eastAsia" w:ascii="宋体" w:hAnsi="宋体" w:cs="宋体"/>
          <w:bCs/>
          <w:color w:val="auto"/>
          <w:sz w:val="22"/>
          <w:highlight w:val="none"/>
        </w:rPr>
        <w:t xml:space="preserve">。</w:t>
      </w:r>
      <w:r>
        <w:rPr>
          <w:rFonts w:hint="eastAsia" w:ascii="宋体" w:hAnsi="宋体" w:cs="宋体"/>
          <w:bCs/>
          <w:color w:val="auto"/>
          <w:sz w:val="22"/>
          <w:highlight w:val="none"/>
          <w:lang w:val="zh-CN"/>
        </w:rPr>
        <w:t xml:space="preserve">提供《</w:t>
      </w:r>
      <w:r>
        <w:rPr>
          <w:rFonts w:hint="eastAsia" w:ascii="宋体" w:hAnsi="宋体" w:cs="宋体"/>
          <w:bCs/>
          <w:color w:val="auto"/>
          <w:sz w:val="22"/>
          <w:highlight w:val="none"/>
        </w:rPr>
        <w:t xml:space="preserve">中</w:t>
      </w:r>
      <w:r>
        <w:rPr>
          <w:rFonts w:hint="eastAsia" w:ascii="宋体" w:hAnsi="宋体" w:cs="宋体"/>
          <w:bCs/>
          <w:color w:val="auto"/>
          <w:sz w:val="22"/>
          <w:highlight w:val="none"/>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numPr>
          <w:ilvl w:val="0"/>
          <w:numId w:val="1"/>
        </w:numPr>
        <w:ind w:firstLine="420"/>
        <w:jc w:val="left"/>
        <w:spacing w:line="52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采购人根据采购项目的特殊要求规定的特定条件：</w:t>
      </w:r>
      <w:r/>
    </w:p>
    <w:p>
      <w:pPr>
        <w:ind w:firstLine="440"/>
        <w:jc w:val="left"/>
        <w:spacing w:line="520" w:lineRule="exac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1.供应商为中华人民共和国境内合法注册的具有独立法人资格的企业，具备有效的营业执照，且具有交通运输主管部门核发的公路养护作业（路基路面）甲级资质，且具有省级及以上建设行政主管部门核发的《安全生产许可证》，且均在有效期内（提供证书扫描件</w:t>
      </w:r>
      <w:r>
        <w:rPr>
          <w:rFonts w:hint="eastAsia" w:ascii="宋体" w:hAnsi="宋体" w:cs="宋体"/>
          <w:color w:val="000000" w:themeColor="text1"/>
          <w:sz w:val="22"/>
          <w:highlight w:val="none"/>
          <w:lang w:val="en-US" w:eastAsia="zh-CN"/>
        </w:rPr>
        <w:t xml:space="preserve">,并加盖电子公章</w:t>
      </w:r>
      <w:r>
        <w:rPr>
          <w:rFonts w:hint="eastAsia" w:ascii="宋体" w:hAnsi="宋体" w:cs="宋体"/>
          <w:color w:val="000000" w:themeColor="text1"/>
          <w:sz w:val="22"/>
          <w:highlight w:val="none"/>
        </w:rPr>
        <w:t xml:space="preserve">）。</w:t>
      </w:r>
      <w:r>
        <w:rPr>
          <w:color w:val="000000" w:themeColor="text1"/>
        </w:rPr>
      </w:r>
      <w:r/>
    </w:p>
    <w:p>
      <w:pPr>
        <w:ind w:firstLine="440"/>
        <w:jc w:val="left"/>
        <w:spacing w:line="52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2.供应商拟投入的项目经理具有公路工程专业</w:t>
      </w:r>
      <w:r>
        <w:rPr>
          <w:rFonts w:hint="eastAsia" w:ascii="宋体" w:hAnsi="宋体" w:cs="宋体"/>
          <w:color w:val="auto"/>
          <w:sz w:val="22"/>
          <w:highlight w:val="none"/>
        </w:rPr>
        <w:t xml:space="preserve">二级</w:t>
      </w:r>
      <w:r>
        <w:rPr>
          <w:rFonts w:hint="eastAsia" w:ascii="宋体" w:hAnsi="宋体" w:cs="宋体"/>
          <w:color w:val="auto"/>
          <w:sz w:val="22"/>
          <w:highlight w:val="none"/>
          <w:lang w:val="en-US" w:eastAsia="zh-CN"/>
        </w:rPr>
        <w:t xml:space="preserve">（含）以上</w:t>
      </w:r>
      <w:r>
        <w:rPr>
          <w:rFonts w:hint="eastAsia" w:ascii="宋体" w:hAnsi="宋体" w:cs="宋体"/>
          <w:color w:val="auto"/>
          <w:sz w:val="22"/>
          <w:highlight w:val="none"/>
        </w:rPr>
        <w:t xml:space="preserve">注册建造师执业资格，且具有省级及以上交通运输主管部门核发的《公路水运工程施工企业主要负责人和安全生产管理人员安全生产考核合格证书》（B 证）</w:t>
      </w:r>
      <w:r>
        <w:rPr>
          <w:rFonts w:hint="eastAsia" w:ascii="宋体" w:hAnsi="宋体" w:cs="宋体"/>
          <w:color w:val="auto"/>
          <w:sz w:val="22"/>
          <w:highlight w:val="none"/>
        </w:rPr>
        <w:t xml:space="preserve">（提供证书扫描件</w:t>
      </w:r>
      <w:r>
        <w:rPr>
          <w:rFonts w:hint="eastAsia" w:ascii="宋体" w:hAnsi="宋体" w:cs="宋体"/>
          <w:color w:val="auto"/>
          <w:sz w:val="22"/>
          <w:highlight w:val="none"/>
          <w:lang w:val="en-US" w:eastAsia="zh-CN"/>
        </w:rPr>
        <w:t xml:space="preserve">,并加盖电子公章</w:t>
      </w:r>
      <w:r>
        <w:rPr>
          <w:rFonts w:hint="eastAsia" w:ascii="宋体" w:hAnsi="宋体" w:cs="宋体"/>
          <w:color w:val="auto"/>
          <w:sz w:val="22"/>
          <w:highlight w:val="none"/>
        </w:rPr>
        <w:t xml:space="preserve">）</w:t>
      </w:r>
      <w:r>
        <w:rPr>
          <w:rFonts w:hint="eastAsia" w:ascii="宋体" w:hAnsi="宋体" w:cs="宋体"/>
          <w:color w:val="auto"/>
          <w:sz w:val="22"/>
          <w:highlight w:val="none"/>
        </w:rPr>
        <w:t xml:space="preserve">。</w:t>
      </w:r>
      <w:r/>
    </w:p>
    <w:p>
      <w:pPr>
        <w:ind w:firstLine="440"/>
        <w:jc w:val="left"/>
        <w:spacing w:line="520" w:lineRule="exact"/>
        <w:widowControl/>
        <w:rPr>
          <w:rFonts w:ascii="宋体" w:hAnsi="宋体" w:cs="宋体"/>
          <w:color w:val="auto"/>
          <w:sz w:val="22"/>
          <w:highlight w:val="none"/>
        </w:rPr>
      </w:pP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.供应商拟投入的专职安全员具有省级及以上交通运输主管部门核发的《公路水运工程施工企业主要负责人和安全生产管理人员安全生产考核合格证书》（C证）</w:t>
      </w:r>
      <w:r>
        <w:rPr>
          <w:rFonts w:hint="eastAsia" w:ascii="宋体" w:hAnsi="宋体" w:cs="宋体"/>
          <w:color w:val="auto"/>
          <w:sz w:val="22"/>
          <w:highlight w:val="none"/>
        </w:rPr>
        <w:t xml:space="preserve">（提供证书扫描件</w:t>
      </w:r>
      <w:r>
        <w:rPr>
          <w:rFonts w:hint="eastAsia" w:ascii="宋体" w:hAnsi="宋体" w:cs="宋体"/>
          <w:color w:val="auto"/>
          <w:sz w:val="22"/>
          <w:highlight w:val="none"/>
          <w:lang w:val="en-US" w:eastAsia="zh-CN"/>
        </w:rPr>
        <w:t xml:space="preserve">,并加盖电子公章</w:t>
      </w:r>
      <w:r>
        <w:rPr>
          <w:rFonts w:hint="eastAsia" w:ascii="宋体" w:hAnsi="宋体" w:cs="宋体"/>
          <w:color w:val="auto"/>
          <w:sz w:val="22"/>
          <w:highlight w:val="none"/>
        </w:rPr>
        <w:t xml:space="preserve">）</w:t>
      </w:r>
      <w:r>
        <w:rPr>
          <w:rFonts w:hint="eastAsia" w:ascii="宋体" w:hAnsi="宋体" w:cs="宋体"/>
          <w:color w:val="auto"/>
          <w:sz w:val="22"/>
          <w:highlight w:val="none"/>
        </w:rPr>
        <w:t xml:space="preserve">。</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（四）拒绝下述供应商参加本次采购活动：</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（1）供应商单位负责人为同一人或者存在直接控股、管理关系的不同供应商，不得参加同一合同项下的政府采购活动。</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（2）凡为采购项目提供整体设计、规范编制或者项目管理、监理、检测等服务的供应商，不得再参加本项目的采购活动。</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（3）供应商被“信用中国”网站、“中国政府采购网”网站列入失信执行人、重大税收违法案件当事人名单、政府采购严重违法失信行为记录名单。</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（4）供应商未按要求提供《南京市政府采购供应商信用记录表暨信用承诺书》。</w:t>
      </w:r>
      <w:r/>
    </w:p>
    <w:p>
      <w:pPr>
        <w:pStyle w:val="809"/>
        <w:rPr>
          <w:rFonts w:hint="eastAsia"/>
          <w:color w:val="auto"/>
        </w:rPr>
      </w:pPr>
      <w:r>
        <w:rPr>
          <w:rFonts w:hint="eastAsia"/>
          <w:color w:val="auto"/>
        </w:rPr>
        <w:t xml:space="preserve">三、获取招标文件</w:t>
      </w:r>
      <w:r/>
    </w:p>
    <w:p>
      <w:pPr>
        <w:ind w:firstLine="422"/>
        <w:jc w:val="left"/>
        <w:spacing w:line="520" w:lineRule="exact"/>
        <w:widowControl/>
        <w:rPr>
          <w:rFonts w:hint="eastAsia" w:ascii="宋体" w:hAnsi="宋体"/>
          <w:color w:val="auto"/>
          <w:sz w:val="22"/>
          <w:highlight w:val="none"/>
          <w:lang w:val="zh-CN"/>
        </w:rPr>
        <w:outlineLvl w:val="1"/>
      </w:pPr>
      <w:r>
        <w:rPr>
          <w:rFonts w:hint="eastAsia" w:ascii="宋体" w:hAnsi="宋体"/>
          <w:color w:val="auto"/>
          <w:sz w:val="22"/>
          <w:highlight w:val="none"/>
          <w:lang w:val="zh-CN"/>
        </w:rPr>
        <w:t xml:space="preserve">时间：自招标文件公告发布之日起5个工作日。</w:t>
      </w:r>
      <w:r/>
    </w:p>
    <w:p>
      <w:pPr>
        <w:ind w:firstLine="422"/>
        <w:jc w:val="left"/>
        <w:spacing w:line="520" w:lineRule="exact"/>
        <w:widowControl/>
        <w:rPr>
          <w:rFonts w:hint="eastAsia" w:ascii="宋体" w:hAnsi="宋体"/>
          <w:color w:val="auto"/>
          <w:sz w:val="22"/>
          <w:highlight w:val="none"/>
          <w:lang w:val="zh-CN"/>
        </w:rPr>
        <w:outlineLvl w:val="1"/>
      </w:pPr>
      <w:r>
        <w:rPr>
          <w:rFonts w:hint="eastAsia" w:ascii="宋体" w:hAnsi="宋体"/>
          <w:color w:val="auto"/>
          <w:sz w:val="22"/>
          <w:highlight w:val="none"/>
          <w:lang w:val="zh-CN"/>
        </w:rPr>
        <w:t xml:space="preserve">地点：江苏政府采购网“苏采云”系统</w:t>
      </w:r>
      <w:r/>
    </w:p>
    <w:p>
      <w:pPr>
        <w:ind w:firstLine="422"/>
        <w:jc w:val="left"/>
        <w:spacing w:line="520" w:lineRule="exact"/>
        <w:widowControl/>
        <w:rPr>
          <w:rFonts w:hint="eastAsia" w:ascii="宋体" w:hAnsi="宋体"/>
          <w:color w:val="auto"/>
          <w:sz w:val="22"/>
          <w:highlight w:val="none"/>
          <w:lang w:val="zh-CN"/>
        </w:rPr>
        <w:outlineLvl w:val="1"/>
      </w:pPr>
      <w:r>
        <w:rPr>
          <w:rFonts w:hint="eastAsia" w:ascii="宋体" w:hAnsi="宋体"/>
          <w:color w:val="auto"/>
          <w:sz w:val="22"/>
          <w:highlight w:val="none"/>
          <w:lang w:val="zh-CN"/>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09"/>
        <w:rPr>
          <w:rFonts w:hint="eastAsia"/>
          <w:color w:val="auto"/>
        </w:rPr>
      </w:pPr>
      <w:r>
        <w:rPr>
          <w:rFonts w:hint="eastAsia"/>
          <w:color w:val="auto"/>
        </w:rPr>
        <w:t xml:space="preserve">四、提交电子投标文件截止时间、开标时间和地点</w:t>
      </w:r>
      <w:r/>
    </w:p>
    <w:p>
      <w:pPr>
        <w:pStyle w:val="840"/>
        <w:ind w:firstLine="420"/>
        <w:spacing w:line="360" w:lineRule="auto"/>
        <w:shd w:val="clear" w:color="auto" w:fill="ffff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截止时间：2025年12月</w:t>
      </w:r>
      <w:r>
        <w:rPr>
          <w:rFonts w:hint="eastAsia" w:ascii="宋体" w:hAnsi="宋体" w:eastAsia="宋体" w:cs="宋体"/>
          <w:color w:val="auto"/>
          <w:sz w:val="20"/>
          <w:szCs w:val="20"/>
          <w:highlight w:val="none"/>
          <w:lang w:val="en-US" w:eastAsia="zh-CN"/>
        </w:rPr>
        <w:t xml:space="preserve">31</w:t>
      </w:r>
      <w:r>
        <w:rPr>
          <w:rFonts w:hint="eastAsia" w:ascii="宋体" w:hAnsi="宋体" w:eastAsia="宋体" w:cs="宋体"/>
          <w:color w:val="auto"/>
          <w:sz w:val="20"/>
          <w:szCs w:val="20"/>
          <w:highlight w:val="none"/>
        </w:rPr>
        <w:t xml:space="preserve">日9</w:t>
      </w:r>
      <w:r>
        <w:rPr>
          <w:rFonts w:hint="eastAsia" w:ascii="宋体" w:hAnsi="宋体" w:eastAsia="宋体" w:cs="宋体"/>
          <w:color w:val="auto"/>
          <w:sz w:val="20"/>
          <w:szCs w:val="20"/>
          <w:highlight w:val="none"/>
        </w:rPr>
        <w:t xml:space="preserve">时30分（北京时间）</w:t>
      </w:r>
      <w:r>
        <w:rPr>
          <w:rFonts w:hint="eastAsia" w:ascii="宋体" w:hAnsi="宋体" w:eastAsia="宋体" w:cs="宋体"/>
          <w:color w:val="auto"/>
          <w:sz w:val="20"/>
          <w:szCs w:val="20"/>
          <w:highlight w:val="none"/>
        </w:rPr>
        <w:t xml:space="preserve"> </w:t>
      </w:r>
      <w:r/>
    </w:p>
    <w:p>
      <w:pPr>
        <w:pStyle w:val="840"/>
        <w:ind w:firstLine="420"/>
        <w:spacing w:line="360" w:lineRule="auto"/>
        <w:shd w:val="clear" w:color="auto" w:fill="ffff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地点：</w:t>
      </w:r>
      <w:r>
        <w:rPr>
          <w:rFonts w:hint="eastAsia" w:ascii="宋体" w:hAnsi="宋体" w:eastAsia="宋体" w:cs="宋体"/>
          <w:color w:val="auto"/>
          <w:sz w:val="20"/>
          <w:szCs w:val="20"/>
          <w:highlight w:val="none"/>
        </w:rPr>
        <w:t xml:space="preserve">江苏政府采购网“苏采云”系统</w:t>
      </w:r>
      <w:r/>
    </w:p>
    <w:p>
      <w:pPr>
        <w:pStyle w:val="809"/>
        <w:rPr>
          <w:rFonts w:hint="eastAsia"/>
          <w:color w:val="auto"/>
        </w:rPr>
      </w:pPr>
      <w:r>
        <w:rPr>
          <w:rFonts w:hint="eastAsia"/>
          <w:color w:val="auto"/>
        </w:rPr>
        <w:t xml:space="preserve">五、开启</w:t>
      </w:r>
      <w:r/>
    </w:p>
    <w:p>
      <w:pPr>
        <w:pStyle w:val="840"/>
        <w:ind w:firstLine="420"/>
        <w:spacing w:line="360" w:lineRule="auto"/>
        <w:shd w:val="clear" w:color="auto" w:fill="ffff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时间：2025年12月</w:t>
      </w:r>
      <w:r>
        <w:rPr>
          <w:rFonts w:hint="eastAsia" w:ascii="宋体" w:hAnsi="宋体" w:eastAsia="宋体" w:cs="宋体"/>
          <w:color w:val="auto"/>
          <w:sz w:val="20"/>
          <w:szCs w:val="20"/>
          <w:highlight w:val="none"/>
          <w:lang w:val="en-US" w:eastAsia="zh-CN"/>
        </w:rPr>
        <w:t xml:space="preserve">31</w:t>
      </w:r>
      <w:r>
        <w:rPr>
          <w:rFonts w:hint="eastAsia" w:ascii="宋体" w:hAnsi="宋体" w:eastAsia="宋体" w:cs="宋体"/>
          <w:color w:val="auto"/>
          <w:sz w:val="20"/>
          <w:szCs w:val="20"/>
          <w:highlight w:val="none"/>
        </w:rPr>
        <w:t xml:space="preserve">日9</w:t>
      </w:r>
      <w:r>
        <w:rPr>
          <w:rFonts w:hint="eastAsia" w:ascii="宋体" w:hAnsi="宋体" w:eastAsia="宋体" w:cs="宋体"/>
          <w:color w:val="auto"/>
          <w:sz w:val="20"/>
          <w:szCs w:val="20"/>
          <w:highlight w:val="none"/>
        </w:rPr>
        <w:t xml:space="preserve">时30分（北京时间）</w:t>
      </w:r>
      <w:r/>
    </w:p>
    <w:p>
      <w:pPr>
        <w:ind w:firstLine="400"/>
        <w:jc w:val="left"/>
        <w:spacing w:line="360" w:lineRule="auto"/>
        <w:shd w:val="clear" w:color="auto" w:fill="ffffff"/>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地点：苏采云系统开标大厅</w:t>
      </w:r>
      <w:r/>
    </w:p>
    <w:p>
      <w:pPr>
        <w:pStyle w:val="809"/>
        <w:rPr>
          <w:rFonts w:hint="eastAsia"/>
          <w:color w:val="auto"/>
        </w:rPr>
      </w:pPr>
      <w:r>
        <w:rPr>
          <w:rFonts w:hint="eastAsia"/>
          <w:color w:val="auto"/>
        </w:rPr>
        <w:t xml:space="preserve">六、公告期限</w:t>
      </w:r>
      <w:r/>
    </w:p>
    <w:p>
      <w:pPr>
        <w:ind w:firstLine="400"/>
        <w:spacing w:line="360" w:lineRule="auto"/>
        <w:tabs>
          <w:tab w:val="left" w:pos="0" w:leader="none"/>
          <w:tab w:val="left" w:pos="510" w:leader="none"/>
          <w:tab w:val="left" w:pos="1134" w:leader="none"/>
        </w:tabs>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自本公告发布之日起5个工作日内</w:t>
      </w:r>
      <w:r/>
    </w:p>
    <w:p>
      <w:pPr>
        <w:pStyle w:val="809"/>
        <w:rPr>
          <w:rFonts w:hint="eastAsia"/>
          <w:color w:val="auto"/>
        </w:rPr>
      </w:pPr>
      <w:r>
        <w:rPr>
          <w:rFonts w:hint="eastAsia"/>
          <w:color w:val="auto"/>
        </w:rPr>
        <w:t xml:space="preserve">七、其他补充事宜</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本次采购采用“政府采购管理交易系统（苏采云）”，招标、投标、评标和中标结果发布全程电子化，开标方式为不见面开标。投标人通过苏采云系统参与政府采购项目，需要办理江苏省政府采购数字证书及电子签章，具体详见苏采云系统登录页“新CA办理指南”。投标人按《政府采购管理交易系统（苏采云）供应商操作手册》（以下简称“操作手册”）进行注册，并制作上传投标文件。如投标人未按要求操作，由此所产生的风险由供应商自行承担。《操作手册》下载地址：</w:t>
      </w:r>
      <w:r>
        <w:rPr>
          <w:color w:val="auto"/>
          <w:highlight w:val="none"/>
        </w:rPr>
        <w:fldChar w:fldCharType="begin"/>
      </w:r>
      <w:r>
        <w:rPr>
          <w:color w:val="auto"/>
          <w:highlight w:val="none"/>
        </w:rPr>
        <w:instrText xml:space="preserve">HYPERLINK "http://www.ccgp-jiangsu.gov.cn/jiangsu/zlxz/ee/ee3a4bc5a3454aa2b0d9312230633ce9.html"</w:instrText>
      </w:r>
      <w:r>
        <w:rPr>
          <w:color w:val="auto"/>
          <w:highlight w:val="none"/>
        </w:rPr>
        <w:fldChar w:fldCharType="separate"/>
      </w:r>
      <w:r>
        <w:rPr>
          <w:rFonts w:hint="eastAsia" w:ascii="宋体" w:hAnsi="宋体" w:cs="宋体"/>
          <w:bCs/>
          <w:color w:val="auto"/>
          <w:sz w:val="22"/>
          <w:highlight w:val="none"/>
        </w:rPr>
        <w:t xml:space="preserve">http://www.ccgp-jiangsu.gov.cn/jiangsu/zlxz/ee/ee3a4bc5a3454aa2b0d9312230633ce9.html</w:t>
      </w:r>
      <w:r>
        <w:rPr>
          <w:rFonts w:ascii="宋体" w:hAnsi="宋体" w:cs="宋体"/>
          <w:bCs/>
          <w:color w:val="auto"/>
          <w:sz w:val="22"/>
          <w:highlight w:val="none"/>
        </w:rPr>
        <w:fldChar w:fldCharType="end"/>
      </w:r>
      <w:r>
        <w:rPr>
          <w:rFonts w:hint="eastAsia" w:ascii="宋体" w:hAnsi="宋体" w:cs="宋体"/>
          <w:bCs/>
          <w:color w:val="auto"/>
          <w:sz w:val="22"/>
          <w:highlight w:val="none"/>
        </w:rPr>
        <w:t xml:space="preserve">（“苏采云”南京地区客服热线025-83633744、025-83633743）。</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2.潜在投标人访问政府采购管理交易系统（苏采云）的网络地址和方法：</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（2）“CA数字证书”的获取：投标人需办理CA锁，“苏采云系统”目前仅支持“苏采云系统”下的政务CA，省内各地区办理的“苏采云系统”下的政务CA全省通用。</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（3）“CA数字证书”的办理材料以及供应商操作手册详见：http://jsxcmm.com/help/gys.html。</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（4）潜在投标人访问“苏采云系统”的网络地址和方法：“苏采云系统”的网址：http://jszfcg.jsczt.cn/jszc/login。</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（5）采购文件（后缀名为“.kedt”）、投标人操作手册及政府采购客户端工具也可通过“苏采云系统” --已报名项目--报名详情页面内相应链接进行下载。</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（6）采购代理机构将数据电文形式的采购文件加载至“苏采云系统”，供潜在投标人下载或者查阅。    </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3.</w:t>
      </w:r>
      <w:r>
        <w:rPr>
          <w:rFonts w:hint="eastAsia" w:ascii="宋体" w:hAnsi="宋体" w:cs="宋体"/>
          <w:bCs/>
          <w:color w:val="auto"/>
          <w:sz w:val="22"/>
          <w:highlight w:val="none"/>
        </w:rPr>
        <w:t xml:space="preserve">根据《关于在政府采购活动中推行信用承诺制的通知》宁财购通〔2021〕5号规定， 参加南京地区政府采购活动的投标人，应以原件扫描盖章件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color w:val="auto"/>
          <w:sz w:val="22"/>
          <w:highlight w:val="none"/>
        </w:rPr>
        <w:t xml:space="preserve">本表打印时间必须在采购文件发布之日起至提交电子投标文件截止日前，由法人签字并盖单位公章，原件扫描件上传至电子投标文件中</w:t>
      </w:r>
      <w:r>
        <w:rPr>
          <w:rFonts w:hint="eastAsia" w:ascii="宋体" w:hAnsi="宋体" w:cs="宋体"/>
          <w:b/>
          <w:color w:val="auto"/>
          <w:sz w:val="22"/>
          <w:highlight w:val="none"/>
        </w:rPr>
        <w:t xml:space="preserve">。</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供应商诚信档案注册登记，按以下程序进行： </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（1）进入“信用南京”或“南京公共采购信息网”网站，点击“南京政府采购供应商诚信档案”图标，或直接输入访问地址，在用户登录界面点击“新用户注册”；</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（2）在“新用户注册”界面，供应商自行设置用户名、登录密码，如实填写《南京市政府采购供应商诚信档案注册登记表》，并进行信用承诺确认后，提交注册申请； </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（3）系统审核后，供应商即可登录系统进行相关功能操作。</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南京市政府采购供应商诚信档案管理系统客服电话：025-52718366；供应商可就用户注册与打印“南京市政府采购供应商信用记录表暨信用承诺书”等事宜进行咨询。</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4.拒绝下述供应商参加本次采购活动：</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（1）单位负责人为同一人或者存在直接控股、管理关系的不同供应商。</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（2）凡为采购项目提供整体设计、规范编制或者项目管理、监理、检测等服务的供应商。</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（3）投标人被“信用中国”、“中国政府采购网”网站列入失信执行人、重大税收违法案件当事人名单、政府采购严重违法失信行为记录名单。</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（4）投标人未按要求提供《南京市政府采购供应商信用记录表暨信用承诺书》。</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5.本项目不接受进口产品投标。</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6.本项目的招标代理服务费由中标人支付，具体详见采购文件。</w:t>
      </w:r>
      <w:r/>
    </w:p>
    <w:p>
      <w:pPr>
        <w:pStyle w:val="809"/>
        <w:rPr>
          <w:rFonts w:hint="eastAsia"/>
          <w:color w:val="auto"/>
        </w:rPr>
      </w:pPr>
      <w:r>
        <w:rPr>
          <w:rFonts w:hint="eastAsia"/>
          <w:color w:val="auto"/>
        </w:rPr>
        <w:t xml:space="preserve">八、对本次招标提出询问，请按以下方式联系</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hint="eastAsia" w:ascii="宋体" w:hAnsi="宋体" w:cs="Trebuchet MS"/>
          <w:color w:val="auto"/>
          <w:sz w:val="22"/>
          <w:highlight w:val="none"/>
        </w:rPr>
        <w:t xml:space="preserve">1.采购人信息</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hint="eastAsia" w:ascii="宋体" w:hAnsi="宋体" w:cs="Trebuchet MS"/>
          <w:color w:val="auto"/>
          <w:sz w:val="22"/>
          <w:highlight w:val="none"/>
        </w:rPr>
        <w:t xml:space="preserve">名称：</w:t>
      </w:r>
      <w:r>
        <w:rPr>
          <w:rFonts w:hint="eastAsia" w:ascii="宋体" w:hAnsi="宋体"/>
          <w:color w:val="auto"/>
          <w:sz w:val="22"/>
          <w:highlight w:val="none"/>
        </w:rPr>
        <w:t xml:space="preserve">南京市江宁区交</w:t>
      </w:r>
      <w:r>
        <w:rPr>
          <w:rFonts w:hint="eastAsia" w:ascii="宋体" w:hAnsi="宋体" w:cs="Trebuchet MS"/>
          <w:color w:val="auto"/>
          <w:sz w:val="22"/>
          <w:highlight w:val="none"/>
        </w:rPr>
        <w:t xml:space="preserve">通运输局</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hint="eastAsia" w:ascii="宋体" w:hAnsi="宋体" w:cs="Trebuchet MS"/>
          <w:color w:val="auto"/>
          <w:sz w:val="22"/>
          <w:highlight w:val="none"/>
        </w:rPr>
        <w:t xml:space="preserve">地址：南京市江宁区科宁路779号</w:t>
      </w:r>
      <w:r/>
    </w:p>
    <w:p>
      <w:pPr>
        <w:ind w:firstLine="440"/>
        <w:spacing w:line="520" w:lineRule="exact"/>
        <w:tabs>
          <w:tab w:val="left" w:pos="0" w:leader="none"/>
          <w:tab w:val="left" w:pos="510" w:leader="none"/>
          <w:tab w:val="left" w:pos="1134" w:leader="none"/>
        </w:tabs>
        <w:rPr>
          <w:rFonts w:hint="eastAsia" w:eastAsia="宋体"/>
          <w:color w:val="auto"/>
          <w:highlight w:val="none"/>
          <w:lang w:eastAsia="zh-CN"/>
        </w:rPr>
      </w:pPr>
      <w:r>
        <w:rPr>
          <w:rFonts w:hint="eastAsia" w:ascii="宋体" w:hAnsi="宋体" w:cs="Trebuchet MS"/>
          <w:color w:val="auto"/>
          <w:sz w:val="22"/>
          <w:highlight w:val="none"/>
          <w:lang w:val="zh-CN"/>
        </w:rPr>
        <w:t xml:space="preserve">联系人：</w:t>
      </w:r>
      <w:r>
        <w:rPr>
          <w:rFonts w:hint="eastAsia" w:ascii="宋体" w:hAnsi="宋体" w:cs="Trebuchet MS"/>
          <w:color w:val="auto"/>
          <w:sz w:val="22"/>
          <w:highlight w:val="none"/>
        </w:rPr>
        <w:t xml:space="preserve">韩工</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lang w:val="zh-CN"/>
        </w:rPr>
      </w:pPr>
      <w:r>
        <w:rPr>
          <w:rFonts w:hint="eastAsia" w:ascii="宋体" w:hAnsi="宋体" w:cs="Trebuchet MS"/>
          <w:color w:val="auto"/>
          <w:sz w:val="22"/>
          <w:highlight w:val="none"/>
          <w:lang w:val="zh-CN"/>
        </w:rPr>
        <w:t xml:space="preserve">联系电话：</w:t>
      </w:r>
      <w:r>
        <w:rPr>
          <w:rFonts w:hint="eastAsia" w:ascii="宋体" w:hAnsi="宋体" w:cs="宋体"/>
          <w:bCs/>
          <w:color w:val="auto"/>
          <w:sz w:val="22"/>
          <w:highlight w:val="none"/>
        </w:rPr>
        <w:t xml:space="preserve">025-52106771</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ascii="宋体" w:hAnsi="宋体" w:cs="Trebuchet MS"/>
          <w:color w:val="auto"/>
          <w:sz w:val="22"/>
          <w:highlight w:val="none"/>
        </w:rPr>
        <w:t xml:space="preserve">2</w:t>
      </w:r>
      <w:r>
        <w:rPr>
          <w:rFonts w:hint="eastAsia" w:ascii="宋体" w:hAnsi="宋体" w:cs="Trebuchet MS"/>
          <w:color w:val="auto"/>
          <w:sz w:val="22"/>
          <w:highlight w:val="none"/>
        </w:rPr>
        <w:t xml:space="preserve">.采购代理机构信息</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hint="eastAsia" w:ascii="宋体" w:hAnsi="宋体" w:cs="Trebuchet MS"/>
          <w:color w:val="auto"/>
          <w:sz w:val="22"/>
          <w:highlight w:val="none"/>
          <w:lang w:val="zh-CN"/>
        </w:rPr>
        <w:t xml:space="preserve">名称：</w:t>
      </w:r>
      <w:r>
        <w:rPr>
          <w:rFonts w:hint="eastAsia" w:ascii="宋体" w:hAnsi="宋体" w:cs="Trebuchet MS"/>
          <w:color w:val="auto"/>
          <w:sz w:val="22"/>
          <w:highlight w:val="none"/>
        </w:rPr>
        <w:t xml:space="preserve">南京永平建设项目管理有限公司</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hint="eastAsia" w:ascii="宋体" w:hAnsi="宋体" w:cs="Trebuchet MS"/>
          <w:color w:val="auto"/>
          <w:sz w:val="22"/>
          <w:highlight w:val="none"/>
          <w:lang w:val="zh-CN"/>
        </w:rPr>
        <w:t xml:space="preserve">地址：</w:t>
      </w:r>
      <w:r>
        <w:rPr>
          <w:rFonts w:hint="eastAsia" w:ascii="宋体" w:hAnsi="宋体" w:cs="Trebuchet MS"/>
          <w:color w:val="auto"/>
          <w:sz w:val="22"/>
          <w:highlight w:val="none"/>
        </w:rPr>
        <w:t xml:space="preserve">南京市江宁区万泰路39号宸泰科技大厦B栋7层</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lang w:val="zh-CN"/>
        </w:rPr>
      </w:pPr>
      <w:r>
        <w:rPr>
          <w:rFonts w:hint="eastAsia" w:ascii="宋体" w:hAnsi="宋体" w:cs="Trebuchet MS"/>
          <w:color w:val="auto"/>
          <w:sz w:val="22"/>
          <w:highlight w:val="none"/>
          <w:lang w:val="zh-CN"/>
        </w:rPr>
        <w:t xml:space="preserve">联系人：</w:t>
      </w:r>
      <w:r>
        <w:rPr>
          <w:rFonts w:hint="eastAsia" w:ascii="宋体" w:hAnsi="宋体" w:cs="Trebuchet MS"/>
          <w:color w:val="auto"/>
          <w:sz w:val="22"/>
          <w:highlight w:val="none"/>
        </w:rPr>
        <w:t xml:space="preserve">冯</w:t>
      </w:r>
      <w:r>
        <w:rPr>
          <w:rFonts w:hint="eastAsia" w:ascii="宋体" w:hAnsi="宋体" w:cs="Trebuchet MS"/>
          <w:color w:val="auto"/>
          <w:sz w:val="22"/>
          <w:highlight w:val="none"/>
          <w:lang w:val="zh-CN"/>
        </w:rPr>
        <w:t xml:space="preserve">工 </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lang w:val="zh-CN"/>
        </w:rPr>
      </w:pPr>
      <w:r>
        <w:rPr>
          <w:rFonts w:hint="eastAsia" w:ascii="宋体" w:hAnsi="宋体" w:cs="Trebuchet MS"/>
          <w:color w:val="auto"/>
          <w:sz w:val="22"/>
          <w:highlight w:val="none"/>
          <w:lang w:val="zh-CN"/>
        </w:rPr>
        <w:t xml:space="preserve">联系电话：025-52166105转8029</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lang w:val="zh-CN"/>
        </w:rPr>
      </w:pPr>
      <w:r>
        <w:rPr>
          <w:rFonts w:hint="eastAsia" w:ascii="宋体" w:hAnsi="宋体" w:cs="Trebuchet MS"/>
          <w:color w:val="auto"/>
          <w:sz w:val="22"/>
          <w:highlight w:val="none"/>
          <w:lang w:val="zh-CN"/>
        </w:rPr>
        <w:t xml:space="preserve">3.项目联系方式</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lang w:val="zh-CN"/>
        </w:rPr>
      </w:pPr>
      <w:r>
        <w:rPr>
          <w:rFonts w:hint="eastAsia" w:ascii="宋体" w:hAnsi="宋体" w:cs="Trebuchet MS"/>
          <w:color w:val="auto"/>
          <w:sz w:val="22"/>
          <w:highlight w:val="none"/>
          <w:lang w:val="zh-CN"/>
        </w:rPr>
        <w:t xml:space="preserve">联系人：</w:t>
      </w:r>
      <w:r>
        <w:rPr>
          <w:rFonts w:hint="eastAsia" w:ascii="宋体" w:hAnsi="宋体" w:cs="Trebuchet MS"/>
          <w:color w:val="auto"/>
          <w:sz w:val="22"/>
          <w:highlight w:val="none"/>
        </w:rPr>
        <w:t xml:space="preserve">冯</w:t>
      </w:r>
      <w:r>
        <w:rPr>
          <w:rFonts w:hint="eastAsia" w:ascii="宋体" w:hAnsi="宋体" w:cs="Trebuchet MS"/>
          <w:color w:val="auto"/>
          <w:sz w:val="22"/>
          <w:highlight w:val="none"/>
          <w:lang w:val="zh-CN"/>
        </w:rPr>
        <w:t xml:space="preserve">工  </w:t>
      </w:r>
      <w:r/>
    </w:p>
    <w:p>
      <w:pPr>
        <w:pStyle w:val="840"/>
        <w:ind w:firstLine="420"/>
        <w:spacing w:line="360" w:lineRule="auto"/>
        <w:rPr>
          <w:rFonts w:hint="eastAsia" w:ascii="宋体" w:hAnsi="宋体" w:eastAsia="宋体" w:cs="Trebuchet MS"/>
          <w:color w:val="auto"/>
          <w:sz w:val="22"/>
          <w:highlight w:val="none"/>
          <w:lang w:val="zh-CN"/>
        </w:rPr>
      </w:pPr>
      <w:r>
        <w:rPr>
          <w:rFonts w:hint="eastAsia" w:ascii="宋体" w:hAnsi="宋体" w:eastAsia="宋体" w:cs="Trebuchet MS"/>
          <w:color w:val="auto"/>
          <w:sz w:val="22"/>
          <w:highlight w:val="none"/>
          <w:lang w:val="zh-CN"/>
        </w:rPr>
        <w:t xml:space="preserve">联系电话：025-52166105转8029</w:t>
      </w:r>
      <w:r/>
    </w:p>
    <w:p>
      <w:pPr>
        <w:pStyle w:val="1032"/>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2"/>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pStyle w:val="103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pStyle w:val="103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pStyle w:val="103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8"/>
        <w:rPr>
          <w:rFonts w:hint="eastAsia"/>
          <w:color w:val="auto"/>
          <w:lang w:val="zh-CN"/>
        </w:rPr>
      </w:pPr>
      <w:r/>
      <w:bookmarkStart w:id="11" w:name="_Toc18696"/>
      <w:r/>
      <w:bookmarkStart w:id="12" w:name="_Toc19899"/>
      <w:r/>
      <w:bookmarkStart w:id="13" w:name="_Toc1697"/>
      <w:r/>
      <w:bookmarkStart w:id="14" w:name="_Toc25854"/>
      <w:r>
        <w:rPr>
          <w:rFonts w:hint="eastAsia"/>
          <w:color w:val="auto"/>
          <w:lang w:val="zh-CN"/>
        </w:rPr>
        <w:t xml:space="preserve">第二章 供应商须知</w:t>
      </w:r>
      <w:bookmarkEnd w:id="11"/>
      <w:r/>
      <w:bookmarkEnd w:id="12"/>
      <w:r/>
      <w:bookmarkEnd w:id="13"/>
      <w:r/>
      <w:bookmarkEnd w:id="14"/>
      <w:r/>
      <w:r/>
    </w:p>
    <w:p>
      <w:pPr>
        <w:pStyle w:val="809"/>
        <w:jc w:val="center"/>
        <w:rPr>
          <w:color w:val="auto"/>
          <w:lang w:val="zh-CN"/>
        </w:rPr>
      </w:pPr>
      <w:r>
        <w:rPr>
          <w:rFonts w:hint="eastAsia"/>
          <w:color w:val="auto"/>
          <w:lang w:val="zh-CN"/>
        </w:rPr>
        <w:t xml:space="preserve">前附表</w:t>
      </w:r>
      <w:r/>
    </w:p>
    <w:tbl>
      <w:tblPr>
        <w:tblStyle w:val="818"/>
        <w:tblW w:w="92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946"/>
        <w:gridCol w:w="1031"/>
        <w:gridCol w:w="1686"/>
        <w:gridCol w:w="4842"/>
      </w:tblGrid>
      <w:tr>
        <w:trPr>
          <w:jc w:val="center"/>
          <w:trHeight w:val="54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内        容</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JSZC-320115-NJYP-G2025-0029</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2026年江宁区县道日常养护服务</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南京永平建设项目管理有限公司</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采购代理机构地址</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南京市江宁区万泰路39号宸泰科技大厦泰楼（杭州银行旁）七层</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采购文件获取方法</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s="Trebuchet MS"/>
                <w:color w:val="auto"/>
                <w:szCs w:val="21"/>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Trebuchet MS"/>
                <w:color w:val="auto"/>
                <w:szCs w:val="21"/>
                <w:highlight w:val="none"/>
              </w:rPr>
              <w:t xml:space="preserve">最高限价</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pStyle w:val="103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2700万元（</w:t>
            </w:r>
            <w:r>
              <w:rPr>
                <w:rFonts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rPr>
              <w:t xml:space="preserve">投标</w:t>
            </w:r>
            <w:r>
              <w:rPr>
                <w:rFonts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rPr>
              <w:t xml:space="preserve">超过最高限价的</w:t>
            </w:r>
            <w:r>
              <w:rPr>
                <w:rFonts w:ascii="宋体" w:hAnsi="宋体" w:eastAsia="宋体" w:cs="宋体"/>
                <w:color w:val="auto"/>
                <w:sz w:val="21"/>
                <w:szCs w:val="21"/>
                <w:highlight w:val="none"/>
              </w:rPr>
              <w:t xml:space="preserve">其</w:t>
            </w:r>
            <w:r>
              <w:rPr>
                <w:rFonts w:hint="eastAsia" w:ascii="宋体" w:hAnsi="宋体" w:eastAsia="宋体" w:cs="宋体"/>
                <w:color w:val="auto"/>
                <w:sz w:val="21"/>
                <w:szCs w:val="21"/>
                <w:highlight w:val="none"/>
              </w:rPr>
              <w:t xml:space="preserve">投标</w:t>
            </w:r>
            <w:r>
              <w:rPr>
                <w:rFonts w:ascii="宋体" w:hAnsi="宋体" w:eastAsia="宋体" w:cs="宋体"/>
                <w:color w:val="auto"/>
                <w:sz w:val="21"/>
                <w:szCs w:val="21"/>
                <w:highlight w:val="none"/>
              </w:rPr>
              <w:t xml:space="preserve">文件</w:t>
            </w:r>
            <w:r>
              <w:rPr>
                <w:rFonts w:hint="eastAsia" w:ascii="宋体" w:hAnsi="宋体" w:eastAsia="宋体" w:cs="宋体"/>
                <w:color w:val="auto"/>
                <w:sz w:val="21"/>
                <w:szCs w:val="21"/>
                <w:highlight w:val="none"/>
              </w:rPr>
              <w:t xml:space="preserve">将被作为无效标处理）</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踏勘</w:t>
            </w:r>
            <w:r>
              <w:rPr>
                <w:rFonts w:hint="eastAsia" w:ascii="宋体" w:hAnsi="宋体"/>
                <w:color w:val="auto"/>
                <w:szCs w:val="21"/>
                <w:highlight w:val="none"/>
              </w:rPr>
              <w:t xml:space="preserve">现场</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宋体"/>
                <w:color w:val="auto"/>
                <w:szCs w:val="21"/>
                <w:highlight w:val="none"/>
              </w:rPr>
              <w:t xml:space="preserve">采购人</w:t>
            </w:r>
            <w:r>
              <w:rPr>
                <w:rFonts w:hint="eastAsia" w:ascii="宋体" w:hAnsi="宋体"/>
                <w:color w:val="auto"/>
                <w:szCs w:val="21"/>
                <w:highlight w:val="none"/>
                <w:lang w:val="zh-CN"/>
              </w:rPr>
              <w:t xml:space="preserve">不组织现场踏勘，供应商如需踏勘现场可自行前往。</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投标有效期</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投标</w:t>
            </w:r>
            <w:r>
              <w:rPr>
                <w:rFonts w:hint="eastAsia" w:ascii="宋体" w:hAnsi="宋体"/>
                <w:color w:val="auto"/>
                <w:szCs w:val="21"/>
                <w:highlight w:val="none"/>
              </w:rPr>
              <w:t xml:space="preserve">截止日起</w:t>
            </w:r>
            <w:r>
              <w:rPr>
                <w:rFonts w:hint="eastAsia" w:ascii="宋体" w:hAnsi="宋体"/>
                <w:color w:val="auto"/>
                <w:szCs w:val="21"/>
                <w:highlight w:val="none"/>
                <w:lang w:val="zh-CN"/>
              </w:rPr>
              <w:t xml:space="preserve">九十（90）天</w:t>
            </w:r>
            <w:r/>
          </w:p>
        </w:tc>
      </w:tr>
      <w:tr>
        <w:trPr>
          <w:cantSplit/>
          <w:jc w:val="center"/>
          <w:trHeight w:val="624"/>
        </w:trPr>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spacing w:line="360" w:lineRule="auto"/>
              <w:widowControl/>
              <w:rPr>
                <w:rFonts w:hint="eastAsia" w:ascii="宋体" w:hAnsi="宋体"/>
                <w:strike/>
                <w:color w:val="auto"/>
                <w:szCs w:val="21"/>
                <w:highlight w:val="none"/>
              </w:rPr>
            </w:pPr>
            <w:r>
              <w:rPr>
                <w:rFonts w:hint="eastAsia" w:ascii="宋体" w:hAnsi="宋体"/>
                <w:color w:val="auto"/>
                <w:szCs w:val="21"/>
                <w:highlight w:val="none"/>
              </w:rPr>
              <w:t xml:space="preserve">9</w:t>
            </w:r>
            <w:r/>
          </w:p>
        </w:tc>
        <w:tc>
          <w:tcPr>
            <w:tcBorders>
              <w:top w:val="single" w:color="000000" w:sz="4" w:space="0"/>
              <w:left w:val="single" w:color="000000" w:sz="4" w:space="0"/>
              <w:right w:val="single" w:color="000000" w:sz="4" w:space="0"/>
            </w:tcBorders>
            <w:tcW w:w="946"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投标文件提交信  息</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时间</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Trebuchet MS"/>
                <w:color w:val="auto"/>
                <w:szCs w:val="21"/>
                <w:highlight w:val="none"/>
              </w:rPr>
              <w:t xml:space="preserve">2025年12月</w:t>
            </w:r>
            <w:r>
              <w:rPr>
                <w:rFonts w:hint="eastAsia" w:ascii="宋体" w:hAnsi="宋体" w:cs="Trebuchet MS"/>
                <w:color w:val="auto"/>
                <w:szCs w:val="21"/>
                <w:highlight w:val="none"/>
                <w:lang w:val="en-US" w:eastAsia="zh-CN"/>
              </w:rPr>
              <w:t xml:space="preserve">31</w:t>
            </w:r>
            <w:r>
              <w:rPr>
                <w:rFonts w:hint="eastAsia" w:ascii="宋体" w:hAnsi="宋体" w:cs="Trebuchet MS"/>
                <w:color w:val="auto"/>
                <w:szCs w:val="21"/>
                <w:highlight w:val="none"/>
              </w:rPr>
              <w:t xml:space="preserve">日09时30分（北京时间）</w:t>
            </w:r>
            <w:r/>
          </w:p>
        </w:tc>
      </w:tr>
      <w:tr>
        <w:trPr>
          <w:cantSplit/>
          <w:jc w:val="center"/>
          <w:trHeight w:val="624"/>
        </w:trPr>
        <w:tc>
          <w:tcPr>
            <w:tcBorders>
              <w:left w:val="single" w:color="000000" w:sz="4" w:space="0"/>
              <w:bottom w:val="single" w:color="000000" w:sz="4" w:space="0"/>
              <w:right w:val="single" w:color="000000" w:sz="4" w:space="0"/>
            </w:tcBorders>
            <w:tcW w:w="750" w:type="dxa"/>
            <w:vAlign w:val="center"/>
            <w:vMerge w:val="continue"/>
            <w:textDirection w:val="lrTb"/>
            <w:noWrap w:val="false"/>
          </w:tcPr>
          <w:p>
            <w:pPr>
              <w:jc w:val="center"/>
              <w:spacing w:line="360" w:lineRule="auto"/>
              <w:widowControl/>
              <w:rPr>
                <w:rFonts w:hint="eastAsia" w:ascii="宋体" w:hAnsi="宋体"/>
                <w:strike/>
                <w:color w:val="auto"/>
                <w:szCs w:val="21"/>
                <w:highlight w:val="none"/>
              </w:rPr>
            </w:pPr>
            <w:r>
              <w:rPr>
                <w:rFonts w:hint="eastAsia" w:ascii="宋体" w:hAnsi="宋体"/>
                <w:strike/>
                <w:color w:val="auto"/>
                <w:szCs w:val="21"/>
                <w:highlight w:val="none"/>
              </w:rPr>
            </w:r>
            <w:r/>
          </w:p>
        </w:tc>
        <w:tc>
          <w:tcPr>
            <w:tcBorders>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地点</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Trebuchet MS"/>
                <w:color w:val="auto"/>
                <w:szCs w:val="21"/>
                <w:highlight w:val="none"/>
              </w:rPr>
              <w:t xml:space="preserve">江苏省政府采购交易系统（以下简称“苏采云系统”）网上开标大厅</w:t>
            </w:r>
            <w:r/>
          </w:p>
        </w:tc>
      </w:tr>
      <w:tr>
        <w:trPr>
          <w:cantSplit/>
          <w:jc w:val="center"/>
          <w:trHeight w:val="624"/>
        </w:trPr>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ascii="宋体" w:hAnsi="宋体"/>
                <w:color w:val="auto"/>
                <w:szCs w:val="21"/>
                <w:highlight w:val="none"/>
              </w:rPr>
              <w:t xml:space="preserve">10</w:t>
            </w:r>
            <w:r/>
          </w:p>
        </w:tc>
        <w:tc>
          <w:tcPr>
            <w:tcBorders>
              <w:top w:val="single" w:color="000000" w:sz="4" w:space="0"/>
              <w:left w:val="single" w:color="000000" w:sz="4" w:space="0"/>
              <w:right w:val="single" w:color="000000" w:sz="4" w:space="0"/>
            </w:tcBorders>
            <w:tcW w:w="946" w:type="dxa"/>
            <w:vAlign w:val="center"/>
            <w:vMerge w:val="restar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信息</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仿宋"/>
                <w:color w:val="auto"/>
                <w:szCs w:val="21"/>
                <w:highlight w:val="none"/>
                <w:lang w:val="zh-CN"/>
              </w:rPr>
              <w:t xml:space="preserve">2025年</w:t>
            </w:r>
            <w:r>
              <w:rPr>
                <w:rFonts w:hint="eastAsia" w:ascii="宋体" w:hAnsi="宋体" w:cs="仿宋"/>
                <w:color w:val="auto"/>
                <w:szCs w:val="21"/>
                <w:highlight w:val="none"/>
              </w:rPr>
              <w:t xml:space="preserve">1</w:t>
            </w:r>
            <w:r>
              <w:rPr>
                <w:rFonts w:hint="eastAsia" w:ascii="宋体" w:hAnsi="宋体" w:cs="仿宋"/>
                <w:color w:val="auto"/>
                <w:szCs w:val="21"/>
                <w:highlight w:val="none"/>
                <w:lang w:val="zh-CN"/>
              </w:rPr>
              <w:t xml:space="preserve">2月</w:t>
            </w:r>
            <w:r>
              <w:rPr>
                <w:rFonts w:hint="eastAsia" w:ascii="宋体" w:hAnsi="宋体" w:cs="仿宋"/>
                <w:color w:val="auto"/>
                <w:szCs w:val="21"/>
                <w:highlight w:val="none"/>
                <w:lang w:val="en-US" w:eastAsia="zh-CN"/>
              </w:rPr>
              <w:t xml:space="preserve">31</w:t>
            </w:r>
            <w:r>
              <w:rPr>
                <w:rFonts w:hint="eastAsia" w:ascii="宋体" w:hAnsi="宋体" w:cs="仿宋"/>
                <w:color w:val="auto"/>
                <w:szCs w:val="21"/>
                <w:highlight w:val="none"/>
                <w:lang w:val="zh-CN"/>
              </w:rPr>
              <w:t xml:space="preserve">日</w:t>
            </w:r>
            <w:r>
              <w:rPr>
                <w:rFonts w:hint="eastAsia" w:ascii="宋体" w:hAnsi="宋体"/>
                <w:color w:val="auto"/>
                <w:szCs w:val="21"/>
                <w:highlight w:val="none"/>
              </w:rPr>
              <w:t xml:space="preserve">09</w:t>
            </w:r>
            <w:r>
              <w:rPr>
                <w:rFonts w:hint="eastAsia" w:ascii="宋体" w:hAnsi="宋体"/>
                <w:color w:val="auto"/>
                <w:szCs w:val="21"/>
                <w:highlight w:val="none"/>
                <w:lang w:val="zh-CN"/>
              </w:rPr>
              <w:t xml:space="preserve">时</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0分</w:t>
            </w:r>
            <w:r>
              <w:rPr>
                <w:rFonts w:hint="eastAsia" w:ascii="宋体" w:hAnsi="宋体" w:cs="Trebuchet MS"/>
                <w:color w:val="auto"/>
                <w:szCs w:val="21"/>
                <w:highlight w:val="none"/>
              </w:rPr>
              <w:t xml:space="preserve">（北京时间）</w:t>
            </w:r>
            <w:r/>
          </w:p>
        </w:tc>
      </w:tr>
      <w:tr>
        <w:trPr>
          <w:cantSplit/>
          <w:jc w:val="center"/>
          <w:trHeight w:val="624"/>
        </w:trPr>
        <w:tc>
          <w:tcPr>
            <w:tcBorders>
              <w:left w:val="single" w:color="000000" w:sz="4" w:space="0"/>
              <w:right w:val="single" w:color="000000" w:sz="4" w:space="0"/>
            </w:tcBorders>
            <w:tcW w:w="750" w:type="dxa"/>
            <w:vAlign w:val="center"/>
            <w:vMerge w:val="continue"/>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right w:val="single" w:color="000000" w:sz="4" w:space="0"/>
            </w:tcBorders>
            <w:tcW w:w="946"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Trebuchet MS"/>
                <w:color w:val="auto"/>
                <w:szCs w:val="21"/>
                <w:highlight w:val="none"/>
              </w:rPr>
              <w:t xml:space="preserve">江苏省政府采购交易系统（以下简称“</w:t>
            </w:r>
            <w:r>
              <w:rPr>
                <w:rFonts w:hint="eastAsia" w:ascii="宋体" w:hAnsi="宋体" w:cs="宋体"/>
                <w:color w:val="auto"/>
                <w:szCs w:val="21"/>
                <w:highlight w:val="none"/>
              </w:rPr>
              <w:t xml:space="preserve">苏采云系统</w:t>
            </w:r>
            <w:r>
              <w:rPr>
                <w:rFonts w:hint="eastAsia" w:ascii="宋体" w:hAnsi="宋体" w:cs="Trebuchet MS"/>
                <w:color w:val="auto"/>
                <w:szCs w:val="21"/>
                <w:highlight w:val="none"/>
              </w:rPr>
              <w:t xml:space="preserve">”）网上</w:t>
            </w:r>
            <w:r>
              <w:rPr>
                <w:rFonts w:hint="eastAsia" w:ascii="宋体" w:hAnsi="宋体" w:cs="宋体"/>
                <w:color w:val="auto"/>
                <w:szCs w:val="21"/>
                <w:highlight w:val="none"/>
              </w:rPr>
              <w:t xml:space="preserve">开标大厅</w:t>
            </w:r>
            <w:r/>
          </w:p>
        </w:tc>
      </w:tr>
      <w:tr>
        <w:trPr>
          <w:cantSplit/>
          <w:jc w:val="center"/>
          <w:trHeight w:val="624"/>
        </w:trPr>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4" w:space="0"/>
              <w:left w:val="single" w:color="000000" w:sz="4" w:space="0"/>
              <w:right w:val="single" w:color="000000" w:sz="4" w:space="0"/>
            </w:tcBorders>
            <w:tcW w:w="946" w:type="dxa"/>
            <w:vAlign w:val="center"/>
            <w:vMerge w:val="restar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事项</w:t>
            </w:r>
            <w:r/>
          </w:p>
        </w:tc>
        <w:tc>
          <w:tcPr>
            <w:tcBorders>
              <w:top w:val="single" w:color="000000" w:sz="4" w:space="0"/>
              <w:left w:val="single" w:color="000000" w:sz="4" w:space="0"/>
              <w:right w:val="single" w:color="000000" w:sz="4" w:space="0"/>
            </w:tcBorders>
            <w:tcW w:w="1031" w:type="dxa"/>
            <w:vAlign w:val="center"/>
            <w:vMerge w:val="restart"/>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采购</w:t>
            </w:r>
            <w:r/>
          </w:p>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联系人</w:t>
            </w:r>
            <w:r/>
          </w:p>
        </w:tc>
        <w:tc>
          <w:tcPr>
            <w:tcBorders>
              <w:top w:val="single" w:color="000000" w:sz="4" w:space="0"/>
              <w:left w:val="single" w:color="000000" w:sz="4" w:space="0"/>
              <w:bottom w:val="single" w:color="000000" w:sz="4" w:space="0"/>
              <w:right w:val="single" w:color="000000" w:sz="4" w:space="0"/>
            </w:tcBorders>
            <w:tcW w:w="4842"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olor w:val="auto"/>
                <w:szCs w:val="21"/>
                <w:highlight w:val="none"/>
              </w:rPr>
            </w:pPr>
            <w:r>
              <w:rPr>
                <w:rFonts w:hint="eastAsia" w:ascii="宋体" w:hAnsi="宋体" w:cs="宋体"/>
                <w:color w:val="auto"/>
                <w:sz w:val="20"/>
                <w:szCs w:val="20"/>
                <w:highlight w:val="none"/>
              </w:rPr>
              <w:t xml:space="preserve">韩工</w:t>
            </w:r>
            <w:r/>
          </w:p>
        </w:tc>
      </w:tr>
      <w:tr>
        <w:trPr>
          <w:cantSplit/>
          <w:jc w:val="center"/>
          <w:trHeight w:val="624"/>
        </w:trPr>
        <w:tc>
          <w:tcPr>
            <w:tcBorders>
              <w:left w:val="single" w:color="000000" w:sz="4" w:space="0"/>
              <w:right w:val="single" w:color="000000" w:sz="4" w:space="0"/>
            </w:tcBorders>
            <w:tcW w:w="750" w:type="dxa"/>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right w:val="single" w:color="000000" w:sz="4" w:space="0"/>
            </w:tcBorders>
            <w:tcW w:w="946" w:type="dxa"/>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bottom w:val="single" w:color="000000" w:sz="4" w:space="0"/>
              <w:right w:val="single" w:color="000000" w:sz="4" w:space="0"/>
            </w:tcBorders>
            <w:tcW w:w="1031" w:type="dxa"/>
            <w:vAlign w:val="center"/>
            <w:vMerge w:val="continue"/>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4842"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宋体"/>
                <w:color w:val="auto"/>
                <w:sz w:val="20"/>
                <w:szCs w:val="20"/>
                <w:highlight w:val="none"/>
              </w:rPr>
              <w:t xml:space="preserve"> </w:t>
            </w:r>
            <w:r>
              <w:rPr>
                <w:rFonts w:hint="eastAsia" w:ascii="宋体" w:hAnsi="宋体" w:cs="宋体"/>
                <w:bCs/>
                <w:color w:val="auto"/>
                <w:sz w:val="22"/>
                <w:highlight w:val="none"/>
              </w:rPr>
              <w:t xml:space="preserve">025-52106771</w:t>
            </w:r>
            <w:r>
              <w:rPr>
                <w:rFonts w:hint="eastAsia" w:ascii="宋体" w:hAnsi="宋体" w:cs="宋体"/>
                <w:color w:val="auto"/>
                <w:sz w:val="20"/>
                <w:szCs w:val="20"/>
                <w:highlight w:val="none"/>
              </w:rPr>
              <w:t xml:space="preserve"> </w:t>
            </w:r>
            <w:r/>
          </w:p>
        </w:tc>
      </w:tr>
      <w:tr>
        <w:trPr>
          <w:cantSplit/>
          <w:jc w:val="center"/>
          <w:trHeight w:val="624"/>
        </w:trPr>
        <w:tc>
          <w:tcPr>
            <w:tcBorders>
              <w:left w:val="single" w:color="000000" w:sz="4" w:space="0"/>
              <w:right w:val="single" w:color="000000" w:sz="4" w:space="0"/>
            </w:tcBorders>
            <w:tcW w:w="750" w:type="dxa"/>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right w:val="single" w:color="000000" w:sz="4" w:space="0"/>
            </w:tcBorders>
            <w:tcW w:w="946" w:type="dxa"/>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right w:val="single" w:color="000000" w:sz="4" w:space="0"/>
            </w:tcBorders>
            <w:tcW w:w="1031" w:type="dxa"/>
            <w:vAlign w:val="center"/>
            <w:vMerge w:val="restart"/>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采购代理机构</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联系人</w:t>
            </w:r>
            <w:r/>
          </w:p>
        </w:tc>
        <w:tc>
          <w:tcPr>
            <w:tcBorders>
              <w:top w:val="single" w:color="000000" w:sz="4" w:space="0"/>
              <w:left w:val="single" w:color="000000" w:sz="4" w:space="0"/>
              <w:bottom w:val="single" w:color="000000" w:sz="4" w:space="0"/>
              <w:right w:val="single" w:color="000000" w:sz="4" w:space="0"/>
            </w:tcBorders>
            <w:tcW w:w="4842"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rPr>
              <w:t xml:space="preserve">冯</w:t>
            </w:r>
            <w:r>
              <w:rPr>
                <w:rFonts w:hint="eastAsia" w:ascii="宋体" w:hAnsi="宋体"/>
                <w:color w:val="auto"/>
                <w:szCs w:val="21"/>
                <w:highlight w:val="none"/>
                <w:lang w:val="zh-CN"/>
              </w:rPr>
              <w:t xml:space="preserve">工</w:t>
            </w:r>
            <w:r/>
          </w:p>
        </w:tc>
      </w:tr>
      <w:tr>
        <w:trPr>
          <w:cantSplit/>
          <w:jc w:val="center"/>
          <w:trHeight w:val="624"/>
        </w:trPr>
        <w:tc>
          <w:tcPr>
            <w:tcBorders>
              <w:left w:val="single" w:color="000000" w:sz="4" w:space="0"/>
              <w:right w:val="single" w:color="000000" w:sz="4" w:space="0"/>
            </w:tcBorders>
            <w:tcW w:w="750"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right w:val="single" w:color="000000" w:sz="4" w:space="0"/>
            </w:tcBorders>
            <w:tcW w:w="946"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right w:val="single" w:color="000000" w:sz="4" w:space="0"/>
            </w:tcBorders>
            <w:tcW w:w="1031" w:type="dxa"/>
            <w:vAlign w:val="center"/>
            <w:vMerge w:val="continue"/>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4842"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025-52166105-8029</w:t>
            </w:r>
            <w:r/>
          </w:p>
        </w:tc>
      </w:tr>
    </w:tbl>
    <w:p>
      <w:pPr>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一、总则</w:t>
      </w:r>
      <w:r/>
    </w:p>
    <w:p>
      <w:pPr>
        <w:pStyle w:val="1015"/>
        <w:ind w:firstLine="413"/>
        <w:spacing w:line="460" w:lineRule="exact"/>
        <w:rPr>
          <w:rFonts w:hint="eastAsia" w:hAnsi="宋体"/>
          <w:b/>
          <w:color w:val="auto"/>
          <w:szCs w:val="21"/>
          <w:highlight w:val="none"/>
          <w:lang w:val="zh-CN"/>
        </w:rPr>
      </w:pPr>
      <w:r/>
      <w:bookmarkStart w:id="15" w:name="_Toc3875"/>
      <w:r/>
      <w:bookmarkStart w:id="16" w:name="_Toc31812"/>
      <w:r>
        <w:rPr>
          <w:rFonts w:hint="eastAsia" w:hAnsi="宋体"/>
          <w:b/>
          <w:color w:val="auto"/>
          <w:szCs w:val="21"/>
          <w:highlight w:val="none"/>
          <w:lang w:val="zh-CN"/>
        </w:rPr>
        <w:t xml:space="preserve">1、适用法律</w:t>
      </w:r>
      <w:bookmarkEnd w:id="15"/>
      <w:r/>
      <w:bookmarkEnd w:id="16"/>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 《中华人民共和国政府采购法》、《中华人民共和国政府采购法实施条例》、《政府采购货物和服务招标投标管理办法》等有关法律、规章和规定等。</w:t>
      </w:r>
      <w:r/>
    </w:p>
    <w:p>
      <w:pPr>
        <w:pStyle w:val="1015"/>
        <w:ind w:firstLine="420"/>
        <w:spacing w:line="460" w:lineRule="exact"/>
        <w:rPr>
          <w:rFonts w:hint="eastAsia" w:hAnsi="宋体"/>
          <w:b/>
          <w:color w:val="auto"/>
          <w:szCs w:val="21"/>
          <w:highlight w:val="none"/>
          <w:lang w:val="zh-CN"/>
        </w:rPr>
      </w:pPr>
      <w:r/>
      <w:bookmarkStart w:id="17" w:name="_Toc25938"/>
      <w:r/>
      <w:bookmarkStart w:id="18" w:name="_Toc23139"/>
      <w:r>
        <w:rPr>
          <w:rFonts w:hint="eastAsia" w:hAnsi="宋体"/>
          <w:b/>
          <w:color w:val="auto"/>
          <w:szCs w:val="21"/>
          <w:highlight w:val="none"/>
          <w:lang w:val="zh-CN"/>
        </w:rPr>
        <w:t xml:space="preserve">2、定义</w:t>
      </w:r>
      <w:bookmarkEnd w:id="17"/>
      <w:r/>
      <w:bookmarkEnd w:id="18"/>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 “供应商”是指参加投标竞争，并符合采购文件规定资格条件的法人、其他组织或者自然人。</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 “产品”指本采购文件中所述产品及相关服务。</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2.3 “用户或使用单位”是指使用服务的单位。</w:t>
      </w:r>
      <w:r/>
    </w:p>
    <w:p>
      <w:pPr>
        <w:pStyle w:val="1015"/>
        <w:ind w:firstLine="422"/>
        <w:spacing w:line="460" w:lineRule="exact"/>
        <w:rPr>
          <w:rFonts w:hint="eastAsia" w:hAnsi="宋体"/>
          <w:b/>
          <w:bCs/>
          <w:color w:val="auto"/>
          <w:szCs w:val="21"/>
          <w:highlight w:val="none"/>
          <w:lang w:val="zh-CN"/>
        </w:rPr>
      </w:pPr>
      <w:r>
        <w:rPr>
          <w:rFonts w:hint="eastAsia" w:hAnsi="宋体"/>
          <w:b/>
          <w:bCs/>
          <w:color w:val="auto"/>
          <w:szCs w:val="21"/>
          <w:highlight w:val="none"/>
          <w:lang w:val="zh-CN"/>
        </w:rPr>
        <w:t xml:space="preserve">3、政策功能</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参加投标的中小企业，应当提供《中小企业声明函》（“中小企业划型标准”详《关于印发中小企业划型标准规定的通知》工信部联企业〔2011〕300号）。其他详见采购文件“第三章 评标标准”。</w:t>
      </w:r>
      <w:r/>
    </w:p>
    <w:p>
      <w:pPr>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二、采购文件</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4、采购文件组成</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4.1 采购文件组成：</w:t>
      </w:r>
      <w:r>
        <w:rPr>
          <w:rFonts w:hint="eastAsia" w:ascii="宋体" w:hAnsi="宋体" w:cs="宋体"/>
          <w:color w:val="auto"/>
          <w:szCs w:val="21"/>
          <w:highlight w:val="none"/>
        </w:rPr>
        <w:t xml:space="preserve">招标公告</w:t>
      </w:r>
      <w:r>
        <w:rPr>
          <w:rFonts w:hint="eastAsia" w:ascii="宋体" w:hAnsi="宋体" w:cs="宋体"/>
          <w:color w:val="auto"/>
          <w:szCs w:val="21"/>
          <w:highlight w:val="none"/>
          <w:lang w:val="zh-CN"/>
        </w:rPr>
        <w:t xml:space="preserve">、供应商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4.2 采购的最小单位是包。采购服务数量及技术要求中未分包的，供应商对要求提供的服务不得部分投标；采购服务数量及技术要求中已经分包的，应当以包为单位投标。</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4.3 采购文件如果要求供应商提交备选投标方案的，供应商可以提交备选方案；否则，备选方案将被拒绝。</w:t>
      </w:r>
      <w:r/>
    </w:p>
    <w:p>
      <w:pPr>
        <w:pStyle w:val="1015"/>
        <w:ind w:firstLine="422"/>
        <w:spacing w:line="460" w:lineRule="exact"/>
        <w:rPr>
          <w:rFonts w:hint="eastAsia" w:hAnsi="宋体"/>
          <w:b/>
          <w:color w:val="auto"/>
          <w:szCs w:val="21"/>
          <w:highlight w:val="none"/>
          <w:lang w:val="zh-CN"/>
        </w:rPr>
      </w:pPr>
      <w:r/>
      <w:bookmarkStart w:id="19" w:name="_Toc27071"/>
      <w:r/>
      <w:bookmarkStart w:id="20" w:name="_Toc19198"/>
      <w:r>
        <w:rPr>
          <w:rFonts w:hint="eastAsia" w:hAnsi="宋体"/>
          <w:b/>
          <w:color w:val="auto"/>
          <w:szCs w:val="21"/>
          <w:highlight w:val="none"/>
          <w:lang w:val="zh-CN"/>
        </w:rPr>
        <w:t xml:space="preserve">5、采购文件的澄清、修改</w:t>
      </w:r>
      <w:bookmarkEnd w:id="19"/>
      <w:r/>
      <w:bookmarkEnd w:id="20"/>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5.1 采购代理机构对已发出的采购文件进行必要澄清或者修改的，将在采购文件要求提交投标文件截止时间</w:t>
      </w:r>
      <w:r>
        <w:rPr>
          <w:rFonts w:hint="eastAsia" w:ascii="宋体" w:hAnsi="宋体" w:cs="宋体"/>
          <w:b/>
          <w:bCs/>
          <w:iCs/>
          <w:color w:val="auto"/>
          <w:szCs w:val="21"/>
          <w:highlight w:val="none"/>
          <w:u w:val="single"/>
          <w:lang w:val="zh-CN"/>
        </w:rPr>
        <w:t xml:space="preserve">十五日</w:t>
      </w:r>
      <w:r>
        <w:rPr>
          <w:rFonts w:hint="eastAsia" w:ascii="宋体" w:hAnsi="宋体" w:cs="宋体"/>
          <w:color w:val="auto"/>
          <w:szCs w:val="21"/>
          <w:highlight w:val="none"/>
          <w:lang w:val="zh-CN"/>
        </w:rPr>
        <w:t xml:space="preserve">前，在原采购公告媒体发布更正公告，该澄清或者修改的内容为采购文件的组成部分。</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5.2 采购代理机构在采购文件要求提交投标文件截止时间前，有权决定延长投标截止时间和开标时间，并</w:t>
      </w:r>
      <w:r>
        <w:rPr>
          <w:rFonts w:hint="eastAsia" w:ascii="宋体" w:hAnsi="宋体" w:cs="宋体"/>
          <w:color w:val="auto"/>
          <w:szCs w:val="21"/>
          <w:highlight w:val="none"/>
        </w:rPr>
        <w:t xml:space="preserve">在原采购信息发布媒体上发布变更公告。</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.3 供应商应在投标截止时间前关注</w:t>
      </w:r>
      <w:r>
        <w:rPr>
          <w:rFonts w:hint="eastAsia" w:ascii="宋体" w:hAnsi="宋体" w:cs="宋体"/>
          <w:color w:val="auto"/>
          <w:szCs w:val="21"/>
          <w:highlight w:val="none"/>
        </w:rPr>
        <w:t xml:space="preserve">原采购信息发布媒体上</w:t>
      </w:r>
      <w:r>
        <w:rPr>
          <w:rFonts w:hint="eastAsia" w:ascii="宋体" w:hAnsi="宋体" w:cs="宋体"/>
          <w:color w:val="auto"/>
          <w:szCs w:val="21"/>
          <w:highlight w:val="none"/>
          <w:lang w:val="zh-CN"/>
        </w:rPr>
        <w:t xml:space="preserve">有关本采购项目有无变更公告。</w:t>
      </w:r>
      <w:r/>
    </w:p>
    <w:p>
      <w:pPr>
        <w:spacing w:line="460" w:lineRule="exact"/>
        <w:rPr>
          <w:rFonts w:hint="eastAsia" w:ascii="宋体" w:hAnsi="宋体" w:cs="宋体"/>
          <w:b/>
          <w:color w:val="auto"/>
          <w:szCs w:val="21"/>
          <w:highlight w:val="none"/>
        </w:rPr>
      </w:pPr>
      <w:r/>
      <w:bookmarkStart w:id="21" w:name="_Toc31483"/>
      <w:r/>
      <w:bookmarkStart w:id="22" w:name="_Toc19187"/>
      <w:r>
        <w:rPr>
          <w:rFonts w:hint="eastAsia" w:ascii="宋体" w:hAnsi="宋体" w:cs="宋体"/>
          <w:b/>
          <w:color w:val="auto"/>
          <w:szCs w:val="21"/>
          <w:highlight w:val="none"/>
        </w:rPr>
        <w:t xml:space="preserve">三、投标</w:t>
      </w:r>
      <w:bookmarkEnd w:id="21"/>
      <w:r/>
      <w:bookmarkEnd w:id="22"/>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6、投标文件的语言、计量单位、货币和编制</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6.1 供应商提交的投标文件、技术文件和资料，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6.2 供应商所使用的计量单位应为国家法定计量单位。</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6.3 供应商应用人民币报价。</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6.4 供应商应在投标文件中写清相应的项目编号、项目名称、供应商全称、地址、电话、传真等。</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bCs/>
          <w:color w:val="auto"/>
          <w:szCs w:val="21"/>
          <w:highlight w:val="none"/>
          <w:lang w:val="zh-CN"/>
        </w:rPr>
        <w:t xml:space="preserve">、联合体投标</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7.1 本项目不接受联合体投标。</w:t>
      </w:r>
      <w:r/>
    </w:p>
    <w:p>
      <w:pPr>
        <w:pStyle w:val="1015"/>
        <w:ind w:firstLine="420"/>
        <w:spacing w:line="460" w:lineRule="exact"/>
        <w:rPr>
          <w:rFonts w:hint="eastAsia" w:hAnsi="宋体"/>
          <w:b/>
          <w:color w:val="auto"/>
          <w:szCs w:val="21"/>
          <w:highlight w:val="none"/>
          <w:lang w:val="zh-CN"/>
        </w:rPr>
      </w:pPr>
      <w:r/>
      <w:bookmarkStart w:id="23" w:name="_Toc5169"/>
      <w:r/>
      <w:bookmarkStart w:id="24" w:name="_Toc15094"/>
      <w:r>
        <w:rPr>
          <w:rFonts w:hint="eastAsia" w:hAnsi="宋体"/>
          <w:b/>
          <w:color w:val="auto"/>
          <w:szCs w:val="21"/>
          <w:highlight w:val="none"/>
          <w:lang w:val="zh-CN"/>
        </w:rPr>
        <w:t xml:space="preserve">8、投标费用</w:t>
      </w:r>
      <w:bookmarkEnd w:id="23"/>
      <w:r/>
      <w:bookmarkEnd w:id="24"/>
      <w:r/>
      <w:r/>
    </w:p>
    <w:p>
      <w:pPr>
        <w:ind w:firstLine="420"/>
        <w:spacing w:line="460" w:lineRule="exact"/>
        <w:shd w:val="clear" w:color="auto" w:fill="ffffff"/>
        <w:rPr>
          <w:rFonts w:hint="eastAsia" w:ascii="宋体" w:hAnsi="宋体" w:cs="Trebuchet MS"/>
          <w:bCs/>
          <w:color w:val="auto"/>
          <w:szCs w:val="21"/>
          <w:highlight w:val="none"/>
        </w:rPr>
      </w:pPr>
      <w:r>
        <w:rPr>
          <w:rFonts w:hint="eastAsia" w:ascii="宋体" w:hAnsi="宋体" w:cs="宋体"/>
          <w:color w:val="auto"/>
          <w:szCs w:val="21"/>
          <w:highlight w:val="none"/>
          <w:lang w:val="zh-CN"/>
        </w:rPr>
        <w:t xml:space="preserve">8.1 供应商应自行承担所有与准备和参加投标有关的费用，</w:t>
      </w:r>
      <w:r>
        <w:rPr>
          <w:rFonts w:hint="eastAsia" w:ascii="宋体" w:hAnsi="宋体" w:cs="Trebuchet MS"/>
          <w:bCs/>
          <w:color w:val="auto"/>
          <w:szCs w:val="21"/>
          <w:highlight w:val="none"/>
          <w:lang w:val="zh-CN"/>
        </w:rPr>
        <w:t xml:space="preserve">无论采购结果如何，采购代理机构和采购单位在任何情况下均无义务和责任承担这些费用。</w:t>
      </w:r>
      <w:r/>
    </w:p>
    <w:p>
      <w:pPr>
        <w:ind w:firstLine="420"/>
        <w:spacing w:line="460" w:lineRule="exact"/>
        <w:rPr>
          <w:rFonts w:hint="eastAsia" w:ascii="宋体" w:hAnsi="宋体" w:cs="宋体"/>
          <w:b/>
          <w:bCs/>
          <w:strike/>
          <w:color w:val="auto"/>
          <w:szCs w:val="21"/>
          <w:highlight w:val="none"/>
        </w:rPr>
      </w:pPr>
      <w:r>
        <w:rPr>
          <w:rFonts w:hint="eastAsia" w:ascii="宋体" w:hAnsi="宋体" w:cs="宋体"/>
          <w:b/>
          <w:bCs/>
          <w:color w:val="auto"/>
          <w:szCs w:val="21"/>
          <w:highlight w:val="none"/>
          <w:lang w:val="zh-CN"/>
        </w:rPr>
        <w:t xml:space="preserve">8.2 </w:t>
      </w:r>
      <w:r>
        <w:rPr>
          <w:rFonts w:hint="eastAsia" w:ascii="宋体" w:hAnsi="宋体" w:cs="宋体"/>
          <w:b/>
          <w:bCs/>
          <w:color w:val="auto"/>
          <w:szCs w:val="21"/>
          <w:highlight w:val="none"/>
        </w:rPr>
        <w:t xml:space="preserve">招标代理费以中标金额为基数，按《江苏省招标代理服务收费的指导意见》苏招协〔2022〕002号文收费标准的</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0%计取，上述费用均由</w:t>
      </w:r>
      <w:r>
        <w:rPr>
          <w:rFonts w:hint="eastAsia" w:ascii="宋体" w:hAnsi="宋体" w:cs="宋体"/>
          <w:b/>
          <w:bCs/>
          <w:color w:val="auto"/>
          <w:szCs w:val="21"/>
          <w:highlight w:val="none"/>
          <w:lang w:val="en-US" w:eastAsia="zh-CN"/>
        </w:rPr>
        <w:t xml:space="preserve">中标</w:t>
      </w:r>
      <w:r>
        <w:rPr>
          <w:rFonts w:hint="eastAsia" w:ascii="宋体" w:hAnsi="宋体" w:cs="宋体"/>
          <w:b/>
          <w:bCs/>
          <w:color w:val="auto"/>
          <w:szCs w:val="21"/>
          <w:highlight w:val="none"/>
        </w:rPr>
        <w:t xml:space="preserve">供应商一次性支付。</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9、投标文件组成</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9.1 </w:t>
      </w:r>
      <w:r>
        <w:rPr>
          <w:rFonts w:hint="eastAsia" w:ascii="宋体" w:hAnsi="宋体" w:cs="宋体"/>
          <w:color w:val="auto"/>
          <w:szCs w:val="21"/>
          <w:highlight w:val="none"/>
        </w:rPr>
        <w:t xml:space="preserve">供应商应当根据采购文件要求编制投标文件，投标文件应对采购文件提出的要求和条件作出实质性响应，并在</w:t>
      </w:r>
      <w:r>
        <w:rPr>
          <w:rFonts w:hint="eastAsia" w:ascii="宋体" w:hAnsi="宋体" w:cs="宋体"/>
          <w:color w:val="auto"/>
          <w:szCs w:val="21"/>
          <w:highlight w:val="none"/>
          <w:lang w:val="zh-CN"/>
        </w:rPr>
        <w:t xml:space="preserve">《商务条款偏离表》和《技术条款偏离表》等处</w:t>
      </w:r>
      <w:r>
        <w:rPr>
          <w:rFonts w:hint="eastAsia" w:ascii="宋体" w:hAnsi="宋体" w:cs="宋体"/>
          <w:color w:val="auto"/>
          <w:szCs w:val="21"/>
          <w:highlight w:val="none"/>
        </w:rPr>
        <w:t xml:space="preserve">逐条标明满足与否。</w:t>
      </w:r>
      <w:r/>
    </w:p>
    <w:p>
      <w:pPr>
        <w:ind w:firstLine="412"/>
        <w:spacing w:line="460" w:lineRule="exact"/>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9.2 供应商根据采购文件载明的标的采购项目实际情况，拟在中标后将中标项目的非主体、非关键性工作交由他人完成的，应当在投标文件中载明。</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.3 上传的投标文件由商务部分、技术部分、价格部分，以及其他部分组成</w:t>
      </w:r>
      <w:r>
        <w:rPr>
          <w:rFonts w:hint="eastAsia" w:ascii="宋体" w:hAnsi="宋体" w:cs="Trebuchet MS"/>
          <w:bCs/>
          <w:color w:val="auto"/>
          <w:szCs w:val="21"/>
          <w:highlight w:val="none"/>
        </w:rPr>
        <w:t xml:space="preserve">。（</w:t>
      </w:r>
      <w:r>
        <w:rPr>
          <w:rFonts w:hint="eastAsia" w:ascii="宋体" w:hAnsi="宋体" w:cs="宋体"/>
          <w:color w:val="auto"/>
          <w:szCs w:val="21"/>
          <w:highlight w:val="none"/>
          <w:lang w:val="zh-CN"/>
        </w:rPr>
        <w:t xml:space="preserve">投标文件应按采购文件要求签署、盖章或加盖电子公章</w:t>
      </w:r>
      <w:r>
        <w:rPr>
          <w:rFonts w:hint="eastAsia" w:ascii="宋体" w:hAnsi="宋体" w:cs="Trebuchet MS"/>
          <w:bCs/>
          <w:color w:val="auto"/>
          <w:szCs w:val="21"/>
          <w:highlight w:val="none"/>
        </w:rPr>
        <w:t xml:space="preserve">）</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如标书制作工具中格式和内容与“江苏政府采购网”发布的采购文件不一致，以“江苏政府采购网”发布的采购文件为准。</w:t>
      </w:r>
      <w:r/>
    </w:p>
    <w:p>
      <w:pPr>
        <w:ind w:firstLine="422"/>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10、投标文件的商务部分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10.1 商务部分是证明供应商有资格参加投标和中标后有能力履行合同的文件，</w:t>
      </w:r>
      <w:r>
        <w:rPr>
          <w:rFonts w:hint="eastAsia" w:ascii="宋体" w:hAnsi="宋体" w:cs="宋体"/>
          <w:color w:val="auto"/>
          <w:szCs w:val="21"/>
          <w:highlight w:val="none"/>
        </w:rPr>
        <w:t xml:space="preserve">这些文件应能满足采购的要求</w:t>
      </w:r>
      <w:r>
        <w:rPr>
          <w:rFonts w:hint="eastAsia" w:ascii="宋体" w:hAnsi="宋体" w:cs="宋体"/>
          <w:color w:val="auto"/>
          <w:szCs w:val="21"/>
          <w:highlight w:val="none"/>
          <w:lang w:val="zh-CN"/>
        </w:rPr>
        <w:t xml:space="preserve">，包括但不限于下列文件，其中加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投标</w:t>
      </w:r>
      <w:r>
        <w:rPr>
          <w:rFonts w:hint="eastAsia" w:ascii="宋体" w:hAnsi="宋体" w:cs="宋体"/>
          <w:color w:val="auto"/>
          <w:szCs w:val="21"/>
          <w:highlight w:val="none"/>
        </w:rPr>
        <w:t xml:space="preserve">函</w:t>
      </w:r>
      <w:r>
        <w:rPr>
          <w:rFonts w:hint="eastAsia" w:ascii="宋体" w:hAnsi="宋体" w:cs="宋体"/>
          <w:color w:val="auto"/>
          <w:szCs w:val="21"/>
          <w:highlight w:val="none"/>
          <w:lang w:val="zh-CN"/>
        </w:rPr>
        <w:t xml:space="preserve">；</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法定代表人授权委托书；</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w:t>
      </w:r>
      <w:r>
        <w:rPr>
          <w:rFonts w:hint="eastAsia" w:ascii="宋体" w:hAnsi="宋体" w:cs="宋体"/>
          <w:color w:val="auto"/>
          <w:szCs w:val="21"/>
          <w:highlight w:val="none"/>
          <w:lang w:val="en-US" w:eastAsia="zh-CN"/>
        </w:rPr>
        <w:t xml:space="preserve">招标公告</w:t>
      </w:r>
      <w:r>
        <w:rPr>
          <w:rFonts w:hint="eastAsia" w:ascii="宋体" w:hAnsi="宋体" w:cs="宋体"/>
          <w:color w:val="auto"/>
          <w:szCs w:val="21"/>
          <w:highlight w:val="none"/>
          <w:lang w:val="zh-CN"/>
        </w:rPr>
        <w:t xml:space="preserve">中《中华人民共和国政府采购法》规定的</w:t>
      </w:r>
      <w:bookmarkStart w:id="25" w:name="_Hlk184886413"/>
      <w:r>
        <w:rPr>
          <w:rFonts w:hint="eastAsia" w:ascii="宋体" w:hAnsi="宋体" w:cs="宋体"/>
          <w:color w:val="auto"/>
          <w:szCs w:val="21"/>
          <w:highlight w:val="none"/>
          <w:lang w:val="zh-CN"/>
        </w:rPr>
        <w:t xml:space="preserve">资格条件证明文件</w:t>
      </w:r>
      <w:bookmarkEnd w:id="25"/>
      <w:r>
        <w:rPr>
          <w:rFonts w:hint="eastAsia" w:ascii="宋体" w:hAnsi="宋体" w:cs="宋体"/>
          <w:color w:val="auto"/>
          <w:szCs w:val="21"/>
          <w:highlight w:val="none"/>
          <w:lang w:val="zh-CN"/>
        </w:rPr>
        <w:t xml:space="preserve">；</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w:t>
      </w:r>
      <w:r>
        <w:rPr>
          <w:rFonts w:hint="eastAsia" w:ascii="宋体" w:hAnsi="宋体" w:cs="宋体"/>
          <w:color w:val="auto"/>
          <w:szCs w:val="21"/>
          <w:highlight w:val="none"/>
          <w:lang w:val="en-US" w:eastAsia="zh-CN"/>
        </w:rPr>
        <w:t xml:space="preserve">招标公告</w:t>
      </w:r>
      <w:bookmarkStart w:id="117" w:name="_GoBack"/>
      <w:r/>
      <w:bookmarkEnd w:id="117"/>
      <w:r>
        <w:rPr>
          <w:rFonts w:hint="eastAsia" w:ascii="宋体" w:hAnsi="宋体" w:cs="宋体"/>
          <w:color w:val="auto"/>
          <w:szCs w:val="21"/>
          <w:highlight w:val="none"/>
          <w:lang w:val="zh-CN"/>
        </w:rPr>
        <w:t xml:space="preserve">中采购人根据采购项目的特殊要求规定的特定条件证明文件；（如有的话）</w:t>
      </w:r>
      <w:r/>
    </w:p>
    <w:p>
      <w:pPr>
        <w:ind w:firstLine="420"/>
        <w:jc w:val="left"/>
        <w:spacing w:line="460" w:lineRule="exact"/>
        <w:widowControl/>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（6）</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《南京市政府采购供应商信用记录表暨信用承诺书》</w:t>
      </w:r>
      <w:r/>
    </w:p>
    <w:p>
      <w:pPr>
        <w:ind w:firstLine="420"/>
        <w:jc w:val="left"/>
        <w:spacing w:line="460" w:lineRule="exact"/>
        <w:widowControl/>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注：本表打印时间必须在采购文件发布之日起至提交投标文件截止日前。</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商务条款偏离表；</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（8）承担过类似业绩情况（格式自拟）；</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（9）中小企业声明函格式（如有）；</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无重大违法记录声明；</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（11）残疾人福利性单位声明函（如有）；</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（12）属于监狱企业的证明文件（如有）；</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）投标供应商认为需提供的其他资料；</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11、投标文件的技术部分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11.1 技术部分是证明</w:t>
      </w:r>
      <w:r>
        <w:rPr>
          <w:rFonts w:hint="eastAsia" w:ascii="宋体" w:hAnsi="宋体" w:cs="宋体"/>
          <w:color w:val="auto"/>
          <w:szCs w:val="21"/>
          <w:highlight w:val="none"/>
        </w:rPr>
        <w:t xml:space="preserve">供应商提供的产品和服务是合格的、并符合采购文件要求的证明文件，以及</w:t>
      </w:r>
      <w:r>
        <w:rPr>
          <w:rFonts w:hint="eastAsia" w:ascii="宋体" w:hAnsi="宋体" w:cs="宋体"/>
          <w:color w:val="auto"/>
          <w:szCs w:val="21"/>
          <w:highlight w:val="none"/>
          <w:lang w:val="zh-CN"/>
        </w:rPr>
        <w:t xml:space="preserve">对</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表中的服务的详细说明，这些文件可以是文字资料、图纸和数据等。</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11.2 若技术性能无特殊说明，则按国家有关部门最新颁布的标准及规范为准。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11.3 提供的服务如与采购文件要求有不符之处，应说明其差别之所在，并在《技术条款偏离表》中逐条予以说明。</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11.4 投标文件应按照采购文件要求提供技术资料、文件和有关证明，包括但不限于其中加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服务</w:t>
      </w:r>
      <w:r>
        <w:rPr>
          <w:rFonts w:hint="eastAsia" w:ascii="宋体" w:hAnsi="宋体" w:cs="宋体"/>
          <w:color w:val="auto"/>
          <w:szCs w:val="21"/>
          <w:highlight w:val="none"/>
          <w:lang w:val="zh-CN"/>
        </w:rPr>
        <w:t xml:space="preserve">方案；</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（2）★技术条款偏离表； </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（3）投标人实施本项目拟投入的专业人员一览表；</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（4）供应商认为需要提供的其他技术资料。</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12、投标文件的价格部分</w:t>
      </w:r>
      <w:r/>
    </w:p>
    <w:p>
      <w:pPr>
        <w:ind w:firstLine="420"/>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12.1 价格部分是对本项目采购标的价格构成的说明，每一项服务仅接受一个价格。</w:t>
      </w:r>
      <w:r/>
    </w:p>
    <w:p>
      <w:pPr>
        <w:ind w:firstLine="420"/>
        <w:spacing w:line="460" w:lineRule="exact"/>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12.2</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投标报价包括但不限于</w:t>
      </w:r>
      <w:r>
        <w:rPr>
          <w:rFonts w:hint="eastAsia" w:ascii="宋体" w:hAnsi="宋体"/>
          <w:color w:val="auto"/>
          <w:szCs w:val="21"/>
          <w:highlight w:val="none"/>
        </w:rPr>
        <w:t xml:space="preserve">完成本项目的人工、机械、材料、维修技术、企业管理、税金、政策性文件规定及及合同包含内的所有风险、责任等各项应有费用以及供应商认为需要的其他费用等，响应供应商应根据上述因素结合清单自行考虑投标报价</w:t>
      </w:r>
      <w:r>
        <w:rPr>
          <w:rFonts w:hint="eastAsia" w:ascii="宋体" w:hAnsi="宋体" w:cs="宋体"/>
          <w:b/>
          <w:color w:val="auto"/>
          <w:szCs w:val="21"/>
          <w:highlight w:val="none"/>
        </w:rPr>
        <w:t xml:space="preserve">。</w:t>
      </w:r>
      <w:r/>
    </w:p>
    <w:p>
      <w:pPr>
        <w:ind w:firstLine="420"/>
        <w:spacing w:line="460" w:lineRule="exact"/>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12.3 </w:t>
      </w:r>
      <w:r>
        <w:rPr>
          <w:rFonts w:hint="eastAsia" w:ascii="宋体" w:hAnsi="宋体" w:cs="宋体"/>
          <w:color w:val="auto"/>
          <w:szCs w:val="21"/>
          <w:highlight w:val="none"/>
        </w:rPr>
        <w:t xml:space="preserve">供应商的任何错漏、优惠、竞争性报价不得作为减轻责任、减少服务、增加收费、降低质量的理由。</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12.4 供应商应在《开标一览表》、《分项报价表》等标明提供货物和服务的单价、总价以及分项报价。供应商系小企业（含小型、微型企业），并提供本企业制造的货物、承担的工程或者服务，或者提供其他小企业制造的货物，须在《开标一览表》、《分项报价表》中注明。</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13、投标文件的其他部分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13.1 其他部分由供应商根据编制投标文件需要提供的其他相关文件。</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14、投标保证金</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14.1 无需提交投标保证金。</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15、投标有效期</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15.1 自开标之日起</w:t>
      </w:r>
      <w:r>
        <w:rPr>
          <w:rFonts w:hint="eastAsia" w:ascii="宋体" w:hAnsi="宋体" w:cs="宋体"/>
          <w:b/>
          <w:bCs/>
          <w:color w:val="auto"/>
          <w:szCs w:val="21"/>
          <w:highlight w:val="none"/>
        </w:rPr>
        <w:t xml:space="preserve">90</w:t>
      </w:r>
      <w:r>
        <w:rPr>
          <w:rFonts w:hint="eastAsia" w:ascii="宋体" w:hAnsi="宋体" w:cs="宋体"/>
          <w:b/>
          <w:color w:val="auto"/>
          <w:szCs w:val="21"/>
          <w:highlight w:val="none"/>
          <w:lang w:val="zh-CN"/>
        </w:rPr>
        <w:t xml:space="preserve">天</w:t>
      </w:r>
      <w:r>
        <w:rPr>
          <w:rFonts w:hint="eastAsia" w:ascii="宋体" w:hAnsi="宋体" w:cs="宋体"/>
          <w:color w:val="auto"/>
          <w:szCs w:val="21"/>
          <w:highlight w:val="none"/>
          <w:lang w:val="zh-CN"/>
        </w:rPr>
        <w:t xml:space="preserve">内投标有效。</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15.2 在特殊情况下，在原投标有效期截止之前，采购代理机构可要求供应商同意延长投标有效期，这种要求与答复均以书面形式提交。供应商可拒绝这种要求，接受延长投标有效期的供应商将不会要求和允许修正其投标。</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16、投标文件的签署</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16.1 供应商应严格按照采购文件要求制作投标文件并加盖电子公章。</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17、投标文件的提交</w:t>
      </w:r>
      <w:r/>
    </w:p>
    <w:p>
      <w:pPr>
        <w:ind w:firstLine="420"/>
        <w:jc w:val="left"/>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17.1 供应商应当按照《操作手册》规定，在采购公告规定的提交投标文件截止时间前制作并上传投标文件。</w:t>
      </w:r>
      <w:r/>
    </w:p>
    <w:p>
      <w:pPr>
        <w:ind w:firstLine="420"/>
        <w:jc w:val="left"/>
        <w:spacing w:line="460" w:lineRule="exact"/>
        <w:rPr>
          <w:rFonts w:hint="eastAsia"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7.2 供应商应充分考虑网络环境、网络带宽等因素可能对投标产生的影响，如因供应商自身原因造成的投标文件上传不成功的，按照本采购文件第二章第</w:t>
      </w:r>
      <w:r>
        <w:rPr>
          <w:rFonts w:ascii="宋体" w:hAnsi="宋体" w:cs="宋体"/>
          <w:bCs/>
          <w:color w:val="auto"/>
          <w:szCs w:val="21"/>
          <w:highlight w:val="none"/>
        </w:rPr>
        <w:t xml:space="preserve">21.2.</w:t>
      </w:r>
      <w:r>
        <w:rPr>
          <w:rFonts w:hint="eastAsia" w:ascii="宋体" w:hAnsi="宋体" w:cs="宋体"/>
          <w:bCs/>
          <w:color w:val="auto"/>
          <w:szCs w:val="21"/>
          <w:highlight w:val="none"/>
        </w:rPr>
        <w:t xml:space="preserve">3条规定做无效投标处理。</w:t>
      </w:r>
      <w:r/>
    </w:p>
    <w:p>
      <w:pPr>
        <w:ind w:firstLine="420"/>
        <w:spacing w:line="460" w:lineRule="exact"/>
        <w:rPr>
          <w:rFonts w:hint="eastAsia"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7.3 采购代理机构可以按照规定，通过修改采购文件酌情延长提交投标文件截止日期，在此情况下，供应商的所有权利和义务均以延长后新的截止日期为准。</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18、有下列情形之一的投标文件将拒收：</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 xml:space="preserve">在采购文件要求提交投标文件的截止时间</w:t>
      </w:r>
      <w:r>
        <w:rPr>
          <w:rFonts w:hint="eastAsia" w:ascii="宋体" w:hAnsi="宋体" w:cs="宋体"/>
          <w:bCs/>
          <w:color w:val="auto"/>
          <w:szCs w:val="21"/>
          <w:highlight w:val="none"/>
        </w:rPr>
        <w:t xml:space="preserve">后上传的任何投标文件。</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19、投标文件的修改和撤回</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19.1 供应商在投标截止时间前，可以对所提交的投标文件进行补充、修改或撤回</w:t>
      </w:r>
      <w:r>
        <w:rPr>
          <w:rFonts w:hint="eastAsia" w:ascii="宋体" w:hAnsi="宋体" w:cs="宋体"/>
          <w:bCs/>
          <w:color w:val="auto"/>
          <w:szCs w:val="21"/>
          <w:highlight w:val="none"/>
        </w:rPr>
        <w:t xml:space="preserve">，具体操作方法见《操作手册》。提交投标文件截止时间之后，供应商不得对其投标文件作任何修改。</w:t>
      </w:r>
      <w:r/>
    </w:p>
    <w:p>
      <w:pPr>
        <w:ind w:firstLine="420"/>
        <w:spacing w:line="460" w:lineRule="exact"/>
        <w:rPr>
          <w:rFonts w:hint="eastAsia"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 </w:t>
      </w:r>
      <w:r>
        <w:rPr>
          <w:rFonts w:hint="eastAsia" w:ascii="宋体" w:hAnsi="宋体" w:cs="宋体"/>
          <w:bCs/>
          <w:color w:val="auto"/>
          <w:szCs w:val="21"/>
          <w:highlight w:val="none"/>
        </w:rPr>
        <w:t xml:space="preserve">在提交投标文件截止时间至采购文件中规定的投标有效期满之间的这段时间内，供应商不得撤回其投标文件。</w:t>
      </w:r>
      <w:r/>
    </w:p>
    <w:p>
      <w:pPr>
        <w:spacing w:line="460" w:lineRule="exact"/>
        <w:rPr>
          <w:rFonts w:hint="eastAsia" w:ascii="宋体" w:hAnsi="宋体" w:cs="宋体"/>
          <w:b/>
          <w:color w:val="auto"/>
          <w:szCs w:val="21"/>
          <w:highlight w:val="none"/>
        </w:rPr>
      </w:pPr>
      <w:r/>
      <w:bookmarkStart w:id="26" w:name="_Toc29284"/>
      <w:r/>
      <w:bookmarkStart w:id="27" w:name="_Toc25047"/>
      <w:r>
        <w:rPr>
          <w:rFonts w:hint="eastAsia" w:ascii="宋体" w:hAnsi="宋体" w:cs="宋体"/>
          <w:b/>
          <w:color w:val="auto"/>
          <w:szCs w:val="21"/>
          <w:highlight w:val="none"/>
        </w:rPr>
        <w:t xml:space="preserve">四、开标、评标与确定中标供应商</w:t>
      </w:r>
      <w:bookmarkEnd w:id="26"/>
      <w:r/>
      <w:bookmarkEnd w:id="27"/>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20、开标</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.1 采购代理机构将在招标公告中规定的时间和地点组织开标。供应商应当按照《操作手册》规定，参加开标活动和在苏采云系统规定的时间内对投标文件进行解密。</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开标由采购代理机构组织。苏采云系统将自动对项目进行开标，并宣布各供应商名称和投标价格。</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供应商在开标过程中涉及到的投标文件解密、开标结果确认等工作，应按照《操作手册》规定执行。</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供应商如果对开标过程和开标记录有疑义，应当根据《操作手册》规定提出，如苏采云系统中《开标记录表》宣布后规定时间内未提出的，视同认可开标结果。</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 供应商不足3家的，不予开标。</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公开招标数额标准以上的采购项目，投标截止后供应商不足3家或者通过资格审查或符合性审查的供应商不足3家的，除采购任务取消情形外，按照以下方式处理：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（1）采购文件存在不合理条款或者采购程序不符合规定的，采购人、采购代理机构改正后依法重新招标；</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文件没有不合理条款、招标程序符合规定，需要采用其他采购方式采购的，采购人依法报财政部门批准，经批准后，可变更为其他采购方式采购。本次采购文件中对供应商资格条件要求、技术要求和商务等要求，将作为其他采购方式采购的基本要求和谈判依据。 </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公开招标数额标准以下的采购项目，按照财政主管部门相关规定执行。</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21、评标</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21.1</w:t>
      </w:r>
      <w:r>
        <w:rPr>
          <w:rFonts w:hint="eastAsia" w:ascii="宋体" w:hAnsi="宋体" w:cs="宋体"/>
          <w:b/>
          <w:bCs/>
          <w:color w:val="auto"/>
          <w:szCs w:val="21"/>
          <w:highlight w:val="none"/>
          <w:lang w:val="zh-CN"/>
        </w:rPr>
        <w:t xml:space="preserve"> 评标组织</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21.1.1评标工作由采购代理机构负责组织，具体评标事务由依法组建的评标委员会负责，并独立履行</w:t>
      </w:r>
      <w:r>
        <w:rPr>
          <w:rFonts w:hint="eastAsia" w:ascii="宋体" w:hAnsi="宋体" w:cs="宋体"/>
          <w:color w:val="auto"/>
          <w:szCs w:val="21"/>
          <w:highlight w:val="none"/>
        </w:rPr>
        <w:t xml:space="preserve">下列职责：</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（1）审查、评价投标文件是否符合采购文件的商务、技术等实质性要求；</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（2）要求供应商对投标文件有关事项作出澄清或者说明；</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（3）对投标文件进行比较和评价；</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（3）根据采购人委托协议直接确定中标人；</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（4）向采购人、财政部门报告评标中发现的违法行为。</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21.2 评标程序</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21.2.1 投标文件的资格审查</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21.2.1.1 </w:t>
      </w:r>
      <w:r>
        <w:rPr>
          <w:rFonts w:hint="eastAsia" w:ascii="宋体" w:hAnsi="宋体" w:cs="宋体"/>
          <w:color w:val="auto"/>
          <w:szCs w:val="21"/>
          <w:highlight w:val="none"/>
        </w:rPr>
        <w:t xml:space="preserve">由</w:t>
      </w:r>
      <w:r>
        <w:rPr>
          <w:rFonts w:hint="eastAsia" w:ascii="宋体" w:hAnsi="宋体" w:cs="宋体"/>
          <w:color w:val="auto"/>
          <w:szCs w:val="21"/>
          <w:highlight w:val="none"/>
          <w:lang w:val="zh-CN"/>
        </w:rPr>
        <w:t xml:space="preserve">评标委员会独立依法对供应商的资格进行审查。</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21.2.1.2 资格性审查：依据法律法规和采购文件的规定，对投标文件中的资格证明文件等进行审查，以确定投标供应商是否具备投标资格。</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21.2.1.3 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w:t>
      </w:r>
      <w:r>
        <w:rPr>
          <w:rFonts w:hint="eastAsia" w:ascii="宋体" w:hAnsi="宋体" w:cs="宋体"/>
          <w:bCs/>
          <w:color w:val="auto"/>
          <w:szCs w:val="21"/>
          <w:highlight w:val="none"/>
        </w:rPr>
        <w:t xml:space="preserve">/截图</w:t>
      </w:r>
      <w:r>
        <w:rPr>
          <w:rFonts w:hint="eastAsia" w:ascii="宋体" w:hAnsi="宋体" w:cs="宋体"/>
          <w:color w:val="auto"/>
          <w:szCs w:val="21"/>
          <w:highlight w:val="none"/>
          <w:lang w:val="zh-CN"/>
        </w:rPr>
        <w:t xml:space="preserve">的形式留存并归档。</w:t>
      </w:r>
      <w:r/>
    </w:p>
    <w:p>
      <w:pPr>
        <w:ind w:firstLine="420"/>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21.2.1.4 投标文件有下列情况之一的，在资格性审查时按照无效投标处理：</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（1）不具备采购文件中规定资格条件的；</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供应商被“信用中国”、“中国政府采购网"网站列入失信被执行人、重大税收违法案件当事人名单、政府采购严重违法失信行为记录名单。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21.2.2 投标文件的符合性审查</w:t>
      </w:r>
      <w:r/>
    </w:p>
    <w:p>
      <w:pPr>
        <w:ind w:firstLine="420"/>
        <w:spacing w:line="460" w:lineRule="exact"/>
        <w:rPr>
          <w:rFonts w:hint="eastAsia" w:ascii="宋体" w:hAnsi="宋体" w:cs="宋体"/>
          <w:color w:val="auto"/>
          <w:szCs w:val="21"/>
          <w:highlight w:val="none"/>
          <w:lang w:val="zh-CN"/>
        </w:rPr>
      </w:pPr>
      <w:r>
        <w:rPr>
          <w:rFonts w:hint="eastAsia" w:ascii="宋体" w:hAnsi="宋体" w:cs="宋体"/>
          <w:bCs/>
          <w:color w:val="auto"/>
          <w:szCs w:val="21"/>
          <w:highlight w:val="none"/>
          <w:lang w:val="zh-CN"/>
        </w:rPr>
        <w:t xml:space="preserve">21.2.2.1 </w:t>
      </w:r>
      <w:r>
        <w:rPr>
          <w:rFonts w:hint="eastAsia" w:ascii="宋体" w:hAnsi="宋体" w:cs="宋体"/>
          <w:color w:val="auto"/>
          <w:szCs w:val="21"/>
          <w:highlight w:val="none"/>
          <w:lang w:val="zh-CN"/>
        </w:rPr>
        <w:t xml:space="preserve">评标委员会将依据法律法规和采购文件的规定，对投标文件的有效性、完整性和对采购文件的响应程度进行审查，以确定是否对采购文件的实质性要求作出响应。</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21.2.2.2 实质性要求是指本采购文件中用带星号（“★”）的商务和技术要求。</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21.2.2.3 如果投标文件实质上没有响应采购文件的要求，评标委员会将予以拒绝，</w:t>
      </w:r>
      <w:r>
        <w:rPr>
          <w:rFonts w:hint="eastAsia" w:ascii="宋体" w:hAnsi="宋体" w:cs="宋体"/>
          <w:bCs/>
          <w:color w:val="auto"/>
          <w:szCs w:val="21"/>
          <w:highlight w:val="none"/>
        </w:rPr>
        <w:t xml:space="preserve">供应商不得通过修改或撤销不合要求的偏离或保留而使其投标成为实质性响应的投标。</w:t>
      </w:r>
      <w:r/>
    </w:p>
    <w:p>
      <w:pPr>
        <w:ind w:firstLine="422"/>
        <w:spacing w:line="460" w:lineRule="exact"/>
        <w:rPr>
          <w:rFonts w:hint="eastAsia" w:ascii="宋体" w:hAnsi="宋体" w:cs="宋体"/>
          <w:b/>
          <w:color w:val="auto"/>
          <w:szCs w:val="21"/>
          <w:highlight w:val="none"/>
          <w:lang w:val="zh-CN"/>
        </w:rPr>
      </w:pPr>
      <w:r>
        <w:rPr>
          <w:rFonts w:ascii="宋体" w:hAnsi="宋体" w:cs="宋体"/>
          <w:b/>
          <w:color w:val="auto"/>
          <w:szCs w:val="21"/>
          <w:highlight w:val="none"/>
        </w:rPr>
        <w:t xml:space="preserve">21</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2</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3 </w:t>
      </w:r>
      <w:r>
        <w:rPr>
          <w:rFonts w:hint="eastAsia" w:ascii="宋体" w:hAnsi="宋体" w:cs="宋体"/>
          <w:b/>
          <w:color w:val="auto"/>
          <w:szCs w:val="21"/>
          <w:highlight w:val="none"/>
          <w:lang w:val="zh-CN"/>
        </w:rPr>
        <w:t xml:space="preserve">投标文件有下列情况之一的，投标无效：</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（1）供应商在苏采云系统规定的时间内未成功解密投标文件；</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（2）未按照采购文件要求上传投标文件；</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）投标文件未按采购文件要求签署、盖章或加盖电子公章的；</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（4）不具备采购文件中规定的资格要求的；</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）报价超过采购文件中规定的预算金额或者最高限价的；</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）投标文件含有采购人不能接受的附加条件的；</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处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）不符合法律、法规和采购文件规定的其他无效情形。</w:t>
      </w:r>
      <w:r/>
    </w:p>
    <w:p>
      <w:pPr>
        <w:ind w:firstLine="422"/>
        <w:spacing w:line="460" w:lineRule="exact"/>
        <w:rPr>
          <w:rFonts w:hint="eastAsia" w:ascii="宋体" w:hAnsi="宋体" w:cs="宋体"/>
          <w:b/>
          <w:bCs/>
          <w:color w:val="auto"/>
          <w:szCs w:val="21"/>
          <w:highlight w:val="none"/>
          <w:lang w:val="zh-CN"/>
        </w:rPr>
      </w:pPr>
      <w:r>
        <w:rPr>
          <w:rFonts w:ascii="宋体" w:hAnsi="宋体" w:cs="宋体"/>
          <w:b/>
          <w:bCs/>
          <w:color w:val="auto"/>
          <w:szCs w:val="21"/>
          <w:highlight w:val="none"/>
          <w:lang w:val="zh-CN"/>
        </w:rPr>
        <w:t xml:space="preserve">21</w:t>
      </w:r>
      <w:r>
        <w:rPr>
          <w:rFonts w:hint="eastAsia" w:ascii="宋体" w:hAnsi="宋体" w:cs="宋体"/>
          <w:b/>
          <w:bCs/>
          <w:color w:val="auto"/>
          <w:szCs w:val="21"/>
          <w:highlight w:val="none"/>
          <w:lang w:val="zh-CN"/>
        </w:rPr>
        <w:t xml:space="preserve">.</w:t>
      </w:r>
      <w:r>
        <w:rPr>
          <w:rFonts w:ascii="宋体" w:hAnsi="宋体" w:cs="宋体"/>
          <w:b/>
          <w:bCs/>
          <w:color w:val="auto"/>
          <w:szCs w:val="21"/>
          <w:highlight w:val="none"/>
          <w:lang w:val="zh-CN"/>
        </w:rPr>
        <w:t xml:space="preserve">2</w:t>
      </w:r>
      <w:r>
        <w:rPr>
          <w:rFonts w:hint="eastAsia" w:ascii="宋体" w:hAnsi="宋体" w:cs="宋体"/>
          <w:b/>
          <w:bCs/>
          <w:color w:val="auto"/>
          <w:szCs w:val="21"/>
          <w:highlight w:val="none"/>
          <w:lang w:val="zh-CN"/>
        </w:rPr>
        <w:t xml:space="preserve">.</w:t>
      </w:r>
      <w:r>
        <w:rPr>
          <w:rFonts w:ascii="宋体" w:hAnsi="宋体" w:cs="宋体"/>
          <w:b/>
          <w:bCs/>
          <w:color w:val="auto"/>
          <w:szCs w:val="21"/>
          <w:highlight w:val="none"/>
          <w:lang w:val="zh-CN"/>
        </w:rPr>
        <w:t xml:space="preserve">4</w:t>
      </w:r>
      <w:r>
        <w:rPr>
          <w:rFonts w:hint="eastAsia" w:ascii="宋体" w:hAnsi="宋体" w:cs="宋体"/>
          <w:b/>
          <w:bCs/>
          <w:color w:val="auto"/>
          <w:szCs w:val="21"/>
          <w:highlight w:val="none"/>
          <w:lang w:val="zh-CN"/>
        </w:rPr>
        <w:t xml:space="preserve"> 有下列情形之一的，视为供应商串通投标，其投标无效：</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）不同供应商的投标文件由同一单位或者个人编制；</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）不同供应商委托同一单位或者个人办理投标事宜；</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）不同供应商的投标文件载明的项目管理成员或者联系人员为同一人；</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（4）不同供应商的投标文件异常一致或者投标报价呈规律性差异；</w:t>
      </w:r>
      <w:r/>
    </w:p>
    <w:p>
      <w:pPr>
        <w:ind w:firstLine="420"/>
        <w:spacing w:line="460" w:lineRule="exact"/>
        <w:widowControl/>
        <w:rPr>
          <w:rFonts w:hint="eastAsia" w:ascii="宋体" w:hAnsi="宋体" w:cs="宋体"/>
          <w:color w:val="auto"/>
          <w:szCs w:val="21"/>
          <w:highlight w:val="none"/>
          <w:lang w:val="zh-CN"/>
        </w:rPr>
      </w:pPr>
      <w:r>
        <w:rPr>
          <w:rFonts w:ascii="宋体" w:hAnsi="宋体" w:cs="宋体"/>
          <w:b/>
          <w:bCs/>
          <w:color w:val="auto"/>
          <w:szCs w:val="21"/>
          <w:highlight w:val="none"/>
          <w:lang w:val="zh-CN"/>
        </w:rPr>
        <w:t xml:space="preserve">21</w:t>
      </w:r>
      <w:r>
        <w:rPr>
          <w:rFonts w:hint="eastAsia" w:ascii="宋体" w:hAnsi="宋体" w:cs="宋体"/>
          <w:b/>
          <w:bCs/>
          <w:color w:val="auto"/>
          <w:szCs w:val="21"/>
          <w:highlight w:val="none"/>
          <w:lang w:val="zh-CN"/>
        </w:rPr>
        <w:t xml:space="preserve">.</w:t>
      </w:r>
      <w:r>
        <w:rPr>
          <w:rFonts w:ascii="宋体" w:hAnsi="宋体" w:cs="宋体"/>
          <w:b/>
          <w:bCs/>
          <w:color w:val="auto"/>
          <w:szCs w:val="21"/>
          <w:highlight w:val="none"/>
          <w:lang w:val="zh-CN"/>
        </w:rPr>
        <w:t xml:space="preserve">2</w:t>
      </w:r>
      <w:r>
        <w:rPr>
          <w:rFonts w:hint="eastAsia" w:ascii="宋体" w:hAnsi="宋体" w:cs="宋体"/>
          <w:b/>
          <w:bCs/>
          <w:color w:val="auto"/>
          <w:szCs w:val="21"/>
          <w:highlight w:val="none"/>
          <w:lang w:val="zh-CN"/>
        </w:rPr>
        <w:t xml:space="preserve">.</w:t>
      </w:r>
      <w:r>
        <w:rPr>
          <w:rFonts w:ascii="宋体" w:hAnsi="宋体" w:cs="宋体"/>
          <w:b/>
          <w:bCs/>
          <w:color w:val="auto"/>
          <w:szCs w:val="21"/>
          <w:highlight w:val="none"/>
          <w:lang w:val="zh-CN"/>
        </w:rPr>
        <w:t xml:space="preserve">5</w:t>
      </w:r>
      <w:r>
        <w:rPr>
          <w:rFonts w:hint="eastAsia" w:ascii="宋体" w:hAnsi="宋体" w:cs="宋体"/>
          <w:b/>
          <w:bCs/>
          <w:color w:val="auto"/>
          <w:szCs w:val="21"/>
          <w:highlight w:val="none"/>
          <w:lang w:val="zh-CN"/>
        </w:rPr>
        <w:t xml:space="preserve"> </w:t>
      </w:r>
      <w:r>
        <w:rPr>
          <w:rFonts w:hint="eastAsia" w:ascii="宋体" w:hAnsi="宋体" w:cs="宋体"/>
          <w:color w:val="auto"/>
          <w:szCs w:val="21"/>
          <w:highlight w:val="none"/>
          <w:lang w:val="zh-CN"/>
        </w:rPr>
        <w:t xml:space="preserve">在评标期间，出现符合专业条件的供应商或者对采购文件作出实质性响应的供应商不足三家情形的，比照20.</w:t>
      </w:r>
      <w:r>
        <w:rPr>
          <w:rFonts w:ascii="宋体" w:hAnsi="宋体" w:cs="宋体"/>
          <w:color w:val="auto"/>
          <w:szCs w:val="21"/>
          <w:highlight w:val="none"/>
        </w:rPr>
        <w:t xml:space="preserve">5</w:t>
      </w:r>
      <w:r>
        <w:rPr>
          <w:rFonts w:hint="eastAsia" w:ascii="宋体" w:hAnsi="宋体" w:cs="宋体"/>
          <w:color w:val="auto"/>
          <w:szCs w:val="21"/>
          <w:highlight w:val="none"/>
        </w:rPr>
        <w:t xml:space="preserve">-20.</w:t>
      </w:r>
      <w:r>
        <w:rPr>
          <w:rFonts w:ascii="宋体" w:hAnsi="宋体" w:cs="宋体"/>
          <w:color w:val="auto"/>
          <w:szCs w:val="21"/>
          <w:highlight w:val="none"/>
        </w:rPr>
        <w:t xml:space="preserve">6</w:t>
      </w:r>
      <w:r>
        <w:rPr>
          <w:rFonts w:hint="eastAsia" w:ascii="宋体" w:hAnsi="宋体" w:cs="宋体"/>
          <w:color w:val="auto"/>
          <w:szCs w:val="21"/>
          <w:highlight w:val="none"/>
          <w:lang w:val="zh-CN"/>
        </w:rPr>
        <w:t xml:space="preserve">款执行。</w:t>
      </w:r>
      <w:r/>
    </w:p>
    <w:p>
      <w:pPr>
        <w:ind w:firstLine="422"/>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 投标文件的进一步评审</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w:t>
      </w:r>
      <w:r>
        <w:rPr>
          <w:rFonts w:hint="eastAsia" w:ascii="宋体" w:hAnsi="宋体" w:cs="宋体"/>
          <w:bCs/>
          <w:color w:val="auto"/>
          <w:szCs w:val="21"/>
          <w:highlight w:val="none"/>
        </w:rPr>
        <w:t xml:space="preserve">评标委员会将对确定为实质性响应的投标文件进行进一步评审，投标文件报价出现前后不一致的，除采购文件另有规定外，按照下列规定修正：</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（1）投标文件中《开标一览表》、《分项报价表》内容与投标文件中相应内容不一致的，以《开标一览表》、《分项报价表》为准；</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）单价金额小数点或者百分比有明显错位的，以《开标一览表》、《分项报价表》的总价为准，并修改单价；</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）总价金额与按单价汇总金额不一致的，以单价金额计算结果为准；</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）同时出现两种以上不一致的，按照前款规定的顺序修正。修正后的报价由法定代表人或其授权的代表签字确认，确认后产生约束力，供应商不确认的，投标无效。</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（5）对不同文字文本投标文件的解释发生异议的，以中文文本为准。</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21.2.</w:t>
      </w: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 </w:t>
      </w:r>
      <w:r>
        <w:rPr>
          <w:rFonts w:hint="eastAsia" w:ascii="宋体" w:hAnsi="宋体" w:cs="宋体"/>
          <w:bCs/>
          <w:color w:val="auto"/>
          <w:szCs w:val="21"/>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46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21.2.</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 澄清有关问题</w:t>
      </w:r>
      <w:r/>
    </w:p>
    <w:p>
      <w:pPr>
        <w:ind w:firstLine="420"/>
        <w:spacing w:line="4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评标期间，评标委员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标委员会并非对全部供应商都做澄清要求。</w:t>
      </w:r>
      <w:r/>
    </w:p>
    <w:p>
      <w:pPr>
        <w:ind w:firstLine="420"/>
        <w:spacing w:line="4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需要供应商进行澄清、说明和补正的，评标委员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0"/>
        <w:spacing w:line="4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（3）接到评标委员会澄清、说明和补正要求的供应商如未按规定做出澄清、说明和补正，其风险由供应商自行承担。</w:t>
      </w:r>
      <w:r/>
    </w:p>
    <w:p>
      <w:pPr>
        <w:ind w:left="0"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（4）评审过程中出现下列情形之一的，评审委员会应当启动异常低价投标（响应）审查程序：</w:t>
      </w:r>
      <w:r/>
    </w:p>
    <w:p>
      <w:pPr>
        <w:ind w:left="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①</w:t>
      </w:r>
      <w:r>
        <w:rPr>
          <w:rFonts w:hint="eastAsia" w:ascii="宋体" w:hAnsi="宋体" w:cs="宋体"/>
          <w:bCs/>
          <w:color w:val="auto"/>
          <w:szCs w:val="21"/>
          <w:highlight w:val="none"/>
        </w:rPr>
        <w:t xml:space="preserve">投标（响应）报价低于采购项目预算50%的，即投标（响应）报价&lt;采购项目预算×50%；</w:t>
      </w:r>
      <w:r/>
    </w:p>
    <w:p>
      <w:pPr>
        <w:ind w:firstLine="442"/>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②</w:t>
      </w:r>
      <w:r>
        <w:rPr>
          <w:rFonts w:hint="eastAsia" w:ascii="宋体" w:hAnsi="宋体" w:cs="宋体"/>
          <w:bCs/>
          <w:color w:val="auto"/>
          <w:szCs w:val="21"/>
          <w:highlight w:val="none"/>
        </w:rPr>
        <w:t xml:space="preserve">投标（响应）报价低于采购项目最高限价45%的，即投标（响应）报价&lt;采购项目最高限价×45%；</w:t>
      </w:r>
      <w:r/>
    </w:p>
    <w:p>
      <w:pPr>
        <w:ind w:firstLine="442"/>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③</w:t>
      </w:r>
      <w:r>
        <w:rPr>
          <w:rFonts w:hint="eastAsia" w:ascii="宋体" w:hAnsi="宋体" w:cs="宋体"/>
          <w:bCs/>
          <w:color w:val="auto"/>
          <w:szCs w:val="21"/>
          <w:highlight w:val="none"/>
        </w:rPr>
        <w:t xml:space="preserve">评审委员会认定的投标人报价过低、有可能影响产品质量或者不能诚信履约的其他情形。</w:t>
      </w:r>
      <w:r/>
    </w:p>
    <w:p>
      <w:pPr>
        <w:ind w:firstLine="420"/>
        <w:jc w:val="left"/>
        <w:spacing w:line="360" w:lineRule="auto"/>
        <w:widowControl/>
        <w:rPr>
          <w:rFonts w:hint="eastAsia"/>
          <w:color w:val="auto"/>
        </w:rPr>
      </w:pPr>
      <w:r>
        <w:rPr>
          <w:rFonts w:hint="eastAsia" w:ascii="宋体" w:hAnsi="宋体"/>
          <w:color w:val="auto"/>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20"/>
        <w:spacing w:line="4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21.2.</w:t>
      </w: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 比较与评价</w:t>
      </w:r>
      <w:r/>
    </w:p>
    <w:p>
      <w:pPr>
        <w:ind w:firstLine="420"/>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按照采购文件中规定的评标方法和标准，对资格性检查和符合性检查合格的投标文件进行商务和技术评估，综合比较与评价。</w:t>
      </w:r>
      <w:r/>
    </w:p>
    <w:p>
      <w:pPr>
        <w:ind w:firstLine="420"/>
        <w:spacing w:line="460" w:lineRule="exac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21.2.7有下列情形之一的流标，同时将流标理由通过系统公示：</w:t>
      </w:r>
      <w:r/>
    </w:p>
    <w:p>
      <w:pPr>
        <w:ind w:firstLine="420"/>
        <w:spacing w:line="46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（1）所有投标均不符合招标文件要求，被评标委员会否决；</w:t>
      </w:r>
      <w:r/>
    </w:p>
    <w:p>
      <w:pPr>
        <w:ind w:firstLine="420"/>
        <w:spacing w:line="46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（2）有效投标不足三个，评标委员会认为缺乏竞争性，决定否决全部投标。；</w:t>
      </w:r>
      <w:r/>
    </w:p>
    <w:p>
      <w:pPr>
        <w:ind w:firstLine="420"/>
        <w:spacing w:line="46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（3）出现影响招标公正的违法、违规行为的；</w:t>
      </w:r>
      <w:r/>
    </w:p>
    <w:p>
      <w:pPr>
        <w:ind w:firstLine="420"/>
        <w:spacing w:line="46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（4）因重大变故，采购任务取消的。</w:t>
      </w:r>
      <w:r/>
    </w:p>
    <w:p>
      <w:pPr>
        <w:ind w:firstLine="420"/>
        <w:spacing w:line="46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21.3 评标方法和标准</w:t>
      </w:r>
      <w:r/>
    </w:p>
    <w:p>
      <w:pPr>
        <w:ind w:firstLine="420"/>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21.3.1 采用综合评分法。综合评分法是指投标文件满足采购文件全部实质性要求，且按照采购文件中规定评审因素量化指标评审</w:t>
      </w:r>
      <w:bookmarkStart w:id="28" w:name="_Hlk176874978"/>
      <w:r>
        <w:rPr>
          <w:rFonts w:hint="eastAsia" w:ascii="宋体" w:hAnsi="宋体" w:cs="宋体"/>
          <w:color w:val="auto"/>
          <w:szCs w:val="21"/>
          <w:highlight w:val="none"/>
          <w:lang w:val="zh-CN"/>
        </w:rPr>
        <w:t xml:space="preserve">得分最高</w:t>
      </w:r>
      <w:bookmarkEnd w:id="28"/>
      <w:r>
        <w:rPr>
          <w:rFonts w:hint="eastAsia" w:ascii="宋体" w:hAnsi="宋体" w:cs="宋体"/>
          <w:color w:val="auto"/>
          <w:szCs w:val="21"/>
          <w:highlight w:val="none"/>
          <w:lang w:val="zh-CN"/>
        </w:rPr>
        <w:t xml:space="preserve">的供应商为中标候选人的评标方法。具体评分标准详见采购文件“第三章 评标标准”。</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22、确定中标供应商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22.1 在综合比较与评价后，按照得分由高到低顺序对供应商进行排列。得分相同的，按投标报价由低到高顺序排列。得分且最终投标报价相同的并列。投标文件满足采购文件全部实质性要求，且按照评标评审因素的量化指标评审得分排名第一的供应商确定为中标供应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 中标供应商确定之日起2个工作日内，将在财政部门指定的政府采购信息发布媒体上公告</w:t>
      </w:r>
      <w:r>
        <w:rPr>
          <w:rFonts w:ascii="宋体" w:hAnsi="宋体" w:cs="宋体"/>
          <w:color w:val="auto"/>
          <w:szCs w:val="21"/>
          <w:highlight w:val="none"/>
        </w:rPr>
        <w:t xml:space="preserve">中标结果</w:t>
      </w:r>
      <w:r>
        <w:rPr>
          <w:rFonts w:hint="eastAsia" w:ascii="宋体" w:hAnsi="宋体" w:cs="宋体"/>
          <w:color w:val="auto"/>
          <w:szCs w:val="21"/>
          <w:highlight w:val="none"/>
          <w:lang w:val="zh-CN"/>
        </w:rPr>
        <w:t xml:space="preserve">，中标供应商应及时到</w:t>
      </w:r>
      <w:r>
        <w:rPr>
          <w:rFonts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领取《中标通知书》。</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22.3 中标通知书对采购人和中标供应商具有同等法律效力。</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22.4 </w:t>
      </w:r>
      <w:r>
        <w:rPr>
          <w:rFonts w:hint="eastAsia" w:ascii="宋体" w:hAnsi="宋体" w:cs="宋体"/>
          <w:color w:val="auto"/>
          <w:szCs w:val="21"/>
          <w:highlight w:val="none"/>
        </w:rPr>
        <w:t xml:space="preserve">中标通知书发出后，中标供应商无正当理由不与采购人签订合同的，情节严重的，由财政部门将其列入不良行为记录名单，在一至三年内禁止参加南京市政府采购活动，并予以通报。</w:t>
      </w:r>
      <w:r/>
    </w:p>
    <w:p>
      <w:pPr>
        <w:ind w:firstLine="420"/>
        <w:spacing w:line="460" w:lineRule="exact"/>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22.5 </w:t>
      </w:r>
      <w:r>
        <w:rPr>
          <w:rFonts w:hint="eastAsia" w:ascii="宋体" w:hAnsi="宋体" w:cs="宋体"/>
          <w:color w:val="auto"/>
          <w:szCs w:val="21"/>
          <w:highlight w:val="none"/>
          <w:lang w:val="zh-CN"/>
        </w:rPr>
        <w:t xml:space="preserve">采购代理机构和评标委员会</w:t>
      </w:r>
      <w:r>
        <w:rPr>
          <w:rFonts w:hint="eastAsia" w:ascii="宋体" w:hAnsi="宋体" w:cs="宋体"/>
          <w:color w:val="auto"/>
          <w:szCs w:val="21"/>
          <w:highlight w:val="none"/>
        </w:rPr>
        <w:t xml:space="preserve">对未中标的供应商不作未中标原因的解释。</w:t>
      </w:r>
      <w:r/>
    </w:p>
    <w:p>
      <w:pPr>
        <w:ind w:firstLine="413"/>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23</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评标</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23.1 本项目评标活动在江苏政府采购网“苏采云系统”进行。</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24、评标过程的保密性</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24.1 采购代理机构将采取必要措施，保证评标在严格保密的情况下进行。</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24.2 任何单位和个人不得非法干预、影响评标办法的确定，以及评标过程和结果。</w:t>
      </w:r>
      <w:r/>
    </w:p>
    <w:p>
      <w:pPr>
        <w:ind w:firstLine="420"/>
        <w:spacing w:line="460" w:lineRule="exact"/>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24.3 凡是与审查、澄清、评价和比较投标的有关资料等，均不向供应商及与评标无关的其他人员透露。</w:t>
      </w:r>
      <w:r/>
    </w:p>
    <w:p>
      <w:pPr>
        <w:spacing w:line="460" w:lineRule="exact"/>
        <w:rPr>
          <w:rFonts w:hint="eastAsia" w:ascii="宋体" w:hAnsi="宋体" w:cs="宋体"/>
          <w:b/>
          <w:color w:val="auto"/>
          <w:szCs w:val="21"/>
          <w:highlight w:val="none"/>
        </w:rPr>
      </w:pPr>
      <w:r/>
      <w:bookmarkStart w:id="29" w:name="_Toc27897"/>
      <w:r/>
      <w:bookmarkStart w:id="30" w:name="_Toc28778"/>
      <w:r>
        <w:rPr>
          <w:rFonts w:hint="eastAsia" w:ascii="宋体" w:hAnsi="宋体" w:cs="宋体"/>
          <w:b/>
          <w:color w:val="auto"/>
          <w:szCs w:val="21"/>
          <w:highlight w:val="none"/>
        </w:rPr>
        <w:t xml:space="preserve">五、签订合同</w:t>
      </w:r>
      <w:bookmarkEnd w:id="29"/>
      <w:r/>
      <w:bookmarkEnd w:id="30"/>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25、签订合同</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25.1 采购人应当自中标通知书发出之日起30日内，按照采购文件和中标供应商投标文件的规定与中标供应商签订书面合同。所签订的合同不得对采购文件确定事项和中标供应商投标文件作实质性修改。</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25.2</w:t>
      </w:r>
      <w:r>
        <w:rPr>
          <w:rFonts w:hint="eastAsia" w:ascii="宋体" w:hAnsi="宋体" w:cs="宋体"/>
          <w:color w:val="auto"/>
          <w:szCs w:val="21"/>
          <w:highlight w:val="none"/>
        </w:rPr>
        <w:t xml:space="preserve">采购人不得向中标</w:t>
      </w:r>
      <w:r>
        <w:rPr>
          <w:rFonts w:hint="eastAsia" w:ascii="宋体" w:hAnsi="宋体" w:cs="宋体"/>
          <w:color w:val="auto"/>
          <w:szCs w:val="21"/>
          <w:highlight w:val="none"/>
          <w:lang w:val="zh-CN"/>
        </w:rPr>
        <w:t xml:space="preserve">供应商</w:t>
      </w:r>
      <w:r>
        <w:rPr>
          <w:rFonts w:hint="eastAsia" w:ascii="宋体" w:hAnsi="宋体" w:cs="宋体"/>
          <w:color w:val="auto"/>
          <w:szCs w:val="21"/>
          <w:highlight w:val="none"/>
        </w:rPr>
        <w:t xml:space="preserve">提出任何不合理的要求作为签订合同的条件，不得与中标</w:t>
      </w:r>
      <w:r>
        <w:rPr>
          <w:rFonts w:hint="eastAsia" w:ascii="宋体" w:hAnsi="宋体" w:cs="宋体"/>
          <w:color w:val="auto"/>
          <w:szCs w:val="21"/>
          <w:highlight w:val="none"/>
          <w:lang w:val="zh-CN"/>
        </w:rPr>
        <w:t xml:space="preserve">供应商</w:t>
      </w:r>
      <w:r>
        <w:rPr>
          <w:rFonts w:hint="eastAsia" w:ascii="宋体" w:hAnsi="宋体" w:cs="宋体"/>
          <w:color w:val="auto"/>
          <w:szCs w:val="21"/>
          <w:highlight w:val="none"/>
        </w:rPr>
        <w:t xml:space="preserve">私下订立背离合同实质性内容的协议。</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25.3 中标供应商拒绝与采购人签订合同，或因不可抗力或者自身原因不能履行政府采购合同的，采购人可以按照评审报告中的得分高低顺序，确定下一顺序供应商为中标人，也可以重新开展政府采购活动。</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spacing w:line="460" w:lineRule="exact"/>
        <w:rPr>
          <w:rFonts w:hint="eastAsia" w:ascii="宋体" w:hAnsi="宋体" w:cs="宋体"/>
          <w:b/>
          <w:color w:val="auto"/>
          <w:szCs w:val="21"/>
          <w:highlight w:val="none"/>
        </w:rPr>
      </w:pPr>
      <w:r/>
      <w:bookmarkStart w:id="31" w:name="_Toc10775"/>
      <w:r/>
      <w:bookmarkStart w:id="32" w:name="_Toc24260"/>
      <w:r>
        <w:rPr>
          <w:rFonts w:hint="eastAsia" w:ascii="宋体" w:hAnsi="宋体" w:cs="宋体"/>
          <w:b/>
          <w:color w:val="auto"/>
          <w:szCs w:val="21"/>
          <w:highlight w:val="none"/>
        </w:rPr>
        <w:t xml:space="preserve">六、询问、质疑、投诉和诚实信用</w:t>
      </w:r>
      <w:bookmarkEnd w:id="31"/>
      <w:r/>
      <w:bookmarkEnd w:id="32"/>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26、询问</w:t>
      </w:r>
      <w:r/>
    </w:p>
    <w:p>
      <w:pPr>
        <w:ind w:firstLine="420"/>
        <w:spacing w:line="460" w:lineRule="exact"/>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26.1 供应商对采购活动事项有疑问的，可以向采购代理机构或采购人提出询问，采购代理机构或采购人将在两个工作日内作出答复，但答复的内容不涉及商业秘密</w:t>
      </w:r>
      <w:r>
        <w:rPr>
          <w:rFonts w:hint="eastAsia" w:ascii="宋体" w:hAnsi="宋体" w:cs="宋体"/>
          <w:b/>
          <w:color w:val="auto"/>
          <w:szCs w:val="21"/>
          <w:highlight w:val="none"/>
          <w:lang w:val="zh-CN"/>
        </w:rPr>
        <w:t xml:space="preserve">。</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27、质疑</w:t>
      </w:r>
      <w:r/>
    </w:p>
    <w:p>
      <w:pPr>
        <w:ind w:firstLine="420"/>
        <w:spacing w:line="460" w:lineRule="exact"/>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 供应商对招标活动事项有疑问的，可以向采购代理机构提出询问，采购代理机构将依法作出答复，但答复的内容不涉及商业秘密。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.2 供应商认为采购文件、采购过程和成交结果使自己的合法权益受到损害的，可以在知道或者应当知道其权益受到损害之日起七个工作日内，将质疑文件原件送达采购代理机构。</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.3 质疑文件应包括以下主要内容，并</w:t>
      </w:r>
      <w:r>
        <w:rPr>
          <w:rFonts w:hint="eastAsia" w:ascii="宋体" w:hAnsi="宋体" w:cs="宋体"/>
          <w:color w:val="auto"/>
          <w:szCs w:val="21"/>
          <w:highlight w:val="none"/>
        </w:rPr>
        <w:t xml:space="preserve">按照“谁主张、谁举证”的原则，附上相关证明材料。否则，不予受理：</w:t>
      </w:r>
      <w:r/>
    </w:p>
    <w:p>
      <w:pPr>
        <w:ind w:left="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（1）质疑项目名称、项目编号、包号、采购公告发布时间、开标时间；</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（2）具体的质疑事项及法律依据（具体条款）；</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（3）质疑相关证明文件或证明材料；</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（4）质疑供应商名称、地址、联系方式</w:t>
      </w:r>
      <w:r>
        <w:rPr>
          <w:rFonts w:hint="eastAsia" w:ascii="宋体" w:hAnsi="宋体" w:cs="宋体"/>
          <w:color w:val="auto"/>
          <w:szCs w:val="21"/>
          <w:highlight w:val="none"/>
        </w:rPr>
        <w:t xml:space="preserve">（包括手机、传真号码）</w:t>
      </w:r>
      <w:r>
        <w:rPr>
          <w:rFonts w:hint="eastAsia" w:ascii="宋体" w:hAnsi="宋体" w:cs="宋体"/>
          <w:color w:val="auto"/>
          <w:szCs w:val="21"/>
          <w:highlight w:val="none"/>
          <w:lang w:val="zh-CN"/>
        </w:rPr>
        <w:t xml:space="preserve">；</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（5）法定代表人</w:t>
      </w:r>
      <w:r>
        <w:rPr>
          <w:rFonts w:hint="eastAsia" w:ascii="宋体" w:hAnsi="宋体" w:cs="宋体"/>
          <w:color w:val="auto"/>
          <w:szCs w:val="21"/>
          <w:highlight w:val="none"/>
        </w:rPr>
        <w:t xml:space="preserve">签署本人姓名或印盖本人姓名章并加盖单位公章，</w:t>
      </w:r>
      <w:r>
        <w:rPr>
          <w:rFonts w:hint="eastAsia" w:ascii="宋体" w:hAnsi="宋体" w:cs="宋体"/>
          <w:color w:val="auto"/>
          <w:szCs w:val="21"/>
          <w:highlight w:val="none"/>
          <w:lang w:val="zh-CN"/>
        </w:rPr>
        <w:t xml:space="preserve">或</w:t>
      </w:r>
      <w:r>
        <w:rPr>
          <w:rFonts w:hint="eastAsia" w:ascii="宋体" w:hAnsi="宋体" w:cs="Trebuchet MS"/>
          <w:bCs/>
          <w:color w:val="auto"/>
          <w:szCs w:val="21"/>
          <w:highlight w:val="none"/>
          <w:shd w:val="clear" w:color="auto" w:fill="ffffff"/>
        </w:rPr>
        <w:t xml:space="preserve">法定代表人授权委托代理人加盖单位公章，并</w:t>
      </w:r>
      <w:r>
        <w:rPr>
          <w:rFonts w:hint="eastAsia" w:ascii="宋体" w:hAnsi="宋体" w:cs="宋体"/>
          <w:color w:val="auto"/>
          <w:szCs w:val="21"/>
          <w:highlight w:val="none"/>
        </w:rPr>
        <w:t xml:space="preserve">由参加采购项目的</w:t>
      </w:r>
      <w:r>
        <w:rPr>
          <w:rFonts w:hint="eastAsia" w:ascii="宋体" w:hAnsi="宋体" w:cs="宋体"/>
          <w:color w:val="auto"/>
          <w:szCs w:val="21"/>
          <w:highlight w:val="none"/>
          <w:lang w:val="zh-CN"/>
        </w:rPr>
        <w:t xml:space="preserve">授权委托代理人</w:t>
      </w:r>
      <w:r>
        <w:rPr>
          <w:rFonts w:hint="eastAsia" w:ascii="宋体" w:hAnsi="宋体" w:cs="宋体"/>
          <w:color w:val="auto"/>
          <w:szCs w:val="21"/>
          <w:highlight w:val="none"/>
        </w:rPr>
        <w:t xml:space="preserve">签署本人姓名或印盖本人姓名章</w:t>
      </w:r>
      <w:r>
        <w:rPr>
          <w:rFonts w:hint="eastAsia" w:ascii="宋体" w:hAnsi="宋体" w:cs="宋体"/>
          <w:color w:val="auto"/>
          <w:szCs w:val="21"/>
          <w:highlight w:val="none"/>
          <w:lang w:val="zh-CN"/>
        </w:rPr>
        <w:t xml:space="preserve">等。</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.4 供应商不得虚假质疑和恶意质疑，并对质疑内容的真实性承担责任。</w:t>
      </w:r>
      <w:r>
        <w:rPr>
          <w:rFonts w:hint="eastAsia" w:ascii="宋体" w:hAnsi="宋体" w:cs="宋体"/>
          <w:color w:val="auto"/>
          <w:szCs w:val="21"/>
          <w:highlight w:val="none"/>
        </w:rPr>
        <w:t xml:space="preserve">供应商或者其他利害关系人通过捏造事实、伪造证明材料等方式提出异议或投诉，阻碍政府采购活动正常进行的，属于严重不良行为，采购代理机构将提请财政部门将其列入不良行为记录名单，并依法予以处罚。</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27.5</w:t>
      </w:r>
      <w:r>
        <w:rPr>
          <w:rFonts w:ascii="宋体" w:hAnsi="宋体" w:cs="宋体"/>
          <w:color w:val="auto"/>
          <w:szCs w:val="21"/>
          <w:highlight w:val="none"/>
        </w:rPr>
        <w:t xml:space="preserve"> </w:t>
      </w:r>
      <w:r>
        <w:rPr>
          <w:rFonts w:hint="eastAsia" w:ascii="宋体" w:hAnsi="宋体" w:cs="宋体"/>
          <w:color w:val="auto"/>
          <w:szCs w:val="21"/>
          <w:highlight w:val="none"/>
        </w:rPr>
        <w:t xml:space="preserve">采购代理机构在收到供应商的书面质疑后将及时组织调查核实，在</w:t>
      </w:r>
      <w:r>
        <w:rPr>
          <w:rFonts w:hint="eastAsia" w:ascii="宋体" w:hAnsi="宋体" w:cs="宋体"/>
          <w:b/>
          <w:bCs/>
          <w:color w:val="auto"/>
          <w:szCs w:val="21"/>
          <w:highlight w:val="none"/>
          <w:lang w:val="zh-CN"/>
        </w:rPr>
        <w:t xml:space="preserve">七个工作日内</w:t>
      </w:r>
      <w:r>
        <w:rPr>
          <w:rFonts w:hint="eastAsia" w:ascii="宋体" w:hAnsi="宋体" w:cs="宋体"/>
          <w:color w:val="auto"/>
          <w:szCs w:val="21"/>
          <w:highlight w:val="none"/>
          <w:lang w:val="zh-CN"/>
        </w:rPr>
        <w:t xml:space="preserve">作出答复，并以书面或在网站公告形式通知质疑供应商和其他有关供应商，答复的内容不涉及商业秘密。采购</w:t>
      </w:r>
      <w:r>
        <w:rPr>
          <w:rFonts w:hint="eastAsia" w:ascii="宋体" w:hAnsi="宋体" w:cs="宋体"/>
          <w:color w:val="auto"/>
          <w:szCs w:val="21"/>
          <w:highlight w:val="none"/>
        </w:rPr>
        <w:t xml:space="preserve">代理机构遵循“谁过错谁负担”的原则，有过错的一方承担调查论证费用。</w:t>
      </w:r>
      <w:r/>
    </w:p>
    <w:p>
      <w:pPr>
        <w:ind w:firstLine="420"/>
        <w:spacing w:line="460" w:lineRule="exact"/>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28、投诉</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28.1 质疑供应商对采购</w:t>
      </w:r>
      <w:r>
        <w:rPr>
          <w:rFonts w:hint="eastAsia" w:ascii="宋体" w:hAnsi="宋体" w:cs="Trebuchet MS"/>
          <w:bCs/>
          <w:color w:val="auto"/>
          <w:szCs w:val="21"/>
          <w:highlight w:val="none"/>
          <w:shd w:val="clear" w:color="auto" w:fill="ffffff"/>
        </w:rPr>
        <w:t xml:space="preserve">单位或采购</w:t>
      </w:r>
      <w:r>
        <w:rPr>
          <w:rFonts w:hint="eastAsia" w:ascii="宋体" w:hAnsi="宋体" w:cs="宋体"/>
          <w:color w:val="auto"/>
          <w:szCs w:val="21"/>
          <w:highlight w:val="none"/>
          <w:lang w:val="zh-CN"/>
        </w:rPr>
        <w:t xml:space="preserve">代理</w:t>
      </w:r>
      <w:r>
        <w:rPr>
          <w:rFonts w:hint="eastAsia" w:ascii="宋体" w:hAnsi="宋体" w:cs="Trebuchet MS"/>
          <w:bCs/>
          <w:color w:val="auto"/>
          <w:szCs w:val="21"/>
          <w:highlight w:val="none"/>
          <w:shd w:val="clear" w:color="auto" w:fill="ffffff"/>
        </w:rPr>
        <w:t xml:space="preserve">机构</w:t>
      </w:r>
      <w:r>
        <w:rPr>
          <w:rFonts w:hint="eastAsia" w:ascii="宋体" w:hAnsi="宋体" w:cs="宋体"/>
          <w:color w:val="auto"/>
          <w:szCs w:val="21"/>
          <w:highlight w:val="none"/>
          <w:lang w:val="zh-CN"/>
        </w:rPr>
        <w:t xml:space="preserve">的答复不满意，或采购</w:t>
      </w:r>
      <w:r>
        <w:rPr>
          <w:rFonts w:hint="eastAsia" w:ascii="宋体" w:hAnsi="宋体" w:cs="Trebuchet MS"/>
          <w:bCs/>
          <w:color w:val="auto"/>
          <w:szCs w:val="21"/>
          <w:highlight w:val="none"/>
          <w:shd w:val="clear" w:color="auto" w:fill="ffffff"/>
        </w:rPr>
        <w:t xml:space="preserve">单位或采购</w:t>
      </w:r>
      <w:r>
        <w:rPr>
          <w:rFonts w:hint="eastAsia" w:ascii="宋体" w:hAnsi="宋体" w:cs="宋体"/>
          <w:color w:val="auto"/>
          <w:szCs w:val="21"/>
          <w:highlight w:val="none"/>
          <w:lang w:val="zh-CN"/>
        </w:rPr>
        <w:t xml:space="preserve">代理</w:t>
      </w:r>
      <w:r>
        <w:rPr>
          <w:rFonts w:hint="eastAsia" w:ascii="宋体" w:hAnsi="宋体" w:cs="Trebuchet MS"/>
          <w:bCs/>
          <w:color w:val="auto"/>
          <w:szCs w:val="21"/>
          <w:highlight w:val="none"/>
          <w:shd w:val="clear" w:color="auto" w:fill="ffffff"/>
        </w:rPr>
        <w:t xml:space="preserve">机构</w:t>
      </w:r>
      <w:r>
        <w:rPr>
          <w:rFonts w:hint="eastAsia" w:ascii="宋体" w:hAnsi="宋体" w:cs="宋体"/>
          <w:color w:val="auto"/>
          <w:szCs w:val="21"/>
          <w:highlight w:val="none"/>
          <w:lang w:val="zh-CN"/>
        </w:rPr>
        <w:t xml:space="preserve">未在规定的时间内作出答复的，可以在答复期满后</w:t>
      </w:r>
      <w:r>
        <w:rPr>
          <w:rFonts w:hint="eastAsia" w:ascii="宋体" w:hAnsi="宋体" w:cs="宋体"/>
          <w:b/>
          <w:bCs/>
          <w:color w:val="auto"/>
          <w:szCs w:val="21"/>
          <w:highlight w:val="none"/>
          <w:lang w:val="zh-CN"/>
        </w:rPr>
        <w:t xml:space="preserve">十五个工作日内</w:t>
      </w:r>
      <w:r>
        <w:rPr>
          <w:rFonts w:hint="eastAsia" w:ascii="宋体" w:hAnsi="宋体" w:cs="宋体"/>
          <w:color w:val="auto"/>
          <w:szCs w:val="21"/>
          <w:highlight w:val="none"/>
          <w:lang w:val="zh-CN"/>
        </w:rPr>
        <w:t xml:space="preserve">向采购项目同级政府采购监督管理部门投诉。</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29、诚实信用</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.1供应商之间不得相互串通报价，不得妨碍其他供应商的公平竞争，不得损害</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lang w:val="zh-CN"/>
        </w:rPr>
        <w:t xml:space="preserve">和其他供应商的合法权益。</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.2供应商不得以向代理机构工作人员、评标委员会成员行贿或者采取其他不正当手段谋取中标。经查实供应商有此行为的，政府采购管理部门将供应商列入不良行为记录名单，按照《政府采购法》有关规定处理。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.3 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.4供应商不得虚假承诺，否则，按照提供虚假材料谋取中标成交处理。</w:t>
      </w:r>
      <w:r/>
    </w:p>
    <w:p>
      <w:pPr>
        <w:pStyle w:val="808"/>
        <w:rPr>
          <w:rFonts w:hint="eastAsia" w:ascii="宋体" w:hAnsi="宋体" w:cs="宋体"/>
          <w:b/>
          <w:bCs/>
          <w:color w:val="auto"/>
          <w:sz w:val="36"/>
          <w:szCs w:val="36"/>
          <w:highlight w:val="none"/>
          <w:lang w:val="zh-CN"/>
        </w:rPr>
      </w:pPr>
      <w:r>
        <w:rPr>
          <w:rFonts w:ascii="宋体" w:hAnsi="宋体" w:cs="宋体"/>
          <w:color w:val="auto"/>
          <w:sz w:val="36"/>
          <w:szCs w:val="36"/>
          <w:highlight w:val="none"/>
          <w:lang w:val="zh-CN"/>
        </w:rPr>
        <w:br w:type="page" w:clear="all"/>
      </w:r>
      <w:bookmarkStart w:id="33" w:name="_Toc16769"/>
      <w:r/>
      <w:bookmarkStart w:id="34" w:name="_Toc16325"/>
      <w:r/>
      <w:bookmarkStart w:id="35" w:name="_Toc18231"/>
      <w:r/>
      <w:bookmarkStart w:id="36" w:name="_Toc6717"/>
      <w:r>
        <w:rPr>
          <w:rFonts w:hint="eastAsia" w:ascii="宋体" w:hAnsi="宋体" w:cs="宋体"/>
          <w:b/>
          <w:bCs/>
          <w:color w:val="auto"/>
          <w:sz w:val="36"/>
          <w:szCs w:val="36"/>
          <w:highlight w:val="none"/>
          <w:lang w:val="zh-CN"/>
        </w:rPr>
        <w:t xml:space="preserve">第三章 评标标准</w:t>
      </w:r>
      <w:bookmarkEnd w:id="33"/>
      <w:r/>
      <w:bookmarkEnd w:id="34"/>
      <w:r/>
      <w:bookmarkEnd w:id="35"/>
      <w:r/>
      <w:bookmarkEnd w:id="36"/>
      <w:r/>
      <w:r/>
    </w:p>
    <w:p>
      <w:pPr>
        <w:numPr>
          <w:ilvl w:val="0"/>
          <w:numId w:val="2"/>
        </w:numPr>
        <w:spacing w:line="46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采用综合评分法</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采用综合评分法。综合评分法是指投标文件满足采购文件全部实质性要求，且按照采购文件中规定评审因素量化指标评审得分最高的供应商为中标候选人的评标方法。</w:t>
      </w:r>
      <w:r/>
    </w:p>
    <w:p>
      <w:pPr>
        <w:numPr>
          <w:ilvl w:val="0"/>
          <w:numId w:val="3"/>
        </w:numPr>
        <w:spacing w:line="460" w:lineRule="exact"/>
        <w:rPr>
          <w:rFonts w:ascii="宋体" w:hAnsi="宋体" w:cs="宋体"/>
          <w:b/>
          <w:bCs/>
          <w:color w:val="auto"/>
          <w:szCs w:val="21"/>
          <w:highlight w:val="none"/>
        </w:rPr>
      </w:pPr>
      <w:r>
        <w:rPr>
          <w:rFonts w:ascii="宋体" w:hAnsi="宋体" w:cs="宋体"/>
          <w:b/>
          <w:bCs/>
          <w:color w:val="auto"/>
          <w:szCs w:val="21"/>
          <w:highlight w:val="none"/>
        </w:rPr>
        <w:t xml:space="preserve">综合评分法评审细则</w:t>
      </w:r>
      <w:bookmarkStart w:id="37" w:name="_Toc479586164"/>
      <w:r/>
      <w:bookmarkEnd w:id="37"/>
      <w:r/>
      <w:bookmarkStart w:id="38" w:name="_Toc8691"/>
      <w:r/>
      <w:bookmarkStart w:id="39" w:name="_Toc25530"/>
      <w:r/>
      <w:bookmarkStart w:id="40" w:name="_Toc8160"/>
      <w:r/>
      <w:r/>
    </w:p>
    <w:tbl>
      <w:tblPr>
        <w:tblStyle w:val="818"/>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113"/>
        <w:gridCol w:w="6893"/>
        <w:gridCol w:w="776"/>
      </w:tblGrid>
      <w:tr>
        <w:trPr>
          <w:jc w:val="center"/>
        </w:trPr>
        <w:tc>
          <w:tcPr>
            <w:tcW w:w="792"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13"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评审</w:t>
            </w:r>
            <w:r/>
          </w:p>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因素</w:t>
            </w:r>
            <w:r/>
          </w:p>
        </w:tc>
        <w:tc>
          <w:tcPr>
            <w:tcW w:w="6893"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评审标准</w:t>
            </w:r>
            <w:r/>
          </w:p>
        </w:tc>
        <w:tc>
          <w:tcPr>
            <w:tcW w:w="776"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r>
      <w:tr>
        <w:trPr>
          <w:jc w:val="center"/>
        </w:trPr>
        <w:tc>
          <w:tcPr>
            <w:tcW w:w="79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1113"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价格</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（20分）</w:t>
            </w:r>
            <w:r/>
          </w:p>
        </w:tc>
        <w:tc>
          <w:tcPr>
            <w:tcW w:w="689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其他供应商的价格分统一按照下列公式计算（小数点保留两位）：</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投标报价得分=(评标基准价／投标报价)×20。</w:t>
            </w:r>
            <w:r/>
          </w:p>
        </w:tc>
        <w:tc>
          <w:tcPr>
            <w:tcW w:w="77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20</w:t>
            </w:r>
            <w:r/>
          </w:p>
        </w:tc>
      </w:tr>
      <w:tr>
        <w:trPr>
          <w:jc w:val="center"/>
        </w:trPr>
        <w:tc>
          <w:tcPr>
            <w:tcW w:w="792"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2</w:t>
            </w:r>
            <w:r/>
          </w:p>
        </w:tc>
        <w:tc>
          <w:tcPr>
            <w:tcW w:w="1113"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工作实施方案</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（40分）</w:t>
            </w:r>
            <w:r/>
          </w:p>
        </w:tc>
        <w:tc>
          <w:tcPr>
            <w:tcW w:w="6893" w:type="dxa"/>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（1）评委根据供应商提交的工作方案总体的科学性和完整性、针对性等方面进行评分：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投标总体技术方案、项目组织方案框架完整内容充实、作业技术流程合理、完整、有针对性，实施计划安排合理可行得10分；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投标总体技术方案、项目组织方案框架较完整、作业技术流程较合理可行，实施计划较可行得9分；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投标总体技术方案、项目组织方案框架较简单、作业技术流程、实施计划较简单得8分；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投标总体技术方案、项目组织方案框架内容片面、作业技术流程较片面得7分；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未提供或有重大偏差不得分。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（2）</w:t>
            </w:r>
            <w:r>
              <w:rPr>
                <w:rFonts w:hint="eastAsia" w:ascii="宋体" w:hAnsi="宋体" w:cs="宋体"/>
                <w:b/>
                <w:bCs/>
                <w:color w:val="auto"/>
                <w:szCs w:val="21"/>
                <w:highlight w:val="none"/>
              </w:rPr>
              <w:t xml:space="preserve">评委对供应商制定的道路养护方案、秩序维护方案、各类设施维护和使用方案的可行性、先进性、合理性、针对性等方面进行评分：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供应商制定的道路养护方案、秩序维护方案、各类设施维护和使用方案完整全面、可行、先进、合理、有针对性得10分；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供应商制定的道路养护方案、秩序维护方案、各类设施维护和使用方案较可行合理、较有针对性得9分；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供应商制定的道路养护方案、秩序维护方案、各类设施维护和使用方案较简单得8分；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供应商制定的道路养护方案、秩序维护方案、各类设施维护和使用方案较片面得7分；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未提供或有重大偏差不得分。</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（3）评委根据投标人提供的应急保障措施、安全保障措施、质量保障措施等方面进行评分：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w:t>
            </w:r>
            <w:r>
              <w:rPr>
                <w:rFonts w:hint="eastAsia" w:ascii="宋体" w:hAnsi="宋体" w:cs="宋体"/>
                <w:color w:val="auto"/>
                <w:szCs w:val="21"/>
                <w:highlight w:val="none"/>
                <w:lang w:val="zh-CN"/>
              </w:rPr>
              <w:t xml:space="preserve">应急保障措施、安全保障措施、质量保障措施</w:t>
            </w:r>
            <w:r>
              <w:rPr>
                <w:rFonts w:hint="eastAsia" w:ascii="宋体" w:hAnsi="宋体" w:cs="宋体"/>
                <w:color w:val="auto"/>
                <w:szCs w:val="21"/>
                <w:highlight w:val="none"/>
              </w:rPr>
              <w:t xml:space="preserve">可行、先进、合理、有针对性得8分；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w:t>
            </w:r>
            <w:r>
              <w:rPr>
                <w:rFonts w:hint="eastAsia" w:ascii="宋体" w:hAnsi="宋体" w:cs="宋体"/>
                <w:color w:val="auto"/>
                <w:szCs w:val="21"/>
                <w:highlight w:val="none"/>
                <w:lang w:val="zh-CN"/>
              </w:rPr>
              <w:t xml:space="preserve">应急保障措施、安全保障措施、质量保障措施</w:t>
            </w:r>
            <w:r>
              <w:rPr>
                <w:rFonts w:hint="eastAsia" w:ascii="宋体" w:hAnsi="宋体" w:cs="宋体"/>
                <w:color w:val="auto"/>
                <w:szCs w:val="21"/>
                <w:highlight w:val="none"/>
              </w:rPr>
              <w:t xml:space="preserve">较可行、较合理得7.2分；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w:t>
            </w:r>
            <w:r>
              <w:rPr>
                <w:rFonts w:hint="eastAsia" w:ascii="宋体" w:hAnsi="宋体" w:cs="宋体"/>
                <w:color w:val="auto"/>
                <w:szCs w:val="21"/>
                <w:highlight w:val="none"/>
                <w:lang w:val="zh-CN"/>
              </w:rPr>
              <w:t xml:space="preserve">应急保障措施、安全保障措施、质量保障措施</w:t>
            </w:r>
            <w:r>
              <w:rPr>
                <w:rFonts w:hint="eastAsia" w:ascii="宋体" w:hAnsi="宋体" w:cs="宋体"/>
                <w:color w:val="auto"/>
                <w:szCs w:val="21"/>
                <w:highlight w:val="none"/>
              </w:rPr>
              <w:t xml:space="preserve">施较简单得6.4分；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w:t>
            </w:r>
            <w:r>
              <w:rPr>
                <w:rFonts w:hint="eastAsia" w:ascii="宋体" w:hAnsi="宋体" w:cs="宋体"/>
                <w:color w:val="auto"/>
                <w:szCs w:val="21"/>
                <w:highlight w:val="none"/>
                <w:lang w:val="zh-CN"/>
              </w:rPr>
              <w:t xml:space="preserve">应急保障措施、安全保障措施、质量保障措施</w:t>
            </w:r>
            <w:r>
              <w:rPr>
                <w:rFonts w:hint="eastAsia" w:ascii="宋体" w:hAnsi="宋体" w:cs="宋体"/>
                <w:color w:val="auto"/>
                <w:szCs w:val="21"/>
                <w:highlight w:val="none"/>
              </w:rPr>
              <w:t xml:space="preserve">较片面得5.6分；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未提供或有重大偏差不得分。</w:t>
            </w:r>
            <w:r/>
          </w:p>
          <w:p>
            <w:pPr>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（4）评委根据投标人提供的本项目的方案，对其重点、难点问题的认识及对策进行阐述分析等方面进行评分：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对采购项目的特点、关键技术问题、重难点的认识深刻全面，相应对策措施合理可行，得8分；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对采购项目的特点、关键技术问题、重难点的认识全面，相应对策措施较为合理可行，得7.2分；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对采购项目的特点、关键技术问题、重难点的认识较为简单，得6.4分；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重点、难点问题方案简单有瑕疵、不具备履行本项目的，得5.6分；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未提供或有重大偏差不得分。</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）根据供应商提供的后续服务安排及应急保证措施等方面进行评分：</w:t>
            </w:r>
            <w:r/>
          </w:p>
          <w:p>
            <w:pPr>
              <w:spacing w:line="360" w:lineRule="auto"/>
              <w:rPr>
                <w:color w:val="auto"/>
                <w:highlight w:val="none"/>
              </w:rPr>
            </w:pPr>
            <w:r>
              <w:rPr>
                <w:rFonts w:hint="eastAsia"/>
                <w:color w:val="auto"/>
                <w:highlight w:val="none"/>
              </w:rPr>
              <w:t xml:space="preserve">供应商应设置维修养护生产工区及办公区域，满足区域内维修养护工作的要求</w:t>
            </w:r>
            <w:r>
              <w:rPr>
                <w:rFonts w:hint="eastAsia" w:ascii="宋体" w:hAnsi="宋体" w:cs="宋体"/>
                <w:color w:val="auto"/>
                <w:szCs w:val="21"/>
                <w:highlight w:val="none"/>
              </w:rPr>
              <w:t xml:space="preserve">合理可行，</w:t>
            </w:r>
            <w:r>
              <w:rPr>
                <w:rFonts w:hint="eastAsia"/>
                <w:color w:val="auto"/>
                <w:highlight w:val="none"/>
              </w:rPr>
              <w:t xml:space="preserve">最高得4分；</w:t>
            </w:r>
            <w:r/>
          </w:p>
          <w:p>
            <w:pPr>
              <w:spacing w:line="360" w:lineRule="auto"/>
              <w:rPr>
                <w:rFonts w:hint="eastAsia" w:ascii="宋体" w:hAnsi="宋体" w:cs="宋体"/>
                <w:color w:val="auto"/>
                <w:szCs w:val="21"/>
                <w:highlight w:val="none"/>
              </w:rPr>
            </w:pPr>
            <w:r>
              <w:rPr>
                <w:rFonts w:hint="eastAsia"/>
                <w:color w:val="auto"/>
                <w:highlight w:val="none"/>
              </w:rPr>
              <w:t xml:space="preserve">供应商应设置维修养护生产工区及办公区域，满足区域内维修养护工作的要求</w:t>
            </w:r>
            <w:r>
              <w:rPr>
                <w:rFonts w:hint="eastAsia" w:ascii="宋体" w:hAnsi="宋体" w:cs="宋体"/>
                <w:color w:val="auto"/>
                <w:szCs w:val="21"/>
                <w:highlight w:val="none"/>
              </w:rPr>
              <w:t xml:space="preserve">较为合理可行，得3.6分；</w:t>
            </w:r>
            <w:r/>
          </w:p>
          <w:p>
            <w:pPr>
              <w:spacing w:line="360" w:lineRule="auto"/>
              <w:rPr>
                <w:rFonts w:ascii="宋体" w:hAnsi="宋体" w:cs="宋体"/>
                <w:color w:val="auto"/>
                <w:szCs w:val="21"/>
                <w:highlight w:val="none"/>
              </w:rPr>
            </w:pPr>
            <w:r>
              <w:rPr>
                <w:rFonts w:hint="eastAsia"/>
                <w:color w:val="auto"/>
                <w:highlight w:val="none"/>
              </w:rPr>
              <w:t xml:space="preserve">供应商应设置维修养护生产工区及办公区域，满足区域内维修养护工作的要求</w:t>
            </w:r>
            <w:r>
              <w:rPr>
                <w:rFonts w:hint="eastAsia" w:ascii="宋体" w:hAnsi="宋体" w:cs="宋体"/>
                <w:color w:val="auto"/>
                <w:szCs w:val="21"/>
                <w:highlight w:val="none"/>
              </w:rPr>
              <w:t xml:space="preserve">简单可行，得3.2分；</w:t>
            </w:r>
            <w:r/>
          </w:p>
          <w:p>
            <w:pPr>
              <w:spacing w:line="360" w:lineRule="auto"/>
              <w:rPr>
                <w:rFonts w:ascii="宋体" w:hAnsi="宋体" w:cs="宋体"/>
                <w:color w:val="auto"/>
                <w:szCs w:val="21"/>
                <w:highlight w:val="none"/>
              </w:rPr>
            </w:pPr>
            <w:r>
              <w:rPr>
                <w:rFonts w:hint="eastAsia"/>
                <w:color w:val="auto"/>
                <w:highlight w:val="none"/>
              </w:rPr>
              <w:t xml:space="preserve">供应商应设置维修养护生产工区及办公区域，满足区域内维修养护工作的要求</w:t>
            </w:r>
            <w:r>
              <w:rPr>
                <w:rFonts w:hint="eastAsia" w:ascii="宋体" w:hAnsi="宋体" w:cs="宋体"/>
                <w:color w:val="auto"/>
                <w:szCs w:val="21"/>
                <w:highlight w:val="none"/>
              </w:rPr>
              <w:t xml:space="preserve">片面简单的，得2.8分；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未提供或有重大偏差不得分。</w:t>
            </w:r>
            <w:r/>
          </w:p>
        </w:tc>
        <w:tc>
          <w:tcPr>
            <w:tcW w:w="776"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40</w:t>
            </w:r>
            <w:r/>
          </w:p>
        </w:tc>
      </w:tr>
      <w:tr>
        <w:trPr>
          <w:jc w:val="center"/>
        </w:trPr>
        <w:tc>
          <w:tcPr>
            <w:tcW w:w="79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w:t>
            </w:r>
            <w:r/>
          </w:p>
        </w:tc>
        <w:tc>
          <w:tcPr>
            <w:tcW w:w="1113" w:type="dxa"/>
            <w:vAlign w:val="center"/>
            <w:textDirection w:val="lrTb"/>
            <w:noWrap w:val="false"/>
          </w:tcPr>
          <w:p>
            <w:pPr>
              <w:ind w:firstLine="211"/>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业绩</w:t>
            </w:r>
            <w:r/>
          </w:p>
          <w:p>
            <w:pPr>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（9分）</w:t>
            </w:r>
            <w:r/>
          </w:p>
        </w:tc>
        <w:tc>
          <w:tcPr>
            <w:tcW w:w="689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1、供应商自2</w:t>
            </w:r>
            <w:r>
              <w:rPr>
                <w:rFonts w:ascii="宋体" w:hAnsi="宋体" w:cs="宋体"/>
                <w:color w:val="auto"/>
                <w:szCs w:val="21"/>
                <w:highlight w:val="none"/>
              </w:rPr>
              <w:t xml:space="preserve">0</w:t>
            </w:r>
            <w:r>
              <w:rPr>
                <w:rFonts w:hint="eastAsia" w:ascii="宋体" w:hAnsi="宋体" w:cs="宋体"/>
                <w:color w:val="auto"/>
                <w:szCs w:val="21"/>
                <w:highlight w:val="none"/>
              </w:rPr>
              <w:t xml:space="preserve">21年1月1日（含）以来（时间以合同签订时间为准）承接过本项目类似日常养护服务业绩（需包含路基、路面、桥梁、涵洞、绿化两种及以上类型），每提供一个得3分，满分3分。</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w:t>
            </w:r>
            <w:r>
              <w:rPr>
                <w:rFonts w:ascii="宋体" w:hAnsi="宋体" w:cs="宋体"/>
                <w:color w:val="auto"/>
                <w:szCs w:val="21"/>
                <w:highlight w:val="none"/>
              </w:rPr>
              <w:t xml:space="preserve">项目负责人</w:t>
            </w:r>
            <w:r>
              <w:rPr>
                <w:rFonts w:hint="eastAsia" w:ascii="宋体" w:hAnsi="宋体" w:cs="宋体"/>
                <w:color w:val="auto"/>
                <w:szCs w:val="21"/>
                <w:highlight w:val="none"/>
              </w:rPr>
              <w:t xml:space="preserve">自2</w:t>
            </w:r>
            <w:r>
              <w:rPr>
                <w:rFonts w:ascii="宋体" w:hAnsi="宋体" w:cs="宋体"/>
                <w:color w:val="auto"/>
                <w:szCs w:val="21"/>
                <w:highlight w:val="none"/>
              </w:rPr>
              <w:t xml:space="preserve">0</w:t>
            </w:r>
            <w:r>
              <w:rPr>
                <w:rFonts w:hint="eastAsia" w:ascii="宋体" w:hAnsi="宋体" w:cs="宋体"/>
                <w:color w:val="auto"/>
                <w:szCs w:val="21"/>
                <w:highlight w:val="none"/>
              </w:rPr>
              <w:t xml:space="preserve">21年1月1日（含）以来（时间以合同签订时间为准）承接过本项目类似日常养护</w:t>
            </w:r>
            <w:r>
              <w:rPr>
                <w:rFonts w:ascii="宋体" w:hAnsi="宋体" w:cs="宋体"/>
                <w:color w:val="auto"/>
                <w:szCs w:val="21"/>
                <w:highlight w:val="none"/>
              </w:rPr>
              <w:t xml:space="preserve">项目负责人</w:t>
            </w:r>
            <w:r>
              <w:rPr>
                <w:rFonts w:hint="eastAsia" w:ascii="宋体" w:hAnsi="宋体" w:cs="宋体"/>
                <w:color w:val="auto"/>
                <w:szCs w:val="21"/>
                <w:highlight w:val="none"/>
              </w:rPr>
              <w:t xml:space="preserve">业绩（需包含路基、路面、桥梁、涵洞、绿化两种及以上类型），每提供一个得3分，满分6分。</w:t>
            </w:r>
            <w:r/>
          </w:p>
          <w:p>
            <w:pPr>
              <w:pStyle w:val="824"/>
              <w:rPr>
                <w:rFonts w:hint="eastAsia" w:ascii="宋体" w:hAnsi="宋体" w:cs="宋体"/>
                <w:color w:val="auto"/>
                <w:szCs w:val="21"/>
                <w:highlight w:val="none"/>
              </w:rPr>
            </w:pPr>
            <w:r>
              <w:rPr>
                <w:rFonts w:hint="eastAsia" w:ascii="宋体" w:hAnsi="宋体" w:cs="宋体"/>
                <w:color w:val="auto"/>
                <w:szCs w:val="21"/>
                <w:highlight w:val="none"/>
              </w:rPr>
              <w:t xml:space="preserve">（提供合同和中标通知书（或成交通知书）扫描件并加盖电子公章。提供的证明材料须能清楚的反应相关数据和内容，否则视为未提供不得分，</w:t>
            </w:r>
            <w:r>
              <w:rPr>
                <w:rFonts w:hint="eastAsia"/>
                <w:color w:val="auto"/>
              </w:rPr>
              <w:t xml:space="preserve">供应商企业业绩、项目负责人业绩</w:t>
            </w:r>
            <w:r>
              <w:rPr>
                <w:rFonts w:hint="eastAsia" w:ascii="宋体" w:hAnsi="宋体" w:cs="宋体"/>
                <w:color w:val="auto"/>
                <w:szCs w:val="21"/>
                <w:highlight w:val="none"/>
              </w:rPr>
              <w:t xml:space="preserve">不重复计分）</w:t>
            </w:r>
            <w:r/>
          </w:p>
        </w:tc>
        <w:tc>
          <w:tcPr>
            <w:tcW w:w="776" w:type="dxa"/>
            <w:vAlign w:val="center"/>
            <w:textDirection w:val="lrTb"/>
            <w:noWrap w:val="false"/>
          </w:tcPr>
          <w:p>
            <w:pPr>
              <w:jc w:val="center"/>
              <w:spacing w:line="360" w:lineRule="auto"/>
              <w:widowControl/>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 xml:space="preserve">9</w:t>
            </w:r>
            <w:r/>
          </w:p>
        </w:tc>
      </w:tr>
      <w:tr>
        <w:trPr>
          <w:jc w:val="center"/>
        </w:trPr>
        <w:tc>
          <w:tcPr>
            <w:tcW w:w="79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w:t>
            </w:r>
            <w:r/>
          </w:p>
        </w:tc>
        <w:tc>
          <w:tcPr>
            <w:tcW w:w="1113" w:type="dxa"/>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项目组成员要求（19分）</w:t>
            </w:r>
            <w:r/>
          </w:p>
        </w:tc>
        <w:tc>
          <w:tcPr>
            <w:tcW w:w="6893" w:type="dxa"/>
            <w:vAlign w:val="center"/>
            <w:textDirection w:val="lrTb"/>
            <w:noWrap w:val="false"/>
          </w:tcPr>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1、项目</w:t>
            </w:r>
            <w:r>
              <w:rPr>
                <w:rFonts w:hint="eastAsia" w:ascii="宋体" w:hAnsi="宋体" w:cs="宋体"/>
                <w:color w:val="auto"/>
                <w:szCs w:val="21"/>
                <w:highlight w:val="none"/>
                <w:lang w:val="en-US" w:eastAsia="zh-CN"/>
              </w:rPr>
              <w:t xml:space="preserve">总工</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具有</w:t>
            </w:r>
            <w:r>
              <w:rPr>
                <w:rFonts w:hint="eastAsia" w:ascii="宋体" w:hAnsi="宋体" w:cs="宋体"/>
                <w:color w:val="auto"/>
                <w:szCs w:val="21"/>
                <w:highlight w:val="none"/>
              </w:rPr>
              <w:t xml:space="preserve">中级工程师</w:t>
            </w:r>
            <w:r>
              <w:rPr>
                <w:rFonts w:hint="eastAsia" w:ascii="宋体" w:hAnsi="宋体" w:cs="宋体"/>
                <w:color w:val="auto"/>
                <w:szCs w:val="21"/>
                <w:highlight w:val="none"/>
                <w:lang w:val="en-US" w:eastAsia="zh-CN"/>
              </w:rPr>
              <w:t xml:space="preserve">职称证书得0.5分；</w:t>
            </w:r>
            <w:r>
              <w:rPr>
                <w:rFonts w:ascii="宋体" w:hAnsi="宋体" w:cs="宋体"/>
                <w:color w:val="auto"/>
                <w:szCs w:val="21"/>
                <w:highlight w:val="none"/>
              </w:rPr>
              <w:t xml:space="preserve">具有高级工程师及以上职称证书的</w:t>
            </w:r>
            <w:r>
              <w:rPr>
                <w:rFonts w:hint="eastAsia" w:ascii="宋体" w:hAnsi="宋体" w:cs="宋体"/>
                <w:color w:val="auto"/>
                <w:szCs w:val="21"/>
                <w:highlight w:val="none"/>
                <w:lang w:val="en-US" w:eastAsia="zh-CN"/>
              </w:rPr>
              <w:t xml:space="preserve">得</w:t>
            </w:r>
            <w:r>
              <w:rPr>
                <w:rFonts w:hint="eastAsia" w:ascii="宋体" w:hAnsi="宋体" w:cs="宋体"/>
                <w:color w:val="auto"/>
                <w:szCs w:val="21"/>
                <w:highlight w:val="none"/>
              </w:rPr>
              <w:t xml:space="preserve">1</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2、其他人员：供应商拟派人员（不含项目负责人、</w:t>
            </w:r>
            <w:r>
              <w:rPr>
                <w:rFonts w:hint="eastAsia" w:ascii="宋体" w:hAnsi="宋体" w:cs="宋体"/>
                <w:color w:val="auto"/>
                <w:szCs w:val="21"/>
                <w:highlight w:val="none"/>
                <w:lang w:val="en-US" w:eastAsia="zh-CN"/>
              </w:rPr>
              <w:t xml:space="preserve">总工</w:t>
            </w:r>
            <w:r>
              <w:rPr>
                <w:rFonts w:hint="eastAsia" w:ascii="宋体" w:hAnsi="宋体" w:cs="宋体"/>
                <w:color w:val="auto"/>
                <w:szCs w:val="21"/>
                <w:highlight w:val="none"/>
              </w:rPr>
              <w:t xml:space="preserve">）具备交通工程或道路或者桥梁专业中级工程师及以上职称证的每有一位得2分，满分6分。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3、供应商拟派人员具备公路养护高级工证的每有一位得 2分，满分12分。</w:t>
            </w:r>
            <w:r/>
          </w:p>
          <w:p>
            <w:pPr>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注：人员证书须提供有效的证书，且证书须注册在本公司。另须提供：供应商为其缴纳的近半年来任意一个</w:t>
            </w:r>
            <w:r>
              <w:rPr>
                <w:color w:val="auto"/>
                <w:highlight w:val="none"/>
              </w:rPr>
              <w:t xml:space="preserve">月的养老保险金缴费证明材料（并加盖社保中心章或社保中心参保缴费证明电子专用章），证明材料须加盖电子公章</w:t>
            </w:r>
            <w:r/>
          </w:p>
        </w:tc>
        <w:tc>
          <w:tcPr>
            <w:tcW w:w="776" w:type="dxa"/>
            <w:vAlign w:val="center"/>
            <w:textDirection w:val="lrTb"/>
            <w:noWrap w:val="false"/>
          </w:tcPr>
          <w:p>
            <w:pPr>
              <w:jc w:val="center"/>
              <w:spacing w:line="360" w:lineRule="auto"/>
              <w:widowControl/>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 xml:space="preserve">19</w:t>
            </w:r>
            <w:r/>
          </w:p>
        </w:tc>
      </w:tr>
      <w:tr>
        <w:trPr>
          <w:jc w:val="center"/>
        </w:trPr>
        <w:tc>
          <w:tcPr>
            <w:tcW w:w="79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W w:w="1113" w:type="dxa"/>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拟投入本项目的机械设备配置情况（12分）</w:t>
            </w:r>
            <w:r/>
          </w:p>
        </w:tc>
        <w:tc>
          <w:tcPr>
            <w:tcW w:w="6893" w:type="dxa"/>
            <w:vAlign w:val="center"/>
            <w:textDirection w:val="lrTb"/>
            <w:noWrap w:val="false"/>
          </w:tcPr>
          <w:p>
            <w:pPr>
              <w:pStyle w:val="848"/>
              <w:ind w:firstLine="0"/>
              <w:rPr>
                <w:rFonts w:hint="eastAsia"/>
                <w:color w:val="auto"/>
                <w:sz w:val="21"/>
                <w:highlight w:val="none"/>
              </w:rPr>
            </w:pPr>
            <w:r>
              <w:rPr>
                <w:rFonts w:hint="eastAsia"/>
                <w:color w:val="auto"/>
                <w:sz w:val="21"/>
                <w:highlight w:val="none"/>
              </w:rPr>
              <w:t xml:space="preserve">供应商需提供以下车辆设备作为本项目的基本要求：</w:t>
            </w:r>
            <w:r/>
          </w:p>
          <w:p>
            <w:pPr>
              <w:pStyle w:val="848"/>
              <w:ind w:firstLine="0"/>
              <w:rPr>
                <w:rFonts w:hint="eastAsia"/>
                <w:color w:val="auto"/>
                <w:sz w:val="21"/>
                <w:highlight w:val="none"/>
              </w:rPr>
            </w:pPr>
            <w:r>
              <w:rPr>
                <w:rFonts w:hint="eastAsia"/>
                <w:color w:val="auto"/>
                <w:sz w:val="21"/>
                <w:highlight w:val="none"/>
              </w:rPr>
              <w:t xml:space="preserve">1）总质量10吨及以上清洗车2台，自有1辆得2分，租赁1辆得1分，共4分；</w:t>
            </w:r>
            <w:r/>
          </w:p>
          <w:p>
            <w:pPr>
              <w:pStyle w:val="848"/>
              <w:ind w:firstLine="0"/>
              <w:rPr>
                <w:rFonts w:hint="eastAsia"/>
                <w:color w:val="auto"/>
                <w:sz w:val="21"/>
                <w:highlight w:val="none"/>
              </w:rPr>
            </w:pPr>
            <w:r>
              <w:rPr>
                <w:rFonts w:hint="eastAsia"/>
                <w:color w:val="auto"/>
                <w:sz w:val="21"/>
                <w:highlight w:val="none"/>
              </w:rPr>
              <w:t xml:space="preserve">2）总质量10吨及以上洗扫车2台，自有1辆得2分，租赁1辆得1分，共4分；</w:t>
            </w:r>
            <w:r/>
          </w:p>
          <w:p>
            <w:pPr>
              <w:pStyle w:val="848"/>
              <w:ind w:firstLine="0"/>
              <w:rPr>
                <w:rFonts w:hint="eastAsia"/>
                <w:color w:val="auto"/>
                <w:sz w:val="21"/>
                <w:highlight w:val="none"/>
              </w:rPr>
            </w:pPr>
            <w:r>
              <w:rPr>
                <w:rFonts w:hint="eastAsia"/>
                <w:color w:val="auto"/>
                <w:sz w:val="21"/>
                <w:highlight w:val="none"/>
              </w:rPr>
              <w:t xml:space="preserve">3）总质量15吨及以上雾炮车或者抑尘车1台，自有1辆得2分，租赁1辆得1分，共2分；</w:t>
            </w:r>
            <w:r/>
          </w:p>
          <w:p>
            <w:pPr>
              <w:pStyle w:val="848"/>
              <w:ind w:firstLine="0"/>
              <w:rPr>
                <w:rFonts w:hint="eastAsia"/>
                <w:color w:val="auto"/>
                <w:sz w:val="21"/>
                <w:highlight w:val="none"/>
              </w:rPr>
            </w:pPr>
            <w:r>
              <w:rPr>
                <w:rFonts w:hint="eastAsia"/>
                <w:color w:val="auto"/>
                <w:sz w:val="21"/>
                <w:highlight w:val="none"/>
              </w:rPr>
              <w:t xml:space="preserve">4）防撞车1台，自有1辆得2分，租赁1辆得1分，共2分；</w:t>
            </w:r>
            <w:r/>
          </w:p>
          <w:p>
            <w:pPr>
              <w:pStyle w:val="848"/>
              <w:ind w:firstLine="0"/>
              <w:rPr>
                <w:rFonts w:hint="eastAsia"/>
                <w:color w:val="auto"/>
                <w:highlight w:val="none"/>
              </w:rPr>
            </w:pPr>
            <w:r>
              <w:rPr>
                <w:rFonts w:hint="eastAsia"/>
                <w:color w:val="auto"/>
                <w:sz w:val="21"/>
                <w:highlight w:val="none"/>
              </w:rPr>
              <w:t xml:space="preserve">（①自有设备提供发票、车辆提供行驶证或登记证；②租赁设备提供租赁合同、出租方购买发票及租赁费用发票。每种设备使用有效期覆盖工期，不重复得分，按最高得分计取。）</w:t>
            </w:r>
            <w:r/>
          </w:p>
        </w:tc>
        <w:tc>
          <w:tcPr>
            <w:tcW w:w="776" w:type="dxa"/>
            <w:vAlign w:val="center"/>
            <w:textDirection w:val="lrTb"/>
            <w:noWrap w:val="false"/>
          </w:tcPr>
          <w:p>
            <w:pPr>
              <w:jc w:val="center"/>
              <w:spacing w:line="360" w:lineRule="auto"/>
              <w:widowControl/>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rPr>
              <w:t xml:space="preserve">12</w:t>
            </w:r>
            <w:r/>
          </w:p>
        </w:tc>
      </w:tr>
      <w:tr>
        <w:trPr>
          <w:jc w:val="center"/>
        </w:trPr>
        <w:tc>
          <w:tcPr>
            <w:gridSpan w:val="3"/>
            <w:tcW w:w="879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合计</w:t>
            </w:r>
            <w:r/>
          </w:p>
        </w:tc>
        <w:tc>
          <w:tcPr>
            <w:tcW w:w="776"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100</w:t>
            </w:r>
            <w:r/>
          </w:p>
        </w:tc>
      </w:tr>
    </w:tbl>
    <w:p>
      <w:pPr>
        <w:spacing w:line="460" w:lineRule="exact"/>
        <w:rPr>
          <w:rStyle w:val="1090"/>
          <w:rFonts w:hint="eastAsia" w:ascii="宋体" w:hAnsi="宋体"/>
          <w:b/>
          <w:color w:val="auto"/>
          <w:highlight w:val="none"/>
        </w:rPr>
      </w:pPr>
      <w:r>
        <w:rPr>
          <w:rStyle w:val="1090"/>
          <w:rFonts w:hint="eastAsia" w:ascii="宋体" w:hAnsi="宋体"/>
          <w:b/>
          <w:color w:val="auto"/>
          <w:highlight w:val="none"/>
        </w:rPr>
        <w:t xml:space="preserve">三、说明</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1、评审评分标准涉及到的所有材料需按要求提供相应的证明材料在投标文件中，未按要求提供的均不得分。提供的证明材料必须真实可靠，如发现弄虚作假者，将向政府采购管理部门汇报，将供应商列入不良行为记录名单，并依法予以处罚。</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2、政策功能：</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2.1、小微型企业价格扣除</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（1）本项目对小微企业提供的服务给予10%的扣除价格，用扣除后的价格参与评审。</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（2）企业按照采购文件的要求提供相应的《中小企业声明函》。</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（3）企业标准请参照《关于印发中小企业划型标准规定的通知》（工信部联企业[2011]300号）文件规定自行填写。</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2.2、残疾人福利单位价格扣除</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（1）本项目对残疾人福利性单位视同小型、微型企业，给予与小微企业相同的价格扣除，用扣除后的价格参与评审。</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（2）残疾人福利单位需按照采购文件的要求提供《残疾人福利性单位声明函》。</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（3）残疾人福利单位标准请参照《关于促进残疾人就业政府采购政策的通知》（财库〔2017〕141号）。</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2.3、监狱和戒毒企业价格扣除</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（1）本项目对监狱和戒毒企业（简称监狱企业）视同小型、微型企业，给予与小微企业相同的价格扣除，用扣除后的价格参与评审。</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（2）监狱企业参加政府采购活动时，需提供由省级以上监狱管理局、戒毒管理局(含新疆生产建设兵团)出具的属于监狱企业的证明文件。</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（3）监狱企业标准请参照《关于政府采购支持监狱企业发展有关问题的通知》（财库[2014]68号）。</w:t>
      </w:r>
      <w:r/>
    </w:p>
    <w:p>
      <w:pPr>
        <w:ind w:firstLine="416"/>
        <w:spacing w:line="460" w:lineRule="exact"/>
        <w:rPr>
          <w:rStyle w:val="1090"/>
          <w:rFonts w:hint="eastAsia" w:ascii="宋体" w:hAnsi="宋体"/>
          <w:color w:val="auto"/>
          <w:highlight w:val="none"/>
        </w:rPr>
      </w:pPr>
      <w:r>
        <w:rPr>
          <w:rStyle w:val="1090"/>
          <w:rFonts w:hint="eastAsia" w:ascii="宋体" w:hAnsi="宋体"/>
          <w:color w:val="auto"/>
          <w:highlight w:val="none"/>
        </w:rPr>
        <w:t xml:space="preserve">2.4、残疾人福利单位、监狱企业属于小型、微型企业的，不重复享受政策。上述价格扣除政策仅适用“不专门面向中小微企业采购项目”。</w:t>
      </w:r>
      <w:r/>
    </w:p>
    <w:p>
      <w:pPr>
        <w:pStyle w:val="808"/>
        <w:rPr>
          <w:rFonts w:hint="eastAsia" w:ascii="宋体" w:hAnsi="宋体" w:cs="宋体"/>
          <w:color w:val="auto"/>
          <w:szCs w:val="36"/>
          <w:highlight w:val="none"/>
          <w:lang w:val="zh-CN"/>
        </w:rPr>
      </w:pPr>
      <w:r>
        <w:rPr>
          <w:rFonts w:ascii="宋体" w:hAnsi="宋体" w:cs="宋体"/>
          <w:color w:val="auto"/>
          <w:szCs w:val="36"/>
          <w:highlight w:val="none"/>
          <w:lang w:val="zh-CN"/>
        </w:rPr>
        <w:br w:type="page" w:clear="all"/>
      </w:r>
      <w:bookmarkStart w:id="41" w:name="_Toc26180"/>
      <w:r>
        <w:rPr>
          <w:rFonts w:hint="eastAsia"/>
          <w:color w:val="auto"/>
          <w:lang w:val="zh-CN"/>
        </w:rPr>
        <w:t xml:space="preserve">第四章 采购项目</w:t>
      </w:r>
      <w:bookmarkEnd w:id="38"/>
      <w:r/>
      <w:bookmarkEnd w:id="39"/>
      <w:r>
        <w:rPr>
          <w:rFonts w:hint="eastAsia"/>
          <w:color w:val="auto"/>
          <w:lang w:val="zh-CN"/>
        </w:rPr>
        <w:t xml:space="preserve">需求</w:t>
      </w:r>
      <w:bookmarkEnd w:id="40"/>
      <w:r/>
      <w:bookmarkEnd w:id="41"/>
      <w:r/>
      <w:r/>
    </w:p>
    <w:p>
      <w:pPr>
        <w:ind w:firstLine="422"/>
        <w:jc w:val="left"/>
        <w:spacing w:line="360" w:lineRule="auto"/>
        <w:widowControl/>
        <w:rPr>
          <w:rFonts w:hint="eastAsia" w:ascii="宋体" w:hAnsi="宋体"/>
          <w:b/>
          <w:color w:val="auto"/>
          <w:sz w:val="22"/>
          <w:highlight w:val="none"/>
          <w:lang w:val="zh-CN" w:bidi="en-US"/>
        </w:rPr>
        <w:outlineLvl w:val="1"/>
      </w:pPr>
      <w:r>
        <w:rPr>
          <w:rFonts w:hint="eastAsia" w:ascii="宋体" w:hAnsi="宋体"/>
          <w:b/>
          <w:color w:val="auto"/>
          <w:sz w:val="22"/>
          <w:highlight w:val="none"/>
          <w:lang w:val="zh-CN" w:bidi="en-US"/>
        </w:rPr>
        <w:t xml:space="preserve">一、采购需求：</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1.招标内容为：2026年江宁区县道日常养护服务相关工作，主要内容包括对全区 448.245 公里县道的养护，道路病害维修、桥涵构造物维修维护、安保更换维修维护、突发道路事件处置、道路附属设施养护等以及采购人指令的其它工作内容。具体详见养护服务项目的清单。</w:t>
      </w:r>
      <w:r/>
    </w:p>
    <w:p>
      <w:pPr>
        <w:ind w:firstLine="416"/>
        <w:spacing w:line="46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2.合同履行期限：自合同签订之日起一年</w:t>
      </w:r>
      <w:r>
        <w:rPr>
          <w:rFonts w:hint="eastAsia" w:ascii="宋体" w:hAnsi="宋体"/>
          <w:color w:val="auto"/>
          <w:szCs w:val="21"/>
          <w:highlight w:val="none"/>
          <w:lang w:eastAsia="zh-CN"/>
        </w:rPr>
        <w:t xml:space="preserve">。</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.项目建设遵循标准：</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w:t>
      </w:r>
      <w:bookmarkStart w:id="42" w:name="_Hlk213334517"/>
      <w:r>
        <w:rPr>
          <w:rFonts w:hint="eastAsia" w:ascii="宋体" w:hAnsi="宋体"/>
          <w:color w:val="auto"/>
          <w:szCs w:val="21"/>
          <w:highlight w:val="none"/>
        </w:rPr>
        <w:t xml:space="preserve">养护工作</w:t>
      </w:r>
      <w:r>
        <w:rPr>
          <w:rFonts w:hint="eastAsia" w:ascii="宋体" w:hAnsi="宋体"/>
          <w:color w:val="auto"/>
          <w:szCs w:val="21"/>
          <w:highlight w:val="none"/>
        </w:rPr>
        <w:t xml:space="preserve">必须全面达到交通运输部《公路养护技术标准》（JTG 5110—2023）、《公路桥涵养护规范》（JTG 5120-2021）、《公路技术状况评定标准》（JTG 5210—2018）、《农村公路养护技术规范》（JTG 5190—2019）、《公路养护安全作业规程》（JTG H30-2015）、《市公路中心关于印发普通国省道日常养护考核办法（试行）的通知》（宁路养〔2024〕43号）、《江宁区公路中心关于印发关于干线公路养护管理考核通知》（江宁路养〔2024〕23号）等现行规范中规定的各项技术要求及采购人要求。</w:t>
      </w:r>
      <w:bookmarkEnd w:id="42"/>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2）．以采购人代表或监理以书面形式批准的变更通知或养护指导意见、国家颁发的养护技术或验收规范和质量检验标准及有关规定、合同要求为依据。</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3）．按《南京市江宁区公路事业中心国省道干线公路养护管理考核办法》每月检查，季度考核。</w:t>
      </w:r>
      <w:r/>
    </w:p>
    <w:p>
      <w:pPr>
        <w:ind w:firstLine="422"/>
        <w:jc w:val="left"/>
        <w:spacing w:line="360" w:lineRule="auto"/>
        <w:widowControl/>
        <w:rPr>
          <w:rFonts w:hint="eastAsia" w:ascii="宋体" w:hAnsi="宋体"/>
          <w:b/>
          <w:color w:val="auto"/>
          <w:sz w:val="22"/>
          <w:highlight w:val="none"/>
          <w:lang w:val="zh-CN" w:bidi="en-US"/>
        </w:rPr>
        <w:outlineLvl w:val="1"/>
      </w:pPr>
      <w:r>
        <w:rPr>
          <w:rFonts w:hint="eastAsia" w:ascii="宋体" w:hAnsi="宋体"/>
          <w:b/>
          <w:color w:val="auto"/>
          <w:sz w:val="22"/>
          <w:highlight w:val="none"/>
          <w:lang w:val="zh-CN" w:bidi="en-US"/>
        </w:rPr>
        <w:t xml:space="preserve">二、养护清单（另附）</w:t>
      </w:r>
      <w:r/>
    </w:p>
    <w:tbl>
      <w:tblPr>
        <w:tblStyle w:val="818"/>
        <w:tblW w:w="500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37"/>
        <w:gridCol w:w="1962"/>
        <w:gridCol w:w="520"/>
        <w:gridCol w:w="686"/>
        <w:gridCol w:w="998"/>
        <w:gridCol w:w="1443"/>
        <w:gridCol w:w="3349"/>
      </w:tblGrid>
      <w:tr>
        <w:trPr>
          <w:trHeight w:val="470"/>
        </w:trPr>
        <w:tc>
          <w:tcPr>
            <w:tcW w:w="521"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966"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520"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687"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1000"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446"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3355"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414"/>
        </w:trPr>
        <w:tc>
          <w:tcPr>
            <w:tcW w:w="521" w:type="dxa"/>
            <w:vAlign w:val="center"/>
            <w:textDirection w:val="lrTb"/>
            <w:noWrap w:val="false"/>
          </w:tcPr>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w:t>
            </w:r>
            <w:r/>
          </w:p>
        </w:tc>
        <w:tc>
          <w:tcPr>
            <w:tcW w:w="1966" w:type="dxa"/>
            <w:vAlign w:val="center"/>
            <w:textDirection w:val="lrTb"/>
            <w:noWrap w:val="false"/>
          </w:tcPr>
          <w:p>
            <w:pPr>
              <w:spacing w:line="46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2026年江宁区县道日常养护服务</w:t>
            </w:r>
            <w:r/>
          </w:p>
        </w:tc>
        <w:tc>
          <w:tcPr>
            <w:tcW w:w="520" w:type="dxa"/>
            <w:vAlign w:val="center"/>
            <w:textDirection w:val="lrTb"/>
            <w:noWrap w:val="false"/>
          </w:tcPr>
          <w:p>
            <w:pPr>
              <w:ind w:firstLine="210"/>
              <w:spacing w:line="460" w:lineRule="exact"/>
              <w:rPr>
                <w:rFonts w:hint="eastAsia" w:ascii="宋体" w:hAnsi="宋体"/>
                <w:color w:val="auto"/>
                <w:szCs w:val="21"/>
                <w:highlight w:val="none"/>
              </w:rPr>
            </w:pPr>
            <w:r>
              <w:rPr>
                <w:rFonts w:hint="eastAsia" w:ascii="宋体" w:hAnsi="宋体"/>
                <w:color w:val="auto"/>
                <w:szCs w:val="21"/>
                <w:highlight w:val="none"/>
              </w:rPr>
              <w:t xml:space="preserve">1</w:t>
            </w:r>
            <w:r/>
          </w:p>
        </w:tc>
        <w:tc>
          <w:tcPr>
            <w:tcW w:w="687" w:type="dxa"/>
            <w:vAlign w:val="center"/>
            <w:textDirection w:val="lrTb"/>
            <w:noWrap w:val="false"/>
          </w:tcPr>
          <w:p>
            <w:pPr>
              <w:ind w:firstLine="210"/>
              <w:spacing w:line="460" w:lineRule="exact"/>
              <w:rPr>
                <w:rFonts w:hint="eastAsia" w:ascii="宋体" w:hAnsi="宋体"/>
                <w:color w:val="auto"/>
                <w:szCs w:val="21"/>
                <w:highlight w:val="none"/>
              </w:rPr>
            </w:pPr>
            <w:r>
              <w:rPr>
                <w:rFonts w:hint="eastAsia" w:ascii="宋体" w:hAnsi="宋体"/>
                <w:color w:val="auto"/>
                <w:szCs w:val="21"/>
                <w:highlight w:val="none"/>
              </w:rPr>
              <w:t xml:space="preserve">项</w:t>
            </w:r>
            <w:r/>
          </w:p>
        </w:tc>
        <w:tc>
          <w:tcPr>
            <w:tcW w:w="1000" w:type="dxa"/>
            <w:vAlign w:val="center"/>
            <w:textDirection w:val="lrTb"/>
            <w:noWrap w:val="false"/>
          </w:tcPr>
          <w:p>
            <w:pPr>
              <w:spacing w:line="460" w:lineRule="exact"/>
              <w:rPr>
                <w:rFonts w:hint="eastAsia" w:ascii="宋体" w:hAnsi="宋体"/>
                <w:color w:val="auto"/>
                <w:szCs w:val="21"/>
                <w:highlight w:val="none"/>
              </w:rPr>
            </w:pPr>
            <w:r>
              <w:rPr>
                <w:rFonts w:hint="eastAsia" w:ascii="宋体" w:hAnsi="宋体"/>
                <w:color w:val="auto"/>
                <w:szCs w:val="21"/>
                <w:highlight w:val="none"/>
              </w:rPr>
              <w:t xml:space="preserve">公路管理和养护服务</w:t>
            </w:r>
            <w:r/>
          </w:p>
        </w:tc>
        <w:tc>
          <w:tcPr>
            <w:tcW w:w="1446" w:type="dxa"/>
            <w:vAlign w:val="center"/>
            <w:textDirection w:val="lrTb"/>
            <w:noWrap w:val="false"/>
          </w:tcPr>
          <w:p>
            <w:pPr>
              <w:spacing w:line="460" w:lineRule="exact"/>
              <w:rPr>
                <w:rFonts w:hint="eastAsia" w:ascii="宋体" w:hAnsi="宋体"/>
                <w:color w:val="auto"/>
                <w:szCs w:val="21"/>
                <w:highlight w:val="none"/>
              </w:rPr>
            </w:pPr>
            <w:r>
              <w:rPr>
                <w:rFonts w:hint="eastAsia" w:ascii="宋体" w:hAnsi="宋体"/>
                <w:color w:val="auto"/>
                <w:szCs w:val="21"/>
                <w:highlight w:val="none"/>
              </w:rPr>
              <w:t xml:space="preserve">交通运输业</w:t>
            </w:r>
            <w:r/>
          </w:p>
        </w:tc>
        <w:tc>
          <w:tcPr>
            <w:tcW w:w="3355" w:type="dxa"/>
            <w:vAlign w:val="center"/>
            <w:textDirection w:val="lrTb"/>
            <w:noWrap w:val="false"/>
          </w:tcPr>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主要包括日常保养维修（道路病害维修、桥涵构造物维修维护、安保更换维修维护、附属设施养护）、应急抢修、突发道路事件处置、除雪防冻、防汛防台等应急处置工作等以及采购人指令的其它工作内容。</w:t>
            </w:r>
            <w:r/>
          </w:p>
        </w:tc>
      </w:tr>
    </w:tbl>
    <w:p>
      <w:pPr>
        <w:pStyle w:val="849"/>
        <w:rPr>
          <w:color w:val="auto"/>
          <w:highlight w:val="none"/>
        </w:rPr>
      </w:pPr>
      <w:r>
        <w:rPr>
          <w:color w:val="auto"/>
          <w:highlight w:val="none"/>
        </w:rPr>
      </w:r>
      <w:r/>
    </w:p>
    <w:p>
      <w:pPr>
        <w:ind w:firstLine="480"/>
        <w:spacing w:line="360" w:lineRule="auto"/>
        <w:rPr>
          <w:rFonts w:hint="eastAsia" w:ascii="宋体" w:hAnsi="宋体"/>
          <w:color w:val="auto"/>
          <w:sz w:val="22"/>
          <w:highlight w:val="none"/>
          <w:lang w:val="zh-CN"/>
        </w:rPr>
      </w:pPr>
      <w:r>
        <w:rPr>
          <w:rFonts w:hint="eastAsia" w:ascii="宋体" w:hAnsi="宋体"/>
          <w:color w:val="auto"/>
          <w:sz w:val="22"/>
          <w:highlight w:val="none"/>
          <w:lang w:val="en-US" w:eastAsia="zh-CN"/>
        </w:rPr>
        <w:t xml:space="preserve">（一）</w:t>
      </w:r>
      <w:r>
        <w:rPr>
          <w:rFonts w:hint="eastAsia" w:ascii="宋体" w:hAnsi="宋体"/>
          <w:color w:val="auto"/>
          <w:sz w:val="22"/>
          <w:highlight w:val="none"/>
        </w:rPr>
        <w:t xml:space="preserve">投标人应按照采购人提供的养护工作量清单填写。</w:t>
      </w:r>
      <w:r>
        <w:rPr>
          <w:rFonts w:hint="eastAsia" w:ascii="宋体" w:hAnsi="宋体"/>
          <w:color w:val="auto"/>
          <w:sz w:val="22"/>
          <w:highlight w:val="none"/>
          <w:lang w:val="zh-CN"/>
        </w:rPr>
        <w:t xml:space="preserve">投标报价包括但不限于</w:t>
      </w:r>
      <w:r>
        <w:rPr>
          <w:rFonts w:hint="eastAsia" w:ascii="宋体" w:hAnsi="宋体"/>
          <w:color w:val="auto"/>
          <w:sz w:val="22"/>
          <w:highlight w:val="none"/>
        </w:rPr>
        <w:t xml:space="preserve">完成本项目的人工、机械、材料、维修技术、企业管理、税金、政策性文件规定及及合同包含内的所有风险、责任等各项应有费用以及供应商认为需要的其他费用等，响应供应商应根据上述因素结合清单自行考虑投标报价</w:t>
      </w:r>
      <w:r>
        <w:rPr>
          <w:rFonts w:hint="eastAsia" w:ascii="宋体" w:hAnsi="宋体"/>
          <w:color w:val="auto"/>
          <w:sz w:val="22"/>
          <w:highlight w:val="none"/>
          <w:lang w:val="zh-CN"/>
        </w:rPr>
        <w:t xml:space="preserve">。</w:t>
      </w:r>
      <w:r/>
    </w:p>
    <w:p>
      <w:pPr>
        <w:ind w:firstLine="422"/>
        <w:spacing w:line="360" w:lineRule="auto"/>
        <w:tabs>
          <w:tab w:val="left" w:pos="156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供应商应按清单报价，且不得改变清单中的细目号、细目名称、计量单位、</w:t>
      </w:r>
      <w:r>
        <w:rPr>
          <w:rFonts w:hint="eastAsia" w:ascii="宋体" w:hAnsi="宋体" w:cs="宋体"/>
          <w:b/>
          <w:bCs/>
          <w:color w:val="auto"/>
          <w:szCs w:val="21"/>
          <w:highlight w:val="none"/>
          <w:lang w:val="en-US" w:eastAsia="zh-CN"/>
        </w:rPr>
        <w:t xml:space="preserve">数量</w:t>
      </w:r>
      <w:r>
        <w:rPr>
          <w:rFonts w:hint="eastAsia" w:ascii="宋体" w:hAnsi="宋体" w:cs="宋体"/>
          <w:b/>
          <w:bCs/>
          <w:color w:val="auto"/>
          <w:szCs w:val="21"/>
          <w:highlight w:val="none"/>
        </w:rPr>
        <w:t xml:space="preserve">；否则按无效响应处理。安全生产费不得优惠，改变上述金额按无效响应处理。</w:t>
      </w:r>
      <w:r/>
    </w:p>
    <w:p>
      <w:pPr>
        <w:ind w:firstLine="422"/>
        <w:spacing w:line="312"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lang w:bidi="en-US"/>
        </w:rPr>
        <w:t xml:space="preserve">三</w:t>
      </w:r>
      <w:r>
        <w:rPr>
          <w:rFonts w:hint="eastAsia" w:ascii="宋体" w:hAnsi="宋体" w:eastAsia="宋体" w:cs="宋体"/>
          <w:b/>
          <w:color w:val="auto"/>
          <w:sz w:val="21"/>
          <w:szCs w:val="21"/>
          <w:highlight w:val="none"/>
          <w:lang w:val="zh-CN" w:bidi="en-US"/>
        </w:rPr>
        <w:t xml:space="preserve">、</w:t>
      </w:r>
      <w:r>
        <w:rPr>
          <w:rFonts w:hint="eastAsia" w:ascii="宋体" w:hAnsi="宋体" w:eastAsia="宋体" w:cs="宋体"/>
          <w:bCs/>
          <w:color w:val="auto"/>
          <w:sz w:val="21"/>
          <w:szCs w:val="21"/>
          <w:highlight w:val="none"/>
        </w:rPr>
        <w:t xml:space="preserve">采购需求包括拟采购的标的及其需要满足的技术、商务要求。</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（一）技术要求</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3.1.1报价要求</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★本项目最高限价为2700万元。</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除非合同另有规定，采购清单中有标价的单价和总额价均包括了为实施和完成合同工程所需的劳务、材料、机械、质检（自检）、安装、缺陷修复、管理、保险（单列险种除外）、税费、利润等费用，以及合同明示或暗示的所有责任、义务和一般风险。</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★中标人为响应评标办法所投入的养护工区，为此发生的相关费用计入采购清单各工程细目的单价或总价中，采购人不再另行计量与支付。</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应按照《中华人民共和国大气污染防治法》《江苏省大气污染防治条例》以及南京市污染防治等现行文件的规定执行，扬尘污染防治实施方案中应当包含施工围挡的设置、临时道路及“三场”的硬化、裸露土方及易扬尘物料的覆盖、洒水、清扫、保洁等降尘控尘措施的内容。此发生的相关费用计入采购清单各工程细目的单价或总价中，采购人不再另行计量与支付。</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人未按规定进行养护作业，由于路面抛洒、油污、病害等原因造成任何交通、生产事故以及与其他第三方发生的任何纠纷或事故，任何责任和费用均由中标人自行承担。此发生的相关费用计入采购清单各工程细目的单价或总价中，采购人不再另行计量与支付。</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★本项目公众责任险由中标人以中标人、采购人</w:t>
      </w:r>
      <w:r>
        <w:rPr>
          <w:rFonts w:hint="eastAsia" w:ascii="宋体" w:hAnsi="宋体" w:eastAsia="宋体" w:cs="宋体"/>
          <w:color w:val="auto"/>
          <w:sz w:val="21"/>
          <w:szCs w:val="21"/>
          <w:highlight w:val="none"/>
        </w:rPr>
        <w:t xml:space="preserve">（南京市江宁区交通运输局）</w:t>
      </w:r>
      <w:r>
        <w:rPr>
          <w:rFonts w:hint="eastAsia" w:ascii="宋体" w:hAnsi="宋体" w:eastAsia="宋体" w:cs="宋体"/>
          <w:bCs/>
          <w:color w:val="auto"/>
          <w:sz w:val="21"/>
          <w:szCs w:val="21"/>
          <w:highlight w:val="none"/>
        </w:rPr>
        <w:t xml:space="preserve">的名义投保，投保条件与投保费率由供应商根据江苏省保险行业协会有关公路工程保险的相关规定自行考虑，其费用在采购清单中列支。</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★本项目建筑工程一切险及第三者责任险由中标人以中标人、采购人</w:t>
      </w:r>
      <w:r>
        <w:rPr>
          <w:rFonts w:hint="eastAsia" w:ascii="宋体" w:hAnsi="宋体" w:eastAsia="宋体" w:cs="宋体"/>
          <w:color w:val="auto"/>
          <w:sz w:val="21"/>
          <w:szCs w:val="21"/>
          <w:highlight w:val="none"/>
        </w:rPr>
        <w:t xml:space="preserve">（南京市江宁区交通运输局）</w:t>
      </w:r>
      <w:r>
        <w:rPr>
          <w:rFonts w:hint="eastAsia" w:ascii="宋体" w:hAnsi="宋体" w:eastAsia="宋体" w:cs="宋体"/>
          <w:bCs/>
          <w:color w:val="auto"/>
          <w:sz w:val="21"/>
          <w:szCs w:val="21"/>
          <w:highlight w:val="none"/>
        </w:rPr>
        <w:t xml:space="preserve">的名义投保，投保条件与保险费率由中标人根据江苏省保险行业协会有关公路工程保险的相关规定自行考虑。其费用在采购清单中列支。</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苏人社规[2023]2号文《江苏省人力资源社会保障厅江苏省财政厅江苏省税务局关于印发江苏省工伤保险费率管理办法(修订版)的通知》、苏人社函[2025]1号《省人力资源社会保障厅关于确定2025年全省工程建设项目工伤保险费率的通知》的规定，工伤保险费率为最高投标限价的3‰，费用在采购清单中列支。</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人装备险和中标人职工的（人身）事故险（包括临时工和民工）均由中标人投保，保险费由中标人承担并支付，其费用含在中标人的投标报价中，采购人不另行计量与支付。中标人负责办理产品在采购、运输过程中的一切保险，保险费由中标人承担。由此发生的相关费用计入采购清单各工程细目的单价或总价中，采购人不再另行计量与支付。</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★中标人必须按招标文件和国家有关规定办理各种保险，一旦发生保险范围内的事件，损失由中标人自行承担。</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★采购供应商的任何错漏、优惠、竞争性报价不得作为减轻责任、减少工作内容、增加收费、降低质量的理由。所发生的一切费用，视为已包含在采购供应商的最终投标报价。</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3.1.2合同条款</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bookmarkStart w:id="43" w:name="_Toc489452715"/>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名词解释</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除另有说明外，下列名词的含义如下：</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p>
      <w:pPr>
        <w:jc w:val="left"/>
        <w:spacing w:line="560" w:lineRule="exact"/>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是指本项目的采购主体。本项目采购人是南京市江宁区交通运输局（又称为“业主”）。</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是指接到采购单位成交结果通知，并与采购单位签订了承包协议书的中标人。</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是指由供应商委派、全面负责按合同规定提供本项目服务的技术和经济的代理人，本合同中项目负责人指项目经理和项目总工。</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是指列入本合同必须完成的全部工作（包括临时工程以及由符合程序而签署变更通知的额外工作）。</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养护设备</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是指供应商为实施完成本合同项目以及临时工程、临时设施和维护项目所必须的全部机械、器具等。</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是指供应商在投标函中标出，并经按本合同条款中的有关规定予以增、减后的总金额。</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技术规范</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是指招标文件中的技术规范。该规范是根据养护项目相关规范合编的，是本合同项目养护技术要求。</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是采购人和供应商法定代表人或其授权代表之间正式签订的相互明确权利和义务关系的协议。</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暂列金额</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暂列金额是在投标报价表中标明列入合同价的一项款额，作为项目不可预见的预备费用，按采购清单小计计列，本次采购不计列。</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年、月和日</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都应按公历计算。天：是指日历天。</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rPr>
        <w:t xml:space="preserve">是指人民币元，是本合同中的货币单位。</w:t>
      </w:r>
      <w:r/>
    </w:p>
    <w:p>
      <w:pPr>
        <w:jc w:val="left"/>
        <w:spacing w:line="312" w:lineRule="auto"/>
        <w:tabs>
          <w:tab w:val="left" w:pos="567" w:leader="none"/>
        </w:tabs>
        <w:rPr>
          <w:rFonts w:hint="eastAsia" w:ascii="宋体" w:hAnsi="宋体" w:eastAsia="宋体" w:cs="宋体"/>
          <w:b/>
          <w:bCs/>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项目概况</w:t>
      </w:r>
      <w:r/>
    </w:p>
    <w:p>
      <w:pPr>
        <w:numPr>
          <w:ilvl w:val="0"/>
          <w:numId w:val="5"/>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项目名称：</w:t>
      </w:r>
      <w:r>
        <w:rPr>
          <w:rFonts w:hint="eastAsia" w:ascii="宋体" w:hAnsi="宋体" w:eastAsia="宋体" w:cs="宋体"/>
          <w:b/>
          <w:bCs/>
          <w:color w:val="auto"/>
          <w:sz w:val="21"/>
          <w:szCs w:val="21"/>
          <w:highlight w:val="none"/>
          <w:u w:val="single"/>
          <w:lang w:val="zh-CN"/>
        </w:rPr>
        <w:t xml:space="preserve">2026年江宁区县道日常养</w:t>
      </w:r>
      <w:r>
        <w:rPr>
          <w:rFonts w:hint="eastAsia" w:ascii="宋体" w:hAnsi="宋体" w:eastAsia="宋体" w:cs="宋体"/>
          <w:b/>
          <w:bCs/>
          <w:color w:val="auto"/>
          <w:sz w:val="21"/>
          <w:szCs w:val="21"/>
          <w:highlight w:val="none"/>
          <w:u w:val="single"/>
        </w:rPr>
        <w:t xml:space="preserve">护项目</w:t>
      </w:r>
      <w:r/>
    </w:p>
    <w:p>
      <w:pPr>
        <w:numPr>
          <w:ilvl w:val="0"/>
          <w:numId w:val="5"/>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项目地点：南京市江宁区</w:t>
      </w:r>
      <w:r/>
    </w:p>
    <w:p>
      <w:pPr>
        <w:numPr>
          <w:ilvl w:val="0"/>
          <w:numId w:val="5"/>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项目内容：</w:t>
      </w:r>
      <w:r>
        <w:rPr>
          <w:rFonts w:hint="eastAsia" w:ascii="宋体" w:hAnsi="宋体" w:eastAsia="宋体" w:cs="宋体"/>
          <w:b/>
          <w:bCs/>
          <w:color w:val="auto"/>
          <w:sz w:val="21"/>
          <w:szCs w:val="21"/>
          <w:highlight w:val="none"/>
        </w:rPr>
        <w:t xml:space="preserve">本项目为2026年江宁区县道日常养护服务</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主要内容包括对全区 448.245 公里县道的养护，道路病害维修、桥涵构造物维修维护、安保更换维修维护、突发道路事件处置、道路附属设施养护等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日常养护相关工作（包含道路和桥涵、隧道、排水、隧道日常养护、小修保养及应急养护、绿化养护以及冬防、防汛等恶劣天气处置等工作）。</w:t>
      </w:r>
      <w:r/>
    </w:p>
    <w:p>
      <w:pPr>
        <w:numPr>
          <w:ilvl w:val="0"/>
          <w:numId w:val="5"/>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日常养护及小修保养的具体内容参考</w:t>
      </w:r>
      <w:r>
        <w:rPr>
          <w:rFonts w:hint="eastAsia" w:ascii="宋体" w:hAnsi="宋体" w:eastAsia="宋体" w:cs="宋体"/>
          <w:color w:val="auto"/>
          <w:sz w:val="21"/>
          <w:szCs w:val="21"/>
          <w:highlight w:val="none"/>
        </w:rPr>
        <w:t xml:space="preserve">《公路养护技术标准》（JTG 5110—2023）、《公路桥涵养护规范》（JTG 5120-2021）、《公路技术状况评定标准》（JTG 5210—2018）、《农村公路养护技术规范》（JTG 5190—2019）、《公路养护安全作业规程》（JTG H30-2015）、《市公路中心关于印发普通国省道日常养护考核办法（试行）的通知》（宁路养〔2024〕43号）、《江宁区公路中心关于印发关于干线公路养护管理考核通知》（江宁路养〔2024〕23号）等现行规范中规定的各项技术要求及采购人要求</w:t>
      </w:r>
      <w:r>
        <w:rPr>
          <w:rFonts w:hint="eastAsia" w:ascii="宋体" w:hAnsi="宋体" w:eastAsia="宋体" w:cs="宋体"/>
          <w:color w:val="auto"/>
          <w:sz w:val="21"/>
          <w:szCs w:val="21"/>
          <w:highlight w:val="none"/>
          <w:lang w:eastAsia="zh-CN"/>
        </w:rPr>
        <w:t xml:space="preserve">。</w:t>
      </w:r>
      <w:r/>
    </w:p>
    <w:p>
      <w:pPr>
        <w:numPr>
          <w:ilvl w:val="0"/>
          <w:numId w:val="5"/>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养护期限：2026年1月1日至2026年12月31日，合计365日历天。（工期以实际开工、交工时间为准）。缺陷责任期：基价类：无；单价类：6个月。</w:t>
      </w:r>
      <w:r/>
    </w:p>
    <w:p>
      <w:pPr>
        <w:numPr>
          <w:ilvl w:val="0"/>
          <w:numId w:val="5"/>
        </w:numPr>
        <w:ind w:left="0" w:firstLine="422"/>
        <w:spacing w:line="312"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rPr>
        <w:t xml:space="preserve">质量要求：日常保养及应急处置：达到《公路养护技术标准》、江宁路养〔2024〕23号）等文件的标准及采购人要求；日常维修：交工验收的质量等级合格。</w:t>
      </w:r>
      <w:r/>
    </w:p>
    <w:p>
      <w:pPr>
        <w:jc w:val="left"/>
        <w:spacing w:line="312" w:lineRule="auto"/>
        <w:tabs>
          <w:tab w:val="left" w:pos="567" w:leader="none"/>
        </w:tabs>
        <w:rPr>
          <w:rFonts w:hint="eastAsia" w:ascii="宋体" w:hAnsi="宋体" w:eastAsia="宋体" w:cs="宋体"/>
          <w:b/>
          <w:bCs/>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养护质量及验收标准和依据</w:t>
      </w:r>
      <w:r/>
    </w:p>
    <w:p>
      <w:pPr>
        <w:numPr>
          <w:ilvl w:val="0"/>
          <w:numId w:val="6"/>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养护工作必须全面达到最新《公路养护技术规范》《公路桥涵养护规范》《公路隧道养护技术规范》《公路养护安全作业规程》等现行技术规范和行业标准、管理办法及采购人要求规定的各项技术要求。</w:t>
      </w:r>
      <w:r/>
    </w:p>
    <w:p>
      <w:pPr>
        <w:numPr>
          <w:ilvl w:val="0"/>
          <w:numId w:val="6"/>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以采购人代表或监理以书面形式批准的变更通知或施工指导意见、国家颁发的施工技术或验收规范和质量检验标准及有关规定、合同要求为依据。质量等级为合格 。</w:t>
      </w:r>
      <w:r/>
    </w:p>
    <w:p>
      <w:pPr>
        <w:numPr>
          <w:ilvl w:val="0"/>
          <w:numId w:val="6"/>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每个季度末采购人对供应商的养护质量进行综合考评。综合考评由定期考核和不定期检查组成。具体考核办法采购人将另行制定。</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双方的权利与义务</w:t>
      </w:r>
      <w:r/>
    </w:p>
    <w:p>
      <w:pPr>
        <w:numPr>
          <w:ilvl w:val="0"/>
          <w:numId w:val="7"/>
        </w:numPr>
        <w:ind w:left="0" w:firstLine="398"/>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采购人主要义务</w:t>
      </w:r>
      <w:r/>
    </w:p>
    <w:p>
      <w:pPr>
        <w:numPr>
          <w:ilvl w:val="0"/>
          <w:numId w:val="8"/>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提供与本项目相关的相关资料。</w:t>
      </w:r>
      <w:r/>
    </w:p>
    <w:p>
      <w:pPr>
        <w:numPr>
          <w:ilvl w:val="0"/>
          <w:numId w:val="8"/>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制定本合同项目的管理制度、技术要求等。</w:t>
      </w:r>
      <w:r/>
    </w:p>
    <w:p>
      <w:pPr>
        <w:numPr>
          <w:ilvl w:val="0"/>
          <w:numId w:val="8"/>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检查和监督供应商的施工管理、施工质量、进度以及安全生产和环境保护工作。</w:t>
      </w:r>
      <w:r/>
    </w:p>
    <w:p>
      <w:pPr>
        <w:numPr>
          <w:ilvl w:val="0"/>
          <w:numId w:val="8"/>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审查供应商上报且经审核的计量支付申请，按时支付合同款。</w:t>
      </w:r>
      <w:r/>
    </w:p>
    <w:p>
      <w:pPr>
        <w:numPr>
          <w:ilvl w:val="0"/>
          <w:numId w:val="8"/>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依据相关养护行业标准组织小修保养及应急处置的过程检查及工程验收。</w:t>
      </w:r>
      <w:r/>
    </w:p>
    <w:p>
      <w:pPr>
        <w:numPr>
          <w:ilvl w:val="0"/>
          <w:numId w:val="8"/>
        </w:numPr>
        <w:ind w:left="0" w:firstLine="422"/>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本项目的道路路灯、信号灯、监控、隧道照明所需电力由采购人提供，相应费用由采购人直接支付给电力公司。</w:t>
      </w:r>
      <w:r/>
    </w:p>
    <w:p>
      <w:pPr>
        <w:ind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（7）双方约定采购人应做的其他工作。</w:t>
      </w:r>
      <w:r/>
    </w:p>
    <w:p>
      <w:pPr>
        <w:numPr>
          <w:ilvl w:val="0"/>
          <w:numId w:val="7"/>
        </w:numPr>
        <w:ind w:left="0" w:firstLine="398"/>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供应商主要义务</w:t>
      </w:r>
      <w:r/>
    </w:p>
    <w:p>
      <w:pPr>
        <w:numPr>
          <w:ilvl w:val="0"/>
          <w:numId w:val="9"/>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建立健全自身的规章制度，完成本项目合同范围内的养护管理工作，向采购人或其代表提供养护计划及相应的进度统计报表和报告等资料。</w:t>
      </w:r>
      <w:r/>
    </w:p>
    <w:p>
      <w:pPr>
        <w:numPr>
          <w:ilvl w:val="0"/>
          <w:numId w:val="9"/>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不得随意拖延维修时间（不可抗力的因素除外），供应商应在24小时内完成一般病害的养护修复任务，严重影响交通安全的病害应及时处理，对严重病害以及技术有特殊性要求的项目应采取必要的措施。若中标人未能响应，采购人将按合同条款的规定进行处理。</w:t>
      </w:r>
      <w:r/>
    </w:p>
    <w:p>
      <w:pPr>
        <w:numPr>
          <w:ilvl w:val="0"/>
          <w:numId w:val="9"/>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办理施工所需有关证件和批件，并协调交警、路政及地方等关系。</w:t>
      </w:r>
      <w:r/>
    </w:p>
    <w:p>
      <w:pPr>
        <w:numPr>
          <w:ilvl w:val="0"/>
          <w:numId w:val="9"/>
        </w:numPr>
        <w:ind w:left="0" w:firstLine="420"/>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按招标文件的技术规范以及采购人或其代表的要求完成本项目合同范围内的日常养护工作。</w:t>
      </w:r>
      <w:r>
        <w:rPr>
          <w:rFonts w:hint="eastAsia" w:ascii="宋体" w:hAnsi="宋体" w:eastAsia="宋体" w:cs="宋体"/>
          <w:color w:val="auto"/>
          <w:sz w:val="21"/>
          <w:szCs w:val="21"/>
          <w:highlight w:val="none"/>
        </w:rPr>
        <w:t xml:space="preserve">养护期间服从采购人或其代表的现场管理、监督、检查和验收，采取切实可行的措施，确保按期完成采购人委托的养护任务，并保证达到采购人要求的质量等级。</w:t>
      </w:r>
      <w:r/>
    </w:p>
    <w:p>
      <w:pPr>
        <w:numPr>
          <w:ilvl w:val="0"/>
          <w:numId w:val="9"/>
        </w:numPr>
        <w:ind w:left="0" w:firstLine="420"/>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中标人应加强养护巡查，做好巡查记录，以及上级部门要求的各类台账,及时进行维护，对巡查发现的重大问题及时通报业主代表。</w:t>
      </w:r>
      <w:r/>
    </w:p>
    <w:p>
      <w:pPr>
        <w:numPr>
          <w:ilvl w:val="0"/>
          <w:numId w:val="9"/>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合同实施期间，按照有关规定供应商应向交警、城管、路政等行政主管部门办理行政许可，取得其同意，为此所发生的相关费用不单独计量与支付，包含在投标总价中。</w:t>
      </w:r>
      <w:r/>
    </w:p>
    <w:p>
      <w:pPr>
        <w:numPr>
          <w:ilvl w:val="0"/>
          <w:numId w:val="9"/>
        </w:numPr>
        <w:ind w:left="0" w:firstLine="398"/>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应有完备的原材料及施工、养护自检资料，报验资料和计量资料及时</w:t>
      </w:r>
      <w:r>
        <w:rPr>
          <w:rFonts w:hint="eastAsia" w:ascii="宋体" w:hAnsi="宋体" w:eastAsia="宋体" w:cs="宋体"/>
          <w:color w:val="auto"/>
          <w:sz w:val="21"/>
          <w:szCs w:val="21"/>
          <w:highlight w:val="none"/>
        </w:rPr>
        <w:t xml:space="preserve">报采购人或其代表审核。工作结束后按采购人要求提交相关的养护资料及其相应的电子文档一份，并配合采购人进行工程验收。</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遵守工程建设安全生产的有关规定，严格按照安全标准施工，采取必要的安全防护措施并对施工人员进行安全生产教育和管理；健全组织制度，指定主要领导负责安全工作，确保作业人员和车辆、设备的安全。</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上路作业应按规定办理相关手续，并服从公安、路政部门的管理，施工时按相关要求摆放标志标牌等，作业人员须穿着统一的安全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养护车辆及设备应整齐地停放，不得侵占行车道，并按规定设置相应的警示和隔离标志。</w:t>
      </w:r>
      <w:r/>
    </w:p>
    <w:p>
      <w:pPr>
        <w:numPr>
          <w:ilvl w:val="0"/>
          <w:numId w:val="9"/>
        </w:numPr>
        <w:ind w:left="0" w:firstLine="420"/>
        <w:jc w:val="left"/>
        <w:spacing w:line="312" w:lineRule="auto"/>
        <w:tabs>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供应商在施工过程中发生的任何交通、生产事故造成财产损失或人员伤亡的，以及与其他第三方发生的任何纠纷或事故，采购人概不承担任何责任和费用，</w:t>
      </w:r>
      <w:r>
        <w:rPr>
          <w:rFonts w:hint="eastAsia" w:ascii="宋体" w:hAnsi="宋体" w:eastAsia="宋体" w:cs="宋体"/>
          <w:b/>
          <w:bCs/>
          <w:color w:val="auto"/>
          <w:sz w:val="21"/>
          <w:szCs w:val="21"/>
          <w:highlight w:val="none"/>
        </w:rPr>
        <w:t xml:space="preserve">由供应商自行承担相关费用。</w:t>
      </w:r>
      <w:r/>
    </w:p>
    <w:p>
      <w:pPr>
        <w:numPr>
          <w:ilvl w:val="0"/>
          <w:numId w:val="9"/>
        </w:numPr>
        <w:ind w:left="0" w:firstLine="422"/>
        <w:jc w:val="left"/>
        <w:spacing w:line="312" w:lineRule="auto"/>
        <w:tabs>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供应商未按规定进行养护作业，由于路面抛洒、油污、病害等原因造成</w:t>
      </w:r>
      <w:r>
        <w:rPr>
          <w:rFonts w:hint="eastAsia" w:ascii="宋体" w:hAnsi="宋体" w:eastAsia="宋体" w:cs="宋体"/>
          <w:b/>
          <w:bCs/>
          <w:color w:val="auto"/>
          <w:sz w:val="21"/>
          <w:szCs w:val="21"/>
          <w:highlight w:val="none"/>
        </w:rPr>
        <w:t xml:space="preserve">任何交通、生产事故以及与其他第三方发生的任何纠纷或事故，任何责任和费用均由供应商自行承担。</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遵守《江苏省公路条例》的有关规定，服从公安、路政部门的管理，自觉保护施工公路路产；遵守地方政府和有关部门对施工场地交通和施工噪音等管理规定，否则将承担由此造成的有权部门的处罚。</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负责施工现场的环境保护工作，保证施工现场环境符合有关规定，加强对作业人员的环境保护意识教育。施工废料应按业主指定的堆放点集中堆放，任何施工及生活垃圾必须妥善处理，不得抛洒在道路用地界内，在施工中应加强设备和材料的管理，不得抛、洒、滴、漏污染路面，否则承担相关部门对其的经济处罚。</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供应商严格遵守</w:t>
      </w:r>
      <w:r>
        <w:rPr>
          <w:rFonts w:hint="eastAsia" w:ascii="宋体" w:hAnsi="宋体" w:eastAsia="宋体" w:cs="宋体"/>
          <w:color w:val="auto"/>
          <w:sz w:val="21"/>
          <w:szCs w:val="21"/>
          <w:highlight w:val="none"/>
        </w:rPr>
        <w:t xml:space="preserve">《保障农民工工资支付条例》（中华人民共和国国务院令第724号）、《江苏省工程建设领域农民工工资专用账户管理细则》（苏人社规〔2022〕3号）、《江苏省工程建设领域农民工工资保证金管理办法》（苏人社规〔2022〕4号）、《省交通运输厅关于交通工程建设领域保障农民工工资支付的意见》（苏交规〔2021〕2号）</w:t>
      </w:r>
      <w:r>
        <w:rPr>
          <w:rFonts w:hint="eastAsia" w:ascii="宋体" w:hAnsi="宋体" w:eastAsia="宋体" w:cs="宋体"/>
          <w:color w:val="auto"/>
          <w:sz w:val="21"/>
          <w:szCs w:val="21"/>
          <w:highlight w:val="none"/>
        </w:rPr>
        <w:t xml:space="preserve">的相关规定，积极缴纳农民工工资保证金，建立农民工工资（劳务费）专用账户，实行农民工实名制管理，按月足额支付农民工工资。</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按照投标承诺和备案合同约定派驻现场技术、经济管理人员，并确保项目管理机构主要成员常驻施工现场，原则上不得调整；确需调整的，需经采购人同意。采购人应在进场施工前严格核对进场施工队伍，供应商擅自改变项目负责人及主要管理人员的，一律不得进场施工。</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小修保养过程中不能封闭交通（特殊情况下的应急处置除外），由此引发的施工安全，临时标牌制作和设置，施工人员、设备、材料等的调配运输等问题，供应商自行考虑，由此产生的费用包含在合同总价中，不单独计量；供应商进入施工现场前，首先与交警、路政、地方政府等部门协调，取得相关手续后方可进入施工现场，所有的协调工作由供应商自行完成，由此产生的费用包含在合同总价中，不单独计量。</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施工所需供电、电讯、供水等由投标人自行调查解决，临时供电设施、电讯设施、供水、排污设施的设置必须满足《公路工程施工安全技术规范》的要求，所发生的一切费用含在供应商的投标报价中，采购人不另行计量与支付。</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标段中与既有道路有交叉、干扰的地段，施工时应保证施工和交通的安全。因此发生的一切费用不单独计量和支付，包含在投标报价内。如因供应商采取的措施不力，造成本工程工期的拖延或施工费用的增加，均由供应商自行负责。</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购人不提供弃土（石）场及环卫绿化垃圾的堆放场地，由供应商自行解决，并符合南京市政府令第301号《南京市渣土运输管理办法》及其他相关部门的现行规定，由此发生的相关费用在投标报价时予以充分考虑，并计入采购清单各细目单价或总额价中。并应保证采购人免于承担因上述场地的使用所引起的补偿费、诉讼费、损害赔偿、处罚费用及其它开支。</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期间，供应商应对原有道路及结构物的安全、交通标志、标牌、各类地下预埋管线、绿化的保护等采取相应的措施以及正常营运等采取相应的措施，供应商应将其采取上述措施而可能发生的全部费用计入投标报价中，采购人将不另行计量与支付，工程实施期间，供应商不得以任何理由对此提出索赔。由于自身施工等原因而对其它合同工程造成污染、损坏、损失等，均应立即免费修复或足额赔偿。</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必须加强对地下管线等相关隐蔽设施的保护，供应商必须事先查明情况，办理相关施工交底手续后，方可进行对隐蔽设施可能产生影响的相关项目施工，否则造成后果，除了由供应商自行承担一切责任外，采购人还将严肃追究供应商的违约责任。</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供应商应在监理人的指示下，为本项目其他工程提供必要的便利条件。供应商因此发生的一切费用均应含入所报的投标报价中，采购人不再另行计列。</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按照《市政府关于进一步加强建设工程文明施工管理的意见》（宁政发〔2013〕137号）、《南京市渣土运输管理办法》（政府令第301号）、《关于加强建筑工地施工机械及工程车辆使用清洁油品管理的通知》以及施工安全、文明、环保等现行相关规定执行，所需相关费用计入采购清单各工程细目的单价或总价中，采购人不另计列。并应保证采购人免于承担因上述事宜所引起的补偿费、诉讼费、损害赔偿、指控费用及其它开支。</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每次养护修复量可能较小，小修保养及应急处置的项目较多，但单次的养护修复量可能较小，因此供应商应充分考虑设备、人力及其他因素的高成本。</w:t>
      </w:r>
      <w:r/>
    </w:p>
    <w:p>
      <w:pPr>
        <w:numPr>
          <w:ilvl w:val="0"/>
          <w:numId w:val="9"/>
        </w:numPr>
        <w:ind w:left="0" w:firstLine="422"/>
        <w:jc w:val="left"/>
        <w:spacing w:line="312" w:lineRule="auto"/>
        <w:tabs>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供应商必须按照公路养护特点，组织制定养护实施中的生产安全事故应急救援预案。因日常养护及特发性事件处置工作不到位，而发生的有碍道路安全 畅通事件，造成交通安全事故或人身损害赔偿案件的，应按照《国务院关于特大安全事故行政责任追究的规定》以及其他有关规定，及时上报有关部门，并坚持 “三不放过”的原则，严肃处理相关责任人，所造成的实际经济损失由供应商承担。</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本项目的特点，同时充分考虑自然因素及其他因素的不利影响，在施工过程中采购人可能会要求供应商加快工程的施工进度以确保能按时完成本工程，供应商应无条件服从，各投标人在投标时要充分考虑因此所需的相关赶工费、措施费等相关费用，所需费用均应含入所报的单价或总额价内，采购人不再另行支付。</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合同期内应保持随时履行本合同工程的技术能力，配备固定的、具有类似养护施工经验的养护队伍、人员、机械，未经业主代表批准不得随意更换或减少主要养护、保洁人员和机械；根据养护工程的特点，供应商须提供现场施工人员名单，施工机械应能满足养护施工要求，且必须在项目所在地附近设有固定的办公地点，并从开工之日起即能投入使用。</w:t>
      </w:r>
      <w:r/>
    </w:p>
    <w:p>
      <w:pPr>
        <w:numPr>
          <w:ilvl w:val="0"/>
          <w:numId w:val="9"/>
        </w:numPr>
        <w:ind w:left="0" w:firstLine="420"/>
        <w:jc w:val="left"/>
        <w:spacing w:line="312" w:lineRule="auto"/>
        <w:tabs>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供应商为响应评标办法4.2款所投入的养护工区，为此发生的相关费用计入采购清单各工程细目的单价或总价中，采购人不再另行计量与支付。</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应按照《中华人民共和国大气污染防治法》《江苏省大气污染防治条例》以及南京市污染防治等现行文件的规定执行，扬尘污染防治实施方案中应当包含施工围挡的设置、临时道路及“三场”的硬化、裸露土方及易扬尘物料的覆盖、洒水、清扫、保洁等降尘控尘措施的内容。此发生的相关费用计入采购清单各工程细目的单价或总价中，采购人不再另行计量与支付。</w:t>
      </w:r>
      <w:r/>
    </w:p>
    <w:p>
      <w:pPr>
        <w:numPr>
          <w:ilvl w:val="0"/>
          <w:numId w:val="9"/>
        </w:numPr>
        <w:ind w:left="0" w:firstLine="422"/>
        <w:jc w:val="left"/>
        <w:spacing w:line="312" w:lineRule="auto"/>
        <w:tabs>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标人未按规定进行养护作业，由于路面抛洒、油污、病害等原因造成任何交通、生产事故以及与其他第三方发生的任何纠纷或事故，任何责任和费用均由中标人自行承担。此发生的相关费用计入采购清单各工程细目的单价或总价中，采购人不再另行计量与支付。</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下属的检测机构如果已取得由交通主管部门核发的《公路水运工程试验检测机构等级证书》应当在开工前建立与项目检测要求相适应的工地试验室，且工地试验室应当取得“公路水运工程工地试验室备案通知书”。中标人下属的检测机构如果未取得由交通主管部门核发的《公路水运工程试验检测机构等级证书》，工地现场试验检测工作应当委托给取得《公路水运工程试验检测机构等级证书》和《计量认证证书》的其它检测机构。合同实施过程中，对于涉及到的各结构层及路面面层等应进行至少一次配合比试验。</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双方约定供应商应做的其他工作。</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转让和分包</w:t>
      </w:r>
      <w:r/>
    </w:p>
    <w:p>
      <w:pPr>
        <w:numPr>
          <w:ilvl w:val="0"/>
          <w:numId w:val="10"/>
        </w:numPr>
        <w:ind w:left="0" w:firstLine="420"/>
        <w:spacing w:line="312"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供应商承诺按照法律规定及合同约定组织完成日常养护、小修及应急处置工作，确保服务质量和安全，并在缺陷责任期内承担相应的工程维修责任。本项目严禁转包、分包（</w:t>
      </w:r>
      <w:r>
        <w:rPr>
          <w:rFonts w:hint="eastAsia" w:ascii="宋体" w:hAnsi="宋体" w:eastAsia="宋体" w:cs="宋体"/>
          <w:b/>
          <w:bCs/>
          <w:color w:val="auto"/>
          <w:sz w:val="21"/>
          <w:szCs w:val="21"/>
          <w:highlight w:val="none"/>
        </w:rPr>
        <w:t xml:space="preserve">劳务分包除外，下同</w:t>
      </w:r>
      <w:r>
        <w:rPr>
          <w:rFonts w:hint="eastAsia" w:ascii="宋体" w:hAnsi="宋体" w:eastAsia="宋体" w:cs="宋体"/>
          <w:color w:val="auto"/>
          <w:sz w:val="21"/>
          <w:szCs w:val="21"/>
          <w:highlight w:val="none"/>
        </w:rPr>
        <w:t xml:space="preserve">），一经发现，视其情节严重程度严肃处理，直至清退出场解除合同。</w:t>
      </w:r>
      <w:r/>
    </w:p>
    <w:p>
      <w:pPr>
        <w:numPr>
          <w:ilvl w:val="0"/>
          <w:numId w:val="10"/>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转包、分包违约责任。供应商不得将本项目进行转包或分包。经核查，发现供应</w:t>
      </w:r>
      <w:r>
        <w:rPr>
          <w:rFonts w:hint="eastAsia" w:ascii="宋体" w:hAnsi="宋体" w:eastAsia="宋体" w:cs="宋体"/>
          <w:color w:val="auto"/>
          <w:sz w:val="21"/>
          <w:szCs w:val="21"/>
          <w:highlight w:val="none"/>
        </w:rPr>
        <w:t xml:space="preserve">商存在法律法规规定的转包、分包情形的，采购人应书面告知供应商。供应商应在接到书面告知后7日内，向采购人提供相关证明材料。供应商未能在规定时间内举证或其证明材料不足以排除供应商存在转包、分包行为的，视同供应商存在违约责任，供应商应向采购人支付不低于合同金额2%的违约金（采购人可根据项目具体规模适当调整违约金比例），并视情况制止分包行为。供应商存在转包、分包行为，被行政监管部门查处并依法作出行政处罚的，不影响合同违约责任履行，供应商仍须按合同约定向采购人支付违约金。供应商将项目转包或分包的，采购人有权终止合同。</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书面通知</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凡根据合同规定，由采购人、供应商发出的或送达的任何通知、指示、建议、意见、决定及申请等均应是书面的，并应作出相应解释，任何这类书面通知都不应被无故扣发或贻误。</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临时工程和临时设施</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除另有规定外，为完成本合同项目所需的临时工程及设施，均应由供应商按照承包工程的实际情况自行负责设计、备料和建设，采购人不另行支付。</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施工和管理</w:t>
      </w:r>
      <w:r/>
    </w:p>
    <w:p>
      <w:pPr>
        <w:numPr>
          <w:ilvl w:val="0"/>
          <w:numId w:val="11"/>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供应商的施工机械和车辆应服从当地有关部门的管理，并按照有关要求安全行驶，服从检验和缴纳各种相应费用等。供应商缴纳的各项规费，运输超大、超重引起的附加费用均由供应商负担。</w:t>
      </w:r>
      <w:r/>
    </w:p>
    <w:p>
      <w:pPr>
        <w:numPr>
          <w:ilvl w:val="0"/>
          <w:numId w:val="11"/>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对所使用的由采购人提供的或借用、占用、利用当地的所有出入现场的临时道路和桥梁进行养护和维修，直到工程交工，并恢复原貌，其费用包含在投标报价中，不另行计量与支付。并应保证采购人免于承担因上述临时道路的使用所引起的补偿费、诉讼费、损害赔偿、指控费及其它开支。</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服务进度控制</w:t>
      </w:r>
      <w:r/>
    </w:p>
    <w:p>
      <w:pPr>
        <w:numPr>
          <w:ilvl w:val="0"/>
          <w:numId w:val="12"/>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供应商应按本合同规定的服务期，合理安排好养护进度计划，并及时向采购人递交各养护项目的月度进度表。</w:t>
      </w:r>
      <w:r/>
    </w:p>
    <w:p>
      <w:pPr>
        <w:numPr>
          <w:ilvl w:val="0"/>
          <w:numId w:val="12"/>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为保证服务质量，并按时实现养护、维修进度的要求，采购人有权审核并评议供应商递交的计划。这些审核和评议，不能免除供应商根据合同规定所担负的任何责任和义务。</w:t>
      </w:r>
      <w:r/>
    </w:p>
    <w:p>
      <w:pPr>
        <w:numPr>
          <w:ilvl w:val="0"/>
          <w:numId w:val="12"/>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类项目必须在采购人规定的期限完成养护维修，经初步验收达到合同规定的质量标准后，进入供应商的缺陷责任期。如果供应商的某个小修保养工作质量达不到采购人要求，采购人有权委托其他单位完成，对此发生的所有费用由供应商承担。</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清单</w:t>
      </w:r>
      <w:r>
        <w:rPr>
          <w:rFonts w:hint="eastAsia" w:ascii="宋体" w:hAnsi="宋体" w:eastAsia="宋体" w:cs="宋体"/>
          <w:b/>
          <w:bCs/>
          <w:color w:val="auto"/>
          <w:sz w:val="21"/>
          <w:szCs w:val="21"/>
          <w:highlight w:val="none"/>
        </w:rPr>
        <w:t xml:space="preserve">数量</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本项目具体</w:t>
      </w:r>
      <w:r>
        <w:rPr>
          <w:rFonts w:hint="eastAsia" w:ascii="宋体" w:hAnsi="宋体" w:eastAsia="宋体" w:cs="宋体"/>
          <w:color w:val="auto"/>
          <w:sz w:val="21"/>
          <w:szCs w:val="21"/>
          <w:highlight w:val="none"/>
          <w:lang w:val="en-US" w:eastAsia="zh-CN"/>
        </w:rPr>
        <w:t xml:space="preserve">清单</w:t>
      </w:r>
      <w:r>
        <w:rPr>
          <w:rFonts w:hint="eastAsia" w:ascii="宋体" w:hAnsi="宋体" w:eastAsia="宋体" w:cs="宋体"/>
          <w:color w:val="auto"/>
          <w:sz w:val="21"/>
          <w:szCs w:val="21"/>
          <w:highlight w:val="none"/>
        </w:rPr>
        <w:t xml:space="preserve">数量见采购清单。其中路面</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数量是根据工程现场情况估算的</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量，它们不能作为投标人在履行合同义务过程中应予完成工程的实际和准确的</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量。除另有规定外，本合同以按采购人及供应商两方签认的完成的</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数量并达到合同规定的质量标准的数量作为最终支付结算的</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数量。</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合同金额、形式及结算方式</w:t>
      </w:r>
      <w:r/>
    </w:p>
    <w:p>
      <w:pPr>
        <w:numPr>
          <w:ilvl w:val="0"/>
          <w:numId w:val="1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合同金额、形式</w:t>
      </w:r>
      <w:r/>
    </w:p>
    <w:p>
      <w:pPr>
        <w:numPr>
          <w:ilvl w:val="0"/>
          <w:numId w:val="14"/>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类项目采用固定单价承包、按实结算的方式，最终合同价格按采购人与供应商两方签认完成的工程数量及本合同采购清单单价确定。在合同实施期间，单价类项目的综合单价不予调整。供应商对采购人的决定必须无条件接受，否则，采购人有权终止合同。在合同实施期间，如发生单价类清单以外的小修项目，应重新核定单价，核价原则为：在《公路桥梁养护工程预算定额》JTG/T 5612-2020测算预算单价（材料价格按投标当月材料指导价）的基础上，按照供应商中标单价类项目总价与单价类最高投标限价的下浮率，同比例调整。</w:t>
      </w:r>
      <w:r/>
    </w:p>
    <w:p>
      <w:pPr>
        <w:numPr>
          <w:ilvl w:val="0"/>
          <w:numId w:val="14"/>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基价类项目采用“总量包干、总价承包、缺陷扣减、定期考核”的方式，按季度并结合考核情况等比例计量。具体考评办法采购人将另行制定。</w:t>
      </w:r>
      <w:r/>
    </w:p>
    <w:p>
      <w:pPr>
        <w:numPr>
          <w:ilvl w:val="0"/>
          <w:numId w:val="14"/>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采购人在签订合同协议书前有权对投标报价中出现的不平衡报价（单价类项目综合单价）要求中标人进行澄清、调整，但不变更总报价，如中标人拒绝调整，则视为拒绝中标，但投标保证金不予以退还。</w:t>
      </w:r>
      <w:r/>
    </w:p>
    <w:p>
      <w:pPr>
        <w:numPr>
          <w:ilvl w:val="0"/>
          <w:numId w:val="1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合同结算方式：</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预付款：合同签订后14个工作日内；预付款支付比例：合同金额的10%。预付款在前两次支付中等额扣回。</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月计量，每三个月进行支付一次，最后按实际月份进行支付，每次支付金额为当期计量款的90%。</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业主结算审核完成后付至结算价的95%。</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余款在缺陷责任期满后付清。</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以上合同价款视采购人上级财政部门落实情况进行支付。</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日常养护工作范围以外，因交通事故造成的路面污染或积雪清扫等突发事件，应采购人要求需要供应商及时派遣临时人工及车辆提供应急服务，这种突击任务发生的人工按政策文件结算、机械台班按养护定额的工程机械台班费用定额结算。</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每季度实际支付的款项＝经验收确定的项目费用+经采购人批准使用的暂列金额-按合同约定由采购人作出的处罚金。</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不合格的材料和工艺</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本项目中不得使用不符合设计（包括技术规范）要求或不合格的材料和不能保证服务（工程）质量的工艺。采购人一旦发现上述情况，并出具通知，供应商应按照采购人的指令立即更换、更改，对由此造成的损失应由供应商自行负责。</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防护</w:t>
      </w:r>
      <w:r/>
    </w:p>
    <w:p>
      <w:pPr>
        <w:numPr>
          <w:ilvl w:val="0"/>
          <w:numId w:val="16"/>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合同实施过程中，为了保证本项目的安全施工，供应商应对各项养护和维修工作采取必要的防护和安全措施，并承担所需的费用。</w:t>
      </w:r>
      <w:r/>
    </w:p>
    <w:p>
      <w:pPr>
        <w:numPr>
          <w:ilvl w:val="0"/>
          <w:numId w:val="16"/>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供应商应采取一切合理的措施，以保护现场及其附近环境，并避免由其施工方面引起的污染、噪声或其他后果对公众造成人身或财物方面的伤害或妨碍。</w:t>
      </w:r>
      <w:r/>
    </w:p>
    <w:p>
      <w:pPr>
        <w:numPr>
          <w:ilvl w:val="0"/>
          <w:numId w:val="16"/>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在服务期内，供应商应合理地保持现场不出现不必要的障碍物，存放处置好供应商的任何设备和多余的材料并从现场清除运走任何废料、垃圾或不再需要的临时工程。</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安全生产</w:t>
      </w:r>
      <w:r/>
    </w:p>
    <w:p>
      <w:pPr>
        <w:numPr>
          <w:ilvl w:val="0"/>
          <w:numId w:val="17"/>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期间供应商必须严格执行国家、地方政府有关施工安全管理方面的法律、法规及规章制度，同时严格执行采购人制订的本项目安全生产管理方面的规章制度、安全检查程序及施工安全管理要求，以及监理人有关安全工作的指示。</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印发《企业安全生产费用提取和使用管理办法》的通知》（财资〔2022〕136号）”的规定，安全生产费用为本项目清单小计的1.5%。投标人在投标报价时不得对该比例进行调整。如投标人须在此基础上增加安全生产费用以满足项目施工需要，则投标人应在本项目采购清单其它相关细目的单价或总额价中予以考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不再另行支付。安全生产费用在合同执行过程中不随工程量的变化和设计变更而调整。安全生产费应专款专</w:t>
      </w:r>
      <w:r>
        <w:rPr>
          <w:rFonts w:hint="eastAsia" w:ascii="宋体" w:hAnsi="宋体" w:eastAsia="宋体" w:cs="宋体"/>
          <w:color w:val="auto"/>
          <w:sz w:val="21"/>
          <w:szCs w:val="21"/>
          <w:highlight w:val="none"/>
        </w:rPr>
        <w:t xml:space="preserve">用，按采购人制定的安全生产管理办法进行计量支付。投标人中标后，应制定详细的安全生产实施方案，并按江苏省交通运输厅（苏交建[2012]55号）《江苏省公路工程安全生产采购清单编制说明》以及采购人制定的安全生产管理办法的规定对其投标报价时所报的安全生产费进行详细的安全生产采购清单报价编制。安全生产费应专款专用，在合同实施过程中，采购人将按江苏省交通运输厅《江苏省公路工程安全生产采购清单编制说明》的规定对安全生产费进行计量支付。安全生产费用由施工单位上报，最终经确认后支付，总额不超过本项目清单小计之和的1.5%。</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供应商的安全措施达不到要求，采购人有权委托其他单位完成，对此发生的所有费用从供应商的安全生产费中支付。安全生产费用应当用于施工安全防护用具及设施的购买、维护和更新，安全生产措施的落实，安全生产条件的改善，不得挪作他用。</w:t>
      </w:r>
      <w:r/>
    </w:p>
    <w:p>
      <w:pPr>
        <w:numPr>
          <w:ilvl w:val="0"/>
          <w:numId w:val="17"/>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在养护过程中，供应商应高度重视安全生产，严格遵守交通部颁发的《公路养护安全作业规程》（JTG H30-2015）等有关规定，以确保养护作业中人员、施工车辆和机械设备、公路设施的安全。否则，由此造成的损失由供应商承担。</w:t>
      </w:r>
      <w:r/>
    </w:p>
    <w:p>
      <w:pPr>
        <w:numPr>
          <w:ilvl w:val="0"/>
          <w:numId w:val="17"/>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上路作业应按规定办理相关手续，并服从公安、路政部门的管理，施工时按相关要求摆放标志标牌等，作业人员须穿着统一的安全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养护车辆及设备应整齐地停放，不得侵占行车道，并按规定设置相应的警示和隔离标志。</w:t>
      </w:r>
      <w:r/>
    </w:p>
    <w:p>
      <w:pPr>
        <w:numPr>
          <w:ilvl w:val="0"/>
          <w:numId w:val="17"/>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因供应商养护工作不到位造成公众生命财产损害导致的责任与赔偿由供应商承担。</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文明施工及环境保护</w:t>
      </w:r>
      <w:r/>
    </w:p>
    <w:p>
      <w:pPr>
        <w:numPr>
          <w:ilvl w:val="0"/>
          <w:numId w:val="18"/>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在本合同服务期内，供应商必须遵守国家有关环境保护的法令。</w:t>
      </w:r>
      <w:r/>
    </w:p>
    <w:p>
      <w:pPr>
        <w:numPr>
          <w:ilvl w:val="0"/>
          <w:numId w:val="18"/>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如果由于供应商实施施工的原因，破坏了环境保护而导致的损失和赔偿，则由供应商承担全部责任。</w:t>
      </w:r>
      <w:r/>
    </w:p>
    <w:p>
      <w:pPr>
        <w:numPr>
          <w:ilvl w:val="0"/>
          <w:numId w:val="18"/>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实施过程中应做好相应的交通疏导工作；在项目服务期间，应结合日常养护及应急处置现场及周边的环境，采取必要的围挡及美化措施，在保证安全的前提下，做好文明施工、环保施工工作。其费用含在合同总价中，不单独计列。</w:t>
      </w:r>
      <w:r/>
    </w:p>
    <w:p>
      <w:pPr>
        <w:numPr>
          <w:ilvl w:val="0"/>
          <w:numId w:val="18"/>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实施和完成本合同工程及缺陷修复工作中的一切施工作业时必须承担因供应商借用、占用或使用当地道路或其他交通设施所引起的补偿费、诉讼费、损害赔偿、指控费及其他开支。供应商必须及时做好施工涉及相关道路的交通维护、保洁维修工作，</w:t>
      </w:r>
      <w:r>
        <w:rPr>
          <w:rFonts w:hint="eastAsia" w:ascii="宋体" w:hAnsi="宋体" w:eastAsia="宋体" w:cs="宋体"/>
          <w:color w:val="auto"/>
          <w:sz w:val="21"/>
          <w:szCs w:val="21"/>
          <w:highlight w:val="none"/>
        </w:rPr>
        <w:t xml:space="preserve">维持沿线村镇的居民的饮水、农田灌溉、生产生活用电及通信等管线的正常使用；各类施工过程中，应自觉保护好其他新建道路既有设施，施工中应做到文明施工，确保不发生沿线扬尘、排污，而影响地方生活、生产和交通行车安全，尤其是泥浆排放应采取有效措施和施工工艺，不得污染环境和影响现有道路和在建其他道路的通行和施工；确保不因施工造成地方利益的损害，由此发生的一切协调、维护、维修费用均由供应商承担。在工程实施期间，应严格执行宁政发〔2013〕137号《市政府关于进一步加强建设工程文明施工管理的意见》和宁政办发〔2014〕119</w:t>
      </w:r>
      <w:r>
        <w:rPr>
          <w:rFonts w:hint="eastAsia" w:ascii="宋体" w:hAnsi="宋体" w:eastAsia="宋体" w:cs="宋体"/>
          <w:color w:val="auto"/>
          <w:sz w:val="21"/>
          <w:szCs w:val="21"/>
          <w:highlight w:val="none"/>
        </w:rPr>
        <w:t xml:space="preserve">号《市政府办公厅印发关于进一步加强环境治理提升环境质量若干措施实施细则的通知》、宁政发〔2014〕229号《市政府印发关于进一步加强环境治理提升环境质量的若干措施的通知》《南京市大气污染防治条例》《南京市扬尘污染防治管理办法》（市政府287号令）、《南京市渣土运输管理办法》（市政府301号令）、《关于印发南京市交通运输行业“两减六治三提升”工作实施方案的通知》（南京市交通运输局宁交科〔2017〕61号）、宁交规〔2015〕501号《关于开展建筑工地施工机械及工程车辆使用清洁油品专项检查通知》等中的相关规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施工禁用高排放非道路移动机械。禁止使用国一及以下和排放不达标的非道路移动机械，工程实施期间采购人按现行相关要求对投入的机械设备进行检查，对不按规定执行的使用人或所有人依法查处，为此发生的相关费用包含在所报的单价或总价中，采购人不再另行计列和支付。</w:t>
      </w:r>
      <w:r/>
    </w:p>
    <w:p>
      <w:pPr>
        <w:numPr>
          <w:ilvl w:val="0"/>
          <w:numId w:val="18"/>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如供应商在施工期间未能做好环境保护工作，使得周边环境遭到破坏或污染（包括扬尘污染），经采购人认可后，按照5000元/次的标准从计量款中扣除供应商的违约金。</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交工验收</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本项目服务期结束时即是工程完工，供应商在完成日常养护作业后由监理及时组织验收。</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缺陷责任期</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基价类无缺陷责任期，单价类缺陷责任期6个月。缺陷责任期自某项工作维修完成并经采购人验收合格之日起算。</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在缺陷责任期内，供应商应负责对已完工程进行维护、保养。工程如发生损坏，除不可抗力原因外，供应商应认真采取修复措施，承担全部修复费用。</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违约</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将按照有关技术规范及所规定的要求对供应商所维修的质量验收，并对其质量进行不定期的检验鉴定，如不符要求供应商应立即重修，且修复时限不得超出本合同规定时间，否则采购人按拖延维修时间予以确认。</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在施工过程中，因供应商养护管理不善而造成的任何形式的纠纷或事故，采购人概不承担任何责任。</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因供应商原因致使项目养护及维修质量不符合国家有关规范标准或不符合双方约定标准，而造成人身和财产损害的，供应商应当承担损害赔偿责任。</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对于因供应商原因造成服务进度滞后的事实或可能，采购人根据总体服务期要求以及单价类项目的进度要求有权强制分割合同，并指定第三方完成。</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项目经理及现场负责人每月在岗天数不低于22天，每少1天课以1000元违约金。</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需要根据道路养护范围和里程，储备充足数量的应急物资和材料，以保障道路在应对降雨、降雪、冰冻、水毁、事故等极端天气和突发事件时的安全和畅通，采购人可根据应急物资和材料的储备情况以及对道路安全畅通造成的影响和损失酌情扣减合同价款。</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做好企业的信访稳定工作，根据有关法律法规，切实保障职工合法权益，并将此项内容作为日常考核的重要依据，对未能保障职工合法权益的，或造成信访不稳定，或产生恶劣影响的，采购人可根据情况酌情扣减养护经费。</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按照“分工专业化、养护精细化、作业规范化、效果精致化”的养护要求组建路面、路基、桥涵构造物、沿线设施等专业养护队，在项目所在地区附近设置养护作业区，且至少配备满足项目需要的常用养护、应急设备。合同签订前以及合同履约过程中，采购人将按照相关规定对中标人的履约情况进行检查和审核，不满足上述规定的，采购人有权终止合同。</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无不可抗力的因素，未经采购人同意，供应商不得随意拖延维修时间，供应商如未在本合同规定的时间内（要求供应商24小时内完成一般病害的养护修复任务，严重影响交通安全的病害应及时处理）进行修复，采购人将对供应商提出书面警告。如供应商累计三次被采购人书面警告，本合同将自行终止。</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将按照有关技术规范及所规定的要求对供应商所维修的质量验收，并对其质量进行不定期的检验鉴定，如不符要求供应商应立即重修，且修复时限不得超出本合同规定时间，否则采购人按拖延维修时间予以确认。</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如果一方未履行合同规定的责任，给对方造成不良影响和经济损失的，由责任方对损失方偿付相当于合同总价20%的违约金，同时承担相应责任并赔偿经济损失。损失方有权终止合同。</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合同条款其他章节规定的违约情形。</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项目</w:t>
      </w:r>
      <w:r>
        <w:rPr>
          <w:rFonts w:hint="eastAsia" w:ascii="宋体" w:hAnsi="宋体" w:eastAsia="宋体" w:cs="宋体"/>
          <w:b/>
          <w:bCs/>
          <w:color w:val="auto"/>
          <w:sz w:val="21"/>
          <w:szCs w:val="21"/>
          <w:highlight w:val="none"/>
        </w:rPr>
        <w:t xml:space="preserve">变更</w:t>
      </w:r>
      <w:r/>
    </w:p>
    <w:p>
      <w:pPr>
        <w:numPr>
          <w:ilvl w:val="0"/>
          <w:numId w:val="20"/>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如果采购人认为有必要后即可通过有关手续对工程或其中任何部分的形式、质量或数量作出任何变更，采购人有权指示供应商进行也应进行下述工作：</w:t>
      </w:r>
      <w:r/>
    </w:p>
    <w:p>
      <w:pPr>
        <w:numPr>
          <w:ilvl w:val="0"/>
          <w:numId w:val="21"/>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增加或减少合同中所包括的任何工程的数量；</w:t>
      </w:r>
      <w:r/>
    </w:p>
    <w:p>
      <w:pPr>
        <w:numPr>
          <w:ilvl w:val="0"/>
          <w:numId w:val="21"/>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省略任何这类工作（但被省略的工作由采购人或其他供应商实施者除外）；</w:t>
      </w:r>
      <w:r/>
    </w:p>
    <w:p>
      <w:pPr>
        <w:numPr>
          <w:ilvl w:val="0"/>
          <w:numId w:val="21"/>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改变任何这类工作的性质或质量或类型；</w:t>
      </w:r>
      <w:r/>
    </w:p>
    <w:p>
      <w:pPr>
        <w:numPr>
          <w:ilvl w:val="0"/>
          <w:numId w:val="21"/>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改变工程任何部分的标高、基线、位置和尺寸；上述变更不应以任何方式使合同作废或失效。</w:t>
      </w:r>
      <w:r/>
    </w:p>
    <w:p>
      <w:pPr>
        <w:numPr>
          <w:ilvl w:val="0"/>
          <w:numId w:val="20"/>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认为适当的所有变更，应以合同中规定的单价进行计价。如合同中未包括适用于该变更工作的单价，则应在合理的范围内使用合同中的其他基础单价作为计价的基础。如工程数量的变更导致合同金额减少，不论减少程度有多大，供应商都不得向采购人提出费用补偿。</w:t>
      </w:r>
      <w:r/>
    </w:p>
    <w:p>
      <w:pPr>
        <w:numPr>
          <w:ilvl w:val="0"/>
          <w:numId w:val="20"/>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本合同价格在合同生效后任何一方不得擅自改变，但双方另有约定或发生下列情况之一的可作调整。</w:t>
      </w:r>
      <w:r/>
    </w:p>
    <w:p>
      <w:pPr>
        <w:numPr>
          <w:ilvl w:val="0"/>
          <w:numId w:val="22"/>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采购人或其代表确认的工程量增减。</w:t>
      </w:r>
      <w:r/>
    </w:p>
    <w:p>
      <w:pPr>
        <w:numPr>
          <w:ilvl w:val="0"/>
          <w:numId w:val="22"/>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采购人或其代表确认的设计变更或工程洽商。</w:t>
      </w:r>
      <w:r/>
    </w:p>
    <w:p>
      <w:pPr>
        <w:numPr>
          <w:ilvl w:val="0"/>
          <w:numId w:val="22"/>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其它采购人或其代表同意的价格调整。</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供应商应在上述情况发生后10天内，将调整的原因、金额以书面形式通知采购人或其代表，采购人或其代表批准后通知供应商。</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不可抗力</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事人一方因不可抗力不能履行合同的，应当及时通知对方，并应当积极采取措施以减轻或消除可能给对方造成的损失，并应当在事件结束后7天内提供有力证明。因不可抗力不能履行合同的，根据不可抗力的影响，部分或者全部（由双方协商确定）免除责任，但法律另有规定的除外。当事人迟延履行后发生不可抗力的，不能免除责任。因不可抗力使合同不能如期履行时，由双方协商确定是否延期履行或终止本合同。本项目中供应商无法预见，也无法采取措施加以防范的或自然力的破坏作用，主要是指以下情况（但不限于以下情况）：</w:t>
      </w:r>
      <w:r/>
    </w:p>
    <w:p>
      <w:pPr>
        <w:numPr>
          <w:ilvl w:val="0"/>
          <w:numId w:val="2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合同路段的交通量非正常性增长，对道路造成结构性损坏的；</w:t>
      </w:r>
      <w:r/>
    </w:p>
    <w:p>
      <w:pPr>
        <w:numPr>
          <w:ilvl w:val="0"/>
          <w:numId w:val="2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合同路段发生重大交通事故，对道路造成较大损坏的；</w:t>
      </w:r>
      <w:r/>
    </w:p>
    <w:p>
      <w:pPr>
        <w:numPr>
          <w:ilvl w:val="0"/>
          <w:numId w:val="2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合同路段发生水毁的；</w:t>
      </w:r>
      <w:r/>
    </w:p>
    <w:p>
      <w:pPr>
        <w:numPr>
          <w:ilvl w:val="0"/>
          <w:numId w:val="2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合同路段区域内发生地震等自然灾害，对道路造成损坏的。</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税金和保险</w:t>
      </w:r>
      <w:r/>
    </w:p>
    <w:p>
      <w:pPr>
        <w:numPr>
          <w:ilvl w:val="0"/>
          <w:numId w:val="24"/>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政府根据现行税法和有关部门现行规定就本合同项下向供应商征收的所有税金及其它应缴纳的所有费用，均由供应商摊入各工程细目的单价中，不另报价。</w:t>
      </w:r>
      <w:r/>
    </w:p>
    <w:p>
      <w:pPr>
        <w:numPr>
          <w:ilvl w:val="0"/>
          <w:numId w:val="24"/>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w:t>
      </w:r>
      <w:r/>
    </w:p>
    <w:p>
      <w:pPr>
        <w:numPr>
          <w:ilvl w:val="0"/>
          <w:numId w:val="2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本项目公众责任险由中标人以供应商、采购人（南京市江宁区交通运输局）的名义投保，投保条件与投保费率由供应商根据江苏省保险行业协会有关公路工程保险的相关规定自行考虑，其费用在采购清单中列支。</w:t>
      </w:r>
      <w:r/>
    </w:p>
    <w:p>
      <w:pPr>
        <w:numPr>
          <w:ilvl w:val="0"/>
          <w:numId w:val="2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本项目建筑工程一切险及第三者责任险由中标人以中标人、采购人</w:t>
      </w:r>
      <w:r>
        <w:rPr>
          <w:rFonts w:hint="eastAsia" w:ascii="宋体" w:hAnsi="宋体" w:eastAsia="宋体" w:cs="宋体"/>
          <w:color w:val="auto"/>
          <w:sz w:val="21"/>
          <w:szCs w:val="21"/>
          <w:highlight w:val="none"/>
        </w:rPr>
        <w:t xml:space="preserve">（南京市江宁区交通运输局）</w:t>
      </w:r>
      <w:r>
        <w:rPr>
          <w:rFonts w:hint="eastAsia" w:ascii="宋体" w:hAnsi="宋体" w:eastAsia="宋体" w:cs="宋体"/>
          <w:bCs/>
          <w:color w:val="auto"/>
          <w:sz w:val="21"/>
          <w:szCs w:val="21"/>
          <w:highlight w:val="none"/>
        </w:rPr>
        <w:t xml:space="preserve">的名义投保，投保条件与保险费率由中标人根据江苏省保险行业协会有关公路工程保险的相关规定自行考虑。其费用在采购清单中列支。</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苏人社规[2023]2号文《江苏省人力资源社会保障厅江苏省财政厅江苏省税务局关于印发江苏省工伤保险费率管理办法(修订版)的通知》、苏人社函[2025]1号《省人力资源社会保障厅关于确定2025年全省工程建设项目工伤保险费率的通知》的规定，工伤保险费率为最高投标限价的3‰，费用在采购清单中列支。</w:t>
      </w:r>
      <w:r/>
    </w:p>
    <w:p>
      <w:pPr>
        <w:numPr>
          <w:ilvl w:val="0"/>
          <w:numId w:val="2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装备险和中标人职工的（人身）事故险（包括临时工和民工）均由中标人投保，保险费由供应商承担并支付，其费用含在中标人的投标报价中，采购人不另行计量与支付。供应商负责办理产品在采购、运输过程中的一切保险，保险费由供应商承担。由此发生的相关费用计入采购清单各工程细目的单价或总价中，采购人不再另行计量与支付。</w:t>
      </w:r>
      <w:r/>
    </w:p>
    <w:p>
      <w:pPr>
        <w:numPr>
          <w:ilvl w:val="0"/>
          <w:numId w:val="2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供应商必须按招标文件和国家有关规定办理各种保险，一旦发生保险范围内的事件，损失由中标人自行承担。</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诉讼和法律</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供应商与采购人发生合同纠纷时，双方应尽量通过协商解决，协商不成时，申诉方可向南京市人民法院提起诉讼，相关费用由败诉方承担。</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本合同条款未尽事宜，合同双方应参照《中华人民共和国民法典》执行。</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合同生效</w:t>
      </w:r>
      <w:r/>
    </w:p>
    <w:p>
      <w:pPr>
        <w:ind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本合同经各方法人代表或授权人签字并加盖公章后生效。</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其它</w:t>
      </w:r>
      <w:r/>
    </w:p>
    <w:p>
      <w:pPr>
        <w:pStyle w:val="849"/>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其他未尽事宜，双方友好协商解决。</w:t>
      </w:r>
      <w:bookmarkEnd w:id="43"/>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color w:val="auto"/>
          <w:lang w:val="en-US"/>
        </w:rPr>
      </w:pPr>
      <w:r>
        <w:rPr>
          <w:rFonts w:hint="eastAsia"/>
          <w:color w:val="auto"/>
          <w:lang w:val="en-US"/>
        </w:rPr>
      </w:r>
      <w:r/>
    </w:p>
    <w:p>
      <w:pPr>
        <w:pStyle w:val="825"/>
        <w:ind w:left="23" w:right="25" w:firstLine="456"/>
        <w:spacing w:before="64" w:line="360" w:lineRule="auto"/>
        <w:rPr>
          <w:rFonts w:hint="eastAsia"/>
          <w:color w:val="auto"/>
          <w:sz w:val="22"/>
          <w:szCs w:val="22"/>
          <w:highlight w:val="none"/>
          <w:lang w:val="zh-CN" w:eastAsia="zh-CN" w:bidi="ar"/>
        </w:rPr>
      </w:pPr>
      <w:r>
        <w:rPr>
          <w:rFonts w:hint="eastAsia"/>
          <w:color w:val="auto"/>
          <w:sz w:val="22"/>
          <w:szCs w:val="22"/>
          <w:highlight w:val="none"/>
          <w:lang w:val="zh-CN" w:eastAsia="zh-CN" w:bidi="ar"/>
        </w:rPr>
      </w:r>
      <w:r/>
    </w:p>
    <w:p>
      <w:pPr>
        <w:jc w:val="center"/>
        <w:spacing w:line="360" w:lineRule="auto"/>
        <w:rPr>
          <w:rFonts w:hint="eastAsia" w:ascii="宋体" w:hAnsi="宋体" w:cs="宋体"/>
          <w:color w:val="auto"/>
          <w:sz w:val="36"/>
          <w:szCs w:val="36"/>
          <w:highlight w:val="none"/>
          <w:lang w:val="zh-CN"/>
        </w:rPr>
      </w:pPr>
      <w:r/>
      <w:bookmarkStart w:id="44" w:name="_Toc22562"/>
      <w:r/>
      <w:bookmarkStart w:id="45" w:name="_Toc14391"/>
      <w:r/>
      <w:bookmarkStart w:id="46" w:name="_Toc7238"/>
      <w:r/>
      <w:bookmarkStart w:id="47" w:name="_Toc28215"/>
      <w:r>
        <w:rPr>
          <w:rStyle w:val="1005"/>
          <w:rFonts w:hint="eastAsia"/>
          <w:color w:val="auto"/>
          <w:highlight w:val="none"/>
          <w:lang w:val="zh-CN"/>
        </w:rPr>
        <w:t xml:space="preserve">第五章</w:t>
      </w:r>
      <w:r>
        <w:rPr>
          <w:rStyle w:val="1005"/>
          <w:rFonts w:hint="eastAsia"/>
          <w:color w:val="auto"/>
          <w:highlight w:val="none"/>
        </w:rPr>
        <w:t xml:space="preserve"> </w:t>
      </w:r>
      <w:r>
        <w:rPr>
          <w:rStyle w:val="1005"/>
          <w:rFonts w:hint="eastAsia"/>
          <w:color w:val="auto"/>
          <w:highlight w:val="none"/>
          <w:lang w:val="zh-CN"/>
        </w:rPr>
        <w:t xml:space="preserve">合同主要条款及格式</w:t>
      </w:r>
      <w:bookmarkEnd w:id="44"/>
      <w:r/>
      <w:bookmarkEnd w:id="45"/>
      <w:r/>
      <w:bookmarkEnd w:id="46"/>
      <w:r/>
      <w:bookmarkEnd w:id="47"/>
      <w:r/>
      <w:r/>
    </w:p>
    <w:p>
      <w:pPr>
        <w:jc w:val="center"/>
        <w:spacing w:line="360" w:lineRule="auto"/>
        <w:shd w:val="clear" w:color="auto" w:fill="ffffff"/>
        <w:widowControl/>
        <w:rPr>
          <w:rFonts w:hint="eastAsia" w:ascii="宋体" w:hAnsi="宋体"/>
          <w:color w:val="auto"/>
          <w:sz w:val="52"/>
          <w:szCs w:val="52"/>
          <w:highlight w:val="none"/>
        </w:rPr>
      </w:pPr>
      <w:r>
        <w:rPr>
          <w:rFonts w:hint="eastAsia" w:ascii="宋体" w:hAnsi="宋体"/>
          <w:color w:val="auto"/>
          <w:sz w:val="52"/>
          <w:szCs w:val="52"/>
          <w:highlight w:val="none"/>
        </w:rPr>
      </w:r>
      <w:r/>
    </w:p>
    <w:p>
      <w:pPr>
        <w:jc w:val="center"/>
        <w:spacing w:line="360" w:lineRule="auto"/>
        <w:rPr>
          <w:b/>
          <w:color w:val="auto"/>
          <w:highlight w:val="none"/>
        </w:rPr>
      </w:pPr>
      <w:r>
        <w:rPr>
          <w:rFonts w:hint="eastAsia"/>
          <w:b/>
          <w:color w:val="auto"/>
          <w:highlight w:val="none"/>
        </w:rPr>
        <w:t xml:space="preserve">南京市江宁区政府采购合同（服务类）</w:t>
      </w:r>
      <w:r/>
    </w:p>
    <w:p>
      <w:pPr>
        <w:ind w:firstLine="3240"/>
        <w:rPr>
          <w:rFonts w:hint="eastAsia" w:ascii="宋体" w:hAnsi="宋体" w:cs="方正小标宋简体"/>
          <w:bCs/>
          <w:color w:val="auto"/>
          <w:sz w:val="36"/>
          <w:szCs w:val="36"/>
          <w:highlight w:val="none"/>
        </w:rPr>
      </w:pPr>
      <w:r/>
      <w:bookmarkStart w:id="48" w:name="_Toc27946"/>
      <w:r/>
      <w:bookmarkStart w:id="49" w:name="_Toc18137"/>
      <w:r/>
      <w:bookmarkStart w:id="50" w:name="_Toc29597"/>
      <w:r>
        <w:rPr>
          <w:rFonts w:hint="eastAsia" w:ascii="宋体" w:hAnsi="宋体" w:cs="方正小标宋简体"/>
          <w:bCs/>
          <w:color w:val="auto"/>
          <w:sz w:val="36"/>
          <w:szCs w:val="36"/>
          <w:highlight w:val="none"/>
        </w:rPr>
        <w:t xml:space="preserve">采购合同（暂定稿）</w:t>
      </w:r>
      <w:r/>
    </w:p>
    <w:p>
      <w:pPr>
        <w:pStyle w:val="819"/>
        <w:rPr>
          <w:rFonts w:hint="eastAsia"/>
          <w:color w:val="auto"/>
          <w:sz w:val="24"/>
          <w:szCs w:val="24"/>
          <w:highlight w:val="none"/>
        </w:rPr>
      </w:pPr>
      <w:r>
        <w:rPr>
          <w:rFonts w:hint="eastAsia"/>
          <w:color w:val="auto"/>
          <w:sz w:val="24"/>
          <w:szCs w:val="24"/>
          <w:highlight w:val="none"/>
        </w:rPr>
      </w:r>
      <w:r/>
    </w:p>
    <w:p>
      <w:pPr>
        <w:rPr>
          <w:rFonts w:hint="eastAsia"/>
          <w:color w:val="auto"/>
          <w:sz w:val="28"/>
          <w:szCs w:val="28"/>
        </w:rPr>
      </w:pPr>
      <w:r>
        <w:rPr>
          <w:color w:val="auto"/>
          <w:sz w:val="28"/>
          <w:szCs w:val="28"/>
        </w:rPr>
        <w:t xml:space="preserve">合同编号：</w:t>
      </w:r>
      <w:r/>
    </w:p>
    <w:p>
      <w:pPr>
        <w:rPr>
          <w:rFonts w:hint="eastAsia"/>
          <w:color w:val="auto"/>
          <w:sz w:val="28"/>
          <w:szCs w:val="28"/>
        </w:rPr>
      </w:pPr>
      <w:r>
        <w:rPr>
          <w:color w:val="auto"/>
          <w:sz w:val="28"/>
          <w:szCs w:val="28"/>
        </w:rPr>
        <w:t xml:space="preserve">项目名称：                                       项目编号：</w:t>
      </w:r>
      <w:r/>
    </w:p>
    <w:p>
      <w:pPr>
        <w:rPr>
          <w:rFonts w:hint="eastAsia"/>
          <w:color w:val="auto"/>
          <w:sz w:val="28"/>
          <w:szCs w:val="28"/>
        </w:rPr>
      </w:pPr>
      <w:r>
        <w:rPr>
          <w:color w:val="auto"/>
          <w:sz w:val="28"/>
          <w:szCs w:val="28"/>
        </w:rPr>
        <w:t xml:space="preserve">甲方</w:t>
      </w:r>
      <w:r>
        <w:rPr>
          <w:rFonts w:hint="eastAsia"/>
          <w:color w:val="auto"/>
          <w:sz w:val="28"/>
          <w:szCs w:val="28"/>
        </w:rPr>
        <w:t xml:space="preserve">（采购人）</w:t>
      </w:r>
      <w:r>
        <w:rPr>
          <w:color w:val="auto"/>
          <w:sz w:val="28"/>
          <w:szCs w:val="28"/>
        </w:rPr>
        <w:t xml:space="preserve">：</w:t>
      </w:r>
      <w:r>
        <w:rPr>
          <w:rFonts w:hint="eastAsia"/>
          <w:color w:val="auto"/>
          <w:sz w:val="28"/>
          <w:szCs w:val="28"/>
        </w:rPr>
        <w:t xml:space="preserve"> </w:t>
      </w:r>
      <w:r/>
    </w:p>
    <w:p>
      <w:pPr>
        <w:rPr>
          <w:rFonts w:hint="eastAsia"/>
          <w:color w:val="auto"/>
          <w:sz w:val="28"/>
          <w:szCs w:val="28"/>
        </w:rPr>
      </w:pPr>
      <w:r>
        <w:rPr>
          <w:color w:val="auto"/>
          <w:sz w:val="28"/>
          <w:szCs w:val="28"/>
        </w:rPr>
        <w:t xml:space="preserve">乙方</w:t>
      </w:r>
      <w:r>
        <w:rPr>
          <w:rFonts w:hint="eastAsia"/>
          <w:color w:val="auto"/>
          <w:sz w:val="28"/>
          <w:szCs w:val="28"/>
        </w:rPr>
        <w:t xml:space="preserve">（供应商）</w:t>
      </w:r>
      <w:r>
        <w:rPr>
          <w:color w:val="auto"/>
          <w:sz w:val="28"/>
          <w:szCs w:val="28"/>
        </w:rPr>
        <w:t xml:space="preserve">： </w:t>
      </w:r>
      <w:r/>
    </w:p>
    <w:p>
      <w:pPr>
        <w:pStyle w:val="819"/>
        <w:rPr>
          <w:rFonts w:hint="eastAsia"/>
          <w:color w:val="auto"/>
          <w:sz w:val="24"/>
          <w:szCs w:val="24"/>
          <w:highlight w:val="none"/>
        </w:rPr>
      </w:pPr>
      <w:r>
        <w:rPr>
          <w:rFonts w:hint="eastAsia"/>
          <w:color w:val="auto"/>
          <w:sz w:val="24"/>
          <w:szCs w:val="24"/>
          <w:highlight w:val="none"/>
        </w:rPr>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甲、乙双方根据</w:t>
      </w:r>
      <w:r>
        <w:rPr>
          <w:rFonts w:hint="eastAsia" w:ascii="宋体" w:hAnsi="宋体"/>
          <w:color w:val="auto"/>
          <w:sz w:val="24"/>
          <w:szCs w:val="24"/>
          <w:highlight w:val="none"/>
          <w:u w:val="single"/>
        </w:rPr>
        <w:t xml:space="preserve">            项目</w:t>
      </w:r>
      <w:r>
        <w:rPr>
          <w:rFonts w:hint="eastAsia" w:ascii="宋体" w:hAnsi="宋体"/>
          <w:color w:val="auto"/>
          <w:sz w:val="24"/>
          <w:szCs w:val="24"/>
          <w:highlight w:val="none"/>
        </w:rPr>
        <w:t xml:space="preserve">公开采购招标结果，签署本合同。</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．工程概况</w:t>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2026年江宁区县道日常养护项目主要包括包括对全区 448.245公里县道的养护，道路病害维修、桥涵构造物维修维护、安保更换维修维护、突发道路事件处置、以及道路附属设施养护等以及采购人指令的其它工作内容。</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．下列文件应视为构成合同文件的组成部分：</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）本协议书及各种合同附件（含评标期间和合同谈判过程中的澄清文件和补充资料）；</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）成交通知书；</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）投标函；</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）合同专用条款；</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（5）养护技术规范；</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（6）乙方有关人员、设备投入的承诺及投标文件中的组织设计；</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（7）其他合同文件。</w:t>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上述合同文件互相补充和解释。如果合同文件之间存在矛盾或不一致之处，以上述文件的排列顺序在先者为准。</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．根据招标文件及响应文件计算合同价：人民币（大写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ascii="宋体" w:hAnsi="宋体" w:cs="Calibri"/>
          <w:color w:val="auto"/>
          <w:sz w:val="24"/>
          <w:szCs w:val="24"/>
          <w:highlight w:val="none"/>
        </w:rPr>
        <w:t xml:space="preserve">¥</w:t>
      </w:r>
      <w:r>
        <w:rPr>
          <w:rFonts w:hint="eastAsia" w:ascii="宋体" w:hAnsi="宋体" w:cs="Calibri"/>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4、养护期限：2026年1月1日至2026年12月31日（实际起止时间以合同约定为准)。缺陷责任期：</w:t>
      </w:r>
      <w:r>
        <w:rPr>
          <w:rFonts w:hint="eastAsia"/>
          <w:color w:val="auto"/>
          <w:highlight w:val="none"/>
        </w:rPr>
        <w:t xml:space="preserve">基价类无，单价类6个月</w:t>
      </w:r>
      <w:r>
        <w:rPr>
          <w:rFonts w:hint="eastAsia" w:ascii="宋体" w:hAnsi="宋体"/>
          <w:color w:val="auto"/>
          <w:sz w:val="24"/>
          <w:szCs w:val="24"/>
          <w:highlight w:val="none"/>
        </w:rPr>
        <w:t xml:space="preserve">。</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5.计价结算及支付方式：</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一、合同计价方式：采用基价类和单价类结合的方式。</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二、项目工程量变更的约定：</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1）变更范围：1.增加或减少合同中所包括的任何工程的数量；2.省略任何这类工作（但被省略的工作由发包人或其他承包人实施者除外）；3.改变任何这类工作的性质或质量或类型；4、改变工程任何部分的标高、基线、位置和尺寸。</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2）发包人认为适当的所有变更，应以合同中规定的单价进行计价。如合同中未包括适用于该变更工作的单价，则应在合理的范围内使用合同中的其他基础单价作为计价的基础。如工程数量的变更导致合同金额减少，不论减少程度有多大，承包人都不得向发包人提出费用补偿。</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三、结算支付：采用基价类和单价类结合的方式，本项目采用月度计量，季度支付。本项目签订合同后</w:t>
      </w:r>
      <w:r>
        <w:rPr>
          <w:rFonts w:ascii="宋体" w:hAnsi="宋体"/>
          <w:color w:val="auto"/>
          <w:sz w:val="24"/>
          <w:szCs w:val="24"/>
          <w:highlight w:val="none"/>
        </w:rPr>
        <w:t xml:space="preserve">14</w:t>
      </w:r>
      <w:r>
        <w:rPr>
          <w:rFonts w:hint="eastAsia" w:ascii="宋体" w:hAnsi="宋体"/>
          <w:color w:val="auto"/>
          <w:sz w:val="24"/>
          <w:szCs w:val="24"/>
          <w:highlight w:val="none"/>
        </w:rPr>
        <w:t xml:space="preserve">个工作日内支付合同金额的10%预付款，预付款在前两次支付中等额扣回。</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每三个月进行支付一次，最后按实际月份进行支付，每次支付金额为当期计量款的90%。供应商需在付款周期结束前的五个工作日内将清单及发票递交至采购单位核实并申请付款。</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6．乙方项目经理：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7．质量符合：养护达到《公路养护技术规范》等相关技术规范所要求的养护标准；小修保养：交工验收的质量等级合格。安全目标：无安全责任事故。</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8.乙方承诺按合同约定承担项目的实施、完成及缺陷修复。主要内容包括日常巡查、道路日常养护、桥梁日常养护、路面保洁（人员配合机械保洁类）、绿化日常养护、绿化补植、桥涵构造物维修维护及经常性检查、标志标线等安保设施维修维护、应急抢修、突发道路事件处置、防汛防台抗早、冬防、系统维护、交通量调查、路网运维、专项活动、专项维修等及采购人指令的其他工作内容（以工程量清单为准）。</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9.农民工工资保证金：乙方必须按照现行国家、省、市相关规定的要求，缴纳民工工资保证金，建立农民工工资专用账户，实行农民工实名制管理，按月足额支付农民工工资。</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10．甲方承诺按合同约定的条件、时间和方式向乙方支付合同价款。</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11．本协议书在乙方提供履约保证金后，由双方法定代表人或其委托代理人签署并加盖单位章后生效。</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2．本协议书正本二份、副本四份，合同双方各执正本一份，副本二份，当正本与副本的内容不一致时，以正本为准。</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3．合同未尽事宜，双方另行签订补充协议。补充协议是合同的组成部分。</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pStyle w:val="819"/>
        <w:rPr>
          <w:rFonts w:hint="eastAsia"/>
          <w:color w:val="auto"/>
          <w:sz w:val="24"/>
          <w:szCs w:val="24"/>
          <w:highlight w:val="none"/>
        </w:rPr>
      </w:pPr>
      <w:r>
        <w:rPr>
          <w:rFonts w:hint="eastAsia"/>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（盖单位章）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乙方：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（盖单位章）</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法定代表人或其委托代理人：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法定代表人或其委托代理人：</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（签字或盖章）                       （签字或盖章）</w:t>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1"/>
          <w:szCs w:val="21"/>
          <w:highlight w:val="none"/>
        </w:rPr>
      </w:pP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5.2pt;height:689.6pt;mso-wrap-distance-left:0.0pt;mso-wrap-distance-top:0.0pt;mso-wrap-distance-right:0.0pt;mso-wrap-distance-bottom:0.0pt;" stroked="f">
                <v:path textboxrect="0,0,0,0"/>
                <v:imagedata r:id="rId13"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5.2pt;height:689.6pt;mso-wrap-distance-left:0.0pt;mso-wrap-distance-top:0.0pt;mso-wrap-distance-right:0.0pt;mso-wrap-distance-bottom:0.0pt;" stroked="f">
                <v:path textboxrect="0,0,0,0"/>
                <v:imagedata r:id="rId14"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5"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5.2pt;height:689.6pt;mso-wrap-distance-left:0.0pt;mso-wrap-distance-top:0.0pt;mso-wrap-distance-right:0.0pt;mso-wrap-distance-bottom:0.0pt;" stroked="f">
                <v:path textboxrect="0,0,0,0"/>
                <v:imagedata r:id="rId15"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6"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5.2pt;height:689.6pt;mso-wrap-distance-left:0.0pt;mso-wrap-distance-top:0.0pt;mso-wrap-distance-right:0.0pt;mso-wrap-distance-bottom:0.0pt;" stroked="f">
                <v:path textboxrect="0,0,0,0"/>
                <v:imagedata r:id="rId16"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7"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5.2pt;height:689.6pt;mso-wrap-distance-left:0.0pt;mso-wrap-distance-top:0.0pt;mso-wrap-distance-right:0.0pt;mso-wrap-distance-bottom:0.0pt;" stroked="f">
                <v:path textboxrect="0,0,0,0"/>
                <v:imagedata r:id="rId17"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8"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5.2pt;height:689.6pt;mso-wrap-distance-left:0.0pt;mso-wrap-distance-top:0.0pt;mso-wrap-distance-right:0.0pt;mso-wrap-distance-bottom:0.0pt;" stroked="f">
                <v:path textboxrect="0,0,0,0"/>
                <v:imagedata r:id="rId18"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9"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5.2pt;height:689.6pt;mso-wrap-distance-left:0.0pt;mso-wrap-distance-top:0.0pt;mso-wrap-distance-right:0.0pt;mso-wrap-distance-bottom:0.0pt;" stroked="f">
                <v:path textboxrect="0,0,0,0"/>
                <v:imagedata r:id="rId19"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10"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5.2pt;height:689.6pt;mso-wrap-distance-left:0.0pt;mso-wrap-distance-top:0.0pt;mso-wrap-distance-right:0.0pt;mso-wrap-distance-bottom:0.0pt;" stroked="f">
                <v:path textboxrect="0,0,0,0"/>
                <v:imagedata r:id="rId20"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11"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1"/>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85.2pt;height:689.6pt;mso-wrap-distance-left:0.0pt;mso-wrap-distance-top:0.0pt;mso-wrap-distance-right:0.0pt;mso-wrap-distance-bottom:0.0pt;" stroked="f">
                <v:path textboxrect="0,0,0,0"/>
                <v:imagedata r:id="rId21"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12"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2"/>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5.2pt;height:689.6pt;mso-wrap-distance-left:0.0pt;mso-wrap-distance-top:0.0pt;mso-wrap-distance-right:0.0pt;mso-wrap-distance-bottom:0.0pt;" stroked="f">
                <v:path textboxrect="0,0,0,0"/>
                <v:imagedata r:id="rId22"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13"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3"/>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85.2pt;height:689.6pt;mso-wrap-distance-left:0.0pt;mso-wrap-distance-top:0.0pt;mso-wrap-distance-right:0.0pt;mso-wrap-distance-bottom:0.0pt;" stroked="f">
                <v:path textboxrect="0,0,0,0"/>
                <v:imagedata r:id="rId23"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14"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4"/>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5.2pt;height:689.6pt;mso-wrap-distance-left:0.0pt;mso-wrap-distance-top:0.0pt;mso-wrap-distance-right:0.0pt;mso-wrap-distance-bottom:0.0pt;" stroked="f">
                <v:path textboxrect="0,0,0,0"/>
                <v:imagedata r:id="rId24"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15"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5"/>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5.2pt;height:689.6pt;mso-wrap-distance-left:0.0pt;mso-wrap-distance-top:0.0pt;mso-wrap-distance-right:0.0pt;mso-wrap-distance-bottom:0.0pt;" stroked="f">
                <v:path textboxrect="0,0,0,0"/>
                <v:imagedata r:id="rId25" o:title=""/>
              </v:shape>
            </w:pict>
          </mc:Fallback>
        </mc:AlternateContent>
      </w:r>
      <w:r>
        <w:rPr>
          <w:rFonts w:ascii="宋体" w:hAnsi="宋体"/>
          <w:color w:val="auto"/>
          <w:sz w:val="21"/>
          <w:szCs w:val="21"/>
          <w:highlight w:val="none"/>
        </w:rPr>
        <w:br w:type="page" w:clear="all"/>
      </w:r>
      <w:r/>
    </w:p>
    <w:p>
      <w:pPr>
        <w:pStyle w:val="998"/>
        <w:jc w:val="center"/>
        <w:spacing w:line="360" w:lineRule="auto"/>
        <w:rPr>
          <w:rFonts w:hint="eastAsia" w:ascii="宋体" w:hAnsi="宋体" w:cs="宋体"/>
          <w:color w:val="auto"/>
          <w:sz w:val="36"/>
          <w:szCs w:val="36"/>
          <w:highlight w:val="none"/>
          <w:lang w:val="zh-CN"/>
        </w:rPr>
      </w:pPr>
      <w:r/>
      <w:bookmarkStart w:id="51" w:name="_Toc292"/>
      <w:r>
        <w:rPr>
          <w:rFonts w:hint="eastAsia" w:ascii="宋体" w:hAnsi="宋体" w:cs="宋体"/>
          <w:color w:val="auto"/>
          <w:sz w:val="36"/>
          <w:szCs w:val="36"/>
          <w:highlight w:val="none"/>
          <w:lang w:val="zh-CN"/>
        </w:rPr>
        <w:t xml:space="preserve">第六章</w:t>
      </w:r>
      <w:r>
        <w:rPr>
          <w:rFonts w:hint="eastAsia" w:ascii="宋体" w:hAnsi="宋体" w:cs="宋体"/>
          <w:color w:val="auto"/>
          <w:sz w:val="36"/>
          <w:szCs w:val="36"/>
          <w:highlight w:val="none"/>
        </w:rPr>
        <w:t xml:space="preserve"> </w:t>
      </w:r>
      <w:r>
        <w:rPr>
          <w:rFonts w:hint="eastAsia" w:ascii="宋体" w:hAnsi="宋体" w:cs="宋体"/>
          <w:color w:val="auto"/>
          <w:sz w:val="36"/>
          <w:szCs w:val="36"/>
          <w:highlight w:val="none"/>
          <w:lang w:val="zh-CN"/>
        </w:rPr>
        <w:t xml:space="preserve">投标文件格式及附件</w:t>
      </w:r>
      <w:bookmarkEnd w:id="48"/>
      <w:r/>
      <w:bookmarkEnd w:id="49"/>
      <w:r/>
      <w:bookmarkEnd w:id="50"/>
      <w:r/>
      <w:bookmarkEnd w:id="51"/>
      <w:r/>
      <w:r/>
    </w:p>
    <w:p>
      <w:pPr>
        <w:pStyle w:val="1107"/>
        <w:jc w:val="left"/>
        <w:rPr>
          <w:rFonts w:ascii="黑体" w:eastAsia="黑体" w:cs="黑体"/>
          <w:color w:val="auto"/>
          <w:sz w:val="32"/>
          <w:szCs w:val="32"/>
          <w:highlight w:val="none"/>
        </w:rPr>
      </w:pPr>
      <w:r>
        <w:rPr>
          <w:rFonts w:ascii="黑体" w:eastAsia="黑体" w:cs="黑体"/>
          <w:color w:val="auto"/>
          <w:sz w:val="32"/>
          <w:szCs w:val="32"/>
          <w:highlight w:val="none"/>
        </w:rPr>
      </w:r>
      <w:r/>
    </w:p>
    <w:p>
      <w:pPr>
        <w:pStyle w:val="1107"/>
        <w:jc w:val="left"/>
        <w:rPr>
          <w:rFonts w:ascii="黑体" w:eastAsia="黑体" w:cs="黑体"/>
          <w:color w:val="auto"/>
          <w:sz w:val="32"/>
          <w:szCs w:val="32"/>
          <w:highlight w:val="none"/>
        </w:rPr>
      </w:pPr>
      <w:r>
        <w:rPr>
          <w:rFonts w:ascii="黑体" w:eastAsia="黑体" w:cs="黑体"/>
          <w:color w:val="auto"/>
          <w:sz w:val="32"/>
          <w:szCs w:val="32"/>
          <w:highlight w:val="none"/>
        </w:rPr>
      </w:r>
      <w:r/>
    </w:p>
    <w:p>
      <w:pPr>
        <w:pStyle w:val="1107"/>
        <w:jc w:val="left"/>
        <w:rPr>
          <w:rFonts w:ascii="黑体" w:eastAsia="黑体" w:cs="黑体"/>
          <w:color w:val="auto"/>
          <w:sz w:val="32"/>
          <w:szCs w:val="32"/>
          <w:highlight w:val="none"/>
        </w:rPr>
      </w:pPr>
      <w:r>
        <w:rPr>
          <w:rFonts w:ascii="黑体" w:eastAsia="黑体" w:cs="黑体"/>
          <w:color w:val="auto"/>
          <w:sz w:val="32"/>
          <w:szCs w:val="32"/>
          <w:highlight w:val="none"/>
        </w:rPr>
      </w:r>
      <w:r/>
    </w:p>
    <w:p>
      <w:pPr>
        <w:pStyle w:val="1107"/>
        <w:jc w:val="center"/>
        <w:rPr>
          <w:rFonts w:ascii="黑体" w:eastAsia="黑体" w:cs="黑体"/>
          <w:color w:val="auto"/>
          <w:sz w:val="52"/>
          <w:szCs w:val="52"/>
          <w:highlight w:val="none"/>
        </w:rPr>
      </w:pPr>
      <w:r>
        <w:rPr>
          <w:rFonts w:ascii="黑体" w:eastAsia="黑体" w:cs="黑体"/>
          <w:color w:val="auto"/>
          <w:sz w:val="52"/>
          <w:szCs w:val="52"/>
          <w:highlight w:val="none"/>
        </w:rPr>
      </w:r>
      <w:r/>
    </w:p>
    <w:p>
      <w:pPr>
        <w:pStyle w:val="1107"/>
        <w:jc w:val="center"/>
        <w:rPr>
          <w:rFonts w:ascii="黑体" w:eastAsia="黑体" w:cs="黑体"/>
          <w:color w:val="auto"/>
          <w:sz w:val="28"/>
          <w:szCs w:val="28"/>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1107"/>
        <w:jc w:val="left"/>
        <w:rPr>
          <w:rFonts w:ascii="黑体" w:eastAsia="黑体" w:cs="黑体"/>
          <w:color w:val="auto"/>
          <w:sz w:val="28"/>
          <w:szCs w:val="28"/>
          <w:highlight w:val="none"/>
        </w:rPr>
      </w:pPr>
      <w:r>
        <w:rPr>
          <w:rFonts w:ascii="黑体" w:eastAsia="黑体" w:cs="黑体"/>
          <w:color w:val="auto"/>
          <w:sz w:val="28"/>
          <w:szCs w:val="28"/>
          <w:highlight w:val="none"/>
        </w:rPr>
      </w:r>
      <w:r/>
    </w:p>
    <w:p>
      <w:pPr>
        <w:pStyle w:val="1107"/>
        <w:jc w:val="left"/>
        <w:rPr>
          <w:rFonts w:ascii="黑体" w:eastAsia="黑体" w:cs="黑体"/>
          <w:color w:val="auto"/>
          <w:sz w:val="28"/>
          <w:szCs w:val="28"/>
          <w:highlight w:val="none"/>
        </w:rPr>
      </w:pPr>
      <w:r>
        <w:rPr>
          <w:rFonts w:ascii="黑体" w:eastAsia="黑体" w:cs="黑体"/>
          <w:color w:val="auto"/>
          <w:sz w:val="28"/>
          <w:szCs w:val="28"/>
          <w:highlight w:val="none"/>
        </w:rPr>
      </w:r>
      <w:r/>
    </w:p>
    <w:p>
      <w:pPr>
        <w:pStyle w:val="1107"/>
        <w:jc w:val="left"/>
        <w:rPr>
          <w:rFonts w:ascii="黑体" w:eastAsia="黑体" w:cs="黑体"/>
          <w:color w:val="auto"/>
          <w:sz w:val="28"/>
          <w:szCs w:val="28"/>
          <w:highlight w:val="none"/>
        </w:rPr>
      </w:pPr>
      <w:r>
        <w:rPr>
          <w:rFonts w:ascii="黑体" w:eastAsia="黑体" w:cs="黑体"/>
          <w:color w:val="auto"/>
          <w:sz w:val="28"/>
          <w:szCs w:val="28"/>
          <w:highlight w:val="none"/>
        </w:rPr>
      </w:r>
      <w:r/>
    </w:p>
    <w:p>
      <w:pPr>
        <w:pStyle w:val="1107"/>
        <w:jc w:val="left"/>
        <w:rPr>
          <w:rFonts w:ascii="黑体" w:eastAsia="黑体" w:cs="黑体"/>
          <w:color w:val="auto"/>
          <w:sz w:val="28"/>
          <w:szCs w:val="28"/>
          <w:highlight w:val="none"/>
        </w:rPr>
      </w:pPr>
      <w:r>
        <w:rPr>
          <w:rFonts w:ascii="黑体" w:eastAsia="黑体" w:cs="黑体"/>
          <w:color w:val="auto"/>
          <w:sz w:val="28"/>
          <w:szCs w:val="28"/>
          <w:highlight w:val="none"/>
        </w:rPr>
      </w:r>
      <w:r/>
    </w:p>
    <w:p>
      <w:pPr>
        <w:pStyle w:val="1107"/>
        <w:jc w:val="left"/>
        <w:rPr>
          <w:rFonts w:ascii="黑体" w:eastAsia="黑体" w:cs="黑体"/>
          <w:color w:val="auto"/>
          <w:sz w:val="28"/>
          <w:szCs w:val="28"/>
          <w:highlight w:val="none"/>
        </w:rPr>
      </w:pPr>
      <w:r>
        <w:rPr>
          <w:rFonts w:ascii="黑体" w:eastAsia="黑体" w:cs="黑体"/>
          <w:color w:val="auto"/>
          <w:sz w:val="28"/>
          <w:szCs w:val="28"/>
          <w:highlight w:val="none"/>
        </w:rPr>
      </w:r>
      <w:r/>
    </w:p>
    <w:p>
      <w:pPr>
        <w:pStyle w:val="1095"/>
        <w:ind w:firstLine="723"/>
        <w:jc w:val="both"/>
        <w:rPr>
          <w:color w:val="auto"/>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pStyle w:val="1095"/>
        <w:ind w:firstLine="723"/>
        <w:jc w:val="both"/>
        <w:rPr>
          <w:color w:val="auto"/>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pStyle w:val="1095"/>
        <w:ind w:firstLine="723"/>
        <w:jc w:val="both"/>
        <w:rPr>
          <w:color w:val="auto"/>
          <w:highlight w:val="non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        </w:t>
      </w:r>
      <w:r/>
    </w:p>
    <w:p>
      <w:pPr>
        <w:pStyle w:val="1095"/>
        <w:ind w:firstLine="723"/>
        <w:jc w:val="both"/>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pStyle w:val="1095"/>
        <w:spacing w:line="0" w:lineRule="atLeast"/>
        <w:rPr>
          <w:color w:val="auto"/>
          <w:highlight w:val="none"/>
        </w:rPr>
      </w:pPr>
      <w:r>
        <w:rPr>
          <w:color w:val="auto"/>
          <w:highlight w:val="none"/>
        </w:rPr>
        <w:t xml:space="preserve"> </w:t>
      </w:r>
      <w:r/>
    </w:p>
    <w:p>
      <w:pPr>
        <w:pStyle w:val="1095"/>
        <w:jc w:val="both"/>
        <w:spacing w:line="0" w:lineRule="atLeast"/>
        <w:rPr>
          <w:color w:val="auto"/>
          <w:highlight w:val="none"/>
        </w:rPr>
      </w:pPr>
      <w:r>
        <w:rPr>
          <w:color w:val="auto"/>
          <w:highlight w:val="none"/>
        </w:rPr>
        <w:t xml:space="preserve"> </w:t>
      </w:r>
      <w:r/>
    </w:p>
    <w:p>
      <w:pPr>
        <w:rPr>
          <w:color w:val="auto"/>
          <w:highlight w:val="none"/>
        </w:rPr>
      </w:pPr>
      <w:r>
        <w:rPr>
          <w:color w:val="auto"/>
          <w:highlight w:val="none"/>
        </w:rPr>
      </w:r>
      <w:r/>
    </w:p>
    <w:p>
      <w:pPr>
        <w:spacing w:line="360" w:lineRule="auto"/>
        <w:rPr>
          <w:rFonts w:hint="eastAsia" w:ascii="宋体" w:hAnsi="宋体" w:cs="宋体"/>
          <w:b/>
          <w:color w:val="auto"/>
          <w:szCs w:val="21"/>
          <w:highlight w:val="none"/>
          <w:lang w:val="zh-CN"/>
        </w:rPr>
      </w:pPr>
      <w:r>
        <w:rPr>
          <w:color w:val="auto"/>
          <w:highlight w:val="none"/>
        </w:rPr>
        <w:br w:type="page" w:clear="all"/>
      </w:r>
      <w:r/>
    </w:p>
    <w:p>
      <w:pPr>
        <w:pStyle w:val="1108"/>
        <w:jc w:val="center"/>
        <w:rPr>
          <w:rFonts w:hint="eastAsia"/>
          <w:color w:val="auto"/>
          <w:highlight w:val="none"/>
        </w:rPr>
        <w:outlineLvl w:val="1"/>
      </w:pPr>
      <w:r/>
      <w:bookmarkStart w:id="52" w:name="_Toc11482"/>
      <w:r/>
      <w:bookmarkStart w:id="53" w:name="_Toc514054485"/>
      <w:r>
        <w:rPr>
          <w:color w:val="auto"/>
          <w:highlight w:val="none"/>
        </w:rPr>
        <w:t xml:space="preserve">目录</w:t>
      </w:r>
      <w:bookmarkEnd w:id="52"/>
      <w:r/>
      <w:bookmarkEnd w:id="53"/>
      <w:r/>
      <w:r/>
    </w:p>
    <w:p>
      <w:pPr>
        <w:spacing w:line="360" w:lineRule="auto"/>
        <w:rPr>
          <w:color w:val="auto"/>
          <w:sz w:val="24"/>
          <w:szCs w:val="24"/>
        </w:rPr>
      </w:pPr>
      <w:r>
        <w:rPr>
          <w:color w:val="auto"/>
          <w:sz w:val="24"/>
          <w:szCs w:val="24"/>
        </w:rPr>
        <w:t xml:space="preserve">一、投标人基本情况</w:t>
      </w:r>
      <w:r/>
    </w:p>
    <w:p>
      <w:pPr>
        <w:spacing w:line="360" w:lineRule="auto"/>
        <w:rPr>
          <w:color w:val="auto"/>
          <w:sz w:val="24"/>
          <w:szCs w:val="24"/>
        </w:rPr>
      </w:pPr>
      <w:r>
        <w:rPr>
          <w:color w:val="auto"/>
          <w:sz w:val="24"/>
          <w:szCs w:val="24"/>
        </w:rPr>
        <w:t xml:space="preserve">二、投标人资质</w:t>
      </w:r>
      <w:r/>
    </w:p>
    <w:p>
      <w:pPr>
        <w:spacing w:line="360" w:lineRule="auto"/>
        <w:rPr>
          <w:color w:val="auto"/>
          <w:sz w:val="24"/>
          <w:szCs w:val="24"/>
        </w:rPr>
      </w:pPr>
      <w:r>
        <w:rPr>
          <w:color w:val="auto"/>
          <w:sz w:val="24"/>
          <w:szCs w:val="24"/>
        </w:rPr>
        <w:t xml:space="preserve">三、</w:t>
      </w:r>
      <w:r>
        <w:rPr>
          <w:rFonts w:hint="eastAsia"/>
          <w:color w:val="auto"/>
          <w:sz w:val="24"/>
          <w:szCs w:val="24"/>
        </w:rPr>
        <w:t xml:space="preserve">投标人具有良好的商业信誉和健全的财务会计制度</w:t>
      </w:r>
      <w:r/>
    </w:p>
    <w:p>
      <w:pPr>
        <w:spacing w:line="360" w:lineRule="auto"/>
        <w:rPr>
          <w:color w:val="auto"/>
          <w:sz w:val="24"/>
          <w:szCs w:val="24"/>
        </w:rPr>
      </w:pPr>
      <w:r>
        <w:rPr>
          <w:color w:val="auto"/>
          <w:sz w:val="24"/>
          <w:szCs w:val="24"/>
        </w:rPr>
        <w:t xml:space="preserve">四、</w:t>
      </w:r>
      <w:r>
        <w:rPr>
          <w:rFonts w:hint="eastAsia"/>
          <w:color w:val="auto"/>
          <w:sz w:val="24"/>
          <w:szCs w:val="24"/>
        </w:rPr>
        <w:t xml:space="preserve">具有履行合同所必需的设备和专业技术能力</w:t>
      </w:r>
      <w:r/>
    </w:p>
    <w:p>
      <w:pPr>
        <w:spacing w:line="360" w:lineRule="auto"/>
        <w:rPr>
          <w:color w:val="auto"/>
          <w:sz w:val="24"/>
          <w:szCs w:val="24"/>
        </w:rPr>
      </w:pPr>
      <w:r>
        <w:rPr>
          <w:color w:val="auto"/>
          <w:sz w:val="24"/>
          <w:szCs w:val="24"/>
        </w:rPr>
        <w:t xml:space="preserve">五、</w:t>
      </w:r>
      <w:r>
        <w:rPr>
          <w:rFonts w:hint="eastAsia"/>
          <w:color w:val="auto"/>
          <w:sz w:val="24"/>
          <w:szCs w:val="24"/>
        </w:rPr>
        <w:t xml:space="preserve">有依法缴纳税收和社会保障资金的良好记录</w:t>
      </w:r>
      <w:r/>
    </w:p>
    <w:p>
      <w:pPr>
        <w:spacing w:line="360" w:lineRule="auto"/>
        <w:rPr>
          <w:color w:val="auto"/>
          <w:sz w:val="24"/>
          <w:szCs w:val="24"/>
        </w:rPr>
      </w:pPr>
      <w:r>
        <w:rPr>
          <w:color w:val="auto"/>
          <w:sz w:val="24"/>
          <w:szCs w:val="24"/>
        </w:rPr>
        <w:t xml:space="preserve">六、无重大违法行为声明</w:t>
      </w:r>
      <w:r/>
    </w:p>
    <w:p>
      <w:pPr>
        <w:spacing w:line="360" w:lineRule="auto"/>
        <w:rPr>
          <w:color w:val="auto"/>
          <w:sz w:val="24"/>
          <w:szCs w:val="24"/>
        </w:rPr>
      </w:pPr>
      <w:r>
        <w:rPr>
          <w:color w:val="auto"/>
          <w:sz w:val="24"/>
          <w:szCs w:val="24"/>
        </w:rPr>
        <w:t xml:space="preserve">七、投标函</w:t>
      </w:r>
      <w:r/>
    </w:p>
    <w:p>
      <w:pPr>
        <w:spacing w:line="360" w:lineRule="auto"/>
        <w:rPr>
          <w:color w:val="auto"/>
          <w:sz w:val="24"/>
          <w:szCs w:val="24"/>
        </w:rPr>
      </w:pPr>
      <w:r>
        <w:rPr>
          <w:color w:val="auto"/>
          <w:sz w:val="24"/>
          <w:szCs w:val="24"/>
        </w:rPr>
        <w:t xml:space="preserve">八、法定代表人身份证明或授权委托书</w:t>
      </w:r>
      <w:r/>
    </w:p>
    <w:p>
      <w:pPr>
        <w:spacing w:line="360" w:lineRule="auto"/>
        <w:rPr>
          <w:color w:val="auto"/>
          <w:sz w:val="24"/>
          <w:szCs w:val="24"/>
        </w:rPr>
      </w:pPr>
      <w:r>
        <w:rPr>
          <w:color w:val="auto"/>
          <w:sz w:val="24"/>
          <w:szCs w:val="24"/>
        </w:rPr>
        <w:t xml:space="preserve">九、开标一览表</w:t>
      </w:r>
      <w:r/>
    </w:p>
    <w:p>
      <w:pPr>
        <w:spacing w:line="360" w:lineRule="auto"/>
        <w:rPr>
          <w:color w:val="auto"/>
          <w:sz w:val="24"/>
          <w:szCs w:val="24"/>
        </w:rPr>
      </w:pPr>
      <w:r>
        <w:rPr>
          <w:color w:val="auto"/>
          <w:sz w:val="24"/>
          <w:szCs w:val="24"/>
        </w:rPr>
        <w:t xml:space="preserve">十、中小企业声明函</w:t>
      </w:r>
      <w:r/>
    </w:p>
    <w:p>
      <w:pPr>
        <w:spacing w:line="360" w:lineRule="auto"/>
        <w:rPr>
          <w:color w:val="auto"/>
          <w:sz w:val="24"/>
          <w:szCs w:val="24"/>
        </w:rPr>
      </w:pPr>
      <w:r>
        <w:rPr>
          <w:color w:val="auto"/>
          <w:sz w:val="24"/>
          <w:szCs w:val="24"/>
        </w:rPr>
        <w:t xml:space="preserve">十</w:t>
      </w:r>
      <w:r>
        <w:rPr>
          <w:rFonts w:hint="eastAsia"/>
          <w:color w:val="auto"/>
          <w:sz w:val="24"/>
          <w:szCs w:val="24"/>
        </w:rPr>
        <w:t xml:space="preserve">一</w:t>
      </w:r>
      <w:r>
        <w:rPr>
          <w:color w:val="auto"/>
          <w:sz w:val="24"/>
          <w:szCs w:val="24"/>
        </w:rPr>
        <w:t xml:space="preserve">、响应偏差表</w:t>
      </w:r>
      <w:r/>
    </w:p>
    <w:p>
      <w:pPr>
        <w:spacing w:line="360" w:lineRule="auto"/>
        <w:rPr>
          <w:rFonts w:hint="eastAsia"/>
          <w:color w:val="auto"/>
          <w:sz w:val="24"/>
          <w:szCs w:val="24"/>
        </w:rPr>
      </w:pPr>
      <w:r>
        <w:rPr>
          <w:color w:val="auto"/>
          <w:sz w:val="24"/>
          <w:szCs w:val="24"/>
        </w:rPr>
        <w:t xml:space="preserve">十</w:t>
      </w:r>
      <w:r>
        <w:rPr>
          <w:rFonts w:hint="eastAsia"/>
          <w:color w:val="auto"/>
          <w:sz w:val="24"/>
          <w:szCs w:val="24"/>
        </w:rPr>
        <w:t xml:space="preserve">二</w:t>
      </w:r>
      <w:r>
        <w:rPr>
          <w:color w:val="auto"/>
          <w:sz w:val="24"/>
          <w:szCs w:val="24"/>
        </w:rPr>
        <w:t xml:space="preserve">、</w:t>
      </w:r>
      <w:r>
        <w:rPr>
          <w:rFonts w:hint="eastAsia"/>
          <w:color w:val="auto"/>
          <w:sz w:val="24"/>
          <w:szCs w:val="24"/>
        </w:rPr>
        <w:t xml:space="preserve">设备清单</w:t>
      </w:r>
      <w:r/>
    </w:p>
    <w:p>
      <w:pPr>
        <w:spacing w:line="360" w:lineRule="auto"/>
        <w:rPr>
          <w:rFonts w:hint="eastAsia"/>
          <w:color w:val="auto"/>
          <w:sz w:val="24"/>
          <w:szCs w:val="24"/>
        </w:rPr>
      </w:pPr>
      <w:r>
        <w:rPr>
          <w:rFonts w:hint="eastAsia"/>
          <w:color w:val="auto"/>
          <w:sz w:val="24"/>
          <w:szCs w:val="24"/>
        </w:rPr>
        <w:t xml:space="preserve">十三、</w:t>
      </w:r>
      <w:r>
        <w:rPr>
          <w:rFonts w:hint="eastAsia"/>
          <w:color w:val="auto"/>
          <w:sz w:val="24"/>
          <w:szCs w:val="24"/>
          <w:lang w:val="zh-CN"/>
        </w:rPr>
        <w:t xml:space="preserve">投标人实施本项目拟投入的专业人员一览表</w:t>
      </w:r>
      <w:r/>
    </w:p>
    <w:p>
      <w:pPr>
        <w:spacing w:line="360" w:lineRule="auto"/>
        <w:rPr>
          <w:color w:val="auto"/>
          <w:sz w:val="24"/>
          <w:szCs w:val="24"/>
        </w:rPr>
      </w:pPr>
      <w:r>
        <w:rPr>
          <w:color w:val="auto"/>
          <w:sz w:val="24"/>
          <w:szCs w:val="24"/>
        </w:rPr>
        <w:t xml:space="preserve">十</w:t>
      </w:r>
      <w:r>
        <w:rPr>
          <w:rFonts w:hint="eastAsia"/>
          <w:color w:val="auto"/>
          <w:sz w:val="24"/>
          <w:szCs w:val="24"/>
        </w:rPr>
        <w:t xml:space="preserve">四</w:t>
      </w:r>
      <w:r>
        <w:rPr>
          <w:color w:val="auto"/>
          <w:sz w:val="24"/>
          <w:szCs w:val="24"/>
        </w:rPr>
        <w:t xml:space="preserve">、</w:t>
      </w:r>
      <w:bookmarkStart w:id="54" w:name="_Toc21060_WPSOffice_Level2"/>
      <w:r>
        <w:rPr>
          <w:rFonts w:hint="eastAsia"/>
          <w:color w:val="auto"/>
          <w:sz w:val="24"/>
          <w:szCs w:val="24"/>
        </w:rPr>
        <w:t xml:space="preserve">服务</w:t>
      </w:r>
      <w:r>
        <w:rPr>
          <w:color w:val="auto"/>
          <w:sz w:val="24"/>
          <w:szCs w:val="24"/>
        </w:rPr>
        <w:t xml:space="preserve">方案</w:t>
      </w:r>
      <w:bookmarkEnd w:id="54"/>
      <w:r/>
      <w:r/>
    </w:p>
    <w:p>
      <w:pPr>
        <w:spacing w:line="360" w:lineRule="auto"/>
        <w:rPr>
          <w:color w:val="auto"/>
          <w:sz w:val="24"/>
          <w:szCs w:val="24"/>
        </w:rPr>
      </w:pPr>
      <w:r>
        <w:rPr>
          <w:color w:val="auto"/>
          <w:sz w:val="24"/>
          <w:szCs w:val="24"/>
        </w:rPr>
        <w:t xml:space="preserve">十</w:t>
      </w:r>
      <w:r>
        <w:rPr>
          <w:rFonts w:hint="eastAsia"/>
          <w:color w:val="auto"/>
          <w:sz w:val="24"/>
          <w:szCs w:val="24"/>
        </w:rPr>
        <w:t xml:space="preserve">五</w:t>
      </w:r>
      <w:r>
        <w:rPr>
          <w:color w:val="auto"/>
          <w:sz w:val="24"/>
          <w:szCs w:val="24"/>
        </w:rPr>
        <w:t xml:space="preserve">、投标人项目业绩一览表</w:t>
      </w:r>
      <w:r/>
    </w:p>
    <w:p>
      <w:pPr>
        <w:spacing w:line="360" w:lineRule="auto"/>
        <w:rPr>
          <w:color w:val="auto"/>
          <w:sz w:val="24"/>
          <w:szCs w:val="24"/>
        </w:rPr>
      </w:pPr>
      <w:r>
        <w:rPr>
          <w:color w:val="auto"/>
          <w:sz w:val="24"/>
          <w:szCs w:val="24"/>
        </w:rPr>
        <w:t xml:space="preserve">十</w:t>
      </w:r>
      <w:r>
        <w:rPr>
          <w:rFonts w:hint="eastAsia"/>
          <w:color w:val="auto"/>
          <w:sz w:val="24"/>
          <w:szCs w:val="24"/>
        </w:rPr>
        <w:t xml:space="preserve">六</w:t>
      </w:r>
      <w:r>
        <w:rPr>
          <w:color w:val="auto"/>
          <w:sz w:val="24"/>
          <w:szCs w:val="24"/>
        </w:rPr>
        <w:t xml:space="preserve">、投标所需其他材料</w:t>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9"/>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9"/>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9"/>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9"/>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9"/>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9"/>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7"/>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7"/>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7"/>
        <w:rPr>
          <w:rFonts w:hint="eastAsia"/>
          <w:color w:val="auto"/>
          <w:lang w:val="zh-CN"/>
        </w:rPr>
      </w:pPr>
      <w:r>
        <w:rPr>
          <w:rFonts w:hint="eastAsia"/>
          <w:color w:val="auto"/>
          <w:lang w:val="zh-CN"/>
        </w:rPr>
      </w:r>
      <w:r/>
    </w:p>
    <w:p>
      <w:pPr>
        <w:pStyle w:val="849"/>
        <w:rPr>
          <w:rFonts w:ascii="宋体" w:hAnsi="宋体"/>
          <w:b/>
          <w:color w:val="auto"/>
          <w:szCs w:val="21"/>
          <w:highlight w:val="none"/>
        </w:rPr>
      </w:pPr>
      <w:r>
        <w:rPr>
          <w:rFonts w:ascii="宋体" w:hAnsi="宋体"/>
          <w:b/>
          <w:color w:val="auto"/>
          <w:szCs w:val="21"/>
          <w:highlight w:val="none"/>
        </w:rPr>
      </w:r>
      <w:r/>
    </w:p>
    <w:p>
      <w:pPr>
        <w:rPr>
          <w:color w:val="auto"/>
          <w:highlight w:val="none"/>
          <w:lang w:val="zh-CN"/>
        </w:rPr>
      </w:pPr>
      <w:r>
        <w:rPr>
          <w:color w:val="auto"/>
          <w:highlight w:val="none"/>
          <w:lang w:val="zh-CN"/>
        </w:rPr>
      </w:r>
      <w:r/>
    </w:p>
    <w:p>
      <w:pPr>
        <w:pStyle w:val="809"/>
        <w:rPr>
          <w:rFonts w:hint="eastAsia"/>
          <w:color w:val="auto"/>
        </w:rPr>
      </w:pPr>
      <w:r/>
      <w:bookmarkStart w:id="55" w:name="_Toc514054486"/>
      <w:r/>
      <w:bookmarkStart w:id="56" w:name="_Toc21292"/>
      <w:r/>
      <w:bookmarkStart w:id="57" w:name="_Toc23205_WPSOffice_Level2"/>
      <w:r>
        <w:rPr>
          <w:color w:val="auto"/>
        </w:rPr>
        <w:t xml:space="preserve">一、投标人基本情况</w:t>
      </w:r>
      <w:bookmarkEnd w:id="55"/>
      <w:r/>
      <w:bookmarkEnd w:id="56"/>
      <w:r/>
      <w:bookmarkEnd w:id="57"/>
      <w:r/>
      <w:r/>
    </w:p>
    <w:p>
      <w:pPr>
        <w:pStyle w:val="1112"/>
        <w:jc w:val="center"/>
        <w:rPr>
          <w:color w:val="auto"/>
          <w:sz w:val="44"/>
          <w:szCs w:val="44"/>
          <w:highlight w:val="none"/>
        </w:rPr>
      </w:pPr>
      <w:r>
        <w:rPr>
          <w:rFonts w:hint="eastAsia"/>
          <w:color w:val="auto"/>
          <w:sz w:val="44"/>
          <w:szCs w:val="44"/>
          <w:highlight w:val="none"/>
        </w:rPr>
        <w:t xml:space="preserve">投标人基本情况表</w:t>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12"/>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12"/>
              <w:ind w:firstLine="1432"/>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12"/>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12"/>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12"/>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809"/>
        <w:rPr>
          <w:rFonts w:hint="eastAsia"/>
          <w:color w:val="auto"/>
          <w:highlight w:val="none"/>
        </w:rPr>
      </w:pPr>
      <w:r>
        <w:rPr>
          <w:color w:val="auto"/>
          <w:highlight w:val="none"/>
        </w:rPr>
        <w:br w:type="page" w:clear="all"/>
      </w:r>
      <w:bookmarkStart w:id="58" w:name="_Toc514054487"/>
      <w:r/>
      <w:bookmarkStart w:id="59" w:name="_Toc30260_WPSOffice_Level2"/>
      <w:r/>
      <w:bookmarkStart w:id="60" w:name="_Toc15353"/>
      <w:r>
        <w:rPr>
          <w:color w:val="auto"/>
        </w:rPr>
        <w:t xml:space="preserve">二、</w:t>
      </w:r>
      <w:r>
        <w:rPr>
          <w:rFonts w:hint="eastAsia"/>
          <w:color w:val="auto"/>
        </w:rPr>
        <w:t xml:space="preserve">投标</w:t>
      </w:r>
      <w:r>
        <w:rPr>
          <w:color w:val="auto"/>
        </w:rPr>
        <w:t xml:space="preserve">人资质</w:t>
      </w:r>
      <w:bookmarkEnd w:id="58"/>
      <w:r/>
      <w:bookmarkEnd w:id="59"/>
      <w:r>
        <w:rPr>
          <w:rFonts w:hint="eastAsia"/>
          <w:color w:val="auto"/>
        </w:rPr>
        <w:t xml:space="preserve">（按资格要求提供）</w:t>
      </w:r>
      <w:bookmarkEnd w:id="60"/>
      <w:r/>
      <w:r/>
    </w:p>
    <w:p>
      <w:pPr>
        <w:pStyle w:val="1114"/>
        <w:rPr>
          <w:rFonts w:hint="eastAsia"/>
          <w:color w:val="auto"/>
          <w:highlight w:val="none"/>
        </w:rPr>
      </w:pPr>
      <w:r>
        <w:rPr>
          <w:rFonts w:hint="eastAsia"/>
          <w:color w:val="auto"/>
          <w:highlight w:val="none"/>
        </w:rPr>
        <w:t xml:space="preserve">    </w:t>
      </w:r>
      <w:bookmarkStart w:id="61" w:name="_Toc514054488"/>
      <w:r/>
      <w:bookmarkStart w:id="62" w:name="_Toc21452_WPSOffice_Level2"/>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1114"/>
        <w:rPr>
          <w:rFonts w:hint="eastAsia"/>
          <w:color w:val="auto"/>
          <w:highlight w:val="none"/>
        </w:rPr>
      </w:pPr>
      <w:r>
        <w:rPr>
          <w:rFonts w:hint="eastAsia"/>
          <w:color w:val="auto"/>
          <w:highlight w:val="none"/>
        </w:rPr>
      </w:r>
      <w:r/>
    </w:p>
    <w:p>
      <w:pPr>
        <w:pStyle w:val="809"/>
        <w:rPr>
          <w:rFonts w:hint="eastAsia"/>
          <w:color w:val="auto"/>
        </w:rPr>
      </w:pPr>
      <w:r/>
      <w:bookmarkStart w:id="63" w:name="_Toc18935"/>
      <w:r>
        <w:rPr>
          <w:color w:val="auto"/>
        </w:rPr>
        <w:t xml:space="preserve">三、投标人</w:t>
      </w:r>
      <w:bookmarkEnd w:id="61"/>
      <w:r/>
      <w:bookmarkEnd w:id="62"/>
      <w:r/>
      <w:bookmarkEnd w:id="63"/>
      <w:r>
        <w:rPr>
          <w:rFonts w:hint="eastAsia"/>
          <w:color w:val="auto"/>
        </w:rPr>
        <w:t xml:space="preserve">具有良好的商业信誉和健全的财务会计制度</w:t>
      </w:r>
      <w:r/>
    </w:p>
    <w:p>
      <w:pPr>
        <w:pStyle w:val="1115"/>
        <w:rPr>
          <w:color w:val="auto"/>
          <w:highlight w:val="none"/>
        </w:rPr>
      </w:pPr>
      <w:r>
        <w:rPr>
          <w:rFonts w:hint="eastAsia" w:ascii="宋体"/>
          <w:bCs/>
          <w:color w:val="auto"/>
          <w:szCs w:val="32"/>
          <w:highlight w:val="none"/>
        </w:rPr>
        <w:t xml:space="preserve">提供符合招标文件要求的资料</w:t>
      </w:r>
      <w:r/>
    </w:p>
    <w:p>
      <w:pPr>
        <w:pStyle w:val="809"/>
        <w:rPr>
          <w:rFonts w:hint="eastAsia"/>
          <w:color w:val="auto"/>
          <w:highlight w:val="none"/>
        </w:rPr>
      </w:pPr>
      <w:r>
        <w:rPr>
          <w:color w:val="auto"/>
          <w:highlight w:val="none"/>
        </w:rPr>
        <w:br w:type="page" w:clear="all"/>
      </w:r>
      <w:bookmarkStart w:id="64" w:name="_Toc29626"/>
      <w:r/>
      <w:bookmarkStart w:id="65" w:name="_Toc11562_WPSOffice_Level2"/>
      <w:r/>
      <w:bookmarkStart w:id="66" w:name="_Toc514054489"/>
      <w:r>
        <w:rPr>
          <w:color w:val="auto"/>
        </w:rPr>
        <w:t xml:space="preserve">四、</w:t>
      </w:r>
      <w:bookmarkEnd w:id="64"/>
      <w:r/>
      <w:bookmarkEnd w:id="65"/>
      <w:r/>
      <w:bookmarkEnd w:id="66"/>
      <w:r>
        <w:rPr>
          <w:rFonts w:hint="eastAsia"/>
          <w:color w:val="auto"/>
        </w:rPr>
        <w:t xml:space="preserve">具有履行合同所必需的设备和专业技术能力</w:t>
      </w:r>
      <w:r/>
    </w:p>
    <w:p>
      <w:pPr>
        <w:spacing w:line="360" w:lineRule="auto"/>
        <w:rPr>
          <w:rFonts w:hint="eastAsia" w:ascii="宋体" w:hAnsi="宋体" w:cs="宋体"/>
          <w:b/>
          <w:color w:val="auto"/>
          <w:highlight w:val="none"/>
        </w:rPr>
      </w:pPr>
      <w:r/>
      <w:bookmarkStart w:id="67" w:name="_Toc31740_WPSOffice_Level2"/>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w:t>
      </w:r>
      <w:r/>
    </w:p>
    <w:p>
      <w:pPr>
        <w:spacing w:line="4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60" w:lineRule="exact"/>
        <w:rPr>
          <w:rFonts w:hint="eastAsia" w:ascii="宋体" w:hAnsi="宋体" w:cs="宋体"/>
          <w:color w:val="auto"/>
          <w:highlight w:val="none"/>
        </w:rPr>
      </w:pP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w:t>
      </w:r>
      <w:r>
        <w:rPr>
          <w:rFonts w:hint="eastAsia" w:ascii="宋体" w:hAnsi="宋体" w:cs="宋体"/>
          <w:color w:val="auto"/>
          <w:highlight w:val="none"/>
        </w:rPr>
        <w:t xml:space="preserve">采购人名称）：</w:t>
      </w:r>
      <w:r/>
    </w:p>
    <w:p>
      <w:pPr>
        <w:ind w:firstLine="492"/>
        <w:spacing w:line="460" w:lineRule="exact"/>
        <w:rPr>
          <w:rFonts w:hint="eastAsia" w:ascii="宋体" w:hAnsi="宋体" w:cs="宋体"/>
          <w:color w:val="auto"/>
          <w:highlight w:val="none"/>
        </w:rPr>
      </w:pPr>
      <w:r>
        <w:rPr>
          <w:rFonts w:hint="eastAsia" w:ascii="宋体" w:hAnsi="宋体" w:cs="宋体"/>
          <w:color w:val="auto"/>
          <w:highlight w:val="none"/>
        </w:rPr>
        <w:t xml:space="preserve">我单位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r/>
    </w:p>
    <w:p>
      <w:pPr>
        <w:ind w:firstLine="492"/>
        <w:spacing w:line="460" w:lineRule="exact"/>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r/>
    </w:p>
    <w:p>
      <w:pPr>
        <w:spacing w:line="460" w:lineRule="exact"/>
        <w:rPr>
          <w:rFonts w:hint="eastAsia" w:ascii="宋体" w:hAnsi="宋体" w:cs="宋体"/>
          <w:color w:val="auto"/>
          <w:highlight w:val="none"/>
        </w:rPr>
      </w:pPr>
      <w:r>
        <w:rPr>
          <w:rFonts w:hint="eastAsia" w:ascii="宋体" w:hAnsi="宋体" w:cs="宋体"/>
          <w:color w:val="auto"/>
          <w:highlight w:val="none"/>
        </w:rPr>
      </w:r>
      <w:r/>
    </w:p>
    <w:p>
      <w:pPr>
        <w:jc w:val="right"/>
        <w:spacing w:line="460" w:lineRule="exact"/>
        <w:rPr>
          <w:rFonts w:hint="eastAsia" w:ascii="宋体" w:hAnsi="宋体" w:cs="宋体"/>
          <w:color w:val="auto"/>
          <w:highlight w:val="none"/>
        </w:rPr>
      </w:pPr>
      <w:r>
        <w:rPr>
          <w:rFonts w:hint="eastAsia" w:ascii="宋体" w:hAnsi="宋体" w:cs="宋体"/>
          <w:color w:val="auto"/>
          <w:highlight w:val="none"/>
        </w:rPr>
        <w:t xml:space="preserve">                                           声明人：（加盖电子公章）</w:t>
      </w:r>
      <w:r/>
    </w:p>
    <w:p>
      <w:pPr>
        <w:jc w:val="right"/>
        <w:spacing w:line="460" w:lineRule="exact"/>
        <w:rPr>
          <w:rFonts w:hint="eastAsia" w:ascii="宋体" w:hAnsi="宋体" w:cs="宋体"/>
          <w:color w:val="auto"/>
          <w:highlight w:val="none"/>
        </w:rPr>
      </w:pPr>
      <w:r>
        <w:rPr>
          <w:rFonts w:hint="eastAsia" w:ascii="宋体" w:hAnsi="宋体" w:cs="宋体"/>
          <w:color w:val="auto"/>
          <w:highlight w:val="none"/>
        </w:rPr>
        <w:t xml:space="preserve">      日期：       年    月    日</w:t>
      </w:r>
      <w:bookmarkEnd w:id="67"/>
      <w:r/>
      <w:r/>
    </w:p>
    <w:p>
      <w:pPr>
        <w:pStyle w:val="809"/>
        <w:rPr>
          <w:rFonts w:ascii="宋体" w:hAnsi="宋体" w:cs="Arial"/>
          <w:bCs/>
          <w:color w:val="auto"/>
          <w:highlight w:val="none"/>
        </w:rPr>
      </w:pPr>
      <w:r>
        <w:rPr>
          <w:color w:val="auto"/>
          <w:highlight w:val="none"/>
        </w:rPr>
        <w:br w:type="page" w:clear="all"/>
      </w:r>
      <w:bookmarkStart w:id="68" w:name="_Toc467_WPSOffice_Level2"/>
      <w:r/>
      <w:bookmarkStart w:id="69" w:name="_Toc13419"/>
      <w:r/>
      <w:bookmarkStart w:id="70" w:name="_Toc514054490"/>
      <w:r>
        <w:rPr>
          <w:rFonts w:hint="eastAsia"/>
          <w:color w:val="auto"/>
        </w:rPr>
        <w:t xml:space="preserve">五、</w:t>
      </w:r>
      <w:bookmarkEnd w:id="68"/>
      <w:r/>
      <w:bookmarkEnd w:id="69"/>
      <w:r/>
      <w:bookmarkEnd w:id="70"/>
      <w:r>
        <w:rPr>
          <w:rFonts w:hint="eastAsia"/>
          <w:color w:val="auto"/>
        </w:rPr>
        <w:t xml:space="preserve">有依法缴纳税收和社会保障资金的良好记录</w:t>
      </w:r>
      <w:r/>
    </w:p>
    <w:p>
      <w:pPr>
        <w:pStyle w:val="1115"/>
        <w:rPr>
          <w:color w:val="auto"/>
          <w:highlight w:val="none"/>
        </w:rPr>
      </w:pPr>
      <w:r>
        <w:rPr>
          <w:rFonts w:hint="eastAsia" w:ascii="宋体"/>
          <w:bCs/>
          <w:color w:val="auto"/>
          <w:szCs w:val="32"/>
          <w:highlight w:val="none"/>
        </w:rPr>
        <w:t xml:space="preserve">提供符合招标文件要求的资料</w:t>
      </w:r>
      <w:r/>
    </w:p>
    <w:p>
      <w:pPr>
        <w:pStyle w:val="1119"/>
        <w:rPr>
          <w:rFonts w:hint="eastAsia"/>
          <w:color w:val="auto"/>
        </w:rPr>
      </w:pPr>
      <w:r>
        <w:rPr>
          <w:rFonts w:hint="eastAsia"/>
          <w:color w:val="auto"/>
        </w:rPr>
      </w:r>
      <w:r/>
    </w:p>
    <w:p>
      <w:pPr>
        <w:pStyle w:val="1119"/>
        <w:rPr>
          <w:rFonts w:hint="eastAsia"/>
          <w:color w:val="auto"/>
        </w:rPr>
      </w:pPr>
      <w:r>
        <w:rPr>
          <w:rFonts w:hint="eastAsia"/>
          <w:color w:val="auto"/>
        </w:rPr>
      </w:r>
      <w:r/>
    </w:p>
    <w:p>
      <w:pPr>
        <w:pStyle w:val="1119"/>
        <w:rPr>
          <w:rFonts w:hint="eastAsia"/>
          <w:color w:val="auto"/>
        </w:rPr>
      </w:pPr>
      <w:r>
        <w:rPr>
          <w:rFonts w:hint="eastAsia"/>
          <w:color w:val="auto"/>
        </w:rPr>
      </w:r>
      <w:r/>
    </w:p>
    <w:p>
      <w:pPr>
        <w:pStyle w:val="1119"/>
        <w:rPr>
          <w:rFonts w:hint="eastAsia"/>
          <w:color w:val="auto"/>
        </w:rPr>
      </w:pPr>
      <w:r>
        <w:rPr>
          <w:rFonts w:hint="eastAsia"/>
          <w:color w:val="auto"/>
        </w:rPr>
      </w:r>
      <w:r/>
    </w:p>
    <w:p>
      <w:pPr>
        <w:pStyle w:val="1119"/>
        <w:rPr>
          <w:rFonts w:hint="eastAsia"/>
          <w:color w:val="auto"/>
        </w:rPr>
      </w:pPr>
      <w:r>
        <w:rPr>
          <w:rFonts w:hint="eastAsia"/>
          <w:color w:val="auto"/>
        </w:rPr>
      </w:r>
      <w:r/>
    </w:p>
    <w:p>
      <w:pPr>
        <w:pStyle w:val="1119"/>
        <w:rPr>
          <w:rFonts w:hint="eastAsia"/>
          <w:color w:val="auto"/>
        </w:rPr>
      </w:pPr>
      <w:r>
        <w:rPr>
          <w:rFonts w:hint="eastAsia"/>
          <w:color w:val="auto"/>
        </w:rPr>
      </w:r>
      <w:r/>
    </w:p>
    <w:p>
      <w:pPr>
        <w:pStyle w:val="1119"/>
        <w:rPr>
          <w:rFonts w:hint="eastAsia"/>
          <w:color w:val="auto"/>
        </w:rPr>
      </w:pPr>
      <w:r>
        <w:rPr>
          <w:rFonts w:hint="eastAsia"/>
          <w:color w:val="auto"/>
        </w:rPr>
      </w:r>
      <w:r/>
    </w:p>
    <w:p>
      <w:pPr>
        <w:pStyle w:val="1119"/>
        <w:rPr>
          <w:rFonts w:hint="eastAsia"/>
          <w:color w:val="auto"/>
        </w:rPr>
      </w:pPr>
      <w:r>
        <w:rPr>
          <w:rFonts w:hint="eastAsia"/>
          <w:color w:val="auto"/>
        </w:rPr>
      </w:r>
      <w:r/>
    </w:p>
    <w:p>
      <w:pPr>
        <w:pStyle w:val="1119"/>
        <w:rPr>
          <w:rFonts w:hint="eastAsia"/>
          <w:color w:val="auto"/>
        </w:rPr>
      </w:pPr>
      <w:r>
        <w:rPr>
          <w:rFonts w:hint="eastAsia"/>
          <w:color w:val="auto"/>
        </w:rPr>
      </w:r>
      <w:r/>
    </w:p>
    <w:p>
      <w:pPr>
        <w:pStyle w:val="1119"/>
        <w:rPr>
          <w:rFonts w:hint="eastAsia"/>
          <w:color w:val="auto"/>
        </w:rPr>
      </w:pPr>
      <w:r>
        <w:rPr>
          <w:rFonts w:hint="eastAsia"/>
          <w:color w:val="auto"/>
        </w:rPr>
      </w:r>
      <w:r/>
    </w:p>
    <w:p>
      <w:pPr>
        <w:pStyle w:val="809"/>
        <w:rPr>
          <w:rFonts w:hint="eastAsia"/>
          <w:color w:val="auto"/>
        </w:rPr>
      </w:pPr>
      <w:r/>
      <w:bookmarkStart w:id="71" w:name="_Toc19673"/>
      <w:r/>
      <w:bookmarkStart w:id="72" w:name="_Toc514054491"/>
      <w:r/>
      <w:bookmarkStart w:id="73" w:name="_Toc5571_WPSOffice_Level2"/>
      <w:r>
        <w:rPr>
          <w:color w:val="auto"/>
        </w:rPr>
        <w:t xml:space="preserve">六、无重大违法行为声明</w:t>
      </w:r>
      <w:bookmarkEnd w:id="71"/>
      <w:r/>
      <w:bookmarkEnd w:id="72"/>
      <w:r/>
      <w:bookmarkEnd w:id="73"/>
      <w:r/>
      <w:r/>
    </w:p>
    <w:p>
      <w:pPr>
        <w:pStyle w:val="1122"/>
        <w:jc w:val="center"/>
        <w:spacing w:line="580" w:lineRule="exact"/>
        <w:tabs>
          <w:tab w:val="left" w:pos="1498" w:leader="none"/>
        </w:tabs>
        <w:rPr>
          <w:b/>
          <w:color w:val="auto"/>
          <w:sz w:val="32"/>
          <w:szCs w:val="32"/>
          <w:highlight w:val="none"/>
        </w:rPr>
      </w:pPr>
      <w:r/>
      <w:bookmarkStart w:id="74" w:name="_Toc7575_WPSOffice_Level2"/>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无重大违法记录声明</w:t>
      </w:r>
      <w:r/>
    </w:p>
    <w:p>
      <w:pPr>
        <w:spacing w:line="460" w:lineRule="exact"/>
        <w:rPr>
          <w:rFonts w:hint="eastAsia" w:ascii="宋体" w:hAnsi="宋体" w:cs="宋体"/>
          <w:color w:val="auto"/>
          <w:highlight w:val="none"/>
        </w:rPr>
      </w:pPr>
      <w:r>
        <w:rPr>
          <w:rFonts w:hint="eastAsia" w:ascii="宋体" w:hAnsi="宋体" w:cs="宋体"/>
          <w:color w:val="auto"/>
          <w:highlight w:val="none"/>
        </w:rPr>
      </w:r>
      <w:r/>
    </w:p>
    <w:p>
      <w:pPr>
        <w:spacing w:line="460" w:lineRule="exact"/>
        <w:rPr>
          <w:rFonts w:hint="eastAsia" w:ascii="宋体" w:hAnsi="宋体" w:cs="宋体"/>
          <w:color w:val="auto"/>
          <w:highlight w:val="none"/>
        </w:rPr>
      </w:pPr>
      <w:r>
        <w:rPr>
          <w:rFonts w:ascii="宋体" w:hAnsi="宋体" w:cs="宋体"/>
          <w:color w:val="auto"/>
          <w:highlight w:val="none"/>
          <w:u w:val="single"/>
        </w:rPr>
        <w:t xml:space="preserve">        </w:t>
      </w:r>
      <w:r>
        <w:rPr>
          <w:rFonts w:hint="eastAsia" w:ascii="宋体" w:hAnsi="宋体" w:cs="宋体"/>
          <w:color w:val="auto"/>
          <w:highlight w:val="none"/>
          <w:u w:val="single"/>
        </w:rPr>
        <w:t xml:space="preserve">（</w:t>
      </w:r>
      <w:r>
        <w:rPr>
          <w:rFonts w:hint="eastAsia" w:ascii="宋体" w:hAnsi="宋体" w:cs="宋体"/>
          <w:color w:val="auto"/>
          <w:highlight w:val="none"/>
        </w:rPr>
        <w:t xml:space="preserve">采购人名称）：</w:t>
      </w:r>
      <w:r/>
    </w:p>
    <w:p>
      <w:pPr>
        <w:spacing w:line="460" w:lineRule="exact"/>
        <w:rPr>
          <w:rFonts w:hint="eastAsia" w:ascii="宋体" w:hAnsi="宋体" w:cs="宋体"/>
          <w:color w:val="auto"/>
          <w:highlight w:val="none"/>
        </w:rPr>
      </w:pPr>
      <w:r>
        <w:rPr>
          <w:rFonts w:hint="eastAsia" w:ascii="宋体" w:hAnsi="宋体" w:cs="宋体"/>
          <w:color w:val="auto"/>
          <w:highlight w:val="none"/>
        </w:rPr>
        <w:t xml:space="preserve">    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（供应商名称）郑重声明：</w:t>
      </w:r>
      <w:r/>
    </w:p>
    <w:p>
      <w:pPr>
        <w:spacing w:line="460" w:lineRule="exact"/>
        <w:rPr>
          <w:rFonts w:hint="eastAsia" w:ascii="宋体" w:hAnsi="宋体" w:cs="宋体"/>
          <w:color w:val="auto"/>
          <w:highlight w:val="none"/>
        </w:rPr>
      </w:pPr>
      <w:r>
        <w:rPr>
          <w:rFonts w:hint="eastAsia" w:ascii="宋体" w:hAnsi="宋体" w:cs="宋体"/>
          <w:color w:val="auto"/>
          <w:highlight w:val="none"/>
        </w:rPr>
        <w:t xml:space="preserve">    </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w:t>
      </w:r>
      <w:r>
        <w:rPr>
          <w:rFonts w:hint="eastAsia" w:ascii="宋体" w:hAnsi="宋体" w:cs="宋体"/>
          <w:color w:val="auto"/>
          <w:highlight w:val="none"/>
        </w:rPr>
        <w:t xml:space="preserve">政府采购活动前3年内在经营活动中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（在下划线上如实填写：有或没有）重大违法记录。</w:t>
      </w:r>
      <w:r/>
    </w:p>
    <w:p>
      <w:pPr>
        <w:spacing w:line="460" w:lineRule="exact"/>
        <w:rPr>
          <w:rFonts w:hint="eastAsia"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460" w:lineRule="exact"/>
        <w:rPr>
          <w:rFonts w:hint="eastAsia" w:ascii="宋体" w:hAnsi="宋体" w:cs="宋体"/>
          <w:color w:val="auto"/>
          <w:highlight w:val="none"/>
        </w:rPr>
      </w:pPr>
      <w:r>
        <w:rPr>
          <w:rFonts w:hint="eastAsia" w:ascii="宋体" w:hAnsi="宋体" w:cs="宋体"/>
          <w:color w:val="auto"/>
          <w:highlight w:val="none"/>
        </w:rPr>
      </w:r>
      <w:r/>
    </w:p>
    <w:p>
      <w:pPr>
        <w:jc w:val="right"/>
        <w:spacing w:line="460" w:lineRule="exact"/>
        <w:rPr>
          <w:rFonts w:hint="eastAsia" w:ascii="宋体" w:hAnsi="宋体" w:cs="宋体"/>
          <w:color w:val="auto"/>
          <w:sz w:val="30"/>
          <w:szCs w:val="30"/>
          <w:highlight w:val="none"/>
        </w:rPr>
      </w:pPr>
      <w:r>
        <w:rPr>
          <w:rFonts w:hint="eastAsia" w:ascii="宋体" w:hAnsi="宋体" w:cs="宋体"/>
          <w:color w:val="auto"/>
          <w:highlight w:val="none"/>
        </w:rPr>
        <w:t xml:space="preserve">                                                      声明人：（加盖电子公章）</w:t>
      </w:r>
      <w:r/>
    </w:p>
    <w:p>
      <w:pPr>
        <w:ind w:firstLine="4515"/>
        <w:jc w:val="right"/>
        <w:spacing w:line="460" w:lineRule="exact"/>
        <w:rPr>
          <w:rFonts w:hint="eastAsia" w:ascii="宋体" w:hAnsi="宋体" w:cs="宋体"/>
          <w:color w:val="auto"/>
          <w:highlight w:val="none"/>
        </w:rPr>
      </w:pPr>
      <w:r>
        <w:rPr>
          <w:rFonts w:hint="eastAsia" w:ascii="宋体" w:hAnsi="宋体" w:cs="宋体"/>
          <w:color w:val="auto"/>
          <w:highlight w:val="none"/>
        </w:rPr>
        <w:t xml:space="preserve">年     月    日</w:t>
      </w:r>
      <w:r/>
    </w:p>
    <w:p>
      <w:pPr>
        <w:spacing w:line="360" w:lineRule="auto"/>
        <w:rPr>
          <w:rFonts w:hint="eastAsia" w:ascii="宋体" w:hAnsi="宋体" w:cs="宋体"/>
          <w:b/>
          <w:color w:val="auto"/>
          <w:highlight w:val="none"/>
        </w:rPr>
      </w:pPr>
      <w:r>
        <w:rPr>
          <w:rFonts w:hint="eastAsia" w:ascii="宋体" w:hAnsi="宋体" w:cs="宋体"/>
          <w:b/>
          <w:color w:val="auto"/>
          <w:highlight w:val="none"/>
        </w:rPr>
      </w:r>
      <w:bookmarkEnd w:id="74"/>
      <w:r/>
      <w:r/>
    </w:p>
    <w:p>
      <w:pPr>
        <w:pStyle w:val="1122"/>
        <w:jc w:val="left"/>
        <w:spacing w:line="580" w:lineRule="exact"/>
        <w:tabs>
          <w:tab w:val="left" w:pos="1498" w:leader="none"/>
        </w:tabs>
        <w:rPr>
          <w:b/>
          <w:color w:val="auto"/>
          <w:sz w:val="32"/>
          <w:szCs w:val="32"/>
          <w:highlight w:val="none"/>
        </w:rPr>
      </w:pPr>
      <w:r>
        <w:rPr>
          <w:b/>
          <w:color w:val="auto"/>
          <w:sz w:val="32"/>
          <w:szCs w:val="32"/>
          <w:highlight w:val="none"/>
        </w:rPr>
      </w:r>
      <w:r/>
    </w:p>
    <w:p>
      <w:pPr>
        <w:pStyle w:val="1122"/>
        <w:jc w:val="left"/>
        <w:spacing w:line="580" w:lineRule="exact"/>
        <w:tabs>
          <w:tab w:val="left" w:pos="1498" w:leader="none"/>
        </w:tabs>
        <w:rPr>
          <w:b/>
          <w:color w:val="auto"/>
          <w:sz w:val="32"/>
          <w:szCs w:val="32"/>
          <w:highlight w:val="none"/>
        </w:rPr>
      </w:pPr>
      <w:r>
        <w:rPr>
          <w:b/>
          <w:color w:val="auto"/>
          <w:sz w:val="32"/>
          <w:szCs w:val="32"/>
          <w:highlight w:val="none"/>
        </w:rPr>
      </w:r>
      <w:r/>
    </w:p>
    <w:p>
      <w:pPr>
        <w:pStyle w:val="1122"/>
        <w:jc w:val="left"/>
        <w:spacing w:line="580" w:lineRule="exact"/>
        <w:tabs>
          <w:tab w:val="left" w:pos="1498" w:leader="none"/>
        </w:tabs>
        <w:rPr>
          <w:b/>
          <w:color w:val="auto"/>
          <w:sz w:val="32"/>
          <w:szCs w:val="32"/>
          <w:highlight w:val="none"/>
        </w:rPr>
      </w:pPr>
      <w:r>
        <w:rPr>
          <w:b/>
          <w:color w:val="auto"/>
          <w:sz w:val="32"/>
          <w:szCs w:val="32"/>
          <w:highlight w:val="none"/>
        </w:rPr>
      </w:r>
      <w:r/>
    </w:p>
    <w:p>
      <w:pPr>
        <w:pStyle w:val="1122"/>
        <w:jc w:val="left"/>
        <w:spacing w:line="580" w:lineRule="exact"/>
        <w:tabs>
          <w:tab w:val="left" w:pos="1498" w:leader="none"/>
        </w:tabs>
        <w:rPr>
          <w:b/>
          <w:color w:val="auto"/>
          <w:sz w:val="32"/>
          <w:szCs w:val="32"/>
          <w:highlight w:val="none"/>
        </w:rPr>
      </w:pPr>
      <w:r>
        <w:rPr>
          <w:b/>
          <w:color w:val="auto"/>
          <w:sz w:val="32"/>
          <w:szCs w:val="32"/>
          <w:highlight w:val="none"/>
        </w:rPr>
      </w:r>
      <w:r/>
    </w:p>
    <w:p>
      <w:pPr>
        <w:pStyle w:val="809"/>
        <w:rPr>
          <w:color w:val="auto"/>
          <w:lang w:val="zh-CN"/>
        </w:rPr>
      </w:pPr>
      <w:r>
        <w:rPr>
          <w:rFonts w:hint="eastAsia"/>
          <w:color w:val="auto"/>
        </w:rPr>
        <w:t xml:space="preserve">七</w:t>
      </w:r>
      <w:r>
        <w:rPr>
          <w:rFonts w:hint="eastAsia"/>
          <w:color w:val="auto"/>
          <w:lang w:val="zh-CN"/>
        </w:rPr>
        <w:t xml:space="preserve">、投标</w:t>
      </w:r>
      <w:r>
        <w:rPr>
          <w:rFonts w:hint="eastAsia"/>
          <w:color w:val="auto"/>
        </w:rPr>
        <w:t xml:space="preserve">函</w:t>
      </w:r>
      <w:r>
        <w:rPr>
          <w:rFonts w:hint="eastAsia"/>
          <w:color w:val="auto"/>
          <w:lang w:val="zh-CN"/>
        </w:rPr>
        <w:t xml:space="preserve">及声明格式</w:t>
      </w:r>
      <w:r/>
    </w:p>
    <w:p>
      <w:pPr>
        <w:ind w:firstLine="420"/>
        <w:jc w:val="center"/>
        <w:spacing w:line="440" w:lineRule="exact"/>
        <w:rPr>
          <w:rFonts w:hint="eastAsia" w:ascii="宋体" w:hAnsi="宋体" w:cs="宋体"/>
          <w:color w:val="auto"/>
          <w:sz w:val="36"/>
          <w:szCs w:val="36"/>
          <w:highlight w:val="none"/>
          <w:lang w:val="zh-CN"/>
        </w:rPr>
      </w:pPr>
      <w:r/>
      <w:bookmarkStart w:id="75" w:name="_Toc4379"/>
      <w:r/>
      <w:bookmarkStart w:id="76" w:name="_Toc32604"/>
      <w:r>
        <w:rPr>
          <w:rFonts w:hint="eastAsia" w:ascii="宋体" w:hAnsi="宋体" w:cs="宋体"/>
          <w:color w:val="auto"/>
          <w:sz w:val="36"/>
          <w:szCs w:val="36"/>
          <w:highlight w:val="none"/>
          <w:lang w:val="zh-CN"/>
        </w:rPr>
        <w:t xml:space="preserve">投标函及声明</w:t>
      </w:r>
      <w:bookmarkEnd w:id="75"/>
      <w:r/>
      <w:bookmarkEnd w:id="76"/>
      <w:r/>
      <w:r/>
    </w:p>
    <w:p>
      <w:pPr>
        <w:pStyle w:val="1015"/>
        <w:spacing w:line="440" w:lineRule="exact"/>
        <w:rPr>
          <w:color w:val="auto"/>
          <w:highlight w:val="none"/>
          <w:lang w:val="zh-CN"/>
        </w:rPr>
      </w:pPr>
      <w:r/>
      <w:bookmarkStart w:id="77" w:name="_Toc18647"/>
      <w:r/>
      <w:bookmarkStart w:id="78" w:name="_Toc27899"/>
      <w:r>
        <w:rPr>
          <w:rFonts w:hint="eastAsia"/>
          <w:color w:val="auto"/>
          <w:highlight w:val="none"/>
          <w:lang w:val="zh-CN"/>
        </w:rPr>
        <w:t xml:space="preserve">致</w:t>
      </w:r>
      <w:r>
        <w:rPr>
          <w:rFonts w:hint="eastAsia"/>
          <w:color w:val="auto"/>
          <w:highlight w:val="none"/>
          <w:u w:val="single"/>
        </w:rPr>
        <w:t xml:space="preserve">        （</w:t>
      </w:r>
      <w:r>
        <w:rPr>
          <w:rFonts w:hint="eastAsia"/>
          <w:color w:val="auto"/>
          <w:highlight w:val="none"/>
          <w:u w:val="single"/>
          <w:lang w:val="zh-CN"/>
        </w:rPr>
        <w:t xml:space="preserve">采购人名称）</w:t>
      </w:r>
      <w:r>
        <w:rPr>
          <w:rFonts w:hint="eastAsia"/>
          <w:color w:val="auto"/>
          <w:highlight w:val="none"/>
          <w:lang w:val="zh-CN"/>
        </w:rPr>
        <w:t xml:space="preserve">：</w:t>
      </w:r>
      <w:bookmarkEnd w:id="77"/>
      <w:r/>
      <w:bookmarkEnd w:id="78"/>
      <w:r>
        <w:rPr>
          <w:rFonts w:hint="eastAsia"/>
          <w:color w:val="auto"/>
          <w:highlight w:val="none"/>
          <w:lang w:val="zh-CN"/>
        </w:rPr>
        <w:t xml:space="preserve"> </w:t>
      </w:r>
      <w:r/>
    </w:p>
    <w:p>
      <w:pPr>
        <w:pStyle w:val="1015"/>
        <w:ind w:firstLine="420"/>
        <w:spacing w:line="440" w:lineRule="exact"/>
        <w:rPr>
          <w:color w:val="auto"/>
          <w:highlight w:val="none"/>
          <w:lang w:val="zh-CN"/>
        </w:rPr>
      </w:pPr>
      <w:r>
        <w:rPr>
          <w:rFonts w:hint="eastAsia"/>
          <w:color w:val="auto"/>
          <w:highlight w:val="none"/>
          <w:lang w:val="zh-CN"/>
        </w:rPr>
        <w:t xml:space="preserve">   </w:t>
      </w:r>
      <w:bookmarkStart w:id="79" w:name="_Toc9373"/>
      <w:r/>
      <w:bookmarkStart w:id="80" w:name="_Toc4607"/>
      <w:r>
        <w:rPr>
          <w:rFonts w:hint="eastAsia" w:hAnsi="宋体" w:cs="宋体"/>
          <w:color w:val="auto"/>
          <w:szCs w:val="21"/>
          <w:highlight w:val="none"/>
          <w:lang w:val="zh-CN"/>
        </w:rPr>
        <w:t xml:space="preserve">经研究，我们决定参加编号为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color w:val="auto"/>
          <w:highlight w:val="none"/>
          <w:lang w:val="zh-CN"/>
        </w:rPr>
        <w:t xml:space="preserve">（项目名称）</w:t>
      </w:r>
      <w:r>
        <w:rPr>
          <w:rFonts w:hint="eastAsia"/>
          <w:color w:val="auto"/>
          <w:highlight w:val="none"/>
          <w:u w:val="single"/>
        </w:rPr>
        <w:t xml:space="preserve">               </w:t>
      </w:r>
      <w:r>
        <w:rPr>
          <w:rFonts w:hint="eastAsia" w:ascii="仿宋_GB2312" w:eastAsia="仿宋_GB2312"/>
          <w:color w:val="auto"/>
          <w:sz w:val="24"/>
          <w:highlight w:val="none"/>
          <w:u w:val="single"/>
        </w:rPr>
        <w:t xml:space="preserve">  </w:t>
      </w:r>
      <w:r>
        <w:rPr>
          <w:rFonts w:hint="eastAsia" w:hAnsi="宋体" w:cs="宋体"/>
          <w:color w:val="auto"/>
          <w:szCs w:val="21"/>
          <w:highlight w:val="none"/>
          <w:lang w:val="zh-CN"/>
        </w:rPr>
        <w:t xml:space="preserve">的招标活动并投标，</w:t>
      </w:r>
      <w:r>
        <w:rPr>
          <w:rFonts w:hint="eastAsia"/>
          <w:color w:val="auto"/>
          <w:highlight w:val="none"/>
          <w:lang w:val="zh-CN"/>
        </w:rPr>
        <w:t xml:space="preserve">正式授权下述签字人</w:t>
      </w:r>
      <w:r>
        <w:rPr>
          <w:rFonts w:hint="eastAsia"/>
          <w:color w:val="auto"/>
          <w:highlight w:val="none"/>
          <w:u w:val="single"/>
        </w:rPr>
        <w:t xml:space="preserve">        </w:t>
      </w:r>
      <w:r>
        <w:rPr>
          <w:rFonts w:hint="eastAsia"/>
          <w:color w:val="auto"/>
          <w:highlight w:val="none"/>
          <w:lang w:val="zh-CN"/>
        </w:rPr>
        <w:t xml:space="preserve">(姓名和职务)代表供应商</w:t>
      </w:r>
      <w:r>
        <w:rPr>
          <w:rFonts w:hint="eastAsia"/>
          <w:color w:val="auto"/>
          <w:highlight w:val="none"/>
          <w:u w:val="single"/>
        </w:rPr>
        <w:t xml:space="preserve">                 </w:t>
      </w:r>
      <w:r>
        <w:rPr>
          <w:rFonts w:hint="eastAsia"/>
          <w:color w:val="auto"/>
          <w:highlight w:val="none"/>
          <w:lang w:val="zh-CN"/>
        </w:rPr>
        <w:t xml:space="preserve">（供应商名称），提交投标文件。</w:t>
      </w:r>
      <w:bookmarkEnd w:id="79"/>
      <w:r/>
      <w:bookmarkEnd w:id="80"/>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据此函，签字人兹宣布声明和承诺如下，并负法律责任：</w:t>
      </w:r>
      <w:r/>
    </w:p>
    <w:p>
      <w:pPr>
        <w:ind w:firstLine="420"/>
        <w:spacing w:line="440" w:lineRule="exact"/>
        <w:rPr>
          <w:rFonts w:hint="eastAsia"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lang w:val="zh-CN"/>
        </w:rPr>
        <w:t xml:space="preserve">我们的资格条件完全符合政府采购法和本次采购要求</w:t>
      </w:r>
      <w:r>
        <w:rPr>
          <w:rFonts w:hint="eastAsia" w:ascii="宋体" w:hAnsi="宋体" w:cs="宋体"/>
          <w:color w:val="auto"/>
          <w:szCs w:val="21"/>
          <w:highlight w:val="none"/>
          <w:lang w:val="zh-CN"/>
        </w:rPr>
        <w:t xml:space="preserve">，</w:t>
      </w:r>
      <w:r>
        <w:rPr>
          <w:rFonts w:hint="eastAsia" w:ascii="宋体" w:hAnsi="宋体" w:cs="宋体"/>
          <w:color w:val="auto"/>
          <w:highlight w:val="none"/>
        </w:rPr>
        <w:t xml:space="preserve">我们</w:t>
      </w:r>
      <w:r>
        <w:rPr>
          <w:rFonts w:hint="eastAsia" w:ascii="宋体" w:hAnsi="宋体" w:cs="宋体"/>
          <w:color w:val="auto"/>
          <w:szCs w:val="21"/>
          <w:highlight w:val="none"/>
          <w:lang w:val="zh-CN"/>
        </w:rPr>
        <w:t xml:space="preserve">同意并向贵方提供了与投标有关的所有证据和资料。</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highlight w:val="none"/>
        </w:rPr>
        <w:t xml:space="preserve">2、</w:t>
      </w:r>
      <w:r>
        <w:rPr>
          <w:rFonts w:hint="eastAsia" w:ascii="宋体" w:hAnsi="宋体" w:cs="宋体"/>
          <w:color w:val="auto"/>
          <w:szCs w:val="21"/>
          <w:highlight w:val="none"/>
          <w:lang w:val="zh-CN"/>
        </w:rPr>
        <w:t xml:space="preserve">按采购要求，我们的投标总报价为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（大写）元人民币。</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3、我们已详细审核全部采购文件及其有效补充文件，我们放弃对采购文件任何误解的权利，提交投标文件后，</w:t>
      </w:r>
      <w:r>
        <w:rPr>
          <w:rFonts w:hint="eastAsia" w:ascii="宋体" w:hAnsi="宋体" w:cs="宋体"/>
          <w:b/>
          <w:color w:val="auto"/>
          <w:szCs w:val="21"/>
          <w:highlight w:val="none"/>
          <w:lang w:val="zh-CN"/>
        </w:rPr>
        <w:t xml:space="preserve">不对采购文件本身提出质疑</w:t>
      </w:r>
      <w:r>
        <w:rPr>
          <w:rFonts w:hint="eastAsia" w:ascii="宋体" w:hAnsi="宋体" w:cs="宋体"/>
          <w:color w:val="auto"/>
          <w:szCs w:val="21"/>
          <w:highlight w:val="none"/>
          <w:lang w:val="zh-CN"/>
        </w:rPr>
        <w:t xml:space="preserve">。否则，属于不诚信和故意扰乱政府采购活动行为，我们将无条件接受处罚。</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4、我们同意从规定的开标日期起遵循本投标文件，并在规定的投标有效期期满之前均具有约束力。</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5、一旦我方中标，我方将</w:t>
      </w:r>
      <w:r>
        <w:rPr>
          <w:rFonts w:hint="eastAsia" w:ascii="宋体" w:hAnsi="宋体" w:cs="宋体"/>
          <w:color w:val="auto"/>
          <w:szCs w:val="21"/>
          <w:highlight w:val="none"/>
        </w:rPr>
        <w:t xml:space="preserve">派出</w:t>
      </w:r>
      <w:r>
        <w:rPr>
          <w:rFonts w:hint="eastAsia" w:ascii="宋体" w:hAnsi="宋体" w:cs="宋体"/>
          <w:color w:val="auto"/>
          <w:szCs w:val="21"/>
          <w:highlight w:val="none"/>
          <w:lang w:val="zh-CN"/>
        </w:rPr>
        <w:t xml:space="preserve"> </w:t>
      </w:r>
      <w:r>
        <w:rPr>
          <w:rFonts w:hint="eastAsia" w:ascii="仿宋_GB2312" w:eastAsia="仿宋_GB2312"/>
          <w:color w:val="auto"/>
          <w:sz w:val="24"/>
          <w:highlight w:val="none"/>
          <w:u w:val="single"/>
        </w:rPr>
        <w:t xml:space="preserve">           </w:t>
      </w:r>
      <w:r>
        <w:rPr>
          <w:rFonts w:hint="eastAsia" w:ascii="宋体" w:hAnsi="宋体" w:cs="宋体"/>
          <w:color w:val="auto"/>
          <w:szCs w:val="21"/>
          <w:highlight w:val="none"/>
        </w:rPr>
        <w:t xml:space="preserve">作为本项目的项目负责人</w:t>
      </w:r>
      <w:r>
        <w:rPr>
          <w:rFonts w:hint="eastAsia" w:ascii="仿宋_GB2312" w:eastAsia="仿宋_GB2312"/>
          <w:color w:val="auto"/>
          <w:sz w:val="24"/>
          <w:highlight w:val="none"/>
        </w:rPr>
        <w:t xml:space="preserve">，</w:t>
      </w:r>
      <w:r>
        <w:rPr>
          <w:rFonts w:hint="eastAsia" w:ascii="宋体" w:hAnsi="宋体" w:cs="宋体"/>
          <w:color w:val="auto"/>
          <w:szCs w:val="21"/>
          <w:highlight w:val="none"/>
          <w:lang w:val="zh-CN"/>
        </w:rPr>
        <w:t xml:space="preserve">根据采购文件的规定严格履行合同，并保证于承诺的时间完成服务的启动/集成、调试等服务，交付采购人验收、使用。</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我方决不提供虚假材料谋取中标、决不采取不正当手段诋毁、排挤其他供应商、决不与采购人、其它供应商或者采购代理机构恶意串通、决不向采购人、采购代理工作人员和评委进行商业贿赂、决不在采购过程中与采购人进行协商谈判、决不拒绝有关部门监督检查或提供虚假情况，如有违反，无条件接受贵方及相关管理部门的处罚。</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7、与本投标有关的正式联系方式为：</w:t>
      </w:r>
      <w:r/>
    </w:p>
    <w:p>
      <w:pPr>
        <w:ind w:firstLine="420"/>
        <w:spacing w:line="440" w:lineRule="exact"/>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地址：</w:t>
      </w:r>
      <w:r/>
    </w:p>
    <w:p>
      <w:pPr>
        <w:ind w:firstLine="420"/>
        <w:spacing w:line="440" w:lineRule="exact"/>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电话：</w:t>
      </w:r>
      <w:r/>
    </w:p>
    <w:p>
      <w:pPr>
        <w:ind w:firstLine="420"/>
        <w:spacing w:line="440" w:lineRule="exact"/>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传真：</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开户银行：</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银行账号：</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pStyle w:val="809"/>
        <w:rPr>
          <w:b/>
          <w:color w:val="auto"/>
          <w:szCs w:val="32"/>
          <w:highlight w:val="none"/>
          <w:lang w:val="zh-CN"/>
        </w:rPr>
      </w:pPr>
      <w:r>
        <w:rPr>
          <w:rFonts w:hint="eastAsia" w:ascii="宋体" w:hAnsi="宋体" w:cs="宋体"/>
          <w:b/>
          <w:color w:val="auto"/>
          <w:szCs w:val="21"/>
          <w:highlight w:val="none"/>
          <w:lang w:val="zh-CN"/>
        </w:rPr>
        <w:br w:type="page" w:clear="all"/>
      </w:r>
      <w:r>
        <w:rPr>
          <w:rFonts w:hint="eastAsia"/>
          <w:color w:val="auto"/>
        </w:rPr>
        <w:t xml:space="preserve">八</w:t>
      </w:r>
      <w:r>
        <w:rPr>
          <w:rFonts w:hint="eastAsia"/>
          <w:color w:val="auto"/>
          <w:lang w:val="zh-CN"/>
        </w:rPr>
        <w:t xml:space="preserve">、法定代表人身份证明或授权委托书</w:t>
      </w:r>
      <w:r/>
    </w:p>
    <w:p>
      <w:pPr>
        <w:jc w:val="center"/>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pStyle w:val="1125"/>
        <w:jc w:val="center"/>
        <w:spacing w:line="560" w:lineRule="exact"/>
        <w:rPr>
          <w:rFonts w:ascii="宋体"/>
          <w:b/>
          <w:bCs/>
          <w:color w:val="auto"/>
          <w:sz w:val="32"/>
          <w:szCs w:val="32"/>
          <w:highlight w:val="none"/>
        </w:rPr>
      </w:pPr>
      <w:r/>
      <w:bookmarkStart w:id="81" w:name="_Toc22626_WPSOffice_Level2"/>
      <w:r>
        <w:rPr>
          <w:rFonts w:ascii="宋体"/>
          <w:b/>
          <w:bCs/>
          <w:color w:val="auto"/>
          <w:sz w:val="32"/>
          <w:szCs w:val="32"/>
          <w:highlight w:val="none"/>
        </w:rPr>
        <w:t xml:space="preserve">法定代表人身份证明</w:t>
      </w:r>
      <w:bookmarkEnd w:id="81"/>
      <w:r/>
      <w:r/>
    </w:p>
    <w:p>
      <w:pPr>
        <w:pStyle w:val="1126"/>
        <w:spacing w:line="480" w:lineRule="exact"/>
        <w:rPr>
          <w:rFonts w:eastAsia="仿宋_GB2312"/>
          <w:color w:val="auto"/>
          <w:sz w:val="24"/>
          <w:highlight w:val="none"/>
        </w:rPr>
      </w:pPr>
      <w:r>
        <w:rPr>
          <w:rFonts w:eastAsia="仿宋_GB2312"/>
          <w:color w:val="auto"/>
          <w:sz w:val="24"/>
          <w:highlight w:val="none"/>
        </w:rPr>
      </w:r>
      <w:r/>
    </w:p>
    <w:p>
      <w:pPr>
        <w:pStyle w:val="1126"/>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126"/>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126"/>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126"/>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126"/>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126"/>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126"/>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126"/>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127"/>
        <w:spacing w:line="600" w:lineRule="exact"/>
        <w:rPr>
          <w:rFonts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126"/>
        <w:ind w:firstLine="480"/>
        <w:spacing w:line="480" w:lineRule="exact"/>
        <w:rPr>
          <w:rFonts w:eastAsia="仿宋_GB2312"/>
          <w:color w:val="auto"/>
          <w:sz w:val="24"/>
          <w:highlight w:val="none"/>
        </w:rPr>
      </w:pPr>
      <w:r>
        <w:rPr>
          <w:rFonts w:eastAsia="仿宋_GB2312"/>
          <w:color w:val="auto"/>
          <w:sz w:val="24"/>
          <w:highlight w:val="none"/>
        </w:rPr>
      </w:r>
      <w:r/>
    </w:p>
    <w:p>
      <w:pPr>
        <w:pStyle w:val="1126"/>
        <w:jc w:val="right"/>
        <w:spacing w:line="480" w:lineRule="exact"/>
        <w:rPr>
          <w:rFonts w:eastAsia="仿宋_GB2312"/>
          <w:color w:val="auto"/>
          <w:sz w:val="24"/>
          <w:highlight w:val="none"/>
        </w:rPr>
      </w:pPr>
      <w:r>
        <w:rPr>
          <w:rFonts w:eastAsia="仿宋_GB2312"/>
          <w:color w:val="auto"/>
          <w:sz w:val="24"/>
          <w:highlight w:val="none"/>
        </w:rPr>
        <w:t xml:space="preserve">                       </w:t>
      </w:r>
      <w:r/>
    </w:p>
    <w:p>
      <w:pPr>
        <w:pStyle w:val="1126"/>
        <w:jc w:val="right"/>
        <w:spacing w:line="480" w:lineRule="exact"/>
        <w:rPr>
          <w:rFonts w:eastAsia="仿宋_GB2312"/>
          <w:color w:val="auto"/>
          <w:sz w:val="24"/>
          <w:highlight w:val="none"/>
        </w:rPr>
      </w:pPr>
      <w:r>
        <w:rPr>
          <w:rFonts w:eastAsia="仿宋_GB2312"/>
          <w:color w:val="auto"/>
          <w:sz w:val="24"/>
          <w:highlight w:val="none"/>
        </w:rPr>
      </w:r>
      <w:r/>
    </w:p>
    <w:p>
      <w:pPr>
        <w:pStyle w:val="1126"/>
        <w:jc w:val="right"/>
        <w:spacing w:line="480" w:lineRule="exact"/>
        <w:rPr>
          <w:rFonts w:eastAsia="仿宋_GB2312"/>
          <w:color w:val="auto"/>
          <w:sz w:val="24"/>
          <w:highlight w:val="none"/>
        </w:rPr>
      </w:pPr>
      <w:r>
        <w:rPr>
          <w:rFonts w:eastAsia="仿宋_GB2312"/>
          <w:color w:val="auto"/>
          <w:sz w:val="24"/>
          <w:highlight w:val="none"/>
        </w:rPr>
      </w:r>
      <w:r/>
    </w:p>
    <w:p>
      <w:pPr>
        <w:jc w:val="right"/>
        <w:spacing w:line="460" w:lineRule="exact"/>
        <w:rPr>
          <w:rFonts w:hint="eastAsia" w:ascii="宋体" w:hAnsi="宋体" w:cs="宋体"/>
          <w:color w:val="auto"/>
          <w:sz w:val="30"/>
          <w:szCs w:val="30"/>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宋体" w:hAnsi="宋体" w:cs="宋体"/>
          <w:color w:val="auto"/>
          <w:highlight w:val="none"/>
        </w:rPr>
        <w:t xml:space="preserve">（加盖电子公章）</w:t>
      </w:r>
      <w:r/>
    </w:p>
    <w:p>
      <w:pPr>
        <w:pStyle w:val="1127"/>
        <w:ind w:firstLine="445"/>
        <w:jc w:val="right"/>
        <w:spacing w:line="700" w:lineRule="exact"/>
        <w:rPr>
          <w:rFonts w:ascii="仿宋_GB2312" w:eastAsia="仿宋_GB2312"/>
          <w:color w:val="auto"/>
          <w:sz w:val="24"/>
          <w:highlight w:val="none"/>
        </w:rPr>
      </w:pPr>
      <w:r>
        <w:rPr>
          <w:rFonts w:ascii="仿宋_GB2312" w:eastAsia="仿宋_GB2312"/>
          <w:color w:val="auto"/>
          <w:sz w:val="24"/>
          <w:highlight w:val="none"/>
        </w:rPr>
      </w:r>
      <w:r/>
    </w:p>
    <w:p>
      <w:pPr>
        <w:pStyle w:val="1125"/>
        <w:ind w:firstLine="424"/>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（签字或签章）</w:t>
      </w:r>
      <w:r/>
    </w:p>
    <w:p>
      <w:pPr>
        <w:pStyle w:val="1128"/>
        <w:ind w:firstLine="988"/>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25"/>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bookmarkStart w:id="82" w:name="_Toc406_WPSOffice_Level2"/>
      <w:r>
        <w:rPr>
          <w:rFonts w:hint="eastAsia" w:ascii="宋体"/>
          <w:b/>
          <w:bCs/>
          <w:color w:val="auto"/>
          <w:sz w:val="32"/>
          <w:szCs w:val="32"/>
          <w:highlight w:val="none"/>
        </w:rPr>
        <w:t xml:space="preserve">法定代表人授权委托书</w:t>
      </w:r>
      <w:bookmarkEnd w:id="82"/>
      <w:r/>
      <w:r/>
    </w:p>
    <w:p>
      <w:pPr>
        <w:pStyle w:val="1125"/>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pStyle w:val="1126"/>
        <w:rPr>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125"/>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1125"/>
        <w:ind w:firstLine="63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1125"/>
        <w:ind w:firstLine="480"/>
        <w:spacing w:line="560" w:lineRule="exact"/>
        <w:rPr>
          <w:rFonts w:ascii="仿宋_GB2312" w:eastAsia="仿宋_GB2312"/>
          <w:color w:val="auto"/>
          <w:sz w:val="24"/>
          <w:highlight w:val="none"/>
        </w:rPr>
      </w:pPr>
      <w:r>
        <w:rPr>
          <w:rFonts w:ascii="仿宋_GB2312" w:eastAsia="仿宋_GB2312"/>
          <w:color w:val="auto"/>
          <w:sz w:val="24"/>
          <w:highlight w:val="none"/>
        </w:rPr>
      </w:r>
      <w:r/>
    </w:p>
    <w:p>
      <w:pPr>
        <w:pStyle w:val="1129"/>
        <w:ind w:firstLine="482"/>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（授权委托人出席开标会议的提供法定代表人、授权委托人身份证扫描件。）</w:t>
      </w:r>
      <w:r/>
    </w:p>
    <w:p>
      <w:pPr>
        <w:pStyle w:val="1129"/>
        <w:ind w:firstLine="630"/>
        <w:spacing w:line="600" w:lineRule="exact"/>
        <w:rPr>
          <w:rFonts w:ascii="仿宋_GB2312" w:eastAsia="仿宋_GB2312"/>
          <w:b/>
          <w:color w:val="auto"/>
          <w:sz w:val="24"/>
          <w:highlight w:val="none"/>
        </w:rPr>
      </w:pPr>
      <w:r>
        <w:rPr>
          <w:rFonts w:ascii="仿宋_GB2312" w:eastAsia="仿宋_GB2312"/>
          <w:b/>
          <w:color w:val="auto"/>
          <w:sz w:val="24"/>
          <w:highlight w:val="none"/>
        </w:rPr>
      </w:r>
      <w:r/>
    </w:p>
    <w:p>
      <w:pPr>
        <w:ind w:firstLine="3990"/>
        <w:jc w:val="righ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法定代表人签字或盖章：</w:t>
      </w:r>
      <w:r/>
    </w:p>
    <w:p>
      <w:pPr>
        <w:jc w:val="right"/>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pStyle w:val="1125"/>
        <w:ind w:firstLine="629"/>
        <w:jc w:val="right"/>
        <w:spacing w:line="700" w:lineRule="exact"/>
        <w:rPr>
          <w:rFonts w:ascii="仿宋_GB2312" w:eastAsia="仿宋_GB2312"/>
          <w:color w:val="auto"/>
          <w:sz w:val="24"/>
          <w:highlight w:val="none"/>
        </w:rPr>
      </w:pPr>
      <w:r>
        <w:rPr>
          <w:rFonts w:ascii="仿宋_GB2312" w:eastAsia="仿宋_GB2312"/>
          <w:color w:val="auto"/>
          <w:sz w:val="24"/>
          <w:highlight w:val="none"/>
        </w:rPr>
      </w:r>
      <w:r/>
    </w:p>
    <w:p>
      <w:pPr>
        <w:pStyle w:val="1130"/>
        <w:ind w:firstLine="720"/>
        <w:jc w:val="right"/>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09"/>
        <w:rPr>
          <w:rFonts w:hint="eastAsia" w:ascii="宋体" w:hAnsi="宋体" w:cs="宋体"/>
          <w:b/>
          <w:color w:val="auto"/>
          <w:szCs w:val="21"/>
          <w:highlight w:val="none"/>
          <w:lang w:val="zh-CN"/>
        </w:rPr>
      </w:pPr>
      <w:r>
        <w:rPr>
          <w:color w:val="auto"/>
          <w:highlight w:val="none"/>
        </w:rPr>
        <w:br w:type="page" w:clear="all"/>
      </w:r>
      <w:bookmarkStart w:id="83" w:name="_Toc514054494"/>
      <w:r/>
      <w:bookmarkStart w:id="84" w:name="_Toc12853"/>
      <w:r>
        <w:rPr>
          <w:rFonts w:hint="eastAsia"/>
          <w:color w:val="auto"/>
        </w:rPr>
        <w:t xml:space="preserve">九、</w:t>
      </w:r>
      <w:r>
        <w:rPr>
          <w:rFonts w:hint="eastAsia"/>
          <w:color w:val="auto"/>
          <w:lang w:val="zh-CN"/>
        </w:rPr>
        <w:t xml:space="preserve">开标一览表</w:t>
      </w:r>
      <w:bookmarkEnd w:id="83"/>
      <w:r/>
      <w:bookmarkEnd w:id="84"/>
      <w:r/>
      <w:r/>
    </w:p>
    <w:p>
      <w:pPr>
        <w:jc w:val="center"/>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开标一览表</w:t>
      </w:r>
      <w:r/>
    </w:p>
    <w:tbl>
      <w:tblPr>
        <w:tblStyle w:val="818"/>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2680"/>
        <w:gridCol w:w="93"/>
        <w:gridCol w:w="1608"/>
        <w:gridCol w:w="1739"/>
      </w:tblGrid>
      <w:tr>
        <w:trPr>
          <w:trHeight w:val="284"/>
        </w:trPr>
        <w:tc>
          <w:tcPr>
            <w:gridSpan w:val="4"/>
            <w:tcBorders>
              <w:top w:val="none" w:color="000000" w:sz="4" w:space="0"/>
              <w:left w:val="none" w:color="000000" w:sz="4" w:space="0"/>
              <w:right w:val="none" w:color="000000" w:sz="4" w:space="0"/>
            </w:tcBorders>
            <w:tcW w:w="6038"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rHeight w:val="284"/>
        </w:trPr>
        <w:tc>
          <w:tcPr>
            <w:tcW w:w="734"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gridSpan w:val="2"/>
            <w:tcBorders>
              <w:right w:val="single" w:color="000000" w:sz="4" w:space="0"/>
            </w:tcBorders>
            <w:tcW w:w="5211"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称</w:t>
            </w:r>
            <w:r/>
          </w:p>
        </w:tc>
        <w:tc>
          <w:tcPr>
            <w:gridSpan w:val="2"/>
            <w:tcBorders>
              <w:left w:val="single" w:color="000000" w:sz="4" w:space="0"/>
            </w:tcBorders>
            <w:tcW w:w="1701"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报价（元）</w:t>
            </w:r>
            <w:r/>
          </w:p>
        </w:tc>
        <w:tc>
          <w:tcPr>
            <w:tcW w:w="1739"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tcW w:w="734" w:type="dxa"/>
            <w:vAlign w:val="center"/>
            <w:textDirection w:val="lrTb"/>
            <w:noWrap w:val="false"/>
          </w:tcPr>
          <w:p>
            <w:pPr>
              <w:jc w:val="center"/>
              <w:spacing w:line="460" w:lineRule="exact"/>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1</w:t>
            </w:r>
            <w:r/>
          </w:p>
        </w:tc>
        <w:tc>
          <w:tcPr>
            <w:gridSpan w:val="2"/>
            <w:tcBorders>
              <w:right w:val="single" w:color="000000" w:sz="4" w:space="0"/>
            </w:tcBorders>
            <w:tcW w:w="5211" w:type="dxa"/>
            <w:vAlign w:val="center"/>
            <w:textDirection w:val="lrTb"/>
            <w:noWrap w:val="false"/>
          </w:tcPr>
          <w:p>
            <w:pPr>
              <w:jc w:val="center"/>
              <w:spacing w:line="460" w:lineRule="exact"/>
              <w:rPr>
                <w:rFonts w:hint="eastAsia" w:ascii="宋体" w:hAnsi="宋体" w:eastAsia="宋体" w:cs="宋体"/>
                <w:b/>
                <w:color w:val="auto"/>
                <w:szCs w:val="21"/>
                <w:highlight w:val="none"/>
                <w:lang w:val="zh-CN" w:eastAsia="zh-CN"/>
              </w:rPr>
            </w:pPr>
            <w:r>
              <w:rPr>
                <w:rFonts w:hint="eastAsia" w:ascii="宋体" w:hAnsi="宋体"/>
                <w:color w:val="auto"/>
                <w:sz w:val="22"/>
                <w:highlight w:val="none"/>
                <w:lang w:eastAsia="zh-CN"/>
              </w:rPr>
              <w:t xml:space="preserve">2026年江宁区县道日常养护服务</w:t>
            </w:r>
            <w:r/>
          </w:p>
        </w:tc>
        <w:tc>
          <w:tcPr>
            <w:gridSpan w:val="2"/>
            <w:tcBorders>
              <w:left w:val="single" w:color="000000" w:sz="4" w:space="0"/>
            </w:tcBorders>
            <w:tcW w:w="1701"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739"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gridSpan w:val="2"/>
            <w:tcW w:w="326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投标总价（人民币，大写）</w:t>
            </w:r>
            <w:r/>
          </w:p>
        </w:tc>
        <w:tc>
          <w:tcPr>
            <w:gridSpan w:val="4"/>
            <w:tcW w:w="6120" w:type="dxa"/>
            <w:vAlign w:val="center"/>
            <w:textDirection w:val="lrTb"/>
            <w:noWrap w:val="false"/>
          </w:tcPr>
          <w:p>
            <w:pPr>
              <w:ind w:firstLine="399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gridSpan w:val="2"/>
            <w:tcW w:w="326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投标货物中有无进口产品</w:t>
            </w:r>
            <w:r/>
          </w:p>
        </w:tc>
        <w:tc>
          <w:tcPr>
            <w:gridSpan w:val="4"/>
            <w:tcW w:w="6120"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仿宋" w:hAnsi="仿宋" w:eastAsia="仿宋" w:cs="仿宋"/>
                <w:color w:val="auto"/>
                <w:sz w:val="24"/>
                <w:szCs w:val="24"/>
                <w:highlight w:val="none"/>
                <w:lang w:bidi="ar"/>
              </w:rPr>
              <w:t xml:space="preserve">□</w:t>
            </w:r>
            <w:r>
              <w:rPr>
                <w:rFonts w:hint="eastAsia" w:ascii="宋体" w:hAnsi="宋体" w:cs="宋体"/>
                <w:color w:val="auto"/>
                <w:szCs w:val="21"/>
                <w:highlight w:val="none"/>
                <w:lang w:val="zh-CN"/>
              </w:rPr>
              <w:t xml:space="preserve">       无</w:t>
            </w:r>
            <w:r>
              <w:rPr>
                <w:rFonts w:hint="eastAsia" w:ascii="仿宋" w:hAnsi="仿宋" w:eastAsia="仿宋" w:cs="仿宋"/>
                <w:color w:val="auto"/>
                <w:sz w:val="24"/>
                <w:szCs w:val="24"/>
                <w:highlight w:val="none"/>
                <w:lang w:bidi="ar"/>
              </w:rPr>
              <w:t xml:space="preserve">□</w:t>
            </w:r>
            <w:r/>
          </w:p>
        </w:tc>
      </w:tr>
      <w:tr>
        <w:trPr>
          <w:trHeight w:val="284"/>
        </w:trPr>
        <w:tc>
          <w:tcPr>
            <w:gridSpan w:val="2"/>
            <w:tcW w:w="326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供应商是否属于小微型企业</w:t>
            </w:r>
            <w:r/>
          </w:p>
        </w:tc>
        <w:tc>
          <w:tcPr>
            <w:gridSpan w:val="4"/>
            <w:tcW w:w="6120"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仿宋" w:hAnsi="仿宋" w:eastAsia="仿宋" w:cs="仿宋"/>
                <w:color w:val="auto"/>
                <w:sz w:val="24"/>
                <w:szCs w:val="24"/>
                <w:highlight w:val="none"/>
                <w:lang w:bidi="ar"/>
              </w:rPr>
              <w:t xml:space="preserve">□</w:t>
            </w:r>
            <w:r>
              <w:rPr>
                <w:rFonts w:hint="eastAsia" w:ascii="宋体" w:hAnsi="宋体" w:cs="宋体"/>
                <w:color w:val="auto"/>
                <w:szCs w:val="21"/>
                <w:highlight w:val="none"/>
                <w:lang w:val="zh-CN"/>
              </w:rPr>
              <w:t xml:space="preserve">       否</w:t>
            </w:r>
            <w:r>
              <w:rPr>
                <w:rFonts w:hint="eastAsia" w:ascii="仿宋" w:hAnsi="仿宋" w:eastAsia="仿宋" w:cs="仿宋"/>
                <w:color w:val="auto"/>
                <w:sz w:val="24"/>
                <w:szCs w:val="24"/>
                <w:highlight w:val="none"/>
                <w:lang w:bidi="ar"/>
              </w:rPr>
              <w:t xml:space="preserve">□</w:t>
            </w:r>
            <w:r/>
          </w:p>
        </w:tc>
      </w:tr>
      <w:tr>
        <w:trPr>
          <w:trHeight w:val="284"/>
        </w:trPr>
        <w:tc>
          <w:tcPr>
            <w:gridSpan w:val="2"/>
            <w:tcW w:w="326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人民币与美元汇率</w:t>
            </w:r>
            <w:r/>
          </w:p>
        </w:tc>
        <w:tc>
          <w:tcPr>
            <w:gridSpan w:val="4"/>
            <w:tcW w:w="6120"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10：X</w:t>
            </w:r>
            <w:r/>
          </w:p>
        </w:tc>
      </w:tr>
    </w:tbl>
    <w:p>
      <w:pP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460" w:lineRule="exact"/>
        <w:widowControl/>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1、在“投标货物中有无进口产品”栏后“有”或“无”上打“√”。</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2、在“供应商是否属于小和微型企业”栏后“是”或“否”上打“√”。</w:t>
      </w:r>
      <w:bookmarkStart w:id="85" w:name="_Toc10632"/>
      <w:r/>
      <w:bookmarkStart w:id="86" w:name="_Toc514054496"/>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pStyle w:val="847"/>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pStyle w:val="847"/>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pStyle w:val="809"/>
        <w:rPr>
          <w:rFonts w:hint="eastAsia"/>
          <w:color w:val="auto"/>
        </w:rPr>
      </w:pPr>
      <w:r>
        <w:rPr>
          <w:color w:val="auto"/>
        </w:rPr>
        <w:t xml:space="preserve">十、中小企业声明函</w:t>
      </w:r>
      <w:bookmarkEnd w:id="85"/>
      <w:r/>
      <w:bookmarkEnd w:id="86"/>
      <w:r/>
      <w:r/>
    </w:p>
    <w:p>
      <w:pPr>
        <w:pStyle w:val="1133"/>
        <w:jc w:val="center"/>
        <w:spacing w:line="600" w:lineRule="exact"/>
        <w:rPr>
          <w:rFonts w:hint="eastAsia" w:ascii="宋体" w:hAnsi="宋体" w:cs="宋体"/>
          <w:b/>
          <w:bCs/>
          <w:color w:val="auto"/>
          <w:sz w:val="32"/>
          <w:szCs w:val="32"/>
          <w:highlight w:val="none"/>
        </w:rPr>
      </w:pPr>
      <w:r/>
      <w:bookmarkStart w:id="87" w:name="_Toc6995_WPSOffice_Level2"/>
      <w:r>
        <w:rPr>
          <w:rFonts w:hint="eastAsia" w:ascii="宋体" w:hAnsi="宋体" w:cs="宋体"/>
          <w:b/>
          <w:bCs/>
          <w:color w:val="auto"/>
          <w:sz w:val="32"/>
          <w:szCs w:val="32"/>
          <w:highlight w:val="none"/>
        </w:rPr>
        <w:t xml:space="preserve">中小企业声明函</w:t>
      </w:r>
      <w:bookmarkEnd w:id="87"/>
      <w:r>
        <w:rPr>
          <w:rFonts w:hint="eastAsia" w:ascii="宋体" w:hAnsi="宋体" w:cs="宋体"/>
          <w:b/>
          <w:bCs/>
          <w:color w:val="auto"/>
          <w:sz w:val="32"/>
          <w:szCs w:val="32"/>
          <w:highlight w:val="none"/>
        </w:rPr>
        <w:t xml:space="preserve">（工程、服务）</w:t>
      </w:r>
      <w:r/>
    </w:p>
    <w:p>
      <w:pPr>
        <w:pStyle w:val="1133"/>
        <w:ind w:firstLine="480"/>
        <w:spacing w:line="240"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420"/>
        <w:spacing w:line="360" w:lineRule="auto"/>
        <w:rPr>
          <w:rFonts w:ascii="仿宋_GB2312" w:eastAsia="仿宋_GB2312"/>
          <w:color w:val="auto"/>
          <w:highlight w:val="none"/>
        </w:rPr>
      </w:pPr>
      <w:r>
        <w:rPr>
          <w:rFonts w:ascii="仿宋_GB2312" w:eastAsia="仿宋_GB2312"/>
          <w:color w:val="auto"/>
          <w:highlight w:val="none"/>
        </w:rPr>
      </w:r>
      <w:r/>
    </w:p>
    <w:p>
      <w:pPr>
        <w:ind w:firstLine="420"/>
        <w:spacing w:line="360" w:lineRule="auto"/>
        <w:rPr>
          <w:rFonts w:ascii="仿宋_GB2312" w:eastAsia="仿宋_GB2312"/>
          <w:color w:val="auto"/>
          <w:highlight w:val="none"/>
        </w:rPr>
      </w:pPr>
      <w:r>
        <w:rPr>
          <w:rFonts w:ascii="仿宋_GB2312" w:eastAsia="仿宋_GB2312"/>
          <w:color w:val="auto"/>
          <w:highlight w:val="none"/>
        </w:rPr>
      </w:r>
      <w:r/>
    </w:p>
    <w:p>
      <w:pPr>
        <w:ind w:firstLine="420"/>
        <w:spacing w:line="360" w:lineRule="auto"/>
        <w:rPr>
          <w:rFonts w:ascii="仿宋_GB2312" w:eastAsia="仿宋_GB2312"/>
          <w:color w:val="auto"/>
          <w:highlight w:val="none"/>
        </w:rPr>
      </w:pPr>
      <w:r>
        <w:rPr>
          <w:rFonts w:ascii="仿宋_GB2312" w:eastAsia="仿宋_GB2312"/>
          <w:color w:val="auto"/>
          <w:highlight w:val="none"/>
        </w:rPr>
      </w:r>
      <w:r/>
    </w:p>
    <w:p>
      <w:pPr>
        <w:ind w:firstLine="420"/>
        <w:spacing w:line="360" w:lineRule="auto"/>
        <w:rPr>
          <w:rFonts w:ascii="仿宋_GB2312" w:eastAsia="仿宋_GB2312"/>
          <w:color w:val="auto"/>
          <w:highlight w:val="none"/>
        </w:rPr>
      </w:pPr>
      <w:r>
        <w:rPr>
          <w:rFonts w:ascii="仿宋_GB2312" w:eastAsia="仿宋_GB2312"/>
          <w:color w:val="auto"/>
          <w:highlight w:val="none"/>
        </w:rPr>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本公司（联合体）郑重声明，根据《政府采购促进中小企业发展管理办法》（财库﹝2020﹞46 号）的规定，本公司（联合体）参加</w:t>
      </w:r>
      <w:r>
        <w:rPr>
          <w:rFonts w:hint="eastAsia" w:ascii="仿宋_GB2312" w:eastAsia="仿宋_GB2312"/>
          <w:color w:val="auto"/>
          <w:highlight w:val="none"/>
          <w:u w:val="single"/>
        </w:rPr>
        <w:t xml:space="preserve">（单位名称）</w:t>
      </w:r>
      <w:r>
        <w:rPr>
          <w:rFonts w:hint="eastAsia" w:ascii="仿宋_GB2312" w:eastAsia="仿宋_GB2312"/>
          <w:color w:val="auto"/>
          <w:highlight w:val="none"/>
        </w:rPr>
        <w:t xml:space="preserve">的</w:t>
      </w:r>
      <w:r>
        <w:rPr>
          <w:rFonts w:hint="eastAsia" w:ascii="仿宋_GB2312" w:eastAsia="仿宋_GB2312"/>
          <w:color w:val="auto"/>
          <w:highlight w:val="none"/>
          <w:u w:val="single"/>
        </w:rPr>
        <w:t xml:space="preserve">（项目名称）</w:t>
      </w:r>
      <w:r>
        <w:rPr>
          <w:rFonts w:hint="eastAsia" w:ascii="仿宋_GB2312" w:eastAsia="仿宋_GB2312"/>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1. </w:t>
      </w:r>
      <w:r>
        <w:rPr>
          <w:rFonts w:hint="eastAsia" w:ascii="仿宋_GB2312" w:eastAsia="仿宋_GB2312"/>
          <w:color w:val="auto"/>
          <w:highlight w:val="none"/>
          <w:u w:val="single"/>
        </w:rPr>
        <w:t xml:space="preserve">（标的名称） </w:t>
      </w:r>
      <w:r>
        <w:rPr>
          <w:rFonts w:hint="eastAsia" w:ascii="仿宋_GB2312" w:eastAsia="仿宋_GB2312"/>
          <w:color w:val="auto"/>
          <w:highlight w:val="none"/>
        </w:rPr>
        <w:t xml:space="preserve">，属于</w:t>
      </w:r>
      <w:r>
        <w:rPr>
          <w:rFonts w:hint="eastAsia" w:ascii="仿宋_GB2312" w:eastAsia="仿宋_GB2312"/>
          <w:color w:val="auto"/>
          <w:highlight w:val="none"/>
          <w:u w:val="single"/>
        </w:rPr>
        <w:t xml:space="preserve">（采购文件中明确的所属行业）</w:t>
      </w:r>
      <w:r>
        <w:rPr>
          <w:rFonts w:hint="eastAsia" w:ascii="仿宋_GB2312" w:eastAsia="仿宋_GB2312"/>
          <w:color w:val="auto"/>
          <w:highlight w:val="none"/>
        </w:rPr>
        <w:t xml:space="preserve">；承建（承接）企业为</w:t>
      </w:r>
      <w:r>
        <w:rPr>
          <w:rFonts w:hint="eastAsia" w:ascii="仿宋_GB2312" w:eastAsia="仿宋_GB2312"/>
          <w:color w:val="auto"/>
          <w:highlight w:val="none"/>
          <w:u w:val="single"/>
        </w:rPr>
        <w:t xml:space="preserve">（企业名称）</w:t>
      </w:r>
      <w:r>
        <w:rPr>
          <w:rFonts w:hint="eastAsia" w:ascii="仿宋_GB2312" w:eastAsia="仿宋_GB2312"/>
          <w:color w:val="auto"/>
          <w:highlight w:val="none"/>
        </w:rPr>
        <w:t xml:space="preserve">，从业人员</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人，营业收入为</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万元，资产总额为</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万元</w:t>
      </w:r>
      <w:r>
        <w:rPr>
          <w:rFonts w:hint="eastAsia" w:ascii="仿宋_GB2312" w:eastAsia="仿宋_GB2312"/>
          <w:color w:val="auto"/>
          <w:highlight w:val="none"/>
          <w:vertAlign w:val="superscript"/>
        </w:rPr>
        <w:t xml:space="preserve">1</w:t>
      </w:r>
      <w:r>
        <w:rPr>
          <w:rFonts w:hint="eastAsia" w:ascii="仿宋_GB2312" w:eastAsia="仿宋_GB2312"/>
          <w:color w:val="auto"/>
          <w:highlight w:val="none"/>
        </w:rPr>
        <w:t xml:space="preserve">，属于</w:t>
      </w:r>
      <w:r>
        <w:rPr>
          <w:rFonts w:hint="eastAsia" w:ascii="仿宋_GB2312" w:eastAsia="仿宋_GB2312"/>
          <w:color w:val="auto"/>
          <w:highlight w:val="none"/>
          <w:u w:val="single"/>
        </w:rPr>
        <w:t xml:space="preserve">（中型企业、 小型企业、微型企业）</w:t>
      </w:r>
      <w:r>
        <w:rPr>
          <w:rFonts w:hint="eastAsia" w:ascii="仿宋_GB2312" w:eastAsia="仿宋_GB2312"/>
          <w:color w:val="auto"/>
          <w:highlight w:val="none"/>
        </w:rPr>
        <w:t xml:space="preserve">； </w:t>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2.</w:t>
      </w:r>
      <w:r>
        <w:rPr>
          <w:rFonts w:hint="eastAsia" w:ascii="仿宋_GB2312" w:eastAsia="仿宋_GB2312"/>
          <w:color w:val="auto"/>
          <w:highlight w:val="none"/>
          <w:u w:val="single"/>
        </w:rPr>
        <w:t xml:space="preserve"> （标的名称） </w:t>
      </w:r>
      <w:r>
        <w:rPr>
          <w:rFonts w:hint="eastAsia" w:ascii="仿宋_GB2312" w:eastAsia="仿宋_GB2312"/>
          <w:color w:val="auto"/>
          <w:highlight w:val="none"/>
        </w:rPr>
        <w:t xml:space="preserve">，属于</w:t>
      </w:r>
      <w:r>
        <w:rPr>
          <w:rFonts w:hint="eastAsia" w:ascii="仿宋_GB2312" w:eastAsia="仿宋_GB2312"/>
          <w:color w:val="auto"/>
          <w:highlight w:val="none"/>
          <w:u w:val="single"/>
        </w:rPr>
        <w:t xml:space="preserve">（采购文件中明确的所属行业）</w:t>
      </w:r>
      <w:r>
        <w:rPr>
          <w:rFonts w:hint="eastAsia" w:ascii="仿宋_GB2312" w:eastAsia="仿宋_GB2312"/>
          <w:color w:val="auto"/>
          <w:highlight w:val="none"/>
        </w:rPr>
        <w:t xml:space="preserve">；承建（承接）企业为</w:t>
      </w:r>
      <w:r>
        <w:rPr>
          <w:rFonts w:hint="eastAsia" w:ascii="仿宋_GB2312" w:eastAsia="仿宋_GB2312"/>
          <w:color w:val="auto"/>
          <w:highlight w:val="none"/>
          <w:u w:val="single"/>
        </w:rPr>
        <w:t xml:space="preserve">（企业名称）</w:t>
      </w:r>
      <w:r>
        <w:rPr>
          <w:rFonts w:hint="eastAsia" w:ascii="仿宋_GB2312" w:eastAsia="仿宋_GB2312"/>
          <w:color w:val="auto"/>
          <w:highlight w:val="none"/>
        </w:rPr>
        <w:t xml:space="preserve">，从业人员</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人，营业收入为</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万元，资产总额为</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万元，属于</w:t>
      </w:r>
      <w:r>
        <w:rPr>
          <w:rFonts w:hint="eastAsia" w:ascii="仿宋_GB2312" w:eastAsia="仿宋_GB2312"/>
          <w:color w:val="auto"/>
          <w:highlight w:val="none"/>
          <w:u w:val="single"/>
        </w:rPr>
        <w:t xml:space="preserve">（中型企业、 小型企业、微型企业）</w:t>
      </w:r>
      <w:r>
        <w:rPr>
          <w:rFonts w:hint="eastAsia" w:ascii="仿宋_GB2312" w:eastAsia="仿宋_GB2312"/>
          <w:color w:val="auto"/>
          <w:highlight w:val="none"/>
        </w:rPr>
        <w:t xml:space="preserve">； </w:t>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w:t>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本企业对上述声明内容的真实性负责。如有虚假，将依法承担相应责任。 </w:t>
      </w:r>
      <w:r/>
    </w:p>
    <w:p>
      <w:pPr>
        <w:ind w:firstLine="420"/>
        <w:jc w:val="center"/>
        <w:spacing w:line="360" w:lineRule="auto"/>
        <w:rPr>
          <w:rFonts w:ascii="仿宋_GB2312" w:eastAsia="仿宋_GB2312"/>
          <w:color w:val="auto"/>
          <w:highlight w:val="none"/>
        </w:rPr>
      </w:pPr>
      <w:r>
        <w:rPr>
          <w:rFonts w:hint="eastAsia" w:ascii="仿宋_GB2312" w:eastAsia="仿宋_GB2312"/>
          <w:color w:val="auto"/>
          <w:highlight w:val="none"/>
        </w:rPr>
        <w:t xml:space="preserve">    </w:t>
      </w:r>
      <w:r/>
    </w:p>
    <w:p>
      <w:pPr>
        <w:ind w:firstLine="420"/>
        <w:jc w:val="center"/>
        <w:spacing w:line="360" w:lineRule="auto"/>
        <w:rPr>
          <w:rFonts w:ascii="仿宋_GB2312" w:eastAsia="仿宋_GB2312"/>
          <w:color w:val="auto"/>
          <w:highlight w:val="none"/>
        </w:rPr>
      </w:pPr>
      <w:r>
        <w:rPr>
          <w:rFonts w:ascii="仿宋_GB2312" w:eastAsia="仿宋_GB2312"/>
          <w:color w:val="auto"/>
          <w:highlight w:val="none"/>
        </w:rPr>
      </w:r>
      <w:r/>
    </w:p>
    <w:p>
      <w:pPr>
        <w:ind w:firstLine="420"/>
        <w:jc w:val="center"/>
        <w:spacing w:line="360" w:lineRule="auto"/>
        <w:rPr>
          <w:rFonts w:ascii="仿宋_GB2312" w:eastAsia="仿宋_GB2312"/>
          <w:color w:val="auto"/>
          <w:highlight w:val="none"/>
        </w:rPr>
      </w:pPr>
      <w:r>
        <w:rPr>
          <w:rFonts w:ascii="仿宋_GB2312" w:eastAsia="仿宋_GB2312"/>
          <w:color w:val="auto"/>
          <w:highlight w:val="none"/>
        </w:rPr>
      </w:r>
      <w:r/>
    </w:p>
    <w:p>
      <w:pPr>
        <w:ind w:firstLine="420"/>
        <w:jc w:val="center"/>
        <w:spacing w:line="360" w:lineRule="auto"/>
        <w:rPr>
          <w:rFonts w:ascii="仿宋_GB2312" w:eastAsia="仿宋_GB2312"/>
          <w:color w:val="auto"/>
          <w:highlight w:val="none"/>
        </w:rPr>
      </w:pPr>
      <w:r>
        <w:rPr>
          <w:rFonts w:ascii="仿宋_GB2312" w:eastAsia="仿宋_GB2312"/>
          <w:color w:val="auto"/>
          <w:highlight w:val="none"/>
        </w:rPr>
      </w:r>
      <w:r/>
    </w:p>
    <w:p>
      <w:pPr>
        <w:ind w:firstLine="420"/>
        <w:jc w:val="center"/>
        <w:spacing w:line="360" w:lineRule="auto"/>
        <w:rPr>
          <w:rFonts w:ascii="仿宋_GB2312" w:eastAsia="仿宋_GB2312"/>
          <w:color w:val="auto"/>
          <w:highlight w:val="none"/>
        </w:rPr>
      </w:pPr>
      <w:r>
        <w:rPr>
          <w:rFonts w:hint="eastAsia" w:ascii="仿宋_GB2312" w:eastAsia="仿宋_GB2312"/>
          <w:color w:val="auto"/>
          <w:highlight w:val="none"/>
        </w:rPr>
        <w:t xml:space="preserve">企业名称</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rPr>
          <w:rFonts w:hint="eastAsia" w:ascii="仿宋_GB2312" w:eastAsia="仿宋_GB2312"/>
          <w:color w:val="auto"/>
          <w:highlight w:val="none"/>
        </w:rPr>
        <w:t xml:space="preserve">： </w:t>
      </w:r>
      <w:r/>
    </w:p>
    <w:p>
      <w:pPr>
        <w:ind w:firstLine="4200"/>
        <w:spacing w:line="360" w:lineRule="auto"/>
        <w:rPr>
          <w:rFonts w:ascii="仿宋_GB2312" w:eastAsia="仿宋_GB2312"/>
          <w:color w:val="auto"/>
          <w:highlight w:val="none"/>
        </w:rPr>
      </w:pPr>
      <w:r>
        <w:rPr>
          <w:rFonts w:hint="eastAsia" w:ascii="仿宋_GB2312" w:eastAsia="仿宋_GB2312"/>
          <w:color w:val="auto"/>
          <w:highlight w:val="none"/>
        </w:rPr>
        <w:t xml:space="preserve">日 期： </w:t>
      </w:r>
      <w:r/>
    </w:p>
    <w:p>
      <w:pPr>
        <w:pStyle w:val="1012"/>
        <w:rPr>
          <w:color w:val="auto"/>
          <w:sz w:val="24"/>
          <w:highlight w:val="none"/>
        </w:rPr>
      </w:pPr>
      <w:r>
        <w:rPr>
          <w:color w:val="auto"/>
          <w:sz w:val="24"/>
          <w:highlight w:val="none"/>
        </w:rPr>
      </w:r>
      <w:r/>
    </w:p>
    <w:p>
      <w:pPr>
        <w:pStyle w:val="1012"/>
        <w:rPr>
          <w:color w:val="auto"/>
          <w:sz w:val="24"/>
          <w:highlight w:val="none"/>
        </w:rPr>
      </w:pPr>
      <w:r>
        <w:rPr>
          <w:color w:val="auto"/>
          <w:sz w:val="24"/>
          <w:highlight w:val="none"/>
        </w:rPr>
      </w:r>
      <w:r/>
    </w:p>
    <w:p>
      <w:pPr>
        <w:pStyle w:val="1012"/>
        <w:rPr>
          <w:color w:val="auto"/>
          <w:sz w:val="24"/>
          <w:highlight w:val="none"/>
        </w:rPr>
      </w:pPr>
      <w:r>
        <w:rPr>
          <w:color w:val="auto"/>
          <w:sz w:val="24"/>
          <w:highlight w:val="none"/>
        </w:rPr>
      </w:r>
      <w:r/>
    </w:p>
    <w:p>
      <w:pPr>
        <w:pStyle w:val="1012"/>
        <w:rPr>
          <w:color w:val="auto"/>
          <w:sz w:val="24"/>
          <w:highlight w:val="none"/>
        </w:rPr>
      </w:pPr>
      <w:r>
        <w:rPr>
          <w:color w:val="auto"/>
          <w:sz w:val="24"/>
          <w:highlight w:val="none"/>
        </w:rPr>
      </w:r>
      <w:r/>
    </w:p>
    <w:p>
      <w:pPr>
        <w:ind w:firstLine="422"/>
        <w:jc w:val="left"/>
        <w:spacing w:line="420" w:lineRule="auto"/>
        <w:rPr>
          <w:rFonts w:hint="eastAsia" w:ascii="宋体" w:hAnsi="宋体"/>
          <w:color w:val="auto"/>
          <w:szCs w:val="21"/>
          <w:highlight w:val="none"/>
        </w:rPr>
      </w:pPr>
      <w:r>
        <w:rPr>
          <w:rFonts w:hint="eastAsia" w:ascii="宋体" w:hAnsi="宋体"/>
          <w:b/>
          <w:bCs/>
          <w:color w:val="auto"/>
          <w:szCs w:val="21"/>
          <w:highlight w:val="none"/>
          <w:vertAlign w:val="superscript"/>
        </w:rPr>
        <w:t xml:space="preserve">1</w:t>
      </w:r>
      <w:r>
        <w:rPr>
          <w:rFonts w:hint="eastAsia" w:ascii="宋体" w:hAnsi="宋体"/>
          <w:color w:val="auto"/>
          <w:szCs w:val="21"/>
          <w:highlight w:val="none"/>
        </w:rPr>
        <w:t xml:space="preserve">从业人员、营业收入、资产总额填报上一年度数据，无上一年度数据的新成立企业可不填报。</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备注：</w:t>
      </w:r>
      <w:r/>
    </w:p>
    <w:p>
      <w:pPr>
        <w:numPr>
          <w:ilvl w:val="0"/>
          <w:numId w:val="26"/>
        </w:numPr>
        <w:ind w:firstLine="422"/>
        <w:jc w:val="left"/>
        <w:spacing w:line="360" w:lineRule="auto"/>
        <w:rPr>
          <w:color w:val="auto"/>
          <w:szCs w:val="21"/>
          <w:highlight w:val="none"/>
        </w:rPr>
      </w:pPr>
      <w:r>
        <w:rPr>
          <w:rFonts w:hint="eastAsia" w:ascii="宋体" w:hAnsi="宋体"/>
          <w:b/>
          <w:bCs/>
          <w:color w:val="auto"/>
          <w:szCs w:val="21"/>
          <w:highlight w:val="none"/>
        </w:rPr>
        <w:t xml:space="preserve">如供应商所投货物的制造商均为中小企业的，须由供应商在响应文件中提供加盖本单位公章的</w:t>
      </w:r>
      <w:r>
        <w:rPr>
          <w:rFonts w:hint="eastAsia" w:ascii="宋体" w:hAnsi="宋体"/>
          <w:b/>
          <w:color w:val="auto"/>
          <w:szCs w:val="21"/>
          <w:highlight w:val="none"/>
        </w:rPr>
        <w:t xml:space="preserve">声明</w:t>
      </w:r>
      <w:r>
        <w:rPr>
          <w:rFonts w:hint="eastAsia" w:ascii="宋体" w:hAnsi="宋体"/>
          <w:b/>
          <w:bCs/>
          <w:color w:val="auto"/>
          <w:szCs w:val="21"/>
          <w:highlight w:val="none"/>
        </w:rPr>
        <w:t xml:space="preserve">函，供应商应从制造商处获得充分、准确的信息，并对其出具的《中小企业声明函》真实性负责。</w:t>
      </w:r>
      <w:r/>
    </w:p>
    <w:p>
      <w:pPr>
        <w:rPr>
          <w:color w:val="auto"/>
          <w:highlight w:val="none"/>
        </w:rPr>
      </w:pPr>
      <w:r>
        <w:rPr>
          <w:color w:val="auto"/>
          <w:highlight w:val="none"/>
        </w:rPr>
      </w:r>
      <w:r/>
    </w:p>
    <w:p>
      <w:pPr>
        <w:pStyle w:val="1134"/>
        <w:jc w:val="center"/>
        <w:spacing w:before="151" w:after="151" w:line="600" w:lineRule="exact"/>
        <w:rPr>
          <w:rFonts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1135"/>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134"/>
        <w:ind w:firstLine="480"/>
        <w:spacing w:line="500" w:lineRule="exact"/>
        <w:rPr>
          <w:rFonts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134"/>
        <w:ind w:firstLine="480"/>
        <w:spacing w:line="500" w:lineRule="exact"/>
        <w:rPr>
          <w:rFonts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1135"/>
        <w:ind w:firstLine="504"/>
        <w:spacing w:line="588" w:lineRule="exact"/>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pStyle w:val="1135"/>
        <w:ind w:firstLine="504"/>
        <w:spacing w:line="588" w:lineRule="exact"/>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pStyle w:val="1095"/>
        <w:ind w:firstLine="480"/>
        <w:jc w:val="both"/>
        <w:rPr>
          <w:rFonts w:ascii="仿宋_GB2312" w:eastAsia="仿宋_GB2312" w:cs="Times New Roman"/>
          <w:color w:val="auto"/>
          <w:highlight w:val="none"/>
        </w:rPr>
      </w:pPr>
      <w:r>
        <w:rPr>
          <w:rFonts w:hint="eastAsia" w:ascii="仿宋_GB2312" w:eastAsia="仿宋_GB2312"/>
          <w:color w:val="auto"/>
          <w:highlight w:val="none"/>
        </w:rPr>
        <w:t xml:space="preserve">单位名称：</w:t>
      </w:r>
      <w:r>
        <w:rPr>
          <w:rFonts w:hint="eastAsia" w:hAnsi="宋体"/>
          <w:color w:val="auto"/>
          <w:szCs w:val="21"/>
          <w:highlight w:val="none"/>
          <w:lang w:val="zh-CN"/>
        </w:rPr>
        <w:t xml:space="preserve">（</w:t>
      </w:r>
      <w:r>
        <w:rPr>
          <w:rFonts w:hint="eastAsia" w:hAnsi="宋体"/>
          <w:color w:val="auto"/>
          <w:szCs w:val="21"/>
          <w:highlight w:val="none"/>
        </w:rPr>
        <w:t xml:space="preserve">加盖电子公章</w:t>
      </w:r>
      <w:r>
        <w:rPr>
          <w:rFonts w:hint="eastAsia" w:hAnsi="宋体"/>
          <w:color w:val="auto"/>
          <w:szCs w:val="21"/>
          <w:highlight w:val="none"/>
          <w:lang w:val="zh-CN"/>
        </w:rPr>
        <w:t xml:space="preserve">）</w:t>
      </w:r>
      <w:r/>
    </w:p>
    <w:p>
      <w:pPr>
        <w:pStyle w:val="111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136"/>
        <w:ind w:firstLine="720"/>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6"/>
        <w:ind w:firstLine="43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37"/>
        <w:rPr>
          <w:rFonts w:hint="eastAsia"/>
          <w:color w:val="auto"/>
          <w:highlight w:val="none"/>
        </w:rPr>
      </w:pPr>
      <w:r>
        <w:rPr>
          <w:rFonts w:hint="eastAsia"/>
          <w:color w:val="auto"/>
          <w:highlight w:val="none"/>
        </w:rPr>
      </w:r>
      <w:r/>
    </w:p>
    <w:p>
      <w:pPr>
        <w:pStyle w:val="1134"/>
        <w:rPr>
          <w:color w:val="auto"/>
          <w:highlight w:val="none"/>
        </w:rPr>
      </w:pPr>
      <w:r>
        <w:rPr>
          <w:rFonts w:hint="eastAsia"/>
          <w:color w:val="auto"/>
          <w:highlight w:val="none"/>
        </w:rPr>
        <w:t xml:space="preserve">注：1、残疾人福利性单位应完整填写此函并提供相关证明材料；</w:t>
      </w:r>
      <w:r/>
    </w:p>
    <w:p>
      <w:pPr>
        <w:pStyle w:val="1134"/>
        <w:ind w:firstLine="420"/>
        <w:rPr>
          <w:color w:val="auto"/>
          <w:highlight w:val="none"/>
        </w:rPr>
      </w:pPr>
      <w:r>
        <w:rPr>
          <w:rFonts w:hint="eastAsia"/>
          <w:color w:val="auto"/>
          <w:highlight w:val="none"/>
        </w:rPr>
        <w:t xml:space="preserve">2、非残疾人福利性单位不需提供此声明函</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b/>
          <w:bCs/>
          <w:color w:val="auto"/>
          <w:sz w:val="30"/>
          <w:szCs w:val="30"/>
        </w:rPr>
      </w:pPr>
      <w:r>
        <w:rPr>
          <w:rFonts w:hint="eastAsia"/>
          <w:b/>
          <w:bCs/>
          <w:color w:val="auto"/>
          <w:sz w:val="30"/>
          <w:szCs w:val="30"/>
        </w:rPr>
        <w:t xml:space="preserve">属于监狱企业的证明文件</w:t>
      </w:r>
      <w:r/>
    </w:p>
    <w:p>
      <w:pPr>
        <w:spacing w:line="360" w:lineRule="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pStyle w:val="847"/>
        <w:rPr>
          <w:rFonts w:hint="eastAsia"/>
          <w:color w:val="auto"/>
        </w:rPr>
      </w:pPr>
      <w:r>
        <w:rPr>
          <w:rFonts w:hint="eastAsia"/>
          <w:color w:val="auto"/>
        </w:rPr>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rPr>
          <w:rFonts w:hint="eastAsia"/>
          <w:b/>
          <w:bCs/>
          <w:color w:val="auto"/>
          <w:sz w:val="30"/>
          <w:szCs w:val="30"/>
        </w:rPr>
      </w:pPr>
      <w:r/>
      <w:bookmarkStart w:id="88" w:name="_Toc5876"/>
      <w:r/>
      <w:bookmarkEnd w:id="88"/>
      <w:r>
        <w:rPr>
          <w:rFonts w:hint="eastAsia"/>
          <w:b/>
          <w:bCs/>
          <w:color w:val="auto"/>
          <w:sz w:val="30"/>
          <w:szCs w:val="30"/>
        </w:rPr>
        <w:t xml:space="preserve">节能产品认证证书</w:t>
      </w:r>
      <w:r/>
    </w:p>
    <w:p>
      <w:pPr>
        <w:spacing w:line="360" w:lineRule="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rPr>
          <w:rFonts w:hint="eastAsia"/>
          <w:b/>
          <w:bCs/>
          <w:color w:val="auto"/>
          <w:sz w:val="30"/>
          <w:szCs w:val="30"/>
        </w:rPr>
      </w:pPr>
      <w:r/>
      <w:bookmarkStart w:id="89" w:name="_Toc16386"/>
      <w:r/>
      <w:bookmarkEnd w:id="89"/>
      <w:r>
        <w:rPr>
          <w:rFonts w:hint="eastAsia"/>
          <w:b/>
          <w:bCs/>
          <w:color w:val="auto"/>
          <w:sz w:val="30"/>
          <w:szCs w:val="30"/>
        </w:rPr>
        <w:t xml:space="preserve">环境标志产品认证证书</w:t>
      </w:r>
      <w:r/>
    </w:p>
    <w:p>
      <w:pPr>
        <w:spacing w:line="360" w:lineRule="auto"/>
        <w:rPr>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rPr>
          <w:rFonts w:hint="eastAsia"/>
          <w:b/>
          <w:bCs/>
          <w:color w:val="auto"/>
          <w:sz w:val="30"/>
          <w:szCs w:val="30"/>
        </w:rPr>
      </w:pPr>
      <w:r/>
      <w:bookmarkStart w:id="90" w:name="_Toc1060"/>
      <w:r/>
      <w:bookmarkEnd w:id="90"/>
      <w:r>
        <w:rPr>
          <w:rFonts w:hint="eastAsia"/>
          <w:b/>
          <w:bCs/>
          <w:color w:val="auto"/>
          <w:sz w:val="30"/>
          <w:szCs w:val="30"/>
        </w:rPr>
        <w:t xml:space="preserve">进口产品转让技术、消化吸收再创新方案</w:t>
      </w:r>
      <w:r/>
    </w:p>
    <w:p>
      <w:pPr>
        <w:spacing w:line="360" w:lineRule="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rPr>
          <w:rFonts w:hint="eastAsia"/>
          <w:color w:val="auto"/>
        </w:rPr>
      </w:pPr>
      <w:r>
        <w:rPr>
          <w:rFonts w:hint="eastAsia"/>
          <w:color w:val="auto"/>
        </w:rPr>
      </w:r>
      <w:r/>
    </w:p>
    <w:p>
      <w:pPr>
        <w:rPr>
          <w:rFonts w:hint="eastAsia"/>
          <w:color w:val="auto"/>
        </w:rPr>
      </w:pPr>
      <w:r>
        <w:rPr>
          <w:rFonts w:hint="eastAsia"/>
          <w:color w:val="auto"/>
        </w:rPr>
      </w:r>
      <w:r/>
    </w:p>
    <w:p>
      <w:pPr>
        <w:ind w:firstLine="420"/>
        <w:jc w:val="left"/>
        <w:spacing w:line="460" w:lineRule="exact"/>
        <w:widowControl/>
        <w:rPr>
          <w:rFonts w:hint="eastAsia" w:ascii="宋体" w:hAnsi="宋体" w:cs="宋体"/>
          <w:color w:val="auto"/>
          <w:szCs w:val="21"/>
          <w:highlight w:val="none"/>
          <w:lang w:val="zh-CN"/>
        </w:rPr>
        <w:sectPr>
          <w:footerReference w:type="default" r:id="rId11"/>
          <w:footnotePr/>
          <w:endnotePr/>
          <w:type w:val="nextPage"/>
          <w:pgSz w:w="11906" w:h="16838" w:orient="portrait"/>
          <w:pgMar w:top="1417" w:right="1134" w:bottom="1247" w:left="1304" w:header="851" w:footer="992" w:gutter="0"/>
          <w:cols w:num="1" w:sep="0" w:space="720" w:equalWidth="1"/>
          <w:docGrid w:linePitch="360"/>
        </w:sectPr>
      </w:pPr>
      <w:r>
        <w:rPr>
          <w:rFonts w:hint="eastAsia" w:ascii="宋体" w:hAnsi="宋体" w:cs="宋体"/>
          <w:color w:val="auto"/>
          <w:szCs w:val="21"/>
          <w:highlight w:val="none"/>
          <w:lang w:val="zh-CN"/>
        </w:rPr>
      </w:r>
      <w:r/>
    </w:p>
    <w:p>
      <w:pPr>
        <w:pStyle w:val="809"/>
        <w:rPr>
          <w:rFonts w:hint="eastAsia"/>
          <w:color w:val="auto"/>
        </w:rPr>
      </w:pPr>
      <w:r/>
      <w:bookmarkStart w:id="91" w:name="_Toc16234"/>
      <w:r/>
      <w:bookmarkStart w:id="92" w:name="_Toc514054497"/>
      <w:r>
        <w:rPr>
          <w:color w:val="auto"/>
        </w:rPr>
        <w:t xml:space="preserve">十</w:t>
      </w:r>
      <w:r>
        <w:rPr>
          <w:rFonts w:hint="eastAsia"/>
          <w:color w:val="auto"/>
        </w:rPr>
        <w:t xml:space="preserve">一</w:t>
      </w:r>
      <w:r>
        <w:rPr>
          <w:color w:val="auto"/>
        </w:rPr>
        <w:t xml:space="preserve">、响应偏差表</w:t>
      </w:r>
      <w:bookmarkEnd w:id="91"/>
      <w:r/>
      <w:bookmarkEnd w:id="92"/>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center"/>
        <w:rPr>
          <w:rFonts w:hint="eastAsia"/>
          <w:color w:val="auto"/>
          <w:sz w:val="32"/>
          <w:szCs w:val="32"/>
          <w:lang w:val="zh-CN"/>
        </w:rPr>
      </w:pPr>
      <w:r/>
      <w:bookmarkStart w:id="93" w:name="_Toc32603"/>
      <w:r/>
      <w:bookmarkStart w:id="94" w:name="_Toc14329"/>
      <w:r>
        <w:rPr>
          <w:rFonts w:hint="eastAsia"/>
          <w:color w:val="auto"/>
          <w:sz w:val="32"/>
          <w:szCs w:val="32"/>
          <w:lang w:val="zh-CN"/>
        </w:rPr>
        <w:t xml:space="preserve">技术条款偏离表</w:t>
      </w:r>
      <w:bookmarkEnd w:id="93"/>
      <w:r/>
      <w:bookmarkEnd w:id="94"/>
      <w:r/>
      <w:r/>
    </w:p>
    <w:tbl>
      <w:tblPr>
        <w:tblStyle w:val="818"/>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偏离内容及原因</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2"/>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1、供应商应逐一说明投标产品和服务响应，直接拷贝采购文件技术要求的按照无效投标处理；</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2、如果行数不够，请自行增加。</w:t>
      </w:r>
      <w:r/>
    </w:p>
    <w:p>
      <w:pPr>
        <w:jc w:val="left"/>
        <w:spacing w:line="360" w:lineRule="auto"/>
        <w:widowControl/>
        <w:rPr>
          <w:rFonts w:hint="eastAsia" w:ascii="宋体" w:hAnsi="宋体" w:cs="宋体"/>
          <w:b/>
          <w:color w:val="auto"/>
          <w:szCs w:val="21"/>
          <w:highlight w:val="none"/>
          <w:lang w:val="zh-CN"/>
        </w:rPr>
      </w:pPr>
      <w:r>
        <w:rPr>
          <w:rFonts w:ascii="宋体" w:hAnsi="宋体" w:cs="宋体"/>
          <w:b/>
          <w:color w:val="auto"/>
          <w:szCs w:val="21"/>
          <w:highlight w:val="none"/>
          <w:lang w:val="zh-CN"/>
        </w:rPr>
        <w:br w:type="page" w:clear="all"/>
      </w:r>
      <w:r/>
    </w:p>
    <w:p>
      <w:pPr>
        <w:jc w:val="center"/>
        <w:rPr>
          <w:rFonts w:hint="eastAsia"/>
          <w:color w:val="auto"/>
          <w:sz w:val="32"/>
          <w:szCs w:val="32"/>
          <w:lang w:val="zh-CN"/>
        </w:rPr>
      </w:pPr>
      <w:r/>
      <w:bookmarkStart w:id="95" w:name="_Toc2600"/>
      <w:r/>
      <w:bookmarkStart w:id="96" w:name="_Toc8421"/>
      <w:r>
        <w:rPr>
          <w:rFonts w:hint="eastAsia"/>
          <w:color w:val="auto"/>
          <w:sz w:val="32"/>
          <w:szCs w:val="32"/>
          <w:lang w:val="zh-CN"/>
        </w:rPr>
        <w:t xml:space="preserve">商务条款偏离表</w:t>
      </w:r>
      <w:bookmarkEnd w:id="95"/>
      <w:r/>
      <w:bookmarkEnd w:id="96"/>
      <w:r/>
      <w:r/>
    </w:p>
    <w:tbl>
      <w:tblPr>
        <w:tblStyle w:val="818"/>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供应商的承诺或说明</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460" w:lineRule="exact"/>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809"/>
        <w:rPr>
          <w:rFonts w:hint="eastAsia"/>
          <w:i/>
          <w:color w:val="auto"/>
          <w:szCs w:val="32"/>
          <w:highlight w:val="none"/>
          <w:u w:val="single"/>
        </w:rPr>
      </w:pPr>
      <w:r>
        <w:rPr>
          <w:rFonts w:ascii="宋体" w:hAnsi="宋体" w:cs="宋体"/>
          <w:color w:val="auto"/>
          <w:highlight w:val="none"/>
        </w:rPr>
        <w:br w:type="page" w:clear="all"/>
      </w:r>
      <w:bookmarkStart w:id="97" w:name="_Toc27623"/>
      <w:r/>
      <w:bookmarkStart w:id="98" w:name="_Toc23522_WPSOffice_Level2"/>
      <w:r/>
      <w:bookmarkStart w:id="99" w:name="_Toc514054501"/>
      <w:r>
        <w:rPr>
          <w:color w:val="auto"/>
        </w:rPr>
        <w:t xml:space="preserve">十</w:t>
      </w:r>
      <w:r>
        <w:rPr>
          <w:rFonts w:hint="eastAsia"/>
          <w:color w:val="auto"/>
        </w:rPr>
        <w:t xml:space="preserve">二</w:t>
      </w:r>
      <w:r>
        <w:rPr>
          <w:color w:val="auto"/>
        </w:rPr>
        <w:t xml:space="preserve">、</w:t>
      </w:r>
      <w:bookmarkEnd w:id="97"/>
      <w:r/>
      <w:bookmarkEnd w:id="98"/>
      <w:r/>
      <w:bookmarkEnd w:id="99"/>
      <w:r>
        <w:rPr>
          <w:rFonts w:hint="eastAsia"/>
          <w:color w:val="auto"/>
        </w:rPr>
        <w:t xml:space="preserve">投标分项报价表</w:t>
      </w:r>
      <w:r/>
    </w:p>
    <w:p>
      <w:pP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报价说明:</w:t>
      </w:r>
      <w:r/>
    </w:p>
    <w:p>
      <w:pP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1.投标人应按本招标文件第七章提供的采购清单进行报价，且加盖投标人电子公章。</w:t>
      </w:r>
      <w:r/>
    </w:p>
    <w:p>
      <w:pP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2.“采购清单汇总表”中“投标报价”数额应当与“开标一览表”中“投标总报价”数额一致。</w:t>
      </w:r>
      <w:r/>
    </w:p>
    <w:p>
      <w:pP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3.安全生产费为固定价 405000 元，工伤保险费</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固定价81000元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公众责任险</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固定价80000元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投标人不得调整该数值，否则作无效投标处理。</w:t>
      </w:r>
      <w:r/>
    </w:p>
    <w:p>
      <w:pP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4.供应商应按清单报价，且不得改变清单中的细目号、细目名称、计量单位、数量;否则按无效响应处理。安全生产费不得优惠，改变上述金额按无效响应处理。</w:t>
      </w:r>
      <w:r/>
    </w:p>
    <w:p>
      <w:pPr>
        <w:pStyle w:val="847"/>
        <w:rPr>
          <w:rFonts w:hint="eastAsia"/>
          <w:color w:val="auto"/>
        </w:rPr>
      </w:pPr>
      <w:r>
        <w:rPr>
          <w:rFonts w:hint="eastAsia"/>
          <w:color w:val="auto"/>
        </w:rPr>
      </w:r>
      <w:r/>
    </w:p>
    <w:p>
      <w:pPr>
        <w:pStyle w:val="1095"/>
        <w:ind w:firstLine="480"/>
        <w:jc w:val="both"/>
        <w:rPr>
          <w:rFonts w:ascii="仿宋_GB2312" w:eastAsia="仿宋_GB2312" w:cs="Times New Roman"/>
          <w:color w:val="auto"/>
          <w:highlight w:val="none"/>
        </w:rPr>
      </w:pPr>
      <w:r>
        <w:rPr>
          <w:rFonts w:hint="eastAsia" w:ascii="仿宋_GB2312" w:eastAsia="仿宋_GB2312"/>
          <w:color w:val="auto"/>
          <w:highlight w:val="none"/>
        </w:rPr>
        <w:t xml:space="preserve">单位名称：</w:t>
      </w:r>
      <w:r>
        <w:rPr>
          <w:rFonts w:hint="eastAsia" w:hAnsi="宋体"/>
          <w:color w:val="auto"/>
          <w:szCs w:val="21"/>
          <w:highlight w:val="none"/>
          <w:lang w:val="zh-CN"/>
        </w:rPr>
        <w:t xml:space="preserve">（</w:t>
      </w:r>
      <w:r>
        <w:rPr>
          <w:rFonts w:hint="eastAsia" w:hAnsi="宋体"/>
          <w:color w:val="auto"/>
          <w:szCs w:val="21"/>
          <w:highlight w:val="none"/>
        </w:rPr>
        <w:t xml:space="preserve">加盖电子公章</w:t>
      </w:r>
      <w:r>
        <w:rPr>
          <w:rFonts w:hint="eastAsia" w:hAnsi="宋体"/>
          <w:color w:val="auto"/>
          <w:szCs w:val="21"/>
          <w:highlight w:val="none"/>
          <w:lang w:val="zh-CN"/>
        </w:rPr>
        <w:t xml:space="preserve">）</w:t>
      </w:r>
      <w:r/>
    </w:p>
    <w:p>
      <w:pPr>
        <w:rPr>
          <w:rFonts w:hint="eastAsia"/>
          <w:color w:val="auto"/>
          <w:lang w:val="zh-CN"/>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141"/>
        <w:ind w:firstLine="480"/>
        <w:rPr>
          <w:rFonts w:hint="eastAsia" w:ascii="黑体" w:hAnsi="黑体" w:eastAsia="黑体"/>
          <w:b/>
          <w:color w:val="auto"/>
          <w:sz w:val="32"/>
          <w:szCs w:val="24"/>
          <w:highlight w:val="none"/>
        </w:rPr>
      </w:pPr>
      <w:r>
        <w:rPr>
          <w:color w:val="auto"/>
          <w:highlight w:val="none"/>
        </w:rPr>
        <w:br w:type="page" w:clear="all"/>
      </w:r>
      <w:bookmarkStart w:id="100" w:name="_Toc25001_WPSOffice_Level2"/>
      <w:r/>
      <w:bookmarkStart w:id="101" w:name="_Toc514054502"/>
      <w:r/>
      <w:bookmarkStart w:id="102" w:name="_Toc15828"/>
      <w:r>
        <w:rPr>
          <w:rFonts w:hint="eastAsia" w:ascii="黑体" w:hAnsi="黑体" w:eastAsia="黑体"/>
          <w:b/>
          <w:color w:val="auto"/>
          <w:sz w:val="32"/>
          <w:szCs w:val="24"/>
          <w:highlight w:val="none"/>
        </w:rPr>
        <w:t xml:space="preserve">十三、</w:t>
      </w:r>
      <w:r>
        <w:rPr>
          <w:rFonts w:hint="eastAsia" w:ascii="黑体" w:hAnsi="黑体" w:eastAsia="黑体"/>
          <w:b/>
          <w:color w:val="auto"/>
          <w:sz w:val="32"/>
          <w:szCs w:val="24"/>
          <w:highlight w:val="none"/>
          <w:lang w:val="zh-CN"/>
        </w:rPr>
        <w:t xml:space="preserve">投标人实施本项目拟投入的专业人员一览表</w:t>
      </w:r>
      <w:r/>
    </w:p>
    <w:tbl>
      <w:tblPr>
        <w:tblStyle w:val="818"/>
        <w:tblW w:w="8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596"/>
        <w:gridCol w:w="2988"/>
        <w:gridCol w:w="2797"/>
      </w:tblGrid>
      <w:tr>
        <w:trPr>
          <w:jc w:val="center"/>
          <w:trHeight w:val="946"/>
        </w:trPr>
        <w:tc>
          <w:tcPr>
            <w:tcW w:w="1198"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序号</w:t>
            </w:r>
            <w:r/>
          </w:p>
        </w:tc>
        <w:tc>
          <w:tcPr>
            <w:tcW w:w="1596"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姓名</w:t>
            </w:r>
            <w:r/>
          </w:p>
        </w:tc>
        <w:tc>
          <w:tcPr>
            <w:tcW w:w="2988"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证书类别、</w:t>
            </w:r>
            <w:r>
              <w:rPr>
                <w:b/>
                <w:color w:val="auto"/>
                <w:szCs w:val="21"/>
                <w:highlight w:val="none"/>
              </w:rPr>
              <w:t xml:space="preserve">编号</w:t>
            </w:r>
            <w:r/>
          </w:p>
        </w:tc>
        <w:tc>
          <w:tcPr>
            <w:tcW w:w="2797"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备注</w:t>
            </w:r>
            <w:r/>
          </w:p>
        </w:tc>
      </w:tr>
      <w:tr>
        <w:trPr>
          <w:jc w:val="center"/>
          <w:trHeight w:val="767"/>
        </w:trPr>
        <w:tc>
          <w:tcPr>
            <w:tcW w:w="1198" w:type="dxa"/>
            <w:vAlign w:val="center"/>
            <w:textDirection w:val="lrTb"/>
            <w:noWrap w:val="false"/>
          </w:tcPr>
          <w:p>
            <w:pPr>
              <w:jc w:val="center"/>
              <w:rPr>
                <w:color w:val="auto"/>
                <w:szCs w:val="21"/>
                <w:highlight w:val="none"/>
              </w:rPr>
            </w:pPr>
            <w:r>
              <w:rPr>
                <w:rFonts w:hint="eastAsia"/>
                <w:color w:val="auto"/>
                <w:szCs w:val="21"/>
                <w:highlight w:val="none"/>
              </w:rPr>
              <w:t xml:space="preserve">1</w:t>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rFonts w:hint="eastAsia"/>
                <w:color w:val="auto"/>
                <w:szCs w:val="21"/>
                <w:highlight w:val="none"/>
              </w:rPr>
              <w:t xml:space="preserve">2</w:t>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rFonts w:hint="eastAsia"/>
                <w:color w:val="auto"/>
                <w:szCs w:val="21"/>
                <w:highlight w:val="none"/>
              </w:rPr>
              <w:t xml:space="preserve">3</w:t>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rFonts w:hint="eastAsia"/>
                <w:color w:val="auto"/>
                <w:szCs w:val="21"/>
                <w:highlight w:val="none"/>
              </w:rPr>
              <w:t xml:space="preserve">4</w:t>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rFonts w:hint="eastAsia"/>
                <w:color w:val="auto"/>
                <w:szCs w:val="21"/>
                <w:highlight w:val="none"/>
              </w:rPr>
              <w:t xml:space="preserve">5</w:t>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color w:val="auto"/>
                <w:szCs w:val="21"/>
                <w:highlight w:val="none"/>
              </w:rPr>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color w:val="auto"/>
                <w:szCs w:val="21"/>
                <w:highlight w:val="none"/>
              </w:rPr>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color w:val="auto"/>
                <w:szCs w:val="21"/>
                <w:highlight w:val="none"/>
              </w:rPr>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color w:val="auto"/>
                <w:szCs w:val="21"/>
                <w:highlight w:val="none"/>
              </w:rPr>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87"/>
        </w:trPr>
        <w:tc>
          <w:tcPr>
            <w:tcW w:w="1198" w:type="dxa"/>
            <w:vAlign w:val="center"/>
            <w:textDirection w:val="lrTb"/>
            <w:noWrap w:val="false"/>
          </w:tcPr>
          <w:p>
            <w:pPr>
              <w:jc w:val="center"/>
              <w:rPr>
                <w:color w:val="auto"/>
                <w:szCs w:val="21"/>
                <w:highlight w:val="none"/>
              </w:rPr>
            </w:pPr>
            <w:r>
              <w:rPr>
                <w:color w:val="auto"/>
                <w:szCs w:val="21"/>
                <w:highlight w:val="none"/>
              </w:rPr>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bl>
    <w:p>
      <w:pPr>
        <w:pStyle w:val="1095"/>
        <w:ind w:firstLine="480"/>
        <w:jc w:val="both"/>
        <w:rPr>
          <w:rFonts w:ascii="仿宋_GB2312" w:eastAsia="仿宋_GB2312" w:cs="Times New Roman"/>
          <w:color w:val="auto"/>
          <w:highlight w:val="none"/>
        </w:rPr>
      </w:pPr>
      <w:r>
        <w:rPr>
          <w:rFonts w:hint="eastAsia" w:ascii="仿宋_GB2312" w:eastAsia="仿宋_GB2312"/>
          <w:color w:val="auto"/>
          <w:highlight w:val="none"/>
        </w:rPr>
        <w:t xml:space="preserve">单位名称：</w:t>
      </w:r>
      <w:r>
        <w:rPr>
          <w:rFonts w:hint="eastAsia" w:hAnsi="宋体"/>
          <w:color w:val="auto"/>
          <w:szCs w:val="21"/>
          <w:highlight w:val="none"/>
          <w:lang w:val="zh-CN"/>
        </w:rPr>
        <w:t xml:space="preserve">（</w:t>
      </w:r>
      <w:r>
        <w:rPr>
          <w:rFonts w:hint="eastAsia" w:hAnsi="宋体"/>
          <w:color w:val="auto"/>
          <w:szCs w:val="21"/>
          <w:highlight w:val="none"/>
        </w:rPr>
        <w:t xml:space="preserve">加盖电子公章</w:t>
      </w:r>
      <w:r>
        <w:rPr>
          <w:rFonts w:hint="eastAsia" w:hAnsi="宋体"/>
          <w:color w:val="auto"/>
          <w:szCs w:val="21"/>
          <w:highlight w:val="none"/>
          <w:lang w:val="zh-CN"/>
        </w:rPr>
        <w:t xml:space="preserve">）</w:t>
      </w:r>
      <w:r/>
    </w:p>
    <w:p>
      <w:pPr>
        <w:pStyle w:val="111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09"/>
        <w:rPr>
          <w:rFonts w:hint="eastAsia"/>
          <w:color w:val="auto"/>
        </w:rPr>
      </w:pPr>
      <w:r>
        <w:rPr>
          <w:color w:val="auto"/>
        </w:rPr>
        <w:t xml:space="preserve">十</w:t>
      </w:r>
      <w:r>
        <w:rPr>
          <w:rFonts w:hint="eastAsia"/>
          <w:color w:val="auto"/>
        </w:rPr>
        <w:t xml:space="preserve">四</w:t>
      </w:r>
      <w:r>
        <w:rPr>
          <w:color w:val="auto"/>
        </w:rPr>
        <w:t xml:space="preserve">、</w:t>
      </w:r>
      <w:r>
        <w:rPr>
          <w:rFonts w:hint="eastAsia"/>
          <w:color w:val="auto"/>
        </w:rPr>
        <w:t xml:space="preserve">服务</w:t>
      </w:r>
      <w:r>
        <w:rPr>
          <w:color w:val="auto"/>
        </w:rPr>
        <w:t xml:space="preserve">方案</w:t>
      </w:r>
      <w:bookmarkEnd w:id="100"/>
      <w:r/>
      <w:bookmarkEnd w:id="101"/>
      <w:r/>
      <w:bookmarkEnd w:id="102"/>
      <w:r/>
      <w:r/>
    </w:p>
    <w:p>
      <w:pPr>
        <w:pStyle w:val="1143"/>
        <w:jc w:val="center"/>
        <w:spacing w:line="560" w:lineRule="exact"/>
        <w:rPr>
          <w:rFonts w:ascii="宋体"/>
          <w:b/>
          <w:bCs/>
          <w:color w:val="auto"/>
          <w:sz w:val="32"/>
          <w:szCs w:val="32"/>
          <w:highlight w:val="none"/>
        </w:rPr>
      </w:pPr>
      <w:r/>
      <w:bookmarkStart w:id="103" w:name="_Toc2882_WPSOffice_Level2"/>
      <w:r>
        <w:rPr>
          <w:rFonts w:hint="eastAsia" w:ascii="宋体"/>
          <w:b/>
          <w:bCs/>
          <w:color w:val="auto"/>
          <w:sz w:val="32"/>
          <w:szCs w:val="32"/>
          <w:highlight w:val="none"/>
        </w:rPr>
        <w:t xml:space="preserve">按照招标文件要求，格式自拟</w:t>
      </w:r>
      <w:bookmarkEnd w:id="103"/>
      <w:r/>
      <w:r/>
    </w:p>
    <w:p>
      <w:pPr>
        <w:pStyle w:val="809"/>
        <w:rPr>
          <w:rFonts w:hint="eastAsia"/>
          <w:color w:val="auto"/>
          <w:highlight w:val="none"/>
        </w:rPr>
      </w:pPr>
      <w:r>
        <w:rPr>
          <w:color w:val="auto"/>
          <w:highlight w:val="none"/>
        </w:rPr>
        <w:br w:type="page" w:clear="all"/>
      </w:r>
      <w:bookmarkStart w:id="104" w:name="_Toc30208_WPSOffice_Level2"/>
      <w:r/>
      <w:bookmarkStart w:id="105" w:name="_Toc514054504"/>
      <w:r/>
      <w:bookmarkStart w:id="106" w:name="_Toc5519"/>
      <w:r>
        <w:rPr>
          <w:color w:val="auto"/>
        </w:rPr>
        <w:t xml:space="preserve">十</w:t>
      </w:r>
      <w:r>
        <w:rPr>
          <w:rFonts w:hint="eastAsia"/>
          <w:color w:val="auto"/>
        </w:rPr>
        <w:t xml:space="preserve">五</w:t>
      </w:r>
      <w:r>
        <w:rPr>
          <w:color w:val="auto"/>
        </w:rPr>
        <w:t xml:space="preserve">、投标人项目业绩一览表</w:t>
      </w:r>
      <w:bookmarkEnd w:id="104"/>
      <w:r/>
      <w:bookmarkEnd w:id="105"/>
      <w:r/>
      <w:bookmarkEnd w:id="106"/>
      <w:r/>
      <w:r/>
    </w:p>
    <w:p>
      <w:pPr>
        <w:pStyle w:val="1145"/>
        <w:jc w:val="center"/>
        <w:rPr>
          <w:b/>
          <w:color w:val="auto"/>
          <w:sz w:val="32"/>
          <w:szCs w:val="32"/>
          <w:highlight w:val="none"/>
        </w:rPr>
      </w:pPr>
      <w:r/>
      <w:bookmarkStart w:id="107" w:name="_Toc10294_WPSOffice_Level2"/>
      <w:r>
        <w:rPr>
          <w:rFonts w:hint="eastAsia"/>
          <w:b/>
          <w:color w:val="auto"/>
          <w:sz w:val="32"/>
          <w:szCs w:val="32"/>
          <w:highlight w:val="none"/>
        </w:rPr>
        <w:t xml:space="preserve">投标人项目业绩一览表</w:t>
      </w:r>
      <w:bookmarkEnd w:id="107"/>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4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4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4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4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4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809"/>
        <w:rPr>
          <w:rFonts w:hint="eastAsia"/>
          <w:color w:val="auto"/>
          <w:highlight w:val="none"/>
        </w:rPr>
      </w:pPr>
      <w:r>
        <w:rPr>
          <w:color w:val="auto"/>
          <w:highlight w:val="none"/>
        </w:rPr>
        <w:br w:type="page" w:clear="all"/>
      </w:r>
      <w:bookmarkStart w:id="108" w:name="_Toc15753"/>
      <w:r/>
      <w:bookmarkStart w:id="109" w:name="_Toc502821163"/>
      <w:r/>
      <w:bookmarkStart w:id="110" w:name="_Toc514054505"/>
      <w:r/>
      <w:bookmarkStart w:id="111" w:name="_Toc30836_WPSOffice_Level2"/>
      <w:r>
        <w:rPr>
          <w:color w:val="auto"/>
        </w:rPr>
        <w:t xml:space="preserve">十</w:t>
      </w:r>
      <w:r>
        <w:rPr>
          <w:rFonts w:hint="eastAsia"/>
          <w:color w:val="auto"/>
        </w:rPr>
        <w:t xml:space="preserve">六</w:t>
      </w:r>
      <w:r>
        <w:rPr>
          <w:color w:val="auto"/>
        </w:rPr>
        <w:t xml:space="preserve">、投标所需其他材料</w:t>
      </w:r>
      <w:bookmarkEnd w:id="108"/>
      <w:r/>
      <w:bookmarkEnd w:id="109"/>
      <w:r/>
      <w:bookmarkEnd w:id="110"/>
      <w:r/>
      <w:bookmarkEnd w:id="111"/>
      <w:r/>
      <w:r/>
    </w:p>
    <w:p>
      <w:pPr>
        <w:pStyle w:val="1148"/>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pacing w:line="460" w:lineRule="exact"/>
        <w:widowControl/>
        <w:rPr>
          <w:rFonts w:hint="eastAsia" w:ascii="宋体" w:hAnsi="宋体" w:cs="宋体"/>
          <w:b/>
          <w:color w:val="auto"/>
          <w:highlight w:val="none"/>
        </w:rPr>
      </w:pPr>
      <w:r>
        <w:rPr>
          <w:rFonts w:hint="eastAsia" w:ascii="宋体" w:hAnsi="宋体" w:cs="宋体"/>
          <w:b/>
          <w:color w:val="auto"/>
          <w:highlight w:val="none"/>
        </w:rPr>
      </w:r>
      <w:r/>
    </w:p>
    <w:p>
      <w:pPr>
        <w:jc w:val="right"/>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809"/>
        <w:jc w:val="center"/>
        <w:rPr>
          <w:rFonts w:hint="eastAsia" w:ascii="宋体" w:hAnsi="宋体" w:cs="宋体"/>
          <w:b/>
          <w:color w:val="auto"/>
          <w:szCs w:val="24"/>
          <w:highlight w:val="none"/>
        </w:rPr>
      </w:pPr>
      <w:r/>
      <w:bookmarkStart w:id="112" w:name="_Hlk40203486"/>
      <w:r>
        <w:rPr>
          <w:rFonts w:ascii="宋体" w:hAnsi="宋体" w:cs="宋体"/>
          <w:b/>
          <w:color w:val="auto"/>
          <w:highlight w:val="none"/>
        </w:rPr>
        <w:br w:type="page" w:clear="all"/>
      </w:r>
      <w:r>
        <w:rPr>
          <w:rFonts w:hint="eastAsia"/>
          <w:color w:val="auto"/>
        </w:rPr>
        <w:t xml:space="preserve">十七、对</w:t>
      </w:r>
      <w:r>
        <w:rPr>
          <w:rFonts w:hint="eastAsia"/>
          <w:color w:val="auto"/>
          <w:lang w:val="zh-CN"/>
        </w:rPr>
        <w:t xml:space="preserve">第一章</w:t>
      </w:r>
      <w:r>
        <w:rPr>
          <w:rFonts w:hint="eastAsia"/>
          <w:color w:val="auto"/>
          <w:lang w:val="en-US" w:eastAsia="zh-CN"/>
        </w:rPr>
        <w:t xml:space="preserve">招标公告</w:t>
      </w:r>
      <w:r>
        <w:rPr>
          <w:rFonts w:hint="eastAsia"/>
          <w:color w:val="auto"/>
          <w:lang w:val="zh-CN"/>
        </w:rPr>
        <w:t xml:space="preserve">中《中华人民共和国政府采购法》规定的资格条件</w:t>
      </w:r>
      <w:r>
        <w:rPr>
          <w:rFonts w:hint="eastAsia"/>
          <w:color w:val="auto"/>
        </w:rPr>
        <w:t xml:space="preserve">作出的书面承诺书</w:t>
      </w:r>
      <w:r/>
    </w:p>
    <w:p>
      <w:pPr>
        <w:jc w:val="center"/>
        <w:widowControl/>
        <w:rPr>
          <w:rFonts w:hint="eastAsia" w:ascii="宋体" w:hAnsi="宋体" w:cs="Trebuchet MS"/>
          <w:b/>
          <w:bCs/>
          <w:color w:val="auto"/>
          <w:sz w:val="36"/>
          <w:szCs w:val="36"/>
          <w:highlight w:val="none"/>
          <w:lang w:val="zh-CN"/>
        </w:rPr>
      </w:pPr>
      <w:r>
        <w:rPr>
          <w:rFonts w:hint="eastAsia" w:ascii="宋体" w:hAnsi="宋体" w:cs="Trebuchet MS"/>
          <w:b/>
          <w:bCs/>
          <w:color w:val="auto"/>
          <w:sz w:val="36"/>
          <w:szCs w:val="36"/>
          <w:highlight w:val="none"/>
          <w:lang w:val="zh-CN"/>
        </w:rPr>
        <w:t xml:space="preserve">南京市政府采购供应商信用记录表暨信用承诺书</w:t>
      </w:r>
      <w:r/>
    </w:p>
    <w:p>
      <w:pPr>
        <w:pStyle w:val="1012"/>
        <w:rPr>
          <w:rFonts w:hint="eastAsia" w:ascii="宋体" w:hAnsi="宋体" w:cs="Trebuchet MS"/>
          <w:color w:val="auto"/>
          <w:szCs w:val="21"/>
          <w:highlight w:val="none"/>
        </w:rPr>
      </w:pPr>
      <w:r>
        <w:rPr>
          <w:rFonts w:hint="eastAsia" w:ascii="宋体" w:hAnsi="宋体" w:cs="宋体"/>
          <w:b/>
          <w:color w:val="auto"/>
          <w:szCs w:val="21"/>
          <w:highlight w:val="none"/>
        </w:rPr>
        <w:t xml:space="preserve">  </w:t>
      </w:r>
      <w:r>
        <w:rPr>
          <w:rFonts w:hint="eastAsia" w:ascii="宋体" w:hAnsi="宋体" w:cs="Trebuchet MS"/>
          <w:b/>
          <w:bCs/>
          <w:color w:val="auto"/>
          <w:szCs w:val="30"/>
          <w:highlight w:val="none"/>
        </w:rPr>
        <w:t xml:space="preserve">                                       </w:t>
      </w:r>
      <w:r>
        <w:rPr>
          <w:rFonts w:hint="eastAsia" w:ascii="宋体" w:hAnsi="宋体" w:cs="Trebuchet MS"/>
          <w:b/>
          <w:bCs/>
          <w:color w:val="auto"/>
          <w:szCs w:val="21"/>
          <w:highlight w:val="none"/>
        </w:rPr>
        <w:t xml:space="preserve">   </w:t>
      </w:r>
      <w:r>
        <w:rPr>
          <w:rFonts w:hint="eastAsia" w:ascii="宋体" w:hAnsi="宋体" w:cs="Trebuchet MS"/>
          <w:color w:val="auto"/>
          <w:szCs w:val="21"/>
          <w:highlight w:val="none"/>
        </w:rPr>
        <w:t xml:space="preserve">           20  年  月  日</w:t>
      </w:r>
      <w:r/>
    </w:p>
    <w:tbl>
      <w:tblPr>
        <w:tblStyle w:val="818"/>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54"/>
        </w:trPr>
        <w:tc>
          <w:tcPr>
            <w:tcW w:w="2210" w:type="dxa"/>
            <w:vAlign w:val="center"/>
            <w:textDirection w:val="lrTb"/>
            <w:noWrap w:val="false"/>
          </w:tcPr>
          <w:p>
            <w:pPr>
              <w:pStyle w:val="1012"/>
              <w:spacing w:line="380" w:lineRule="exact"/>
              <w:rPr>
                <w:rFonts w:hint="eastAsia" w:ascii="宋体" w:hAnsi="宋体"/>
                <w:color w:val="auto"/>
                <w:szCs w:val="21"/>
                <w:highlight w:val="none"/>
              </w:rPr>
            </w:pPr>
            <w:r>
              <w:rPr>
                <w:rFonts w:hint="eastAsia" w:ascii="宋体" w:hAnsi="宋体"/>
                <w:color w:val="auto"/>
                <w:szCs w:val="21"/>
                <w:highlight w:val="none"/>
              </w:rPr>
              <w:t xml:space="preserve">单位名称</w:t>
            </w:r>
            <w:r/>
          </w:p>
        </w:tc>
        <w:tc>
          <w:tcPr>
            <w:tcW w:w="2365" w:type="dxa"/>
            <w:vAlign w:val="center"/>
            <w:textDirection w:val="lrTb"/>
            <w:noWrap w:val="false"/>
          </w:tcPr>
          <w:p>
            <w:pPr>
              <w:pStyle w:val="1012"/>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c>
          <w:tcPr>
            <w:tcW w:w="2184" w:type="dxa"/>
            <w:vAlign w:val="center"/>
            <w:textDirection w:val="lrTb"/>
            <w:noWrap w:val="false"/>
          </w:tcPr>
          <w:p>
            <w:pPr>
              <w:pStyle w:val="1012"/>
              <w:spacing w:line="380" w:lineRule="exact"/>
              <w:rPr>
                <w:rFonts w:hint="eastAsia" w:ascii="宋体" w:hAnsi="宋体"/>
                <w:color w:val="auto"/>
                <w:szCs w:val="21"/>
                <w:highlight w:val="none"/>
              </w:rPr>
            </w:pPr>
            <w:r>
              <w:rPr>
                <w:rFonts w:hint="eastAsia" w:ascii="宋体" w:hAnsi="宋体"/>
                <w:color w:val="auto"/>
                <w:szCs w:val="21"/>
                <w:highlight w:val="none"/>
              </w:rPr>
              <w:t xml:space="preserve">统一社会信用代码</w:t>
            </w:r>
            <w:r/>
          </w:p>
        </w:tc>
        <w:tc>
          <w:tcPr>
            <w:tcW w:w="2901" w:type="dxa"/>
            <w:textDirection w:val="lrTb"/>
            <w:noWrap w:val="false"/>
          </w:tcPr>
          <w:p>
            <w:pPr>
              <w:pStyle w:val="1012"/>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r>
      <w:tr>
        <w:trPr>
          <w:trHeight w:val="454"/>
        </w:trPr>
        <w:tc>
          <w:tcPr>
            <w:tcW w:w="2210" w:type="dxa"/>
            <w:vAlign w:val="center"/>
            <w:textDirection w:val="lrTb"/>
            <w:noWrap w:val="false"/>
          </w:tcPr>
          <w:p>
            <w:pPr>
              <w:pStyle w:val="1012"/>
              <w:spacing w:line="380" w:lineRule="exact"/>
              <w:rPr>
                <w:rFonts w:hint="eastAsia" w:ascii="宋体" w:hAnsi="宋体"/>
                <w:color w:val="auto"/>
                <w:szCs w:val="21"/>
                <w:highlight w:val="none"/>
              </w:rPr>
            </w:pPr>
            <w:r>
              <w:rPr>
                <w:rFonts w:hint="eastAsia" w:ascii="宋体" w:hAnsi="宋体"/>
                <w:color w:val="auto"/>
                <w:szCs w:val="21"/>
                <w:highlight w:val="none"/>
              </w:rPr>
              <w:t xml:space="preserve">法定代表人</w:t>
            </w:r>
            <w:r/>
          </w:p>
        </w:tc>
        <w:tc>
          <w:tcPr>
            <w:tcW w:w="2365" w:type="dxa"/>
            <w:vAlign w:val="center"/>
            <w:textDirection w:val="lrTb"/>
            <w:noWrap w:val="false"/>
          </w:tcPr>
          <w:p>
            <w:pPr>
              <w:pStyle w:val="1012"/>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c>
          <w:tcPr>
            <w:tcW w:w="2184" w:type="dxa"/>
            <w:vAlign w:val="center"/>
            <w:textDirection w:val="lrTb"/>
            <w:noWrap w:val="false"/>
          </w:tcPr>
          <w:p>
            <w:pPr>
              <w:pStyle w:val="1012"/>
              <w:spacing w:line="380" w:lineRule="exact"/>
              <w:rPr>
                <w:rFonts w:hint="eastAsia" w:ascii="宋体" w:hAnsi="宋体"/>
                <w:color w:val="auto"/>
                <w:szCs w:val="21"/>
                <w:highlight w:val="none"/>
              </w:rPr>
            </w:pPr>
            <w:r>
              <w:rPr>
                <w:rFonts w:hint="eastAsia" w:ascii="宋体" w:hAnsi="宋体"/>
                <w:color w:val="auto"/>
                <w:szCs w:val="21"/>
                <w:highlight w:val="none"/>
              </w:rPr>
              <w:t xml:space="preserve">联系人</w:t>
            </w:r>
            <w:r/>
          </w:p>
        </w:tc>
        <w:tc>
          <w:tcPr>
            <w:tcW w:w="2901" w:type="dxa"/>
            <w:textDirection w:val="lrTb"/>
            <w:noWrap w:val="false"/>
          </w:tcPr>
          <w:p>
            <w:pPr>
              <w:pStyle w:val="1012"/>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r>
      <w:tr>
        <w:trPr>
          <w:trHeight w:val="454"/>
        </w:trPr>
        <w:tc>
          <w:tcPr>
            <w:tcW w:w="2210" w:type="dxa"/>
            <w:vAlign w:val="center"/>
            <w:textDirection w:val="lrTb"/>
            <w:noWrap w:val="false"/>
          </w:tcPr>
          <w:p>
            <w:pPr>
              <w:pStyle w:val="1012"/>
              <w:spacing w:line="380" w:lineRule="exact"/>
              <w:rPr>
                <w:rFonts w:hint="eastAsia" w:ascii="宋体" w:hAnsi="宋体"/>
                <w:color w:val="auto"/>
                <w:szCs w:val="21"/>
                <w:highlight w:val="none"/>
              </w:rPr>
            </w:pPr>
            <w:r>
              <w:rPr>
                <w:rFonts w:hint="eastAsia" w:ascii="宋体" w:hAnsi="宋体"/>
                <w:color w:val="auto"/>
                <w:szCs w:val="21"/>
                <w:highlight w:val="none"/>
              </w:rPr>
              <w:t xml:space="preserve">联系地址</w:t>
            </w:r>
            <w:r/>
          </w:p>
        </w:tc>
        <w:tc>
          <w:tcPr>
            <w:tcW w:w="2365" w:type="dxa"/>
            <w:vAlign w:val="center"/>
            <w:textDirection w:val="lrTb"/>
            <w:noWrap w:val="false"/>
          </w:tcPr>
          <w:p>
            <w:pPr>
              <w:pStyle w:val="1012"/>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c>
          <w:tcPr>
            <w:tcW w:w="2184" w:type="dxa"/>
            <w:vAlign w:val="center"/>
            <w:textDirection w:val="lrTb"/>
            <w:noWrap w:val="false"/>
          </w:tcPr>
          <w:p>
            <w:pPr>
              <w:pStyle w:val="1012"/>
              <w:spacing w:line="38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p>
        </w:tc>
        <w:tc>
          <w:tcPr>
            <w:tcW w:w="2901" w:type="dxa"/>
            <w:textDirection w:val="lrTb"/>
            <w:noWrap w:val="false"/>
          </w:tcPr>
          <w:p>
            <w:pPr>
              <w:pStyle w:val="1012"/>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r>
      <w:tr>
        <w:trPr>
          <w:trHeight w:val="454"/>
        </w:trPr>
        <w:tc>
          <w:tcPr>
            <w:tcW w:w="2210" w:type="dxa"/>
            <w:vAlign w:val="center"/>
            <w:textDirection w:val="lrTb"/>
            <w:noWrap w:val="false"/>
          </w:tcPr>
          <w:p>
            <w:pPr>
              <w:pStyle w:val="1012"/>
              <w:spacing w:line="380" w:lineRule="exact"/>
              <w:rPr>
                <w:rFonts w:hint="eastAsia" w:ascii="宋体" w:hAnsi="宋体"/>
                <w:color w:val="auto"/>
                <w:szCs w:val="21"/>
                <w:highlight w:val="none"/>
              </w:rPr>
            </w:pPr>
            <w:r>
              <w:rPr>
                <w:rFonts w:hint="eastAsia" w:ascii="宋体" w:hAnsi="宋体"/>
                <w:color w:val="auto"/>
                <w:szCs w:val="21"/>
                <w:highlight w:val="none"/>
              </w:rPr>
              <w:t xml:space="preserve">诚信档案记录情况</w:t>
            </w:r>
            <w:r/>
          </w:p>
        </w:tc>
        <w:tc>
          <w:tcPr>
            <w:gridSpan w:val="3"/>
            <w:tcW w:w="7450" w:type="dxa"/>
            <w:textDirection w:val="lrTb"/>
            <w:noWrap w:val="false"/>
          </w:tcPr>
          <w:p>
            <w:pPr>
              <w:pStyle w:val="1012"/>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r>
      <w:tr>
        <w:trPr>
          <w:trHeight w:val="5505"/>
        </w:trPr>
        <w:tc>
          <w:tcPr>
            <w:tcW w:w="2210" w:type="dxa"/>
            <w:vAlign w:val="center"/>
            <w:textDirection w:val="lrTb"/>
            <w:noWrap w:val="false"/>
          </w:tcPr>
          <w:p>
            <w:pPr>
              <w:pStyle w:val="1012"/>
              <w:spacing w:line="380" w:lineRule="exact"/>
              <w:rPr>
                <w:rFonts w:hint="eastAsia" w:ascii="宋体" w:hAnsi="宋体"/>
                <w:color w:val="auto"/>
                <w:szCs w:val="21"/>
                <w:highlight w:val="none"/>
              </w:rPr>
            </w:pPr>
            <w:r>
              <w:rPr>
                <w:rFonts w:hint="eastAsia" w:ascii="宋体" w:hAnsi="宋体"/>
                <w:color w:val="auto"/>
                <w:szCs w:val="21"/>
                <w:highlight w:val="none"/>
              </w:rPr>
              <w:t xml:space="preserve">信用承诺</w:t>
            </w:r>
            <w:r/>
          </w:p>
        </w:tc>
        <w:tc>
          <w:tcPr>
            <w:gridSpan w:val="3"/>
            <w:tcW w:w="7450" w:type="dxa"/>
            <w:textDirection w:val="lrTb"/>
            <w:noWrap w:val="false"/>
          </w:tcPr>
          <w:p>
            <w:pPr>
              <w:pStyle w:val="1012"/>
              <w:ind w:firstLine="420"/>
              <w:spacing w:line="380" w:lineRule="exac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我公司自愿参加贵中心(公司)组织的本次采购活动，严格遵守《中华人民共和国政府采购法》及相关</w:t>
            </w:r>
            <w:r>
              <w:rPr>
                <w:rFonts w:hint="eastAsia" w:ascii="宋体" w:hAnsi="宋体" w:cs="Trebuchet MS"/>
                <w:color w:val="auto"/>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1012"/>
              <w:spacing w:line="380" w:lineRule="exac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r>
            <w:r/>
          </w:p>
          <w:p>
            <w:pPr>
              <w:pStyle w:val="1012"/>
              <w:ind w:firstLine="3360"/>
              <w:spacing w:line="380" w:lineRule="exac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供应商名称(</w:t>
            </w:r>
            <w:r>
              <w:rPr>
                <w:rFonts w:hint="eastAsia" w:ascii="宋体" w:hAnsi="宋体" w:cs="Trebuchet MS"/>
                <w:color w:val="auto"/>
                <w:szCs w:val="21"/>
                <w:highlight w:val="none"/>
              </w:rPr>
              <w:t xml:space="preserve">加盖电子公章</w:t>
            </w:r>
            <w:r>
              <w:rPr>
                <w:rFonts w:hint="eastAsia" w:ascii="宋体" w:hAnsi="宋体" w:cs="Trebuchet MS"/>
                <w:color w:val="auto"/>
                <w:szCs w:val="21"/>
                <w:highlight w:val="none"/>
                <w:lang w:val="zh-CN"/>
              </w:rPr>
              <w:t xml:space="preserve">):</w:t>
            </w:r>
            <w:r/>
          </w:p>
          <w:p>
            <w:pPr>
              <w:pStyle w:val="1012"/>
              <w:ind w:firstLine="3360"/>
              <w:spacing w:line="380" w:lineRule="exac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法定代表人(签字) :</w:t>
            </w:r>
            <w:r/>
          </w:p>
          <w:p>
            <w:pPr>
              <w:pStyle w:val="1012"/>
              <w:ind w:firstLine="3360"/>
              <w:spacing w:line="380" w:lineRule="exac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二</w:t>
            </w:r>
            <w:r>
              <w:rPr>
                <w:rFonts w:hint="eastAsia" w:ascii="宋体" w:hAnsi="宋体" w:cs="Trebuchet MS"/>
                <w:color w:val="auto"/>
                <w:szCs w:val="21"/>
                <w:highlight w:val="none"/>
              </w:rPr>
              <w:t xml:space="preserve">〇  </w:t>
            </w:r>
            <w:r>
              <w:rPr>
                <w:rFonts w:hint="eastAsia" w:ascii="宋体" w:hAnsi="宋体" w:cs="Trebuchet MS"/>
                <w:color w:val="auto"/>
                <w:szCs w:val="21"/>
                <w:highlight w:val="none"/>
                <w:lang w:val="zh-CN"/>
              </w:rPr>
              <w:t xml:space="preserve">年</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 xml:space="preserve">月</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 xml:space="preserve">日</w:t>
            </w:r>
            <w:r/>
          </w:p>
        </w:tc>
      </w:tr>
    </w:tbl>
    <w:p>
      <w:pPr>
        <w:pStyle w:val="1012"/>
        <w:spacing w:line="460" w:lineRule="exact"/>
        <w:rPr>
          <w:rFonts w:hint="eastAsia" w:ascii="宋体" w:hAnsi="宋体" w:cs="Trebuchet MS"/>
          <w:color w:val="auto"/>
          <w:szCs w:val="21"/>
          <w:highlight w:val="none"/>
        </w:rPr>
      </w:pPr>
      <w:r>
        <w:rPr>
          <w:rFonts w:hint="eastAsia" w:ascii="宋体" w:hAnsi="宋体" w:cs="Trebuchet MS"/>
          <w:b/>
          <w:bCs/>
          <w:color w:val="auto"/>
          <w:szCs w:val="21"/>
          <w:highlight w:val="none"/>
        </w:rPr>
        <w:t xml:space="preserve">说明</w:t>
      </w:r>
      <w:r>
        <w:rPr>
          <w:rFonts w:hint="eastAsia" w:ascii="宋体" w:hAnsi="宋体" w:cs="Trebuchet MS"/>
          <w:color w:val="auto"/>
          <w:szCs w:val="21"/>
          <w:highlight w:val="none"/>
        </w:rPr>
        <w:t xml:space="preserve">：</w:t>
      </w:r>
      <w:r/>
    </w:p>
    <w:p>
      <w:pPr>
        <w:pStyle w:val="1012"/>
        <w:ind w:firstLine="420"/>
        <w:spacing w:line="400" w:lineRule="exact"/>
        <w:rPr>
          <w:rFonts w:hint="eastAsia" w:ascii="宋体" w:hAnsi="宋体" w:cs="Trebuchet MS"/>
          <w:color w:val="auto"/>
          <w:szCs w:val="21"/>
          <w:highlight w:val="none"/>
        </w:rPr>
      </w:pPr>
      <w:r>
        <w:rPr>
          <w:rFonts w:hint="eastAsia" w:ascii="宋体" w:hAnsi="宋体" w:cs="Trebuchet MS"/>
          <w:color w:val="auto"/>
          <w:szCs w:val="21"/>
          <w:highlight w:val="none"/>
        </w:rPr>
        <w:t xml:space="preserve">1、不适用信用承诺的情形</w:t>
      </w:r>
      <w:r/>
    </w:p>
    <w:p>
      <w:pPr>
        <w:pStyle w:val="1012"/>
        <w:ind w:firstLine="420"/>
        <w:spacing w:line="400" w:lineRule="exact"/>
        <w:rPr>
          <w:rFonts w:hint="eastAsia" w:ascii="宋体" w:hAnsi="宋体" w:cs="Trebuchet MS"/>
          <w:color w:val="auto"/>
          <w:szCs w:val="21"/>
          <w:highlight w:val="none"/>
        </w:rPr>
      </w:pPr>
      <w:r>
        <w:rPr>
          <w:rFonts w:hint="eastAsia" w:ascii="宋体" w:hAnsi="宋体" w:cs="Trebuchet MS"/>
          <w:color w:val="auto"/>
          <w:szCs w:val="21"/>
          <w:highlight w:val="none"/>
        </w:rPr>
        <w:t xml:space="preserve">（1）供应商被列入严重失信主体名单；（2）南京市政府采购供应商诚信档案管理系统中诚信档案分在40分以下；（3）被相关监管部门作出行政处罚且尚在处罚有效期内；（4）其他法律、行政法规规定的不适用信用承诺的情形。</w:t>
      </w:r>
      <w:r/>
    </w:p>
    <w:p>
      <w:pPr>
        <w:pStyle w:val="1012"/>
        <w:ind w:firstLine="420"/>
        <w:spacing w:line="400" w:lineRule="exact"/>
        <w:rPr>
          <w:rFonts w:hint="eastAsia" w:ascii="宋体" w:hAnsi="宋体" w:cs="Trebuchet MS"/>
          <w:color w:val="auto"/>
          <w:szCs w:val="21"/>
          <w:highlight w:val="none"/>
        </w:rPr>
      </w:pPr>
      <w:r>
        <w:rPr>
          <w:rFonts w:hint="eastAsia" w:ascii="宋体" w:hAnsi="宋体" w:cs="Trebuchet MS"/>
          <w:color w:val="auto"/>
          <w:szCs w:val="21"/>
          <w:highlight w:val="none"/>
        </w:rPr>
        <w:t xml:space="preserve">2、违反信用承诺的法律责任</w:t>
      </w:r>
      <w:r/>
    </w:p>
    <w:p>
      <w:pPr>
        <w:pStyle w:val="1012"/>
        <w:ind w:firstLine="420"/>
        <w:spacing w:line="400" w:lineRule="exact"/>
        <w:rPr>
          <w:rFonts w:hint="eastAsia" w:ascii="宋体" w:hAnsi="宋体" w:cs="Trebuchet MS"/>
          <w:color w:val="auto"/>
          <w:szCs w:val="21"/>
          <w:highlight w:val="none"/>
        </w:rPr>
      </w:pPr>
      <w:r>
        <w:rPr>
          <w:rFonts w:hint="eastAsia" w:ascii="宋体" w:hAnsi="宋体" w:cs="Trebuchet MS"/>
          <w:color w:val="auto"/>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pStyle w:val="808"/>
        <w:rPr>
          <w:rFonts w:hint="eastAsia"/>
          <w:color w:val="auto"/>
        </w:rPr>
      </w:pPr>
      <w:r/>
      <w:bookmarkStart w:id="113" w:name="_Toc1855"/>
      <w:r>
        <w:rPr>
          <w:rFonts w:hint="eastAsia"/>
          <w:color w:val="auto"/>
          <w:lang w:val="en-US" w:eastAsia="zh-CN"/>
        </w:rPr>
        <w:t xml:space="preserve">第七章 采购清单</w:t>
      </w:r>
      <w:bookmarkEnd w:id="113"/>
      <w:r/>
      <w:r/>
    </w:p>
    <w:p>
      <w:pPr>
        <w:pStyle w:val="809"/>
        <w:rPr>
          <w:rFonts w:hint="eastAsia" w:ascii="宋体" w:hAnsi="宋体" w:cs="宋体"/>
          <w:b/>
          <w:color w:val="auto"/>
          <w:spacing w:val="15"/>
          <w:szCs w:val="21"/>
          <w:highlight w:val="none"/>
          <w:lang w:val="en-US" w:eastAsia="zh-CN"/>
        </w:rPr>
      </w:pPr>
      <w:r>
        <w:rPr>
          <w:rFonts w:hint="eastAsia" w:ascii="宋体" w:hAnsi="宋体" w:cs="宋体"/>
          <w:b/>
          <w:color w:val="auto"/>
          <w:spacing w:val="15"/>
          <w:szCs w:val="21"/>
          <w:highlight w:val="none"/>
          <w:lang w:val="en-US" w:eastAsia="zh-CN"/>
        </w:rPr>
        <w:t xml:space="preserve">目录</w:t>
      </w:r>
      <w:r/>
    </w:p>
    <w:p>
      <w:pPr>
        <w:rPr>
          <w:rFonts w:hint="eastAsia"/>
          <w:color w:val="auto"/>
          <w:lang w:val="en-US" w:eastAsia="zh-CN"/>
        </w:rPr>
      </w:pPr>
      <w:r>
        <w:rPr>
          <w:rFonts w:hint="eastAsia"/>
          <w:color w:val="auto"/>
          <w:lang w:val="en-US" w:eastAsia="zh-CN"/>
        </w:rPr>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（一）采购清单总体说明</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（二）★采购清单汇总表</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（三）★第100章 总则（基价类）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（四）★第200章 路基服务（基价类）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（五）★第200章 路基服务（单价类）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（六）★第300章 路面服务（基价类）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（七）★第300章 路面服务（单价类）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（八）★第400章 桥梁、涵洞服务（单价类）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（九）★第500章 安全设施及预埋管线服务（单价类）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（十）★第600章 绿化及环境保护设施服务（单价类）</w:t>
      </w:r>
      <w:r/>
    </w:p>
    <w:p>
      <w:pPr>
        <w:rPr>
          <w:rFonts w:hint="eastAsia"/>
          <w:color w:val="auto"/>
          <w:lang w:val="en-US" w:eastAsia="zh-CN"/>
        </w:rPr>
        <w:sectPr>
          <w:footnotePr/>
          <w:endnotePr/>
          <w:type w:val="nextPage"/>
          <w:pgSz w:w="11906" w:h="16838" w:orient="portrait"/>
          <w:pgMar w:top="1417" w:right="1134" w:bottom="1247" w:left="1304" w:header="851" w:footer="992" w:gutter="0"/>
          <w:cols w:num="1" w:sep="0" w:space="720" w:equalWidth="1"/>
          <w:docGrid w:linePitch="360"/>
        </w:sectPr>
      </w:pPr>
      <w:r>
        <w:rPr>
          <w:rFonts w:hint="eastAsia"/>
          <w:color w:val="auto"/>
          <w:lang w:val="en-US" w:eastAsia="zh-CN"/>
        </w:rPr>
      </w:r>
      <w:r/>
    </w:p>
    <w:p>
      <w:pPr>
        <w:pStyle w:val="808"/>
        <w:jc w:val="center"/>
        <w:keepLines/>
        <w:keepNext/>
        <w:pageBreakBefore w:val="0"/>
        <w:spacing w:before="0" w:after="0"/>
        <w:widowControl w:val="off"/>
        <w:rPr>
          <w:rFonts w:hint="eastAsia" w:ascii="宋体" w:hAnsi="宋体" w:cs="宋体"/>
          <w:b/>
          <w:color w:val="auto"/>
          <w:spacing w:val="15"/>
          <w:szCs w:val="21"/>
          <w:highlight w:val="none"/>
        </w:rPr>
      </w:pPr>
      <w:r/>
      <w:bookmarkStart w:id="114" w:name="_Toc15036"/>
      <w:r>
        <w:rPr>
          <w:rStyle w:val="851"/>
          <w:rFonts w:hint="eastAsia"/>
          <w:b/>
          <w:color w:val="auto"/>
          <w:lang w:eastAsia="zh-CN"/>
        </w:rPr>
        <w:t xml:space="preserve">（</w:t>
      </w:r>
      <w:r>
        <w:rPr>
          <w:rStyle w:val="851"/>
          <w:rFonts w:hint="eastAsia"/>
          <w:b/>
          <w:color w:val="auto"/>
          <w:lang w:val="en-US" w:eastAsia="zh-CN"/>
        </w:rPr>
        <w:t xml:space="preserve">一</w:t>
      </w:r>
      <w:r>
        <w:rPr>
          <w:rStyle w:val="851"/>
          <w:rFonts w:hint="eastAsia"/>
          <w:b/>
          <w:color w:val="auto"/>
          <w:lang w:eastAsia="zh-CN"/>
        </w:rPr>
        <w:t xml:space="preserve">）</w:t>
      </w:r>
      <w:r>
        <w:rPr>
          <w:rStyle w:val="851"/>
          <w:rFonts w:hint="eastAsia"/>
          <w:b/>
          <w:color w:val="auto"/>
          <w:lang w:val="en-US" w:eastAsia="zh-CN"/>
        </w:rPr>
        <w:t xml:space="preserve">采购清单总体说明</w:t>
      </w:r>
      <w:bookmarkEnd w:id="114"/>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总体说明</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1.采购清单说明</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1.1 本采购清单是根据招标文件中包括的、有关采购清单的国家标准、行业标准、合同条款中约定的工程量计算规则编制。约定计量规则中没有的子目，其工程量按照有合同约束力的图纸所标示尺寸的理论净量计算。计量采用中华人民共和国法定计量单位。</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1.2 本采购清单应与招标文件中的投标人须知、合同文件等一起阅读和理解。</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1.3本采购清单中所列工程数量为采购人暂定量，仅作为投标报价的共同基础，不能作为最终结算与支付的依据。实际支付应按实际完成的工程量，由中标人按技术规范规定的计量方法，以采购人认可的尺寸、断面计量，按本采购清单的单价和总额价计算支付金额；或者根据具体情况，由采购人确定的单价或总额价计算支付额.</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1.4 采购清单中所列工程量的变动，丝毫不会降低或影响合同条款的效力，也不免除中标人按规定的标准进行施工和修复缺陷的责任。</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1.5经批准的工程数量表及数量汇总表仅是提供资料，不是采购清单的外延。当经批准的工程数量表与采购清单所列数量不一致时，以采购清单所列数量作为报价的依据。</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2．投标报价说明</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2.1 采购清单中的每一子目须填入单价或价格，且只允许有一个报价。</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2.2 除非合同另有规定，采购清单中有标价的单价和总额价均已包括了为实施和完成合同工程所需的劳务、材料、机械、质检（自检）、安装、缺陷修复、管理、保险、税费、利润和安全生产费等费用，以及合同明示或暗示的所有责任、义务和一般风险。</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2.3 采购清单中供应商没有填入单价或价格的子目，其费用视为已分摊在采购清单中其他相关子目的单价或价格之中。中标人必须按采购人指令完成采购清单中未填入单价或价格的子目，但不能得到结算与支付。</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2.4 符合合同条款规定的全部费用应认为已被计入有标价的采购清单所列各子目之中，未列子目不予计量的工作，其费用应视为已分摊在本合同工程的有关子目的单价或总额价之中。</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2.5 中标人用于本合同工程的各类装备的提供、运输、维护、拆卸、拼装等支付的费用，已包括在采购清单的单价与总额价之中。</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2.6 采购清单中各项金额均以人民币（元）结算。</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3．计日工说明</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    3.1 总则</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（1）未经采购人书面指令，任何工程不得按计日工施工；接到采购人按计日工施工的书面指令，中标人也不得拒绝。</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供应商应在计日工单价表中填列计日工子目的基本单价或租价，该基本单价或租价适用于采购人指令的任何数量的计日工的结算与支付。计日工的劳务、材料和施工机械由采购人（或采购人）列出正常的估计数量，供应商报出单价，计算出计日工总额后列入采购清单汇总表中并进入评标价。</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（3）计日工不调价。</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3.2 计日工劳务</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l）在计算应付给中标人的计日工工资时，工时应从工人到达施工现场，并开始从事指定的工作算起，到返回原出发地点为止，扣去用餐和休息的时间。只有直接从事指定的工作，且能胜任该工作的工人才能计工，随同工人—起做工的班长应计算在内，但不包括领工（工长）和其他质检管理人员。</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（2）中标人可以得到用于计日工劳务的全部工时的支付，此支付按中标人填报的“计日工劳务单价表”所列单价计算，该单价应包括基本单价及中标人的管理费、税费、利润等所有附加费，说明如下：</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a.劳务基本单价包括：中标人劳务的全部直接费用，如：工资、加班费、津贴、福利费及劳动保护费等。</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b.中标人的利润、管理、质检、保险、税费；易耗品的使用、水电及照明费，工作台、脚手架、临时设施费，手动机具与工具的使用及维修，以及上述各项伴随而来的费用。</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3.3 计日工材料</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中标人可以得到计日工使用的材料费用（上述3.2款已计入劳务费内的材料费用除外）的支付，此费用按中标人“计日工材料单价表”中所填报的单价计算，该单价应包括基本单价及中标人的管理费、税费、利润等所有附加费，说明如下：</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a．材料基本单价按供货价加运杂费（到达中标人现场仓库）、保险费、仓库管理费以及运输损耗等计算;</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b. 中标人的利润、管理、质检、保险、税费及其他附加费;</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c．从现场运至使用地点的人工费和施工机械使用费不包括在上述基本单价内。</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3.4 计日工施工机械</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中标人可以得到用于计日工作业的施工机械费用的支付，该费用按中标人填报的“计日工施工机械单价表”中的租价计算。该租价应包括施工机械的折旧、利息、维修、保养、零配件、油燃料、保险和其他消耗品的费用以及全部有关使用这些机械的管理费、税费、利润和司机与助手的劳务费等费用。</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在计日工作业中，中标人计算所用的施工机械费用时，应按实际工作小时支付。除非经采购人的同意，计算的工作小时才能将施工机械从现场某处运到采购人指令的计日工作业的另一现场往返运送时间包括在内。</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4．其他说明</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4.1安全生产费用按最高限价的1.5％计取。</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4.2如清单子目中未标注规格、材质、颜色、品种、等级等，请投标人综合考虑报价，中标后清单综合单价不随规格、材质、颜色、品种、等级等差异进行调整。</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、针对本工程的特别说明：</w:t>
      </w:r>
      <w:r/>
    </w:p>
    <w:p>
      <w:pPr>
        <w:ind w:firstLine="416"/>
        <w:spacing w:line="460" w:lineRule="exact"/>
        <w:rPr>
          <w:rFonts w:hint="eastAsia" w:ascii="宋体" w:hAnsi="宋体"/>
          <w:b/>
          <w:bCs/>
          <w:color w:val="auto"/>
          <w:szCs w:val="21"/>
          <w:highlight w:val="none"/>
        </w:rPr>
      </w:pPr>
      <w:r>
        <w:rPr>
          <w:rFonts w:hint="eastAsia" w:ascii="宋体" w:hAnsi="宋体"/>
          <w:b/>
          <w:bCs/>
          <w:color w:val="auto"/>
          <w:szCs w:val="21"/>
          <w:highlight w:val="none"/>
        </w:rPr>
        <w:t xml:space="preserve">参照《关于下发南京市江宁区公路事业发展中心干线公路养护管理考核与经费支付办法的通知》（江宁路【2024】23号）规定执行。</w:t>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pStyle w:val="847"/>
        <w:rPr>
          <w:rFonts w:hint="eastAsia"/>
          <w:color w:val="auto"/>
        </w:rPr>
      </w:pPr>
      <w:r>
        <w:rPr>
          <w:rFonts w:hint="eastAsia"/>
          <w:color w:val="auto"/>
        </w:rPr>
      </w:r>
      <w:r/>
    </w:p>
    <w:tbl>
      <w:tblPr>
        <w:tblStyle w:val="818"/>
        <w:tblW w:w="8601" w:type="dxa"/>
        <w:tblInd w:w="96" w:type="dxa"/>
        <w:tblLayout w:type="autofit"/>
        <w:tblCellMar>
          <w:left w:w="108" w:type="dxa"/>
          <w:top w:w="0" w:type="dxa"/>
          <w:right w:w="108" w:type="dxa"/>
          <w:bottom w:w="0" w:type="dxa"/>
        </w:tblCellMar>
        <w:tblLook w:val="04A0" w:firstRow="1" w:lastRow="0" w:firstColumn="1" w:lastColumn="0" w:noHBand="0" w:noVBand="1"/>
      </w:tblPr>
      <w:tblGrid>
        <w:gridCol w:w="8601"/>
      </w:tblGrid>
      <w:tr>
        <w:trPr>
          <w:trHeight w:val="500"/>
        </w:trPr>
        <w:tc>
          <w:tcPr>
            <w:tcBorders>
              <w:top w:val="none" w:color="000000" w:sz="4" w:space="0"/>
              <w:left w:val="none" w:color="000000" w:sz="4" w:space="0"/>
              <w:bottom w:val="none" w:color="000000" w:sz="4" w:space="0"/>
              <w:right w:val="none" w:color="000000" w:sz="4" w:space="0"/>
            </w:tcBorders>
            <w:tcW w:w="8601" w:type="dxa"/>
            <w:vAlign w:val="center"/>
            <w:textDirection w:val="lrTb"/>
            <w:noWrap/>
          </w:tcPr>
          <w:p>
            <w:pPr>
              <w:pStyle w:val="809"/>
              <w:rPr>
                <w:rFonts w:hint="eastAsia"/>
                <w:color w:val="auto"/>
                <w:lang w:val="zh-CN"/>
              </w:rPr>
            </w:pPr>
            <w:r>
              <w:rPr>
                <w:rFonts w:hint="eastAsia"/>
                <w:color w:val="auto"/>
                <w:lang w:val="zh-CN"/>
              </w:rPr>
              <w:t xml:space="preserve">（二）★采购清单汇总表</w:t>
            </w:r>
            <w:r/>
          </w:p>
          <w:p>
            <w:pPr>
              <w:jc w:val="center"/>
              <w:widowControl/>
              <w:rPr>
                <w:rFonts w:hint="eastAsia" w:ascii="宋体" w:hAnsi="宋体" w:cs="宋体"/>
                <w:b/>
                <w:bCs/>
                <w:color w:val="auto"/>
                <w:sz w:val="36"/>
                <w:szCs w:val="36"/>
                <w:highlight w:val="none"/>
              </w:rPr>
            </w:pPr>
            <w:r>
              <w:rPr>
                <w:rFonts w:hint="eastAsia" w:ascii="宋体" w:hAnsi="宋体" w:cs="宋体"/>
                <w:b/>
                <w:bCs/>
                <w:color w:val="auto"/>
                <w:sz w:val="32"/>
                <w:szCs w:val="32"/>
                <w:highlight w:val="none"/>
                <w:lang w:val="zh-CN" w:bidi="ar"/>
              </w:rPr>
              <w:t xml:space="preserve">2026年江宁区县道日常养护</w:t>
            </w:r>
            <w:r>
              <w:rPr>
                <w:rFonts w:hint="eastAsia" w:ascii="宋体" w:hAnsi="宋体" w:cs="宋体"/>
                <w:b/>
                <w:bCs/>
                <w:color w:val="auto"/>
                <w:sz w:val="32"/>
                <w:szCs w:val="32"/>
                <w:highlight w:val="none"/>
                <w:lang w:bidi="ar"/>
              </w:rPr>
              <w:t xml:space="preserve">项目</w:t>
            </w:r>
            <w:r/>
          </w:p>
        </w:tc>
      </w:tr>
      <w:tr>
        <w:trPr>
          <w:trHeight w:val="500"/>
        </w:trPr>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hint="eastAsia" w:ascii="宋体" w:hAnsi="宋体" w:cs="宋体"/>
                <w:b/>
                <w:bCs/>
                <w:color w:val="auto"/>
                <w:sz w:val="32"/>
                <w:szCs w:val="32"/>
                <w:highlight w:val="none"/>
              </w:rPr>
            </w:pPr>
            <w:r>
              <w:rPr>
                <w:rFonts w:ascii="黑体" w:eastAsia="黑体"/>
                <w:color w:val="auto"/>
                <w:sz w:val="32"/>
                <w:szCs w:val="32"/>
                <w:highlight w:val="none"/>
              </w:rPr>
              <w:br w:type="page" w:clear="all"/>
            </w:r>
            <w:r>
              <w:rPr>
                <w:rFonts w:hint="eastAsia" w:ascii="宋体" w:hAnsi="宋体"/>
                <w:b/>
                <w:bCs/>
                <w:color w:val="auto"/>
                <w:sz w:val="32"/>
                <w:szCs w:val="32"/>
                <w:highlight w:val="none"/>
              </w:rPr>
              <w:t xml:space="preserve">采购</w:t>
            </w:r>
            <w:r>
              <w:rPr>
                <w:rFonts w:hint="eastAsia" w:ascii="宋体" w:hAnsi="宋体" w:cs="宋体"/>
                <w:b/>
                <w:bCs/>
                <w:color w:val="auto"/>
                <w:sz w:val="32"/>
                <w:szCs w:val="32"/>
                <w:highlight w:val="none"/>
                <w:lang w:bidi="ar"/>
              </w:rPr>
              <w:t xml:space="preserve">清单汇总表</w:t>
            </w:r>
            <w:r/>
          </w:p>
        </w:tc>
      </w:tr>
    </w:tbl>
    <w:p>
      <w:pPr>
        <w:pStyle w:val="848"/>
        <w:ind w:firstLine="7000"/>
        <w:rPr>
          <w:rFonts w:hint="eastAsia"/>
          <w:color w:val="auto"/>
          <w:highlight w:val="none"/>
        </w:rPr>
      </w:pPr>
      <w:r>
        <w:rPr>
          <w:rFonts w:hint="eastAsia"/>
          <w:color w:val="auto"/>
          <w:sz w:val="20"/>
          <w:szCs w:val="20"/>
          <w:highlight w:val="none"/>
          <w:lang w:bidi="ar"/>
        </w:rPr>
        <w:t xml:space="preserve">货币单位：人民币元</w:t>
      </w:r>
      <w:r/>
    </w:p>
    <w:tbl>
      <w:tblPr>
        <w:tblStyle w:val="818"/>
        <w:tblW w:w="8980" w:type="dxa"/>
        <w:tblInd w:w="113" w:type="dxa"/>
        <w:tblLayout w:type="autofit"/>
        <w:tblCellMar>
          <w:left w:w="108" w:type="dxa"/>
          <w:top w:w="0" w:type="dxa"/>
          <w:right w:w="108" w:type="dxa"/>
          <w:bottom w:w="0" w:type="dxa"/>
        </w:tblCellMar>
        <w:tblLook w:val="04A0" w:firstRow="1" w:lastRow="0" w:firstColumn="1" w:lastColumn="0" w:noHBand="0" w:noVBand="1"/>
      </w:tblPr>
      <w:tblGrid>
        <w:gridCol w:w="1020"/>
        <w:gridCol w:w="1020"/>
        <w:gridCol w:w="2885"/>
        <w:gridCol w:w="1024"/>
        <w:gridCol w:w="3031"/>
      </w:tblGrid>
      <w:tr>
        <w:trPr>
          <w:trHeight w:val="501"/>
        </w:trPr>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章次</w:t>
            </w:r>
            <w:r/>
          </w:p>
        </w:tc>
        <w:tc>
          <w:tcPr>
            <w:gridSpan w:val="2"/>
            <w:tcBorders>
              <w:top w:val="single" w:color="auto" w:sz="4" w:space="0"/>
              <w:left w:val="none" w:color="000000" w:sz="4" w:space="0"/>
              <w:bottom w:val="single" w:color="auto" w:sz="4" w:space="0"/>
              <w:right w:val="single" w:color="auto" w:sz="4" w:space="0"/>
            </w:tcBorders>
            <w:tcW w:w="3909"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科目名称</w:t>
            </w:r>
            <w:r/>
          </w:p>
        </w:tc>
        <w:tc>
          <w:tcPr>
            <w:tcBorders>
              <w:top w:val="single" w:color="auto" w:sz="4" w:space="0"/>
              <w:left w:val="none" w:color="000000" w:sz="4" w:space="0"/>
              <w:bottom w:val="single" w:color="auto" w:sz="4" w:space="0"/>
              <w:right w:val="single" w:color="auto" w:sz="4" w:space="0"/>
            </w:tcBorders>
            <w:tcW w:w="3031" w:type="dxa"/>
            <w:vAlign w:val="center"/>
            <w:textDirection w:val="lrTb"/>
            <w:noWrap/>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经费（元）</w:t>
            </w:r>
            <w:r/>
          </w:p>
        </w:tc>
      </w:tr>
      <w:tr>
        <w:trPr>
          <w:trHeight w:val="501"/>
        </w:trPr>
        <w:tc>
          <w:tcPr>
            <w:tcBorders>
              <w:top w:val="none" w:color="000000" w:sz="4" w:space="0"/>
              <w:left w:val="single" w:color="auto" w:sz="4" w:space="0"/>
              <w:bottom w:val="single" w:color="000000" w:sz="4" w:space="0"/>
              <w:right w:val="single" w:color="auto" w:sz="4" w:space="0"/>
            </w:tcBorders>
            <w:tcW w:w="1020" w:type="dxa"/>
            <w:vAlign w:val="center"/>
            <w:vMerge w:val="restart"/>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100-1</w:t>
            </w:r>
            <w:r/>
          </w:p>
        </w:tc>
        <w:tc>
          <w:tcPr>
            <w:tcBorders>
              <w:top w:val="none" w:color="000000" w:sz="4" w:space="0"/>
              <w:left w:val="single" w:color="auto" w:sz="4" w:space="0"/>
              <w:bottom w:val="single" w:color="auto" w:sz="4" w:space="0"/>
              <w:right w:val="single" w:color="auto" w:sz="4" w:space="0"/>
            </w:tcBorders>
            <w:tcW w:w="2885" w:type="dxa"/>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总则</w:t>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hint="eastAsia"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020"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100-2</w:t>
            </w:r>
            <w:r/>
          </w:p>
        </w:tc>
        <w:tc>
          <w:tcPr>
            <w:tcBorders>
              <w:top w:val="none" w:color="000000" w:sz="4" w:space="0"/>
              <w:left w:val="single" w:color="auto" w:sz="4" w:space="0"/>
              <w:bottom w:val="single" w:color="auto" w:sz="4" w:space="0"/>
              <w:right w:val="single" w:color="auto" w:sz="4" w:space="0"/>
            </w:tcBorders>
            <w:tcW w:w="2885" w:type="dxa"/>
            <w:vAlign w:val="center"/>
            <w:vMerge w:val="continue"/>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单价类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020" w:type="dxa"/>
            <w:vAlign w:val="center"/>
            <w:vMerge w:val="restart"/>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200-1</w:t>
            </w:r>
            <w:r/>
          </w:p>
        </w:tc>
        <w:tc>
          <w:tcPr>
            <w:tcBorders>
              <w:top w:val="none" w:color="000000" w:sz="4" w:space="0"/>
              <w:left w:val="single" w:color="auto" w:sz="4" w:space="0"/>
              <w:bottom w:val="single" w:color="auto" w:sz="4" w:space="0"/>
              <w:right w:val="single" w:color="auto" w:sz="4" w:space="0"/>
            </w:tcBorders>
            <w:tcW w:w="2885" w:type="dxa"/>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路基服务</w:t>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hint="eastAsia"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020"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200-2</w:t>
            </w:r>
            <w:r/>
          </w:p>
        </w:tc>
        <w:tc>
          <w:tcPr>
            <w:tcBorders>
              <w:top w:val="none" w:color="000000" w:sz="4" w:space="0"/>
              <w:left w:val="single" w:color="auto" w:sz="4" w:space="0"/>
              <w:bottom w:val="single" w:color="auto" w:sz="4" w:space="0"/>
              <w:right w:val="single" w:color="auto" w:sz="4" w:space="0"/>
            </w:tcBorders>
            <w:tcW w:w="2885" w:type="dxa"/>
            <w:vAlign w:val="center"/>
            <w:vMerge w:val="continue"/>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单价类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none" w:color="000000" w:sz="4" w:space="0"/>
              <w:right w:val="single" w:color="auto" w:sz="4" w:space="0"/>
            </w:tcBorders>
            <w:tcW w:w="1020" w:type="dxa"/>
            <w:vAlign w:val="center"/>
            <w:vMerge w:val="restart"/>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300-1</w:t>
            </w:r>
            <w:r/>
          </w:p>
        </w:tc>
        <w:tc>
          <w:tcPr>
            <w:tcBorders>
              <w:top w:val="none" w:color="000000" w:sz="4" w:space="0"/>
              <w:left w:val="single" w:color="auto" w:sz="4" w:space="0"/>
              <w:bottom w:val="single" w:color="auto" w:sz="4" w:space="0"/>
              <w:right w:val="single" w:color="auto" w:sz="4" w:space="0"/>
            </w:tcBorders>
            <w:tcW w:w="2885" w:type="dxa"/>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路面服务</w:t>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hint="eastAsia"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none" w:color="000000" w:sz="4" w:space="0"/>
              <w:right w:val="single" w:color="auto" w:sz="4" w:space="0"/>
            </w:tcBorders>
            <w:tcW w:w="1020"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300-2</w:t>
            </w:r>
            <w:r/>
          </w:p>
        </w:tc>
        <w:tc>
          <w:tcPr>
            <w:tcBorders>
              <w:top w:val="none" w:color="000000" w:sz="4" w:space="0"/>
              <w:left w:val="single" w:color="auto" w:sz="4" w:space="0"/>
              <w:bottom w:val="single" w:color="auto" w:sz="4" w:space="0"/>
              <w:right w:val="single" w:color="auto" w:sz="4" w:space="0"/>
            </w:tcBorders>
            <w:tcW w:w="2885" w:type="dxa"/>
            <w:vAlign w:val="center"/>
            <w:vMerge w:val="continue"/>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单价类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single" w:color="auto" w:sz="4" w:space="0"/>
              <w:left w:val="single" w:color="auto" w:sz="4" w:space="0"/>
              <w:bottom w:val="none" w:color="000000" w:sz="4" w:space="0"/>
              <w:right w:val="single" w:color="auto" w:sz="4" w:space="0"/>
            </w:tcBorders>
            <w:tcW w:w="1020" w:type="dxa"/>
            <w:vAlign w:val="center"/>
            <w:vMerge w:val="restart"/>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400-1</w:t>
            </w:r>
            <w:r/>
          </w:p>
        </w:tc>
        <w:tc>
          <w:tcPr>
            <w:tcBorders>
              <w:top w:val="none" w:color="000000" w:sz="4" w:space="0"/>
              <w:left w:val="single" w:color="auto" w:sz="4" w:space="0"/>
              <w:bottom w:val="single" w:color="auto" w:sz="4" w:space="0"/>
              <w:right w:val="single" w:color="auto" w:sz="4" w:space="0"/>
            </w:tcBorders>
            <w:tcW w:w="2885" w:type="dxa"/>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桥梁、涵洞服务</w:t>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hint="eastAsia"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single" w:color="auto" w:sz="4" w:space="0"/>
              <w:left w:val="single" w:color="auto" w:sz="4" w:space="0"/>
              <w:bottom w:val="none" w:color="000000" w:sz="4" w:space="0"/>
              <w:right w:val="single" w:color="auto" w:sz="4" w:space="0"/>
            </w:tcBorders>
            <w:tcW w:w="1020"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400-2</w:t>
            </w:r>
            <w:r/>
          </w:p>
        </w:tc>
        <w:tc>
          <w:tcPr>
            <w:tcBorders>
              <w:top w:val="none" w:color="000000" w:sz="4" w:space="0"/>
              <w:left w:val="single" w:color="auto" w:sz="4" w:space="0"/>
              <w:bottom w:val="single" w:color="auto" w:sz="4" w:space="0"/>
              <w:right w:val="single" w:color="auto" w:sz="4" w:space="0"/>
            </w:tcBorders>
            <w:tcW w:w="2885" w:type="dxa"/>
            <w:vAlign w:val="center"/>
            <w:vMerge w:val="continue"/>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单价类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single" w:color="auto" w:sz="4" w:space="0"/>
              <w:left w:val="single" w:color="auto" w:sz="4" w:space="0"/>
              <w:bottom w:val="single" w:color="000000" w:sz="4" w:space="0"/>
              <w:right w:val="single" w:color="auto" w:sz="4" w:space="0"/>
            </w:tcBorders>
            <w:tcW w:w="1020" w:type="dxa"/>
            <w:vAlign w:val="center"/>
            <w:vMerge w:val="restart"/>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500-1</w:t>
            </w:r>
            <w:r/>
          </w:p>
        </w:tc>
        <w:tc>
          <w:tcPr>
            <w:tcBorders>
              <w:top w:val="none" w:color="000000" w:sz="4" w:space="0"/>
              <w:left w:val="single" w:color="auto" w:sz="4" w:space="0"/>
              <w:bottom w:val="single" w:color="auto" w:sz="4" w:space="0"/>
              <w:right w:val="single" w:color="auto" w:sz="4" w:space="0"/>
            </w:tcBorders>
            <w:tcW w:w="2885" w:type="dxa"/>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安全设施及预埋管线服务</w:t>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hint="eastAsia"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single" w:color="auto" w:sz="4" w:space="0"/>
              <w:left w:val="single" w:color="auto" w:sz="4" w:space="0"/>
              <w:bottom w:val="single" w:color="000000" w:sz="4" w:space="0"/>
              <w:right w:val="single" w:color="auto" w:sz="4" w:space="0"/>
            </w:tcBorders>
            <w:tcW w:w="1020"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500-2</w:t>
            </w:r>
            <w:r/>
          </w:p>
        </w:tc>
        <w:tc>
          <w:tcPr>
            <w:tcBorders>
              <w:top w:val="none" w:color="000000" w:sz="4" w:space="0"/>
              <w:left w:val="single" w:color="auto" w:sz="4" w:space="0"/>
              <w:bottom w:val="single" w:color="auto" w:sz="4" w:space="0"/>
              <w:right w:val="single" w:color="auto" w:sz="4" w:space="0"/>
            </w:tcBorders>
            <w:tcW w:w="2885" w:type="dxa"/>
            <w:vAlign w:val="center"/>
            <w:vMerge w:val="continue"/>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单价类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020" w:type="dxa"/>
            <w:vAlign w:val="center"/>
            <w:vMerge w:val="restart"/>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600-1</w:t>
            </w:r>
            <w:r/>
          </w:p>
        </w:tc>
        <w:tc>
          <w:tcPr>
            <w:tcBorders>
              <w:top w:val="none" w:color="000000" w:sz="4" w:space="0"/>
              <w:left w:val="single" w:color="auto" w:sz="4" w:space="0"/>
              <w:bottom w:val="single" w:color="auto" w:sz="4" w:space="0"/>
              <w:right w:val="single" w:color="auto" w:sz="4" w:space="0"/>
            </w:tcBorders>
            <w:tcW w:w="2885" w:type="dxa"/>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绿化及环境保护服务</w:t>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hint="eastAsia"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020"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600-2</w:t>
            </w:r>
            <w:r/>
          </w:p>
        </w:tc>
        <w:tc>
          <w:tcPr>
            <w:tcBorders>
              <w:top w:val="none" w:color="000000" w:sz="4" w:space="0"/>
              <w:left w:val="single" w:color="auto" w:sz="4" w:space="0"/>
              <w:bottom w:val="single" w:color="auto" w:sz="4" w:space="0"/>
              <w:right w:val="single" w:color="auto" w:sz="4" w:space="0"/>
            </w:tcBorders>
            <w:tcW w:w="2885" w:type="dxa"/>
            <w:vAlign w:val="center"/>
            <w:vMerge w:val="continue"/>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4"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单价类</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hint="eastAsia" w:ascii="Times New Roman" w:hAnsi="Times New Roman"/>
                <w:b/>
                <w:bCs/>
                <w:color w:val="auto"/>
                <w:sz w:val="22"/>
                <w:highlight w:val="none"/>
              </w:rPr>
            </w:pPr>
            <w:r>
              <w:rPr>
                <w:rFonts w:hint="eastAsia" w:ascii="Times New Roman" w:hAnsi="Times New Roman"/>
                <w:b/>
                <w:bCs/>
                <w:color w:val="auto"/>
                <w:sz w:val="22"/>
                <w:highlight w:val="none"/>
              </w:rPr>
            </w:r>
            <w:r/>
          </w:p>
        </w:tc>
      </w:tr>
      <w:tr>
        <w:trPr>
          <w:trHeight w:val="960"/>
        </w:trPr>
        <w:tc>
          <w:tcPr>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7</w:t>
            </w:r>
            <w:r/>
          </w:p>
        </w:tc>
        <w:tc>
          <w:tcPr>
            <w:gridSpan w:val="3"/>
            <w:tcBorders>
              <w:top w:val="single" w:color="auto" w:sz="4" w:space="0"/>
              <w:left w:val="none" w:color="000000" w:sz="4" w:space="0"/>
              <w:bottom w:val="single" w:color="auto" w:sz="4" w:space="0"/>
              <w:right w:val="single" w:color="auto" w:sz="4" w:space="0"/>
            </w:tcBorders>
            <w:tcW w:w="4929"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第</w:t>
            </w:r>
            <w:r>
              <w:rPr>
                <w:rFonts w:ascii="Times New Roman" w:hAnsi="Times New Roman"/>
                <w:color w:val="auto"/>
                <w:sz w:val="20"/>
                <w:szCs w:val="20"/>
                <w:highlight w:val="none"/>
              </w:rPr>
              <w:t xml:space="preserve">100</w:t>
            </w:r>
            <w:r>
              <w:rPr>
                <w:rFonts w:hint="eastAsia" w:ascii="宋体" w:hAnsi="宋体" w:cs="宋体"/>
                <w:color w:val="auto"/>
                <w:sz w:val="20"/>
                <w:szCs w:val="20"/>
                <w:highlight w:val="none"/>
              </w:rPr>
              <w:t xml:space="preserve">章至</w:t>
            </w:r>
            <w:r>
              <w:rPr>
                <w:rFonts w:ascii="Times New Roman" w:hAnsi="Times New Roman"/>
                <w:color w:val="auto"/>
                <w:sz w:val="20"/>
                <w:szCs w:val="20"/>
                <w:highlight w:val="none"/>
              </w:rPr>
              <w:t xml:space="preserve">600</w:t>
            </w:r>
            <w:r>
              <w:rPr>
                <w:rFonts w:hint="eastAsia" w:ascii="宋体" w:hAnsi="宋体" w:cs="宋体"/>
                <w:color w:val="auto"/>
                <w:sz w:val="20"/>
                <w:szCs w:val="20"/>
                <w:highlight w:val="none"/>
              </w:rPr>
              <w:t xml:space="preserve">章清单小计</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hint="eastAsia" w:ascii="Times New Roman" w:hAnsi="Times New Roman"/>
                <w:b/>
                <w:bCs/>
                <w:color w:val="auto"/>
                <w:sz w:val="22"/>
                <w:highlight w:val="none"/>
              </w:rPr>
            </w:pPr>
            <w:r>
              <w:rPr>
                <w:rFonts w:hint="eastAsia" w:ascii="Times New Roman" w:hAnsi="Times New Roman"/>
                <w:b/>
                <w:bCs/>
                <w:color w:val="auto"/>
                <w:sz w:val="22"/>
                <w:highlight w:val="none"/>
              </w:rPr>
            </w:r>
            <w:r/>
          </w:p>
        </w:tc>
      </w:tr>
      <w:tr>
        <w:trPr>
          <w:trHeight w:val="1041"/>
        </w:trPr>
        <w:tc>
          <w:tcPr>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8</w:t>
            </w:r>
            <w:r/>
          </w:p>
        </w:tc>
        <w:tc>
          <w:tcPr>
            <w:gridSpan w:val="3"/>
            <w:tcBorders>
              <w:top w:val="single" w:color="auto" w:sz="4" w:space="0"/>
              <w:left w:val="none" w:color="000000" w:sz="4" w:space="0"/>
              <w:bottom w:val="single" w:color="auto" w:sz="4" w:space="0"/>
              <w:right w:val="single" w:color="auto" w:sz="4" w:space="0"/>
            </w:tcBorders>
            <w:tcW w:w="4929"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安全生产费</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最高投标限价的</w:t>
            </w:r>
            <w:r>
              <w:rPr>
                <w:rFonts w:ascii="Times New Roman" w:hAnsi="Times New Roman"/>
                <w:color w:val="auto"/>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hint="eastAsia" w:ascii="Times New Roman" w:hAnsi="Times New Roman"/>
                <w:b/>
                <w:bCs/>
                <w:color w:val="auto"/>
                <w:sz w:val="22"/>
                <w:highlight w:val="none"/>
              </w:rPr>
            </w:pPr>
            <w:r>
              <w:rPr>
                <w:rFonts w:ascii="Times New Roman" w:hAnsi="Times New Roman"/>
                <w:b/>
                <w:bCs/>
                <w:color w:val="auto"/>
                <w:sz w:val="22"/>
                <w:highlight w:val="none"/>
              </w:rPr>
              <w:t xml:space="preserve">40</w:t>
            </w:r>
            <w:r>
              <w:rPr>
                <w:rFonts w:hint="eastAsia" w:ascii="Times New Roman" w:hAnsi="Times New Roman"/>
                <w:b/>
                <w:bCs/>
                <w:color w:val="auto"/>
                <w:sz w:val="22"/>
                <w:highlight w:val="none"/>
              </w:rPr>
              <w:t xml:space="preserve">500</w:t>
            </w:r>
            <w:r>
              <w:rPr>
                <w:rFonts w:ascii="Times New Roman" w:hAnsi="Times New Roman"/>
                <w:b/>
                <w:bCs/>
                <w:color w:val="auto"/>
                <w:sz w:val="22"/>
                <w:highlight w:val="none"/>
              </w:rPr>
              <w:t xml:space="preserve">0.00 </w:t>
            </w:r>
            <w:r/>
          </w:p>
        </w:tc>
      </w:tr>
      <w:tr>
        <w:trPr>
          <w:trHeight w:val="960"/>
        </w:trPr>
        <w:tc>
          <w:tcPr>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9</w:t>
            </w:r>
            <w:r/>
          </w:p>
        </w:tc>
        <w:tc>
          <w:tcPr>
            <w:gridSpan w:val="3"/>
            <w:tcBorders>
              <w:top w:val="single" w:color="auto" w:sz="4" w:space="0"/>
              <w:left w:val="none" w:color="000000" w:sz="4" w:space="0"/>
              <w:bottom w:val="single" w:color="auto" w:sz="4" w:space="0"/>
              <w:right w:val="single" w:color="auto" w:sz="4" w:space="0"/>
            </w:tcBorders>
            <w:tcW w:w="4929" w:type="dxa"/>
            <w:vAlign w:val="center"/>
            <w:textDirection w:val="lrTb"/>
            <w:noWrap/>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合计(7+8)</w:t>
            </w:r>
            <w:r/>
          </w:p>
        </w:tc>
        <w:tc>
          <w:tcPr>
            <w:tcBorders>
              <w:top w:val="none" w:color="000000" w:sz="4" w:space="0"/>
              <w:left w:val="none" w:color="000000" w:sz="4" w:space="0"/>
              <w:bottom w:val="single" w:color="auto" w:sz="4" w:space="0"/>
              <w:right w:val="single" w:color="auto" w:sz="4" w:space="0"/>
            </w:tcBorders>
            <w:tcW w:w="3031" w:type="dxa"/>
            <w:vAlign w:val="center"/>
            <w:textDirection w:val="lrTb"/>
            <w:noWrap/>
          </w:tcPr>
          <w:p>
            <w:pPr>
              <w:jc w:val="right"/>
              <w:widowControl/>
              <w:rPr>
                <w:rFonts w:hint="eastAsia" w:ascii="Times New Roman" w:hAnsi="Times New Roman"/>
                <w:b/>
                <w:bCs/>
                <w:color w:val="auto"/>
                <w:sz w:val="22"/>
                <w:highlight w:val="none"/>
              </w:rPr>
            </w:pPr>
            <w:r>
              <w:rPr>
                <w:rFonts w:hint="eastAsia" w:ascii="Times New Roman" w:hAnsi="Times New Roman"/>
                <w:b/>
                <w:bCs/>
                <w:color w:val="auto"/>
                <w:sz w:val="22"/>
                <w:highlight w:val="none"/>
              </w:rPr>
            </w:r>
            <w:r/>
          </w:p>
        </w:tc>
      </w:tr>
    </w:tbl>
    <w:p>
      <w:pPr>
        <w:rPr>
          <w:rFonts w:ascii="宋体" w:hAnsi="宋体"/>
          <w:b/>
          <w:bCs/>
          <w:color w:val="auto"/>
          <w:sz w:val="24"/>
          <w:szCs w:val="24"/>
          <w:highlight w:val="none"/>
        </w:rPr>
      </w:pPr>
      <w:r>
        <w:rPr>
          <w:rFonts w:ascii="宋体" w:hAnsi="宋体"/>
          <w:b/>
          <w:bCs/>
          <w:color w:val="auto"/>
          <w:sz w:val="24"/>
          <w:szCs w:val="24"/>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备注：1.“采购清单汇总表”中“投标报价”数额应当与“开标一览表”中“投标总报价”数额一致。</w:t>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 安全生产费为固定价405000元，投标人不得调整该数值，否则作无效投标处理。</w:t>
      </w:r>
      <w:r/>
    </w:p>
    <w:p>
      <w:pPr>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供应商应按清单报价，且不得改变清单中的细目号、细目名称、计量单位、</w:t>
      </w:r>
      <w:r>
        <w:rPr>
          <w:rFonts w:hint="eastAsia" w:ascii="宋体" w:hAnsi="宋体"/>
          <w:b/>
          <w:bCs/>
          <w:color w:val="auto"/>
          <w:sz w:val="24"/>
          <w:szCs w:val="24"/>
          <w:highlight w:val="none"/>
          <w:lang w:val="en-US" w:eastAsia="zh-CN"/>
        </w:rPr>
        <w:t xml:space="preserve">数量</w:t>
      </w:r>
      <w:r>
        <w:rPr>
          <w:rFonts w:hint="eastAsia" w:ascii="宋体" w:hAnsi="宋体"/>
          <w:b/>
          <w:bCs/>
          <w:color w:val="auto"/>
          <w:sz w:val="24"/>
          <w:szCs w:val="24"/>
          <w:highlight w:val="none"/>
        </w:rPr>
        <w:t xml:space="preserve">；否则按无效响应处理。安全生产费不得优惠，改变上述金额按无效响应处理。</w:t>
      </w:r>
      <w:r/>
    </w:p>
    <w:p>
      <w:pPr>
        <w:rPr>
          <w:rFonts w:hint="default" w:ascii="宋体" w:hAnsi="宋体" w:eastAsia="宋体"/>
          <w:b/>
          <w:bCs/>
          <w:color w:val="auto"/>
          <w:sz w:val="24"/>
          <w:szCs w:val="24"/>
          <w:highlight w:val="none"/>
          <w:lang w:val="en-US" w:eastAsia="zh-CN"/>
        </w:rPr>
      </w:pPr>
      <w:r>
        <w:rPr>
          <w:rFonts w:hint="default" w:ascii="宋体" w:hAnsi="宋体" w:eastAsia="宋体"/>
          <w:b/>
          <w:bCs/>
          <w:color w:val="auto"/>
          <w:sz w:val="24"/>
          <w:szCs w:val="24"/>
          <w:highlight w:val="none"/>
          <w:lang w:val="en-US" w:eastAsia="zh-CN"/>
        </w:rPr>
      </w:r>
      <w:r/>
    </w:p>
    <w:p>
      <w:pPr>
        <w:pStyle w:val="809"/>
        <w:rPr>
          <w:rFonts w:hint="eastAsia"/>
          <w:color w:val="auto"/>
        </w:rPr>
      </w:pPr>
      <w:r>
        <w:rPr>
          <w:rFonts w:hint="eastAsia"/>
          <w:color w:val="auto"/>
        </w:rPr>
        <w:t xml:space="preserve">（三）★第100章 总则（基价类）</w:t>
      </w:r>
      <w:r/>
    </w:p>
    <w:tbl>
      <w:tblPr>
        <w:tblStyle w:val="818"/>
        <w:tblW w:w="8837" w:type="dxa"/>
        <w:tblInd w:w="96" w:type="dxa"/>
        <w:tblLayout w:type="autofit"/>
        <w:tblCellMar>
          <w:left w:w="108" w:type="dxa"/>
          <w:top w:w="0" w:type="dxa"/>
          <w:right w:w="108" w:type="dxa"/>
          <w:bottom w:w="0" w:type="dxa"/>
        </w:tblCellMar>
        <w:tblLook w:val="04A0" w:firstRow="1" w:lastRow="0" w:firstColumn="1" w:lastColumn="0" w:noHBand="0" w:noVBand="1"/>
      </w:tblPr>
      <w:tblGrid>
        <w:gridCol w:w="15"/>
        <w:gridCol w:w="1830"/>
        <w:gridCol w:w="536"/>
        <w:gridCol w:w="536"/>
        <w:gridCol w:w="536"/>
        <w:gridCol w:w="536"/>
        <w:gridCol w:w="1294"/>
        <w:gridCol w:w="1294"/>
        <w:gridCol w:w="2032"/>
        <w:gridCol w:w="10"/>
        <w:gridCol w:w="969"/>
      </w:tblGrid>
      <w:tr>
        <w:trPr>
          <w:gridAfter w:val="1"/>
          <w:trHeight w:val="456"/>
        </w:trPr>
        <w:tc>
          <w:tcPr>
            <w:gridSpan w:val="10"/>
            <w:tcBorders>
              <w:top w:val="none" w:color="000000" w:sz="4" w:space="0"/>
              <w:left w:val="none" w:color="000000" w:sz="4" w:space="0"/>
              <w:bottom w:val="none" w:color="000000" w:sz="4" w:space="0"/>
              <w:right w:val="none" w:color="000000" w:sz="4" w:space="0"/>
            </w:tcBorders>
            <w:tcW w:w="8439" w:type="dxa"/>
            <w:vAlign w:val="center"/>
            <w:textDirection w:val="lrTb"/>
            <w:noWrap/>
          </w:tcPr>
          <w:p>
            <w:pPr>
              <w:jc w:val="both"/>
              <w:widowControl/>
              <w:rPr>
                <w:rFonts w:hint="eastAsia" w:ascii="宋体" w:hAnsi="宋体" w:cs="宋体"/>
                <w:b/>
                <w:bCs/>
                <w:color w:val="auto"/>
                <w:sz w:val="36"/>
                <w:szCs w:val="36"/>
                <w:highlight w:val="none"/>
                <w:lang w:bidi="ar"/>
              </w:rPr>
            </w:pPr>
            <w:r>
              <w:rPr>
                <w:rFonts w:hint="eastAsia" w:ascii="宋体" w:hAnsi="宋体" w:cs="宋体"/>
                <w:b/>
                <w:bCs/>
                <w:color w:val="auto"/>
                <w:sz w:val="36"/>
                <w:szCs w:val="36"/>
                <w:highlight w:val="none"/>
                <w:lang w:bidi="ar"/>
              </w:rPr>
            </w:r>
            <w:r/>
          </w:p>
          <w:p>
            <w:pPr>
              <w:jc w:val="center"/>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bidi="ar"/>
              </w:rPr>
              <w:t xml:space="preserve">第</w:t>
            </w:r>
            <w:r>
              <w:rPr>
                <w:rFonts w:ascii="Times New Roman" w:hAnsi="Times New Roman"/>
                <w:b/>
                <w:bCs/>
                <w:color w:val="auto"/>
                <w:sz w:val="36"/>
                <w:szCs w:val="36"/>
                <w:highlight w:val="none"/>
                <w:lang w:bidi="ar"/>
              </w:rPr>
              <w:t xml:space="preserve">100</w:t>
            </w:r>
            <w:r>
              <w:rPr>
                <w:rFonts w:hint="eastAsia" w:ascii="宋体" w:hAnsi="宋体" w:cs="宋体"/>
                <w:b/>
                <w:bCs/>
                <w:color w:val="auto"/>
                <w:sz w:val="36"/>
                <w:szCs w:val="36"/>
                <w:highlight w:val="none"/>
                <w:lang w:bidi="ar"/>
              </w:rPr>
              <w:t xml:space="preserve">章</w:t>
            </w:r>
            <w:r>
              <w:rPr>
                <w:rFonts w:ascii="Times New Roman" w:hAnsi="Times New Roman"/>
                <w:b/>
                <w:bCs/>
                <w:color w:val="auto"/>
                <w:sz w:val="36"/>
                <w:szCs w:val="36"/>
                <w:highlight w:val="none"/>
                <w:lang w:bidi="ar"/>
              </w:rPr>
              <w:t xml:space="preserve">  </w:t>
            </w:r>
            <w:r>
              <w:rPr>
                <w:rFonts w:hint="eastAsia" w:ascii="宋体" w:hAnsi="宋体" w:cs="宋体"/>
                <w:b/>
                <w:bCs/>
                <w:color w:val="auto"/>
                <w:sz w:val="36"/>
                <w:szCs w:val="36"/>
                <w:highlight w:val="none"/>
                <w:lang w:bidi="ar"/>
              </w:rPr>
              <w:t xml:space="preserve">总则（基价类）</w:t>
            </w:r>
            <w:r/>
          </w:p>
        </w:tc>
      </w:tr>
      <w:tr>
        <w:trPr>
          <w:gridAfter w:val="1"/>
          <w:trHeight w:val="500"/>
        </w:trPr>
        <w:tc>
          <w:tcPr>
            <w:gridSpan w:val="2"/>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标段号：</w:t>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widowControl/>
              <w:rPr>
                <w:rFonts w:ascii="Times New Roman" w:hAnsi="Times New Roman"/>
                <w:color w:val="auto"/>
                <w:sz w:val="20"/>
                <w:szCs w:val="20"/>
                <w:highlight w:val="none"/>
              </w:rPr>
            </w:pPr>
            <w:r>
              <w:rPr>
                <w:rFonts w:hint="eastAsia" w:ascii="宋体" w:hAnsi="宋体" w:cs="宋体"/>
                <w:color w:val="auto"/>
                <w:sz w:val="20"/>
                <w:szCs w:val="20"/>
                <w:highlight w:val="none"/>
                <w:lang w:bidi="ar"/>
              </w:rPr>
              <w:t xml:space="preserve">货币单位：人民币元</w:t>
            </w:r>
            <w:r/>
          </w:p>
        </w:tc>
      </w:tr>
      <w:tr>
        <w:trPr>
          <w:gridBefore w:val="1"/>
          <w:trHeight w:val="501"/>
        </w:trPr>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细目号</w:t>
            </w:r>
            <w:r/>
          </w:p>
        </w:tc>
        <w:tc>
          <w:tcPr>
            <w:gridSpan w:val="4"/>
            <w:shd w:val="clear" w:color="000000" w:fill="ffffff"/>
            <w:tcBorders>
              <w:top w:val="single" w:color="auto" w:sz="4" w:space="0"/>
              <w:left w:val="none" w:color="000000" w:sz="4" w:space="0"/>
              <w:bottom w:val="single" w:color="auto" w:sz="4" w:space="0"/>
              <w:right w:val="single" w:color="auto" w:sz="4" w:space="0"/>
            </w:tcBorders>
            <w:tcW w:w="344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细目名称</w:t>
            </w:r>
            <w:r/>
          </w:p>
        </w:tc>
        <w:tc>
          <w:tcPr>
            <w:shd w:val="clear" w:color="000000" w:fill="ffffff"/>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单价</w:t>
            </w:r>
            <w:r/>
          </w:p>
        </w:tc>
        <w:tc>
          <w:tcPr>
            <w:gridSpan w:val="2"/>
            <w:shd w:val="clear" w:color="000000" w:fill="ffffff"/>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金额</w:t>
            </w:r>
            <w:r>
              <w:rPr>
                <w:rFonts w:ascii="Times New Roman" w:hAnsi="Times New Roman"/>
                <w:b/>
                <w:bCs/>
                <w:color w:val="auto"/>
                <w:sz w:val="20"/>
                <w:szCs w:val="20"/>
                <w:highlight w:val="none"/>
              </w:rPr>
              <w:t xml:space="preserve">(</w:t>
            </w:r>
            <w:r>
              <w:rPr>
                <w:rFonts w:hint="eastAsia" w:ascii="宋体" w:hAnsi="宋体" w:cs="宋体"/>
                <w:b/>
                <w:bCs/>
                <w:color w:val="auto"/>
                <w:sz w:val="20"/>
                <w:szCs w:val="20"/>
                <w:highlight w:val="none"/>
              </w:rPr>
              <w:t xml:space="preserve">元）</w:t>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ZZJ-1</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县道</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保险费</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建筑一切险</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第三者责任险</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工伤保险费（最高投标限价的3</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，固定值）</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8</w:t>
            </w:r>
            <w:r>
              <w:rPr>
                <w:rFonts w:hint="eastAsia" w:ascii="Times New Roman" w:hAnsi="Times New Roman"/>
                <w:color w:val="auto"/>
                <w:sz w:val="20"/>
                <w:szCs w:val="20"/>
                <w:highlight w:val="none"/>
              </w:rPr>
              <w:t xml:space="preserve">100</w:t>
            </w:r>
            <w:r>
              <w:rPr>
                <w:rFonts w:ascii="Times New Roman" w:hAnsi="Times New Roman"/>
                <w:color w:val="auto"/>
                <w:sz w:val="20"/>
                <w:szCs w:val="20"/>
                <w:highlight w:val="none"/>
              </w:rPr>
              <w:t xml:space="preserve">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8</w:t>
            </w:r>
            <w:r>
              <w:rPr>
                <w:rFonts w:hint="eastAsia" w:ascii="Times New Roman" w:hAnsi="Times New Roman"/>
                <w:color w:val="auto"/>
                <w:sz w:val="20"/>
                <w:szCs w:val="20"/>
                <w:highlight w:val="none"/>
              </w:rPr>
              <w:t xml:space="preserve">100</w:t>
            </w:r>
            <w:r>
              <w:rPr>
                <w:rFonts w:ascii="Times New Roman" w:hAnsi="Times New Roman"/>
                <w:color w:val="auto"/>
                <w:sz w:val="20"/>
                <w:szCs w:val="20"/>
                <w:highlight w:val="none"/>
              </w:rPr>
              <w:t xml:space="preserve">0 </w:t>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公众责任险（固定值）</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80000.00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80000 </w:t>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-e</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雇主责任险</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管理费</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资料费</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环保费</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-03</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驻地建设费</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4"/>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gridBefore w:val="1"/>
          <w:trHeight w:val="501"/>
        </w:trPr>
        <w:tc>
          <w:tcPr>
            <w:gridSpan w:val="6"/>
            <w:shd w:val="clear" w:color="000000" w:fill="ffffff"/>
            <w:tcBorders>
              <w:top w:val="single" w:color="auto" w:sz="4" w:space="0"/>
              <w:left w:val="single" w:color="auto" w:sz="4" w:space="0"/>
              <w:bottom w:val="single" w:color="auto" w:sz="4" w:space="0"/>
              <w:right w:val="none" w:color="000000" w:sz="4" w:space="0"/>
            </w:tcBorders>
            <w:tcW w:w="5480"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100-1</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shd w:val="clear" w:color="000000" w:fill="ffffff"/>
            <w:tcBorders>
              <w:top w:val="single" w:color="auto" w:sz="4" w:space="0"/>
              <w:left w:val="none" w:color="000000" w:sz="4" w:space="0"/>
              <w:bottom w:val="single" w:color="auto" w:sz="4" w:space="0"/>
              <w:right w:val="none" w:color="000000" w:sz="4" w:space="0"/>
            </w:tcBorders>
            <w:tcW w:w="2320"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元</w:t>
            </w:r>
            <w:r/>
          </w:p>
        </w:tc>
      </w:tr>
    </w:tbl>
    <w:p>
      <w:pPr>
        <w:pStyle w:val="1140"/>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40"/>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40"/>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40"/>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40"/>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40"/>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809"/>
        <w:rPr>
          <w:color w:val="auto"/>
        </w:rPr>
      </w:pPr>
      <w:r>
        <w:rPr>
          <w:rFonts w:hint="eastAsia"/>
          <w:color w:val="auto"/>
        </w:rPr>
        <w:t xml:space="preserve">（四）★第200章 路基服务（基价类）</w:t>
      </w:r>
      <w:r/>
    </w:p>
    <w:tbl>
      <w:tblPr>
        <w:tblStyle w:val="818"/>
        <w:tblW w:w="8901" w:type="dxa"/>
        <w:tblInd w:w="108" w:type="dxa"/>
        <w:tblLayout w:type="autofit"/>
        <w:tblCellMar>
          <w:left w:w="108" w:type="dxa"/>
          <w:top w:w="0" w:type="dxa"/>
          <w:right w:w="108" w:type="dxa"/>
          <w:bottom w:w="0" w:type="dxa"/>
        </w:tblCellMar>
        <w:tblLook w:val="04A0" w:firstRow="1" w:lastRow="0" w:firstColumn="1" w:lastColumn="0" w:noHBand="0" w:noVBand="1"/>
      </w:tblPr>
      <w:tblGrid>
        <w:gridCol w:w="1020"/>
        <w:gridCol w:w="3162"/>
        <w:gridCol w:w="793"/>
        <w:gridCol w:w="1301"/>
        <w:gridCol w:w="795"/>
        <w:gridCol w:w="1830"/>
      </w:tblGrid>
      <w:tr>
        <w:trPr>
          <w:trHeight w:val="465"/>
        </w:trPr>
        <w:tc>
          <w:tcPr>
            <w:gridSpan w:val="6"/>
            <w:tcBorders>
              <w:top w:val="none" w:color="000000" w:sz="4" w:space="0"/>
              <w:left w:val="none" w:color="000000" w:sz="4" w:space="0"/>
              <w:bottom w:val="none" w:color="000000" w:sz="4" w:space="0"/>
              <w:right w:val="none" w:color="000000" w:sz="4" w:space="0"/>
            </w:tcBorders>
            <w:tcW w:w="8901" w:type="dxa"/>
            <w:vAlign w:val="center"/>
            <w:textDirection w:val="lrTb"/>
            <w:noWrap/>
          </w:tcPr>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w:t>
            </w:r>
            <w:r>
              <w:rPr>
                <w:rFonts w:ascii="Times New Roman" w:hAnsi="Times New Roman"/>
                <w:b/>
                <w:bCs/>
                <w:color w:val="auto"/>
                <w:sz w:val="36"/>
                <w:szCs w:val="36"/>
                <w:highlight w:val="none"/>
              </w:rPr>
              <w:t xml:space="preserve">200</w:t>
            </w:r>
            <w:r>
              <w:rPr>
                <w:rFonts w:hint="eastAsia" w:ascii="宋体" w:hAnsi="宋体" w:cs="宋体"/>
                <w:b/>
                <w:bCs/>
                <w:color w:val="auto"/>
                <w:sz w:val="36"/>
                <w:szCs w:val="36"/>
                <w:highlight w:val="none"/>
              </w:rPr>
              <w:t xml:space="preserve">章</w:t>
            </w:r>
            <w:r>
              <w:rPr>
                <w:rFonts w:ascii="Times New Roman" w:hAnsi="Times New Roman"/>
                <w:b/>
                <w:bCs/>
                <w:color w:val="auto"/>
                <w:sz w:val="36"/>
                <w:szCs w:val="36"/>
                <w:highlight w:val="none"/>
              </w:rPr>
              <w:t xml:space="preserve">   </w:t>
            </w:r>
            <w:r>
              <w:rPr>
                <w:rFonts w:hint="eastAsia" w:ascii="宋体" w:hAnsi="宋体" w:cs="宋体"/>
                <w:b/>
                <w:bCs/>
                <w:color w:val="auto"/>
                <w:sz w:val="36"/>
                <w:szCs w:val="36"/>
                <w:highlight w:val="none"/>
              </w:rPr>
              <w:t xml:space="preserve">路基服务（基价类）</w:t>
            </w:r>
            <w:r/>
          </w:p>
        </w:tc>
      </w:tr>
      <w:tr>
        <w:trPr>
          <w:trHeight w:val="501"/>
        </w:trPr>
        <w:tc>
          <w:tcPr>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none" w:color="000000" w:sz="4" w:space="0"/>
              <w:bottom w:val="single" w:color="auto" w:sz="4" w:space="0"/>
              <w:right w:val="none" w:color="000000" w:sz="4" w:space="0"/>
            </w:tcBorders>
            <w:tcW w:w="3162" w:type="dxa"/>
            <w:vAlign w:val="center"/>
            <w:textDirection w:val="lrTb"/>
            <w:noWrap/>
          </w:tcPr>
          <w:p>
            <w:pPr>
              <w:jc w:val="left"/>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tcBorders>
              <w:top w:val="none" w:color="000000" w:sz="4" w:space="0"/>
              <w:left w:val="none" w:color="000000" w:sz="4" w:space="0"/>
              <w:bottom w:val="single" w:color="auto" w:sz="4" w:space="0"/>
              <w:right w:val="none" w:color="000000" w:sz="4" w:space="0"/>
            </w:tcBorders>
            <w:tcW w:w="793"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301"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795"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细目号</w:t>
            </w:r>
            <w:r/>
          </w:p>
        </w:tc>
        <w:tc>
          <w:tcPr>
            <w:tcBorders>
              <w:top w:val="none" w:color="000000" w:sz="4" w:space="0"/>
              <w:left w:val="none" w:color="000000" w:sz="4" w:space="0"/>
              <w:bottom w:val="single" w:color="auto" w:sz="4" w:space="0"/>
              <w:right w:val="single" w:color="auto" w:sz="4" w:space="0"/>
            </w:tcBorders>
            <w:tcW w:w="3162"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称</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单位</w:t>
            </w:r>
            <w:r/>
          </w:p>
        </w:tc>
        <w:tc>
          <w:tcPr>
            <w:tcBorders>
              <w:top w:val="none" w:color="000000" w:sz="4" w:space="0"/>
              <w:left w:val="none" w:color="000000" w:sz="4" w:space="0"/>
              <w:bottom w:val="single" w:color="auto" w:sz="4" w:space="0"/>
              <w:right w:val="single" w:color="auto" w:sz="4" w:space="0"/>
            </w:tcBorders>
            <w:tcW w:w="1301"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数量</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单价</w:t>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合价</w:t>
            </w:r>
            <w:r/>
          </w:p>
        </w:tc>
      </w:tr>
      <w:tr>
        <w:trPr>
          <w:trHeight w:val="501"/>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LJJ-1</w:t>
            </w:r>
            <w:r/>
          </w:p>
        </w:tc>
        <w:tc>
          <w:tcPr>
            <w:tcBorders>
              <w:top w:val="none" w:color="000000" w:sz="4" w:space="0"/>
              <w:left w:val="none" w:color="000000" w:sz="4" w:space="0"/>
              <w:bottom w:val="single" w:color="auto" w:sz="4" w:space="0"/>
              <w:right w:val="single" w:color="auto" w:sz="4" w:space="0"/>
            </w:tcBorders>
            <w:tcW w:w="3162" w:type="dxa"/>
            <w:vAlign w:val="center"/>
            <w:textDirection w:val="lrTb"/>
            <w:noWrap w:val="false"/>
          </w:tcPr>
          <w:p>
            <w:pPr>
              <w:jc w:val="lef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县道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301"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tcBorders>
              <w:top w:val="none" w:color="000000" w:sz="4" w:space="0"/>
              <w:left w:val="none" w:color="000000" w:sz="4" w:space="0"/>
              <w:bottom w:val="single" w:color="auto" w:sz="4" w:space="0"/>
              <w:right w:val="single" w:color="auto" w:sz="4" w:space="0"/>
            </w:tcBorders>
            <w:tcW w:w="316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清除路肩杂物（交通段）服务</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km</w:t>
            </w:r>
            <w:r/>
          </w:p>
        </w:tc>
        <w:tc>
          <w:tcPr>
            <w:tcBorders>
              <w:top w:val="none" w:color="000000" w:sz="4" w:space="0"/>
              <w:left w:val="none" w:color="000000" w:sz="4" w:space="0"/>
              <w:bottom w:val="single" w:color="auto" w:sz="4" w:space="0"/>
              <w:right w:val="single" w:color="auto" w:sz="4" w:space="0"/>
            </w:tcBorders>
            <w:tcW w:w="1301"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40072.968 </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tcBorders>
              <w:top w:val="none" w:color="000000" w:sz="4" w:space="0"/>
              <w:left w:val="none" w:color="000000" w:sz="4" w:space="0"/>
              <w:bottom w:val="single" w:color="auto" w:sz="4" w:space="0"/>
              <w:right w:val="single" w:color="auto" w:sz="4" w:space="0"/>
            </w:tcBorders>
            <w:tcW w:w="316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清除路肩杂物（共线段）服务</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km</w:t>
            </w:r>
            <w:r/>
          </w:p>
        </w:tc>
        <w:tc>
          <w:tcPr>
            <w:tcBorders>
              <w:top w:val="none" w:color="000000" w:sz="4" w:space="0"/>
              <w:left w:val="none" w:color="000000" w:sz="4" w:space="0"/>
              <w:bottom w:val="single" w:color="auto" w:sz="4" w:space="0"/>
              <w:right w:val="single" w:color="auto" w:sz="4" w:space="0"/>
            </w:tcBorders>
            <w:tcW w:w="1301"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9938.344 </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3"/>
            <w:tcBorders>
              <w:top w:val="single" w:color="auto" w:sz="4" w:space="0"/>
              <w:left w:val="single" w:color="auto" w:sz="4" w:space="0"/>
              <w:bottom w:val="single" w:color="auto" w:sz="4" w:space="0"/>
              <w:right w:val="none" w:color="000000" w:sz="4" w:space="0"/>
            </w:tcBorders>
            <w:tcW w:w="4975"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200-1</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tcBorders>
              <w:top w:val="single" w:color="auto" w:sz="4" w:space="0"/>
              <w:left w:val="none" w:color="000000" w:sz="4" w:space="0"/>
              <w:bottom w:val="single" w:color="auto" w:sz="4" w:space="0"/>
              <w:right w:val="none" w:color="000000" w:sz="4" w:space="0"/>
            </w:tcBorders>
            <w:tcW w:w="2096"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元</w:t>
            </w:r>
            <w:r/>
          </w:p>
        </w:tc>
      </w:tr>
    </w:tbl>
    <w:p>
      <w:pPr>
        <w:pStyle w:val="1140"/>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tbl>
      <w:tblPr>
        <w:tblStyle w:val="818"/>
        <w:tblW w:w="9241" w:type="dxa"/>
        <w:tblInd w:w="108" w:type="dxa"/>
        <w:tblLayout w:type="autofit"/>
        <w:tblCellMar>
          <w:left w:w="108" w:type="dxa"/>
          <w:top w:w="0" w:type="dxa"/>
          <w:right w:w="108" w:type="dxa"/>
          <w:bottom w:w="0" w:type="dxa"/>
        </w:tblCellMar>
        <w:tblLook w:val="04A0" w:firstRow="1" w:lastRow="0" w:firstColumn="1" w:lastColumn="0" w:noHBand="0" w:noVBand="1"/>
      </w:tblPr>
      <w:tblGrid>
        <w:gridCol w:w="1020"/>
        <w:gridCol w:w="2951"/>
        <w:gridCol w:w="171"/>
        <w:gridCol w:w="576"/>
        <w:gridCol w:w="224"/>
        <w:gridCol w:w="976"/>
        <w:gridCol w:w="478"/>
        <w:gridCol w:w="494"/>
        <w:gridCol w:w="521"/>
        <w:gridCol w:w="1309"/>
        <w:gridCol w:w="521"/>
      </w:tblGrid>
      <w:tr>
        <w:trPr>
          <w:trHeight w:val="465"/>
        </w:trPr>
        <w:tc>
          <w:tcPr>
            <w:gridSpan w:val="11"/>
            <w:tcBorders>
              <w:top w:val="none" w:color="000000" w:sz="4" w:space="0"/>
              <w:left w:val="none" w:color="000000" w:sz="4" w:space="0"/>
              <w:bottom w:val="none" w:color="000000" w:sz="4" w:space="0"/>
              <w:right w:val="none" w:color="000000" w:sz="4" w:space="0"/>
            </w:tcBorders>
            <w:tcW w:w="9241" w:type="dxa"/>
            <w:vAlign w:val="center"/>
            <w:textDirection w:val="lrTb"/>
            <w:noWrap/>
          </w:tcPr>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09"/>
              <w:rPr>
                <w:color w:val="auto"/>
              </w:rPr>
            </w:pPr>
            <w:r>
              <w:rPr>
                <w:rFonts w:hint="eastAsia"/>
                <w:color w:val="auto"/>
              </w:rPr>
              <w:t xml:space="preserve">（五）★第200章 路基服务（单价类）</w:t>
            </w:r>
            <w:r/>
          </w:p>
          <w:p>
            <w:pPr>
              <w:jc w:val="center"/>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w:t>
            </w:r>
            <w:r>
              <w:rPr>
                <w:rFonts w:ascii="Times New Roman" w:hAnsi="Times New Roman"/>
                <w:b/>
                <w:bCs/>
                <w:color w:val="auto"/>
                <w:sz w:val="36"/>
                <w:szCs w:val="36"/>
                <w:highlight w:val="none"/>
              </w:rPr>
              <w:t xml:space="preserve">200</w:t>
            </w:r>
            <w:r>
              <w:rPr>
                <w:rFonts w:hint="eastAsia" w:ascii="宋体" w:hAnsi="宋体" w:cs="宋体"/>
                <w:b/>
                <w:bCs/>
                <w:color w:val="auto"/>
                <w:sz w:val="36"/>
                <w:szCs w:val="36"/>
                <w:highlight w:val="none"/>
              </w:rPr>
              <w:t xml:space="preserve">章</w:t>
            </w:r>
            <w:r>
              <w:rPr>
                <w:rFonts w:ascii="Times New Roman" w:hAnsi="Times New Roman"/>
                <w:b/>
                <w:bCs/>
                <w:color w:val="auto"/>
                <w:sz w:val="36"/>
                <w:szCs w:val="36"/>
                <w:highlight w:val="none"/>
              </w:rPr>
              <w:t xml:space="preserve">   </w:t>
            </w:r>
            <w:r>
              <w:rPr>
                <w:rFonts w:hint="eastAsia" w:ascii="宋体" w:hAnsi="宋体" w:cs="宋体"/>
                <w:b/>
                <w:bCs/>
                <w:color w:val="auto"/>
                <w:sz w:val="36"/>
                <w:szCs w:val="36"/>
                <w:highlight w:val="none"/>
              </w:rPr>
              <w:t xml:space="preserve">路基服务（单价类）</w:t>
            </w:r>
            <w:r/>
          </w:p>
        </w:tc>
      </w:tr>
      <w:tr>
        <w:trPr>
          <w:trHeight w:val="501"/>
        </w:trPr>
        <w:tc>
          <w:tcPr>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none" w:color="000000" w:sz="4" w:space="0"/>
            </w:tcBorders>
            <w:tcW w:w="3122"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80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1454"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1015"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细目号</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称</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单价</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合价</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LJD-1</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县道</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ascii="Times New Roman" w:hAnsi="Times New Roman"/>
                <w:color w:val="auto"/>
                <w:sz w:val="18"/>
                <w:szCs w:val="18"/>
                <w:highlight w:val="none"/>
              </w:rPr>
            </w:pPr>
            <w:r>
              <w:rPr>
                <w:rFonts w:ascii="Times New Roman" w:hAnsi="Times New Roman"/>
                <w:color w:val="auto"/>
                <w:sz w:val="18"/>
                <w:szCs w:val="18"/>
                <w:highlight w:val="none"/>
              </w:rPr>
              <w:t xml:space="preserve">　</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道路挡墙修理筑砌服务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道路挡墙修理筑砌服务（</w:t>
            </w:r>
            <w:r>
              <w:rPr>
                <w:rFonts w:ascii="Times New Roman" w:hAnsi="Times New Roman"/>
                <w:color w:val="auto"/>
                <w:sz w:val="20"/>
                <w:szCs w:val="20"/>
                <w:highlight w:val="none"/>
              </w:rPr>
              <w:t xml:space="preserve">M7.5</w:t>
            </w:r>
            <w:r>
              <w:rPr>
                <w:rFonts w:hint="eastAsia" w:ascii="宋体" w:hAnsi="宋体" w:cs="宋体"/>
                <w:color w:val="auto"/>
                <w:sz w:val="20"/>
                <w:szCs w:val="20"/>
                <w:highlight w:val="none"/>
              </w:rPr>
              <w:t xml:space="preserve">浆切片石）</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道路挡墙修理筑砌服务（</w:t>
            </w:r>
            <w:r>
              <w:rPr>
                <w:rFonts w:ascii="Times New Roman" w:hAnsi="Times New Roman"/>
                <w:color w:val="auto"/>
                <w:sz w:val="20"/>
                <w:szCs w:val="20"/>
                <w:highlight w:val="none"/>
              </w:rPr>
              <w:t xml:space="preserve">C25</w:t>
            </w:r>
            <w:r>
              <w:rPr>
                <w:rFonts w:hint="eastAsia" w:ascii="宋体" w:hAnsi="宋体" w:cs="宋体"/>
                <w:color w:val="auto"/>
                <w:sz w:val="20"/>
                <w:szCs w:val="20"/>
                <w:highlight w:val="none"/>
              </w:rPr>
              <w:t xml:space="preserve">混凝土）</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道路挡墙修理筑砌服务（</w:t>
            </w:r>
            <w:r>
              <w:rPr>
                <w:rFonts w:ascii="Times New Roman" w:hAnsi="Times New Roman"/>
                <w:color w:val="auto"/>
                <w:sz w:val="20"/>
                <w:szCs w:val="20"/>
                <w:highlight w:val="none"/>
              </w:rPr>
              <w:t xml:space="preserve">M10</w:t>
            </w:r>
            <w:r>
              <w:rPr>
                <w:rFonts w:hint="eastAsia" w:ascii="宋体" w:hAnsi="宋体" w:cs="宋体"/>
                <w:color w:val="auto"/>
                <w:sz w:val="20"/>
                <w:szCs w:val="20"/>
                <w:highlight w:val="none"/>
              </w:rPr>
              <w:t xml:space="preserve">砖砌）</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边沟排水沟修理筑砌服务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边沟排水沟修理筑砌服务（</w:t>
            </w:r>
            <w:r>
              <w:rPr>
                <w:rFonts w:ascii="Times New Roman" w:hAnsi="Times New Roman"/>
                <w:color w:val="auto"/>
                <w:sz w:val="20"/>
                <w:szCs w:val="20"/>
                <w:highlight w:val="none"/>
              </w:rPr>
              <w:t xml:space="preserve">M10</w:t>
            </w:r>
            <w:r>
              <w:rPr>
                <w:rFonts w:hint="eastAsia" w:ascii="宋体" w:hAnsi="宋体" w:cs="宋体"/>
                <w:color w:val="auto"/>
                <w:sz w:val="20"/>
                <w:szCs w:val="20"/>
                <w:highlight w:val="none"/>
              </w:rPr>
              <w:t xml:space="preserve">砖砌）</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边沟排水沟修理筑砌服务（</w:t>
            </w:r>
            <w:r>
              <w:rPr>
                <w:rFonts w:ascii="Times New Roman" w:hAnsi="Times New Roman"/>
                <w:color w:val="auto"/>
                <w:sz w:val="20"/>
                <w:szCs w:val="20"/>
                <w:highlight w:val="none"/>
              </w:rPr>
              <w:t xml:space="preserve">M7.5</w:t>
            </w:r>
            <w:r>
              <w:rPr>
                <w:rFonts w:hint="eastAsia" w:ascii="宋体" w:hAnsi="宋体" w:cs="宋体"/>
                <w:color w:val="auto"/>
                <w:sz w:val="20"/>
                <w:szCs w:val="20"/>
                <w:highlight w:val="none"/>
              </w:rPr>
              <w:t xml:space="preserve">浆切片石）</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80.00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边沟排水沟修理筑砌服务（插板）</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300.00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砖砌边沟排水沟粉刷服务（M10砂浆，含沟面清理）</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-03</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护坡修理筑砌服务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护坡修理筑砌服务（</w:t>
            </w:r>
            <w:r>
              <w:rPr>
                <w:rFonts w:ascii="Times New Roman" w:hAnsi="Times New Roman"/>
                <w:color w:val="auto"/>
                <w:sz w:val="20"/>
                <w:szCs w:val="20"/>
                <w:highlight w:val="none"/>
              </w:rPr>
              <w:t xml:space="preserve">M7.5</w:t>
            </w:r>
            <w:r>
              <w:rPr>
                <w:rFonts w:hint="eastAsia" w:ascii="宋体" w:hAnsi="宋体" w:cs="宋体"/>
                <w:color w:val="auto"/>
                <w:sz w:val="20"/>
                <w:szCs w:val="20"/>
                <w:highlight w:val="none"/>
              </w:rPr>
              <w:t xml:space="preserve">浆切片石）</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护坡修理筑砌服务（</w:t>
            </w:r>
            <w:r>
              <w:rPr>
                <w:rFonts w:ascii="Times New Roman" w:hAnsi="Times New Roman"/>
                <w:color w:val="auto"/>
                <w:sz w:val="20"/>
                <w:szCs w:val="20"/>
                <w:highlight w:val="none"/>
              </w:rPr>
              <w:t xml:space="preserve">M10</w:t>
            </w:r>
            <w:r>
              <w:rPr>
                <w:rFonts w:hint="eastAsia" w:ascii="宋体" w:hAnsi="宋体" w:cs="宋体"/>
                <w:color w:val="auto"/>
                <w:sz w:val="20"/>
                <w:szCs w:val="20"/>
                <w:highlight w:val="none"/>
              </w:rPr>
              <w:t xml:space="preserve">砖砌）</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护坡修理筑砌服务（</w:t>
            </w:r>
            <w:r>
              <w:rPr>
                <w:rFonts w:ascii="Times New Roman" w:hAnsi="Times New Roman"/>
                <w:color w:val="auto"/>
                <w:sz w:val="20"/>
                <w:szCs w:val="20"/>
                <w:highlight w:val="none"/>
              </w:rPr>
              <w:t xml:space="preserve">C25</w:t>
            </w:r>
            <w:r>
              <w:rPr>
                <w:rFonts w:hint="eastAsia" w:ascii="宋体" w:hAnsi="宋体" w:cs="宋体"/>
                <w:color w:val="auto"/>
                <w:sz w:val="20"/>
                <w:szCs w:val="20"/>
                <w:highlight w:val="none"/>
              </w:rPr>
              <w:t xml:space="preserve">混凝土）</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框格梁护坡维修服务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-04</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挡墙、护坡破面勾缝服务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-05</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混凝土压顶维修服务（</w:t>
            </w:r>
            <w:r>
              <w:rPr>
                <w:rFonts w:ascii="Times New Roman" w:hAnsi="Times New Roman"/>
                <w:color w:val="auto"/>
                <w:sz w:val="20"/>
                <w:szCs w:val="20"/>
                <w:highlight w:val="none"/>
              </w:rPr>
              <w:t xml:space="preserve">C30</w:t>
            </w:r>
            <w:r>
              <w:rPr>
                <w:rFonts w:hint="eastAsia" w:ascii="宋体" w:hAnsi="宋体" w:cs="宋体"/>
                <w:color w:val="auto"/>
                <w:sz w:val="20"/>
                <w:szCs w:val="20"/>
                <w:highlight w:val="none"/>
              </w:rPr>
              <w:t xml:space="preserve">砼）</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-06</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路缘石维修更换服务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水泥砼路缘石更换服务</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含拆运</w:t>
            </w:r>
            <w:r>
              <w:rPr>
                <w:rFonts w:ascii="Times New Roman" w:hAnsi="Times New Roman"/>
                <w:color w:val="auto"/>
                <w:sz w:val="20"/>
                <w:szCs w:val="20"/>
                <w:highlight w:val="none"/>
              </w:rPr>
              <w:t xml:space="preserve">)</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大理石路缘石更换服务</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含拆运</w:t>
            </w:r>
            <w:r>
              <w:rPr>
                <w:rFonts w:ascii="Times New Roman" w:hAnsi="Times New Roman"/>
                <w:color w:val="auto"/>
                <w:sz w:val="20"/>
                <w:szCs w:val="20"/>
                <w:highlight w:val="none"/>
              </w:rPr>
              <w:t xml:space="preserve">)</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石路缘石扶正服务（含辅材）</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-09</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更换雨水篦子服务（综合）</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更换雨水篦子服务（重型水泥预制篦子）</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150.00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更换雨水篦子服务（重型球墨铸铁篦子）</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更换雨水井盖服务（综合）</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更换雨水井盖服务</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重型普通水泥预制井盖）</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更换雨水井盖服务</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重型球墨铸铁井盖座）</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井圈周边路面修复服务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座</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-11</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边沟、排水沟、截水沟、盲沟清淤疏通服务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边沟、排水沟、截水沟清淤服务（有盖板）含外运</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边沟、排水沟、截水沟清淤服务（无盖板）含外运</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6000.00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-12</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边沟盖板更换服务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边沟盖板更换服务（重型盖板）</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边沟盖板更换服务（普通盖板）</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400.00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边沟盖板跟换服务（90*50*15cm双层配筋）</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-13</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路肩边坡整修服务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降路肩服务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平整边坡服务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路肩边坡清表服务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路肩翻挖整修服务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25000</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-e</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边坡翻挖整修服务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-14</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土路肩、边坡培土服务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-15</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开挖土边沟、截水沟、排水沟服务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-16</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清理边沟、排水沟、截水沟服务（交通段）</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3999060.00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-17</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清理边沟、排水沟、截水沟服务（共线段）</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416000.00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-18</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清除杂草服务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路肩割草服务（交通段）</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5112568.00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路肩割草服务（共线段）</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320000.00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shd w:val="clear" w:color="000000" w:fill="ffffff"/>
            <w:tcBorders>
              <w:top w:val="none" w:color="000000" w:sz="4" w:space="0"/>
              <w:left w:val="none" w:color="000000" w:sz="4" w:space="0"/>
              <w:bottom w:val="single" w:color="auto" w:sz="4" w:space="0"/>
              <w:right w:val="single" w:color="auto" w:sz="4" w:space="0"/>
            </w:tcBorders>
            <w:tcW w:w="312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边坡割草服务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45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1020540.00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5"/>
            <w:shd w:val="clear" w:color="000000" w:fill="ffffff"/>
            <w:tcBorders>
              <w:top w:val="single" w:color="auto" w:sz="4" w:space="0"/>
              <w:left w:val="single" w:color="auto" w:sz="4" w:space="0"/>
              <w:bottom w:val="single" w:color="auto" w:sz="4" w:space="0"/>
              <w:right w:val="none" w:color="000000" w:sz="4" w:space="0"/>
            </w:tcBorders>
            <w:tcW w:w="4942"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200-2</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4"/>
            <w:shd w:val="clear" w:color="000000" w:fill="ffffff"/>
            <w:tcBorders>
              <w:top w:val="single" w:color="auto" w:sz="4" w:space="0"/>
              <w:left w:val="none" w:color="000000" w:sz="4" w:space="0"/>
              <w:bottom w:val="single" w:color="auto" w:sz="4" w:space="0"/>
              <w:right w:val="none" w:color="000000" w:sz="4" w:space="0"/>
            </w:tcBorders>
            <w:tcW w:w="2469"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元</w:t>
            </w:r>
            <w:r/>
          </w:p>
        </w:tc>
      </w:tr>
      <w:tr>
        <w:trPr>
          <w:gridAfter w:val="1"/>
          <w:trHeight w:val="465"/>
        </w:trPr>
        <w:tc>
          <w:tcPr>
            <w:gridSpan w:val="10"/>
            <w:shd w:val="clear" w:color="000000" w:fill="ffffff"/>
            <w:tcBorders>
              <w:top w:val="none" w:color="000000" w:sz="4" w:space="0"/>
              <w:left w:val="none" w:color="000000" w:sz="4" w:space="0"/>
              <w:bottom w:val="none" w:color="000000" w:sz="4" w:space="0"/>
              <w:right w:val="none" w:color="000000" w:sz="4" w:space="0"/>
            </w:tcBorders>
            <w:tcW w:w="8720" w:type="dxa"/>
            <w:vAlign w:val="center"/>
            <w:textDirection w:val="lrTb"/>
            <w:noWrap/>
          </w:tcPr>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09"/>
              <w:rPr>
                <w:color w:val="auto"/>
              </w:rPr>
            </w:pPr>
            <w:r>
              <w:rPr>
                <w:rFonts w:hint="eastAsia"/>
                <w:color w:val="auto"/>
              </w:rPr>
              <w:t xml:space="preserve">（六）★第300章 路面服务（基价类）</w:t>
            </w:r>
            <w:r/>
          </w:p>
          <w:p>
            <w:pPr>
              <w:jc w:val="center"/>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w:t>
            </w:r>
            <w:r>
              <w:rPr>
                <w:rFonts w:ascii="Times New Roman" w:hAnsi="Times New Roman"/>
                <w:b/>
                <w:bCs/>
                <w:color w:val="auto"/>
                <w:sz w:val="36"/>
                <w:szCs w:val="36"/>
                <w:highlight w:val="none"/>
              </w:rPr>
              <w:t xml:space="preserve">300</w:t>
            </w:r>
            <w:r>
              <w:rPr>
                <w:rFonts w:hint="eastAsia" w:ascii="宋体" w:hAnsi="宋体" w:cs="宋体"/>
                <w:b/>
                <w:bCs/>
                <w:color w:val="auto"/>
                <w:sz w:val="36"/>
                <w:szCs w:val="36"/>
                <w:highlight w:val="none"/>
              </w:rPr>
              <w:t xml:space="preserve">章</w:t>
            </w:r>
            <w:r>
              <w:rPr>
                <w:rFonts w:ascii="Times New Roman" w:hAnsi="Times New Roman"/>
                <w:b/>
                <w:bCs/>
                <w:color w:val="auto"/>
                <w:sz w:val="36"/>
                <w:szCs w:val="36"/>
                <w:highlight w:val="none"/>
              </w:rPr>
              <w:t xml:space="preserve">   </w:t>
            </w:r>
            <w:r>
              <w:rPr>
                <w:rFonts w:hint="eastAsia" w:ascii="宋体" w:hAnsi="宋体" w:cs="宋体"/>
                <w:b/>
                <w:bCs/>
                <w:color w:val="auto"/>
                <w:sz w:val="36"/>
                <w:szCs w:val="36"/>
                <w:highlight w:val="none"/>
              </w:rPr>
              <w:t xml:space="preserve">路面服务（基价类）</w:t>
            </w:r>
            <w:r/>
          </w:p>
        </w:tc>
      </w:tr>
      <w:tr>
        <w:trPr>
          <w:gridAfter w:val="1"/>
          <w:trHeight w:val="501"/>
        </w:trPr>
        <w:tc>
          <w:tcPr>
            <w:shd w:val="clear" w:color="000000" w:fill="ffffff"/>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标段号：</w:t>
            </w:r>
            <w:r/>
          </w:p>
        </w:tc>
        <w:tc>
          <w:tcPr>
            <w:shd w:val="clear" w:color="000000" w:fill="ffffff"/>
            <w:tcBorders>
              <w:top w:val="none" w:color="000000" w:sz="4" w:space="0"/>
              <w:left w:val="none" w:color="000000" w:sz="4" w:space="0"/>
              <w:bottom w:val="single" w:color="auto" w:sz="4" w:space="0"/>
              <w:right w:val="none" w:color="000000" w:sz="4" w:space="0"/>
            </w:tcBorders>
            <w:tcW w:w="2951" w:type="dxa"/>
            <w:vAlign w:val="center"/>
            <w:textDirection w:val="lrTb"/>
            <w:noWrap/>
          </w:tcPr>
          <w:p>
            <w:pPr>
              <w:jc w:val="left"/>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none" w:color="000000" w:sz="4" w:space="0"/>
            </w:tcBorders>
            <w:tcW w:w="747"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none" w:color="000000" w:sz="4" w:space="0"/>
            </w:tcBorders>
            <w:tcW w:w="120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none" w:color="000000" w:sz="4" w:space="0"/>
            </w:tcBorders>
            <w:tcW w:w="972"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货币单位：人民币元</w:t>
            </w:r>
            <w:r/>
          </w:p>
        </w:tc>
      </w:tr>
      <w:tr>
        <w:trPr>
          <w:gridAfter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细目号</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称</w:t>
            </w:r>
            <w:r/>
          </w:p>
        </w:tc>
        <w:tc>
          <w:tcPr>
            <w:gridSpan w:val="2"/>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gridSpan w:val="2"/>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gridSpan w:val="2"/>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单价</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合价</w:t>
            </w:r>
            <w:r/>
          </w:p>
        </w:tc>
      </w:tr>
      <w:tr>
        <w:trPr>
          <w:gridAfter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LMJ-1</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县道</w:t>
            </w:r>
            <w:r/>
          </w:p>
        </w:tc>
        <w:tc>
          <w:tcPr>
            <w:gridSpan w:val="2"/>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gridAfter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路面保洁服务</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含桥面</w:t>
            </w:r>
            <w:r>
              <w:rPr>
                <w:rFonts w:ascii="Times New Roman" w:hAnsi="Times New Roman"/>
                <w:color w:val="auto"/>
                <w:sz w:val="20"/>
                <w:szCs w:val="20"/>
                <w:highlight w:val="none"/>
              </w:rPr>
              <w:t xml:space="preserve">)</w:t>
            </w:r>
            <w:r/>
          </w:p>
        </w:tc>
        <w:tc>
          <w:tcPr>
            <w:gridSpan w:val="2"/>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gridAfter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人工清扫服务（交通段）</w:t>
            </w:r>
            <w:r/>
          </w:p>
        </w:tc>
        <w:tc>
          <w:tcPr>
            <w:gridSpan w:val="2"/>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km</w:t>
            </w:r>
            <w:r/>
          </w:p>
        </w:tc>
        <w:tc>
          <w:tcPr>
            <w:gridSpan w:val="2"/>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57382.628 </w:t>
            </w:r>
            <w:r/>
          </w:p>
        </w:tc>
        <w:tc>
          <w:tcPr>
            <w:gridSpan w:val="2"/>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After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人工清扫服务（共线段）</w:t>
            </w:r>
            <w:r/>
          </w:p>
        </w:tc>
        <w:tc>
          <w:tcPr>
            <w:gridSpan w:val="2"/>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km</w:t>
            </w:r>
            <w:r/>
          </w:p>
        </w:tc>
        <w:tc>
          <w:tcPr>
            <w:gridSpan w:val="2"/>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9938.344 </w:t>
            </w:r>
            <w:r/>
          </w:p>
        </w:tc>
        <w:tc>
          <w:tcPr>
            <w:gridSpan w:val="2"/>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After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机械清扫，无中分带服务（交通段）</w:t>
            </w:r>
            <w:r/>
          </w:p>
        </w:tc>
        <w:tc>
          <w:tcPr>
            <w:gridSpan w:val="2"/>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km</w:t>
            </w:r>
            <w:r/>
          </w:p>
        </w:tc>
        <w:tc>
          <w:tcPr>
            <w:gridSpan w:val="2"/>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24097.424 </w:t>
            </w:r>
            <w:r/>
          </w:p>
        </w:tc>
        <w:tc>
          <w:tcPr>
            <w:gridSpan w:val="2"/>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After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机械清扫，无中分带服务（共线段）</w:t>
            </w:r>
            <w:r/>
          </w:p>
        </w:tc>
        <w:tc>
          <w:tcPr>
            <w:gridSpan w:val="2"/>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km</w:t>
            </w:r>
            <w:r/>
          </w:p>
        </w:tc>
        <w:tc>
          <w:tcPr>
            <w:gridSpan w:val="2"/>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2256.488 </w:t>
            </w:r>
            <w:r/>
          </w:p>
        </w:tc>
        <w:tc>
          <w:tcPr>
            <w:gridSpan w:val="2"/>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After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-e</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机械清扫，有中分带服务（交通段）</w:t>
            </w:r>
            <w:r/>
          </w:p>
        </w:tc>
        <w:tc>
          <w:tcPr>
            <w:gridSpan w:val="2"/>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km</w:t>
            </w:r>
            <w:r/>
          </w:p>
        </w:tc>
        <w:tc>
          <w:tcPr>
            <w:gridSpan w:val="2"/>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5235.776 </w:t>
            </w:r>
            <w:r/>
          </w:p>
        </w:tc>
        <w:tc>
          <w:tcPr>
            <w:gridSpan w:val="2"/>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After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-f</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机械清扫，有中分带服务（共线段）</w:t>
            </w:r>
            <w:r/>
          </w:p>
        </w:tc>
        <w:tc>
          <w:tcPr>
            <w:gridSpan w:val="2"/>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km</w:t>
            </w:r>
            <w:r/>
          </w:p>
        </w:tc>
        <w:tc>
          <w:tcPr>
            <w:gridSpan w:val="2"/>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7681.856 </w:t>
            </w:r>
            <w:r/>
          </w:p>
        </w:tc>
        <w:tc>
          <w:tcPr>
            <w:gridSpan w:val="2"/>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After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-g</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冷补料路面坑洞修补服务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t</w:t>
            </w:r>
            <w:r/>
          </w:p>
        </w:tc>
        <w:tc>
          <w:tcPr>
            <w:gridSpan w:val="2"/>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After w:val="1"/>
          <w:trHeight w:val="501"/>
        </w:trPr>
        <w:tc>
          <w:tcPr>
            <w:gridSpan w:val="4"/>
            <w:shd w:val="clear" w:color="000000" w:fill="ffffff"/>
            <w:tcBorders>
              <w:top w:val="single" w:color="auto" w:sz="4" w:space="0"/>
              <w:left w:val="single" w:color="auto" w:sz="4" w:space="0"/>
              <w:bottom w:val="single" w:color="auto" w:sz="4" w:space="0"/>
              <w:right w:val="none" w:color="000000" w:sz="4" w:space="0"/>
            </w:tcBorders>
            <w:tcW w:w="4718"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300-1</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4"/>
            <w:shd w:val="clear" w:color="000000" w:fill="ffffff"/>
            <w:tcBorders>
              <w:top w:val="single" w:color="auto" w:sz="4" w:space="0"/>
              <w:left w:val="none" w:color="000000" w:sz="4" w:space="0"/>
              <w:bottom w:val="single" w:color="auto" w:sz="4" w:space="0"/>
              <w:right w:val="none" w:color="000000" w:sz="4" w:space="0"/>
            </w:tcBorders>
            <w:tcW w:w="2172"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元</w:t>
            </w:r>
            <w:r/>
          </w:p>
        </w:tc>
      </w:tr>
    </w:tbl>
    <w:p>
      <w:pPr>
        <w:pStyle w:val="1140"/>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tbl>
      <w:tblPr>
        <w:tblStyle w:val="818"/>
        <w:tblW w:w="8720" w:type="dxa"/>
        <w:tblInd w:w="108" w:type="dxa"/>
        <w:tblLayout w:type="autofit"/>
        <w:tblCellMar>
          <w:left w:w="108" w:type="dxa"/>
          <w:top w:w="0" w:type="dxa"/>
          <w:right w:w="108" w:type="dxa"/>
          <w:bottom w:w="0" w:type="dxa"/>
        </w:tblCellMar>
        <w:tblLook w:val="04A0" w:firstRow="1" w:lastRow="0" w:firstColumn="1" w:lastColumn="0" w:noHBand="0" w:noVBand="1"/>
      </w:tblPr>
      <w:tblGrid>
        <w:gridCol w:w="1020"/>
        <w:gridCol w:w="2951"/>
        <w:gridCol w:w="747"/>
        <w:gridCol w:w="1200"/>
        <w:gridCol w:w="972"/>
        <w:gridCol w:w="1830"/>
      </w:tblGrid>
      <w:tr>
        <w:trPr>
          <w:trHeight w:val="465"/>
        </w:trPr>
        <w:tc>
          <w:tcPr>
            <w:gridSpan w:val="6"/>
            <w:tcBorders>
              <w:top w:val="none" w:color="000000" w:sz="4" w:space="0"/>
              <w:left w:val="none" w:color="000000" w:sz="4" w:space="0"/>
              <w:bottom w:val="none" w:color="000000" w:sz="4" w:space="0"/>
              <w:right w:val="none" w:color="000000" w:sz="4" w:space="0"/>
            </w:tcBorders>
            <w:tcW w:w="8720" w:type="dxa"/>
            <w:vAlign w:val="center"/>
            <w:textDirection w:val="lrTb"/>
            <w:noWrap/>
          </w:tcPr>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09"/>
              <w:rPr>
                <w:rFonts w:ascii="宋体" w:hAnsi="宋体" w:cs="宋体"/>
                <w:b/>
                <w:bCs/>
                <w:color w:val="auto"/>
                <w:sz w:val="36"/>
                <w:szCs w:val="36"/>
                <w:highlight w:val="none"/>
              </w:rPr>
            </w:pPr>
            <w:r>
              <w:rPr>
                <w:rFonts w:hint="eastAsia"/>
                <w:color w:val="auto"/>
              </w:rPr>
              <w:t xml:space="preserve">（七）★第300章 路面服务（单价类）</w:t>
            </w:r>
            <w:r/>
          </w:p>
          <w:p>
            <w:pPr>
              <w:jc w:val="cente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w:t>
            </w:r>
            <w:r>
              <w:rPr>
                <w:rFonts w:ascii="Times New Roman" w:hAnsi="Times New Roman"/>
                <w:b/>
                <w:bCs/>
                <w:color w:val="auto"/>
                <w:sz w:val="36"/>
                <w:szCs w:val="36"/>
                <w:highlight w:val="none"/>
              </w:rPr>
              <w:t xml:space="preserve">300</w:t>
            </w:r>
            <w:r>
              <w:rPr>
                <w:rFonts w:hint="eastAsia" w:ascii="宋体" w:hAnsi="宋体" w:cs="宋体"/>
                <w:b/>
                <w:bCs/>
                <w:color w:val="auto"/>
                <w:sz w:val="36"/>
                <w:szCs w:val="36"/>
                <w:highlight w:val="none"/>
              </w:rPr>
              <w:t xml:space="preserve">章</w:t>
            </w:r>
            <w:r>
              <w:rPr>
                <w:rFonts w:ascii="Times New Roman" w:hAnsi="Times New Roman"/>
                <w:b/>
                <w:bCs/>
                <w:color w:val="auto"/>
                <w:sz w:val="36"/>
                <w:szCs w:val="36"/>
                <w:highlight w:val="none"/>
              </w:rPr>
              <w:t xml:space="preserve">   </w:t>
            </w:r>
            <w:r>
              <w:rPr>
                <w:rFonts w:hint="eastAsia" w:ascii="宋体" w:hAnsi="宋体" w:cs="宋体"/>
                <w:b/>
                <w:bCs/>
                <w:color w:val="auto"/>
                <w:sz w:val="36"/>
                <w:szCs w:val="36"/>
                <w:highlight w:val="none"/>
              </w:rPr>
              <w:t xml:space="preserve">路面服务（单价类）</w:t>
            </w:r>
            <w:r/>
          </w:p>
        </w:tc>
      </w:tr>
      <w:tr>
        <w:trPr>
          <w:trHeight w:val="501"/>
        </w:trPr>
        <w:tc>
          <w:tcPr>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tcBorders>
              <w:top w:val="none" w:color="000000" w:sz="4" w:space="0"/>
              <w:left w:val="none" w:color="000000" w:sz="4" w:space="0"/>
              <w:bottom w:val="single" w:color="auto" w:sz="4" w:space="0"/>
              <w:right w:val="none" w:color="000000" w:sz="4" w:space="0"/>
            </w:tcBorders>
            <w:tcW w:w="2951"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747"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20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972"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细目号</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称</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单价</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合价</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LMD-1</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县道</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18"/>
                <w:szCs w:val="18"/>
                <w:highlight w:val="none"/>
              </w:rPr>
            </w:pPr>
            <w:r>
              <w:rPr>
                <w:rFonts w:ascii="Times New Roman" w:hAnsi="Times New Roman"/>
                <w:color w:val="auto"/>
                <w:sz w:val="18"/>
                <w:szCs w:val="18"/>
                <w:highlight w:val="none"/>
              </w:rPr>
              <w:t xml:space="preserve">　</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基层病害修复服务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18"/>
                <w:szCs w:val="18"/>
                <w:highlight w:val="none"/>
              </w:rPr>
            </w:pPr>
            <w:r>
              <w:rPr>
                <w:rFonts w:ascii="Times New Roman" w:hAnsi="Times New Roman"/>
                <w:color w:val="auto"/>
                <w:sz w:val="18"/>
                <w:szCs w:val="18"/>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水稳基层处理服务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水泥砼修补路面基层服务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沥青路面病害修复服务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沥青路面铣刨服务（含弃运）</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1200.00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沥青路面坑槽、沉陷等病害修补服务（切割修补）</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900.00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沥青路面裂缝机械扩缝填缝料修补服务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100000.00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下封层服务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2000.00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-e</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粘层油服务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20000.00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-f</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Sup-13</w:t>
            </w:r>
            <w:r>
              <w:rPr>
                <w:rFonts w:hint="eastAsia" w:ascii="宋体" w:hAnsi="宋体"/>
                <w:color w:val="auto"/>
                <w:sz w:val="20"/>
                <w:szCs w:val="20"/>
                <w:highlight w:val="none"/>
              </w:rPr>
              <w:t xml:space="preserve">沥青砼加铺服务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1000.00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-g</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Sup-20</w:t>
            </w:r>
            <w:r>
              <w:rPr>
                <w:rFonts w:hint="eastAsia" w:ascii="宋体" w:hAnsi="宋体"/>
                <w:color w:val="auto"/>
                <w:sz w:val="20"/>
                <w:szCs w:val="20"/>
                <w:highlight w:val="none"/>
              </w:rPr>
              <w:t xml:space="preserve">沥青砼回填服务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120.00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-h</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冷补料路面坑洞修补服务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-i</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路面贴缝服务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2000.00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-03</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路面洒水服务</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车</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路面洒水服务（交通段）</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车</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5009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1"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路面洒水服务（共线段）</w:t>
            </w:r>
            <w:r/>
          </w:p>
        </w:tc>
        <w:tc>
          <w:tcPr>
            <w:shd w:val="clear" w:color="000000" w:fill="ffffff"/>
            <w:tcBorders>
              <w:top w:val="none" w:color="000000" w:sz="4" w:space="0"/>
              <w:left w:val="none" w:color="000000" w:sz="4" w:space="0"/>
              <w:bottom w:val="single" w:color="auto" w:sz="4" w:space="0"/>
              <w:right w:val="single" w:color="auto" w:sz="4" w:space="0"/>
            </w:tcBorders>
            <w:tcW w:w="74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车</w:t>
            </w:r>
            <w:r/>
          </w:p>
        </w:tc>
        <w:tc>
          <w:tcPr>
            <w:shd w:val="clear" w:color="000000" w:fill="ffffff"/>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1242 </w:t>
            </w:r>
            <w:r/>
          </w:p>
        </w:tc>
        <w:tc>
          <w:tcPr>
            <w:shd w:val="clear" w:color="000000" w:fill="ffffff"/>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3"/>
            <w:shd w:val="clear" w:color="000000" w:fill="ffffff"/>
            <w:tcBorders>
              <w:top w:val="single" w:color="auto" w:sz="4" w:space="0"/>
              <w:left w:val="single" w:color="auto" w:sz="4" w:space="0"/>
              <w:bottom w:val="single" w:color="auto" w:sz="4" w:space="0"/>
              <w:right w:val="none" w:color="000000" w:sz="4" w:space="0"/>
            </w:tcBorders>
            <w:tcW w:w="4718"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300-2</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shd w:val="clear" w:color="000000" w:fill="ffffff"/>
            <w:tcBorders>
              <w:top w:val="single" w:color="auto" w:sz="4" w:space="0"/>
              <w:left w:val="none" w:color="000000" w:sz="4" w:space="0"/>
              <w:bottom w:val="single" w:color="auto" w:sz="4" w:space="0"/>
              <w:right w:val="none" w:color="000000" w:sz="4" w:space="0"/>
            </w:tcBorders>
            <w:tcW w:w="2172"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元</w:t>
            </w:r>
            <w:r/>
          </w:p>
        </w:tc>
      </w:tr>
    </w:tbl>
    <w:p>
      <w:pPr>
        <w:pStyle w:val="1140"/>
        <w:ind w:left="-288" w:firstLine="285"/>
        <w:spacing w:before="100" w:beforeAutospacing="1" w:line="480" w:lineRule="exact"/>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40"/>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809"/>
        <w:rPr>
          <w:rFonts w:ascii="仿宋_GB2312" w:eastAsia="仿宋_GB2312"/>
          <w:bCs/>
          <w:color w:val="auto"/>
          <w:sz w:val="24"/>
          <w:highlight w:val="none"/>
        </w:rPr>
      </w:pPr>
      <w:r>
        <w:rPr>
          <w:rFonts w:hint="eastAsia"/>
          <w:color w:val="auto"/>
          <w:lang w:eastAsia="zh-CN"/>
        </w:rPr>
        <w:t xml:space="preserve">（</w:t>
      </w:r>
      <w:r>
        <w:rPr>
          <w:rFonts w:hint="eastAsia"/>
          <w:color w:val="auto"/>
        </w:rPr>
        <w:t xml:space="preserve">八）★第400章 桥梁、涵洞服务（单价类）</w:t>
      </w:r>
      <w:r/>
    </w:p>
    <w:tbl>
      <w:tblPr>
        <w:tblStyle w:val="818"/>
        <w:tblW w:w="8601" w:type="dxa"/>
        <w:tblInd w:w="108" w:type="dxa"/>
        <w:tblLayout w:type="autofit"/>
        <w:tblCellMar>
          <w:left w:w="108" w:type="dxa"/>
          <w:top w:w="0" w:type="dxa"/>
          <w:right w:w="108" w:type="dxa"/>
          <w:bottom w:w="0" w:type="dxa"/>
        </w:tblCellMar>
        <w:tblLook w:val="04A0" w:firstRow="1" w:lastRow="0" w:firstColumn="1" w:lastColumn="0" w:noHBand="0" w:noVBand="1"/>
      </w:tblPr>
      <w:tblGrid>
        <w:gridCol w:w="1020"/>
        <w:gridCol w:w="2958"/>
        <w:gridCol w:w="743"/>
        <w:gridCol w:w="1080"/>
        <w:gridCol w:w="970"/>
        <w:gridCol w:w="1830"/>
      </w:tblGrid>
      <w:tr>
        <w:trPr>
          <w:trHeight w:val="465"/>
        </w:trPr>
        <w:tc>
          <w:tcPr>
            <w:gridSpan w:val="6"/>
            <w:tcBorders>
              <w:top w:val="none" w:color="000000" w:sz="4" w:space="0"/>
              <w:left w:val="none" w:color="000000" w:sz="4" w:space="0"/>
              <w:bottom w:val="none" w:color="000000" w:sz="4" w:space="0"/>
              <w:right w:val="none" w:color="000000" w:sz="4" w:space="0"/>
            </w:tcBorders>
            <w:tcW w:w="8601" w:type="dxa"/>
            <w:vAlign w:val="center"/>
            <w:textDirection w:val="lrTb"/>
            <w:noWrap/>
          </w:tcPr>
          <w:p>
            <w:pPr>
              <w:jc w:val="center"/>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w:t>
            </w:r>
            <w:r>
              <w:rPr>
                <w:rFonts w:ascii="Times New Roman" w:hAnsi="Times New Roman"/>
                <w:b/>
                <w:bCs/>
                <w:color w:val="auto"/>
                <w:sz w:val="36"/>
                <w:szCs w:val="36"/>
                <w:highlight w:val="none"/>
              </w:rPr>
              <w:t xml:space="preserve">400</w:t>
            </w:r>
            <w:r>
              <w:rPr>
                <w:rFonts w:hint="eastAsia" w:ascii="宋体" w:hAnsi="宋体" w:cs="宋体"/>
                <w:b/>
                <w:bCs/>
                <w:color w:val="auto"/>
                <w:sz w:val="36"/>
                <w:szCs w:val="36"/>
                <w:highlight w:val="none"/>
              </w:rPr>
              <w:t xml:space="preserve">章</w:t>
            </w:r>
            <w:r>
              <w:rPr>
                <w:rFonts w:ascii="Times New Roman" w:hAnsi="Times New Roman"/>
                <w:b/>
                <w:bCs/>
                <w:color w:val="auto"/>
                <w:sz w:val="36"/>
                <w:szCs w:val="36"/>
                <w:highlight w:val="none"/>
              </w:rPr>
              <w:t xml:space="preserve">   </w:t>
            </w:r>
            <w:r>
              <w:rPr>
                <w:rFonts w:hint="eastAsia" w:ascii="宋体" w:hAnsi="宋体" w:cs="宋体"/>
                <w:b/>
                <w:bCs/>
                <w:color w:val="auto"/>
                <w:sz w:val="36"/>
                <w:szCs w:val="36"/>
                <w:highlight w:val="none"/>
              </w:rPr>
              <w:t xml:space="preserve">桥梁、涵洞服务（单价类）</w:t>
            </w:r>
            <w:r/>
          </w:p>
        </w:tc>
      </w:tr>
      <w:tr>
        <w:trPr>
          <w:trHeight w:val="501"/>
        </w:trPr>
        <w:tc>
          <w:tcPr>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tcBorders>
              <w:top w:val="none" w:color="000000" w:sz="4" w:space="0"/>
              <w:left w:val="none" w:color="000000" w:sz="4" w:space="0"/>
              <w:bottom w:val="single" w:color="auto" w:sz="4" w:space="0"/>
              <w:right w:val="none" w:color="000000" w:sz="4" w:space="0"/>
            </w:tcBorders>
            <w:tcW w:w="2958"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743"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08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97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830" w:type="dxa"/>
            <w:vAlign w:val="center"/>
            <w:textDirection w:val="lrTb"/>
            <w:noWrap/>
          </w:tcPr>
          <w:p>
            <w:pPr>
              <w:ind w:right="800"/>
              <w:widowControl/>
              <w:rPr>
                <w:rFonts w:ascii="Times New Roman" w:hAnsi="Times New Roman"/>
                <w:color w:val="auto"/>
                <w:sz w:val="16"/>
                <w:szCs w:val="16"/>
                <w:highlight w:val="none"/>
              </w:rPr>
            </w:pPr>
            <w:r>
              <w:rPr>
                <w:rFonts w:hint="eastAsia" w:ascii="宋体" w:hAnsi="宋体"/>
                <w:color w:val="auto"/>
                <w:sz w:val="16"/>
                <w:szCs w:val="16"/>
                <w:highlight w:val="none"/>
              </w:rPr>
              <w:t xml:space="preserve">货币单位：人民币元</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细目号</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称</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单价</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合价</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QHD-1</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县道</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桥梁伸缩缝更换维修服务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伸缩缝拆除服务</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综合）</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更换伸缩缝服务（</w:t>
            </w:r>
            <w:r>
              <w:rPr>
                <w:rFonts w:ascii="Times New Roman" w:hAnsi="Times New Roman"/>
                <w:color w:val="auto"/>
                <w:sz w:val="20"/>
                <w:szCs w:val="20"/>
                <w:highlight w:val="none"/>
              </w:rPr>
              <w:t xml:space="preserve">D40</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更换伸缩缝服务（</w:t>
            </w:r>
            <w:r>
              <w:rPr>
                <w:rFonts w:ascii="Times New Roman" w:hAnsi="Times New Roman"/>
                <w:color w:val="auto"/>
                <w:sz w:val="20"/>
                <w:szCs w:val="20"/>
                <w:highlight w:val="none"/>
              </w:rPr>
              <w:t xml:space="preserve">D60</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C50</w:t>
            </w:r>
            <w:r>
              <w:rPr>
                <w:rFonts w:hint="eastAsia" w:ascii="宋体" w:hAnsi="宋体"/>
                <w:color w:val="auto"/>
                <w:sz w:val="20"/>
                <w:szCs w:val="20"/>
                <w:highlight w:val="none"/>
              </w:rPr>
              <w:t xml:space="preserve">伸缩缝砼维修服务（快干）</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8.00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桥梁搭板维修服务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搭板砼拆除服务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25.20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C30桥梁搭板砼服务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25.20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搭板钢筋服务（综合）</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kg</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2200.00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-03</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桥梁排水管更换维修服务（</w:t>
            </w:r>
            <w:r>
              <w:rPr>
                <w:rFonts w:ascii="Times New Roman" w:hAnsi="Times New Roman"/>
                <w:color w:val="auto"/>
                <w:sz w:val="20"/>
                <w:szCs w:val="20"/>
                <w:highlight w:val="none"/>
              </w:rPr>
              <w:t xml:space="preserve">UPVC</w:t>
            </w:r>
            <w:r>
              <w:rPr>
                <w:rFonts w:hint="eastAsia" w:ascii="宋体" w:hAnsi="宋体" w:cs="宋体"/>
                <w:color w:val="auto"/>
                <w:sz w:val="20"/>
                <w:szCs w:val="20"/>
                <w:highlight w:val="none"/>
              </w:rPr>
              <w:t xml:space="preserve">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-04</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桥梁护栏维修服务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钢管扶手更换维修服务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钢筋混凝土护栏维修服务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1.50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石质栏杆更换维修服务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榀</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方钢护栏维修服务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-05</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管涵更换维修服务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管涵更换维修服务(钢筋砼DN＜500mm)</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40.00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管涵更换维修服务(钢筋砼DN600mm)</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管涵更换维修服务(钢筋砼DN800mm)</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9.00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管涵更换维修服务(钢筋砼DN1000mm)</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-e</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管涵更换维修服务(钢筋砼DN1200mm)</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-f</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管涵更换维修服务(HDPE双壁波纹管DN300mm)</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80.00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-06</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管涵疏通服务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管涵疏通服务(管径＜500mm)</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管涵疏通服务(管径500-700mm)</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管涵疏通服务(管径800-1200mm)</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-07</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桥梁护栏出新服务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混凝土防撞墙护栏刷涂料服务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组合式钢管护栏刷涂料+油漆服务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5800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组合式钢护栏刷油漆服务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390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-08</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桥梁护（锥）坡维修服务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浆砌片石护（锥）坡维修砌筑服务（M7.5浆切片石）</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预制块护（锥）坡维修砌筑服务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-09</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混凝土服务（C30)</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钢筋服务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kg</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桥梁、涵洞信息公示牌更换服务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460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桥伸缩缝清理保养服务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桥伸缩缝清理保养服务（交通段）</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98511.92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桥伸缩缝清理保养服务（共线段）</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26000.00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疏通泄水孔服务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疏通泄水孔服务（交通段）</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道</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78468.00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疏通泄水孔服务（共线段）</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道</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15600.00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桥梁栏杆系清洗服务</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桥梁栏杆系清洗服务（交通段）</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38839.20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桥梁栏杆系清洗服务（共线段）</w:t>
            </w:r>
            <w:r/>
          </w:p>
        </w:tc>
        <w:tc>
          <w:tcPr>
            <w:shd w:val="clear" w:color="000000" w:fill="ffffff"/>
            <w:tcBorders>
              <w:top w:val="none" w:color="000000" w:sz="4" w:space="0"/>
              <w:left w:val="none" w:color="000000"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延米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24000.00 </w:t>
            </w:r>
            <w:r/>
          </w:p>
        </w:tc>
        <w:tc>
          <w:tcPr>
            <w:shd w:val="clear" w:color="000000" w:fill="ffffff"/>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3"/>
            <w:shd w:val="clear" w:color="000000" w:fill="ffffff"/>
            <w:tcBorders>
              <w:top w:val="single" w:color="auto" w:sz="4" w:space="0"/>
              <w:left w:val="single" w:color="auto" w:sz="4" w:space="0"/>
              <w:bottom w:val="single" w:color="auto" w:sz="4" w:space="0"/>
              <w:right w:val="none" w:color="000000" w:sz="4" w:space="0"/>
            </w:tcBorders>
            <w:tcW w:w="4721"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400-2</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shd w:val="clear" w:color="000000" w:fill="ffffff"/>
            <w:tcBorders>
              <w:top w:val="single" w:color="auto" w:sz="4" w:space="0"/>
              <w:left w:val="none" w:color="000000" w:sz="4" w:space="0"/>
              <w:bottom w:val="single" w:color="auto" w:sz="4" w:space="0"/>
              <w:right w:val="none" w:color="000000" w:sz="4" w:space="0"/>
            </w:tcBorders>
            <w:tcW w:w="2050"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元</w:t>
            </w:r>
            <w:r/>
          </w:p>
        </w:tc>
      </w:tr>
    </w:tbl>
    <w:p>
      <w:pPr>
        <w:pStyle w:val="1140"/>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40"/>
        <w:ind w:right="105"/>
        <w:spacing w:line="560" w:lineRule="exact"/>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tbl>
      <w:tblPr>
        <w:tblStyle w:val="818"/>
        <w:tblW w:w="8821" w:type="dxa"/>
        <w:tblInd w:w="108" w:type="dxa"/>
        <w:tblLayout w:type="autofit"/>
        <w:tblCellMar>
          <w:left w:w="108" w:type="dxa"/>
          <w:top w:w="0" w:type="dxa"/>
          <w:right w:w="108" w:type="dxa"/>
          <w:bottom w:w="0" w:type="dxa"/>
        </w:tblCellMar>
        <w:tblLook w:val="04A0" w:firstRow="1" w:lastRow="0" w:firstColumn="1" w:lastColumn="0" w:noHBand="0" w:noVBand="1"/>
      </w:tblPr>
      <w:tblGrid>
        <w:gridCol w:w="1020"/>
        <w:gridCol w:w="3440"/>
        <w:gridCol w:w="581"/>
        <w:gridCol w:w="1066"/>
        <w:gridCol w:w="902"/>
        <w:gridCol w:w="1830"/>
      </w:tblGrid>
      <w:tr>
        <w:trPr>
          <w:trHeight w:val="465"/>
        </w:trPr>
        <w:tc>
          <w:tcPr>
            <w:gridSpan w:val="6"/>
            <w:tcBorders>
              <w:top w:val="none" w:color="000000" w:sz="4" w:space="0"/>
              <w:left w:val="none" w:color="000000" w:sz="4" w:space="0"/>
              <w:bottom w:val="none" w:color="000000" w:sz="4" w:space="0"/>
              <w:right w:val="none" w:color="000000" w:sz="4" w:space="0"/>
            </w:tcBorders>
            <w:tcW w:w="8821" w:type="dxa"/>
            <w:vAlign w:val="center"/>
            <w:textDirection w:val="lrTb"/>
            <w:noWrap/>
          </w:tcPr>
          <w:p>
            <w:pPr>
              <w:pStyle w:val="809"/>
              <w:rPr>
                <w:rFonts w:hint="eastAsia"/>
                <w:color w:val="auto"/>
              </w:rPr>
            </w:pPr>
            <w:r>
              <w:rPr>
                <w:rFonts w:hint="eastAsia"/>
                <w:color w:val="auto"/>
              </w:rPr>
              <w:t xml:space="preserve">（九）★第500章 安全设施及预埋管线服务（单价类）</w:t>
            </w:r>
            <w:r/>
          </w:p>
          <w:p>
            <w:pPr>
              <w:jc w:val="center"/>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第5</w:t>
            </w:r>
            <w:r>
              <w:rPr>
                <w:rFonts w:ascii="Times New Roman" w:hAnsi="Times New Roman"/>
                <w:b/>
                <w:bCs/>
                <w:color w:val="auto"/>
                <w:sz w:val="36"/>
                <w:szCs w:val="36"/>
                <w:highlight w:val="none"/>
              </w:rPr>
              <w:t xml:space="preserve">00</w:t>
            </w:r>
            <w:r>
              <w:rPr>
                <w:rFonts w:hint="eastAsia" w:ascii="宋体" w:hAnsi="宋体" w:cs="宋体"/>
                <w:b/>
                <w:bCs/>
                <w:color w:val="auto"/>
                <w:sz w:val="36"/>
                <w:szCs w:val="36"/>
                <w:highlight w:val="none"/>
              </w:rPr>
              <w:t xml:space="preserve">章</w:t>
            </w:r>
            <w:r>
              <w:rPr>
                <w:rFonts w:ascii="Times New Roman" w:hAnsi="Times New Roman"/>
                <w:b/>
                <w:bCs/>
                <w:color w:val="auto"/>
                <w:sz w:val="36"/>
                <w:szCs w:val="36"/>
                <w:highlight w:val="none"/>
              </w:rPr>
              <w:t xml:space="preserve">   </w:t>
            </w:r>
            <w:r>
              <w:rPr>
                <w:rFonts w:hint="eastAsia" w:ascii="宋体" w:hAnsi="宋体" w:cs="宋体"/>
                <w:b/>
                <w:bCs/>
                <w:color w:val="auto"/>
                <w:sz w:val="36"/>
                <w:szCs w:val="36"/>
                <w:highlight w:val="none"/>
              </w:rPr>
              <w:t xml:space="preserve">安全设施及预埋管线服务（单价类）</w:t>
            </w:r>
            <w:r/>
          </w:p>
        </w:tc>
      </w:tr>
      <w:tr>
        <w:trPr>
          <w:trHeight w:val="501"/>
        </w:trPr>
        <w:tc>
          <w:tcPr>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tcBorders>
              <w:top w:val="none" w:color="000000" w:sz="4" w:space="0"/>
              <w:left w:val="none" w:color="000000" w:sz="4" w:space="0"/>
              <w:bottom w:val="single" w:color="auto" w:sz="4" w:space="0"/>
              <w:right w:val="none" w:color="000000" w:sz="4" w:space="0"/>
            </w:tcBorders>
            <w:tcW w:w="344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581"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048"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902"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细目号</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称</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单价</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合价</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JAD-1</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县道</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标志、标牌面板维修更换服务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标志、标牌面板维修更换服务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标志、标牌面板板面修整服务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60.00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标志、标牌面板反光膜更换服务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60.00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单柱式交通标志服务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正三角形服务△</w:t>
            </w:r>
            <w:r>
              <w:rPr>
                <w:rFonts w:ascii="Times New Roman" w:hAnsi="Times New Roman"/>
                <w:color w:val="auto"/>
                <w:sz w:val="20"/>
                <w:szCs w:val="20"/>
                <w:highlight w:val="none"/>
              </w:rPr>
              <w:t xml:space="preserve">A=90cm</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40.00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圆形服务</w:t>
            </w:r>
            <w:r>
              <w:rPr>
                <w:rFonts w:ascii="Times New Roman" w:hAnsi="Times New Roman"/>
                <w:color w:val="auto"/>
                <w:sz w:val="20"/>
                <w:szCs w:val="20"/>
                <w:highlight w:val="none"/>
              </w:rPr>
              <w:t xml:space="preserve">D=80cm</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40.00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八边形服务</w:t>
            </w:r>
            <w:r>
              <w:rPr>
                <w:rFonts w:ascii="Times New Roman" w:hAnsi="Times New Roman"/>
                <w:color w:val="auto"/>
                <w:sz w:val="20"/>
                <w:szCs w:val="20"/>
                <w:highlight w:val="none"/>
              </w:rPr>
              <w:t xml:space="preserve">D=0.8m</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40.00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矩形服务</w:t>
            </w:r>
            <w:r>
              <w:rPr>
                <w:rFonts w:ascii="Times New Roman" w:hAnsi="Times New Roman"/>
                <w:color w:val="auto"/>
                <w:sz w:val="20"/>
                <w:szCs w:val="20"/>
                <w:highlight w:val="none"/>
              </w:rPr>
              <w:t xml:space="preserve">□80×80cm</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40.00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-e</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矩形服务</w:t>
            </w:r>
            <w:r>
              <w:rPr>
                <w:rFonts w:ascii="Times New Roman" w:hAnsi="Times New Roman"/>
                <w:color w:val="auto"/>
                <w:sz w:val="20"/>
                <w:szCs w:val="20"/>
                <w:highlight w:val="none"/>
              </w:rPr>
              <w:t xml:space="preserve">□100×100cm</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-f</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矩形服务</w:t>
            </w:r>
            <w:r>
              <w:rPr>
                <w:rFonts w:ascii="Times New Roman" w:hAnsi="Times New Roman"/>
                <w:color w:val="auto"/>
                <w:sz w:val="20"/>
                <w:szCs w:val="20"/>
                <w:highlight w:val="none"/>
              </w:rPr>
              <w:t xml:space="preserve">□100×150cm</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-g</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单柱式标志牌拆除服务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30.00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-h</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单柱式标志牌改移服务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-03</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悬臂交通标志服务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悬臂式标志、标牌拆除服务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F</w:t>
            </w:r>
            <w:r>
              <w:rPr>
                <w:rFonts w:hint="eastAsia" w:ascii="宋体" w:hAnsi="宋体"/>
                <w:color w:val="auto"/>
                <w:sz w:val="20"/>
                <w:szCs w:val="20"/>
                <w:highlight w:val="none"/>
              </w:rPr>
              <w:t xml:space="preserve">型单悬臂式标志标牌立柱更换服务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F</w:t>
            </w:r>
            <w:r>
              <w:rPr>
                <w:rFonts w:hint="eastAsia" w:ascii="宋体" w:hAnsi="宋体"/>
                <w:color w:val="auto"/>
                <w:sz w:val="20"/>
                <w:szCs w:val="20"/>
                <w:highlight w:val="none"/>
              </w:rPr>
              <w:t xml:space="preserve">型双悬臂式标志标牌立柱更换服务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-04</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波形护栏更换维修服务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单面波形梁钢护栏板更换服务（二波）</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900.00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单面波形梁钢护栏板更换服务（三波）</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分设型圆头式端头服务（</w:t>
            </w:r>
            <w:r>
              <w:rPr>
                <w:rFonts w:ascii="Times New Roman" w:hAnsi="Times New Roman"/>
                <w:color w:val="auto"/>
                <w:sz w:val="20"/>
                <w:szCs w:val="20"/>
                <w:highlight w:val="none"/>
              </w:rPr>
              <w:t xml:space="preserve">R160</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分设型圆头式端头服务（</w:t>
            </w:r>
            <w:r>
              <w:rPr>
                <w:rFonts w:ascii="Times New Roman" w:hAnsi="Times New Roman"/>
                <w:color w:val="auto"/>
                <w:sz w:val="20"/>
                <w:szCs w:val="20"/>
                <w:highlight w:val="none"/>
              </w:rPr>
              <w:t xml:space="preserve">R250</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-e</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钢管立柱更换维修服务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-f</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护栏维修服务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-g</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波形护栏喷漆出新服务（现场）</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-h</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护栏端头反光膜更换服务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-i</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护栏拆除服务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-05</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里程碑（牌）更换服务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百米牌补缺、更换服务（反光贴）</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300.00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公里碑补缺、更换服务（玻璃钢）</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60.00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公里牌补缺、更换服务（金属，含单柱）</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百米桩上喷涂桩号服务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3481.00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-e</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百米桩反光膜更换服务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-06</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警示桩补缺、更换服务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警示桩补缺、更换服务（</w:t>
            </w:r>
            <w:r>
              <w:rPr>
                <w:rFonts w:ascii="Times New Roman" w:hAnsi="Times New Roman"/>
                <w:color w:val="auto"/>
                <w:sz w:val="20"/>
                <w:szCs w:val="20"/>
                <w:highlight w:val="none"/>
              </w:rPr>
              <w:t xml:space="preserve">φ114*1200mm</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800.00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警示桩更换反光贴服务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柔性警示桩服务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-07</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路面标志、标线服务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热熔涂料标志、标线服务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12000.00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热熔涂料震荡标志、标线服务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常温标志、标线服务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高压水除线服务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-08</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轮廓标服务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附着式轮廓标服务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400.00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柱式轮廓标服务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-09</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爆闪警示灯服务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“宁径织美”、“四好农路”标识出新服务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40.00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路长制牌设置服务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反光镜维修更换服务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反光镜维修更换服务（不含立柱）</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60.00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反光镜维修更换服务（含立柱）</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防眩板更换服务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12.00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护网更换服务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水泥预制仿木护栏维修更换服务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150</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里程碑、百米桩、界碑、警示桩、防眩板保洁扶正服务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lef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lef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lef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lef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里程碑、百米桩、界碑、警示桩、防眩板保洁扶正服务（交通段）</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个/年</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13564.00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里程碑、百米桩、界碑、警示桩、防眩板保洁扶正服务（共线段）</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个/年</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3000.00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警示墩油漆服务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警示墩油漆服务（交通段）</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警示墩油漆服务（共线段）</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波形钢板护拦保洁服务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波形钢板护拦保洁服务（交通段）</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431324.00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波形钢板护拦保洁服务（共线段）</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none" w:color="000000"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none" w:color="000000"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人工清洗护栏服务（重度污染段）</w:t>
            </w:r>
            <w:r/>
          </w:p>
        </w:tc>
        <w:tc>
          <w:tcPr>
            <w:shd w:val="clear" w:color="000000" w:fill="ffffff"/>
            <w:tcBorders>
              <w:top w:val="none" w:color="000000" w:sz="4" w:space="0"/>
              <w:left w:val="none" w:color="000000" w:sz="4" w:space="0"/>
              <w:bottom w:val="none" w:color="000000" w:sz="4" w:space="0"/>
              <w:right w:val="single" w:color="auto" w:sz="4" w:space="0"/>
            </w:tcBorders>
            <w:tcW w:w="581"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none" w:color="000000" w:sz="4" w:space="0"/>
              <w:right w:val="single" w:color="auto" w:sz="4" w:space="0"/>
            </w:tcBorders>
            <w:tcW w:w="104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1000.00 </w:t>
            </w:r>
            <w:r/>
          </w:p>
        </w:tc>
        <w:tc>
          <w:tcPr>
            <w:shd w:val="clear" w:color="000000" w:fill="ffffff"/>
            <w:tcBorders>
              <w:top w:val="none" w:color="000000" w:sz="4" w:space="0"/>
              <w:left w:val="none" w:color="000000" w:sz="4" w:space="0"/>
              <w:bottom w:val="none" w:color="000000"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none" w:color="000000"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-19</w:t>
            </w:r>
            <w:r/>
          </w:p>
        </w:tc>
        <w:tc>
          <w:tcPr>
            <w:shd w:val="clear" w:color="000000" w:fill="ffffff"/>
            <w:tcBorders>
              <w:top w:val="single" w:color="auto"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标志牌保洁扶正服务</w:t>
            </w:r>
            <w:r/>
          </w:p>
        </w:tc>
        <w:tc>
          <w:tcPr>
            <w:shd w:val="clear" w:color="000000" w:fill="ffffff"/>
            <w:tcBorders>
              <w:top w:val="single" w:color="auto"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标志牌保洁扶正服务（交通段）</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年</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4487.00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标志牌保洁扶正服务（共线段）</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年</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500.00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路长制牌保洁服务</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路长制牌保洁服务（交通段）</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年</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路长制牌保洁服务（共线段）</w:t>
            </w:r>
            <w:r/>
          </w:p>
        </w:tc>
        <w:tc>
          <w:tcPr>
            <w:shd w:val="clear" w:color="000000" w:fill="ffffff"/>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年</w:t>
            </w:r>
            <w:r/>
          </w:p>
        </w:tc>
        <w:tc>
          <w:tcPr>
            <w:shd w:val="clear" w:color="000000" w:fill="ffffff"/>
            <w:tcBorders>
              <w:top w:val="none" w:color="000000" w:sz="4" w:space="0"/>
              <w:left w:val="none" w:color="000000" w:sz="4" w:space="0"/>
              <w:bottom w:val="single" w:color="auto" w:sz="4" w:space="0"/>
              <w:right w:val="single" w:color="auto" w:sz="4" w:space="0"/>
            </w:tcBorders>
            <w:tcW w:w="1048" w:type="dxa"/>
            <w:vAlign w:val="center"/>
            <w:textDirection w:val="lrTb"/>
            <w:noWrap/>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3"/>
            <w:shd w:val="clear" w:color="000000" w:fill="ffffff"/>
            <w:tcBorders>
              <w:top w:val="none" w:color="000000" w:sz="4" w:space="0"/>
              <w:left w:val="single" w:color="auto" w:sz="4" w:space="0"/>
              <w:bottom w:val="single" w:color="auto" w:sz="4" w:space="0"/>
              <w:right w:val="none" w:color="000000" w:sz="4" w:space="0"/>
            </w:tcBorders>
            <w:tcW w:w="5041"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500-2</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shd w:val="clear" w:color="000000" w:fill="ffffff"/>
            <w:tcBorders>
              <w:top w:val="none" w:color="000000" w:sz="4" w:space="0"/>
              <w:left w:val="none" w:color="000000" w:sz="4" w:space="0"/>
              <w:bottom w:val="single" w:color="auto" w:sz="4" w:space="0"/>
              <w:right w:val="none" w:color="000000" w:sz="4" w:space="0"/>
            </w:tcBorders>
            <w:tcW w:w="1950"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元</w:t>
            </w:r>
            <w:r/>
          </w:p>
        </w:tc>
      </w:tr>
    </w:tbl>
    <w:p>
      <w:pPr>
        <w:pStyle w:val="1140"/>
        <w:ind w:right="105"/>
        <w:spacing w:line="560" w:lineRule="exact"/>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1140"/>
        <w:ind w:right="105"/>
        <w:spacing w:line="560" w:lineRule="exact"/>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1140"/>
        <w:ind w:right="105"/>
        <w:spacing w:line="560" w:lineRule="exact"/>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1140"/>
        <w:ind w:right="105"/>
        <w:spacing w:line="560" w:lineRule="exact"/>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809"/>
        <w:rPr>
          <w:color w:val="auto"/>
        </w:rPr>
      </w:pPr>
      <w:r>
        <w:rPr>
          <w:rFonts w:hint="eastAsia"/>
          <w:color w:val="auto"/>
        </w:rPr>
        <w:t xml:space="preserve">（十）★第600章 绿化及环境保护设施服务（单价类）</w:t>
      </w:r>
      <w:r/>
    </w:p>
    <w:p>
      <w:pPr>
        <w:pStyle w:val="1140"/>
        <w:ind w:right="105"/>
        <w:spacing w:line="560" w:lineRule="exact"/>
        <w:rPr>
          <w:rFonts w:ascii="仿宋_GB2312" w:eastAsia="仿宋_GB2312"/>
          <w:color w:val="auto"/>
          <w:sz w:val="32"/>
          <w:szCs w:val="32"/>
          <w:highlight w:val="none"/>
        </w:rPr>
      </w:pPr>
      <w:r>
        <w:rPr>
          <w:rFonts w:ascii="仿宋_GB2312" w:eastAsia="仿宋_GB2312"/>
          <w:color w:val="auto"/>
          <w:sz w:val="32"/>
          <w:szCs w:val="32"/>
          <w:highlight w:val="none"/>
        </w:rPr>
      </w:r>
      <w:r/>
    </w:p>
    <w:tbl>
      <w:tblPr>
        <w:tblStyle w:val="818"/>
        <w:tblW w:w="8902" w:type="dxa"/>
        <w:tblInd w:w="108" w:type="dxa"/>
        <w:tblLayout w:type="autofit"/>
        <w:tblCellMar>
          <w:left w:w="108" w:type="dxa"/>
          <w:top w:w="0" w:type="dxa"/>
          <w:right w:w="108" w:type="dxa"/>
          <w:bottom w:w="0" w:type="dxa"/>
        </w:tblCellMar>
        <w:tblLook w:val="04A0" w:firstRow="1" w:lastRow="0" w:firstColumn="1" w:lastColumn="0" w:noHBand="0" w:noVBand="1"/>
      </w:tblPr>
      <w:tblGrid>
        <w:gridCol w:w="1020"/>
        <w:gridCol w:w="3440"/>
        <w:gridCol w:w="668"/>
        <w:gridCol w:w="1152"/>
        <w:gridCol w:w="792"/>
        <w:gridCol w:w="1830"/>
      </w:tblGrid>
      <w:tr>
        <w:trPr>
          <w:trHeight w:val="465"/>
        </w:trPr>
        <w:tc>
          <w:tcPr>
            <w:gridSpan w:val="6"/>
            <w:tcBorders>
              <w:top w:val="none" w:color="000000" w:sz="4" w:space="0"/>
              <w:left w:val="none" w:color="000000" w:sz="4" w:space="0"/>
              <w:bottom w:val="none" w:color="000000" w:sz="4" w:space="0"/>
              <w:right w:val="none" w:color="000000" w:sz="4" w:space="0"/>
            </w:tcBorders>
            <w:tcW w:w="8902" w:type="dxa"/>
            <w:vAlign w:val="center"/>
            <w:textDirection w:val="lrTb"/>
            <w:noWrap/>
          </w:tcPr>
          <w:p>
            <w:pPr>
              <w:jc w:val="center"/>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第6</w:t>
            </w:r>
            <w:r>
              <w:rPr>
                <w:rFonts w:ascii="Times New Roman" w:hAnsi="Times New Roman"/>
                <w:b/>
                <w:bCs/>
                <w:color w:val="auto"/>
                <w:sz w:val="36"/>
                <w:szCs w:val="36"/>
                <w:highlight w:val="none"/>
              </w:rPr>
              <w:t xml:space="preserve">00</w:t>
            </w:r>
            <w:r>
              <w:rPr>
                <w:rFonts w:hint="eastAsia" w:ascii="宋体" w:hAnsi="宋体" w:cs="宋体"/>
                <w:b/>
                <w:bCs/>
                <w:color w:val="auto"/>
                <w:sz w:val="36"/>
                <w:szCs w:val="36"/>
                <w:highlight w:val="none"/>
              </w:rPr>
              <w:t xml:space="preserve">章</w:t>
            </w:r>
            <w:r>
              <w:rPr>
                <w:rFonts w:ascii="Times New Roman" w:hAnsi="Times New Roman"/>
                <w:b/>
                <w:bCs/>
                <w:color w:val="auto"/>
                <w:sz w:val="36"/>
                <w:szCs w:val="36"/>
                <w:highlight w:val="none"/>
              </w:rPr>
              <w:t xml:space="preserve">   </w:t>
            </w:r>
            <w:r>
              <w:rPr>
                <w:rFonts w:hint="eastAsia" w:ascii="宋体" w:hAnsi="宋体" w:cs="宋体"/>
                <w:b/>
                <w:bCs/>
                <w:color w:val="auto"/>
                <w:sz w:val="36"/>
                <w:szCs w:val="36"/>
                <w:highlight w:val="none"/>
              </w:rPr>
              <w:t xml:space="preserve">绿化及环境保护设施服务（单价类）</w:t>
            </w:r>
            <w:r/>
          </w:p>
        </w:tc>
      </w:tr>
      <w:tr>
        <w:trPr>
          <w:trHeight w:val="501"/>
        </w:trPr>
        <w:tc>
          <w:tcPr>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tc>
        <w:tc>
          <w:tcPr>
            <w:tcBorders>
              <w:top w:val="none" w:color="000000" w:sz="4" w:space="0"/>
              <w:left w:val="none" w:color="000000" w:sz="4" w:space="0"/>
              <w:bottom w:val="single" w:color="auto" w:sz="4" w:space="0"/>
              <w:right w:val="none" w:color="000000" w:sz="4" w:space="0"/>
            </w:tcBorders>
            <w:tcW w:w="344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668"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152"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792"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细目号</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cs="宋体"/>
                <w:b/>
                <w:bCs/>
                <w:color w:val="auto"/>
                <w:sz w:val="20"/>
                <w:szCs w:val="20"/>
                <w:highlight w:val="none"/>
              </w:rPr>
              <w:t xml:space="preserve">称</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单价</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合价</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LHD-1</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县道</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香樟补植服务（杆径</w:t>
            </w:r>
            <w:r>
              <w:rPr>
                <w:rFonts w:ascii="Times New Roman" w:hAnsi="Times New Roman"/>
                <w:color w:val="auto"/>
                <w:sz w:val="20"/>
                <w:szCs w:val="20"/>
                <w:highlight w:val="none"/>
              </w:rPr>
              <w:t xml:space="preserve">:8cm-10cm</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栾树补植服务（杆径:8cm-10cm）</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-03</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高杆女贞补植服务（杆径</w:t>
            </w:r>
            <w:r>
              <w:rPr>
                <w:rFonts w:ascii="Times New Roman" w:hAnsi="Times New Roman"/>
                <w:color w:val="auto"/>
                <w:sz w:val="20"/>
                <w:szCs w:val="20"/>
                <w:highlight w:val="none"/>
              </w:rPr>
              <w:t xml:space="preserve">:8cm-10cm</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4.00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-04</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蜀桧补植服务（</w:t>
            </w:r>
            <w:r>
              <w:rPr>
                <w:rFonts w:ascii="Times New Roman" w:hAnsi="Times New Roman"/>
                <w:color w:val="auto"/>
                <w:sz w:val="20"/>
                <w:szCs w:val="20"/>
                <w:highlight w:val="none"/>
              </w:rPr>
              <w:t xml:space="preserve">H:150cm</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-05</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海桐球补植服务（</w:t>
            </w:r>
            <w:r>
              <w:rPr>
                <w:rFonts w:ascii="Times New Roman" w:hAnsi="Times New Roman"/>
                <w:color w:val="auto"/>
                <w:sz w:val="20"/>
                <w:szCs w:val="20"/>
                <w:highlight w:val="none"/>
              </w:rPr>
              <w:t xml:space="preserve">P:120-150cm</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12.00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-06</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紫薇补植服务（杆径</w:t>
            </w:r>
            <w:r>
              <w:rPr>
                <w:rFonts w:ascii="Times New Roman" w:hAnsi="Times New Roman"/>
                <w:color w:val="auto"/>
                <w:sz w:val="20"/>
                <w:szCs w:val="20"/>
                <w:highlight w:val="none"/>
              </w:rPr>
              <w:t xml:space="preserve">:6cm-7cm</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9.00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-07</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紫叶李补植服务（杆径</w:t>
            </w:r>
            <w:r>
              <w:rPr>
                <w:rFonts w:ascii="Times New Roman" w:hAnsi="Times New Roman"/>
                <w:color w:val="auto"/>
                <w:sz w:val="20"/>
                <w:szCs w:val="20"/>
                <w:highlight w:val="none"/>
              </w:rPr>
              <w:t xml:space="preserve">:7cm-8cm</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11.00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-08</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红叶石楠球补植服务（</w:t>
            </w:r>
            <w:r>
              <w:rPr>
                <w:rFonts w:ascii="Times New Roman" w:hAnsi="Times New Roman"/>
                <w:color w:val="auto"/>
                <w:sz w:val="20"/>
                <w:szCs w:val="20"/>
                <w:highlight w:val="none"/>
              </w:rPr>
              <w:t xml:space="preserve">P:120-150cm</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-09</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红叶石楠补植服务（</w:t>
            </w:r>
            <w:r>
              <w:rPr>
                <w:rFonts w:ascii="Times New Roman" w:hAnsi="Times New Roman"/>
                <w:color w:val="auto"/>
                <w:sz w:val="20"/>
                <w:szCs w:val="20"/>
                <w:highlight w:val="none"/>
              </w:rPr>
              <w:t xml:space="preserve">H:60-70cm</w:t>
            </w:r>
            <w:r>
              <w:rPr>
                <w:rFonts w:hint="eastAsia" w:ascii="宋体" w:hAnsi="宋体" w:cs="宋体"/>
                <w:color w:val="auto"/>
                <w:sz w:val="20"/>
                <w:szCs w:val="20"/>
                <w:highlight w:val="none"/>
              </w:rPr>
              <w:t xml:space="preserve">，</w:t>
            </w:r>
            <w:r>
              <w:rPr>
                <w:rFonts w:ascii="Times New Roman" w:hAnsi="Times New Roman"/>
                <w:color w:val="auto"/>
                <w:sz w:val="20"/>
                <w:szCs w:val="20"/>
                <w:highlight w:val="none"/>
              </w:rPr>
              <w:t xml:space="preserve">20</w:t>
            </w:r>
            <w:r>
              <w:rPr>
                <w:rFonts w:hint="eastAsia" w:ascii="宋体" w:hAnsi="宋体" w:cs="宋体"/>
                <w:color w:val="auto"/>
                <w:sz w:val="20"/>
                <w:szCs w:val="20"/>
                <w:highlight w:val="none"/>
              </w:rPr>
              <w:t xml:space="preserve">株</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平）</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海桐苗补植服务（</w:t>
            </w:r>
            <w:r>
              <w:rPr>
                <w:rFonts w:ascii="Times New Roman" w:hAnsi="Times New Roman"/>
                <w:color w:val="auto"/>
                <w:sz w:val="20"/>
                <w:szCs w:val="20"/>
                <w:highlight w:val="none"/>
              </w:rPr>
              <w:t xml:space="preserve">H:50-60cm</w:t>
            </w:r>
            <w:r>
              <w:rPr>
                <w:rFonts w:hint="eastAsia" w:ascii="宋体" w:hAnsi="宋体" w:cs="宋体"/>
                <w:color w:val="auto"/>
                <w:sz w:val="20"/>
                <w:szCs w:val="20"/>
                <w:highlight w:val="none"/>
              </w:rPr>
              <w:t xml:space="preserve">，</w:t>
            </w:r>
            <w:r>
              <w:rPr>
                <w:rFonts w:ascii="Times New Roman" w:hAnsi="Times New Roman"/>
                <w:color w:val="auto"/>
                <w:sz w:val="20"/>
                <w:szCs w:val="20"/>
                <w:highlight w:val="none"/>
              </w:rPr>
              <w:t xml:space="preserve">20</w:t>
            </w:r>
            <w:r>
              <w:rPr>
                <w:rFonts w:hint="eastAsia" w:ascii="宋体" w:hAnsi="宋体" w:cs="宋体"/>
                <w:color w:val="auto"/>
                <w:sz w:val="20"/>
                <w:szCs w:val="20"/>
                <w:highlight w:val="none"/>
              </w:rPr>
              <w:t xml:space="preserve">株</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平）</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15.00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金边黄杨补植服务（</w:t>
            </w:r>
            <w:r>
              <w:rPr>
                <w:rFonts w:ascii="Times New Roman" w:hAnsi="Times New Roman"/>
                <w:color w:val="auto"/>
                <w:sz w:val="20"/>
                <w:szCs w:val="20"/>
                <w:highlight w:val="none"/>
              </w:rPr>
              <w:t xml:space="preserve">H:50-60cm</w:t>
            </w:r>
            <w:r>
              <w:rPr>
                <w:rFonts w:hint="eastAsia" w:ascii="宋体" w:hAnsi="宋体" w:cs="宋体"/>
                <w:color w:val="auto"/>
                <w:sz w:val="20"/>
                <w:szCs w:val="20"/>
                <w:highlight w:val="none"/>
              </w:rPr>
              <w:t xml:space="preserve">，</w:t>
            </w:r>
            <w:r>
              <w:rPr>
                <w:rFonts w:ascii="Times New Roman" w:hAnsi="Times New Roman"/>
                <w:color w:val="auto"/>
                <w:sz w:val="20"/>
                <w:szCs w:val="20"/>
                <w:highlight w:val="none"/>
              </w:rPr>
              <w:t xml:space="preserve">20</w:t>
            </w:r>
            <w:r>
              <w:rPr>
                <w:rFonts w:hint="eastAsia" w:ascii="宋体" w:hAnsi="宋体" w:cs="宋体"/>
                <w:color w:val="auto"/>
                <w:sz w:val="20"/>
                <w:szCs w:val="20"/>
                <w:highlight w:val="none"/>
              </w:rPr>
              <w:t xml:space="preserve">株</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平）</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69.00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红花檵木服务（P:100-120cm）</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红枫补植服务（地径3-5cm)</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铺草皮服务</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102.00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刨伐死树、树根服务</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刨伐死树、树根服务（胸径＜10cm)</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刨伐死树、树根服务（胸径≥10cm)</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树木虫灾病害处治服务</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机械乔木喷药服务（高</w:t>
            </w:r>
            <w:r>
              <w:rPr>
                <w:rFonts w:ascii="Times New Roman" w:hAnsi="Times New Roman"/>
                <w:color w:val="auto"/>
                <w:sz w:val="20"/>
                <w:szCs w:val="20"/>
                <w:highlight w:val="none"/>
              </w:rPr>
              <w:t xml:space="preserve">3-10M</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机械灌木喷药</w:t>
            </w:r>
            <w:r>
              <w:rPr>
                <w:rFonts w:ascii="Times New Roman" w:hAnsi="Times New Roman"/>
                <w:color w:val="auto"/>
                <w:sz w:val="20"/>
                <w:szCs w:val="20"/>
                <w:highlight w:val="none"/>
              </w:rPr>
              <w:t xml:space="preserve"> </w:t>
            </w:r>
            <w:r>
              <w:rPr>
                <w:rFonts w:hint="eastAsia" w:ascii="宋体" w:hAnsi="宋体" w:cs="宋体"/>
                <w:color w:val="auto"/>
                <w:sz w:val="20"/>
                <w:szCs w:val="20"/>
                <w:highlight w:val="none"/>
              </w:rPr>
              <w:t xml:space="preserve">服务（高</w:t>
            </w:r>
            <w:r>
              <w:rPr>
                <w:rFonts w:ascii="Times New Roman" w:hAnsi="Times New Roman"/>
                <w:color w:val="auto"/>
                <w:sz w:val="20"/>
                <w:szCs w:val="20"/>
                <w:highlight w:val="none"/>
              </w:rPr>
              <w:t xml:space="preserve">1.5M</w:t>
            </w:r>
            <w:r>
              <w:rPr>
                <w:rFonts w:hint="eastAsia" w:ascii="宋体" w:hAnsi="宋体" w:cs="宋体"/>
                <w:color w:val="auto"/>
                <w:sz w:val="20"/>
                <w:szCs w:val="20"/>
                <w:highlight w:val="none"/>
              </w:rPr>
              <w:t xml:space="preserve">以下）</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草皮虫灾病害处治服务</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1020.00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绿化扶正服务</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乔木扶正服务（胸径</w:t>
            </w:r>
            <w:r>
              <w:rPr>
                <w:rFonts w:ascii="Times New Roman" w:hAnsi="Times New Roman"/>
                <w:color w:val="auto"/>
                <w:sz w:val="20"/>
                <w:szCs w:val="20"/>
                <w:highlight w:val="none"/>
              </w:rPr>
              <w:t xml:space="preserve">10CM</w:t>
            </w:r>
            <w:r>
              <w:rPr>
                <w:rFonts w:hint="eastAsia" w:ascii="宋体" w:hAnsi="宋体" w:cs="宋体"/>
                <w:color w:val="auto"/>
                <w:sz w:val="20"/>
                <w:szCs w:val="20"/>
                <w:highlight w:val="none"/>
              </w:rPr>
              <w:t xml:space="preserve">以上）</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灌木扶正服务</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1336.00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乔木刷白服务</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乔木刷白服务（交通段）</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105482.00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乔木刷白服务（共线段）</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绿化浇水服务</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绿化浇水服务（交通段）</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车</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514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绿化浇水服务（共线段）</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车</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191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高大乔木养护服务(登高车作业）</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5500.00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乔木整枝抹芽修剪乔木服务（胸径≥10cm）</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乔木整枝抹芽修剪乔木，胸径≥10cm服务（交通段）</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63288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乔木整枝抹芽修剪乔木，胸径≥10cm服务（共线段）</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灌木整枝抹芽修剪服务</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人工修剪灌木，球类服务（交通段）</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1071894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人工修剪灌木，球类服务（共线段）</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15000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人工修剪绿篱，花灌木服务（交通段）</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264139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shd w:val="clear" w:color="000000" w:fill="ffffff"/>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人工修剪绿篱，花灌木服务（共线段）</w:t>
            </w:r>
            <w:r/>
          </w:p>
        </w:tc>
        <w:tc>
          <w:tcPr>
            <w:shd w:val="clear" w:color="000000" w:fill="ffffff"/>
            <w:tcBorders>
              <w:top w:val="none" w:color="000000" w:sz="4" w:space="0"/>
              <w:left w:val="none" w:color="000000" w:sz="4" w:space="0"/>
              <w:bottom w:val="single" w:color="auto" w:sz="4" w:space="0"/>
              <w:right w:val="single" w:color="auto" w:sz="4" w:space="0"/>
            </w:tcBorders>
            <w:tcW w:w="668" w:type="dxa"/>
            <w:vAlign w:val="center"/>
            <w:textDirection w:val="lrTb"/>
            <w:noWrap w:val="false"/>
          </w:tcPr>
          <w:p>
            <w:pPr>
              <w:jc w:val="center"/>
              <w:widowControl/>
              <w:rPr>
                <w:rFonts w:hint="eastAsia"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3"/>
            <w:shd w:val="clear" w:color="000000" w:fill="ffffff"/>
            <w:tcBorders>
              <w:top w:val="single" w:color="auto" w:sz="4" w:space="0"/>
              <w:left w:val="single" w:color="auto" w:sz="4" w:space="0"/>
              <w:bottom w:val="single" w:color="auto" w:sz="4" w:space="0"/>
              <w:right w:val="none" w:color="000000" w:sz="4" w:space="0"/>
            </w:tcBorders>
            <w:tcW w:w="5128"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600-2</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shd w:val="clear" w:color="000000" w:fill="ffffff"/>
            <w:tcBorders>
              <w:top w:val="single" w:color="auto" w:sz="4" w:space="0"/>
              <w:left w:val="none" w:color="000000" w:sz="4" w:space="0"/>
              <w:bottom w:val="single" w:color="auto" w:sz="4" w:space="0"/>
              <w:right w:val="none" w:color="000000" w:sz="4" w:space="0"/>
            </w:tcBorders>
            <w:tcW w:w="1944"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元</w:t>
            </w:r>
            <w:r/>
          </w:p>
        </w:tc>
      </w:tr>
    </w:tbl>
    <w:p>
      <w:pPr>
        <w:pStyle w:val="1140"/>
        <w:ind w:right="105"/>
        <w:spacing w:line="560" w:lineRule="exact"/>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1140"/>
        <w:ind w:right="105"/>
        <w:spacing w:line="560" w:lineRule="exact"/>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808"/>
        <w:rPr>
          <w:rFonts w:hint="eastAsia" w:ascii="宋体" w:hAnsi="宋体" w:eastAsia="宋体"/>
          <w:color w:val="auto"/>
          <w:highlight w:val="none"/>
        </w:rPr>
      </w:pPr>
      <w:r>
        <w:rPr>
          <w:rFonts w:hint="eastAsia" w:ascii="宋体" w:hAnsi="宋体" w:cs="宋体"/>
          <w:b/>
          <w:color w:val="auto"/>
          <w:spacing w:val="15"/>
          <w:szCs w:val="21"/>
          <w:highlight w:val="none"/>
        </w:rPr>
        <w:br w:type="page" w:clear="all"/>
      </w:r>
      <w:bookmarkEnd w:id="112"/>
      <w:r/>
      <w:bookmarkStart w:id="115" w:name="_Toc31028"/>
      <w:r/>
      <w:bookmarkStart w:id="116" w:name="_Toc13129"/>
      <w:r>
        <w:rPr>
          <w:color w:val="auto"/>
        </w:rPr>
        <w:t xml:space="preserve">第</w:t>
      </w:r>
      <w:r>
        <w:rPr>
          <w:rFonts w:hint="eastAsia"/>
          <w:color w:val="auto"/>
          <w:lang w:val="en-US" w:eastAsia="zh-CN"/>
        </w:rPr>
        <w:t xml:space="preserve">八</w:t>
      </w:r>
      <w:r>
        <w:rPr>
          <w:color w:val="auto"/>
        </w:rPr>
        <w:t xml:space="preserve">章 供应商中标后需要提交核验的资料</w:t>
      </w:r>
      <w:bookmarkEnd w:id="115"/>
      <w:r/>
      <w:bookmarkEnd w:id="116"/>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t xml:space="preserve">一、</w:t>
      </w:r>
      <w:r>
        <w:rPr>
          <w:rFonts w:ascii="宋体" w:hAnsi="宋体" w:eastAsia="宋体"/>
          <w:color w:val="auto"/>
          <w:highlight w:val="none"/>
        </w:rPr>
        <w:t xml:space="preserve">具有独立承担民事责任的能力（提供法人或者其他组织的营业执照）；</w:t>
      </w:r>
      <w:r/>
    </w:p>
    <w:p>
      <w:pPr>
        <w:pStyle w:val="1092"/>
        <w:ind w:left="-178" w:firstLine="420"/>
        <w:spacing w:before="78" w:line="460" w:lineRule="exact"/>
        <w:rPr>
          <w:rFonts w:hint="eastAsia" w:ascii="宋体" w:hAnsi="宋体" w:eastAsia="宋体"/>
          <w:color w:val="auto"/>
          <w:highlight w:val="none"/>
        </w:rPr>
      </w:pPr>
      <w:r>
        <w:rPr>
          <w:rFonts w:ascii="宋体" w:hAnsi="宋体" w:eastAsia="宋体"/>
          <w:color w:val="auto"/>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p>
    <w:p>
      <w:pPr>
        <w:pStyle w:val="1092"/>
        <w:ind w:left="-178" w:firstLine="420"/>
        <w:spacing w:before="78" w:line="460" w:lineRule="exact"/>
        <w:rPr>
          <w:rFonts w:hint="eastAsia" w:ascii="宋体" w:hAnsi="宋体" w:eastAsia="宋体"/>
          <w:color w:val="auto"/>
          <w:highlight w:val="none"/>
        </w:rPr>
      </w:pPr>
      <w:r>
        <w:rPr>
          <w:rFonts w:ascii="宋体" w:hAnsi="宋体" w:eastAsia="宋体"/>
          <w:color w:val="auto"/>
          <w:highlight w:val="none"/>
        </w:rPr>
        <w:t xml:space="preserve">三、具有履行合同所必需的设备和专业技术能力（供应商根据履行采购项目合同需要，提供履行合同所必需的设备和专业技术能力的证明材料）；</w:t>
      </w:r>
      <w:r/>
    </w:p>
    <w:p>
      <w:pPr>
        <w:pStyle w:val="1092"/>
        <w:ind w:left="-178" w:firstLine="420"/>
        <w:spacing w:before="78" w:line="460" w:lineRule="exact"/>
        <w:rPr>
          <w:rFonts w:hint="eastAsia" w:ascii="宋体" w:hAnsi="宋体" w:eastAsia="宋体"/>
          <w:color w:val="auto"/>
          <w:highlight w:val="none"/>
        </w:rPr>
      </w:pPr>
      <w:r>
        <w:rPr>
          <w:rFonts w:ascii="宋体" w:hAnsi="宋体" w:eastAsia="宋体"/>
          <w:color w:val="auto"/>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1092"/>
        <w:ind w:left="-178" w:firstLine="420"/>
        <w:spacing w:before="78" w:line="460" w:lineRule="exact"/>
        <w:rPr>
          <w:rFonts w:hint="eastAsia" w:ascii="宋体" w:hAnsi="宋体" w:eastAsia="宋体"/>
          <w:color w:val="auto"/>
          <w:highlight w:val="none"/>
        </w:rPr>
      </w:pPr>
      <w:r>
        <w:rPr>
          <w:rFonts w:ascii="宋体" w:hAnsi="宋体" w:eastAsia="宋体"/>
          <w:color w:val="auto"/>
          <w:highlight w:val="none"/>
        </w:rPr>
        <w:t xml:space="preserve">五、参加政府采购活动前三年内，在经营活动中没有重大违法记录（提供书面声明或承诺书）</w:t>
      </w:r>
      <w:r>
        <w:rPr>
          <w:rFonts w:hint="eastAsia" w:ascii="宋体" w:hAnsi="宋体" w:eastAsia="宋体"/>
          <w:color w:val="auto"/>
          <w:highlight w:val="none"/>
        </w:rPr>
        <w:t xml:space="preserve">。</w:t>
      </w:r>
      <w:r>
        <w:rPr>
          <w:rFonts w:ascii="宋体" w:hAnsi="宋体" w:eastAsia="宋体"/>
          <w:color w:val="auto"/>
          <w:highlight w:val="none"/>
        </w:rPr>
        <w:br w:type="textWrapping" w:clear="all"/>
      </w:r>
      <w:r>
        <w:rPr>
          <w:rFonts w:ascii="宋体" w:hAnsi="宋体" w:eastAsia="宋体"/>
          <w:color w:val="auto"/>
          <w:highlight w:val="none"/>
        </w:rPr>
        <w:br w:type="textWrapping" w:clear="all"/>
      </w:r>
      <w:r>
        <w:rPr>
          <w:rFonts w:ascii="宋体" w:hAnsi="宋体" w:eastAsia="宋体"/>
          <w:color w:val="auto"/>
          <w:highlight w:val="none"/>
        </w:rPr>
        <w:t xml:space="preserve">注：</w:t>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t xml:space="preserve">1</w:t>
      </w:r>
      <w:r>
        <w:rPr>
          <w:rFonts w:ascii="宋体" w:hAnsi="宋体" w:eastAsia="宋体"/>
          <w:color w:val="auto"/>
          <w:highlight w:val="none"/>
        </w:rPr>
        <w:t xml:space="preserve">.以上资料如</w:t>
      </w:r>
      <w:r>
        <w:rPr>
          <w:rFonts w:hint="eastAsia" w:ascii="宋体" w:hAnsi="宋体" w:eastAsia="宋体"/>
          <w:color w:val="auto"/>
          <w:highlight w:val="none"/>
        </w:rPr>
        <w:t xml:space="preserve">电子投标</w:t>
      </w:r>
      <w:r>
        <w:rPr>
          <w:rFonts w:ascii="宋体" w:hAnsi="宋体" w:eastAsia="宋体"/>
          <w:color w:val="auto"/>
          <w:highlight w:val="none"/>
        </w:rPr>
        <w:t xml:space="preserve">文件中已提供的无需再提供</w:t>
      </w:r>
      <w:r>
        <w:rPr>
          <w:rFonts w:hint="eastAsia" w:ascii="宋体" w:hAnsi="宋体" w:eastAsia="宋体"/>
          <w:color w:val="auto"/>
          <w:highlight w:val="none"/>
        </w:rPr>
        <w:t xml:space="preserve">。</w:t>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t xml:space="preserve">2</w:t>
      </w:r>
      <w:r>
        <w:rPr>
          <w:rFonts w:ascii="宋体" w:hAnsi="宋体" w:eastAsia="宋体"/>
          <w:color w:val="auto"/>
          <w:highlight w:val="none"/>
        </w:rPr>
        <w:t xml:space="preserve">.</w:t>
      </w:r>
      <w:r>
        <w:rPr>
          <w:rFonts w:hint="eastAsia" w:ascii="宋体" w:hAnsi="宋体" w:eastAsia="宋体"/>
          <w:color w:val="auto"/>
          <w:highlight w:val="none"/>
        </w:rPr>
        <w:t xml:space="preserve">投标文件（纸质份数）：中标供应商须在领取中标通知书前提供肆份通过专用投标工具软件打印的纸质投标文件并逐页加盖单位公章。</w:t>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r>
      <w:r/>
    </w:p>
    <w:p>
      <w:pPr>
        <w:pStyle w:val="1092"/>
        <w:ind w:left="0" w:firstLine="0"/>
        <w:spacing w:before="78" w:line="460" w:lineRule="exact"/>
        <w:rPr>
          <w:rFonts w:hint="eastAsia" w:ascii="宋体" w:hAnsi="宋体" w:eastAsia="宋体"/>
          <w:color w:val="auto"/>
          <w:highlight w:val="none"/>
        </w:rPr>
      </w:pPr>
      <w:r>
        <w:rPr>
          <w:rFonts w:hint="eastAsia" w:ascii="宋体" w:hAnsi="宋体" w:eastAsia="宋体"/>
          <w:color w:val="auto"/>
          <w:highlight w:val="none"/>
        </w:rPr>
      </w:r>
      <w:r/>
    </w:p>
    <w:p>
      <w:pPr>
        <w:pStyle w:val="1092"/>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r>
      <w:r/>
    </w:p>
    <w:sectPr>
      <w:footnotePr/>
      <w:endnotePr/>
      <w:type w:val="nextPage"/>
      <w:pgSz w:w="11906" w:h="16838" w:orient="portrait"/>
      <w:pgMar w:top="1417"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大标宋简体">
    <w:panose1 w:val="020B0503020202020204"/>
  </w:font>
  <w:font w:name="ˎ̥">
    <w:panose1 w:val="020B0503020202020204"/>
  </w:font>
  <w:font w:name="Tahoma">
    <w:panose1 w:val="020B0604030504040204"/>
  </w:font>
  <w:font w:name="方正小标宋简体">
    <w:panose1 w:val="020B0503020202020204"/>
  </w:font>
  <w:font w:name="Trebuchet MS">
    <w:panose1 w:val="020B0603020202020204"/>
  </w:font>
  <w:font w:name="Wingdings">
    <w:panose1 w:val="05000000000000000000"/>
  </w:font>
  <w:font w:name="Symbol">
    <w:panose1 w:val="05050102010706020507"/>
  </w:font>
  <w:font w:name="Courier New">
    <w:panose1 w:val="02070309020205020404"/>
  </w:font>
  <w:font w:name="Cambria">
    <w:panose1 w:val="02040503050406030204"/>
  </w:font>
  <w:font w:name="Plotter">
    <w:panose1 w:val="020B0503020202020204"/>
  </w:font>
  <w:font w:name="等线">
    <w:panose1 w:val="02010600030101010101"/>
  </w:font>
  <w:font w:name="等线 Light">
    <w:panose1 w:val="02010600030101010101"/>
  </w:font>
  <w:font w:name="仿宋">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lear" w:pos="4153" w:leader="none"/>
        <w:tab w:val="center" w:pos="4734"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2909570</wp:posOffset>
              </wp:positionH>
              <wp:positionV relativeFrom="paragraph">
                <wp:posOffset>10795</wp:posOffset>
              </wp:positionV>
              <wp:extent cx="192405" cy="14795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2405" cy="147955"/>
                      </a:xfrm>
                      <a:prstGeom prst="rect">
                        <a:avLst/>
                      </a:prstGeom>
                      <a:noFill/>
                      <a:ln>
                        <a:noFill/>
                      </a:ln>
                      <a:effectLst/>
                    </wps:spPr>
                    <wps:txbx>
                      <w:txbxContent>
                        <w:p>
                          <w:pPr>
                            <w:pStyle w:val="1022"/>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29.1pt;mso-position-horizontal:absolute;mso-position-vertical-relative:text;margin-top:0.8pt;mso-position-vertical:absolute;width:15.1pt;height:11.6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1930"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01930" cy="147955"/>
                      </a:xfrm>
                      <a:prstGeom prst="rect">
                        <a:avLst/>
                      </a:prstGeom>
                      <a:noFill/>
                      <a:ln>
                        <a:noFill/>
                      </a:ln>
                      <a:effectLst/>
                    </wps:spPr>
                    <wps:txbx>
                      <w:txbxContent>
                        <w:p>
                          <w:pPr>
                            <w:pStyle w:val="1022"/>
                          </w:pPr>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9pt;height:11.6pt;mso-wrap-distance-left:9.0pt;mso-wrap-distance-top:0.0pt;mso-wrap-distance-right:9.0pt;mso-wrap-distance-bottom:0.0pt;visibility:visible;" filled="f" stroked="f">
              <v:textbox inset="0,0,0,0">
                <w:txbxContent>
                  <w:p>
                    <w:pPr>
                      <w:pStyle w:val="1022"/>
                    </w:pPr>
                    <w:r/>
                    <w:r/>
                  </w:p>
                  <w:p>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szCs w:val="56"/>
        <w:u w:val="single"/>
      </w:rPr>
      <w:pBdr>
        <w:bottom w:val="none" w:color="000000" w:sz="0" w:space="0"/>
      </w:pBdr>
    </w:pPr>
    <w:r>
      <w:rPr>
        <w:szCs w:val="56"/>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4" w:hanging="440"/>
      </w:pPr>
      <w:rPr>
        <w:rFonts w:hint="eastAsia"/>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2">
    <w:multiLevelType w:val="hybridMultilevel"/>
    <w:lvl w:ilvl="0">
      <w:start w:val="1"/>
      <w:numFmt w:val="decimal"/>
      <w:isLgl w:val="false"/>
      <w:suff w:val="tab"/>
      <w:lvlText w:val="一、"/>
      <w:lvlJc w:val="left"/>
      <w:pPr>
        <w:ind w:left="456" w:hanging="456"/>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decimal"/>
      <w:isLgl w:val="false"/>
      <w:suff w:val="tab"/>
      <w:lvlText w:val="（%1）"/>
      <w:lvlJc w:val="left"/>
      <w:pPr>
        <w:ind w:left="894" w:hanging="440"/>
      </w:pPr>
      <w:rPr>
        <w:rFonts w:hint="eastAsia"/>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8">
    <w:multiLevelType w:val="hybridMultilevel"/>
    <w:lvl w:ilvl="0">
      <w:start w:val="1"/>
      <w:numFmt w:val="decimal"/>
      <w:isLgl w:val="false"/>
      <w:suff w:val="tab"/>
      <w:lvlText w:val="（%1）"/>
      <w:lvlJc w:val="left"/>
      <w:pPr>
        <w:ind w:left="894" w:hanging="440"/>
      </w:pPr>
      <w:rPr>
        <w:rFonts w:hint="eastAsia"/>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1">
    <w:multiLevelType w:val="hybridMultilevel"/>
    <w:lvl w:ilvl="0">
      <w:start w:val="1"/>
      <w:numFmt w:val="decimal"/>
      <w:isLgl w:val="false"/>
      <w:suff w:val="tab"/>
      <w:lvlText w:val="（%1）"/>
      <w:lvlJc w:val="left"/>
      <w:pPr>
        <w:ind w:left="894" w:hanging="440"/>
      </w:pPr>
      <w:rPr>
        <w:rFonts w:hint="eastAsia"/>
        <w:sz w:val="24"/>
        <w:szCs w:val="24"/>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12">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3">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4">
    <w:multiLevelType w:val="hybridMultilevel"/>
    <w:lvl w:ilvl="0">
      <w:start w:val="1"/>
      <w:numFmt w:val="decimal"/>
      <w:isLgl w:val="false"/>
      <w:suff w:val="tab"/>
      <w:lvlText w:val="%1."/>
      <w:lvlJc w:val="left"/>
      <w:pPr>
        <w:ind w:left="1715"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5">
    <w:multiLevelType w:val="hybridMultilevel"/>
    <w:lvl w:ilvl="0">
      <w:start w:val="1"/>
      <w:numFmt w:val="decimal"/>
      <w:isLgl w:val="false"/>
      <w:suff w:val="tab"/>
      <w:lvlText w:val="%1."/>
      <w:lvlJc w:val="left"/>
      <w:pPr>
        <w:ind w:left="6253"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6">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7">
    <w:multiLevelType w:val="hybridMultilevel"/>
    <w:lvl w:ilvl="0">
      <w:start w:val="1"/>
      <w:numFmt w:val="decimal"/>
      <w:isLgl w:val="false"/>
      <w:suff w:val="tab"/>
      <w:lvlText w:val="（%1）"/>
      <w:lvlJc w:val="left"/>
      <w:pPr>
        <w:ind w:left="894" w:hanging="440"/>
      </w:pPr>
      <w:rPr>
        <w:rFonts w:hint="eastAsia"/>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18">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9">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0">
    <w:multiLevelType w:val="hybridMultilevel"/>
    <w:lvl w:ilvl="0">
      <w:start w:val="1"/>
      <w:numFmt w:val="decimal"/>
      <w:isLgl w:val="false"/>
      <w:suff w:val="tab"/>
      <w:lvlText w:val="（%1）"/>
      <w:lvlJc w:val="left"/>
      <w:pPr>
        <w:ind w:left="894" w:hanging="440"/>
      </w:pPr>
      <w:rPr>
        <w:rFonts w:hint="eastAsia"/>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21">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2">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3">
    <w:multiLevelType w:val="hybridMultilevel"/>
    <w:lvl w:ilvl="0">
      <w:start w:val="1"/>
      <w:numFmt w:val="decimal"/>
      <w:isLgl w:val="false"/>
      <w:suff w:val="tab"/>
      <w:lvlText w:val="（%1）"/>
      <w:lvlJc w:val="left"/>
      <w:pPr>
        <w:ind w:left="894" w:hanging="440"/>
      </w:pPr>
      <w:rPr>
        <w:rFonts w:hint="eastAsia"/>
        <w:sz w:val="24"/>
        <w:szCs w:val="24"/>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24">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5">
    <w:multiLevelType w:val="hybridMultilevel"/>
    <w:lvl w:ilvl="0">
      <w:start w:val="1"/>
      <w:numFmt w:val="decimal"/>
      <w:isLgl w:val="false"/>
      <w:suff w:val="tab"/>
      <w:lvlText w:val="%1."/>
      <w:lvlJc w:val="left"/>
      <w:pPr>
        <w:ind w:left="920" w:hanging="440"/>
      </w:pPr>
      <w:rPr>
        <w:color w:val="auto"/>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5"/>
  </w:num>
  <w:num w:numId="2">
    <w:abstractNumId w:val="2"/>
  </w:num>
  <w:num w:numId="3">
    <w:abstractNumId w:val="0"/>
  </w:num>
  <w:num w:numId="4">
    <w:abstractNumId w:val="3"/>
  </w:num>
  <w:num w:numId="5">
    <w:abstractNumId w:val="15"/>
  </w:num>
  <w:num w:numId="6">
    <w:abstractNumId w:val="19"/>
  </w:num>
  <w:num w:numId="7">
    <w:abstractNumId w:val="22"/>
  </w:num>
  <w:num w:numId="8">
    <w:abstractNumId w:val="20"/>
  </w:num>
  <w:num w:numId="9">
    <w:abstractNumId w:val="11"/>
  </w:num>
  <w:num w:numId="10">
    <w:abstractNumId w:val="25"/>
  </w:num>
  <w:num w:numId="11">
    <w:abstractNumId w:val="12"/>
  </w:num>
  <w:num w:numId="12">
    <w:abstractNumId w:val="10"/>
  </w:num>
  <w:num w:numId="13">
    <w:abstractNumId w:val="13"/>
  </w:num>
  <w:num w:numId="14">
    <w:abstractNumId w:val="7"/>
  </w:num>
  <w:num w:numId="15">
    <w:abstractNumId w:val="23"/>
  </w:num>
  <w:num w:numId="16">
    <w:abstractNumId w:val="16"/>
  </w:num>
  <w:num w:numId="17">
    <w:abstractNumId w:val="6"/>
  </w:num>
  <w:num w:numId="18">
    <w:abstractNumId w:val="4"/>
  </w:num>
  <w:num w:numId="19">
    <w:abstractNumId w:val="14"/>
  </w:num>
  <w:num w:numId="20">
    <w:abstractNumId w:val="24"/>
  </w:num>
  <w:num w:numId="21">
    <w:abstractNumId w:val="8"/>
  </w:num>
  <w:num w:numId="22">
    <w:abstractNumId w:val="1"/>
  </w:num>
  <w:num w:numId="23">
    <w:abstractNumId w:val="18"/>
  </w:num>
  <w:num w:numId="24">
    <w:abstractNumId w:val="21"/>
  </w:num>
  <w:num w:numId="25">
    <w:abstractNumId w:val="17"/>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Heading 1 Char"/>
    <w:basedOn w:val="817"/>
    <w:link w:val="808"/>
    <w:uiPriority w:val="9"/>
    <w:rPr>
      <w:rFonts w:ascii="Arial" w:hAnsi="Arial" w:eastAsia="Arial" w:cs="Arial"/>
      <w:sz w:val="40"/>
      <w:szCs w:val="40"/>
    </w:rPr>
  </w:style>
  <w:style w:type="character" w:styleId="771">
    <w:name w:val="Heading 2 Char"/>
    <w:basedOn w:val="817"/>
    <w:link w:val="809"/>
    <w:uiPriority w:val="9"/>
    <w:rPr>
      <w:rFonts w:ascii="Arial" w:hAnsi="Arial" w:eastAsia="Arial" w:cs="Arial"/>
      <w:sz w:val="34"/>
    </w:rPr>
  </w:style>
  <w:style w:type="character" w:styleId="772">
    <w:name w:val="Heading 3 Char"/>
    <w:basedOn w:val="817"/>
    <w:link w:val="810"/>
    <w:uiPriority w:val="9"/>
    <w:rPr>
      <w:rFonts w:ascii="Arial" w:hAnsi="Arial" w:eastAsia="Arial" w:cs="Arial"/>
      <w:sz w:val="30"/>
      <w:szCs w:val="30"/>
    </w:rPr>
  </w:style>
  <w:style w:type="character" w:styleId="773">
    <w:name w:val="Heading 4 Char"/>
    <w:basedOn w:val="817"/>
    <w:link w:val="811"/>
    <w:uiPriority w:val="9"/>
    <w:rPr>
      <w:rFonts w:ascii="Arial" w:hAnsi="Arial" w:eastAsia="Arial" w:cs="Arial"/>
      <w:b/>
      <w:bCs/>
      <w:sz w:val="26"/>
      <w:szCs w:val="26"/>
    </w:rPr>
  </w:style>
  <w:style w:type="character" w:styleId="774">
    <w:name w:val="Heading 5 Char"/>
    <w:basedOn w:val="817"/>
    <w:link w:val="812"/>
    <w:uiPriority w:val="9"/>
    <w:rPr>
      <w:rFonts w:ascii="Arial" w:hAnsi="Arial" w:eastAsia="Arial" w:cs="Arial"/>
      <w:b/>
      <w:bCs/>
      <w:sz w:val="24"/>
      <w:szCs w:val="24"/>
    </w:rPr>
  </w:style>
  <w:style w:type="character" w:styleId="775">
    <w:name w:val="Heading 6 Char"/>
    <w:basedOn w:val="817"/>
    <w:link w:val="813"/>
    <w:uiPriority w:val="9"/>
    <w:rPr>
      <w:rFonts w:ascii="Arial" w:hAnsi="Arial" w:eastAsia="Arial" w:cs="Arial"/>
      <w:b/>
      <w:bCs/>
      <w:sz w:val="22"/>
      <w:szCs w:val="22"/>
    </w:rPr>
  </w:style>
  <w:style w:type="character" w:styleId="776">
    <w:name w:val="Heading 7 Char"/>
    <w:basedOn w:val="817"/>
    <w:link w:val="814"/>
    <w:uiPriority w:val="9"/>
    <w:rPr>
      <w:rFonts w:ascii="Arial" w:hAnsi="Arial" w:eastAsia="Arial" w:cs="Arial"/>
      <w:b/>
      <w:bCs/>
      <w:i/>
      <w:iCs/>
      <w:sz w:val="22"/>
      <w:szCs w:val="22"/>
    </w:rPr>
  </w:style>
  <w:style w:type="character" w:styleId="777">
    <w:name w:val="Heading 8 Char"/>
    <w:basedOn w:val="817"/>
    <w:link w:val="815"/>
    <w:uiPriority w:val="9"/>
    <w:rPr>
      <w:rFonts w:ascii="Arial" w:hAnsi="Arial" w:eastAsia="Arial" w:cs="Arial"/>
      <w:i/>
      <w:iCs/>
      <w:sz w:val="22"/>
      <w:szCs w:val="22"/>
    </w:rPr>
  </w:style>
  <w:style w:type="character" w:styleId="778">
    <w:name w:val="Heading 9 Char"/>
    <w:basedOn w:val="817"/>
    <w:link w:val="816"/>
    <w:uiPriority w:val="9"/>
    <w:rPr>
      <w:rFonts w:ascii="Arial" w:hAnsi="Arial" w:eastAsia="Arial" w:cs="Arial"/>
      <w:i/>
      <w:iCs/>
      <w:sz w:val="21"/>
      <w:szCs w:val="21"/>
    </w:rPr>
  </w:style>
  <w:style w:type="character" w:styleId="779">
    <w:name w:val="Title Char"/>
    <w:basedOn w:val="817"/>
    <w:link w:val="841"/>
    <w:uiPriority w:val="10"/>
    <w:rPr>
      <w:sz w:val="48"/>
      <w:szCs w:val="48"/>
    </w:rPr>
  </w:style>
  <w:style w:type="character" w:styleId="780">
    <w:name w:val="Subtitle Char"/>
    <w:basedOn w:val="817"/>
    <w:link w:val="834"/>
    <w:uiPriority w:val="11"/>
    <w:rPr>
      <w:sz w:val="24"/>
      <w:szCs w:val="24"/>
    </w:rPr>
  </w:style>
  <w:style w:type="character" w:styleId="781">
    <w:name w:val="Quote Char"/>
    <w:link w:val="863"/>
    <w:uiPriority w:val="29"/>
    <w:rPr>
      <w:i/>
    </w:rPr>
  </w:style>
  <w:style w:type="character" w:styleId="782">
    <w:name w:val="Intense Quote Char"/>
    <w:link w:val="865"/>
    <w:uiPriority w:val="30"/>
    <w:rPr>
      <w:i/>
    </w:rPr>
  </w:style>
  <w:style w:type="character" w:styleId="783">
    <w:name w:val="Header Char"/>
    <w:basedOn w:val="817"/>
    <w:link w:val="831"/>
    <w:uiPriority w:val="99"/>
  </w:style>
  <w:style w:type="character" w:styleId="784">
    <w:name w:val="Caption Char"/>
    <w:basedOn w:val="823"/>
    <w:link w:val="830"/>
    <w:uiPriority w:val="99"/>
  </w:style>
  <w:style w:type="table" w:styleId="785">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4">
    <w:name w:val="Footnote Text Char"/>
    <w:link w:val="835"/>
    <w:uiPriority w:val="99"/>
    <w:rPr>
      <w:sz w:val="18"/>
    </w:rPr>
  </w:style>
  <w:style w:type="character" w:styleId="805">
    <w:name w:val="Endnote Text Char"/>
    <w:link w:val="829"/>
    <w:uiPriority w:val="99"/>
    <w:rPr>
      <w:sz w:val="20"/>
    </w:rPr>
  </w:style>
  <w:style w:type="paragraph" w:styleId="806">
    <w:name w:val="TOC Heading"/>
    <w:uiPriority w:val="39"/>
    <w:unhideWhenUsed/>
  </w:style>
  <w:style w:type="paragraph" w:styleId="807" w:default="1">
    <w:name w:val="Normal"/>
    <w:next w:val="819"/>
    <w:uiPriority w:val="0"/>
    <w:qFormat/>
    <w:pPr>
      <w:jc w:val="both"/>
      <w:widowControl w:val="off"/>
    </w:pPr>
    <w:rPr>
      <w:rFonts w:ascii="Calibri" w:hAnsi="Calibri" w:eastAsia="宋体" w:cs="Times New Roman"/>
      <w:sz w:val="21"/>
      <w:szCs w:val="22"/>
      <w:lang w:val="en-US" w:eastAsia="zh-CN" w:bidi="ar-SA"/>
    </w:rPr>
  </w:style>
  <w:style w:type="paragraph" w:styleId="808">
    <w:name w:val="Heading 1"/>
    <w:basedOn w:val="807"/>
    <w:next w:val="807"/>
    <w:link w:val="850"/>
    <w:uiPriority w:val="9"/>
    <w:qFormat/>
    <w:pPr>
      <w:jc w:val="center"/>
      <w:keepLines/>
      <w:keepNext/>
      <w:spacing w:before="480" w:after="200"/>
      <w:outlineLvl w:val="0"/>
    </w:pPr>
    <w:rPr>
      <w:rFonts w:ascii="Arial" w:hAnsi="Arial" w:eastAsia="宋体" w:cs="Arial"/>
      <w:b/>
      <w:sz w:val="36"/>
      <w:szCs w:val="40"/>
    </w:rPr>
  </w:style>
  <w:style w:type="paragraph" w:styleId="809">
    <w:name w:val="Heading 2"/>
    <w:basedOn w:val="807"/>
    <w:next w:val="807"/>
    <w:link w:val="851"/>
    <w:uiPriority w:val="9"/>
    <w:unhideWhenUsed/>
    <w:qFormat/>
    <w:pPr>
      <w:jc w:val="left"/>
      <w:keepLines/>
      <w:keepNext/>
      <w:spacing w:before="150" w:after="150"/>
      <w:outlineLvl w:val="1"/>
    </w:pPr>
    <w:rPr>
      <w:rFonts w:ascii="Arial" w:hAnsi="Arial" w:eastAsia="宋体" w:cs="Arial"/>
      <w:b/>
      <w:sz w:val="24"/>
    </w:rPr>
  </w:style>
  <w:style w:type="paragraph" w:styleId="810">
    <w:name w:val="Heading 3"/>
    <w:basedOn w:val="807"/>
    <w:next w:val="807"/>
    <w:link w:val="852"/>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807"/>
    <w:next w:val="807"/>
    <w:link w:val="853"/>
    <w:uiPriority w:val="9"/>
    <w:unhideWhenUsed/>
    <w:qFormat/>
    <w:pPr>
      <w:keepLines/>
      <w:keepNext/>
      <w:spacing w:before="320" w:after="200"/>
      <w:outlineLvl w:val="3"/>
    </w:pPr>
    <w:rPr>
      <w:rFonts w:ascii="Arial" w:hAnsi="Arial" w:eastAsia="Arial" w:cs="Arial"/>
      <w:b/>
      <w:bCs/>
      <w:sz w:val="26"/>
      <w:szCs w:val="26"/>
    </w:rPr>
  </w:style>
  <w:style w:type="paragraph" w:styleId="812">
    <w:name w:val="Heading 5"/>
    <w:basedOn w:val="807"/>
    <w:next w:val="807"/>
    <w:link w:val="854"/>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07"/>
    <w:next w:val="807"/>
    <w:link w:val="855"/>
    <w:uiPriority w:val="9"/>
    <w:unhideWhenUsed/>
    <w:qFormat/>
    <w:pPr>
      <w:keepLines/>
      <w:keepNext/>
      <w:spacing w:before="320" w:after="200"/>
      <w:outlineLvl w:val="5"/>
    </w:pPr>
    <w:rPr>
      <w:rFonts w:ascii="Arial" w:hAnsi="Arial" w:eastAsia="Arial" w:cs="Arial"/>
      <w:b/>
      <w:bCs/>
      <w:sz w:val="22"/>
    </w:rPr>
  </w:style>
  <w:style w:type="paragraph" w:styleId="814">
    <w:name w:val="Heading 7"/>
    <w:basedOn w:val="807"/>
    <w:next w:val="807"/>
    <w:link w:val="856"/>
    <w:uiPriority w:val="9"/>
    <w:unhideWhenUsed/>
    <w:qFormat/>
    <w:pPr>
      <w:keepLines/>
      <w:keepNext/>
      <w:spacing w:before="320" w:after="200"/>
      <w:outlineLvl w:val="6"/>
    </w:pPr>
    <w:rPr>
      <w:rFonts w:ascii="Arial" w:hAnsi="Arial" w:eastAsia="Arial" w:cs="Arial"/>
      <w:b/>
      <w:bCs/>
      <w:i/>
      <w:iCs/>
      <w:sz w:val="22"/>
    </w:rPr>
  </w:style>
  <w:style w:type="paragraph" w:styleId="815">
    <w:name w:val="Heading 8"/>
    <w:basedOn w:val="807"/>
    <w:next w:val="807"/>
    <w:link w:val="857"/>
    <w:uiPriority w:val="9"/>
    <w:unhideWhenUsed/>
    <w:qFormat/>
    <w:pPr>
      <w:keepLines/>
      <w:keepNext/>
      <w:spacing w:before="320" w:after="200"/>
      <w:outlineLvl w:val="7"/>
    </w:pPr>
    <w:rPr>
      <w:rFonts w:ascii="Arial" w:hAnsi="Arial" w:eastAsia="Arial" w:cs="Arial"/>
      <w:i/>
      <w:iCs/>
      <w:sz w:val="22"/>
    </w:rPr>
  </w:style>
  <w:style w:type="paragraph" w:styleId="816">
    <w:name w:val="Heading 9"/>
    <w:basedOn w:val="807"/>
    <w:next w:val="807"/>
    <w:link w:val="858"/>
    <w:uiPriority w:val="9"/>
    <w:unhideWhenUsed/>
    <w:qFormat/>
    <w:pPr>
      <w:keepLines/>
      <w:keepNext/>
      <w:spacing w:before="320" w:after="200"/>
      <w:outlineLvl w:val="8"/>
    </w:pPr>
    <w:rPr>
      <w:rFonts w:ascii="Arial" w:hAnsi="Arial" w:eastAsia="Arial" w:cs="Arial"/>
      <w:i/>
      <w:iCs/>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customStyle="1">
    <w:name w:val="正文首行缩进 21"/>
    <w:basedOn w:val="820"/>
    <w:next w:val="807"/>
    <w:uiPriority w:val="0"/>
    <w:qFormat/>
    <w:pPr>
      <w:ind w:firstLine="420"/>
      <w:spacing w:line="360" w:lineRule="auto"/>
    </w:pPr>
    <w:rPr>
      <w:rFonts w:ascii="宋体" w:hAnsi="宋体" w:eastAsia="宋体"/>
      <w:sz w:val="21"/>
      <w:szCs w:val="20"/>
    </w:rPr>
  </w:style>
  <w:style w:type="paragraph" w:styleId="820" w:customStyle="1">
    <w:name w:val="正文文本缩进11"/>
    <w:basedOn w:val="807"/>
    <w:next w:val="821"/>
    <w:uiPriority w:val="0"/>
    <w:qFormat/>
    <w:pPr>
      <w:ind w:firstLine="225"/>
    </w:pPr>
    <w:rPr>
      <w:rFonts w:ascii="仿宋_GB2312" w:eastAsia="仿宋_GB2312"/>
      <w:sz w:val="32"/>
    </w:rPr>
  </w:style>
  <w:style w:type="paragraph" w:styleId="821" w:customStyle="1">
    <w:name w:val="寄信人地址1"/>
    <w:basedOn w:val="807"/>
    <w:uiPriority w:val="0"/>
    <w:qFormat/>
    <w:rPr>
      <w:rFonts w:ascii="Arial" w:hAnsi="Arial" w:eastAsia="宋体" w:cs="宋体"/>
    </w:rPr>
  </w:style>
  <w:style w:type="paragraph" w:styleId="822">
    <w:name w:val="toc 7"/>
    <w:basedOn w:val="807"/>
    <w:next w:val="807"/>
    <w:uiPriority w:val="39"/>
    <w:unhideWhenUsed/>
    <w:qFormat/>
    <w:pPr>
      <w:ind w:left="1701"/>
      <w:spacing w:after="57"/>
    </w:pPr>
  </w:style>
  <w:style w:type="paragraph" w:styleId="823">
    <w:name w:val="Caption"/>
    <w:basedOn w:val="807"/>
    <w:next w:val="807"/>
    <w:uiPriority w:val="35"/>
    <w:semiHidden/>
    <w:unhideWhenUsed/>
    <w:qFormat/>
    <w:pPr>
      <w:spacing w:line="276" w:lineRule="auto"/>
    </w:pPr>
    <w:rPr>
      <w:b/>
      <w:bCs/>
      <w:color w:val="4f81bd"/>
      <w:sz w:val="18"/>
      <w:szCs w:val="18"/>
    </w:rPr>
  </w:style>
  <w:style w:type="paragraph" w:styleId="824">
    <w:name w:val="annotation text"/>
    <w:basedOn w:val="807"/>
    <w:uiPriority w:val="99"/>
    <w:semiHidden/>
    <w:unhideWhenUsed/>
    <w:qFormat/>
    <w:pPr>
      <w:jc w:val="left"/>
    </w:pPr>
  </w:style>
  <w:style w:type="paragraph" w:styleId="825">
    <w:name w:val="Body Text"/>
    <w:basedOn w:val="807"/>
    <w:uiPriority w:val="0"/>
    <w:semiHidden/>
    <w:qFormat/>
    <w:pPr>
      <w:jc w:val="left"/>
      <w:widowControl/>
    </w:pPr>
    <w:rPr>
      <w:rFonts w:ascii="宋体" w:hAnsi="宋体" w:cs="宋体"/>
      <w:color w:val="000000"/>
      <w:sz w:val="28"/>
      <w:szCs w:val="28"/>
      <w:lang w:eastAsia="en-US"/>
    </w:rPr>
  </w:style>
  <w:style w:type="paragraph" w:styleId="826">
    <w:name w:val="toc 5"/>
    <w:basedOn w:val="807"/>
    <w:next w:val="807"/>
    <w:uiPriority w:val="39"/>
    <w:unhideWhenUsed/>
    <w:qFormat/>
    <w:pPr>
      <w:ind w:left="1134"/>
      <w:spacing w:after="57"/>
    </w:pPr>
  </w:style>
  <w:style w:type="paragraph" w:styleId="827">
    <w:name w:val="toc 3"/>
    <w:basedOn w:val="807"/>
    <w:next w:val="807"/>
    <w:uiPriority w:val="39"/>
    <w:unhideWhenUsed/>
    <w:qFormat/>
    <w:pPr>
      <w:ind w:left="420"/>
      <w:jc w:val="left"/>
    </w:pPr>
    <w:rPr>
      <w:rFonts w:ascii="等线" w:hAnsi="Plotter" w:eastAsia="等线"/>
      <w:i/>
      <w:iCs/>
      <w:sz w:val="20"/>
      <w:szCs w:val="20"/>
    </w:rPr>
  </w:style>
  <w:style w:type="paragraph" w:styleId="828">
    <w:name w:val="toc 8"/>
    <w:basedOn w:val="807"/>
    <w:next w:val="807"/>
    <w:uiPriority w:val="39"/>
    <w:unhideWhenUsed/>
    <w:qFormat/>
    <w:pPr>
      <w:ind w:left="1984"/>
      <w:spacing w:after="57"/>
    </w:pPr>
  </w:style>
  <w:style w:type="paragraph" w:styleId="829">
    <w:name w:val="endnote text"/>
    <w:basedOn w:val="807"/>
    <w:link w:val="996"/>
    <w:uiPriority w:val="99"/>
    <w:semiHidden/>
    <w:unhideWhenUsed/>
    <w:qFormat/>
    <w:rPr>
      <w:sz w:val="20"/>
    </w:rPr>
  </w:style>
  <w:style w:type="paragraph" w:styleId="830">
    <w:name w:val="Footer"/>
    <w:basedOn w:val="807"/>
    <w:link w:val="869"/>
    <w:uiPriority w:val="99"/>
    <w:unhideWhenUsed/>
    <w:qFormat/>
    <w:pPr>
      <w:tabs>
        <w:tab w:val="center" w:pos="7143" w:leader="none"/>
        <w:tab w:val="right" w:pos="14287" w:leader="none"/>
      </w:tabs>
    </w:pPr>
  </w:style>
  <w:style w:type="paragraph" w:styleId="831">
    <w:name w:val="Header"/>
    <w:basedOn w:val="807"/>
    <w:link w:val="867"/>
    <w:uiPriority w:val="99"/>
    <w:unhideWhenUsed/>
    <w:qFormat/>
    <w:pPr>
      <w:tabs>
        <w:tab w:val="center" w:pos="7143" w:leader="none"/>
        <w:tab w:val="right" w:pos="14287" w:leader="none"/>
      </w:tabs>
    </w:pPr>
  </w:style>
  <w:style w:type="paragraph" w:styleId="832">
    <w:name w:val="toc 1"/>
    <w:basedOn w:val="807"/>
    <w:next w:val="807"/>
    <w:uiPriority w:val="39"/>
    <w:qFormat/>
    <w:pPr>
      <w:tabs>
        <w:tab w:val="right" w:pos="8456" w:leader="dot"/>
      </w:tabs>
    </w:pPr>
    <w:rPr>
      <w:rFonts w:ascii="宋体" w:hAnsi="宋体"/>
    </w:rPr>
  </w:style>
  <w:style w:type="paragraph" w:styleId="833">
    <w:name w:val="toc 4"/>
    <w:basedOn w:val="807"/>
    <w:next w:val="807"/>
    <w:uiPriority w:val="39"/>
    <w:unhideWhenUsed/>
    <w:qFormat/>
    <w:pPr>
      <w:ind w:left="850"/>
      <w:spacing w:after="57"/>
    </w:pPr>
  </w:style>
  <w:style w:type="paragraph" w:styleId="834">
    <w:name w:val="Subtitle"/>
    <w:basedOn w:val="807"/>
    <w:next w:val="807"/>
    <w:link w:val="862"/>
    <w:uiPriority w:val="11"/>
    <w:qFormat/>
    <w:pPr>
      <w:spacing w:before="200" w:after="200"/>
    </w:pPr>
    <w:rPr>
      <w:sz w:val="24"/>
      <w:szCs w:val="24"/>
    </w:rPr>
  </w:style>
  <w:style w:type="paragraph" w:styleId="835">
    <w:name w:val="footnote text"/>
    <w:basedOn w:val="807"/>
    <w:link w:val="995"/>
    <w:uiPriority w:val="99"/>
    <w:semiHidden/>
    <w:unhideWhenUsed/>
    <w:qFormat/>
    <w:pPr>
      <w:spacing w:after="40"/>
    </w:pPr>
    <w:rPr>
      <w:sz w:val="18"/>
    </w:rPr>
  </w:style>
  <w:style w:type="paragraph" w:styleId="836">
    <w:name w:val="toc 6"/>
    <w:basedOn w:val="807"/>
    <w:next w:val="807"/>
    <w:uiPriority w:val="39"/>
    <w:unhideWhenUsed/>
    <w:qFormat/>
    <w:pPr>
      <w:ind w:left="1417"/>
      <w:spacing w:after="57"/>
    </w:pPr>
  </w:style>
  <w:style w:type="paragraph" w:styleId="837">
    <w:name w:val="table of figures"/>
    <w:basedOn w:val="807"/>
    <w:next w:val="807"/>
    <w:uiPriority w:val="99"/>
    <w:unhideWhenUsed/>
    <w:qFormat/>
  </w:style>
  <w:style w:type="paragraph" w:styleId="838">
    <w:name w:val="toc 2"/>
    <w:basedOn w:val="807"/>
    <w:next w:val="807"/>
    <w:uiPriority w:val="39"/>
    <w:qFormat/>
    <w:pPr>
      <w:ind w:left="420"/>
    </w:pPr>
    <w:rPr>
      <w:rFonts w:ascii="Plotter" w:hAnsi="Plotter" w:eastAsia="微软雅黑"/>
    </w:rPr>
  </w:style>
  <w:style w:type="paragraph" w:styleId="839">
    <w:name w:val="toc 9"/>
    <w:basedOn w:val="807"/>
    <w:next w:val="807"/>
    <w:uiPriority w:val="39"/>
    <w:unhideWhenUsed/>
    <w:qFormat/>
    <w:pPr>
      <w:ind w:left="2268"/>
      <w:spacing w:after="57"/>
    </w:pPr>
  </w:style>
  <w:style w:type="paragraph" w:styleId="840">
    <w:name w:val="Normal (Web)"/>
    <w:basedOn w:val="807"/>
    <w:uiPriority w:val="99"/>
    <w:qFormat/>
    <w:pPr>
      <w:jc w:val="left"/>
    </w:pPr>
    <w:rPr>
      <w:rFonts w:ascii="Plotter" w:hAnsi="Plotter" w:eastAsia="微软雅黑"/>
      <w:sz w:val="24"/>
    </w:rPr>
  </w:style>
  <w:style w:type="paragraph" w:styleId="841">
    <w:name w:val="Title"/>
    <w:basedOn w:val="807"/>
    <w:next w:val="807"/>
    <w:link w:val="861"/>
    <w:uiPriority w:val="10"/>
    <w:qFormat/>
    <w:pPr>
      <w:contextualSpacing/>
      <w:spacing w:before="300" w:after="200"/>
    </w:pPr>
    <w:rPr>
      <w:sz w:val="48"/>
      <w:szCs w:val="48"/>
    </w:rPr>
  </w:style>
  <w:style w:type="table" w:styleId="8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endnote reference"/>
    <w:uiPriority w:val="99"/>
    <w:semiHidden/>
    <w:unhideWhenUsed/>
    <w:qFormat/>
    <w:rPr>
      <w:vertAlign w:val="superscript"/>
    </w:rPr>
  </w:style>
  <w:style w:type="character" w:styleId="844">
    <w:name w:val="Hyperlink"/>
    <w:uiPriority w:val="99"/>
    <w:unhideWhenUsed/>
    <w:qFormat/>
    <w:rPr>
      <w:color w:val="0000ff"/>
      <w:u w:val="single"/>
    </w:rPr>
  </w:style>
  <w:style w:type="character" w:styleId="845">
    <w:name w:val="annotation reference"/>
    <w:basedOn w:val="817"/>
    <w:uiPriority w:val="99"/>
    <w:semiHidden/>
    <w:unhideWhenUsed/>
    <w:qFormat/>
    <w:rPr>
      <w:sz w:val="21"/>
      <w:szCs w:val="21"/>
    </w:rPr>
  </w:style>
  <w:style w:type="character" w:styleId="846">
    <w:name w:val="footnote reference"/>
    <w:uiPriority w:val="99"/>
    <w:unhideWhenUsed/>
    <w:qFormat/>
    <w:rPr>
      <w:vertAlign w:val="superscript"/>
    </w:rPr>
  </w:style>
  <w:style w:type="paragraph" w:styleId="847" w:customStyle="1">
    <w:name w:val="正文文本缩进1"/>
    <w:basedOn w:val="807"/>
    <w:next w:val="807"/>
    <w:link w:val="1014"/>
    <w:uiPriority w:val="0"/>
    <w:unhideWhenUsed/>
    <w:qFormat/>
    <w:pPr>
      <w:ind w:firstLine="420"/>
      <w:spacing w:line="360" w:lineRule="auto"/>
    </w:pPr>
    <w:rPr>
      <w:rFonts w:ascii="宋体" w:hAnsi="Times New Roman"/>
      <w:sz w:val="24"/>
      <w:szCs w:val="20"/>
    </w:rPr>
  </w:style>
  <w:style w:type="paragraph" w:styleId="848" w:customStyle="1">
    <w:name w:val="首行缩进"/>
    <w:basedOn w:val="807"/>
    <w:uiPriority w:val="0"/>
    <w:qFormat/>
    <w:pPr>
      <w:ind w:firstLine="480"/>
      <w:jc w:val="left"/>
      <w:spacing w:line="360" w:lineRule="auto"/>
    </w:pPr>
    <w:rPr>
      <w:rFonts w:ascii="宋体" w:hAnsi="宋体" w:cs="宋体"/>
      <w:sz w:val="24"/>
      <w:szCs w:val="24"/>
    </w:rPr>
  </w:style>
  <w:style w:type="paragraph" w:styleId="849" w:customStyle="1">
    <w:name w:val="索引 41"/>
    <w:basedOn w:val="807"/>
    <w:next w:val="807"/>
    <w:uiPriority w:val="0"/>
    <w:semiHidden/>
    <w:qFormat/>
    <w:pPr>
      <w:ind w:left="1260"/>
    </w:pPr>
    <w:rPr>
      <w:rFonts w:eastAsia="Calibri" w:cs="宋体"/>
      <w:sz w:val="20"/>
      <w:lang w:val="zh-CN"/>
    </w:rPr>
  </w:style>
  <w:style w:type="character" w:styleId="850" w:customStyle="1">
    <w:name w:val="标题 1 字符1"/>
    <w:link w:val="808"/>
    <w:uiPriority w:val="9"/>
    <w:qFormat/>
    <w:rPr>
      <w:rFonts w:ascii="Arial" w:hAnsi="Arial" w:eastAsia="宋体" w:cs="Arial"/>
      <w:b/>
      <w:sz w:val="36"/>
      <w:szCs w:val="40"/>
    </w:rPr>
  </w:style>
  <w:style w:type="character" w:styleId="851" w:customStyle="1">
    <w:name w:val="标题 2 字符1"/>
    <w:link w:val="809"/>
    <w:uiPriority w:val="9"/>
    <w:qFormat/>
    <w:rPr>
      <w:rFonts w:ascii="Arial" w:hAnsi="Arial" w:eastAsia="宋体" w:cs="Arial"/>
      <w:b/>
      <w:sz w:val="24"/>
    </w:rPr>
  </w:style>
  <w:style w:type="character" w:styleId="852" w:customStyle="1">
    <w:name w:val="标题 3 字符1"/>
    <w:link w:val="810"/>
    <w:uiPriority w:val="9"/>
    <w:qFormat/>
    <w:rPr>
      <w:rFonts w:ascii="Arial" w:hAnsi="Arial" w:eastAsia="Arial" w:cs="Arial"/>
      <w:sz w:val="30"/>
      <w:szCs w:val="30"/>
    </w:rPr>
  </w:style>
  <w:style w:type="character" w:styleId="853" w:customStyle="1">
    <w:name w:val="标题 4 字符"/>
    <w:link w:val="811"/>
    <w:uiPriority w:val="9"/>
    <w:qFormat/>
    <w:rPr>
      <w:rFonts w:ascii="Arial" w:hAnsi="Arial" w:eastAsia="Arial" w:cs="Arial"/>
      <w:b/>
      <w:bCs/>
      <w:sz w:val="26"/>
      <w:szCs w:val="26"/>
    </w:rPr>
  </w:style>
  <w:style w:type="character" w:styleId="854" w:customStyle="1">
    <w:name w:val="标题 5 字符"/>
    <w:link w:val="812"/>
    <w:uiPriority w:val="9"/>
    <w:qFormat/>
    <w:rPr>
      <w:rFonts w:ascii="Arial" w:hAnsi="Arial" w:eastAsia="Arial" w:cs="Arial"/>
      <w:b/>
      <w:bCs/>
      <w:sz w:val="24"/>
      <w:szCs w:val="24"/>
    </w:rPr>
  </w:style>
  <w:style w:type="character" w:styleId="855" w:customStyle="1">
    <w:name w:val="标题 6 字符"/>
    <w:link w:val="813"/>
    <w:uiPriority w:val="9"/>
    <w:qFormat/>
    <w:rPr>
      <w:rFonts w:ascii="Arial" w:hAnsi="Arial" w:eastAsia="Arial" w:cs="Arial"/>
      <w:b/>
      <w:bCs/>
      <w:sz w:val="22"/>
      <w:szCs w:val="22"/>
    </w:rPr>
  </w:style>
  <w:style w:type="character" w:styleId="856" w:customStyle="1">
    <w:name w:val="标题 7 字符"/>
    <w:link w:val="814"/>
    <w:uiPriority w:val="9"/>
    <w:qFormat/>
    <w:rPr>
      <w:rFonts w:ascii="Arial" w:hAnsi="Arial" w:eastAsia="Arial" w:cs="Arial"/>
      <w:b/>
      <w:bCs/>
      <w:i/>
      <w:iCs/>
      <w:sz w:val="22"/>
      <w:szCs w:val="22"/>
    </w:rPr>
  </w:style>
  <w:style w:type="character" w:styleId="857" w:customStyle="1">
    <w:name w:val="标题 8 字符"/>
    <w:link w:val="815"/>
    <w:uiPriority w:val="9"/>
    <w:qFormat/>
    <w:rPr>
      <w:rFonts w:ascii="Arial" w:hAnsi="Arial" w:eastAsia="Arial" w:cs="Arial"/>
      <w:i/>
      <w:iCs/>
      <w:sz w:val="22"/>
      <w:szCs w:val="22"/>
    </w:rPr>
  </w:style>
  <w:style w:type="character" w:styleId="858" w:customStyle="1">
    <w:name w:val="标题 9 字符"/>
    <w:link w:val="816"/>
    <w:uiPriority w:val="9"/>
    <w:qFormat/>
    <w:rPr>
      <w:rFonts w:ascii="Arial" w:hAnsi="Arial" w:eastAsia="Arial" w:cs="Arial"/>
      <w:i/>
      <w:iCs/>
      <w:sz w:val="21"/>
      <w:szCs w:val="21"/>
    </w:rPr>
  </w:style>
  <w:style w:type="paragraph" w:styleId="859">
    <w:name w:val="List Paragraph"/>
    <w:basedOn w:val="807"/>
    <w:uiPriority w:val="34"/>
    <w:qFormat/>
    <w:pPr>
      <w:contextualSpacing/>
      <w:ind w:left="720"/>
    </w:pPr>
  </w:style>
  <w:style w:type="paragraph" w:styleId="860">
    <w:name w:val="No Spacing"/>
    <w:uiPriority w:val="1"/>
    <w:qFormat/>
    <w:rPr>
      <w:rFonts w:ascii="Times New Roman" w:hAnsi="Times New Roman" w:eastAsia="宋体" w:cs="Times New Roman"/>
      <w:lang w:val="en-US" w:eastAsia="zh-CN" w:bidi="ar-SA"/>
    </w:rPr>
  </w:style>
  <w:style w:type="character" w:styleId="861" w:customStyle="1">
    <w:name w:val="标题 字符1"/>
    <w:link w:val="841"/>
    <w:uiPriority w:val="10"/>
    <w:qFormat/>
    <w:rPr>
      <w:sz w:val="48"/>
      <w:szCs w:val="48"/>
    </w:rPr>
  </w:style>
  <w:style w:type="character" w:styleId="862" w:customStyle="1">
    <w:name w:val="副标题 字符1"/>
    <w:link w:val="834"/>
    <w:uiPriority w:val="11"/>
    <w:qFormat/>
    <w:rPr>
      <w:sz w:val="24"/>
      <w:szCs w:val="24"/>
    </w:rPr>
  </w:style>
  <w:style w:type="paragraph" w:styleId="863">
    <w:name w:val="Quote"/>
    <w:basedOn w:val="807"/>
    <w:next w:val="807"/>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807"/>
    <w:next w:val="807"/>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页眉 字符1"/>
    <w:link w:val="831"/>
    <w:uiPriority w:val="99"/>
    <w:qFormat/>
  </w:style>
  <w:style w:type="character" w:styleId="868" w:customStyle="1">
    <w:name w:val="Footer Char"/>
    <w:uiPriority w:val="99"/>
    <w:qFormat/>
  </w:style>
  <w:style w:type="character" w:styleId="869" w:customStyle="1">
    <w:name w:val="页脚 字符1"/>
    <w:link w:val="830"/>
    <w:uiPriority w:val="99"/>
    <w:qFormat/>
  </w:style>
  <w:style w:type="table" w:styleId="87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3" w:customStyle="1">
    <w:name w:val="无格式表格 31"/>
    <w:uiPriority w:val="99"/>
    <w:qFormat/>
    <w:tblPr>
      <w:tblCellMar>
        <w:left w:w="0" w:type="dxa"/>
        <w:top w:w="0" w:type="dxa"/>
        <w:right w:w="0" w:type="dxa"/>
        <w:bottom w:w="0" w:type="dxa"/>
      </w:tblCellMar>
    </w:tblPr>
  </w:style>
  <w:style w:type="table" w:styleId="874" w:customStyle="1">
    <w:name w:val="无格式表格 41"/>
    <w:uiPriority w:val="99"/>
    <w:qFormat/>
    <w:tblPr>
      <w:tblCellMar>
        <w:left w:w="0" w:type="dxa"/>
        <w:top w:w="0" w:type="dxa"/>
        <w:right w:w="0" w:type="dxa"/>
        <w:bottom w:w="0" w:type="dxa"/>
      </w:tblCellMar>
    </w:tblPr>
  </w:style>
  <w:style w:type="table" w:styleId="875" w:customStyle="1">
    <w:name w:val="无格式表格 51"/>
    <w:uiPriority w:val="99"/>
    <w:qFormat/>
    <w:tblPr>
      <w:tblCellMar>
        <w:left w:w="0" w:type="dxa"/>
        <w:top w:w="0" w:type="dxa"/>
        <w:right w:w="0" w:type="dxa"/>
        <w:bottom w:w="0" w:type="dxa"/>
      </w:tblCellMar>
    </w:tblPr>
  </w:style>
  <w:style w:type="table" w:styleId="87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customStyle="1">
    <w:name w:val="清单表 1 浅色1"/>
    <w:uiPriority w:val="99"/>
    <w:qFormat/>
    <w:tblPr>
      <w:tblCellMar>
        <w:left w:w="0" w:type="dxa"/>
        <w:top w:w="0" w:type="dxa"/>
        <w:right w:w="0" w:type="dxa"/>
        <w:bottom w:w="0" w:type="dxa"/>
      </w:tblCellMar>
    </w:tblPr>
  </w:style>
  <w:style w:type="table" w:styleId="926" w:customStyle="1">
    <w:name w:val="List Table 1 Light - Accent 1"/>
    <w:uiPriority w:val="99"/>
    <w:qFormat/>
    <w:tblPr>
      <w:tblCellMar>
        <w:left w:w="0" w:type="dxa"/>
        <w:top w:w="0" w:type="dxa"/>
        <w:right w:w="0" w:type="dxa"/>
        <w:bottom w:w="0" w:type="dxa"/>
      </w:tblCellMar>
    </w:tblPr>
  </w:style>
  <w:style w:type="table" w:styleId="927" w:customStyle="1">
    <w:name w:val="List Table 1 Light - Accent 2"/>
    <w:uiPriority w:val="99"/>
    <w:qFormat/>
    <w:tblPr>
      <w:tblCellMar>
        <w:left w:w="0" w:type="dxa"/>
        <w:top w:w="0" w:type="dxa"/>
        <w:right w:w="0" w:type="dxa"/>
        <w:bottom w:w="0" w:type="dxa"/>
      </w:tblCellMar>
    </w:tblPr>
  </w:style>
  <w:style w:type="table" w:styleId="928" w:customStyle="1">
    <w:name w:val="List Table 1 Light - Accent 3"/>
    <w:uiPriority w:val="99"/>
    <w:qFormat/>
    <w:tblPr>
      <w:tblCellMar>
        <w:left w:w="0" w:type="dxa"/>
        <w:top w:w="0" w:type="dxa"/>
        <w:right w:w="0" w:type="dxa"/>
        <w:bottom w:w="0" w:type="dxa"/>
      </w:tblCellMar>
    </w:tblPr>
  </w:style>
  <w:style w:type="table" w:styleId="929" w:customStyle="1">
    <w:name w:val="List Table 1 Light - Accent 4"/>
    <w:uiPriority w:val="99"/>
    <w:qFormat/>
    <w:tblPr>
      <w:tblCellMar>
        <w:left w:w="0" w:type="dxa"/>
        <w:top w:w="0" w:type="dxa"/>
        <w:right w:w="0" w:type="dxa"/>
        <w:bottom w:w="0" w:type="dxa"/>
      </w:tblCellMar>
    </w:tblPr>
  </w:style>
  <w:style w:type="table" w:styleId="930" w:customStyle="1">
    <w:name w:val="List Table 1 Light - Accent 5"/>
    <w:uiPriority w:val="99"/>
    <w:qFormat/>
    <w:tblPr>
      <w:tblCellMar>
        <w:left w:w="0" w:type="dxa"/>
        <w:top w:w="0" w:type="dxa"/>
        <w:right w:w="0" w:type="dxa"/>
        <w:bottom w:w="0" w:type="dxa"/>
      </w:tblCellMar>
    </w:tblPr>
  </w:style>
  <w:style w:type="table" w:styleId="931" w:customStyle="1">
    <w:name w:val="List Table 1 Light - Accent 6"/>
    <w:uiPriority w:val="99"/>
    <w:qFormat/>
    <w:tblPr>
      <w:tblCellMar>
        <w:left w:w="0" w:type="dxa"/>
        <w:top w:w="0" w:type="dxa"/>
        <w:right w:w="0" w:type="dxa"/>
        <w:bottom w:w="0" w:type="dxa"/>
      </w:tblCellMar>
    </w:tblPr>
  </w:style>
  <w:style w:type="table" w:styleId="93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4" w:customStyle="1">
    <w:name w:val="Lined - Accent"/>
    <w:uiPriority w:val="99"/>
    <w:qFormat/>
    <w:rPr>
      <w:color w:val="404040"/>
    </w:rPr>
    <w:tblPr>
      <w:tblCellMar>
        <w:left w:w="0" w:type="dxa"/>
        <w:top w:w="0" w:type="dxa"/>
        <w:right w:w="0" w:type="dxa"/>
        <w:bottom w:w="0" w:type="dxa"/>
      </w:tblCellMar>
    </w:tblPr>
  </w:style>
  <w:style w:type="table" w:styleId="975" w:customStyle="1">
    <w:name w:val="Lined - Accent 1"/>
    <w:uiPriority w:val="99"/>
    <w:qFormat/>
    <w:rPr>
      <w:color w:val="404040"/>
    </w:rPr>
    <w:tblPr>
      <w:tblCellMar>
        <w:left w:w="0" w:type="dxa"/>
        <w:top w:w="0" w:type="dxa"/>
        <w:right w:w="0" w:type="dxa"/>
        <w:bottom w:w="0" w:type="dxa"/>
      </w:tblCellMar>
    </w:tblPr>
  </w:style>
  <w:style w:type="table" w:styleId="976" w:customStyle="1">
    <w:name w:val="Lined - Accent 2"/>
    <w:uiPriority w:val="99"/>
    <w:qFormat/>
    <w:rPr>
      <w:color w:val="404040"/>
    </w:rPr>
    <w:tblPr>
      <w:tblCellMar>
        <w:left w:w="0" w:type="dxa"/>
        <w:top w:w="0" w:type="dxa"/>
        <w:right w:w="0" w:type="dxa"/>
        <w:bottom w:w="0" w:type="dxa"/>
      </w:tblCellMar>
    </w:tblPr>
  </w:style>
  <w:style w:type="table" w:styleId="977" w:customStyle="1">
    <w:name w:val="Lined - Accent 3"/>
    <w:uiPriority w:val="99"/>
    <w:qFormat/>
    <w:rPr>
      <w:color w:val="404040"/>
    </w:rPr>
    <w:tblPr>
      <w:tblCellMar>
        <w:left w:w="0" w:type="dxa"/>
        <w:top w:w="0" w:type="dxa"/>
        <w:right w:w="0" w:type="dxa"/>
        <w:bottom w:w="0" w:type="dxa"/>
      </w:tblCellMar>
    </w:tblPr>
  </w:style>
  <w:style w:type="table" w:styleId="978" w:customStyle="1">
    <w:name w:val="Lined - Accent 4"/>
    <w:uiPriority w:val="99"/>
    <w:qFormat/>
    <w:rPr>
      <w:color w:val="404040"/>
    </w:rPr>
    <w:tblPr>
      <w:tblCellMar>
        <w:left w:w="0" w:type="dxa"/>
        <w:top w:w="0" w:type="dxa"/>
        <w:right w:w="0" w:type="dxa"/>
        <w:bottom w:w="0" w:type="dxa"/>
      </w:tblCellMar>
    </w:tblPr>
  </w:style>
  <w:style w:type="table" w:styleId="979" w:customStyle="1">
    <w:name w:val="Lined - Accent 5"/>
    <w:uiPriority w:val="99"/>
    <w:qFormat/>
    <w:rPr>
      <w:color w:val="404040"/>
    </w:rPr>
    <w:tblPr>
      <w:tblCellMar>
        <w:left w:w="0" w:type="dxa"/>
        <w:top w:w="0" w:type="dxa"/>
        <w:right w:w="0" w:type="dxa"/>
        <w:bottom w:w="0" w:type="dxa"/>
      </w:tblCellMar>
    </w:tblPr>
  </w:style>
  <w:style w:type="table" w:styleId="980" w:customStyle="1">
    <w:name w:val="Lined - Accent 6"/>
    <w:uiPriority w:val="99"/>
    <w:qFormat/>
    <w:rPr>
      <w:color w:val="404040"/>
    </w:rPr>
    <w:tblPr>
      <w:tblCellMar>
        <w:left w:w="0" w:type="dxa"/>
        <w:top w:w="0" w:type="dxa"/>
        <w:right w:w="0" w:type="dxa"/>
        <w:bottom w:w="0" w:type="dxa"/>
      </w:tblCellMar>
    </w:tblPr>
  </w:style>
  <w:style w:type="table" w:styleId="98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5" w:customStyle="1">
    <w:name w:val="脚注文本 字符"/>
    <w:link w:val="835"/>
    <w:uiPriority w:val="99"/>
    <w:qFormat/>
    <w:rPr>
      <w:sz w:val="18"/>
    </w:rPr>
  </w:style>
  <w:style w:type="character" w:styleId="996" w:customStyle="1">
    <w:name w:val="尾注文本 字符"/>
    <w:link w:val="829"/>
    <w:uiPriority w:val="99"/>
    <w:qFormat/>
    <w:rPr>
      <w:sz w:val="20"/>
    </w:rPr>
  </w:style>
  <w:style w:type="paragraph" w:styleId="997" w:customStyle="1">
    <w:name w:val="TOC 标题1"/>
    <w:uiPriority w:val="39"/>
    <w:unhideWhenUsed/>
    <w:qFormat/>
    <w:rPr>
      <w:rFonts w:ascii="Times New Roman" w:hAnsi="Times New Roman" w:eastAsia="宋体" w:cs="Times New Roman"/>
      <w:lang w:val="en-US" w:eastAsia="zh-CN" w:bidi="ar-SA"/>
    </w:rPr>
  </w:style>
  <w:style w:type="paragraph" w:styleId="998" w:customStyle="1">
    <w:name w:val="标题 11"/>
    <w:basedOn w:val="807"/>
    <w:next w:val="807"/>
    <w:link w:val="1005"/>
    <w:uiPriority w:val="0"/>
    <w:qFormat/>
    <w:pPr>
      <w:keepLines/>
      <w:keepNext/>
      <w:spacing w:before="340" w:after="330" w:line="578" w:lineRule="auto"/>
      <w:outlineLvl w:val="0"/>
    </w:pPr>
    <w:rPr>
      <w:b/>
      <w:bCs/>
      <w:sz w:val="44"/>
      <w:szCs w:val="44"/>
    </w:rPr>
  </w:style>
  <w:style w:type="paragraph" w:styleId="999" w:customStyle="1">
    <w:name w:val="标题 21"/>
    <w:basedOn w:val="807"/>
    <w:next w:val="807"/>
    <w:link w:val="1006"/>
    <w:uiPriority w:val="0"/>
    <w:qFormat/>
    <w:pPr>
      <w:keepLines/>
      <w:keepNext/>
      <w:spacing w:before="260" w:after="260" w:line="416" w:lineRule="auto"/>
      <w:outlineLvl w:val="1"/>
    </w:pPr>
    <w:rPr>
      <w:rFonts w:ascii="等线 Light" w:hAnsi="等线 Light" w:eastAsia="等线 Light"/>
      <w:b/>
      <w:bCs/>
      <w:sz w:val="32"/>
      <w:szCs w:val="32"/>
    </w:rPr>
  </w:style>
  <w:style w:type="paragraph" w:styleId="1000" w:customStyle="1">
    <w:name w:val="标题 31"/>
    <w:basedOn w:val="998"/>
    <w:next w:val="1001"/>
    <w:link w:val="1007"/>
    <w:uiPriority w:val="0"/>
    <w:qFormat/>
    <w:pPr>
      <w:ind w:left="720" w:hanging="720"/>
      <w:jc w:val="center"/>
      <w:spacing w:before="240" w:after="240" w:line="360" w:lineRule="auto"/>
      <w:outlineLvl w:val="2"/>
    </w:pPr>
    <w:rPr>
      <w:rFonts w:eastAsia="仿宋"/>
      <w:sz w:val="24"/>
    </w:rPr>
  </w:style>
  <w:style w:type="paragraph" w:styleId="1001" w:customStyle="1">
    <w:name w:val="正文缩进1"/>
    <w:basedOn w:val="807"/>
    <w:link w:val="1008"/>
    <w:uiPriority w:val="0"/>
    <w:qFormat/>
    <w:pPr>
      <w:ind w:firstLine="420"/>
    </w:pPr>
    <w:rPr>
      <w:szCs w:val="20"/>
    </w:rPr>
  </w:style>
  <w:style w:type="paragraph" w:styleId="1002" w:customStyle="1">
    <w:name w:val="标题 41"/>
    <w:basedOn w:val="807"/>
    <w:next w:val="807"/>
    <w:uiPriority w:val="0"/>
    <w:qFormat/>
    <w:pPr>
      <w:keepLines/>
      <w:keepNext/>
      <w:spacing w:before="120" w:after="120"/>
      <w:outlineLvl w:val="3"/>
    </w:pPr>
    <w:rPr>
      <w:rFonts w:ascii="Arial" w:hAnsi="Arial" w:eastAsia="黑体"/>
      <w:b/>
      <w:sz w:val="20"/>
      <w:szCs w:val="20"/>
    </w:rPr>
  </w:style>
  <w:style w:type="character" w:styleId="1003" w:customStyle="1">
    <w:name w:val="默认段落字体1"/>
    <w:uiPriority w:val="1"/>
    <w:unhideWhenUsed/>
    <w:qFormat/>
  </w:style>
  <w:style w:type="table" w:styleId="1004" w:customStyle="1">
    <w:name w:val="普通表格1"/>
    <w:uiPriority w:val="99"/>
    <w:unhideWhenUsed/>
    <w:qFormat/>
    <w:tblPr>
      <w:tblCellMar>
        <w:left w:w="0" w:type="dxa"/>
        <w:top w:w="0" w:type="dxa"/>
        <w:right w:w="0" w:type="dxa"/>
        <w:bottom w:w="0" w:type="dxa"/>
      </w:tblCellMar>
    </w:tblPr>
  </w:style>
  <w:style w:type="character" w:styleId="1005" w:customStyle="1">
    <w:name w:val="标题 1 字符"/>
    <w:link w:val="998"/>
    <w:uiPriority w:val="0"/>
    <w:qFormat/>
    <w:rPr>
      <w:rFonts w:ascii="Calibri" w:hAnsi="Calibri"/>
      <w:b/>
      <w:bCs/>
      <w:sz w:val="44"/>
      <w:szCs w:val="44"/>
    </w:rPr>
  </w:style>
  <w:style w:type="character" w:styleId="1006" w:customStyle="1">
    <w:name w:val="标题 2 字符"/>
    <w:link w:val="999"/>
    <w:uiPriority w:val="0"/>
    <w:qFormat/>
    <w:rPr>
      <w:rFonts w:ascii="等线 Light" w:hAnsi="等线 Light" w:eastAsia="等线 Light"/>
      <w:b/>
      <w:bCs/>
      <w:sz w:val="32"/>
      <w:szCs w:val="32"/>
    </w:rPr>
  </w:style>
  <w:style w:type="character" w:styleId="1007" w:customStyle="1">
    <w:name w:val="标题 3 字符"/>
    <w:link w:val="1000"/>
    <w:uiPriority w:val="0"/>
    <w:qFormat/>
    <w:rPr>
      <w:rFonts w:ascii="Calibri" w:hAnsi="Calibri" w:eastAsia="仿宋"/>
      <w:b/>
      <w:bCs/>
      <w:sz w:val="24"/>
      <w:szCs w:val="44"/>
    </w:rPr>
  </w:style>
  <w:style w:type="character" w:styleId="1008" w:customStyle="1">
    <w:name w:val="正文缩进 字符"/>
    <w:link w:val="1001"/>
    <w:uiPriority w:val="0"/>
    <w:qFormat/>
    <w:rPr>
      <w:rFonts w:ascii="Calibri" w:hAnsi="Calibri"/>
      <w:sz w:val="21"/>
    </w:rPr>
  </w:style>
  <w:style w:type="paragraph" w:styleId="1009" w:customStyle="1">
    <w:name w:val="引文目录标题1"/>
    <w:basedOn w:val="807"/>
    <w:next w:val="807"/>
    <w:uiPriority w:val="99"/>
    <w:unhideWhenUsed/>
    <w:qFormat/>
    <w:pPr>
      <w:spacing w:before="120"/>
    </w:pPr>
    <w:rPr>
      <w:rFonts w:ascii="Cambria" w:hAnsi="Cambria"/>
      <w:sz w:val="24"/>
      <w:szCs w:val="24"/>
    </w:rPr>
  </w:style>
  <w:style w:type="paragraph" w:styleId="1010" w:customStyle="1">
    <w:name w:val="批注文字1"/>
    <w:basedOn w:val="807"/>
    <w:link w:val="1011"/>
    <w:uiPriority w:val="0"/>
    <w:qFormat/>
    <w:pPr>
      <w:jc w:val="left"/>
    </w:pPr>
    <w:rPr>
      <w:szCs w:val="20"/>
    </w:rPr>
  </w:style>
  <w:style w:type="character" w:styleId="1011" w:customStyle="1">
    <w:name w:val="批注文字 字符"/>
    <w:link w:val="1010"/>
    <w:uiPriority w:val="0"/>
    <w:qFormat/>
    <w:rPr>
      <w:rFonts w:ascii="Calibri" w:hAnsi="Calibri"/>
      <w:sz w:val="21"/>
    </w:rPr>
  </w:style>
  <w:style w:type="paragraph" w:styleId="1012" w:customStyle="1">
    <w:name w:val="正文文本1"/>
    <w:basedOn w:val="807"/>
    <w:link w:val="1013"/>
    <w:uiPriority w:val="0"/>
    <w:qFormat/>
    <w:pPr>
      <w:spacing w:after="120"/>
    </w:pPr>
  </w:style>
  <w:style w:type="character" w:styleId="1013" w:customStyle="1">
    <w:name w:val="正文文本 字符"/>
    <w:link w:val="1012"/>
    <w:uiPriority w:val="0"/>
    <w:qFormat/>
    <w:rPr>
      <w:rFonts w:ascii="Calibri" w:hAnsi="Calibri"/>
      <w:sz w:val="21"/>
      <w:szCs w:val="22"/>
    </w:rPr>
  </w:style>
  <w:style w:type="character" w:styleId="1014" w:customStyle="1">
    <w:name w:val="正文文本缩进 字符"/>
    <w:link w:val="847"/>
    <w:uiPriority w:val="0"/>
    <w:qFormat/>
    <w:rPr>
      <w:rFonts w:ascii="宋体"/>
      <w:sz w:val="24"/>
    </w:rPr>
  </w:style>
  <w:style w:type="paragraph" w:styleId="1015" w:customStyle="1">
    <w:name w:val="纯文本11"/>
    <w:basedOn w:val="807"/>
    <w:link w:val="1016"/>
    <w:uiPriority w:val="0"/>
    <w:qFormat/>
    <w:rPr>
      <w:rFonts w:ascii="宋体" w:hAnsi="Courier New"/>
    </w:rPr>
  </w:style>
  <w:style w:type="character" w:styleId="1016" w:customStyle="1">
    <w:name w:val="纯文本 字符"/>
    <w:link w:val="1015"/>
    <w:uiPriority w:val="0"/>
    <w:qFormat/>
    <w:rPr>
      <w:rFonts w:ascii="宋体" w:hAnsi="Courier New"/>
      <w:sz w:val="21"/>
      <w:szCs w:val="22"/>
    </w:rPr>
  </w:style>
  <w:style w:type="paragraph" w:styleId="1017" w:customStyle="1">
    <w:name w:val="日期1"/>
    <w:basedOn w:val="807"/>
    <w:next w:val="807"/>
    <w:link w:val="1018"/>
    <w:uiPriority w:val="0"/>
    <w:qFormat/>
    <w:rPr>
      <w:rFonts w:ascii="宋体" w:hAnsi="Times New Roman"/>
      <w:sz w:val="28"/>
      <w:szCs w:val="20"/>
    </w:rPr>
  </w:style>
  <w:style w:type="character" w:styleId="1018" w:customStyle="1">
    <w:name w:val="日期 字符1"/>
    <w:link w:val="1017"/>
    <w:uiPriority w:val="0"/>
    <w:qFormat/>
    <w:rPr>
      <w:rFonts w:ascii="宋体"/>
      <w:sz w:val="28"/>
    </w:rPr>
  </w:style>
  <w:style w:type="paragraph" w:styleId="1019" w:customStyle="1">
    <w:name w:val="正文文本缩进 21"/>
    <w:basedOn w:val="807"/>
    <w:uiPriority w:val="0"/>
    <w:qFormat/>
    <w:pPr>
      <w:ind w:left="630" w:firstLine="645"/>
    </w:pPr>
    <w:rPr>
      <w:rFonts w:ascii="Arial" w:hAnsi="Arial" w:eastAsia="仿宋_GB2312"/>
      <w:sz w:val="32"/>
      <w:szCs w:val="20"/>
    </w:rPr>
  </w:style>
  <w:style w:type="paragraph" w:styleId="1020" w:customStyle="1">
    <w:name w:val="批注框文本1"/>
    <w:basedOn w:val="807"/>
    <w:link w:val="1021"/>
    <w:uiPriority w:val="0"/>
    <w:qFormat/>
    <w:rPr>
      <w:sz w:val="16"/>
      <w:szCs w:val="16"/>
    </w:rPr>
  </w:style>
  <w:style w:type="character" w:styleId="1021" w:customStyle="1">
    <w:name w:val="批注框文本 字符1"/>
    <w:link w:val="1020"/>
    <w:uiPriority w:val="0"/>
    <w:qFormat/>
    <w:rPr>
      <w:rFonts w:ascii="Calibri" w:hAnsi="Calibri" w:eastAsia="宋体" w:cs="Times New Roman"/>
      <w:sz w:val="16"/>
      <w:szCs w:val="16"/>
    </w:rPr>
  </w:style>
  <w:style w:type="paragraph" w:styleId="1022" w:customStyle="1">
    <w:name w:val="页脚1"/>
    <w:basedOn w:val="807"/>
    <w:link w:val="1023"/>
    <w:uiPriority w:val="0"/>
    <w:qFormat/>
    <w:pPr>
      <w:jc w:val="left"/>
      <w:tabs>
        <w:tab w:val="center" w:pos="4153" w:leader="none"/>
        <w:tab w:val="right" w:pos="8306" w:leader="none"/>
      </w:tabs>
    </w:pPr>
    <w:rPr>
      <w:sz w:val="18"/>
      <w:szCs w:val="18"/>
    </w:rPr>
  </w:style>
  <w:style w:type="character" w:styleId="1023" w:customStyle="1">
    <w:name w:val="页脚 字符"/>
    <w:link w:val="1022"/>
    <w:uiPriority w:val="0"/>
    <w:qFormat/>
    <w:rPr>
      <w:rFonts w:ascii="Calibri" w:hAnsi="Calibri"/>
      <w:sz w:val="18"/>
      <w:szCs w:val="18"/>
    </w:rPr>
  </w:style>
  <w:style w:type="paragraph" w:styleId="1024" w:customStyle="1">
    <w:name w:val="页眉1"/>
    <w:basedOn w:val="807"/>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字符"/>
    <w:link w:val="1024"/>
    <w:uiPriority w:val="0"/>
    <w:qFormat/>
    <w:rPr>
      <w:rFonts w:ascii="Calibri" w:hAnsi="Calibri"/>
      <w:sz w:val="18"/>
      <w:szCs w:val="18"/>
    </w:rPr>
  </w:style>
  <w:style w:type="paragraph" w:styleId="1026" w:customStyle="1">
    <w:name w:val="索引标题1"/>
    <w:basedOn w:val="807"/>
    <w:next w:val="1027"/>
    <w:uiPriority w:val="0"/>
    <w:qFormat/>
    <w:rPr>
      <w:szCs w:val="20"/>
    </w:rPr>
  </w:style>
  <w:style w:type="paragraph" w:styleId="1027" w:customStyle="1">
    <w:name w:val="索引 11"/>
    <w:basedOn w:val="807"/>
    <w:next w:val="807"/>
    <w:uiPriority w:val="0"/>
    <w:qFormat/>
    <w:pPr>
      <w:jc w:val="center"/>
    </w:pPr>
    <w:rPr>
      <w:bCs/>
      <w:szCs w:val="20"/>
    </w:rPr>
  </w:style>
  <w:style w:type="paragraph" w:styleId="1028" w:customStyle="1">
    <w:name w:val="副标题1"/>
    <w:basedOn w:val="807"/>
    <w:next w:val="807"/>
    <w:link w:val="1029"/>
    <w:uiPriority w:val="0"/>
    <w:qFormat/>
    <w:pPr>
      <w:jc w:val="left"/>
      <w:spacing w:line="360" w:lineRule="auto"/>
      <w:outlineLvl w:val="1"/>
    </w:pPr>
    <w:rPr>
      <w:rFonts w:ascii="等线 Light" w:hAnsi="等线 Light" w:eastAsia="仿宋"/>
      <w:b/>
      <w:bCs/>
      <w:sz w:val="28"/>
      <w:szCs w:val="32"/>
    </w:rPr>
  </w:style>
  <w:style w:type="character" w:styleId="1029" w:customStyle="1">
    <w:name w:val="副标题 字符"/>
    <w:link w:val="1028"/>
    <w:uiPriority w:val="0"/>
    <w:qFormat/>
    <w:rPr>
      <w:rFonts w:ascii="等线 Light" w:hAnsi="等线 Light" w:eastAsia="仿宋"/>
      <w:b/>
      <w:bCs/>
      <w:sz w:val="28"/>
      <w:szCs w:val="32"/>
    </w:rPr>
  </w:style>
  <w:style w:type="paragraph" w:styleId="1030" w:customStyle="1">
    <w:name w:val="正文文本缩进 31"/>
    <w:basedOn w:val="807"/>
    <w:link w:val="1031"/>
    <w:uiPriority w:val="0"/>
    <w:qFormat/>
    <w:pPr>
      <w:ind w:left="420"/>
      <w:spacing w:after="120"/>
    </w:pPr>
    <w:rPr>
      <w:rFonts w:ascii="Plotter" w:hAnsi="Plotter"/>
      <w:sz w:val="16"/>
      <w:szCs w:val="16"/>
    </w:rPr>
  </w:style>
  <w:style w:type="character" w:styleId="1031" w:customStyle="1">
    <w:name w:val="正文文本缩进 3 字符"/>
    <w:link w:val="1030"/>
    <w:uiPriority w:val="0"/>
    <w:qFormat/>
    <w:rPr>
      <w:rFonts w:ascii="Plotter" w:hAnsi="Plotter"/>
      <w:sz w:val="16"/>
      <w:szCs w:val="16"/>
    </w:rPr>
  </w:style>
  <w:style w:type="paragraph" w:styleId="1032" w:customStyle="1">
    <w:name w:val="普通(网站)11"/>
    <w:basedOn w:val="807"/>
    <w:uiPriority w:val="99"/>
    <w:qFormat/>
    <w:pPr>
      <w:jc w:val="left"/>
    </w:pPr>
    <w:rPr>
      <w:rFonts w:ascii="Plotter" w:hAnsi="Plotter" w:eastAsia="微软雅黑"/>
      <w:sz w:val="24"/>
    </w:rPr>
  </w:style>
  <w:style w:type="paragraph" w:styleId="1033" w:customStyle="1">
    <w:name w:val="标题1"/>
    <w:basedOn w:val="807"/>
    <w:next w:val="807"/>
    <w:link w:val="1034"/>
    <w:uiPriority w:val="0"/>
    <w:qFormat/>
    <w:pPr>
      <w:jc w:val="center"/>
      <w:spacing w:before="240" w:after="60"/>
      <w:outlineLvl w:val="0"/>
    </w:pPr>
    <w:rPr>
      <w:rFonts w:ascii="等线 Light" w:hAnsi="等线 Light"/>
      <w:b/>
      <w:bCs/>
      <w:sz w:val="32"/>
      <w:szCs w:val="32"/>
    </w:rPr>
  </w:style>
  <w:style w:type="character" w:styleId="1034" w:customStyle="1">
    <w:name w:val="标题 字符"/>
    <w:link w:val="1033"/>
    <w:uiPriority w:val="0"/>
    <w:qFormat/>
    <w:rPr>
      <w:rFonts w:ascii="等线 Light" w:hAnsi="等线 Light"/>
      <w:b/>
      <w:bCs/>
      <w:sz w:val="32"/>
      <w:szCs w:val="32"/>
    </w:rPr>
  </w:style>
  <w:style w:type="paragraph" w:styleId="1035" w:customStyle="1">
    <w:name w:val="批注主题1"/>
    <w:basedOn w:val="1010"/>
    <w:next w:val="1010"/>
    <w:link w:val="1036"/>
    <w:uiPriority w:val="0"/>
    <w:qFormat/>
    <w:rPr>
      <w:rFonts w:ascii="Plotter" w:hAnsi="Plotter"/>
      <w:b/>
      <w:bCs/>
      <w:szCs w:val="22"/>
    </w:rPr>
  </w:style>
  <w:style w:type="character" w:styleId="1036" w:customStyle="1">
    <w:name w:val="批注主题 字符"/>
    <w:link w:val="1035"/>
    <w:uiPriority w:val="0"/>
    <w:qFormat/>
    <w:rPr>
      <w:rFonts w:ascii="Plotter" w:hAnsi="Plotter"/>
      <w:b/>
      <w:bCs/>
      <w:sz w:val="21"/>
      <w:szCs w:val="22"/>
    </w:rPr>
  </w:style>
  <w:style w:type="paragraph" w:styleId="1037" w:customStyle="1">
    <w:name w:val="正文文本首行缩进1"/>
    <w:basedOn w:val="1012"/>
    <w:link w:val="1038"/>
    <w:uiPriority w:val="0"/>
    <w:qFormat/>
    <w:pPr>
      <w:ind w:firstLine="420"/>
    </w:pPr>
    <w:rPr>
      <w:rFonts w:ascii="Times New Roman" w:hAnsi="Times New Roman" w:eastAsia="微软雅黑"/>
      <w:sz w:val="30"/>
    </w:rPr>
  </w:style>
  <w:style w:type="character" w:styleId="1038" w:customStyle="1">
    <w:name w:val="正文文本首行缩进 字符"/>
    <w:link w:val="1037"/>
    <w:uiPriority w:val="0"/>
    <w:qFormat/>
  </w:style>
  <w:style w:type="table" w:styleId="1039" w:customStyle="1">
    <w:name w:val="网格型1"/>
    <w:basedOn w:val="1004"/>
    <w:uiPriority w:val="0"/>
    <w:qFormat/>
    <w:rPr>
      <w:rFonts w:ascii="Calibri" w:hAnsi="Calibri"/>
      <w:sz w:val="21"/>
      <w:szCs w:val="22"/>
    </w:rPr>
    <w:tblPr/>
  </w:style>
  <w:style w:type="character" w:styleId="1040" w:customStyle="1">
    <w:name w:val="要点1"/>
    <w:uiPriority w:val="0"/>
    <w:qFormat/>
    <w:rPr>
      <w:b/>
      <w:bCs/>
      <w:sz w:val="24"/>
      <w:szCs w:val="24"/>
    </w:rPr>
  </w:style>
  <w:style w:type="character" w:styleId="1041" w:customStyle="1">
    <w:name w:val="页码11"/>
    <w:uiPriority w:val="0"/>
    <w:qFormat/>
  </w:style>
  <w:style w:type="character" w:styleId="1042" w:customStyle="1">
    <w:name w:val="访问过的超链接1"/>
    <w:uiPriority w:val="99"/>
    <w:qFormat/>
    <w:rPr>
      <w:color w:val="000000"/>
      <w:u w:val="none"/>
    </w:rPr>
  </w:style>
  <w:style w:type="character" w:styleId="1043" w:customStyle="1">
    <w:name w:val="强调1"/>
    <w:uiPriority w:val="20"/>
    <w:qFormat/>
    <w:rPr>
      <w:i/>
      <w:iCs/>
    </w:rPr>
  </w:style>
  <w:style w:type="character" w:styleId="1044" w:customStyle="1">
    <w:name w:val="超链接1"/>
    <w:uiPriority w:val="99"/>
    <w:unhideWhenUsed/>
    <w:qFormat/>
    <w:rPr>
      <w:color w:val="0563c1"/>
      <w:u w:val="single"/>
    </w:rPr>
  </w:style>
  <w:style w:type="character" w:styleId="1045" w:customStyle="1">
    <w:name w:val="HTML 代码1"/>
    <w:uiPriority w:val="0"/>
    <w:qFormat/>
    <w:rPr>
      <w:rFonts w:ascii="Courier New" w:hAnsi="Courier New"/>
      <w:sz w:val="20"/>
    </w:rPr>
  </w:style>
  <w:style w:type="character" w:styleId="1046" w:customStyle="1">
    <w:name w:val="批注引用1"/>
    <w:uiPriority w:val="0"/>
    <w:qFormat/>
    <w:rPr>
      <w:sz w:val="21"/>
      <w:szCs w:val="21"/>
    </w:rPr>
  </w:style>
  <w:style w:type="character" w:styleId="1047" w:customStyle="1">
    <w:name w:val="样式 标题 3标题 3 Char + 黑体 小四 非加粗 Char"/>
    <w:link w:val="1048"/>
    <w:uiPriority w:val="0"/>
    <w:qFormat/>
    <w:rPr>
      <w:rFonts w:ascii="黑体" w:hAnsi="黑体" w:eastAsia="黑体"/>
      <w:b/>
      <w:sz w:val="24"/>
    </w:rPr>
  </w:style>
  <w:style w:type="paragraph" w:styleId="1048" w:customStyle="1">
    <w:name w:val="样式 标题 3标题 3 Char + 黑体 小四 非加粗"/>
    <w:basedOn w:val="1002"/>
    <w:link w:val="1047"/>
    <w:uiPriority w:val="0"/>
    <w:qFormat/>
    <w:pPr>
      <w:ind w:left="360"/>
      <w:spacing w:before="280" w:after="290" w:line="376" w:lineRule="auto"/>
    </w:pPr>
    <w:rPr>
      <w:rFonts w:ascii="黑体" w:hAnsi="黑体"/>
      <w:sz w:val="24"/>
    </w:rPr>
  </w:style>
  <w:style w:type="character" w:styleId="1049" w:customStyle="1">
    <w:name w:val="font01"/>
    <w:uiPriority w:val="0"/>
    <w:qFormat/>
    <w:rPr>
      <w:rFonts w:ascii="Times New Roman" w:hAnsi="Times New Roman" w:cs="Times New Roman"/>
      <w:color w:val="000000"/>
      <w:sz w:val="24"/>
      <w:szCs w:val="24"/>
      <w:u w:val="none"/>
    </w:rPr>
  </w:style>
  <w:style w:type="character" w:styleId="1050" w:customStyle="1">
    <w:name w:val="正文文本缩进 3 Char1"/>
    <w:uiPriority w:val="0"/>
    <w:qFormat/>
    <w:rPr>
      <w:rFonts w:ascii="Calibri" w:hAnsi="Calibri"/>
      <w:sz w:val="16"/>
      <w:szCs w:val="16"/>
    </w:rPr>
  </w:style>
  <w:style w:type="character" w:styleId="1051" w:customStyle="1">
    <w:name w:val="font51"/>
    <w:uiPriority w:val="0"/>
    <w:qFormat/>
    <w:rPr>
      <w:rFonts w:hint="eastAsia" w:ascii="宋体" w:hAnsi="宋体" w:eastAsia="宋体" w:cs="宋体"/>
      <w:b/>
      <w:color w:val="000000"/>
      <w:sz w:val="24"/>
      <w:szCs w:val="24"/>
      <w:u w:val="none"/>
    </w:rPr>
  </w:style>
  <w:style w:type="character" w:styleId="1052" w:customStyle="1">
    <w:name w:val="日期 Char1"/>
    <w:uiPriority w:val="0"/>
    <w:qFormat/>
    <w:rPr>
      <w:rFonts w:ascii="Calibri" w:hAnsi="Calibri"/>
      <w:sz w:val="21"/>
      <w:szCs w:val="22"/>
    </w:rPr>
  </w:style>
  <w:style w:type="character" w:styleId="1053" w:customStyle="1">
    <w:name w:val="grame"/>
    <w:uiPriority w:val="0"/>
    <w:qFormat/>
  </w:style>
  <w:style w:type="character" w:styleId="1054" w:customStyle="1">
    <w:name w:val="批注文字 Char2"/>
    <w:uiPriority w:val="0"/>
    <w:qFormat/>
    <w:rPr>
      <w:rFonts w:ascii="Symbol" w:hAnsi="Symbol" w:eastAsia="宋体" w:cs="Symbol"/>
      <w:sz w:val="21"/>
      <w:szCs w:val="24"/>
      <w:lang w:val="en-US" w:eastAsia="zh-CN" w:bidi="ar-SA"/>
    </w:rPr>
  </w:style>
  <w:style w:type="character" w:styleId="1055" w:customStyle="1">
    <w:name w:val="标题 Char1"/>
    <w:uiPriority w:val="0"/>
    <w:qFormat/>
    <w:rPr>
      <w:rFonts w:ascii="Cambria" w:hAnsi="Cambria" w:cs="Times New Roman"/>
      <w:b/>
      <w:bCs/>
      <w:sz w:val="32"/>
      <w:szCs w:val="32"/>
    </w:rPr>
  </w:style>
  <w:style w:type="character" w:styleId="1056" w:customStyle="1">
    <w:name w:val="font11"/>
    <w:uiPriority w:val="0"/>
    <w:qFormat/>
    <w:rPr>
      <w:rFonts w:hint="eastAsia" w:ascii="宋体" w:hAnsi="宋体" w:eastAsia="宋体" w:cs="宋体"/>
      <w:color w:val="ff0000"/>
      <w:sz w:val="24"/>
      <w:szCs w:val="24"/>
      <w:u w:val="none"/>
    </w:rPr>
  </w:style>
  <w:style w:type="character" w:styleId="1057" w:customStyle="1">
    <w:name w:val="font31"/>
    <w:uiPriority w:val="0"/>
    <w:qFormat/>
    <w:rPr>
      <w:rFonts w:hint="eastAsia" w:ascii="宋体" w:hAnsi="宋体" w:eastAsia="宋体" w:cs="宋体"/>
      <w:b/>
      <w:color w:val="000000"/>
      <w:sz w:val="18"/>
      <w:szCs w:val="18"/>
      <w:u w:val="none"/>
    </w:rPr>
  </w:style>
  <w:style w:type="character" w:styleId="1058" w:customStyle="1">
    <w:name w:val="正文文本 (2)_"/>
    <w:link w:val="1059"/>
    <w:uiPriority w:val="99"/>
    <w:qFormat/>
    <w:rPr>
      <w:rFonts w:ascii="Wingdings" w:hAnsi="Wingdings"/>
      <w:sz w:val="18"/>
      <w:szCs w:val="22"/>
      <w:lang w:val="zh-TW"/>
    </w:rPr>
  </w:style>
  <w:style w:type="paragraph" w:styleId="1059" w:customStyle="1">
    <w:name w:val="正文文本 (2)"/>
    <w:basedOn w:val="807"/>
    <w:link w:val="1058"/>
    <w:uiPriority w:val="99"/>
    <w:qFormat/>
    <w:pPr>
      <w:ind w:left="900" w:hanging="420"/>
      <w:spacing w:line="480" w:lineRule="exact"/>
      <w:outlineLvl w:val="1"/>
    </w:pPr>
    <w:rPr>
      <w:rFonts w:ascii="Wingdings" w:hAnsi="Wingdings"/>
      <w:sz w:val="18"/>
      <w:lang w:val="zh-TW"/>
    </w:rPr>
  </w:style>
  <w:style w:type="character" w:styleId="1060" w:customStyle="1">
    <w:name w:val="批注文字 Char"/>
    <w:uiPriority w:val="0"/>
    <w:qFormat/>
    <w:rPr>
      <w:rFonts w:ascii="Plotter" w:hAnsi="Plotter"/>
      <w:sz w:val="21"/>
      <w:szCs w:val="22"/>
    </w:rPr>
  </w:style>
  <w:style w:type="character" w:styleId="1061" w:customStyle="1">
    <w:name w:val="time"/>
    <w:uiPriority w:val="0"/>
    <w:qFormat/>
    <w:rPr>
      <w:color w:val="939393"/>
      <w:sz w:val="18"/>
      <w:szCs w:val="18"/>
    </w:rPr>
  </w:style>
  <w:style w:type="character" w:styleId="1062" w:customStyle="1">
    <w:name w:val="font21"/>
    <w:uiPriority w:val="0"/>
    <w:qFormat/>
    <w:rPr>
      <w:rFonts w:hint="eastAsia" w:ascii="宋体" w:hAnsi="宋体" w:eastAsia="宋体" w:cs="宋体"/>
      <w:color w:val="000000"/>
      <w:sz w:val="24"/>
      <w:szCs w:val="24"/>
      <w:u w:val="none"/>
    </w:rPr>
  </w:style>
  <w:style w:type="character" w:styleId="1063" w:customStyle="1">
    <w:name w:val="channel"/>
    <w:uiPriority w:val="0"/>
    <w:qFormat/>
    <w:rPr>
      <w:color w:val="666666"/>
      <w:sz w:val="18"/>
      <w:szCs w:val="18"/>
    </w:rPr>
  </w:style>
  <w:style w:type="character" w:styleId="1064" w:customStyle="1">
    <w:name w:val="日期 字符"/>
    <w:uiPriority w:val="0"/>
    <w:qFormat/>
    <w:rPr>
      <w:rFonts w:ascii="Plotter" w:hAnsi="Plotter"/>
      <w:sz w:val="21"/>
      <w:szCs w:val="22"/>
    </w:rPr>
  </w:style>
  <w:style w:type="character" w:styleId="1065" w:customStyle="1">
    <w:name w:val="批注主题 Char1"/>
    <w:uiPriority w:val="0"/>
    <w:qFormat/>
  </w:style>
  <w:style w:type="character" w:styleId="1066" w:customStyle="1">
    <w:name w:val="副标题 Char1"/>
    <w:uiPriority w:val="0"/>
    <w:qFormat/>
    <w:rPr>
      <w:rFonts w:ascii="Cambria" w:hAnsi="Cambria" w:cs="Times New Roman"/>
      <w:b/>
      <w:bCs/>
      <w:sz w:val="32"/>
      <w:szCs w:val="32"/>
    </w:rPr>
  </w:style>
  <w:style w:type="character" w:styleId="1067" w:customStyle="1">
    <w:name w:val="批注框文本 字符"/>
    <w:uiPriority w:val="99"/>
    <w:qFormat/>
    <w:rPr>
      <w:sz w:val="18"/>
      <w:szCs w:val="18"/>
    </w:rPr>
  </w:style>
  <w:style w:type="character" w:styleId="1068" w:customStyle="1">
    <w:name w:val="页码1"/>
    <w:uiPriority w:val="0"/>
    <w:qFormat/>
  </w:style>
  <w:style w:type="paragraph" w:styleId="1069" w:customStyle="1">
    <w:name w:val="列出段落11"/>
    <w:basedOn w:val="807"/>
    <w:uiPriority w:val="0"/>
    <w:qFormat/>
    <w:pPr>
      <w:ind w:firstLine="420"/>
      <w:jc w:val="left"/>
    </w:pPr>
    <w:rPr>
      <w:rFonts w:cs="宋体"/>
      <w:sz w:val="22"/>
      <w:lang w:val="zh-CN" w:bidi="zh-CN"/>
    </w:rPr>
  </w:style>
  <w:style w:type="paragraph" w:styleId="1070" w:customStyle="1">
    <w:name w:val="列表段落1"/>
    <w:basedOn w:val="807"/>
    <w:uiPriority w:val="1"/>
    <w:qFormat/>
    <w:pPr>
      <w:ind w:firstLine="420"/>
    </w:pPr>
  </w:style>
  <w:style w:type="paragraph" w:styleId="1071" w:customStyle="1">
    <w:name w:val="样式 样式 样式 左侧:  2 字符1 + 首行缩进:  2 字符1 + 首行缩进:  2 字符"/>
    <w:basedOn w:val="807"/>
    <w:uiPriority w:val="0"/>
    <w:qFormat/>
    <w:pPr>
      <w:ind w:firstLine="480"/>
      <w:spacing w:before="60" w:after="120" w:line="440" w:lineRule="atLeast"/>
      <w:widowControl/>
    </w:pPr>
    <w:rPr>
      <w:rFonts w:ascii="Times New Roman" w:hAnsi="Times New Roman" w:eastAsia="微软雅黑"/>
      <w:sz w:val="24"/>
    </w:rPr>
  </w:style>
  <w:style w:type="paragraph" w:styleId="1072" w:customStyle="1">
    <w:name w:val="浅色网格 - 强调文字颜色 31"/>
    <w:basedOn w:val="807"/>
    <w:uiPriority w:val="34"/>
    <w:qFormat/>
    <w:pPr>
      <w:ind w:firstLine="420"/>
      <w:jc w:val="left"/>
      <w:widowControl/>
    </w:pPr>
    <w:rPr>
      <w:sz w:val="22"/>
      <w:lang w:eastAsia="en-US" w:bidi="en-US"/>
    </w:rPr>
  </w:style>
  <w:style w:type="paragraph" w:styleId="1073" w:customStyle="1">
    <w:name w:val="GEDI正文样式"/>
    <w:basedOn w:val="807"/>
    <w:uiPriority w:val="0"/>
    <w:qFormat/>
    <w:pPr>
      <w:ind w:firstLine="480"/>
      <w:spacing w:line="480" w:lineRule="atLeast"/>
    </w:pPr>
    <w:rPr>
      <w:rFonts w:eastAsia="微软雅黑"/>
      <w:szCs w:val="24"/>
    </w:rPr>
  </w:style>
  <w:style w:type="paragraph" w:styleId="1074" w:customStyle="1">
    <w:name w:val="正文1"/>
    <w:basedOn w:val="807"/>
    <w:next w:val="807"/>
    <w:uiPriority w:val="0"/>
    <w:qFormat/>
    <w:pPr>
      <w:ind w:firstLine="510"/>
      <w:spacing w:before="156" w:line="360" w:lineRule="auto"/>
    </w:pPr>
    <w:rPr>
      <w:rFonts w:ascii="Times New Roman" w:hAnsi="Times New Roman"/>
      <w:sz w:val="24"/>
      <w:szCs w:val="20"/>
    </w:rPr>
  </w:style>
  <w:style w:type="paragraph" w:styleId="1075" w:customStyle="1">
    <w:name w:val="[基本段落]"/>
    <w:basedOn w:val="807"/>
    <w:uiPriority w:val="99"/>
    <w:qFormat/>
    <w:pPr>
      <w:spacing w:line="288" w:lineRule="auto"/>
    </w:pPr>
    <w:rPr>
      <w:rFonts w:ascii="宋体" w:hAnsi="Times New Roman" w:cs="宋体"/>
      <w:color w:val="000000"/>
      <w:sz w:val="24"/>
      <w:szCs w:val="24"/>
      <w:lang w:val="zh-CN"/>
    </w:rPr>
  </w:style>
  <w:style w:type="paragraph" w:styleId="1076" w:customStyle="1">
    <w:name w:val="_Style 1"/>
    <w:basedOn w:val="807"/>
    <w:uiPriority w:val="99"/>
    <w:unhideWhenUsed/>
    <w:qFormat/>
    <w:pPr>
      <w:ind w:firstLine="420"/>
    </w:pPr>
  </w:style>
  <w:style w:type="paragraph" w:styleId="1077" w:customStyle="1">
    <w:name w:val="Table Paragraph"/>
    <w:basedOn w:val="807"/>
    <w:uiPriority w:val="1"/>
    <w:qFormat/>
    <w:pPr>
      <w:jc w:val="left"/>
    </w:pPr>
    <w:rPr>
      <w:rFonts w:ascii="仿宋" w:eastAsia="仿宋" w:cs="黑体"/>
      <w:sz w:val="24"/>
      <w:lang w:eastAsia="en-US"/>
    </w:rPr>
  </w:style>
  <w:style w:type="paragraph" w:styleId="1078" w:customStyle="1">
    <w:name w:val="纯文本1"/>
    <w:basedOn w:val="807"/>
    <w:uiPriority w:val="0"/>
    <w:qFormat/>
    <w:rPr>
      <w:rFonts w:ascii="宋体" w:hAnsi="Courier New" w:eastAsia="微软雅黑"/>
    </w:rPr>
  </w:style>
  <w:style w:type="paragraph" w:styleId="1079" w:customStyle="1">
    <w:name w:val="列出段落3"/>
    <w:basedOn w:val="807"/>
    <w:uiPriority w:val="34"/>
    <w:qFormat/>
    <w:pPr>
      <w:ind w:firstLine="420"/>
    </w:pPr>
    <w:rPr>
      <w:rFonts w:ascii="Plotter" w:hAnsi="Plotter" w:eastAsia="微软雅黑"/>
    </w:rPr>
  </w:style>
  <w:style w:type="paragraph" w:styleId="1080" w:customStyle="1">
    <w:name w:val="样式1"/>
    <w:basedOn w:val="807"/>
    <w:uiPriority w:val="0"/>
    <w:qFormat/>
    <w:pPr>
      <w:jc w:val="left"/>
      <w:widowControl/>
    </w:pPr>
    <w:rPr>
      <w:rFonts w:ascii="Times New Roman" w:hAnsi="Times New Roman"/>
      <w:sz w:val="20"/>
      <w:szCs w:val="20"/>
    </w:rPr>
  </w:style>
  <w:style w:type="paragraph" w:styleId="1081"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082" w:customStyle="1">
    <w:name w:val="p15"/>
    <w:basedOn w:val="807"/>
    <w:uiPriority w:val="0"/>
    <w:qFormat/>
    <w:pPr>
      <w:ind w:firstLine="420"/>
    </w:pPr>
    <w:rPr>
      <w:rFonts w:eastAsia="微软雅黑" w:cs="Calibri"/>
    </w:rPr>
  </w:style>
  <w:style w:type="paragraph" w:styleId="1083" w:customStyle="1">
    <w:name w:val="列出段落2"/>
    <w:basedOn w:val="807"/>
    <w:uiPriority w:val="99"/>
    <w:qFormat/>
    <w:pPr>
      <w:ind w:firstLine="420"/>
      <w:jc w:val="left"/>
      <w:widowControl/>
    </w:pPr>
    <w:rPr>
      <w:rFonts w:ascii="宋体" w:hAnsi="宋体" w:eastAsia="仿宋" w:cs="宋体"/>
      <w:sz w:val="28"/>
      <w:szCs w:val="24"/>
    </w:rPr>
  </w:style>
  <w:style w:type="paragraph" w:styleId="1084" w:customStyle="1">
    <w:name w:val="正文段落"/>
    <w:basedOn w:val="807"/>
    <w:uiPriority w:val="0"/>
    <w:qFormat/>
    <w:pPr>
      <w:ind w:firstLine="200"/>
      <w:spacing w:before="100" w:beforeAutospacing="1" w:after="100" w:afterAutospacing="1"/>
    </w:pPr>
  </w:style>
  <w:style w:type="paragraph" w:styleId="1085" w:customStyle="1">
    <w:name w:val="列出段落1"/>
    <w:basedOn w:val="807"/>
    <w:uiPriority w:val="0"/>
    <w:qFormat/>
    <w:pPr>
      <w:ind w:firstLine="420"/>
    </w:pPr>
    <w:rPr>
      <w:rFonts w:ascii="Times New Roman" w:hAnsi="Times New Roman"/>
      <w:szCs w:val="21"/>
    </w:rPr>
  </w:style>
  <w:style w:type="paragraph" w:styleId="1086" w:customStyle="1">
    <w:name w:val="TOC 标题2"/>
    <w:basedOn w:val="998"/>
    <w:next w:val="80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87" w:customStyle="1">
    <w:name w:val="四级目录"/>
    <w:basedOn w:val="807"/>
    <w:next w:val="807"/>
    <w:uiPriority w:val="99"/>
    <w:qFormat/>
    <w:pPr>
      <w:jc w:val="left"/>
      <w:keepLines/>
      <w:keepNext/>
      <w:widowControl/>
      <w:tabs>
        <w:tab w:val="left" w:pos="525" w:leader="none"/>
      </w:tabs>
      <w:outlineLvl w:val="3"/>
    </w:pPr>
    <w:rPr>
      <w:rFonts w:ascii="微软雅黑" w:hAnsi="微软雅黑" w:eastAsia="微软雅黑"/>
      <w:b/>
      <w:bCs/>
      <w:szCs w:val="24"/>
    </w:rPr>
  </w:style>
  <w:style w:type="paragraph" w:styleId="108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89" w:customStyle="1">
    <w:name w:val="彩色列表 - 强调文字颜色 11"/>
    <w:basedOn w:val="807"/>
    <w:uiPriority w:val="99"/>
    <w:qFormat/>
    <w:pPr>
      <w:ind w:firstLine="420"/>
    </w:pPr>
  </w:style>
  <w:style w:type="character" w:styleId="1090" w:customStyle="1">
    <w:name w:val="NormalCharacter1"/>
    <w:uiPriority w:val="0"/>
    <w:qFormat/>
  </w:style>
  <w:style w:type="paragraph" w:styleId="1091" w:customStyle="1">
    <w:name w:val="索引 411"/>
    <w:basedOn w:val="807"/>
    <w:next w:val="807"/>
    <w:uiPriority w:val="99"/>
    <w:unhideWhenUsed/>
    <w:qFormat/>
    <w:pPr>
      <w:ind w:left="600"/>
    </w:pPr>
  </w:style>
  <w:style w:type="paragraph" w:styleId="1092" w:customStyle="1">
    <w:name w:val="正文格式"/>
    <w:basedOn w:val="807"/>
    <w:uiPriority w:val="0"/>
    <w:qFormat/>
    <w:pPr>
      <w:ind w:left="178" w:right="44" w:hanging="178"/>
      <w:jc w:val="left"/>
      <w:spacing w:line="360" w:lineRule="auto"/>
      <w:widowControl/>
    </w:pPr>
    <w:rPr>
      <w:rFonts w:ascii="Trebuchet MS" w:hAnsi="Trebuchet MS" w:eastAsia="等线" w:cs="Tahoma"/>
      <w:bCs/>
      <w:szCs w:val="21"/>
    </w:rPr>
  </w:style>
  <w:style w:type="paragraph" w:styleId="1093" w:customStyle="1">
    <w:name w:val="标题1，章节第一层"/>
    <w:basedOn w:val="1092"/>
    <w:next w:val="1092"/>
    <w:uiPriority w:val="0"/>
    <w:qFormat/>
    <w:pPr>
      <w:ind w:left="272" w:hanging="272"/>
      <w:jc w:val="center"/>
      <w:tabs>
        <w:tab w:val="left" w:pos="693" w:leader="none"/>
      </w:tabs>
      <w:outlineLvl w:val="0"/>
    </w:pPr>
    <w:rPr>
      <w:rFonts w:eastAsia="ˎ̥"/>
      <w:color w:val="000000"/>
      <w:sz w:val="32"/>
      <w:szCs w:val="24"/>
      <w:lang w:val="zh-CN"/>
    </w:rPr>
  </w:style>
  <w:style w:type="character" w:styleId="1094" w:customStyle="1">
    <w:name w:val="未处理的提及1"/>
    <w:uiPriority w:val="99"/>
    <w:unhideWhenUsed/>
    <w:qFormat/>
    <w:rPr>
      <w:color w:val="605e5c"/>
      <w:shd w:val="clear" w:color="auto" w:fill="e1dfdd"/>
    </w:rPr>
  </w:style>
  <w:style w:type="paragraph" w:styleId="1095" w:customStyle="1">
    <w:name w:val="普通(网站)1"/>
    <w:basedOn w:val="807"/>
    <w:uiPriority w:val="0"/>
    <w:qFormat/>
    <w:pPr>
      <w:jc w:val="left"/>
      <w:spacing w:before="100" w:beforeAutospacing="1" w:after="100" w:afterAutospacing="1"/>
      <w:widowControl/>
    </w:pPr>
    <w:rPr>
      <w:rFonts w:ascii="宋体" w:hAnsi="Times New Roman" w:cs="宋体"/>
      <w:sz w:val="24"/>
      <w:szCs w:val="24"/>
    </w:rPr>
  </w:style>
  <w:style w:type="paragraph" w:styleId="1096" w:customStyle="1">
    <w:name w:val="msonormal"/>
    <w:basedOn w:val="807"/>
    <w:uiPriority w:val="0"/>
    <w:qFormat/>
    <w:pPr>
      <w:jc w:val="left"/>
      <w:spacing w:before="100" w:beforeAutospacing="1" w:after="100" w:afterAutospacing="1"/>
      <w:widowControl/>
    </w:pPr>
    <w:rPr>
      <w:rFonts w:ascii="宋体" w:hAnsi="宋体" w:cs="宋体"/>
      <w:sz w:val="24"/>
      <w:szCs w:val="24"/>
    </w:rPr>
  </w:style>
  <w:style w:type="paragraph" w:styleId="1097" w:customStyle="1">
    <w:name w:val="font5"/>
    <w:basedOn w:val="807"/>
    <w:uiPriority w:val="0"/>
    <w:qFormat/>
    <w:pPr>
      <w:jc w:val="left"/>
      <w:spacing w:before="100" w:beforeAutospacing="1" w:after="100" w:afterAutospacing="1"/>
      <w:widowControl/>
    </w:pPr>
    <w:rPr>
      <w:rFonts w:ascii="宋体" w:hAnsi="宋体" w:cs="宋体"/>
      <w:sz w:val="18"/>
      <w:szCs w:val="18"/>
    </w:rPr>
  </w:style>
  <w:style w:type="paragraph" w:styleId="1098" w:customStyle="1">
    <w:name w:val="xl65"/>
    <w:basedOn w:val="8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99" w:customStyle="1">
    <w:name w:val="xl66"/>
    <w:basedOn w:val="8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0" w:customStyle="1">
    <w:name w:val="xl67"/>
    <w:basedOn w:val="8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1" w:customStyle="1">
    <w:name w:val="xl68"/>
    <w:basedOn w:val="8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102" w:customStyle="1">
    <w:name w:val="xl69"/>
    <w:basedOn w:val="80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03" w:customStyle="1">
    <w:name w:val="xl70"/>
    <w:basedOn w:val="80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04" w:customStyle="1">
    <w:name w:val="xl71"/>
    <w:basedOn w:val="80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105" w:customStyle="1">
    <w:name w:val="xl72"/>
    <w:basedOn w:val="8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6" w:customStyle="1">
    <w:name w:val="寄信人地址11"/>
    <w:basedOn w:val="807"/>
    <w:uiPriority w:val="0"/>
    <w:qFormat/>
    <w:rPr>
      <w:rFonts w:ascii="Arial" w:hAnsi="Arial"/>
    </w:rPr>
  </w:style>
  <w:style w:type="paragraph" w:styleId="1107"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08" w:customStyle="1">
    <w:name w:val="Normal_0_2"/>
    <w:uiPriority w:val="0"/>
    <w:qFormat/>
    <w:rPr>
      <w:rFonts w:ascii="黑体" w:hAnsi="黑体" w:eastAsia="黑体" w:cs="Times New Roman"/>
      <w:b/>
      <w:sz w:val="32"/>
      <w:szCs w:val="24"/>
      <w:lang w:val="en-US" w:eastAsia="zh-CN" w:bidi="ar-SA"/>
    </w:rPr>
  </w:style>
  <w:style w:type="paragraph" w:styleId="110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10" w:customStyle="1">
    <w:name w:val="Normal_1_2"/>
    <w:uiPriority w:val="0"/>
    <w:qFormat/>
    <w:rPr>
      <w:rFonts w:ascii="Times New Roman" w:hAnsi="Times New Roman" w:eastAsia="Times New Roman" w:cs="Times New Roman"/>
      <w:sz w:val="24"/>
      <w:szCs w:val="24"/>
      <w:lang w:val="en-US" w:eastAsia="zh-CN" w:bidi="ar-SA"/>
    </w:rPr>
  </w:style>
  <w:style w:type="paragraph" w:styleId="1111" w:customStyle="1">
    <w:name w:val="Normal_0_1"/>
    <w:uiPriority w:val="0"/>
    <w:qFormat/>
    <w:rPr>
      <w:rFonts w:ascii="黑体" w:hAnsi="黑体" w:eastAsia="黑体" w:cs="Times New Roman"/>
      <w:b/>
      <w:sz w:val="32"/>
      <w:szCs w:val="24"/>
      <w:lang w:val="en-US" w:eastAsia="zh-CN" w:bidi="ar-SA"/>
    </w:rPr>
  </w:style>
  <w:style w:type="paragraph" w:styleId="1112"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13" w:customStyle="1">
    <w:name w:val="Normal_1_1"/>
    <w:uiPriority w:val="0"/>
    <w:qFormat/>
    <w:rPr>
      <w:rFonts w:ascii="黑体" w:hAnsi="黑体" w:eastAsia="黑体" w:cs="Times New Roman"/>
      <w:b/>
      <w:sz w:val="32"/>
      <w:szCs w:val="24"/>
      <w:lang w:val="en-US" w:eastAsia="zh-CN" w:bidi="ar-SA"/>
    </w:rPr>
  </w:style>
  <w:style w:type="paragraph" w:styleId="1114" w:customStyle="1">
    <w:name w:val="Normal_2_0"/>
    <w:uiPriority w:val="0"/>
    <w:qFormat/>
    <w:rPr>
      <w:rFonts w:ascii="黑体" w:hAnsi="黑体" w:eastAsia="黑体" w:cs="Times New Roman"/>
      <w:b/>
      <w:sz w:val="32"/>
      <w:szCs w:val="24"/>
      <w:lang w:val="en-US" w:eastAsia="zh-CN" w:bidi="ar-SA"/>
    </w:rPr>
  </w:style>
  <w:style w:type="paragraph" w:styleId="111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116" w:customStyle="1">
    <w:name w:val="Normal_3_0"/>
    <w:uiPriority w:val="0"/>
    <w:qFormat/>
    <w:rPr>
      <w:rFonts w:ascii="黑体" w:hAnsi="黑体" w:eastAsia="黑体" w:cs="Times New Roman"/>
      <w:b/>
      <w:sz w:val="32"/>
      <w:szCs w:val="24"/>
      <w:lang w:val="en-US" w:eastAsia="zh-CN" w:bidi="ar-SA"/>
    </w:rPr>
  </w:style>
  <w:style w:type="paragraph" w:styleId="111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18"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19"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120" w:customStyle="1">
    <w:name w:val="Normal_4_0"/>
    <w:uiPriority w:val="0"/>
    <w:qFormat/>
    <w:rPr>
      <w:rFonts w:ascii="黑体" w:hAnsi="黑体" w:eastAsia="黑体" w:cs="Times New Roman"/>
      <w:b/>
      <w:sz w:val="32"/>
      <w:szCs w:val="24"/>
      <w:lang w:val="en-US" w:eastAsia="zh-CN" w:bidi="ar-SA"/>
    </w:rPr>
  </w:style>
  <w:style w:type="paragraph" w:styleId="1121" w:customStyle="1">
    <w:name w:val="Normal_5_0"/>
    <w:uiPriority w:val="0"/>
    <w:qFormat/>
    <w:rPr>
      <w:rFonts w:ascii="黑体" w:hAnsi="黑体" w:eastAsia="黑体" w:cs="Times New Roman"/>
      <w:b/>
      <w:sz w:val="32"/>
      <w:szCs w:val="24"/>
      <w:lang w:val="en-US" w:eastAsia="zh-CN" w:bidi="ar-SA"/>
    </w:rPr>
  </w:style>
  <w:style w:type="paragraph" w:styleId="1122"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12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124" w:customStyle="1">
    <w:name w:val="Normal_6_0"/>
    <w:uiPriority w:val="0"/>
    <w:qFormat/>
    <w:rPr>
      <w:rFonts w:ascii="黑体" w:hAnsi="黑体" w:eastAsia="黑体" w:cs="Times New Roman"/>
      <w:b/>
      <w:sz w:val="32"/>
      <w:szCs w:val="24"/>
      <w:lang w:val="en-US" w:eastAsia="zh-CN" w:bidi="ar-SA"/>
    </w:rPr>
  </w:style>
  <w:style w:type="paragraph" w:styleId="112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26"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27"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12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30"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Normal_8_0"/>
    <w:uiPriority w:val="0"/>
    <w:qFormat/>
    <w:rPr>
      <w:rFonts w:ascii="黑体" w:hAnsi="黑体" w:eastAsia="黑体" w:cs="Times New Roman"/>
      <w:b/>
      <w:sz w:val="32"/>
      <w:szCs w:val="24"/>
      <w:lang w:val="en-US" w:eastAsia="zh-CN" w:bidi="ar-SA"/>
    </w:rPr>
  </w:style>
  <w:style w:type="paragraph" w:styleId="1132" w:customStyle="1">
    <w:name w:val="Normal_11_0"/>
    <w:uiPriority w:val="0"/>
    <w:qFormat/>
    <w:rPr>
      <w:rFonts w:ascii="黑体" w:hAnsi="黑体" w:eastAsia="黑体" w:cs="Times New Roman"/>
      <w:b/>
      <w:sz w:val="32"/>
      <w:szCs w:val="24"/>
      <w:lang w:val="en-US" w:eastAsia="zh-CN" w:bidi="ar-SA"/>
    </w:rPr>
  </w:style>
  <w:style w:type="paragraph" w:styleId="1133"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Normal_12_0"/>
    <w:uiPriority w:val="0"/>
    <w:qFormat/>
    <w:rPr>
      <w:rFonts w:ascii="黑体" w:hAnsi="黑体" w:eastAsia="黑体" w:cs="Times New Roman"/>
      <w:b/>
      <w:sz w:val="32"/>
      <w:szCs w:val="24"/>
      <w:lang w:val="en-US" w:eastAsia="zh-CN" w:bidi="ar-SA"/>
    </w:rPr>
  </w:style>
  <w:style w:type="paragraph" w:styleId="1138" w:customStyle="1">
    <w:name w:val="Normal_14_0"/>
    <w:uiPriority w:val="0"/>
    <w:qFormat/>
    <w:rPr>
      <w:rFonts w:ascii="黑体" w:hAnsi="黑体" w:eastAsia="黑体" w:cs="Times New Roman"/>
      <w:b/>
      <w:sz w:val="32"/>
      <w:szCs w:val="24"/>
      <w:lang w:val="en-US" w:eastAsia="zh-CN" w:bidi="ar-SA"/>
    </w:rPr>
  </w:style>
  <w:style w:type="paragraph" w:styleId="113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段"/>
    <w:next w:val="807"/>
    <w:uiPriority w:val="0"/>
    <w:qFormat/>
    <w:pPr>
      <w:ind w:firstLine="200"/>
      <w:jc w:val="both"/>
    </w:pPr>
    <w:rPr>
      <w:rFonts w:ascii="宋体" w:hAnsi="Times New Roman" w:eastAsia="宋体" w:cs="Times New Roman"/>
      <w:sz w:val="21"/>
      <w:lang w:val="en-US" w:eastAsia="zh-CN" w:bidi="ar-SA"/>
    </w:rPr>
  </w:style>
  <w:style w:type="paragraph" w:styleId="1142" w:customStyle="1">
    <w:name w:val="Normal_15_0"/>
    <w:uiPriority w:val="0"/>
    <w:qFormat/>
    <w:rPr>
      <w:rFonts w:ascii="黑体" w:hAnsi="黑体" w:eastAsia="黑体" w:cs="Times New Roman"/>
      <w:b/>
      <w:sz w:val="32"/>
      <w:szCs w:val="24"/>
      <w:lang w:val="en-US" w:eastAsia="zh-CN" w:bidi="ar-SA"/>
    </w:rPr>
  </w:style>
  <w:style w:type="paragraph" w:styleId="1143"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44" w:customStyle="1">
    <w:name w:val="Normal_17_0"/>
    <w:uiPriority w:val="0"/>
    <w:qFormat/>
    <w:rPr>
      <w:rFonts w:ascii="黑体" w:hAnsi="黑体" w:eastAsia="黑体" w:cs="Times New Roman"/>
      <w:b/>
      <w:sz w:val="32"/>
      <w:szCs w:val="24"/>
      <w:lang w:val="en-US" w:eastAsia="zh-CN" w:bidi="ar-SA"/>
    </w:rPr>
  </w:style>
  <w:style w:type="paragraph" w:styleId="1145"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Normal_18_0"/>
    <w:uiPriority w:val="0"/>
    <w:qFormat/>
    <w:rPr>
      <w:rFonts w:ascii="黑体" w:hAnsi="黑体" w:eastAsia="黑体" w:cs="Times New Roman"/>
      <w:b/>
      <w:sz w:val="32"/>
      <w:szCs w:val="24"/>
      <w:lang w:val="en-US" w:eastAsia="zh-CN" w:bidi="ar-SA"/>
    </w:rPr>
  </w:style>
  <w:style w:type="paragraph" w:styleId="1148"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character" w:styleId="1149" w:customStyle="1">
    <w:name w:val="font12"/>
    <w:uiPriority w:val="0"/>
    <w:qFormat/>
    <w:rPr>
      <w:rFonts w:hint="eastAsia" w:ascii="宋体" w:hAnsi="宋体" w:eastAsia="宋体" w:cs="宋体"/>
      <w:b/>
      <w:bCs/>
      <w:color w:val="000000"/>
      <w:sz w:val="36"/>
      <w:szCs w:val="36"/>
      <w:u w:val="none"/>
    </w:rPr>
  </w:style>
  <w:style w:type="character" w:styleId="1150" w:customStyle="1">
    <w:name w:val="font81"/>
    <w:uiPriority w:val="0"/>
    <w:qFormat/>
    <w:rPr>
      <w:rFonts w:hint="eastAsia" w:ascii="宋体" w:hAnsi="宋体" w:eastAsia="宋体" w:cs="宋体"/>
      <w:b/>
      <w:bCs/>
      <w:color w:val="000000"/>
      <w:sz w:val="20"/>
      <w:szCs w:val="20"/>
      <w:u w:val="none"/>
    </w:rPr>
  </w:style>
  <w:style w:type="character" w:styleId="1151" w:customStyle="1">
    <w:name w:val="font61"/>
    <w:uiPriority w:val="0"/>
    <w:qFormat/>
    <w:rPr>
      <w:rFonts w:hint="default" w:ascii="Times New Roman" w:hAnsi="Times New Roman" w:cs="Times New Roman"/>
      <w:color w:val="000000"/>
      <w:sz w:val="20"/>
      <w:szCs w:val="20"/>
      <w:u w:val="none"/>
    </w:rPr>
  </w:style>
  <w:style w:type="character" w:styleId="1152" w:customStyle="1">
    <w:name w:val="font41"/>
    <w:uiPriority w:val="0"/>
    <w:qFormat/>
    <w:rPr>
      <w:rFonts w:hint="default" w:ascii="Times New Roman" w:hAnsi="Times New Roman" w:cs="Times New Roman"/>
      <w:color w:val="000000"/>
      <w:sz w:val="20"/>
      <w:szCs w:val="20"/>
      <w:u w:val="none"/>
    </w:rPr>
  </w:style>
  <w:style w:type="character" w:styleId="1153" w:customStyle="1">
    <w:name w:val="font91"/>
    <w:uiPriority w:val="0"/>
    <w:qFormat/>
    <w:rPr>
      <w:rFonts w:hint="eastAsia" w:ascii="宋体" w:hAnsi="宋体" w:eastAsia="宋体" w:cs="宋体"/>
      <w:b/>
      <w:bCs/>
      <w:color w:val="000000"/>
      <w:sz w:val="36"/>
      <w:szCs w:val="36"/>
      <w:u w:val="none"/>
    </w:rPr>
  </w:style>
  <w:style w:type="character" w:styleId="1154" w:customStyle="1">
    <w:name w:val="font101"/>
    <w:uiPriority w:val="0"/>
    <w:qFormat/>
    <w:rPr>
      <w:rFonts w:hint="eastAsia" w:ascii="宋体" w:hAnsi="宋体" w:eastAsia="宋体" w:cs="宋体"/>
      <w:b/>
      <w:bCs/>
      <w:color w:val="000000"/>
      <w:sz w:val="20"/>
      <w:szCs w:val="20"/>
      <w:u w:val="none"/>
    </w:rPr>
  </w:style>
  <w:style w:type="character" w:styleId="1155" w:customStyle="1">
    <w:name w:val="font111"/>
    <w:uiPriority w:val="0"/>
    <w:qFormat/>
    <w:rPr>
      <w:rFonts w:hint="default" w:ascii="Times New Roman" w:hAnsi="Times New Roman" w:cs="Times New Roman"/>
      <w:color w:val="000000"/>
      <w:sz w:val="20"/>
      <w:szCs w:val="20"/>
      <w:u w:val="none"/>
      <w:vertAlign w:val="superscript"/>
    </w:rPr>
  </w:style>
  <w:style w:type="character" w:styleId="1156" w:customStyle="1">
    <w:name w:val="font71"/>
    <w:uiPriority w:val="0"/>
    <w:qFormat/>
    <w:rPr>
      <w:rFonts w:hint="default" w:ascii="Times New Roman" w:hAnsi="Times New Roman" w:cs="Times New Roman"/>
      <w:b/>
      <w:bCs/>
      <w:color w:val="000000"/>
      <w:sz w:val="20"/>
      <w:szCs w:val="20"/>
      <w:u w:val="none"/>
    </w:rPr>
  </w:style>
  <w:style w:type="character" w:styleId="1157" w:customStyle="1">
    <w:name w:val="font112"/>
    <w:uiPriority w:val="0"/>
    <w:qFormat/>
    <w:rPr>
      <w:rFonts w:hint="default" w:ascii="Times New Roman" w:hAnsi="Times New Roman" w:cs="Times New Roman"/>
      <w:color w:val="000000"/>
      <w:sz w:val="20"/>
      <w:szCs w:val="20"/>
      <w:u w:val="none"/>
      <w:vertAlign w:val="superscript"/>
    </w:rPr>
  </w:style>
  <w:style w:type="character" w:styleId="1158" w:customStyle="1">
    <w:name w:val="font121"/>
    <w:uiPriority w:val="0"/>
    <w:qFormat/>
    <w:rPr>
      <w:rFonts w:hint="eastAsia" w:ascii="宋体" w:hAnsi="宋体" w:eastAsia="宋体" w:cs="宋体"/>
      <w:b/>
      <w:bCs/>
      <w:color w:val="000000"/>
      <w:sz w:val="20"/>
      <w:szCs w:val="20"/>
      <w:u w:val="none"/>
    </w:rPr>
  </w:style>
  <w:style w:type="character" w:styleId="1159" w:customStyle="1">
    <w:name w:val="font131"/>
    <w:uiPriority w:val="0"/>
    <w:qFormat/>
    <w:rPr>
      <w:rFonts w:hint="default" w:ascii="Times New Roman" w:hAnsi="Times New Roman" w:cs="Times New Roman"/>
      <w:color w:val="000000"/>
      <w:sz w:val="20"/>
      <w:szCs w:val="20"/>
      <w:u w:val="none"/>
      <w:vertAlign w:val="superscript"/>
    </w:rPr>
  </w:style>
  <w:style w:type="character" w:styleId="1160" w:customStyle="1">
    <w:name w:val="font141"/>
    <w:uiPriority w:val="0"/>
    <w:qFormat/>
    <w:rPr>
      <w:rFonts w:hint="default" w:ascii="Times New Roman" w:hAnsi="Times New Roman" w:cs="Times New Roman"/>
      <w:color w:val="000000"/>
      <w:sz w:val="20"/>
      <w:szCs w:val="20"/>
      <w:u w:val="none"/>
      <w:vertAlign w:val="superscript"/>
    </w:r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甘雯</cp:lastModifiedBy>
  <cp:revision>66</cp:revision>
  <dcterms:created xsi:type="dcterms:W3CDTF">2024-08-06T09:43:00Z</dcterms:created>
  <dcterms:modified xsi:type="dcterms:W3CDTF">2025-12-09T08:29:34Z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eyJoZGlkIjoiYmFiOGEzM2Y2Mjk3N2IzM2IzMGY4YWRmYjgzNmU3YTkiLCJ1c2VySWQiOiIxNjI2Mjc3Nzk5In0=</vt:lpwstr>
  </property>
  <property fmtid="{D5CDD505-2E9C-101B-9397-08002B2CF9AE}" pid="3" name="KSOProductBuildVer">
    <vt:lpwstr>2052-12.1.0.24034</vt:lpwstr>
  </property>
  <property fmtid="{D5CDD505-2E9C-101B-9397-08002B2CF9AE}" pid="4" name="ICV">
    <vt:lpwstr>B9FF04C21F72461C9EC4A4519125E09E_13</vt:lpwstr>
  </property>
</Properties>
</file>