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太仓市政府采购</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招 标 文 件</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ind w:firstLine="63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right"/>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ind w:firstLine="1084"/>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项目编号：</w:t>
      </w:r>
      <w:r>
        <w:rPr>
          <w:rFonts w:hint="eastAsia" w:ascii="宋体" w:hAnsi="宋体" w:eastAsia="宋体" w:cs="宋体"/>
          <w:b/>
          <w:color w:val="000000"/>
          <w:sz w:val="36"/>
          <w:lang w:eastAsia="zh-CN"/>
        </w:rPr>
        <w:t xml:space="preserve">JSZC-320585-JZCG-G2024-0074</w:t>
      </w:r>
      <w:r/>
    </w:p>
    <w:p>
      <w:pPr>
        <w:ind w:firstLine="1084"/>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项目名称：</w:t>
      </w:r>
      <w:r>
        <w:rPr>
          <w:rFonts w:hint="eastAsia" w:ascii="宋体" w:hAnsi="宋体" w:eastAsia="宋体" w:cs="宋体"/>
          <w:b/>
          <w:color w:val="000000"/>
          <w:sz w:val="36"/>
          <w:lang w:eastAsia="zh-CN"/>
        </w:rPr>
        <w:t xml:space="preserve">教务管理系统软件开发服务（二次）</w:t>
      </w:r>
      <w:r/>
    </w:p>
    <w:p>
      <w:pPr>
        <w:ind w:firstLine="1084"/>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采购单位：</w:t>
      </w:r>
      <w:r>
        <w:rPr>
          <w:rFonts w:hint="eastAsia" w:ascii="宋体" w:hAnsi="宋体" w:eastAsia="宋体" w:cs="宋体"/>
          <w:b/>
          <w:color w:val="000000"/>
          <w:sz w:val="36"/>
          <w:lang w:eastAsia="zh-CN"/>
        </w:rPr>
        <w:t xml:space="preserve">苏州健雄职业技术学院</w:t>
      </w:r>
      <w:r/>
    </w:p>
    <w:p>
      <w:pPr>
        <w:ind w:firstLine="1084"/>
        <w:jc w:val="both"/>
        <w:spacing w:after="0" w:line="85" w:lineRule="atLeast"/>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采购项目类别：服务类</w:t>
      </w:r>
      <w:r/>
    </w:p>
    <w:p>
      <w:pPr>
        <w:ind w:firstLine="1084"/>
        <w:jc w:val="both"/>
        <w:spacing w:after="0" w:line="85" w:lineRule="atLeast"/>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标的所属行业：</w:t>
      </w:r>
      <w:r>
        <w:rPr>
          <w:rFonts w:hint="eastAsia" w:ascii="宋体" w:hAnsi="宋体" w:eastAsia="宋体" w:cs="宋体"/>
          <w:b/>
          <w:color w:val="000000"/>
          <w:sz w:val="36"/>
          <w:lang w:eastAsia="zh-CN"/>
        </w:rPr>
        <w:t xml:space="preserve">（十二）软件和信息技术服务业</w:t>
      </w:r>
      <w:r/>
    </w:p>
    <w:p>
      <w:pPr>
        <w:ind w:firstLine="1084"/>
        <w:jc w:val="both"/>
        <w:spacing w:after="0" w:line="85"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jc w:val="center"/>
        <w:spacing w:after="0" w:line="85" w:lineRule="atLeast"/>
        <w:rPr>
          <w:rFonts w:hint="eastAsia" w:ascii="宋体" w:hAnsi="宋体" w:eastAsia="宋体" w:cs="宋体"/>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苏州市公共资源交易中心太仓分中心</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202</w:t>
      </w:r>
      <w:r>
        <w:rPr>
          <w:rFonts w:hint="eastAsia" w:ascii="宋体" w:hAnsi="宋体" w:eastAsia="宋体" w:cs="宋体"/>
          <w:color w:val="000000"/>
          <w:sz w:val="44"/>
          <w:lang w:eastAsia="zh-CN"/>
        </w:rPr>
        <w:t xml:space="preserve">4</w:t>
      </w:r>
      <w:r>
        <w:rPr>
          <w:rFonts w:ascii="宋体" w:hAnsi="宋体" w:eastAsia="宋体" w:cs="宋体"/>
          <w:color w:val="000000"/>
          <w:sz w:val="44"/>
          <w:lang w:eastAsia="zh-CN"/>
        </w:rPr>
        <w:t xml:space="preserve">年9</w:t>
      </w:r>
      <w:r>
        <w:rPr>
          <w:rFonts w:ascii="宋体" w:hAnsi="宋体" w:eastAsia="宋体" w:cs="宋体"/>
          <w:color w:val="000000"/>
          <w:sz w:val="44"/>
          <w:lang w:eastAsia="zh-CN"/>
        </w:rPr>
        <w:t xml:space="preserve">月</w:t>
      </w:r>
      <w:r>
        <w:rPr>
          <w:rFonts w:ascii="宋体" w:hAnsi="宋体" w:eastAsia="宋体" w:cs="宋体"/>
          <w:color w:val="000000"/>
          <w:sz w:val="44"/>
          <w:lang w:eastAsia="zh-CN"/>
        </w:rPr>
        <w:br w:type="page" w:clear="all"/>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目录</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第一部分：招标公告</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第二部分：投标人须知</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第三部分：项目需求</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第四部分：投标文件格式</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第五部分：评标方法与评标标准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第六部分：合同主要条款</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第一部分</w:t>
      </w:r>
      <w:r>
        <w:rPr>
          <w:rFonts w:hint="eastAsia" w:ascii="宋体" w:hAnsi="宋体" w:eastAsia="宋体" w:cs="宋体"/>
          <w:b/>
          <w:color w:val="000000"/>
          <w:sz w:val="44"/>
          <w:lang w:val="en-US" w:eastAsia="zh-CN"/>
        </w:rPr>
        <w:t xml:space="preserve"> </w:t>
      </w:r>
      <w:r>
        <w:rPr>
          <w:rFonts w:ascii="宋体" w:hAnsi="宋体" w:eastAsia="宋体" w:cs="宋体"/>
          <w:b/>
          <w:color w:val="000000"/>
          <w:sz w:val="44"/>
          <w:lang w:eastAsia="zh-CN"/>
        </w:rPr>
        <w:t xml:space="preserve">招标公告</w:t>
      </w:r>
      <w:r/>
    </w:p>
    <w:tbl>
      <w:tblPr>
        <w:tblStyle w:val="736"/>
        <w:tblW w:w="868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68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8681" w:type="dxa"/>
            <w:vAlign w:val="center"/>
            <w:textDirection w:val="lrTb"/>
            <w:noWrap w:val="false"/>
          </w:tcPr>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项目概况</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教务管理系统软件开发服务（二次）JSZC-320585-JZCG-G2024-0074招标项目的潜在投标人应在“苏采云”系统（网址：http://jszfcg.jsczt.cn/）自行下载 获取招标文件，并于2024-10-10 09:30 （北京时间）前递交投标文件。</w:t>
            </w:r>
            <w:r/>
          </w:p>
        </w:tc>
      </w:tr>
    </w:tbl>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一、项目基本情况</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项目编号：JSZC-320585-JZCG-G2024-0074</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项目名称：教务管理系统软件开发服务（二次）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预算金额：114 万元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最高限价（如有）：114 万元</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采购方式：公开招标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采购需求：教务管理系统1套及系统运行调试和售后服务</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rPr>
          <w:rFonts w:hint="eastAsia" w:ascii="仿宋" w:hAnsi="仿宋" w:eastAsia="仿宋" w:cs="仿宋"/>
          <w:sz w:val="24"/>
          <w:szCs w:val="24"/>
          <w:lang w:eastAsia="zh-CN"/>
        </w:rPr>
        <w:t xml:space="preserve">具体内容详见第三部分项目需求</w:t>
      </w:r>
      <w:r>
        <w:rPr>
          <w:rFonts w:hint="eastAsia" w:ascii="仿宋" w:hAnsi="仿宋" w:eastAsia="仿宋" w:cs="仿宋"/>
          <w:sz w:val="24"/>
          <w:szCs w:val="24"/>
          <w:lang w:eastAsia="zh-CN"/>
        </w:rPr>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合同履行期限：合同签订后 180天内系统建设完成并交付</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本项目（是/否）接受联合体投标：不接受联合体</w:t>
      </w:r>
      <w:r>
        <w:rPr>
          <w:rFonts w:hint="eastAsia" w:ascii="仿宋" w:hAnsi="仿宋" w:eastAsia="仿宋" w:cs="仿宋"/>
          <w:sz w:val="24"/>
          <w:szCs w:val="24"/>
          <w:lang w:eastAsia="zh-CN"/>
        </w:rPr>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本项目拒绝进口产品投标。</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二、申请人的资格要求</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（一）满足《中华人民共和国政府采购法》第二十二条规定；</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1.具有独立承担民事责任的能力</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2.具有良好的商业信誉和健全的财务会计制度</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3.具有履行合同所必需的设备和专业技术能力</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4.有依法缴纳税收和社会保障资金的良好记录</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5.参加政府采购活动前三年内，在经营活动中没有重大违法记录</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6.法律、行政法规规定的其他条件</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（二）落实政府采购政策需满足的资格要求：</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（三）本项目的特定资格要求：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1.未被“信用中国”网站（www.creditchina.gov.cn）或中国政府采购网（https://www.ccgp.gov.cn/search/cr/）列入失信被执行人、重大税收违法案件当事人名单、政府采购严重违法失信行为记录名单。</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2.落实政府采购政策需满足的资格要求</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（四）拒绝下述供应商参加本次采购活动：</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1、供应商单位负责人为同一人或者存在直接控股、管理关系的不同供应商，不得参加同一合同项下的政府采购活动。</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2、凡为采购项目提供整体设计、规范编制或者项目管理、监理、检测等服务的供应商，不得再参加本项目的采购活动。</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3、法人的分支机构不得参加响应活动（除银行、保险、石油石化、电力、电信等行业特殊情况外）。</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三、获取招标文件</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时间：</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2024年09月11日至2024年09</w:t>
      </w:r>
      <w:r>
        <w:rPr>
          <w:rFonts w:hint="eastAsia" w:ascii="仿宋" w:hAnsi="仿宋" w:eastAsia="仿宋" w:cs="仿宋"/>
          <w:sz w:val="24"/>
          <w:szCs w:val="24"/>
          <w:lang w:eastAsia="zh-CN"/>
        </w:rPr>
        <w:t xml:space="preserve">月20日，每天上午00:00-12:00，下午12:00-</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23:59（北京时间，法定节假日除外）</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地点：“苏采云”系统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方式：自行下载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售价：0.00元 </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四、提交投标文件截止时间、开标时间和地点</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2024-10-10 09:30 （北京时间）</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地点：苏采云系统 </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五、公告期限</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自本公告发布之日起5个工作日。</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六、其他补充事宜</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1、本项目需要使用CA数字证书制作、上传电子投标文件完成电子投标，请供应商在</w:t>
      </w:r>
      <w:r>
        <w:rPr>
          <w:rFonts w:hint="eastAsia" w:ascii="仿宋" w:hAnsi="仿宋" w:eastAsia="仿宋" w:cs="仿宋"/>
          <w:sz w:val="24"/>
          <w:szCs w:val="24"/>
          <w:highlight w:val="none"/>
          <w:lang w:eastAsia="zh-CN"/>
        </w:rPr>
        <w:t xml:space="preserve">参加投标活动前办理好CA数字证书申领及电子签章等操作。</w:t>
      </w:r>
      <w:r/>
    </w:p>
    <w:p>
      <w:pPr>
        <w:spacing w:after="0" w:line="480" w:lineRule="atLeast"/>
        <w:rPr>
          <w:rFonts w:ascii="仿宋" w:hAnsi="仿宋" w:eastAsia="仿宋" w:cs="仿宋"/>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4"/>
          <w:highlight w:val="none"/>
          <w:lang w:eastAsia="zh-CN"/>
        </w:rPr>
        <w:t xml:space="preserve">3</w:t>
      </w:r>
      <w:r>
        <w:rPr>
          <w:rFonts w:hint="eastAsia" w:ascii="仿宋" w:hAnsi="仿宋" w:eastAsia="仿宋" w:cs="仿宋"/>
          <w:b/>
          <w:sz w:val="24"/>
          <w:szCs w:val="24"/>
          <w:highlight w:val="none"/>
          <w:lang w:eastAsia="zh-CN"/>
        </w:rPr>
        <w:t xml:space="preserve">、本项目采用不见面开标</w:t>
      </w:r>
      <w:r>
        <w:rPr>
          <w:rFonts w:hint="eastAsia" w:ascii="仿宋" w:hAnsi="仿宋" w:eastAsia="仿宋" w:cs="仿宋"/>
          <w:b/>
          <w:sz w:val="24"/>
          <w:szCs w:val="24"/>
          <w:lang w:eastAsia="zh-CN"/>
        </w:rPr>
        <w:t xml:space="preserve">，投标人开标时无需到开标现场进行解密，采取网上开标大厅解密电子投标文件，投标人远程解密要求如下：</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6、有关办理CA数字申领及电子签章事项，登录苏州政府采购网，点击页面底部苏采云图标，进入苏采云政府采购一体化平台，下载“新CA办理指南”文件查阅。</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7、有关电子投标制作技术疑问，请咨询苏采云软件公司客服：18261002950、0512-69820854、0519-86722802</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8、政府采购监督电话：0512-53512539</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9、本次招标投标保证金：本项目无须缴纳投标保证金。</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10、政府采购履约资金扶持政策：中标供应商可凭政府采购合同办理融资贷款，详情请见江苏政府采购网“政采贷”专栏。</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七、对本次招标提出询问，请按以下方式联系</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1.采购人信息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单位名称：苏州健雄职业技术学院</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地    址：太仓市科教新城健雄路1号</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联系人：薄耀刚</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联系电话 ：0512-53940858</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2.采购代理机构信息（如有）</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单位名称：苏州市公共资源交易中心太仓分中心</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单位地址：太仓市县府东街99号</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联系人：周萌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联系电话：0512-53890581</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3.项目联系方式</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项目联系人：周萌</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电话：0512-53890581</w:t>
      </w:r>
      <w:r/>
    </w:p>
    <w:p>
      <w:pPr>
        <w:jc w:val="center"/>
        <w:spacing w:after="0" w:line="312" w:lineRule="atLeast"/>
        <w:rPr>
          <w:rFonts w:hint="eastAsia" w:ascii="宋体" w:hAnsi="宋体" w:eastAsia="宋体" w:cs="宋体"/>
          <w:b/>
          <w:bCs/>
          <w:color w:val="000000"/>
          <w:sz w:val="44"/>
          <w:szCs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2.17进口产品：指通过中国海关报关验收进入中国境内且产自境外的产品。本项目不接受进口产品投标。</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lang w:eastAsia="zh-CN"/>
        </w:rPr>
        <w:t xml:space="preserve">6. 联合投标及转包、分包</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6.1</w:t>
      </w:r>
      <w:r>
        <w:rPr>
          <w:rFonts w:hint="eastAsia" w:ascii="宋体" w:hAnsi="宋体" w:eastAsia="宋体" w:cs="宋体"/>
          <w:sz w:val="24"/>
          <w:highlight w:val="none"/>
          <w:lang w:eastAsia="zh-CN"/>
        </w:rPr>
        <w:t xml:space="preserve">本项目不接受联合体投标</w:t>
      </w:r>
      <w:r>
        <w:rPr>
          <w:rFonts w:ascii="宋体" w:hAnsi="宋体" w:eastAsia="宋体" w:cs="宋体"/>
          <w:sz w:val="24"/>
          <w:highlight w:val="none"/>
          <w:lang w:eastAsia="zh-CN"/>
        </w:rPr>
        <w:t xml:space="preserve">。</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6.2本项目不接受转包</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w:t>
      </w:r>
      <w:r>
        <w:rPr>
          <w:rFonts w:ascii="宋体" w:hAnsi="宋体" w:eastAsia="宋体" w:cs="宋体"/>
          <w:sz w:val="24"/>
          <w:highlight w:val="none"/>
          <w:lang w:eastAsia="zh-CN"/>
        </w:rPr>
        <w:t xml:space="preserve">.3</w:t>
      </w:r>
      <w:r>
        <w:rPr>
          <w:rFonts w:hint="eastAsia" w:ascii="宋体" w:hAnsi="宋体" w:eastAsia="宋体" w:cs="宋体"/>
          <w:sz w:val="24"/>
          <w:highlight w:val="none"/>
          <w:lang w:eastAsia="zh-CN"/>
        </w:rPr>
        <w:t xml:space="preserve">本项目不接受分包。</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7.1投标人应自行承担所</w:t>
      </w:r>
      <w:r>
        <w:rPr>
          <w:rFonts w:ascii="宋体" w:hAnsi="宋体" w:eastAsia="宋体" w:cs="宋体"/>
          <w:color w:val="000000"/>
          <w:sz w:val="24"/>
          <w:lang w:eastAsia="zh-CN"/>
        </w:rPr>
        <w:t xml:space="preserve">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11.4.6 提出质疑的日期。</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left="568" w:hanging="88"/>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w:t>
      </w:r>
      <w:r>
        <w:rPr>
          <w:rFonts w:hint="eastAsia" w:ascii="宋体" w:hAnsi="宋体" w:eastAsia="宋体" w:cs="宋体"/>
          <w:color w:val="000000"/>
          <w:sz w:val="24"/>
          <w:lang w:eastAsia="zh-CN"/>
        </w:rPr>
        <w:t xml:space="preserve">对采购文件提出质疑的供应商提供参加本项目的《投标供应商确认函》</w:t>
      </w: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宋体" w:hAnsi="宋体" w:eastAsia="宋体" w:cs="宋体"/>
          <w:color w:val="000000"/>
          <w:sz w:val="24"/>
          <w:highlight w:val="none"/>
          <w:lang w:eastAsia="zh-CN"/>
        </w:rPr>
        <w:t xml:space="preserve">1.9 供应商如对本项目提出质疑须在法定质疑期内一次性提出针对同一采购程序环节的质疑。</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11.1</w:t>
      </w:r>
      <w:r>
        <w:rPr>
          <w:rFonts w:hint="eastAsia" w:ascii="宋体" w:hAnsi="宋体" w:eastAsia="宋体" w:cs="宋体"/>
          <w:sz w:val="24"/>
          <w:highlight w:val="none"/>
          <w:lang w:eastAsia="zh-CN"/>
        </w:rPr>
        <w:t xml:space="preserve">0</w:t>
      </w:r>
      <w:r>
        <w:rPr>
          <w:rFonts w:ascii="宋体" w:hAnsi="宋体" w:eastAsia="宋体" w:cs="宋体"/>
          <w:sz w:val="24"/>
          <w:highlight w:val="none"/>
          <w:lang w:eastAsia="zh-CN"/>
        </w:rPr>
        <w:t xml:space="preserve"> </w:t>
      </w:r>
      <w:r>
        <w:rPr>
          <w:rFonts w:hint="eastAsia" w:ascii="宋体" w:hAnsi="宋体" w:eastAsia="宋体" w:cs="宋体"/>
          <w:sz w:val="24"/>
          <w:highlight w:val="none"/>
          <w:lang w:eastAsia="zh-CN"/>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highlight w:val="none"/>
          <w:lang w:eastAsia="zh-CN"/>
        </w:rPr>
        <w:t xml:space="preserve">（即《投标供应商确认函》）</w:t>
      </w:r>
      <w:r>
        <w:rPr>
          <w:rFonts w:hint="eastAsia" w:ascii="宋体" w:hAnsi="宋体" w:eastAsia="宋体" w:cs="宋体"/>
          <w:sz w:val="24"/>
          <w:highlight w:val="none"/>
          <w:lang w:eastAsia="zh-CN"/>
        </w:rPr>
        <w:t xml:space="preserve">与质疑函一起递交，否则不予受理。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11.11 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14.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投标文件的组成和顺序</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15.2.2技术部分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15.2.2.1服务要求偏离表（详见投标文件格式）；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15.2.2.8其他投标人认为需要提供的材料；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w:t>
      </w:r>
      <w:r>
        <w:rPr>
          <w:rFonts w:ascii="宋体" w:hAnsi="宋体" w:eastAsia="宋体" w:cs="宋体"/>
          <w:b/>
          <w:color w:val="000000"/>
          <w:sz w:val="24"/>
          <w:highlight w:val="none"/>
          <w:lang w:eastAsia="zh-CN"/>
        </w:rPr>
        <w:t xml:space="preserve">电子投标文件</w:t>
      </w:r>
      <w:r>
        <w:rPr>
          <w:rFonts w:ascii="宋体" w:hAnsi="宋体" w:eastAsia="宋体" w:cs="宋体"/>
          <w:color w:val="000000"/>
          <w:sz w:val="24"/>
          <w:highlight w:val="none"/>
          <w:lang w:eastAsia="zh-CN"/>
        </w:rPr>
        <w:t xml:space="preserve">，电子投标文件按招标文件规定的格式制作，如果未按要求制作上传，可能导致投标无效。</w:t>
      </w:r>
      <w:r/>
    </w:p>
    <w:p>
      <w:pPr>
        <w:ind w:firstLine="480"/>
        <w:jc w:val="both"/>
        <w:spacing w:after="0" w:line="439" w:lineRule="atLeast"/>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16.</w:t>
      </w:r>
      <w:r>
        <w:rPr>
          <w:rFonts w:hint="eastAsia" w:ascii="宋体" w:hAnsi="宋体" w:eastAsia="宋体" w:cs="宋体"/>
          <w:sz w:val="24"/>
          <w:highlight w:val="none"/>
          <w:lang w:eastAsia="zh-CN"/>
        </w:rPr>
        <w:t xml:space="preserve">2</w:t>
      </w:r>
      <w:r>
        <w:rPr>
          <w:rFonts w:hint="eastAsia" w:ascii="宋体" w:hAnsi="宋体" w:eastAsia="宋体" w:cs="宋体"/>
          <w:b/>
          <w:bCs/>
          <w:sz w:val="24"/>
          <w:szCs w:val="24"/>
          <w:highlight w:val="none"/>
          <w:lang w:eastAsia="zh-CN"/>
        </w:rPr>
        <w:t xml:space="preserve">在制作苏采云电子投标（响应）文件时，资格条件、综合评审评分项部分（除非在电子投标文件格式模板中有特殊说明）未按要求将材料提供到对应评审模块内的，视为未提供。</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24.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26.1.2.1查询时间：评标开始前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26.7</w:t>
      </w:r>
      <w:r>
        <w:rPr>
          <w:rFonts w:ascii="宋体" w:hAnsi="宋体" w:eastAsia="宋体" w:cs="宋体"/>
          <w:b/>
          <w:color w:val="000000"/>
          <w:sz w:val="24"/>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26.8对不同文字文本投标文件的解释发生异议的，以中文文本为准。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26.9评标委员会对投标文件的判定，只依据投标内容本身，不依靠开标后的任何外来证明。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32.1确定出中标供应商后投标文件有效期截止前，采购代理机构应当向中标供应商发出中标通知</w:t>
      </w:r>
      <w:r>
        <w:rPr>
          <w:rFonts w:ascii="宋体" w:hAnsi="宋体" w:eastAsia="宋体" w:cs="宋体"/>
          <w:color w:val="000000"/>
          <w:sz w:val="24"/>
          <w:highlight w:val="none"/>
          <w:lang w:eastAsia="zh-CN"/>
        </w:rPr>
        <w:t xml:space="preserve">书，中标通知书对采购人和中标供应商具有同等法律效力。中标通知书发出后，采购人改变中标结果，或者中标供应商放弃中标，应当承担相应的法律责任。</w:t>
      </w:r>
      <w:r/>
    </w:p>
    <w:p>
      <w:pPr>
        <w:ind w:firstLine="361"/>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lang w:eastAsia="zh-CN"/>
        </w:rPr>
        <w:t xml:space="preserve">32.2中标通知书在中标公告发布后将发布在苏采云系统中，中标通知书发布之日视为中标供应商领取之日，中标供应商在中标结果公告届满之日起</w:t>
      </w:r>
      <w:r>
        <w:rPr>
          <w:rFonts w:hint="eastAsia" w:ascii="宋体" w:hAnsi="宋体" w:eastAsia="宋体" w:cs="宋体"/>
          <w:b/>
          <w:sz w:val="24"/>
          <w:highlight w:val="none"/>
          <w:lang w:eastAsia="zh-CN"/>
        </w:rPr>
        <w:t xml:space="preserve">3</w:t>
      </w:r>
      <w:r>
        <w:rPr>
          <w:rFonts w:ascii="宋体" w:hAnsi="宋体" w:eastAsia="宋体" w:cs="宋体"/>
          <w:b/>
          <w:sz w:val="24"/>
          <w:highlight w:val="none"/>
          <w:lang w:eastAsia="zh-CN"/>
        </w:rPr>
        <w:t xml:space="preserve">0日内自行在苏采云系统中下载打印。</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lang w:eastAsia="zh-CN"/>
        </w:rPr>
        <w:t xml:space="preserve">32.3</w:t>
      </w:r>
      <w:r>
        <w:rPr>
          <w:rFonts w:hint="eastAsia" w:ascii="宋体" w:hAnsi="宋体" w:eastAsia="宋体" w:cs="宋体"/>
          <w:sz w:val="24"/>
          <w:highlight w:val="none"/>
          <w:lang w:eastAsia="zh-CN"/>
        </w:rPr>
        <w:t xml:space="preserve">因系统存储空间有限，自中标结果公告届满之日起30日后，“苏采云”系统不再保证提供下载中标通知书服务,因未及时下载而造成的不利后果由中标供应商自行承担。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32.4中标通知书将成为</w:t>
      </w:r>
      <w:r>
        <w:rPr>
          <w:rFonts w:ascii="宋体" w:hAnsi="宋体" w:eastAsia="宋体" w:cs="宋体"/>
          <w:sz w:val="24"/>
          <w:lang w:eastAsia="zh-CN"/>
        </w:rPr>
        <w:t xml:space="preserve">合同的组成部分。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32.5采购代理机构对未中标供应商不承担解释未中标原因的义务。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34. 合同的签订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34.2中标供应商应按中标通知书中中规定，由法定代表人或授权代理人与采购人代表签订合同，否则按放弃中标权处理。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35.政府采购节能产品和环境标志产品</w:t>
      </w:r>
      <w:r/>
    </w:p>
    <w:p>
      <w:pPr>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35.2</w:t>
      </w:r>
      <w:r>
        <w:rPr>
          <w:rFonts w:hint="eastAsia" w:ascii="宋体" w:hAnsi="宋体" w:eastAsia="宋体" w:cs="宋体"/>
          <w:color w:val="000000"/>
          <w:sz w:val="24"/>
          <w:highlight w:val="none"/>
          <w:lang w:eastAsia="zh-CN"/>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36.中小企业相关政策：</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36.1本项目专门面向中小企业采购，执行以下相关政策：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color w:val="000000"/>
          <w:sz w:val="24"/>
          <w:lang w:eastAsia="zh-CN"/>
        </w:rPr>
        <w:t xml:space="preserve">否则视为投标无效。</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36.1.1中小企业划分：</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（1）符合中小企业划分标准的个体工商户，在政府采购活动中视同中小企业。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（2）中小企业划分标准详见“工信部联企业〔2011〕300号通知”</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36.1.2残疾人福利性单位政策：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36.1.3监狱企业发展政策：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36.1.4、中标、成交供应商享受规定的中小企业扶持政策的，其声明函及相关证明材料应当随中标、成交结果同时公告，接受社会监督。</w:t>
      </w:r>
      <w:r/>
    </w:p>
    <w:p>
      <w:pPr>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宋体" w:hAnsi="宋体" w:eastAsia="宋体" w:cs="宋体"/>
          <w:color w:val="000000"/>
          <w:sz w:val="24"/>
          <w:highlight w:val="none"/>
          <w:lang w:eastAsia="zh-CN"/>
        </w:rPr>
        <w:t xml:space="preserve">6.1.5、</w:t>
      </w:r>
      <w:r>
        <w:rPr>
          <w:rFonts w:ascii="宋体" w:hAnsi="宋体" w:eastAsia="宋体" w:cs="宋体"/>
          <w:b/>
          <w:color w:val="000000"/>
          <w:sz w:val="24"/>
          <w:highlight w:val="none"/>
          <w:lang w:eastAsia="zh-CN"/>
        </w:rPr>
        <w:t xml:space="preserve">专门面向中小企业采购的项目，不再执行价格评审优惠的扶持政策。</w:t>
      </w:r>
      <w:r/>
    </w:p>
    <w:p>
      <w:pPr>
        <w:jc w:val="both"/>
        <w:spacing w:after="0" w:line="439" w:lineRule="atLeast"/>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37.绿色数据中心政策</w:t>
      </w:r>
      <w:r/>
    </w:p>
    <w:p>
      <w:pPr>
        <w:ind w:firstLine="480"/>
        <w:jc w:val="both"/>
        <w:spacing w:after="0" w:line="439" w:lineRule="atLeast"/>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Theme="minorEastAsia"/>
          <w:sz w:val="24"/>
          <w:highlight w:val="none"/>
          <w:lang w:eastAsia="zh-CN"/>
        </w:rPr>
        <w:t xml:space="preserve">37.1 </w:t>
      </w:r>
      <w:r>
        <w:rPr>
          <w:rFonts w:hint="eastAsia" w:ascii="宋体" w:hAnsi="宋体"/>
          <w:sz w:val="24"/>
          <w:highlight w:val="none"/>
          <w:lang w:eastAsia="zh-CN"/>
        </w:rPr>
        <w:t xml:space="preserve">依据《绿色数据中心政府采购需求标准（试行）》（财办库〔2023〕7 号）文件精神，采购</w:t>
      </w:r>
      <w:r>
        <w:rPr>
          <w:rFonts w:hint="eastAsia" w:ascii="宋体" w:hAnsi="宋体"/>
          <w:sz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both"/>
        <w:spacing w:after="0" w:line="439" w:lineRule="atLeast"/>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38.商品包装、快递包装政策</w:t>
      </w:r>
      <w:r/>
    </w:p>
    <w:p>
      <w:pPr>
        <w:ind w:firstLine="480"/>
        <w:jc w:val="both"/>
        <w:spacing w:after="0" w:line="439" w:lineRule="atLeast"/>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Theme="minorEastAsia"/>
          <w:sz w:val="24"/>
          <w:highlight w:val="none"/>
          <w:lang w:eastAsia="zh-CN"/>
        </w:rPr>
        <w:t xml:space="preserve">38.1 </w:t>
      </w:r>
      <w:r>
        <w:rPr>
          <w:rFonts w:hint="eastAsia" w:ascii="宋体" w:hAnsi="宋体"/>
          <w:sz w:val="24"/>
          <w:highlight w:val="none"/>
          <w:lang w:eastAsia="zh-CN"/>
        </w:rPr>
        <w:t xml:space="preserve">依据</w:t>
      </w:r>
      <w:r>
        <w:rPr>
          <w:rFonts w:ascii="宋体" w:hAnsi="宋体"/>
          <w:sz w:val="24"/>
          <w:highlight w:val="none"/>
          <w:lang w:eastAsia="zh-CN"/>
        </w:rPr>
        <w:t xml:space="preserve">《关于印发〈商品包装政府采购需求标准（试行）〉、〈快递包装政府采购需求标准（试行）〉的通知》（财办库〔2020〕123号）</w:t>
      </w:r>
      <w:r>
        <w:rPr>
          <w:rFonts w:hint="eastAsia" w:ascii="宋体" w:hAnsi="宋体"/>
          <w:sz w:val="24"/>
          <w:highlight w:val="none"/>
          <w:lang w:eastAsia="zh-CN"/>
        </w:rPr>
        <w:t xml:space="preserve">文件</w:t>
      </w:r>
      <w:r>
        <w:rPr>
          <w:rFonts w:ascii="宋体" w:hAnsi="宋体"/>
          <w:sz w:val="24"/>
          <w:highlight w:val="none"/>
          <w:lang w:eastAsia="zh-CN"/>
        </w:rPr>
        <w:t xml:space="preserve">精神</w:t>
      </w:r>
      <w:r>
        <w:rPr>
          <w:rFonts w:hint="eastAsia" w:ascii="宋体" w:hAnsi="宋体"/>
          <w:sz w:val="24"/>
          <w:highlight w:val="none"/>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九、其他事项</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39. 监督和公证</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37.1政府有关监督部门将对招投标全过程进行监督。</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37.2采购代理机构的招标过程将通过公证机关进行公证。</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40.未尽事宜</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38.1按《中华人民共和国政府采购法》及其他有关法律法规的规定执行。</w:t>
      </w:r>
      <w:r/>
    </w:p>
    <w:p>
      <w:pPr>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第三部分项目需求</w:t>
      </w:r>
      <w:bookmarkStart w:id="0" w:name="_Toc6403"/>
      <w:r/>
      <w:bookmarkStart w:id="1" w:name="_Toc21510"/>
      <w:r/>
      <w:bookmarkStart w:id="2" w:name="_Toc27991"/>
      <w:r/>
      <w:r/>
    </w:p>
    <w:p>
      <w:pPr>
        <w:pStyle w:val="806"/>
        <w:numPr>
          <w:ilvl w:val="0"/>
          <w:numId w:val="2"/>
        </w:numPr>
        <w:spacing w:before="156" w:after="156" w:line="440" w:lineRule="exact"/>
        <w:rPr>
          <w:rFonts w:hint="eastAsia" w:ascii="宋体" w:hAnsi="宋体" w:eastAsia="宋体" w:cs="宋体"/>
          <w:sz w:val="24"/>
          <w:szCs w:val="24"/>
        </w:rPr>
      </w:pPr>
      <w:r/>
      <w:bookmarkStart w:id="3" w:name="_Toc138065524"/>
      <w:r>
        <w:rPr>
          <w:rFonts w:hint="eastAsia" w:ascii="宋体" w:hAnsi="宋体" w:eastAsia="宋体" w:cs="宋体"/>
          <w:sz w:val="24"/>
          <w:szCs w:val="24"/>
        </w:rPr>
        <w:t xml:space="preserve">项目采购内容</w:t>
      </w:r>
      <w:bookmarkEnd w:id="3"/>
      <w:r>
        <w:rPr>
          <w:rFonts w:hint="eastAsia" w:ascii="宋体" w:hAnsi="宋体" w:eastAsia="宋体" w:cs="宋体"/>
          <w:sz w:val="24"/>
          <w:szCs w:val="24"/>
        </w:rPr>
        <w:t xml:space="preserve">及报价</w:t>
      </w:r>
      <w:r/>
    </w:p>
    <w:p>
      <w:pPr>
        <w:pStyle w:val="946"/>
        <w:ind w:left="42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项目主要采购内容包括：</w:t>
      </w:r>
      <w:r>
        <w:rPr>
          <w:rFonts w:hint="eastAsia" w:ascii="宋体" w:hAnsi="宋体" w:eastAsia="宋体" w:cs="宋体"/>
          <w:sz w:val="24"/>
          <w:szCs w:val="24"/>
          <w:lang w:eastAsia="zh-CN"/>
        </w:rPr>
        <w:t xml:space="preserve">教务管理系统</w:t>
      </w:r>
      <w:r>
        <w:rPr>
          <w:rFonts w:hint="eastAsia" w:ascii="宋体" w:hAnsi="宋体" w:eastAsia="宋体" w:cs="宋体"/>
          <w:color w:val="000000"/>
          <w:sz w:val="24"/>
          <w:szCs w:val="24"/>
          <w:lang w:eastAsia="zh-CN"/>
        </w:rPr>
        <w:t xml:space="preserve">1套及系统安装调试和售后服务。</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6"/>
        <w:gridCol w:w="1596"/>
        <w:gridCol w:w="3132"/>
      </w:tblGrid>
      <w:tr>
        <w:trPr>
          <w:jc w:val="center"/>
          <w:trHeight w:val="522"/>
        </w:trPr>
        <w:tc>
          <w:tcPr>
            <w:tcBorders>
              <w:top w:val="single" w:color="auto" w:sz="12" w:space="0"/>
              <w:left w:val="single" w:color="auto" w:sz="12" w:space="0"/>
            </w:tcBorders>
            <w:tcW w:w="2326" w:type="dxa"/>
            <w:vAlign w:val="center"/>
            <w:textDirection w:val="lrTb"/>
            <w:noWrap w:val="false"/>
          </w:tcPr>
          <w:p>
            <w:pPr>
              <w:pStyle w:val="946"/>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采购内容</w:t>
            </w:r>
            <w:r/>
          </w:p>
        </w:tc>
        <w:tc>
          <w:tcPr>
            <w:tcBorders>
              <w:top w:val="single" w:color="auto" w:sz="12" w:space="0"/>
              <w:right w:val="single" w:color="auto" w:sz="8" w:space="0"/>
            </w:tcBorders>
            <w:tcW w:w="1596" w:type="dxa"/>
            <w:vAlign w:val="center"/>
            <w:textDirection w:val="lrTb"/>
            <w:noWrap w:val="false"/>
          </w:tcPr>
          <w:p>
            <w:pPr>
              <w:pStyle w:val="946"/>
              <w:ind w:left="0"/>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auto" w:sz="12" w:space="0"/>
              <w:left w:val="single" w:color="auto" w:sz="8" w:space="0"/>
              <w:right w:val="single" w:color="auto" w:sz="12" w:space="0"/>
            </w:tcBorders>
            <w:tcW w:w="3132" w:type="dxa"/>
            <w:vAlign w:val="center"/>
            <w:textDirection w:val="lrTb"/>
            <w:noWrap w:val="false"/>
          </w:tcPr>
          <w:p>
            <w:pPr>
              <w:pStyle w:val="946"/>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最高限价</w:t>
            </w:r>
            <w:r/>
          </w:p>
        </w:tc>
      </w:tr>
      <w:tr>
        <w:trPr>
          <w:jc w:val="center"/>
          <w:trHeight w:val="534"/>
        </w:trPr>
        <w:tc>
          <w:tcPr>
            <w:tcBorders>
              <w:left w:val="single" w:color="auto" w:sz="12" w:space="0"/>
              <w:bottom w:val="single" w:color="auto" w:sz="12" w:space="0"/>
            </w:tcBorders>
            <w:tcW w:w="2326" w:type="dxa"/>
            <w:vAlign w:val="center"/>
            <w:textDirection w:val="lrTb"/>
            <w:noWrap w:val="false"/>
          </w:tcPr>
          <w:p>
            <w:pPr>
              <w:pStyle w:val="946"/>
              <w:ind w:left="0"/>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教务管理系统</w:t>
            </w:r>
            <w:r/>
          </w:p>
        </w:tc>
        <w:tc>
          <w:tcPr>
            <w:tcBorders>
              <w:bottom w:val="single" w:color="auto" w:sz="12" w:space="0"/>
              <w:right w:val="single" w:color="auto" w:sz="8" w:space="0"/>
            </w:tcBorders>
            <w:tcW w:w="1596" w:type="dxa"/>
            <w:vAlign w:val="center"/>
            <w:textDirection w:val="lrTb"/>
            <w:noWrap w:val="false"/>
          </w:tcPr>
          <w:p>
            <w:pPr>
              <w:pStyle w:val="946"/>
              <w:ind w:left="0"/>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1项</w:t>
            </w:r>
            <w:r/>
          </w:p>
        </w:tc>
        <w:tc>
          <w:tcPr>
            <w:tcBorders>
              <w:left w:val="single" w:color="auto" w:sz="8" w:space="0"/>
              <w:bottom w:val="single" w:color="auto" w:sz="12" w:space="0"/>
              <w:right w:val="single" w:color="auto" w:sz="12" w:space="0"/>
            </w:tcBorders>
            <w:tcW w:w="3132" w:type="dxa"/>
            <w:vAlign w:val="center"/>
            <w:textDirection w:val="lrTb"/>
            <w:noWrap w:val="false"/>
          </w:tcPr>
          <w:p>
            <w:pPr>
              <w:pStyle w:val="946"/>
              <w:ind w:left="0"/>
              <w:jc w:val="center"/>
              <w:spacing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人民币</w:t>
            </w:r>
            <w:r>
              <w:rPr>
                <w:rFonts w:hint="eastAsia" w:ascii="宋体" w:hAnsi="宋体" w:eastAsia="宋体" w:cs="宋体"/>
                <w:sz w:val="24"/>
                <w:szCs w:val="24"/>
              </w:rPr>
              <w:t xml:space="preserve">114</w:t>
            </w:r>
            <w:r>
              <w:rPr>
                <w:rFonts w:hint="eastAsia" w:ascii="宋体" w:hAnsi="宋体" w:eastAsia="宋体" w:cs="宋体"/>
                <w:color w:val="000000"/>
                <w:sz w:val="24"/>
                <w:szCs w:val="24"/>
              </w:rPr>
              <w:t xml:space="preserve">万元</w:t>
            </w:r>
            <w:bookmarkEnd w:id="0"/>
            <w:r/>
            <w:bookmarkEnd w:id="1"/>
            <w:r/>
            <w:bookmarkEnd w:id="2"/>
            <w:r/>
            <w:r/>
          </w:p>
        </w:tc>
      </w:tr>
    </w:tbl>
    <w:p>
      <w:pPr>
        <w:ind w:firstLine="480"/>
        <w:rPr>
          <w:rFonts w:ascii="Times New Roman" w:hAnsi="Times New Roman" w:eastAsia="宋体" w:cs="Times New Roman"/>
          <w:b/>
          <w:bCs/>
          <w:sz w:val="24"/>
          <w:szCs w:val="24"/>
        </w:rPr>
      </w:pPr>
      <w:r/>
      <w:bookmarkStart w:id="4" w:name="_Toc281859173"/>
      <w:r/>
      <w:r/>
    </w:p>
    <w:p>
      <w:pPr>
        <w:pStyle w:val="806"/>
        <w:spacing w:before="156" w:after="156"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 xml:space="preserve">二</w:t>
      </w:r>
      <w:r>
        <w:rPr>
          <w:rFonts w:ascii="Times New Roman" w:hAnsi="Times New Roman" w:eastAsia="宋体" w:cs="Times New Roman"/>
          <w:b/>
          <w:bCs/>
          <w:sz w:val="24"/>
          <w:szCs w:val="24"/>
          <w:lang w:eastAsia="zh-CN"/>
        </w:rPr>
        <w:t xml:space="preserve">、</w:t>
      </w:r>
      <w:bookmarkStart w:id="5" w:name="_Toc133258190"/>
      <w:r/>
      <w:bookmarkStart w:id="6" w:name="_Toc138065525"/>
      <w:r>
        <w:rPr>
          <w:rFonts w:ascii="Times New Roman" w:hAnsi="Times New Roman" w:eastAsia="宋体" w:cs="Times New Roman"/>
          <w:b/>
          <w:bCs/>
          <w:sz w:val="24"/>
          <w:szCs w:val="24"/>
        </w:rPr>
        <w:t xml:space="preserve">技术要求</w:t>
      </w:r>
      <w:bookmarkEnd w:id="5"/>
      <w:r/>
      <w:bookmarkEnd w:id="6"/>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系统的建设应采用先进的设计思想和主流的技术路线，必须符合业界当前的发展趋势，遵循行业的相关技术标准。系统技术架构需要达到以下要求：</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（1）基于微服务架构技术，实现功能模块解耦，实现前后端分离，用户界面变更不影响服务提供的稳定性。</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（2）采用Java编程语言开发，基于B/S结构，无需安装客户端软件。</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（3）系统要具备良好的浏览器兼容性，管理人员、教师、学生都能在主流版本浏览器下（包括：IE11及以上版本、谷歌浏览器、火狐浏览器）进行所有的功能操作。</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（4）采用基于服务的设计理念，支持中间件技术，提高系统的可维护性和软件代码的重用性，提升学校对IT资源的利用率。</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（5）采用基于面向对象的组件开发技术，构建可重用的业务组件，利用这些组件能快速响应学校业务变更，搭建新应用。</w:t>
      </w:r>
      <w:bookmarkStart w:id="7" w:name="_Toc282785473"/>
      <w:r/>
      <w:bookmarkStart w:id="8" w:name="_Toc281859166"/>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（6）支持工作流引擎机制，提供流程自定义功能。</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（7）信息标准要求</w:t>
      </w:r>
      <w:bookmarkEnd w:id="7"/>
      <w:r/>
      <w:bookmarkEnd w:id="8"/>
      <w:r>
        <w:rPr>
          <w:rFonts w:hint="eastAsia" w:ascii="宋体" w:hAnsi="宋体" w:eastAsia="宋体" w:cs="宋体"/>
          <w:sz w:val="24"/>
          <w:szCs w:val="24"/>
          <w:lang w:eastAsia="zh-CN"/>
        </w:rPr>
        <w:t xml:space="preserve">：系统的开发必须严格遵循教育部的教育信息化行业标准，并符合学校要求的相关信息标准。</w:t>
      </w:r>
      <w:r/>
    </w:p>
    <w:p>
      <w:pPr>
        <w:ind w:firstLine="480"/>
        <w:rPr>
          <w:rFonts w:hint="eastAsia" w:ascii="宋体" w:hAnsi="宋体" w:eastAsia="宋体" w:cs="宋体"/>
          <w:sz w:val="24"/>
          <w:szCs w:val="24"/>
          <w:lang w:eastAsia="zh-CN"/>
        </w:rPr>
      </w:pPr>
      <w:r/>
      <w:bookmarkStart w:id="9" w:name="_Toc281859174"/>
      <w:r>
        <w:rPr>
          <w:rFonts w:hint="eastAsia" w:ascii="宋体" w:hAnsi="宋体" w:eastAsia="宋体" w:cs="宋体"/>
          <w:sz w:val="24"/>
          <w:szCs w:val="24"/>
          <w:lang w:eastAsia="zh-CN"/>
        </w:rPr>
        <w:t xml:space="preserve">（8）可靠性、稳定性</w:t>
      </w:r>
      <w:bookmarkEnd w:id="9"/>
      <w:r>
        <w:rPr>
          <w:rFonts w:hint="eastAsia" w:ascii="宋体" w:hAnsi="宋体" w:eastAsia="宋体" w:cs="宋体"/>
          <w:sz w:val="24"/>
          <w:szCs w:val="24"/>
          <w:lang w:eastAsia="zh-CN"/>
        </w:rPr>
        <w:t xml:space="preserve">要求：具有良好的运行保障体系，提供完善的存储、备份手段，提供故障恢复手段，确保系统的稳定性。</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（9）界面友好性要求：操作流程清晰简洁，用户界面美观大方，给用户提供良好的操作体验。</w:t>
      </w:r>
      <w:r/>
    </w:p>
    <w:p>
      <w:pPr>
        <w:ind w:firstLine="480"/>
        <w:rPr>
          <w:rFonts w:hint="eastAsia" w:ascii="宋体" w:hAnsi="宋体" w:eastAsia="宋体" w:cs="宋体"/>
          <w:sz w:val="24"/>
          <w:szCs w:val="24"/>
          <w:lang w:eastAsia="zh-CN"/>
        </w:rPr>
      </w:pPr>
      <w:r/>
      <w:bookmarkStart w:id="10" w:name="_Toc281859175"/>
      <w:r>
        <w:rPr>
          <w:rFonts w:hint="eastAsia" w:ascii="宋体" w:hAnsi="宋体" w:eastAsia="宋体" w:cs="宋体"/>
          <w:sz w:val="24"/>
          <w:szCs w:val="24"/>
          <w:lang w:eastAsia="zh-CN"/>
        </w:rPr>
        <w:t xml:space="preserve">（10）安全性和保密性</w:t>
      </w:r>
      <w:bookmarkEnd w:id="10"/>
      <w:r>
        <w:rPr>
          <w:rFonts w:hint="eastAsia" w:ascii="宋体" w:hAnsi="宋体" w:eastAsia="宋体" w:cs="宋体"/>
          <w:sz w:val="24"/>
          <w:szCs w:val="24"/>
          <w:lang w:eastAsia="zh-CN"/>
        </w:rPr>
        <w:t xml:space="preserve">要求：系统设计时必须考虑整体的安全性，从数据访问操作、用户认证、数据加密的多个方面进行安全性设计，提高系统的安全性。系统应分别针对不同的应用和不同的环境，采取不同的措施，包括系统安全机制、数据存取权限控制和数据存储加密机制。</w:t>
      </w:r>
      <w:r/>
    </w:p>
    <w:p>
      <w:pPr>
        <w:ind w:firstLine="480"/>
        <w:rPr>
          <w:rFonts w:hint="eastAsia" w:ascii="宋体" w:hAnsi="宋体" w:eastAsia="宋体" w:cs="宋体"/>
          <w:sz w:val="24"/>
          <w:szCs w:val="24"/>
          <w:lang w:eastAsia="zh-CN"/>
        </w:rPr>
      </w:pPr>
      <w:r/>
      <w:bookmarkStart w:id="11" w:name="_Toc281859176"/>
      <w:r>
        <w:rPr>
          <w:rFonts w:hint="eastAsia" w:ascii="宋体" w:hAnsi="宋体" w:eastAsia="宋体" w:cs="宋体"/>
          <w:sz w:val="24"/>
          <w:szCs w:val="24"/>
          <w:lang w:eastAsia="zh-CN"/>
        </w:rPr>
        <w:t xml:space="preserve">（11）可管理性</w:t>
      </w:r>
      <w:bookmarkEnd w:id="11"/>
      <w:r>
        <w:rPr>
          <w:rFonts w:hint="eastAsia" w:ascii="宋体" w:hAnsi="宋体" w:eastAsia="宋体" w:cs="宋体"/>
          <w:sz w:val="24"/>
          <w:szCs w:val="24"/>
          <w:lang w:eastAsia="zh-CN"/>
        </w:rPr>
        <w:t xml:space="preserve">要求：系统的设计必须有很好的可管理性，业务流程清晰，权限划分合理，提供便捷的搜索功能和工作流控制功能。</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（12）系统部署要求：要求基于Linux操作系统环境进行系统部署，支持物理机、虚拟机、私有云、公有云的部署模式；采用主流数据库系统软件。</w:t>
      </w:r>
      <w:r/>
    </w:p>
    <w:p>
      <w:pPr>
        <w:pStyle w:val="956"/>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系统集成要求：平台具有良好的开放性、扩展性，能与学校建设的智慧校园（数字校园）基础平台进行无缝集成，可完全按照学校统一数据管理的要求，配合学校及基础平台开发商进行“统一身份认证”、“统一信息门户”、“统一数据共享与交换”等信息化集成建设，提供所需的接口。</w:t>
      </w:r>
      <w:r/>
    </w:p>
    <w:p>
      <w:pPr>
        <w:pStyle w:val="956"/>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平台提供符合业界标准的服务接口，可按照学校信息化的数据及接口规范，将数据从平台同步至公共数据平台，同时可从公共数据平台获取人事、财务、学工等部门提供的共享数据，实现跨部门跨系统的应用和数据共享，消除信息孤岛。</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（14）新老系统数据迁移要求：需完成老系统历史数据迁移到新系统，实现新老系统的平稳切换过渡。</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（15）本项目技术需求文件中，如存在未详尽的描述或者需求的变化，以双方友好协商形成的最终验收文件为准。</w:t>
      </w:r>
      <w:bookmarkEnd w:id="4"/>
      <w:r/>
      <w:r/>
    </w:p>
    <w:p>
      <w:pPr>
        <w:pStyle w:val="806"/>
        <w:spacing w:before="156" w:after="156" w:line="440" w:lineRule="exact"/>
        <w:rPr>
          <w:rFonts w:ascii="Times New Roman" w:hAnsi="Times New Roman" w:eastAsia="宋体" w:cs="Times New Roman"/>
          <w:b/>
          <w:bCs/>
          <w:sz w:val="24"/>
          <w:szCs w:val="24"/>
          <w:lang w:eastAsia="zh-CN"/>
        </w:rPr>
      </w:pPr>
      <w:r/>
      <w:bookmarkStart w:id="12" w:name="_Toc133258191"/>
      <w:r/>
      <w:bookmarkStart w:id="13" w:name="_Toc138065526"/>
      <w:r/>
      <w:r/>
    </w:p>
    <w:p>
      <w:pPr>
        <w:pStyle w:val="806"/>
        <w:spacing w:before="156" w:after="156" w:line="440" w:lineRule="exact"/>
        <w:rPr>
          <w:rFonts w:hint="eastAsia" w:ascii="宋体" w:hAnsi="宋体" w:eastAsia="宋体" w:cs="宋体"/>
          <w:b/>
          <w:bCs/>
          <w:sz w:val="24"/>
          <w:szCs w:val="24"/>
        </w:rPr>
      </w:pPr>
      <w:r>
        <w:rPr>
          <w:rFonts w:hint="eastAsia" w:ascii="Times New Roman" w:hAnsi="Times New Roman" w:eastAsia="宋体" w:cs="Times New Roman"/>
          <w:b/>
          <w:bCs/>
          <w:sz w:val="24"/>
          <w:szCs w:val="24"/>
          <w:lang w:eastAsia="zh-CN"/>
        </w:rPr>
        <w:t xml:space="preserve">三</w:t>
      </w:r>
      <w:r>
        <w:rPr>
          <w:rFonts w:ascii="Times New Roman" w:hAnsi="Times New Roman" w:eastAsia="宋体" w:cs="Times New Roman"/>
          <w:b/>
          <w:bCs/>
          <w:sz w:val="24"/>
          <w:szCs w:val="24"/>
          <w:lang w:eastAsia="zh-CN"/>
        </w:rPr>
        <w:t xml:space="preserve">、</w:t>
      </w:r>
      <w:r>
        <w:rPr>
          <w:rFonts w:hint="eastAsia" w:ascii="宋体" w:hAnsi="宋体" w:eastAsia="宋体" w:cs="宋体"/>
          <w:b/>
          <w:bCs/>
          <w:sz w:val="24"/>
          <w:szCs w:val="24"/>
        </w:rPr>
        <w:t xml:space="preserve">采购需求</w:t>
      </w:r>
      <w:bookmarkEnd w:id="12"/>
      <w:r/>
      <w:bookmarkEnd w:id="13"/>
      <w:r/>
      <w:r/>
    </w:p>
    <w:p>
      <w:pPr>
        <w:numPr>
          <w:ilvl w:val="0"/>
          <w:numId w:val="3"/>
        </w:numPr>
        <w:keepLines/>
        <w:keepNext/>
        <w:spacing w:before="156" w:after="156" w:line="360" w:lineRule="auto"/>
        <w:widowControl w:val="off"/>
        <w:rPr>
          <w:rFonts w:ascii="Times New Roman" w:hAnsi="Times New Roman" w:eastAsia="宋体" w:cs="Times New Roman"/>
          <w:b/>
          <w:bCs/>
          <w:sz w:val="28"/>
          <w:szCs w:val="28"/>
          <w:lang w:eastAsia="zh-CN"/>
        </w:rPr>
        <w:outlineLvl w:val="1"/>
      </w:pPr>
      <w:r/>
      <w:bookmarkStart w:id="14" w:name="_Toc139881068"/>
      <w:r/>
      <w:bookmarkStart w:id="15" w:name="_Toc139881071"/>
      <w:r/>
      <w:bookmarkStart w:id="16" w:name="_Toc10318"/>
      <w:r/>
      <w:bookmarkStart w:id="17" w:name="_Toc138065532"/>
      <w:r/>
      <w:bookmarkStart w:id="18" w:name="_Toc12175"/>
      <w:r/>
      <w:bookmarkStart w:id="19" w:name="_Toc31862"/>
      <w:r>
        <w:rPr>
          <w:rFonts w:ascii="Times New Roman" w:hAnsi="Times New Roman" w:eastAsia="宋体" w:cs="Times New Roman"/>
          <w:b/>
          <w:bCs/>
          <w:sz w:val="24"/>
          <w:szCs w:val="32"/>
          <w:lang w:eastAsia="zh-CN"/>
        </w:rPr>
        <w:t xml:space="preserve">管理中心</w:t>
      </w:r>
      <w:bookmarkEnd w:id="14"/>
      <w:r>
        <w:rPr>
          <w:rFonts w:ascii="Times New Roman" w:hAnsi="Times New Roman" w:eastAsia="宋体" w:cs="Times New Roman"/>
          <w:b/>
          <w:bCs/>
          <w:sz w:val="24"/>
          <w:szCs w:val="32"/>
          <w:lang w:eastAsia="zh-CN"/>
        </w:rPr>
        <w:t xml:space="preserve">系统平台</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1.1系统管理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系统管理需要包括权限管理、系统参数设置、系统日志管理、基础信息管理等功能。实现依据学校各院部、各教学管理单位按相应权限进行角色身份切换。</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系统管理要具备如下的功能：</w:t>
      </w:r>
      <w:r/>
    </w:p>
    <w:p>
      <w:pPr>
        <w:ind w:firstLine="480"/>
        <w:jc w:val="both"/>
        <w:spacing w:after="0" w:line="360" w:lineRule="auto"/>
        <w:widowControl w:val="off"/>
        <w:rPr>
          <w:rFonts w:ascii="Times New Roman" w:hAnsi="Times New Roman" w:eastAsia="宋体" w:cs="Times New Roman"/>
          <w:sz w:val="28"/>
          <w:szCs w:val="28"/>
          <w:lang w:eastAsia="zh-CN"/>
        </w:rPr>
      </w:pPr>
      <w:r>
        <w:rPr>
          <w:rFonts w:ascii="Times New Roman" w:hAnsi="Times New Roman" w:eastAsia="宋体" w:cs="Times New Roman"/>
          <w:sz w:val="24"/>
          <w:szCs w:val="24"/>
          <w:lang w:eastAsia="zh-CN"/>
        </w:rPr>
        <w:t xml:space="preserve">（1）在系统初始数据字典（依据《国家教育管理信息化标准》）的基础上，允许用户根据需要自定义扩展数据字典。</w:t>
      </w:r>
      <w:r/>
    </w:p>
    <w:p>
      <w:pPr>
        <w:ind w:firstLine="480"/>
        <w:jc w:val="both"/>
        <w:spacing w:after="0" w:line="360" w:lineRule="auto"/>
        <w:widowControl w:val="off"/>
        <w:rPr>
          <w:rFonts w:ascii="Times New Roman" w:hAnsi="Times New Roman" w:eastAsia="宋体" w:cs="Times New Roman"/>
          <w:sz w:val="28"/>
          <w:szCs w:val="28"/>
          <w:lang w:eastAsia="zh-CN"/>
        </w:rPr>
      </w:pPr>
      <w:r>
        <w:rPr>
          <w:rFonts w:ascii="Times New Roman" w:hAnsi="Times New Roman" w:eastAsia="宋体" w:cs="Times New Roman"/>
          <w:sz w:val="24"/>
          <w:szCs w:val="24"/>
          <w:lang w:eastAsia="zh-CN"/>
        </w:rPr>
        <w:t xml:space="preserve">（2）维护系统用户信息，分配用户操作权限，支持按照角色对权限进行分配，能按照校区、培养层次、院系、年级、专业设置用户的权限范围。</w:t>
      </w:r>
      <w:r/>
    </w:p>
    <w:p>
      <w:pPr>
        <w:ind w:firstLine="480"/>
        <w:jc w:val="both"/>
        <w:spacing w:after="0" w:line="360" w:lineRule="auto"/>
        <w:widowControl w:val="off"/>
        <w:rPr>
          <w:rFonts w:ascii="Times New Roman" w:hAnsi="Times New Roman" w:eastAsia="宋体" w:cs="Times New Roman"/>
          <w:sz w:val="28"/>
          <w:szCs w:val="28"/>
          <w:lang w:eastAsia="zh-CN"/>
        </w:rPr>
      </w:pPr>
      <w:r>
        <w:rPr>
          <w:rFonts w:ascii="Times New Roman" w:hAnsi="Times New Roman" w:eastAsia="宋体" w:cs="Times New Roman"/>
          <w:sz w:val="24"/>
          <w:szCs w:val="24"/>
          <w:lang w:eastAsia="zh-CN"/>
        </w:rPr>
        <w:t xml:space="preserve">（3）身份切换与模拟：一个用户可以同时有几种角色身份，例如一个用户可以同时具备教师身份跟管理员身份，系统支持快速身份切换，允许同一账号在不同身份之间进行自由切换。管理员可模拟为某一类用户，用于该类用户的功能测试。例如管理员可模拟为学生用户，测试学生的转专业报名等功能。校级管理员可模拟为某一个学院管理员，用于测试学院管理员的功能权限配置是否完善（可由二级学院初始化教师和学生密码）。</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（4）提供详细的用户操作日志查询、系统版本更新日志查询功能。</w:t>
      </w:r>
      <w:r/>
    </w:p>
    <w:p>
      <w:pPr>
        <w:ind w:firstLine="480"/>
        <w:jc w:val="both"/>
        <w:spacing w:after="0" w:line="360" w:lineRule="auto"/>
        <w:widowControl w:val="off"/>
        <w:rPr>
          <w:rFonts w:ascii="Times New Roman" w:hAnsi="Times New Roman" w:eastAsia="宋体" w:cs="Times New Roman"/>
          <w:sz w:val="28"/>
          <w:szCs w:val="28"/>
          <w:lang w:eastAsia="zh-CN"/>
        </w:rPr>
      </w:pPr>
      <w:r>
        <w:rPr>
          <w:rFonts w:ascii="Times New Roman" w:hAnsi="Times New Roman" w:eastAsia="宋体" w:cs="Times New Roman"/>
          <w:sz w:val="24"/>
          <w:szCs w:val="24"/>
          <w:lang w:eastAsia="zh-CN"/>
        </w:rPr>
        <w:t xml:space="preserve">（5）系统要能支持多级授权设置，能设置授权的起始时间和失效时间，实现精确到按钮级别的多级授权。</w:t>
      </w:r>
      <w:r/>
    </w:p>
    <w:p>
      <w:pPr>
        <w:ind w:firstLine="480"/>
        <w:jc w:val="both"/>
        <w:spacing w:after="0" w:line="360" w:lineRule="auto"/>
        <w:widowControl w:val="off"/>
        <w:rPr>
          <w:rFonts w:ascii="Times New Roman" w:hAnsi="Times New Roman" w:eastAsia="宋体" w:cs="Times New Roman"/>
          <w:sz w:val="28"/>
          <w:szCs w:val="28"/>
          <w:lang w:eastAsia="zh-CN"/>
        </w:rPr>
      </w:pPr>
      <w:r>
        <w:rPr>
          <w:rFonts w:ascii="Times New Roman" w:hAnsi="Times New Roman" w:eastAsia="宋体" w:cs="Times New Roman"/>
          <w:sz w:val="24"/>
          <w:szCs w:val="24"/>
          <w:lang w:eastAsia="zh-CN"/>
        </w:rPr>
        <w:t xml:space="preserve">（6）发布通知公告：可自定义通知公告的类别，可建立多个发送通知公告的群组，可指定每个通知公告的接收对象，可按用户、按角色、按群组来设置接收对象，提供通知公告的提示功能。</w:t>
      </w:r>
      <w:r/>
    </w:p>
    <w:p>
      <w:pPr>
        <w:ind w:firstLine="480"/>
        <w:jc w:val="both"/>
        <w:spacing w:after="0" w:line="360" w:lineRule="auto"/>
        <w:widowControl w:val="off"/>
        <w:rPr>
          <w:rFonts w:ascii="Times New Roman" w:hAnsi="Times New Roman" w:eastAsia="宋体" w:cs="Times New Roman"/>
          <w:sz w:val="28"/>
          <w:szCs w:val="28"/>
          <w:lang w:eastAsia="zh-CN"/>
        </w:rPr>
      </w:pPr>
      <w:r>
        <w:rPr>
          <w:rFonts w:ascii="Times New Roman" w:hAnsi="Times New Roman" w:eastAsia="宋体" w:cs="Times New Roman"/>
          <w:sz w:val="24"/>
          <w:szCs w:val="24"/>
          <w:lang w:eastAsia="zh-CN"/>
        </w:rPr>
        <w:t xml:space="preserve">（7）针对用户管理、成绩管理等关键模块需要提供硬盘序列号绑定功能。</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（8）提供文件上传路径设置功能，能自定义设置学生照片、教师照片、各类审核流程上传附件、毕业设计报告的文件在服务器的保存路径。</w:t>
      </w:r>
      <w:r/>
    </w:p>
    <w:p>
      <w:pPr>
        <w:ind w:firstLine="480"/>
        <w:jc w:val="both"/>
        <w:spacing w:after="0" w:line="360" w:lineRule="auto"/>
        <w:widowControl w:val="off"/>
        <w:rPr>
          <w:rFonts w:ascii="Times New Roman" w:hAnsi="Times New Roman" w:eastAsia="宋体" w:cs="Times New Roman"/>
          <w:sz w:val="28"/>
          <w:szCs w:val="28"/>
          <w:lang w:eastAsia="zh-CN"/>
        </w:rPr>
      </w:pPr>
      <w:r>
        <w:rPr>
          <w:rFonts w:ascii="Times New Roman" w:hAnsi="Times New Roman" w:eastAsia="宋体" w:cs="Times New Roman"/>
          <w:sz w:val="24"/>
          <w:szCs w:val="24"/>
          <w:lang w:eastAsia="zh-CN"/>
        </w:rPr>
        <w:t xml:space="preserve">（9）支持集中批量对学校基础数据进行导入，内置基础数据导入模板，管理人员可通过模板数据的填写和上传，完成教务基础数据的批量导入工作。</w:t>
      </w:r>
      <w:r/>
    </w:p>
    <w:p>
      <w:pPr>
        <w:ind w:left="3"/>
        <w:jc w:val="both"/>
        <w:keepLines/>
        <w:keepNext/>
        <w:spacing w:before="120" w:after="120" w:line="360" w:lineRule="auto"/>
        <w:widowControl w:val="off"/>
        <w:rPr>
          <w:rFonts w:ascii="Times New Roman" w:hAnsi="Times New Roman" w:eastAsia="宋体" w:cs="Times New Roman"/>
          <w:b/>
          <w:bCs/>
          <w:color w:val="000000"/>
          <w:sz w:val="24"/>
          <w:szCs w:val="32"/>
          <w:lang w:eastAsia="zh-CN"/>
        </w:rPr>
        <w:outlineLvl w:val="2"/>
      </w:pPr>
      <w:r>
        <w:rPr>
          <w:rFonts w:ascii="Times New Roman" w:hAnsi="Times New Roman" w:eastAsia="宋体" w:cs="Times New Roman"/>
          <w:b/>
          <w:bCs/>
          <w:sz w:val="24"/>
          <w:szCs w:val="32"/>
          <w:lang w:eastAsia="zh-CN"/>
        </w:rPr>
        <w:t xml:space="preserve">1.2工作流程管理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color w:val="000000"/>
          <w:sz w:val="24"/>
          <w:szCs w:val="24"/>
          <w:lang w:eastAsia="zh-CN"/>
        </w:rPr>
        <w:t xml:space="preserve">系统能支持工作流程功能，实现流程的动态配置。需要和学校将来的融合门户对接，流程发起由学校融合门户推送，实现点到点、点到角色的各类推送。</w:t>
      </w:r>
      <w:r>
        <w:rPr>
          <w:rFonts w:ascii="Times New Roman" w:hAnsi="Times New Roman" w:eastAsia="宋体" w:cs="Times New Roman"/>
          <w:sz w:val="24"/>
          <w:szCs w:val="24"/>
          <w:lang w:eastAsia="zh-CN"/>
        </w:rPr>
        <w:t xml:space="preserve">提供伴随工作流程的消息提示功能。支持系统内各项审批流程的自定义，包括：调停课流程、成绩录入流程、教室借用流程、缓考申请流程、培养方案审核流程等。</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可设置工作流程的步骤、执行时间、各步骤审批角色，流程执行过程中的审批人可以精确指定为角色下的某个用户。</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1.3数据与报表管理</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提供报表扩展功能，可通过报表工具直接连接数据库取值，任意组合数据库中所有数据表的各个字段从而形成报表模板，可设置各字段之间关联关系。制作报表模板操作简单易用，通过简单的拖拽操作便可以设计复杂的各类报表模板。可根据学校需要任意制作各种报表模板，模板中的数据表内容可通过设置过滤条件及公式，达到理想效果。</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报表模板设计完成后，要能在系统中对报表打印位置进行维护设置。设置报表名称、报表页面路径及上传报表模板，以及设置允许打印报表的权限范围。可在系统任意模块下设置打印报表。报表设置成功后可在报表页面路径查看打印报表。</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1.4系统接口集成管理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按照学校要求开放接口，支持与智慧校园基础平台及各应用系统集成，包括身份认证集成、数据共享集成、门户应用服务集成等。</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要求共享数据，必须免费提供标准对外接口，及配合信息中心推送数据到学校数据中心；对于本系统需要的外部数据，可通过调用数据中心标准共享数据接口进行更新。</w:t>
      </w:r>
      <w:r/>
    </w:p>
    <w:p>
      <w:pPr>
        <w:ind w:firstLine="480"/>
        <w:widowControl w:val="off"/>
        <w:rPr>
          <w:rFonts w:ascii="Times New Roman" w:hAnsi="Times New Roman" w:eastAsia="宋体" w:cs="Times New Roman"/>
          <w:sz w:val="24"/>
          <w:lang w:eastAsia="zh-CN"/>
        </w:rPr>
      </w:pPr>
      <w:r>
        <w:rPr>
          <w:rFonts w:ascii="Times New Roman" w:hAnsi="Times New Roman" w:eastAsia="宋体" w:cs="Times New Roman"/>
          <w:sz w:val="24"/>
          <w:lang w:eastAsia="zh-CN"/>
        </w:rPr>
        <w:t xml:space="preserve">免费配合学校完成与教育部智慧大脑数据对接教务相关部分工作。</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1.5消息推送服务</w:t>
      </w:r>
      <w:r/>
    </w:p>
    <w:p>
      <w:pPr>
        <w:ind w:firstLine="480"/>
        <w:jc w:val="both"/>
        <w:spacing w:after="0" w:line="360" w:lineRule="auto"/>
        <w:widowControl w:val="off"/>
        <w:rPr>
          <w:rFonts w:ascii="Times New Roman" w:hAnsi="Times New Roman" w:eastAsia="宋体" w:cs="Times New Roman"/>
          <w:color w:val="000000"/>
          <w:sz w:val="24"/>
          <w:szCs w:val="24"/>
          <w:lang w:eastAsia="zh-CN"/>
        </w:rPr>
      </w:pPr>
      <w:r>
        <w:rPr>
          <w:rFonts w:ascii="Times New Roman" w:hAnsi="Times New Roman" w:eastAsia="宋体" w:cs="Times New Roman"/>
          <w:sz w:val="24"/>
          <w:szCs w:val="24"/>
          <w:lang w:eastAsia="zh-CN"/>
        </w:rPr>
        <w:t xml:space="preserve">系统支持消息推送参数设置、系统通知管理功能，可通过邮件形式进行推送，可</w:t>
      </w:r>
      <w:r>
        <w:rPr>
          <w:rFonts w:ascii="Times New Roman" w:hAnsi="Times New Roman" w:eastAsia="宋体" w:cs="Times New Roman"/>
          <w:color w:val="000000"/>
          <w:sz w:val="24"/>
          <w:szCs w:val="24"/>
          <w:lang w:eastAsia="zh-CN"/>
        </w:rPr>
        <w:t xml:space="preserve">自定义设置收发邮件地址。</w:t>
      </w:r>
      <w:r/>
    </w:p>
    <w:p>
      <w:pPr>
        <w:ind w:firstLine="480"/>
        <w:spacing w:after="0" w:line="360" w:lineRule="auto"/>
        <w:widowControl w:val="off"/>
        <w:rPr>
          <w:rFonts w:ascii="Times New Roman" w:hAnsi="Times New Roman" w:eastAsia="宋体" w:cs="Times New Roman"/>
          <w:color w:val="ff0000"/>
          <w:sz w:val="24"/>
          <w:szCs w:val="21"/>
          <w:lang w:eastAsia="zh-CN"/>
        </w:rPr>
      </w:pPr>
      <w:r>
        <w:rPr>
          <w:rFonts w:ascii="Times New Roman" w:hAnsi="Times New Roman" w:eastAsia="宋体" w:cs="Times New Roman"/>
          <w:color w:val="000000"/>
          <w:sz w:val="24"/>
          <w:szCs w:val="24"/>
          <w:lang w:eastAsia="zh-CN"/>
        </w:rPr>
        <w:t xml:space="preserve">消息服务平台能支持不同的消息发送渠道，包括：系统Web端消息推送、系统移动端消息推送、企业微信等。</w:t>
      </w:r>
      <w:r>
        <w:rPr>
          <w:rFonts w:ascii="Times New Roman" w:hAnsi="Times New Roman" w:eastAsia="宋体" w:cs="Times New Roman"/>
          <w:sz w:val="24"/>
          <w:szCs w:val="24"/>
          <w:lang w:eastAsia="zh-CN"/>
        </w:rPr>
        <w:br/>
      </w:r>
      <w:r>
        <w:rPr>
          <w:rFonts w:ascii="Times New Roman" w:hAnsi="Times New Roman" w:eastAsia="宋体" w:cs="Times New Roman"/>
          <w:sz w:val="24"/>
          <w:szCs w:val="24"/>
          <w:lang w:eastAsia="zh-CN"/>
        </w:rPr>
        <w:t xml:space="preserve">   系统通知管理：支持针对成绩修改、教学执行计划微调、培养方案审核、成绩缓考申请、教师调课、学生异动、学籍预警等业务流程设置通知对象，包括学生、教师，或指定推送人员，能设置通知消息内容，支持推送到PC端和邮箱。</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按照学校信息门户要求，面向师生用户提供服务门户集成相关的个人数据、校历、课表、考试安排、消息提醒、待办事务、师生相关服务等接口。</w:t>
      </w:r>
      <w:r/>
    </w:p>
    <w:p>
      <w:pPr>
        <w:ind w:firstLine="48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设置消息推送流程和权限管理。</w:t>
      </w:r>
      <w:r/>
    </w:p>
    <w:p>
      <w:pPr>
        <w:numPr>
          <w:ilvl w:val="0"/>
          <w:numId w:val="3"/>
        </w:numPr>
        <w:keepLines/>
        <w:keepNext/>
        <w:spacing w:before="156" w:after="156" w:line="360" w:lineRule="auto"/>
        <w:widowControl w:val="off"/>
        <w:rPr>
          <w:rFonts w:ascii="Times New Roman" w:hAnsi="Times New Roman" w:eastAsia="宋体" w:cs="Times New Roman"/>
          <w:b/>
          <w:bCs/>
          <w:sz w:val="24"/>
          <w:szCs w:val="32"/>
          <w:lang w:eastAsia="zh-CN"/>
        </w:rPr>
        <w:outlineLvl w:val="1"/>
      </w:pPr>
      <w:r/>
      <w:bookmarkStart w:id="20" w:name="_Toc139876551"/>
      <w:r/>
      <w:bookmarkEnd w:id="20"/>
      <w:r/>
      <w:bookmarkStart w:id="21" w:name="_Toc139881069"/>
      <w:r/>
      <w:bookmarkEnd w:id="21"/>
      <w:r/>
      <w:bookmarkStart w:id="22" w:name="_Toc139876531"/>
      <w:r/>
      <w:bookmarkEnd w:id="22"/>
      <w:r/>
      <w:bookmarkStart w:id="23" w:name="_Toc139881070"/>
      <w:r>
        <w:rPr>
          <w:rFonts w:ascii="Times New Roman" w:hAnsi="Times New Roman" w:eastAsia="宋体" w:cs="Times New Roman"/>
          <w:b/>
          <w:bCs/>
          <w:sz w:val="24"/>
          <w:szCs w:val="32"/>
          <w:lang w:eastAsia="zh-CN"/>
        </w:rPr>
        <w:t xml:space="preserve">基础数据</w:t>
      </w:r>
      <w:bookmarkEnd w:id="23"/>
      <w:r>
        <w:rPr>
          <w:rFonts w:ascii="Times New Roman" w:hAnsi="Times New Roman" w:eastAsia="宋体" w:cs="Times New Roman"/>
          <w:b/>
          <w:bCs/>
          <w:sz w:val="24"/>
          <w:szCs w:val="32"/>
          <w:lang w:eastAsia="zh-CN"/>
        </w:rPr>
        <w:t xml:space="preserve"> </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2.1系统基础数据维护</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可设置学校信息、校区信息、二级部门、三级部门等信息，支持按照树状结构显示学校行政结构示意图。系统运行需要的其它基础信息等。</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2.2专业信息维护</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（1）根据国家教育部专业标准和我校实际招生专业，建立学校的专业信息总库，专业可归属到各分院。</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（2）专业基本信息维护包括专业代码、专业名称、英文专业名称、学制、所授学位、设立时间、开设院系、招生年份、专业等级、所属专业群等。</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专业管理：针对学院灵活开设专业的需求，系统提供专业申请控制、专业申请、审核功能；可控制专业申请的申请开始时间、申请结束时间，并支持上传专业申请范例模板、专业申请材料，统一专业申请的标准与规范。要能支持自定义专业申请审核流程，在控制的时间范围内，支持老师在教师端发起申请，上传专业申请材料，并经各级管理人员审核后方可生效，审核时可对专业进行评级。</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（4）专业情况统计，根据大类，学制，在校学生等进行统计。</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2.3课程资源管理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w:t>
      </w:r>
      <w:r>
        <w:rPr>
          <w:rFonts w:ascii="Times New Roman" w:hAnsi="Times New Roman" w:eastAsia="宋体" w:cs="Times New Roman"/>
          <w:bCs/>
          <w:sz w:val="24"/>
          <w:szCs w:val="24"/>
          <w:lang w:eastAsia="zh-CN"/>
        </w:rPr>
        <w:t xml:space="preserve">课程资源总库能对学校所有的课程按照版本进行维护，</w:t>
      </w:r>
      <w:r>
        <w:rPr>
          <w:rFonts w:ascii="Times New Roman" w:hAnsi="Times New Roman" w:eastAsia="宋体" w:cs="Times New Roman"/>
          <w:sz w:val="24"/>
          <w:szCs w:val="24"/>
          <w:lang w:eastAsia="zh-CN"/>
        </w:rPr>
        <w:t xml:space="preserve">课程信息主要包括课程编号（课程编号参照编码规则自动生成课程编码）、课程中文名称、课程英文名称、课程简称、学分、学分类型、学时类型、学时数量、周学时、开课单位、课程类别、课程性质、课程属性、考核方式、考核形式、课程版本、课程启用状态、先修课程、课程简介、新增时间、建立学期、是否学位课。能提供增加、修改、删除和查询课程信息的功能，可按照模板批量导入课程信息，支持批量修改课程信息字段，支持导出打印课程信息列表。</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（2）对于新增课程可实现在线进行申请、审核审批、入库的流程化管理，支持审核流程的自定义。</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（3）要求系统中的课程学时类型能实现自定义配置，灵活适应课程学时改革的要求，并与课程库、培养方案、排课等模块自动关联。</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（4）提供课程库公共查询功能，可查询某门课程在各年级专业的培养方案中使用的分布情况。</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针对历年的课程数据，课程库可对单个或批量课程有停（启）功能，解决历史课程与新增课程名称冲突、课时不一致等问题，降低录入人才培养方案或教学计划出错概率，避免修改课程数据影响成绩表等问题。</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2.4班级信息维护</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班级信息：维护各分院各专业下的行政班级信息，专业班级，学籍班级，跟读班级、班号、班级名称、所属专业（新旧专业名称，编码）、所属学院、学制、年级、生源类别、性质、预设人数、实际人数、晚自习教室安排。</w:t>
      </w:r>
      <w:r/>
    </w:p>
    <w:p>
      <w:pPr>
        <w:numPr>
          <w:ilvl w:val="0"/>
          <w:numId w:val="4"/>
        </w:numPr>
        <w:jc w:val="both"/>
        <w:spacing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可参照上一年级的班级复制生成新一年级的班级，系统自动生成班级编号。</w:t>
      </w:r>
      <w:r/>
    </w:p>
    <w:p>
      <w:pPr>
        <w:ind w:left="240"/>
        <w:jc w:val="both"/>
        <w:spacing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4"/>
          <w:lang w:eastAsia="zh-CN"/>
        </w:rPr>
        <w:t xml:space="preserve">（3）  </w:t>
      </w:r>
      <w:r>
        <w:rPr>
          <w:rFonts w:ascii="Times New Roman" w:hAnsi="Times New Roman" w:eastAsia="宋体" w:cs="Times New Roman"/>
          <w:sz w:val="24"/>
          <w:szCs w:val="24"/>
          <w:lang w:eastAsia="zh-CN"/>
        </w:rPr>
        <w:t xml:space="preserve">班级班主任或辅导员信息应免费对接学工系统读取。</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2.5教师信息管理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师信息包括教师职称，教师职务，就职部门，任课部门等，后期可以通过学校数据中心人事系统数据自动同步教师信息到教务系统，同时也可实时更新教师信息（比如职称等信息更新）。教务系统能够维护教师信息，初始化系统密码。二级学院部可提交外聘教师信息，教务处审核确认（因为外聘教师不在人事系统中）。</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2.6教学场所管理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（1）教学场所信息维护，维护教学楼，教室，实训室，体育场等教学场所信息。</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教学场所信息包括教学功能区信息、教学楼信息、教室信息。可自定义设置教室类型，如：多媒体教室、实训室、语音室、公共教室、各二级学院自有教室等；</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（2）可设置教室排课优先级、座位数、排课座位数、考试座位数等字段信息；提供批量修改教室各项信息的功能。</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（3）教学部门可维护本部门的教室和实训室。</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（4）教学场所的标识：包含教学功能区、是否专用、是否可用、教室类型、是否借用等。</w:t>
      </w:r>
      <w:r/>
    </w:p>
    <w:p>
      <w:pPr>
        <w:pStyle w:val="807"/>
        <w:numPr>
          <w:ilvl w:val="0"/>
          <w:numId w:val="3"/>
        </w:numPr>
        <w:spacing w:before="156" w:after="156" w:line="360" w:lineRule="auto"/>
        <w:widowControl w:val="off"/>
        <w:rPr>
          <w:rFonts w:ascii="Times New Roman" w:hAnsi="Times New Roman" w:eastAsia="宋体" w:cs="Times New Roman"/>
          <w:b/>
          <w:bCs/>
          <w:sz w:val="28"/>
          <w:szCs w:val="28"/>
          <w:lang w:eastAsia="zh-CN"/>
        </w:rPr>
      </w:pPr>
      <w:r>
        <w:rPr>
          <w:rFonts w:hint="eastAsia" w:ascii="宋体" w:hAnsi="宋体" w:eastAsia="宋体" w:cs="宋体"/>
          <w:b/>
          <w:bCs/>
          <w:sz w:val="24"/>
          <w:szCs w:val="24"/>
          <w:lang w:eastAsia="zh-CN"/>
        </w:rPr>
        <w:t xml:space="preserve">业务功能模块</w:t>
      </w:r>
      <w:bookmarkEnd w:id="15"/>
      <w:r/>
      <w:bookmarkStart w:id="24" w:name="_Toc139881072"/>
      <w:r>
        <w:rPr>
          <w:rFonts w:ascii="Times New Roman" w:hAnsi="Times New Roman" w:eastAsia="宋体" w:cs="Times New Roman"/>
          <w:b/>
          <w:bCs/>
          <w:sz w:val="24"/>
          <w:szCs w:val="32"/>
          <w:lang w:eastAsia="zh-CN"/>
        </w:rPr>
        <w:t xml:space="preserve">业务功能模块</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3.1人才培养方案</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1.支持多种学制模式、多类型培养方案管理</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（1）该模块要求能支持学年制、学年学分制的混合模式和完全学分制的模式。</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（2）系统支持大类招生的管理模式，可设置大类专业，大类专业下可包括几个专业，针对大类专业系统可制定大类培养方案，通过专业分流完成从大类专业向专业的过渡，学生的培养方案相应也会发生变化。</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能实现大类专业培养方案和专业培养方案管理，自动生成各年度执行培养方案，主要功能包括：培养方案版本管理、指导培养方案制定、课程体系设置、指导培养方案审核、能提供在不同年度或不同专业培养方案之间进行快速复制生成，并在生成好的培养方案的基础上进行各年级、各专业培养方案微调与变更。</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4）个性化培养方案、辅修培养方案的制定与统一管理。能实现，也支持按照学生个人的维度来制定个性化的培养方案，针对特殊情况的学生，系统可以按个人制定个性化培养方案，能实现在一个专业下挂多个类型的培养方案，同一个班级有几种不同的人才培养方案，并可对应到不同的学生个人。</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5）能够对转专业、降级等类型学生，因学籍变化造成人才培养方案变化，按照流程进行数据流转，最后形成每个学生毕业前的学业修读情况数据，并完成毕业（将来有本科后，本科学位）的综合审查。做到个人培养方案和成绩匹配。</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（6）能一门课程分不同院系开课、多个学期开课、滚动开课。</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7）培养方案审核流程：系统中要能自定义设置培养方案审核的流程，支持由二级学院在系统中编制各专业的培养方案，并提交教务处进行审核审批，审核通过后培养方案才能生效并使用；并且培养方案审核通过后，要求不能在系统中再进行修改操作。</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（8）培养方案的查询和输出，提供培养方案的在线查询、预览和导出，导出并打印格式包括PDF、Word、Excel等格式。可根据学校提供的模板格式导出。</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2.教学计划管理</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（1）根据人才培养方案，系统可以自动生成各年级、各专业和各班级的教学计划。教学安排与毕业资格审核均按照执行计划来进行。提供教学计划的在线查询和导出功能，打印格式包括PDF、Excel等格式。</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（2）教学计划维护：可以查询维护教学计划、教学计划调整、教学计划调整审核、调整情况汇总查询。</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（3）自定义教学计划修改审核流程修改教学计划：管理人员能修改，能单个或者批量修改教学计划课程信息。</w:t>
      </w:r>
      <w:r/>
    </w:p>
    <w:p>
      <w:pPr>
        <w:ind w:firstLine="60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1"/>
          <w:lang w:eastAsia="zh-CN"/>
        </w:rPr>
        <w:t xml:space="preserve">提交教学执行计划调整申请后，系统要自动记录有变化的数据内容，并在审核界面采用直观对比、通过不同颜色标记的方式显示，能快速的找到调整前后变化的数据，为管理人员提供人性化的线上审核服务。</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（4）提供选修课在线申报与审核、选修课计划调整维护等功能。</w:t>
      </w:r>
      <w:r/>
    </w:p>
    <w:p>
      <w:pPr>
        <w:ind w:firstLine="240"/>
        <w:jc w:val="both"/>
        <w:spacing w:after="0" w:line="360" w:lineRule="auto"/>
        <w:widowControl w:val="off"/>
        <w:rPr>
          <w:rFonts w:ascii="Times New Roman" w:hAnsi="Times New Roman" w:eastAsia="宋体" w:cs="Times New Roman"/>
          <w:color w:val="ff0000"/>
          <w:sz w:val="24"/>
          <w:szCs w:val="24"/>
          <w:lang w:eastAsia="zh-CN"/>
        </w:rPr>
      </w:pPr>
      <w:r>
        <w:rPr>
          <w:rFonts w:ascii="Times New Roman" w:hAnsi="Times New Roman" w:eastAsia="宋体" w:cs="Times New Roman"/>
          <w:sz w:val="24"/>
          <w:szCs w:val="24"/>
          <w:lang w:eastAsia="zh-CN"/>
        </w:rPr>
        <w:t xml:space="preserve">（5）能</w:t>
      </w:r>
      <w:r>
        <w:rPr>
          <w:rFonts w:ascii="Times New Roman" w:hAnsi="Times New Roman" w:eastAsia="宋体" w:cs="Times New Roman"/>
          <w:color w:val="000000"/>
          <w:sz w:val="24"/>
          <w:szCs w:val="24"/>
          <w:lang w:eastAsia="zh-CN"/>
        </w:rPr>
        <w:t xml:space="preserve">够导出各专业各班级对应的考试考查表。</w:t>
      </w:r>
      <w:r/>
    </w:p>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3.2课程标准管理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1.课程标准维护</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对于课程基础信息中新增课程或者已有课程，系统提供课程标准的录入、审核、查看的功能。对于同一门课程，可以添加不同版本的课程标准。课程基本信息从课程基础数据中读取，包括课程中英文名称、课程代码、学时学分、实践学时等，另外添加课程类型（公共课、专业基础课、专业核心课、专业选修、公共选修）、适用专业、修读方式（必修、必选、选修）、课程负责人、课程描述、课程负责人联系方式等信息。</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2.课程组负责人、课程组教师设置</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由二级学院教研室主任设置各课程负责人，课程负责人组织讨论课程标准的规划和编制并负责课程标准的编制上传，可以进行课程师资信息统计和课程成绩分析，课程组教师由课程负责人或教研室主任完成课程上课教师的设置。</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3.课程标准审核</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课程标准录入完成后，需要提交送审。系统提供课程标准审核流程的自定义功能，可按照流程逐级进行审核，可查看详细的审核记录。</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3.3教学运行管理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1.教学任务生成</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（1）依据教学计划生成学期课程教学任务。支持导出课程开课信息汇总表。</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（2）新增、删除、开课信息，分院可导出本院所开课程的信息，支持查询全校课程开课信息。</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（3）各院系可设置每个学期的集中实践环节、实验课程、考试、军训的开设周次，制定某专业某年级的学期专业教学进程。</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提供依据教学进程生成学期开课任务的功能：由各院系设置每个学期的集中实践环节、实验课程、考试、军训的开设周次，制定某专业某年级的学期专业教学进程。根据学期教学进程，系统生成开课计划时可以自动把理论课在实践周、考试周断开，以避免理论课与实践环节、考试冲突。提供根据实际教学安排来反向刷新教学进程的功能。</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（5）根据选修课教学计划完成每个学期的开课，并能设置每门课程的限选年级和专业；提供选修课开课计划的跨学期复制功能。</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2.教学任务安排</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（1）根据教学任务，由课程所属分院录入授课教师、合拆班或单班上课，设置上课周次、周学时。能提供教学任务书、课程学生名单、登分册等报表并导出打印功能，也可以批量修改教学任务。</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（2）同一门课有多种学时类型。讲授、实验时，可以分别设置教学安排，但是录入成绩、工作量统计时，还是当作一门课程。比如：理论部分多个班合上，实验部分分班授课。</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针对排课周学时安排环节，系统能根据上课周次与课程总学时，提供每周排课学时的多方案自动推荐功能。如：一门32个学时的课程，在10周内完成与15周内完成的两种情况下，每周排课学时自动推荐几种方案供用户选择，不需要用户逐个周次进行录入。</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提供精准化教学安排管理，一门课程有多种学时类型（如：理论、实验）及多个任课教师时，可以拆分进行教学安排；在系统中，针对一门课程理论学时可以安排3个行政班合班上课，1~4周任课教师为A，5~8周任课教师为B，排课周学时可自动推荐；实验学时可分小组上课，能将3个行政班自动拆分成5个小组上课，班级学生可以混搭，既可以自动分组也可以手工分组，系统能将各小组绑定安排在同一时间点上课。</w:t>
      </w:r>
      <w:r/>
    </w:p>
    <w:p>
      <w:pPr>
        <w:ind w:firstLine="120"/>
        <w:jc w:val="both"/>
        <w:spacing w:after="0" w:line="360" w:lineRule="auto"/>
        <w:widowControl w:val="off"/>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5）支持按照教师姓名进行快速模糊检索，支持多个教师姓名连续检索及确认，在同一个界面一个输入框完成多任课教师的安排；支持批量设置、批量清除多个课堂的任课教师。</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3.教学进程管理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由教务处和各二级学院协同设置每学期的实践环节、实验课程、考试、军训等的开设周次，安排班级教学进程。根据学期教学进程，系统生成开课计划时，能自动把理论课在实践周、考试周断开，以避免理论课与实践环节、考试冲突。</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具有教学进程维护功能，分院可以对实训（实践）课程进行周次维护，生成教学进程表，可打印并支持多格式导出。注意：打印课表时，理论课程的上课周次断开需考虑到可自定义设置（单班断开，合班不断开）。</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（3）支持师生公共查询班级的教学进程功能。</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教学进程编制工作流程如下：</w:t>
      </w:r>
      <w:r/>
    </w:p>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rPr>
          <w:rFonts w:ascii="Times New Roman" w:hAnsi="Times New Roman" w:eastAsia="宋体" w:cs="Times New Roman"/>
          <w:sz w:val="24"/>
          <w:szCs w:val="24"/>
          <w:lang w:eastAsia="zh-CN"/>
        </w:rPr>
        <mc:AlternateContent>
          <mc:Choice Requires="wpg">
            <w:drawing>
              <wp:inline xmlns:wp="http://schemas.openxmlformats.org/drawingml/2006/wordprocessingDrawing" distT="0" distB="0" distL="0" distR="0">
                <wp:extent cx="5276850" cy="3219450"/>
                <wp:effectExtent l="0" t="0" r="0" b="0"/>
                <wp:docPr id="1" name="_x0000_t75"/>
                <wp:cNvGraphicFramePr/>
                <a:graphic xmlns:a="http://schemas.openxmlformats.org/drawingml/2006/main">
                  <a:graphicData uri="http://schemas.openxmlformats.org/drawingml/2006/picture">
                    <pic:pic xmlns:pic="http://schemas.openxmlformats.org/drawingml/2006/picture">
                      <pic:nvPicPr>
                        <pic:cNvPr id="1027" name="_x0000_t75"/>
                        <pic:cNvPicPr/>
                        <pic:nvPr/>
                      </pic:nvPicPr>
                      <pic:blipFill>
                        <a:blip r:embed="rId14"/>
                        <a:stretch/>
                      </pic:blipFill>
                      <pic:spPr bwMode="auto">
                        <a:xfrm>
                          <a:off x="0" y="0"/>
                          <a:ext cx="5276850" cy="3219449"/>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5pt;height:253.5pt;mso-wrap-distance-left:0.0pt;mso-wrap-distance-top:0.0pt;mso-wrap-distance-right:0.0pt;mso-wrap-distance-bottom:0.0pt;" stroked="f">
                <v:path textboxrect="0,0,0,0"/>
                <v:imagedata r:id="rId14" o:title=""/>
              </v:shape>
            </w:pict>
          </mc:Fallback>
        </mc:AlternateContent>
      </w:r>
      <w:r/>
    </w:p>
    <w:p>
      <w:pPr>
        <w:jc w:val="both"/>
        <w:keepLines/>
        <w:keepNext/>
        <w:spacing w:before="120" w:after="120" w:line="360" w:lineRule="auto"/>
        <w:widowControl w:val="off"/>
        <w:rPr>
          <w:rFonts w:ascii="Times New Roman" w:hAnsi="Times New Roman" w:eastAsia="宋体" w:cs="Times New Roman"/>
          <w:b/>
          <w:bCs/>
          <w:sz w:val="24"/>
          <w:szCs w:val="21"/>
          <w:lang w:eastAsia="zh-CN"/>
        </w:rPr>
        <w:outlineLvl w:val="2"/>
      </w:pPr>
      <w:r>
        <w:rPr>
          <w:rFonts w:ascii="Times New Roman" w:hAnsi="Times New Roman" w:eastAsia="宋体" w:cs="Times New Roman"/>
          <w:b/>
          <w:bCs/>
          <w:sz w:val="24"/>
          <w:szCs w:val="32"/>
          <w:lang w:eastAsia="zh-CN"/>
        </w:rPr>
        <w:t xml:space="preserve">3.4课表管理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要求支持二级排课、分批排课、不规则排课、手动排课等功能，实时监测冲突并预警。能支持全校公共课、专业课、全校选修类课程分阶段排课。由教务处和开课院部统筹安排各年级各类别课程，排定上课时间和地点，输出全部排课结果信息。最终能够达到分阶段的智能化排课功能。</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课表编排过程中，要求支持各二级学院可排课的教室范围、考虑排课教学楼之间的距离远近关系、排课课程优先级设定、多次开课隔天排课、班级/教师/教室/部门的特殊时间、座位使用率、班级周排课学时数量均衡性、提供明确的课程漏排原因提示。</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（3）由教务处安排排课顺序，优先公共课的教学部门安排全校各院系公共课上课时间课表，在此基础上各院系再安排各类专业课程和选修类课程。排课工作主要业务流程如下： </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r>
      <w:r>
        <w:rPr>
          <w:rFonts w:ascii="Times New Roman" w:hAnsi="Times New Roman" w:eastAsia="宋体" w:cs="Times New Roman"/>
          <w:sz w:val="24"/>
          <w:szCs w:val="21"/>
          <w:lang w:eastAsia="zh-CN"/>
        </w:rPr>
        <mc:AlternateContent>
          <mc:Choice Requires="wpg">
            <w:drawing>
              <wp:inline xmlns:wp="http://schemas.openxmlformats.org/drawingml/2006/wordprocessingDrawing" distT="0" distB="0" distL="0" distR="0">
                <wp:extent cx="5267325" cy="2543175"/>
                <wp:effectExtent l="0" t="0" r="0" b="0"/>
                <wp:docPr id="2" name="_x0000_t75"/>
                <wp:cNvGraphicFramePr/>
                <a:graphic xmlns:a="http://schemas.openxmlformats.org/drawingml/2006/main">
                  <a:graphicData uri="http://schemas.openxmlformats.org/drawingml/2006/picture">
                    <pic:pic xmlns:pic="http://schemas.openxmlformats.org/drawingml/2006/picture">
                      <pic:nvPicPr>
                        <pic:cNvPr id="1029" name="_x0000_t75"/>
                        <pic:cNvPicPr/>
                        <pic:nvPr/>
                      </pic:nvPicPr>
                      <pic:blipFill>
                        <a:blip r:embed="rId15"/>
                        <a:stretch/>
                      </pic:blipFill>
                      <pic:spPr bwMode="auto">
                        <a:xfrm>
                          <a:off x="0" y="0"/>
                          <a:ext cx="5267325" cy="25431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200.2pt;mso-wrap-distance-left:0.0pt;mso-wrap-distance-top:0.0pt;mso-wrap-distance-right:0.0pt;mso-wrap-distance-bottom:0.0pt;" stroked="f">
                <v:path textboxrect="0,0,0,0"/>
                <v:imagedata r:id="rId15" o:title=""/>
              </v:shape>
            </w:pict>
          </mc:Fallback>
        </mc:AlternateConten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1.排课参数设置</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（1）课表时间设置：要求能针对每学期设置课表时间，包括每天的上下午及晚上的上课节次。</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排课规则：教学秘书能安排本教学部门所有班级的课程，教研室主任能安排本教研室承担课程。跨二级学院选的课，由课程对应所属部门的教学秘书安排，但其仅能安排本院课程，无权限调整此班其他学院的课程。</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排课条件预设：能通过预设参数设置确定自动编排课表的原则，要求提供多种灵活的排课参数，涵盖排课的时间、地点、教师、上课班级等。充分考虑各类课程特点及各种特殊要求。能单个或者批量指定某门课程的排课特殊时间，如：某门课程只能安排在周一上午排3-4节课；某门课程不能安排在周一到周三的下午上课。</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2.自动排课表</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（1）能根据设置好的排课参数，自动编排课表，自动匹配教室、时间，自动进行冲突检测，课表输出准确；支持多轮次进行自动编排，可在上一次排课的基础上继续自动排课。对预先手工排入的课表不覆盖。</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（2）课表备份、课表恢复、漏排查询、课表冲突检查，查询等功能。</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3.手工图形化排课</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（1）手工排课调整维护，提供图形化操作界面，所有手工排课的操作都在一个界面上完成。</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图形化课表界面：要求按照图形化课表方格的方式，显示排课课表信息，系统自动全屏显示，实时检测各类课表冲突，针对存在冲突的情况，每个课表方格中都实时显示冲突色标，可以通过不同色标来区分教室冲突、班级冲突、教师冲突，可以直接按大节从A时间点拖拽到B时间点。用户可通过鼠标单击、右击、拖拽等方式，快捷地完成编排上课时间、上课教室。</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课表信息显示与隐藏：根据用户的排课需要，可设置在图形化课表中是否显示教师名称、课堂名称、周次节次、教室名称信息。</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手工增加课表时，能够有不检测冲突的选项，可选择保存时是否检查课表冲突、保存时是否检查锁定时间冲突，但勾选不检查冲突选项后，能够实现冲突排课。</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4.课表调整功能</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（1）提供调停课、课程补课申请、审批、撤销等功能，</w:t>
      </w:r>
      <w:r>
        <w:rPr>
          <w:rFonts w:ascii="Times New Roman" w:hAnsi="Times New Roman" w:eastAsia="宋体" w:cs="Times New Roman"/>
          <w:bCs/>
          <w:sz w:val="24"/>
          <w:szCs w:val="24"/>
          <w:lang w:eastAsia="zh-CN"/>
        </w:rPr>
        <w:t xml:space="preserve">调停课申请审核通过后，系统自动更新相关联的教师、学生的课表</w:t>
      </w:r>
      <w:r>
        <w:rPr>
          <w:rFonts w:ascii="Times New Roman" w:hAnsi="Times New Roman" w:eastAsia="宋体" w:cs="Times New Roman"/>
          <w:sz w:val="24"/>
          <w:szCs w:val="24"/>
          <w:lang w:eastAsia="zh-CN"/>
        </w:rPr>
        <w:t xml:space="preserve">。 </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（2）对于自动编排完成后的课表，可以按需要手工进行调整。课表调整可以由管理员或分院教学秘书直接操作进行。</w:t>
      </w:r>
      <w:r/>
    </w:p>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拖拽式排课或调课：提供便捷的图形化拖拽式调课功能，界面采用直观的红色、绿色来区分课表冲突与空闲的情况，支持从多个维度（教师、课程、班级）进行课表查询与调整，系统自动检测冲突，并直观的在图形化课表界面上显示。</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5.课表查询与打印</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（1）课表查询、打印权限，可以分用户角色控制。可以设置教师、学生查询课表的开关参数。排课结果接口开放，支持不同格式输出全校课程表。 课表打印自动生成尽量显示在一页A4纸中，课程名称、合班信息等打印显示齐全。</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（2）开放公共查询功能，提供各类课表的查询并打印功能。包括：课程课表，教师课表，教室课表，班级课表，学生课表，周/日/节次课表，全校性总课表（按课程/按教师/按教室/按班级）。</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3.5教学过程管理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1.授课计划管理</w:t>
      </w:r>
      <w:r/>
    </w:p>
    <w:p>
      <w:pPr>
        <w:ind w:firstLine="480"/>
        <w:jc w:val="both"/>
        <w:spacing w:after="0" w:line="360" w:lineRule="auto"/>
        <w:widowControl w:val="off"/>
        <w:rPr>
          <w:rFonts w:ascii="Times New Roman" w:hAnsi="Times New Roman" w:eastAsia="宋体" w:cs="Times New Roman"/>
          <w:bCs/>
          <w:sz w:val="24"/>
          <w:szCs w:val="24"/>
          <w:lang w:eastAsia="zh-CN"/>
        </w:rPr>
      </w:pPr>
      <w:r>
        <w:rPr>
          <w:rFonts w:ascii="Times New Roman" w:hAnsi="Times New Roman" w:eastAsia="宋体" w:cs="Times New Roman"/>
          <w:bCs/>
          <w:sz w:val="24"/>
          <w:szCs w:val="24"/>
          <w:lang w:eastAsia="zh-CN"/>
        </w:rPr>
        <w:t xml:space="preserve">系统提供课程教学进度（授课计划）的在线录入功能。</w:t>
      </w:r>
      <w:r/>
    </w:p>
    <w:p>
      <w:pPr>
        <w:ind w:firstLine="480"/>
        <w:jc w:val="both"/>
        <w:spacing w:after="0" w:line="360" w:lineRule="auto"/>
        <w:widowControl w:val="off"/>
        <w:rPr>
          <w:rFonts w:ascii="Times New Roman" w:hAnsi="Times New Roman" w:eastAsia="宋体" w:cs="Times New Roman"/>
          <w:bCs/>
          <w:sz w:val="24"/>
          <w:szCs w:val="24"/>
          <w:lang w:eastAsia="zh-CN"/>
        </w:rPr>
      </w:pPr>
      <w:r>
        <w:rPr>
          <w:rFonts w:ascii="Times New Roman" w:hAnsi="Times New Roman" w:eastAsia="宋体" w:cs="Times New Roman"/>
          <w:bCs/>
          <w:sz w:val="24"/>
          <w:szCs w:val="24"/>
          <w:lang w:eastAsia="zh-CN"/>
        </w:rPr>
        <w:t xml:space="preserve">教师在规定的时间范围内登录系统进行教学进度录入。教学进度的内容包括：课程使用教材名称、参考书、开课周次、上课类型、开课节次、讲课章节及内容摘要、学时、教学方式、教学场地、辅助教具、授课教师。</w:t>
      </w:r>
      <w:r/>
    </w:p>
    <w:p>
      <w:pPr>
        <w:ind w:firstLine="480"/>
        <w:jc w:val="both"/>
        <w:spacing w:after="0" w:line="360" w:lineRule="auto"/>
        <w:widowControl w:val="off"/>
        <w:rPr>
          <w:rFonts w:ascii="Times New Roman" w:hAnsi="Times New Roman" w:eastAsia="宋体" w:cs="Times New Roman"/>
          <w:bCs/>
          <w:sz w:val="24"/>
          <w:szCs w:val="24"/>
          <w:lang w:eastAsia="zh-CN"/>
        </w:rPr>
      </w:pPr>
      <w:r>
        <w:rPr>
          <w:rFonts w:ascii="Times New Roman" w:hAnsi="Times New Roman" w:eastAsia="宋体" w:cs="Times New Roman"/>
          <w:bCs/>
          <w:sz w:val="24"/>
          <w:szCs w:val="24"/>
          <w:lang w:eastAsia="zh-CN"/>
        </w:rPr>
        <w:t xml:space="preserve">院系、教务处的管理人员可随时查看教师教学进度的录入情况。提供教师教学进度表的查询、导出和打印。</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系统能根据课表自动生成推荐的课程教学进度清单，教师在这个基础上进行调整，无需逐条手工录入；提供课程之间教学进度的复制功能；提供EXCEL模板导入教学进度功能。</w:t>
      </w:r>
      <w:r/>
    </w:p>
    <w:p>
      <w:pPr>
        <w:ind w:firstLine="480"/>
        <w:jc w:val="both"/>
        <w:spacing w:after="0" w:line="360" w:lineRule="auto"/>
        <w:widowControl w:val="off"/>
        <w:rPr>
          <w:rFonts w:ascii="Times New Roman" w:hAnsi="Times New Roman" w:eastAsia="宋体" w:cs="Times New Roman"/>
          <w:color w:val="000000"/>
          <w:sz w:val="24"/>
          <w:szCs w:val="21"/>
          <w:lang w:eastAsia="zh-CN"/>
        </w:rPr>
      </w:pPr>
      <w:r/>
      <w:bookmarkStart w:id="25" w:name="_Hlk139203042"/>
      <w:r>
        <w:rPr>
          <w:rFonts w:ascii="Times New Roman" w:hAnsi="Times New Roman" w:eastAsia="宋体" w:cs="Times New Roman"/>
          <w:color w:val="000000"/>
          <w:sz w:val="24"/>
          <w:szCs w:val="24"/>
          <w:lang w:eastAsia="zh-CN"/>
        </w:rPr>
        <w:t xml:space="preserve">授课计划录入完成后，需要提交送审。系统提供授课计划审核流程的自定义功能，可按照流程逐级进行审核，可查看详细的审核记录。</w:t>
      </w:r>
      <w:bookmarkEnd w:id="25"/>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2.教案管理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教案录入</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（1）根据我校现有教案模板，提供教师教案录入，查询，导出，打印等功能。要求教案可根据授课计划参照生成基本内容。</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（2）教案部分基础数据来源与授课计划（学时，授课内容；授课地点，授课时间来源于课表）。要求系统提供编辑器内容管理，要求能支持文本，图片，附件等功能上传功能。</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教案参照</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教案需要有参照其他学期，或者其他课程的教案功能。原则上教案生成时间早于教学日志2周以上，能在数据库中有体现，诊改需要时间数据。</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3.教学日志管理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课堂教学日志填报</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教师根据课表信息和授课计划数据，生成教学日志初始数据，日志初始数据包含：上课日期，上课周次节次，上课教室，教学内容，上课教师等信息。每次上课结束后，教师填报（修改）日志，学生考勤数据通过考勤系统内的数据自动获取。每条教学日志基础数据可以方便的上下的调整顺序。教师可以增，删，改日志。</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（2）系统能根据课表自动生成推荐的课程教学日志清单，教师在这个基础上进行调整，无需逐条手工录入；提供课程之间教学日志的复制功能；提供EXCEL模板导入教学日志功能。</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（3）办理免修，或者对外交流的学生，或者其它情况不在校的，但是学籍未异动的学生，能在教学日志填报中给出默认参数。</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实训日志填报</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1）教师可根据授课计划数据，同时结合课表信息（或者是实训室预约的信息），可生成实训教学日志初始数据，在教师每次上课结束后，可在线填报（或修改）日志信息，针对学生考勤，要求与考勤系统进行对接，通过考勤系统获取学生考勤信息。</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（2）实训日志要求填写实训室实训项目等相关信息，同时对实训室设备完善度提交相应的信息。</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4.日常调、停、补课</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教师主动申请</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提供日常调、停、补课的网上申请与审核功能；可以由任课教师在网上提交调、停、补课申请，各级管理人员审核审批后生效，教师调课审批流程步骤可以由系统管理员设置；调停课申请审核通过后，系统自动更新相关联的教师、学生的课表。教师停课后，可以申请补课；提供调课率统计功能。</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（2）提供调停课信息推送功能，支持设置通知学生、教师，或指定推送人员，能设置通知消息内容，支持推送到PC端和邮箱。</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针对特殊节假日（如：国家法定放假、校运会等），提供全校性的批量课表调整功能。因节假日调休造成的上课及教室借用问题，系统应支持将工作日的教学班批量调整到目标日期，支持批量调整时的冲突检测（排课、排考、教室借用）。</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5.教室借用</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系统应支持查看，修改，删除教室借用申请单的功能。提供教室借用流程自定义配置功能，可设置借用开始天数、天数、周次、管理端申请是否需要审核、联系方式必填，支持设置借用流程说明，能在线提交教室借用申请，由管理人员（如教管）进行审核，</w:t>
      </w:r>
      <w:r>
        <w:rPr>
          <w:rFonts w:ascii="Times New Roman" w:hAnsi="Times New Roman" w:eastAsia="宋体" w:cs="Times New Roman"/>
          <w:bCs/>
          <w:sz w:val="24"/>
          <w:szCs w:val="24"/>
          <w:lang w:eastAsia="zh-CN"/>
        </w:rPr>
        <w:t xml:space="preserve">提供教室借用流程自定义配置功能；</w:t>
      </w:r>
      <w:r>
        <w:rPr>
          <w:rFonts w:ascii="Times New Roman" w:hAnsi="Times New Roman" w:eastAsia="宋体" w:cs="Times New Roman"/>
          <w:sz w:val="24"/>
          <w:szCs w:val="24"/>
          <w:lang w:eastAsia="zh-CN"/>
        </w:rPr>
        <w:t xml:space="preserve">系统需记录详细的教室借用日志。查询空闲教室信息时，提供图形化查询界面。</w:t>
      </w:r>
      <w:r/>
    </w:p>
    <w:p>
      <w:pPr>
        <w:ind w:left="3"/>
        <w:jc w:val="both"/>
        <w:keepLines/>
        <w:keepNext/>
        <w:spacing w:before="120" w:after="120" w:line="360" w:lineRule="auto"/>
        <w:widowControl w:val="off"/>
        <w:rPr>
          <w:rFonts w:ascii="Times New Roman" w:hAnsi="Times New Roman" w:eastAsia="幼圆" w:cs="Times New Roman"/>
          <w:b/>
          <w:bCs/>
          <w:sz w:val="44"/>
          <w:szCs w:val="44"/>
          <w:lang w:eastAsia="zh-CN"/>
        </w:rPr>
        <w:outlineLvl w:val="2"/>
      </w:pPr>
      <w:r>
        <w:rPr>
          <w:rFonts w:ascii="Times New Roman" w:hAnsi="Times New Roman" w:eastAsia="宋体" w:cs="Times New Roman"/>
          <w:b/>
          <w:bCs/>
          <w:sz w:val="24"/>
          <w:szCs w:val="32"/>
          <w:lang w:eastAsia="zh-CN"/>
        </w:rPr>
        <w:t xml:space="preserve">3.6选课管理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1.分级分层教学管理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针对大学英语、数学等需要进行分层次/分等级教学的课程，提供分级教学功能。能对课程分级等级、分级学生名单、分级教学班、分级教学安排进行设置。针对不同的课程可设置不同的分级方式、分级等级名称；能批量导入学生的分级情况，能批量修改学生的分级；能根据每个等级的学生人数，自动确定教学班的数量，生成教学班。提供分级教学安排的跨学期复制功能。</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（2）能设置联合课码，将同一门课程不同分级的教学班安排在同一个时间点上课，确保同一个专业或班级的学生教学安排的一致性。</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（3）成绩对应。比如第三学期教学计划课程为大学英语1，学生无论被分到英语A层还是英语B层等，老师按实际选课名单输入分层课程成绩，成绩提交接收后，对应到学生成绩表中的成绩应该为大学英语1的成绩。</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（4）参照生成下一次选项项目。如学生在第三学期选择的是英语A层，第四学期分项管理员可以直接参参照第三学期生成学生第四学期的分层名单。管理可以维护调整学生分层课名单。</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2.体育选项课教学管理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针对体育课能提供体育分组、分项、分性别开课的功能。</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（1）可自定义快速设置体育课的分组项目，如：足球、篮球、羽毛球等。</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（2）能设置联合课码，将同一门体育课程不同项目的教学班安排在同一个时间点上课，确保同一个专业或班级的学生教学安排的一致性。</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（3）成绩对应，比如第三学期教学计划课程为体育选项1，学生无论选择足球、篮球、羽毛球等，老师按实际选课名单输入分项课程成绩，成绩提交接收后，对应到学生成绩表中的成绩应该为体育选项1的成绩。</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（4）参照生成下一次选项项目，如学生在第三学期选择的是篮球，第四学期不需要学生选课，分项管理员可以直接参照第三学期生成学生第四学期的选课名单。管理可以维护调整学生选项课名单。</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（5）可统计未选课学生名单，可在信息中心推送给未选学生。</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3.学生选课管理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选课应包括专业课选课、公共选修课，体育选课等。</w:t>
      </w:r>
      <w:r>
        <w:rPr>
          <w:rFonts w:ascii="Times New Roman" w:hAnsi="Times New Roman" w:eastAsia="宋体" w:cs="Times New Roman"/>
          <w:bCs/>
          <w:sz w:val="24"/>
          <w:szCs w:val="24"/>
          <w:lang w:eastAsia="zh-CN"/>
        </w:rPr>
        <w:t xml:space="preserve">选课服务要能设置多轮次选课，支持灵活的选课时间范围（总体选课时间、每天的选课开放时间、预览选课时间）；支持设置不同的抽签选课模式，包括：随机抽签、积分投注方式、投志愿方式；支持针对不同年级的学生设置不同的选课策略（例如：2020级学生可以进行公共选修课选课、跨年级选课；2021级学生能进行跨专业选课；2022级学生能进行必修选课）；学生选课时，可在一个界面便捷的查看选课轮次信息、选课学分情况、选课规则、个人课表、选课课程列表信息。</w:t>
      </w:r>
      <w:r>
        <w:rPr>
          <w:rFonts w:ascii="Times New Roman" w:hAnsi="Times New Roman" w:eastAsia="宋体" w:cs="Times New Roman"/>
          <w:sz w:val="24"/>
          <w:szCs w:val="24"/>
          <w:lang w:eastAsia="zh-CN"/>
        </w:rPr>
        <w:t xml:space="preserve"> 在高并发下，系统能流畅选课，不卡顿。</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（1）实现学生选课的功能； </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（2）支持</w:t>
      </w:r>
      <w:r>
        <w:rPr>
          <w:rFonts w:ascii="Times New Roman" w:hAnsi="Times New Roman" w:eastAsia="宋体" w:cs="Times New Roman"/>
          <w:bCs/>
          <w:sz w:val="24"/>
          <w:szCs w:val="24"/>
          <w:lang w:eastAsia="zh-CN"/>
        </w:rPr>
        <w:t xml:space="preserve">设置选课活动的各类整体控制参数，包括：是否允许跨校区选课</w:t>
      </w:r>
      <w:r>
        <w:rPr>
          <w:rFonts w:ascii="Times New Roman" w:hAnsi="Times New Roman" w:eastAsia="宋体" w:cs="Times New Roman"/>
          <w:sz w:val="24"/>
          <w:szCs w:val="24"/>
          <w:lang w:eastAsia="zh-CN"/>
        </w:rPr>
        <w:t xml:space="preserve">、</w:t>
      </w:r>
      <w:r>
        <w:rPr>
          <w:rFonts w:ascii="Times New Roman" w:hAnsi="Times New Roman" w:eastAsia="宋体" w:cs="Times New Roman"/>
          <w:bCs/>
          <w:sz w:val="24"/>
          <w:szCs w:val="24"/>
          <w:lang w:eastAsia="zh-CN"/>
        </w:rPr>
        <w:t xml:space="preserve">选课时是否进行先修课程判断</w:t>
      </w:r>
      <w:r>
        <w:rPr>
          <w:rFonts w:ascii="Times New Roman" w:hAnsi="Times New Roman" w:eastAsia="宋体" w:cs="Times New Roman"/>
          <w:sz w:val="24"/>
          <w:szCs w:val="24"/>
          <w:lang w:eastAsia="zh-CN"/>
        </w:rPr>
        <w:t xml:space="preserve">、</w:t>
      </w:r>
      <w:r>
        <w:rPr>
          <w:rFonts w:ascii="Times New Roman" w:hAnsi="Times New Roman" w:eastAsia="宋体" w:cs="Times New Roman"/>
          <w:bCs/>
          <w:sz w:val="24"/>
          <w:szCs w:val="24"/>
          <w:lang w:eastAsia="zh-CN"/>
        </w:rPr>
        <w:t xml:space="preserve">选课志愿字典信息、每学期的选课学分控制要求。</w:t>
      </w:r>
      <w:r>
        <w:rPr>
          <w:rFonts w:ascii="Times New Roman" w:hAnsi="Times New Roman" w:eastAsia="宋体" w:cs="Times New Roman"/>
          <w:sz w:val="24"/>
          <w:szCs w:val="24"/>
          <w:lang w:eastAsia="zh-CN"/>
        </w:rPr>
        <w:t xml:space="preserve">要求在系统中可以设定没有完成上学期教学评价的学生不能选课；未注册或没有交费的学生，不允许其选课。 </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（3）支持各年级学生各类型的选课； </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支持设置抽签顺序，支持按课表安排的行政班学生抽签、学生本学期计划内课程抽签、毕业班级优先抽签、培养方案内课程抽签、非培养方案内课程抽签；针对不同轮次选课，可设置不同的抽签选课模式，要求包括：随机抽签、积分投注方式、投志愿方式；支持在一个上课节次，学生可同时选择不同志愿的多门课程，按志愿优先进行抽签；</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针对不同的学生范围，要求可以设置不同的选课课程范围，包括必修课选课、选修课选课、跨专业课程选课、跨年级课程选课、通选课选课、本学期培养计划选课；从而可以灵活在系统实现完全学分制的小范围试点与逐步推广，如：2021级计算机学院学生进行学分制选课的试点（可跨专业、跨年级选课），其他学生仍然采用学年学分制的选课模式。 </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（6）选课结果接口开放，支持生成学生及班级课表；</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（7）存储学生选退课日志并支持学生和管理员查看。</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（8）支持启用防刷课验证码。</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9）针对每一轮选课，要能设置选课的开始时间与结束时间，并可控制每天的选课开放时间范围（如：8：30~21：30），以及该轮选课是否可超出课程教学班的限选人数、是否允许学生退选课程、是否允许冲突选课。</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▲（10）选课学生范围设置：针对每一轮次选课，可设置选课开放的学生范围，既可以按照年级、院系、专业、班级进行常规批量设置，也支持按照学生学籍标签进行特殊学生选课范围的设置（如： 2020级的艺术特长生）。</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常规学生选课业务流程如下：</w:t>
      </w:r>
      <w:r/>
    </w:p>
    <w:p>
      <w:pPr>
        <w:jc w:val="center"/>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r>
      <w:r>
        <w:rPr>
          <w:rFonts w:ascii="Times New Roman" w:hAnsi="Times New Roman" w:eastAsia="宋体" w:cs="Times New Roman"/>
          <w:sz w:val="24"/>
          <w:szCs w:val="24"/>
          <w:lang w:eastAsia="zh-CN"/>
        </w:rPr>
        <mc:AlternateContent>
          <mc:Choice Requires="wpg">
            <w:drawing>
              <wp:inline xmlns:wp="http://schemas.openxmlformats.org/drawingml/2006/wordprocessingDrawing" distT="0" distB="0" distL="0" distR="0">
                <wp:extent cx="4009390" cy="3467100"/>
                <wp:effectExtent l="0" t="0" r="0" b="0"/>
                <wp:docPr id="3" name="_x0000_t75"/>
                <wp:cNvGraphicFramePr/>
                <a:graphic xmlns:a="http://schemas.openxmlformats.org/drawingml/2006/main">
                  <a:graphicData uri="http://schemas.openxmlformats.org/drawingml/2006/picture">
                    <pic:pic xmlns:pic="http://schemas.openxmlformats.org/drawingml/2006/picture">
                      <pic:nvPicPr>
                        <pic:cNvPr id="1031" name="_x0000_t75"/>
                        <pic:cNvPicPr/>
                        <pic:nvPr/>
                      </pic:nvPicPr>
                      <pic:blipFill>
                        <a:blip r:embed="rId16"/>
                        <a:stretch/>
                      </pic:blipFill>
                      <pic:spPr bwMode="auto">
                        <a:xfrm>
                          <a:off x="0" y="0"/>
                          <a:ext cx="4009389" cy="34671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15.7pt;height:273.0pt;mso-wrap-distance-left:0.0pt;mso-wrap-distance-top:0.0pt;mso-wrap-distance-right:0.0pt;mso-wrap-distance-bottom:0.0pt;" stroked="f">
                <v:path textboxrect="0,0,0,0"/>
                <v:imagedata r:id="rId16" o:title=""/>
              </v:shape>
            </w:pict>
          </mc:Fallback>
        </mc:AlternateConten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选课系统用户角色分为四类：学生、任课教师、教学秘书和教务处选课管理员。具体角色用户功能如下：</w:t>
      </w:r>
      <w:r/>
    </w:p>
    <w:tbl>
      <w:tblPr>
        <w:tblStyle w:val="73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189"/>
        <w:gridCol w:w="6333"/>
      </w:tblGrid>
      <w:tr>
        <w:trPr>
          <w:jc w:val="center"/>
          <w:trHeight w:val="420"/>
        </w:trPr>
        <w:tc>
          <w:tcPr>
            <w:shd w:val="clear" w:color="auto" w:fill="d8d8d8"/>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189"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用户分类</w:t>
            </w:r>
            <w:r/>
          </w:p>
        </w:tc>
        <w:tc>
          <w:tcPr>
            <w:shd w:val="clear" w:color="auto" w:fill="d8d8d8"/>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功能应用</w:t>
            </w:r>
            <w:r/>
          </w:p>
        </w:tc>
      </w:tr>
      <w:tr>
        <w:trPr>
          <w:jc w:val="center"/>
          <w:trHeight w:val="42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89" w:type="dxa"/>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学生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查看课程教学大纲</w:t>
            </w:r>
            <w:r/>
          </w:p>
        </w:tc>
      </w:tr>
      <w:tr>
        <w:trPr>
          <w:jc w:val="center"/>
          <w:trHeight w:val="825"/>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选课，退课</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查看和确认选课结果</w:t>
            </w:r>
            <w:r/>
          </w:p>
        </w:tc>
      </w:tr>
      <w:tr>
        <w:trPr>
          <w:jc w:val="center"/>
          <w:trHeight w:val="420"/>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查看课表 </w:t>
            </w:r>
            <w:r/>
          </w:p>
        </w:tc>
      </w:tr>
      <w:tr>
        <w:trPr>
          <w:jc w:val="center"/>
          <w:trHeight w:val="42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89" w:type="dxa"/>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教学秘书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查看课程选课情况</w:t>
            </w:r>
            <w:r/>
          </w:p>
        </w:tc>
      </w:tr>
      <w:tr>
        <w:trPr>
          <w:jc w:val="center"/>
          <w:trHeight w:val="420"/>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调整部分课程选课结果</w:t>
            </w:r>
            <w:r/>
          </w:p>
        </w:tc>
      </w:tr>
      <w:tr>
        <w:trPr>
          <w:jc w:val="center"/>
          <w:trHeight w:val="420"/>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调整课堂修读人数</w:t>
            </w:r>
            <w:r/>
          </w:p>
        </w:tc>
      </w:tr>
      <w:tr>
        <w:trPr>
          <w:jc w:val="center"/>
          <w:trHeight w:val="420"/>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设置各专业选课门数</w:t>
            </w:r>
            <w:r/>
          </w:p>
        </w:tc>
      </w:tr>
      <w:tr>
        <w:trPr>
          <w:jc w:val="center"/>
          <w:trHeight w:val="42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89" w:type="dxa"/>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任课教师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查看课程选课情况</w:t>
            </w:r>
            <w:r/>
          </w:p>
        </w:tc>
      </w:tr>
      <w:tr>
        <w:trPr>
          <w:jc w:val="center"/>
          <w:trHeight w:val="420"/>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打印班级名册</w:t>
            </w:r>
            <w:r/>
          </w:p>
        </w:tc>
      </w:tr>
      <w:tr>
        <w:trPr>
          <w:jc w:val="center"/>
          <w:trHeight w:val="42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89" w:type="dxa"/>
            <w:vMerge w:val="restart"/>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教务处选课管理员</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设置选课阶段、选课时间和最高可选门数</w:t>
            </w:r>
            <w:r/>
          </w:p>
        </w:tc>
      </w:tr>
      <w:tr>
        <w:trPr>
          <w:jc w:val="center"/>
          <w:trHeight w:val="420"/>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手工调整部分学生选课结果</w:t>
            </w:r>
            <w:r/>
          </w:p>
        </w:tc>
      </w:tr>
      <w:tr>
        <w:trPr>
          <w:jc w:val="center"/>
          <w:trHeight w:val="825"/>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33" w:type="dxa"/>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查看各阶段选课结果</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查看未选课学生名单</w:t>
            </w:r>
            <w:r/>
          </w:p>
        </w:tc>
      </w:tr>
    </w:tbl>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3.7成绩管理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1.成绩录入</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（1）成绩录入：由任课教师、教务秘书与教务处成绩管理人员，快捷地完成学生的课程成绩的录入与审核、打印。</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支持手工在线录入与批量导入两种成绩录入的方式，能导出批量导入成绩的表格模板，能设置课程总成绩的组成比例和组成类别（如：平时成绩+期末成绩，实验成绩+作业成绩+期末成绩），并能设置各项目所占总成绩的百分比。</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提供课程平时成绩过程化管理功能，可由任课教师自主设置平时成绩的组成子项目，包括：平时成绩的子项目名称、所占平时成绩的比例；平时成绩子项数量支持设置多个，教师可在学期过程中及时进行平时成绩的录入，系统自动统计平时成绩总分，并自动同步到课程总成绩中。支持多学期成绩录入，针对特殊类型的课程，需要分学期上课课程，要求支持多学期成绩录入（例如形式政策、心理、就业、军事等课程）。</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2.成绩录入情况检查</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提供成绩录入进度查询功能，包括：课程人数、未录入成绩人数、是否录入完毕、是否审核通过。使用角色主要为教学秘书，教务处成绩管理员。</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3.成绩审核功能</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成绩审核流程：能自定义成绩审核流程，任课教师录入完成绩后，需要提交送审后，由各相关权限审核人员审核通过后，成绩才能生效并发布。教务处成绩管理人员可撤销已经审核通过的成绩。使用角色主要为教学秘书，系统成绩管理员。</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按照不同的成绩性质（补考，重修）和考试轮次，可批量处理课程成绩后入库，进行发布。</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4.教师申请成绩修改功能</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成绩修改流程审核：对于录入有误的成绩，需要提供成绩修改的功能，并要求经过流程的审批，只能由原来录入该学生成绩的教师在线提交成绩修改申请（针对单个学生单门课程的成绩），其它人无法提交成绩修改申请。提交申请后，需要各级人员进行审核，审核通过后自动更新成绩总库中的成绩。提供成绩修改统计报表，统计各院系的成绩修改申请人数、修改比率。</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5.学生缓考与免考申请</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缓考与免考服务：需要提供缓考与免考的申请控制与审核功能，学生网上提交缓考或免考的申请，由相关管理人员进行审核后生效。学生相应课程的成绩即会打上“缓考”或“免考”的成绩标识。对于“缓考”，在补考阶段，需要可以被统计出数据，让学生参加补考。</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6.成绩查询功能</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二级学院部管理员、辅导员或班主任教师成绩查询与统计：需要提供丰富的成绩查询条件字段，并能按各种组合条件进行成绩查询。提供多种多样的成绩统计报表，如：学生成绩单、班级成绩单、专业成绩单、课程成绩单、不及格门数统计、学分绩点统计、成绩通知单、不及格课程统计、不及格学生名单、缓考申请情况统计、学位课程平均分统计等。提供学分绩点计算公式自定义设置功能。</w:t>
      </w:r>
      <w:r/>
    </w:p>
    <w:p>
      <w:pPr>
        <w:ind w:firstLine="240"/>
        <w:jc w:val="both"/>
        <w:spacing w:after="0" w:line="360" w:lineRule="auto"/>
        <w:widowControl w:val="off"/>
        <w:rPr>
          <w:rFonts w:hint="eastAsia"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学生可以从多个维度（按课程体系、按课程属性、按课程性质）查看学习完成进度情况，即：学生已修课程与本专业培养方案要求课程的对比情况，提供直观的修读报告展示，包括要求学分、已修学分、正修读学分、还需学分。支持查看各课程修读情况，如已修读、修读中、未修读。</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7.成绩认定功能</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针对转专业、降级等学籍异动学生，可申请将其异动前所修的一些课程对应替换成现在所在专业培养方案里的课程，由二级学院管理人员和成绩管理人员进行成绩认定审核。能维护每个学期可以申请成绩认定的开始和结束时间，只有在这个时间范围内学生才可以申请成绩认定。</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▲8.特殊学生成绩管理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针对特殊学生（如：新疆西藏少数民族符合成绩系数处理的学生、艺术特长生、体育特长生）进行成绩加分的处理。在系统内对特殊学生进行标记，由成绩管理人员设置加分的相关细则，包括加分等级、固定加分、乘系数加分、最高分限定、申请时间范围；一般由院系教务员申请对特殊学生的某门成绩进行加分，然后由各级管理人员按照流程进行审核，该流程可自定义设置，审核通过后系统自动完成成绩加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9.成绩预警</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成绩达标率低于30%的需要提醒相关教研室和老师。</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成绩预警信息的生成：当系统发现某个课程或班级的成绩达标率低于30%时，系统应能自动生成预警信息，并将信息发送给相关教研室、老师，提示他们需要关注该课程成绩的情况。预警信息包括成绩未达标课程或班级的名称、成绩情况、老师对导致成绩不达标的原因分析等等相关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信息推送：系统能够根据课程设置相关的教研室和老师，并向其推送预警信息。推送方式可以通过系统内部信息机制实现，并应根据学校情况选择系统内部、邮件等方式。</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信息处理记录和跟进：系统应自动记录发送预警信息的时间、对象和内容等相关信息，以便教务处工作人员进行跟踪和处理。相关教研室和老师接收到预警信息后，应及时采取措施，积极开展课堂教学改革，协调和组织班级和教学管理人员对成绩线下落实，线上录入并跟进。</w:t>
      </w:r>
      <w:r/>
    </w:p>
    <w:p>
      <w:pPr>
        <w:jc w:val="both"/>
        <w:keepLines/>
        <w:keepNext/>
        <w:spacing w:before="120" w:after="120" w:line="360" w:lineRule="auto"/>
        <w:widowControl w:val="off"/>
        <w:rPr>
          <w:rFonts w:ascii="Times New Roman" w:hAnsi="Times New Roman" w:eastAsia="宋体" w:cs="Times New Roman"/>
          <w:b/>
          <w:bCs/>
          <w:color w:val="000000"/>
          <w:sz w:val="24"/>
          <w:szCs w:val="32"/>
          <w:lang w:eastAsia="zh-CN"/>
        </w:rPr>
        <w:outlineLvl w:val="2"/>
      </w:pPr>
      <w:r>
        <w:rPr>
          <w:rFonts w:ascii="Times New Roman" w:hAnsi="Times New Roman" w:eastAsia="宋体" w:cs="Times New Roman"/>
          <w:b/>
          <w:bCs/>
          <w:color w:val="000000"/>
          <w:sz w:val="24"/>
          <w:szCs w:val="32"/>
          <w:lang w:eastAsia="zh-CN"/>
        </w:rPr>
        <w:t xml:space="preserve">3.8考试管理</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1.考试数据生成</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（1）末考直接读取本学期考试课程；补考可通过设置补考规定，读取相应补考课程。同时都可生成相应的统计表格(后期可根据需求增加字段)。</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2）各类考试场次和时间段设置；考场选择、考场容量设置；考试课程类别定义及考试形式设置（考试类别一般为考试和考查课，但考试形式会采取多样化，需授权给二级学院去分类，如卷考、操作考、在线考等）；考试群组设置（不同代码课程使用相同试卷进行考试群组的设置，需授权给二级学院设置）；监考教师设置（如任课教师不参加当场次的监考，默认进行巡考，选择老师是否参加本次监考）。</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2.课程排考</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（1）能实现对考试课程、考核形式、考试学生、考试地点、考试时间、监考人员、巡考人员等的自动安排和手工安排。</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（2）能实现分校区期中考试、期末考试、补考、重新学习考试的安排。设置排考要求后，可自动安排或手工安排考试。能快速安排考试时间和考试地点。</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3）能选择需要排考教室，优先选择哪些楼栋或者哪些教室；可定义教室安排容量（如考场安排人数需达到10人以上或者安排人数大于考场容量的50%等）。对需要考试的学生能实现隔场次安排、场次不重复安排、学生同场次最多安排几场（2场或者3场，可选择，这个主要是针对补考课程多的情况）。</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（4）对管理员和教学秘书，能提供各种考试信息查询统计功能，如：按考生考场安排查询、监考查询、考试内容安排查询、准考证打印、考务分析统计等。</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（5）教师可查询所授课程的考试安排信息，个人的监考信息。</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（6）提供监考老师的调代申请管理功能，原监考老师发起申请，调代老师确认，各级管理人员审核，审核通过的结果自动排入系统。</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（7）学生可查询考试时间，考场等信息。</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（8）自动排考：能编排考场、安排监考、编排座位号、生成准考证号，生成学生签到表（签到表有座位号，可以带照片或者简版不带照片）。</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（9）提供预排监考功能，系统根据预设的排考参数、待安排的考场数据，自动计算预计所需的监考人员总数、各院系所需监考人数。</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（10）提供各种考试安排报表：班级考试安排表、学生考试安排表、考场考试安排表、巡考人员巡考安排表、监考人员监考安排表；要求实现对监考人员监考场次的统计。</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（11）考场信息查询打印：可以一键生成试卷袋信息，包含科目，考试班级，考场，考试时间，监考教师等信息。可以打印考场学生签名单。</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3.重新学习、结业生返校重新学习考试</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（1）要求能统计重新学习，生成结业生未通过课程名单，提供网上报名的功能，重新学习网上报名需能和财务系统对接，完成网银缴费。可设置报名的起止时间。</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2）能实现结业生返校重新学习管理功能，报名需和在校生区别开，有些模块不能开放给已毕业学生。如：英语等级考试、公选课等。另外，结业生返校有年限要求，根据国家规定，从入学年月起，最多6学年，五年制最多8学年，系统需要能根据学生的入学年份，计算出学生是否在规定年限内，超期学生，无法报名结业生返校重新学习。如果是因为参军等特殊原因导致超过年限，学生可在线提出复核申请，管理员通过审核可安排重新返校学习考试。</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（3）考试类型需要可以自定义，排考可实现智能排考和手动排考（具体同末考和补考）。</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（4）重新学习学生名单可以直接生成到考务模块中进行排考、可以直接生成到成绩模块中进行成绩录入。</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（5）提供各类统计（如按班级，年级，专业，分院，课程等）重新学习、考试学生相关报表。</w:t>
      </w:r>
      <w:r/>
    </w:p>
    <w:p>
      <w:pPr>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1"/>
          <w:lang w:eastAsia="zh-CN"/>
        </w:rPr>
      </w:r>
      <w:r/>
    </w:p>
    <w:p>
      <w:pPr>
        <w:ind w:left="3"/>
        <w:jc w:val="both"/>
        <w:keepLines/>
        <w:keepNext/>
        <w:spacing w:before="120" w:after="120" w:line="360" w:lineRule="auto"/>
        <w:widowControl w:val="off"/>
        <w:rPr>
          <w:rFonts w:ascii="Times New Roman" w:hAnsi="Times New Roman" w:eastAsia="宋体" w:cs="Times New Roman"/>
          <w:b/>
          <w:bCs/>
          <w:color w:val="000000"/>
          <w:sz w:val="28"/>
          <w:szCs w:val="28"/>
          <w:lang w:eastAsia="zh-CN"/>
        </w:rPr>
        <w:outlineLvl w:val="2"/>
      </w:pPr>
      <w:r>
        <w:rPr>
          <w:rFonts w:ascii="Times New Roman" w:hAnsi="Times New Roman" w:eastAsia="宋体" w:cs="Times New Roman"/>
          <w:b/>
          <w:bCs/>
          <w:color w:val="000000"/>
          <w:sz w:val="24"/>
          <w:szCs w:val="32"/>
          <w:lang w:eastAsia="zh-CN"/>
        </w:rPr>
        <w:t xml:space="preserve">3.9等级考试管理</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1.等级考试报名</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1）系统能实现各类考级（大学英语A级，四六级考试、计算机等级考试等）的报名工作，能在系统中自定义各类等级考试的考级类别、考级等级。可灵活设置各类等级考试的报名条件、报名时间范围。并能对等级考试成绩进行维护。</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（2）学生英语等级考试，计算机等级考试网上报名，能网银缴费，和学校财务系统对接。</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（3）全国CET考试，主要为：1.根据报名条件，导出符合CET平台的字段要求的学生信息以及相应学生照片；2.学生在CET平台报名结束后，管理员可将在CET平台导出的有效报名信息导入教务系统； 3.CET成绩能导入系统4.能对CET成绩进行各种统计查询（如班级、专业、分院的通过率）</w:t>
      </w:r>
      <w:r>
        <w:rPr>
          <w:rFonts w:hint="eastAsia" w:ascii="Times New Roman" w:hAnsi="Times New Roman" w:eastAsia="宋体" w:cs="Times New Roman"/>
          <w:color w:val="000000"/>
          <w:sz w:val="24"/>
          <w:szCs w:val="24"/>
          <w:lang w:eastAsia="zh-CN"/>
        </w:rPr>
        <w:t xml:space="preserve">。</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color w:val="000000"/>
          <w:sz w:val="24"/>
          <w:szCs w:val="24"/>
          <w:lang w:eastAsia="zh-CN"/>
        </w:rPr>
        <w:t xml:space="preserve">（4）大学英语A级考试，1.能在教务系统中网上报名，能网银缴费；2.报名结后可按照省平台内上报数据的字段要求导出相应</w:t>
      </w:r>
      <w:r>
        <w:rPr>
          <w:rFonts w:ascii="Times New Roman" w:hAnsi="Times New Roman" w:eastAsia="宋体" w:cs="Times New Roman"/>
          <w:sz w:val="24"/>
          <w:szCs w:val="24"/>
          <w:lang w:eastAsia="zh-CN"/>
        </w:rPr>
        <w:t xml:space="preserve">数据和学生照片； 3.A级成绩能导入系统。4.能对A级成绩进行各种统计查询（如班级、专业、分院的通过率）</w:t>
      </w:r>
      <w:r>
        <w:rPr>
          <w:rFonts w:hint="eastAsia" w:ascii="Times New Roman" w:hAnsi="Times New Roman" w:eastAsia="宋体" w:cs="Times New Roman"/>
          <w:sz w:val="24"/>
          <w:szCs w:val="24"/>
          <w:lang w:eastAsia="zh-CN"/>
        </w:rPr>
        <w:t xml:space="preserve">。</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计算机各级别等级考试，1.能在教务系统中网上报名，能网银缴费；2.报名结后可按照省平台内上报数据的字段要求导出相应数据和学生照片；3.计算机级成绩能导入系统。4.能对计算机成绩进行各种统计查询（如班级、专业、分</w:t>
      </w:r>
      <w:r>
        <w:rPr>
          <w:rFonts w:hint="eastAsia" w:ascii="Times New Roman" w:hAnsi="Times New Roman" w:eastAsia="宋体" w:cs="Times New Roman"/>
          <w:sz w:val="24"/>
          <w:szCs w:val="24"/>
          <w:lang w:eastAsia="zh-CN"/>
        </w:rPr>
        <w:t xml:space="preserve">院的通过率）。</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2.等级考试成绩查询分析</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学生考级成绩公布后，需要将从考试院获取的成绩批量导入系统中，能对学生多次考级的成绩进行维护，学生可在系统中查询考级成绩；需要提供考级通过率报表统计功能，可按全校、按院系、按专业统计各类考级的通过率。</w:t>
      </w:r>
      <w:r/>
    </w:p>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3.10学籍管理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1.学籍基本信息</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维护学生基本信息（考生号、学号、姓名、性别、民族、政治面貌、出生日期、籍贯、联系电话、通信地址、入学时间、入籍时间、所属分院、专业、班级(行政班级）、生源类型、生源性质、预计复学日期、预计毕业日期，在校状态，是否实习，在籍状态、照片、学生标志等等），能够按照多个组合字段对学籍信息进行综合查询，能够导出打印查询结果。</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（2）需要有教育部最新提出的学生父母个人所得税专项扣除补录和核准个人信息录入系统。身份证号码和性别合法性需要能判别。</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（3）学籍信息导入：要求提供多种格式文件（excel、dbf）的学籍信息导入功能，支持学生照片的批量导入，学生拍照上传（固定格式大小和背景）。</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学籍信息导出：要求能提供多种格式文件（excel、dbf）的学籍信息导出功能，能根据具体需要自定义导出表格的显示字段；支持按照多种照片命名方式（以学号命名、以身份证号命名、以考生号命名）导出系统中的学生照片。</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学籍信息网上核对：学生的基本信息采集(导入、录入)到学生信息库中后，学生可以在管理人员的控制下，网上对自己的信息进行校对，可控制学生的范围（年级、专业等）、校对的起止时间、限制学生可修改的字段。学生可提交修改申请，经管理人员班主任，二级学院先审核，需上传相关材料）审批通过后后，系统会自动更新到学生信息库中去。</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（6）各类学籍统计报表：学生人数统计表（可自定义筛选时间，年级，专业（学籍专业，人培专业），类别等）、学籍卡、学生名册、学生情况统计表等，同时可以导出统计的原始数据等。</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（7）能对接学工管理系统，获取学生奖惩、处分信息。（毕业审核时如果有处分未解除的，毕业不能通过）</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（8）可生成不同时期（每月或每学期特定时间点）学籍数据，并保存记录供查询。可以在对应数据快照中进行数据统计。</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（9）支持学生照片导出，可自定义命名照片规则，如以学号命名、以身份证号命名、以考生号命名。</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（10）可批量或单个添加班级学生信息（如留学生、委培生）。</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2.报到注册服务</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新生报到注册功能，可批量、单个报到注册，录入数据库。能够在系统中办理每个学期的报到、注册手续，登记学生报到与注册的状态，支持批量修改学生报到、注册的状态，支持按照院系、年级、专业、班级等条件进行批量注册。可直接使用招办招生数据进行导入。</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（2）提供报到、注册统计查询功能：能按照全校、院系、年级或专业等不同类别统计。例如未报到学生、报到学生、未注册学生，暂缓注册，学生报到情况统计表等报表。</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（3）学生注册</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进行学籍注册，学年注册，学历注册的批量注册并上报。</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3.毕业班学生信息核对</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（1）要求可批量导入省就业中心统一拍摄的以身份证号命名的照片，照片不可下载。</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要求支持学生在线核对姓名、身份证号、出生年月、班级、学院、专业等信息，（包含学信网模板字段）支持核对无误确认，如果核对信息不一致可进行标记，可在线申请修改，支持管理员设置核对时间，各学院进行管理维护。</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（3）要求可按学院、专业、年级统计导出毕业班生信息。</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4.学籍异动</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（1）实现各类学籍异动（转专业、休学、复学、退学、专升本、留级、降级、重新学习、保留学籍、更改个人信息等），管理员可自定义学籍异动类别。  </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（2）要求可按各异动类别和时间段统计、导出学籍异动数据，要求可按班级、年级统计学籍异动人数，可按髙基报表月报格式统计上报。</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学籍冷冻：要求系统通过设置学生旷课次数，当学生累计到规定数时系统能自动冷冻，再由管理员审核，冷冻后可根据系统的设置要求控制该学生在行政班信息、成绩录入信息、考勤签到信息、教师日志填报信息以及毕业设计中进行不显示或冷冻显示。针对冷冻的学生，支持学生申请恢复，通过审核后可解除学生冷冻。</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学籍异动既可由学籍管理人员直接进行学籍异动操作，也可按照学籍异动流程由学生提交异动申请进行各级审批处理后完成异动。提供学籍异动情况的查询统计报表。学籍异动后，针对一些关联模块会产生影响，系统需要提供相应的异动联动处理功能，包括：异动后的成绩处理、异动后选课处理、异动后考试安排的处理等。</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（5）学籍异动申请实现在线无纸化审核管理，要求能根据实际需要自定义扩展学籍异动的类型，能设置异动申请审核的流程。</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sz w:val="24"/>
          <w:szCs w:val="24"/>
          <w:lang w:eastAsia="zh-CN"/>
        </w:rPr>
        <w:t xml:space="preserve">（6</w:t>
      </w:r>
      <w:r>
        <w:rPr>
          <w:rFonts w:ascii="Times New Roman" w:hAnsi="Times New Roman" w:eastAsia="宋体" w:cs="Times New Roman"/>
          <w:color w:val="000000"/>
          <w:sz w:val="24"/>
          <w:szCs w:val="24"/>
          <w:lang w:eastAsia="zh-CN"/>
        </w:rPr>
        <w:t xml:space="preserve">）针对学籍异动学生，标注有效学期和无效学期，在异动时由管理员为该生指定无效学期，折叠学籍卡功能，便于学业预警、学业警示、毕业审核等操作。</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5.学业警示</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可以自定义设置警示类型，针对各种类型的警示提供灵活的警示条件设置功能，支持多个条件组合进行警示。可选择警示对象的学期范围、课程类别范围、课程属性范围。系统按警示条件生成警示学生名单，并显示警示结论，该结论能在学生页面，教学管理、学生管理人员（指定）能够看到并且导出汇总表。可打印个人学业警示通知书，并可将信息推送给学生，各学院可查询打印警示名单，是否接收警示通知书统计导出功能。</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支持学业预警触发设置，达到提前预警值的时候推送给相关老师。</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对于学籍预警信息要能通知到学生家长。教务处每学期根据学生在校期间学分修读情况进行学籍预警处理，预警结果可以推送到督学系统中，家长可通过移动端查询学生学籍预警信息，包括当前学期预警信息、历史学期预警信息，及查看对应学籍预警的详情。</w:t>
      </w:r>
      <w:r/>
    </w:p>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3.11毕业审核系统</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1.毕业资格审查</w:t>
      </w:r>
      <w:r/>
    </w:p>
    <w:p>
      <w:pPr>
        <w:ind w:firstLine="240"/>
        <w:jc w:val="both"/>
        <w:spacing w:after="0" w:line="360" w:lineRule="auto"/>
        <w:widowControl w:val="off"/>
        <w:rPr>
          <w:rFonts w:ascii="Times New Roman" w:hAnsi="Times New Roman" w:eastAsia="宋体" w:cs="Times New Roman"/>
          <w:color w:val="ff0000"/>
          <w:sz w:val="24"/>
          <w:szCs w:val="21"/>
          <w:lang w:eastAsia="zh-CN"/>
        </w:rPr>
      </w:pPr>
      <w:r>
        <w:rPr>
          <w:rFonts w:ascii="Times New Roman" w:hAnsi="Times New Roman" w:eastAsia="宋体" w:cs="Times New Roman"/>
          <w:sz w:val="24"/>
          <w:szCs w:val="24"/>
          <w:lang w:eastAsia="zh-CN"/>
        </w:rPr>
        <w:t xml:space="preserve">（1）毕业审核：依据设置的毕业规定条件，能按批次自动审查学生的学业修读情况，得出学生的毕业结论和学位结论(包括主修毕业、获得学位、辅修毕业与获得双学位)，并可给出审查不通过学生的原因，分析未通过毕业条件、获得学位、等审核的原因。针对管理人员，还提供毕业结论、学位结论的人工修改功能。</w:t>
      </w:r>
      <w:r>
        <w:rPr>
          <w:rFonts w:ascii="Times New Roman" w:hAnsi="Times New Roman" w:eastAsia="宋体" w:cs="Times New Roman"/>
          <w:color w:val="000000"/>
          <w:sz w:val="24"/>
          <w:szCs w:val="24"/>
          <w:lang w:eastAsia="zh-CN"/>
        </w:rPr>
        <w:t xml:space="preserve">对于一个行政班有多个专业的毕业审核（如创新班），要求可根据创新学院要求可以针对到学生个人进行毕业审核。</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提供毕业数据处理功能：根据毕结业结论，对学生的学籍状态、当前状态、系统帐号状态等进行批量处理。</w:t>
      </w:r>
      <w:r/>
    </w:p>
    <w:p>
      <w:pPr>
        <w:ind w:firstLine="240"/>
        <w:jc w:val="both"/>
        <w:spacing w:after="0" w:line="360" w:lineRule="auto"/>
        <w:widowControl w:val="off"/>
        <w:rPr>
          <w:rFonts w:ascii="Times New Roman" w:hAnsi="Times New Roman" w:eastAsia="宋体" w:cs="Times New Roman"/>
          <w:color w:val="000000"/>
          <w:sz w:val="24"/>
          <w:szCs w:val="24"/>
          <w:lang w:eastAsia="zh-CN"/>
        </w:rPr>
      </w:pPr>
      <w:r>
        <w:rPr>
          <w:rFonts w:ascii="Times New Roman" w:hAnsi="Times New Roman" w:eastAsia="宋体" w:cs="Times New Roman"/>
          <w:sz w:val="24"/>
          <w:szCs w:val="24"/>
          <w:lang w:eastAsia="zh-CN"/>
        </w:rPr>
        <w:t xml:space="preserve">（2）按照流程（教研室，二级学院，教务处审核）设置毕业审查条件：能设置每个专业的毕业条件、获得学位条件。如：学生取得学分达到所在年级/专业的毕业学分要求，公共选修课学分要求、通识选修课学分要求，必修课均需及格，计算机、英语能达到相应等级要求、各专业的技能鉴定证书要求，每个课程模块的修读学分等。可增减审核条件，如增加学生综合英语成绩，或某类证书条件。</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3）设置限制规则（最多转换学分或者比例，不同类型的最高转换学分和比例），按照流程（学生申请（签署承诺书，上传资料）二级学院初审，教务处复审）进行不同方式的（按照课程，课程类别，学分类别，总学分等方式）学习成果转换的审核。</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（4）处分情况（对接学工系统），可获取或者可导入处分学生名单数据。</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按照流程（教研室，二级学院，教务处审核）毕业审核展示界面：人才培养方案中的课程、学分及其他毕业要求与学生本人实际所学课程、学分及其他情况与人才培养方案不匹配显示出来，手动调整，可班级批量审核，也可单独审核。</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（6）提供多种毕业审核结论的数据统计、查询，如班级、各学院、全校结业、毕业数据统计，可以导出查询数据。</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（7）针对学分制弹性修读的模式，提供学生申请提前毕业或延后毕业网上审核的流程化管理，管理人员可以自定义审核流程。</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（8）毕业证书信息：能对学生毕业（学位）证书的编号、证书套打模版进行设置，可根据规则批量生成证书编号；支持证书批量打印，并能进行打印统计。</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（9）毕业、结业学生信息：查询已进行毕业处理的学生信息，结业学生可查看最后结业换毕业时间。</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（10）针对毕结业数据，要求按指定格式进行导出，导出的数据可直接生成学信网上传数据。</w:t>
      </w:r>
      <w:r/>
    </w:p>
    <w:p>
      <w:pPr>
        <w:ind w:firstLine="240"/>
        <w:jc w:val="both"/>
        <w:spacing w:after="0" w:line="360" w:lineRule="auto"/>
        <w:widowControl w:val="off"/>
        <w:tabs>
          <w:tab w:val="left" w:pos="5850" w:leader="none"/>
        </w:tabs>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2.结业生换证</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1）系统支持结业生在网上报名不及格课程返校重新学习，缴费，并在网上进行结业换证申请。结业完成后，成绩有辅导教师输入系统，教务管理员根据成绩及相关流程办理结业事项（详见结业生返校重新学习模块）。教务处推送信息至二级学院用于通知结业学生，各学院可查询打印结业学生名单及通知书，统计导出功能是否接收警示通知书统计导出功能。</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（2）管理员可提单设置换证流程须知内容。已毕业学生可通过身份证号进入教务系统，进入换证页面即可阅读换证流程须知。</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3）已毕业（毕业结业）学生数据查询，管理员和各分院教学秘书（或分院学籍管理员）可查询结业生数据、申请换证结业生数据、超期不得再换证的学生数据、即将超期无法换证的学生数据等），可用于提醒学生。</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4）根据毕结业的结业情况，生成可换证名单，设置可换证年限时间，可换证申请时间，结业生达到换毕业证书条件后可网上申请换证，各学院审核，学工处、教务处管理员审核，进行换证。针对换证成功的学生可进行通知。</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（5）能对学生毕业（学位）证书的编号、证书打印模板进行设置，可根据规则批量生成证书编号；支持证书批量打印，有打印统计功能。可导出、打印换证名单，导出的换证数据可直接用于上传学信网。</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（6）可统计结业换证数据，如按不同年级统计当次换证，当年换证，换证后毕业率等。</w:t>
      </w:r>
      <w:r/>
    </w:p>
    <w:p>
      <w:pPr>
        <w:ind w:firstLine="24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3.补办毕业证明书</w:t>
      </w:r>
      <w:r/>
    </w:p>
    <w:p>
      <w:pPr>
        <w:ind w:firstLine="480"/>
        <w:jc w:val="both"/>
        <w:spacing w:after="0" w:line="360" w:lineRule="auto"/>
        <w:widowControl w:val="off"/>
        <w:rPr>
          <w:rFonts w:ascii="Times New Roman" w:hAnsi="Times New Roman" w:eastAsia="宋体" w:cs="Times New Roman"/>
          <w:color w:val="000000"/>
          <w:sz w:val="24"/>
          <w:szCs w:val="21"/>
          <w:lang w:eastAsia="zh-CN"/>
        </w:rPr>
      </w:pPr>
      <w:r>
        <w:rPr>
          <w:rFonts w:ascii="Times New Roman" w:hAnsi="Times New Roman" w:eastAsia="宋体" w:cs="Times New Roman"/>
          <w:color w:val="000000"/>
          <w:sz w:val="24"/>
          <w:szCs w:val="24"/>
          <w:lang w:eastAsia="zh-CN"/>
        </w:rPr>
        <w:t xml:space="preserve">毕业生的学历信息如需要修改，需提交申请材料，按照规则审核，提交说明文件等。审核后毕业学生用身份证号进入教务系统，进入补办毕业证书页面，申请补证，管理员进行审核。补办证明书每人仅限一次，可在线提交照片功能（含2寸照片、身份证在照片），可直接进行证书打印。系统支持补办流程须知提醒，办好后提醒功能。</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r>
      <w:r/>
    </w:p>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3.12实验实训教学管理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1.实验实训资源管理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实验实训资源管理提供对实验实训教学基础信息的维护，主要包括：实训室基本信息、实训室管理人员、实训项目库、实训项目关联实训室信息。</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（1）实验实训室信息录入与维护：能录入与维护实验实训室名称、设备及工具清单、可开设实训实验项目、工位数、面积、实验实训室类型等信息录入与维护。</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（2）实训项目：建立学校的实训项目库，对所有的实训项目信息进行维护；一个实训项目可归属于多门实训课程，按照实训中心类别进行分类汇总；实训项目关联到实训室。</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（3）实训室人员信息：维护归属于各实训室的教职工信息，该信息直接与教职工基础信息关联。</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2.实验实训安排</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（1）实验实训指导书：能上传与下载每个实训课程的实验指导书。</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（2）实验实训课表查询：提供各类实验实训课表查询的功能，包括：按照班级查询、按照教师查询、按照实训室、实训项目、管理员查询。</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3.实验实训成绩</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设置各项目所占总成绩比：支持手工在线录入与批量导入两种成绩录入的方式，能导出批量导入成绩的表格模板，能设置课程总成绩的组成比例和组成类别（如：各小项作业成绩+平时成绩+考试成绩成绩），并能设置各项目所占总成绩的百分比。</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（2）输入成绩：教师输入各项目成绩，系统自动统计平时成绩总分，并自动同步到相关联的课程总成绩中。</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bCs/>
          <w:sz w:val="24"/>
          <w:szCs w:val="24"/>
          <w:lang w:eastAsia="zh-CN"/>
        </w:rPr>
        <w:t xml:space="preserve">▲（3）实验成绩汇总：</w:t>
      </w:r>
      <w:r>
        <w:rPr>
          <w:rFonts w:ascii="Times New Roman" w:hAnsi="Times New Roman" w:eastAsia="宋体" w:cs="Times New Roman"/>
          <w:sz w:val="24"/>
          <w:szCs w:val="24"/>
          <w:lang w:eastAsia="zh-CN"/>
        </w:rPr>
        <w:t xml:space="preserve">根据实验大纲中设置的实验项目成绩所占课程成绩百分比，把学生各个实验项目的成绩汇总成实验课程的总成绩；针对既包含理论学时又包含实验学时的课程，可启用同步实验成绩功能，</w:t>
      </w:r>
      <w:r>
        <w:rPr>
          <w:rFonts w:ascii="Times New Roman" w:hAnsi="Times New Roman" w:eastAsia="宋体" w:cs="Times New Roman"/>
          <w:sz w:val="24"/>
          <w:szCs w:val="21"/>
          <w:lang w:eastAsia="zh-CN"/>
        </w:rPr>
        <w:t xml:space="preserve">系统根据设置的成绩权重汇总理论部分和实验部分的成绩，形成该课程的总成绩。</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4.实验实训室预约管理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实验实训项目预约管理能提供按照实训项目为关键字段的教师、学生网上预约实验实训室功能。管理员可以查询与审核所管辖的实训室预约信息。</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5.实验实训统计报表</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能提供实验室信息统计的高基报表生成与导出；能提供各学期实验实训教学安排表、实训教学任务统计表的查询与导出；能分学期或年度统计各二级学院各实验实训室的使用率，并能图形化显示；能分学期按实验实训室、项目等自定义统计累计使用时间，并能图形化显示；能分学期按照教师统计实训日志填报率；能分学期按照实训室与实训项目统计绩效。</w:t>
      </w:r>
      <w:r/>
    </w:p>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3.13毕业设计管理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毕业设计与毕业论文管理需要包括：开题管理、毕业设计与毕业论文安排、毕业答辩安排、毕业设计与毕业论文成绩管理。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1.毕设任务管理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教研室主任按照教学任务分配班级学生的毕业设计指导教师任务。</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2.开题管理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包括课题录入、网上选题，</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3.课题录入</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每一届的毕业设计课题由教师网上录入后进分院领导审核后通过，系统中能控制每一届课题录入的起止时间范围。</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4.网上选题</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系统能提供教师和学生的网上双向选题功能，能控制每一届学生网上选题的起止时间范围，能设置学生选题的志愿数；学生可网上选择多个课题志愿，教师可从报名课题的多个学生中进行选择。</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5.过程管理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能记录每个学生毕业设计或毕业论文过程中的任务书、开题报告、中期检查、过程指导的信息，能查看任务书、开题报告、中期报告的网上提交状态及内容，能统计导师的过程指导次数并查看指导内容。</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6.评阅管理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教师评阅并填写评阅表，根据评阅指标录入评阅分数。论文评阅通过后，方可进入答辩阶段。</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7.答辩安排</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（1）答辩专家组</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建立每个届别的毕业设计答辩专家组，包括答辩专家名单、专家组长、答辩秘书。</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（2）答辩安排信息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设置每个学生的答辩安排信息，包括答辩学生、答辩时间、答辩地点、专家组，并在通过学生子系统进行发布。</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（3）答辩秘书录入答辩成绩</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答辩秘书可及时在系统中录入现场答辩时每个专家的评分。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8.成绩管理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指导教师录入</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支持指导教师录入指导教师评分。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9.成绩评定</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结合指导教师成绩、评阅成绩、答辩成绩按比例自动统计最终评定成绩。</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10.统计信息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支持按照学院、班级统计优秀等成绩比例。</w:t>
      </w:r>
      <w:r/>
    </w:p>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3.14教材管理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教材管理应实现对教材基础信息、教材征订、教材发放的管理，要求教材账目可精确到每个学生领用的每一本书。</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1.教材信息维护</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教材资源信息：提供对库房信息、教材供应商、教材信息（编著者、书号、出版社、出版年月、版次、码洋等）、教材获奖信息（含规划教材信息）教材出版社信息、教材类型、教材书目库的维护。</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管理员批量维护教材信息，比如：可以根据出版年月筛选教材，批量设置教材是否可被征订。</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2.教材征订</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课程教材征订：系统可依据各学期的教学任务批量转入需要征订教材的课程，教材计划自动与课程的班级、学生情况进行关联。针对每门课程的教材计划信息，进行教材征订。支持一门课程选多种教材，可查看教材明细信息、班级明细信息、学生明细信息。可分校区查看每种教材对应的使用班级明细信息。提供教材选用的审核审批功能，保障教材选用的权威性、准确性。</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（2）能制定教师教学用书征订计划。依据教材汇总计划（学生用书、教师用书）生成需要的教材种类与数量；参照现有库存，确定需要采购的教材种类与数量，支持批量修改教材的采购册数。</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（3）支持生成教材采购订单，主要是指校本教材、印刷品等入库，提供教材库存查询与维护。</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3.教材发放与结算</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教材发放与结算：能分校区提供教材的整班发放清单（包含校本教材、印刷品零售及作业本）及各部门的教师用书发放清单功能。</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能单独设置教材码洋折扣率，提供书商查询账号，提供学生教材账目明细，精确到每个学生每个学期的每一本教材、印刷品零售及作业本，能打印、导出查询数据。</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支持按学校要求提供各类查询统计报表。</w:t>
      </w:r>
      <w:r/>
    </w:p>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3.15竞赛管理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竞赛管理应包括竞赛项目信息管理、网上报名、获奖等级管理、竞赛补贴奖励信息。</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奖励等级管理：可自定义奖励级别，比如：校级、市级、省级、国家级、世界级，每个级别一般又可分为一等奖、二等奖、三等奖。可自定义奖励类别：比如：一类、二类、三类。能设置每个奖项的奖励金额。</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各类竞赛项目信息发布：管理人员发布各类竞赛项目信息，设置报名时间范围；实现学生竞赛网上报名，支持个人、团队的报名形式；管理人员可对学生报名信息进行维护。</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奖励信息的录入：支持录入学生和老师各级各类竞赛信息，提供奖励信息登记与审核的流程。能按项目名称、项目年份、获奖学生及老师查询竞赛获奖情况。</w:t>
      </w:r>
      <w:r/>
    </w:p>
    <w:p>
      <w:pPr>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3.16学生转专业管理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上报时间控制：能按我校转专业实施办法按时间节点控制各院系上报转专业计划的起止时间、转专业计划的审核起止时间、学生转专业申请起止时间，并能控制二级学院是否能修改学生申请转专业的时间范围。</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转专业条件设置：要求能根据我校转专业实施办法设置转专业条件，如专业是否属于专业大类；要能设置某个条件是否启用，二级学院是否能自行修改条件。</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二级学院计划上报及审核：能支持各二级学院申报转专业计划，能按二级学院、年级、专业填报拟接收人数、考核方式、学生转专业申请和审核时间，并能上传学生申报转专业需要提交材料的模板，转专业计划需要通过审核才能生效。支持按照学生标签限定可以申报的学生，将转专业计划开放给特定类型的学生。</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学生转专业申请及审核：学生要能通过系统申请转专业，再由所在二级学院、转入二级学院、及教务处相关部门管理人员对学生申请资格进行审核，转专业审核通过，学生进入到新班级。</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课程替代：能对转专业学生原专业已修读获得学分课程与现专业计划课程进行替代处理，实现学分及成绩互认。</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选课处理：能对转专业学生原专业已选课程进行退课处理，对现专业当前可选课程进行选课处理。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报名学生信息管理：提供转专业报名学生信息查询功能。对转专业学生学籍信息进行处理，学籍处理“课程替代、选课信息”正式生效。</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转专业统计：能按院系统计院系总人数、符合转专业条件的学生数、报名数、报名率、成功数、院内转入数、院内转比例。</w:t>
      </w:r>
      <w:r/>
    </w:p>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3.17创新学分管理</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创新学分管理应实现对创新学分项目库、学分申请与认定流程、学分成绩的统一电子化管理。</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1.项目库信息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可自定义对创新学分类别、子类进行维护，构建项目库分类结构。</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可设置项目申请的学年学期、二级学院申请项目的起止时间、教务处审核项目的起止时间。在规定的时间内，由学院或者相关学分项目申请部门在网上提交申请；申请提交后，由二级学院及教务处进行学分项目的审核；审核通过以后，该项目就会进入到总库中。管理人员可直接增加项目，可对项目库中的信息进行修改、删除。</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2.学分申请与认定</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项目申请设置：可设置每个项目的可申请年级专业、审核部门、认定部门、申请组织方式（分为学生申请与统一组织）；对于统一组织的学分认定项目（如：学校统一组织参加的竞赛、等级考试），不需要学生进行申请，由管理人员统一进行批量学分认定。</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（2）学分申请控制：可设置学生进行学分申请的学年学期、学生申请学分的起止时间、学分审核的起止时间、学分认定的起止时间，可以控制学生申请的项目数。</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（3）学分审核：由二级学院及教务处进行学生学分申请的审核，可逐条审核，也可批量审核。</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（4）学分认定：学分申请审核通过后，就会提交到学分认定的环节，由教务处进行学分认定，给予相应学分。认定通过后，学生学分就会进入创新学分成绩库中。</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（5）学分兑换：能申请学分兑换课程，能设置认定的学分与专业课程的对应关系，实现学分兑换课程。</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3.创新学分成绩</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（1）查询学分：可按照学年学期、院系、年级、专业、班级、学号的条件进行查询，并可导出、打印查询结果。</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（2）批量导入创新学分数据：可采用EXCEL模板批量导入学生学分成绩，特别是针对学校统一组织的认定项目的学分成绩。如果认定成绩有误，二级学院及教务处可以取消学生的认定成绩。</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（3）学分查询：二级学院和教务处可以查询项目及对应的学分，学生可查询已获得的创新学分数量及项目信息。</w:t>
      </w:r>
      <w:r/>
    </w:p>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3.18教学工作量计算</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工作量计算模块应能完成教师教学工作量的计算和薪酬的统计。通过教学周数和周课时统计任课老师各课程的教学工作量以及其他教学工作量，根据学校相关文件规定及教学实际情况明确每学期教师标准工作量和课时薪酬标准，计算每个教师的课时薪酬。</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教学周数、周课时统计：通过设置学年学期、起始日期、截止日期、可设置排除特殊日期（如：国庆假期）、可选择计算工作量的课表节次范围，可分周次统计教学工作量。</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工作量计算：根据实际情况设置工作量计算公式，针对不同课时类型（如：理论课、实验课、双语教学）、不同职称、不同课堂学生人数来设置工作量计算系数。依据教学工作量计算公式自动计算教学工作量，并按照教师、部门进行统计。</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标准工作量设置：能依照职称、教职工类别、岗位类别批量设置标准工作量。</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薪酬计算：根据教师职称设置单位课时薪酬标准，根据最终工作量（实际工作量-标准工作量）计算出教师薪酬。</w:t>
      </w:r>
      <w:r/>
    </w:p>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3.19教学评价服务</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能提供学生评教、同行评教、领导评教、专家（督导）评教的多维度教学评价方式，通过系统广泛获取评教样本，进行有效的评价数据处理，形成多方位评教统计分析报表。</w:t>
      </w:r>
      <w:r/>
    </w:p>
    <w:p>
      <w:pPr>
        <w:ind w:firstLine="240"/>
        <w:spacing w:after="0" w:line="360" w:lineRule="auto"/>
        <w:widowControl w:val="off"/>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1）评价设置：能灵活设置评价课程类别、评价主体、评价建议。能设置各类评价活动的起止时间，指定督导评价（领导评价）的参评人员，能通过二级权限配置，实现二级学院单独组织评教活动；系统对于学生提交的评价数据进行检验，对于各项评价指标未全部打分不允许学生提交，对于评价选项全选</w:t>
      </w:r>
      <w:r>
        <w:rPr>
          <w:rFonts w:ascii="Times New Roman" w:hAnsi="Times New Roman" w:eastAsia="宋体" w:cs="Times New Roman"/>
          <w:sz w:val="24"/>
          <w:szCs w:val="24"/>
          <w:lang w:eastAsia="zh-CN"/>
        </w:rPr>
        <w:t xml:space="preserve">“优”或全选“差”的情况默认不能提交（可设置开关参数），并弹出相关提示信息。</w:t>
      </w:r>
      <w:r/>
    </w:p>
    <w:p>
      <w:pPr>
        <w:ind w:firstLine="480"/>
        <w:rPr>
          <w:lang w:eastAsia="zh-CN"/>
        </w:rPr>
      </w:pPr>
      <w:r>
        <w:rPr>
          <w:rFonts w:hint="eastAsia" w:ascii="Times New Roman" w:hAnsi="Times New Roman" w:eastAsia="宋体" w:cs="Times New Roman"/>
          <w:sz w:val="24"/>
          <w:szCs w:val="24"/>
          <w:lang w:eastAsia="zh-CN"/>
        </w:rPr>
        <w:t xml:space="preserve">对未参与评教的学生，可限制其选课、查看课表、查询成绩（可精确控制到评价完一门课程，才能查询对应成绩），促使其积极参加评教。提供评价教师组</w:t>
      </w:r>
      <w:r>
        <w:rPr>
          <w:rFonts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t xml:space="preserve">督导组的自定义建立，便于分组设置人员名单；针对提交的主观评价建议，系统提供恶意不良信息过滤功能。</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（2）评价指标：提供灵活的指标自定义编辑功能，支持三级指标体系结构，提供跨学期复制指标体系的功能；针对不同学期、不同评价课程类别、不同评价分类可设置不同的指标体系。</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评价课程管理：需要评价的课程信息能批量转入到不同的评价活动中，将评价指标与评价的课程建立关联；根据学校开课及多教师任课的实际情况，系统需要提供多种评价的方式，包括：每位任课教师仅评价一次、每个课堂的每个教师评价一次、每个课堂的每类学时评价一次、每个课堂评价一次。</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（4）评价数据处理：能够对各项评价结果样本进行标准化处理，去掉一定比例的最高分或最低分，对于参评率低于一定比例的样本设置为无效。</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（5）评价进度查询：能实时查询评教活动的进度情况，查询已评教人数、未评教人数、参评率，可查询导出未评教学生名单并督促进行评教。</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6）评价结果统计：能统计全校每个参评教师每门课程每个授课课堂的评价样本数、参评率、平均分；能按照教师/课程汇总统计评价的平均分、样本数、参评率、全校排名、学院排名；能汇总统计每个教师的平均分、样本数、参评率、全校排名、学院排名；能对教师各个指标项目的得分情况进行分析，与院系平均得分情况进行对比；能分院系统计各分数段的教师人数，统计院系的最高分、最低分、平均分，可自定义设置各分数段等级范围（如：优秀为95~100分，良好为85~95分）</w:t>
      </w:r>
      <w:r/>
    </w:p>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3.20大数据管理</w:t>
      </w:r>
      <w:r/>
    </w:p>
    <w:p>
      <w:pPr>
        <w:ind w:firstLine="480"/>
        <w:jc w:val="both"/>
        <w:spacing w:after="0" w:line="360" w:lineRule="auto"/>
        <w:widowControl w:val="off"/>
        <w:rPr>
          <w:rFonts w:ascii="Times New Roman" w:hAnsi="Times New Roman" w:eastAsia="宋体" w:cs="Times New Roman"/>
          <w:sz w:val="24"/>
          <w:szCs w:val="24"/>
          <w:lang w:eastAsia="zh-CN"/>
        </w:rPr>
      </w:pPr>
      <w:r/>
      <w:bookmarkStart w:id="26" w:name="_Toc133258208"/>
      <w:r>
        <w:rPr>
          <w:rFonts w:ascii="Times New Roman" w:hAnsi="Times New Roman" w:eastAsia="宋体" w:cs="Times New Roman"/>
          <w:sz w:val="24"/>
          <w:szCs w:val="24"/>
          <w:lang w:eastAsia="zh-CN"/>
        </w:rPr>
        <w:t xml:space="preserve">可以对学校情况进行统计，要求系统能够从分专业、分课程等多个维度，对成绩、学籍、课程、成绩、毕业等各方面进行数据挖掘分析并以图形方式呈现。</w:t>
      </w:r>
      <w:r/>
    </w:p>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1.运行数据查询</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系统应支持运行数据查询的功能，查询权限可由管理员灵活修改。用于学校各部门、各学院；</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（1）提供开课情况查询分析的多种统计分析报表。例如教师任课情况统计、教师授课班级数统计、教师学时统计、任课教师总体情况分析、周学时平衡分析、院系学时统计、学期开课统计。</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2）提供丰富的选课情况查询统计功能，主要包括：学生选课信息、学生漏选查询、选课人数统计、选课学分统计。可按照学年学期、课程性质、课程类别、院系、年级、专业、班级、选课门数等条件进行查询统计。支持查询结果的导出、打印功能。</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（3）调课统计，根据教师调课信息，统计出各学院调课学时数、调课次数、调课率。</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（4）提供多种考试信息查询统计功能，对排考结果进行统计分析，主要包括监考/主考统计、考试时间统计、排考结果统计。</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（5）提供考级通过率报表统计功能，可选择考级课程、考级等级、考级时间，按全校、按院系、按专业、班级、入学年份统计各类等级考试的通过率。</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2.运行数据统计</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提供教师教学任务计划导出和打印功能，教师用户可直接登录系统打印个人教学任务书（包含教学信息、时间、地点、课程、学生名册等信息）、成绩登分册、班级考勤表，支持按行政班或教学班打印两种模式。</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支持按学年学期、学期类别、组考单位、考试类别、数据来源、考试名称统计考试时间及场次信息。</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能统计全校每个参评教师每门课程每个授课课堂的评价样本数、参评率、平均分；能按照教师/课程汇总统计评价的平均分、样本数、参评率、全校排名、学院排名；能汇总统计每个教师的平均分、样本数、参评率、全校排名、学院排名；能对教师各个指标项目的得分情况进行分析，与院系平均得分情况进行对比；能分院系统计各分数段的教师人数，统计院系的最高分、最低分、平均分，可自定义设置各分数段等级范围。</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能提供高校实验实训室信息统计的高基报表生成与导出；能提供各学期实验教学安排表、实验教学任务统计表的查询与导出。实训室绩效统计，根据实训安排情况统计出各实验室的使用率。</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3.成绩统计分析</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可按照学校需求提供各种分析统计报表，如：学生成绩卡、班级成绩卡、专业成绩单、课程成绩单、所得学分及绩点统计、不及格门数统计、成绩通知单、加权平均成绩统计、班级成绩登分册、不及格课程统计、不及格学生名单、缓考情况统计、补考所获得学分和门数统计、各类课程所得学分统计、各类课程所得学分统计、英文成绩单。</w:t>
      </w:r>
      <w:r/>
    </w:p>
    <w:p>
      <w:pPr>
        <w:ind w:left="3"/>
        <w:jc w:val="both"/>
        <w:keepLines/>
        <w:keepNext/>
        <w:spacing w:before="120" w:after="120" w:line="360" w:lineRule="auto"/>
        <w:widowControl w:val="off"/>
        <w:rPr>
          <w:rFonts w:ascii="Times New Roman" w:hAnsi="Times New Roman" w:eastAsia="宋体" w:cs="Times New Roman"/>
          <w:b/>
          <w:bCs/>
          <w:sz w:val="24"/>
          <w:szCs w:val="32"/>
          <w:lang w:eastAsia="zh-CN"/>
        </w:rPr>
        <w:outlineLvl w:val="2"/>
      </w:pPr>
      <w:r>
        <w:rPr>
          <w:rFonts w:ascii="Times New Roman" w:hAnsi="Times New Roman" w:eastAsia="宋体" w:cs="Times New Roman"/>
          <w:b/>
          <w:bCs/>
          <w:sz w:val="24"/>
          <w:szCs w:val="32"/>
          <w:lang w:eastAsia="zh-CN"/>
        </w:rPr>
        <w:t xml:space="preserve">3.21考勤服务</w:t>
      </w:r>
      <w:bookmarkEnd w:id="26"/>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考勤服务模块需实现学生课堂考勤数据的录入、维护、查询统计的功能。</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（1）考勤设置管理：要求能够灵活设置考勤时间范围，如要求教师多少天内完成考勤，或要求教师在本周内、本月内完成考勤。</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2）考勤结果管理：需支持考勤结果管理功能，可按照学年学期、周次、院系、专业、班级、课程、姓名、学号字段查询考勤结果，包括：迟到、早退、事假、病假、旷课；并支持删除、导出打印考勤结果；支持考勤记录锁定，锁定后教师端将不能修删。</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班级学生统计考勤：需支持按照学年学期、院系、年级、专业、班级的条件查询统计学生课堂考勤情况，包括：旷课次数、病假节数、事假节数、迟到次数、早退次数；支持查看考勤结果明细；支持将考勤结果导出。</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（4）未考勤查询：需支持按照学年学期、周次、院系、教师、班级、课程的条件查询出未进行考勤的记录，并支持未考勤信息的导出打印。</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5）考勤课程统计：需支持课程考勤数据查询统计功能，可按照学年学期、起止周次、院系、课程教师的条件对课程考勤情况进行统计,包括：旷课节数、病假节数、事假节数、迟到次数、早退次数；支持统计结果的导出打印。</w:t>
      </w:r>
      <w:r/>
    </w:p>
    <w:p>
      <w:pPr>
        <w:ind w:firstLine="24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（6）考勤提醒</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对于连续缺课达到一定次数的学生，系统通知辅导员和班主任，自动提醒学生，再缺勤该门课程成绩不及格处理。</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学生缺课次数统计和记录：系统能够实时记录每个学生在每门课程上的出勤情况，并将相关信息存储在数据库中。每次学生缺勤时，系统能够自动更新其在该门课程上的缺勤次数，同时更新数据库中的相关信息。</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连续缺课标准设定：教务处工作人员能够通过系统对连续缺课标准进行设定和修改。例如，连续缺课3次或以上可以触发通知和提醒功能。连续缺课标准的设定需符合实际情况和教学需要，避免因标准设置过低或过高而导致不必要的干扰和误判。</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辅导员和班主任通知与跟进：当学生缺勤次数达到设定标准时，系统能够自动生成通知消息并发送给班主任和辅导员。通知消息包括学生姓名、学号、缺勤次数、缺勤课程等相关信息，以便辅导员和班主任更好地了解学生的出勤情况和处理状态。辅导员和班主任能够及时收到通知消息，并能够查看学生的缺勤情况和处理状态，以便及时跟进。</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学生信息提醒：系统在发送通知消息时，自动提醒学生注意当天或下一次该门课程的出席情况。提醒内容应包括学生姓名、学号、缺勤次数等相关信息。学生能够通过系统查看自己的缺勤情况和处理状态，以便了解自己的出勤情况和可能的后果。在学生再次缺勤该门课程时，系统能自动进行不及格处理，并将不及格成绩记录在学生成绩单中。</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自定义标准和多种通知方式：系统提供可以自定义缺勤次数标准的功能，方便教务处工作人员根据实际情况进行调整。系统需要能够支持多种通知方式，比如短信、邮件、系统消息等，以便不同辅导员和班主任选择适合自己的接收方式。</w:t>
      </w:r>
      <w:r/>
    </w:p>
    <w:p>
      <w:pPr>
        <w:ind w:firstLine="480"/>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学生缺课信息修改记录和安全性：系统提供可以手动修改学生缺勤信息的功能，以便纠正由于各种原因导致的记录错误和遗漏的情况。教务处工作人员需要能够查看修改记录和相关操作人员，确保信息的准确性和安全性。同时，对于重要操作（如修改连续缺勤标准和学生信息），系统能进行身份验证，仅授权人员可以进行此类操作。</w:t>
      </w:r>
      <w:r/>
    </w:p>
    <w:p>
      <w:pPr>
        <w:ind w:left="3"/>
        <w:jc w:val="both"/>
        <w:keepLines/>
        <w:keepNext/>
        <w:spacing w:before="120" w:after="120" w:line="360" w:lineRule="auto"/>
        <w:widowControl w:val="off"/>
        <w:rPr>
          <w:rFonts w:ascii="Times New Roman" w:hAnsi="Times New Roman" w:eastAsia="宋体" w:cs="Times New Roman"/>
          <w:b/>
          <w:bCs/>
          <w:sz w:val="28"/>
          <w:szCs w:val="28"/>
          <w:lang w:eastAsia="zh-CN"/>
        </w:rPr>
        <w:outlineLvl w:val="2"/>
      </w:pPr>
      <w:r>
        <w:rPr>
          <w:rFonts w:ascii="Times New Roman" w:hAnsi="Times New Roman" w:eastAsia="宋体" w:cs="Times New Roman"/>
          <w:b/>
          <w:bCs/>
          <w:sz w:val="24"/>
          <w:szCs w:val="32"/>
          <w:lang w:eastAsia="zh-CN"/>
        </w:rPr>
        <w:t xml:space="preserve">3.22教师学生家长服务要求</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1.常规学生服务</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（1）系统能为学生提供各类教务相关的在线服务，主要包括以下内容：</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公告留言：查看公告留言信息。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个人设置：修改个人密码、设置密码保护问题、忘记密码找回。</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在线问答：提交系统操作的问题，查看问题答复结果。</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教学周历：查看学期教学周历信息。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培养方案查看：查看学生本人的人才培养方案、执行计划、教学进程。</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学籍服务：查看个人学籍卡片信息；在管理人员设置的时间范围内，对个人学籍信息的部分字段进行核对和修改；查看学籍预警消息；提交学籍异动申请，查看学籍异动信息；提交专业分流、方向分流的志愿，查看分流结果信息，申请预约打印学籍证明，查看处理结果。</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成绩服务：查询个人成绩信息；查看个人学业修读进度情况；针对有学籍异动的学生，可以提交成绩认定申请，申请预约打印成绩单，查看处理结果。</w:t>
      </w:r>
      <w:r/>
    </w:p>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课表服务：在线查询个人课表信息；能从多个维度（课程、班级、教师、教室）查询全校课表信息。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选课服务：进行网上选课、退课的操作，能实时查看个人的选课课表、选课学分情况、选课日志，能按照投积分、投志愿的模式参加选课。</w:t>
      </w:r>
      <w:r/>
    </w:p>
    <w:p>
      <w:pPr>
        <w:ind w:left="4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考试服务：查询个人的课程考试安排信息；学生提交缓考申请；学生提交免考申请；学生补考报名；学生重新学习报名、重新学习选课。</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教室借用：学生网上查询空闲教室信息；提交教室借用申请。</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等级考试服务：学生等级考试报名；查询等级考试成绩。</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实验教学：学生能查看实验项目课表；进行实验项目预约；进行开放实验预约。</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重修报名：学生能网上进行重修报名。</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转专业服务：学生可在规定的时间内网上，网上进行转专业申请。学生能查询转专业进展情况。</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创新学分：学生可在规定的时间内，网上进行创新学分的申请。学生可查询已获得的创新学分数量及项目信息。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教材服务：查询个人教材帐目信息。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毕业设计服务：学生能进行毕业设计网上选题，上传开题报告、上传毕业论文、上传毕业设计译文，查看答辩安排情况，查看毕业设计成绩。</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教学评价：学生网上对任课教师进行教学评价。 </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2.教师服务</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系统能为教师提供各类教务相关的在线服务，包括：</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通知公告：查看各类公告留言信息。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个人设置：修改个人密码、设置密码保护问题。</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在线问答：提交系统操作的问题，查看问题答复结果。</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教师信息：查看教师个人基本信息。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教学周历：查看学期教学周历信息。</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培养方案查询：查询培养方案总纲，查询各专业的人才培养方案和教学计划，查询教学进程表。</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通选课开课申请：教师能在线提交每学期的全校性通选课开课申请。</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课表服务：在线查询个人课表；提交调停课申请，查看调停课记录；查看全校课表。</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成绩录入服务：网上在线录入学生成绩，能采用Excle表格批量导入；成绩审核通过后，可导出打印课程成绩单；能导出打印平时成绩登分册、考勤表。</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成绩修改申请：对于个别学生成绩录入有误的情况，由成绩录入教师网上提交成绩修改申请，对学生成绩进行修正。</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考试服务：查询本人的监考安排信息；提交随堂考（提前考）申请。</w:t>
      </w:r>
      <w:r/>
    </w:p>
    <w:p>
      <w:pPr>
        <w:ind w:left="4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教学评价：查询学生对教师本人的评价结果统计信息；查看与回复学生提交的课程评价建议；网上同行评教。</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教室借用：在线提交教室借用申请，查看审核情况。</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实训室借用：在线提交实训室借用申请，查看审核情况。</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工作量查看：查看个人教学工作量信息</w:t>
      </w:r>
      <w:r/>
    </w:p>
    <w:p>
      <w:pPr>
        <w:ind w:left="4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毕业设计：在线申报毕业设计课题；查看与确认学生选题信息；填报毕业设计课题任务书；网上评阅学生的开题报告、中期报告、毕业论文。</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实验教学：在线查询实验教学项目任务书及实验课表。</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教材服务：教师网上提交教学用书计划申请。</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3.移动教务服务要求</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系统需要既支持教务处独立建设移动应用，也可以将教务相关的移动服务应用嵌入到学校整体的智慧校园移动应用端中。</w:t>
      </w:r>
      <w:r/>
    </w:p>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（1）学生移动服务</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主要包括：个人学籍信息、公告留言查询、课表查询、成绩查询、考试安排查询、空闲教室查询、学籍预警信息查询、缓考申请、等级考试报名、学生评教等。</w:t>
      </w:r>
      <w:r/>
    </w:p>
    <w:tbl>
      <w:tblPr>
        <w:tblStyle w:val="736"/>
        <w:tblW w:w="8925"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51"/>
        <w:gridCol w:w="1558"/>
        <w:gridCol w:w="3541"/>
        <w:gridCol w:w="2975"/>
      </w:tblGrid>
      <w:tr>
        <w:trPr>
          <w:trHeight w:val="4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55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服务应用</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服务模块</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备注</w:t>
            </w:r>
            <w:r/>
          </w:p>
        </w:tc>
      </w:tr>
      <w:t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58"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消息服务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通知公告查看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待办消息查看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58"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学籍服务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个人学籍信息查看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学籍预警信息查看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58"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培养方案服务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本人培养方案查看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本人教学执行计划查看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教学进程查看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58"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课表服务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个人课表查看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展示学生个人图形化课表信息，包含上课时间、上课地点、任课教师、上课周次。</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调停课信息查看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58"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自习教室服务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查询空闲教室信息</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查询条件可选择日期、节次、校区、教学楼、教室类型。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教室借用申请</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58"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选课服务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正常选课</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选课结果查询</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58"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成绩服务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课程成绩查看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等级考试成绩查看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学业进度查看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平时成绩查看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58"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考试服务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考试安排查看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缓考报名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等级考试报名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58"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评教服务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学生指标评教</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4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学生的建议与意见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97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bl>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（2）教师移动服务</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主要包括：个人信息查询、公告留言查询、课表查询、空闲教室查询、监考安排查询、评教结果查询、成绩修改申请、调停课申请、教学督导评教等。</w:t>
      </w:r>
      <w:r/>
    </w:p>
    <w:tbl>
      <w:tblPr>
        <w:tblStyle w:val="736"/>
        <w:tblW w:w="892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51"/>
        <w:gridCol w:w="1489"/>
        <w:gridCol w:w="3116"/>
        <w:gridCol w:w="3469"/>
      </w:tblGrid>
      <w:tr>
        <w:trPr>
          <w:jc w:val="cente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8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服务应用</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服务模块</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备注</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89"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消息服务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通知公告查看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待办消息查看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89"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个人设置</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教师个人信息查看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密码修改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89"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培养方案服务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培养方案查看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教学执行计划查看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通选课开课申请</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89"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课表服务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个人课表查看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展示教师个人图形化课表信息，默认显示当天课表，也可以选择其它周次查看课表。</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调停课申请</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89"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教室服务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查询空闲教室信息</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收藏常用教室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教室借用申请</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8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成绩服务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成绩修改申请</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89"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考试服务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监考安排查看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随堂考申请</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89"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评教服务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评教结果查看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同行评教</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督导评教</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Height w:val="33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8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工作量查询</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教学工作量查询</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69"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bl>
    <w:p>
      <w:pPr>
        <w:ind w:firstLine="24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（3）管理人员移动服务</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主要包括：调停课审核、教室借用审核、成绩录入审核、监考安排查询、考试安排查询、学生学籍基本信息查询、教师基本信息查询等。</w:t>
      </w:r>
      <w:r/>
    </w:p>
    <w:tbl>
      <w:tblPr>
        <w:tblStyle w:val="736"/>
        <w:tblW w:w="9000"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51"/>
        <w:gridCol w:w="1525"/>
        <w:gridCol w:w="3118"/>
        <w:gridCol w:w="3506"/>
      </w:tblGrid>
      <w:tr>
        <w:trPr>
          <w:jc w:val="cente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52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服务应用</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服务模块</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备注</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25"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消息服务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通知公告发布</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通知公告查看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待办消息查看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25"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个人设置</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个人信息查看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密码修改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25"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课表服务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调停课审核</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调停课情况统计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25"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教室服务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查询空闲教室信息</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教室借用审核</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教室借用情况统计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25"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成绩服务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成绩录入审核</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成绩修改审核</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25" w:type="dxa"/>
            <w:vAlign w:val="center"/>
            <w:vMerge w:val="restart"/>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考试服务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监考安排查询</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考试安排查询</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W w:w="0" w:type="auto"/>
            <w:vAlign w:val="center"/>
            <w:vMerge w:val="continue"/>
            <w:textDirection w:val="lrTb"/>
            <w:noWrap w:val="false"/>
          </w:tcPr>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随堂考审核</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r>
        <w:trPr>
          <w:jc w:val="center"/>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1"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25"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评教服务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118"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评教进度查看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06" w:type="dxa"/>
            <w:vAlign w:val="center"/>
            <w:textDirection w:val="lrTb"/>
            <w:noWrap w:val="false"/>
          </w:tcPr>
          <w:p>
            <w:pPr>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4"/>
                <w:lang w:eastAsia="zh-CN"/>
              </w:rPr>
              <w:t xml:space="preserve"> </w:t>
            </w:r>
            <w:r/>
          </w:p>
        </w:tc>
      </w:tr>
    </w:tbl>
    <w:p>
      <w:pPr>
        <w:jc w:val="both"/>
        <w:spacing w:after="0" w:line="360" w:lineRule="auto"/>
        <w:widowControl w:val="off"/>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rPr>
          <w:rFonts w:ascii="Times New Roman" w:hAnsi="Times New Roman" w:eastAsia="楷体" w:cs="Times New Roman"/>
        </w:rPr>
        <w:sectPr>
          <w:headerReference w:type="default" r:id="rId9"/>
          <w:footerReference w:type="default" r:id="rId11"/>
          <w:footnotePr/>
          <w:endnotePr/>
          <w:type w:val="nextPage"/>
          <w:pgSz w:w="11906" w:h="16838" w:orient="portrait"/>
          <w:pgMar w:top="1440" w:right="1417" w:bottom="1440" w:left="1417" w:header="851" w:footer="992" w:gutter="0"/>
          <w:cols w:num="1" w:sep="0" w:space="425" w:equalWidth="1"/>
          <w:docGrid w:linePitch="360"/>
        </w:sectPr>
      </w:pPr>
      <w:r>
        <w:rPr>
          <w:rFonts w:ascii="Times New Roman" w:hAnsi="Times New Roman" w:eastAsia="楷体" w:cs="Times New Roman"/>
        </w:rPr>
      </w:r>
      <w:r/>
    </w:p>
    <w:p>
      <w:pPr>
        <w:pStyle w:val="947"/>
        <w:spacing w:line="440" w:lineRule="exact"/>
        <w:rPr>
          <w:rFonts w:hint="eastAsia" w:hAnsi="宋体" w:eastAsia="宋体" w:cs="宋体"/>
          <w:b/>
          <w:bCs/>
          <w:sz w:val="24"/>
          <w:szCs w:val="24"/>
          <w:lang w:eastAsia="zh-CN"/>
        </w:rPr>
        <w:outlineLvl w:val="1"/>
      </w:pPr>
      <w:r>
        <w:rPr>
          <w:rFonts w:hint="eastAsia" w:hAnsi="宋体" w:eastAsia="宋体" w:cs="宋体"/>
          <w:b/>
          <w:sz w:val="24"/>
          <w:szCs w:val="24"/>
          <w:lang w:eastAsia="zh-CN"/>
        </w:rPr>
        <w:t xml:space="preserve">四、</w:t>
      </w:r>
      <w:r>
        <w:rPr>
          <w:rFonts w:hint="eastAsia" w:hAnsi="宋体" w:eastAsia="宋体" w:cs="宋体"/>
          <w:b/>
          <w:bCs/>
          <w:sz w:val="24"/>
          <w:szCs w:val="24"/>
          <w:lang w:eastAsia="zh-CN"/>
        </w:rPr>
        <w:t xml:space="preserve">投标报价要求</w:t>
      </w:r>
      <w:r/>
    </w:p>
    <w:p>
      <w:pPr>
        <w:pStyle w:val="957"/>
        <w:ind w:firstLine="480"/>
        <w:spacing w:line="440" w:lineRule="exact"/>
        <w:rPr>
          <w:rFonts w:hint="eastAsia" w:ascii="宋体" w:hAnsi="宋体" w:eastAsia="宋体" w:cs="宋体"/>
          <w:szCs w:val="24"/>
          <w:lang w:eastAsia="zh-CN"/>
        </w:rPr>
      </w:pPr>
      <w:r>
        <w:rPr>
          <w:rFonts w:hint="eastAsia" w:ascii="宋体" w:hAnsi="宋体" w:eastAsia="宋体" w:cs="宋体"/>
          <w:szCs w:val="24"/>
          <w:lang w:eastAsia="zh-CN"/>
        </w:rPr>
        <w:t xml:space="preserve">1、投标人须对本项目中的所有内容进行投报，否则作无效投标处理。</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2、投标应以人民币报价，投标总价一次报定，报价均已包括本项目的所有费用，包括但不限于</w:t>
      </w:r>
      <w:r>
        <w:rPr>
          <w:rFonts w:hint="eastAsia" w:ascii="宋体" w:hAnsi="宋体" w:eastAsia="宋体" w:cs="宋体"/>
          <w:bCs/>
          <w:sz w:val="24"/>
          <w:szCs w:val="24"/>
          <w:lang w:eastAsia="zh-CN"/>
        </w:rPr>
        <w:t xml:space="preserve">本项目所有承包期内需要的人工费（包括人员工资、社保、意外保险费），通讯工具、服装、安全生产费用、管理费、利润、税金以及在服务中发生的一切费用。还包括耗材、各种税费及政策性文件规定及合同包含的所有风险、责任等各项应有费用。如有漏项，视同已包含在其它项目中，合同总价不做调整。报价中的人员工资不得低于国家规定标准，否则视为无效投标。</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ind w:left="20" w:firstLine="480"/>
        <w:spacing w:line="440" w:lineRule="exact"/>
        <w:rPr>
          <w:rFonts w:hint="eastAsia" w:ascii="宋体" w:hAnsi="宋体" w:eastAsia="宋体" w:cs="宋体"/>
          <w:bCs/>
          <w:sz w:val="24"/>
          <w:szCs w:val="24"/>
          <w:u w:val="single"/>
          <w:lang w:eastAsia="zh-CN"/>
        </w:rPr>
      </w:pPr>
      <w:r>
        <w:rPr>
          <w:rFonts w:hint="eastAsia" w:ascii="宋体" w:hAnsi="宋体" w:eastAsia="宋体" w:cs="宋体"/>
          <w:sz w:val="24"/>
          <w:szCs w:val="24"/>
          <w:lang w:eastAsia="zh-CN"/>
        </w:rPr>
        <w:t xml:space="preserve">4、中标人必须按照国家及太仓地区为聘用人员有关规定支付工资和交纳正常的社会保险等，所有配置人员的工资、社保待遇不得低于太仓地区目前人均最低工资标准和社保缴费标准（不包含政府公益性补贴），并须按照国家劳动法、劳动合同法等规定的工作时间安排员工工作。如在服务期间，太仓地区人均最低工资标准和社保缴费标准进行调整，则调整部分的费用由成交中标人承担。</w:t>
      </w:r>
      <w:r/>
    </w:p>
    <w:p>
      <w:pPr>
        <w:pStyle w:val="739"/>
        <w:rPr>
          <w:lang w:eastAsia="zh-CN"/>
        </w:rPr>
      </w:pPr>
      <w:r>
        <w:rPr>
          <w:lang w:eastAsia="zh-CN"/>
        </w:rPr>
      </w:r>
      <w:r/>
    </w:p>
    <w:p>
      <w:pPr>
        <w:pStyle w:val="806"/>
        <w:spacing w:before="120" w:after="120" w:line="440" w:lineRule="exact"/>
        <w:tabs>
          <w:tab w:val="left" w:pos="425" w:leader="none"/>
        </w:tabs>
        <w:rPr>
          <w:rFonts w:hint="eastAsia" w:ascii="宋体" w:hAnsi="宋体" w:eastAsia="宋体" w:cs="宋体"/>
          <w:b/>
          <w:sz w:val="24"/>
          <w:szCs w:val="24"/>
          <w:lang w:eastAsia="zh-CN"/>
        </w:rPr>
      </w:pPr>
      <w:r>
        <w:rPr>
          <w:rFonts w:hint="eastAsia" w:hAnsi="宋体" w:eastAsia="宋体" w:cs="宋体"/>
          <w:b/>
          <w:sz w:val="24"/>
          <w:szCs w:val="24"/>
          <w:lang w:eastAsia="zh-CN"/>
        </w:rPr>
        <w:t xml:space="preserve">五、</w:t>
      </w:r>
      <w:r>
        <w:rPr>
          <w:rFonts w:hint="eastAsia" w:ascii="宋体" w:hAnsi="宋体" w:eastAsia="宋体" w:cs="宋体"/>
          <w:b/>
          <w:sz w:val="24"/>
          <w:szCs w:val="24"/>
          <w:lang w:eastAsia="zh-CN"/>
        </w:rPr>
        <w:t xml:space="preserve">服务要求</w:t>
      </w:r>
      <w:bookmarkEnd w:id="24"/>
      <w:r/>
      <w:r/>
    </w:p>
    <w:p>
      <w:pPr>
        <w:ind w:firstLine="360"/>
        <w:spacing w:after="0" w:line="360" w:lineRule="auto"/>
        <w:widowControl w:val="off"/>
        <w:rPr>
          <w:rFonts w:ascii="Times New Roman" w:hAnsi="Times New Roman" w:eastAsia="宋体" w:cs="Times New Roman"/>
          <w:sz w:val="24"/>
          <w:szCs w:val="21"/>
          <w:lang w:eastAsia="zh-CN"/>
        </w:rPr>
      </w:pPr>
      <w:r/>
      <w:bookmarkStart w:id="27" w:name="_Toc139881073"/>
      <w:r>
        <w:rPr>
          <w:rFonts w:ascii="Times New Roman" w:hAnsi="Times New Roman" w:eastAsia="宋体" w:cs="Times New Roman"/>
          <w:sz w:val="24"/>
          <w:szCs w:val="21"/>
          <w:lang w:eastAsia="zh-CN"/>
        </w:rPr>
        <w:t xml:space="preserve">投标方需保证系统能够正常稳定地运行，并需按照合同规定的时间，派遣技术人员上门提供现场的项目实施服务。在项目实施过程中及售后服务期内，投标方需指定专人负责与学校保持长期的联系与服务。</w:t>
      </w:r>
      <w:r/>
    </w:p>
    <w:p>
      <w:pPr>
        <w:ind w:firstLine="480"/>
        <w:spacing w:after="0"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 xml:space="preserve">1、岗位和人员要求</w:t>
      </w:r>
      <w:r/>
    </w:p>
    <w:p>
      <w:pPr>
        <w:ind w:firstLine="480"/>
        <w:spacing w:after="0" w:line="360" w:lineRule="auto"/>
        <w:widowControl w:val="off"/>
        <w:rPr>
          <w:rFonts w:ascii="Times New Roman" w:hAnsi="Times New Roman" w:eastAsia="宋体" w:cs="Times New Roman"/>
          <w:sz w:val="24"/>
          <w:szCs w:val="21"/>
          <w:lang w:eastAsia="zh-CN"/>
        </w:rPr>
      </w:pPr>
      <w:r>
        <w:rPr>
          <w:rFonts w:hint="eastAsia" w:hAnsi="宋体" w:cs="宋体"/>
          <w:bCs/>
          <w:sz w:val="24"/>
          <w:szCs w:val="24"/>
          <w:lang w:eastAsia="zh-CN"/>
        </w:rPr>
        <w:t xml:space="preserve">软件供应商须为本项目配置一个专业的技术服务团队</w:t>
      </w:r>
      <w:r>
        <w:rPr>
          <w:rFonts w:hint="eastAsia" w:ascii="Times New Roman" w:hAnsi="Times New Roman" w:eastAsia="宋体" w:cs="Times New Roman"/>
          <w:sz w:val="24"/>
          <w:szCs w:val="21"/>
          <w:lang w:eastAsia="zh-CN"/>
        </w:rPr>
        <w:t xml:space="preserve">，</w:t>
      </w:r>
      <w:r>
        <w:rPr>
          <w:rFonts w:ascii="Times New Roman" w:hAnsi="Times New Roman" w:eastAsia="宋体" w:cs="Times New Roman"/>
          <w:sz w:val="24"/>
          <w:szCs w:val="21"/>
          <w:lang w:eastAsia="zh-CN"/>
        </w:rPr>
        <w:t xml:space="preserve">包含如下人员</w:t>
      </w:r>
      <w:r>
        <w:rPr>
          <w:rFonts w:hint="eastAsia" w:ascii="Times New Roman" w:hAnsi="Times New Roman" w:eastAsia="宋体" w:cs="Times New Roman"/>
          <w:sz w:val="24"/>
          <w:szCs w:val="21"/>
          <w:lang w:eastAsia="zh-CN"/>
        </w:rPr>
        <w:t xml:space="preserve">：</w:t>
      </w:r>
      <w:r/>
    </w:p>
    <w:p>
      <w:pPr>
        <w:ind w:firstLine="240"/>
        <w:spacing w:after="0"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 xml:space="preserve">（</w:t>
      </w:r>
      <w:r>
        <w:rPr>
          <w:rFonts w:ascii="Times New Roman" w:hAnsi="Times New Roman" w:eastAsia="宋体" w:cs="Times New Roman"/>
          <w:sz w:val="24"/>
          <w:szCs w:val="21"/>
          <w:lang w:eastAsia="zh-CN"/>
        </w:rPr>
        <w:t xml:space="preserve">1</w:t>
      </w:r>
      <w:r>
        <w:rPr>
          <w:rFonts w:hint="eastAsia" w:ascii="Times New Roman" w:hAnsi="Times New Roman" w:eastAsia="宋体" w:cs="Times New Roman"/>
          <w:sz w:val="24"/>
          <w:szCs w:val="21"/>
          <w:lang w:eastAsia="zh-CN"/>
        </w:rPr>
        <w:t xml:space="preserve">）项目经理：</w:t>
      </w:r>
      <w:r>
        <w:rPr>
          <w:rFonts w:ascii="Times New Roman" w:hAnsi="Times New Roman" w:eastAsia="宋体" w:cs="Times New Roman"/>
          <w:sz w:val="24"/>
          <w:szCs w:val="21"/>
          <w:lang w:eastAsia="zh-CN"/>
        </w:rPr>
        <w:t xml:space="preserve">1</w:t>
      </w:r>
      <w:r>
        <w:rPr>
          <w:rFonts w:hint="eastAsia" w:ascii="Times New Roman" w:hAnsi="Times New Roman" w:eastAsia="宋体" w:cs="Times New Roman"/>
          <w:sz w:val="24"/>
          <w:szCs w:val="21"/>
          <w:lang w:eastAsia="zh-CN"/>
        </w:rPr>
        <w:t xml:space="preserve">名，负责整个项目的规划、执行、监控和收尾，总体上管理和协调项目的实施，负责项目计划的制订、协调内部团队及学校相关人员沟通，同时对项目全程跟踪。</w:t>
      </w:r>
      <w:r/>
    </w:p>
    <w:p>
      <w:pPr>
        <w:ind w:firstLine="240"/>
        <w:spacing w:after="0"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 xml:space="preserve">（</w:t>
      </w:r>
      <w:r>
        <w:rPr>
          <w:rFonts w:ascii="Times New Roman" w:hAnsi="Times New Roman" w:eastAsia="宋体" w:cs="Times New Roman"/>
          <w:sz w:val="24"/>
          <w:szCs w:val="21"/>
          <w:lang w:eastAsia="zh-CN"/>
        </w:rPr>
        <w:t xml:space="preserve">2</w:t>
      </w:r>
      <w:r>
        <w:rPr>
          <w:rFonts w:hint="eastAsia" w:ascii="Times New Roman" w:hAnsi="Times New Roman" w:eastAsia="宋体" w:cs="Times New Roman"/>
          <w:sz w:val="24"/>
          <w:szCs w:val="21"/>
          <w:lang w:eastAsia="zh-CN"/>
        </w:rPr>
        <w:t xml:space="preserve">）技术负责人：</w:t>
      </w:r>
      <w:r>
        <w:rPr>
          <w:rFonts w:ascii="Times New Roman" w:hAnsi="Times New Roman" w:eastAsia="宋体" w:cs="Times New Roman"/>
          <w:sz w:val="24"/>
          <w:szCs w:val="21"/>
          <w:lang w:eastAsia="zh-CN"/>
        </w:rPr>
        <w:t xml:space="preserve">1</w:t>
      </w:r>
      <w:r>
        <w:rPr>
          <w:rFonts w:hint="eastAsia" w:ascii="Times New Roman" w:hAnsi="Times New Roman" w:eastAsia="宋体" w:cs="Times New Roman"/>
          <w:sz w:val="24"/>
          <w:szCs w:val="21"/>
          <w:lang w:eastAsia="zh-CN"/>
        </w:rPr>
        <w:t xml:space="preserve">名，负责项目的技术方向和架构设计、组织技术评审、指导并监督开发团队、对项目中的技术难题提供解决方案。</w:t>
      </w:r>
      <w:r/>
    </w:p>
    <w:p>
      <w:pPr>
        <w:ind w:firstLine="240"/>
        <w:spacing w:after="0"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 xml:space="preserve">（</w:t>
      </w:r>
      <w:r>
        <w:rPr>
          <w:rFonts w:ascii="Times New Roman" w:hAnsi="Times New Roman" w:eastAsia="宋体" w:cs="Times New Roman"/>
          <w:sz w:val="24"/>
          <w:szCs w:val="21"/>
          <w:lang w:eastAsia="zh-CN"/>
        </w:rPr>
        <w:t xml:space="preserve">3</w:t>
      </w:r>
      <w:r>
        <w:rPr>
          <w:rFonts w:hint="eastAsia" w:ascii="Times New Roman" w:hAnsi="Times New Roman" w:eastAsia="宋体" w:cs="Times New Roman"/>
          <w:sz w:val="24"/>
          <w:szCs w:val="21"/>
          <w:lang w:eastAsia="zh-CN"/>
        </w:rPr>
        <w:t xml:space="preserve">）开发负责人：</w:t>
      </w:r>
      <w:r>
        <w:rPr>
          <w:rFonts w:ascii="Times New Roman" w:hAnsi="Times New Roman" w:eastAsia="宋体" w:cs="Times New Roman"/>
          <w:sz w:val="24"/>
          <w:szCs w:val="21"/>
          <w:lang w:eastAsia="zh-CN"/>
        </w:rPr>
        <w:t xml:space="preserve">1</w:t>
      </w:r>
      <w:r>
        <w:rPr>
          <w:rFonts w:hint="eastAsia" w:ascii="Times New Roman" w:hAnsi="Times New Roman" w:eastAsia="宋体" w:cs="Times New Roman"/>
          <w:sz w:val="24"/>
          <w:szCs w:val="21"/>
          <w:lang w:eastAsia="zh-CN"/>
        </w:rPr>
        <w:t xml:space="preserve">名，负责软件开发的具体实施工作，管理开发团队的日常活动，根据项目计划，分配开发任务，监督开发进度和质量，与测试团队协作，确保开发的模块或功能能够顺利通过测试。</w:t>
      </w:r>
      <w:r/>
    </w:p>
    <w:p>
      <w:pPr>
        <w:ind w:firstLine="240"/>
        <w:spacing w:after="0"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 xml:space="preserve">（</w:t>
      </w:r>
      <w:r>
        <w:rPr>
          <w:rFonts w:ascii="Times New Roman" w:hAnsi="Times New Roman" w:eastAsia="宋体" w:cs="Times New Roman"/>
          <w:sz w:val="24"/>
          <w:szCs w:val="21"/>
          <w:lang w:eastAsia="zh-CN"/>
        </w:rPr>
        <w:t xml:space="preserve">4</w:t>
      </w:r>
      <w:r>
        <w:rPr>
          <w:rFonts w:hint="eastAsia" w:ascii="Times New Roman" w:hAnsi="Times New Roman" w:eastAsia="宋体" w:cs="Times New Roman"/>
          <w:sz w:val="24"/>
          <w:szCs w:val="21"/>
          <w:lang w:eastAsia="zh-CN"/>
        </w:rPr>
        <w:t xml:space="preserve">）测试负责人：</w:t>
      </w:r>
      <w:r>
        <w:rPr>
          <w:rFonts w:ascii="Times New Roman" w:hAnsi="Times New Roman" w:eastAsia="宋体" w:cs="Times New Roman"/>
          <w:sz w:val="24"/>
          <w:szCs w:val="21"/>
          <w:lang w:eastAsia="zh-CN"/>
        </w:rPr>
        <w:t xml:space="preserve">1</w:t>
      </w:r>
      <w:r>
        <w:rPr>
          <w:rFonts w:hint="eastAsia" w:ascii="Times New Roman" w:hAnsi="Times New Roman" w:eastAsia="宋体" w:cs="Times New Roman"/>
          <w:sz w:val="24"/>
          <w:szCs w:val="21"/>
          <w:lang w:eastAsia="zh-CN"/>
        </w:rPr>
        <w:t xml:space="preserve">名，负责设计和实施测试计划，制定测试策略，编写和维护测试用例，确保软件质量满足既定的质量标准和用户需求。</w:t>
      </w:r>
      <w:r/>
    </w:p>
    <w:p>
      <w:pPr>
        <w:ind w:firstLine="480"/>
        <w:jc w:val="both"/>
        <w:spacing w:after="0"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 xml:space="preserve">2</w:t>
      </w:r>
      <w:r>
        <w:rPr>
          <w:rFonts w:ascii="Times New Roman" w:hAnsi="Times New Roman" w:eastAsia="宋体" w:cs="Times New Roman"/>
          <w:sz w:val="24"/>
          <w:szCs w:val="21"/>
          <w:lang w:eastAsia="zh-CN"/>
        </w:rPr>
        <w:t xml:space="preserve">、驻场服务</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提供驻场服务一年，工作日内在现场上班，梳理所有业务流程，实现我校要求的各项细化功能。驻场人员需具有实施同类型项目经验至少三年，提供对系统现场故障诊断及排除服务，建立系统各种故障的恢复流程及应急措施、系统运维资料收集、整理、编制及归档服务和日常技术支持及咨询服务。</w:t>
      </w:r>
      <w:r/>
    </w:p>
    <w:p>
      <w:pPr>
        <w:ind w:firstLine="480"/>
        <w:jc w:val="both"/>
        <w:spacing w:after="0"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 xml:space="preserve">3</w:t>
      </w:r>
      <w:r>
        <w:rPr>
          <w:rFonts w:ascii="Times New Roman" w:hAnsi="Times New Roman" w:eastAsia="宋体" w:cs="Times New Roman"/>
          <w:sz w:val="24"/>
          <w:szCs w:val="21"/>
          <w:lang w:eastAsia="zh-CN"/>
        </w:rPr>
        <w:t xml:space="preserve">、质保期</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本项目须提供</w:t>
      </w:r>
      <w:r>
        <w:rPr>
          <w:rFonts w:ascii="Times New Roman" w:hAnsi="Times New Roman" w:eastAsia="宋体" w:cs="Times New Roman"/>
          <w:b/>
          <w:bCs/>
          <w:sz w:val="24"/>
          <w:szCs w:val="21"/>
          <w:lang w:eastAsia="zh-CN"/>
        </w:rPr>
        <w:t xml:space="preserve">三年的免费售后服务</w:t>
      </w:r>
      <w:r>
        <w:rPr>
          <w:rFonts w:ascii="Times New Roman" w:hAnsi="Times New Roman" w:eastAsia="宋体" w:cs="Times New Roman"/>
          <w:sz w:val="24"/>
          <w:szCs w:val="21"/>
          <w:lang w:eastAsia="zh-CN"/>
        </w:rPr>
        <w:t xml:space="preserve">，售后服务期从项目验收合格双方签字之日起，售后服务期内投标方应为学校免费提供各种技术服务，包括在线答疑、定期回访，并根据我校教学管理的需要提供阶段性驻场服务。</w:t>
      </w:r>
      <w:r/>
    </w:p>
    <w:p>
      <w:pPr>
        <w:ind w:firstLine="480"/>
        <w:jc w:val="both"/>
        <w:spacing w:after="0"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 xml:space="preserve">4</w:t>
      </w:r>
      <w:r>
        <w:rPr>
          <w:rFonts w:ascii="Times New Roman" w:hAnsi="Times New Roman" w:eastAsia="宋体" w:cs="Times New Roman"/>
          <w:sz w:val="24"/>
          <w:szCs w:val="21"/>
          <w:lang w:eastAsia="zh-CN"/>
        </w:rPr>
        <w:t xml:space="preserve">、培训要求</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投标人需依据采购方的实际情况，制定切实可行的完整培训计划，以保证所建设的系统能够正常、安全、平稳地运行。要求通过培训使学校的相关人员掌握系统的使用、维护和管理方法，达到能独立进行系统管理、故障处理、日常测试和维护等工作的目的。</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（1）提供集中培训与现场培训结合的方式，具体培训服务的人次、场次、时间及答疑服务频次由采购方依据实际需求提出，软件投标人必须配合并满足甲方需求及培训安排。</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（2）软件投标人需免费提供数据库管理员的系统维护培训服务以及必要的支撑技术培训服务；提供系统各类用户群体的应用操作免费现场培训服务。</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（3）软件投标人需免费提供各类用户群体的操作手册（按功能模块、按学生培养流程）、视频文档、常见系统故障处理办法。</w:t>
      </w:r>
      <w:r/>
    </w:p>
    <w:p>
      <w:pPr>
        <w:ind w:firstLine="480"/>
        <w:jc w:val="both"/>
        <w:spacing w:after="0"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 xml:space="preserve">5</w:t>
      </w:r>
      <w:r>
        <w:rPr>
          <w:rFonts w:ascii="Times New Roman" w:hAnsi="Times New Roman" w:eastAsia="宋体" w:cs="Times New Roman"/>
          <w:sz w:val="24"/>
          <w:szCs w:val="21"/>
          <w:lang w:eastAsia="zh-CN"/>
        </w:rPr>
        <w:t xml:space="preserve">、故障响应：需保证在售后服务期内，各类故障应在1小时内响应， 2 小时内提供应急解决方案。影响系统正常使用的bug 在使用方提出后8 小时内修正；系统安全漏洞的修复，要在使用方提出后24 小时内解决。若投标方未能按时限解决问题，招标方有权自行处理，所发生费用由投标方承担。</w:t>
      </w:r>
      <w:r/>
    </w:p>
    <w:p>
      <w:pPr>
        <w:ind w:firstLine="480"/>
        <w:jc w:val="both"/>
        <w:spacing w:after="0"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 xml:space="preserve">6</w:t>
      </w:r>
      <w:r>
        <w:rPr>
          <w:rFonts w:ascii="Times New Roman" w:hAnsi="Times New Roman" w:eastAsia="宋体" w:cs="Times New Roman"/>
          <w:sz w:val="24"/>
          <w:szCs w:val="21"/>
          <w:lang w:eastAsia="zh-CN"/>
        </w:rPr>
        <w:t xml:space="preserve">、技术支持：要求在售后服务期内提供7×24 小时技术支持服务， 应提供本单位的热线电话、E-mail、传真、网站等途径，随时接受系统使用人员提出的各种技术问题，并在24 小时内提供解决方案，并对于每个问题都有闭环跟踪机制。在远程维护无法解决问题的情况下，需派遣技术人员上门解决。</w:t>
      </w:r>
      <w:r/>
    </w:p>
    <w:p>
      <w:pPr>
        <w:ind w:firstLine="480"/>
        <w:jc w:val="both"/>
        <w:spacing w:after="0" w:line="360" w:lineRule="auto"/>
        <w:widowControl w:val="off"/>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 xml:space="preserve">7</w:t>
      </w:r>
      <w:r>
        <w:rPr>
          <w:rFonts w:ascii="Times New Roman" w:hAnsi="Times New Roman" w:eastAsia="宋体" w:cs="Times New Roman"/>
          <w:sz w:val="24"/>
          <w:szCs w:val="21"/>
          <w:lang w:eastAsia="zh-CN"/>
        </w:rPr>
        <w:t xml:space="preserve">、其他服务</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（1）本系统需具备国产化适配能力。</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（2）软件投标人免费提供本系统与学校移动门户集成服务。</w:t>
      </w:r>
      <w:r/>
    </w:p>
    <w:p>
      <w:pPr>
        <w:ind w:firstLine="480"/>
        <w:jc w:val="both"/>
        <w:spacing w:after="0" w:line="360" w:lineRule="auto"/>
        <w:widowControl w:val="off"/>
        <w:rPr>
          <w:rFonts w:ascii="Times New Roman" w:hAnsi="Times New Roman" w:eastAsia="宋体" w:cs="Times New Roman"/>
          <w:sz w:val="24"/>
          <w:szCs w:val="21"/>
          <w:lang w:eastAsia="zh-CN"/>
        </w:rPr>
      </w:pPr>
      <w:r>
        <w:rPr>
          <w:rFonts w:ascii="Times New Roman" w:hAnsi="Times New Roman" w:eastAsia="宋体" w:cs="Times New Roman"/>
          <w:sz w:val="24"/>
          <w:szCs w:val="21"/>
          <w:lang w:eastAsia="zh-CN"/>
        </w:rPr>
        <w:t xml:space="preserve">（3）软件投标人需额外赠送15个工作量用作二次开发。</w:t>
      </w:r>
      <w:r/>
    </w:p>
    <w:p>
      <w:pPr>
        <w:pStyle w:val="806"/>
        <w:spacing w:before="120" w:after="120" w:line="440" w:lineRule="exact"/>
        <w:tabs>
          <w:tab w:val="left" w:pos="425" w:leader="none"/>
        </w:tabs>
        <w:rPr>
          <w:rFonts w:hint="eastAsia" w:ascii="宋体" w:hAnsi="宋体" w:eastAsia="宋体" w:cs="宋体"/>
          <w:b/>
          <w:sz w:val="24"/>
          <w:szCs w:val="24"/>
          <w:lang w:eastAsia="zh-CN"/>
        </w:rPr>
      </w:pPr>
      <w:r>
        <w:rPr>
          <w:rFonts w:hint="eastAsia" w:hAnsi="宋体" w:eastAsia="宋体" w:cs="宋体"/>
          <w:b/>
          <w:sz w:val="24"/>
          <w:szCs w:val="24"/>
          <w:lang w:eastAsia="zh-CN"/>
        </w:rPr>
        <w:t xml:space="preserve">六、</w:t>
      </w:r>
      <w:r>
        <w:rPr>
          <w:rFonts w:hint="eastAsia" w:ascii="宋体" w:hAnsi="宋体" w:eastAsia="宋体" w:cs="宋体"/>
          <w:b/>
          <w:sz w:val="24"/>
          <w:szCs w:val="24"/>
          <w:lang w:eastAsia="zh-CN"/>
        </w:rPr>
        <w:t xml:space="preserve">付款方式及要求</w:t>
      </w:r>
      <w:bookmarkEnd w:id="27"/>
      <w:r/>
      <w:r/>
    </w:p>
    <w:p>
      <w:pPr>
        <w:ind w:left="480"/>
        <w:jc w:val="both"/>
        <w:spacing w:line="360" w:lineRule="auto"/>
        <w:widowControl w:val="off"/>
        <w:tabs>
          <w:tab w:val="left" w:pos="540" w:leader="none"/>
        </w:tabs>
        <w:rPr>
          <w:rFonts w:ascii="Times New Roman" w:hAnsi="Times New Roman" w:eastAsia="宋体" w:cs="Times New Roman"/>
          <w:bCs/>
          <w:sz w:val="24"/>
          <w:szCs w:val="24"/>
          <w:lang w:eastAsia="zh-CN"/>
        </w:rPr>
      </w:pPr>
      <w:r/>
      <w:bookmarkStart w:id="28" w:name="_Toc139881074"/>
      <w:r>
        <w:rPr>
          <w:rFonts w:ascii="Times New Roman" w:hAnsi="Times New Roman" w:eastAsia="宋体" w:cs="Times New Roman"/>
          <w:bCs/>
          <w:sz w:val="24"/>
          <w:szCs w:val="24"/>
          <w:lang w:eastAsia="zh-CN"/>
        </w:rPr>
        <w:t xml:space="preserve">（1）</w:t>
      </w:r>
      <w:r>
        <w:rPr>
          <w:rFonts w:ascii="Times New Roman" w:hAnsi="Times New Roman" w:eastAsia="宋体" w:cs="Times New Roman"/>
          <w:sz w:val="24"/>
          <w:lang w:eastAsia="zh-CN"/>
        </w:rPr>
        <w:t xml:space="preserve">合同签订生效后十个工作日内采购方支付合同金额的10%预付款。</w:t>
      </w:r>
      <w:r/>
    </w:p>
    <w:p>
      <w:pPr>
        <w:ind w:left="480"/>
        <w:jc w:val="both"/>
        <w:spacing w:line="360" w:lineRule="auto"/>
        <w:widowControl w:val="off"/>
        <w:tabs>
          <w:tab w:val="left" w:pos="540" w:leader="none"/>
        </w:tabs>
        <w:rPr>
          <w:rFonts w:ascii="Times New Roman" w:hAnsi="Times New Roman" w:eastAsia="宋体" w:cs="Times New Roman"/>
          <w:bCs/>
          <w:sz w:val="24"/>
          <w:szCs w:val="24"/>
          <w:lang w:eastAsia="zh-CN"/>
        </w:rPr>
      </w:pPr>
      <w:r>
        <w:rPr>
          <w:rFonts w:ascii="Times New Roman" w:hAnsi="Times New Roman" w:eastAsia="宋体" w:cs="Times New Roman"/>
          <w:bCs/>
          <w:sz w:val="24"/>
          <w:szCs w:val="24"/>
          <w:lang w:eastAsia="zh-CN"/>
        </w:rPr>
        <w:t xml:space="preserve">（2）</w:t>
      </w:r>
      <w:r>
        <w:rPr>
          <w:rFonts w:ascii="Times New Roman" w:hAnsi="Times New Roman" w:eastAsia="宋体" w:cs="Times New Roman"/>
          <w:sz w:val="24"/>
          <w:lang w:eastAsia="zh-CN"/>
        </w:rPr>
        <w:t xml:space="preserve">系统安装部署完成、调试到位、上线试运行半个月后，采购单位组织专家进行初验，初验验收合格后，采购方在十个工作日内支付合同总额的20%，</w:t>
      </w:r>
      <w:r>
        <w:rPr>
          <w:rFonts w:ascii="Times New Roman" w:hAnsi="Times New Roman" w:eastAsia="宋体" w:cs="Times New Roman"/>
          <w:bCs/>
          <w:sz w:val="24"/>
          <w:szCs w:val="24"/>
          <w:lang w:eastAsia="zh-CN"/>
        </w:rPr>
        <w:t xml:space="preserve">第二年项目通过终验收后，凭验收合格单或验收合格报告，采购方在十个工作日内支付合同总价的65%。</w:t>
      </w:r>
      <w:r/>
    </w:p>
    <w:p>
      <w:pPr>
        <w:ind w:firstLine="600"/>
        <w:jc w:val="both"/>
        <w:spacing w:line="360" w:lineRule="auto"/>
        <w:widowControl w:val="off"/>
        <w:tabs>
          <w:tab w:val="left" w:pos="540" w:leader="none"/>
        </w:tabs>
        <w:rPr>
          <w:rFonts w:ascii="Times New Roman" w:hAnsi="Times New Roman" w:eastAsia="宋体" w:cs="Times New Roman"/>
          <w:bCs/>
          <w:sz w:val="24"/>
          <w:szCs w:val="24"/>
          <w:lang w:eastAsia="zh-CN"/>
        </w:rPr>
      </w:pPr>
      <w:r>
        <w:rPr>
          <w:rFonts w:ascii="Times New Roman" w:hAnsi="Times New Roman" w:eastAsia="宋体" w:cs="Times New Roman"/>
          <w:bCs/>
          <w:sz w:val="24"/>
          <w:szCs w:val="24"/>
          <w:lang w:eastAsia="zh-CN"/>
        </w:rPr>
        <w:t xml:space="preserve">（3）</w:t>
      </w:r>
      <w:r>
        <w:rPr>
          <w:rFonts w:ascii="Times New Roman" w:hAnsi="Times New Roman" w:eastAsia="宋体" w:cs="Times New Roman"/>
          <w:sz w:val="24"/>
          <w:lang w:eastAsia="zh-CN"/>
        </w:rPr>
        <w:t xml:space="preserve">余款5%待三年免费质保期后一次性付清</w:t>
      </w:r>
      <w:r>
        <w:rPr>
          <w:rFonts w:ascii="Times New Roman" w:hAnsi="Times New Roman" w:eastAsia="宋体" w:cs="Times New Roman"/>
          <w:bCs/>
          <w:sz w:val="24"/>
          <w:szCs w:val="24"/>
          <w:lang w:eastAsia="zh-CN"/>
        </w:rPr>
        <w:t xml:space="preserve">。</w:t>
      </w:r>
      <w:r/>
    </w:p>
    <w:p>
      <w:pPr>
        <w:ind w:firstLine="600"/>
        <w:jc w:val="both"/>
        <w:spacing w:line="360" w:lineRule="auto"/>
        <w:widowControl w:val="off"/>
        <w:tabs>
          <w:tab w:val="left" w:pos="540" w:leader="none"/>
        </w:tabs>
        <w:rPr>
          <w:rFonts w:ascii="Times New Roman" w:hAnsi="Times New Roman" w:eastAsia="宋体" w:cs="Times New Roman"/>
          <w:bCs/>
          <w:sz w:val="24"/>
          <w:szCs w:val="24"/>
          <w:lang w:eastAsia="zh-CN"/>
        </w:rPr>
      </w:pPr>
      <w:r>
        <w:rPr>
          <w:rFonts w:ascii="Times New Roman" w:hAnsi="Times New Roman" w:eastAsia="宋体" w:cs="Times New Roman"/>
          <w:sz w:val="24"/>
          <w:lang w:eastAsia="zh-CN"/>
        </w:rPr>
        <w:t xml:space="preserve">以上付款均不计利息。由采购单位按相关财务支付规定办理支付手续。不得故意拖延支付时间。</w:t>
      </w:r>
      <w:r/>
    </w:p>
    <w:p>
      <w:pPr>
        <w:pStyle w:val="806"/>
        <w:spacing w:before="120" w:after="120" w:line="440" w:lineRule="exact"/>
        <w:tabs>
          <w:tab w:val="left" w:pos="425" w:leader="none"/>
        </w:tabs>
        <w:rPr>
          <w:rFonts w:hint="eastAsia" w:ascii="宋体" w:hAnsi="宋体" w:eastAsia="宋体" w:cs="宋体"/>
          <w:b/>
          <w:sz w:val="24"/>
          <w:szCs w:val="24"/>
          <w:lang w:eastAsia="zh-CN"/>
        </w:rPr>
      </w:pPr>
      <w:r>
        <w:rPr>
          <w:rFonts w:hint="eastAsia" w:hAnsi="宋体" w:eastAsia="宋体" w:cs="宋体"/>
          <w:b/>
          <w:sz w:val="24"/>
          <w:szCs w:val="24"/>
          <w:lang w:eastAsia="zh-CN"/>
        </w:rPr>
        <w:t xml:space="preserve">七、</w:t>
      </w:r>
      <w:r>
        <w:rPr>
          <w:rFonts w:hint="eastAsia" w:ascii="宋体" w:hAnsi="宋体" w:eastAsia="宋体" w:cs="宋体"/>
          <w:b/>
          <w:sz w:val="24"/>
          <w:szCs w:val="24"/>
          <w:lang w:eastAsia="zh-CN"/>
        </w:rPr>
        <w:t xml:space="preserve">服务的时间及地点要求</w:t>
      </w:r>
      <w:bookmarkEnd w:id="16"/>
      <w:r/>
      <w:bookmarkEnd w:id="17"/>
      <w:r/>
      <w:bookmarkEnd w:id="18"/>
      <w:r/>
      <w:bookmarkEnd w:id="19"/>
      <w:r/>
      <w:bookmarkEnd w:id="28"/>
      <w:r/>
      <w:r/>
    </w:p>
    <w:p>
      <w:pPr>
        <w:ind w:firstLine="600"/>
        <w:spacing w:after="0" w:line="360" w:lineRule="auto"/>
        <w:widowControl w:val="off"/>
        <w:rPr>
          <w:rFonts w:ascii="Times New Roman" w:hAnsi="Times New Roman" w:eastAsia="宋体" w:cs="Times New Roman"/>
          <w:bCs/>
          <w:sz w:val="24"/>
          <w:szCs w:val="21"/>
          <w:lang w:eastAsia="zh-CN"/>
        </w:rPr>
      </w:pPr>
      <w:r>
        <w:rPr>
          <w:rFonts w:ascii="Times New Roman" w:hAnsi="Times New Roman" w:eastAsia="宋体" w:cs="Times New Roman"/>
          <w:bCs/>
          <w:sz w:val="24"/>
          <w:szCs w:val="21"/>
          <w:lang w:eastAsia="zh-CN"/>
        </w:rPr>
        <w:t xml:space="preserve">（1）建设周期：合同签订后180天内交付。</w:t>
      </w:r>
      <w:r/>
    </w:p>
    <w:p>
      <w:pPr>
        <w:ind w:firstLine="600"/>
        <w:spacing w:after="0" w:line="360" w:lineRule="auto"/>
        <w:widowControl w:val="off"/>
        <w:rPr>
          <w:rFonts w:ascii="Times New Roman" w:hAnsi="Times New Roman" w:eastAsia="宋体" w:cs="Times New Roman"/>
          <w:bCs/>
          <w:sz w:val="24"/>
          <w:szCs w:val="21"/>
          <w:lang w:eastAsia="zh-CN"/>
        </w:rPr>
      </w:pPr>
      <w:r>
        <w:rPr>
          <w:rFonts w:ascii="Times New Roman" w:hAnsi="Times New Roman" w:eastAsia="宋体" w:cs="Times New Roman"/>
          <w:bCs/>
          <w:sz w:val="24"/>
          <w:szCs w:val="21"/>
          <w:lang w:eastAsia="zh-CN"/>
        </w:rPr>
        <w:t xml:space="preserve">（2）服务地点：苏州健雄职业技术学院</w:t>
      </w:r>
      <w:r/>
    </w:p>
    <w:p>
      <w:pPr>
        <w:ind w:left="142" w:firstLine="480"/>
        <w:jc w:val="both"/>
        <w:spacing w:line="360" w:lineRule="auto"/>
        <w:widowControl w:val="off"/>
        <w:tabs>
          <w:tab w:val="left" w:pos="540" w:leader="none"/>
        </w:tabs>
        <w:rPr>
          <w:rFonts w:ascii="Times New Roman" w:hAnsi="Times New Roman" w:eastAsia="宋体" w:cs="Times New Roman"/>
          <w:sz w:val="24"/>
          <w:lang w:eastAsia="zh-CN"/>
        </w:rPr>
      </w:pPr>
      <w:r>
        <w:rPr>
          <w:rFonts w:ascii="Times New Roman" w:hAnsi="Times New Roman" w:eastAsia="宋体" w:cs="Times New Roman"/>
          <w:bCs/>
          <w:sz w:val="24"/>
          <w:szCs w:val="24"/>
          <w:lang w:eastAsia="zh-CN"/>
        </w:rPr>
        <w:t xml:space="preserve">（3）服务标准：遵循教育部2012年发布的教育管理信息标准、教育信息化行业标准以及学校信息化建设标准。</w:t>
      </w:r>
      <w:r/>
    </w:p>
    <w:p>
      <w:pPr>
        <w:spacing w:after="0" w:line="440" w:lineRule="exact"/>
        <w:rPr>
          <w:rFonts w:hint="eastAsia" w:ascii="宋体" w:hAnsi="宋体" w:eastAsia="宋体" w:cs="宋体"/>
          <w:sz w:val="24"/>
          <w:szCs w:val="24"/>
          <w:lang w:eastAsia="zh-CN"/>
        </w:rPr>
      </w:pPr>
      <w:r>
        <w:rPr>
          <w:rFonts w:hint="eastAsia" w:hAnsi="宋体" w:eastAsia="宋体" w:cs="宋体"/>
          <w:b/>
          <w:sz w:val="24"/>
          <w:szCs w:val="24"/>
          <w:lang w:eastAsia="zh-CN"/>
        </w:rPr>
        <w:t xml:space="preserve">八、</w:t>
      </w:r>
      <w:r>
        <w:rPr>
          <w:rFonts w:hint="eastAsia" w:ascii="宋体" w:hAnsi="宋体" w:eastAsia="宋体" w:cs="宋体"/>
          <w:sz w:val="24"/>
          <w:szCs w:val="24"/>
          <w:lang w:eastAsia="zh-CN"/>
        </w:rPr>
        <w:t xml:space="preserve">凡涉及招标文件的补充说明和修改，均以苏州政府采购网、江苏省政府采购网发布的内容为准。</w:t>
      </w:r>
      <w:r/>
    </w:p>
    <w:p>
      <w:pPr>
        <w:pStyle w:val="947"/>
        <w:spacing w:line="440" w:lineRule="exact"/>
        <w:rPr>
          <w:rFonts w:hint="eastAsia" w:hAnsi="宋体" w:eastAsia="宋体" w:cs="宋体"/>
          <w:sz w:val="24"/>
          <w:szCs w:val="24"/>
          <w:lang w:eastAsia="zh-CN"/>
        </w:rPr>
        <w:outlineLvl w:val="1"/>
      </w:pPr>
      <w:r>
        <w:rPr>
          <w:rFonts w:hint="eastAsia" w:hAnsi="宋体" w:eastAsia="宋体" w:cs="宋体"/>
          <w:sz w:val="24"/>
          <w:szCs w:val="24"/>
          <w:lang w:eastAsia="zh-CN"/>
        </w:rPr>
      </w:r>
      <w:r/>
    </w:p>
    <w:p>
      <w:pPr>
        <w:jc w:val="center"/>
        <w:spacing w:before="240" w:after="240" w:line="440" w:lineRule="exac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pStyle w:val="739"/>
        <w:rPr>
          <w:rFonts w:hint="eastAsia" w:eastAsiaTheme="minorEastAsia"/>
          <w:lang w:eastAsia="zh-CN"/>
        </w:rPr>
      </w:pPr>
      <w:r>
        <w:rPr>
          <w:rFonts w:hint="eastAsia" w:eastAsiaTheme="minorEastAsia"/>
          <w:lang w:eastAsia="zh-CN"/>
        </w:rPr>
      </w:r>
      <w:r/>
    </w:p>
    <w:p>
      <w:pPr>
        <w:jc w:val="center"/>
        <w:spacing w:before="240" w:after="24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color w:val="000000"/>
          <w:sz w:val="24"/>
          <w:u w:val="single"/>
          <w:lang w:eastAsia="zh-CN"/>
        </w:rPr>
        <w:t xml:space="preserve">JSZC-320585-JZCG-G2024-0074</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rFonts w:hint="eastAsia" w:ascii="宋体" w:hAnsi="宋体" w:eastAsia="宋体" w:cs="宋体"/>
          <w:b/>
          <w:bCs/>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lang w:eastAsia="zh-CN"/>
        </w:rPr>
      </w:r>
      <w:r/>
    </w:p>
    <w:p>
      <w:pPr>
        <w:jc w:val="both"/>
        <w:spacing w:after="0"/>
        <w:rPr>
          <w:rFonts w:hint="eastAsia" w:ascii="宋体" w:hAnsi="宋体" w:eastAsia="宋体" w:cs="宋体"/>
          <w:b/>
          <w:bCs/>
          <w:color w:val="000000"/>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2、投标承诺函</w:t>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投标承诺函</w:t>
      </w:r>
      <w:r/>
    </w:p>
    <w:p>
      <w:pPr>
        <w:ind w:firstLine="240"/>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color w:val="000000"/>
          <w:sz w:val="24"/>
          <w:u w:val="single"/>
          <w:lang w:eastAsia="zh-CN"/>
        </w:rPr>
        <w:t xml:space="preserve">教务管理系统软件开发服务（二次）</w:t>
      </w:r>
      <w:r>
        <w:rPr>
          <w:rFonts w:ascii="宋体" w:hAnsi="宋体" w:eastAsia="宋体" w:cs="宋体"/>
          <w:color w:val="000000"/>
          <w:sz w:val="24"/>
          <w:lang w:eastAsia="zh-CN"/>
        </w:rPr>
        <w:t xml:space="preserve">招标文件（项目编号：</w:t>
      </w:r>
      <w:r>
        <w:rPr>
          <w:rFonts w:hint="eastAsia" w:ascii="宋体" w:hAnsi="宋体" w:eastAsia="宋体" w:cs="宋体"/>
          <w:b/>
          <w:color w:val="000000"/>
          <w:sz w:val="24"/>
          <w:u w:val="single"/>
          <w:lang w:eastAsia="zh-CN"/>
        </w:rPr>
        <w:t xml:space="preserve">JSZC-320585-JZCG-G2024-0074</w:t>
      </w:r>
      <w:r>
        <w:rPr>
          <w:rFonts w:ascii="宋体" w:hAnsi="宋体" w:eastAsia="宋体" w:cs="宋体"/>
          <w:color w:val="000000"/>
          <w:sz w:val="24"/>
          <w:lang w:eastAsia="zh-CN"/>
        </w:rPr>
        <w:t xml:space="preserve"> ），经仔细阅读和研究，我们决定参加投标。</w:t>
      </w:r>
      <w:r/>
    </w:p>
    <w:p>
      <w:pPr>
        <w:ind w:firstLine="24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（1）伴随服务及配合措施；</w:t>
      </w:r>
      <w:r/>
    </w:p>
    <w:p>
      <w:pPr>
        <w:ind w:firstLine="42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（2）要求甲方提供的配合；</w:t>
      </w:r>
      <w:r/>
    </w:p>
    <w:p>
      <w:pPr>
        <w:ind w:firstLine="42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（3）对招标文件有不同意见的偏离说明；</w:t>
      </w:r>
      <w:r/>
    </w:p>
    <w:p>
      <w:pPr>
        <w:ind w:firstLine="42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（4）其它说明。</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投标单位：（单位盖章）</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致：苏州市公共资源交易中心太仓分中心：</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w:t>
      </w:r>
      <w:r>
        <w:rPr>
          <w:rFonts w:ascii="宋体" w:hAnsi="宋体" w:eastAsia="宋体" w:cs="宋体"/>
          <w:color w:val="000000"/>
          <w:sz w:val="24"/>
          <w:u w:val="single"/>
          <w:lang w:eastAsia="zh-CN"/>
        </w:rPr>
        <w:t xml:space="preserve">         （供应商名称）</w:t>
      </w:r>
      <w:r>
        <w:rPr>
          <w:rFonts w:ascii="宋体" w:hAnsi="宋体" w:eastAsia="宋体" w:cs="宋体"/>
          <w:color w:val="000000"/>
          <w:sz w:val="24"/>
          <w:lang w:eastAsia="zh-CN"/>
        </w:rPr>
        <w:t xml:space="preserve"> 在参加政府采购活动前三年内，没有重大违法记录，特此声明。</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供应商名称（单位公章）：</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法定代表人（负责人）或代理人（签字或盖章）：</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58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ind w:firstLine="12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vAlign w:val="center"/>
            <w:textDirection w:val="lrTb"/>
            <w:noWrap/>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202</w:t>
            </w:r>
            <w:r>
              <w:rPr>
                <w:rFonts w:hint="eastAsia" w:ascii="宋体" w:hAnsi="宋体" w:eastAsia="宋体" w:cs="宋体"/>
                <w:b/>
                <w:color w:val="000000"/>
                <w:sz w:val="24"/>
                <w:lang w:eastAsia="zh-CN"/>
              </w:rPr>
              <w:t xml:space="preserve">3</w:t>
            </w:r>
            <w:r>
              <w:rPr>
                <w:rFonts w:ascii="宋体" w:hAnsi="宋体" w:eastAsia="宋体" w:cs="宋体"/>
                <w:b/>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202</w:t>
            </w:r>
            <w:r>
              <w:rPr>
                <w:rFonts w:hint="eastAsia" w:ascii="宋体" w:hAnsi="宋体" w:eastAsia="宋体" w:cs="宋体"/>
                <w:b/>
                <w:color w:val="000000"/>
                <w:sz w:val="24"/>
                <w:lang w:eastAsia="zh-CN"/>
              </w:rPr>
              <w:t xml:space="preserve">3</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ascii="宋体" w:hAnsi="宋体" w:eastAsia="宋体" w:cs="宋体"/>
          <w:b/>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u w:val="single"/>
          <w:lang w:eastAsia="zh-CN"/>
        </w:rPr>
        <w:t xml:space="preserve">JSZC-320585-JZCG-G2024-0074</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color w:val="000000"/>
          <w:sz w:val="24"/>
          <w:lang w:eastAsia="zh-CN"/>
        </w:rPr>
        <w:t xml:space="preserve">JSZC-320585-JZCG-G2024-0074</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0"/>
        <w:gridCol w:w="489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教务管理系统软件开发服务（二次）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360"/>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（一）投标报价明细表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ind w:right="-199"/>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大写：元；小写：元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ind w:firstLine="574"/>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2、报价中的人员工资、人员社保不得低于太仓市政府规定的最低标准，其他费用符合法律规定，报价必须含税。</w:t>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ind w:firstLine="150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ind w:firstLine="1200"/>
        <w:rPr>
          <w:rFonts w:ascii="宋体" w:hAnsi="宋体"/>
          <w:b/>
          <w:bCs/>
          <w:sz w:val="24"/>
          <w:szCs w:val="24"/>
          <w:lang w:eastAsia="zh-CN"/>
        </w:rPr>
      </w:pPr>
      <w:r>
        <w:rPr>
          <w:rFonts w:ascii="宋体" w:hAnsi="宋体" w:eastAsia="宋体" w:cs="宋体"/>
          <w:color w:val="000000"/>
          <w:sz w:val="24"/>
          <w:lang w:eastAsia="zh-CN"/>
        </w:rPr>
        <w:t xml:space="preserve"> </w:t>
      </w:r>
      <w:r>
        <w:rPr>
          <w:rFonts w:hint="eastAsia" w:ascii="宋体" w:hAnsi="宋体"/>
          <w:b/>
          <w:sz w:val="30"/>
          <w:szCs w:val="30"/>
          <w:lang w:eastAsia="zh-CN"/>
        </w:rPr>
        <w:t xml:space="preserve">（二）投标报价合理性说明（如有）</w:t>
      </w:r>
      <w:r/>
    </w:p>
    <w:p>
      <w:pPr>
        <w:spacing w:line="420" w:lineRule="exact"/>
        <w:rPr>
          <w:rFonts w:ascii="宋体" w:hAnsi="宋体"/>
          <w:b/>
          <w:bCs/>
          <w:sz w:val="24"/>
          <w:szCs w:val="24"/>
          <w:lang w:eastAsia="zh-CN"/>
        </w:rPr>
      </w:pPr>
      <w:r>
        <w:rPr>
          <w:rFonts w:hint="eastAsia" w:ascii="宋体" w:hAnsi="宋体"/>
          <w:b/>
          <w:sz w:val="24"/>
          <w:szCs w:val="24"/>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500" w:lineRule="exact"/>
        <w:rPr>
          <w:rFonts w:ascii="宋体" w:hAnsi="宋体"/>
          <w:sz w:val="24"/>
          <w:lang w:eastAsia="zh-CN"/>
        </w:rPr>
      </w:pPr>
      <w:r>
        <w:rPr>
          <w:rFonts w:hint="eastAsia" w:ascii="宋体" w:hAnsi="宋体"/>
          <w:sz w:val="24"/>
          <w:lang w:eastAsia="zh-CN"/>
        </w:rPr>
        <w:t xml:space="preserve">投标单位：（公章）</w:t>
      </w:r>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r/>
    </w:p>
    <w:p>
      <w:pPr>
        <w:pStyle w:val="742"/>
        <w:ind w:firstLine="0"/>
        <w:rPr>
          <w:rFonts w:hAnsi="宋体"/>
          <w:sz w:val="24"/>
          <w:lang w:eastAsia="zh-CN"/>
        </w:rPr>
      </w:pPr>
      <w:r>
        <w:rPr>
          <w:rFonts w:hint="eastAsia" w:hAnsi="宋体"/>
          <w:sz w:val="24"/>
          <w:lang w:eastAsia="zh-CN"/>
        </w:rPr>
        <w:t xml:space="preserve">日期：      年     月     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8、服务要求偏离表</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服务要求偏离表</w:t>
      </w:r>
      <w:r/>
    </w:p>
    <w:p>
      <w:pPr>
        <w:jc w:val="center"/>
        <w:spacing w:after="0" w:line="85" w:lineRule="atLeast"/>
        <w:rPr>
          <w:rFonts w:hint="eastAsia" w:ascii="宋体" w:hAnsi="宋体" w:eastAsia="宋体" w:cs="宋体"/>
          <w:b/>
          <w:color w:val="000000"/>
          <w:spacing w:val="2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0"/>
          <w:sz w:val="30"/>
        </w:rPr>
      </w:r>
      <w:r/>
    </w:p>
    <w:tbl>
      <w:tblPr>
        <w:tblStyle w:val="73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序号</w:t>
            </w:r>
            <w:r/>
          </w:p>
        </w:tc>
        <w:tc>
          <w:tcPr>
            <w:tcW w:w="2010"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内容</w:t>
            </w:r>
            <w:r/>
          </w:p>
        </w:tc>
        <w:tc>
          <w:tcPr>
            <w:tcW w:w="2526"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招标文件</w:t>
            </w:r>
            <w:r/>
          </w:p>
          <w:p>
            <w:pPr>
              <w:jc w:val="center"/>
              <w:spacing w:line="420" w:lineRule="atLeast"/>
              <w:rPr>
                <w:rFonts w:ascii="宋体" w:hAnsi="宋体"/>
                <w:sz w:val="24"/>
              </w:rPr>
            </w:pPr>
            <w:r>
              <w:rPr>
                <w:rFonts w:hint="eastAsia" w:ascii="宋体" w:hAnsi="宋体"/>
                <w:sz w:val="24"/>
              </w:rPr>
              <w:t xml:space="preserve">技术要求</w:t>
            </w:r>
            <w:r/>
          </w:p>
        </w:tc>
        <w:tc>
          <w:tcPr>
            <w:tcW w:w="1843"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投标文件</w:t>
            </w:r>
            <w:r/>
          </w:p>
          <w:p>
            <w:pPr>
              <w:jc w:val="center"/>
              <w:spacing w:line="420" w:lineRule="atLeast"/>
              <w:rPr>
                <w:rFonts w:ascii="宋体" w:hAnsi="宋体"/>
                <w:sz w:val="24"/>
              </w:rPr>
            </w:pPr>
            <w:r>
              <w:rPr>
                <w:rFonts w:hint="eastAsia" w:ascii="宋体" w:hAnsi="宋体"/>
                <w:sz w:val="24"/>
              </w:rPr>
              <w:t xml:space="preserve">响应要求</w:t>
            </w:r>
            <w:r/>
          </w:p>
        </w:tc>
        <w:tc>
          <w:tcPr>
            <w:tcW w:w="15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 偏离情况</w:t>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1</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2</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3</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4</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5</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6</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7</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8</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bl>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2.若事项较多，投标人可根据响应内容的实际情况另纸说明。</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日期：年月日</w:t>
      </w:r>
      <w:r/>
    </w:p>
    <w:p>
      <w:pPr>
        <w:spacing w:line="360" w:lineRule="auto"/>
        <w:rPr>
          <w:rFonts w:hAnsi="宋体"/>
          <w:b/>
          <w:bCs/>
          <w:sz w:val="32"/>
          <w:szCs w:val="32"/>
          <w:lang w:eastAsia="zh-CN"/>
        </w:rPr>
      </w:pPr>
      <w:r>
        <w:rPr>
          <w:rFonts w:hAnsi="宋体"/>
          <w:b/>
          <w:bCs/>
          <w:sz w:val="32"/>
          <w:szCs w:val="32"/>
          <w:lang w:eastAsia="zh-CN"/>
        </w:rPr>
      </w:r>
      <w:r/>
    </w:p>
    <w:p>
      <w:pPr>
        <w:spacing w:line="360" w:lineRule="auto"/>
        <w:rPr>
          <w:rFonts w:hAnsi="宋体"/>
          <w:b/>
          <w:bCs/>
          <w:sz w:val="32"/>
          <w:szCs w:val="32"/>
          <w:lang w:eastAsia="zh-CN"/>
        </w:rPr>
      </w:pPr>
      <w:r>
        <w:rPr>
          <w:rFonts w:hAnsi="宋体"/>
          <w:b/>
          <w:bCs/>
          <w:sz w:val="32"/>
          <w:szCs w:val="32"/>
          <w:lang w:eastAsia="zh-CN"/>
        </w:rPr>
      </w:r>
      <w:r/>
    </w:p>
    <w:p>
      <w:pPr>
        <w:spacing w:line="360" w:lineRule="auto"/>
        <w:rPr>
          <w:rFonts w:hAnsi="宋体"/>
          <w:b/>
          <w:bCs/>
          <w:sz w:val="32"/>
          <w:szCs w:val="32"/>
          <w:lang w:eastAsia="zh-CN"/>
        </w:rPr>
      </w:pPr>
      <w:r>
        <w:rPr>
          <w:rFonts w:hAnsi="宋体"/>
          <w:b/>
          <w:bCs/>
          <w:sz w:val="32"/>
          <w:szCs w:val="32"/>
          <w:lang w:eastAsia="zh-CN"/>
        </w:rPr>
      </w:r>
      <w:r/>
    </w:p>
    <w:p>
      <w:pPr>
        <w:spacing w:line="360" w:lineRule="auto"/>
        <w:rPr>
          <w:rFonts w:hAnsi="宋体"/>
          <w:b/>
          <w:bCs/>
          <w:sz w:val="32"/>
          <w:szCs w:val="32"/>
          <w:lang w:eastAsia="zh-CN"/>
        </w:rPr>
      </w:pPr>
      <w:r>
        <w:rPr>
          <w:rFonts w:hint="eastAsia" w:hAnsi="宋体"/>
          <w:b/>
          <w:bCs/>
          <w:sz w:val="32"/>
          <w:szCs w:val="32"/>
          <w:lang w:eastAsia="zh-CN"/>
        </w:rPr>
        <w:t xml:space="preserve">9、商务要求偏离表</w:t>
      </w:r>
      <w:r/>
    </w:p>
    <w:p>
      <w:pPr>
        <w:jc w:val="center"/>
        <w:spacing w:line="360" w:lineRule="auto"/>
        <w:rPr>
          <w:rFonts w:ascii="宋体" w:hAnsi="宋体"/>
          <w:b/>
          <w:spacing w:val="20"/>
          <w:sz w:val="32"/>
          <w:szCs w:val="32"/>
        </w:rPr>
      </w:pPr>
      <w:r>
        <w:rPr>
          <w:rFonts w:hint="eastAsia" w:ascii="宋体" w:hAnsi="宋体"/>
          <w:b/>
          <w:spacing w:val="20"/>
          <w:sz w:val="32"/>
          <w:szCs w:val="32"/>
        </w:rPr>
        <w:t xml:space="preserve">商务要求偏离表</w:t>
      </w:r>
      <w:r/>
    </w:p>
    <w:tbl>
      <w:tblPr>
        <w:tblStyle w:val="736"/>
        <w:tblW w:w="846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562"/>
        <w:gridCol w:w="1560"/>
        <w:gridCol w:w="1512"/>
        <w:gridCol w:w="888"/>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562"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560"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1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888"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时间</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地点</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bCs/>
                <w:sz w:val="24"/>
                <w:szCs w:val="24"/>
              </w:rPr>
            </w:pPr>
            <w:r>
              <w:rPr>
                <w:rFonts w:hint="eastAsia" w:ascii="宋体" w:hAnsi="宋体" w:cs="仿宋_GB2312"/>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80"/>
        <w:spacing w:line="360" w:lineRule="auto"/>
        <w:rPr>
          <w:rFonts w:ascii="宋体" w:hAnsi="宋体"/>
          <w:b/>
          <w:sz w:val="24"/>
          <w:szCs w:val="24"/>
        </w:rPr>
      </w:pPr>
      <w:r>
        <w:rPr>
          <w:rFonts w:ascii="宋体" w:hAnsi="宋体"/>
          <w:b/>
          <w:sz w:val="24"/>
          <w:szCs w:val="24"/>
        </w:rPr>
      </w:r>
      <w:r/>
    </w:p>
    <w:p>
      <w:pPr>
        <w:spacing w:line="360" w:lineRule="auto"/>
        <w:rPr>
          <w:rFonts w:ascii="宋体" w:hAnsi="宋体"/>
          <w:sz w:val="24"/>
          <w:szCs w:val="24"/>
          <w:lang w:eastAsia="zh-CN"/>
        </w:rPr>
      </w:pPr>
      <w:r>
        <w:rPr>
          <w:rFonts w:hint="eastAsia" w:ascii="宋体" w:hAnsi="宋体"/>
          <w:sz w:val="24"/>
          <w:szCs w:val="24"/>
          <w:lang w:val="zh-CN" w:eastAsia="zh-CN"/>
        </w:rPr>
        <w:t xml:space="preserve">注：</w:t>
      </w:r>
      <w:r>
        <w:rPr>
          <w:rFonts w:hint="eastAsia" w:ascii="宋体" w:hAnsi="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739"/>
        <w:ind w:firstLine="0"/>
        <w:spacing w:line="360" w:lineRule="auto"/>
        <w:rPr>
          <w:rFonts w:ascii="宋体" w:hAnsi="宋体"/>
          <w:sz w:val="24"/>
          <w:szCs w:val="24"/>
          <w:lang w:eastAsia="zh-CN"/>
        </w:rPr>
      </w:pPr>
      <w:r>
        <w:rPr>
          <w:rFonts w:hint="eastAsia" w:ascii="宋体" w:hAnsi="宋体"/>
          <w:sz w:val="24"/>
          <w:szCs w:val="24"/>
          <w:lang w:eastAsia="zh-CN"/>
        </w:rPr>
        <w:t xml:space="preserve">2.若事项较多，投标人可根据响应内容的实际情况另纸说明。</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供应商：（公章）</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法定代表人或代理人（签字或盖章）</w:t>
      </w:r>
      <w:r>
        <w:rPr>
          <w:rFonts w:hint="eastAsia" w:ascii="宋体" w:hAnsi="宋体"/>
          <w:bCs/>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bCs/>
          <w:sz w:val="24"/>
          <w:szCs w:val="24"/>
          <w:lang w:eastAsia="zh-CN"/>
        </w:rPr>
        <w:t xml:space="preserve">投标日期</w:t>
      </w:r>
      <w:r>
        <w:rPr>
          <w:rFonts w:ascii="宋体" w:hAnsi="宋体"/>
          <w:bCs/>
          <w:sz w:val="24"/>
          <w:szCs w:val="24"/>
          <w:lang w:eastAsia="zh-CN"/>
        </w:rPr>
        <w:t xml:space="preserve">:年</w:t>
      </w:r>
      <w:r>
        <w:rPr>
          <w:rFonts w:hint="eastAsia" w:ascii="宋体" w:hAnsi="宋体"/>
          <w:bCs/>
          <w:sz w:val="24"/>
          <w:szCs w:val="24"/>
          <w:lang w:eastAsia="zh-CN"/>
        </w:rPr>
        <w:t xml:space="preserve">  月   日</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10、项目技术方案及服务方案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11、项目实施方案及进度方案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12、项目质量保证措施及承诺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rPr>
          <w:rFonts w:ascii="宋体" w:hAnsi="宋体"/>
          <w:b/>
          <w:bCs/>
          <w:sz w:val="32"/>
          <w:szCs w:val="32"/>
          <w:lang w:eastAsia="zh-CN"/>
        </w:rPr>
      </w:pPr>
      <w:r>
        <w:rPr>
          <w:rFonts w:ascii="宋体" w:hAnsi="宋体"/>
          <w:b/>
          <w:bCs/>
          <w:sz w:val="32"/>
          <w:szCs w:val="32"/>
          <w:lang w:eastAsia="zh-CN"/>
        </w:rPr>
      </w:r>
      <w:r/>
    </w:p>
    <w:p>
      <w:pPr>
        <w:rPr>
          <w:rFonts w:ascii="宋体" w:hAnsi="宋体"/>
          <w:b/>
          <w:bCs/>
          <w:sz w:val="32"/>
          <w:szCs w:val="32"/>
          <w:lang w:eastAsia="zh-CN"/>
        </w:rPr>
      </w:pPr>
      <w:r>
        <w:rPr>
          <w:rFonts w:ascii="宋体" w:hAnsi="宋体"/>
          <w:b/>
          <w:bCs/>
          <w:sz w:val="32"/>
          <w:szCs w:val="32"/>
          <w:lang w:eastAsia="zh-CN"/>
        </w:rPr>
      </w:r>
      <w:r/>
    </w:p>
    <w:p>
      <w:pPr>
        <w:rPr>
          <w:rFonts w:ascii="宋体" w:hAnsi="宋体"/>
          <w:b/>
          <w:bCs/>
          <w:sz w:val="32"/>
          <w:szCs w:val="32"/>
          <w:lang w:eastAsia="zh-CN"/>
        </w:rPr>
      </w:pPr>
      <w:r>
        <w:rPr>
          <w:rFonts w:ascii="宋体" w:hAnsi="宋体"/>
          <w:b/>
          <w:bCs/>
          <w:sz w:val="32"/>
          <w:szCs w:val="32"/>
          <w:lang w:eastAsia="zh-CN"/>
        </w:rPr>
      </w:r>
      <w:r/>
    </w:p>
    <w:p>
      <w:pPr>
        <w:rPr>
          <w:rFonts w:ascii="宋体" w:hAnsi="宋体"/>
          <w:b/>
          <w:bCs/>
          <w:sz w:val="32"/>
          <w:szCs w:val="32"/>
          <w:lang w:eastAsia="zh-CN"/>
        </w:rPr>
      </w:pPr>
      <w:r>
        <w:rPr>
          <w:rFonts w:ascii="宋体" w:hAnsi="宋体"/>
          <w:b/>
          <w:bCs/>
          <w:sz w:val="32"/>
          <w:szCs w:val="32"/>
          <w:lang w:eastAsia="zh-CN"/>
        </w:rPr>
      </w:r>
      <w:r/>
    </w:p>
    <w:p>
      <w:pPr>
        <w:rPr>
          <w:rFonts w:ascii="宋体" w:hAnsi="宋体"/>
          <w:b/>
          <w:sz w:val="32"/>
          <w:szCs w:val="32"/>
          <w:lang w:eastAsia="zh-CN"/>
        </w:rPr>
      </w:pPr>
      <w:r>
        <w:rPr>
          <w:rFonts w:hint="eastAsia" w:ascii="宋体" w:hAnsi="宋体"/>
          <w:b/>
          <w:bCs/>
          <w:sz w:val="32"/>
          <w:szCs w:val="32"/>
          <w:lang w:eastAsia="zh-CN"/>
        </w:rPr>
        <w:t xml:space="preserve">14、</w:t>
      </w:r>
      <w:r>
        <w:rPr>
          <w:rFonts w:hint="eastAsia" w:ascii="宋体" w:hAnsi="宋体"/>
          <w:b/>
          <w:sz w:val="32"/>
          <w:szCs w:val="32"/>
          <w:lang w:eastAsia="zh-CN"/>
        </w:rPr>
        <w:t xml:space="preserve">企业类似业绩一览表</w:t>
      </w:r>
      <w:r/>
    </w:p>
    <w:p>
      <w:pPr>
        <w:jc w:val="center"/>
        <w:spacing w:line="360" w:lineRule="auto"/>
        <w:rPr>
          <w:rFonts w:ascii="宋体" w:hAnsi="宋体"/>
          <w:b/>
          <w:sz w:val="28"/>
          <w:szCs w:val="28"/>
          <w:lang w:eastAsia="zh-CN"/>
        </w:rPr>
      </w:pPr>
      <w:r>
        <w:rPr>
          <w:rFonts w:ascii="宋体" w:hAnsi="宋体"/>
          <w:b/>
          <w:sz w:val="28"/>
          <w:szCs w:val="28"/>
          <w:lang w:eastAsia="zh-CN"/>
        </w:rPr>
      </w:r>
      <w:r/>
    </w:p>
    <w:p>
      <w:pPr>
        <w:jc w:val="center"/>
        <w:spacing w:line="360" w:lineRule="auto"/>
        <w:rPr>
          <w:rFonts w:ascii="宋体" w:hAnsi="宋体"/>
          <w:b/>
          <w:sz w:val="28"/>
          <w:szCs w:val="28"/>
          <w:lang w:eastAsia="zh-CN"/>
        </w:rPr>
      </w:pPr>
      <w:r>
        <w:rPr>
          <w:rFonts w:hint="eastAsia" w:ascii="宋体" w:hAnsi="宋体"/>
          <w:b/>
          <w:sz w:val="28"/>
          <w:szCs w:val="28"/>
          <w:lang w:eastAsia="zh-CN"/>
        </w:rPr>
        <w:t xml:space="preserve">企业类似业绩一览表</w:t>
      </w:r>
      <w:r/>
    </w:p>
    <w:tbl>
      <w:tblPr>
        <w:tblStyle w:val="736"/>
        <w:tblW w:w="770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514"/>
        <w:gridCol w:w="1368"/>
        <w:gridCol w:w="900"/>
      </w:tblGrid>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135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132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项目时间</w:t>
            </w:r>
            <w:r/>
          </w:p>
        </w:tc>
        <w:tc>
          <w:tcPr>
            <w:tcW w:w="1514" w:type="dxa"/>
            <w:vAlign w:val="center"/>
            <w:textDirection w:val="lrTb"/>
            <w:noWrap w:val="false"/>
          </w:tcPr>
          <w:p>
            <w:pPr>
              <w:jc w:val="center"/>
              <w:tabs>
                <w:tab w:val="left" w:pos="6252" w:leader="none"/>
              </w:tabs>
              <w:rPr>
                <w:rFonts w:ascii="宋体" w:hAnsi="宋体"/>
                <w:sz w:val="24"/>
              </w:rPr>
            </w:pPr>
            <w:r>
              <w:rPr>
                <w:rFonts w:hint="eastAsia" w:ascii="宋体" w:hAnsi="宋体"/>
                <w:sz w:val="24"/>
              </w:rPr>
              <w:t xml:space="preserve">合同金额</w:t>
            </w:r>
            <w:r/>
          </w:p>
          <w:p>
            <w:pPr>
              <w:jc w:val="center"/>
              <w:tabs>
                <w:tab w:val="left" w:pos="6252" w:leader="none"/>
              </w:tabs>
              <w:rPr>
                <w:rFonts w:ascii="宋体" w:hAnsi="宋体"/>
                <w:sz w:val="24"/>
              </w:rPr>
            </w:pPr>
            <w:r>
              <w:rPr>
                <w:rFonts w:hint="eastAsia" w:ascii="宋体" w:hAnsi="宋体"/>
                <w:sz w:val="24"/>
              </w:rPr>
              <w:t xml:space="preserve">（人民币）</w:t>
            </w:r>
            <w:r/>
          </w:p>
        </w:tc>
        <w:tc>
          <w:tcPr>
            <w:tcW w:w="1368"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业主单位</w:t>
            </w:r>
            <w:r/>
          </w:p>
        </w:tc>
        <w:tc>
          <w:tcPr>
            <w:tcW w:w="90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备注</w:t>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ind w:firstLine="240"/>
        <w:spacing w:line="440" w:lineRule="exact"/>
        <w:rPr>
          <w:rFonts w:ascii="宋体" w:hAnsi="宋体"/>
          <w:sz w:val="24"/>
          <w:lang w:eastAsia="zh-CN"/>
        </w:rPr>
      </w:pPr>
      <w:r>
        <w:rPr>
          <w:rFonts w:ascii="宋体" w:hAnsi="宋体"/>
          <w:sz w:val="24"/>
          <w:lang w:eastAsia="zh-CN"/>
        </w:rPr>
        <w:t xml:space="preserve">附：</w:t>
      </w:r>
      <w:r>
        <w:rPr>
          <w:rFonts w:hint="eastAsia" w:ascii="宋体" w:hAnsi="宋体"/>
          <w:sz w:val="24"/>
          <w:lang w:eastAsia="zh-CN"/>
        </w:rPr>
        <w:t xml:space="preserve">按照招标文件要求及评分标准提供相应证明材料</w:t>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ind w:firstLine="480"/>
        <w:rPr>
          <w:lang w:eastAsia="zh-CN"/>
        </w:rPr>
      </w:pPr>
      <w:r>
        <w:rPr>
          <w:rFonts w:hint="eastAsia" w:ascii="宋体" w:hAnsi="宋体"/>
          <w:sz w:val="24"/>
          <w:szCs w:val="24"/>
          <w:lang w:eastAsia="zh-CN"/>
        </w:rPr>
        <w:t xml:space="preserve">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rFonts w:ascii="宋体" w:hAnsi="宋体"/>
          <w:b/>
          <w:bCs/>
          <w:sz w:val="32"/>
          <w:szCs w:val="32"/>
          <w:lang w:eastAsia="zh-CN"/>
        </w:rPr>
      </w:pPr>
      <w:r>
        <w:rPr>
          <w:rFonts w:hint="eastAsia" w:ascii="宋体" w:hAnsi="宋体"/>
          <w:b/>
          <w:bCs/>
          <w:sz w:val="32"/>
          <w:szCs w:val="32"/>
          <w:lang w:eastAsia="zh-CN"/>
        </w:rPr>
        <w:t xml:space="preserve">15、拟投入本项目的专业技术（服务）人员情况一览表</w:t>
      </w:r>
      <w:r/>
    </w:p>
    <w:p>
      <w:pPr>
        <w:pStyle w:val="949"/>
        <w:ind w:firstLine="1039"/>
        <w:rPr>
          <w:b/>
          <w:sz w:val="28"/>
          <w:szCs w:val="28"/>
          <w:lang w:eastAsia="zh-CN"/>
        </w:rPr>
      </w:pPr>
      <w:r>
        <w:rPr>
          <w:rFonts w:hint="eastAsia"/>
          <w:b/>
          <w:sz w:val="28"/>
          <w:szCs w:val="28"/>
          <w:lang w:eastAsia="zh-CN"/>
        </w:rPr>
        <w:t xml:space="preserve">拟投入本项目的专业技术（服务）人员情况一览表</w:t>
      </w:r>
      <w:r/>
    </w:p>
    <w:tbl>
      <w:tblPr>
        <w:tblStyle w:val="736"/>
        <w:tblW w:w="83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952"/>
        <w:gridCol w:w="852"/>
        <w:gridCol w:w="732"/>
        <w:gridCol w:w="768"/>
        <w:gridCol w:w="1548"/>
        <w:gridCol w:w="1104"/>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rPr>
            </w:pPr>
            <w:r>
              <w:rPr>
                <w:rFonts w:hint="eastAsia" w:ascii="宋体" w:hAnsi="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rPr>
            </w:pPr>
            <w:r>
              <w:rPr>
                <w:rFonts w:hint="eastAsia" w:ascii="宋体" w:hAnsi="宋体"/>
                <w:b/>
              </w:rPr>
              <w:t xml:space="preserve">岗位</w:t>
            </w:r>
            <w:r/>
          </w:p>
        </w:tc>
        <w:tc>
          <w:tcPr>
            <w:tcBorders>
              <w:top w:val="single" w:color="000000" w:sz="2" w:space="0"/>
              <w:left w:val="single" w:color="auto" w:sz="4" w:space="0"/>
              <w:bottom w:val="single" w:color="000000" w:sz="2" w:space="0"/>
              <w:right w:val="single" w:color="000000" w:sz="2" w:space="0"/>
            </w:tcBorders>
            <w:tcW w:w="952" w:type="dxa"/>
            <w:vAlign w:val="center"/>
            <w:textDirection w:val="lrTb"/>
            <w:noWrap w:val="false"/>
          </w:tcPr>
          <w:p>
            <w:pPr>
              <w:jc w:val="center"/>
              <w:rPr>
                <w:rFonts w:ascii="宋体" w:hAnsi="宋体"/>
                <w:b/>
              </w:rPr>
            </w:pPr>
            <w:r>
              <w:rPr>
                <w:rFonts w:hint="eastAsia" w:ascii="宋体" w:hAnsi="宋体"/>
                <w:b/>
              </w:rPr>
              <w:t xml:space="preserve">姓名</w:t>
            </w:r>
            <w:r/>
          </w:p>
        </w:tc>
        <w:tc>
          <w:tcPr>
            <w:tcBorders>
              <w:top w:val="single" w:color="000000" w:sz="2" w:space="0"/>
              <w:left w:val="single" w:color="auto" w:sz="4" w:space="0"/>
              <w:bottom w:val="single" w:color="000000" w:sz="2" w:space="0"/>
              <w:right w:val="single" w:color="auto" w:sz="4" w:space="0"/>
            </w:tcBorders>
            <w:tcW w:w="852" w:type="dxa"/>
            <w:vAlign w:val="center"/>
            <w:textDirection w:val="lrTb"/>
            <w:noWrap w:val="false"/>
          </w:tcPr>
          <w:p>
            <w:pPr>
              <w:jc w:val="center"/>
              <w:rPr>
                <w:rFonts w:ascii="宋体" w:hAnsi="宋体"/>
                <w:b/>
              </w:rPr>
            </w:pPr>
            <w:r>
              <w:rPr>
                <w:rFonts w:hint="eastAsia" w:ascii="宋体" w:hAnsi="宋体"/>
                <w:b/>
              </w:rPr>
              <w:t xml:space="preserve">性别</w:t>
            </w:r>
            <w:r/>
          </w:p>
        </w:tc>
        <w:tc>
          <w:tcPr>
            <w:tcBorders>
              <w:top w:val="single" w:color="000000" w:sz="2" w:space="0"/>
              <w:left w:val="single" w:color="auto" w:sz="4" w:space="0"/>
              <w:bottom w:val="single" w:color="000000" w:sz="2" w:space="0"/>
              <w:right w:val="single" w:color="auto" w:sz="4" w:space="0"/>
            </w:tcBorders>
            <w:tcW w:w="732" w:type="dxa"/>
            <w:vAlign w:val="center"/>
            <w:textDirection w:val="lrTb"/>
            <w:noWrap w:val="false"/>
          </w:tcPr>
          <w:p>
            <w:pPr>
              <w:jc w:val="center"/>
              <w:rPr>
                <w:rFonts w:ascii="宋体" w:hAnsi="宋体"/>
                <w:b/>
              </w:rPr>
            </w:pPr>
            <w:r>
              <w:rPr>
                <w:rFonts w:hint="eastAsia" w:ascii="宋体" w:hAnsi="宋体"/>
                <w:b/>
              </w:rPr>
              <w:t xml:space="preserve">年龄</w:t>
            </w:r>
            <w:r/>
          </w:p>
        </w:tc>
        <w:tc>
          <w:tcPr>
            <w:tcBorders>
              <w:top w:val="single" w:color="000000" w:sz="2" w:space="0"/>
              <w:left w:val="single" w:color="auto" w:sz="4" w:space="0"/>
              <w:bottom w:val="single" w:color="000000" w:sz="2" w:space="0"/>
              <w:right w:val="single" w:color="auto" w:sz="4" w:space="0"/>
            </w:tcBorders>
            <w:tcW w:w="768" w:type="dxa"/>
            <w:vAlign w:val="center"/>
            <w:textDirection w:val="lrTb"/>
            <w:noWrap w:val="false"/>
          </w:tcPr>
          <w:p>
            <w:pPr>
              <w:jc w:val="center"/>
              <w:rPr>
                <w:rFonts w:ascii="宋体" w:hAnsi="宋体"/>
                <w:b/>
              </w:rPr>
            </w:pPr>
            <w:r>
              <w:rPr>
                <w:rFonts w:hint="eastAsia" w:ascii="宋体" w:hAnsi="宋体"/>
                <w:b/>
              </w:rPr>
              <w:t xml:space="preserve">学历</w:t>
            </w:r>
            <w:r/>
          </w:p>
        </w:tc>
        <w:tc>
          <w:tcPr>
            <w:tcBorders>
              <w:top w:val="single" w:color="000000" w:sz="2" w:space="0"/>
              <w:left w:val="single" w:color="auto" w:sz="4" w:space="0"/>
              <w:bottom w:val="single" w:color="000000" w:sz="2" w:space="0"/>
              <w:right w:val="single" w:color="000000" w:sz="2" w:space="0"/>
            </w:tcBorders>
            <w:tcW w:w="1548" w:type="dxa"/>
            <w:vAlign w:val="center"/>
            <w:textDirection w:val="lrTb"/>
            <w:noWrap w:val="false"/>
          </w:tcPr>
          <w:p>
            <w:pPr>
              <w:jc w:val="center"/>
              <w:rPr>
                <w:rFonts w:ascii="宋体" w:hAnsi="宋体" w:cs="宋体"/>
                <w:b/>
              </w:rPr>
            </w:pPr>
            <w:r>
              <w:rPr>
                <w:rFonts w:hint="eastAsia" w:ascii="宋体" w:hAnsi="宋体"/>
                <w:b/>
              </w:rPr>
              <w:t xml:space="preserve">专业</w:t>
            </w:r>
            <w:r>
              <w:rPr>
                <w:rFonts w:hint="eastAsia" w:ascii="宋体" w:hAnsi="宋体" w:cs="宋体"/>
                <w:b/>
              </w:rPr>
              <w:t xml:space="preserve">技术职称</w:t>
            </w:r>
            <w:r/>
          </w:p>
        </w:tc>
        <w:tc>
          <w:tcPr>
            <w:tcBorders>
              <w:top w:val="single" w:color="000000" w:sz="2" w:space="0"/>
              <w:left w:val="single" w:color="auto" w:sz="4" w:space="0"/>
              <w:bottom w:val="single" w:color="000000" w:sz="2" w:space="0"/>
              <w:right w:val="single" w:color="000000" w:sz="2" w:space="0"/>
            </w:tcBorders>
            <w:tcW w:w="1104" w:type="dxa"/>
            <w:vAlign w:val="center"/>
            <w:textDirection w:val="lrTb"/>
            <w:noWrap w:val="false"/>
          </w:tcPr>
          <w:p>
            <w:pPr>
              <w:ind w:firstLine="220"/>
              <w:rPr>
                <w:rFonts w:ascii="宋体" w:hAnsi="宋体"/>
                <w:b/>
              </w:rPr>
            </w:pPr>
            <w:r>
              <w:rPr>
                <w:rFonts w:hint="eastAsia" w:ascii="宋体" w:hAnsi="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hint="eastAsia" w:ascii="宋体" w:hAnsi="宋体"/>
              </w:rPr>
              <w:t xml:space="preserve">····</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left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bl>
    <w:p>
      <w:pPr>
        <w:spacing w:line="420" w:lineRule="exact"/>
        <w:rPr>
          <w:rFonts w:ascii="宋体" w:hAnsi="宋体"/>
          <w:sz w:val="24"/>
          <w:lang w:eastAsia="zh-CN"/>
        </w:rPr>
      </w:pPr>
      <w:r>
        <w:rPr>
          <w:rFonts w:hint="eastAsia" w:ascii="宋体" w:hAnsi="宋体"/>
          <w:sz w:val="24"/>
          <w:lang w:eastAsia="zh-CN"/>
        </w:rPr>
        <w:t xml:space="preserve">附：1、按照招标文件要求提供相应资质证明材料。</w:t>
      </w:r>
      <w:r/>
    </w:p>
    <w:p>
      <w:pPr>
        <w:spacing w:line="420" w:lineRule="exact"/>
        <w:rPr>
          <w:rFonts w:ascii="宋体" w:hAnsi="宋体"/>
          <w:sz w:val="24"/>
          <w:lang w:eastAsia="zh-CN"/>
        </w:rPr>
      </w:pPr>
      <w:r>
        <w:rPr>
          <w:rFonts w:ascii="宋体" w:hAnsi="宋体"/>
          <w:sz w:val="24"/>
          <w:lang w:eastAsia="zh-CN"/>
        </w:rPr>
      </w:r>
      <w:r/>
    </w:p>
    <w:p>
      <w:pPr>
        <w:pStyle w:val="742"/>
        <w:rPr>
          <w:lang w:eastAsia="zh-CN"/>
        </w:rPr>
      </w:pPr>
      <w:r>
        <w:rPr>
          <w:lang w:eastAsia="zh-CN"/>
        </w:rPr>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pStyle w:val="742"/>
        <w:rPr>
          <w:sz w:val="24"/>
          <w:lang w:eastAsia="zh-CN"/>
        </w:rPr>
      </w:pPr>
      <w:r>
        <w:rPr>
          <w:rFonts w:hint="eastAsia" w:hAnsi="宋体"/>
          <w:sz w:val="24"/>
          <w:szCs w:val="24"/>
          <w:lang w:eastAsia="zh-CN"/>
        </w:rPr>
        <w:t xml:space="preserve">日期：年月日</w:t>
      </w:r>
      <w:r/>
    </w:p>
    <w:p>
      <w:pPr>
        <w:spacing w:line="360" w:lineRule="auto"/>
        <w:rPr>
          <w:rFonts w:ascii="宋体" w:hAnsi="宋体"/>
          <w:b/>
          <w:sz w:val="32"/>
          <w:szCs w:val="32"/>
          <w:lang w:eastAsia="zh-CN"/>
        </w:rPr>
      </w:pPr>
      <w:r>
        <w:rPr>
          <w:rFonts w:ascii="宋体" w:hAnsi="宋体"/>
          <w:b/>
          <w:sz w:val="32"/>
          <w:szCs w:val="32"/>
          <w:lang w:eastAsia="zh-CN"/>
        </w:rPr>
      </w:r>
      <w:r/>
    </w:p>
    <w:p>
      <w:pPr>
        <w:spacing w:line="360" w:lineRule="auto"/>
        <w:rPr>
          <w:rFonts w:ascii="宋体" w:hAnsi="宋体"/>
          <w:b/>
          <w:lang w:eastAsia="zh-CN"/>
        </w:rPr>
      </w:pPr>
      <w:r>
        <w:rPr>
          <w:rFonts w:ascii="宋体" w:hAnsi="宋体"/>
          <w:b/>
          <w:sz w:val="32"/>
          <w:szCs w:val="32"/>
          <w:lang w:eastAsia="zh-CN"/>
        </w:rPr>
        <w:t xml:space="preserve">1</w:t>
      </w:r>
      <w:r>
        <w:rPr>
          <w:rFonts w:hint="eastAsia" w:ascii="宋体" w:hAnsi="宋体"/>
          <w:b/>
          <w:sz w:val="32"/>
          <w:szCs w:val="32"/>
          <w:lang w:eastAsia="zh-CN"/>
        </w:rPr>
        <w:t xml:space="preserve">6、中小企业声明函      </w:t>
      </w:r>
      <w:r/>
    </w:p>
    <w:p>
      <w:pPr>
        <w:ind w:firstLine="2520"/>
        <w:spacing w:line="400" w:lineRule="exact"/>
        <w:rPr>
          <w:rFonts w:ascii="宋体" w:hAnsi="宋体"/>
          <w:sz w:val="28"/>
          <w:szCs w:val="28"/>
          <w:lang w:eastAsia="zh-CN"/>
        </w:rPr>
      </w:pPr>
      <w:r>
        <w:rPr>
          <w:rFonts w:ascii="宋体" w:hAnsi="宋体"/>
          <w:sz w:val="28"/>
          <w:szCs w:val="28"/>
          <w:lang w:eastAsia="zh-CN"/>
        </w:rPr>
        <w:t xml:space="preserve">中小企业声明函（服务）</w:t>
      </w:r>
      <w:r/>
    </w:p>
    <w:p>
      <w:pPr>
        <w:ind w:firstLine="480"/>
        <w:spacing w:line="400" w:lineRule="exact"/>
        <w:rPr>
          <w:rFonts w:ascii="宋体" w:hAnsi="宋体"/>
          <w:sz w:val="24"/>
          <w:lang w:eastAsia="zh-CN"/>
        </w:rPr>
      </w:pPr>
      <w:r>
        <w:rPr>
          <w:rFonts w:ascii="宋体" w:hAnsi="宋体"/>
          <w:sz w:val="24"/>
          <w:lang w:eastAsia="zh-CN"/>
        </w:rPr>
        <w:t xml:space="preserve">本公司郑重声明，根据《政府采购促进中小企业发展管理办法》（财库</w:t>
      </w:r>
      <w:r>
        <w:rPr>
          <w:rFonts w:hint="eastAsia" w:ascii="宋体" w:hAnsi="宋体"/>
          <w:sz w:val="24"/>
          <w:lang w:eastAsia="zh-CN"/>
        </w:rPr>
        <w:t xml:space="preserve">﹝</w:t>
      </w:r>
      <w:r>
        <w:rPr>
          <w:rFonts w:ascii="宋体" w:hAnsi="宋体"/>
          <w:sz w:val="24"/>
          <w:lang w:eastAsia="zh-CN"/>
        </w:rPr>
        <w:t xml:space="preserve">2020</w:t>
      </w:r>
      <w:r>
        <w:rPr>
          <w:rFonts w:hint="eastAsia" w:ascii="宋体" w:hAnsi="宋体"/>
          <w:sz w:val="24"/>
          <w:lang w:eastAsia="zh-CN"/>
        </w:rPr>
        <w:t xml:space="preserve">﹞</w:t>
      </w:r>
      <w:r>
        <w:rPr>
          <w:rFonts w:ascii="宋体" w:hAnsi="宋体"/>
          <w:sz w:val="24"/>
          <w:lang w:eastAsia="zh-CN"/>
        </w:rPr>
        <w:t xml:space="preserve">46号）的规定，本公司参加</w:t>
      </w:r>
      <w:r>
        <w:rPr>
          <w:rFonts w:hint="eastAsia" w:ascii="宋体" w:hAnsi="宋体" w:eastAsia="宋体"/>
          <w:sz w:val="24"/>
          <w:u w:val="single"/>
          <w:lang w:eastAsia="zh-CN"/>
        </w:rPr>
        <w:t xml:space="preserve">苏州健雄职业技术学院</w:t>
      </w:r>
      <w:r>
        <w:rPr>
          <w:rFonts w:ascii="宋体" w:hAnsi="宋体"/>
          <w:sz w:val="24"/>
          <w:lang w:eastAsia="zh-CN"/>
        </w:rPr>
        <w:t xml:space="preserve">的</w:t>
      </w:r>
      <w:r>
        <w:rPr>
          <w:rFonts w:hint="eastAsia" w:ascii="宋体" w:hAnsi="宋体" w:eastAsia="宋体"/>
          <w:sz w:val="24"/>
          <w:u w:val="single"/>
          <w:lang w:eastAsia="zh-CN"/>
        </w:rPr>
        <w:t xml:space="preserve">教务管理系统软件开发服务（二次）</w:t>
      </w:r>
      <w:r>
        <w:rPr>
          <w:rFonts w:hint="eastAsia" w:ascii="宋体" w:hAnsi="宋体"/>
          <w:sz w:val="24"/>
          <w:u w:val="single"/>
          <w:lang w:eastAsia="zh-CN"/>
        </w:rPr>
        <w:t xml:space="preserve">  </w:t>
      </w:r>
      <w:r>
        <w:rPr>
          <w:rFonts w:ascii="宋体" w:hAnsi="宋体"/>
          <w:sz w:val="24"/>
          <w:lang w:eastAsia="zh-CN"/>
        </w:rPr>
        <w:t xml:space="preserve">采购活动，服务全部由符合政策要求的中小企业承接。相关企业的具体情况如下：</w:t>
      </w:r>
      <w:r/>
    </w:p>
    <w:p>
      <w:pPr>
        <w:ind w:firstLine="480"/>
        <w:spacing w:line="400" w:lineRule="exact"/>
        <w:rPr>
          <w:rFonts w:ascii="宋体" w:hAnsi="宋体"/>
          <w:sz w:val="24"/>
          <w:lang w:eastAsia="zh-CN"/>
        </w:rPr>
      </w:pPr>
      <w:r>
        <w:rPr>
          <w:rFonts w:ascii="宋体" w:hAnsi="宋体"/>
          <w:sz w:val="24"/>
          <w:lang w:eastAsia="zh-CN"/>
        </w:rPr>
        <w:t xml:space="preserve">1</w:t>
      </w:r>
      <w:r>
        <w:rPr>
          <w:rFonts w:hint="eastAsia" w:ascii="宋体" w:hAnsi="宋体"/>
          <w:sz w:val="24"/>
          <w:lang w:eastAsia="zh-CN"/>
        </w:rPr>
        <w:t xml:space="preserve">、</w:t>
      </w:r>
      <w:r>
        <w:rPr>
          <w:rFonts w:hint="eastAsia" w:ascii="宋体" w:hAnsi="宋体"/>
          <w:i/>
          <w:sz w:val="24"/>
          <w:u w:val="single"/>
          <w:lang w:eastAsia="zh-CN"/>
        </w:rPr>
        <w:t xml:space="preserve">（标的名称）</w:t>
      </w:r>
      <w:r>
        <w:rPr>
          <w:rFonts w:ascii="宋体" w:hAnsi="宋体"/>
          <w:sz w:val="24"/>
          <w:lang w:eastAsia="zh-CN"/>
        </w:rPr>
        <w:t xml:space="preserve">，属于</w:t>
      </w:r>
      <w:r>
        <w:rPr>
          <w:rFonts w:hint="eastAsia" w:ascii="宋体" w:hAnsi="宋体"/>
          <w:sz w:val="24"/>
          <w:u w:val="single"/>
          <w:lang w:eastAsia="zh-CN"/>
        </w:rPr>
        <w:t xml:space="preserve">（十</w:t>
      </w:r>
      <w:r>
        <w:rPr>
          <w:rFonts w:hint="eastAsia" w:ascii="宋体" w:hAnsi="宋体"/>
          <w:sz w:val="24"/>
          <w:u w:val="single"/>
          <w:lang w:eastAsia="zh-CN"/>
        </w:rPr>
        <w:t xml:space="preserve">二</w:t>
      </w:r>
      <w:r>
        <w:rPr>
          <w:rFonts w:hint="eastAsia" w:ascii="宋体" w:hAnsi="宋体"/>
          <w:sz w:val="24"/>
          <w:u w:val="single"/>
          <w:lang w:eastAsia="zh-CN"/>
        </w:rPr>
        <w:t xml:space="preserve">）软件和信息技术服务业</w:t>
      </w:r>
      <w:r>
        <w:rPr>
          <w:rFonts w:ascii="宋体" w:hAnsi="宋体"/>
          <w:sz w:val="24"/>
          <w:lang w:eastAsia="zh-CN"/>
        </w:rPr>
        <w:t xml:space="preserve">；</w:t>
      </w:r>
      <w:r>
        <w:rPr>
          <w:rFonts w:hint="eastAsia" w:ascii="宋体" w:hAnsi="宋体"/>
          <w:sz w:val="24"/>
          <w:lang w:eastAsia="zh-CN"/>
        </w:rPr>
        <w:t xml:space="preserve">承接企业为</w:t>
      </w:r>
      <w:r>
        <w:rPr>
          <w:rFonts w:hint="eastAsia" w:ascii="宋体" w:hAnsi="宋体"/>
          <w:i/>
          <w:sz w:val="24"/>
          <w:u w:val="single"/>
          <w:lang w:eastAsia="zh-CN"/>
        </w:rPr>
        <w:t xml:space="preserve">（企业名称）</w:t>
      </w:r>
      <w:r>
        <w:rPr>
          <w:rFonts w:hint="eastAsia" w:ascii="宋体" w:hAnsi="宋体"/>
          <w:sz w:val="24"/>
          <w:lang w:eastAsia="zh-CN"/>
        </w:rPr>
        <w:t xml:space="preserve">，</w:t>
      </w:r>
      <w:r>
        <w:rPr>
          <w:rFonts w:ascii="宋体" w:hAnsi="宋体"/>
          <w:sz w:val="24"/>
          <w:lang w:eastAsia="zh-CN"/>
        </w:rPr>
        <w:t xml:space="preserve">从业人员</w:t>
      </w:r>
      <w:r>
        <w:rPr>
          <w:rFonts w:ascii="宋体" w:hAnsi="宋体"/>
          <w:sz w:val="24"/>
          <w:u w:val="single"/>
          <w:lang w:eastAsia="zh-CN"/>
        </w:rPr>
        <w:tab/>
      </w:r>
      <w:r>
        <w:rPr>
          <w:rFonts w:ascii="宋体" w:hAnsi="宋体"/>
          <w:sz w:val="24"/>
          <w:lang w:eastAsia="zh-CN"/>
        </w:rPr>
        <w:t xml:space="preserve">人，营业收入为</w:t>
      </w:r>
      <w:r>
        <w:rPr>
          <w:rFonts w:ascii="宋体" w:hAnsi="宋体"/>
          <w:sz w:val="24"/>
          <w:u w:val="single"/>
          <w:lang w:eastAsia="zh-CN"/>
        </w:rPr>
        <w:tab/>
      </w:r>
      <w:r>
        <w:rPr>
          <w:rFonts w:ascii="宋体" w:hAnsi="宋体"/>
          <w:sz w:val="24"/>
          <w:lang w:eastAsia="zh-CN"/>
        </w:rPr>
        <w:t xml:space="preserve">万元，资产总额为</w:t>
      </w:r>
      <w:r>
        <w:rPr>
          <w:rFonts w:ascii="宋体" w:hAnsi="宋体"/>
          <w:sz w:val="24"/>
          <w:u w:val="single"/>
          <w:lang w:eastAsia="zh-CN"/>
        </w:rPr>
        <w:tab/>
      </w:r>
      <w:r>
        <w:rPr>
          <w:rFonts w:ascii="宋体" w:hAnsi="宋体"/>
          <w:sz w:val="24"/>
          <w:lang w:eastAsia="zh-CN"/>
        </w:rPr>
        <w:t xml:space="preserve">万元</w:t>
      </w: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w:t>
      </w:r>
      <w:r>
        <w:rPr>
          <w:rFonts w:ascii="宋体" w:hAnsi="宋体"/>
          <w:sz w:val="24"/>
          <w:lang w:eastAsia="zh-CN"/>
        </w:rPr>
        <w:t xml:space="preserve">属于</w:t>
      </w:r>
      <w:r>
        <w:rPr>
          <w:rFonts w:hint="eastAsia" w:ascii="宋体" w:hAnsi="宋体"/>
          <w:i/>
          <w:sz w:val="24"/>
          <w:lang w:eastAsia="zh-CN"/>
        </w:rPr>
        <w:t xml:space="preserve">（中型企业、小型企业、微型企业，</w:t>
      </w:r>
      <w:r>
        <w:rPr>
          <w:rFonts w:hint="eastAsia" w:ascii="宋体" w:hAnsi="宋体"/>
          <w:b/>
          <w:bCs/>
          <w:i/>
          <w:sz w:val="24"/>
          <w:lang w:eastAsia="zh-CN"/>
        </w:rPr>
        <w:t xml:space="preserve">三者选一填写</w:t>
      </w:r>
      <w:r>
        <w:rPr>
          <w:rFonts w:hint="eastAsia" w:ascii="宋体" w:hAnsi="宋体"/>
          <w:i/>
          <w:sz w:val="24"/>
          <w:lang w:eastAsia="zh-CN"/>
        </w:rPr>
        <w:t xml:space="preserve">）</w:t>
      </w:r>
      <w:r>
        <w:rPr>
          <w:rFonts w:ascii="宋体" w:hAnsi="宋体"/>
          <w:sz w:val="24"/>
          <w:lang w:eastAsia="zh-CN"/>
        </w:rPr>
        <w:t xml:space="preserve">；</w:t>
      </w:r>
      <w:r/>
    </w:p>
    <w:p>
      <w:pPr>
        <w:ind w:firstLine="480"/>
        <w:spacing w:line="400" w:lineRule="exact"/>
        <w:rPr>
          <w:rFonts w:ascii="宋体" w:hAnsi="宋体"/>
          <w:sz w:val="24"/>
          <w:lang w:eastAsia="zh-CN"/>
        </w:rPr>
      </w:pPr>
      <w:r>
        <w:rPr>
          <w:rFonts w:ascii="宋体" w:hAnsi="宋体"/>
          <w:sz w:val="24"/>
          <w:lang w:eastAsia="zh-CN"/>
        </w:rPr>
        <w:t xml:space="preserve">2</w:t>
      </w:r>
      <w:r>
        <w:rPr>
          <w:rFonts w:hint="eastAsia" w:ascii="宋体" w:hAnsi="宋体"/>
          <w:sz w:val="24"/>
          <w:lang w:eastAsia="zh-CN"/>
        </w:rPr>
        <w:t xml:space="preserve">、</w:t>
      </w:r>
      <w:r>
        <w:rPr>
          <w:rFonts w:hint="eastAsia" w:ascii="宋体" w:hAnsi="宋体"/>
          <w:i/>
          <w:sz w:val="24"/>
          <w:u w:val="single"/>
          <w:lang w:eastAsia="zh-CN"/>
        </w:rPr>
        <w:t xml:space="preserve">（标的名称）</w:t>
      </w:r>
      <w:r>
        <w:rPr>
          <w:rFonts w:ascii="宋体" w:hAnsi="宋体"/>
          <w:sz w:val="24"/>
          <w:lang w:eastAsia="zh-CN"/>
        </w:rPr>
        <w:t xml:space="preserve">，属于</w:t>
      </w:r>
      <w:r>
        <w:rPr>
          <w:rFonts w:hint="eastAsia" w:ascii="宋体" w:hAnsi="宋体"/>
          <w:sz w:val="24"/>
          <w:u w:val="single"/>
          <w:lang w:eastAsia="zh-CN"/>
        </w:rPr>
        <w:t xml:space="preserve">（十</w:t>
      </w:r>
      <w:r>
        <w:rPr>
          <w:rFonts w:hint="eastAsia" w:ascii="宋体" w:hAnsi="宋体"/>
          <w:sz w:val="24"/>
          <w:u w:val="single"/>
          <w:lang w:eastAsia="zh-CN"/>
        </w:rPr>
        <w:t xml:space="preserve">二</w:t>
      </w:r>
      <w:r>
        <w:rPr>
          <w:rFonts w:hint="eastAsia" w:ascii="宋体" w:hAnsi="宋体"/>
          <w:sz w:val="24"/>
          <w:u w:val="single"/>
          <w:lang w:eastAsia="zh-CN"/>
        </w:rPr>
        <w:t xml:space="preserve">）软件和信息技术服务业</w:t>
      </w:r>
      <w:r>
        <w:rPr>
          <w:rFonts w:ascii="宋体" w:hAnsi="宋体"/>
          <w:sz w:val="24"/>
          <w:lang w:eastAsia="zh-CN"/>
        </w:rPr>
        <w:t xml:space="preserve">；</w:t>
      </w:r>
      <w:r>
        <w:rPr>
          <w:rFonts w:hint="eastAsia" w:ascii="宋体" w:hAnsi="宋体"/>
          <w:sz w:val="24"/>
          <w:lang w:eastAsia="zh-CN"/>
        </w:rPr>
        <w:t xml:space="preserve">承接企业为</w:t>
      </w:r>
      <w:r>
        <w:rPr>
          <w:rFonts w:hint="eastAsia" w:ascii="宋体" w:hAnsi="宋体"/>
          <w:i/>
          <w:sz w:val="24"/>
          <w:u w:val="single"/>
          <w:lang w:eastAsia="zh-CN"/>
        </w:rPr>
        <w:t xml:space="preserve">（企业名称）</w:t>
      </w:r>
      <w:r>
        <w:rPr>
          <w:rFonts w:hint="eastAsia" w:ascii="宋体" w:hAnsi="宋体"/>
          <w:sz w:val="24"/>
          <w:lang w:eastAsia="zh-CN"/>
        </w:rPr>
        <w:t xml:space="preserve">，</w:t>
      </w:r>
      <w:r>
        <w:rPr>
          <w:rFonts w:ascii="宋体" w:hAnsi="宋体"/>
          <w:sz w:val="24"/>
          <w:lang w:eastAsia="zh-CN"/>
        </w:rPr>
        <w:t xml:space="preserve">从业人员</w:t>
      </w:r>
      <w:r>
        <w:rPr>
          <w:rFonts w:ascii="宋体" w:hAnsi="宋体"/>
          <w:sz w:val="24"/>
          <w:u w:val="single"/>
          <w:lang w:eastAsia="zh-CN"/>
        </w:rPr>
        <w:tab/>
      </w:r>
      <w:r>
        <w:rPr>
          <w:rFonts w:ascii="宋体" w:hAnsi="宋体"/>
          <w:sz w:val="24"/>
          <w:lang w:eastAsia="zh-CN"/>
        </w:rPr>
        <w:t xml:space="preserve">人，营业收入为</w:t>
      </w:r>
      <w:r>
        <w:rPr>
          <w:rFonts w:ascii="宋体" w:hAnsi="宋体"/>
          <w:sz w:val="24"/>
          <w:u w:val="single"/>
          <w:lang w:eastAsia="zh-CN"/>
        </w:rPr>
        <w:tab/>
      </w:r>
      <w:r>
        <w:rPr>
          <w:rFonts w:ascii="宋体" w:hAnsi="宋体"/>
          <w:sz w:val="24"/>
          <w:lang w:eastAsia="zh-CN"/>
        </w:rPr>
        <w:t xml:space="preserve">万元，资产总额为</w:t>
      </w:r>
      <w:r>
        <w:rPr>
          <w:rFonts w:ascii="宋体" w:hAnsi="宋体"/>
          <w:sz w:val="24"/>
          <w:u w:val="single"/>
          <w:lang w:eastAsia="zh-CN"/>
        </w:rPr>
        <w:tab/>
      </w:r>
      <w:r>
        <w:rPr>
          <w:rFonts w:ascii="宋体" w:hAnsi="宋体"/>
          <w:sz w:val="24"/>
          <w:lang w:eastAsia="zh-CN"/>
        </w:rPr>
        <w:t xml:space="preserve">万元</w:t>
      </w: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w:t>
      </w:r>
      <w:r>
        <w:rPr>
          <w:rFonts w:ascii="宋体" w:hAnsi="宋体"/>
          <w:sz w:val="24"/>
          <w:lang w:eastAsia="zh-CN"/>
        </w:rPr>
        <w:t xml:space="preserve">属于</w:t>
      </w:r>
      <w:r>
        <w:rPr>
          <w:rFonts w:hint="eastAsia" w:ascii="宋体" w:hAnsi="宋体"/>
          <w:i/>
          <w:sz w:val="24"/>
          <w:lang w:eastAsia="zh-CN"/>
        </w:rPr>
        <w:t xml:space="preserve">（中型企业、小型企业、微型企业，</w:t>
      </w:r>
      <w:r>
        <w:rPr>
          <w:rFonts w:hint="eastAsia" w:ascii="宋体" w:hAnsi="宋体"/>
          <w:b/>
          <w:bCs/>
          <w:i/>
          <w:sz w:val="24"/>
          <w:lang w:eastAsia="zh-CN"/>
        </w:rPr>
        <w:t xml:space="preserve">三者选一填写）</w:t>
      </w:r>
      <w:r>
        <w:rPr>
          <w:rFonts w:ascii="宋体" w:hAnsi="宋体"/>
          <w:sz w:val="24"/>
          <w:lang w:eastAsia="zh-CN"/>
        </w:rPr>
        <w:t xml:space="preserve">；；</w:t>
      </w:r>
      <w:r/>
    </w:p>
    <w:p>
      <w:pPr>
        <w:ind w:firstLine="480"/>
        <w:spacing w:line="400" w:lineRule="exact"/>
        <w:rPr>
          <w:rFonts w:ascii="宋体" w:hAnsi="宋体"/>
          <w:sz w:val="24"/>
          <w:lang w:eastAsia="zh-CN"/>
        </w:rPr>
      </w:pPr>
      <w:r>
        <w:rPr>
          <w:rFonts w:ascii="宋体" w:hAnsi="宋体"/>
          <w:sz w:val="24"/>
          <w:lang w:eastAsia="zh-CN"/>
        </w:rPr>
        <w:t xml:space="preserve">……</w:t>
      </w:r>
      <w:r/>
    </w:p>
    <w:p>
      <w:pPr>
        <w:ind w:firstLine="480"/>
        <w:spacing w:line="40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0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0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00" w:lineRule="exact"/>
        <w:rPr>
          <w:rFonts w:ascii="宋体" w:hAnsi="宋体"/>
          <w:sz w:val="24"/>
          <w:lang w:eastAsia="zh-CN"/>
        </w:rPr>
      </w:pPr>
      <w:r>
        <w:rPr>
          <w:rFonts w:hint="eastAsia" w:ascii="宋体" w:hAnsi="宋体"/>
          <w:sz w:val="24"/>
          <w:lang w:eastAsia="zh-CN"/>
        </w:rPr>
        <w:t xml:space="preserve">日期：</w:t>
      </w:r>
      <w:r/>
    </w:p>
    <w:p>
      <w:pPr>
        <w:ind w:firstLine="440"/>
        <w:spacing w:after="0" w:line="400" w:lineRule="exact"/>
        <w:rPr>
          <w:rFonts w:hint="eastAsia" w:ascii="宋体" w:hAnsi="宋体" w:eastAsia="宋体" w:cs="宋体"/>
          <w:sz w:val="24"/>
          <w:szCs w:val="24"/>
          <w:lang w:eastAsia="zh-CN"/>
        </w:rPr>
      </w:pP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1、本项目专门面向中小企业采购，投标人应提供中小企业声明函或残疾人福利性单位声明函或省级以上监狱管理局、戒毒管理局（含新疆生产建设兵团）出具的属于监狱企业的证明文件,否则视为投标无效</w:t>
      </w:r>
      <w:r/>
    </w:p>
    <w:p>
      <w:pPr>
        <w:ind w:firstLine="480"/>
        <w:spacing w:after="0"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3、中标、成交供应商享受规定的中小企业扶持政策的，《中小企业声明函》应当随中标、成交结果同时公告，接受社会监督。</w:t>
      </w:r>
      <w:r/>
    </w:p>
    <w:p>
      <w:pPr>
        <w:spacing w:after="0" w:line="400" w:lineRule="exac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17、残疾人福利性单位声明函（如有）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numPr>
          <w:ilvl w:val="0"/>
          <w:numId w:val="5"/>
        </w:num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ind w:left="1325" w:firstLine="1325"/>
        <w:jc w:val="both"/>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评标方法与评标标准</w:t>
      </w:r>
      <w:r/>
    </w:p>
    <w:p>
      <w:pPr>
        <w:ind w:firstLine="42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评标方法</w:t>
      </w:r>
      <w:r/>
    </w:p>
    <w:p>
      <w:pPr>
        <w:numPr>
          <w:ilvl w:val="0"/>
          <w:numId w:val="6"/>
        </w:numPr>
        <w:ind w:firstLine="482"/>
        <w:jc w:val="left"/>
        <w:spacing w:after="0" w:line="46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color w:val="000000"/>
          <w:sz w:val="24"/>
          <w:lang w:val="en-US" w:eastAsia="zh-CN"/>
        </w:rPr>
        <w:t xml:space="preserve">二</w:t>
      </w:r>
      <w:r>
        <w:rPr>
          <w:rFonts w:ascii="宋体" w:hAnsi="宋体" w:eastAsia="宋体" w:cs="宋体"/>
          <w:color w:val="000000"/>
          <w:sz w:val="24"/>
          <w:lang w:eastAsia="zh-CN"/>
        </w:rPr>
        <w:t xml:space="preserve">、</w:t>
      </w:r>
      <w:r>
        <w:rPr>
          <w:rFonts w:ascii="宋体" w:hAnsi="宋体" w:eastAsia="宋体" w:cs="宋体"/>
          <w:sz w:val="24"/>
          <w:szCs w:val="24"/>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color w:val="000000"/>
          <w:sz w:val="24"/>
          <w:lang w:val="en-US" w:eastAsia="zh-CN"/>
        </w:rPr>
        <w:t xml:space="preserve">三</w:t>
      </w:r>
      <w:r>
        <w:rPr>
          <w:rFonts w:ascii="宋体" w:hAnsi="宋体" w:eastAsia="宋体" w:cs="宋体"/>
          <w:color w:val="000000"/>
          <w:sz w:val="24"/>
          <w:lang w:eastAsia="zh-CN"/>
        </w:rPr>
        <w:t xml:space="preserve">、</w:t>
      </w:r>
      <w:r>
        <w:rPr>
          <w:rFonts w:ascii="宋体" w:hAnsi="宋体" w:eastAsia="宋体" w:cs="宋体"/>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eastAsia="宋体" w:cs="宋体"/>
          <w:sz w:val="24"/>
          <w:szCs w:val="24"/>
        </w:rPr>
        <w:br/>
      </w:r>
      <w:r>
        <w:rPr>
          <w:rFonts w:hint="eastAsia" w:ascii="宋体" w:hAnsi="宋体" w:eastAsia="宋体" w:cs="宋体"/>
          <w:sz w:val="24"/>
          <w:szCs w:val="24"/>
          <w:lang w:val="en-US" w:eastAsia="zh-CN"/>
        </w:rPr>
        <w:t xml:space="preserve">    四</w:t>
      </w:r>
      <w:r>
        <w:rPr>
          <w:rFonts w:ascii="宋体" w:hAnsi="宋体" w:eastAsia="宋体" w:cs="宋体"/>
          <w:sz w:val="24"/>
          <w:szCs w:val="24"/>
          <w:lang w:eastAsia="zh-CN"/>
        </w:rPr>
        <w:t xml:space="preserve">、</w:t>
      </w:r>
      <w:r>
        <w:rPr>
          <w:rFonts w:ascii="宋体" w:hAnsi="宋体" w:eastAsia="宋体" w:cs="宋体"/>
          <w:sz w:val="24"/>
          <w:szCs w:val="24"/>
        </w:rPr>
        <w:t xml:space="preserve">如出现评审得分最高的投标人有两个或两个以上的，以投标报价较低者优先作为该标段中标候选人，如果投标报价也相同的，则由公证机构组织以抽签方式确定中标候选人。</w:t>
      </w:r>
      <w:r/>
    </w:p>
    <w:p>
      <w:pPr>
        <w:numPr>
          <w:ilvl w:val="0"/>
          <w:numId w:val="0"/>
        </w:numPr>
        <w:ind w:firstLine="480"/>
        <w:jc w:val="both"/>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五</w:t>
      </w:r>
      <w:r>
        <w:rPr>
          <w:rFonts w:ascii="宋体" w:hAnsi="宋体" w:eastAsia="宋体" w:cs="宋体"/>
          <w:sz w:val="24"/>
          <w:szCs w:val="24"/>
          <w:lang w:eastAsia="zh-CN"/>
        </w:rPr>
        <w:t xml:space="preserve">、</w:t>
      </w:r>
      <w:r>
        <w:rPr>
          <w:rFonts w:ascii="宋体" w:hAnsi="宋体" w:eastAsia="宋体" w:cs="宋体"/>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numPr>
          <w:ilvl w:val="0"/>
          <w:numId w:val="0"/>
        </w:numPr>
        <w:ind w:firstLine="480"/>
        <w:jc w:val="both"/>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六</w:t>
      </w:r>
      <w:r>
        <w:rPr>
          <w:rFonts w:ascii="宋体" w:hAnsi="宋体" w:eastAsia="宋体" w:cs="宋体"/>
          <w:sz w:val="24"/>
          <w:szCs w:val="24"/>
          <w:lang w:eastAsia="zh-CN"/>
        </w:rPr>
        <w:t xml:space="preserve">、</w:t>
      </w:r>
      <w:r>
        <w:rPr>
          <w:rFonts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七</w:t>
      </w:r>
      <w:r>
        <w:rPr>
          <w:rFonts w:ascii="宋体" w:hAnsi="宋体" w:eastAsia="宋体" w:cs="宋体"/>
          <w:color w:val="000000"/>
          <w:sz w:val="24"/>
          <w:lang w:eastAsia="zh-CN"/>
        </w:rPr>
        <w:t xml:space="preserve">、中小企业相关政策：</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专门面向中小企业采购的项目，不再执行价格评审优惠的扶持政策。</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lang w:eastAsia="zh-CN"/>
        </w:rPr>
        <w:t xml:space="preserve"> </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评分标准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一、价格分10分</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第二步：在所有有效投标报价中满足招标文件要求，且投标价格最低的投标报价为评标基准价，其价格分为10分，其他投标人的价格分按照下列公式计算（计算结果四舍五入保留两位小数）。</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投标报价得分＝（评标基准价/投标报价）×10％×100</w:t>
      </w:r>
      <w:r/>
    </w:p>
    <w:tbl>
      <w:tblPr>
        <w:tblStyle w:val="762"/>
        <w:tblpPr w:horzAnchor="page" w:tblpX="1699" w:vertAnchor="text" w:tblpY="423" w:leftFromText="180" w:topFromText="0" w:rightFromText="180" w:bottomFromText="0"/>
        <w:tblW w:w="88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852"/>
        <w:gridCol w:w="6708"/>
        <w:gridCol w:w="564"/>
      </w:tblGrid>
      <w:tr>
        <w:trPr>
          <w:trHeight w:val="269"/>
        </w:trPr>
        <w:tc>
          <w:tcPr>
            <w:tcW w:w="761" w:type="dxa"/>
            <w:vAlign w:val="center"/>
            <w:textDirection w:val="lrTb"/>
            <w:noWrap w:val="false"/>
          </w:tcPr>
          <w:p>
            <w:pPr>
              <w:jc w:val="center"/>
              <w:rPr>
                <w:rFonts w:hint="eastAsia" w:ascii="宋体" w:hAnsi="宋体" w:eastAsia="宋体" w:cs="宋体"/>
                <w:b/>
                <w:bCs/>
                <w:sz w:val="24"/>
                <w:szCs w:val="24"/>
              </w:rPr>
            </w:pPr>
            <w:r/>
            <w:bookmarkStart w:id="29" w:name="_Hlk160815535"/>
            <w:r>
              <w:rPr>
                <w:rFonts w:hint="eastAsia" w:ascii="宋体" w:hAnsi="宋体" w:eastAsia="宋体" w:cs="宋体"/>
                <w:b/>
                <w:bCs/>
                <w:sz w:val="24"/>
                <w:szCs w:val="24"/>
              </w:rPr>
              <w:t xml:space="preserve">类别</w:t>
            </w:r>
            <w:r/>
          </w:p>
        </w:tc>
        <w:tc>
          <w:tcPr>
            <w:tcW w:w="85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评分内容</w:t>
            </w:r>
            <w:r/>
          </w:p>
        </w:tc>
        <w:tc>
          <w:tcPr>
            <w:tcW w:w="670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c>
          <w:tcPr>
            <w:tcW w:w="5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trHeight w:val="567"/>
        </w:trPr>
        <w:tc>
          <w:tcPr>
            <w:tcW w:w="761" w:type="dxa"/>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技术标分 （90 分）</w:t>
            </w:r>
            <w:r/>
          </w:p>
        </w:tc>
        <w:tc>
          <w:tcPr>
            <w:tcW w:w="852"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技术参数</w:t>
            </w:r>
            <w:r/>
          </w:p>
        </w:tc>
        <w:tc>
          <w:tcPr>
            <w:tcW w:w="6708" w:type="dxa"/>
            <w:vAlign w:val="center"/>
            <w:textDirection w:val="lrTb"/>
            <w:noWrap w:val="false"/>
          </w:tcPr>
          <w:p>
            <w:pPr>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采购需求中标注“▲”项（共 7 项）为重要服务及功能要</w:t>
            </w:r>
            <w:r/>
          </w:p>
          <w:p>
            <w:pPr>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求，其中每满足一项得 2 分，满分 14 分。</w:t>
            </w:r>
            <w:r/>
          </w:p>
          <w:p>
            <w:pPr>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注：标“▲”平台功能项需提供功能界面截图或系统业务</w:t>
            </w:r>
            <w:r/>
          </w:p>
          <w:p>
            <w:pPr>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流程图等证明材料。</w:t>
            </w:r>
            <w:r/>
          </w:p>
        </w:tc>
        <w:tc>
          <w:tcPr>
            <w:tcW w:w="564"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w:t>
            </w:r>
            <w:r/>
          </w:p>
        </w:tc>
      </w:tr>
      <w:tr>
        <w:trPr/>
        <w:tc>
          <w:tcPr>
            <w:tcW w:w="761"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852"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总体设计 方案</w:t>
            </w:r>
            <w:r/>
          </w:p>
        </w:tc>
        <w:tc>
          <w:tcPr>
            <w:tcW w:w="6708"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采购文件要求及供应商提供的总体设计方案情况，进行综合评分，方案内容至少包含：①系统架构设计②功能模块划分和组织③软件性能等。方案内容针对本项目且完全符合本项目实际需求的，得6分，每缺少一项内容，或内容明显错误，或内容非专门针对本项目，或内容不能完全满足本项目实际需求的，每一项扣2分。</w:t>
            </w:r>
            <w:r/>
          </w:p>
        </w:tc>
        <w:tc>
          <w:tcPr>
            <w:tcW w:w="564" w:type="dxa"/>
            <w:vAlign w:val="center"/>
            <w:textDirection w:val="lrTb"/>
            <w:noWrap w:val="false"/>
          </w:tcPr>
          <w:p>
            <w:pPr>
              <w:ind w:firstLine="12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p>
        </w:tc>
      </w:tr>
      <w:tr>
        <w:trPr/>
        <w:tc>
          <w:tcPr>
            <w:tcW w:w="761"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852"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系统安全方案</w:t>
            </w:r>
            <w:r/>
          </w:p>
        </w:tc>
        <w:tc>
          <w:tcPr>
            <w:tcW w:w="6708"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采购文件要求及供应商提供的系统安全方案情况，进行综合评分，方案内容至少包含：①安全政策制定②安全措施③访问控制与身份认证④风险评估与管理等。方案内容针对本项目且完全符合本项目实际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分，每缺少一项内容，或内容明显错误，或内容非专门针对本项目，或内容不能完全满足本项目实际需求的，每一项扣</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分。</w:t>
            </w:r>
            <w:r/>
          </w:p>
        </w:tc>
        <w:tc>
          <w:tcPr>
            <w:tcW w:w="564"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r>
      <w:tr>
        <w:trPr/>
        <w:tc>
          <w:tcPr>
            <w:tcW w:w="761"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85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数据迁移 方案</w:t>
            </w:r>
            <w:r/>
          </w:p>
        </w:tc>
        <w:tc>
          <w:tcPr>
            <w:tcW w:w="6708"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采购文件要求及供应商提供的数据迁移方案情况，进行综合评分，方案内容至少包括：①源系统分析②目标系统分析③数据迁移策略④验证与调整计划等。方案内容针对本项目且完全符合本项目实际需求的，得4分，每缺少一项内容，或内容明显错误，或内容非专门针对本项目，或内容不能完全满足本项目实际需求的，每一项扣1分。</w:t>
            </w:r>
            <w:r/>
          </w:p>
        </w:tc>
        <w:tc>
          <w:tcPr>
            <w:tcW w:w="564"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r>
      <w:tr>
        <w:trPr/>
        <w:tc>
          <w:tcPr>
            <w:tcW w:w="761"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85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项目实施 方案</w:t>
            </w:r>
            <w:r/>
          </w:p>
        </w:tc>
        <w:tc>
          <w:tcPr>
            <w:tcW w:w="6708" w:type="dxa"/>
            <w:vAlign w:val="center"/>
            <w:textDirection w:val="lrTb"/>
            <w:noWrap w:val="false"/>
          </w:tcPr>
          <w:p>
            <w:pPr>
              <w:pStyle w:val="741"/>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采购文件要求及供应商提供的项目实施方案情况，进行综合评分，方案内容至少包括：①项目组织管理②项目实施周期③项目质量控制等。方案内容针对本项目且完全符合本项目实际需求的，得6分，每缺少一项内容，或内容明显错误，或内容非专门针对本项目，或内容不能完全满足本项目实际需求的，每一项扣2分。</w:t>
            </w:r>
            <w:r/>
          </w:p>
        </w:tc>
        <w:tc>
          <w:tcPr>
            <w:tcW w:w="564"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p>
        </w:tc>
      </w:tr>
      <w:tr>
        <w:trPr/>
        <w:tc>
          <w:tcPr>
            <w:tcW w:w="761"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85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售后服务 方案</w:t>
            </w:r>
            <w:r/>
          </w:p>
        </w:tc>
        <w:tc>
          <w:tcPr>
            <w:tcW w:w="6708" w:type="dxa"/>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根据采购文件要求及供应商提供的售后服务方案情况，进行综合评分，方案内容至少包括：①售后服务响应机制②技术支持方式③培训方案等。方案内容针对本项目且完全符合本项目实际需求的，得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分，每缺少一项内容，或内容明显错误，或内容非专门针对本项目，或内容不能完全满足本项目实际需求的，每一项扣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p>
        </w:tc>
        <w:tc>
          <w:tcPr>
            <w:tcW w:w="564"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r>
      <w:tr>
        <w:trPr/>
        <w:tc>
          <w:tcPr>
            <w:tcW w:w="761" w:type="dxa"/>
            <w:vAlign w:val="center"/>
            <w:vMerge w:val="continue"/>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52"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功能演示</w:t>
            </w:r>
            <w:r/>
          </w:p>
        </w:tc>
        <w:tc>
          <w:tcPr>
            <w:tcW w:w="6708" w:type="dxa"/>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1.投标供应商对以下功能点进行视频演示，并上传苏采云系统，演示视频总时长不得超过</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分钟，评委根据演示视频进行综合评分，满分</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分；未提供演示视频不得分，有关视频上传等要求详见操作手册。</w:t>
            </w:r>
            <w:r>
              <w:rPr>
                <w:rFonts w:ascii="宋体" w:hAnsi="宋体" w:eastAsia="宋体" w:cs="宋体"/>
                <w:sz w:val="24"/>
                <w:szCs w:val="24"/>
                <w:lang w:eastAsia="zh-CN"/>
              </w:rPr>
              <w:t xml:space="preserve"> </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2.演示功能点：</w:t>
            </w:r>
            <w:r/>
          </w:p>
          <w:p>
            <w:pPr>
              <w:jc w:val="both"/>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）教学任务管理：提供精准化教学安排管理，一门课程有多种学时类型（如：理论、实验）及多个任课教师时，可以拆分进行教学安排；在系统中，针对一门课程，理论学时可以安排</w:t>
            </w:r>
            <w:r>
              <w:rPr>
                <w:rFonts w:ascii="宋体" w:hAnsi="宋体" w:eastAsia="宋体" w:cs="宋体"/>
                <w:sz w:val="24"/>
                <w:szCs w:val="24"/>
                <w:lang w:eastAsia="zh-CN"/>
              </w:rPr>
              <w:t xml:space="preserve">3</w:t>
            </w:r>
            <w:r>
              <w:rPr>
                <w:rFonts w:hint="eastAsia" w:ascii="宋体" w:hAnsi="宋体" w:eastAsia="宋体" w:cs="宋体"/>
                <w:sz w:val="24"/>
                <w:szCs w:val="24"/>
                <w:lang w:eastAsia="zh-CN"/>
              </w:rPr>
              <w:t xml:space="preserve">个行政班合班上课，</w:t>
            </w:r>
            <w:r>
              <w:rPr>
                <w:rFonts w:ascii="宋体" w:hAnsi="宋体" w:eastAsia="宋体" w:cs="宋体"/>
                <w:sz w:val="24"/>
                <w:szCs w:val="24"/>
                <w:lang w:eastAsia="zh-CN"/>
              </w:rPr>
              <w:t xml:space="preserve">1~4</w:t>
            </w:r>
            <w:r>
              <w:rPr>
                <w:rFonts w:hint="eastAsia" w:ascii="宋体" w:hAnsi="宋体" w:eastAsia="宋体" w:cs="宋体"/>
                <w:sz w:val="24"/>
                <w:szCs w:val="24"/>
                <w:lang w:eastAsia="zh-CN"/>
              </w:rPr>
              <w:t xml:space="preserve">周任课教师为</w:t>
            </w:r>
            <w:r>
              <w:rPr>
                <w:rFonts w:ascii="宋体" w:hAnsi="宋体" w:eastAsia="宋体" w:cs="宋体"/>
                <w:sz w:val="24"/>
                <w:szCs w:val="24"/>
                <w:lang w:eastAsia="zh-CN"/>
              </w:rPr>
              <w:t xml:space="preserve">A</w:t>
            </w: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5~8</w:t>
            </w:r>
            <w:r>
              <w:rPr>
                <w:rFonts w:hint="eastAsia" w:ascii="宋体" w:hAnsi="宋体" w:eastAsia="宋体" w:cs="宋体"/>
                <w:sz w:val="24"/>
                <w:szCs w:val="24"/>
                <w:lang w:eastAsia="zh-CN"/>
              </w:rPr>
              <w:t xml:space="preserve">周任课教师为</w:t>
            </w:r>
            <w:r>
              <w:rPr>
                <w:rFonts w:ascii="宋体" w:hAnsi="宋体" w:eastAsia="宋体" w:cs="宋体"/>
                <w:sz w:val="24"/>
                <w:szCs w:val="24"/>
                <w:lang w:eastAsia="zh-CN"/>
              </w:rPr>
              <w:t xml:space="preserve">B</w:t>
            </w:r>
            <w:r>
              <w:rPr>
                <w:rFonts w:hint="eastAsia" w:ascii="宋体" w:hAnsi="宋体" w:eastAsia="宋体" w:cs="宋体"/>
                <w:sz w:val="24"/>
                <w:szCs w:val="24"/>
                <w:lang w:eastAsia="zh-CN"/>
              </w:rPr>
              <w:t xml:space="preserve">，排课周学时可自动推荐；实验学时可分小组上课，能将</w:t>
            </w:r>
            <w:r>
              <w:rPr>
                <w:rFonts w:ascii="宋体" w:hAnsi="宋体" w:eastAsia="宋体" w:cs="宋体"/>
                <w:sz w:val="24"/>
                <w:szCs w:val="24"/>
                <w:lang w:eastAsia="zh-CN"/>
              </w:rPr>
              <w:t xml:space="preserve">3</w:t>
            </w:r>
            <w:r>
              <w:rPr>
                <w:rFonts w:hint="eastAsia" w:ascii="宋体" w:hAnsi="宋体" w:eastAsia="宋体" w:cs="宋体"/>
                <w:sz w:val="24"/>
                <w:szCs w:val="24"/>
                <w:lang w:eastAsia="zh-CN"/>
              </w:rPr>
              <w:t xml:space="preserve">个行政班自动拆分成</w:t>
            </w: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个小组上课，班级学生可以混搭，既可以自动分组也可以手工分组，系统能将各小组绑定安排在同一时间点上课。</w:t>
            </w:r>
            <w:r/>
          </w:p>
          <w:p>
            <w:pPr>
              <w:jc w:val="both"/>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）排课管理：①课表编排过程中，要求支持各二级学院可排课的教室范围、考虑排课教学楼之间的距离远近关系、排课课程优先级设定、多次开课隔天排课、班级</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教师</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教室</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部门的特殊时间、座位使用率、班级周排课学时数量均衡性、提供明确的课程漏排原因提示。②课表信息显示与隐藏：根据用户的排课需要，可设置在图形化课表中是否显示教师名称、课堂名称、周次节次、教室名称信息。</w:t>
            </w:r>
            <w:r/>
          </w:p>
          <w:p>
            <w:pPr>
              <w:jc w:val="both"/>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3</w:t>
            </w:r>
            <w:r>
              <w:rPr>
                <w:rFonts w:hint="eastAsia" w:ascii="宋体" w:hAnsi="宋体" w:eastAsia="宋体" w:cs="宋体"/>
                <w:sz w:val="24"/>
                <w:szCs w:val="24"/>
                <w:lang w:eastAsia="zh-CN"/>
              </w:rPr>
              <w:t xml:space="preserve">）教学日志：系统能根据课表自动生成推荐的课程教学日志清单，教师在这个基础上进行调整，无需逐条手工录入；提供课程之间教学日志的复制功能；提供</w:t>
            </w:r>
            <w:r>
              <w:rPr>
                <w:rFonts w:ascii="宋体" w:hAnsi="宋体" w:eastAsia="宋体" w:cs="宋体"/>
                <w:sz w:val="24"/>
                <w:szCs w:val="24"/>
                <w:lang w:eastAsia="zh-CN"/>
              </w:rPr>
              <w:t xml:space="preserve">EXCEL</w:t>
            </w:r>
            <w:r>
              <w:rPr>
                <w:rFonts w:hint="eastAsia" w:ascii="宋体" w:hAnsi="宋体" w:eastAsia="宋体" w:cs="宋体"/>
                <w:sz w:val="24"/>
                <w:szCs w:val="24"/>
                <w:lang w:eastAsia="zh-CN"/>
              </w:rPr>
              <w:t xml:space="preserve">模板导入教学日志功能。</w:t>
            </w:r>
            <w:r/>
          </w:p>
          <w:p>
            <w:pPr>
              <w:jc w:val="both"/>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4</w:t>
            </w:r>
            <w:r>
              <w:rPr>
                <w:rFonts w:hint="eastAsia" w:ascii="宋体" w:hAnsi="宋体" w:eastAsia="宋体" w:cs="宋体"/>
                <w:sz w:val="24"/>
                <w:szCs w:val="24"/>
                <w:lang w:eastAsia="zh-CN"/>
              </w:rPr>
              <w:t xml:space="preserve">）选课管理：①针对不同轮次选课，可设置不同的抽签选课模式，要求包括：随机抽签、积分投注方式、投志愿方式；②支持在一个上课节次，学生可同时选择不同志愿的多门课程，按志愿优先进行抽签；③支持启用防刷课验证码。</w:t>
            </w:r>
            <w:r/>
          </w:p>
          <w:p>
            <w:pPr>
              <w:jc w:val="both"/>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）考试管理：提供预排监考功能，系统根据预设的排考参数、待安排的考场数据，自动计算预计所需的监考人员总数、各院系所需监考人数。</w:t>
            </w:r>
            <w:r/>
          </w:p>
          <w:p>
            <w:pPr>
              <w:ind w:left="0" w:right="0" w:firstLine="0"/>
              <w:jc w:val="both"/>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3.每个功能点的评分依据：</w:t>
            </w:r>
            <w:r/>
          </w:p>
          <w:p>
            <w:pPr>
              <w:ind w:left="0" w:right="0" w:firstLine="0"/>
              <w:jc w:val="both"/>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（1）每项功能完全满足招标需求，界面美观、操作流畅便捷、示例数据完整丰富，得3分；</w:t>
            </w:r>
            <w:r/>
          </w:p>
          <w:p>
            <w:pPr>
              <w:ind w:left="0" w:right="0" w:firstLine="0"/>
              <w:jc w:val="both"/>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（2）部分功能无法满足招标需求，界面一般、操作不流畅、示例数据缺失或每项内容未演示不得分。</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注：关于演示视频中的内容，中标供应商需于中标后3个工作日内到校进行真实教务系统复检，若与招标文件演示条款要求有偏差或不完全满足，校方有权判定为虚假应标，且供应商承担所有责任。</w:t>
            </w:r>
            <w:r>
              <w:rPr>
                <w:sz w:val="22"/>
              </w:rPr>
            </w:r>
            <w:r/>
          </w:p>
        </w:tc>
        <w:tc>
          <w:tcPr>
            <w:tcW w:w="564"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w:t>
            </w:r>
            <w:bookmarkEnd w:id="29"/>
            <w:r/>
            <w:r/>
          </w:p>
        </w:tc>
      </w:tr>
      <w:tr>
        <w:trPr>
          <w:trHeight w:val="1208"/>
        </w:trPr>
        <w:tc>
          <w:tcPr>
            <w:tcW w:w="761"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852"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技术能力</w:t>
            </w:r>
            <w:r/>
          </w:p>
        </w:tc>
        <w:tc>
          <w:tcPr>
            <w:tcW w:w="6708"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供应商具有下列本项目主要建设内容相关软件著作权登记证书的：①培养方案②排课③自动排考④教学评价⑤工作量计算⑥课程资源管理，每提供一个得2 分，最高得12 分。 注：软件著作权名称可不完全相同，但需体现具备同类或近似功能。投标文件中提供上述软件著作权登记证书扫描件，否则不得分。</w:t>
            </w:r>
            <w:r/>
          </w:p>
        </w:tc>
        <w:tc>
          <w:tcPr>
            <w:tcW w:w="564"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w:t>
            </w:r>
            <w:r/>
          </w:p>
        </w:tc>
      </w:tr>
      <w:tr>
        <w:trPr/>
        <w:tc>
          <w:tcPr>
            <w:tcW w:w="761"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85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项目团队</w:t>
            </w:r>
            <w:r/>
          </w:p>
        </w:tc>
        <w:tc>
          <w:tcPr>
            <w:tcW w:w="6708"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供应商拟为本项目配备以下人员： </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（一）项目经理（1 人）具有：</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①信息系统项目管理师证书</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②系统规划与管理师证书</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以上每具备一项得 3 分，满分 6 分。</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（二）技术负责人（1 人）具有：</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①系统架构设计师证书</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②系统分析师证书</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以上每具备一项得 3分，满分 6 分。</w:t>
            </w:r>
            <w:r/>
          </w:p>
          <w:p>
            <w:pPr>
              <w:numPr>
                <w:ilvl w:val="0"/>
                <w:numId w:val="7"/>
              </w:num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开发负责人（1 人）具有：</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软件设计师证书的，得 2 分。 </w:t>
            </w:r>
            <w:r/>
          </w:p>
          <w:p>
            <w:pPr>
              <w:numPr>
                <w:ilvl w:val="0"/>
                <w:numId w:val="7"/>
              </w:num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测试负责人（1 人）具有：</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软件评测师证书的，得 2 分。</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注：一人一岗，不同岗位不得为同一人。提供项目团队成员名单、所持证书的清晰扫描件，</w:t>
            </w:r>
            <w:r>
              <w:rPr>
                <w:rFonts w:hint="eastAsia" w:ascii="Times New Roman" w:hAnsi="Times New Roman" w:eastAsia="宋体" w:cs="Times New Roman"/>
                <w:sz w:val="24"/>
                <w:szCs w:val="21"/>
                <w:lang w:eastAsia="zh-CN"/>
              </w:rPr>
              <w:t xml:space="preserve">上述人员缴纳近</w:t>
            </w:r>
            <w:r>
              <w:rPr>
                <w:rFonts w:ascii="Times New Roman" w:hAnsi="Times New Roman" w:eastAsia="宋体" w:cs="Times New Roman"/>
                <w:sz w:val="24"/>
                <w:szCs w:val="21"/>
                <w:lang w:eastAsia="zh-CN"/>
              </w:rPr>
              <w:t xml:space="preserve"> 3 </w:t>
            </w:r>
            <w:r>
              <w:rPr>
                <w:rFonts w:hint="eastAsia" w:ascii="Times New Roman" w:hAnsi="Times New Roman" w:eastAsia="宋体" w:cs="Times New Roman"/>
                <w:sz w:val="24"/>
                <w:szCs w:val="21"/>
                <w:lang w:eastAsia="zh-CN"/>
              </w:rPr>
              <w:t xml:space="preserve">个月内任意</w:t>
            </w:r>
            <w:r>
              <w:rPr>
                <w:rFonts w:ascii="Times New Roman" w:hAnsi="Times New Roman" w:eastAsia="宋体" w:cs="Times New Roman"/>
                <w:sz w:val="24"/>
                <w:szCs w:val="21"/>
                <w:lang w:eastAsia="zh-CN"/>
              </w:rPr>
              <w:t xml:space="preserve"> 1 </w:t>
            </w:r>
            <w:r>
              <w:rPr>
                <w:rFonts w:hint="eastAsia" w:ascii="Times New Roman" w:hAnsi="Times New Roman" w:eastAsia="宋体" w:cs="Times New Roman"/>
                <w:sz w:val="24"/>
                <w:szCs w:val="21"/>
                <w:lang w:eastAsia="zh-CN"/>
              </w:rPr>
              <w:t xml:space="preserve">个月的社保证明材料（提供任意五险之一的社保缴纳证明即可），</w:t>
            </w:r>
            <w:r>
              <w:rPr>
                <w:rFonts w:ascii="Times New Roman" w:hAnsi="Times New Roman" w:eastAsia="宋体" w:cs="Times New Roman"/>
                <w:sz w:val="24"/>
                <w:szCs w:val="21"/>
                <w:lang w:eastAsia="zh-CN"/>
              </w:rPr>
              <w:t xml:space="preserve">同时供应商需提供承诺函，承诺</w:t>
            </w:r>
            <w:r>
              <w:rPr>
                <w:rFonts w:hint="eastAsia" w:ascii="Times New Roman" w:hAnsi="Times New Roman" w:eastAsia="宋体" w:cs="Times New Roman"/>
                <w:sz w:val="24"/>
                <w:szCs w:val="21"/>
                <w:lang w:eastAsia="zh-CN"/>
              </w:rPr>
              <w:t xml:space="preserve">上述人员</w:t>
            </w:r>
            <w:r>
              <w:rPr>
                <w:rFonts w:ascii="Times New Roman" w:hAnsi="Times New Roman" w:eastAsia="宋体" w:cs="Times New Roman"/>
                <w:sz w:val="24"/>
                <w:szCs w:val="21"/>
                <w:lang w:eastAsia="zh-CN"/>
              </w:rPr>
              <w:t xml:space="preserve">在本项目服务期内均服务于本项目</w:t>
            </w:r>
            <w:r>
              <w:rPr>
                <w:rFonts w:hint="eastAsia" w:ascii="Times New Roman" w:hAnsi="Times New Roman" w:eastAsia="宋体" w:cs="Times New Roman"/>
                <w:sz w:val="24"/>
                <w:szCs w:val="21"/>
                <w:lang w:eastAsia="zh-CN"/>
              </w:rPr>
              <w:t xml:space="preserve">。</w:t>
            </w:r>
            <w:r/>
          </w:p>
        </w:tc>
        <w:tc>
          <w:tcPr>
            <w:tcW w:w="564"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w:t>
            </w:r>
            <w:r/>
          </w:p>
        </w:tc>
      </w:tr>
      <w:tr>
        <w:trPr/>
        <w:tc>
          <w:tcPr>
            <w:tcW w:w="761"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85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6708"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供应商具有类似项目业绩，每提供一份得1分，本项最高得5分。</w:t>
            </w:r>
            <w:r/>
          </w:p>
          <w:p>
            <w:pPr>
              <w:jc w:val="both"/>
              <w:spacing w:after="0" w:line="360" w:lineRule="auto"/>
              <w:widowControl w:val="off"/>
              <w:rPr>
                <w:rFonts w:ascii="Times New Roman" w:hAnsi="Times New Roman" w:eastAsia="宋体" w:cs="Times New Roman"/>
                <w:sz w:val="24"/>
                <w:szCs w:val="21"/>
                <w:lang w:eastAsia="zh-CN"/>
              </w:rPr>
            </w:pPr>
            <w:r>
              <w:rPr>
                <w:rFonts w:hint="eastAsia" w:ascii="宋体" w:hAnsi="宋体" w:eastAsia="宋体" w:cs="宋体"/>
                <w:sz w:val="24"/>
                <w:szCs w:val="24"/>
                <w:lang w:eastAsia="zh-CN"/>
              </w:rPr>
              <w:t xml:space="preserve"> 注：（1）类似项目业绩指：合同内容中包含教务管理系统相关内容的项目业绩；（2）提供合同关键页及验收报告的清晰扫描件，需明确体现项目建设内容等评审因素，若无法体现的需另附业主盖章的证明文件，否则不得分。</w:t>
            </w:r>
            <w:r/>
          </w:p>
        </w:tc>
        <w:tc>
          <w:tcPr>
            <w:tcW w:w="564"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p>
        </w:tc>
      </w:tr>
    </w:tbl>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739"/>
        <w:rPr>
          <w:rFonts w:eastAsia="宋体"/>
          <w:lang w:eastAsia="zh-CN"/>
        </w:rPr>
      </w:pPr>
      <w:r>
        <w:rPr>
          <w:rFonts w:eastAsia="宋体"/>
          <w:lang w:eastAsia="zh-CN"/>
        </w:rPr>
      </w:r>
      <w:r/>
    </w:p>
    <w:p>
      <w:pPr>
        <w:ind w:firstLine="482"/>
        <w:jc w:val="both"/>
        <w:spacing w:after="0" w:line="44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注：1、报价</w:t>
      </w:r>
      <w:r>
        <w:rPr>
          <w:rFonts w:hint="eastAsia" w:ascii="宋体" w:hAnsi="宋体" w:eastAsia="宋体" w:cs="宋体"/>
          <w:b/>
          <w:bCs/>
          <w:sz w:val="24"/>
          <w:szCs w:val="24"/>
          <w:lang w:eastAsia="zh-CN"/>
        </w:rPr>
        <w:t xml:space="preserve">超过最高限价</w:t>
      </w:r>
      <w:r>
        <w:rPr>
          <w:rFonts w:hint="eastAsia" w:ascii="宋体" w:hAnsi="宋体" w:eastAsia="宋体" w:cs="宋体"/>
          <w:sz w:val="24"/>
          <w:szCs w:val="24"/>
          <w:lang w:eastAsia="zh-CN"/>
        </w:rPr>
        <w:t xml:space="preserve">的为</w:t>
      </w:r>
      <w:r>
        <w:rPr>
          <w:rFonts w:hint="eastAsia" w:ascii="宋体" w:hAnsi="宋体" w:eastAsia="宋体" w:cs="宋体"/>
          <w:b/>
          <w:bCs/>
          <w:sz w:val="24"/>
          <w:szCs w:val="24"/>
          <w:lang w:eastAsia="zh-CN"/>
        </w:rPr>
        <w:t xml:space="preserve">无效投标</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2、针对评分标准中评分的每一条，投标人均应提供相关电子资料并作出相应说明供评委评判，不提供相关资料的视为不具备该项得分的条件。</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3、若要求提供的复印件请加盖公章扫描入投标文件中，复印件电子扫描件未放入投标文件中，影响评分情况，是投标人的责任。</w:t>
      </w:r>
      <w:r/>
    </w:p>
    <w:p>
      <w:pPr>
        <w:ind w:firstLine="482"/>
        <w:jc w:val="both"/>
        <w:spacing w:after="0" w:line="44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4、所有复印件字迹须复印清晰可见,复印不</w:t>
      </w:r>
      <w:r>
        <w:rPr>
          <w:rFonts w:hint="eastAsia" w:ascii="宋体" w:hAnsi="宋体" w:eastAsia="宋体" w:cs="宋体"/>
          <w:color w:val="000000"/>
          <w:sz w:val="24"/>
          <w:szCs w:val="24"/>
          <w:lang w:eastAsia="zh-CN"/>
        </w:rPr>
        <w:t xml:space="preserve">全或字迹不清晰的，视为未提供。</w:t>
      </w:r>
      <w:r/>
    </w:p>
    <w:p>
      <w:pPr>
        <w:ind w:firstLine="482"/>
        <w:jc w:val="both"/>
        <w:spacing w:after="0" w:line="44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5、防止虚假应标，采购方保留调查的权利，并由此引发的一切调查与诉讼费用由投标方承担。</w:t>
      </w:r>
      <w:r/>
    </w:p>
    <w:p>
      <w:pPr>
        <w:jc w:val="both"/>
        <w:spacing w:after="0" w:line="440" w:lineRule="exac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jc w:val="both"/>
        <w:spacing w:after="0" w:line="460"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60"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60"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第六部分 合同格式</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 </w:t>
      </w:r>
      <w:r>
        <w:rPr>
          <w:rFonts w:ascii="宋体" w:hAnsi="宋体" w:eastAsia="宋体" w:cs="宋体"/>
          <w:b/>
          <w:color w:val="000000"/>
          <w:sz w:val="24"/>
          <w:lang w:eastAsia="zh-CN"/>
        </w:rPr>
        <w:t xml:space="preserve">合同文件适用法律</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适用于合同文件的法律是中华人民共和国现行法律、法规及甲方所在地的地方性法规。</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2. </w:t>
      </w:r>
      <w:r>
        <w:rPr>
          <w:rFonts w:ascii="宋体" w:hAnsi="宋体" w:eastAsia="宋体" w:cs="宋体"/>
          <w:b/>
          <w:color w:val="000000"/>
          <w:sz w:val="24"/>
          <w:lang w:eastAsia="zh-CN"/>
        </w:rPr>
        <w:t xml:space="preserve">合同文件组成和解释顺序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2.1</w:t>
      </w:r>
      <w:r>
        <w:rPr>
          <w:rFonts w:ascii="宋体" w:hAnsi="宋体" w:eastAsia="宋体" w:cs="宋体"/>
          <w:color w:val="000000"/>
          <w:sz w:val="24"/>
          <w:lang w:eastAsia="zh-CN"/>
        </w:rPr>
        <w:t xml:space="preserve">合同文件的组成和解释顺序如下：</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2.1.1</w:t>
      </w:r>
      <w:r>
        <w:rPr>
          <w:rFonts w:ascii="宋体" w:hAnsi="宋体" w:eastAsia="宋体" w:cs="宋体"/>
          <w:color w:val="000000"/>
          <w:sz w:val="24"/>
          <w:lang w:eastAsia="zh-CN"/>
        </w:rPr>
        <w:t xml:space="preserve">合同的特殊性条款</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2.1.2</w:t>
      </w:r>
      <w:r>
        <w:rPr>
          <w:rFonts w:ascii="宋体" w:hAnsi="宋体" w:eastAsia="宋体" w:cs="宋体"/>
          <w:color w:val="000000"/>
          <w:sz w:val="24"/>
          <w:lang w:eastAsia="zh-CN"/>
        </w:rPr>
        <w:t xml:space="preserve">合同的一般性条款</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2.1.3 </w:t>
      </w:r>
      <w:r>
        <w:rPr>
          <w:rFonts w:ascii="宋体" w:hAnsi="宋体" w:eastAsia="宋体" w:cs="宋体"/>
          <w:color w:val="000000"/>
          <w:sz w:val="24"/>
          <w:lang w:eastAsia="zh-CN"/>
        </w:rPr>
        <w:t xml:space="preserve">双方洽商、变更等明确双方权利义务的纪要、协议</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2.1.4 </w:t>
      </w:r>
      <w:r>
        <w:rPr>
          <w:rFonts w:ascii="宋体" w:hAnsi="宋体" w:eastAsia="宋体" w:cs="宋体"/>
          <w:color w:val="000000"/>
          <w:sz w:val="24"/>
          <w:lang w:eastAsia="zh-CN"/>
        </w:rPr>
        <w:t xml:space="preserve">中标通知书、投标书和招标文件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2.2 </w:t>
      </w:r>
      <w:r>
        <w:rPr>
          <w:rFonts w:ascii="宋体" w:hAnsi="宋体" w:eastAsia="宋体" w:cs="宋体"/>
          <w:color w:val="000000"/>
          <w:sz w:val="24"/>
          <w:lang w:eastAsia="zh-CN"/>
        </w:rPr>
        <w:t xml:space="preserve">合同的特殊性条款的效力优于合同的一般性条款的效力</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3. </w:t>
      </w:r>
      <w:r>
        <w:rPr>
          <w:rFonts w:ascii="宋体" w:hAnsi="宋体" w:eastAsia="宋体" w:cs="宋体"/>
          <w:b/>
          <w:color w:val="000000"/>
          <w:sz w:val="24"/>
          <w:lang w:eastAsia="zh-CN"/>
        </w:rPr>
        <w:t xml:space="preserve">合同文件使用文字</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3.1 </w:t>
      </w:r>
      <w:r>
        <w:rPr>
          <w:rFonts w:ascii="宋体" w:hAnsi="宋体" w:eastAsia="宋体" w:cs="宋体"/>
          <w:color w:val="000000"/>
          <w:sz w:val="24"/>
          <w:lang w:eastAsia="zh-CN"/>
        </w:rPr>
        <w:t xml:space="preserve">合同文件使用中文书写、解释和说明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3.2 </w:t>
      </w:r>
      <w:r>
        <w:rPr>
          <w:rFonts w:ascii="宋体" w:hAnsi="宋体" w:eastAsia="宋体" w:cs="宋体"/>
          <w:color w:val="000000"/>
          <w:sz w:val="24"/>
          <w:lang w:eastAsia="zh-CN"/>
        </w:rPr>
        <w:t xml:space="preserve">合同文件使用特殊性条款约定的国家标准和规范；国家没有相应标准、规范时，可使用特殊性条款约定的行业或甲方所在地地方的标准、规范。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二、标的物的一般条款</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4.  </w:t>
      </w:r>
      <w:r>
        <w:rPr>
          <w:rFonts w:ascii="宋体" w:hAnsi="宋体" w:eastAsia="宋体" w:cs="宋体"/>
          <w:b/>
          <w:color w:val="000000"/>
          <w:sz w:val="24"/>
          <w:lang w:eastAsia="zh-CN"/>
        </w:rPr>
        <w:t xml:space="preserve">完整物权</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对于出卖的标的物，乙方应当拥有完整物权，并且乙方负有保证第三人不得向甲方主张任何权利（包括知识产权）的义务。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5.  </w:t>
      </w:r>
      <w:r>
        <w:rPr>
          <w:rFonts w:ascii="宋体" w:hAnsi="宋体" w:eastAsia="宋体" w:cs="宋体"/>
          <w:b/>
          <w:color w:val="000000"/>
          <w:sz w:val="24"/>
          <w:lang w:eastAsia="zh-CN"/>
        </w:rPr>
        <w:t xml:space="preserve">质量保证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5.1  </w:t>
      </w:r>
      <w:r>
        <w:rPr>
          <w:rFonts w:ascii="宋体" w:hAnsi="宋体" w:eastAsia="宋体" w:cs="宋体"/>
          <w:color w:val="000000"/>
          <w:sz w:val="24"/>
          <w:lang w:eastAsia="zh-CN"/>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5.2  </w:t>
      </w:r>
      <w:r>
        <w:rPr>
          <w:rFonts w:ascii="宋体" w:hAnsi="宋体" w:eastAsia="宋体" w:cs="宋体"/>
          <w:color w:val="000000"/>
          <w:sz w:val="24"/>
          <w:lang w:eastAsia="zh-CN"/>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5.3  </w:t>
      </w:r>
      <w:r>
        <w:rPr>
          <w:rFonts w:ascii="宋体" w:hAnsi="宋体" w:eastAsia="宋体" w:cs="宋体"/>
          <w:color w:val="000000"/>
          <w:sz w:val="24"/>
          <w:lang w:eastAsia="zh-CN"/>
        </w:rPr>
        <w:t xml:space="preserve">除合同特殊条款规定外，合同条款中标的物的免费服务期均自标的物通过最终验收之日起计算。具体以招标文件中规定的质量保证期为准或中标单位承诺更高于招标要求的质量保证期为准。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6. </w:t>
      </w:r>
      <w:r>
        <w:rPr>
          <w:rFonts w:ascii="宋体" w:hAnsi="宋体" w:eastAsia="宋体" w:cs="宋体"/>
          <w:b/>
          <w:color w:val="000000"/>
          <w:sz w:val="24"/>
          <w:lang w:eastAsia="zh-CN"/>
        </w:rPr>
        <w:t xml:space="preserve">包装</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7.  </w:t>
      </w:r>
      <w:r>
        <w:rPr>
          <w:rFonts w:ascii="宋体" w:hAnsi="宋体" w:eastAsia="宋体" w:cs="宋体"/>
          <w:b/>
          <w:color w:val="000000"/>
          <w:sz w:val="24"/>
          <w:lang w:eastAsia="zh-CN"/>
        </w:rPr>
        <w:t xml:space="preserve">伴随服务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7.1  </w:t>
      </w:r>
      <w:r>
        <w:rPr>
          <w:rFonts w:ascii="宋体" w:hAnsi="宋体" w:eastAsia="宋体" w:cs="宋体"/>
          <w:color w:val="000000"/>
          <w:sz w:val="24"/>
          <w:lang w:eastAsia="zh-CN"/>
        </w:rPr>
        <w:t xml:space="preserve">乙方除应履行按期按量交付合格标的物的义务之外，还应提供下列服务。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7.1.1 </w:t>
      </w:r>
      <w:r>
        <w:rPr>
          <w:rFonts w:ascii="宋体" w:hAnsi="宋体" w:eastAsia="宋体" w:cs="宋体"/>
          <w:color w:val="000000"/>
          <w:sz w:val="24"/>
          <w:lang w:eastAsia="zh-CN"/>
        </w:rPr>
        <w:t xml:space="preserve">标的物的现场安装、启动、调试、监督；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7.1.2 </w:t>
      </w:r>
      <w:r>
        <w:rPr>
          <w:rFonts w:ascii="宋体" w:hAnsi="宋体" w:eastAsia="宋体" w:cs="宋体"/>
          <w:color w:val="000000"/>
          <w:sz w:val="24"/>
          <w:lang w:eastAsia="zh-CN"/>
        </w:rPr>
        <w:t xml:space="preserve">在合同规定的期限内对所提供标的物实行运行监督、维修服务的前提条件是该服务并不能免除乙方在质量保证期内所承担的义务；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7.1.3 </w:t>
      </w:r>
      <w:r>
        <w:rPr>
          <w:rFonts w:ascii="宋体" w:hAnsi="宋体" w:eastAsia="宋体" w:cs="宋体"/>
          <w:color w:val="000000"/>
          <w:sz w:val="24"/>
          <w:lang w:eastAsia="zh-CN"/>
        </w:rPr>
        <w:t xml:space="preserve">对甲方技术人员的技术指导或培训。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7.2  </w:t>
      </w:r>
      <w:r>
        <w:rPr>
          <w:rFonts w:ascii="宋体" w:hAnsi="宋体" w:eastAsia="宋体" w:cs="宋体"/>
          <w:color w:val="000000"/>
          <w:sz w:val="24"/>
          <w:lang w:eastAsia="zh-CN"/>
        </w:rPr>
        <w:t xml:space="preserve">除合同另有规定之外，伴随服务的费用均已含在合同价款中，甲方不再另行进行支付。</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三、标的物的交付、检验和验收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8.  </w:t>
      </w:r>
      <w:r>
        <w:rPr>
          <w:rFonts w:ascii="宋体" w:hAnsi="宋体" w:eastAsia="宋体" w:cs="宋体"/>
          <w:b/>
          <w:color w:val="000000"/>
          <w:sz w:val="24"/>
          <w:lang w:eastAsia="zh-CN"/>
        </w:rPr>
        <w:t xml:space="preserve">标的物的交付</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8.1  </w:t>
      </w:r>
      <w:r>
        <w:rPr>
          <w:rFonts w:ascii="宋体" w:hAnsi="宋体" w:eastAsia="宋体" w:cs="宋体"/>
          <w:color w:val="000000"/>
          <w:sz w:val="24"/>
          <w:lang w:eastAsia="zh-CN"/>
        </w:rPr>
        <w:t xml:space="preserve">标的物的所有权自标的物交付时转移。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8.2  </w:t>
      </w:r>
      <w:r>
        <w:rPr>
          <w:rFonts w:ascii="宋体" w:hAnsi="宋体" w:eastAsia="宋体" w:cs="宋体"/>
          <w:color w:val="000000"/>
          <w:sz w:val="24"/>
          <w:lang w:eastAsia="zh-CN"/>
        </w:rPr>
        <w:t xml:space="preserve">乙方应当按照约定的期限和甲方指定的地点交付标的物。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8.3  </w:t>
      </w:r>
      <w:r>
        <w:rPr>
          <w:rFonts w:ascii="宋体" w:hAnsi="宋体" w:eastAsia="宋体" w:cs="宋体"/>
          <w:color w:val="000000"/>
          <w:sz w:val="24"/>
          <w:lang w:eastAsia="zh-CN"/>
        </w:rPr>
        <w:t xml:space="preserve">乙方应当按照约定或者交易习惯向甲方交付提取标的物单证以外的有关单证和资料。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9.  </w:t>
      </w:r>
      <w:r>
        <w:rPr>
          <w:rFonts w:ascii="宋体" w:hAnsi="宋体" w:eastAsia="宋体" w:cs="宋体"/>
          <w:b/>
          <w:color w:val="000000"/>
          <w:sz w:val="24"/>
          <w:lang w:eastAsia="zh-CN"/>
        </w:rPr>
        <w:t xml:space="preserve">检验和验收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9.1  </w:t>
      </w:r>
      <w:r>
        <w:rPr>
          <w:rFonts w:ascii="宋体" w:hAnsi="宋体" w:eastAsia="宋体" w:cs="宋体"/>
          <w:color w:val="000000"/>
          <w:sz w:val="24"/>
          <w:lang w:eastAsia="zh-CN"/>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9.2  </w:t>
      </w:r>
      <w:r>
        <w:rPr>
          <w:rFonts w:ascii="宋体" w:hAnsi="宋体" w:eastAsia="宋体" w:cs="宋体"/>
          <w:color w:val="000000"/>
          <w:sz w:val="24"/>
          <w:lang w:eastAsia="zh-CN"/>
        </w:rPr>
        <w:t xml:space="preserve">甲方根据合同规定的内容和验收标准进行验收，同时比较乙方出具的检验证明，经检验无误后出具验收合格证明，该证明作为最终付款所需文件的组成部分。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9.3  </w:t>
      </w:r>
      <w:r>
        <w:rPr>
          <w:rFonts w:ascii="宋体" w:hAnsi="宋体" w:eastAsia="宋体" w:cs="宋体"/>
          <w:color w:val="000000"/>
          <w:sz w:val="24"/>
          <w:lang w:eastAsia="zh-CN"/>
        </w:rPr>
        <w:t xml:space="preserve">验收期限自标的物交付之日起十个工作日内。特殊情况需延长的，双方应在合同的特殊条款中约定。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9.4  </w:t>
      </w:r>
      <w:r>
        <w:rPr>
          <w:rFonts w:ascii="宋体" w:hAnsi="宋体" w:eastAsia="宋体" w:cs="宋体"/>
          <w:color w:val="000000"/>
          <w:sz w:val="24"/>
          <w:lang w:eastAsia="zh-CN"/>
        </w:rPr>
        <w:t xml:space="preserve">如双方对验收结果有分歧，则以太仓市技术质量监督局或以约定的法定检测机构的检验结果为准，检验费用由有过失的一方支付。</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四、对标的物提出异议的时间和办法</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10.  </w:t>
      </w:r>
      <w:r>
        <w:rPr>
          <w:rFonts w:ascii="宋体" w:hAnsi="宋体" w:eastAsia="宋体" w:cs="宋体"/>
          <w:b/>
          <w:color w:val="000000"/>
          <w:sz w:val="24"/>
          <w:lang w:eastAsia="zh-CN"/>
        </w:rPr>
        <w:t xml:space="preserve">对标的物提出异议的时间和办法</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10.1  </w:t>
      </w:r>
      <w:r>
        <w:rPr>
          <w:rFonts w:ascii="宋体" w:hAnsi="宋体" w:eastAsia="宋体" w:cs="宋体"/>
          <w:color w:val="000000"/>
          <w:sz w:val="24"/>
          <w:lang w:eastAsia="zh-CN"/>
        </w:rPr>
        <w:t xml:space="preserve">甲方在验收过程中，应当于双方约定的检验期间内将标的物的数量或质量不符合约定的情形及处理方式以书面形式通知乙方。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10.2  </w:t>
      </w:r>
      <w:r>
        <w:rPr>
          <w:rFonts w:ascii="宋体" w:hAnsi="宋体" w:eastAsia="宋体" w:cs="宋体"/>
          <w:color w:val="000000"/>
          <w:sz w:val="24"/>
          <w:lang w:eastAsia="zh-CN"/>
        </w:rPr>
        <w:t xml:space="preserve">如甲方在验收期满后既不出具验收合格证明又未提出书面异议的，并不视为乙方所交标的物符合合同规定，乙方应书面催告甲方进行验收。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10.3  </w:t>
      </w:r>
      <w:r>
        <w:rPr>
          <w:rFonts w:ascii="宋体" w:hAnsi="宋体" w:eastAsia="宋体" w:cs="宋体"/>
          <w:color w:val="000000"/>
          <w:sz w:val="24"/>
          <w:lang w:eastAsia="zh-CN"/>
        </w:rPr>
        <w:t xml:space="preserve">乙方应在收到甲方书面异议后七天内负责处理问题，否则将视为默认甲方提出的异议和处理意见。</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五、合同价款和支付</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11.  </w:t>
      </w:r>
      <w:r>
        <w:rPr>
          <w:rFonts w:ascii="宋体" w:hAnsi="宋体" w:eastAsia="宋体" w:cs="宋体"/>
          <w:b/>
          <w:color w:val="000000"/>
          <w:sz w:val="24"/>
        </w:rPr>
        <w:t xml:space="preserve">合同价款和支付</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11.1 </w:t>
      </w:r>
      <w:r>
        <w:rPr>
          <w:rFonts w:ascii="宋体" w:hAnsi="宋体" w:eastAsia="宋体" w:cs="宋体"/>
          <w:color w:val="000000"/>
          <w:sz w:val="24"/>
          <w:lang w:eastAsia="zh-CN"/>
        </w:rPr>
        <w:t xml:space="preserve">本合同的结算货币为人民币，单位元。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11.2 </w:t>
      </w:r>
      <w:r>
        <w:rPr>
          <w:rFonts w:ascii="宋体" w:hAnsi="宋体" w:eastAsia="宋体" w:cs="宋体"/>
          <w:color w:val="000000"/>
          <w:sz w:val="24"/>
          <w:lang w:eastAsia="zh-CN"/>
        </w:rPr>
        <w:t xml:space="preserve">乙方应按照双方签订的合同规定交货并在合同特殊条款规定的期限内持下列单据结算货款。</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11.2.1 </w:t>
      </w:r>
      <w:r>
        <w:rPr>
          <w:rFonts w:ascii="宋体" w:hAnsi="宋体" w:eastAsia="宋体" w:cs="宋体"/>
          <w:color w:val="000000"/>
          <w:sz w:val="24"/>
          <w:lang w:eastAsia="zh-CN"/>
        </w:rPr>
        <w:t xml:space="preserve">合格的销售发票；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11.2.2 </w:t>
      </w:r>
      <w:r>
        <w:rPr>
          <w:rFonts w:ascii="宋体" w:hAnsi="宋体" w:eastAsia="宋体" w:cs="宋体"/>
          <w:color w:val="000000"/>
          <w:sz w:val="24"/>
          <w:lang w:eastAsia="zh-CN"/>
        </w:rPr>
        <w:t xml:space="preserve">甲方盖章签收后的送货回单和验收合格证明。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11.3 </w:t>
      </w:r>
      <w:r>
        <w:rPr>
          <w:rFonts w:ascii="宋体" w:hAnsi="宋体" w:eastAsia="宋体" w:cs="宋体"/>
          <w:color w:val="000000"/>
          <w:sz w:val="24"/>
          <w:lang w:eastAsia="zh-CN"/>
        </w:rPr>
        <w:t xml:space="preserve">甲方应按合同特殊条款规定的期限和方式付款。</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11.4 </w:t>
      </w:r>
      <w:r>
        <w:rPr>
          <w:rFonts w:ascii="宋体" w:hAnsi="宋体" w:eastAsia="宋体" w:cs="宋体"/>
          <w:color w:val="000000"/>
          <w:sz w:val="24"/>
          <w:lang w:eastAsia="zh-CN"/>
        </w:rPr>
        <w:t xml:space="preserve">根据现行税法对甲方征收的与本合同有关的一切税费均由甲方承担；根据现行税法对乙方征收的与本合同有关的一切税费均由乙方承担。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六、违约责任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12.  </w:t>
      </w:r>
      <w:r>
        <w:rPr>
          <w:rFonts w:ascii="宋体" w:hAnsi="宋体" w:eastAsia="宋体" w:cs="宋体"/>
          <w:b/>
          <w:color w:val="000000"/>
          <w:sz w:val="24"/>
          <w:lang w:eastAsia="zh-CN"/>
        </w:rPr>
        <w:t xml:space="preserve">违约责任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合同一方不履行合同义务或者履行合同义务不符合约定的，应当承担继续履行、采取补救措施或者赔偿损失等违约责任。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13.  </w:t>
      </w:r>
      <w:r>
        <w:rPr>
          <w:rFonts w:ascii="宋体" w:hAnsi="宋体" w:eastAsia="宋体" w:cs="宋体"/>
          <w:b/>
          <w:color w:val="000000"/>
          <w:sz w:val="24"/>
          <w:lang w:eastAsia="zh-CN"/>
        </w:rPr>
        <w:t xml:space="preserve">甲方违约责任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13.1  </w:t>
      </w:r>
      <w:r>
        <w:rPr>
          <w:rFonts w:ascii="宋体" w:hAnsi="宋体" w:eastAsia="宋体" w:cs="宋体"/>
          <w:color w:val="000000"/>
          <w:sz w:val="24"/>
          <w:lang w:eastAsia="zh-CN"/>
        </w:rPr>
        <w:t xml:space="preserve">在合同生效后，甲方要求退货的，应向乙方偿付合同总价款</w:t>
      </w:r>
      <w:r>
        <w:rPr>
          <w:rFonts w:ascii="Times New Roman" w:hAnsi="Times New Roman" w:eastAsia="Times New Roman" w:cs="Times New Roman"/>
          <w:color w:val="000000"/>
          <w:sz w:val="24"/>
          <w:lang w:eastAsia="zh-CN"/>
        </w:rPr>
        <w:t xml:space="preserve">5 %</w:t>
      </w:r>
      <w:r>
        <w:rPr>
          <w:rFonts w:ascii="宋体" w:hAnsi="宋体" w:eastAsia="宋体" w:cs="宋体"/>
          <w:color w:val="000000"/>
          <w:sz w:val="24"/>
          <w:lang w:eastAsia="zh-CN"/>
        </w:rPr>
        <w:t xml:space="preserve">的违约金，违约金不足以补偿损失的，乙方有权要求甲方补足。</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13.2  </w:t>
      </w:r>
      <w:r>
        <w:rPr>
          <w:rFonts w:ascii="宋体" w:hAnsi="宋体" w:eastAsia="宋体" w:cs="宋体"/>
          <w:color w:val="000000"/>
          <w:sz w:val="24"/>
          <w:lang w:eastAsia="zh-CN"/>
        </w:rPr>
        <w:t xml:space="preserve">甲方逾期付款的应按照逾期付款金额的每天万分之四支付逾期付款违约金。</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13.3  </w:t>
      </w:r>
      <w:r>
        <w:rPr>
          <w:rFonts w:ascii="宋体" w:hAnsi="宋体" w:eastAsia="宋体" w:cs="宋体"/>
          <w:color w:val="000000"/>
          <w:sz w:val="24"/>
          <w:lang w:eastAsia="zh-CN"/>
        </w:rPr>
        <w:t xml:space="preserve">甲方违反合同规定，拒绝接收乙方交付的合格标的物，应当承担乙方由此造成的损失。</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14.  </w:t>
      </w:r>
      <w:r>
        <w:rPr>
          <w:rFonts w:ascii="宋体" w:hAnsi="宋体" w:eastAsia="宋体" w:cs="宋体"/>
          <w:b/>
          <w:color w:val="000000"/>
          <w:sz w:val="24"/>
          <w:lang w:eastAsia="zh-CN"/>
        </w:rPr>
        <w:t xml:space="preserve">乙方违约责任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14.1  </w:t>
      </w:r>
      <w:r>
        <w:rPr>
          <w:rFonts w:ascii="宋体" w:hAnsi="宋体" w:eastAsia="宋体" w:cs="宋体"/>
          <w:color w:val="000000"/>
          <w:sz w:val="24"/>
          <w:lang w:eastAsia="zh-CN"/>
        </w:rPr>
        <w:t xml:space="preserve">乙方不能交货（逾期超过十五天视为不能交货），或交货不合格从而影响甲方按期正常使用的，甲方有权解除合同，乙方向甲方偿付合同总价款</w:t>
      </w:r>
      <w:r>
        <w:rPr>
          <w:rFonts w:ascii="Times New Roman" w:hAnsi="Times New Roman" w:eastAsia="Times New Roman" w:cs="Times New Roman"/>
          <w:color w:val="000000"/>
          <w:sz w:val="24"/>
          <w:lang w:eastAsia="zh-CN"/>
        </w:rPr>
        <w:t xml:space="preserve">5 %</w:t>
      </w:r>
      <w:r>
        <w:rPr>
          <w:rFonts w:ascii="宋体" w:hAnsi="宋体" w:eastAsia="宋体" w:cs="宋体"/>
          <w:color w:val="000000"/>
          <w:sz w:val="24"/>
          <w:lang w:eastAsia="zh-CN"/>
        </w:rPr>
        <w:t xml:space="preserve">的违约金，违约金不足以补偿损失的甲方有权要求乙方补足。</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14.2  </w:t>
      </w:r>
      <w:r>
        <w:rPr>
          <w:rFonts w:ascii="宋体" w:hAnsi="宋体" w:eastAsia="宋体" w:cs="宋体"/>
          <w:color w:val="000000"/>
          <w:sz w:val="24"/>
          <w:lang w:eastAsia="zh-CN"/>
        </w:rPr>
        <w:t xml:space="preserve">乙方逾期交货的，应在发货前与甲方协商，甲方仍需求的，乙方应立即发货并应按照逾期交货部分货款的每天万分之四支付逾期交货违约金，同时承担甲方因此遭致的损失费用。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15.  </w:t>
      </w:r>
      <w:r>
        <w:rPr>
          <w:rFonts w:ascii="宋体" w:hAnsi="宋体" w:eastAsia="宋体" w:cs="宋体"/>
          <w:b/>
          <w:color w:val="000000"/>
          <w:sz w:val="24"/>
          <w:lang w:eastAsia="zh-CN"/>
        </w:rPr>
        <w:t xml:space="preserve">不可抗力</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15.1  </w:t>
      </w:r>
      <w:r>
        <w:rPr>
          <w:rFonts w:ascii="宋体" w:hAnsi="宋体" w:eastAsia="宋体" w:cs="宋体"/>
          <w:color w:val="000000"/>
          <w:sz w:val="24"/>
          <w:lang w:eastAsia="zh-CN"/>
        </w:rPr>
        <w:t xml:space="preserve">因不可抗力不能履行合同的，根据不可抗力的影响，部分或者全部免除责任。但合同一方迟延履行后发生不可抗力的，不能免除责任。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15.2  </w:t>
      </w:r>
      <w:r>
        <w:rPr>
          <w:rFonts w:ascii="宋体" w:hAnsi="宋体" w:eastAsia="宋体" w:cs="宋体"/>
          <w:color w:val="000000"/>
          <w:sz w:val="24"/>
          <w:lang w:eastAsia="zh-CN"/>
        </w:rPr>
        <w:t xml:space="preserve">合同一方因不可抗力不能履行合同的，应当及时通知对方，以减轻可能给对方造成的损失，并应当在合理期限内提供证明。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七、索赔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16  </w:t>
      </w:r>
      <w:r>
        <w:rPr>
          <w:rFonts w:ascii="宋体" w:hAnsi="宋体" w:eastAsia="宋体" w:cs="宋体"/>
          <w:b/>
          <w:color w:val="000000"/>
          <w:sz w:val="24"/>
          <w:lang w:eastAsia="zh-CN"/>
        </w:rPr>
        <w:t xml:space="preserve">索赔：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16.1</w:t>
      </w:r>
      <w:r>
        <w:rPr>
          <w:rFonts w:ascii="宋体" w:hAnsi="宋体" w:eastAsia="宋体" w:cs="宋体"/>
          <w:color w:val="000000"/>
          <w:sz w:val="24"/>
          <w:lang w:eastAsia="zh-CN"/>
        </w:rPr>
        <w:t xml:space="preserve">如在货物交付、使用过程中，甲方发现货物的品质与合同内容有不符或者根据甲方按国家标准或行业标准自己检验的结果或当地技监部门的检验结果，或者在质量保证期限内，货物内容、质量、规格与合同不符或证实货物是有缺陷的，包括潜在缺陷等时，有权向乙方提出索赔，乙方在收到甲方索赔通知后</w:t>
      </w:r>
      <w:r>
        <w:rPr>
          <w:rFonts w:ascii="Times New Roman" w:hAnsi="Times New Roman" w:eastAsia="Times New Roman" w:cs="Times New Roman"/>
          <w:color w:val="000000"/>
          <w:sz w:val="24"/>
          <w:lang w:eastAsia="zh-CN"/>
        </w:rPr>
        <w:t xml:space="preserve">2-5</w:t>
      </w:r>
      <w:r>
        <w:rPr>
          <w:rFonts w:ascii="宋体" w:hAnsi="宋体" w:eastAsia="宋体" w:cs="宋体"/>
          <w:color w:val="000000"/>
          <w:sz w:val="24"/>
          <w:lang w:eastAsia="zh-CN"/>
        </w:rPr>
        <w:t xml:space="preserve">天内应免费维修或弥补相应的缺陷。如果乙方在收到通知后</w:t>
      </w:r>
      <w:r>
        <w:rPr>
          <w:rFonts w:ascii="Times New Roman" w:hAnsi="Times New Roman" w:eastAsia="Times New Roman" w:cs="Times New Roman"/>
          <w:color w:val="000000"/>
          <w:sz w:val="24"/>
          <w:lang w:eastAsia="zh-CN"/>
        </w:rPr>
        <w:t xml:space="preserve">5</w:t>
      </w:r>
      <w:r>
        <w:rPr>
          <w:rFonts w:ascii="宋体" w:hAnsi="宋体" w:eastAsia="宋体" w:cs="宋体"/>
          <w:color w:val="000000"/>
          <w:sz w:val="24"/>
          <w:lang w:eastAsia="zh-CN"/>
        </w:rPr>
        <w:t xml:space="preserve">天内没有弥补缺陷，甲方可采取必要的补救措施，但风险和费用将由乙方承担，同时甲方对乙方行使的其它权利不受影响。甲方因补救措施所承担的应由乙方承担的费用，有权在甲方应支付给乙方的款项中直接扣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16.2</w:t>
      </w:r>
      <w:r>
        <w:rPr>
          <w:rFonts w:ascii="宋体" w:hAnsi="宋体" w:eastAsia="宋体" w:cs="宋体"/>
          <w:color w:val="000000"/>
          <w:sz w:val="24"/>
          <w:lang w:eastAsia="zh-CN"/>
        </w:rPr>
        <w:t xml:space="preserve">索赔方式除上述规定之外，甲方还有权选择以下方式进行索赔：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w:t>
      </w:r>
      <w:r>
        <w:rPr>
          <w:rFonts w:ascii="Times New Roman" w:hAnsi="Times New Roman" w:eastAsia="Times New Roman" w:cs="Times New Roman"/>
          <w:color w:val="000000"/>
          <w:sz w:val="24"/>
          <w:lang w:eastAsia="zh-CN"/>
        </w:rPr>
        <w:t xml:space="preserve">1</w:t>
      </w:r>
      <w:r>
        <w:rPr>
          <w:rFonts w:ascii="宋体" w:hAnsi="宋体" w:eastAsia="宋体" w:cs="宋体"/>
          <w:color w:val="000000"/>
          <w:sz w:val="24"/>
          <w:lang w:eastAsia="zh-CN"/>
        </w:rPr>
        <w:t xml:space="preserve">）乙方同意退货，并双倍返还定金及甲方已支付的合同款，并承担由此发生的一切损失和费用，包括甲方直接损失、利息、银行手续费、运费、保险费、仓储费、装卸费以及为保护退回货物所需的其它必要费用。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w:t>
      </w:r>
      <w:r>
        <w:rPr>
          <w:rFonts w:ascii="Times New Roman" w:hAnsi="Times New Roman" w:eastAsia="Times New Roman" w:cs="Times New Roman"/>
          <w:color w:val="000000"/>
          <w:sz w:val="24"/>
          <w:lang w:eastAsia="zh-CN"/>
        </w:rPr>
        <w:t xml:space="preserve">2</w:t>
      </w:r>
      <w:r>
        <w:rPr>
          <w:rFonts w:ascii="宋体" w:hAnsi="宋体" w:eastAsia="宋体" w:cs="宋体"/>
          <w:color w:val="000000"/>
          <w:sz w:val="24"/>
          <w:lang w:eastAsia="zh-CN"/>
        </w:rPr>
        <w:t xml:space="preserve">）根据标的物的损坏程度以及甲方遭受损失的数额，经甲乙双方商定降低货物的价格。</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w:t>
      </w:r>
      <w:r>
        <w:rPr>
          <w:rFonts w:ascii="Times New Roman" w:hAnsi="Times New Roman" w:eastAsia="Times New Roman" w:cs="Times New Roman"/>
          <w:color w:val="000000"/>
          <w:sz w:val="24"/>
          <w:lang w:eastAsia="zh-CN"/>
        </w:rPr>
        <w:t xml:space="preserve">3</w:t>
      </w:r>
      <w:r>
        <w:rPr>
          <w:rFonts w:ascii="宋体" w:hAnsi="宋体" w:eastAsia="宋体" w:cs="宋体"/>
          <w:color w:val="000000"/>
          <w:sz w:val="24"/>
          <w:lang w:eastAsia="zh-CN"/>
        </w:rPr>
        <w:t xml:space="preserve">）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w:t>
      </w:r>
      <w:r>
        <w:rPr>
          <w:rFonts w:ascii="Times New Roman" w:hAnsi="Times New Roman" w:eastAsia="Times New Roman" w:cs="Times New Roman"/>
          <w:color w:val="000000"/>
          <w:sz w:val="24"/>
          <w:lang w:eastAsia="zh-CN"/>
        </w:rPr>
        <w:t xml:space="preserve">4</w:t>
      </w:r>
      <w:r>
        <w:rPr>
          <w:rFonts w:ascii="宋体" w:hAnsi="宋体" w:eastAsia="宋体" w:cs="宋体"/>
          <w:color w:val="000000"/>
          <w:sz w:val="24"/>
          <w:lang w:eastAsia="zh-CN"/>
        </w:rPr>
        <w:t xml:space="preserve">）从尚未支付的合同价款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八、合同的解除和转让</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17.  </w:t>
      </w:r>
      <w:r>
        <w:rPr>
          <w:rFonts w:ascii="宋体" w:hAnsi="宋体" w:eastAsia="宋体" w:cs="宋体"/>
          <w:b/>
          <w:color w:val="000000"/>
          <w:sz w:val="24"/>
        </w:rPr>
        <w:t xml:space="preserve">合同的解除</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17.1</w:t>
      </w:r>
      <w:r>
        <w:rPr>
          <w:rFonts w:ascii="宋体" w:hAnsi="宋体" w:eastAsia="宋体" w:cs="宋体"/>
          <w:color w:val="000000"/>
          <w:sz w:val="24"/>
        </w:rPr>
        <w:t xml:space="preserve">有下列情形之一，合同一方可以解除合同：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17.1.1 </w:t>
      </w:r>
      <w:r>
        <w:rPr>
          <w:rFonts w:ascii="宋体" w:hAnsi="宋体" w:eastAsia="宋体" w:cs="宋体"/>
          <w:color w:val="000000"/>
          <w:sz w:val="24"/>
          <w:lang w:eastAsia="zh-CN"/>
        </w:rPr>
        <w:t xml:space="preserve">因不可抗力致使不能实现合同目的，未受不可抗力影响的一方有权解除合同；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17.1.2 </w:t>
      </w:r>
      <w:r>
        <w:rPr>
          <w:rFonts w:ascii="宋体" w:hAnsi="宋体" w:eastAsia="宋体" w:cs="宋体"/>
          <w:color w:val="000000"/>
          <w:sz w:val="24"/>
          <w:lang w:eastAsia="zh-CN"/>
        </w:rPr>
        <w:t xml:space="preserve">因合同一方违约导致合同不能履行，另一方有权解除合同；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17.2 </w:t>
      </w:r>
      <w:r>
        <w:rPr>
          <w:rFonts w:ascii="宋体" w:hAnsi="宋体" w:eastAsia="宋体" w:cs="宋体"/>
          <w:color w:val="000000"/>
          <w:sz w:val="24"/>
          <w:lang w:eastAsia="zh-CN"/>
        </w:rPr>
        <w:t xml:space="preserve">有权解除合同的一方，应当在违约事实或不可抗力发生之后三十天内书面通知对方以主张解除合同，合同在书面通知到达对方时解除。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18.  </w:t>
      </w:r>
      <w:r>
        <w:rPr>
          <w:rFonts w:ascii="宋体" w:hAnsi="宋体" w:eastAsia="宋体" w:cs="宋体"/>
          <w:b/>
          <w:color w:val="000000"/>
          <w:sz w:val="24"/>
          <w:lang w:eastAsia="zh-CN"/>
        </w:rPr>
        <w:t xml:space="preserve">合同的转让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18.1</w:t>
      </w:r>
      <w:r>
        <w:rPr>
          <w:rFonts w:ascii="宋体" w:hAnsi="宋体" w:eastAsia="宋体" w:cs="宋体"/>
          <w:color w:val="000000"/>
          <w:sz w:val="24"/>
          <w:lang w:eastAsia="zh-CN"/>
        </w:rPr>
        <w:t xml:space="preserve">本合同不得以任何形式转让，否则视为乙方违约，甲方可以单方解除本合同，由此造成甲方的损失由乙方承担赔偿（包括但不限于诉讼费、合理律师费等）。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18.2</w:t>
      </w:r>
      <w:r>
        <w:rPr>
          <w:rFonts w:ascii="宋体" w:hAnsi="宋体" w:eastAsia="宋体" w:cs="宋体"/>
          <w:color w:val="000000"/>
          <w:sz w:val="24"/>
          <w:lang w:eastAsia="zh-CN"/>
        </w:rPr>
        <w:t xml:space="preserve">本合同未经甲方书面同意不得以任何形式的转让或分包，否则视为乙方违约，甲方可以单方解除本合同，由此造成甲方的损失由乙方承担赔偿（包括但不限于诉讼费、合理律师费等）。</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九、合同的生效</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19.  </w:t>
      </w:r>
      <w:r>
        <w:rPr>
          <w:rFonts w:ascii="宋体" w:hAnsi="宋体" w:eastAsia="宋体" w:cs="宋体"/>
          <w:b/>
          <w:color w:val="000000"/>
          <w:sz w:val="24"/>
        </w:rPr>
        <w:t xml:space="preserve">合同的生效</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本合同在双方签字盖章后即生效，同时还需至苏州市公共资源交易中心太仓分中心加盖备案章。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十、争议解决</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20.  </w:t>
      </w:r>
      <w:r>
        <w:rPr>
          <w:rFonts w:ascii="宋体" w:hAnsi="宋体" w:eastAsia="宋体" w:cs="宋体"/>
          <w:b/>
          <w:color w:val="000000"/>
          <w:sz w:val="24"/>
          <w:lang w:eastAsia="zh-CN"/>
        </w:rPr>
        <w:t xml:space="preserve">争议解决</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甲乙双方因合同发生争议，应在采购代理机构的主持下进行调解，协商不成，任何一方可以向甲方所在地人民法院起诉。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十一、附则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21.  </w:t>
      </w:r>
      <w:r>
        <w:rPr>
          <w:rFonts w:ascii="宋体" w:hAnsi="宋体" w:eastAsia="宋体" w:cs="宋体"/>
          <w:b/>
          <w:color w:val="000000"/>
          <w:sz w:val="24"/>
          <w:lang w:eastAsia="zh-CN"/>
        </w:rPr>
        <w:t xml:space="preserve">合同份数。</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本合同一式五份，甲方二份，乙方二份，交易中心一份。</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22.  </w:t>
      </w:r>
      <w:r>
        <w:rPr>
          <w:rFonts w:ascii="宋体" w:hAnsi="宋体" w:eastAsia="宋体" w:cs="宋体"/>
          <w:b/>
          <w:color w:val="000000"/>
          <w:sz w:val="24"/>
          <w:lang w:eastAsia="zh-CN"/>
        </w:rPr>
        <w:t xml:space="preserve">未尽事宜</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本合同未尽事宜应按《中华人民共和国民法典》、《中华人民共和国产品质量法》、《中华人民共和国政府采购法》及其他有关政府采购的法律法规之规定解释。</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ind w:firstLine="643"/>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合同主要条款</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采购人（以下称甲方）</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供应商：（以下称乙方）</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地址：</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电话：</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color w:val="000000"/>
          <w:sz w:val="24"/>
          <w:u w:val="single"/>
          <w:lang w:eastAsia="zh-CN"/>
        </w:rPr>
        <w:t xml:space="preserve">教务管理系统软件开发服务（二次）</w:t>
      </w:r>
      <w:r>
        <w:rPr>
          <w:rFonts w:ascii="宋体" w:hAnsi="宋体" w:eastAsia="宋体" w:cs="宋体"/>
          <w:color w:val="000000"/>
          <w:sz w:val="24"/>
          <w:lang w:eastAsia="zh-CN"/>
        </w:rPr>
        <w:t xml:space="preserve">项目（</w:t>
      </w:r>
      <w:r>
        <w:rPr>
          <w:rFonts w:ascii="宋体" w:hAnsi="宋体" w:eastAsia="宋体" w:cs="宋体"/>
          <w:b/>
          <w:color w:val="000000"/>
          <w:sz w:val="24"/>
          <w:lang w:eastAsia="zh-CN"/>
        </w:rPr>
        <w:t xml:space="preserve">编号</w:t>
      </w:r>
      <w:r>
        <w:rPr>
          <w:rFonts w:hint="eastAsia" w:ascii="宋体" w:hAnsi="宋体" w:eastAsia="宋体" w:cs="宋体"/>
          <w:b/>
          <w:color w:val="000000"/>
          <w:sz w:val="24"/>
          <w:lang w:eastAsia="zh-CN"/>
        </w:rPr>
        <w:t xml:space="preserve">JSZC-320585-JZCG-G2024-0074</w:t>
      </w:r>
      <w:r>
        <w:rPr>
          <w:rFonts w:ascii="宋体" w:hAnsi="宋体" w:eastAsia="宋体" w:cs="宋体"/>
          <w:color w:val="000000"/>
          <w:sz w:val="24"/>
          <w:lang w:eastAsia="zh-CN"/>
        </w:rPr>
        <w:t xml:space="preserve">）的招标结果，签订本合同。</w:t>
      </w:r>
      <w:r/>
    </w:p>
    <w:p>
      <w:pPr>
        <w:ind w:firstLine="47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第一条 服务范围</w:t>
      </w:r>
      <w:r/>
    </w:p>
    <w:p>
      <w:pPr>
        <w:ind w:left="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甲方聘请乙方提供以下服务：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（1）本合同项下的服务指：</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（2）服务内容：</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（3）服务标准：</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（4）交付时间、地点：甲方指定。</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第二条 组成本合同的有关文件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8"/>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招标采购文件（</w:t>
      </w:r>
      <w:r>
        <w:rPr>
          <w:rFonts w:ascii="宋体" w:hAnsi="宋体" w:eastAsia="宋体" w:cs="宋体"/>
          <w:b/>
          <w:color w:val="000000"/>
          <w:sz w:val="24"/>
          <w:lang w:eastAsia="zh-CN"/>
        </w:rPr>
        <w:t xml:space="preserve">编号：</w:t>
      </w:r>
      <w:r>
        <w:rPr>
          <w:rFonts w:hint="eastAsia" w:ascii="宋体" w:hAnsi="宋体" w:eastAsia="宋体" w:cs="宋体"/>
          <w:b/>
          <w:color w:val="000000"/>
          <w:sz w:val="24"/>
          <w:lang w:eastAsia="zh-CN"/>
        </w:rPr>
        <w:t xml:space="preserve">JSZC-320585-JZCG-G2024-0074</w:t>
      </w:r>
      <w:r>
        <w:rPr>
          <w:rFonts w:ascii="宋体" w:hAnsi="宋体" w:eastAsia="宋体" w:cs="宋体"/>
          <w:color w:val="000000"/>
          <w:sz w:val="24"/>
          <w:lang w:eastAsia="zh-CN"/>
        </w:rPr>
        <w:t xml:space="preserve">）</w:t>
      </w:r>
      <w:r/>
    </w:p>
    <w:p>
      <w:pPr>
        <w:numPr>
          <w:ilvl w:val="0"/>
          <w:numId w:val="8"/>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乙方提供的投标文件和投标报价表；</w:t>
      </w:r>
      <w:r/>
    </w:p>
    <w:p>
      <w:pPr>
        <w:numPr>
          <w:ilvl w:val="0"/>
          <w:numId w:val="8"/>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乙方在投标过程中所作的其他承诺、声明、书面澄清等；</w:t>
      </w:r>
      <w:r/>
    </w:p>
    <w:p>
      <w:pPr>
        <w:numPr>
          <w:ilvl w:val="0"/>
          <w:numId w:val="8"/>
        </w:num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中标通知书；</w:t>
      </w:r>
      <w:r/>
    </w:p>
    <w:p>
      <w:pPr>
        <w:numPr>
          <w:ilvl w:val="0"/>
          <w:numId w:val="8"/>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甲乙双方商定的其他文件等。</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第三条 合同总价款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合同价格按此次成交价格执行，合同总金额为人民币___________（大写）人民币，小写：（￥：）元整。</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除非合同条款中另有规定，本合同执行期间合同总价款不变。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第四条 合同款支付</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1、本合同项下所有款项均以人民币支付。</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2、本合同项下的采购资金由甲方自行支付，乙方向甲方开具发票。</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3、根据现行税法对乙方征收的与本合同有关的一切税费均由乙方承担。</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4、付款步骤、方式：</w:t>
      </w:r>
      <w:r/>
    </w:p>
    <w:p>
      <w:pPr>
        <w:pStyle w:val="737"/>
        <w:rPr>
          <w:lang w:eastAsia="zh-CN"/>
        </w:rPr>
      </w:pPr>
      <w:r>
        <w:rPr>
          <w:lang w:eastAsia="zh-CN"/>
        </w:rPr>
      </w:r>
      <w:r/>
    </w:p>
    <w:p>
      <w:pPr>
        <w:ind w:firstLine="482"/>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第五条 服务质量、成果要求</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2、验收标准: 按采购文件要求、乙方的投标承诺或国家相关标准。</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第六条 甲、乙双方权利义务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1、甲方应当为保证项目服务的完成，给予乙方积极支持，为乙方提供项目实施的必要条件；</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2、甲方应当按照本合同约定按时支付合同金额。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3、乙方提交的服务成果未经甲方书面许可，不得向任何第三方泄露。</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 乙方提供必要的技术培训，协助甲方完成其他需要中标单位配合的服务。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第七条 知识产权</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1、在合同履行过程中，由甲方向乙方提供的资料－－包括但不限于程序、文件、报告、说明、图表等均归甲方所有。</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第八条 保密条款</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第九条 风险责任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第十条 履约保证金（本项目不涉及）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1、乙方应按招标文件的约定要求提供相应的履约保证金。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2、履约保证金的有效期为合同生效之日起至合同主要义务履行完毕止。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4、履约保证金待合同主要义务全部履行完毕后全额退回（不计息）。</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第十一条 合同的变更和终止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1、本合同一经签订，甲乙双方不得擅自变更、中止或终止合同。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第十二条 合同的转让</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1、乙方不得擅自部分或全部转让其应履行的合同义务。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2、乙方在履行合同过程中，不得将服务项目委托给第三方。</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第十三条 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2、甲方逾期付款的，应按照逾期付款金额的每天万分之四支付逾期付款违约金。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第十四条 不可抗力</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因合同一方迟延履行后发生不可抗力的，不能免除责任。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第十五条 索赔</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第十六条 争议的解决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3、在法院审理和仲裁期间，除有争议部分外，本合同其他部分应继续履行。</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第十七条 诚实信用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第十八条 合同生效及其他</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1、本合同自经甲乙双方授权代表签订并加盖公章后，自签订之日起生效。</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2、本合同一式</w:t>
      </w:r>
      <w:r>
        <w:rPr>
          <w:rFonts w:hint="eastAsia" w:ascii="宋体" w:hAnsi="宋体" w:eastAsia="宋体" w:cs="宋体"/>
          <w:color w:val="000000"/>
          <w:sz w:val="24"/>
          <w:lang w:eastAsia="zh-CN"/>
        </w:rPr>
        <w:t xml:space="preserve">两份</w:t>
      </w:r>
      <w:r>
        <w:rPr>
          <w:rFonts w:ascii="宋体" w:hAnsi="宋体" w:eastAsia="宋体" w:cs="宋体"/>
          <w:color w:val="000000"/>
          <w:sz w:val="24"/>
          <w:lang w:eastAsia="zh-CN"/>
        </w:rPr>
        <w:t xml:space="preserve">份，甲乙双方各执一份。</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3、本合同应按照中华人民共和国的现行法律进行解释。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甲方（采购人）：（盖章）</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乙方（供应商）：（盖章）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代表人：                           代表人：</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                              电话：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开户银行：</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开户银行：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帐号：</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帐号：</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（全文完）</w:t>
      </w:r>
      <w:r/>
    </w:p>
    <w:p>
      <w:pPr>
        <w:tabs>
          <w:tab w:val="left" w:pos="6294" w:leader="none"/>
        </w:tabs>
        <w:rPr>
          <w:lang w:eastAsia="zh-CN"/>
        </w:rPr>
      </w:pPr>
      <w:r>
        <w:rPr>
          <w:lang w:eastAsia="zh-CN"/>
        </w:rPr>
      </w:r>
      <w:r/>
    </w:p>
    <w:sectPr>
      <w:headerReference w:type="default" r:id="rId10"/>
      <w:footerReference w:type="default" r:id="rId12"/>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幼圆">
    <w:panose1 w:val="02010509060101010101"/>
  </w:font>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tabs>
        <w:tab w:val="center" w:pos="4153" w:leader="none"/>
        <w:tab w:val="right" w:pos="8306" w:leader="none"/>
      </w:tabs>
      <w:rPr>
        <w:rFonts w:ascii="Calibri" w:hAnsi="Calibri" w:eastAsia="宋体" w:cs="Times New Roman"/>
        <w:sz w:val="18"/>
        <w:szCs w:val="18"/>
        <w:lang w:eastAsia="zh-CN"/>
      </w:rPr>
    </w:pPr>
    <w:r>
      <w:rPr>
        <w:rFonts w:ascii="Calibri" w:hAnsi="Calibri" w:eastAsia="宋体" w:cs="Times New Roman"/>
        <w:sz w:val="18"/>
        <w:szCs w:val="18"/>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lear" w:pos="7143"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360" w:lineRule="auto"/>
      <w:widowControl w:val="off"/>
      <w:tabs>
        <w:tab w:val="center" w:pos="4153" w:leader="none"/>
        <w:tab w:val="right" w:pos="8306" w:leader="none"/>
      </w:tabs>
      <w:rPr>
        <w:rFonts w:ascii="Calibri" w:hAnsi="Calibri" w:eastAsia="宋体" w:cs="Times New Roman"/>
        <w:sz w:val="18"/>
        <w:szCs w:val="18"/>
        <w:lang w:eastAsia="zh-CN"/>
      </w:rPr>
      <w:pBdr>
        <w:bottom w:val="none" w:color="auto" w:sz="0" w:space="1"/>
      </w:pBdr>
    </w:pPr>
    <w:r>
      <w:rPr>
        <w:rFonts w:ascii="Calibri" w:hAnsi="Calibri" w:eastAsia="宋体" w:cs="Times New Roman"/>
        <w:sz w:val="18"/>
        <w:szCs w:val="18"/>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right="630"/>
      <w:jc w:val="right"/>
      <w:tabs>
        <w:tab w:val="clear" w:pos="7143" w:leader="none"/>
        <w:tab w:val="clear" w:pos="14287" w:leader="none"/>
      </w:tabs>
      <w:rPr>
        <w:rFonts w:ascii="宋体" w:hAnsi="宋体"/>
        <w:sz w:val="21"/>
      </w:rPr>
    </w:pPr>
    <w:r>
      <w:rPr>
        <w:rFonts w:ascii="宋体" w:hAnsi="宋体"/>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pPr>
    </w:lvl>
    <w:lvl w:ilvl="1">
      <w:start w:val="1"/>
      <w:numFmt w:val="decimal"/>
      <w:isLgl w:val="false"/>
      <w:suff w:val="tab"/>
      <w:lvlText w:val="%1.%2."/>
      <w:lvlJc w:val="left"/>
      <w:pPr>
        <w:ind w:left="575" w:hanging="57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1" w:hanging="1151"/>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3" w:hanging="1583"/>
      </w:pPr>
    </w:lvl>
  </w:abstractNum>
  <w:abstractNum w:abstractNumId="2">
    <w:multiLevelType w:val="hybridMultilevel"/>
    <w:lvl w:ilvl="0">
      <w:start w:val="5"/>
      <w:numFmt w:val="chineseCounting"/>
      <w:isLgl w:val="false"/>
      <w:suff w:val="space"/>
      <w:lvlText w:val="第%1部分"/>
      <w:lvlJc w:val="left"/>
      <w:pPr>
        <w:ind w:left="13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940" w:hanging="720"/>
      </w:pPr>
      <w:rPr>
        <w:rFonts w:hint="default"/>
      </w:rPr>
    </w:lvl>
    <w:lvl w:ilvl="1">
      <w:start w:val="1"/>
      <w:numFmt w:val="lowerLetter"/>
      <w:isLgl w:val="false"/>
      <w:suff w:val="tab"/>
      <w:lvlText w:val="%2)"/>
      <w:lvlJc w:val="left"/>
      <w:pPr>
        <w:ind w:left="1120" w:hanging="440"/>
      </w:pPr>
    </w:lvl>
    <w:lvl w:ilvl="2">
      <w:start w:val="1"/>
      <w:numFmt w:val="lowerRoman"/>
      <w:isLgl w:val="false"/>
      <w:suff w:val="tab"/>
      <w:lvlText w:val="%3."/>
      <w:lvlJc w:val="right"/>
      <w:pPr>
        <w:ind w:left="1560" w:hanging="440"/>
      </w:pPr>
    </w:lvl>
    <w:lvl w:ilvl="3">
      <w:start w:val="1"/>
      <w:numFmt w:val="decimal"/>
      <w:isLgl w:val="false"/>
      <w:suff w:val="tab"/>
      <w:lvlText w:val="%4."/>
      <w:lvlJc w:val="left"/>
      <w:pPr>
        <w:ind w:left="2000" w:hanging="440"/>
      </w:pPr>
    </w:lvl>
    <w:lvl w:ilvl="4">
      <w:start w:val="1"/>
      <w:numFmt w:val="lowerLetter"/>
      <w:isLgl w:val="false"/>
      <w:suff w:val="tab"/>
      <w:lvlText w:val="%5)"/>
      <w:lvlJc w:val="left"/>
      <w:pPr>
        <w:ind w:left="2440" w:hanging="440"/>
      </w:pPr>
    </w:lvl>
    <w:lvl w:ilvl="5">
      <w:start w:val="1"/>
      <w:numFmt w:val="lowerRoman"/>
      <w:isLgl w:val="false"/>
      <w:suff w:val="tab"/>
      <w:lvlText w:val="%6."/>
      <w:lvlJc w:val="right"/>
      <w:pPr>
        <w:ind w:left="2880" w:hanging="440"/>
      </w:pPr>
    </w:lvl>
    <w:lvl w:ilvl="6">
      <w:start w:val="1"/>
      <w:numFmt w:val="decimal"/>
      <w:isLgl w:val="false"/>
      <w:suff w:val="tab"/>
      <w:lvlText w:val="%7."/>
      <w:lvlJc w:val="left"/>
      <w:pPr>
        <w:ind w:left="3320" w:hanging="440"/>
      </w:pPr>
    </w:lvl>
    <w:lvl w:ilvl="7">
      <w:start w:val="1"/>
      <w:numFmt w:val="lowerLetter"/>
      <w:isLgl w:val="false"/>
      <w:suff w:val="tab"/>
      <w:lvlText w:val="%8)"/>
      <w:lvlJc w:val="left"/>
      <w:pPr>
        <w:ind w:left="3760" w:hanging="440"/>
      </w:pPr>
    </w:lvl>
    <w:lvl w:ilvl="8">
      <w:start w:val="1"/>
      <w:numFmt w:val="lowerRoman"/>
      <w:isLgl w:val="false"/>
      <w:suff w:val="tab"/>
      <w:lvlText w:val="%9."/>
      <w:lvlJc w:val="right"/>
      <w:pPr>
        <w:ind w:left="4200" w:hanging="440"/>
      </w:pPr>
    </w:lvl>
  </w:abstractNum>
  <w:abstractNum w:abstractNumId="4">
    <w:multiLevelType w:val="hybridMultilevel"/>
    <w:lvl w:ilvl="0">
      <w:start w:val="1"/>
      <w:numFmt w:val="bullet"/>
      <w:pStyle w:val="761"/>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1"/>
  </w:num>
  <w:num w:numId="4">
    <w:abstractNumId w:val="3"/>
  </w:num>
  <w:num w:numId="5">
    <w:abstractNumId w:val="2"/>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734"/>
    <w:next w:val="734"/>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735"/>
    <w:link w:val="690"/>
    <w:uiPriority w:val="9"/>
    <w:rPr>
      <w:rFonts w:ascii="Arial" w:hAnsi="Arial" w:eastAsia="Arial" w:cs="Arial"/>
      <w:sz w:val="40"/>
      <w:szCs w:val="40"/>
    </w:rPr>
  </w:style>
  <w:style w:type="paragraph" w:styleId="692">
    <w:name w:val="Heading 2"/>
    <w:basedOn w:val="734"/>
    <w:next w:val="734"/>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735"/>
    <w:link w:val="692"/>
    <w:uiPriority w:val="9"/>
    <w:rPr>
      <w:rFonts w:ascii="Arial" w:hAnsi="Arial" w:eastAsia="Arial" w:cs="Arial"/>
      <w:sz w:val="34"/>
    </w:rPr>
  </w:style>
  <w:style w:type="paragraph" w:styleId="694">
    <w:name w:val="Heading 3"/>
    <w:basedOn w:val="734"/>
    <w:next w:val="734"/>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basedOn w:val="735"/>
    <w:link w:val="694"/>
    <w:uiPriority w:val="9"/>
    <w:rPr>
      <w:rFonts w:ascii="Arial" w:hAnsi="Arial" w:eastAsia="Arial" w:cs="Arial"/>
      <w:sz w:val="30"/>
      <w:szCs w:val="30"/>
    </w:rPr>
  </w:style>
  <w:style w:type="paragraph" w:styleId="696">
    <w:name w:val="Heading 4"/>
    <w:basedOn w:val="734"/>
    <w:next w:val="734"/>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basedOn w:val="735"/>
    <w:link w:val="696"/>
    <w:uiPriority w:val="9"/>
    <w:rPr>
      <w:rFonts w:ascii="Arial" w:hAnsi="Arial" w:eastAsia="Arial" w:cs="Arial"/>
      <w:b/>
      <w:bCs/>
      <w:sz w:val="26"/>
      <w:szCs w:val="26"/>
    </w:rPr>
  </w:style>
  <w:style w:type="paragraph" w:styleId="698">
    <w:name w:val="Heading 5"/>
    <w:basedOn w:val="734"/>
    <w:next w:val="734"/>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735"/>
    <w:link w:val="698"/>
    <w:uiPriority w:val="9"/>
    <w:rPr>
      <w:rFonts w:ascii="Arial" w:hAnsi="Arial" w:eastAsia="Arial" w:cs="Arial"/>
      <w:b/>
      <w:bCs/>
      <w:sz w:val="24"/>
      <w:szCs w:val="24"/>
    </w:rPr>
  </w:style>
  <w:style w:type="paragraph" w:styleId="700">
    <w:name w:val="Heading 6"/>
    <w:basedOn w:val="734"/>
    <w:next w:val="734"/>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735"/>
    <w:link w:val="700"/>
    <w:uiPriority w:val="9"/>
    <w:rPr>
      <w:rFonts w:ascii="Arial" w:hAnsi="Arial" w:eastAsia="Arial" w:cs="Arial"/>
      <w:b/>
      <w:bCs/>
      <w:sz w:val="22"/>
      <w:szCs w:val="22"/>
    </w:rPr>
  </w:style>
  <w:style w:type="paragraph" w:styleId="702">
    <w:name w:val="Heading 7"/>
    <w:basedOn w:val="734"/>
    <w:next w:val="734"/>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735"/>
    <w:link w:val="702"/>
    <w:uiPriority w:val="9"/>
    <w:rPr>
      <w:rFonts w:ascii="Arial" w:hAnsi="Arial" w:eastAsia="Arial" w:cs="Arial"/>
      <w:b/>
      <w:bCs/>
      <w:i/>
      <w:iCs/>
      <w:sz w:val="22"/>
      <w:szCs w:val="22"/>
    </w:rPr>
  </w:style>
  <w:style w:type="paragraph" w:styleId="704">
    <w:name w:val="Heading 8"/>
    <w:basedOn w:val="734"/>
    <w:next w:val="734"/>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735"/>
    <w:link w:val="704"/>
    <w:uiPriority w:val="9"/>
    <w:rPr>
      <w:rFonts w:ascii="Arial" w:hAnsi="Arial" w:eastAsia="Arial" w:cs="Arial"/>
      <w:i/>
      <w:iCs/>
      <w:sz w:val="22"/>
      <w:szCs w:val="22"/>
    </w:rPr>
  </w:style>
  <w:style w:type="paragraph" w:styleId="706">
    <w:name w:val="Heading 9"/>
    <w:basedOn w:val="734"/>
    <w:next w:val="734"/>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735"/>
    <w:link w:val="706"/>
    <w:uiPriority w:val="9"/>
    <w:rPr>
      <w:rFonts w:ascii="Arial" w:hAnsi="Arial" w:eastAsia="Arial" w:cs="Arial"/>
      <w:i/>
      <w:iCs/>
      <w:sz w:val="21"/>
      <w:szCs w:val="21"/>
    </w:rPr>
  </w:style>
  <w:style w:type="character" w:styleId="708">
    <w:name w:val="Title Char"/>
    <w:basedOn w:val="735"/>
    <w:link w:val="760"/>
    <w:uiPriority w:val="10"/>
    <w:rPr>
      <w:sz w:val="48"/>
      <w:szCs w:val="48"/>
    </w:rPr>
  </w:style>
  <w:style w:type="character" w:styleId="709">
    <w:name w:val="Quote Char"/>
    <w:link w:val="829"/>
    <w:uiPriority w:val="29"/>
    <w:rPr>
      <w:i/>
    </w:rPr>
  </w:style>
  <w:style w:type="character" w:styleId="710">
    <w:name w:val="Intense Quote Char"/>
    <w:link w:val="831"/>
    <w:uiPriority w:val="30"/>
    <w:rPr>
      <w:i/>
    </w:rPr>
  </w:style>
  <w:style w:type="character" w:styleId="711">
    <w:name w:val="Header Char"/>
    <w:basedOn w:val="735"/>
    <w:link w:val="750"/>
    <w:uiPriority w:val="99"/>
  </w:style>
  <w:style w:type="character" w:styleId="712">
    <w:name w:val="Footer Char"/>
    <w:basedOn w:val="735"/>
    <w:link w:val="749"/>
    <w:uiPriority w:val="99"/>
  </w:style>
  <w:style w:type="paragraph" w:styleId="713">
    <w:name w:val="Caption"/>
    <w:basedOn w:val="734"/>
    <w:next w:val="734"/>
    <w:uiPriority w:val="35"/>
    <w:semiHidden/>
    <w:unhideWhenUsed/>
    <w:qFormat/>
    <w:pPr>
      <w:spacing w:line="276" w:lineRule="auto"/>
    </w:pPr>
    <w:rPr>
      <w:b/>
      <w:bCs/>
      <w:color w:val="4f81bd" w:themeColor="accent1"/>
      <w:sz w:val="18"/>
      <w:szCs w:val="18"/>
    </w:rPr>
  </w:style>
  <w:style w:type="table" w:styleId="714">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3">
    <w:name w:val="TOC Heading"/>
    <w:uiPriority w:val="39"/>
    <w:unhideWhenUsed/>
  </w:style>
  <w:style w:type="paragraph" w:styleId="734" w:default="1">
    <w:name w:val="Normal"/>
    <w:next w:val="737"/>
    <w:uiPriority w:val="0"/>
    <w:qFormat/>
    <w:pPr>
      <w:spacing w:after="200" w:line="276" w:lineRule="auto"/>
    </w:pPr>
    <w:rPr>
      <w:rFonts w:ascii="Arial" w:hAnsi="Arial" w:eastAsia="Arial" w:cs="Arial"/>
      <w:sz w:val="22"/>
      <w:szCs w:val="22"/>
      <w:lang w:val="en-US" w:eastAsia="en-US" w:bidi="ar-SA"/>
    </w:rPr>
  </w:style>
  <w:style w:type="character" w:styleId="735" w:default="1">
    <w:name w:val="Default Paragraph Font"/>
    <w:uiPriority w:val="1"/>
    <w:semiHidden/>
    <w:unhideWhenUsed/>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Body Text"/>
    <w:basedOn w:val="734"/>
    <w:next w:val="734"/>
    <w:uiPriority w:val="0"/>
    <w:qFormat/>
    <w:rPr>
      <w:rFonts w:ascii="楷体_GB2312" w:eastAsia="楷体_GB2312"/>
      <w:sz w:val="28"/>
    </w:rPr>
  </w:style>
  <w:style w:type="paragraph" w:styleId="738">
    <w:name w:val="toc 7"/>
    <w:basedOn w:val="734"/>
    <w:next w:val="734"/>
    <w:uiPriority w:val="39"/>
    <w:qFormat/>
    <w:pPr>
      <w:ind w:left="1701"/>
      <w:spacing w:after="57"/>
    </w:pPr>
  </w:style>
  <w:style w:type="paragraph" w:styleId="739">
    <w:name w:val="Normal Indent"/>
    <w:basedOn w:val="734"/>
    <w:next w:val="734"/>
    <w:uiPriority w:val="0"/>
    <w:qFormat/>
    <w:pPr>
      <w:ind w:firstLine="420"/>
    </w:pPr>
  </w:style>
  <w:style w:type="paragraph" w:styleId="740">
    <w:name w:val="Document Map"/>
    <w:basedOn w:val="734"/>
    <w:uiPriority w:val="99"/>
    <w:qFormat/>
    <w:pPr>
      <w:shd w:val="clear" w:color="auto" w:fill="000080"/>
    </w:pPr>
  </w:style>
  <w:style w:type="paragraph" w:styleId="741">
    <w:name w:val="annotation text"/>
    <w:basedOn w:val="734"/>
    <w:uiPriority w:val="99"/>
    <w:qFormat/>
    <w:rPr>
      <w:rFonts w:ascii="Calibri" w:hAnsi="Calibri"/>
    </w:rPr>
  </w:style>
  <w:style w:type="paragraph" w:styleId="742">
    <w:name w:val="Body Text Indent"/>
    <w:basedOn w:val="734"/>
    <w:next w:val="734"/>
    <w:uiPriority w:val="0"/>
    <w:qFormat/>
    <w:pPr>
      <w:ind w:firstLine="574"/>
      <w:spacing w:line="312" w:lineRule="atLeast"/>
    </w:pPr>
    <w:rPr>
      <w:rFonts w:ascii="宋体"/>
      <w:sz w:val="28"/>
    </w:rPr>
  </w:style>
  <w:style w:type="paragraph" w:styleId="743">
    <w:name w:val="toc 5"/>
    <w:basedOn w:val="734"/>
    <w:next w:val="734"/>
    <w:uiPriority w:val="39"/>
    <w:qFormat/>
    <w:pPr>
      <w:ind w:left="1134"/>
      <w:spacing w:after="57"/>
    </w:pPr>
  </w:style>
  <w:style w:type="paragraph" w:styleId="744">
    <w:name w:val="toc 3"/>
    <w:basedOn w:val="734"/>
    <w:next w:val="734"/>
    <w:uiPriority w:val="39"/>
    <w:qFormat/>
    <w:pPr>
      <w:ind w:left="567"/>
      <w:spacing w:after="57"/>
    </w:pPr>
  </w:style>
  <w:style w:type="paragraph" w:styleId="745">
    <w:name w:val="Plain Text"/>
    <w:basedOn w:val="734"/>
    <w:uiPriority w:val="99"/>
    <w:qFormat/>
    <w:rPr>
      <w:rFonts w:hint="eastAsia" w:ascii="宋体" w:hAnsi="Courier New" w:cs="Times New Roman"/>
    </w:rPr>
  </w:style>
  <w:style w:type="paragraph" w:styleId="746">
    <w:name w:val="toc 8"/>
    <w:basedOn w:val="734"/>
    <w:next w:val="734"/>
    <w:uiPriority w:val="39"/>
    <w:qFormat/>
    <w:pPr>
      <w:ind w:left="1984"/>
      <w:spacing w:after="57"/>
    </w:pPr>
  </w:style>
  <w:style w:type="paragraph" w:styleId="747">
    <w:name w:val="endnote text"/>
    <w:basedOn w:val="734"/>
    <w:link w:val="943"/>
    <w:uiPriority w:val="99"/>
    <w:qFormat/>
    <w:pPr>
      <w:spacing w:after="0" w:line="240" w:lineRule="auto"/>
    </w:pPr>
    <w:rPr>
      <w:sz w:val="20"/>
    </w:rPr>
  </w:style>
  <w:style w:type="paragraph" w:styleId="748">
    <w:name w:val="Balloon Text"/>
    <w:basedOn w:val="734"/>
    <w:link w:val="952"/>
    <w:uiPriority w:val="99"/>
    <w:qFormat/>
    <w:pPr>
      <w:spacing w:after="0" w:line="240" w:lineRule="auto"/>
    </w:pPr>
    <w:rPr>
      <w:sz w:val="18"/>
      <w:szCs w:val="18"/>
    </w:rPr>
  </w:style>
  <w:style w:type="paragraph" w:styleId="749">
    <w:name w:val="Footer"/>
    <w:basedOn w:val="734"/>
    <w:link w:val="959"/>
    <w:uiPriority w:val="99"/>
    <w:qFormat/>
    <w:pPr>
      <w:spacing w:line="240" w:lineRule="auto"/>
      <w:tabs>
        <w:tab w:val="center" w:pos="4153" w:leader="none"/>
        <w:tab w:val="right" w:pos="8306" w:leader="none"/>
      </w:tabs>
    </w:pPr>
    <w:rPr>
      <w:sz w:val="18"/>
      <w:szCs w:val="18"/>
    </w:rPr>
  </w:style>
  <w:style w:type="paragraph" w:styleId="750">
    <w:name w:val="Header"/>
    <w:basedOn w:val="734"/>
    <w:link w:val="958"/>
    <w:uiPriority w:val="99"/>
    <w:qFormat/>
    <w:pPr>
      <w:jc w:val="center"/>
      <w:spacing w:line="240" w:lineRule="auto"/>
      <w:tabs>
        <w:tab w:val="center" w:pos="4153" w:leader="none"/>
        <w:tab w:val="right" w:pos="8306" w:leader="none"/>
      </w:tabs>
      <w:pBdr>
        <w:bottom w:val="single" w:color="auto" w:sz="6" w:space="1"/>
      </w:pBdr>
    </w:pPr>
    <w:rPr>
      <w:sz w:val="18"/>
      <w:szCs w:val="18"/>
    </w:rPr>
  </w:style>
  <w:style w:type="paragraph" w:styleId="751">
    <w:name w:val="toc 1"/>
    <w:basedOn w:val="734"/>
    <w:next w:val="734"/>
    <w:uiPriority w:val="39"/>
    <w:qFormat/>
    <w:pPr>
      <w:spacing w:after="57"/>
    </w:pPr>
  </w:style>
  <w:style w:type="paragraph" w:styleId="752">
    <w:name w:val="toc 4"/>
    <w:basedOn w:val="734"/>
    <w:next w:val="734"/>
    <w:uiPriority w:val="39"/>
    <w:qFormat/>
    <w:pPr>
      <w:ind w:left="850"/>
      <w:spacing w:after="57"/>
    </w:pPr>
  </w:style>
  <w:style w:type="paragraph" w:styleId="753">
    <w:name w:val="Subtitle"/>
    <w:basedOn w:val="734"/>
    <w:next w:val="734"/>
    <w:link w:val="828"/>
    <w:uiPriority w:val="11"/>
    <w:qFormat/>
    <w:pPr>
      <w:spacing w:before="200"/>
    </w:pPr>
    <w:rPr>
      <w:sz w:val="24"/>
      <w:szCs w:val="24"/>
    </w:rPr>
  </w:style>
  <w:style w:type="paragraph" w:styleId="754">
    <w:name w:val="footnote text"/>
    <w:basedOn w:val="734"/>
    <w:link w:val="942"/>
    <w:uiPriority w:val="99"/>
    <w:qFormat/>
    <w:pPr>
      <w:spacing w:after="40" w:line="240" w:lineRule="auto"/>
    </w:pPr>
    <w:rPr>
      <w:sz w:val="18"/>
    </w:rPr>
  </w:style>
  <w:style w:type="paragraph" w:styleId="755">
    <w:name w:val="toc 6"/>
    <w:basedOn w:val="734"/>
    <w:next w:val="734"/>
    <w:uiPriority w:val="39"/>
    <w:qFormat/>
    <w:pPr>
      <w:ind w:left="1417"/>
      <w:spacing w:after="57"/>
    </w:pPr>
  </w:style>
  <w:style w:type="paragraph" w:styleId="756">
    <w:name w:val="table of figures"/>
    <w:basedOn w:val="734"/>
    <w:next w:val="734"/>
    <w:uiPriority w:val="99"/>
    <w:qFormat/>
    <w:pPr>
      <w:spacing w:after="0"/>
    </w:pPr>
  </w:style>
  <w:style w:type="paragraph" w:styleId="757">
    <w:name w:val="toc 2"/>
    <w:basedOn w:val="734"/>
    <w:next w:val="734"/>
    <w:uiPriority w:val="39"/>
    <w:qFormat/>
    <w:pPr>
      <w:ind w:left="283"/>
      <w:spacing w:after="57"/>
    </w:pPr>
  </w:style>
  <w:style w:type="paragraph" w:styleId="758">
    <w:name w:val="toc 9"/>
    <w:basedOn w:val="734"/>
    <w:next w:val="734"/>
    <w:uiPriority w:val="39"/>
    <w:qFormat/>
    <w:pPr>
      <w:ind w:left="2268"/>
      <w:spacing w:after="57"/>
    </w:pPr>
  </w:style>
  <w:style w:type="paragraph" w:styleId="759">
    <w:name w:val="Normal (Web)"/>
    <w:basedOn w:val="734"/>
    <w:uiPriority w:val="99"/>
    <w:qFormat/>
    <w:pPr>
      <w:spacing w:before="100" w:beforeAutospacing="1" w:after="100" w:afterAutospacing="1"/>
    </w:pPr>
    <w:rPr>
      <w:rFonts w:ascii="宋体" w:hAnsi="宋体" w:eastAsia="楷体_GB2312"/>
      <w:sz w:val="24"/>
    </w:rPr>
  </w:style>
  <w:style w:type="paragraph" w:styleId="760">
    <w:name w:val="Title"/>
    <w:basedOn w:val="734"/>
    <w:next w:val="734"/>
    <w:link w:val="827"/>
    <w:uiPriority w:val="10"/>
    <w:qFormat/>
    <w:pPr>
      <w:contextualSpacing/>
      <w:spacing w:before="300"/>
    </w:pPr>
    <w:rPr>
      <w:sz w:val="48"/>
      <w:szCs w:val="48"/>
    </w:rPr>
  </w:style>
  <w:style w:type="paragraph" w:styleId="761">
    <w:name w:val="Body Text First Indent"/>
    <w:basedOn w:val="737"/>
    <w:uiPriority w:val="0"/>
    <w:qFormat/>
    <w:pPr>
      <w:numPr>
        <w:ilvl w:val="0"/>
        <w:numId w:val="1"/>
      </w:numPr>
      <w:ind w:left="0" w:firstLine="420"/>
      <w:spacing w:after="120"/>
      <w:tabs>
        <w:tab w:val="clear" w:pos="780" w:leader="none"/>
      </w:tabs>
    </w:pPr>
    <w:rPr>
      <w:rFonts w:ascii="Tahoma" w:hAnsi="Tahoma" w:eastAsia="Times New Roman"/>
      <w:sz w:val="21"/>
      <w:szCs w:val="24"/>
    </w:rPr>
  </w:style>
  <w:style w:type="table" w:styleId="762">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basedOn w:val="735"/>
    <w:uiPriority w:val="22"/>
    <w:qFormat/>
    <w:rPr>
      <w:b/>
      <w:bCs/>
    </w:rPr>
  </w:style>
  <w:style w:type="character" w:styleId="764">
    <w:name w:val="endnote reference"/>
    <w:uiPriority w:val="99"/>
    <w:qFormat/>
    <w:rPr>
      <w:vertAlign w:val="superscript"/>
    </w:rPr>
  </w:style>
  <w:style w:type="character" w:styleId="765">
    <w:name w:val="page number"/>
    <w:uiPriority w:val="99"/>
    <w:qFormat/>
  </w:style>
  <w:style w:type="character" w:styleId="766">
    <w:name w:val="Hyperlink"/>
    <w:uiPriority w:val="99"/>
    <w:qFormat/>
    <w:rPr>
      <w:color w:val="0563c1"/>
      <w:u w:val="single"/>
    </w:rPr>
  </w:style>
  <w:style w:type="character" w:styleId="767">
    <w:name w:val="annotation reference"/>
    <w:uiPriority w:val="99"/>
    <w:qFormat/>
    <w:rPr>
      <w:sz w:val="21"/>
      <w:szCs w:val="21"/>
    </w:rPr>
  </w:style>
  <w:style w:type="character" w:styleId="768">
    <w:name w:val="footnote reference"/>
    <w:uiPriority w:val="99"/>
    <w:qFormat/>
    <w:rPr>
      <w:vertAlign w:val="superscript"/>
    </w:rPr>
  </w:style>
  <w:style w:type="character" w:styleId="769" w:customStyle="1">
    <w:name w:val="Heading 1 Char_bb6a77ba-7140-4165-8531-bd1a02f6090d"/>
    <w:basedOn w:val="735"/>
    <w:uiPriority w:val="9"/>
    <w:qFormat/>
    <w:rPr>
      <w:rFonts w:ascii="Arial" w:hAnsi="Arial" w:eastAsia="Arial" w:cs="Arial"/>
      <w:sz w:val="40"/>
      <w:szCs w:val="40"/>
    </w:rPr>
  </w:style>
  <w:style w:type="character" w:styleId="770" w:customStyle="1">
    <w:name w:val="Heading 2 Char_a111de1e-1e41-4f89-9583-374049debfd7"/>
    <w:basedOn w:val="735"/>
    <w:uiPriority w:val="9"/>
    <w:qFormat/>
    <w:rPr>
      <w:rFonts w:ascii="Arial" w:hAnsi="Arial" w:eastAsia="Arial" w:cs="Arial"/>
      <w:sz w:val="34"/>
    </w:rPr>
  </w:style>
  <w:style w:type="character" w:styleId="771" w:customStyle="1">
    <w:name w:val="Heading 3 Char_435a3243-a050-4c67-9db5-c725a91bd670"/>
    <w:basedOn w:val="735"/>
    <w:uiPriority w:val="9"/>
    <w:qFormat/>
    <w:rPr>
      <w:rFonts w:ascii="Arial" w:hAnsi="Arial" w:eastAsia="Arial" w:cs="Arial"/>
      <w:sz w:val="30"/>
      <w:szCs w:val="30"/>
    </w:rPr>
  </w:style>
  <w:style w:type="character" w:styleId="772" w:customStyle="1">
    <w:name w:val="Heading 4 Char_dbb6a1d2-e908-4e8a-9be7-ec16f22f39cc"/>
    <w:basedOn w:val="735"/>
    <w:uiPriority w:val="9"/>
    <w:qFormat/>
    <w:rPr>
      <w:rFonts w:ascii="Arial" w:hAnsi="Arial" w:eastAsia="Arial" w:cs="Arial"/>
      <w:b/>
      <w:bCs/>
      <w:sz w:val="26"/>
      <w:szCs w:val="26"/>
    </w:rPr>
  </w:style>
  <w:style w:type="character" w:styleId="773" w:customStyle="1">
    <w:name w:val="Heading 5 Char_6edbacdf-6a75-4505-b452-59b5ea3b8fe4"/>
    <w:basedOn w:val="735"/>
    <w:uiPriority w:val="9"/>
    <w:qFormat/>
    <w:rPr>
      <w:rFonts w:ascii="Arial" w:hAnsi="Arial" w:eastAsia="Arial" w:cs="Arial"/>
      <w:b/>
      <w:bCs/>
      <w:sz w:val="24"/>
      <w:szCs w:val="24"/>
    </w:rPr>
  </w:style>
  <w:style w:type="character" w:styleId="774" w:customStyle="1">
    <w:name w:val="Heading 6 Char_27a6887a-72ba-4c2d-bddc-ddf6a3d51d3b"/>
    <w:basedOn w:val="735"/>
    <w:uiPriority w:val="9"/>
    <w:qFormat/>
    <w:rPr>
      <w:rFonts w:ascii="Arial" w:hAnsi="Arial" w:eastAsia="Arial" w:cs="Arial"/>
      <w:b/>
      <w:bCs/>
      <w:sz w:val="22"/>
      <w:szCs w:val="22"/>
    </w:rPr>
  </w:style>
  <w:style w:type="character" w:styleId="775" w:customStyle="1">
    <w:name w:val="Heading 7 Char_44846031-b8fa-43d0-bfaa-912289af43d4"/>
    <w:basedOn w:val="735"/>
    <w:uiPriority w:val="9"/>
    <w:qFormat/>
    <w:rPr>
      <w:rFonts w:ascii="Arial" w:hAnsi="Arial" w:eastAsia="Arial" w:cs="Arial"/>
      <w:b/>
      <w:bCs/>
      <w:i/>
      <w:iCs/>
      <w:sz w:val="22"/>
      <w:szCs w:val="22"/>
    </w:rPr>
  </w:style>
  <w:style w:type="character" w:styleId="776" w:customStyle="1">
    <w:name w:val="Heading 8 Char_7a41dff1-3302-4004-8875-0e54e5fe899f"/>
    <w:basedOn w:val="735"/>
    <w:uiPriority w:val="9"/>
    <w:qFormat/>
    <w:rPr>
      <w:rFonts w:ascii="Arial" w:hAnsi="Arial" w:eastAsia="Arial" w:cs="Arial"/>
      <w:i/>
      <w:iCs/>
      <w:sz w:val="22"/>
      <w:szCs w:val="22"/>
    </w:rPr>
  </w:style>
  <w:style w:type="character" w:styleId="777" w:customStyle="1">
    <w:name w:val="Heading 9 Char_4064f7da-afe1-4051-958d-5875c985279b"/>
    <w:basedOn w:val="735"/>
    <w:uiPriority w:val="9"/>
    <w:qFormat/>
    <w:rPr>
      <w:rFonts w:ascii="Arial" w:hAnsi="Arial" w:eastAsia="Arial" w:cs="Arial"/>
      <w:i/>
      <w:iCs/>
      <w:sz w:val="21"/>
      <w:szCs w:val="21"/>
    </w:rPr>
  </w:style>
  <w:style w:type="character" w:styleId="778" w:customStyle="1">
    <w:name w:val="Title Char_1d665464-2284-4a09-a0e7-34f837921742"/>
    <w:basedOn w:val="735"/>
    <w:uiPriority w:val="10"/>
    <w:qFormat/>
    <w:rPr>
      <w:sz w:val="48"/>
      <w:szCs w:val="48"/>
    </w:rPr>
  </w:style>
  <w:style w:type="character" w:styleId="779" w:customStyle="1">
    <w:name w:val="Subtitle Char"/>
    <w:basedOn w:val="735"/>
    <w:uiPriority w:val="11"/>
    <w:qFormat/>
    <w:rPr>
      <w:sz w:val="24"/>
      <w:szCs w:val="24"/>
    </w:rPr>
  </w:style>
  <w:style w:type="character" w:styleId="780" w:customStyle="1">
    <w:name w:val="Quote Char_17c6aa29-0123-43d3-bc80-310647a46c35"/>
    <w:uiPriority w:val="29"/>
    <w:qFormat/>
    <w:rPr>
      <w:i/>
    </w:rPr>
  </w:style>
  <w:style w:type="character" w:styleId="781" w:customStyle="1">
    <w:name w:val="Intense Quote Char_05437a80-d532-4761-ad2b-ee12d0ddf8ec"/>
    <w:uiPriority w:val="30"/>
    <w:qFormat/>
    <w:rPr>
      <w:i/>
    </w:rPr>
  </w:style>
  <w:style w:type="character" w:styleId="782" w:customStyle="1">
    <w:name w:val="Header Char_8e3f5102-f0e4-464c-9120-b8d05e7c552c"/>
    <w:basedOn w:val="735"/>
    <w:uiPriority w:val="99"/>
    <w:qFormat/>
  </w:style>
  <w:style w:type="character" w:styleId="783" w:customStyle="1">
    <w:name w:val="Caption Char"/>
    <w:uiPriority w:val="99"/>
    <w:qFormat/>
  </w:style>
  <w:style w:type="table" w:styleId="784" w:customStyle="1">
    <w:name w:val="无格式表格 11"/>
    <w:basedOn w:val="73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3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3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3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3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3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90" w:customStyle="1">
    <w:name w:val="网格表 21"/>
    <w:basedOn w:val="736"/>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91" w:customStyle="1">
    <w:name w:val="网格表 31"/>
    <w:basedOn w:val="736"/>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3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3" w:customStyle="1">
    <w:name w:val="网格表 5 深色1"/>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4" w:customStyle="1">
    <w:name w:val="网格表 6 彩色1"/>
    <w:basedOn w:val="73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5" w:customStyle="1">
    <w:name w:val="网格表 7 彩色1"/>
    <w:basedOn w:val="736"/>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6" w:customStyle="1">
    <w:name w:val="清单表 1 浅色1"/>
    <w:basedOn w:val="736"/>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7" w:customStyle="1">
    <w:name w:val="清单表 21"/>
    <w:basedOn w:val="736"/>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8" w:customStyle="1">
    <w:name w:val="清单表 31"/>
    <w:basedOn w:val="73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9" w:customStyle="1">
    <w:name w:val="清单表 41"/>
    <w:basedOn w:val="73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0" w:customStyle="1">
    <w:name w:val="清单表 5 深色1"/>
    <w:basedOn w:val="736"/>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01" w:customStyle="1">
    <w:name w:val="清单表 6 彩色1"/>
    <w:basedOn w:val="736"/>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02" w:customStyle="1">
    <w:name w:val="清单表 7 彩色1"/>
    <w:basedOn w:val="736"/>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TOC 标题1"/>
    <w:uiPriority w:val="39"/>
    <w:qFormat/>
    <w:rPr>
      <w:rFonts w:ascii="Times New Roman" w:hAnsi="Times New Roman" w:eastAsia="宋体" w:cs="Times New Roman"/>
      <w:lang w:val="en-US" w:eastAsia="zh-CN" w:bidi="ar-SA"/>
    </w:rPr>
  </w:style>
  <w:style w:type="paragraph" w:styleId="806" w:customStyle="1">
    <w:name w:val="标题 11"/>
    <w:basedOn w:val="734"/>
    <w:next w:val="734"/>
    <w:link w:val="818"/>
    <w:uiPriority w:val="9"/>
    <w:qFormat/>
    <w:pPr>
      <w:keepLines/>
      <w:keepNext/>
      <w:spacing w:before="480"/>
      <w:outlineLvl w:val="0"/>
    </w:pPr>
    <w:rPr>
      <w:sz w:val="40"/>
      <w:szCs w:val="40"/>
    </w:rPr>
  </w:style>
  <w:style w:type="paragraph" w:styleId="807" w:customStyle="1">
    <w:name w:val="标题 21"/>
    <w:basedOn w:val="734"/>
    <w:next w:val="734"/>
    <w:link w:val="819"/>
    <w:uiPriority w:val="9"/>
    <w:qFormat/>
    <w:pPr>
      <w:keepLines/>
      <w:keepNext/>
      <w:spacing w:before="360"/>
      <w:outlineLvl w:val="1"/>
    </w:pPr>
    <w:rPr>
      <w:sz w:val="34"/>
    </w:rPr>
  </w:style>
  <w:style w:type="paragraph" w:styleId="808" w:customStyle="1">
    <w:name w:val="标题 31"/>
    <w:basedOn w:val="734"/>
    <w:next w:val="734"/>
    <w:link w:val="820"/>
    <w:uiPriority w:val="9"/>
    <w:qFormat/>
    <w:pPr>
      <w:keepLines/>
      <w:keepNext/>
      <w:spacing w:before="320"/>
      <w:outlineLvl w:val="2"/>
    </w:pPr>
    <w:rPr>
      <w:sz w:val="30"/>
      <w:szCs w:val="30"/>
    </w:rPr>
  </w:style>
  <w:style w:type="paragraph" w:styleId="809" w:customStyle="1">
    <w:name w:val="标题 41"/>
    <w:basedOn w:val="734"/>
    <w:next w:val="734"/>
    <w:link w:val="821"/>
    <w:uiPriority w:val="9"/>
    <w:qFormat/>
    <w:pPr>
      <w:keepLines/>
      <w:keepNext/>
      <w:spacing w:before="320"/>
      <w:outlineLvl w:val="3"/>
    </w:pPr>
    <w:rPr>
      <w:b/>
      <w:bCs/>
      <w:sz w:val="26"/>
      <w:szCs w:val="26"/>
    </w:rPr>
  </w:style>
  <w:style w:type="paragraph" w:styleId="810" w:customStyle="1">
    <w:name w:val="标题 51"/>
    <w:basedOn w:val="734"/>
    <w:next w:val="734"/>
    <w:link w:val="822"/>
    <w:uiPriority w:val="9"/>
    <w:qFormat/>
    <w:pPr>
      <w:keepLines/>
      <w:keepNext/>
      <w:spacing w:before="320"/>
      <w:outlineLvl w:val="4"/>
    </w:pPr>
    <w:rPr>
      <w:b/>
      <w:bCs/>
      <w:sz w:val="24"/>
      <w:szCs w:val="24"/>
    </w:rPr>
  </w:style>
  <w:style w:type="paragraph" w:styleId="811" w:customStyle="1">
    <w:name w:val="标题 61"/>
    <w:basedOn w:val="734"/>
    <w:next w:val="734"/>
    <w:link w:val="823"/>
    <w:uiPriority w:val="9"/>
    <w:qFormat/>
    <w:pPr>
      <w:keepLines/>
      <w:keepNext/>
      <w:spacing w:before="320"/>
      <w:outlineLvl w:val="5"/>
    </w:pPr>
    <w:rPr>
      <w:b/>
      <w:bCs/>
    </w:rPr>
  </w:style>
  <w:style w:type="paragraph" w:styleId="812" w:customStyle="1">
    <w:name w:val="标题 71"/>
    <w:basedOn w:val="734"/>
    <w:next w:val="734"/>
    <w:link w:val="824"/>
    <w:uiPriority w:val="9"/>
    <w:qFormat/>
    <w:pPr>
      <w:keepLines/>
      <w:keepNext/>
      <w:spacing w:before="320"/>
      <w:outlineLvl w:val="6"/>
    </w:pPr>
    <w:rPr>
      <w:b/>
      <w:bCs/>
      <w:i/>
      <w:iCs/>
    </w:rPr>
  </w:style>
  <w:style w:type="paragraph" w:styleId="813" w:customStyle="1">
    <w:name w:val="标题 81"/>
    <w:basedOn w:val="734"/>
    <w:next w:val="734"/>
    <w:link w:val="825"/>
    <w:uiPriority w:val="9"/>
    <w:qFormat/>
    <w:pPr>
      <w:keepLines/>
      <w:keepNext/>
      <w:spacing w:before="320"/>
      <w:outlineLvl w:val="7"/>
    </w:pPr>
    <w:rPr>
      <w:i/>
      <w:iCs/>
    </w:rPr>
  </w:style>
  <w:style w:type="paragraph" w:styleId="814" w:customStyle="1">
    <w:name w:val="标题 91"/>
    <w:basedOn w:val="734"/>
    <w:next w:val="734"/>
    <w:link w:val="826"/>
    <w:uiPriority w:val="9"/>
    <w:qFormat/>
    <w:pPr>
      <w:keepLines/>
      <w:keepNext/>
      <w:spacing w:before="320"/>
      <w:outlineLvl w:val="8"/>
    </w:pPr>
    <w:rPr>
      <w:i/>
      <w:iCs/>
      <w:sz w:val="21"/>
      <w:szCs w:val="21"/>
    </w:rPr>
  </w:style>
  <w:style w:type="paragraph" w:styleId="815" w:customStyle="1">
    <w:name w:val="题注1"/>
    <w:basedOn w:val="734"/>
    <w:next w:val="734"/>
    <w:uiPriority w:val="35"/>
    <w:qFormat/>
    <w:rPr>
      <w:b/>
      <w:bCs/>
      <w:color w:val="5b9bd5"/>
      <w:sz w:val="18"/>
      <w:szCs w:val="18"/>
    </w:rPr>
  </w:style>
  <w:style w:type="paragraph" w:styleId="816" w:customStyle="1">
    <w:name w:val="页脚1"/>
    <w:basedOn w:val="734"/>
    <w:link w:val="835"/>
    <w:uiPriority w:val="99"/>
    <w:qFormat/>
    <w:pPr>
      <w:spacing w:after="0" w:line="240" w:lineRule="auto"/>
      <w:tabs>
        <w:tab w:val="center" w:pos="7143" w:leader="none"/>
        <w:tab w:val="right" w:pos="14287" w:leader="none"/>
      </w:tabs>
    </w:pPr>
  </w:style>
  <w:style w:type="paragraph" w:styleId="817" w:customStyle="1">
    <w:name w:val="页眉1"/>
    <w:basedOn w:val="734"/>
    <w:link w:val="833"/>
    <w:uiPriority w:val="99"/>
    <w:qFormat/>
    <w:pPr>
      <w:spacing w:after="0" w:line="240" w:lineRule="auto"/>
      <w:tabs>
        <w:tab w:val="center" w:pos="7143" w:leader="none"/>
        <w:tab w:val="right" w:pos="14287" w:leader="none"/>
      </w:tabs>
    </w:pPr>
  </w:style>
  <w:style w:type="character" w:styleId="818" w:customStyle="1">
    <w:name w:val="标题 1 字符"/>
    <w:link w:val="806"/>
    <w:uiPriority w:val="9"/>
    <w:qFormat/>
    <w:rPr>
      <w:rFonts w:ascii="Arial" w:hAnsi="Arial" w:eastAsia="Arial" w:cs="Arial"/>
      <w:sz w:val="40"/>
      <w:szCs w:val="40"/>
    </w:rPr>
  </w:style>
  <w:style w:type="character" w:styleId="819" w:customStyle="1">
    <w:name w:val="标题 2 字符"/>
    <w:link w:val="807"/>
    <w:uiPriority w:val="9"/>
    <w:qFormat/>
    <w:rPr>
      <w:rFonts w:ascii="Arial" w:hAnsi="Arial" w:eastAsia="Arial" w:cs="Arial"/>
      <w:sz w:val="34"/>
    </w:rPr>
  </w:style>
  <w:style w:type="character" w:styleId="820" w:customStyle="1">
    <w:name w:val="标题 3 字符"/>
    <w:link w:val="808"/>
    <w:uiPriority w:val="9"/>
    <w:qFormat/>
    <w:rPr>
      <w:rFonts w:ascii="Arial" w:hAnsi="Arial" w:eastAsia="Arial" w:cs="Arial"/>
      <w:sz w:val="30"/>
      <w:szCs w:val="30"/>
    </w:rPr>
  </w:style>
  <w:style w:type="character" w:styleId="821" w:customStyle="1">
    <w:name w:val="标题 4 字符"/>
    <w:link w:val="809"/>
    <w:uiPriority w:val="9"/>
    <w:qFormat/>
    <w:rPr>
      <w:rFonts w:ascii="Arial" w:hAnsi="Arial" w:eastAsia="Arial" w:cs="Arial"/>
      <w:b/>
      <w:bCs/>
      <w:sz w:val="26"/>
      <w:szCs w:val="26"/>
    </w:rPr>
  </w:style>
  <w:style w:type="character" w:styleId="822" w:customStyle="1">
    <w:name w:val="标题 5 字符"/>
    <w:link w:val="810"/>
    <w:uiPriority w:val="9"/>
    <w:qFormat/>
    <w:rPr>
      <w:rFonts w:ascii="Arial" w:hAnsi="Arial" w:eastAsia="Arial" w:cs="Arial"/>
      <w:b/>
      <w:bCs/>
      <w:sz w:val="24"/>
      <w:szCs w:val="24"/>
    </w:rPr>
  </w:style>
  <w:style w:type="character" w:styleId="823" w:customStyle="1">
    <w:name w:val="标题 6 字符"/>
    <w:link w:val="811"/>
    <w:uiPriority w:val="9"/>
    <w:qFormat/>
    <w:rPr>
      <w:rFonts w:ascii="Arial" w:hAnsi="Arial" w:eastAsia="Arial" w:cs="Arial"/>
      <w:b/>
      <w:bCs/>
      <w:sz w:val="22"/>
      <w:szCs w:val="22"/>
    </w:rPr>
  </w:style>
  <w:style w:type="character" w:styleId="824" w:customStyle="1">
    <w:name w:val="标题 7 字符"/>
    <w:link w:val="812"/>
    <w:uiPriority w:val="9"/>
    <w:qFormat/>
    <w:rPr>
      <w:rFonts w:ascii="Arial" w:hAnsi="Arial" w:eastAsia="Arial" w:cs="Arial"/>
      <w:b/>
      <w:bCs/>
      <w:i/>
      <w:iCs/>
      <w:sz w:val="22"/>
      <w:szCs w:val="22"/>
    </w:rPr>
  </w:style>
  <w:style w:type="character" w:styleId="825" w:customStyle="1">
    <w:name w:val="标题 8 字符"/>
    <w:link w:val="813"/>
    <w:uiPriority w:val="9"/>
    <w:qFormat/>
    <w:rPr>
      <w:rFonts w:ascii="Arial" w:hAnsi="Arial" w:eastAsia="Arial" w:cs="Arial"/>
      <w:i/>
      <w:iCs/>
      <w:sz w:val="22"/>
      <w:szCs w:val="22"/>
    </w:rPr>
  </w:style>
  <w:style w:type="character" w:styleId="826" w:customStyle="1">
    <w:name w:val="标题 9 字符"/>
    <w:link w:val="814"/>
    <w:uiPriority w:val="9"/>
    <w:qFormat/>
    <w:rPr>
      <w:rFonts w:ascii="Arial" w:hAnsi="Arial" w:eastAsia="Arial" w:cs="Arial"/>
      <w:i/>
      <w:iCs/>
      <w:sz w:val="21"/>
      <w:szCs w:val="21"/>
    </w:rPr>
  </w:style>
  <w:style w:type="character" w:styleId="827" w:customStyle="1">
    <w:name w:val="标题 字符"/>
    <w:link w:val="760"/>
    <w:uiPriority w:val="10"/>
    <w:qFormat/>
    <w:rPr>
      <w:sz w:val="48"/>
      <w:szCs w:val="48"/>
    </w:rPr>
  </w:style>
  <w:style w:type="character" w:styleId="828" w:customStyle="1">
    <w:name w:val="副标题 字符"/>
    <w:link w:val="753"/>
    <w:uiPriority w:val="11"/>
    <w:qFormat/>
    <w:rPr>
      <w:sz w:val="24"/>
      <w:szCs w:val="24"/>
    </w:rPr>
  </w:style>
  <w:style w:type="paragraph" w:styleId="829">
    <w:name w:val="Quote"/>
    <w:basedOn w:val="734"/>
    <w:next w:val="734"/>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34"/>
    <w:next w:val="734"/>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817"/>
    <w:uiPriority w:val="99"/>
    <w:qFormat/>
  </w:style>
  <w:style w:type="character" w:styleId="834" w:customStyle="1">
    <w:name w:val="Footer Char_16a83484-10c2-428e-bab9-1e71f910a068"/>
    <w:uiPriority w:val="99"/>
    <w:qFormat/>
  </w:style>
  <w:style w:type="character" w:styleId="835" w:customStyle="1">
    <w:name w:val="页脚 字符"/>
    <w:link w:val="816"/>
    <w:uiPriority w:val="99"/>
    <w:qFormat/>
  </w:style>
  <w:style w:type="table" w:styleId="836" w:customStyle="1">
    <w:name w:val="Table Grid Light"/>
    <w:basedOn w:val="73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37" w:customStyle="1">
    <w:name w:val="Grid Table 1 Light - Accent 1"/>
    <w:basedOn w:val="736"/>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36"/>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36"/>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36"/>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36"/>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36"/>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43" w:customStyle="1">
    <w:name w:val="Grid Table 2 - Accent 1"/>
    <w:basedOn w:val="736"/>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844" w:customStyle="1">
    <w:name w:val="Grid Table 2 - Accent 2"/>
    <w:basedOn w:val="736"/>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845" w:customStyle="1">
    <w:name w:val="Grid Table 2 - Accent 3"/>
    <w:basedOn w:val="736"/>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46" w:customStyle="1">
    <w:name w:val="Grid Table 2 - Accent 4"/>
    <w:basedOn w:val="736"/>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847" w:customStyle="1">
    <w:name w:val="Grid Table 2 - Accent 5"/>
    <w:basedOn w:val="736"/>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48" w:customStyle="1">
    <w:name w:val="Grid Table 2 - Accent 6"/>
    <w:basedOn w:val="736"/>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49" w:customStyle="1">
    <w:name w:val="Grid Table 3 - Accent 1"/>
    <w:basedOn w:val="736"/>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36"/>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36"/>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36"/>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36"/>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36"/>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 Accent 1"/>
    <w:basedOn w:val="736"/>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856" w:customStyle="1">
    <w:name w:val="Grid Table 4 - Accent 2"/>
    <w:basedOn w:val="736"/>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857" w:customStyle="1">
    <w:name w:val="Grid Table 4 - Accent 3"/>
    <w:basedOn w:val="736"/>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58" w:customStyle="1">
    <w:name w:val="Grid Table 4 - Accent 4"/>
    <w:basedOn w:val="736"/>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859" w:customStyle="1">
    <w:name w:val="Grid Table 4 - Accent 5"/>
    <w:basedOn w:val="736"/>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60" w:customStyle="1">
    <w:name w:val="Grid Table 4 - Accent 6"/>
    <w:basedOn w:val="736"/>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61" w:customStyle="1">
    <w:name w:val="Grid Table 5 Dark- Accent 1"/>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62" w:customStyle="1">
    <w:name w:val="Grid Table 5 Dark - Accent 2"/>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63" w:customStyle="1">
    <w:name w:val="Grid Table 5 Dark - Accent 3"/>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64" w:customStyle="1">
    <w:name w:val="Grid Table 5 Dark- Accent 4"/>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65" w:customStyle="1">
    <w:name w:val="Grid Table 5 Dark - Accent 5"/>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66" w:customStyle="1">
    <w:name w:val="Grid Table 5 Dark - Accent 6"/>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67" w:customStyle="1">
    <w:name w:val="Grid Table 6 Colorful - Accent 1"/>
    <w:basedOn w:val="736"/>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868" w:customStyle="1">
    <w:name w:val="Grid Table 6 Colorful - Accent 2"/>
    <w:basedOn w:val="736"/>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869" w:customStyle="1">
    <w:name w:val="Grid Table 6 Colorful - Accent 3"/>
    <w:basedOn w:val="736"/>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70" w:customStyle="1">
    <w:name w:val="Grid Table 6 Colorful - Accent 4"/>
    <w:basedOn w:val="736"/>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871" w:customStyle="1">
    <w:name w:val="Grid Table 6 Colorful - Accent 5"/>
    <w:basedOn w:val="736"/>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872" w:customStyle="1">
    <w:name w:val="Grid Table 6 Colorful - Accent 6"/>
    <w:basedOn w:val="736"/>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873" w:customStyle="1">
    <w:name w:val="Grid Table 7 Colorful - Accent 1"/>
    <w:basedOn w:val="736"/>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874" w:customStyle="1">
    <w:name w:val="Grid Table 7 Colorful - Accent 2"/>
    <w:basedOn w:val="736"/>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875" w:customStyle="1">
    <w:name w:val="Grid Table 7 Colorful - Accent 3"/>
    <w:basedOn w:val="736"/>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76" w:customStyle="1">
    <w:name w:val="Grid Table 7 Colorful - Accent 4"/>
    <w:basedOn w:val="736"/>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877" w:customStyle="1">
    <w:name w:val="Grid Table 7 Colorful - Accent 5"/>
    <w:basedOn w:val="736"/>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78" w:customStyle="1">
    <w:name w:val="Grid Table 7 Colorful - Accent 6"/>
    <w:basedOn w:val="736"/>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79" w:customStyle="1">
    <w:name w:val="List Table 1 Light - Accent 1"/>
    <w:basedOn w:val="736"/>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80" w:customStyle="1">
    <w:name w:val="List Table 1 Light - Accent 2"/>
    <w:basedOn w:val="736"/>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81" w:customStyle="1">
    <w:name w:val="List Table 1 Light - Accent 3"/>
    <w:basedOn w:val="736"/>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82" w:customStyle="1">
    <w:name w:val="List Table 1 Light - Accent 4"/>
    <w:basedOn w:val="736"/>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83" w:customStyle="1">
    <w:name w:val="List Table 1 Light - Accent 5"/>
    <w:basedOn w:val="736"/>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84" w:customStyle="1">
    <w:name w:val="List Table 1 Light - Accent 6"/>
    <w:basedOn w:val="736"/>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885" w:customStyle="1">
    <w:name w:val="List Table 2 - Accent 1"/>
    <w:basedOn w:val="736"/>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886" w:customStyle="1">
    <w:name w:val="List Table 2 - Accent 2"/>
    <w:basedOn w:val="736"/>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887" w:customStyle="1">
    <w:name w:val="List Table 2 - Accent 3"/>
    <w:basedOn w:val="736"/>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888" w:customStyle="1">
    <w:name w:val="List Table 2 - Accent 4"/>
    <w:basedOn w:val="736"/>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889" w:customStyle="1">
    <w:name w:val="List Table 2 - Accent 5"/>
    <w:basedOn w:val="736"/>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890" w:customStyle="1">
    <w:name w:val="List Table 2 - Accent 6"/>
    <w:basedOn w:val="736"/>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891" w:customStyle="1">
    <w:name w:val="List Table 3 - Accent 1"/>
    <w:basedOn w:val="736"/>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92" w:customStyle="1">
    <w:name w:val="List Table 3 - Accent 2"/>
    <w:basedOn w:val="736"/>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893" w:customStyle="1">
    <w:name w:val="List Table 3 - Accent 3"/>
    <w:basedOn w:val="736"/>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94" w:customStyle="1">
    <w:name w:val="List Table 3 - Accent 4"/>
    <w:basedOn w:val="736"/>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895" w:customStyle="1">
    <w:name w:val="List Table 3 - Accent 5"/>
    <w:basedOn w:val="736"/>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896" w:customStyle="1">
    <w:name w:val="List Table 3 - Accent 6"/>
    <w:basedOn w:val="736"/>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97" w:customStyle="1">
    <w:name w:val="List Table 4 - Accent 1"/>
    <w:basedOn w:val="736"/>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98" w:customStyle="1">
    <w:name w:val="List Table 4 - Accent 2"/>
    <w:basedOn w:val="736"/>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99" w:customStyle="1">
    <w:name w:val="List Table 4 - Accent 3"/>
    <w:basedOn w:val="736"/>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00" w:customStyle="1">
    <w:name w:val="List Table 4 - Accent 4"/>
    <w:basedOn w:val="736"/>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01" w:customStyle="1">
    <w:name w:val="List Table 4 - Accent 5"/>
    <w:basedOn w:val="736"/>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02" w:customStyle="1">
    <w:name w:val="List Table 4 - Accent 6"/>
    <w:basedOn w:val="736"/>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03" w:customStyle="1">
    <w:name w:val="List Table 5 Dark - Accent 1"/>
    <w:basedOn w:val="736"/>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04" w:customStyle="1">
    <w:name w:val="List Table 5 Dark - Accent 2"/>
    <w:basedOn w:val="736"/>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905" w:customStyle="1">
    <w:name w:val="List Table 5 Dark - Accent 3"/>
    <w:basedOn w:val="736"/>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06" w:customStyle="1">
    <w:name w:val="List Table 5 Dark - Accent 4"/>
    <w:basedOn w:val="736"/>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907" w:customStyle="1">
    <w:name w:val="List Table 5 Dark - Accent 5"/>
    <w:basedOn w:val="736"/>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908" w:customStyle="1">
    <w:name w:val="List Table 5 Dark - Accent 6"/>
    <w:basedOn w:val="736"/>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09" w:customStyle="1">
    <w:name w:val="List Table 6 Colorful - Accent 1"/>
    <w:basedOn w:val="736"/>
    <w:uiPriority w:val="99"/>
    <w:qFormat/>
    <w:tblPr>
      <w:tblBorders>
        <w:top w:val="single" w:color="5B9BD5" w:sz="4" w:space="0"/>
        <w:bottom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4" w:space="0"/>
        </w:tcBorders>
      </w:tcPr>
    </w:tblStylePr>
    <w:tblStylePr w:type="lastCol">
      <w:rPr>
        <w:b/>
        <w:color w:val="245a8c"/>
      </w:rPr>
    </w:tblStylePr>
    <w:tblStylePr w:type="lastRow">
      <w:rPr>
        <w:b/>
        <w:color w:val="245a8c"/>
      </w:rPr>
      <w:tcPr>
        <w:tcBorders>
          <w:top w:val="single" w:color="5B9BD5" w:sz="4" w:space="0"/>
        </w:tcBorders>
      </w:tcPr>
    </w:tblStylePr>
  </w:style>
  <w:style w:type="table" w:styleId="910" w:customStyle="1">
    <w:name w:val="List Table 6 Colorful - Accent 2"/>
    <w:basedOn w:val="736"/>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911" w:customStyle="1">
    <w:name w:val="List Table 6 Colorful - Accent 3"/>
    <w:basedOn w:val="736"/>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12" w:customStyle="1">
    <w:name w:val="List Table 6 Colorful - Accent 4"/>
    <w:basedOn w:val="736"/>
    <w:uiPriority w:val="99"/>
    <w:qFormat/>
    <w:tblPr>
      <w:tblBorders>
        <w:top w:val="single" w:color="FFD865" w:sz="4" w:space="0"/>
        <w:bottom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913" w:customStyle="1">
    <w:name w:val="List Table 6 Colorful - Accent 5"/>
    <w:basedOn w:val="736"/>
    <w:uiPriority w:val="99"/>
    <w:qFormat/>
    <w:tblPr>
      <w:tblBorders>
        <w:top w:val="single" w:color="8DA9DB" w:sz="4" w:space="0"/>
        <w:bottom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DA9DB" w:sz="4" w:space="0"/>
        </w:tcBorders>
      </w:tcPr>
    </w:tblStylePr>
    <w:tblStylePr w:type="lastCol">
      <w:rPr>
        <w:b/>
        <w:color w:val="8eaadb"/>
      </w:rPr>
    </w:tblStylePr>
    <w:tblStylePr w:type="lastRow">
      <w:rPr>
        <w:b/>
        <w:color w:val="8eaadb"/>
      </w:rPr>
      <w:tcPr>
        <w:tcBorders>
          <w:top w:val="single" w:color="8DA9DB" w:sz="4" w:space="0"/>
        </w:tcBorders>
      </w:tcPr>
    </w:tblStylePr>
  </w:style>
  <w:style w:type="table" w:styleId="914" w:customStyle="1">
    <w:name w:val="List Table 6 Colorful - Accent 6"/>
    <w:basedOn w:val="736"/>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15" w:customStyle="1">
    <w:name w:val="List Table 7 Colorful - Accent 1"/>
    <w:basedOn w:val="736"/>
    <w:uiPriority w:val="99"/>
    <w:qFormat/>
    <w:tblPr>
      <w:tblBorders>
        <w:right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16" w:customStyle="1">
    <w:name w:val="List Table 7 Colorful - Accent 2"/>
    <w:basedOn w:val="736"/>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917" w:customStyle="1">
    <w:name w:val="List Table 7 Colorful - Accent 3"/>
    <w:basedOn w:val="736"/>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18" w:customStyle="1">
    <w:name w:val="List Table 7 Colorful - Accent 4"/>
    <w:basedOn w:val="736"/>
    <w:uiPriority w:val="99"/>
    <w:qFormat/>
    <w:tblPr>
      <w:tblBorders>
        <w:right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919" w:customStyle="1">
    <w:name w:val="List Table 7 Colorful - Accent 5"/>
    <w:basedOn w:val="736"/>
    <w:uiPriority w:val="99"/>
    <w:qFormat/>
    <w:tblPr>
      <w:tblBorders>
        <w:right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920" w:customStyle="1">
    <w:name w:val="List Table 7 Colorful - Accent 6"/>
    <w:basedOn w:val="736"/>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21"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2"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923"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24"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25"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26"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27"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28" w:customStyle="1">
    <w:name w:val="Bordered &amp; Lined - Accent"/>
    <w:basedOn w:val="736"/>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9" w:customStyle="1">
    <w:name w:val="Bordered &amp; Lined - Accent 1"/>
    <w:basedOn w:val="736"/>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930" w:customStyle="1">
    <w:name w:val="Bordered &amp; Lined - Accent 2"/>
    <w:basedOn w:val="736"/>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31" w:customStyle="1">
    <w:name w:val="Bordered &amp; Lined - Accent 3"/>
    <w:basedOn w:val="736"/>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32" w:customStyle="1">
    <w:name w:val="Bordered &amp; Lined - Accent 4"/>
    <w:basedOn w:val="736"/>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33" w:customStyle="1">
    <w:name w:val="Bordered &amp; Lined - Accent 5"/>
    <w:basedOn w:val="736"/>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34" w:customStyle="1">
    <w:name w:val="Bordered &amp; Lined - Accent 6"/>
    <w:basedOn w:val="736"/>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35" w:customStyle="1">
    <w:name w:val="Bordered"/>
    <w:basedOn w:val="736"/>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36" w:customStyle="1">
    <w:name w:val="Bordered - Accent 1"/>
    <w:basedOn w:val="736"/>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37" w:customStyle="1">
    <w:name w:val="Bordered - Accent 2"/>
    <w:basedOn w:val="736"/>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938" w:customStyle="1">
    <w:name w:val="Bordered - Accent 3"/>
    <w:basedOn w:val="736"/>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39" w:customStyle="1">
    <w:name w:val="Bordered - Accent 4"/>
    <w:basedOn w:val="736"/>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940" w:customStyle="1">
    <w:name w:val="Bordered - Accent 5"/>
    <w:basedOn w:val="736"/>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941" w:customStyle="1">
    <w:name w:val="Bordered - Accent 6"/>
    <w:basedOn w:val="736"/>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42" w:customStyle="1">
    <w:name w:val="脚注文本 字符"/>
    <w:link w:val="754"/>
    <w:uiPriority w:val="99"/>
    <w:qFormat/>
    <w:rPr>
      <w:sz w:val="18"/>
    </w:rPr>
  </w:style>
  <w:style w:type="character" w:styleId="943" w:customStyle="1">
    <w:name w:val="尾注文本 字符"/>
    <w:link w:val="747"/>
    <w:uiPriority w:val="99"/>
    <w:qFormat/>
    <w:rPr>
      <w:sz w:val="20"/>
    </w:rPr>
  </w:style>
  <w:style w:type="paragraph" w:styleId="944" w:customStyle="1">
    <w:name w:val="TOC 标题11"/>
    <w:uiPriority w:val="39"/>
    <w:qFormat/>
    <w:pPr>
      <w:spacing w:after="200" w:line="276" w:lineRule="auto"/>
    </w:pPr>
    <w:rPr>
      <w:rFonts w:ascii="Arial" w:hAnsi="Arial" w:eastAsia="Arial" w:cs="Arial"/>
      <w:sz w:val="22"/>
      <w:szCs w:val="22"/>
      <w:lang w:val="en-US" w:eastAsia="en-US" w:bidi="ar-SA"/>
    </w:rPr>
  </w:style>
  <w:style w:type="paragraph" w:styleId="945">
    <w:name w:val="No Spacing"/>
    <w:basedOn w:val="734"/>
    <w:uiPriority w:val="1"/>
    <w:qFormat/>
    <w:pPr>
      <w:spacing w:after="0" w:line="240" w:lineRule="auto"/>
    </w:pPr>
  </w:style>
  <w:style w:type="paragraph" w:styleId="946">
    <w:name w:val="List Paragraph"/>
    <w:basedOn w:val="734"/>
    <w:uiPriority w:val="34"/>
    <w:qFormat/>
    <w:pPr>
      <w:contextualSpacing/>
      <w:ind w:left="720"/>
    </w:pPr>
  </w:style>
  <w:style w:type="paragraph" w:styleId="947" w:customStyle="1">
    <w:name w:val="Plain Text2"/>
    <w:basedOn w:val="734"/>
    <w:uiPriority w:val="99"/>
    <w:qFormat/>
    <w:rPr>
      <w:rFonts w:ascii="宋体" w:hAnsi="Courier New" w:eastAsia="楷体_GB2312"/>
      <w:sz w:val="28"/>
    </w:rPr>
  </w:style>
  <w:style w:type="paragraph" w:styleId="948" w:customStyle="1">
    <w:name w:val="纯文本6"/>
    <w:basedOn w:val="734"/>
    <w:uiPriority w:val="0"/>
    <w:qFormat/>
    <w:rPr>
      <w:rFonts w:ascii="宋体" w:hAnsi="Courier New" w:eastAsia="楷体_GB2312"/>
      <w:sz w:val="26"/>
    </w:rPr>
  </w:style>
  <w:style w:type="paragraph" w:styleId="949" w:customStyle="1">
    <w:name w:val="_正文"/>
    <w:basedOn w:val="734"/>
    <w:uiPriority w:val="0"/>
    <w:qFormat/>
    <w:pPr>
      <w:ind w:firstLine="200"/>
      <w:spacing w:line="360" w:lineRule="auto"/>
    </w:pPr>
    <w:rPr>
      <w:sz w:val="24"/>
      <w:szCs w:val="24"/>
    </w:rPr>
  </w:style>
  <w:style w:type="paragraph" w:styleId="950" w:customStyle="1">
    <w:name w:val="纯文本1"/>
    <w:basedOn w:val="734"/>
    <w:uiPriority w:val="0"/>
    <w:qFormat/>
    <w:rPr>
      <w:rFonts w:ascii="宋体" w:hAnsi="Courier New" w:eastAsia="楷体_GB2312"/>
      <w:sz w:val="26"/>
    </w:rPr>
  </w:style>
  <w:style w:type="paragraph" w:styleId="951" w:customStyle="1">
    <w:name w:val="列出段落1"/>
    <w:basedOn w:val="734"/>
    <w:uiPriority w:val="34"/>
    <w:qFormat/>
    <w:pPr>
      <w:ind w:firstLine="420"/>
    </w:pPr>
    <w:rPr>
      <w:rFonts w:eastAsia="宋体"/>
      <w:szCs w:val="24"/>
    </w:rPr>
  </w:style>
  <w:style w:type="character" w:styleId="952" w:customStyle="1">
    <w:name w:val="批注框文本 字符"/>
    <w:basedOn w:val="735"/>
    <w:link w:val="748"/>
    <w:uiPriority w:val="99"/>
    <w:qFormat/>
    <w:rPr>
      <w:rFonts w:ascii="Arial" w:hAnsi="Arial" w:eastAsia="Arial" w:cs="Arial"/>
      <w:sz w:val="18"/>
      <w:szCs w:val="18"/>
      <w:lang w:eastAsia="en-US"/>
    </w:rPr>
  </w:style>
  <w:style w:type="paragraph" w:styleId="953" w:customStyle="1">
    <w:name w:val="Normal_19"/>
    <w:uiPriority w:val="0"/>
    <w:qFormat/>
    <w:rPr>
      <w:rFonts w:ascii="Times New Roman" w:hAnsi="Times New Roman" w:eastAsia="Times New Roman" w:cs="Times New Roman"/>
      <w:sz w:val="24"/>
      <w:szCs w:val="24"/>
      <w:lang w:val="en-US" w:eastAsia="zh-CN" w:bidi="ar-SA"/>
    </w:rPr>
  </w:style>
  <w:style w:type="paragraph" w:styleId="954" w:customStyle="1">
    <w:name w:val="段"/>
    <w:next w:val="734"/>
    <w:uiPriority w:val="0"/>
    <w:qFormat/>
    <w:pPr>
      <w:ind w:firstLine="200"/>
      <w:jc w:val="both"/>
    </w:pPr>
    <w:rPr>
      <w:rFonts w:ascii="宋体" w:hAnsi="Times New Roman" w:eastAsia="宋体" w:cs="Times New Roman"/>
      <w:sz w:val="21"/>
      <w:lang w:val="en-US" w:eastAsia="zh-CN" w:bidi="ar-SA"/>
    </w:rPr>
  </w:style>
  <w:style w:type="paragraph" w:styleId="955" w:customStyle="1">
    <w:name w:val="Default"/>
    <w:next w:val="756"/>
    <w:uiPriority w:val="0"/>
    <w:qFormat/>
    <w:pPr>
      <w:ind w:firstLine="200"/>
      <w:widowControl w:val="off"/>
    </w:pPr>
    <w:rPr>
      <w:rFonts w:ascii="宋体" w:hAnsi="Times New Roman" w:eastAsia="宋体" w:cs="Times New Roman"/>
      <w:color w:val="000000"/>
      <w:sz w:val="24"/>
      <w:szCs w:val="22"/>
      <w:lang w:val="en-US" w:eastAsia="zh-CN" w:bidi="ar-SA"/>
    </w:rPr>
  </w:style>
  <w:style w:type="paragraph" w:styleId="956" w:customStyle="1">
    <w:name w:val="标正文"/>
    <w:basedOn w:val="734"/>
    <w:uiPriority w:val="0"/>
    <w:qFormat/>
    <w:pPr>
      <w:ind w:firstLine="480"/>
    </w:pPr>
    <w:rPr>
      <w:rFonts w:ascii="Times New Roman" w:hAnsi="Times New Roman" w:cs="Times New Roman"/>
    </w:rPr>
  </w:style>
  <w:style w:type="paragraph" w:styleId="957" w:customStyle="1">
    <w:name w:val="方案正文"/>
    <w:basedOn w:val="734"/>
    <w:uiPriority w:val="0"/>
    <w:qFormat/>
    <w:pPr>
      <w:spacing w:line="440" w:lineRule="atLeast"/>
    </w:pPr>
    <w:rPr>
      <w:sz w:val="24"/>
    </w:rPr>
  </w:style>
  <w:style w:type="character" w:styleId="958" w:customStyle="1">
    <w:name w:val="页眉 字符1"/>
    <w:basedOn w:val="735"/>
    <w:link w:val="750"/>
    <w:uiPriority w:val="99"/>
    <w:rPr>
      <w:rFonts w:ascii="Arial" w:hAnsi="Arial" w:eastAsia="Arial" w:cs="Arial"/>
      <w:sz w:val="18"/>
      <w:szCs w:val="18"/>
      <w:lang w:eastAsia="en-US"/>
    </w:rPr>
  </w:style>
  <w:style w:type="character" w:styleId="959" w:customStyle="1">
    <w:name w:val="页脚 字符1"/>
    <w:basedOn w:val="735"/>
    <w:link w:val="749"/>
    <w:uiPriority w:val="99"/>
    <w:rPr>
      <w:rFonts w:ascii="Arial" w:hAnsi="Arial" w:eastAsia="Arial" w:cs="Arial"/>
      <w:sz w:val="18"/>
      <w:szCs w:val="18"/>
      <w:lang w:eastAsia="en-US"/>
    </w:r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7</cp:revision>
  <dcterms:created xsi:type="dcterms:W3CDTF">2024-08-14T05:35:00Z</dcterms:created>
  <dcterms:modified xsi:type="dcterms:W3CDTF">2024-09-11T01:19:29Z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7EB740C169734347B603DBB9D8AA57AB_13</vt:lpwstr>
  </property>
</Properties>
</file>