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362AF">
      <w:pPr>
        <w:ind w:left="695" w:firstLine="640"/>
        <w:jc w:val="center"/>
        <w:rPr>
          <w:rFonts w:ascii="仿宋" w:hAnsi="仿宋" w:eastAsia="仿宋" w:cs="仿宋"/>
          <w:sz w:val="32"/>
          <w:szCs w:val="32"/>
        </w:rPr>
      </w:pPr>
    </w:p>
    <w:p w14:paraId="0A5B4126">
      <w:pPr>
        <w:jc w:val="center"/>
        <w:rPr>
          <w:rFonts w:ascii="仿宋" w:hAnsi="仿宋" w:eastAsia="仿宋" w:cs="仿宋"/>
          <w:b/>
          <w:sz w:val="72"/>
          <w:szCs w:val="72"/>
        </w:rPr>
      </w:pPr>
      <w:bookmarkStart w:id="292" w:name="_GoBack"/>
      <w:r>
        <w:rPr>
          <w:rFonts w:hint="eastAsia" w:ascii="仿宋" w:hAnsi="仿宋" w:eastAsia="仿宋" w:cs="仿宋"/>
          <w:b/>
          <w:bCs/>
          <w:sz w:val="48"/>
          <w:szCs w:val="48"/>
        </w:rPr>
        <w:t>南通开发区“AI+”场景应用服务项目</w:t>
      </w:r>
      <w:bookmarkEnd w:id="292"/>
    </w:p>
    <w:p w14:paraId="7A0970C8">
      <w:pPr>
        <w:jc w:val="center"/>
        <w:rPr>
          <w:rFonts w:ascii="仿宋" w:hAnsi="仿宋" w:eastAsia="仿宋" w:cs="仿宋"/>
          <w:b/>
          <w:sz w:val="72"/>
          <w:szCs w:val="72"/>
        </w:rPr>
      </w:pPr>
    </w:p>
    <w:p w14:paraId="1AB15C70">
      <w:pPr>
        <w:jc w:val="center"/>
        <w:rPr>
          <w:rFonts w:ascii="仿宋" w:hAnsi="仿宋" w:eastAsia="仿宋" w:cs="仿宋"/>
          <w:b/>
          <w:sz w:val="72"/>
          <w:szCs w:val="72"/>
        </w:rPr>
      </w:pPr>
    </w:p>
    <w:p w14:paraId="05104B4D">
      <w:pPr>
        <w:jc w:val="center"/>
        <w:rPr>
          <w:rFonts w:ascii="仿宋" w:hAnsi="仿宋" w:eastAsia="仿宋" w:cs="仿宋"/>
          <w:b/>
          <w:sz w:val="72"/>
          <w:szCs w:val="72"/>
        </w:rPr>
      </w:pPr>
      <w:r>
        <w:rPr>
          <w:rFonts w:hint="eastAsia" w:ascii="仿宋" w:hAnsi="仿宋" w:eastAsia="仿宋" w:cs="仿宋"/>
          <w:b/>
          <w:sz w:val="72"/>
          <w:szCs w:val="72"/>
        </w:rPr>
        <w:t>政府采购磋商文件</w:t>
      </w:r>
    </w:p>
    <w:p w14:paraId="36C98A1E">
      <w:pPr>
        <w:keepNext/>
        <w:spacing w:line="500" w:lineRule="exact"/>
        <w:rPr>
          <w:rFonts w:ascii="仿宋" w:hAnsi="仿宋" w:eastAsia="仿宋" w:cs="仿宋"/>
          <w:b/>
          <w:sz w:val="36"/>
          <w:szCs w:val="36"/>
        </w:rPr>
      </w:pPr>
    </w:p>
    <w:p w14:paraId="7FC6B02E">
      <w:pPr>
        <w:keepNext/>
        <w:spacing w:line="500" w:lineRule="exact"/>
        <w:ind w:firstLine="1084"/>
        <w:rPr>
          <w:rFonts w:ascii="仿宋" w:hAnsi="仿宋" w:eastAsia="仿宋" w:cs="仿宋"/>
          <w:b/>
          <w:sz w:val="36"/>
          <w:szCs w:val="36"/>
        </w:rPr>
      </w:pPr>
    </w:p>
    <w:p w14:paraId="3C5FA3A6">
      <w:pPr>
        <w:keepNext/>
        <w:spacing w:line="500" w:lineRule="exact"/>
        <w:jc w:val="center"/>
        <w:rPr>
          <w:rFonts w:hint="eastAsia" w:ascii="仿宋" w:hAnsi="仿宋" w:eastAsia="仿宋" w:cs="仿宋"/>
          <w:b/>
          <w:sz w:val="36"/>
          <w:szCs w:val="36"/>
          <w:lang w:eastAsia="zh-CN"/>
        </w:rPr>
      </w:pPr>
      <w:r>
        <w:rPr>
          <w:rFonts w:hint="eastAsia" w:ascii="仿宋" w:hAnsi="仿宋" w:eastAsia="仿宋" w:cs="仿宋"/>
          <w:b/>
          <w:sz w:val="36"/>
          <w:szCs w:val="36"/>
        </w:rPr>
        <w:t>采购文件编号：</w:t>
      </w:r>
      <w:r>
        <w:rPr>
          <w:rFonts w:hint="eastAsia" w:ascii="仿宋" w:hAnsi="仿宋" w:eastAsia="仿宋" w:cs="仿宋"/>
          <w:b/>
          <w:sz w:val="36"/>
          <w:szCs w:val="36"/>
          <w:lang w:eastAsia="zh-CN"/>
        </w:rPr>
        <w:t>JSZC-320690-JZCG-C2025-0005</w:t>
      </w:r>
    </w:p>
    <w:p w14:paraId="1B0490B1">
      <w:pPr>
        <w:spacing w:line="500" w:lineRule="exact"/>
        <w:ind w:left="695" w:firstLine="640"/>
        <w:jc w:val="center"/>
        <w:rPr>
          <w:rFonts w:ascii="仿宋" w:hAnsi="仿宋" w:eastAsia="仿宋" w:cs="仿宋"/>
          <w:sz w:val="32"/>
        </w:rPr>
      </w:pPr>
    </w:p>
    <w:p w14:paraId="3AFD0925">
      <w:pPr>
        <w:spacing w:line="500" w:lineRule="exact"/>
        <w:ind w:left="695" w:firstLine="640"/>
        <w:jc w:val="center"/>
        <w:rPr>
          <w:rFonts w:ascii="仿宋" w:hAnsi="仿宋" w:eastAsia="仿宋" w:cs="仿宋"/>
          <w:sz w:val="32"/>
        </w:rPr>
      </w:pPr>
      <w:r>
        <w:rPr>
          <w:rFonts w:hint="eastAsia" w:ascii="仿宋" w:hAnsi="仿宋" w:eastAsia="仿宋" w:cs="仿宋"/>
        </w:rPr>
        <w:drawing>
          <wp:anchor distT="0" distB="0" distL="114300" distR="114300" simplePos="0" relativeHeight="251659264" behindDoc="0" locked="0" layoutInCell="0" allowOverlap="1">
            <wp:simplePos x="0" y="0"/>
            <wp:positionH relativeFrom="column">
              <wp:posOffset>1270635</wp:posOffset>
            </wp:positionH>
            <wp:positionV relativeFrom="paragraph">
              <wp:posOffset>196215</wp:posOffset>
            </wp:positionV>
            <wp:extent cx="2333625" cy="1790065"/>
            <wp:effectExtent l="0" t="0" r="13335" b="825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333625" cy="1790065"/>
                    </a:xfrm>
                    <a:prstGeom prst="rect">
                      <a:avLst/>
                    </a:prstGeom>
                    <a:noFill/>
                    <a:ln>
                      <a:noFill/>
                    </a:ln>
                  </pic:spPr>
                </pic:pic>
              </a:graphicData>
            </a:graphic>
          </wp:anchor>
        </w:drawing>
      </w:r>
    </w:p>
    <w:p w14:paraId="5A383FBA">
      <w:pPr>
        <w:spacing w:line="500" w:lineRule="exact"/>
        <w:ind w:left="695" w:firstLine="640"/>
        <w:jc w:val="center"/>
        <w:rPr>
          <w:rFonts w:ascii="仿宋" w:hAnsi="仿宋" w:eastAsia="仿宋" w:cs="仿宋"/>
          <w:sz w:val="32"/>
        </w:rPr>
      </w:pPr>
    </w:p>
    <w:p w14:paraId="719DF336">
      <w:pPr>
        <w:spacing w:line="500" w:lineRule="exact"/>
        <w:ind w:left="695" w:firstLine="420"/>
        <w:jc w:val="center"/>
        <w:rPr>
          <w:rFonts w:ascii="仿宋" w:hAnsi="仿宋" w:eastAsia="仿宋" w:cs="仿宋"/>
          <w:sz w:val="32"/>
        </w:rPr>
      </w:pPr>
    </w:p>
    <w:p w14:paraId="4621B525">
      <w:pPr>
        <w:spacing w:line="500" w:lineRule="exact"/>
        <w:ind w:left="695" w:firstLine="640"/>
        <w:jc w:val="center"/>
        <w:rPr>
          <w:rFonts w:ascii="仿宋" w:hAnsi="仿宋" w:eastAsia="仿宋" w:cs="仿宋"/>
          <w:sz w:val="32"/>
        </w:rPr>
      </w:pPr>
    </w:p>
    <w:p w14:paraId="2856D4ED">
      <w:pPr>
        <w:spacing w:line="500" w:lineRule="exact"/>
        <w:ind w:left="695" w:firstLine="640"/>
        <w:jc w:val="center"/>
        <w:rPr>
          <w:rFonts w:ascii="仿宋" w:hAnsi="仿宋" w:eastAsia="仿宋" w:cs="仿宋"/>
          <w:sz w:val="32"/>
        </w:rPr>
      </w:pPr>
    </w:p>
    <w:p w14:paraId="48077075">
      <w:pPr>
        <w:spacing w:line="480" w:lineRule="auto"/>
        <w:rPr>
          <w:rFonts w:ascii="仿宋" w:hAnsi="仿宋" w:eastAsia="仿宋" w:cs="仿宋"/>
          <w:b/>
          <w:spacing w:val="-12"/>
          <w:sz w:val="32"/>
          <w:szCs w:val="32"/>
        </w:rPr>
      </w:pPr>
    </w:p>
    <w:p w14:paraId="7CE82B9A">
      <w:pPr>
        <w:spacing w:line="480" w:lineRule="auto"/>
        <w:ind w:firstLine="595" w:firstLineChars="200"/>
        <w:rPr>
          <w:rFonts w:ascii="仿宋" w:hAnsi="仿宋" w:eastAsia="仿宋" w:cs="仿宋"/>
          <w:b/>
          <w:spacing w:val="-12"/>
          <w:sz w:val="32"/>
          <w:szCs w:val="32"/>
        </w:rPr>
      </w:pPr>
      <w:r>
        <w:rPr>
          <w:rFonts w:hint="eastAsia" w:ascii="仿宋" w:hAnsi="仿宋" w:eastAsia="仿宋" w:cs="仿宋"/>
          <w:b/>
          <w:spacing w:val="-12"/>
          <w:sz w:val="32"/>
          <w:szCs w:val="32"/>
        </w:rPr>
        <w:t>采 购</w:t>
      </w:r>
      <w:r>
        <w:rPr>
          <w:rFonts w:hint="eastAsia" w:ascii="仿宋" w:hAnsi="仿宋" w:eastAsia="仿宋" w:cs="仿宋"/>
          <w:b/>
          <w:spacing w:val="-12"/>
          <w:sz w:val="32"/>
          <w:szCs w:val="32"/>
          <w:lang w:val="en-US" w:eastAsia="zh-CN"/>
        </w:rPr>
        <w:t xml:space="preserve"> </w:t>
      </w:r>
      <w:r>
        <w:rPr>
          <w:rFonts w:hint="eastAsia" w:ascii="仿宋" w:hAnsi="仿宋" w:eastAsia="仿宋" w:cs="仿宋"/>
          <w:b/>
          <w:spacing w:val="-12"/>
          <w:sz w:val="32"/>
          <w:szCs w:val="32"/>
        </w:rPr>
        <w:t>人: 南通市经济技术开发区行政审批局</w:t>
      </w:r>
    </w:p>
    <w:p w14:paraId="2036F3EF">
      <w:pPr>
        <w:spacing w:line="480" w:lineRule="auto"/>
        <w:ind w:firstLine="595" w:firstLineChars="200"/>
        <w:rPr>
          <w:rFonts w:ascii="仿宋" w:hAnsi="仿宋" w:eastAsia="仿宋" w:cs="仿宋"/>
          <w:b/>
          <w:sz w:val="44"/>
          <w:szCs w:val="44"/>
        </w:rPr>
      </w:pPr>
      <w:r>
        <w:rPr>
          <w:rFonts w:hint="eastAsia" w:ascii="仿宋" w:hAnsi="仿宋" w:eastAsia="仿宋" w:cs="仿宋"/>
          <w:b/>
          <w:spacing w:val="-12"/>
          <w:sz w:val="32"/>
          <w:szCs w:val="32"/>
        </w:rPr>
        <w:t>日   期 : 2025年</w:t>
      </w:r>
      <w:r>
        <w:rPr>
          <w:rFonts w:ascii="仿宋" w:hAnsi="仿宋" w:eastAsia="仿宋" w:cs="仿宋"/>
          <w:b/>
          <w:spacing w:val="-12"/>
          <w:sz w:val="32"/>
          <w:szCs w:val="32"/>
        </w:rPr>
        <w:t>6</w:t>
      </w:r>
      <w:r>
        <w:rPr>
          <w:rFonts w:hint="eastAsia" w:ascii="仿宋" w:hAnsi="仿宋" w:eastAsia="仿宋" w:cs="仿宋"/>
          <w:b/>
          <w:spacing w:val="-12"/>
          <w:sz w:val="32"/>
          <w:szCs w:val="32"/>
        </w:rPr>
        <w:t>月</w:t>
      </w:r>
    </w:p>
    <w:p w14:paraId="39B7AB07">
      <w:pPr>
        <w:jc w:val="center"/>
        <w:rPr>
          <w:rFonts w:ascii="仿宋" w:hAnsi="仿宋" w:eastAsia="仿宋" w:cs="仿宋"/>
          <w:b/>
          <w:sz w:val="44"/>
          <w:szCs w:val="44"/>
        </w:rPr>
      </w:pPr>
      <w:r>
        <w:rPr>
          <w:rFonts w:hint="eastAsia" w:ascii="仿宋" w:hAnsi="仿宋" w:eastAsia="仿宋" w:cs="仿宋"/>
          <w:b/>
          <w:sz w:val="44"/>
          <w:szCs w:val="44"/>
        </w:rPr>
        <w:t>目  录</w:t>
      </w:r>
    </w:p>
    <w:p w14:paraId="2C949587">
      <w:pPr>
        <w:spacing w:line="360" w:lineRule="auto"/>
        <w:ind w:left="695" w:firstLine="640"/>
        <w:rPr>
          <w:rFonts w:ascii="仿宋" w:hAnsi="仿宋" w:eastAsia="仿宋" w:cs="仿宋"/>
          <w:sz w:val="32"/>
          <w:szCs w:val="32"/>
        </w:rPr>
      </w:pPr>
    </w:p>
    <w:p w14:paraId="72A56C4E">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第一章  竞争性磋商公告</w:t>
      </w:r>
    </w:p>
    <w:p w14:paraId="5E68D1D0">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第二章  磋商须知</w:t>
      </w:r>
    </w:p>
    <w:p w14:paraId="4D1A7205">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第三章  项目需求</w:t>
      </w:r>
    </w:p>
    <w:p w14:paraId="1FBE4A64">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第四章  评审方法和评审标准</w:t>
      </w:r>
    </w:p>
    <w:p w14:paraId="6C53F09F">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第五章  响应文件组成</w:t>
      </w:r>
    </w:p>
    <w:p w14:paraId="78BDAB5D">
      <w:pPr>
        <w:spacing w:line="360" w:lineRule="auto"/>
        <w:rPr>
          <w:rFonts w:ascii="仿宋" w:hAnsi="仿宋" w:eastAsia="仿宋" w:cs="仿宋"/>
          <w:b/>
          <w:sz w:val="24"/>
          <w:szCs w:val="24"/>
        </w:rPr>
      </w:pPr>
      <w:r>
        <w:rPr>
          <w:rFonts w:hint="eastAsia" w:ascii="仿宋" w:hAnsi="仿宋" w:eastAsia="仿宋" w:cs="仿宋"/>
          <w:szCs w:val="44"/>
        </w:rPr>
        <w:br w:type="page" w:clear="all"/>
      </w:r>
      <w:r>
        <w:rPr>
          <w:rFonts w:hint="eastAsia" w:ascii="仿宋" w:hAnsi="仿宋" w:eastAsia="仿宋" w:cs="仿宋"/>
          <w:b/>
          <w:sz w:val="24"/>
          <w:szCs w:val="24"/>
        </w:rPr>
        <w:t>尊敬的供应商：</w:t>
      </w:r>
    </w:p>
    <w:p w14:paraId="6790BD1F">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欢迎参加本采购项目的竞争性磋商。为了保证本次磋商项目顺利进行，请在制作响应文件之前，仔细阅读本竞争性磋商文件的各项条款，并按要求制作和递交响应文件。谢谢合作！</w:t>
      </w:r>
    </w:p>
    <w:p w14:paraId="0CFA93AB">
      <w:pPr>
        <w:spacing w:line="360"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第一章 竞争性磋商公告</w:t>
      </w:r>
    </w:p>
    <w:p w14:paraId="4FA826E4">
      <w:pPr>
        <w:pBdr>
          <w:top w:val="single" w:color="auto" w:sz="4" w:space="1"/>
          <w:left w:val="single" w:color="auto" w:sz="4" w:space="4"/>
          <w:bottom w:val="single" w:color="auto" w:sz="4" w:space="1"/>
          <w:right w:val="single" w:color="auto" w:sz="4" w:space="4"/>
        </w:pBdr>
        <w:spacing w:line="360" w:lineRule="auto"/>
        <w:ind w:left="697" w:firstLine="480"/>
        <w:rPr>
          <w:rFonts w:ascii="仿宋" w:hAnsi="仿宋" w:eastAsia="仿宋" w:cs="仿宋"/>
          <w:sz w:val="24"/>
          <w:szCs w:val="24"/>
        </w:rPr>
      </w:pPr>
      <w:r>
        <w:rPr>
          <w:rFonts w:hint="eastAsia" w:ascii="仿宋" w:hAnsi="仿宋" w:eastAsia="仿宋" w:cs="仿宋"/>
          <w:sz w:val="24"/>
          <w:szCs w:val="24"/>
        </w:rPr>
        <w:t>项目概况</w:t>
      </w:r>
    </w:p>
    <w:p w14:paraId="4815334C">
      <w:pPr>
        <w:pBdr>
          <w:top w:val="single" w:color="auto" w:sz="4" w:space="1"/>
          <w:left w:val="single" w:color="auto" w:sz="4" w:space="4"/>
          <w:bottom w:val="single" w:color="auto" w:sz="4" w:space="1"/>
          <w:right w:val="single" w:color="auto" w:sz="4" w:space="4"/>
        </w:pBdr>
        <w:spacing w:line="360" w:lineRule="auto"/>
        <w:ind w:left="697" w:firstLine="480"/>
        <w:rPr>
          <w:rFonts w:ascii="仿宋" w:hAnsi="仿宋" w:eastAsia="仿宋" w:cs="仿宋"/>
          <w:sz w:val="24"/>
          <w:szCs w:val="24"/>
        </w:rPr>
      </w:pPr>
      <w:r>
        <w:rPr>
          <w:rFonts w:hint="eastAsia" w:ascii="仿宋" w:hAnsi="仿宋" w:eastAsia="仿宋" w:cs="仿宋"/>
          <w:sz w:val="24"/>
          <w:szCs w:val="24"/>
          <w:u w:val="single"/>
        </w:rPr>
        <w:t>南通开发区“AI+”场景应用服务项目</w:t>
      </w:r>
      <w:r>
        <w:rPr>
          <w:rFonts w:hint="eastAsia" w:ascii="仿宋" w:hAnsi="仿宋" w:eastAsia="仿宋" w:cs="仿宋"/>
          <w:sz w:val="24"/>
          <w:szCs w:val="24"/>
        </w:rPr>
        <w:t>的潜在供应商应在</w:t>
      </w:r>
      <w:r>
        <w:rPr>
          <w:rFonts w:hint="eastAsia" w:ascii="仿宋" w:hAnsi="仿宋" w:eastAsia="仿宋" w:cs="仿宋"/>
          <w:sz w:val="24"/>
          <w:szCs w:val="24"/>
          <w:u w:val="single"/>
        </w:rPr>
        <w:t>江苏政府采购网-苏采云系统内免费下载磋商文件</w:t>
      </w:r>
      <w:r>
        <w:rPr>
          <w:rFonts w:hint="eastAsia" w:ascii="仿宋" w:hAnsi="仿宋" w:eastAsia="仿宋" w:cs="仿宋"/>
          <w:sz w:val="24"/>
          <w:szCs w:val="24"/>
        </w:rPr>
        <w:t>，并于</w:t>
      </w:r>
      <w:r>
        <w:rPr>
          <w:rFonts w:hint="eastAsia" w:ascii="仿宋" w:hAnsi="仿宋" w:eastAsia="仿宋" w:cs="仿宋"/>
          <w:sz w:val="24"/>
          <w:szCs w:val="24"/>
          <w:u w:val="single"/>
        </w:rPr>
        <w:t>2025年</w:t>
      </w:r>
      <w:r>
        <w:rPr>
          <w:rFonts w:hint="eastAsia" w:ascii="仿宋" w:hAnsi="仿宋" w:eastAsia="仿宋" w:cs="仿宋"/>
          <w:sz w:val="24"/>
          <w:szCs w:val="24"/>
          <w:u w:val="single"/>
          <w:lang w:val="en-US" w:eastAsia="zh-CN"/>
        </w:rPr>
        <w:t>07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01</w:t>
      </w:r>
      <w:r>
        <w:rPr>
          <w:rFonts w:hint="eastAsia" w:ascii="仿宋" w:hAnsi="仿宋" w:eastAsia="仿宋" w:cs="仿宋"/>
          <w:sz w:val="24"/>
          <w:szCs w:val="24"/>
          <w:u w:val="single"/>
        </w:rPr>
        <w:t>日9时30分</w:t>
      </w:r>
      <w:r>
        <w:rPr>
          <w:rFonts w:hint="eastAsia" w:ascii="仿宋" w:hAnsi="仿宋" w:eastAsia="仿宋" w:cs="仿宋"/>
          <w:bCs/>
          <w:sz w:val="24"/>
          <w:szCs w:val="24"/>
        </w:rPr>
        <w:t>（北京时间）前提交响应文件</w:t>
      </w:r>
      <w:r>
        <w:rPr>
          <w:rFonts w:hint="eastAsia" w:ascii="仿宋" w:hAnsi="仿宋" w:eastAsia="仿宋" w:cs="仿宋"/>
          <w:sz w:val="24"/>
          <w:szCs w:val="24"/>
        </w:rPr>
        <w:t>。</w:t>
      </w:r>
    </w:p>
    <w:p w14:paraId="299C099E">
      <w:pPr>
        <w:spacing w:line="360" w:lineRule="auto"/>
        <w:ind w:firstLine="482" w:firstLineChars="200"/>
        <w:rPr>
          <w:rFonts w:ascii="仿宋" w:hAnsi="仿宋" w:eastAsia="仿宋" w:cs="仿宋"/>
          <w:b/>
          <w:bCs/>
          <w:sz w:val="24"/>
          <w:szCs w:val="24"/>
        </w:rPr>
      </w:pPr>
      <w:bookmarkStart w:id="0" w:name="_Toc35393798"/>
      <w:bookmarkStart w:id="1" w:name="_Toc35393629"/>
      <w:bookmarkStart w:id="2" w:name="_Toc28359089"/>
      <w:bookmarkStart w:id="3" w:name="_Toc28359012"/>
      <w:r>
        <w:rPr>
          <w:rFonts w:hint="eastAsia" w:ascii="仿宋" w:hAnsi="仿宋" w:eastAsia="仿宋" w:cs="仿宋"/>
          <w:b/>
          <w:bCs/>
          <w:sz w:val="24"/>
          <w:szCs w:val="24"/>
        </w:rPr>
        <w:t>一、项目基本情况</w:t>
      </w:r>
      <w:bookmarkEnd w:id="0"/>
      <w:bookmarkEnd w:id="1"/>
      <w:bookmarkEnd w:id="2"/>
      <w:bookmarkEnd w:id="3"/>
    </w:p>
    <w:p w14:paraId="3A91119C">
      <w:pPr>
        <w:spacing w:line="360" w:lineRule="auto"/>
        <w:ind w:firstLine="480" w:firstLineChars="200"/>
        <w:rPr>
          <w:rFonts w:hint="eastAsia" w:ascii="仿宋" w:hAnsi="仿宋" w:eastAsia="仿宋" w:cs="仿宋"/>
          <w:sz w:val="24"/>
          <w:szCs w:val="24"/>
          <w:lang w:eastAsia="zh-CN"/>
        </w:rPr>
      </w:pPr>
      <w:r>
        <w:rPr>
          <w:rFonts w:ascii="仿宋" w:hAnsi="仿宋" w:eastAsia="仿宋" w:cs="仿宋"/>
          <w:sz w:val="24"/>
          <w:szCs w:val="24"/>
        </w:rPr>
        <w:t>1．</w:t>
      </w:r>
      <w:r>
        <w:rPr>
          <w:rFonts w:hint="eastAsia" w:ascii="仿宋" w:hAnsi="仿宋" w:eastAsia="仿宋" w:cs="仿宋"/>
          <w:sz w:val="24"/>
          <w:szCs w:val="24"/>
        </w:rPr>
        <w:t>项目编号：</w:t>
      </w:r>
      <w:r>
        <w:rPr>
          <w:rFonts w:hint="eastAsia" w:ascii="仿宋" w:hAnsi="仿宋" w:eastAsia="仿宋" w:cs="仿宋"/>
          <w:sz w:val="24"/>
          <w:szCs w:val="24"/>
          <w:lang w:eastAsia="zh-CN"/>
        </w:rPr>
        <w:t>JSZC-320690-JZCG-C2025-0005</w:t>
      </w:r>
    </w:p>
    <w:p w14:paraId="095CA63F">
      <w:pPr>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项目名称：</w:t>
      </w:r>
      <w:bookmarkStart w:id="4" w:name="_Toc28359013"/>
      <w:bookmarkStart w:id="5" w:name="_Toc35393630"/>
      <w:bookmarkStart w:id="6" w:name="_Toc35393799"/>
      <w:bookmarkStart w:id="7" w:name="_Toc28359090"/>
      <w:r>
        <w:rPr>
          <w:rFonts w:hint="eastAsia" w:ascii="仿宋" w:hAnsi="仿宋" w:eastAsia="仿宋" w:cs="仿宋"/>
          <w:sz w:val="24"/>
          <w:szCs w:val="24"/>
        </w:rPr>
        <w:t>南通开发区“AI+”场景应用服务项目</w:t>
      </w:r>
    </w:p>
    <w:p w14:paraId="09E971EE">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项目类型：服务</w:t>
      </w:r>
    </w:p>
    <w:p w14:paraId="145FF709">
      <w:pPr>
        <w:spacing w:line="360"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所属行业：软件和信息技术服务业</w:t>
      </w:r>
    </w:p>
    <w:p w14:paraId="41B8F98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5.包件划分：1个包件</w:t>
      </w:r>
    </w:p>
    <w:p w14:paraId="455F706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6.预算金额：150万元</w:t>
      </w:r>
    </w:p>
    <w:p w14:paraId="6908258C">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7.最高限价：150万元，响应报价不得超过最高限价，超过的为无效报价，按照无效响应处理</w:t>
      </w:r>
      <w:r>
        <w:rPr>
          <w:rFonts w:hint="eastAsia" w:ascii="仿宋" w:hAnsi="仿宋" w:eastAsia="仿宋" w:cs="仿宋"/>
          <w:sz w:val="24"/>
          <w:szCs w:val="24"/>
          <w:lang w:eastAsia="zh-CN"/>
        </w:rPr>
        <w:t>。</w:t>
      </w:r>
    </w:p>
    <w:p w14:paraId="12CD14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8.采购需求：</w:t>
      </w:r>
      <w:bookmarkStart w:id="8" w:name="OLE_LINK20"/>
      <w:r>
        <w:rPr>
          <w:rFonts w:hint="eastAsia" w:ascii="仿宋" w:hAnsi="仿宋" w:eastAsia="仿宋" w:cs="仿宋"/>
          <w:sz w:val="24"/>
          <w:szCs w:val="24"/>
        </w:rPr>
        <w:t>详见项目需求</w:t>
      </w:r>
      <w:bookmarkEnd w:id="8"/>
      <w:r>
        <w:rPr>
          <w:rFonts w:hint="eastAsia" w:ascii="仿宋" w:hAnsi="仿宋" w:eastAsia="仿宋" w:cs="仿宋"/>
          <w:sz w:val="24"/>
          <w:szCs w:val="24"/>
        </w:rPr>
        <w:t>。</w:t>
      </w:r>
    </w:p>
    <w:p w14:paraId="607FC5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9.交付期限：合同签订后一周内主智能体基础咨询服务和AI高企服务试运行，提供截止合同签订后三个年度的持续运营运维服务。</w:t>
      </w:r>
    </w:p>
    <w:p w14:paraId="716C2CD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10.本项目是否接受联合体：否。</w:t>
      </w:r>
    </w:p>
    <w:p w14:paraId="2C57789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11.本项目不接受分包。</w:t>
      </w:r>
    </w:p>
    <w:p w14:paraId="4A91B1B3">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w:t>
      </w:r>
      <w:bookmarkEnd w:id="4"/>
      <w:bookmarkEnd w:id="5"/>
      <w:bookmarkEnd w:id="6"/>
      <w:bookmarkEnd w:id="7"/>
      <w:r>
        <w:rPr>
          <w:rFonts w:hint="eastAsia" w:ascii="仿宋" w:hAnsi="仿宋" w:eastAsia="仿宋" w:cs="仿宋"/>
          <w:b/>
          <w:bCs/>
          <w:sz w:val="24"/>
          <w:szCs w:val="24"/>
        </w:rPr>
        <w:t>申请人的资格要求</w:t>
      </w:r>
    </w:p>
    <w:p w14:paraId="009C92ED">
      <w:pPr>
        <w:spacing w:line="360" w:lineRule="auto"/>
        <w:ind w:firstLine="480" w:firstLineChars="200"/>
        <w:rPr>
          <w:rFonts w:ascii="仿宋" w:hAnsi="仿宋" w:eastAsia="仿宋" w:cs="仿宋"/>
          <w:sz w:val="24"/>
          <w:szCs w:val="24"/>
        </w:rPr>
      </w:pPr>
      <w:bookmarkStart w:id="9" w:name="_Toc35393632"/>
      <w:bookmarkStart w:id="10" w:name="_Toc28359092"/>
      <w:bookmarkStart w:id="11" w:name="_Toc35393801"/>
      <w:bookmarkStart w:id="12" w:name="_Toc28359015"/>
      <w:r>
        <w:rPr>
          <w:rFonts w:hint="eastAsia" w:ascii="仿宋" w:hAnsi="仿宋" w:eastAsia="仿宋" w:cs="仿宋"/>
          <w:sz w:val="24"/>
          <w:szCs w:val="24"/>
          <w:lang w:eastAsia="zh-CN"/>
        </w:rPr>
        <w:t>（一）</w:t>
      </w:r>
      <w:r>
        <w:rPr>
          <w:rFonts w:hint="eastAsia" w:ascii="仿宋" w:hAnsi="仿宋" w:eastAsia="仿宋" w:cs="仿宋"/>
          <w:sz w:val="24"/>
          <w:szCs w:val="24"/>
        </w:rPr>
        <w:t>满足《中华人民共和国政府采购法》第二十二条规定。</w:t>
      </w:r>
    </w:p>
    <w:p w14:paraId="580576B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落实政府采购政策需满足的资格要求：</w:t>
      </w:r>
      <w:bookmarkStart w:id="13" w:name="OLE_LINK1"/>
      <w:bookmarkStart w:id="14" w:name="OLE_LINK22"/>
      <w:r>
        <w:rPr>
          <w:rFonts w:hint="eastAsia" w:ascii="仿宋" w:hAnsi="仿宋" w:eastAsia="仿宋" w:cs="仿宋"/>
          <w:sz w:val="24"/>
          <w:szCs w:val="24"/>
        </w:rPr>
        <w:t>本项目为专门面向中小微企业采购项目</w:t>
      </w:r>
      <w:bookmarkEnd w:id="13"/>
      <w:r>
        <w:rPr>
          <w:rFonts w:hint="eastAsia" w:ascii="仿宋" w:hAnsi="仿宋" w:eastAsia="仿宋" w:cs="仿宋"/>
          <w:sz w:val="24"/>
          <w:szCs w:val="24"/>
        </w:rPr>
        <w:t>（须按照财库〔2020〕46号文要求提供中小企业声明函，格式见附件）。</w:t>
      </w:r>
    </w:p>
    <w:p w14:paraId="311E31D4">
      <w:pPr>
        <w:pStyle w:val="1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本项目采购标的对应的中小企业划分标准所属行业为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75CED6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注明：（1）中小企业应当按照财库（2020）46号文《政府采购促进中小企业发展管理办法》和“工信部联企业〔2011〕300号通知中的《中小企业划型标准规定》为准。如实填写并提交《中小企业声明函》。</w:t>
      </w:r>
    </w:p>
    <w:p w14:paraId="0FEE23E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（2）残疾人福利性单位按照《关于促进残疾人就业政府采购政策的通知》（财库〔2017〕141号）有关规定执行。</w:t>
      </w:r>
    </w:p>
    <w:p w14:paraId="12E4ABF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（3）监狱企业按照《关于政府采购支持监狱企业发展有关问题的通知》（财库【2014】68号）有关规定执行。</w:t>
      </w:r>
    </w:p>
    <w:p w14:paraId="7A6BD826">
      <w:pPr>
        <w:widowControl/>
        <w:tabs>
          <w:tab w:val="left" w:pos="9223"/>
          <w:tab w:val="left" w:pos="10303"/>
          <w:tab w:val="left" w:pos="11383"/>
          <w:tab w:val="left" w:pos="12463"/>
          <w:tab w:val="left" w:pos="13543"/>
          <w:tab w:val="left" w:pos="14623"/>
          <w:tab w:val="left" w:pos="15703"/>
        </w:tabs>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备注：本项目专门面向中小企业，不享受价格扣除优惠政策。</w:t>
      </w:r>
      <w:bookmarkEnd w:id="14"/>
    </w:p>
    <w:p w14:paraId="19504992">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（三）本项目的特定资格要求：</w:t>
      </w:r>
    </w:p>
    <w:p w14:paraId="5B17BBFA">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.供应商具有独立承担民事责任能力，提供法人或者其他组织的营业执照等证明文件</w:t>
      </w:r>
      <w:r>
        <w:rPr>
          <w:rFonts w:hint="eastAsia" w:ascii="仿宋" w:hAnsi="仿宋" w:eastAsia="仿宋" w:cs="仿宋"/>
          <w:bCs/>
          <w:sz w:val="24"/>
          <w:szCs w:val="24"/>
          <w:lang w:eastAsia="zh-CN"/>
        </w:rPr>
        <w:t>；</w:t>
      </w:r>
    </w:p>
    <w:p w14:paraId="76D1D21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法定代表人参加投标的，必须提供法人身份证明原件及本人身份证原件扫描件；非法定代表人参加的，必须提供法定代表人签名或盖章的授权委托书原件及被委托授权人身份证原件扫描件和法定代表人的身份证原件扫描件；</w:t>
      </w:r>
    </w:p>
    <w:p w14:paraId="5E40E85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w:t>
      </w:r>
      <w:bookmarkStart w:id="15" w:name="OLE_LINK5"/>
      <w:r>
        <w:rPr>
          <w:rFonts w:hint="eastAsia" w:ascii="仿宋" w:hAnsi="仿宋" w:eastAsia="仿宋" w:cs="仿宋"/>
          <w:bCs/>
          <w:sz w:val="24"/>
          <w:szCs w:val="24"/>
        </w:rPr>
        <w:t>响应供应商未被 “信用中国”网站列入失信被执行人或重大税收违法案件当事人名单或政府采购严重失信行为记录名单。或查询“信用中国”网站后未发现供应商存在其他不符合《中华人民共和国政府采购法》第二十二条规定条件的信用记录。为确保采购守法供应商公平参加采购活动，采购人将在开标开始后一个小时内，通过“信用中国”网站对供应商信用信息进行查询查证，并将查询记录截屏打印保存在采购档案内。如核实未通过，经磋商小组确认后资格审查不予通过</w:t>
      </w:r>
      <w:bookmarkEnd w:id="15"/>
      <w:r>
        <w:rPr>
          <w:rFonts w:hint="eastAsia" w:ascii="仿宋" w:hAnsi="仿宋" w:eastAsia="仿宋" w:cs="仿宋"/>
          <w:bCs/>
          <w:sz w:val="24"/>
          <w:szCs w:val="24"/>
        </w:rPr>
        <w:t>；</w:t>
      </w:r>
    </w:p>
    <w:p w14:paraId="4E85E799">
      <w:pPr>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lang w:val="en-US" w:eastAsia="zh-CN" w:bidi="ar"/>
        </w:rPr>
        <w:t>4.</w:t>
      </w:r>
      <w:r>
        <w:rPr>
          <w:rFonts w:hint="eastAsia" w:ascii="仿宋" w:hAnsi="仿宋" w:eastAsia="仿宋" w:cs="仿宋"/>
          <w:sz w:val="24"/>
          <w:szCs w:val="24"/>
          <w:shd w:val="clear" w:color="auto" w:fill="FFFFFF"/>
        </w:rPr>
        <w:t>符合法律、法规规定的其他条件。</w:t>
      </w:r>
    </w:p>
    <w:p w14:paraId="447DB60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【特别提醒】单位负责人为同一人或者存在直接控股、管理关系的不同供应商，不得参加同一合同 项下的采购活动，法定代表人为同一人的以上法人，母公司、全资子公司及其控股公司，都不得参加同一合同项目的采购活动。</w:t>
      </w:r>
    </w:p>
    <w:p w14:paraId="019D0649">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三、获取采购文件</w:t>
      </w:r>
    </w:p>
    <w:p w14:paraId="5FE3FF61">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1.时间：自磋商公告及磋商文件发布之日起5个工作日；</w:t>
      </w:r>
    </w:p>
    <w:p w14:paraId="31A7ABBB">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2.地点：网上注册登记成功后系统内免费下载</w:t>
      </w:r>
    </w:p>
    <w:p w14:paraId="1653682D">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3.获取方式：本项目采用网上注册登记方式。</w:t>
      </w:r>
    </w:p>
    <w:p w14:paraId="197A9474">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3.1潜在供应商访问电子招标响应交易平台的网络地址和方法：</w:t>
      </w:r>
    </w:p>
    <w:p w14:paraId="0730769C">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7F9EF02">
      <w:pPr>
        <w:widowControl/>
        <w:spacing w:line="360" w:lineRule="auto"/>
        <w:ind w:firstLine="480" w:firstLineChars="200"/>
        <w:jc w:val="left"/>
        <w:rPr>
          <w:rStyle w:val="18"/>
          <w:rFonts w:ascii="仿宋" w:hAnsi="仿宋" w:eastAsia="仿宋" w:cs="仿宋"/>
          <w:bCs/>
          <w:sz w:val="24"/>
          <w:szCs w:val="24"/>
          <w:lang w:eastAsia="en-US"/>
        </w:rPr>
      </w:pPr>
      <w:r>
        <w:rPr>
          <w:rStyle w:val="18"/>
          <w:rFonts w:hint="eastAsia" w:ascii="仿宋" w:hAnsi="仿宋" w:eastAsia="仿宋" w:cs="仿宋"/>
          <w:bCs/>
          <w:sz w:val="24"/>
          <w:szCs w:val="24"/>
          <w:lang w:eastAsia="en-US"/>
        </w:rPr>
        <w:t>3.2潜在供应商访问“苏采云”系统的网络地址和方法：“苏采云”系统的网址：http://jszfcg.jsczt.cn/。</w:t>
      </w:r>
    </w:p>
    <w:p w14:paraId="74CAEC7D">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3.3“CA数字证书”的获取：</w:t>
      </w:r>
    </w:p>
    <w:p w14:paraId="0CB736A6">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响应供应商需办理“CA 数字证书”，CA办理指南及“苏采云”操作手册可至江苏省政府采购网―办事指南-资料下载中心下载。</w:t>
      </w:r>
    </w:p>
    <w:p w14:paraId="6638294C">
      <w:pPr>
        <w:widowControl/>
        <w:spacing w:line="360" w:lineRule="auto"/>
        <w:ind w:firstLine="480" w:firstLineChars="200"/>
        <w:jc w:val="left"/>
        <w:rPr>
          <w:rStyle w:val="18"/>
          <w:rFonts w:ascii="仿宋" w:hAnsi="仿宋" w:eastAsia="仿宋" w:cs="仿宋"/>
          <w:bCs/>
          <w:sz w:val="24"/>
          <w:szCs w:val="24"/>
          <w:lang w:eastAsia="en-US"/>
        </w:rPr>
      </w:pPr>
      <w:r>
        <w:rPr>
          <w:rStyle w:val="18"/>
          <w:rFonts w:hint="eastAsia" w:ascii="仿宋" w:hAnsi="仿宋" w:eastAsia="仿宋" w:cs="仿宋"/>
          <w:bCs/>
          <w:sz w:val="24"/>
          <w:szCs w:val="24"/>
          <w:lang w:eastAsia="en-US"/>
        </w:rPr>
        <w:t>通过苏采云系统首页（http://jszfcg.jscz.gov.cn/）的“苏采云控件驱动下载”，选择“政务CA、方正签章控件驱动安装包及安装说明”下载安装，具体安装方法详见下载文件内的《安装说明》。</w:t>
      </w:r>
    </w:p>
    <w:p w14:paraId="2C23E5F5">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3.4采购文件（后缀名为“.kedt”）、供应商操作手册及政府采购客户端工具可通过“苏采云”系统--已报名项目--报名详情页面内相应链接进行下载。</w:t>
      </w:r>
    </w:p>
    <w:p w14:paraId="34552621">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3.5采购人或采购代理机构将数据电文形式的采购文件加载至“苏采云”系统，供潜在供应商下载或者查阅。</w:t>
      </w:r>
    </w:p>
    <w:p w14:paraId="3E4C6E9B">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3.6请潜在供应商提前安装相应的控件（详见《江苏省政府采购管理交易系统（苏采云）供应商操作手册》）并使用谷歌浏览器登录“苏采云”系统参与不见面开评标。</w:t>
      </w:r>
    </w:p>
    <w:p w14:paraId="5163F14E">
      <w:pPr>
        <w:widowControl/>
        <w:spacing w:line="360" w:lineRule="auto"/>
        <w:ind w:firstLine="480" w:firstLineChars="200"/>
        <w:jc w:val="left"/>
        <w:rPr>
          <w:rStyle w:val="18"/>
          <w:rFonts w:ascii="仿宋" w:hAnsi="仿宋" w:eastAsia="仿宋" w:cs="仿宋"/>
          <w:bCs/>
          <w:sz w:val="24"/>
          <w:szCs w:val="24"/>
        </w:rPr>
      </w:pPr>
      <w:r>
        <w:rPr>
          <w:rStyle w:val="18"/>
          <w:rFonts w:hint="eastAsia" w:ascii="仿宋" w:hAnsi="仿宋" w:eastAsia="仿宋" w:cs="仿宋"/>
          <w:bCs/>
          <w:sz w:val="24"/>
          <w:szCs w:val="24"/>
        </w:rPr>
        <w:t>3.7开评标全过程中，磋商供应商一端参与交互的人员将均被视为是磋商供应商的授权委托人或法定代表人，磋商供应商不得以不承认交互人员的资格或身份等为借口抵赖推脱，磋商供应商自行承担随意更换人员所导致的一切后果。为顺利实现本项目开评标的远程交互，建议磋商供应商配置的硬件设施有：电脑或手机、高速稳定的网络、电源（不间断）、音视频设备（话筒、耳麦、高清摄像头、音响）等。为保证交互效果，建议磋商供应商选择封闭安静的地点参与远程交互。因磋商供应商自身软硬件问题而导致在交互过程中出现不稳定或中断等情况的，由磋商供应商自身承担一切后果。</w:t>
      </w:r>
    </w:p>
    <w:p w14:paraId="3B4F0719">
      <w:pPr>
        <w:widowControl/>
        <w:spacing w:line="360" w:lineRule="auto"/>
        <w:ind w:firstLine="482" w:firstLineChars="200"/>
        <w:jc w:val="left"/>
        <w:rPr>
          <w:rStyle w:val="18"/>
          <w:rFonts w:ascii="仿宋" w:hAnsi="仿宋" w:eastAsia="仿宋" w:cs="仿宋"/>
          <w:b/>
          <w:sz w:val="24"/>
          <w:szCs w:val="24"/>
        </w:rPr>
      </w:pPr>
      <w:r>
        <w:rPr>
          <w:rStyle w:val="18"/>
          <w:rFonts w:hint="eastAsia" w:ascii="仿宋" w:hAnsi="仿宋" w:eastAsia="仿宋" w:cs="仿宋"/>
          <w:b/>
          <w:sz w:val="24"/>
          <w:szCs w:val="24"/>
        </w:rPr>
        <w:t>注：如潜在供应商未按上述要求操作，将自行承担所产生的风险。</w:t>
      </w:r>
    </w:p>
    <w:p w14:paraId="238E4D52">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四、响应文件提交</w:t>
      </w:r>
      <w:bookmarkEnd w:id="9"/>
      <w:bookmarkEnd w:id="10"/>
      <w:bookmarkEnd w:id="11"/>
      <w:bookmarkEnd w:id="12"/>
    </w:p>
    <w:p w14:paraId="74F44027">
      <w:pPr>
        <w:spacing w:line="360" w:lineRule="auto"/>
        <w:ind w:firstLine="480" w:firstLineChars="200"/>
        <w:rPr>
          <w:rFonts w:ascii="仿宋" w:hAnsi="仿宋" w:eastAsia="仿宋" w:cs="仿宋"/>
          <w:sz w:val="24"/>
          <w:szCs w:val="24"/>
        </w:rPr>
      </w:pPr>
      <w:bookmarkStart w:id="16" w:name="_Toc28359016"/>
      <w:bookmarkStart w:id="17" w:name="_Toc35393633"/>
      <w:bookmarkStart w:id="18" w:name="_Toc35393802"/>
      <w:bookmarkStart w:id="19" w:name="_Toc28359093"/>
      <w:r>
        <w:rPr>
          <w:rFonts w:hint="eastAsia" w:ascii="仿宋" w:hAnsi="仿宋" w:eastAsia="仿宋" w:cs="仿宋"/>
          <w:sz w:val="24"/>
          <w:szCs w:val="24"/>
        </w:rPr>
        <w:t>1.响应文件提交截止时间：</w:t>
      </w:r>
      <w:r>
        <w:rPr>
          <w:rFonts w:hint="eastAsia" w:ascii="仿宋" w:hAnsi="仿宋" w:eastAsia="仿宋" w:cs="仿宋"/>
          <w:b/>
          <w:bCs/>
          <w:sz w:val="24"/>
          <w:szCs w:val="24"/>
        </w:rPr>
        <w:t>2025年</w:t>
      </w:r>
      <w:r>
        <w:rPr>
          <w:rFonts w:hint="eastAsia" w:ascii="仿宋" w:hAnsi="仿宋" w:eastAsia="仿宋" w:cs="仿宋"/>
          <w:b/>
          <w:bCs/>
          <w:sz w:val="24"/>
          <w:szCs w:val="24"/>
          <w:lang w:val="en-US" w:eastAsia="zh-CN"/>
        </w:rPr>
        <w:t>07</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01</w:t>
      </w:r>
      <w:r>
        <w:rPr>
          <w:rFonts w:hint="eastAsia" w:ascii="仿宋" w:hAnsi="仿宋" w:eastAsia="仿宋" w:cs="仿宋"/>
          <w:b/>
          <w:bCs/>
          <w:sz w:val="24"/>
          <w:szCs w:val="24"/>
        </w:rPr>
        <w:t>日</w:t>
      </w:r>
      <w:r>
        <w:rPr>
          <w:rFonts w:hint="eastAsia" w:ascii="仿宋" w:hAnsi="仿宋" w:eastAsia="仿宋" w:cs="仿宋"/>
          <w:b/>
          <w:bCs/>
          <w:sz w:val="24"/>
          <w:szCs w:val="24"/>
          <w:lang w:val="en-US" w:eastAsia="zh-CN"/>
        </w:rPr>
        <w:t>09</w:t>
      </w:r>
      <w:r>
        <w:rPr>
          <w:rFonts w:hint="eastAsia" w:ascii="仿宋" w:hAnsi="仿宋" w:eastAsia="仿宋" w:cs="仿宋"/>
          <w:b/>
          <w:bCs/>
          <w:sz w:val="24"/>
          <w:szCs w:val="24"/>
        </w:rPr>
        <w:t>时30分（北京时间）</w:t>
      </w:r>
      <w:r>
        <w:rPr>
          <w:rFonts w:hint="eastAsia" w:ascii="仿宋" w:hAnsi="仿宋" w:eastAsia="仿宋" w:cs="仿宋"/>
          <w:sz w:val="24"/>
          <w:szCs w:val="24"/>
        </w:rPr>
        <w:t>。逾时，“苏采云”系统将拒绝接受上传响应文件电子文档。</w:t>
      </w:r>
    </w:p>
    <w:p w14:paraId="576DBBC7">
      <w:pPr>
        <w:spacing w:line="360" w:lineRule="auto"/>
        <w:ind w:firstLine="480" w:firstLineChars="200"/>
        <w:rPr>
          <w:rFonts w:ascii="仿宋" w:hAnsi="仿宋" w:eastAsia="仿宋" w:cs="仿宋"/>
          <w:sz w:val="24"/>
          <w:szCs w:val="24"/>
          <w:lang w:eastAsia="en-US"/>
        </w:rPr>
      </w:pPr>
      <w:r>
        <w:rPr>
          <w:rFonts w:hint="eastAsia" w:ascii="仿宋" w:hAnsi="仿宋" w:eastAsia="仿宋" w:cs="仿宋"/>
          <w:sz w:val="24"/>
          <w:szCs w:val="24"/>
        </w:rPr>
        <w:t>2.</w:t>
      </w:r>
      <w:r>
        <w:rPr>
          <w:rFonts w:hint="eastAsia" w:ascii="仿宋" w:hAnsi="仿宋" w:eastAsia="仿宋" w:cs="仿宋"/>
          <w:sz w:val="24"/>
          <w:szCs w:val="24"/>
          <w:lang w:eastAsia="en-US"/>
        </w:rPr>
        <w:t>地点：“苏采云”系统（网址：http://jszfcg.jsczt.cn/）</w:t>
      </w:r>
    </w:p>
    <w:p w14:paraId="2F3468A3">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五、开启</w:t>
      </w:r>
    </w:p>
    <w:p w14:paraId="74EEBA1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1.时间：</w:t>
      </w:r>
      <w:r>
        <w:rPr>
          <w:rFonts w:hint="eastAsia" w:ascii="仿宋" w:hAnsi="仿宋" w:eastAsia="仿宋" w:cs="仿宋"/>
          <w:b/>
          <w:bCs/>
          <w:sz w:val="24"/>
          <w:szCs w:val="24"/>
        </w:rPr>
        <w:t>2025年</w:t>
      </w:r>
      <w:r>
        <w:rPr>
          <w:rFonts w:hint="eastAsia" w:ascii="仿宋" w:hAnsi="仿宋" w:eastAsia="仿宋" w:cs="仿宋"/>
          <w:b/>
          <w:bCs/>
          <w:sz w:val="24"/>
          <w:szCs w:val="24"/>
          <w:lang w:val="en-US" w:eastAsia="zh-CN"/>
        </w:rPr>
        <w:t>07</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01</w:t>
      </w:r>
      <w:r>
        <w:rPr>
          <w:rFonts w:hint="eastAsia" w:ascii="仿宋" w:hAnsi="仿宋" w:eastAsia="仿宋" w:cs="仿宋"/>
          <w:b/>
          <w:bCs/>
          <w:sz w:val="24"/>
          <w:szCs w:val="24"/>
        </w:rPr>
        <w:t>日</w:t>
      </w:r>
      <w:r>
        <w:rPr>
          <w:rFonts w:hint="eastAsia" w:ascii="仿宋" w:hAnsi="仿宋" w:eastAsia="仿宋" w:cs="仿宋"/>
          <w:b/>
          <w:bCs/>
          <w:sz w:val="24"/>
          <w:szCs w:val="24"/>
          <w:lang w:val="en-US" w:eastAsia="zh-CN"/>
        </w:rPr>
        <w:t>09</w:t>
      </w:r>
      <w:r>
        <w:rPr>
          <w:rFonts w:hint="eastAsia" w:ascii="仿宋" w:hAnsi="仿宋" w:eastAsia="仿宋" w:cs="仿宋"/>
          <w:b/>
          <w:bCs/>
          <w:sz w:val="24"/>
          <w:szCs w:val="24"/>
        </w:rPr>
        <w:t>时30分（北京时间）</w:t>
      </w:r>
    </w:p>
    <w:p w14:paraId="3E2755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2.地点：</w:t>
      </w:r>
      <w:r>
        <w:rPr>
          <w:rFonts w:hint="eastAsia" w:ascii="仿宋" w:hAnsi="仿宋" w:eastAsia="仿宋" w:cs="仿宋"/>
          <w:sz w:val="24"/>
          <w:szCs w:val="24"/>
          <w:lang w:eastAsia="en-US"/>
        </w:rPr>
        <w:t>“苏采云”系统（网址：http://jszfcg.jsczt.cn/）“开标大厅”</w:t>
      </w:r>
    </w:p>
    <w:p w14:paraId="285AC635">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3.响应文件的解密：开标当天各供应商及时登录不见面开标大厅，响应文件递交截止时间后，采购人将在系统内公布供应商名单，然后通过开标会议区发出响应文件解密的指令，投标供应商在开标室按规定时间自行实施远程解密，</w:t>
      </w:r>
      <w:r>
        <w:rPr>
          <w:rFonts w:hint="eastAsia" w:ascii="仿宋" w:hAnsi="仿宋" w:eastAsia="仿宋" w:cs="仿宋"/>
          <w:b/>
          <w:sz w:val="24"/>
          <w:szCs w:val="24"/>
        </w:rPr>
        <w:t>投标供应商解密限定在开标后30分钟之内完成</w:t>
      </w:r>
      <w:r>
        <w:rPr>
          <w:rFonts w:hint="eastAsia" w:ascii="仿宋" w:hAnsi="仿宋" w:eastAsia="仿宋" w:cs="仿宋"/>
          <w:sz w:val="24"/>
          <w:szCs w:val="24"/>
        </w:rPr>
        <w:t>。</w:t>
      </w:r>
      <w:r>
        <w:rPr>
          <w:rFonts w:hint="eastAsia" w:ascii="仿宋" w:hAnsi="仿宋" w:eastAsia="仿宋" w:cs="仿宋"/>
          <w:sz w:val="24"/>
          <w:szCs w:val="24"/>
          <w:u w:val="singl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或采购代理机构）原因或网上招投标平台发生故障，导致无法按时完成响应文件解密或开、评标工作无法进行的，可根据实际情况相应延迟解密时间或调整开、评标时间。</w:t>
      </w:r>
    </w:p>
    <w:p w14:paraId="367346EB">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注：</w:t>
      </w:r>
      <w:r>
        <w:rPr>
          <w:rFonts w:hint="eastAsia" w:ascii="仿宋" w:hAnsi="仿宋" w:eastAsia="仿宋" w:cs="仿宋"/>
          <w:sz w:val="24"/>
          <w:szCs w:val="24"/>
        </w:rPr>
        <w:t>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bookmarkEnd w:id="16"/>
      <w:bookmarkEnd w:id="17"/>
      <w:bookmarkEnd w:id="18"/>
      <w:bookmarkEnd w:id="19"/>
    </w:p>
    <w:p w14:paraId="4C84FA57">
      <w:pPr>
        <w:spacing w:line="360" w:lineRule="auto"/>
        <w:ind w:firstLine="482" w:firstLineChars="200"/>
        <w:rPr>
          <w:rFonts w:ascii="仿宋" w:hAnsi="仿宋" w:eastAsia="仿宋" w:cs="仿宋"/>
          <w:bCs/>
          <w:sz w:val="24"/>
          <w:szCs w:val="24"/>
        </w:rPr>
      </w:pPr>
      <w:r>
        <w:rPr>
          <w:rFonts w:hint="eastAsia" w:ascii="仿宋" w:hAnsi="仿宋" w:eastAsia="仿宋" w:cs="仿宋"/>
          <w:b/>
          <w:bCs/>
          <w:sz w:val="24"/>
          <w:szCs w:val="24"/>
        </w:rPr>
        <w:t>六、公告期限：</w:t>
      </w:r>
      <w:r>
        <w:rPr>
          <w:rFonts w:hint="eastAsia" w:ascii="仿宋" w:hAnsi="仿宋" w:eastAsia="仿宋" w:cs="仿宋"/>
          <w:sz w:val="24"/>
          <w:szCs w:val="24"/>
        </w:rPr>
        <w:t>自</w:t>
      </w:r>
      <w:r>
        <w:rPr>
          <w:rFonts w:hint="eastAsia" w:ascii="仿宋" w:hAnsi="仿宋" w:eastAsia="仿宋" w:cs="仿宋"/>
          <w:bCs/>
          <w:sz w:val="24"/>
          <w:szCs w:val="24"/>
        </w:rPr>
        <w:t>本公告发布之日起3个工作日。</w:t>
      </w:r>
      <w:bookmarkStart w:id="20" w:name="_Toc35393635"/>
      <w:bookmarkEnd w:id="20"/>
      <w:bookmarkStart w:id="21" w:name="_Toc35393804"/>
      <w:bookmarkEnd w:id="21"/>
    </w:p>
    <w:p w14:paraId="44EEE7FB">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七、其他补充事宜</w:t>
      </w:r>
    </w:p>
    <w:p w14:paraId="7B0B024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1.磋商保证金：免收。</w:t>
      </w:r>
    </w:p>
    <w:p w14:paraId="741D005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2.项目磋商活动模式：不见面远程磋商模式，供应商在各自地点通过不见面交易系统参加开标会。 </w:t>
      </w:r>
    </w:p>
    <w:p w14:paraId="528ECE7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3.项目演示、样品、答辩等（如有请描述）：</w:t>
      </w:r>
      <w:r>
        <w:rPr>
          <w:rFonts w:hint="eastAsia" w:ascii="仿宋" w:hAnsi="仿宋" w:eastAsia="仿宋" w:cs="仿宋"/>
          <w:sz w:val="24"/>
          <w:szCs w:val="24"/>
          <w:lang w:eastAsia="zh-CN"/>
        </w:rPr>
        <w:t>需</w:t>
      </w:r>
      <w:r>
        <w:rPr>
          <w:rFonts w:hint="eastAsia" w:ascii="仿宋" w:hAnsi="仿宋" w:eastAsia="仿宋" w:cs="仿宋"/>
          <w:sz w:val="24"/>
          <w:szCs w:val="24"/>
        </w:rPr>
        <w:t>系统演示</w:t>
      </w:r>
      <w:r>
        <w:rPr>
          <w:rFonts w:hint="eastAsia" w:ascii="仿宋" w:hAnsi="仿宋" w:eastAsia="仿宋" w:cs="仿宋"/>
          <w:sz w:val="24"/>
          <w:szCs w:val="24"/>
          <w:lang w:eastAsia="zh-CN"/>
        </w:rPr>
        <w:t>，要求详见“第四章  评审方法和评审标准”。</w:t>
      </w:r>
    </w:p>
    <w:p w14:paraId="684D598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62ED7CB4">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本项目属于非招标方式，不存在唱标环节。按照政府采购法律制度规定，在磋商中任何一方不得透露与磋商有关的其他供应商的技术资料、价格和其他信息，因此不公开唱标。最终成交供应商名称和成交金额可通过江苏省政府采购网站发布成交结果公告获得。</w:t>
      </w:r>
    </w:p>
    <w:p w14:paraId="75C01B49">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八、凡对本次采购提出询问，请按以下方式联系</w:t>
      </w:r>
    </w:p>
    <w:p w14:paraId="2146EA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1.采购人信息</w:t>
      </w:r>
    </w:p>
    <w:p w14:paraId="0A2DAA6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名 称：南通市经济技术开发区行政审批局　　　　　　　　　　　　</w:t>
      </w:r>
    </w:p>
    <w:p w14:paraId="263E25C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地址：南通市经济技术开发区宏兴路9号</w:t>
      </w:r>
    </w:p>
    <w:p w14:paraId="27C3DC0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eastAsia="zh-CN"/>
        </w:rPr>
        <w:t>联系人：</w:t>
      </w:r>
      <w:r>
        <w:rPr>
          <w:rFonts w:hint="eastAsia" w:ascii="仿宋" w:hAnsi="仿宋" w:eastAsia="仿宋" w:cs="仿宋"/>
          <w:bCs/>
          <w:sz w:val="24"/>
          <w:szCs w:val="24"/>
        </w:rPr>
        <w:t xml:space="preserve">张女士  </w:t>
      </w:r>
    </w:p>
    <w:p w14:paraId="611758C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联系方式：0513-55095613</w:t>
      </w:r>
    </w:p>
    <w:p w14:paraId="4CA05F1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2.采购代理机构：</w:t>
      </w:r>
    </w:p>
    <w:p w14:paraId="179115F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名 称：南通经济技术开发区公共资源交易中心</w:t>
      </w:r>
    </w:p>
    <w:p w14:paraId="1A51A2E0">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地址：南通市经济技术开发区宏兴路9号　　　　　　　　　　</w:t>
      </w:r>
    </w:p>
    <w:p w14:paraId="0ACC5BC0">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联系人：经办一</w:t>
      </w:r>
    </w:p>
    <w:p w14:paraId="1B7B524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联系方式：0513-8</w:t>
      </w:r>
      <w:r>
        <w:rPr>
          <w:rFonts w:hint="eastAsia" w:ascii="仿宋" w:hAnsi="仿宋" w:eastAsia="仿宋" w:cs="仿宋"/>
          <w:bCs/>
          <w:sz w:val="24"/>
          <w:szCs w:val="24"/>
          <w:lang w:val="en-US" w:eastAsia="zh-CN"/>
        </w:rPr>
        <w:t>9010636</w:t>
      </w:r>
      <w:r>
        <w:rPr>
          <w:rFonts w:hint="eastAsia" w:ascii="仿宋" w:hAnsi="仿宋" w:eastAsia="仿宋" w:cs="仿宋"/>
          <w:bCs/>
          <w:sz w:val="24"/>
          <w:szCs w:val="24"/>
        </w:rPr>
        <w:t>　　　　</w:t>
      </w:r>
    </w:p>
    <w:p w14:paraId="7979662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3.项目联系方式</w:t>
      </w:r>
    </w:p>
    <w:p w14:paraId="082A3249">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项目联系人:经办</w:t>
      </w:r>
      <w:r>
        <w:rPr>
          <w:rFonts w:hint="eastAsia" w:ascii="仿宋" w:hAnsi="仿宋" w:eastAsia="仿宋" w:cs="仿宋"/>
          <w:bCs/>
          <w:sz w:val="24"/>
          <w:szCs w:val="24"/>
          <w:lang w:eastAsia="zh-CN"/>
        </w:rPr>
        <w:t>一</w:t>
      </w:r>
    </w:p>
    <w:p w14:paraId="15164281">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联系方式：0513-8</w:t>
      </w:r>
      <w:r>
        <w:rPr>
          <w:rFonts w:hint="eastAsia" w:ascii="仿宋" w:hAnsi="仿宋" w:eastAsia="仿宋" w:cs="仿宋"/>
          <w:bCs/>
          <w:sz w:val="24"/>
          <w:szCs w:val="24"/>
          <w:lang w:val="en-US" w:eastAsia="zh-CN"/>
        </w:rPr>
        <w:t>9010636</w:t>
      </w:r>
    </w:p>
    <w:p w14:paraId="581CBC70">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软件技术支持：0519-86722801</w:t>
      </w:r>
    </w:p>
    <w:p w14:paraId="023C845A">
      <w:pPr>
        <w:spacing w:line="360" w:lineRule="auto"/>
        <w:ind w:firstLine="480" w:firstLineChars="200"/>
        <w:rPr>
          <w:rFonts w:hint="eastAsia" w:ascii="仿宋" w:hAnsi="仿宋" w:eastAsia="仿宋" w:cs="仿宋"/>
          <w:sz w:val="24"/>
          <w:szCs w:val="24"/>
        </w:rPr>
      </w:pPr>
    </w:p>
    <w:p w14:paraId="7DA11AF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附件:</w:t>
      </w:r>
    </w:p>
    <w:p w14:paraId="65055D2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1.竞争性磋商文件</w:t>
      </w:r>
    </w:p>
    <w:p w14:paraId="2F585B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2.采购人信用承诺书</w:t>
      </w:r>
    </w:p>
    <w:p w14:paraId="7FC20BD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4.“苏采云”系统供应商操作手册</w:t>
      </w:r>
    </w:p>
    <w:p w14:paraId="335B6A96">
      <w:pPr>
        <w:spacing w:line="360" w:lineRule="auto"/>
        <w:ind w:left="695" w:firstLine="480"/>
        <w:rPr>
          <w:rFonts w:ascii="仿宋" w:hAnsi="仿宋" w:eastAsia="仿宋" w:cs="仿宋"/>
          <w:sz w:val="32"/>
          <w:szCs w:val="32"/>
        </w:rPr>
      </w:pPr>
      <w:r>
        <w:rPr>
          <w:rFonts w:hint="eastAsia" w:ascii="仿宋" w:hAnsi="仿宋" w:eastAsia="仿宋" w:cs="仿宋"/>
          <w:szCs w:val="44"/>
        </w:rPr>
        <w:t xml:space="preserve">                     </w:t>
      </w:r>
      <w:r>
        <w:rPr>
          <w:rFonts w:hint="eastAsia" w:ascii="仿宋" w:hAnsi="仿宋" w:eastAsia="仿宋" w:cs="仿宋"/>
          <w:sz w:val="44"/>
          <w:szCs w:val="44"/>
        </w:rPr>
        <w:t xml:space="preserve"> </w:t>
      </w:r>
      <w:r>
        <w:rPr>
          <w:rFonts w:hint="eastAsia" w:ascii="仿宋" w:hAnsi="仿宋" w:eastAsia="仿宋" w:cs="仿宋"/>
          <w:sz w:val="32"/>
          <w:szCs w:val="32"/>
        </w:rPr>
        <w:t xml:space="preserve"> </w:t>
      </w:r>
    </w:p>
    <w:p w14:paraId="5C4C02E4">
      <w:pPr>
        <w:rPr>
          <w:rFonts w:ascii="仿宋" w:hAnsi="仿宋" w:eastAsia="仿宋" w:cs="仿宋"/>
          <w:sz w:val="32"/>
          <w:szCs w:val="32"/>
        </w:rPr>
      </w:pPr>
      <w:r>
        <w:rPr>
          <w:rFonts w:hint="eastAsia" w:ascii="仿宋" w:hAnsi="仿宋" w:eastAsia="仿宋" w:cs="仿宋"/>
          <w:sz w:val="32"/>
          <w:szCs w:val="32"/>
        </w:rPr>
        <w:br w:type="page"/>
      </w:r>
    </w:p>
    <w:p w14:paraId="3BCD5273">
      <w:pPr>
        <w:spacing w:line="360" w:lineRule="auto"/>
        <w:jc w:val="center"/>
        <w:outlineLvl w:val="0"/>
        <w:rPr>
          <w:rFonts w:ascii="仿宋" w:hAnsi="仿宋" w:eastAsia="仿宋" w:cs="仿宋"/>
          <w:sz w:val="32"/>
          <w:szCs w:val="32"/>
        </w:rPr>
      </w:pPr>
      <w:r>
        <w:rPr>
          <w:rFonts w:hint="eastAsia" w:ascii="仿宋" w:hAnsi="仿宋" w:eastAsia="仿宋" w:cs="仿宋"/>
          <w:b/>
          <w:bCs/>
          <w:sz w:val="32"/>
          <w:szCs w:val="32"/>
        </w:rPr>
        <w:t>第二章   磋商须知</w:t>
      </w:r>
    </w:p>
    <w:p w14:paraId="41A0517A">
      <w:pPr>
        <w:keepNext/>
        <w:keepLines/>
        <w:spacing w:line="360" w:lineRule="auto"/>
        <w:ind w:firstLine="482" w:firstLineChars="200"/>
        <w:rPr>
          <w:rFonts w:ascii="仿宋" w:hAnsi="仿宋" w:eastAsia="仿宋" w:cs="仿宋"/>
          <w:sz w:val="24"/>
          <w:szCs w:val="24"/>
        </w:rPr>
      </w:pPr>
      <w:bookmarkStart w:id="22" w:name="_Toc513029203"/>
      <w:bookmarkStart w:id="23" w:name="_Toc120614214"/>
      <w:bookmarkStart w:id="24" w:name="_Toc16938519"/>
      <w:bookmarkStart w:id="25" w:name="_Toc20823275"/>
      <w:bookmarkStart w:id="26" w:name="_Toc432763305"/>
      <w:r>
        <w:rPr>
          <w:rFonts w:hint="eastAsia" w:ascii="仿宋" w:hAnsi="仿宋" w:eastAsia="仿宋" w:cs="仿宋"/>
          <w:b/>
          <w:bCs/>
          <w:sz w:val="24"/>
          <w:szCs w:val="24"/>
        </w:rPr>
        <w:t>（一）总则</w:t>
      </w:r>
      <w:bookmarkEnd w:id="22"/>
      <w:bookmarkEnd w:id="23"/>
      <w:bookmarkEnd w:id="24"/>
      <w:bookmarkEnd w:id="25"/>
    </w:p>
    <w:p w14:paraId="5F7D1657">
      <w:pPr>
        <w:keepNext/>
        <w:spacing w:line="360" w:lineRule="auto"/>
        <w:ind w:firstLine="480" w:firstLineChars="200"/>
        <w:rPr>
          <w:rFonts w:ascii="仿宋" w:hAnsi="仿宋" w:eastAsia="仿宋" w:cs="仿宋"/>
          <w:b/>
          <w:bCs/>
          <w:sz w:val="24"/>
          <w:szCs w:val="24"/>
        </w:rPr>
      </w:pPr>
      <w:bookmarkStart w:id="27" w:name="_Hlt16619475"/>
      <w:bookmarkEnd w:id="27"/>
      <w:bookmarkStart w:id="28" w:name="_Toc458694821"/>
      <w:bookmarkStart w:id="29" w:name="_Toc20823276"/>
      <w:bookmarkStart w:id="30" w:name="_Toc16938520"/>
      <w:bookmarkStart w:id="31" w:name="_Toc513029204"/>
      <w:r>
        <w:rPr>
          <w:rFonts w:hint="eastAsia" w:ascii="仿宋" w:hAnsi="仿宋" w:eastAsia="仿宋" w:cs="仿宋"/>
          <w:sz w:val="24"/>
          <w:szCs w:val="24"/>
        </w:rPr>
        <w:t>1</w:t>
      </w:r>
      <w:bookmarkEnd w:id="28"/>
      <w:r>
        <w:rPr>
          <w:rFonts w:hint="eastAsia" w:ascii="仿宋" w:hAnsi="仿宋" w:eastAsia="仿宋" w:cs="仿宋"/>
          <w:sz w:val="24"/>
          <w:szCs w:val="24"/>
        </w:rPr>
        <w:t>.采购方式</w:t>
      </w:r>
      <w:bookmarkEnd w:id="29"/>
      <w:bookmarkEnd w:id="30"/>
      <w:bookmarkEnd w:id="31"/>
    </w:p>
    <w:p w14:paraId="69A1D1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本次政府采购活动采取竞争性磋商(以下简称磋商)方式，本磋商文件仅适用于磋商公告中所述项目。</w:t>
      </w:r>
    </w:p>
    <w:p w14:paraId="6DE29512">
      <w:pPr>
        <w:keepNext/>
        <w:spacing w:line="360" w:lineRule="auto"/>
        <w:ind w:firstLine="480" w:firstLineChars="200"/>
        <w:rPr>
          <w:rFonts w:ascii="仿宋" w:hAnsi="仿宋" w:eastAsia="仿宋" w:cs="仿宋"/>
          <w:b/>
          <w:bCs/>
          <w:sz w:val="24"/>
          <w:szCs w:val="24"/>
        </w:rPr>
      </w:pPr>
      <w:bookmarkStart w:id="32" w:name="_Toc16938521"/>
      <w:bookmarkStart w:id="33" w:name="_Toc20823277"/>
      <w:bookmarkStart w:id="34" w:name="_Toc513029205"/>
      <w:r>
        <w:rPr>
          <w:rFonts w:hint="eastAsia" w:ascii="仿宋" w:hAnsi="仿宋" w:eastAsia="仿宋" w:cs="仿宋"/>
          <w:sz w:val="24"/>
          <w:szCs w:val="24"/>
        </w:rPr>
        <w:t>2.合格的</w:t>
      </w:r>
      <w:bookmarkEnd w:id="32"/>
      <w:bookmarkEnd w:id="33"/>
      <w:bookmarkEnd w:id="34"/>
      <w:r>
        <w:rPr>
          <w:rFonts w:hint="eastAsia" w:ascii="仿宋" w:hAnsi="仿宋" w:eastAsia="仿宋" w:cs="仿宋"/>
          <w:sz w:val="24"/>
          <w:szCs w:val="24"/>
        </w:rPr>
        <w:t>供应商</w:t>
      </w:r>
    </w:p>
    <w:p w14:paraId="618FB3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2.1满足磋商公告中供应商的资格要求的规定。</w:t>
      </w:r>
    </w:p>
    <w:p w14:paraId="114EB7D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满足本磋商文件实质性要求和条件的规定。</w:t>
      </w:r>
    </w:p>
    <w:p w14:paraId="0F8C80AC">
      <w:pPr>
        <w:keepNext/>
        <w:spacing w:line="360" w:lineRule="auto"/>
        <w:ind w:firstLine="480" w:firstLineChars="200"/>
        <w:rPr>
          <w:rFonts w:ascii="仿宋" w:hAnsi="仿宋" w:eastAsia="仿宋" w:cs="仿宋"/>
          <w:b/>
          <w:bCs/>
          <w:sz w:val="24"/>
          <w:szCs w:val="24"/>
        </w:rPr>
      </w:pPr>
      <w:bookmarkStart w:id="35" w:name="_Toc513029206"/>
      <w:bookmarkStart w:id="36" w:name="_Toc16938522"/>
      <w:bookmarkStart w:id="37" w:name="_Toc20823278"/>
      <w:r>
        <w:rPr>
          <w:rFonts w:hint="eastAsia" w:ascii="仿宋" w:hAnsi="仿宋" w:eastAsia="仿宋" w:cs="仿宋"/>
          <w:sz w:val="24"/>
          <w:szCs w:val="24"/>
        </w:rPr>
        <w:t>3.适用法律</w:t>
      </w:r>
      <w:bookmarkEnd w:id="35"/>
      <w:bookmarkEnd w:id="36"/>
      <w:bookmarkEnd w:id="37"/>
    </w:p>
    <w:p w14:paraId="69AD90C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 本次磋商及由此产生的合同受中华人民共和国有关的法律法规制约和保护。</w:t>
      </w:r>
    </w:p>
    <w:p w14:paraId="2C1AC519">
      <w:pPr>
        <w:keepNext/>
        <w:spacing w:line="360" w:lineRule="auto"/>
        <w:ind w:firstLine="480" w:firstLineChars="200"/>
        <w:rPr>
          <w:rFonts w:ascii="仿宋" w:hAnsi="仿宋" w:eastAsia="仿宋" w:cs="仿宋"/>
          <w:b/>
          <w:bCs/>
          <w:sz w:val="24"/>
          <w:szCs w:val="24"/>
        </w:rPr>
      </w:pPr>
      <w:bookmarkStart w:id="38" w:name="_Toc16938523"/>
      <w:bookmarkStart w:id="39" w:name="_Toc513029207"/>
      <w:bookmarkStart w:id="40" w:name="_Toc462564067"/>
      <w:bookmarkStart w:id="41" w:name="_Toc20823279"/>
      <w:r>
        <w:rPr>
          <w:rFonts w:hint="eastAsia" w:ascii="仿宋" w:hAnsi="仿宋" w:eastAsia="仿宋" w:cs="仿宋"/>
          <w:sz w:val="24"/>
          <w:szCs w:val="24"/>
        </w:rPr>
        <w:t>4.磋商费用</w:t>
      </w:r>
      <w:bookmarkEnd w:id="38"/>
      <w:bookmarkEnd w:id="39"/>
      <w:bookmarkEnd w:id="40"/>
      <w:bookmarkEnd w:id="41"/>
    </w:p>
    <w:p w14:paraId="3B3AD7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供应商应自行承担所有与参加磋商有关的费用，无论磋商过程中的做法和结果如何，采购人及代理机构在任何情况下均无义务和责任承担这些费用。</w:t>
      </w:r>
    </w:p>
    <w:p w14:paraId="7B2CADBE">
      <w:pPr>
        <w:keepNext/>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5.磋商文件的约束力</w:t>
      </w:r>
    </w:p>
    <w:p w14:paraId="59997ED8">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5.1</w:t>
      </w:r>
      <w:r>
        <w:rPr>
          <w:rFonts w:hint="eastAsia" w:ascii="仿宋" w:hAnsi="仿宋" w:eastAsia="仿宋" w:cs="仿宋"/>
          <w:sz w:val="24"/>
          <w:szCs w:val="24"/>
        </w:rPr>
        <w:t xml:space="preserve"> 供应商一旦参加本项目采购活动，即被认为接受了本磋商文件的规定和约束。</w:t>
      </w:r>
    </w:p>
    <w:p w14:paraId="53188FF3">
      <w:pPr>
        <w:keepNext/>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6.磋商文件的解释</w:t>
      </w:r>
    </w:p>
    <w:p w14:paraId="6EA25207">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6.1</w:t>
      </w:r>
      <w:r>
        <w:rPr>
          <w:rFonts w:hint="eastAsia" w:ascii="仿宋" w:hAnsi="仿宋" w:eastAsia="仿宋" w:cs="仿宋"/>
          <w:sz w:val="24"/>
          <w:szCs w:val="24"/>
        </w:rPr>
        <w:t>磋商文件需求部分（供应商资格要求、项目需求、商务技术评分标准）等由采购人解释。</w:t>
      </w:r>
    </w:p>
    <w:p w14:paraId="30D211BE">
      <w:pPr>
        <w:keepNext/>
        <w:keepLines/>
        <w:spacing w:line="360" w:lineRule="auto"/>
        <w:ind w:firstLine="482" w:firstLineChars="200"/>
        <w:rPr>
          <w:rFonts w:ascii="仿宋" w:hAnsi="仿宋" w:eastAsia="仿宋" w:cs="仿宋"/>
          <w:b/>
          <w:bCs/>
          <w:sz w:val="24"/>
          <w:szCs w:val="24"/>
        </w:rPr>
      </w:pPr>
      <w:bookmarkStart w:id="42" w:name="_Toc20823281"/>
      <w:bookmarkStart w:id="43" w:name="_Toc16938525"/>
      <w:bookmarkStart w:id="44" w:name="_Toc120614215"/>
      <w:bookmarkStart w:id="45" w:name="_Toc513029209"/>
      <w:r>
        <w:rPr>
          <w:rFonts w:hint="eastAsia" w:ascii="仿宋" w:hAnsi="仿宋" w:eastAsia="仿宋" w:cs="仿宋"/>
          <w:b/>
          <w:bCs/>
          <w:sz w:val="24"/>
          <w:szCs w:val="24"/>
        </w:rPr>
        <w:t>（二）磋商文件</w:t>
      </w:r>
      <w:bookmarkEnd w:id="42"/>
      <w:bookmarkEnd w:id="43"/>
      <w:bookmarkEnd w:id="44"/>
      <w:bookmarkEnd w:id="45"/>
    </w:p>
    <w:p w14:paraId="5A04B0D4">
      <w:pPr>
        <w:keepNext/>
        <w:spacing w:line="360" w:lineRule="auto"/>
        <w:ind w:firstLine="480" w:firstLineChars="200"/>
        <w:rPr>
          <w:rFonts w:ascii="仿宋" w:hAnsi="仿宋" w:eastAsia="仿宋" w:cs="仿宋"/>
          <w:b/>
          <w:bCs/>
          <w:sz w:val="24"/>
          <w:szCs w:val="24"/>
        </w:rPr>
      </w:pPr>
      <w:bookmarkStart w:id="46" w:name="_Toc16938526"/>
      <w:bookmarkStart w:id="47" w:name="_Toc513029210"/>
      <w:bookmarkStart w:id="48" w:name="_Toc20823282"/>
      <w:r>
        <w:rPr>
          <w:rFonts w:hint="eastAsia" w:ascii="仿宋" w:hAnsi="仿宋" w:eastAsia="仿宋" w:cs="仿宋"/>
          <w:sz w:val="24"/>
          <w:szCs w:val="24"/>
        </w:rPr>
        <w:t>1.磋商文件构成</w:t>
      </w:r>
      <w:bookmarkEnd w:id="46"/>
      <w:bookmarkEnd w:id="47"/>
      <w:bookmarkEnd w:id="48"/>
    </w:p>
    <w:p w14:paraId="67241353">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1.1</w:t>
      </w:r>
      <w:r>
        <w:rPr>
          <w:rFonts w:hint="eastAsia" w:ascii="仿宋" w:hAnsi="仿宋" w:eastAsia="仿宋" w:cs="仿宋"/>
          <w:sz w:val="24"/>
          <w:szCs w:val="24"/>
        </w:rPr>
        <w:t xml:space="preserve"> 磋商文件由以下部分组成：</w:t>
      </w:r>
    </w:p>
    <w:p w14:paraId="1FAA2AE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（1）竞争性磋商公告</w:t>
      </w:r>
    </w:p>
    <w:p w14:paraId="24C596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（2）磋商须知</w:t>
      </w:r>
    </w:p>
    <w:p w14:paraId="5872CCE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（3）项目需求</w:t>
      </w:r>
    </w:p>
    <w:p w14:paraId="4977CF1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（4）评审方法和评审标准</w:t>
      </w:r>
    </w:p>
    <w:p w14:paraId="24BB5FA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（5）响应文件组成</w:t>
      </w:r>
    </w:p>
    <w:p w14:paraId="7F35F2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（6）附件</w:t>
      </w:r>
    </w:p>
    <w:p w14:paraId="615A78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请仔细检查磋商文件是否齐全，如有缺漏请立即与</w:t>
      </w:r>
      <w:r>
        <w:rPr>
          <w:rFonts w:hint="eastAsia" w:ascii="仿宋" w:hAnsi="仿宋" w:eastAsia="仿宋" w:cs="仿宋"/>
          <w:bCs/>
          <w:sz w:val="24"/>
          <w:szCs w:val="24"/>
        </w:rPr>
        <w:t>采购人或采购代理机构</w:t>
      </w:r>
      <w:r>
        <w:rPr>
          <w:rFonts w:hint="eastAsia" w:ascii="仿宋" w:hAnsi="仿宋" w:eastAsia="仿宋" w:cs="仿宋"/>
          <w:sz w:val="24"/>
          <w:szCs w:val="24"/>
        </w:rPr>
        <w:t>联系解决。</w:t>
      </w:r>
    </w:p>
    <w:p w14:paraId="19CA5337">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1.2</w:t>
      </w:r>
      <w:r>
        <w:rPr>
          <w:rFonts w:hint="eastAsia" w:ascii="仿宋" w:hAnsi="仿宋" w:eastAsia="仿宋" w:cs="仿宋"/>
          <w:sz w:val="24"/>
          <w:szCs w:val="24"/>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8437B20">
      <w:pPr>
        <w:keepNext/>
        <w:spacing w:line="360" w:lineRule="auto"/>
        <w:ind w:firstLine="480" w:firstLineChars="200"/>
        <w:rPr>
          <w:rFonts w:ascii="仿宋" w:hAnsi="仿宋" w:eastAsia="仿宋" w:cs="仿宋"/>
          <w:b/>
          <w:bCs/>
          <w:sz w:val="24"/>
          <w:szCs w:val="24"/>
        </w:rPr>
      </w:pPr>
      <w:bookmarkStart w:id="49" w:name="_Toc20823283"/>
      <w:bookmarkStart w:id="50" w:name="_Toc462564070"/>
      <w:bookmarkStart w:id="51" w:name="_Toc16938527"/>
      <w:bookmarkStart w:id="52" w:name="_Toc513029211"/>
      <w:r>
        <w:rPr>
          <w:rFonts w:hint="eastAsia" w:ascii="仿宋" w:hAnsi="仿宋" w:eastAsia="仿宋" w:cs="仿宋"/>
          <w:sz w:val="24"/>
          <w:szCs w:val="24"/>
        </w:rPr>
        <w:t>2.磋商文件的澄清</w:t>
      </w:r>
      <w:bookmarkEnd w:id="49"/>
      <w:bookmarkEnd w:id="50"/>
      <w:bookmarkEnd w:id="51"/>
      <w:bookmarkEnd w:id="52"/>
    </w:p>
    <w:p w14:paraId="5D08A6EA">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2.1</w:t>
      </w:r>
      <w:r>
        <w:rPr>
          <w:rFonts w:hint="eastAsia" w:ascii="仿宋" w:hAnsi="仿宋" w:eastAsia="仿宋" w:cs="仿宋"/>
          <w:sz w:val="24"/>
          <w:szCs w:val="24"/>
        </w:rPr>
        <w:t>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p>
    <w:p w14:paraId="230C421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bCs/>
          <w:sz w:val="24"/>
          <w:szCs w:val="24"/>
        </w:rPr>
        <w:t>采购人</w:t>
      </w:r>
      <w:r>
        <w:rPr>
          <w:rFonts w:hint="eastAsia" w:ascii="仿宋" w:hAnsi="仿宋" w:eastAsia="仿宋" w:cs="仿宋"/>
          <w:sz w:val="24"/>
          <w:szCs w:val="24"/>
        </w:rPr>
        <w:t>可以视采购项目的具体情况，组织供应商进行现场考察或召开磋商前答疑会，但不单独或分别组织只有一个供应商参加的现场考察和答疑会。</w:t>
      </w:r>
    </w:p>
    <w:p w14:paraId="47627AAD">
      <w:pPr>
        <w:keepNext/>
        <w:spacing w:line="360" w:lineRule="auto"/>
        <w:ind w:firstLine="480" w:firstLineChars="200"/>
        <w:rPr>
          <w:rFonts w:ascii="仿宋" w:hAnsi="仿宋" w:eastAsia="仿宋" w:cs="仿宋"/>
          <w:b/>
          <w:bCs/>
          <w:sz w:val="24"/>
          <w:szCs w:val="24"/>
        </w:rPr>
      </w:pPr>
      <w:bookmarkStart w:id="53" w:name="_Toc513029212"/>
      <w:bookmarkStart w:id="54" w:name="_Toc16938528"/>
      <w:bookmarkStart w:id="55" w:name="_Toc462564071"/>
      <w:bookmarkStart w:id="56" w:name="_Toc20823284"/>
      <w:r>
        <w:rPr>
          <w:rFonts w:hint="eastAsia" w:ascii="仿宋" w:hAnsi="仿宋" w:eastAsia="仿宋" w:cs="仿宋"/>
          <w:sz w:val="24"/>
          <w:szCs w:val="24"/>
        </w:rPr>
        <w:t>3.磋商文件的修改</w:t>
      </w:r>
      <w:bookmarkEnd w:id="53"/>
      <w:bookmarkEnd w:id="54"/>
      <w:bookmarkEnd w:id="55"/>
      <w:bookmarkEnd w:id="56"/>
    </w:p>
    <w:p w14:paraId="18A855C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3.1 在响应文件提交截止时间前，采购人或采购代理机构可以对磋商文件进行修改</w:t>
      </w:r>
      <w:r>
        <w:rPr>
          <w:rFonts w:hint="eastAsia" w:ascii="仿宋" w:hAnsi="仿宋" w:eastAsia="仿宋" w:cs="仿宋"/>
          <w:sz w:val="24"/>
          <w:szCs w:val="24"/>
        </w:rPr>
        <w:t>, 澄清或者修改的内容作为磋商文件的组成部分。</w:t>
      </w:r>
    </w:p>
    <w:p w14:paraId="5B03E1C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3.2 采购人或采购代理机构有权按照法定的要求推迟响应文件提交截止日期和磋商日期。</w:t>
      </w:r>
    </w:p>
    <w:p w14:paraId="58D4B7FE">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3.3 磋商文件的修改将在江苏政府采购网公布，补充文件将作为磋商文件的组成部分，并对供应商具有约束力</w:t>
      </w:r>
      <w:r>
        <w:rPr>
          <w:rFonts w:hint="eastAsia" w:ascii="仿宋" w:hAnsi="仿宋" w:eastAsia="仿宋" w:cs="仿宋"/>
          <w:sz w:val="24"/>
          <w:szCs w:val="24"/>
        </w:rPr>
        <w:t>。</w:t>
      </w:r>
    </w:p>
    <w:p w14:paraId="2ABE4BC8">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在投标响应截止日期前，采购单位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kedt”），离线编制响应文件，否则，将自行承担相应的风险。</w:t>
      </w:r>
    </w:p>
    <w:p w14:paraId="1BB9C89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5.供应商对采购人提供的采购文件所做出的推论、解释和结论，采购人概不负责。供应商由于对采购文件的任何推论和误解以及采购人对有关问题的口头解释所造成的后果，均由各潜在供应商自负。</w:t>
      </w:r>
    </w:p>
    <w:p w14:paraId="1AB592C4">
      <w:pPr>
        <w:keepNext/>
        <w:keepLines/>
        <w:spacing w:line="360" w:lineRule="auto"/>
        <w:ind w:firstLine="482" w:firstLineChars="200"/>
        <w:rPr>
          <w:rFonts w:ascii="仿宋" w:hAnsi="仿宋" w:eastAsia="仿宋" w:cs="仿宋"/>
          <w:b/>
          <w:bCs/>
          <w:sz w:val="24"/>
          <w:szCs w:val="24"/>
        </w:rPr>
      </w:pPr>
      <w:bookmarkStart w:id="57" w:name="_Toc20823285"/>
      <w:bookmarkStart w:id="58" w:name="_Toc513029213"/>
      <w:bookmarkStart w:id="59" w:name="_Toc120614216"/>
      <w:bookmarkStart w:id="60" w:name="_Toc462564072"/>
      <w:bookmarkStart w:id="61" w:name="_Toc16938529"/>
      <w:r>
        <w:rPr>
          <w:rFonts w:hint="eastAsia" w:ascii="仿宋" w:hAnsi="仿宋" w:eastAsia="仿宋" w:cs="仿宋"/>
          <w:b/>
          <w:bCs/>
          <w:sz w:val="24"/>
          <w:szCs w:val="24"/>
        </w:rPr>
        <w:t>（三）响应文件的编制</w:t>
      </w:r>
      <w:bookmarkEnd w:id="57"/>
      <w:bookmarkEnd w:id="58"/>
      <w:bookmarkEnd w:id="59"/>
      <w:bookmarkEnd w:id="60"/>
      <w:bookmarkEnd w:id="61"/>
    </w:p>
    <w:p w14:paraId="39C7266C">
      <w:pPr>
        <w:keepNext/>
        <w:spacing w:line="360" w:lineRule="auto"/>
        <w:ind w:firstLine="480" w:firstLineChars="200"/>
        <w:rPr>
          <w:rFonts w:ascii="仿宋" w:hAnsi="仿宋" w:eastAsia="仿宋" w:cs="仿宋"/>
          <w:bCs/>
          <w:sz w:val="24"/>
          <w:szCs w:val="24"/>
        </w:rPr>
      </w:pPr>
      <w:bookmarkStart w:id="62" w:name="_Toc462564073"/>
      <w:bookmarkStart w:id="63" w:name="_Toc16938530"/>
      <w:bookmarkStart w:id="64" w:name="_Toc513029214"/>
      <w:bookmarkStart w:id="65" w:name="_Toc20823286"/>
      <w:r>
        <w:rPr>
          <w:rFonts w:hint="eastAsia" w:ascii="仿宋" w:hAnsi="仿宋" w:eastAsia="仿宋" w:cs="仿宋"/>
          <w:sz w:val="24"/>
          <w:szCs w:val="24"/>
        </w:rPr>
        <w:t>1.响应文件的语言及度量衡单位</w:t>
      </w:r>
      <w:bookmarkEnd w:id="62"/>
      <w:bookmarkEnd w:id="63"/>
      <w:bookmarkEnd w:id="64"/>
      <w:bookmarkEnd w:id="65"/>
    </w:p>
    <w:p w14:paraId="2256012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1.1供应商提交的响应文件以及供应商与采购人或采购代理机构就有关磋商的所有来往通知、函件和文件均应使用简体中文。</w:t>
      </w:r>
    </w:p>
    <w:p w14:paraId="64915975">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1.2 除技术性能另有规定外，响应文件所使用的度量衡单位，均须采用国家法定计量单位</w:t>
      </w:r>
      <w:r>
        <w:rPr>
          <w:rFonts w:hint="eastAsia" w:ascii="仿宋" w:hAnsi="仿宋" w:eastAsia="仿宋" w:cs="仿宋"/>
          <w:sz w:val="24"/>
          <w:szCs w:val="24"/>
        </w:rPr>
        <w:t>。</w:t>
      </w:r>
    </w:p>
    <w:p w14:paraId="5FA6F553">
      <w:pPr>
        <w:keepNext/>
        <w:spacing w:line="360" w:lineRule="auto"/>
        <w:ind w:firstLine="480" w:firstLineChars="200"/>
        <w:rPr>
          <w:rFonts w:ascii="仿宋" w:hAnsi="仿宋" w:eastAsia="仿宋" w:cs="仿宋"/>
          <w:b/>
          <w:bCs/>
          <w:sz w:val="24"/>
          <w:szCs w:val="24"/>
        </w:rPr>
      </w:pPr>
      <w:bookmarkStart w:id="66" w:name="_Toc513029215"/>
      <w:bookmarkStart w:id="67" w:name="_Toc20823287"/>
      <w:bookmarkStart w:id="68" w:name="_Toc462564074"/>
      <w:bookmarkStart w:id="69" w:name="_Toc16938531"/>
      <w:r>
        <w:rPr>
          <w:rFonts w:hint="eastAsia" w:ascii="仿宋" w:hAnsi="仿宋" w:eastAsia="仿宋" w:cs="仿宋"/>
          <w:sz w:val="24"/>
          <w:szCs w:val="24"/>
        </w:rPr>
        <w:t>2.响应文件构成</w:t>
      </w:r>
      <w:bookmarkEnd w:id="66"/>
      <w:bookmarkEnd w:id="67"/>
      <w:bookmarkEnd w:id="68"/>
      <w:bookmarkEnd w:id="69"/>
    </w:p>
    <w:p w14:paraId="17FD7ECB">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2.1 供应商编写的响应文件应包括资格审查文件、商务技术响应文件、报价响应文件。供应商按“第五部分 响应文件组成”要求编写响应文件</w:t>
      </w:r>
      <w:r>
        <w:rPr>
          <w:rFonts w:hint="eastAsia" w:ascii="仿宋" w:hAnsi="仿宋" w:eastAsia="仿宋" w:cs="仿宋"/>
          <w:sz w:val="24"/>
          <w:szCs w:val="24"/>
        </w:rPr>
        <w:t>。</w:t>
      </w:r>
    </w:p>
    <w:p w14:paraId="3862BE2D">
      <w:pPr>
        <w:keepNext/>
        <w:spacing w:line="360" w:lineRule="auto"/>
        <w:ind w:firstLine="480" w:firstLineChars="200"/>
        <w:rPr>
          <w:rFonts w:ascii="仿宋" w:hAnsi="仿宋" w:eastAsia="仿宋" w:cs="仿宋"/>
          <w:b/>
          <w:bCs/>
          <w:sz w:val="24"/>
          <w:szCs w:val="24"/>
        </w:rPr>
      </w:pPr>
      <w:bookmarkStart w:id="70" w:name="_Hlt26670360"/>
      <w:bookmarkEnd w:id="70"/>
      <w:bookmarkStart w:id="71" w:name="_Hlt26954838"/>
      <w:bookmarkEnd w:id="71"/>
      <w:bookmarkStart w:id="72" w:name="_Hlt26668975"/>
      <w:bookmarkEnd w:id="72"/>
      <w:bookmarkStart w:id="73" w:name="_Toc14577360"/>
      <w:bookmarkStart w:id="74" w:name="_Toc49090511"/>
      <w:r>
        <w:rPr>
          <w:rFonts w:hint="eastAsia" w:ascii="仿宋" w:hAnsi="仿宋" w:eastAsia="仿宋" w:cs="仿宋"/>
          <w:sz w:val="24"/>
          <w:szCs w:val="24"/>
        </w:rPr>
        <w:t>3.</w:t>
      </w:r>
      <w:bookmarkEnd w:id="73"/>
      <w:bookmarkEnd w:id="74"/>
      <w:r>
        <w:rPr>
          <w:rFonts w:hint="eastAsia" w:ascii="仿宋" w:hAnsi="仿宋" w:eastAsia="仿宋" w:cs="仿宋"/>
          <w:sz w:val="24"/>
          <w:szCs w:val="24"/>
        </w:rPr>
        <w:t>磋商响应有效期</w:t>
      </w:r>
    </w:p>
    <w:p w14:paraId="680D0CA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3.1磋商响应有效期为采购文件规定的响应文件</w:t>
      </w:r>
      <w:r>
        <w:rPr>
          <w:rFonts w:hint="eastAsia" w:ascii="仿宋" w:hAnsi="仿宋" w:eastAsia="仿宋" w:cs="仿宋"/>
          <w:sz w:val="24"/>
          <w:szCs w:val="24"/>
        </w:rPr>
        <w:t>提交</w:t>
      </w:r>
      <w:r>
        <w:rPr>
          <w:rFonts w:hint="eastAsia" w:ascii="仿宋" w:hAnsi="仿宋" w:eastAsia="仿宋" w:cs="仿宋"/>
          <w:bCs/>
          <w:sz w:val="24"/>
          <w:szCs w:val="24"/>
        </w:rPr>
        <w:t>截止时间后</w:t>
      </w:r>
      <w:r>
        <w:rPr>
          <w:rFonts w:hint="eastAsia" w:ascii="仿宋" w:hAnsi="仿宋" w:eastAsia="仿宋" w:cs="仿宋"/>
          <w:b/>
          <w:sz w:val="24"/>
          <w:szCs w:val="24"/>
          <w:u w:val="single"/>
        </w:rPr>
        <w:t>六十（60）天</w:t>
      </w:r>
      <w:r>
        <w:rPr>
          <w:rFonts w:hint="eastAsia" w:ascii="仿宋" w:hAnsi="仿宋" w:eastAsia="仿宋" w:cs="仿宋"/>
          <w:bCs/>
          <w:sz w:val="24"/>
          <w:szCs w:val="24"/>
        </w:rPr>
        <w:t>。磋商响应有效期比规定短的将被视为非实质性响应而予以拒绝。</w:t>
      </w:r>
    </w:p>
    <w:p w14:paraId="457E2281">
      <w:pPr>
        <w:keepNext/>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 磋商响应有效期的延长</w:t>
      </w:r>
    </w:p>
    <w:p w14:paraId="3AE186F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4.1在特殊情况下，采购人或采购代理机构于原磋商响应有效期满之前，可向磋商供应商提出延长磋商响应有效期的要求。这种要求与答复均应采用书面形式。供应商可以拒绝采购人或采购代理机构的这一要求而放弃磋商响应，同意延长磋商响应有效期的供应商既不能要求也不允许修改其响应文件。受磋商响应有效期约束的所有权利与义务均延长至新的有效期。</w:t>
      </w:r>
    </w:p>
    <w:p w14:paraId="629D028C">
      <w:pPr>
        <w:spacing w:line="360" w:lineRule="auto"/>
        <w:ind w:firstLine="480" w:firstLineChars="200"/>
        <w:rPr>
          <w:rFonts w:ascii="仿宋" w:hAnsi="仿宋" w:eastAsia="仿宋" w:cs="仿宋"/>
          <w:bCs/>
          <w:sz w:val="24"/>
          <w:szCs w:val="24"/>
        </w:rPr>
      </w:pPr>
      <w:bookmarkStart w:id="75" w:name="_Hlt26954739"/>
      <w:bookmarkEnd w:id="75"/>
      <w:bookmarkStart w:id="76" w:name="_Hlt26954852"/>
      <w:bookmarkEnd w:id="76"/>
      <w:bookmarkStart w:id="77" w:name="_Toc16938540"/>
      <w:bookmarkStart w:id="78" w:name="_Toc513029224"/>
      <w:bookmarkStart w:id="79" w:name="_Toc20823296"/>
      <w:bookmarkStart w:id="80" w:name="_Toc120614217"/>
      <w:r>
        <w:rPr>
          <w:rFonts w:hint="eastAsia" w:ascii="仿宋" w:hAnsi="仿宋" w:eastAsia="仿宋" w:cs="仿宋"/>
          <w:bCs/>
          <w:sz w:val="24"/>
          <w:szCs w:val="24"/>
        </w:rPr>
        <w:t>5.电子响应文件其他要求</w:t>
      </w:r>
    </w:p>
    <w:p w14:paraId="068BE44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5.1电子招标投标交易平台（即“苏采云”系统）相关要求是本采购文件的组成部分。</w:t>
      </w:r>
    </w:p>
    <w:p w14:paraId="4195D82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5.2供应商应对CA证书妥善保管，如被他人盗用投标，因此带来的结果均由供应商自行承担。</w:t>
      </w:r>
    </w:p>
    <w:p w14:paraId="31BBB0A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5.3供应商应当对采购文件提出的实质性要求和条件作出实质性响应，并在电子投标系统逐条应答。</w:t>
      </w:r>
    </w:p>
    <w:p w14:paraId="5F8DD99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5.4供应商应对要求提供的资格证明文件（如资质证书、资格证书）、技术资料（如白皮书、彩页、手册、检测报告等）扫描上传至投标系统。 </w:t>
      </w:r>
    </w:p>
    <w:p w14:paraId="120A446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6.供应商应当在采购文件要求提交响应文件的截止时间前，将响应文件提交至“苏采云”系统，逾期提交的响应文件，“苏采云”系统将自动拒收。各供应商应在规定时间内凭CA证书进行网上解密。</w:t>
      </w:r>
    </w:p>
    <w:p w14:paraId="7CEF905E">
      <w:pPr>
        <w:keepNext/>
        <w:keepLines/>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（四）响应文件的提交</w:t>
      </w:r>
      <w:bookmarkEnd w:id="77"/>
      <w:bookmarkEnd w:id="78"/>
      <w:bookmarkEnd w:id="79"/>
      <w:bookmarkEnd w:id="80"/>
    </w:p>
    <w:p w14:paraId="7BB802F6">
      <w:pPr>
        <w:keepNext/>
        <w:spacing w:line="360" w:lineRule="auto"/>
        <w:ind w:firstLine="480" w:firstLineChars="200"/>
        <w:rPr>
          <w:rFonts w:ascii="仿宋" w:hAnsi="仿宋" w:eastAsia="仿宋" w:cs="仿宋"/>
          <w:b/>
          <w:bCs/>
          <w:sz w:val="24"/>
          <w:szCs w:val="24"/>
        </w:rPr>
      </w:pPr>
      <w:bookmarkStart w:id="81" w:name="_Toc20823297"/>
      <w:bookmarkStart w:id="82" w:name="_Toc462564084"/>
      <w:bookmarkStart w:id="83" w:name="_Toc513029225"/>
      <w:bookmarkStart w:id="84" w:name="_Toc16938541"/>
      <w:bookmarkStart w:id="85" w:name="_Toc120614218"/>
      <w:bookmarkStart w:id="86" w:name="_Toc513029229"/>
      <w:bookmarkStart w:id="87" w:name="_Toc16938545"/>
      <w:bookmarkStart w:id="88" w:name="_Toc20823301"/>
      <w:r>
        <w:rPr>
          <w:rFonts w:hint="eastAsia" w:ascii="仿宋" w:hAnsi="仿宋" w:eastAsia="仿宋" w:cs="仿宋"/>
          <w:sz w:val="24"/>
          <w:szCs w:val="24"/>
        </w:rPr>
        <w:t>1.响应文件</w:t>
      </w:r>
      <w:bookmarkEnd w:id="81"/>
      <w:bookmarkEnd w:id="82"/>
      <w:bookmarkEnd w:id="83"/>
      <w:bookmarkEnd w:id="84"/>
      <w:r>
        <w:rPr>
          <w:rFonts w:hint="eastAsia" w:ascii="仿宋" w:hAnsi="仿宋" w:eastAsia="仿宋" w:cs="仿宋"/>
          <w:sz w:val="24"/>
          <w:szCs w:val="24"/>
        </w:rPr>
        <w:t>的提交</w:t>
      </w:r>
    </w:p>
    <w:p w14:paraId="5F11E65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1.1线上提交与接收地点：供应商应当通过“苏采云”系统提交数据电文形式的响应文件（即电子投标），“苏采云”系统自动接收。</w:t>
      </w:r>
    </w:p>
    <w:p w14:paraId="209D5621">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说明：电子响应文件应由其法定代表人或被授权人在规定的网上投标时间内，凭CA证书登录“苏采云”系统在线编制响应文件（电子数据），并在投标截止时间之前上传磋商响应文件。供应商应在达到开标时间后，使用CA数字证书解密各自磋商响应文件。</w:t>
      </w:r>
    </w:p>
    <w:p w14:paraId="14C8702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2.提交响应文件截止日期</w:t>
      </w:r>
    </w:p>
    <w:p w14:paraId="666C435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2.1 供应商上传电子响应文件的时间不得迟于竞争性磋商公告中规定的响应文件提交截止时间。</w:t>
      </w:r>
    </w:p>
    <w:p w14:paraId="04AC965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供应商应充分考虑到网络环境、网络带宽等风险因素，如因供应商自身原因造成的电子响应文件上传不成功由供应商自行承担全部责任。</w:t>
      </w:r>
    </w:p>
    <w:p w14:paraId="57EA50B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2.2 采购人或采购代理机构可以按照规定，通过修改响应文件酌情延长响应文件提交截止日期，在此情况下，供应商的所有权利和义务以及供应商受制的截止日期均应以延长后新的截止日期为准。</w:t>
      </w:r>
    </w:p>
    <w:p w14:paraId="7AAB76F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3.响应文件的密封（加密）要求：</w:t>
      </w:r>
    </w:p>
    <w:p w14:paraId="566EFE3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3.1供应商应当按照采购文件和“苏采云”系统的要求编制并加密响应文件。本项目供应商须通过“苏采云”系统提供的政府采购客户端工具（使用“CA数字证书”）对其数据电文形式的响应文件加密。</w:t>
      </w:r>
    </w:p>
    <w:p w14:paraId="0A92893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3.2供应商须通过“苏采云”系统提供的政府采购客户端工具（使用“CA数字证书”）加盖电子签章。</w:t>
      </w:r>
    </w:p>
    <w:p w14:paraId="0B75DF5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说明：供应商应在用CA数字证书以及自备的能够登录“苏采云”系统的电脑，在达到开标时间后，使用CA数字证书解密各自响应文件。</w:t>
      </w:r>
    </w:p>
    <w:p w14:paraId="3B44355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3.3供应商未按规定加密的响应文件，“苏采云”系统将拒收并提示。</w:t>
      </w:r>
    </w:p>
    <w:p w14:paraId="7AE10AA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4.响应文件的拒收</w:t>
      </w:r>
    </w:p>
    <w:p w14:paraId="661FD2E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4.1 “苏采云”系统拒绝接收在规定的响应文件提交截止时间后上传的任何响应文件。</w:t>
      </w:r>
    </w:p>
    <w:p w14:paraId="74EB1880">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 响应文件的撤回和修改</w:t>
      </w:r>
    </w:p>
    <w:p w14:paraId="0699E34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 响应文件的撤回</w:t>
      </w:r>
    </w:p>
    <w:p w14:paraId="6C8A5E2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5.1.1 电子响应文件的撤回</w:t>
      </w:r>
    </w:p>
    <w:p w14:paraId="45F6441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供应商可在响应文件提交截止时间前，撤回其电子响应文件，具体操作方法见“苏采云”系统供应商操作手册。</w:t>
      </w:r>
    </w:p>
    <w:p w14:paraId="6A24BD4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5.1.2 供应商撤回电子响应文件，则认为其不再参与本项目竞争性磋商活动。</w:t>
      </w:r>
    </w:p>
    <w:p w14:paraId="0CC771F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5.2 响应文件的修改</w:t>
      </w:r>
    </w:p>
    <w:p w14:paraId="245B642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供应商可在响应文件提交截止时间前，对其电子响应文件进行修改。具体操作方法见“苏采云”系统供应商操作手册。</w:t>
      </w:r>
    </w:p>
    <w:p w14:paraId="3C6EDB8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5.3 在响应文件提交截止时间之后，供应商不得对其电子响应文件作任何修改。</w:t>
      </w:r>
    </w:p>
    <w:p w14:paraId="685529E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5.4 在响应文件提交截止时间至磋商文件中规定的磋商响应有效期满之间的这段时间内，供应商不得撤回其响应文件。</w:t>
      </w:r>
    </w:p>
    <w:p w14:paraId="58A1FC5D">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w:t>
      </w:r>
      <w:bookmarkEnd w:id="85"/>
      <w:bookmarkEnd w:id="86"/>
      <w:bookmarkEnd w:id="87"/>
      <w:bookmarkEnd w:id="88"/>
      <w:bookmarkStart w:id="89" w:name="_Toc513029230"/>
      <w:bookmarkStart w:id="90" w:name="_Toc16938546"/>
      <w:bookmarkStart w:id="91" w:name="_Toc20823302"/>
      <w:r>
        <w:rPr>
          <w:rFonts w:hint="eastAsia" w:ascii="仿宋" w:hAnsi="仿宋" w:eastAsia="仿宋" w:cs="仿宋"/>
          <w:b/>
          <w:bCs/>
          <w:sz w:val="24"/>
          <w:szCs w:val="24"/>
        </w:rPr>
        <w:t>磋商与评审</w:t>
      </w:r>
    </w:p>
    <w:p w14:paraId="671B9CD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1.磋商仪式</w:t>
      </w:r>
    </w:p>
    <w:p w14:paraId="56387C0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1.1采购人或采购代理机构将在磋商公告中规定的时间和地点组织磋商开始仪式。</w:t>
      </w:r>
    </w:p>
    <w:p w14:paraId="37FB8262">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w:t>
      </w:r>
      <w:r>
        <w:rPr>
          <w:rFonts w:hint="eastAsia" w:ascii="仿宋" w:hAnsi="仿宋" w:eastAsia="仿宋" w:cs="仿宋"/>
          <w:b/>
          <w:sz w:val="24"/>
          <w:szCs w:val="24"/>
          <w:u w:val="single"/>
        </w:rPr>
        <w:t>30分钟</w:t>
      </w:r>
      <w:r>
        <w:rPr>
          <w:rFonts w:hint="eastAsia" w:ascii="仿宋" w:hAnsi="仿宋" w:eastAsia="仿宋" w:cs="仿宋"/>
          <w:b/>
          <w:sz w:val="24"/>
          <w:szCs w:val="24"/>
        </w:rPr>
        <w:t>之内完成。</w:t>
      </w:r>
      <w:r>
        <w:rPr>
          <w:rFonts w:hint="eastAsia" w:ascii="仿宋" w:hAnsi="仿宋" w:eastAsia="仿宋" w:cs="仿宋"/>
          <w:b/>
          <w:sz w:val="24"/>
          <w:szCs w:val="24"/>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ascii="仿宋" w:hAnsi="仿宋" w:eastAsia="仿宋" w:cs="仿宋"/>
          <w:b/>
          <w:sz w:val="24"/>
          <w:szCs w:val="24"/>
        </w:rPr>
        <w:t>因采购人（或采购代理机构）原因或网上招投标平台发生故障，导致无法按时完成响应文件解密或开、评标工作无法进行的，可根据实际情况相应延迟解密时间或调整开、评标时间。</w:t>
      </w:r>
    </w:p>
    <w:p w14:paraId="393643A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 磋商活动的文件解密工作由采购代理机构组织。</w:t>
      </w:r>
    </w:p>
    <w:p w14:paraId="2840EC8F">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注：各供应商请关注开标大厅交流区，在开标结束后，请勿离开开标大厅，采购人或采购代理机构通知最后报价填报后，所有的响应供应商须在</w:t>
      </w:r>
      <w:r>
        <w:rPr>
          <w:rFonts w:hint="eastAsia" w:ascii="仿宋" w:hAnsi="仿宋" w:eastAsia="仿宋" w:cs="仿宋"/>
          <w:b/>
          <w:sz w:val="24"/>
          <w:szCs w:val="24"/>
          <w:u w:val="single"/>
        </w:rPr>
        <w:t>15分钟</w:t>
      </w:r>
      <w:r>
        <w:rPr>
          <w:rFonts w:hint="eastAsia" w:ascii="仿宋" w:hAnsi="仿宋" w:eastAsia="仿宋" w:cs="仿宋"/>
          <w:b/>
          <w:sz w:val="24"/>
          <w:szCs w:val="24"/>
        </w:rPr>
        <w:t>内填写并提交最后报价，未在规定时间内提交最后报价的，视作无效响应处理。</w:t>
      </w:r>
    </w:p>
    <w:p w14:paraId="1650BD5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2.磋商小组</w:t>
      </w:r>
    </w:p>
    <w:p w14:paraId="1DF9AD9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2.1磋商开始仪式结束后，采购人或采购代理机构将立即组织磋商小组进行评审。</w:t>
      </w:r>
    </w:p>
    <w:p w14:paraId="2E2B6B3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磋商小组由采购人代表和评审专家共3人及以上单数组成，其中评审专家人数不得少于磋商小组成员总数的2/3。采购人不得以评审专家身份参加本部门或本单位采购项目的评审。采购代理机构不得参加本机构代理的采购项目的评审。</w:t>
      </w:r>
    </w:p>
    <w:p w14:paraId="1998E1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2.3超过公开招标限额标准的项目，磋商小组应当由5人及以上单数组成。</w:t>
      </w:r>
    </w:p>
    <w:p w14:paraId="20B3D5E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814BAB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2.5磋商小组独立工作，负责评审所有响应文件并确定成交候选人。</w:t>
      </w:r>
    </w:p>
    <w:p w14:paraId="1CB53AC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磋商评审过程的保密与公正</w:t>
      </w:r>
    </w:p>
    <w:p w14:paraId="12B177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3.1磋商小组、采购人或采购代理机构、相关监督人员等与评审工作有关的人员，对评审情况以及在评审过程中获悉的国家秘密、商业秘密负有保密责任。</w:t>
      </w:r>
    </w:p>
    <w:p w14:paraId="055F25C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3.2在磋商评审过程中，磋商供应商不得以任何行为影响磋商评审过程，否则其响应文件将被作为无效响应文件。</w:t>
      </w:r>
    </w:p>
    <w:p w14:paraId="73A2CD2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C6A52C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3.4评审开始后，直至向成交供应商授予合同时止，凡是与审查、澄清、评价和比较响应的有关资料以及授标建议等，采购人、磋商小组、采购代理机构均不得向供应商或与评标无关的其他人员透露。</w:t>
      </w:r>
    </w:p>
    <w:p w14:paraId="40B2E7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3.5在评审期间，采购人或采购代理机构将设专门人员与供应商联系。</w:t>
      </w:r>
    </w:p>
    <w:p w14:paraId="19F7FD2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3.6采购人、采购代理机构和磋商小组不向未成交的供应商解释未成交原因，也不公布评审过程中的相关细节。</w:t>
      </w:r>
    </w:p>
    <w:p w14:paraId="160F93D0">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4、评审过程的澄清</w:t>
      </w:r>
    </w:p>
    <w:p w14:paraId="05B0DF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06F02DC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516AB7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 接到磋商小组澄清、说明和更正要求的供应商如未按规定做出澄清、说明和 更正，其风险由供应商自行承担。</w:t>
      </w:r>
    </w:p>
    <w:p w14:paraId="003C277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5.对响应文件的审查</w:t>
      </w:r>
    </w:p>
    <w:p w14:paraId="05D7BE3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5.1响应文件初审分为资格性审查和符合性审查。</w:t>
      </w:r>
    </w:p>
    <w:p w14:paraId="1E0184C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5.1.1资格性检查：由磋商小组依据法律法规和磋商文件的规定，对响应文件中的资格证明文件进行审查，以确定供应商是否具备参加磋商的资格。</w:t>
      </w:r>
    </w:p>
    <w:p w14:paraId="115817E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磋商小组在进行资格性审查的同时，将在“信用中国”网站查询供应商的信用记录，以确定供应商是否具备磋商资格。</w:t>
      </w:r>
    </w:p>
    <w:p w14:paraId="3A81B1C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771F629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5.1.2符合性审查：依据磋商文件的规定，由磋商小组从响应文件的有效性、完整性和对磋商文件的响应程度进行审查，以确定是否对磋商文件的实质性要求作出响应。</w:t>
      </w:r>
    </w:p>
    <w:p w14:paraId="39665D90">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5.1.3未通过资格审查或符合性审查的供应商，磋商小组将在</w:t>
      </w:r>
      <w:r>
        <w:rPr>
          <w:rFonts w:hint="eastAsia" w:ascii="仿宋" w:hAnsi="仿宋" w:eastAsia="仿宋" w:cs="仿宋"/>
          <w:sz w:val="24"/>
          <w:szCs w:val="24"/>
        </w:rPr>
        <w:t>苏采云系统</w:t>
      </w:r>
      <w:r>
        <w:rPr>
          <w:rFonts w:hint="eastAsia" w:ascii="仿宋" w:hAnsi="仿宋" w:eastAsia="仿宋" w:cs="仿宋"/>
          <w:bCs/>
          <w:sz w:val="24"/>
          <w:szCs w:val="24"/>
        </w:rPr>
        <w:t>中告知未通过资格审查或符合性审查的原因，评审结束后，磋商小组将不再告知未通过资格审查或符合性审查的原因。</w:t>
      </w:r>
    </w:p>
    <w:p w14:paraId="3C8D78C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5.2</w:t>
      </w:r>
      <w:r>
        <w:rPr>
          <w:rFonts w:hint="eastAsia" w:ascii="仿宋" w:hAnsi="仿宋" w:eastAsia="仿宋" w:cs="仿宋"/>
          <w:sz w:val="24"/>
          <w:szCs w:val="24"/>
        </w:rPr>
        <w:t>在详细评审之前</w:t>
      </w:r>
      <w:r>
        <w:rPr>
          <w:rFonts w:hint="eastAsia" w:ascii="仿宋" w:hAnsi="仿宋" w:eastAsia="仿宋" w:cs="仿宋"/>
          <w:bCs/>
          <w:sz w:val="24"/>
          <w:szCs w:val="24"/>
        </w:rPr>
        <w:t>，磋商小组将首先审查每份响应文件是否实质性响应了磋商文件的要求。实质性响应的响应文件应该是与磋商文件要求的全部条款、条件和规格相符，没有重大负偏离或保留。</w:t>
      </w:r>
    </w:p>
    <w:p w14:paraId="0C12830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AC2267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5.3如果响应文件实质上没有响应磋商文件的要求，磋商小组将予以拒绝，供应商不得通过修改或撤销不合要求的偏离或保留而使其响应文件成为实质性响应的文件。</w:t>
      </w:r>
    </w:p>
    <w:p w14:paraId="0477C54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5.4磋商小组将对确定为实质性响应的文件进行进一步审核，看其是否有计算上或累加上的算术错误，修正错误的原则如下：</w:t>
      </w:r>
    </w:p>
    <w:p w14:paraId="1ED6BFC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（1）响应文件中报价总表内容与响应文件中相应内容不一致的，以报价总表为准。</w:t>
      </w:r>
    </w:p>
    <w:p w14:paraId="222520D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22304DB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（3）单价金额小数点或者百分比有明显错位的，以报价总表的总价为准，并修改单价。</w:t>
      </w:r>
    </w:p>
    <w:p w14:paraId="15ACD91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46C4C72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同时出现两种以上错误的，按照前款规定的顺序修正。</w:t>
      </w:r>
    </w:p>
    <w:p w14:paraId="25BEB42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5.5磋商小组将按上述修正错误的方法调整响应文件中的报价，通过“苏采云系统”</w:t>
      </w:r>
      <w:r>
        <w:rPr>
          <w:rFonts w:hint="eastAsia" w:ascii="仿宋" w:hAnsi="仿宋" w:eastAsia="仿宋" w:cs="仿宋"/>
          <w:b/>
          <w:sz w:val="24"/>
          <w:szCs w:val="24"/>
        </w:rPr>
        <w:t>开标大厅</w:t>
      </w:r>
      <w:r>
        <w:rPr>
          <w:rFonts w:hint="eastAsia" w:ascii="仿宋" w:hAnsi="仿宋" w:eastAsia="仿宋" w:cs="仿宋"/>
          <w:bCs/>
          <w:sz w:val="24"/>
          <w:szCs w:val="24"/>
        </w:rPr>
        <w:t>告知供应商，调整后的价格应对供应商具有约束力。如果供应商不接受修正后的价格，则其磋商响应文件将被拒绝。</w:t>
      </w:r>
    </w:p>
    <w:p w14:paraId="53D1E89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5.6磋商小组将允许修正响应文件中不构成重大偏离的、微小的、非正规的、不一致的或不规则的地方，但这些修改不能影响任何供应商相应的名次排列。</w:t>
      </w:r>
    </w:p>
    <w:p w14:paraId="5DB2647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5.7供应商在评审全过程中应保持通讯畅通，并安排专人与采购人或采购代理机构及磋商小组联系</w:t>
      </w:r>
      <w:r>
        <w:rPr>
          <w:rFonts w:hint="eastAsia" w:ascii="仿宋" w:hAnsi="仿宋" w:eastAsia="仿宋" w:cs="仿宋"/>
          <w:sz w:val="24"/>
          <w:szCs w:val="24"/>
        </w:rPr>
        <w:t>。</w:t>
      </w:r>
    </w:p>
    <w:p w14:paraId="0A6FBBD0">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6. 响应文件线上格式要求</w:t>
      </w:r>
    </w:p>
    <w:p w14:paraId="74E4C3C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6.1供应商应当通过“苏采云”系统提交数据电文形式的响应文件（即电子投标）。</w:t>
      </w:r>
    </w:p>
    <w:p w14:paraId="5B30A87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6.2 通过“苏采云”系统提交政府采购客户端工具导出加密的响应文件（后缀名为zip）。响应文件不得超过150M！</w:t>
      </w:r>
    </w:p>
    <w:p w14:paraId="2D3A37C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6.3 本项目采用线上投标，即供应商响应文件从政府采购客户端工具制作通过“苏采云”系统提交，未提供线上响应文件的，投标无效。</w:t>
      </w:r>
      <w:bookmarkEnd w:id="89"/>
      <w:bookmarkEnd w:id="90"/>
      <w:bookmarkEnd w:id="91"/>
      <w:bookmarkStart w:id="92" w:name="_Toc120614219"/>
    </w:p>
    <w:p w14:paraId="5F0C1D4D">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w:t>
      </w:r>
      <w:bookmarkEnd w:id="92"/>
      <w:r>
        <w:rPr>
          <w:rFonts w:hint="eastAsia" w:ascii="仿宋" w:hAnsi="仿宋" w:eastAsia="仿宋" w:cs="仿宋"/>
          <w:b/>
          <w:bCs/>
          <w:sz w:val="24"/>
          <w:szCs w:val="24"/>
        </w:rPr>
        <w:t>成交</w:t>
      </w:r>
    </w:p>
    <w:p w14:paraId="457E4D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1.确定成交单位</w:t>
      </w:r>
    </w:p>
    <w:p w14:paraId="49A99E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1.1成交候选供应商的选取原则和数量见磋商文件第四章规定。</w:t>
      </w:r>
    </w:p>
    <w:p w14:paraId="741A782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1.2采购人授权磋商小组在成交候选供应商中直接确定成交供应商。</w:t>
      </w:r>
    </w:p>
    <w:p w14:paraId="0F54DBB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采购代理机构将在“江苏政府采购网”发布成交结果公告，公告期限为1个工作日。</w:t>
      </w:r>
    </w:p>
    <w:p w14:paraId="61D76FE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1.4若有充分证据证明，成交供应商出现下列情况之一的，一经查实，将被取消成交资格：</w:t>
      </w:r>
    </w:p>
    <w:p w14:paraId="7734D70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1.4.1提供虚假材料谋取成交的。</w:t>
      </w:r>
    </w:p>
    <w:p w14:paraId="1F77C6B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1.4.2向采购人或采购代理机构行贿或者评审专家提供其他不正当利益的。</w:t>
      </w:r>
    </w:p>
    <w:p w14:paraId="7517302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1.4.3恶意竞争，最后报价明显低于其自身合理成本且又无法提供证明的。</w:t>
      </w:r>
    </w:p>
    <w:p w14:paraId="6802FF9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1.4.4属于本文件规定的无效条件，但在评审过程中又未被磋商小组发现的。</w:t>
      </w:r>
    </w:p>
    <w:p w14:paraId="0861139F">
      <w:pPr>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1.4.5</w:t>
      </w:r>
      <w:r>
        <w:rPr>
          <w:rFonts w:hint="eastAsia" w:ascii="仿宋" w:hAnsi="仿宋" w:eastAsia="仿宋" w:cs="仿宋"/>
          <w:bCs/>
          <w:sz w:val="24"/>
          <w:szCs w:val="24"/>
        </w:rPr>
        <w:t>与评审专家、采购人、其他供应商或者采购中心工作人员恶意串通的。</w:t>
      </w:r>
    </w:p>
    <w:p w14:paraId="5607FE4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1.4.6采取不正当手段诋毁、排挤其他供应商的。</w:t>
      </w:r>
    </w:p>
    <w:p w14:paraId="06FB3AF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1.4.7成交后无正当理由拒不与采购人签订政府采购合同或者未按照磋商文件确定的事项签订政府采购合同的。</w:t>
      </w:r>
    </w:p>
    <w:p w14:paraId="560CB08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1.4.8将政府采购合同</w:t>
      </w:r>
      <w:r>
        <w:rPr>
          <w:rFonts w:hint="eastAsia" w:ascii="仿宋" w:hAnsi="仿宋" w:eastAsia="仿宋" w:cs="仿宋"/>
          <w:b/>
          <w:sz w:val="24"/>
          <w:szCs w:val="24"/>
          <w:u w:val="single"/>
        </w:rPr>
        <w:t>分包或转包的。</w:t>
      </w:r>
    </w:p>
    <w:p w14:paraId="16712E0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1.5.有下列情形之一的，视为供应商串通参与磋商，响应无效：</w:t>
      </w:r>
    </w:p>
    <w:p w14:paraId="579D685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1.5.1不同供应商的响应文件由同一单位或者个人编制；</w:t>
      </w:r>
    </w:p>
    <w:p w14:paraId="241FF7F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1.5.2不同供应商委托同一单位或者个人办理磋商事宜；</w:t>
      </w:r>
    </w:p>
    <w:p w14:paraId="508A99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1.5.3不同供应商的响应文件载明的项目管理成员或者联系人员为同一人；</w:t>
      </w:r>
    </w:p>
    <w:p w14:paraId="4F95A3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1.5.4不同供应商的响应文件异常一致或者响应报价呈规律性差异。</w:t>
      </w:r>
    </w:p>
    <w:p w14:paraId="6282742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2.质疑处理</w:t>
      </w:r>
    </w:p>
    <w:p w14:paraId="6DECD32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提出质疑的供应商应当是参与所质疑项目采购活动的供应商。潜在供应商依法获取其可质疑的磋商文件的，可以对磋商文件提出质疑。</w:t>
      </w:r>
    </w:p>
    <w:p w14:paraId="4C73CFF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供应商认为磋商文件、采购过程和采购结果使自己的权益受到损害的，可以在知道或应知其权益受到损害之日起七个工作日内，以书面形式向采购人或采购代理机构提出质疑。上述应知其权益受到损害之日，是指：</w:t>
      </w:r>
    </w:p>
    <w:p w14:paraId="69032E4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2.2.1对可以质疑的磋商文件提出质疑的，为收到磋商文件之日或者磋商文件公告期限届满之日；</w:t>
      </w:r>
    </w:p>
    <w:p w14:paraId="767B82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2.2.2对采购过程提出质疑的，为各采购程序环节结束之日；</w:t>
      </w:r>
    </w:p>
    <w:p w14:paraId="4CAD769B">
      <w:pPr>
        <w:tabs>
          <w:tab w:val="left" w:pos="6555"/>
          <w:tab w:val="right" w:pos="8306"/>
        </w:tabs>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其中：对评审过程中涉及到的身份核对、澄清等和程序性事项，供应商如有异议的，必须当场提出。否则，均视为供应商无异议。无论是否成交，供应商事后不得再就前述事项提出任何异议或质疑投诉。</w:t>
      </w:r>
    </w:p>
    <w:p w14:paraId="1465BFC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2.2.3对成交结果提出质疑的，为成交结果公告期限届满之日。</w:t>
      </w:r>
    </w:p>
    <w:p w14:paraId="77674A5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供应商应当在法定质疑期内一次性提出针对同一采购程序环节的质疑。供应商如在法定期限内对同一采购程序环节提出多次质疑的，采购人、采购代理机构将只对供应商第一次质疑作出答复。</w:t>
      </w:r>
    </w:p>
    <w:p w14:paraId="482AE0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21AA4DF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2.4质疑答复依据《政府采购质疑和投诉办法》（财政部令第94号）。</w:t>
      </w:r>
    </w:p>
    <w:p w14:paraId="5ED3E4F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采购人或采购代理机构质疑接收人及联系方式，见磋商文件第一部分。</w:t>
      </w:r>
    </w:p>
    <w:p w14:paraId="5D8EB15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 以下情形的质疑不予受理</w:t>
      </w:r>
    </w:p>
    <w:p w14:paraId="79D9CD9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2.5.1 内容不符合《政府采购质疑和投诉办法》第十二条规定的质疑。</w:t>
      </w:r>
    </w:p>
    <w:p w14:paraId="35BF3BD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2.5.2 超出政府采购法定期限的质疑。</w:t>
      </w:r>
    </w:p>
    <w:p w14:paraId="1352987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 未参加磋商活动的供应商或在磋商活动中自身权益未受到损害的供应商所提出的质疑。</w:t>
      </w:r>
    </w:p>
    <w:p w14:paraId="1FC81A0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2.5.4供应商组成联合体参加磋商，联合体中任何一方或多方未按要求签字、盖章、加盖公章的质疑。</w:t>
      </w:r>
    </w:p>
    <w:p w14:paraId="4F27C2D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51D2A27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（七）成交通知书</w:t>
      </w:r>
    </w:p>
    <w:p w14:paraId="0F013F3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成交结果确定后，采购人或者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09C924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2.成交通知书将是合同的一个组成部分。对采购人和成交供应商均具有法律效力。成交通知书发出后，采购人改变成交结果的，或者成交供应商放弃成交项目的，应当依法承担法律责任。</w:t>
      </w:r>
    </w:p>
    <w:p w14:paraId="458CB0CF">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特别说明：成交供应商在下载成交通知书后须提供叁套系统内打印的纸质响应文件、叁份U盘或光盘响应文件给采购代理机构做归档。</w:t>
      </w:r>
    </w:p>
    <w:p w14:paraId="36BFFA5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（八）授予合同</w:t>
      </w:r>
    </w:p>
    <w:p w14:paraId="574409A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1.签订合同</w:t>
      </w:r>
    </w:p>
    <w:p w14:paraId="7605C07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1.l成交供应商应当在成交通知书发出之日起三十日内，按照磋商文件确定的事项与采购人签订政府采购合同。</w:t>
      </w:r>
    </w:p>
    <w:p w14:paraId="6FF6D4D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1.2磋商文件、成交供应商的响应文件及磋商过程中有关澄清、承诺文件均应作为合同附件。</w:t>
      </w:r>
    </w:p>
    <w:p w14:paraId="2A2241E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1.3签订合同后，成交供应商不得将合同标的进行转包。未经采购人同意，成交供应商也不得采用分包形式履行合同,否则采购人有权终止合同。转包或分包造成采购人损失的，成交供应商应承担相应赔偿责任。</w:t>
      </w:r>
    </w:p>
    <w:p w14:paraId="6E9920C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2.标的物的追加</w:t>
      </w:r>
    </w:p>
    <w:p w14:paraId="0D7E421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14:paraId="0DB0AA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办理政采贷和履约保函（保险）告知函</w:t>
      </w:r>
    </w:p>
    <w:p w14:paraId="70F514A6">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6D7E604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（九）电子招标投标交易平台</w:t>
      </w:r>
    </w:p>
    <w:p w14:paraId="48F95F7F">
      <w:pPr>
        <w:spacing w:line="360" w:lineRule="auto"/>
        <w:ind w:firstLine="480" w:firstLineChars="200"/>
        <w:rPr>
          <w:rFonts w:ascii="仿宋" w:hAnsi="仿宋" w:eastAsia="仿宋" w:cs="仿宋"/>
          <w:sz w:val="24"/>
          <w:szCs w:val="24"/>
          <w:lang w:eastAsia="en-US"/>
        </w:rPr>
      </w:pPr>
      <w:r>
        <w:rPr>
          <w:rFonts w:hint="eastAsia" w:ascii="仿宋" w:hAnsi="仿宋" w:eastAsia="仿宋" w:cs="仿宋"/>
          <w:sz w:val="24"/>
          <w:szCs w:val="24"/>
          <w:lang w:eastAsia="en-US"/>
        </w:rPr>
        <w:t>电子招标投标交易平台（即“苏采云”系统，网址：</w:t>
      </w:r>
      <w:r>
        <w:fldChar w:fldCharType="begin"/>
      </w:r>
      <w:r>
        <w:instrText xml:space="preserve"> HYPERLINK "http://jszfcg.jsczt.cn/）相关要求是本采购文件的组成部分。" </w:instrText>
      </w:r>
      <w:r>
        <w:fldChar w:fldCharType="separate"/>
      </w:r>
      <w:r>
        <w:rPr>
          <w:rFonts w:hint="eastAsia" w:ascii="仿宋" w:hAnsi="仿宋" w:eastAsia="仿宋" w:cs="仿宋"/>
          <w:sz w:val="24"/>
          <w:szCs w:val="24"/>
          <w:lang w:eastAsia="en-US"/>
        </w:rPr>
        <w:t>http://jszfcg.jsczt.cn/）相关要求是本采购文件的组成部分。</w:t>
      </w:r>
      <w:r>
        <w:rPr>
          <w:rFonts w:hint="eastAsia" w:ascii="仿宋" w:hAnsi="仿宋" w:eastAsia="仿宋" w:cs="仿宋"/>
          <w:sz w:val="24"/>
          <w:szCs w:val="24"/>
          <w:lang w:eastAsia="en-US"/>
        </w:rPr>
        <w:fldChar w:fldCharType="end"/>
      </w:r>
    </w:p>
    <w:p w14:paraId="008DEB5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（十）未尽事宜</w:t>
      </w:r>
    </w:p>
    <w:p w14:paraId="1B7F627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按《中华人民共和国政府采购法》</w:t>
      </w:r>
      <w:r>
        <w:rPr>
          <w:rFonts w:hint="eastAsia" w:ascii="仿宋" w:hAnsi="仿宋" w:eastAsia="仿宋" w:cs="仿宋"/>
          <w:sz w:val="24"/>
          <w:szCs w:val="24"/>
          <w:lang w:eastAsia="zh-CN"/>
        </w:rPr>
        <w:t>、</w:t>
      </w:r>
      <w:r>
        <w:rPr>
          <w:rFonts w:hint="eastAsia" w:ascii="仿宋" w:hAnsi="仿宋" w:eastAsia="仿宋" w:cs="仿宋"/>
          <w:sz w:val="24"/>
          <w:szCs w:val="24"/>
        </w:rPr>
        <w:t>《政府采购竞争性磋商采购方式管理暂行办法》及其他有关法律法规的规定执行。</w:t>
      </w:r>
    </w:p>
    <w:p w14:paraId="5E98A80F">
      <w:pPr>
        <w:spacing w:line="360" w:lineRule="auto"/>
        <w:ind w:left="697"/>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60" w:charSpace="0"/>
        </w:sectPr>
      </w:pPr>
    </w:p>
    <w:p w14:paraId="19C45D99">
      <w:pPr>
        <w:spacing w:line="360"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 xml:space="preserve">第三章  </w:t>
      </w:r>
      <w:bookmarkEnd w:id="26"/>
      <w:r>
        <w:rPr>
          <w:rFonts w:hint="eastAsia" w:ascii="仿宋" w:hAnsi="仿宋" w:eastAsia="仿宋" w:cs="仿宋"/>
          <w:b/>
          <w:bCs/>
          <w:sz w:val="32"/>
          <w:szCs w:val="32"/>
        </w:rPr>
        <w:t>项目需求</w:t>
      </w:r>
    </w:p>
    <w:p w14:paraId="564E62DC">
      <w:pPr>
        <w:spacing w:line="360" w:lineRule="auto"/>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C0D9EC8">
      <w:pPr>
        <w:spacing w:line="360" w:lineRule="auto"/>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C64BD24">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一、采购标的需实现的功能或者目标，以及为落实政府采购政策需满足的要求</w:t>
      </w:r>
    </w:p>
    <w:p w14:paraId="2EBCCE1C">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南通市经济技术开发区行政审批局于2021年启动了南通开发区企业服务枢纽平台建设项目（“能达E企通”平台），建设了多端统一的服务门户和政策服务平台、诉求服务平台、业务征集申报系统、银企对接平台等多个业务系统，后续又根据部门和企业需求，在该平台已建系统功能的基础上，延伸扩展了惠企政策“免申即享”平台、房屋土地资源服务系统、校企人力资源合作云平台、人大代表直通车专区等系统功能，持续运营运维至今，平台逐步发展成为开发区企业服务总入口，高质量赋能开发区企业服务工作。</w:t>
      </w:r>
    </w:p>
    <w:p w14:paraId="634A68AE">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加快落实上级部门有关引入人工智能大模型应用的工作部署要求，推进人工智能大模型在政府企业服务领域的应用，促进企业服务更专业、更精细、更高效，拟依托供应商的成熟成果和经验，在已建“能达E企通”企业服务总入口平台的基础上快速扩展搭建“1+N” AI企业服务体系架构，持续运营运维，支持“能达E企通”为开发区企业提供合同服务期内的AI服务总入口服务和AI高企服务，和未来“AI+”服务场景应用的扩展。</w:t>
      </w:r>
    </w:p>
    <w:p w14:paraId="32C378CD">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二、采购标的需执行的国家相关标准、行业标准、地方标准或者其他标准、规范</w:t>
      </w:r>
    </w:p>
    <w:p w14:paraId="28248573">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供应商提供的拟在已建“能达E企通”企业服务总入口平台的基础上扩展本地化系统功能须符合</w:t>
      </w:r>
      <w:r>
        <w:rPr>
          <w:rFonts w:ascii="仿宋" w:hAnsi="仿宋" w:eastAsia="仿宋" w:cs="仿宋"/>
          <w:sz w:val="24"/>
          <w:szCs w:val="24"/>
        </w:rPr>
        <w:t>所在地政务信息系统</w:t>
      </w:r>
      <w:r>
        <w:rPr>
          <w:rFonts w:hint="eastAsia" w:ascii="仿宋" w:hAnsi="仿宋" w:eastAsia="仿宋" w:cs="仿宋"/>
          <w:sz w:val="24"/>
          <w:szCs w:val="24"/>
        </w:rPr>
        <w:t>安全等相关</w:t>
      </w:r>
      <w:r>
        <w:rPr>
          <w:rFonts w:ascii="仿宋" w:hAnsi="仿宋" w:eastAsia="仿宋" w:cs="仿宋"/>
          <w:sz w:val="24"/>
          <w:szCs w:val="24"/>
        </w:rPr>
        <w:t>管理规范</w:t>
      </w:r>
      <w:r>
        <w:rPr>
          <w:rFonts w:hint="eastAsia" w:ascii="仿宋" w:hAnsi="仿宋" w:eastAsia="仿宋" w:cs="仿宋"/>
          <w:sz w:val="24"/>
          <w:szCs w:val="24"/>
        </w:rPr>
        <w:t>要求，所提供的南通开发区“AI+”场景应用运营运维服务需符合采购文件和合同要求。</w:t>
      </w:r>
    </w:p>
    <w:p w14:paraId="7E18E433">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三、本项目需满足的质量、安全、技术规格、物理特性等要求</w:t>
      </w:r>
    </w:p>
    <w:p w14:paraId="4C92DCB2">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供应商应在充分了解前期已建南通开发区企业服务枢纽平台以及本项目服务需求的基础上，完成南通开发区“AI+”场景应用服务项目。具体内容和服务要求如下：</w:t>
      </w:r>
    </w:p>
    <w:p w14:paraId="1A88BC37">
      <w:pPr>
        <w:numPr>
          <w:ilvl w:val="0"/>
          <w:numId w:val="0"/>
        </w:numPr>
        <w:shd w:val="clear" w:color="auto"/>
        <w:spacing w:line="360" w:lineRule="auto"/>
        <w:ind w:firstLine="480" w:firstLineChars="200"/>
        <w:rPr>
          <w:rFonts w:ascii="仿宋" w:hAnsi="仿宋" w:eastAsia="仿宋" w:cs="仿宋"/>
          <w:sz w:val="24"/>
          <w:szCs w:val="24"/>
        </w:rPr>
      </w:pPr>
      <w:r>
        <w:rPr>
          <w:rFonts w:ascii="仿宋" w:hAnsi="仿宋" w:eastAsia="仿宋" w:cs="仿宋"/>
          <w:sz w:val="24"/>
          <w:szCs w:val="24"/>
          <w:lang w:val="en-US" w:eastAsia="zh-CN" w:bidi="ar-SA"/>
        </w:rPr>
        <w:t>1</w:t>
      </w:r>
      <w:r>
        <w:rPr>
          <w:rFonts w:hint="eastAsia" w:ascii="仿宋" w:hAnsi="仿宋" w:eastAsia="仿宋" w:cs="仿宋"/>
          <w:sz w:val="24"/>
          <w:szCs w:val="24"/>
          <w:lang w:val="en-US" w:eastAsia="zh-CN" w:bidi="ar-SA"/>
        </w:rPr>
        <w:t>.</w:t>
      </w:r>
      <w:r>
        <w:rPr>
          <w:rFonts w:hint="eastAsia" w:ascii="仿宋" w:hAnsi="仿宋" w:eastAsia="仿宋" w:cs="仿宋"/>
          <w:sz w:val="24"/>
          <w:szCs w:val="24"/>
        </w:rPr>
        <w:t>智算云资源服务</w:t>
      </w:r>
    </w:p>
    <w:p w14:paraId="0A213D6E">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要求提供项目系统运行所需的安全可靠的智算云资源，具体要求如下：</w:t>
      </w:r>
    </w:p>
    <w:p w14:paraId="540188C1">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提供2台高性能信创云主机，分别部署知识库和2个智能场景应用，共享带宽(互联网带宽)10M，提供1500GB的云主机备份服务；</w:t>
      </w:r>
    </w:p>
    <w:p w14:paraId="08185E9D">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提供稳定可靠的DeepSeek满血版服务API可供项目“AI+”场景应用按需调用，提供基础Tokens额度1.5亿；</w:t>
      </w:r>
    </w:p>
    <w:p w14:paraId="7796478B">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提供1条本次新增云主机和“能达E企通”已有服务器之间的点对点线路，10M带宽；</w:t>
      </w:r>
    </w:p>
    <w:p w14:paraId="46469469">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网络安全法》、《等保2.0》等相关文件及标准要求，为项目系统提供信息系统安全等级保护2.0所需的相关网络安全服务，确保系统的安全稳定运行，具体包括下一代防火墙（要求出口带宽100M，包括入侵防护、病毒防护）、入侵防御系统、网络安全审计、web应用防火墙（抵御Web安全威胁和拒绝服务攻击，防护流量带宽100Mbps，支持防护同一个一级域名下10个子域名）、堡垒机、日志审计（</w:t>
      </w:r>
      <w:r>
        <w:rPr>
          <w:rFonts w:hint="eastAsia" w:ascii="仿宋" w:hAnsi="仿宋" w:eastAsia="仿宋" w:cs="仿宋"/>
          <w:sz w:val="24"/>
          <w:szCs w:val="24"/>
          <w:lang w:bidi="ar"/>
        </w:rPr>
        <w:t>5个日志源）</w:t>
      </w:r>
      <w:r>
        <w:rPr>
          <w:rFonts w:hint="eastAsia" w:ascii="仿宋" w:hAnsi="仿宋" w:eastAsia="仿宋" w:cs="仿宋"/>
          <w:sz w:val="24"/>
          <w:szCs w:val="24"/>
        </w:rPr>
        <w:t>、综合漏洞扫描、数据库审计、终端检测与响应、主机防病毒（支持2台主机授权（服务器版本））、网页防篡改等；</w:t>
      </w:r>
    </w:p>
    <w:p w14:paraId="53D933CE">
      <w:pPr>
        <w:shd w:val="clear" w:color="auto"/>
        <w:spacing w:line="360" w:lineRule="auto"/>
        <w:ind w:firstLine="480" w:firstLineChars="200"/>
        <w:rPr>
          <w:rFonts w:ascii="仿宋" w:hAnsi="仿宋" w:eastAsia="仿宋" w:cs="仿宋"/>
          <w:sz w:val="24"/>
          <w:szCs w:val="24"/>
        </w:rPr>
      </w:pPr>
      <w:r>
        <w:rPr>
          <w:rFonts w:ascii="仿宋" w:hAnsi="仿宋" w:eastAsia="仿宋" w:cs="仿宋"/>
          <w:sz w:val="24"/>
          <w:szCs w:val="24"/>
        </w:rPr>
        <w:t>提供</w:t>
      </w:r>
      <w:r>
        <w:rPr>
          <w:rFonts w:hint="eastAsia" w:ascii="仿宋" w:hAnsi="仿宋" w:eastAsia="仿宋" w:cs="仿宋"/>
          <w:sz w:val="24"/>
          <w:szCs w:val="24"/>
        </w:rPr>
        <w:t>一体化的在线</w:t>
      </w:r>
      <w:r>
        <w:rPr>
          <w:rFonts w:ascii="仿宋" w:hAnsi="仿宋" w:eastAsia="仿宋" w:cs="仿宋"/>
          <w:sz w:val="24"/>
          <w:szCs w:val="24"/>
        </w:rPr>
        <w:t>安全管理中心</w:t>
      </w:r>
      <w:r>
        <w:rPr>
          <w:rFonts w:hint="eastAsia" w:ascii="仿宋" w:hAnsi="仿宋" w:eastAsia="仿宋" w:cs="仿宋"/>
          <w:sz w:val="24"/>
          <w:szCs w:val="24"/>
        </w:rPr>
        <w:t>服务</w:t>
      </w:r>
      <w:r>
        <w:rPr>
          <w:rFonts w:ascii="仿宋" w:hAnsi="仿宋" w:eastAsia="仿宋" w:cs="仿宋"/>
          <w:sz w:val="24"/>
          <w:szCs w:val="24"/>
        </w:rPr>
        <w:t>，</w:t>
      </w:r>
      <w:r>
        <w:rPr>
          <w:rFonts w:hint="eastAsia" w:ascii="仿宋" w:hAnsi="仿宋" w:eastAsia="仿宋" w:cs="仿宋"/>
          <w:sz w:val="24"/>
          <w:szCs w:val="24"/>
        </w:rPr>
        <w:t>可整体监管所提供的</w:t>
      </w:r>
      <w:r>
        <w:rPr>
          <w:rFonts w:ascii="仿宋" w:hAnsi="仿宋" w:eastAsia="仿宋" w:cs="仿宋"/>
          <w:sz w:val="24"/>
          <w:szCs w:val="24"/>
        </w:rPr>
        <w:t>安全服务，可查看各安全原子能力运行情况、各类安全告警事件以及安全日志分析，可</w:t>
      </w:r>
      <w:r>
        <w:rPr>
          <w:rFonts w:hint="eastAsia" w:ascii="仿宋" w:hAnsi="仿宋" w:eastAsia="仿宋" w:cs="仿宋"/>
          <w:sz w:val="24"/>
          <w:szCs w:val="24"/>
        </w:rPr>
        <w:t>通过</w:t>
      </w:r>
      <w:r>
        <w:rPr>
          <w:rFonts w:ascii="仿宋" w:hAnsi="仿宋" w:eastAsia="仿宋" w:cs="仿宋"/>
          <w:sz w:val="24"/>
          <w:szCs w:val="24"/>
        </w:rPr>
        <w:t>态势大屏</w:t>
      </w:r>
      <w:r>
        <w:rPr>
          <w:rFonts w:hint="eastAsia" w:ascii="仿宋" w:hAnsi="仿宋" w:eastAsia="仿宋" w:cs="仿宋"/>
          <w:sz w:val="24"/>
          <w:szCs w:val="24"/>
        </w:rPr>
        <w:t>总体监控</w:t>
      </w:r>
      <w:r>
        <w:rPr>
          <w:rFonts w:ascii="仿宋" w:hAnsi="仿宋" w:eastAsia="仿宋" w:cs="仿宋"/>
          <w:sz w:val="24"/>
          <w:szCs w:val="24"/>
        </w:rPr>
        <w:t>安全事件发生趋势、综合风险统计、网络安全实时监测、攻击类型统计、攻击源目IP等信息</w:t>
      </w:r>
      <w:r>
        <w:rPr>
          <w:rFonts w:hint="eastAsia" w:ascii="仿宋" w:hAnsi="仿宋" w:eastAsia="仿宋" w:cs="仿宋"/>
          <w:sz w:val="24"/>
          <w:szCs w:val="24"/>
        </w:rPr>
        <w:t>，支持按照等保2.0标准进行自测评检查并提供提供等保预检报告。</w:t>
      </w:r>
    </w:p>
    <w:p w14:paraId="7FC49D2C">
      <w:pPr>
        <w:numPr>
          <w:ilvl w:val="0"/>
          <w:numId w:val="0"/>
        </w:numPr>
        <w:shd w:val="clear" w:color="auto"/>
        <w:spacing w:line="360" w:lineRule="auto"/>
        <w:ind w:firstLine="480" w:firstLineChars="200"/>
        <w:rPr>
          <w:rFonts w:ascii="仿宋" w:hAnsi="仿宋" w:eastAsia="仿宋" w:cs="仿宋"/>
          <w:sz w:val="24"/>
          <w:szCs w:val="24"/>
        </w:rPr>
      </w:pPr>
      <w:r>
        <w:rPr>
          <w:rFonts w:ascii="仿宋" w:hAnsi="仿宋" w:eastAsia="仿宋" w:cs="仿宋"/>
          <w:sz w:val="24"/>
          <w:szCs w:val="24"/>
          <w:lang w:val="en-US" w:eastAsia="zh-CN" w:bidi="ar-SA"/>
        </w:rPr>
        <w:t>2</w:t>
      </w:r>
      <w:r>
        <w:rPr>
          <w:rFonts w:hint="eastAsia" w:ascii="仿宋" w:hAnsi="仿宋" w:eastAsia="仿宋" w:cs="仿宋"/>
          <w:sz w:val="24"/>
          <w:szCs w:val="24"/>
          <w:lang w:val="en-US" w:eastAsia="zh-CN" w:bidi="ar-SA"/>
        </w:rPr>
        <w:t>.</w:t>
      </w:r>
      <w:r>
        <w:rPr>
          <w:rFonts w:hint="eastAsia" w:ascii="仿宋" w:hAnsi="仿宋" w:eastAsia="仿宋" w:cs="仿宋"/>
          <w:sz w:val="24"/>
          <w:szCs w:val="24"/>
        </w:rPr>
        <w:t>AI服务总入口服务</w:t>
      </w:r>
    </w:p>
    <w:p w14:paraId="5D6484A0">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“1+N”AI企业服务总体设计</w:t>
      </w:r>
    </w:p>
    <w:p w14:paraId="1AAE14D9">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要求基于“能达E企通”平台现有的企业服务业务框架体系，遴选引入成熟人工智能大模型应用，扩展构建结合南通开发区实际企业服务需求的“1+N”AI企业服务体系框架，提供多智能体服务的关键技术能力，包括</w:t>
      </w:r>
      <w:r>
        <w:rPr>
          <w:rFonts w:ascii="仿宋" w:hAnsi="仿宋" w:eastAsia="仿宋" w:cs="仿宋"/>
          <w:sz w:val="24"/>
          <w:szCs w:val="24"/>
        </w:rPr>
        <w:t>“1+N”智能体环境的知识库构建技术</w:t>
      </w:r>
      <w:r>
        <w:rPr>
          <w:rFonts w:hint="eastAsia" w:ascii="仿宋" w:hAnsi="仿宋" w:eastAsia="仿宋" w:cs="仿宋"/>
          <w:sz w:val="24"/>
          <w:szCs w:val="24"/>
        </w:rPr>
        <w:t>、</w:t>
      </w:r>
      <w:r>
        <w:rPr>
          <w:rFonts w:ascii="仿宋" w:hAnsi="仿宋" w:eastAsia="仿宋" w:cs="仿宋"/>
          <w:sz w:val="24"/>
          <w:szCs w:val="24"/>
        </w:rPr>
        <w:t>多智能体协同机制</w:t>
      </w:r>
      <w:r>
        <w:rPr>
          <w:rFonts w:hint="eastAsia" w:ascii="仿宋" w:hAnsi="仿宋" w:eastAsia="仿宋" w:cs="仿宋"/>
          <w:sz w:val="24"/>
          <w:szCs w:val="24"/>
        </w:rPr>
        <w:t>和</w:t>
      </w:r>
      <w:r>
        <w:rPr>
          <w:rFonts w:ascii="仿宋" w:hAnsi="仿宋" w:eastAsia="仿宋" w:cs="仿宋"/>
          <w:sz w:val="24"/>
          <w:szCs w:val="24"/>
        </w:rPr>
        <w:t>多智能体安全治理机制</w:t>
      </w:r>
      <w:r>
        <w:rPr>
          <w:rFonts w:hint="eastAsia" w:ascii="仿宋" w:hAnsi="仿宋" w:eastAsia="仿宋" w:cs="仿宋"/>
          <w:sz w:val="24"/>
          <w:szCs w:val="24"/>
        </w:rPr>
        <w:t>。</w:t>
      </w:r>
    </w:p>
    <w:p w14:paraId="48C30B66">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要求完成AI企业服务总入口的IP设计、AI总入口主界面设计等设计工作，同步设计编制“AI+”场景应用接入规范，规范各“AI+”场景应用的接入上架至“能达E企通”平台。</w:t>
      </w:r>
    </w:p>
    <w:p w14:paraId="4FD31A10">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2.2“1+N”AI企业服务</w:t>
      </w:r>
      <w:r>
        <w:rPr>
          <w:rFonts w:ascii="仿宋" w:hAnsi="仿宋" w:eastAsia="仿宋" w:cs="仿宋"/>
          <w:sz w:val="24"/>
          <w:szCs w:val="24"/>
        </w:rPr>
        <w:t>主智能体</w:t>
      </w:r>
      <w:r>
        <w:rPr>
          <w:rFonts w:hint="eastAsia" w:ascii="仿宋" w:hAnsi="仿宋" w:eastAsia="仿宋" w:cs="仿宋"/>
          <w:sz w:val="24"/>
          <w:szCs w:val="24"/>
        </w:rPr>
        <w:t>服务</w:t>
      </w:r>
    </w:p>
    <w:p w14:paraId="5EF8995E">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基于“AI+”场景应用接入规范要求，完成企业服务基础知识库和“1+N”AI企业服务</w:t>
      </w:r>
      <w:r>
        <w:rPr>
          <w:rFonts w:ascii="仿宋" w:hAnsi="仿宋" w:eastAsia="仿宋" w:cs="仿宋"/>
          <w:sz w:val="24"/>
          <w:szCs w:val="24"/>
        </w:rPr>
        <w:t>主智能体</w:t>
      </w:r>
      <w:r>
        <w:rPr>
          <w:rFonts w:hint="eastAsia" w:ascii="仿宋" w:hAnsi="仿宋" w:eastAsia="仿宋" w:cs="仿宋"/>
          <w:sz w:val="24"/>
          <w:szCs w:val="24"/>
        </w:rPr>
        <w:t>部署和本地化改造；基于企业智能服务应用场景，设计高频场景的提示词，用于引导AI生成特定内容或完成任务；提供咨询效果调优服务，通过一系列问题，测试搜索和问答效果，据此对知识库、提示词进行微调，以提升精准度和用户体验；基于“能达E企通”平台，提供基于人工智能大模型的智能“搜一搜”、“问一问”服务。要求支持双端服务。</w:t>
      </w:r>
    </w:p>
    <w:p w14:paraId="146698B5">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AI高企服务</w:t>
      </w:r>
    </w:p>
    <w:p w14:paraId="7D1A0A88">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根据政府高企培育管理全周期服务业务特点，从服务增效提优的角度，基于“AI+”场景应用接入规范要求，完成高企</w:t>
      </w:r>
      <w:r>
        <w:rPr>
          <w:rFonts w:ascii="仿宋" w:hAnsi="仿宋" w:eastAsia="仿宋" w:cs="仿宋"/>
          <w:sz w:val="24"/>
          <w:szCs w:val="24"/>
        </w:rPr>
        <w:t>专题知识库</w:t>
      </w:r>
      <w:r>
        <w:rPr>
          <w:rFonts w:hint="eastAsia" w:ascii="仿宋" w:hAnsi="仿宋" w:eastAsia="仿宋" w:cs="仿宋"/>
          <w:sz w:val="24"/>
          <w:szCs w:val="24"/>
        </w:rPr>
        <w:t>和</w:t>
      </w:r>
      <w:r>
        <w:rPr>
          <w:rFonts w:ascii="仿宋" w:hAnsi="仿宋" w:eastAsia="仿宋" w:cs="仿宋"/>
          <w:sz w:val="24"/>
          <w:szCs w:val="24"/>
        </w:rPr>
        <w:t>AI高企服务应用</w:t>
      </w:r>
      <w:r>
        <w:rPr>
          <w:rFonts w:hint="eastAsia" w:ascii="仿宋" w:hAnsi="仿宋" w:eastAsia="仿宋" w:cs="仿宋"/>
          <w:sz w:val="24"/>
          <w:szCs w:val="24"/>
        </w:rPr>
        <w:t>的私有化部署和本地化改造，提供咨询效果调优服务；基于“能达E企通”平台，实现区别于基础问答服务的</w:t>
      </w:r>
      <w:r>
        <w:rPr>
          <w:rFonts w:ascii="仿宋" w:hAnsi="仿宋" w:eastAsia="仿宋" w:cs="仿宋"/>
          <w:sz w:val="24"/>
          <w:szCs w:val="24"/>
        </w:rPr>
        <w:t>专家级</w:t>
      </w:r>
      <w:r>
        <w:rPr>
          <w:rFonts w:hint="eastAsia" w:ascii="仿宋" w:hAnsi="仿宋" w:eastAsia="仿宋" w:cs="仿宋"/>
          <w:sz w:val="24"/>
          <w:szCs w:val="24"/>
        </w:rPr>
        <w:t>智能高企</w:t>
      </w:r>
      <w:r>
        <w:rPr>
          <w:rFonts w:ascii="仿宋" w:hAnsi="仿宋" w:eastAsia="仿宋" w:cs="仿宋"/>
          <w:sz w:val="24"/>
          <w:szCs w:val="24"/>
        </w:rPr>
        <w:t>咨询服务</w:t>
      </w:r>
      <w:r>
        <w:rPr>
          <w:rFonts w:hint="eastAsia" w:ascii="仿宋" w:hAnsi="仿宋" w:eastAsia="仿宋" w:cs="仿宋"/>
          <w:sz w:val="24"/>
          <w:szCs w:val="24"/>
        </w:rPr>
        <w:t>。</w:t>
      </w:r>
      <w:r>
        <w:rPr>
          <w:rFonts w:ascii="仿宋" w:hAnsi="仿宋" w:eastAsia="仿宋" w:cs="仿宋"/>
          <w:sz w:val="24"/>
          <w:szCs w:val="24"/>
        </w:rPr>
        <w:t>要求支持双端服务。</w:t>
      </w:r>
    </w:p>
    <w:p w14:paraId="23622C60">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4.“能达E企通”平台应用集成服务</w:t>
      </w:r>
    </w:p>
    <w:p w14:paraId="4357367C">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按照“能达E企通”平台要求，将本项目新增服务应用集成至“能达E企通”平台，主要工作内容：</w:t>
      </w:r>
    </w:p>
    <w:p w14:paraId="26BABD16">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对“能达E企通”平台进行改造，包括但不限于前期建设的门户首页、综合搜索等，要求提供双端服务应用；</w:t>
      </w:r>
    </w:p>
    <w:p w14:paraId="5C88297B">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与“能达E企通”平台进行数据对接，获取“能达E企通”平台的相关数据资源，支撑企业服务</w:t>
      </w:r>
      <w:r>
        <w:rPr>
          <w:rFonts w:ascii="仿宋" w:hAnsi="仿宋" w:eastAsia="仿宋" w:cs="仿宋"/>
          <w:sz w:val="24"/>
          <w:szCs w:val="24"/>
        </w:rPr>
        <w:t>主智能体</w:t>
      </w:r>
      <w:r>
        <w:rPr>
          <w:rFonts w:hint="eastAsia" w:ascii="仿宋" w:hAnsi="仿宋" w:eastAsia="仿宋" w:cs="仿宋"/>
          <w:sz w:val="24"/>
          <w:szCs w:val="24"/>
        </w:rPr>
        <w:t>服务和AI高企服务；</w:t>
      </w:r>
    </w:p>
    <w:p w14:paraId="1C69ED2D">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与“能达E企通”平台进行接口对接，调用各类涉企资源服务相关信息接口。</w:t>
      </w:r>
    </w:p>
    <w:p w14:paraId="2AE1631D">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持续运营服务</w:t>
      </w:r>
    </w:p>
    <w:p w14:paraId="45B6B646">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为保障“1+N” AI企业服务体系的持续优化与安全运行，提供服务期内的持续运营服务，包括智能体运营服务和AI总入口运营管理服务。其中：</w:t>
      </w:r>
    </w:p>
    <w:p w14:paraId="4D9D6694">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5.1智能体运营服务</w:t>
      </w:r>
    </w:p>
    <w:p w14:paraId="781EA7FB">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实现问答的时效性和准确性，建立知识库动态更新机制，通过定期抽取和整合最新知识，持续优化推理和问答内容，提高答案的准确性和相关性，有效降低人工干预的成本；服务期内基于历史会话、用户评价反馈等信息，提供6次AI企业服务</w:t>
      </w:r>
      <w:r>
        <w:rPr>
          <w:rFonts w:ascii="仿宋" w:hAnsi="仿宋" w:eastAsia="仿宋" w:cs="仿宋"/>
          <w:sz w:val="24"/>
          <w:szCs w:val="24"/>
        </w:rPr>
        <w:t>主智能体</w:t>
      </w:r>
      <w:r>
        <w:rPr>
          <w:rFonts w:hint="eastAsia" w:ascii="仿宋" w:hAnsi="仿宋" w:eastAsia="仿宋" w:cs="仿宋"/>
          <w:sz w:val="24"/>
          <w:szCs w:val="24"/>
        </w:rPr>
        <w:t>和高企服务智能体的优化调试服务。</w:t>
      </w:r>
    </w:p>
    <w:p w14:paraId="69294522">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 AI总入口运营管理服务</w:t>
      </w:r>
    </w:p>
    <w:p w14:paraId="5014A154">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为保障“1+N”AI企业服务体系的规范化运行以及监测AI企业服务</w:t>
      </w:r>
      <w:r>
        <w:rPr>
          <w:rFonts w:ascii="仿宋" w:hAnsi="仿宋" w:eastAsia="仿宋" w:cs="仿宋"/>
          <w:sz w:val="24"/>
          <w:szCs w:val="24"/>
        </w:rPr>
        <w:t>主智能体</w:t>
      </w:r>
      <w:r>
        <w:rPr>
          <w:rFonts w:hint="eastAsia" w:ascii="仿宋" w:hAnsi="仿宋" w:eastAsia="仿宋" w:cs="仿宋"/>
          <w:sz w:val="24"/>
          <w:szCs w:val="24"/>
        </w:rPr>
        <w:t>服务和AI高企服务的使用情况，提供服务期内的“AI+”场景应用管理服务，敏感词管理服务，会话、访客等台账和数据统计服务等。</w:t>
      </w:r>
    </w:p>
    <w:p w14:paraId="6AFFBA74">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持续运维服务</w:t>
      </w:r>
    </w:p>
    <w:p w14:paraId="7585E99D">
      <w:pPr>
        <w:shd w:val="clear" w:color="auto"/>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提供服务期内AI企业服务</w:t>
      </w:r>
      <w:r>
        <w:rPr>
          <w:rFonts w:ascii="仿宋" w:hAnsi="仿宋" w:eastAsia="仿宋" w:cs="仿宋"/>
          <w:sz w:val="24"/>
          <w:szCs w:val="24"/>
        </w:rPr>
        <w:t>主智能体</w:t>
      </w:r>
      <w:r>
        <w:rPr>
          <w:rFonts w:hint="eastAsia" w:ascii="仿宋" w:hAnsi="仿宋" w:eastAsia="仿宋" w:cs="仿宋"/>
          <w:sz w:val="24"/>
          <w:szCs w:val="24"/>
        </w:rPr>
        <w:t>服务应用和AI高企服务应用的持续运维服务，主要工作包括：问题咨询解答、软件应用备份、日常巡检、故障处理、程序BUG修复等。</w:t>
      </w:r>
    </w:p>
    <w:p w14:paraId="7D2D2406">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四、采购标的的数量、采购项目交付或者实施的时间和地点</w:t>
      </w:r>
    </w:p>
    <w:p w14:paraId="3A71DDC3">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采购标的数量：南通开发区“AI+”场景应用服务项目。</w:t>
      </w:r>
    </w:p>
    <w:p w14:paraId="4E7DD88C">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项目地点：采购人指定地点；</w:t>
      </w:r>
    </w:p>
    <w:p w14:paraId="2A62B682">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交付时间：合同签订后一周内主智能体基础咨询服务和AI高企服务试运行,提供截止合同签订后三个年度的持续运营运维服务。</w:t>
      </w:r>
    </w:p>
    <w:p w14:paraId="6AA568DE">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五、采购标的需满足的服务标准、期限、效率等要求；</w:t>
      </w:r>
    </w:p>
    <w:p w14:paraId="51E58877">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服务期限</w:t>
      </w:r>
    </w:p>
    <w:p w14:paraId="69D94A4D">
      <w:pPr>
        <w:shd w:val="clear" w:color="auto"/>
        <w:spacing w:line="360" w:lineRule="auto"/>
        <w:ind w:firstLine="480" w:firstLineChars="200"/>
        <w:rPr>
          <w:rFonts w:ascii="仿宋" w:hAnsi="仿宋" w:eastAsia="仿宋" w:cs="仿宋"/>
          <w:sz w:val="24"/>
          <w:szCs w:val="24"/>
        </w:rPr>
      </w:pPr>
      <w:r>
        <w:rPr>
          <w:rFonts w:ascii="仿宋" w:hAnsi="仿宋" w:eastAsia="仿宋" w:cs="仿宋"/>
          <w:sz w:val="24"/>
          <w:szCs w:val="24"/>
        </w:rPr>
        <w:t>自合同签订之日起，提供三个年度的服务。其中，合同签订后一周内</w:t>
      </w:r>
      <w:r>
        <w:rPr>
          <w:rFonts w:hint="eastAsia" w:ascii="仿宋" w:hAnsi="仿宋" w:eastAsia="仿宋" w:cs="仿宋"/>
          <w:sz w:val="24"/>
          <w:szCs w:val="24"/>
        </w:rPr>
        <w:t>需</w:t>
      </w:r>
      <w:r>
        <w:rPr>
          <w:rFonts w:ascii="仿宋" w:hAnsi="仿宋" w:eastAsia="仿宋" w:cs="仿宋"/>
          <w:sz w:val="24"/>
          <w:szCs w:val="24"/>
        </w:rPr>
        <w:t>完成所需的系统运行环境准备</w:t>
      </w:r>
      <w:r>
        <w:rPr>
          <w:rFonts w:hint="eastAsia" w:ascii="仿宋" w:hAnsi="仿宋" w:eastAsia="仿宋" w:cs="仿宋"/>
          <w:sz w:val="24"/>
          <w:szCs w:val="24"/>
        </w:rPr>
        <w:t>和</w:t>
      </w:r>
      <w:r>
        <w:rPr>
          <w:rFonts w:ascii="仿宋" w:hAnsi="仿宋" w:eastAsia="仿宋" w:cs="仿宋"/>
          <w:sz w:val="24"/>
          <w:szCs w:val="24"/>
        </w:rPr>
        <w:t>“能达E企通”平台的对接改造</w:t>
      </w:r>
      <w:r>
        <w:rPr>
          <w:rFonts w:hint="eastAsia" w:ascii="仿宋" w:hAnsi="仿宋" w:eastAsia="仿宋" w:cs="仿宋"/>
          <w:sz w:val="24"/>
          <w:szCs w:val="24"/>
        </w:rPr>
        <w:t>工作</w:t>
      </w:r>
      <w:r>
        <w:rPr>
          <w:rFonts w:ascii="仿宋" w:hAnsi="仿宋" w:eastAsia="仿宋" w:cs="仿宋"/>
          <w:sz w:val="24"/>
          <w:szCs w:val="24"/>
        </w:rPr>
        <w:t>，主智能体基础咨询服务和AI高企服务试运行</w:t>
      </w:r>
      <w:r>
        <w:rPr>
          <w:rFonts w:hint="eastAsia" w:ascii="仿宋" w:hAnsi="仿宋" w:eastAsia="仿宋" w:cs="仿宋"/>
          <w:sz w:val="24"/>
          <w:szCs w:val="24"/>
        </w:rPr>
        <w:t>。</w:t>
      </w:r>
    </w:p>
    <w:p w14:paraId="4970CAAA">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项目组织与人员要求</w:t>
      </w:r>
    </w:p>
    <w:p w14:paraId="2CD2D9FF">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交供应商需组建一支由资深项目经理带领的经验丰富、数据服务能力强的项目团队，项目经理应参与项目服务全过程，特殊情况项目主要人员变动需事先告知并经采购人批准；成交供应商在工作期间必须遵守采购人的相关保密制度。</w:t>
      </w:r>
    </w:p>
    <w:p w14:paraId="385ACAC7">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项目质量管理要求</w:t>
      </w:r>
    </w:p>
    <w:p w14:paraId="080F77A1">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成交供应商需要建立本项目的质量保证体系，为本项目实施过程提供全面的质量保证。</w:t>
      </w:r>
    </w:p>
    <w:p w14:paraId="1F510018">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培训与试运行要求</w:t>
      </w:r>
    </w:p>
    <w:p w14:paraId="7ED84CFD">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成交供应商需对系统使用者进行免费的系统操作培训；培训形式可以多样化，例如集中培训、通过系统在线帮助等形式为用户提供引导等。</w:t>
      </w:r>
    </w:p>
    <w:p w14:paraId="051489BB">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交付要求</w:t>
      </w:r>
    </w:p>
    <w:p w14:paraId="77718008">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项目验收时，成交供应商应整理提交全部项目技术成果和资料，包括：《操作手册》、《服务台账》、《服务总结》。</w:t>
      </w:r>
    </w:p>
    <w:p w14:paraId="733F551E">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六、采购标的验收标准</w:t>
      </w:r>
    </w:p>
    <w:p w14:paraId="75DEDB84">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项目验收的组织机构</w:t>
      </w:r>
    </w:p>
    <w:p w14:paraId="2CCA831C">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采购人负责组织验收小组，负责整个验收工作。供应商应安排相关专业技术人员在验收小组指导监督下进行支持配合。</w:t>
      </w:r>
    </w:p>
    <w:p w14:paraId="79835C31">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验收标准</w:t>
      </w:r>
    </w:p>
    <w:p w14:paraId="3E96B700">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合同约定的服务内容全部完成；</w:t>
      </w:r>
    </w:p>
    <w:p w14:paraId="7AECDB6E">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合同约定的交付条件齐全；</w:t>
      </w:r>
    </w:p>
    <w:p w14:paraId="5958F5B1">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项目期间采购人提出的问题均已解决或双方确认完毕。</w:t>
      </w:r>
    </w:p>
    <w:p w14:paraId="15DB8AA1">
      <w:pPr>
        <w:shd w:val="clear" w:color="auto"/>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七、付款方式</w:t>
      </w:r>
    </w:p>
    <w:p w14:paraId="3426B610">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合同金额包含三个年度的服务费用，其中：</w:t>
      </w:r>
    </w:p>
    <w:p w14:paraId="45F5FD7E">
      <w:pPr>
        <w:shd w:val="clear" w:color="auto"/>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1）合同签订</w:t>
      </w:r>
      <w:r>
        <w:rPr>
          <w:rFonts w:hint="eastAsia" w:ascii="仿宋" w:hAnsi="仿宋" w:eastAsia="仿宋" w:cs="仿宋"/>
          <w:sz w:val="24"/>
          <w:szCs w:val="24"/>
          <w:lang w:val="en-US" w:eastAsia="zh-CN"/>
        </w:rPr>
        <w:t>且合同约定的</w:t>
      </w:r>
      <w:r>
        <w:rPr>
          <w:rFonts w:hint="eastAsia" w:ascii="仿宋" w:hAnsi="仿宋" w:eastAsia="仿宋" w:cs="仿宋"/>
          <w:sz w:val="24"/>
          <w:szCs w:val="24"/>
        </w:rPr>
        <w:t>主智能体基础咨询服务和AI高企服务试运行一个月内，支付第一个年度服务费用的50%；</w:t>
      </w:r>
    </w:p>
    <w:p w14:paraId="575F7831">
      <w:pPr>
        <w:shd w:val="clear" w:color="auto"/>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2）第一年服务期满后一个月内，支付第一年服务费用的剩余部分，并预付第二年服务费用的30%；</w:t>
      </w:r>
    </w:p>
    <w:p w14:paraId="597BCD3A">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3）第二年服务期满后一个月内，支付第二年服务费用的剩余部分，并预付第三年服务费用的30%；</w:t>
      </w:r>
    </w:p>
    <w:p w14:paraId="71914888">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4）第三年服务期满后一个月内，支付第三年服务费用的剩余部分。</w:t>
      </w:r>
    </w:p>
    <w:p w14:paraId="489D96D9">
      <w:pPr>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八、履约保证金</w:t>
      </w:r>
    </w:p>
    <w:p w14:paraId="13CED83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1.本项目成交后的履约保证金为</w:t>
      </w:r>
      <w:r>
        <w:rPr>
          <w:rFonts w:hint="eastAsia" w:ascii="仿宋" w:hAnsi="仿宋" w:eastAsia="仿宋" w:cs="仿宋"/>
          <w:sz w:val="24"/>
          <w:szCs w:val="24"/>
          <w:lang w:eastAsia="zh-CN"/>
        </w:rPr>
        <w:t>成交</w:t>
      </w:r>
      <w:r>
        <w:rPr>
          <w:rFonts w:hint="eastAsia" w:ascii="仿宋" w:hAnsi="仿宋" w:eastAsia="仿宋" w:cs="仿宋"/>
          <w:sz w:val="24"/>
          <w:szCs w:val="24"/>
        </w:rPr>
        <w:t>价的</w:t>
      </w:r>
      <w:r>
        <w:rPr>
          <w:rFonts w:ascii="仿宋" w:hAnsi="仿宋" w:eastAsia="仿宋" w:cs="仿宋"/>
          <w:sz w:val="24"/>
          <w:szCs w:val="24"/>
        </w:rPr>
        <w:t>5</w:t>
      </w:r>
      <w:r>
        <w:rPr>
          <w:rFonts w:hint="eastAsia" w:ascii="仿宋" w:hAnsi="仿宋" w:eastAsia="仿宋" w:cs="仿宋"/>
          <w:sz w:val="24"/>
          <w:szCs w:val="24"/>
        </w:rPr>
        <w:t>%，成交供应商的履约保证金须在成交通知书发出之日起至合同签订前汇入采购单位账户（应当以支票、汇票或者金融机构、担保机构出具的保函等</w:t>
      </w:r>
      <w:r>
        <w:rPr>
          <w:rFonts w:hint="eastAsia" w:ascii="仿宋" w:hAnsi="仿宋" w:eastAsia="仿宋" w:cs="仿宋"/>
          <w:sz w:val="24"/>
          <w:szCs w:val="24"/>
          <w:lang w:eastAsia="zh-CN"/>
        </w:rPr>
        <w:t>非现金</w:t>
      </w:r>
      <w:r>
        <w:rPr>
          <w:rFonts w:hint="eastAsia" w:ascii="仿宋" w:hAnsi="仿宋" w:eastAsia="仿宋" w:cs="仿宋"/>
          <w:sz w:val="24"/>
          <w:szCs w:val="24"/>
        </w:rPr>
        <w:t>形式提交），成交供应商凭成交通知书与采购单位签订合同。超期或未有协商，则视为自动放弃成交资格。</w:t>
      </w:r>
    </w:p>
    <w:p w14:paraId="781BC9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2.成交供应商全部履约合同义务，经采购单位验收合格无质量、进度等问题的，采购人在验收合格后一次性退还履约保证金；</w:t>
      </w:r>
    </w:p>
    <w:p w14:paraId="0BFDD18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3.发生以下情况的，履约保证金不予退还或部分退还：</w:t>
      </w:r>
    </w:p>
    <w:p w14:paraId="036B36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a.签订合同后，成交供应商不履行合同义务的，采购单位有权全额扣除履约保证金，全额不予退还，同时采购单位亦有权终止合同，中标供应商还须承担相应的法律赔偿责任。</w:t>
      </w:r>
    </w:p>
    <w:p w14:paraId="67EE7F1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3F7888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"http://www.ccgp-jiangsu.gov.cn/jisngsu/zlxz/)。" </w:instrText>
      </w:r>
      <w:r>
        <w:rPr>
          <w:rFonts w:hint="eastAsia" w:ascii="仿宋" w:hAnsi="仿宋" w:eastAsia="仿宋" w:cs="仿宋"/>
          <w:sz w:val="24"/>
          <w:szCs w:val="24"/>
        </w:rPr>
        <w:fldChar w:fldCharType="separate"/>
      </w:r>
      <w:r>
        <w:rPr>
          <w:rFonts w:hint="eastAsia" w:ascii="仿宋" w:hAnsi="仿宋" w:eastAsia="仿宋" w:cs="仿宋"/>
          <w:sz w:val="24"/>
          <w:szCs w:val="24"/>
        </w:rPr>
        <w:t>www.ccgp-jiangsu.gov.cn/jisngsu/zlxz/)。</w:t>
      </w:r>
      <w:r>
        <w:rPr>
          <w:rFonts w:hint="eastAsia" w:ascii="仿宋" w:hAnsi="仿宋" w:eastAsia="仿宋" w:cs="仿宋"/>
          <w:sz w:val="24"/>
          <w:szCs w:val="24"/>
        </w:rPr>
        <w:fldChar w:fldCharType="end"/>
      </w:r>
    </w:p>
    <w:p w14:paraId="0C7ACB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根据《南通市财政局关于进一步加大政府采购支持中小企业力度的通知》（通财购〔2022〕23号）精神，对政府采购信用档案中无不良记录的中小企业免收履约保证金。</w:t>
      </w:r>
    </w:p>
    <w:p w14:paraId="3B6A0012">
      <w:pPr>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九、其他要求</w:t>
      </w:r>
    </w:p>
    <w:p w14:paraId="11A3E1FF">
      <w:pPr>
        <w:shd w:val="clear" w:color="auto"/>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发生以下情况一切安全责任均由成交供应商负责，采购人不承担任何责任：成交供应商人员在岗履行工作职责期间，发生自身的人身伤害、伤亡；成交供应商违反国家相关法规，与聘用人员发生纠纷，均由成交供应商负责调解与处理；成交供应商在所有服务中违反国家相关法规或行业规范，因过失造成他人人身伤亡等，均由成交供应商负责处理并承担经济和道义上的责任，采购人不承担任何责任。</w:t>
      </w:r>
    </w:p>
    <w:p w14:paraId="5D64F5BB">
      <w:pPr>
        <w:pStyle w:val="11"/>
        <w:widowControl w:val="0"/>
        <w:shd w:val="clear" w:color="auto"/>
        <w:spacing w:before="0" w:beforeAutospacing="0" w:after="0" w:afterAutospacing="0" w:line="360" w:lineRule="auto"/>
        <w:ind w:firstLine="456" w:firstLineChars="200"/>
        <w:rPr>
          <w:rFonts w:ascii="仿宋" w:hAnsi="仿宋" w:eastAsia="仿宋" w:cs="仿宋"/>
          <w:spacing w:val="-6"/>
        </w:rPr>
      </w:pPr>
      <w:r>
        <w:rPr>
          <w:rFonts w:hint="eastAsia" w:ascii="仿宋" w:hAnsi="仿宋" w:eastAsia="仿宋" w:cs="仿宋"/>
          <w:spacing w:val="-6"/>
        </w:rPr>
        <w:t>2.本项目各分项具体服务点及服务内容及要求，请各响应供应商自行查勘现场并结合磋商文件内容后进行合理报价，若成交后成交供应商以各种理由在磋商文件规定的时间内不予签订合同及实施的，采购人将上报有关监管部门后将其列入信用黑名单，视情节轻重该单位将1-3年之内不能参加南通市政府采购相关活动。</w:t>
      </w:r>
    </w:p>
    <w:p w14:paraId="24193C86">
      <w:pPr>
        <w:shd w:val="clear" w:color="auto"/>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3.成交供应商在合同期内出现重大失误，采购人有权终止合同，并从服务费中扣除成交供应商造成的损失。重大失误由采购人进行认定，成交供应商无条件服从。</w:t>
      </w:r>
    </w:p>
    <w:p w14:paraId="5B4CECB8">
      <w:pPr>
        <w:shd w:val="clear" w:color="auto"/>
        <w:spacing w:line="360" w:lineRule="auto"/>
        <w:ind w:firstLine="456" w:firstLineChars="200"/>
        <w:rPr>
          <w:rFonts w:ascii="仿宋" w:hAnsi="仿宋" w:eastAsia="仿宋" w:cs="仿宋"/>
        </w:rPr>
      </w:pPr>
      <w:r>
        <w:rPr>
          <w:rFonts w:hint="eastAsia" w:ascii="仿宋" w:hAnsi="仿宋" w:eastAsia="仿宋" w:cs="仿宋"/>
          <w:spacing w:val="-6"/>
          <w:sz w:val="24"/>
          <w:szCs w:val="24"/>
        </w:rPr>
        <w:t>4.</w:t>
      </w:r>
      <w:r>
        <w:rPr>
          <w:rFonts w:hint="eastAsia" w:ascii="仿宋" w:hAnsi="仿宋" w:eastAsia="仿宋" w:cs="仿宋"/>
          <w:sz w:val="24"/>
          <w:szCs w:val="24"/>
        </w:rPr>
        <w:t>未约定事项，由双方协商。</w:t>
      </w:r>
    </w:p>
    <w:p w14:paraId="2D93B6CC">
      <w:pPr>
        <w:shd w:val="clea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br w:type="page" w:clear="all"/>
      </w:r>
    </w:p>
    <w:p w14:paraId="27D3DE1A">
      <w:pPr>
        <w:spacing w:line="360"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第四章  评审方法和评审标准</w:t>
      </w:r>
    </w:p>
    <w:p w14:paraId="7334A17D">
      <w:pPr>
        <w:spacing w:line="360" w:lineRule="auto"/>
        <w:ind w:firstLine="482" w:firstLineChars="200"/>
        <w:jc w:val="left"/>
        <w:rPr>
          <w:rFonts w:ascii="仿宋" w:hAnsi="仿宋" w:eastAsia="仿宋" w:cs="仿宋"/>
          <w:b/>
          <w:sz w:val="24"/>
          <w:szCs w:val="24"/>
        </w:rPr>
      </w:pPr>
      <w:bookmarkStart w:id="93" w:name="_Toc363573857"/>
      <w:bookmarkEnd w:id="93"/>
      <w:r>
        <w:rPr>
          <w:rFonts w:hint="eastAsia" w:ascii="仿宋" w:hAnsi="仿宋" w:eastAsia="仿宋" w:cs="仿宋"/>
          <w:b/>
          <w:sz w:val="24"/>
          <w:szCs w:val="24"/>
        </w:rPr>
        <w:t>一、磋商方式</w:t>
      </w:r>
    </w:p>
    <w:p w14:paraId="7952E3D3">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不见面远程磋商模式：开标当天各供应商在各自地点通过苏采云系统及时登录不见面开标大厅，参加磋商活动。</w:t>
      </w:r>
    </w:p>
    <w:p w14:paraId="5C19D60E">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二、磋商组织及磋商小组职责</w:t>
      </w:r>
    </w:p>
    <w:p w14:paraId="6D0CD2F2">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1.本次竞争性磋商依据《中华人民共和国政府采购法》《政府采购竞争性磋商采购方式管理暂行办法》及有关法规成立磋商小组。磋商小组由采购人代表和评审专家共3人及以上单数组成。</w:t>
      </w:r>
    </w:p>
    <w:p w14:paraId="06D9A668">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2.磋商小组的职责：</w:t>
      </w:r>
    </w:p>
    <w:p w14:paraId="535C114B">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087E187">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（2）磋商文件内容违反国家有关强制性规定的，磋商小组应当停止评审并向采购人或者采购代理机构说明情况</w:t>
      </w:r>
    </w:p>
    <w:p w14:paraId="500DFD17">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（3）磋商小组成员应当遵守评审工作纪律，不得泄露评审情况和评审中获悉的商业秘密，对个人的评审意见承担法律责任；</w:t>
      </w:r>
    </w:p>
    <w:p w14:paraId="01DCCF72">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（4）磋商小组成员在评审过程中发现供应商有行贿、提供虚假材料或者串通等违法行为的，应当及时向财政部门报告。</w:t>
      </w:r>
    </w:p>
    <w:p w14:paraId="374EC4E9">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（5）磋商小组成员在评审过程中受到非法干涉的，应当及时向财政、监察等部门举报。</w:t>
      </w:r>
    </w:p>
    <w:p w14:paraId="4C13AB8F">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（6）配合采购单位答复供应商提出的质疑；配合财政部门的投诉处理和监督检查工作。</w:t>
      </w:r>
    </w:p>
    <w:p w14:paraId="40E29696">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3.评审有关记录由磋商小组成员签名，存档备查。</w:t>
      </w:r>
    </w:p>
    <w:p w14:paraId="1E3A6704">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三、评审步骤</w:t>
      </w:r>
    </w:p>
    <w:p w14:paraId="617DFEDF">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第一阶段：</w:t>
      </w:r>
      <w:r>
        <w:rPr>
          <w:rFonts w:hint="eastAsia" w:ascii="仿宋" w:hAnsi="仿宋" w:eastAsia="仿宋" w:cs="仿宋"/>
          <w:sz w:val="24"/>
          <w:szCs w:val="24"/>
        </w:rPr>
        <w:t>磋商小组</w:t>
      </w:r>
      <w:r>
        <w:rPr>
          <w:rFonts w:hint="eastAsia" w:ascii="仿宋" w:hAnsi="仿宋" w:eastAsia="仿宋" w:cs="仿宋"/>
          <w:sz w:val="24"/>
          <w:szCs w:val="24"/>
          <w:lang w:val="zh-CN"/>
        </w:rPr>
        <w:t>对每个供应商的资格进行审查。</w:t>
      </w:r>
      <w:r>
        <w:rPr>
          <w:rFonts w:hint="eastAsia" w:ascii="仿宋" w:hAnsi="仿宋" w:eastAsia="仿宋" w:cs="仿宋"/>
          <w:sz w:val="24"/>
          <w:szCs w:val="24"/>
        </w:rPr>
        <w:t>供应商资格不合格的，其响应文件判定为无效响应文件。</w:t>
      </w:r>
    </w:p>
    <w:p w14:paraId="574B9C90">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第二阶段：</w:t>
      </w:r>
      <w:r>
        <w:rPr>
          <w:rFonts w:hint="eastAsia" w:ascii="仿宋" w:hAnsi="仿宋" w:eastAsia="仿宋" w:cs="仿宋"/>
          <w:sz w:val="24"/>
          <w:szCs w:val="24"/>
        </w:rPr>
        <w:t>依据磋商文件的规定，由磋商小组</w:t>
      </w:r>
      <w:r>
        <w:rPr>
          <w:rFonts w:hint="eastAsia" w:ascii="仿宋" w:hAnsi="仿宋" w:eastAsia="仿宋" w:cs="仿宋"/>
          <w:sz w:val="24"/>
          <w:szCs w:val="24"/>
          <w:lang w:val="zh-CN"/>
        </w:rPr>
        <w:t>对每个符合资格要求的供应商</w:t>
      </w:r>
      <w:r>
        <w:rPr>
          <w:rFonts w:hint="eastAsia" w:ascii="仿宋" w:hAnsi="仿宋" w:eastAsia="仿宋" w:cs="仿宋"/>
          <w:sz w:val="24"/>
          <w:szCs w:val="24"/>
        </w:rPr>
        <w:t xml:space="preserve">从响应文件的有效性、完整性和对磋商文件的响应程度进行审查，以确定是否对磋商文件的实质性要求作出响应。未通过符合性审查的响应文件，将被判为不满足磋商文件实质性要求。 </w:t>
      </w:r>
    </w:p>
    <w:p w14:paraId="133A3B7C">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第三阶段：以供应商价格标文件内的竞争性磋商报价（即首次报价）为基础，磋商小组与供应商单一分别进行磋商。单一分别</w:t>
      </w:r>
      <w:r>
        <w:rPr>
          <w:rFonts w:hint="eastAsia" w:ascii="仿宋" w:hAnsi="仿宋" w:eastAsia="仿宋" w:cs="仿宋"/>
          <w:sz w:val="24"/>
          <w:szCs w:val="24"/>
        </w:rPr>
        <w:t>磋商</w:t>
      </w:r>
      <w:r>
        <w:rPr>
          <w:rFonts w:hint="eastAsia" w:ascii="仿宋" w:hAnsi="仿宋" w:eastAsia="仿宋" w:cs="仿宋"/>
          <w:sz w:val="24"/>
          <w:szCs w:val="24"/>
          <w:lang w:val="zh-CN"/>
        </w:rPr>
        <w:t>结束后，</w:t>
      </w:r>
      <w:r>
        <w:rPr>
          <w:rFonts w:hint="eastAsia" w:ascii="仿宋" w:hAnsi="仿宋" w:eastAsia="仿宋" w:cs="仿宋"/>
          <w:sz w:val="24"/>
          <w:szCs w:val="24"/>
        </w:rPr>
        <w:t>系统进入报价环节。</w:t>
      </w:r>
      <w:r>
        <w:rPr>
          <w:rFonts w:hint="eastAsia" w:ascii="仿宋" w:hAnsi="仿宋" w:eastAsia="仿宋" w:cs="仿宋"/>
          <w:sz w:val="24"/>
          <w:szCs w:val="24"/>
          <w:lang w:val="zh-CN"/>
        </w:rPr>
        <w:t>（</w:t>
      </w:r>
      <w:r>
        <w:rPr>
          <w:rFonts w:hint="eastAsia" w:ascii="仿宋" w:hAnsi="仿宋" w:eastAsia="仿宋" w:cs="仿宋"/>
          <w:sz w:val="24"/>
          <w:szCs w:val="24"/>
        </w:rPr>
        <w:t>磋商程序见本章第四条</w:t>
      </w:r>
      <w:r>
        <w:rPr>
          <w:rFonts w:hint="eastAsia" w:ascii="仿宋" w:hAnsi="仿宋" w:eastAsia="仿宋" w:cs="仿宋"/>
          <w:sz w:val="24"/>
          <w:szCs w:val="24"/>
          <w:lang w:val="zh-CN"/>
        </w:rPr>
        <w:t>）。</w:t>
      </w:r>
    </w:p>
    <w:p w14:paraId="48E5FF54">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第</w:t>
      </w:r>
      <w:r>
        <w:rPr>
          <w:rFonts w:hint="eastAsia" w:ascii="仿宋" w:hAnsi="仿宋" w:eastAsia="仿宋" w:cs="仿宋"/>
          <w:sz w:val="24"/>
          <w:szCs w:val="24"/>
        </w:rPr>
        <w:t>四</w:t>
      </w:r>
      <w:r>
        <w:rPr>
          <w:rFonts w:hint="eastAsia" w:ascii="仿宋" w:hAnsi="仿宋" w:eastAsia="仿宋" w:cs="仿宋"/>
          <w:sz w:val="24"/>
          <w:szCs w:val="24"/>
          <w:lang w:val="zh-CN"/>
        </w:rPr>
        <w:t>阶段：</w:t>
      </w:r>
      <w:r>
        <w:rPr>
          <w:rFonts w:hint="eastAsia" w:ascii="仿宋" w:hAnsi="仿宋" w:eastAsia="仿宋" w:cs="仿宋"/>
          <w:sz w:val="24"/>
          <w:szCs w:val="24"/>
        </w:rPr>
        <w:t>系统最后报价环节结束后，磋商小组对响应报价的供应商进行商务技术部分评审。</w:t>
      </w:r>
    </w:p>
    <w:p w14:paraId="274BDCAE">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四、磋商程序</w:t>
      </w:r>
    </w:p>
    <w:p w14:paraId="1C749A8B">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68742849">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在磋商过程中，磋商小组可能根据磋商文件和磋商情况实质性变动的内容有：</w:t>
      </w:r>
      <w:r>
        <w:rPr>
          <w:rFonts w:hint="eastAsia" w:ascii="仿宋" w:hAnsi="仿宋" w:eastAsia="仿宋" w:cs="仿宋"/>
          <w:b/>
          <w:bCs/>
          <w:sz w:val="24"/>
          <w:szCs w:val="24"/>
          <w:u w:val="single"/>
        </w:rPr>
        <w:t>采购需求中的技术、服务要求以及合同草案条款。</w:t>
      </w:r>
      <w:r>
        <w:rPr>
          <w:rFonts w:hint="eastAsia" w:ascii="仿宋" w:hAnsi="仿宋" w:eastAsia="仿宋" w:cs="仿宋"/>
          <w:sz w:val="24"/>
          <w:szCs w:val="24"/>
        </w:rPr>
        <w:t>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62C0001">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63A524CB">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开标现场向其发布“最后报价要求函”及最后报价格式表，要求其</w:t>
      </w:r>
      <w:r>
        <w:rPr>
          <w:rFonts w:hint="eastAsia" w:ascii="仿宋" w:hAnsi="仿宋" w:eastAsia="仿宋" w:cs="仿宋"/>
          <w:bCs/>
          <w:sz w:val="24"/>
          <w:szCs w:val="24"/>
        </w:rPr>
        <w:t>在</w:t>
      </w:r>
      <w:r>
        <w:rPr>
          <w:rFonts w:hint="eastAsia" w:ascii="仿宋" w:hAnsi="仿宋" w:eastAsia="仿宋" w:cs="仿宋"/>
          <w:b/>
          <w:sz w:val="24"/>
          <w:szCs w:val="24"/>
        </w:rPr>
        <w:t>15分钟内</w:t>
      </w:r>
      <w:r>
        <w:rPr>
          <w:rFonts w:hint="eastAsia" w:ascii="仿宋" w:hAnsi="仿宋" w:eastAsia="仿宋" w:cs="仿宋"/>
          <w:sz w:val="24"/>
          <w:szCs w:val="24"/>
        </w:rPr>
        <w:t>提交最后报价。</w:t>
      </w:r>
    </w:p>
    <w:p w14:paraId="2361050A">
      <w:pPr>
        <w:tabs>
          <w:tab w:val="left" w:pos="90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7D6839A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0E82C8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u w:val="single"/>
        </w:rPr>
        <w:t>除非在磋商中磋商小组对采购需求中的技术、服务要求以及合同草案条款作了实质性变更，否则采购单位不接受供应商高于自己前一轮的磋商报价</w:t>
      </w:r>
      <w:r>
        <w:rPr>
          <w:rFonts w:hint="eastAsia" w:ascii="仿宋" w:hAnsi="仿宋" w:eastAsia="仿宋" w:cs="仿宋"/>
          <w:sz w:val="24"/>
          <w:szCs w:val="24"/>
        </w:rPr>
        <w:t>。</w:t>
      </w:r>
    </w:p>
    <w:p w14:paraId="42378B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5.在磋商中，磋商的任何一方不得透露与磋商有关的其他响应磋商的供应商的技术资料、价格及其他信息。</w:t>
      </w:r>
    </w:p>
    <w:p w14:paraId="370F79D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6991EE73">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五、评审方法</w:t>
      </w:r>
    </w:p>
    <w:p w14:paraId="257FF71B">
      <w:pPr>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bCs/>
          <w:sz w:val="24"/>
          <w:szCs w:val="24"/>
        </w:rPr>
        <w:t>评审方法：综合评分法。经磋商确定最终采购需求和提交最后报价的供应商后，由磋商小组采用综合评分法对系统提交最后报价的供应商的响应文件和最后报价进行综合评分。</w:t>
      </w:r>
    </w:p>
    <w:p w14:paraId="0EC71B94">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2.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hint="eastAsia" w:ascii="仿宋" w:hAnsi="仿宋" w:eastAsia="仿宋" w:cs="仿宋"/>
          <w:sz w:val="24"/>
          <w:szCs w:val="24"/>
        </w:rPr>
        <w:t>（计算结果均四舍五入保留两位小数）。</w:t>
      </w:r>
    </w:p>
    <w:p w14:paraId="1195360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3.本次项目磋商的商务技术和报价评审总分值为100分。两部分评审因素比重如下： </w:t>
      </w:r>
    </w:p>
    <w:p w14:paraId="7CF4D070">
      <w:pPr>
        <w:shd w:val="clea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商务技术分值占总分值的比重为</w:t>
      </w:r>
      <w:r>
        <w:rPr>
          <w:rFonts w:hint="eastAsia" w:ascii="仿宋" w:hAnsi="仿宋" w:eastAsia="仿宋" w:cs="仿宋"/>
          <w:b/>
          <w:bCs/>
          <w:sz w:val="24"/>
          <w:szCs w:val="24"/>
          <w:u w:val="single"/>
        </w:rPr>
        <w:t>85%（权重）</w:t>
      </w:r>
      <w:r>
        <w:rPr>
          <w:rFonts w:hint="eastAsia" w:ascii="仿宋" w:hAnsi="仿宋" w:eastAsia="仿宋" w:cs="仿宋"/>
          <w:sz w:val="24"/>
          <w:szCs w:val="24"/>
        </w:rPr>
        <w:t>（四舍五入保留两位小数）；</w:t>
      </w:r>
    </w:p>
    <w:p w14:paraId="37BE44D0">
      <w:pPr>
        <w:shd w:val="clea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报价分值占总分值的比重为</w:t>
      </w:r>
      <w:r>
        <w:rPr>
          <w:rFonts w:hint="eastAsia" w:ascii="仿宋" w:hAnsi="仿宋" w:eastAsia="仿宋" w:cs="仿宋"/>
          <w:b/>
          <w:bCs/>
          <w:sz w:val="24"/>
          <w:szCs w:val="24"/>
          <w:u w:val="single"/>
        </w:rPr>
        <w:t>15%（权重）</w:t>
      </w:r>
      <w:r>
        <w:rPr>
          <w:rFonts w:hint="eastAsia" w:ascii="仿宋" w:hAnsi="仿宋" w:eastAsia="仿宋" w:cs="仿宋"/>
          <w:sz w:val="24"/>
          <w:szCs w:val="24"/>
        </w:rPr>
        <w:t>（四舍五入保留两位小数）。</w:t>
      </w:r>
    </w:p>
    <w:p w14:paraId="3407BDB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4.商务技术分按算术平均值计算，分值四舍五入保留两位小数。</w:t>
      </w:r>
    </w:p>
    <w:p w14:paraId="23D489F2">
      <w:pPr>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5.</w:t>
      </w:r>
      <w:r>
        <w:rPr>
          <w:rFonts w:hint="eastAsia" w:ascii="仿宋" w:hAnsi="仿宋" w:eastAsia="仿宋" w:cs="仿宋"/>
          <w:bCs/>
          <w:sz w:val="24"/>
          <w:szCs w:val="24"/>
        </w:rPr>
        <w:t>供应商价格部分和商务技术部分的合计分值，为该供应商的评审总得分</w:t>
      </w:r>
      <w:r>
        <w:rPr>
          <w:rFonts w:hint="eastAsia" w:ascii="仿宋" w:hAnsi="仿宋" w:eastAsia="仿宋" w:cs="仿宋"/>
          <w:sz w:val="24"/>
          <w:szCs w:val="24"/>
        </w:rPr>
        <w:t>（四舍五入保留两位小数）。</w:t>
      </w:r>
      <w:r>
        <w:rPr>
          <w:rFonts w:hint="eastAsia" w:ascii="仿宋" w:hAnsi="仿宋" w:eastAsia="仿宋" w:cs="仿宋"/>
          <w:bCs/>
          <w:sz w:val="24"/>
          <w:szCs w:val="24"/>
        </w:rPr>
        <w:t>综合得分评审后得分由高到低顺序排列，评出综合评审最优的供应商。若综合得分相同的，按投标报价由低到高顺序排列；综合得分且投标报价相同的，按技术标优劣顺序排列；若报价相同且技术标得分相同的，则采取抽签方式确认。投标文件满足磋商文件全部实质性要求且综合得分最高的供应商为第一中标候选人，依次类推。</w:t>
      </w:r>
    </w:p>
    <w:p w14:paraId="1C366201">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6.评委在认真审阅响应文件的基础上，根据各响应文件的响应程度独立评判，不得统一打分</w:t>
      </w:r>
      <w:r>
        <w:rPr>
          <w:rFonts w:hint="eastAsia" w:ascii="仿宋" w:hAnsi="仿宋" w:eastAsia="仿宋" w:cs="仿宋"/>
          <w:sz w:val="24"/>
          <w:szCs w:val="24"/>
        </w:rPr>
        <w:t>。</w:t>
      </w:r>
    </w:p>
    <w:p w14:paraId="64F45B60">
      <w:pPr>
        <w:spacing w:line="360" w:lineRule="auto"/>
        <w:ind w:firstLine="482" w:firstLineChars="200"/>
        <w:rPr>
          <w:rFonts w:ascii="仿宋" w:hAnsi="仿宋" w:eastAsia="仿宋" w:cs="仿宋"/>
          <w:bCs/>
          <w:sz w:val="24"/>
          <w:szCs w:val="24"/>
        </w:rPr>
      </w:pPr>
      <w:r>
        <w:rPr>
          <w:rFonts w:hint="eastAsia" w:ascii="仿宋" w:hAnsi="仿宋" w:eastAsia="仿宋" w:cs="仿宋"/>
          <w:b/>
          <w:sz w:val="24"/>
          <w:szCs w:val="24"/>
        </w:rPr>
        <w:t>六、</w:t>
      </w:r>
      <w:r>
        <w:rPr>
          <w:rFonts w:hint="eastAsia" w:ascii="仿宋" w:hAnsi="仿宋" w:eastAsia="仿宋" w:cs="仿宋"/>
          <w:b/>
          <w:sz w:val="24"/>
          <w:szCs w:val="24"/>
          <w:lang w:eastAsia="en-US"/>
        </w:rPr>
        <w:t>资格审查</w:t>
      </w:r>
    </w:p>
    <w:tbl>
      <w:tblPr>
        <w:tblStyle w:val="13"/>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60"/>
        <w:gridCol w:w="2364"/>
        <w:gridCol w:w="5354"/>
      </w:tblGrid>
      <w:tr w14:paraId="582A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gridSpan w:val="2"/>
            <w:vAlign w:val="center"/>
          </w:tcPr>
          <w:p w14:paraId="692CF3DF">
            <w:pPr>
              <w:spacing w:line="360" w:lineRule="auto"/>
              <w:jc w:val="center"/>
              <w:rPr>
                <w:rFonts w:ascii="仿宋" w:hAnsi="仿宋" w:eastAsia="仿宋" w:cs="仿宋"/>
                <w:b/>
                <w:bCs/>
                <w:sz w:val="24"/>
                <w:szCs w:val="24"/>
              </w:rPr>
            </w:pPr>
            <w:bookmarkStart w:id="94" w:name="OLE_LINK9"/>
            <w:r>
              <w:rPr>
                <w:rFonts w:hint="eastAsia" w:ascii="仿宋" w:hAnsi="仿宋" w:eastAsia="仿宋" w:cs="仿宋"/>
                <w:b/>
                <w:bCs/>
                <w:sz w:val="24"/>
                <w:szCs w:val="24"/>
              </w:rPr>
              <w:t>条款号</w:t>
            </w:r>
          </w:p>
        </w:tc>
        <w:tc>
          <w:tcPr>
            <w:tcW w:w="2364" w:type="dxa"/>
            <w:tcBorders>
              <w:left w:val="nil"/>
            </w:tcBorders>
            <w:vAlign w:val="center"/>
          </w:tcPr>
          <w:p w14:paraId="57A8F948">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评审因素</w:t>
            </w:r>
          </w:p>
        </w:tc>
        <w:tc>
          <w:tcPr>
            <w:tcW w:w="5354" w:type="dxa"/>
            <w:tcBorders>
              <w:left w:val="nil"/>
            </w:tcBorders>
            <w:vAlign w:val="center"/>
          </w:tcPr>
          <w:p w14:paraId="2FA9A766">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1E5D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Merge w:val="restart"/>
            <w:tcBorders>
              <w:top w:val="nil"/>
            </w:tcBorders>
            <w:vAlign w:val="center"/>
          </w:tcPr>
          <w:p w14:paraId="4F5DE551">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960" w:type="dxa"/>
            <w:vMerge w:val="restart"/>
            <w:tcBorders>
              <w:top w:val="nil"/>
              <w:left w:val="nil"/>
            </w:tcBorders>
            <w:vAlign w:val="center"/>
          </w:tcPr>
          <w:p w14:paraId="003B1B0C">
            <w:pPr>
              <w:spacing w:line="360" w:lineRule="auto"/>
              <w:jc w:val="center"/>
              <w:rPr>
                <w:rFonts w:ascii="仿宋" w:hAnsi="仿宋" w:eastAsia="仿宋" w:cs="仿宋"/>
                <w:sz w:val="24"/>
                <w:szCs w:val="24"/>
              </w:rPr>
            </w:pPr>
            <w:r>
              <w:rPr>
                <w:rFonts w:hint="eastAsia" w:ascii="仿宋" w:hAnsi="仿宋" w:eastAsia="仿宋" w:cs="仿宋"/>
                <w:sz w:val="24"/>
                <w:szCs w:val="24"/>
              </w:rPr>
              <w:t>形式评审标准</w:t>
            </w:r>
          </w:p>
        </w:tc>
        <w:tc>
          <w:tcPr>
            <w:tcW w:w="2364" w:type="dxa"/>
            <w:tcBorders>
              <w:left w:val="nil"/>
            </w:tcBorders>
            <w:vAlign w:val="center"/>
          </w:tcPr>
          <w:p w14:paraId="1F9033B5">
            <w:pPr>
              <w:spacing w:line="360" w:lineRule="exact"/>
              <w:rPr>
                <w:rFonts w:hint="eastAsia" w:ascii="仿宋" w:hAnsi="仿宋" w:eastAsia="仿宋" w:cs="仿宋"/>
                <w:bCs/>
                <w:sz w:val="24"/>
                <w:szCs w:val="24"/>
              </w:rPr>
            </w:pPr>
            <w:r>
              <w:rPr>
                <w:rFonts w:hint="eastAsia" w:ascii="仿宋" w:hAnsi="仿宋" w:eastAsia="仿宋" w:cs="仿宋"/>
                <w:bCs/>
                <w:sz w:val="24"/>
                <w:szCs w:val="24"/>
              </w:rPr>
              <w:t>磋商供应商名称</w:t>
            </w:r>
          </w:p>
        </w:tc>
        <w:tc>
          <w:tcPr>
            <w:tcW w:w="5354" w:type="dxa"/>
            <w:tcBorders>
              <w:left w:val="nil"/>
            </w:tcBorders>
            <w:vAlign w:val="center"/>
          </w:tcPr>
          <w:p w14:paraId="7689EA94">
            <w:pPr>
              <w:spacing w:line="360" w:lineRule="exact"/>
              <w:rPr>
                <w:rFonts w:hint="eastAsia" w:ascii="仿宋" w:hAnsi="仿宋" w:eastAsia="仿宋" w:cs="仿宋"/>
                <w:bCs/>
                <w:sz w:val="24"/>
                <w:szCs w:val="24"/>
              </w:rPr>
            </w:pPr>
            <w:r>
              <w:rPr>
                <w:rFonts w:hint="eastAsia" w:ascii="仿宋" w:hAnsi="仿宋" w:eastAsia="仿宋" w:cs="仿宋"/>
                <w:bCs/>
                <w:sz w:val="24"/>
                <w:szCs w:val="24"/>
              </w:rPr>
              <w:t>磋商供应商名称与营业执照；不一致的，提供有效证明材料</w:t>
            </w:r>
          </w:p>
        </w:tc>
      </w:tr>
      <w:tr w14:paraId="0D8A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66" w:type="dxa"/>
            <w:vMerge w:val="continue"/>
            <w:tcBorders>
              <w:top w:val="nil"/>
            </w:tcBorders>
            <w:vAlign w:val="center"/>
          </w:tcPr>
          <w:p w14:paraId="64C84CC5">
            <w:pPr>
              <w:widowControl/>
              <w:spacing w:line="360" w:lineRule="auto"/>
              <w:ind w:left="695"/>
              <w:jc w:val="left"/>
              <w:rPr>
                <w:rFonts w:ascii="仿宋" w:hAnsi="仿宋" w:eastAsia="仿宋" w:cs="仿宋"/>
                <w:sz w:val="24"/>
                <w:szCs w:val="24"/>
              </w:rPr>
            </w:pPr>
          </w:p>
        </w:tc>
        <w:tc>
          <w:tcPr>
            <w:tcW w:w="960" w:type="dxa"/>
            <w:vMerge w:val="continue"/>
            <w:tcBorders>
              <w:top w:val="nil"/>
              <w:left w:val="nil"/>
            </w:tcBorders>
            <w:vAlign w:val="center"/>
          </w:tcPr>
          <w:p w14:paraId="21C2AD1D">
            <w:pPr>
              <w:widowControl/>
              <w:spacing w:line="360" w:lineRule="auto"/>
              <w:ind w:left="695"/>
              <w:jc w:val="center"/>
              <w:rPr>
                <w:rFonts w:ascii="仿宋" w:hAnsi="仿宋" w:eastAsia="仿宋" w:cs="仿宋"/>
                <w:sz w:val="24"/>
                <w:szCs w:val="24"/>
              </w:rPr>
            </w:pPr>
          </w:p>
        </w:tc>
        <w:tc>
          <w:tcPr>
            <w:tcW w:w="2364" w:type="dxa"/>
            <w:tcBorders>
              <w:left w:val="nil"/>
            </w:tcBorders>
            <w:vAlign w:val="center"/>
          </w:tcPr>
          <w:p w14:paraId="127E235E">
            <w:pPr>
              <w:spacing w:line="360" w:lineRule="exact"/>
              <w:rPr>
                <w:rFonts w:hint="eastAsia" w:ascii="仿宋" w:hAnsi="仿宋" w:eastAsia="仿宋" w:cs="仿宋"/>
                <w:bCs/>
                <w:sz w:val="24"/>
                <w:szCs w:val="24"/>
              </w:rPr>
            </w:pPr>
            <w:r>
              <w:rPr>
                <w:rFonts w:hint="eastAsia" w:ascii="仿宋" w:hAnsi="仿宋" w:eastAsia="仿宋" w:cs="仿宋"/>
                <w:bCs/>
                <w:sz w:val="24"/>
                <w:szCs w:val="24"/>
              </w:rPr>
              <w:t>磋商文件签字盖章</w:t>
            </w:r>
          </w:p>
        </w:tc>
        <w:tc>
          <w:tcPr>
            <w:tcW w:w="5354" w:type="dxa"/>
            <w:tcBorders>
              <w:left w:val="nil"/>
            </w:tcBorders>
            <w:vAlign w:val="center"/>
          </w:tcPr>
          <w:p w14:paraId="1624D812">
            <w:pPr>
              <w:spacing w:line="360" w:lineRule="exact"/>
              <w:rPr>
                <w:rFonts w:hint="eastAsia" w:ascii="仿宋" w:hAnsi="仿宋" w:eastAsia="仿宋" w:cs="仿宋"/>
                <w:bCs/>
                <w:sz w:val="24"/>
                <w:szCs w:val="24"/>
              </w:rPr>
            </w:pPr>
            <w:r>
              <w:rPr>
                <w:rFonts w:hint="eastAsia" w:ascii="仿宋" w:hAnsi="仿宋" w:eastAsia="仿宋" w:cs="仿宋"/>
                <w:bCs/>
                <w:sz w:val="24"/>
                <w:szCs w:val="24"/>
              </w:rPr>
              <w:t>磋商文件中规定按照相关要求加盖磋商供应商公章和企业法定代表人（或企业法定代表人委托代理人）印章（或签字）的。委托代理人有合法、有效的委托书（原件）。</w:t>
            </w:r>
          </w:p>
        </w:tc>
      </w:tr>
      <w:tr w14:paraId="6B3A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66" w:type="dxa"/>
            <w:vMerge w:val="continue"/>
            <w:tcBorders>
              <w:top w:val="nil"/>
            </w:tcBorders>
            <w:vAlign w:val="center"/>
          </w:tcPr>
          <w:p w14:paraId="50F5E5C6">
            <w:pPr>
              <w:widowControl/>
              <w:spacing w:line="360" w:lineRule="auto"/>
              <w:ind w:left="695"/>
              <w:jc w:val="left"/>
              <w:rPr>
                <w:rFonts w:ascii="仿宋" w:hAnsi="仿宋" w:eastAsia="仿宋" w:cs="仿宋"/>
                <w:sz w:val="24"/>
                <w:szCs w:val="24"/>
              </w:rPr>
            </w:pPr>
          </w:p>
        </w:tc>
        <w:tc>
          <w:tcPr>
            <w:tcW w:w="960" w:type="dxa"/>
            <w:vMerge w:val="continue"/>
            <w:tcBorders>
              <w:top w:val="nil"/>
              <w:left w:val="nil"/>
            </w:tcBorders>
            <w:vAlign w:val="center"/>
          </w:tcPr>
          <w:p w14:paraId="5A8CCE3B">
            <w:pPr>
              <w:widowControl/>
              <w:spacing w:line="360" w:lineRule="auto"/>
              <w:ind w:left="695"/>
              <w:jc w:val="center"/>
              <w:rPr>
                <w:rFonts w:ascii="仿宋" w:hAnsi="仿宋" w:eastAsia="仿宋" w:cs="仿宋"/>
                <w:sz w:val="24"/>
                <w:szCs w:val="24"/>
              </w:rPr>
            </w:pPr>
          </w:p>
        </w:tc>
        <w:tc>
          <w:tcPr>
            <w:tcW w:w="2364" w:type="dxa"/>
            <w:tcBorders>
              <w:left w:val="nil"/>
            </w:tcBorders>
            <w:vAlign w:val="center"/>
          </w:tcPr>
          <w:p w14:paraId="4820F5E6">
            <w:pPr>
              <w:spacing w:line="360" w:lineRule="exact"/>
              <w:rPr>
                <w:rFonts w:hint="eastAsia" w:ascii="仿宋" w:hAnsi="仿宋" w:eastAsia="仿宋" w:cs="仿宋"/>
                <w:bCs/>
                <w:sz w:val="24"/>
                <w:szCs w:val="24"/>
              </w:rPr>
            </w:pPr>
            <w:r>
              <w:rPr>
                <w:rFonts w:hint="eastAsia" w:ascii="仿宋" w:hAnsi="仿宋" w:eastAsia="仿宋" w:cs="仿宋"/>
                <w:bCs/>
                <w:sz w:val="24"/>
                <w:szCs w:val="24"/>
              </w:rPr>
              <w:t>资格审查文件格式</w:t>
            </w:r>
          </w:p>
        </w:tc>
        <w:tc>
          <w:tcPr>
            <w:tcW w:w="5354" w:type="dxa"/>
            <w:tcBorders>
              <w:left w:val="nil"/>
            </w:tcBorders>
            <w:vAlign w:val="center"/>
          </w:tcPr>
          <w:p w14:paraId="15DA9498">
            <w:pPr>
              <w:spacing w:line="360" w:lineRule="exact"/>
              <w:rPr>
                <w:rFonts w:hint="eastAsia" w:ascii="仿宋" w:hAnsi="仿宋" w:eastAsia="仿宋" w:cs="仿宋"/>
                <w:bCs/>
                <w:sz w:val="24"/>
                <w:szCs w:val="24"/>
              </w:rPr>
            </w:pPr>
            <w:r>
              <w:rPr>
                <w:rFonts w:hint="eastAsia" w:ascii="仿宋" w:hAnsi="仿宋" w:eastAsia="仿宋" w:cs="仿宋"/>
                <w:bCs/>
                <w:sz w:val="24"/>
                <w:szCs w:val="24"/>
              </w:rPr>
              <w:t>符合磋商文件要求并附有所有相应表格</w:t>
            </w:r>
          </w:p>
        </w:tc>
      </w:tr>
      <w:tr w14:paraId="6F0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Merge w:val="restart"/>
            <w:tcBorders>
              <w:top w:val="nil"/>
            </w:tcBorders>
            <w:vAlign w:val="center"/>
          </w:tcPr>
          <w:p w14:paraId="21939B6B">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60" w:type="dxa"/>
            <w:vMerge w:val="restart"/>
            <w:tcBorders>
              <w:top w:val="nil"/>
              <w:left w:val="nil"/>
            </w:tcBorders>
            <w:vAlign w:val="center"/>
          </w:tcPr>
          <w:p w14:paraId="6ABC2275">
            <w:pPr>
              <w:spacing w:line="360" w:lineRule="auto"/>
              <w:jc w:val="center"/>
              <w:rPr>
                <w:rFonts w:ascii="仿宋" w:hAnsi="仿宋" w:eastAsia="仿宋" w:cs="仿宋"/>
                <w:sz w:val="24"/>
                <w:szCs w:val="24"/>
              </w:rPr>
            </w:pPr>
            <w:r>
              <w:rPr>
                <w:rFonts w:hint="eastAsia" w:ascii="仿宋" w:hAnsi="仿宋" w:eastAsia="仿宋" w:cs="仿宋"/>
                <w:sz w:val="24"/>
                <w:szCs w:val="24"/>
              </w:rPr>
              <w:t>资格评审标准</w:t>
            </w:r>
          </w:p>
        </w:tc>
        <w:tc>
          <w:tcPr>
            <w:tcW w:w="2364" w:type="dxa"/>
            <w:tcBorders>
              <w:left w:val="nil"/>
            </w:tcBorders>
            <w:vAlign w:val="center"/>
          </w:tcPr>
          <w:p w14:paraId="7C41264C">
            <w:pPr>
              <w:spacing w:line="360" w:lineRule="exact"/>
              <w:rPr>
                <w:rFonts w:hint="eastAsia" w:ascii="仿宋" w:hAnsi="仿宋" w:eastAsia="仿宋" w:cs="仿宋"/>
                <w:bCs/>
                <w:sz w:val="24"/>
                <w:szCs w:val="24"/>
              </w:rPr>
            </w:pPr>
            <w:r>
              <w:rPr>
                <w:rFonts w:hint="eastAsia" w:ascii="仿宋" w:hAnsi="仿宋" w:eastAsia="仿宋" w:cs="仿宋"/>
                <w:bCs/>
                <w:sz w:val="24"/>
                <w:szCs w:val="24"/>
              </w:rPr>
              <w:t>法定代表人身份证明书、授权委托书</w:t>
            </w:r>
          </w:p>
        </w:tc>
        <w:tc>
          <w:tcPr>
            <w:tcW w:w="5354" w:type="dxa"/>
            <w:tcBorders>
              <w:left w:val="nil"/>
            </w:tcBorders>
          </w:tcPr>
          <w:p w14:paraId="4D01C57E">
            <w:pPr>
              <w:spacing w:line="360" w:lineRule="exact"/>
              <w:rPr>
                <w:rFonts w:hint="eastAsia" w:ascii="仿宋" w:hAnsi="仿宋" w:eastAsia="仿宋" w:cs="仿宋"/>
                <w:bCs/>
                <w:sz w:val="24"/>
                <w:szCs w:val="24"/>
              </w:rPr>
            </w:pPr>
            <w:r>
              <w:rPr>
                <w:rFonts w:hint="eastAsia" w:ascii="仿宋" w:hAnsi="仿宋" w:eastAsia="仿宋" w:cs="仿宋"/>
                <w:bCs/>
                <w:sz w:val="24"/>
                <w:szCs w:val="24"/>
              </w:rPr>
              <w:t>供应商法定代表人参加的，必须提供法定代表人身份证明及法定代表人本人身份证原件扫描件（格式详见第七章）；非法定代表人参加的，必须提供法定代表人签字或盖章的授权委托书及法定代表人、被授权人的两人身份证的原件扫描件（格式详见第五章）；</w:t>
            </w:r>
          </w:p>
        </w:tc>
      </w:tr>
      <w:tr w14:paraId="64E3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6" w:type="dxa"/>
            <w:vMerge w:val="continue"/>
            <w:vAlign w:val="center"/>
          </w:tcPr>
          <w:p w14:paraId="5BEE1B9A">
            <w:pPr>
              <w:widowControl/>
              <w:spacing w:line="360" w:lineRule="auto"/>
              <w:ind w:left="695"/>
              <w:jc w:val="left"/>
              <w:rPr>
                <w:rFonts w:ascii="仿宋" w:hAnsi="仿宋" w:eastAsia="仿宋" w:cs="仿宋"/>
                <w:sz w:val="24"/>
                <w:szCs w:val="24"/>
              </w:rPr>
            </w:pPr>
          </w:p>
        </w:tc>
        <w:tc>
          <w:tcPr>
            <w:tcW w:w="960" w:type="dxa"/>
            <w:vMerge w:val="continue"/>
            <w:tcBorders>
              <w:left w:val="nil"/>
            </w:tcBorders>
            <w:vAlign w:val="center"/>
          </w:tcPr>
          <w:p w14:paraId="58A54E7D">
            <w:pPr>
              <w:widowControl/>
              <w:spacing w:line="360" w:lineRule="auto"/>
              <w:ind w:left="695"/>
              <w:jc w:val="left"/>
              <w:rPr>
                <w:rFonts w:ascii="仿宋" w:hAnsi="仿宋" w:eastAsia="仿宋" w:cs="仿宋"/>
                <w:sz w:val="24"/>
                <w:szCs w:val="24"/>
              </w:rPr>
            </w:pPr>
          </w:p>
        </w:tc>
        <w:tc>
          <w:tcPr>
            <w:tcW w:w="2364" w:type="dxa"/>
            <w:tcBorders>
              <w:left w:val="nil"/>
            </w:tcBorders>
            <w:vAlign w:val="center"/>
          </w:tcPr>
          <w:p w14:paraId="6D5D112B">
            <w:pPr>
              <w:spacing w:line="360" w:lineRule="exact"/>
              <w:rPr>
                <w:rFonts w:hint="eastAsia" w:ascii="仿宋" w:hAnsi="仿宋" w:eastAsia="仿宋" w:cs="仿宋"/>
                <w:bCs/>
                <w:sz w:val="24"/>
                <w:szCs w:val="24"/>
              </w:rPr>
            </w:pPr>
            <w:r>
              <w:rPr>
                <w:rFonts w:hint="eastAsia" w:ascii="仿宋" w:hAnsi="仿宋" w:eastAsia="仿宋" w:cs="仿宋"/>
                <w:bCs/>
                <w:sz w:val="24"/>
                <w:szCs w:val="24"/>
              </w:rPr>
              <w:t>声明函</w:t>
            </w:r>
          </w:p>
        </w:tc>
        <w:tc>
          <w:tcPr>
            <w:tcW w:w="5354" w:type="dxa"/>
            <w:tcBorders>
              <w:left w:val="nil"/>
            </w:tcBorders>
          </w:tcPr>
          <w:p w14:paraId="18EAE409">
            <w:pPr>
              <w:spacing w:line="360" w:lineRule="exact"/>
              <w:rPr>
                <w:rFonts w:hint="eastAsia" w:ascii="仿宋" w:hAnsi="仿宋" w:eastAsia="仿宋" w:cs="仿宋"/>
                <w:bCs/>
                <w:sz w:val="24"/>
                <w:szCs w:val="24"/>
              </w:rPr>
            </w:pPr>
            <w:r>
              <w:rPr>
                <w:rFonts w:hint="eastAsia" w:ascii="仿宋" w:hAnsi="仿宋" w:eastAsia="仿宋" w:cs="仿宋"/>
                <w:bCs/>
                <w:sz w:val="24"/>
                <w:szCs w:val="24"/>
              </w:rPr>
              <w:t>磋商供应商符合《政府采购法》第二十二条规定条件的声明函（按磋商文件后附格式）；</w:t>
            </w:r>
          </w:p>
        </w:tc>
      </w:tr>
      <w:tr w14:paraId="1893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6" w:type="dxa"/>
            <w:vMerge w:val="continue"/>
            <w:vAlign w:val="center"/>
          </w:tcPr>
          <w:p w14:paraId="76588C2E">
            <w:pPr>
              <w:widowControl/>
              <w:spacing w:line="360" w:lineRule="auto"/>
              <w:ind w:left="695"/>
              <w:jc w:val="left"/>
              <w:rPr>
                <w:rFonts w:ascii="仿宋" w:hAnsi="仿宋" w:eastAsia="仿宋" w:cs="仿宋"/>
                <w:sz w:val="24"/>
                <w:szCs w:val="24"/>
              </w:rPr>
            </w:pPr>
          </w:p>
        </w:tc>
        <w:tc>
          <w:tcPr>
            <w:tcW w:w="960" w:type="dxa"/>
            <w:vMerge w:val="continue"/>
            <w:tcBorders>
              <w:left w:val="nil"/>
            </w:tcBorders>
            <w:vAlign w:val="center"/>
          </w:tcPr>
          <w:p w14:paraId="3E313B2B">
            <w:pPr>
              <w:widowControl/>
              <w:spacing w:line="360" w:lineRule="auto"/>
              <w:ind w:left="695"/>
              <w:jc w:val="left"/>
              <w:rPr>
                <w:rFonts w:ascii="仿宋" w:hAnsi="仿宋" w:eastAsia="仿宋" w:cs="仿宋"/>
                <w:sz w:val="24"/>
                <w:szCs w:val="24"/>
              </w:rPr>
            </w:pPr>
          </w:p>
        </w:tc>
        <w:tc>
          <w:tcPr>
            <w:tcW w:w="2364" w:type="dxa"/>
            <w:tcBorders>
              <w:left w:val="nil"/>
            </w:tcBorders>
            <w:vAlign w:val="center"/>
          </w:tcPr>
          <w:p w14:paraId="02C7D8FC">
            <w:pPr>
              <w:spacing w:line="360" w:lineRule="exact"/>
              <w:rPr>
                <w:rFonts w:hint="eastAsia" w:ascii="仿宋" w:hAnsi="仿宋" w:eastAsia="仿宋" w:cs="仿宋"/>
                <w:bCs/>
                <w:sz w:val="24"/>
                <w:szCs w:val="24"/>
              </w:rPr>
            </w:pPr>
            <w:r>
              <w:rPr>
                <w:rFonts w:hint="eastAsia" w:ascii="仿宋" w:hAnsi="仿宋" w:eastAsia="仿宋" w:cs="仿宋"/>
                <w:bCs/>
                <w:sz w:val="24"/>
                <w:szCs w:val="24"/>
              </w:rPr>
              <w:t>营业执照</w:t>
            </w:r>
          </w:p>
        </w:tc>
        <w:tc>
          <w:tcPr>
            <w:tcW w:w="5354" w:type="dxa"/>
            <w:tcBorders>
              <w:left w:val="nil"/>
            </w:tcBorders>
          </w:tcPr>
          <w:p w14:paraId="6696098C">
            <w:pPr>
              <w:spacing w:line="360" w:lineRule="exact"/>
              <w:rPr>
                <w:rFonts w:hint="eastAsia" w:ascii="仿宋" w:hAnsi="仿宋" w:eastAsia="仿宋" w:cs="仿宋"/>
                <w:bCs/>
                <w:sz w:val="24"/>
                <w:szCs w:val="24"/>
              </w:rPr>
            </w:pPr>
            <w:r>
              <w:rPr>
                <w:rFonts w:hint="eastAsia" w:ascii="仿宋" w:hAnsi="仿宋" w:eastAsia="仿宋" w:cs="仿宋"/>
                <w:bCs/>
                <w:sz w:val="24"/>
                <w:szCs w:val="24"/>
              </w:rPr>
              <w:t>供应商具有独立承担民事责任能力，提供法人或者其他组织的营业执照等证明文件。</w:t>
            </w:r>
          </w:p>
        </w:tc>
      </w:tr>
      <w:tr w14:paraId="7375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6" w:type="dxa"/>
            <w:vMerge w:val="continue"/>
            <w:vAlign w:val="center"/>
          </w:tcPr>
          <w:p w14:paraId="4A0F0273">
            <w:pPr>
              <w:widowControl/>
              <w:spacing w:line="360" w:lineRule="auto"/>
              <w:ind w:left="695"/>
              <w:jc w:val="left"/>
              <w:rPr>
                <w:rFonts w:ascii="仿宋" w:hAnsi="仿宋" w:eastAsia="仿宋" w:cs="仿宋"/>
                <w:sz w:val="24"/>
                <w:szCs w:val="24"/>
              </w:rPr>
            </w:pPr>
          </w:p>
        </w:tc>
        <w:tc>
          <w:tcPr>
            <w:tcW w:w="960" w:type="dxa"/>
            <w:vMerge w:val="continue"/>
            <w:tcBorders>
              <w:left w:val="nil"/>
            </w:tcBorders>
            <w:vAlign w:val="center"/>
          </w:tcPr>
          <w:p w14:paraId="7F98CA58">
            <w:pPr>
              <w:widowControl/>
              <w:spacing w:line="360" w:lineRule="auto"/>
              <w:ind w:left="695"/>
              <w:jc w:val="left"/>
              <w:rPr>
                <w:rFonts w:ascii="仿宋" w:hAnsi="仿宋" w:eastAsia="仿宋" w:cs="仿宋"/>
                <w:sz w:val="24"/>
                <w:szCs w:val="24"/>
              </w:rPr>
            </w:pPr>
          </w:p>
        </w:tc>
        <w:tc>
          <w:tcPr>
            <w:tcW w:w="2364" w:type="dxa"/>
            <w:tcBorders>
              <w:left w:val="nil"/>
            </w:tcBorders>
            <w:vAlign w:val="center"/>
          </w:tcPr>
          <w:p w14:paraId="27347660">
            <w:pPr>
              <w:spacing w:line="360" w:lineRule="exact"/>
              <w:rPr>
                <w:rFonts w:hint="eastAsia" w:ascii="仿宋" w:hAnsi="仿宋" w:eastAsia="仿宋" w:cs="仿宋"/>
                <w:bCs/>
                <w:sz w:val="24"/>
                <w:szCs w:val="24"/>
              </w:rPr>
            </w:pPr>
            <w:r>
              <w:rPr>
                <w:rFonts w:hint="eastAsia" w:ascii="仿宋" w:hAnsi="仿宋" w:eastAsia="仿宋" w:cs="仿宋"/>
                <w:bCs/>
                <w:sz w:val="24"/>
                <w:szCs w:val="24"/>
              </w:rPr>
              <w:t>磋商供应商未列入失信被执行人或重大税收违法案件当事人名单或政府采购严重失信行为记录名单的证明材料</w:t>
            </w:r>
          </w:p>
        </w:tc>
        <w:tc>
          <w:tcPr>
            <w:tcW w:w="5354" w:type="dxa"/>
            <w:tcBorders>
              <w:left w:val="nil"/>
            </w:tcBorders>
            <w:vAlign w:val="center"/>
          </w:tcPr>
          <w:p w14:paraId="54CBD0F9">
            <w:pPr>
              <w:spacing w:line="360" w:lineRule="exact"/>
              <w:rPr>
                <w:rFonts w:hint="eastAsia" w:ascii="仿宋" w:hAnsi="仿宋" w:eastAsia="仿宋" w:cs="仿宋"/>
                <w:bCs/>
                <w:sz w:val="24"/>
                <w:szCs w:val="24"/>
              </w:rPr>
            </w:pPr>
            <w:r>
              <w:rPr>
                <w:rFonts w:hint="eastAsia" w:ascii="仿宋" w:hAnsi="仿宋" w:eastAsia="仿宋" w:cs="仿宋"/>
                <w:bCs/>
                <w:sz w:val="24"/>
                <w:szCs w:val="24"/>
              </w:rPr>
              <w:t>响应供应商未被 “信用中国”网站列入失信被执行人或重大税收违法案件当事人名单或政府采购严重失信行为记录名单。或查询“信用中国”网站后未发现供应商存在其他不符合《中华人民共和国政府采购法》第二十二条规定条件的信用记录。为确保采购守法供应商公平参加采购活动，采购人将在开标开始后一个小时内，通过“信用中国”网站对供应商信用信息进行查询查证，并将查询记录截屏打印保存在采购档案内。如核实未通过，经磋商小组确认后资格审查不予通过；</w:t>
            </w:r>
          </w:p>
        </w:tc>
      </w:tr>
      <w:tr w14:paraId="4DA0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6" w:type="dxa"/>
            <w:vMerge w:val="continue"/>
            <w:vAlign w:val="center"/>
          </w:tcPr>
          <w:p w14:paraId="20DE46B3">
            <w:pPr>
              <w:widowControl/>
              <w:spacing w:line="360" w:lineRule="auto"/>
              <w:ind w:left="695"/>
              <w:jc w:val="left"/>
              <w:rPr>
                <w:rFonts w:ascii="仿宋" w:hAnsi="仿宋" w:eastAsia="仿宋" w:cs="仿宋"/>
                <w:sz w:val="24"/>
                <w:szCs w:val="24"/>
              </w:rPr>
            </w:pPr>
            <w:bookmarkStart w:id="95" w:name="_Hlk14941930"/>
          </w:p>
        </w:tc>
        <w:tc>
          <w:tcPr>
            <w:tcW w:w="960" w:type="dxa"/>
            <w:vMerge w:val="continue"/>
            <w:tcBorders>
              <w:left w:val="nil"/>
            </w:tcBorders>
            <w:vAlign w:val="center"/>
          </w:tcPr>
          <w:p w14:paraId="493D92BB">
            <w:pPr>
              <w:widowControl/>
              <w:spacing w:line="360" w:lineRule="auto"/>
              <w:ind w:left="695"/>
              <w:jc w:val="left"/>
              <w:rPr>
                <w:rFonts w:ascii="仿宋" w:hAnsi="仿宋" w:eastAsia="仿宋" w:cs="仿宋"/>
                <w:sz w:val="24"/>
                <w:szCs w:val="24"/>
              </w:rPr>
            </w:pPr>
          </w:p>
        </w:tc>
        <w:tc>
          <w:tcPr>
            <w:tcW w:w="2364" w:type="dxa"/>
            <w:tcBorders>
              <w:left w:val="nil"/>
            </w:tcBorders>
            <w:vAlign w:val="center"/>
          </w:tcPr>
          <w:p w14:paraId="599028EE">
            <w:pPr>
              <w:spacing w:line="360" w:lineRule="exact"/>
              <w:rPr>
                <w:rFonts w:hint="eastAsia" w:ascii="仿宋" w:hAnsi="仿宋" w:eastAsia="仿宋" w:cs="仿宋"/>
                <w:bCs/>
                <w:sz w:val="24"/>
                <w:szCs w:val="24"/>
              </w:rPr>
            </w:pPr>
            <w:r>
              <w:rPr>
                <w:rFonts w:hint="eastAsia" w:ascii="仿宋" w:hAnsi="仿宋" w:eastAsia="仿宋" w:cs="仿宋"/>
                <w:bCs/>
                <w:sz w:val="24"/>
                <w:szCs w:val="24"/>
              </w:rPr>
              <w:t>中小企业声明函</w:t>
            </w:r>
          </w:p>
        </w:tc>
        <w:tc>
          <w:tcPr>
            <w:tcW w:w="5354" w:type="dxa"/>
            <w:tcBorders>
              <w:left w:val="nil"/>
            </w:tcBorders>
            <w:vAlign w:val="center"/>
          </w:tcPr>
          <w:p w14:paraId="24B20A95">
            <w:pPr>
              <w:spacing w:line="360" w:lineRule="exact"/>
              <w:rPr>
                <w:rFonts w:hint="eastAsia" w:ascii="仿宋" w:hAnsi="仿宋" w:eastAsia="仿宋" w:cs="仿宋"/>
                <w:bCs/>
                <w:sz w:val="24"/>
                <w:szCs w:val="24"/>
              </w:rPr>
            </w:pPr>
            <w:r>
              <w:rPr>
                <w:rFonts w:hint="eastAsia" w:ascii="仿宋" w:hAnsi="仿宋" w:eastAsia="仿宋" w:cs="仿宋"/>
                <w:bCs/>
                <w:sz w:val="24"/>
                <w:szCs w:val="24"/>
              </w:rPr>
              <w:t>本项目为专门面向中小微企业采购项目（须按照财库〔2020〕46号文要求提供中小企业声明函，格式见附件）。</w:t>
            </w:r>
          </w:p>
        </w:tc>
      </w:tr>
      <w:tr w14:paraId="4BA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4" w:type="dxa"/>
            <w:gridSpan w:val="4"/>
            <w:vAlign w:val="center"/>
          </w:tcPr>
          <w:p w14:paraId="5A04881D">
            <w:pPr>
              <w:ind w:firstLine="241"/>
              <w:rPr>
                <w:rFonts w:ascii="仿宋" w:hAnsi="仿宋" w:eastAsia="仿宋" w:cs="仿宋"/>
                <w:b/>
                <w:bCs/>
                <w:sz w:val="24"/>
                <w:szCs w:val="24"/>
              </w:rPr>
            </w:pPr>
            <w:r>
              <w:rPr>
                <w:rFonts w:hint="eastAsia" w:ascii="仿宋" w:hAnsi="仿宋" w:eastAsia="仿宋" w:cs="仿宋"/>
                <w:b/>
                <w:bCs/>
                <w:sz w:val="24"/>
                <w:szCs w:val="24"/>
              </w:rPr>
              <w:t>上述条款资格评审标准的递交资料需提供清晰的原件扫描件并加盖响应单位公章；以上资格评审标准评审标等相关内容不清晰或资料不全的或不符合要求的，由此引起的后果由供应商自负。</w:t>
            </w:r>
          </w:p>
          <w:p w14:paraId="62D674A3">
            <w:pPr>
              <w:ind w:firstLine="241"/>
              <w:rPr>
                <w:rFonts w:ascii="仿宋" w:hAnsi="仿宋" w:eastAsia="仿宋" w:cs="仿宋"/>
                <w:sz w:val="24"/>
                <w:szCs w:val="24"/>
              </w:rPr>
            </w:pPr>
            <w:r>
              <w:rPr>
                <w:rFonts w:hint="eastAsia" w:ascii="仿宋" w:hAnsi="仿宋" w:eastAsia="仿宋" w:cs="仿宋"/>
                <w:b/>
                <w:bCs/>
                <w:sz w:val="24"/>
                <w:szCs w:val="24"/>
              </w:rPr>
              <w:t>注：通过形式评审和资格审查的响应供应商可进入以下评审(资格审查不合格的响应供应商不得进入本项目商务技术标和报价标的综合评审阶段)。</w:t>
            </w:r>
            <w:bookmarkEnd w:id="94"/>
            <w:bookmarkEnd w:id="95"/>
          </w:p>
        </w:tc>
      </w:tr>
    </w:tbl>
    <w:p w14:paraId="1F25F172">
      <w:pPr>
        <w:pStyle w:val="19"/>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七、磋商小组对符合资格供应商的响应文件进行符合性审查。</w:t>
      </w:r>
    </w:p>
    <w:p w14:paraId="434382E0">
      <w:pPr>
        <w:spacing w:line="360" w:lineRule="auto"/>
        <w:jc w:val="center"/>
        <w:rPr>
          <w:rFonts w:ascii="仿宋" w:hAnsi="仿宋" w:eastAsia="仿宋" w:cs="仿宋"/>
          <w:b/>
          <w:sz w:val="24"/>
          <w:szCs w:val="24"/>
          <w:lang w:eastAsia="en-US"/>
        </w:rPr>
      </w:pPr>
      <w:r>
        <w:rPr>
          <w:rFonts w:hint="eastAsia" w:ascii="仿宋" w:hAnsi="仿宋" w:eastAsia="仿宋" w:cs="仿宋"/>
          <w:b/>
          <w:sz w:val="24"/>
          <w:szCs w:val="24"/>
          <w:lang w:eastAsia="en-US"/>
        </w:rPr>
        <w:t>符合性审查要求</w:t>
      </w:r>
    </w:p>
    <w:tbl>
      <w:tblPr>
        <w:tblStyle w:val="13"/>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9"/>
      </w:tblGrid>
      <w:tr w14:paraId="32AE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69" w:type="dxa"/>
            <w:tcBorders>
              <w:top w:val="single" w:color="auto" w:sz="4" w:space="0"/>
              <w:left w:val="single" w:color="auto" w:sz="4" w:space="0"/>
              <w:bottom w:val="single" w:color="auto" w:sz="4" w:space="0"/>
              <w:right w:val="single" w:color="auto" w:sz="4" w:space="0"/>
            </w:tcBorders>
            <w:vAlign w:val="center"/>
          </w:tcPr>
          <w:p w14:paraId="64A4418A">
            <w:pPr>
              <w:spacing w:line="360" w:lineRule="auto"/>
              <w:ind w:left="695"/>
              <w:jc w:val="center"/>
              <w:rPr>
                <w:rFonts w:ascii="仿宋" w:hAnsi="仿宋" w:eastAsia="仿宋" w:cs="仿宋"/>
                <w:sz w:val="24"/>
                <w:szCs w:val="24"/>
                <w:lang w:val="zh-CN"/>
              </w:rPr>
            </w:pPr>
            <w:r>
              <w:rPr>
                <w:rFonts w:hint="eastAsia" w:ascii="仿宋" w:hAnsi="仿宋" w:eastAsia="仿宋" w:cs="仿宋"/>
                <w:sz w:val="24"/>
                <w:szCs w:val="24"/>
                <w:lang w:val="zh-CN"/>
              </w:rPr>
              <w:t>没有《竞争性磋商文件》不允许的附加条件。</w:t>
            </w:r>
          </w:p>
        </w:tc>
      </w:tr>
      <w:tr w14:paraId="08C6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69" w:type="dxa"/>
            <w:tcBorders>
              <w:top w:val="single" w:color="auto" w:sz="4" w:space="0"/>
              <w:left w:val="single" w:color="auto" w:sz="4" w:space="0"/>
              <w:bottom w:val="single" w:color="auto" w:sz="4" w:space="0"/>
              <w:right w:val="single" w:color="auto" w:sz="4" w:space="0"/>
            </w:tcBorders>
            <w:vAlign w:val="center"/>
          </w:tcPr>
          <w:p w14:paraId="585B3741">
            <w:pPr>
              <w:spacing w:line="360" w:lineRule="auto"/>
              <w:ind w:left="695"/>
              <w:jc w:val="center"/>
              <w:rPr>
                <w:rFonts w:ascii="仿宋" w:hAnsi="仿宋" w:eastAsia="仿宋" w:cs="仿宋"/>
                <w:sz w:val="24"/>
                <w:szCs w:val="24"/>
                <w:lang w:val="zh-CN"/>
              </w:rPr>
            </w:pPr>
            <w:r>
              <w:rPr>
                <w:rFonts w:hint="eastAsia" w:ascii="仿宋" w:hAnsi="仿宋" w:eastAsia="仿宋" w:cs="仿宋"/>
                <w:b/>
                <w:bCs/>
                <w:sz w:val="24"/>
                <w:szCs w:val="24"/>
                <w:lang w:val="zh-CN"/>
              </w:rPr>
              <w:t>满足《竞争性磋商文件》以“★”标明的全部实质性条款要求。</w:t>
            </w:r>
          </w:p>
        </w:tc>
      </w:tr>
      <w:tr w14:paraId="696F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69" w:type="dxa"/>
            <w:tcBorders>
              <w:top w:val="single" w:color="auto" w:sz="4" w:space="0"/>
              <w:left w:val="single" w:color="auto" w:sz="4" w:space="0"/>
              <w:bottom w:val="single" w:color="auto" w:sz="4" w:space="0"/>
              <w:right w:val="single" w:color="auto" w:sz="4" w:space="0"/>
            </w:tcBorders>
            <w:vAlign w:val="center"/>
          </w:tcPr>
          <w:p w14:paraId="24C2BC57">
            <w:pPr>
              <w:spacing w:line="360" w:lineRule="auto"/>
              <w:ind w:left="695"/>
              <w:jc w:val="center"/>
              <w:rPr>
                <w:rFonts w:ascii="仿宋" w:hAnsi="仿宋" w:eastAsia="仿宋" w:cs="仿宋"/>
                <w:sz w:val="24"/>
                <w:szCs w:val="24"/>
              </w:rPr>
            </w:pPr>
            <w:r>
              <w:rPr>
                <w:rFonts w:hint="eastAsia" w:ascii="仿宋" w:hAnsi="仿宋" w:eastAsia="仿宋" w:cs="仿宋"/>
                <w:b/>
                <w:bCs/>
                <w:sz w:val="24"/>
                <w:szCs w:val="24"/>
                <w:lang w:val="zh-CN"/>
              </w:rPr>
              <w:t>按《竞争性磋商文件》要求</w:t>
            </w:r>
            <w:r>
              <w:rPr>
                <w:rFonts w:hint="eastAsia" w:ascii="仿宋" w:hAnsi="仿宋" w:eastAsia="仿宋" w:cs="仿宋"/>
                <w:b/>
                <w:bCs/>
                <w:sz w:val="24"/>
                <w:szCs w:val="24"/>
              </w:rPr>
              <w:t>提供承诺书（如有）</w:t>
            </w:r>
            <w:r>
              <w:rPr>
                <w:rFonts w:hint="eastAsia" w:ascii="仿宋" w:hAnsi="仿宋" w:eastAsia="仿宋" w:cs="仿宋"/>
                <w:sz w:val="24"/>
                <w:szCs w:val="24"/>
                <w:lang w:val="zh-CN"/>
              </w:rPr>
              <w:t>。</w:t>
            </w:r>
          </w:p>
        </w:tc>
      </w:tr>
      <w:tr w14:paraId="6E58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69" w:type="dxa"/>
            <w:tcBorders>
              <w:top w:val="single" w:color="auto" w:sz="4" w:space="0"/>
              <w:left w:val="single" w:color="auto" w:sz="4" w:space="0"/>
              <w:bottom w:val="single" w:color="auto" w:sz="4" w:space="0"/>
              <w:right w:val="single" w:color="auto" w:sz="4" w:space="0"/>
            </w:tcBorders>
            <w:vAlign w:val="center"/>
          </w:tcPr>
          <w:p w14:paraId="1E34539F">
            <w:pPr>
              <w:spacing w:line="360" w:lineRule="auto"/>
              <w:ind w:left="695"/>
              <w:jc w:val="center"/>
              <w:rPr>
                <w:rFonts w:ascii="仿宋" w:hAnsi="仿宋" w:eastAsia="仿宋" w:cs="仿宋"/>
                <w:sz w:val="24"/>
                <w:szCs w:val="24"/>
                <w:lang w:val="zh-CN"/>
              </w:rPr>
            </w:pPr>
            <w:r>
              <w:rPr>
                <w:rFonts w:hint="eastAsia" w:ascii="仿宋" w:hAnsi="仿宋" w:eastAsia="仿宋" w:cs="仿宋"/>
                <w:sz w:val="24"/>
                <w:szCs w:val="24"/>
                <w:lang w:val="zh-CN"/>
              </w:rPr>
              <w:t>没有无效投标条款。</w:t>
            </w:r>
          </w:p>
        </w:tc>
      </w:tr>
      <w:tr w14:paraId="48EB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369" w:type="dxa"/>
            <w:tcBorders>
              <w:top w:val="single" w:color="auto" w:sz="4" w:space="0"/>
              <w:left w:val="single" w:color="auto" w:sz="4" w:space="0"/>
              <w:bottom w:val="single" w:color="auto" w:sz="4" w:space="0"/>
              <w:right w:val="single" w:color="auto" w:sz="4" w:space="0"/>
            </w:tcBorders>
            <w:vAlign w:val="center"/>
          </w:tcPr>
          <w:p w14:paraId="36159D5F">
            <w:pPr>
              <w:spacing w:line="360" w:lineRule="auto"/>
              <w:ind w:left="695"/>
              <w:jc w:val="center"/>
              <w:rPr>
                <w:rFonts w:ascii="仿宋" w:hAnsi="仿宋" w:eastAsia="仿宋" w:cs="仿宋"/>
                <w:sz w:val="24"/>
                <w:szCs w:val="24"/>
                <w:lang w:val="zh-CN"/>
              </w:rPr>
            </w:pPr>
            <w:r>
              <w:rPr>
                <w:rFonts w:hint="eastAsia" w:ascii="仿宋" w:hAnsi="仿宋" w:eastAsia="仿宋" w:cs="仿宋"/>
                <w:sz w:val="24"/>
                <w:szCs w:val="24"/>
                <w:lang w:val="zh-CN"/>
              </w:rPr>
              <w:t>没有串通投标情形。</w:t>
            </w:r>
          </w:p>
        </w:tc>
      </w:tr>
    </w:tbl>
    <w:p w14:paraId="72A44404">
      <w:pPr>
        <w:pStyle w:val="19"/>
        <w:spacing w:line="360" w:lineRule="auto"/>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lang w:val="zh-CN"/>
        </w:rPr>
        <w:t>本磋商文件有“★”标明的条款，请各供应商仔细研读且作为符合性审查要求，未通过符合性审查的响应文件，经磋商小组核实将被判为不满足竞争性磋商文件实质性要求，</w:t>
      </w:r>
      <w:r>
        <w:rPr>
          <w:rFonts w:hint="eastAsia" w:ascii="仿宋" w:hAnsi="仿宋" w:eastAsia="仿宋" w:cs="仿宋"/>
          <w:b/>
          <w:bCs/>
          <w:sz w:val="24"/>
          <w:szCs w:val="24"/>
          <w:u w:val="single"/>
        </w:rPr>
        <w:t>作无效响应处理。</w:t>
      </w:r>
    </w:p>
    <w:p w14:paraId="337F2D66">
      <w:pPr>
        <w:pStyle w:val="19"/>
        <w:numPr>
          <w:ilvl w:val="0"/>
          <w:numId w:val="0"/>
        </w:numPr>
        <w:spacing w:line="360" w:lineRule="auto"/>
        <w:ind w:left="0" w:leftChars="0" w:firstLine="0" w:firstLineChars="0"/>
        <w:rPr>
          <w:rFonts w:hint="eastAsia" w:ascii="仿宋" w:hAnsi="仿宋" w:eastAsia="仿宋" w:cs="仿宋"/>
          <w:b/>
          <w:sz w:val="24"/>
          <w:szCs w:val="24"/>
          <w:lang w:eastAsia="en-US"/>
        </w:rPr>
      </w:pPr>
      <w:r>
        <w:rPr>
          <w:rFonts w:hint="eastAsia" w:ascii="仿宋" w:hAnsi="仿宋" w:eastAsia="仿宋" w:cs="仿宋"/>
          <w:b/>
          <w:sz w:val="24"/>
          <w:szCs w:val="24"/>
          <w:lang w:val="en-US" w:eastAsia="en-US" w:bidi="ar-SA"/>
        </w:rPr>
        <w:t>八、</w:t>
      </w:r>
      <w:r>
        <w:rPr>
          <w:rFonts w:hint="eastAsia" w:ascii="仿宋" w:hAnsi="仿宋" w:eastAsia="仿宋" w:cs="仿宋"/>
          <w:b/>
          <w:sz w:val="24"/>
          <w:szCs w:val="24"/>
          <w:lang w:eastAsia="en-US"/>
        </w:rPr>
        <w:t>综合评分评审标准</w:t>
      </w:r>
    </w:p>
    <w:p w14:paraId="32D34B65">
      <w:pPr>
        <w:keepNext w:val="0"/>
        <w:keepLines w:val="0"/>
        <w:pageBreakBefore w:val="0"/>
        <w:shd w:val="clear" w:color="auto"/>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商务技术标85分</w:t>
      </w:r>
      <w:r>
        <w:rPr>
          <w:rFonts w:hint="eastAsia" w:ascii="仿宋" w:hAnsi="仿宋" w:eastAsia="仿宋" w:cs="仿宋"/>
          <w:b/>
          <w:bCs/>
          <w:sz w:val="24"/>
          <w:szCs w:val="24"/>
          <w:lang w:val="en-US" w:eastAsia="zh-CN"/>
        </w:rPr>
        <w:t>（商务</w:t>
      </w:r>
      <w:r>
        <w:rPr>
          <w:rFonts w:hint="eastAsia" w:ascii="仿宋" w:hAnsi="仿宋" w:eastAsia="仿宋" w:cs="仿宋"/>
          <w:b/>
          <w:bCs/>
          <w:sz w:val="24"/>
          <w:szCs w:val="24"/>
        </w:rPr>
        <w:t>技术分按算术平均值计算。分值小数点后保留两位。</w:t>
      </w:r>
      <w:r>
        <w:rPr>
          <w:rFonts w:hint="eastAsia" w:ascii="仿宋" w:hAnsi="仿宋" w:eastAsia="仿宋" w:cs="仿宋"/>
          <w:b/>
          <w:bCs/>
          <w:sz w:val="24"/>
          <w:szCs w:val="24"/>
          <w:lang w:val="en-US" w:eastAsia="zh-CN"/>
        </w:rPr>
        <w:t>）</w:t>
      </w:r>
    </w:p>
    <w:tbl>
      <w:tblPr>
        <w:tblStyle w:val="13"/>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5"/>
        <w:gridCol w:w="1218"/>
        <w:gridCol w:w="7110"/>
      </w:tblGrid>
      <w:tr w14:paraId="5E5F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28" w:type="pct"/>
            <w:shd w:val="clear" w:color="auto" w:fill="auto"/>
            <w:noWrap/>
            <w:vAlign w:val="center"/>
          </w:tcPr>
          <w:p w14:paraId="218AC49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序号</w:t>
            </w:r>
          </w:p>
        </w:tc>
        <w:tc>
          <w:tcPr>
            <w:tcW w:w="683" w:type="pct"/>
            <w:shd w:val="clear" w:color="auto" w:fill="auto"/>
            <w:noWrap/>
            <w:vAlign w:val="center"/>
          </w:tcPr>
          <w:p w14:paraId="6C1A933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评分因素</w:t>
            </w:r>
          </w:p>
        </w:tc>
        <w:tc>
          <w:tcPr>
            <w:tcW w:w="3988" w:type="pct"/>
            <w:shd w:val="clear" w:color="auto" w:fill="auto"/>
            <w:noWrap/>
            <w:vAlign w:val="center"/>
          </w:tcPr>
          <w:p w14:paraId="17C5465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评分标准</w:t>
            </w:r>
          </w:p>
        </w:tc>
      </w:tr>
      <w:tr w14:paraId="5425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jc w:val="center"/>
        </w:trPr>
        <w:tc>
          <w:tcPr>
            <w:tcW w:w="328" w:type="pct"/>
            <w:shd w:val="clear" w:color="auto" w:fill="auto"/>
            <w:noWrap/>
            <w:vAlign w:val="center"/>
          </w:tcPr>
          <w:p w14:paraId="19343A65">
            <w:pPr>
              <w:widowControl/>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bidi="ar"/>
              </w:rPr>
              <w:t>1</w:t>
            </w:r>
          </w:p>
        </w:tc>
        <w:tc>
          <w:tcPr>
            <w:tcW w:w="4671" w:type="pct"/>
            <w:gridSpan w:val="2"/>
            <w:shd w:val="clear" w:color="auto" w:fill="auto"/>
            <w:noWrap/>
            <w:vAlign w:val="center"/>
          </w:tcPr>
          <w:p w14:paraId="2E7B49A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技术方案（50分）</w:t>
            </w:r>
          </w:p>
        </w:tc>
      </w:tr>
      <w:tr w14:paraId="573C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27FA451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.1</w:t>
            </w:r>
          </w:p>
        </w:tc>
        <w:tc>
          <w:tcPr>
            <w:tcW w:w="683" w:type="pct"/>
            <w:shd w:val="clear" w:color="auto" w:fill="auto"/>
            <w:vAlign w:val="center"/>
          </w:tcPr>
          <w:p w14:paraId="3ABA55D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需求分析（6分）</w:t>
            </w:r>
          </w:p>
        </w:tc>
        <w:tc>
          <w:tcPr>
            <w:tcW w:w="3988" w:type="pct"/>
            <w:shd w:val="clear" w:color="auto" w:fill="auto"/>
            <w:vAlign w:val="center"/>
          </w:tcPr>
          <w:p w14:paraId="229C929C">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文件要求提供需求分析</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bidi="ar"/>
              </w:rPr>
              <w:t>包括但不限于：</w:t>
            </w:r>
          </w:p>
          <w:p w14:paraId="745AD3CE">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eastAsia="zh-CN" w:bidi="ar"/>
              </w:rPr>
              <w:t>①</w:t>
            </w:r>
            <w:r>
              <w:rPr>
                <w:rFonts w:hint="eastAsia" w:ascii="仿宋" w:hAnsi="仿宋" w:eastAsia="仿宋" w:cs="仿宋"/>
                <w:color w:val="000000"/>
                <w:sz w:val="24"/>
                <w:szCs w:val="24"/>
                <w:lang w:bidi="ar"/>
              </w:rPr>
              <w:t>分析“能达E企通”的现状和问题；</w:t>
            </w:r>
            <w:r>
              <w:rPr>
                <w:rFonts w:hint="eastAsia" w:ascii="仿宋" w:hAnsi="仿宋" w:eastAsia="仿宋" w:cs="仿宋"/>
                <w:color w:val="000000"/>
                <w:sz w:val="24"/>
                <w:szCs w:val="24"/>
                <w:lang w:eastAsia="zh-CN" w:bidi="ar"/>
              </w:rPr>
              <w:t>②</w:t>
            </w:r>
            <w:r>
              <w:rPr>
                <w:rFonts w:hint="eastAsia" w:ascii="仿宋" w:hAnsi="仿宋" w:eastAsia="仿宋" w:cs="仿宋"/>
                <w:color w:val="000000"/>
                <w:sz w:val="24"/>
                <w:szCs w:val="24"/>
                <w:lang w:bidi="ar"/>
              </w:rPr>
              <w:t>分析高企业务的现状和痛点；</w:t>
            </w:r>
            <w:r>
              <w:rPr>
                <w:rFonts w:hint="eastAsia" w:ascii="仿宋" w:hAnsi="仿宋" w:eastAsia="仿宋" w:cs="仿宋"/>
                <w:color w:val="000000"/>
                <w:sz w:val="24"/>
                <w:szCs w:val="24"/>
                <w:lang w:eastAsia="zh-CN" w:bidi="ar"/>
              </w:rPr>
              <w:t>③</w:t>
            </w:r>
            <w:r>
              <w:rPr>
                <w:rFonts w:hint="eastAsia" w:ascii="仿宋" w:hAnsi="仿宋" w:eastAsia="仿宋" w:cs="仿宋"/>
                <w:color w:val="000000"/>
                <w:sz w:val="24"/>
                <w:szCs w:val="24"/>
                <w:lang w:bidi="ar"/>
              </w:rPr>
              <w:t>先进地区“AI+企业服务”、“AI高企服务”现状分析；</w:t>
            </w:r>
            <w:r>
              <w:rPr>
                <w:rFonts w:hint="eastAsia" w:ascii="仿宋" w:hAnsi="仿宋" w:eastAsia="仿宋" w:cs="仿宋"/>
                <w:color w:val="000000"/>
                <w:sz w:val="24"/>
                <w:szCs w:val="24"/>
                <w:lang w:eastAsia="zh-CN" w:bidi="ar"/>
              </w:rPr>
              <w:t>④</w:t>
            </w:r>
            <w:r>
              <w:rPr>
                <w:rFonts w:hint="eastAsia" w:ascii="仿宋" w:hAnsi="仿宋" w:eastAsia="仿宋" w:cs="仿宋"/>
                <w:color w:val="000000"/>
                <w:sz w:val="24"/>
                <w:szCs w:val="24"/>
                <w:lang w:bidi="ar"/>
              </w:rPr>
              <w:t>本项目关键需求分析；</w:t>
            </w:r>
            <w:r>
              <w:rPr>
                <w:rFonts w:hint="eastAsia" w:ascii="仿宋" w:hAnsi="仿宋" w:eastAsia="仿宋" w:cs="仿宋"/>
                <w:color w:val="000000"/>
                <w:sz w:val="24"/>
                <w:szCs w:val="24"/>
                <w:lang w:eastAsia="zh-CN" w:bidi="ar"/>
              </w:rPr>
              <w:t>⑤</w:t>
            </w:r>
            <w:r>
              <w:rPr>
                <w:rFonts w:hint="eastAsia" w:ascii="仿宋" w:hAnsi="仿宋" w:eastAsia="仿宋" w:cs="仿宋"/>
                <w:color w:val="000000"/>
                <w:sz w:val="24"/>
                <w:szCs w:val="24"/>
                <w:lang w:bidi="ar"/>
              </w:rPr>
              <w:t>分析本项目建设的重点难点等。</w:t>
            </w:r>
          </w:p>
          <w:p w14:paraId="42D2CCC1">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内容完善合理、专业性强、可操作性好的得6分；</w:t>
            </w:r>
          </w:p>
          <w:p w14:paraId="060FFAF5">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内容比较完善、专业性较好、可操作性较好的得4分；</w:t>
            </w:r>
          </w:p>
          <w:p w14:paraId="21D39DFA">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内容不够完善合理、专业性不强、可操作性不高的得2分；</w:t>
            </w:r>
          </w:p>
          <w:p w14:paraId="630A0CBE">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无此内容或要求内容缺失的不得分。</w:t>
            </w:r>
          </w:p>
        </w:tc>
      </w:tr>
      <w:tr w14:paraId="4AD6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6033881D">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.2</w:t>
            </w:r>
          </w:p>
        </w:tc>
        <w:tc>
          <w:tcPr>
            <w:tcW w:w="683" w:type="pct"/>
            <w:shd w:val="clear" w:color="auto" w:fill="auto"/>
            <w:vAlign w:val="center"/>
          </w:tcPr>
          <w:p w14:paraId="6CD7101B">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“1+N”AI企业服务总体设计方案</w:t>
            </w:r>
          </w:p>
          <w:p w14:paraId="26886E8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（7分）</w:t>
            </w:r>
          </w:p>
        </w:tc>
        <w:tc>
          <w:tcPr>
            <w:tcW w:w="3988" w:type="pct"/>
            <w:shd w:val="clear" w:color="auto" w:fill="auto"/>
            <w:vAlign w:val="center"/>
          </w:tcPr>
          <w:p w14:paraId="4E37293A">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6AB94036">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①“1+N”AI企业服务体系顶层设计；②“1+N"多智能体协同服务关键技术设计；③AI企业服务总入口形象设计；④“AI+”场景应用接入规范总体设计。</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内容完善合理、专业性强、可操作性好的得7分；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内容比较完善、专业性较好、可操作性较好的得5分；</w:t>
            </w:r>
          </w:p>
          <w:p w14:paraId="68914903">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内容不够完善合理、专业性不强、可操作性不高的得3分；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4154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46E1534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.3</w:t>
            </w:r>
          </w:p>
        </w:tc>
        <w:tc>
          <w:tcPr>
            <w:tcW w:w="683" w:type="pct"/>
            <w:shd w:val="clear" w:color="auto" w:fill="auto"/>
            <w:vAlign w:val="center"/>
          </w:tcPr>
          <w:p w14:paraId="627644D8">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“1+N”AI企业服务主智能体服务</w:t>
            </w:r>
          </w:p>
          <w:p w14:paraId="2B7E30F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（7分）</w:t>
            </w:r>
          </w:p>
        </w:tc>
        <w:tc>
          <w:tcPr>
            <w:tcW w:w="3988" w:type="pct"/>
            <w:shd w:val="clear" w:color="auto" w:fill="auto"/>
            <w:vAlign w:val="center"/>
          </w:tcPr>
          <w:p w14:paraId="4293D03C">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70766168">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①主智能体构建方案；②企业服务基础知识库建设方案；③“搜一搜”、“问一问”服务方案；④咨询效果调优服务方案。</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内容完善合理、专业性强、可操作性好的得7分；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内容比较完善、专业性较好、可操作性较好的得5分；</w:t>
            </w:r>
          </w:p>
          <w:p w14:paraId="604B2034">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内容不够完善合理、专业性不强、可操作性不高的得3分；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5E7A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584DE07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.4</w:t>
            </w:r>
          </w:p>
        </w:tc>
        <w:tc>
          <w:tcPr>
            <w:tcW w:w="683" w:type="pct"/>
            <w:shd w:val="clear" w:color="auto" w:fill="auto"/>
            <w:vAlign w:val="center"/>
          </w:tcPr>
          <w:p w14:paraId="1C852727">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AI高企服务</w:t>
            </w:r>
          </w:p>
          <w:p w14:paraId="78AB3FA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（6分）</w:t>
            </w:r>
          </w:p>
        </w:tc>
        <w:tc>
          <w:tcPr>
            <w:tcW w:w="3988" w:type="pct"/>
            <w:shd w:val="clear" w:color="auto" w:fill="auto"/>
            <w:vAlign w:val="center"/>
          </w:tcPr>
          <w:p w14:paraId="2991DCF2">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0AA8EFD4">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①AI高企服务应用构建方案；②高企专家咨询服务方案；③结合关键原型说明AI高企服务建成后的应用场景。</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内容完善合理、专业性强、可操作性好的得6分；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内容比较完善、专业性较好、可操作性较好的得4分；</w:t>
            </w:r>
          </w:p>
          <w:p w14:paraId="7BBA3E4D">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内容不够完善合理、专业性不强、可操作性不高的得2分；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5DB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165CDC33">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.5</w:t>
            </w:r>
          </w:p>
        </w:tc>
        <w:tc>
          <w:tcPr>
            <w:tcW w:w="683" w:type="pct"/>
            <w:shd w:val="clear" w:color="auto" w:fill="auto"/>
            <w:vAlign w:val="center"/>
          </w:tcPr>
          <w:p w14:paraId="46B5A72C">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“能达E企通”平台应用集成服务</w:t>
            </w:r>
          </w:p>
          <w:p w14:paraId="1D54017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（6分）</w:t>
            </w:r>
          </w:p>
        </w:tc>
        <w:tc>
          <w:tcPr>
            <w:tcW w:w="3988" w:type="pct"/>
            <w:shd w:val="clear" w:color="auto" w:fill="auto"/>
            <w:vAlign w:val="center"/>
          </w:tcPr>
          <w:p w14:paraId="130C1BFD">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5AD94D9C">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①“能达E企通”平台改造方案；②分析本项目与“能达E企通”平台数据对接的资源需求，给出数据对接方案；③“能达E企通”接口对接方案。</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内容完善合理、专业性强、可操作性好的得6分；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内容比较完善、专业性较好、可操作性较好的得4分；</w:t>
            </w:r>
          </w:p>
          <w:p w14:paraId="456FDC88">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内容不够完善合理、专业性不强、可操作性不高的得2分；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0E42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6857AAE3">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.6</w:t>
            </w:r>
          </w:p>
        </w:tc>
        <w:tc>
          <w:tcPr>
            <w:tcW w:w="683" w:type="pct"/>
            <w:shd w:val="clear" w:color="auto" w:fill="auto"/>
            <w:vAlign w:val="center"/>
          </w:tcPr>
          <w:p w14:paraId="35C5D507">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系统运行环境服务方案</w:t>
            </w:r>
          </w:p>
          <w:p w14:paraId="4C8551B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（6分）</w:t>
            </w:r>
          </w:p>
        </w:tc>
        <w:tc>
          <w:tcPr>
            <w:tcW w:w="3988" w:type="pct"/>
            <w:shd w:val="clear" w:color="auto" w:fill="auto"/>
            <w:vAlign w:val="center"/>
          </w:tcPr>
          <w:p w14:paraId="472C50FF">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1396FA5B">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①系统运行环境的现状；②网络拓扑图，需说明和已有能达E企业通平台系统环境的关系；③提供的智算云资源服务配置清单和方案；④安全服务方案。</w:t>
            </w:r>
          </w:p>
          <w:p w14:paraId="6054A402">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内容完善合理、专业性强、可操作性好的得6分；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内容比较完善、专业性较好、可操作性较好的得4分；</w:t>
            </w:r>
          </w:p>
          <w:p w14:paraId="1C6993FA">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内容不够完善合理、专业性不强、可操作性不高的得2分</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64F6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222230BD">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.7</w:t>
            </w:r>
          </w:p>
        </w:tc>
        <w:tc>
          <w:tcPr>
            <w:tcW w:w="683" w:type="pct"/>
            <w:shd w:val="clear" w:color="auto" w:fill="auto"/>
            <w:vAlign w:val="center"/>
          </w:tcPr>
          <w:p w14:paraId="744FB273">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持续运营服务方案（6分）</w:t>
            </w:r>
          </w:p>
        </w:tc>
        <w:tc>
          <w:tcPr>
            <w:tcW w:w="3988" w:type="pct"/>
            <w:shd w:val="clear" w:color="auto" w:fill="auto"/>
            <w:vAlign w:val="center"/>
          </w:tcPr>
          <w:p w14:paraId="7A89834B">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6EF94038">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①智能体运营服务方案；②AI总入口运营管理服务方案。</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内容完善合理、专业性强、可操作性好的得6分；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内容比较完善、专业性较好、可操作性较好的得4分；</w:t>
            </w:r>
          </w:p>
          <w:p w14:paraId="5E02B087">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内容不够完善合理、专业性不强、可操作性不高的得2分；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5F6C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141554C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.8</w:t>
            </w:r>
          </w:p>
        </w:tc>
        <w:tc>
          <w:tcPr>
            <w:tcW w:w="683" w:type="pct"/>
            <w:shd w:val="clear" w:color="auto" w:fill="auto"/>
            <w:vAlign w:val="center"/>
          </w:tcPr>
          <w:p w14:paraId="6E82E2A3">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持续运维服务</w:t>
            </w:r>
          </w:p>
          <w:p w14:paraId="36CA9EC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w:t>
            </w:r>
            <w:r>
              <w:rPr>
                <w:rFonts w:ascii="仿宋" w:hAnsi="仿宋" w:eastAsia="仿宋" w:cs="仿宋"/>
                <w:b/>
                <w:bCs/>
                <w:color w:val="000000"/>
                <w:sz w:val="24"/>
                <w:szCs w:val="24"/>
                <w:lang w:bidi="ar"/>
              </w:rPr>
              <w:t>3</w:t>
            </w:r>
            <w:r>
              <w:rPr>
                <w:rFonts w:hint="eastAsia" w:ascii="仿宋" w:hAnsi="仿宋" w:eastAsia="仿宋" w:cs="仿宋"/>
                <w:b/>
                <w:bCs/>
                <w:color w:val="000000"/>
                <w:sz w:val="24"/>
                <w:szCs w:val="24"/>
                <w:lang w:bidi="ar"/>
              </w:rPr>
              <w:t>分）</w:t>
            </w:r>
          </w:p>
        </w:tc>
        <w:tc>
          <w:tcPr>
            <w:tcW w:w="3988" w:type="pct"/>
            <w:shd w:val="clear" w:color="auto" w:fill="auto"/>
            <w:vAlign w:val="center"/>
          </w:tcPr>
          <w:p w14:paraId="79A5C1CA">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按照采购需求，作出持续运维服务承诺，提供持续运维服务方案和计划，要求对持续运维服务体系、服务年限、服务内容做出说明。</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内容完善合理、专业性强、可操作性好的得3分；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内容比较完善、专业性较好、可操作性较好的得2分；</w:t>
            </w:r>
          </w:p>
          <w:p w14:paraId="5C2BD55C">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内容不够完善合理、专业性不强、可操作性不高的得1分；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794B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38915CD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.9</w:t>
            </w:r>
          </w:p>
        </w:tc>
        <w:tc>
          <w:tcPr>
            <w:tcW w:w="683" w:type="pct"/>
            <w:shd w:val="clear" w:color="auto" w:fill="auto"/>
            <w:vAlign w:val="center"/>
          </w:tcPr>
          <w:p w14:paraId="74C5D2D6">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项目组织实施方案</w:t>
            </w:r>
          </w:p>
          <w:p w14:paraId="4899C558">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w:t>
            </w:r>
            <w:r>
              <w:rPr>
                <w:rFonts w:ascii="仿宋" w:hAnsi="仿宋" w:eastAsia="仿宋" w:cs="仿宋"/>
                <w:b/>
                <w:bCs/>
                <w:color w:val="000000"/>
                <w:sz w:val="24"/>
                <w:szCs w:val="24"/>
                <w:lang w:bidi="ar"/>
              </w:rPr>
              <w:t>3</w:t>
            </w:r>
            <w:r>
              <w:rPr>
                <w:rFonts w:hint="eastAsia" w:ascii="仿宋" w:hAnsi="仿宋" w:eastAsia="仿宋" w:cs="仿宋"/>
                <w:b/>
                <w:bCs/>
                <w:color w:val="000000"/>
                <w:sz w:val="24"/>
                <w:szCs w:val="24"/>
                <w:lang w:bidi="ar"/>
              </w:rPr>
              <w:t>分）</w:t>
            </w:r>
          </w:p>
        </w:tc>
        <w:tc>
          <w:tcPr>
            <w:tcW w:w="3988" w:type="pct"/>
            <w:shd w:val="clear" w:color="auto" w:fill="auto"/>
            <w:vAlign w:val="center"/>
          </w:tcPr>
          <w:p w14:paraId="5B411734">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根据</w:t>
            </w:r>
            <w:r>
              <w:rPr>
                <w:rFonts w:hint="eastAsia" w:ascii="仿宋" w:hAnsi="仿宋" w:eastAsia="仿宋" w:cs="仿宋"/>
                <w:color w:val="000000"/>
                <w:sz w:val="24"/>
                <w:szCs w:val="24"/>
                <w:lang w:eastAsia="zh-CN" w:bidi="ar"/>
              </w:rPr>
              <w:t>磋商</w:t>
            </w:r>
            <w:r>
              <w:rPr>
                <w:rFonts w:hint="eastAsia" w:ascii="仿宋" w:hAnsi="仿宋" w:eastAsia="仿宋" w:cs="仿宋"/>
                <w:color w:val="000000"/>
                <w:sz w:val="24"/>
                <w:szCs w:val="24"/>
                <w:lang w:bidi="ar"/>
              </w:rPr>
              <w:t>文件要求提供方案，包括：</w:t>
            </w:r>
          </w:p>
          <w:p w14:paraId="00AC6925">
            <w:pPr>
              <w:widowControl/>
              <w:jc w:val="left"/>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bidi="ar"/>
              </w:rPr>
              <w:t>①组织管理、②需求调研、③信息安全、④风险管理、⑤质量管理、⑥验收交付等内容。</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内容完善合理、专业性强、可操作性好的得3分；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val="en-US" w:eastAsia="zh-CN" w:bidi="ar"/>
              </w:rPr>
              <w:t>内容比较完善、专业性较好、可操作性较好的得2分；</w:t>
            </w:r>
          </w:p>
          <w:p w14:paraId="7D3153A6">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内容不够完善合理、专业性不强、可操作性不高的得1分；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无此内容或要求内容缺失的不得分。</w:t>
            </w:r>
          </w:p>
        </w:tc>
      </w:tr>
      <w:tr w14:paraId="7A66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3" w:hRule="atLeast"/>
          <w:jc w:val="center"/>
        </w:trPr>
        <w:tc>
          <w:tcPr>
            <w:tcW w:w="328" w:type="pct"/>
            <w:shd w:val="clear" w:color="auto" w:fill="auto"/>
            <w:noWrap/>
            <w:vAlign w:val="center"/>
          </w:tcPr>
          <w:p w14:paraId="27C430BA">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w:t>
            </w:r>
          </w:p>
        </w:tc>
        <w:tc>
          <w:tcPr>
            <w:tcW w:w="4671" w:type="pct"/>
            <w:gridSpan w:val="2"/>
            <w:shd w:val="clear" w:color="auto" w:fill="auto"/>
            <w:vAlign w:val="center"/>
          </w:tcPr>
          <w:p w14:paraId="1DE00F5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综合实力（20分）</w:t>
            </w:r>
          </w:p>
        </w:tc>
      </w:tr>
      <w:tr w14:paraId="187A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1F4D55A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2</w:t>
            </w:r>
            <w:r>
              <w:rPr>
                <w:rFonts w:hint="eastAsia" w:ascii="仿宋" w:hAnsi="仿宋" w:eastAsia="仿宋" w:cs="仿宋"/>
                <w:b/>
                <w:bCs/>
                <w:color w:val="000000"/>
                <w:sz w:val="24"/>
                <w:szCs w:val="24"/>
                <w:lang w:bidi="ar"/>
              </w:rPr>
              <w:t>.1</w:t>
            </w:r>
          </w:p>
        </w:tc>
        <w:tc>
          <w:tcPr>
            <w:tcW w:w="683" w:type="pct"/>
            <w:shd w:val="clear" w:color="auto" w:fill="auto"/>
            <w:vAlign w:val="center"/>
          </w:tcPr>
          <w:p w14:paraId="721B2B53">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项目负责人</w:t>
            </w:r>
          </w:p>
          <w:p w14:paraId="470C578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（2分）</w:t>
            </w:r>
          </w:p>
        </w:tc>
        <w:tc>
          <w:tcPr>
            <w:tcW w:w="3988" w:type="pct"/>
            <w:shd w:val="clear" w:color="auto" w:fill="auto"/>
            <w:vAlign w:val="center"/>
          </w:tcPr>
          <w:p w14:paraId="5A928080">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①拟投入项目负责人工作经验有5年及以上的得1分（提供毕业证书</w:t>
            </w:r>
            <w:r>
              <w:rPr>
                <w:rFonts w:hint="eastAsia" w:ascii="仿宋" w:hAnsi="仿宋" w:eastAsia="仿宋" w:cs="仿宋"/>
                <w:color w:val="000000"/>
                <w:sz w:val="24"/>
                <w:szCs w:val="24"/>
                <w:lang w:eastAsia="zh-CN" w:bidi="ar"/>
              </w:rPr>
              <w:t>扫描件</w:t>
            </w:r>
            <w:r>
              <w:rPr>
                <w:rFonts w:hint="eastAsia" w:ascii="仿宋" w:hAnsi="仿宋" w:eastAsia="仿宋" w:cs="仿宋"/>
                <w:color w:val="000000"/>
                <w:sz w:val="24"/>
                <w:szCs w:val="24"/>
                <w:lang w:bidi="ar"/>
              </w:rPr>
              <w:t>，否则不得分）；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②拟投入项目负责人具有项目管理相关专业资格证书的得1分（提供有效期内的证书</w:t>
            </w:r>
            <w:r>
              <w:rPr>
                <w:rFonts w:hint="eastAsia" w:ascii="仿宋" w:hAnsi="仿宋" w:eastAsia="仿宋" w:cs="仿宋"/>
                <w:color w:val="000000"/>
                <w:sz w:val="24"/>
                <w:szCs w:val="24"/>
                <w:lang w:eastAsia="zh-CN" w:bidi="ar"/>
              </w:rPr>
              <w:t>扫描</w:t>
            </w:r>
            <w:r>
              <w:rPr>
                <w:rFonts w:hint="eastAsia" w:ascii="仿宋" w:hAnsi="仿宋" w:eastAsia="仿宋" w:cs="仿宋"/>
                <w:color w:val="000000"/>
                <w:sz w:val="24"/>
                <w:szCs w:val="24"/>
                <w:lang w:bidi="ar"/>
              </w:rPr>
              <w:t>件，否则不得分）。</w:t>
            </w:r>
            <w:r>
              <w:rPr>
                <w:rFonts w:hint="eastAsia" w:ascii="仿宋" w:hAnsi="仿宋" w:eastAsia="仿宋" w:cs="仿宋"/>
                <w:color w:val="000000"/>
                <w:sz w:val="24"/>
                <w:szCs w:val="24"/>
                <w:lang w:bidi="ar"/>
              </w:rPr>
              <w:br w:type="textWrapping"/>
            </w:r>
            <w:r>
              <w:rPr>
                <w:rFonts w:hint="eastAsia" w:ascii="仿宋" w:hAnsi="仿宋" w:eastAsia="仿宋" w:cs="仿宋"/>
                <w:b/>
                <w:bCs/>
                <w:color w:val="000000"/>
                <w:sz w:val="24"/>
                <w:szCs w:val="24"/>
                <w:lang w:bidi="ar"/>
              </w:rPr>
              <w:t>注：需同时提供社保机构出具的投标供应商为其缴纳的近一个月的社会保险证明材料</w:t>
            </w:r>
            <w:r>
              <w:rPr>
                <w:rFonts w:hint="eastAsia" w:ascii="仿宋" w:hAnsi="仿宋" w:eastAsia="仿宋" w:cs="仿宋"/>
                <w:b/>
                <w:bCs/>
                <w:color w:val="000000"/>
                <w:sz w:val="24"/>
                <w:szCs w:val="24"/>
                <w:lang w:eastAsia="zh-CN" w:bidi="ar"/>
              </w:rPr>
              <w:t>扫描</w:t>
            </w:r>
            <w:r>
              <w:rPr>
                <w:rFonts w:hint="eastAsia" w:ascii="仿宋" w:hAnsi="仿宋" w:eastAsia="仿宋" w:cs="仿宋"/>
                <w:b/>
                <w:bCs/>
                <w:color w:val="000000"/>
                <w:sz w:val="24"/>
                <w:szCs w:val="24"/>
                <w:lang w:bidi="ar"/>
              </w:rPr>
              <w:t>件，否则不得分。</w:t>
            </w:r>
          </w:p>
        </w:tc>
      </w:tr>
      <w:tr w14:paraId="44CD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77E2560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2</w:t>
            </w:r>
            <w:r>
              <w:rPr>
                <w:rFonts w:hint="eastAsia" w:ascii="仿宋" w:hAnsi="仿宋" w:eastAsia="仿宋" w:cs="仿宋"/>
                <w:b/>
                <w:bCs/>
                <w:color w:val="000000"/>
                <w:sz w:val="24"/>
                <w:szCs w:val="24"/>
                <w:lang w:bidi="ar"/>
              </w:rPr>
              <w:t>.2</w:t>
            </w:r>
          </w:p>
        </w:tc>
        <w:tc>
          <w:tcPr>
            <w:tcW w:w="683" w:type="pct"/>
            <w:shd w:val="clear" w:color="auto" w:fill="auto"/>
            <w:noWrap/>
            <w:vAlign w:val="center"/>
          </w:tcPr>
          <w:p w14:paraId="2AE5F250">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标准规范</w:t>
            </w:r>
          </w:p>
          <w:p w14:paraId="24678F0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（2分）</w:t>
            </w:r>
          </w:p>
        </w:tc>
        <w:tc>
          <w:tcPr>
            <w:tcW w:w="3988" w:type="pct"/>
            <w:shd w:val="clear" w:color="auto" w:fill="auto"/>
            <w:vAlign w:val="center"/>
          </w:tcPr>
          <w:p w14:paraId="3755BB99">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供应商具有牵头或参与制定企业服务相关的国家标准、行业标准或地方标准的得2分。</w:t>
            </w:r>
            <w:r>
              <w:rPr>
                <w:rFonts w:hint="eastAsia" w:ascii="仿宋" w:hAnsi="仿宋" w:eastAsia="仿宋" w:cs="仿宋"/>
                <w:color w:val="000000"/>
                <w:sz w:val="24"/>
                <w:szCs w:val="24"/>
                <w:lang w:bidi="ar"/>
              </w:rPr>
              <w:br w:type="textWrapping"/>
            </w:r>
            <w:r>
              <w:rPr>
                <w:rFonts w:hint="eastAsia" w:ascii="仿宋" w:hAnsi="仿宋" w:eastAsia="仿宋" w:cs="仿宋"/>
                <w:b/>
                <w:bCs/>
                <w:color w:val="000000"/>
                <w:sz w:val="24"/>
                <w:szCs w:val="24"/>
                <w:lang w:bidi="ar"/>
              </w:rPr>
              <w:t>注：提供标准发布官方公告截图及标准规范文本打印稿扫描件，否则不得分。</w:t>
            </w:r>
          </w:p>
        </w:tc>
      </w:tr>
      <w:tr w14:paraId="6C24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65429DF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2</w:t>
            </w:r>
            <w:r>
              <w:rPr>
                <w:rFonts w:hint="eastAsia" w:ascii="仿宋" w:hAnsi="仿宋" w:eastAsia="仿宋" w:cs="仿宋"/>
                <w:b/>
                <w:bCs/>
                <w:color w:val="000000"/>
                <w:sz w:val="24"/>
                <w:szCs w:val="24"/>
                <w:lang w:bidi="ar"/>
              </w:rPr>
              <w:t>.3</w:t>
            </w:r>
          </w:p>
        </w:tc>
        <w:tc>
          <w:tcPr>
            <w:tcW w:w="683" w:type="pct"/>
            <w:shd w:val="clear" w:color="auto" w:fill="auto"/>
            <w:noWrap/>
            <w:vAlign w:val="center"/>
          </w:tcPr>
          <w:p w14:paraId="5CD3F78C">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荣誉</w:t>
            </w:r>
          </w:p>
          <w:p w14:paraId="717AB42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（4分）</w:t>
            </w:r>
          </w:p>
        </w:tc>
        <w:tc>
          <w:tcPr>
            <w:tcW w:w="3988" w:type="pct"/>
            <w:shd w:val="clear" w:color="auto" w:fill="auto"/>
            <w:vAlign w:val="center"/>
          </w:tcPr>
          <w:p w14:paraId="29B0177A">
            <w:pPr>
              <w:widowControl/>
              <w:jc w:val="left"/>
              <w:textAlignment w:val="center"/>
              <w:rPr>
                <w:rStyle w:val="27"/>
                <w:sz w:val="24"/>
                <w:szCs w:val="24"/>
                <w:lang w:bidi="ar"/>
              </w:rPr>
            </w:pPr>
            <w:r>
              <w:rPr>
                <w:rFonts w:hint="eastAsia" w:ascii="仿宋" w:hAnsi="仿宋" w:eastAsia="仿宋" w:cs="仿宋"/>
                <w:color w:val="000000"/>
                <w:sz w:val="24"/>
                <w:szCs w:val="24"/>
                <w:lang w:bidi="ar"/>
              </w:rPr>
              <w:t>供应商具有政府部门颁发的企业服</w:t>
            </w:r>
            <w:r>
              <w:rPr>
                <w:rStyle w:val="26"/>
                <w:sz w:val="24"/>
                <w:szCs w:val="24"/>
                <w:lang w:bidi="ar"/>
              </w:rPr>
              <w:t>务、大数据应用、人工智能</w:t>
            </w:r>
            <w:r>
              <w:rPr>
                <w:rStyle w:val="27"/>
                <w:sz w:val="24"/>
                <w:szCs w:val="24"/>
                <w:lang w:bidi="ar"/>
              </w:rPr>
              <w:t>方面的奖励奖项证明，</w:t>
            </w:r>
            <w:r>
              <w:rPr>
                <w:rStyle w:val="27"/>
                <w:rFonts w:hint="eastAsia"/>
                <w:sz w:val="24"/>
                <w:szCs w:val="24"/>
                <w:lang w:val="en-US" w:eastAsia="zh-CN" w:bidi="ar"/>
              </w:rPr>
              <w:t>市级及以上每个得2分，其他每个得1分，</w:t>
            </w:r>
            <w:r>
              <w:rPr>
                <w:rStyle w:val="27"/>
                <w:sz w:val="24"/>
                <w:szCs w:val="24"/>
                <w:lang w:bidi="ar"/>
              </w:rPr>
              <w:t>此项最高得4分</w:t>
            </w:r>
          </w:p>
          <w:p w14:paraId="77A9FD9E">
            <w:pPr>
              <w:widowControl/>
              <w:jc w:val="left"/>
              <w:textAlignment w:val="center"/>
              <w:rPr>
                <w:rFonts w:ascii="仿宋" w:hAnsi="仿宋" w:eastAsia="仿宋" w:cs="仿宋"/>
                <w:color w:val="000000"/>
                <w:sz w:val="24"/>
                <w:szCs w:val="24"/>
              </w:rPr>
            </w:pPr>
            <w:r>
              <w:rPr>
                <w:rStyle w:val="27"/>
                <w:rFonts w:eastAsia="仿宋"/>
                <w:b/>
                <w:bCs/>
                <w:sz w:val="24"/>
                <w:szCs w:val="24"/>
                <w:lang w:eastAsia="zh-CN" w:bidi="ar"/>
              </w:rPr>
              <w:t>注：</w:t>
            </w:r>
            <w:r>
              <w:rPr>
                <w:rStyle w:val="27"/>
                <w:b/>
                <w:bCs/>
                <w:sz w:val="24"/>
                <w:szCs w:val="24"/>
                <w:lang w:bidi="ar"/>
              </w:rPr>
              <w:t>投标文件中需提供获奖证明资料</w:t>
            </w:r>
            <w:r>
              <w:rPr>
                <w:rStyle w:val="27"/>
                <w:b/>
                <w:bCs/>
                <w:sz w:val="24"/>
                <w:szCs w:val="24"/>
                <w:lang w:eastAsia="zh-CN" w:bidi="ar"/>
              </w:rPr>
              <w:t>扫描</w:t>
            </w:r>
            <w:r>
              <w:rPr>
                <w:rStyle w:val="27"/>
                <w:b/>
                <w:bCs/>
                <w:sz w:val="24"/>
                <w:szCs w:val="24"/>
                <w:lang w:bidi="ar"/>
              </w:rPr>
              <w:t>，同一事由获得不同级别的荣誉奖励就高不重复计分。</w:t>
            </w:r>
          </w:p>
        </w:tc>
      </w:tr>
      <w:tr w14:paraId="60F9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62645EE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2</w:t>
            </w:r>
            <w:r>
              <w:rPr>
                <w:rFonts w:hint="eastAsia" w:ascii="仿宋" w:hAnsi="仿宋" w:eastAsia="仿宋" w:cs="仿宋"/>
                <w:b/>
                <w:bCs/>
                <w:color w:val="000000"/>
                <w:sz w:val="24"/>
                <w:szCs w:val="24"/>
                <w:lang w:bidi="ar"/>
              </w:rPr>
              <w:t>.4</w:t>
            </w:r>
          </w:p>
        </w:tc>
        <w:tc>
          <w:tcPr>
            <w:tcW w:w="683" w:type="pct"/>
            <w:shd w:val="clear" w:color="auto" w:fill="auto"/>
            <w:vAlign w:val="center"/>
          </w:tcPr>
          <w:p w14:paraId="08073B2E">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案例</w:t>
            </w:r>
          </w:p>
          <w:p w14:paraId="48E5FE2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（8分）</w:t>
            </w:r>
          </w:p>
        </w:tc>
        <w:tc>
          <w:tcPr>
            <w:tcW w:w="3988" w:type="pct"/>
            <w:shd w:val="clear" w:color="auto" w:fill="auto"/>
            <w:vAlign w:val="center"/>
          </w:tcPr>
          <w:p w14:paraId="320B1760">
            <w:pPr>
              <w:widowControl/>
              <w:numPr>
                <w:ilvl w:val="0"/>
                <w:numId w:val="0"/>
              </w:numPr>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①</w:t>
            </w:r>
            <w:r>
              <w:rPr>
                <w:rFonts w:hint="eastAsia" w:ascii="仿宋" w:hAnsi="仿宋" w:eastAsia="仿宋" w:cs="仿宋"/>
                <w:color w:val="000000"/>
                <w:sz w:val="24"/>
                <w:szCs w:val="24"/>
                <w:lang w:bidi="ar"/>
              </w:rPr>
              <w:t>供应商自2022年1月1日以来承担过企业服务、高企服务相关的应用软件建设或运营服务相关案例的，每提供1个得2分，最高得4分；</w:t>
            </w:r>
            <w:r>
              <w:rPr>
                <w:rFonts w:hint="eastAsia" w:ascii="仿宋" w:hAnsi="仿宋" w:eastAsia="仿宋" w:cs="仿宋"/>
                <w:color w:val="000000"/>
                <w:sz w:val="24"/>
                <w:szCs w:val="24"/>
                <w:lang w:bidi="ar"/>
              </w:rPr>
              <w:br w:type="textWrapping"/>
            </w:r>
            <w:r>
              <w:rPr>
                <w:rFonts w:hint="eastAsia" w:ascii="仿宋" w:hAnsi="仿宋" w:eastAsia="仿宋" w:cs="仿宋"/>
                <w:b/>
                <w:bCs/>
                <w:color w:val="000000"/>
                <w:sz w:val="24"/>
                <w:szCs w:val="24"/>
                <w:lang w:bidi="ar"/>
              </w:rPr>
              <w:t>注：提供有效的合同</w:t>
            </w:r>
            <w:r>
              <w:rPr>
                <w:rFonts w:hint="eastAsia" w:ascii="仿宋" w:hAnsi="仿宋" w:eastAsia="仿宋" w:cs="仿宋"/>
                <w:b/>
                <w:bCs/>
                <w:color w:val="000000"/>
                <w:sz w:val="24"/>
                <w:szCs w:val="24"/>
                <w:lang w:eastAsia="zh-CN" w:bidi="ar"/>
              </w:rPr>
              <w:t>扫描</w:t>
            </w:r>
            <w:r>
              <w:rPr>
                <w:rFonts w:hint="eastAsia" w:ascii="仿宋" w:hAnsi="仿宋" w:eastAsia="仿宋" w:cs="仿宋"/>
                <w:b/>
                <w:bCs/>
                <w:color w:val="000000"/>
                <w:sz w:val="24"/>
                <w:szCs w:val="24"/>
                <w:lang w:bidi="ar"/>
              </w:rPr>
              <w:t>件加盖公章，合同须能反映服务内容等关键信息，否则不得分。</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②供应商具有政府部门出具得与本项目“AI+场景应用”相关的类似应用服务用户意见的，每提供1个得2分，最高得4分。</w:t>
            </w:r>
          </w:p>
          <w:p w14:paraId="4933A860">
            <w:pPr>
              <w:widowControl/>
              <w:numPr>
                <w:ilvl w:val="0"/>
                <w:numId w:val="0"/>
              </w:numPr>
              <w:jc w:val="left"/>
              <w:textAlignment w:val="center"/>
            </w:pPr>
            <w:r>
              <w:rPr>
                <w:rFonts w:hint="eastAsia" w:ascii="仿宋" w:hAnsi="仿宋" w:eastAsia="仿宋" w:cs="仿宋"/>
                <w:b/>
                <w:bCs/>
                <w:color w:val="000000"/>
                <w:sz w:val="24"/>
                <w:szCs w:val="24"/>
                <w:lang w:bidi="ar"/>
              </w:rPr>
              <w:t>注：提供有效</w:t>
            </w:r>
            <w:r>
              <w:rPr>
                <w:rFonts w:hint="eastAsia" w:ascii="仿宋" w:hAnsi="仿宋" w:eastAsia="仿宋" w:cs="仿宋"/>
                <w:b/>
                <w:bCs/>
                <w:color w:val="000000"/>
                <w:sz w:val="24"/>
                <w:szCs w:val="24"/>
                <w:lang w:eastAsia="zh-CN" w:bidi="ar"/>
              </w:rPr>
              <w:t>用户意见的扫描</w:t>
            </w:r>
            <w:r>
              <w:rPr>
                <w:rFonts w:hint="eastAsia" w:ascii="仿宋" w:hAnsi="仿宋" w:eastAsia="仿宋" w:cs="仿宋"/>
                <w:b/>
                <w:bCs/>
                <w:color w:val="000000"/>
                <w:sz w:val="24"/>
                <w:szCs w:val="24"/>
                <w:lang w:bidi="ar"/>
              </w:rPr>
              <w:t>件加盖公章，合同须能反映服务内容等关键信息，否则不得分。</w:t>
            </w:r>
          </w:p>
        </w:tc>
      </w:tr>
      <w:tr w14:paraId="34A1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1FDE9C1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val="en-US" w:eastAsia="zh-CN" w:bidi="ar"/>
              </w:rPr>
              <w:t>2</w:t>
            </w:r>
            <w:r>
              <w:rPr>
                <w:rFonts w:hint="eastAsia" w:ascii="仿宋" w:hAnsi="仿宋" w:eastAsia="仿宋" w:cs="仿宋"/>
                <w:b/>
                <w:bCs/>
                <w:color w:val="000000"/>
                <w:sz w:val="24"/>
                <w:szCs w:val="24"/>
                <w:lang w:bidi="ar"/>
              </w:rPr>
              <w:t>.5</w:t>
            </w:r>
          </w:p>
        </w:tc>
        <w:tc>
          <w:tcPr>
            <w:tcW w:w="683" w:type="pct"/>
            <w:shd w:val="clear" w:color="auto" w:fill="auto"/>
            <w:vAlign w:val="center"/>
          </w:tcPr>
          <w:p w14:paraId="01BD8C78">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知识产权</w:t>
            </w:r>
          </w:p>
          <w:p w14:paraId="59DC7DA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（4分）</w:t>
            </w:r>
          </w:p>
        </w:tc>
        <w:tc>
          <w:tcPr>
            <w:tcW w:w="3988" w:type="pct"/>
            <w:shd w:val="clear" w:color="auto" w:fill="auto"/>
            <w:vAlign w:val="center"/>
          </w:tcPr>
          <w:p w14:paraId="0BDA228C">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供应商具有企业服务、高企业务相关知识产权的，每提供1个发明专利得2分，每提供1个软件著作权得1分；最高得4分。</w:t>
            </w:r>
            <w:r>
              <w:rPr>
                <w:rFonts w:hint="eastAsia" w:ascii="仿宋" w:hAnsi="仿宋" w:eastAsia="仿宋" w:cs="仿宋"/>
                <w:color w:val="000000"/>
                <w:sz w:val="24"/>
                <w:szCs w:val="24"/>
                <w:lang w:bidi="ar"/>
              </w:rPr>
              <w:br w:type="textWrapping"/>
            </w:r>
            <w:r>
              <w:rPr>
                <w:rFonts w:hint="eastAsia" w:ascii="仿宋" w:hAnsi="仿宋" w:eastAsia="仿宋" w:cs="仿宋"/>
                <w:b/>
                <w:bCs/>
                <w:color w:val="000000"/>
                <w:sz w:val="24"/>
                <w:szCs w:val="24"/>
                <w:lang w:bidi="ar"/>
              </w:rPr>
              <w:t>注：提供证书</w:t>
            </w:r>
            <w:r>
              <w:rPr>
                <w:rFonts w:hint="eastAsia" w:ascii="仿宋" w:hAnsi="仿宋" w:eastAsia="仿宋" w:cs="仿宋"/>
                <w:b/>
                <w:bCs/>
                <w:color w:val="000000"/>
                <w:sz w:val="24"/>
                <w:szCs w:val="24"/>
                <w:lang w:eastAsia="zh-CN" w:bidi="ar"/>
              </w:rPr>
              <w:t>扫描件</w:t>
            </w:r>
            <w:r>
              <w:rPr>
                <w:rFonts w:hint="eastAsia" w:ascii="仿宋" w:hAnsi="仿宋" w:eastAsia="仿宋" w:cs="仿宋"/>
                <w:b/>
                <w:bCs/>
                <w:color w:val="000000"/>
                <w:sz w:val="24"/>
                <w:szCs w:val="24"/>
                <w:lang w:bidi="ar"/>
              </w:rPr>
              <w:t>加盖公章，否则不得分。</w:t>
            </w:r>
          </w:p>
        </w:tc>
      </w:tr>
      <w:tr w14:paraId="7AE5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328" w:type="pct"/>
            <w:shd w:val="clear" w:color="auto" w:fill="auto"/>
            <w:noWrap/>
            <w:vAlign w:val="center"/>
          </w:tcPr>
          <w:p w14:paraId="1EAD9BBD">
            <w:pPr>
              <w:widowControl/>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bidi="ar"/>
              </w:rPr>
              <w:t>3</w:t>
            </w:r>
          </w:p>
        </w:tc>
        <w:tc>
          <w:tcPr>
            <w:tcW w:w="683" w:type="pct"/>
            <w:shd w:val="clear" w:color="auto" w:fill="auto"/>
            <w:vAlign w:val="center"/>
          </w:tcPr>
          <w:p w14:paraId="6628ACC8">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系统演示</w:t>
            </w:r>
          </w:p>
          <w:p w14:paraId="6D496FC4">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bidi="ar"/>
              </w:rPr>
              <w:t>（15分）</w:t>
            </w:r>
          </w:p>
        </w:tc>
        <w:tc>
          <w:tcPr>
            <w:tcW w:w="3988" w:type="pct"/>
            <w:shd w:val="clear" w:color="auto" w:fill="auto"/>
            <w:vAlign w:val="center"/>
          </w:tcPr>
          <w:p w14:paraId="08B41A8E">
            <w:pPr>
              <w:widowControl/>
              <w:numPr>
                <w:ilvl w:val="0"/>
                <w:numId w:val="0"/>
              </w:numPr>
              <w:jc w:val="left"/>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val="en-US" w:eastAsia="zh-CN" w:bidi="ar"/>
              </w:rPr>
              <w:t>1.</w:t>
            </w:r>
            <w:r>
              <w:rPr>
                <w:rFonts w:hint="eastAsia" w:ascii="仿宋" w:hAnsi="仿宋" w:eastAsia="仿宋" w:cs="仿宋"/>
                <w:b/>
                <w:bCs/>
                <w:color w:val="000000"/>
                <w:sz w:val="24"/>
                <w:szCs w:val="24"/>
                <w:lang w:bidi="ar"/>
              </w:rPr>
              <w:t>企业服务主智能体演示</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演示：①如何访问主智能体，需要包括入口引导、智能体IP形象设计元素和一体化对话框架界面等；②“搜一搜”功能演示，需要体现与企业服务平台类似能达E企通现有功能的联动，并体现和普通搜索的差异；③“问一问”综合问题咨询演示；④“问一问”的国家、省、市、区各级各类企业服务政策咨询演示；⑤历史会话记录，需说明覆盖的主要服务领域，体现主智能体的知识广度。</w:t>
            </w:r>
            <w:r>
              <w:rPr>
                <w:rFonts w:hint="eastAsia" w:ascii="仿宋" w:hAnsi="仿宋" w:eastAsia="仿宋" w:cs="仿宋"/>
                <w:color w:val="000000"/>
                <w:sz w:val="24"/>
                <w:szCs w:val="24"/>
                <w:lang w:bidi="ar"/>
              </w:rPr>
              <w:br w:type="textWrapping"/>
            </w:r>
            <w:r>
              <w:rPr>
                <w:rFonts w:hint="eastAsia" w:ascii="仿宋" w:hAnsi="仿宋" w:eastAsia="仿宋" w:cs="仿宋"/>
                <w:b/>
                <w:bCs/>
                <w:color w:val="000000"/>
                <w:sz w:val="24"/>
                <w:szCs w:val="24"/>
                <w:lang w:bidi="ar"/>
              </w:rPr>
              <w:t>2</w:t>
            </w:r>
            <w:r>
              <w:rPr>
                <w:rFonts w:hint="eastAsia" w:ascii="仿宋" w:hAnsi="仿宋" w:eastAsia="仿宋" w:cs="仿宋"/>
                <w:b/>
                <w:bCs/>
                <w:color w:val="000000"/>
                <w:sz w:val="24"/>
                <w:szCs w:val="24"/>
                <w:lang w:val="en-US" w:eastAsia="zh-CN" w:bidi="ar"/>
              </w:rPr>
              <w:t>.</w:t>
            </w:r>
            <w:r>
              <w:rPr>
                <w:rFonts w:hint="eastAsia" w:ascii="仿宋" w:hAnsi="仿宋" w:eastAsia="仿宋" w:cs="仿宋"/>
                <w:b/>
                <w:bCs/>
                <w:color w:val="000000"/>
                <w:sz w:val="24"/>
                <w:szCs w:val="24"/>
                <w:lang w:bidi="ar"/>
              </w:rPr>
              <w:t>AI高企服务演示</w:t>
            </w:r>
            <w:r>
              <w:rPr>
                <w:rFonts w:hint="eastAsia" w:ascii="仿宋" w:hAnsi="仿宋" w:eastAsia="仿宋" w:cs="仿宋"/>
                <w:color w:val="000000"/>
                <w:sz w:val="24"/>
                <w:szCs w:val="24"/>
                <w:lang w:bidi="ar"/>
              </w:rPr>
              <w:br w:type="textWrapping"/>
            </w:r>
            <w:r>
              <w:rPr>
                <w:rFonts w:hint="eastAsia" w:ascii="仿宋" w:hAnsi="仿宋" w:eastAsia="仿宋" w:cs="仿宋"/>
                <w:color w:val="000000"/>
                <w:sz w:val="24"/>
                <w:szCs w:val="24"/>
                <w:lang w:bidi="ar"/>
              </w:rPr>
              <w:t>演示：①高企政策问题咨询演示；②输入企业信息进行体检诊断演示；③高企申报前规划相关的专家级咨询服务问答演示；④高企通过后资质维护相关的专家级咨询服务问答演示。⑤历史会话记录，需说明覆盖的主要专题。专家级咨询服务演示需说明和基础问答质询服务的差异。</w:t>
            </w:r>
            <w:r>
              <w:rPr>
                <w:rFonts w:hint="eastAsia" w:ascii="仿宋" w:hAnsi="仿宋" w:eastAsia="仿宋" w:cs="仿宋"/>
                <w:color w:val="000000"/>
                <w:sz w:val="24"/>
                <w:szCs w:val="24"/>
                <w:lang w:bidi="ar"/>
              </w:rPr>
              <w:br w:type="textWrapping"/>
            </w:r>
            <w:r>
              <w:rPr>
                <w:rFonts w:hint="eastAsia" w:ascii="仿宋" w:hAnsi="仿宋" w:eastAsia="仿宋" w:cs="仿宋"/>
                <w:b/>
                <w:bCs/>
                <w:color w:val="000000"/>
                <w:sz w:val="24"/>
                <w:szCs w:val="24"/>
                <w:lang w:bidi="ar"/>
              </w:rPr>
              <w:t>注：采用真实系统演示（可录制视频），完全符合需求且专业性强、应用效果好，每个小项功能得1.5分，基本符合需求得1分；采用非真实系统（如DEMO、PPT等方式）演示的，每个小项最高得0.5分；无演示不得分。</w:t>
            </w:r>
          </w:p>
          <w:p w14:paraId="28D9E41A">
            <w:pPr>
              <w:widowControl/>
              <w:numPr>
                <w:ilvl w:val="0"/>
                <w:numId w:val="0"/>
              </w:numPr>
              <w:jc w:val="left"/>
              <w:textAlignment w:val="center"/>
              <w:rPr>
                <w:rFonts w:hint="eastAsia" w:ascii="仿宋" w:hAnsi="仿宋" w:eastAsia="仿宋" w:cs="仿宋"/>
                <w:color w:val="000000"/>
                <w:sz w:val="24"/>
                <w:szCs w:val="24"/>
                <w:lang w:bidi="ar"/>
              </w:rPr>
            </w:pPr>
            <w:r>
              <w:rPr>
                <w:rFonts w:hint="eastAsia" w:ascii="仿宋" w:hAnsi="仿宋" w:eastAsia="仿宋" w:cs="仿宋"/>
                <w:b/>
                <w:bCs/>
                <w:color w:val="000000"/>
                <w:sz w:val="24"/>
                <w:szCs w:val="24"/>
                <w:lang w:eastAsia="zh-CN" w:bidi="ar"/>
              </w:rPr>
              <w:t>投标供应商需</w:t>
            </w:r>
            <w:r>
              <w:rPr>
                <w:rFonts w:hint="eastAsia" w:ascii="仿宋" w:hAnsi="仿宋" w:eastAsia="仿宋" w:cs="仿宋"/>
                <w:b/>
                <w:bCs/>
                <w:color w:val="000000"/>
                <w:sz w:val="24"/>
                <w:szCs w:val="24"/>
                <w:lang w:bidi="ar"/>
              </w:rPr>
              <w:t>提供一份和演示内容一致的清单式《演示说明》。</w:t>
            </w:r>
          </w:p>
        </w:tc>
      </w:tr>
      <w:tr w14:paraId="08DA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000" w:type="pct"/>
            <w:gridSpan w:val="3"/>
            <w:shd w:val="clear" w:color="auto" w:fill="auto"/>
            <w:noWrap/>
            <w:vAlign w:val="center"/>
          </w:tcPr>
          <w:p w14:paraId="7CFD4269">
            <w:pPr>
              <w:widowControl/>
              <w:jc w:val="left"/>
              <w:textAlignment w:val="center"/>
              <w:rPr>
                <w:rFonts w:ascii="仿宋" w:hAnsi="仿宋" w:eastAsia="仿宋" w:cs="仿宋"/>
                <w:color w:val="000000"/>
                <w:sz w:val="24"/>
                <w:szCs w:val="24"/>
                <w:lang w:bidi="ar"/>
              </w:rPr>
            </w:pPr>
            <w:r>
              <w:rPr>
                <w:rFonts w:hint="eastAsia" w:ascii="仿宋" w:hAnsi="仿宋" w:eastAsia="仿宋" w:cs="仿宋"/>
                <w:b/>
                <w:bCs/>
                <w:sz w:val="24"/>
                <w:szCs w:val="24"/>
              </w:rPr>
              <w:t>注：上述商务技术标的供应商响应所有佐证材料需提供原件扫描件件并加盖单位公章，无原件扫描件或未响应上述要求未提供完整或不清晰的均不予得分。</w:t>
            </w:r>
          </w:p>
        </w:tc>
      </w:tr>
    </w:tbl>
    <w:p w14:paraId="5CFF7E28">
      <w:pPr>
        <w:keepNext w:val="0"/>
        <w:keepLines w:val="0"/>
        <w:pageBreakBefore w:val="0"/>
        <w:shd w:val="clear" w:color="auto"/>
        <w:tabs>
          <w:tab w:val="left" w:pos="720"/>
        </w:tabs>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rPr>
      </w:pPr>
      <w:r>
        <w:rPr>
          <w:rFonts w:hint="eastAsia" w:ascii="仿宋" w:hAnsi="仿宋" w:eastAsia="仿宋" w:cs="仿宋"/>
          <w:b/>
          <w:bCs/>
          <w:sz w:val="24"/>
          <w:szCs w:val="24"/>
          <w:u w:val="single"/>
        </w:rPr>
        <w:t>注明：响应文件技术标得分低于本磋商文件技术标评分分值（85分）的50%时，视为未实质性响应采购文件要求，作为无效投标处理。</w:t>
      </w:r>
    </w:p>
    <w:p w14:paraId="7F5ACF75">
      <w:pPr>
        <w:keepNext w:val="0"/>
        <w:keepLines w:val="0"/>
        <w:pageBreakBefore w:val="0"/>
        <w:shd w:val="clear" w:color="auto"/>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（二）报价分（15分）</w:t>
      </w:r>
    </w:p>
    <w:p w14:paraId="6D491C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（1）最高限价：150万元，响应报价不得超过最高限价，超过最高限价的为无效报价，按照无效响应处理；</w:t>
      </w:r>
    </w:p>
    <w:p w14:paraId="0F2AFD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（2）满足磋商文件要求且磋商价格最低的有效磋商报价为磋商基准价，其价格分为满分15分。</w:t>
      </w:r>
    </w:p>
    <w:p w14:paraId="68196D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其他响应单位的价格分按照下列公式计算：</w:t>
      </w:r>
    </w:p>
    <w:p w14:paraId="1F3E6D0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报价得分=(磋商基准价/磋商报价)×报价权值15%×100</w:t>
      </w:r>
    </w:p>
    <w:p w14:paraId="7A9D5D8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（三）政府采购政策功能落实</w:t>
      </w:r>
    </w:p>
    <w:p w14:paraId="3823B4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1.小微型企业价格扣除</w:t>
      </w:r>
    </w:p>
    <w:p w14:paraId="1A1658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（1）本项目对小型和微型企业产品给予</w:t>
      </w:r>
      <w:r>
        <w:rPr>
          <w:rFonts w:hint="eastAsia" w:ascii="仿宋" w:hAnsi="仿宋" w:eastAsia="仿宋" w:cs="仿宋"/>
          <w:b/>
          <w:sz w:val="24"/>
          <w:szCs w:val="24"/>
        </w:rPr>
        <w:t>10%</w:t>
      </w:r>
      <w:r>
        <w:rPr>
          <w:rFonts w:hint="eastAsia" w:ascii="仿宋" w:hAnsi="仿宋" w:eastAsia="仿宋" w:cs="仿宋"/>
          <w:bCs/>
          <w:sz w:val="24"/>
          <w:szCs w:val="24"/>
        </w:rPr>
        <w:t>的扣除价格，用扣除后的价格参与评审。</w:t>
      </w:r>
    </w:p>
    <w:p w14:paraId="4DBBD9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（2）供应商需按照《政府采购促进中小企业发展管理办法》（财库﹝2020﹞46 号）的规定提供相应的《中小企业声明函》。</w:t>
      </w:r>
    </w:p>
    <w:p w14:paraId="1B187A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（3）企业标准请参照《关于印发中小企业划型标准规定的通知》（工信部联企业[2011]300号）文件规定自行填写。</w:t>
      </w:r>
    </w:p>
    <w:p w14:paraId="026B83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2.残疾人福利单位价格扣除</w:t>
      </w:r>
    </w:p>
    <w:p w14:paraId="52E758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（1）本项目对残疾人福利性单位，给予</w:t>
      </w:r>
      <w:r>
        <w:rPr>
          <w:rFonts w:hint="eastAsia" w:ascii="仿宋" w:hAnsi="仿宋" w:eastAsia="仿宋" w:cs="仿宋"/>
          <w:b/>
          <w:sz w:val="24"/>
          <w:szCs w:val="24"/>
        </w:rPr>
        <w:t>10%</w:t>
      </w:r>
      <w:r>
        <w:rPr>
          <w:rFonts w:hint="eastAsia" w:ascii="仿宋" w:hAnsi="仿宋" w:eastAsia="仿宋" w:cs="仿宋"/>
          <w:bCs/>
          <w:sz w:val="24"/>
          <w:szCs w:val="24"/>
        </w:rPr>
        <w:t>的价格扣除，用扣除后的价格参与评审。</w:t>
      </w:r>
    </w:p>
    <w:p w14:paraId="394622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（2）残疾人福利单位需按照采购文件的要求提供《残疾人福利性单位声明函》。</w:t>
      </w:r>
    </w:p>
    <w:p w14:paraId="538C75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（3）残疾人福利单位标准请参照《关于促进残疾人就业政府采购政策的通知》（财库〔2017〕141号）。</w:t>
      </w:r>
    </w:p>
    <w:p w14:paraId="71B6CF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3.监狱和戒毒企业价格扣除</w:t>
      </w:r>
    </w:p>
    <w:p w14:paraId="1BD59C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（1）本项目对监狱和戒毒企业（简称监狱企业）给予</w:t>
      </w:r>
      <w:r>
        <w:rPr>
          <w:rFonts w:hint="eastAsia" w:ascii="仿宋" w:hAnsi="仿宋" w:eastAsia="仿宋" w:cs="仿宋"/>
          <w:b/>
          <w:sz w:val="24"/>
          <w:szCs w:val="24"/>
        </w:rPr>
        <w:t>10%</w:t>
      </w:r>
      <w:r>
        <w:rPr>
          <w:rFonts w:hint="eastAsia" w:ascii="仿宋" w:hAnsi="仿宋" w:eastAsia="仿宋" w:cs="仿宋"/>
          <w:bCs/>
          <w:sz w:val="24"/>
          <w:szCs w:val="24"/>
        </w:rPr>
        <w:t>的价格扣除，用扣除后的价格参与评审。</w:t>
      </w:r>
    </w:p>
    <w:p w14:paraId="7248B8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3D0690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（3）监狱企业标准请参照《关于政府采购支持监狱企业发展有关问题的通知》（财库[2014]68号）。</w:t>
      </w:r>
    </w:p>
    <w:p w14:paraId="403271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4.残疾人福利单位、监狱企业属于小型、微型企业的，不重复享受政策。</w:t>
      </w:r>
    </w:p>
    <w:p w14:paraId="122728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4%的扣除，用扣除后的价格参与评审。</w:t>
      </w:r>
    </w:p>
    <w:p w14:paraId="4FE4D9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6.联合体各方均为小型、微型企业（残疾人福利单位、监狱企业）的，联合体享受上述同类价格扣除，用扣除后的价格参与评审。</w:t>
      </w:r>
    </w:p>
    <w:p w14:paraId="143A870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val="0"/>
          <w:sz w:val="24"/>
          <w:szCs w:val="24"/>
          <w:u w:val="single"/>
        </w:rPr>
      </w:pPr>
      <w:r>
        <w:rPr>
          <w:rFonts w:hint="eastAsia" w:ascii="仿宋" w:hAnsi="仿宋" w:eastAsia="仿宋" w:cs="仿宋"/>
          <w:b/>
          <w:bCs w:val="0"/>
          <w:sz w:val="24"/>
          <w:szCs w:val="24"/>
        </w:rPr>
        <w:t>7.</w:t>
      </w:r>
      <w:r>
        <w:rPr>
          <w:rFonts w:hint="eastAsia" w:ascii="仿宋" w:hAnsi="仿宋" w:eastAsia="仿宋" w:cs="仿宋"/>
          <w:b/>
          <w:bCs w:val="0"/>
          <w:sz w:val="24"/>
          <w:szCs w:val="24"/>
          <w:u w:val="single"/>
        </w:rPr>
        <w:t>本项目专门面向中小企业采购的项目或者采购包，不再执行价格评审优惠的扶持政策。</w:t>
      </w:r>
    </w:p>
    <w:p w14:paraId="2A70A0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8.根据《江苏省政府采购信用管理暂行办法》的规定，供应商信用评价结果为三星的扣2分，评价结果为二星的扣3分，评价结果为一星的扣4分。</w:t>
      </w:r>
    </w:p>
    <w:p w14:paraId="5018A90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Cs/>
          <w:sz w:val="24"/>
          <w:szCs w:val="24"/>
        </w:rPr>
      </w:pPr>
      <w:r>
        <w:rPr>
          <w:rFonts w:hint="eastAsia" w:ascii="仿宋" w:hAnsi="仿宋" w:eastAsia="仿宋" w:cs="仿宋"/>
          <w:b/>
          <w:sz w:val="24"/>
          <w:szCs w:val="24"/>
        </w:rPr>
        <w:t>（四）成交供应商的确定</w:t>
      </w:r>
    </w:p>
    <w:p w14:paraId="005904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1.磋商小组应当根据综合评分情况，按照评审得分由高到低顺序推荐3名成交候选供应商，并编写评审报告。</w:t>
      </w:r>
    </w:p>
    <w:p w14:paraId="2F5257F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2.磋商评审时，评委对评审的细则若有争议，由磋商小组集体讨论确定，并对未尽情况有最终解释权。</w:t>
      </w:r>
    </w:p>
    <w:p w14:paraId="54C91F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3.对落标的供应商不做落标原因的解释。</w:t>
      </w:r>
    </w:p>
    <w:p w14:paraId="55D123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4.采购人委托磋商小组直接确定排名第一的成交候选人为成交供应商。</w:t>
      </w:r>
    </w:p>
    <w:p w14:paraId="22561DF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（五）公告成交结果</w:t>
      </w:r>
    </w:p>
    <w:p w14:paraId="7176E6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自确定成交供应商之日起2个工作日内，在江苏政府采购网公告成交结果，公告期限为1个工作日。</w:t>
      </w:r>
    </w:p>
    <w:p w14:paraId="5293521B">
      <w:pPr>
        <w:keepNext w:val="0"/>
        <w:keepLines w:val="0"/>
        <w:pageBreakBefore w:val="0"/>
        <w:tabs>
          <w:tab w:val="left" w:pos="6555"/>
          <w:tab w:val="right" w:pos="8306"/>
        </w:tabs>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（六）出现下列情形之一的，作无效响应处理</w:t>
      </w:r>
    </w:p>
    <w:p w14:paraId="315C64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1.同一供应商提交两个（含两个）以上不同的响应报价的。</w:t>
      </w:r>
    </w:p>
    <w:p w14:paraId="348115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 xml:space="preserve">2.不具备磋商文件中规定的资格要求的。 </w:t>
      </w:r>
    </w:p>
    <w:p w14:paraId="718A42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3.响应报价超过了采购预算或最高限价的。</w:t>
      </w:r>
    </w:p>
    <w:p w14:paraId="7D03A1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 xml:space="preserve">4. </w:t>
      </w:r>
      <w:r>
        <w:rPr>
          <w:rFonts w:hint="eastAsia" w:ascii="仿宋" w:hAnsi="仿宋" w:eastAsia="仿宋" w:cs="仿宋"/>
          <w:sz w:val="24"/>
          <w:szCs w:val="24"/>
        </w:rPr>
        <w:t>除非在磋商中磋商小组对采购需求中的技术、服务要求以及合同草案条款作了实质性变更，否则</w:t>
      </w:r>
      <w:r>
        <w:rPr>
          <w:rFonts w:hint="eastAsia" w:ascii="仿宋" w:hAnsi="仿宋" w:eastAsia="仿宋" w:cs="仿宋"/>
          <w:b/>
          <w:sz w:val="24"/>
          <w:szCs w:val="24"/>
        </w:rPr>
        <w:t>采购单位不接受供应商高于自己前一轮的磋商报价</w:t>
      </w:r>
      <w:r>
        <w:rPr>
          <w:rFonts w:hint="eastAsia" w:ascii="仿宋" w:hAnsi="仿宋" w:eastAsia="仿宋" w:cs="仿宋"/>
          <w:sz w:val="24"/>
          <w:szCs w:val="24"/>
        </w:rPr>
        <w:t>。</w:t>
      </w:r>
    </w:p>
    <w:p w14:paraId="036354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5.未通过符合性检查的。</w:t>
      </w:r>
    </w:p>
    <w:p w14:paraId="5CB900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6.不符合法律、法规和磋商文件中规定的其他实质性要求的。</w:t>
      </w:r>
    </w:p>
    <w:p w14:paraId="6D78E1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7.供应商被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7574B7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8.响应文件含有采购人不能接受的附加条件的。</w:t>
      </w:r>
    </w:p>
    <w:p w14:paraId="40CFC2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sz w:val="24"/>
          <w:szCs w:val="24"/>
        </w:rPr>
      </w:pPr>
      <w:r>
        <w:rPr>
          <w:rFonts w:hint="eastAsia" w:ascii="仿宋" w:hAnsi="仿宋" w:eastAsia="仿宋" w:cs="仿宋"/>
          <w:bCs/>
          <w:sz w:val="24"/>
          <w:szCs w:val="24"/>
        </w:rPr>
        <w:t>9</w:t>
      </w:r>
      <w:r>
        <w:rPr>
          <w:rFonts w:hint="eastAsia" w:ascii="仿宋" w:hAnsi="仿宋" w:eastAsia="仿宋" w:cs="仿宋"/>
          <w:b/>
          <w:sz w:val="24"/>
          <w:szCs w:val="24"/>
        </w:rPr>
        <w:t>.磋商小组认为供应商的报价明显低于其他通过符合性审查供应商的报价，有可能影响产品质量或者不能诚信履约的，应当要求其在20分钟内提供书面说明，必要时提交相关证明材料；供应商不能证明其报价合理性的，磋商小组应当将其作为无效响应处理。</w:t>
      </w:r>
    </w:p>
    <w:p w14:paraId="0996FA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10.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45DAEA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11.响应文件未按照磋商文件要求加盖电子签章。</w:t>
      </w:r>
    </w:p>
    <w:p w14:paraId="6B2C27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sz w:val="24"/>
          <w:szCs w:val="24"/>
        </w:rPr>
      </w:pPr>
      <w:r>
        <w:rPr>
          <w:rFonts w:hint="eastAsia" w:ascii="仿宋" w:hAnsi="仿宋" w:eastAsia="仿宋" w:cs="仿宋"/>
          <w:bCs/>
          <w:sz w:val="24"/>
          <w:szCs w:val="24"/>
        </w:rPr>
        <w:t>12.</w:t>
      </w:r>
      <w:r>
        <w:rPr>
          <w:rFonts w:hint="eastAsia" w:ascii="仿宋" w:hAnsi="仿宋" w:eastAsia="仿宋" w:cs="仿宋"/>
          <w:b/>
          <w:sz w:val="24"/>
          <w:szCs w:val="24"/>
        </w:rPr>
        <w:t>响应文件技术标得分低于本磋商文件技术标评分分值（85分）的50%时，视为未实质性响应采购文件要求，作为无效投标处理。</w:t>
      </w:r>
    </w:p>
    <w:p w14:paraId="4BFFBA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13.供应商在系统规定的时间内未成功解密电子响应文件的。</w:t>
      </w:r>
    </w:p>
    <w:p w14:paraId="216D27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14.供应商在规定的时间内未提交最终报价的。</w:t>
      </w:r>
    </w:p>
    <w:p w14:paraId="172877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15.未完整上传响应文件电子文档的,或上传的文件打不开的。</w:t>
      </w:r>
    </w:p>
    <w:p w14:paraId="7997F5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16.不同的供应商响应文件制作机器码、文件创建标识码一致的。</w:t>
      </w:r>
    </w:p>
    <w:p w14:paraId="7DD931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sz w:val="24"/>
          <w:szCs w:val="24"/>
        </w:rPr>
      </w:pPr>
      <w:r>
        <w:rPr>
          <w:rFonts w:hint="eastAsia" w:ascii="仿宋" w:hAnsi="仿宋" w:eastAsia="仿宋" w:cs="仿宋"/>
          <w:bCs/>
          <w:sz w:val="24"/>
          <w:szCs w:val="24"/>
        </w:rPr>
        <w:t>17.其他法律、法规及本磋商文件规定的属无效响应的情形。</w:t>
      </w:r>
    </w:p>
    <w:p w14:paraId="11866A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（七）出现下列情形之一的，本次竞争性磋商采购活动将被终止</w:t>
      </w:r>
    </w:p>
    <w:p w14:paraId="6A9565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1.因情况变化，不再符合规定的竞争性磋商采购方式适用情形的。</w:t>
      </w:r>
    </w:p>
    <w:p w14:paraId="2BD5E6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2.出现影响采购公正的违法、违规行为的。</w:t>
      </w:r>
    </w:p>
    <w:p w14:paraId="4CEEAF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除《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p>
    <w:p w14:paraId="19C7EA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4.在苏采云系统规定时间内成功解密电子响应文件的供应商不足3家的。</w:t>
      </w:r>
    </w:p>
    <w:p w14:paraId="067408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5.因重大变故，采购任务取消的。</w:t>
      </w:r>
    </w:p>
    <w:p w14:paraId="20F90A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6.磋商小组认定磋商文件存在歧义、重大缺陷导致评审工作无法进行。</w:t>
      </w:r>
    </w:p>
    <w:p w14:paraId="241F9C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7.因系统故障原因造成磋商无法继续进行的。</w:t>
      </w:r>
    </w:p>
    <w:p w14:paraId="0181BC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（八）其他</w:t>
      </w:r>
    </w:p>
    <w:p w14:paraId="368FCE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1021D3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当排名第一的中标候选人放弃中标、因不可抗力不能履行合同，或者被查实存在影响中标结果的违法行为等情形，不符合中标条件的，采购人可以按照评标委员会提出的中标候选人名单排序依次确定其他中标候选人为成交供应商，也可以重新招标。</w:t>
      </w:r>
    </w:p>
    <w:p w14:paraId="4B03B01A">
      <w:pPr>
        <w:ind w:left="695" w:firstLine="883"/>
        <w:rPr>
          <w:rFonts w:ascii="仿宋" w:hAnsi="仿宋" w:eastAsia="仿宋" w:cs="仿宋"/>
          <w:b/>
          <w:sz w:val="44"/>
          <w:szCs w:val="44"/>
        </w:rPr>
      </w:pPr>
      <w:r>
        <w:rPr>
          <w:rFonts w:hint="eastAsia" w:ascii="仿宋" w:hAnsi="仿宋" w:eastAsia="仿宋" w:cs="仿宋"/>
          <w:b/>
          <w:sz w:val="44"/>
          <w:szCs w:val="44"/>
        </w:rPr>
        <w:br w:type="page" w:clear="all"/>
      </w:r>
    </w:p>
    <w:p w14:paraId="67811B41">
      <w:pPr>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第五章  响应文件组成及格式</w:t>
      </w:r>
    </w:p>
    <w:p w14:paraId="2F9376CF">
      <w:pPr>
        <w:spacing w:line="360" w:lineRule="auto"/>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由资格审查证明文件、</w:t>
      </w:r>
      <w:r>
        <w:rPr>
          <w:rFonts w:hint="eastAsia" w:ascii="仿宋" w:hAnsi="仿宋" w:eastAsia="仿宋" w:cs="仿宋"/>
          <w:b/>
          <w:bCs/>
          <w:sz w:val="24"/>
          <w:szCs w:val="24"/>
        </w:rPr>
        <w:t>符合性审查、商务技术</w:t>
      </w:r>
      <w:r>
        <w:rPr>
          <w:rFonts w:hint="eastAsia" w:ascii="仿宋" w:hAnsi="仿宋" w:eastAsia="仿宋" w:cs="仿宋"/>
          <w:b/>
          <w:bCs/>
          <w:sz w:val="24"/>
          <w:szCs w:val="24"/>
          <w:lang w:val="zh-CN"/>
        </w:rPr>
        <w:t>响应文件、价格文件组成。</w:t>
      </w:r>
    </w:p>
    <w:p w14:paraId="522A9F2A">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一、资格审查证明文件</w:t>
      </w:r>
      <w:r>
        <w:rPr>
          <w:rFonts w:hint="eastAsia" w:ascii="仿宋" w:hAnsi="仿宋" w:eastAsia="仿宋" w:cs="仿宋"/>
          <w:b/>
          <w:bCs/>
          <w:sz w:val="24"/>
          <w:szCs w:val="24"/>
          <w:lang w:val="zh-CN"/>
        </w:rPr>
        <w:t>（不能出现商务技术文件、价格文件）</w:t>
      </w:r>
    </w:p>
    <w:p w14:paraId="48922620">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1.投标供应商符合《政府采购法》第二十二条规定条件的声明函（格式见附件1）；</w:t>
      </w:r>
    </w:p>
    <w:p w14:paraId="2970BAE6">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w:t>
      </w:r>
      <w:bookmarkStart w:id="96" w:name="OLE_LINK3"/>
      <w:r>
        <w:rPr>
          <w:rFonts w:hint="eastAsia" w:ascii="仿宋" w:hAnsi="仿宋" w:eastAsia="仿宋" w:cs="仿宋"/>
          <w:sz w:val="24"/>
          <w:szCs w:val="24"/>
          <w:lang w:val="zh-CN"/>
        </w:rPr>
        <w:t>法定代表人身份证明书</w:t>
      </w:r>
      <w:bookmarkEnd w:id="96"/>
      <w:r>
        <w:rPr>
          <w:rFonts w:hint="eastAsia" w:ascii="仿宋" w:hAnsi="仿宋" w:eastAsia="仿宋" w:cs="仿宋"/>
          <w:sz w:val="24"/>
          <w:szCs w:val="24"/>
          <w:lang w:val="zh-CN"/>
        </w:rPr>
        <w:t>（格式见附件2）；</w:t>
      </w:r>
    </w:p>
    <w:p w14:paraId="466CF709">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w:t>
      </w:r>
      <w:bookmarkStart w:id="97" w:name="OLE_LINK4"/>
      <w:r>
        <w:rPr>
          <w:rFonts w:hint="eastAsia" w:ascii="仿宋" w:hAnsi="仿宋" w:eastAsia="仿宋" w:cs="仿宋"/>
          <w:sz w:val="24"/>
          <w:szCs w:val="24"/>
          <w:lang w:val="zh-CN"/>
        </w:rPr>
        <w:t>法定代表人授权委托书原件</w:t>
      </w:r>
      <w:bookmarkEnd w:id="97"/>
      <w:r>
        <w:rPr>
          <w:rFonts w:hint="eastAsia" w:ascii="仿宋" w:hAnsi="仿宋" w:eastAsia="仿宋" w:cs="仿宋"/>
          <w:sz w:val="24"/>
          <w:szCs w:val="24"/>
          <w:lang w:val="zh-CN"/>
        </w:rPr>
        <w:t>，磋商代表本人身份证原件扫描件（格式见附件3）；</w:t>
      </w:r>
    </w:p>
    <w:p w14:paraId="1418D241">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w:t>
      </w:r>
      <w:bookmarkStart w:id="98" w:name="OLE_LINK7"/>
      <w:r>
        <w:rPr>
          <w:rFonts w:hint="eastAsia" w:ascii="仿宋" w:hAnsi="仿宋" w:eastAsia="仿宋" w:cs="仿宋"/>
          <w:sz w:val="24"/>
          <w:szCs w:val="24"/>
          <w:lang w:val="zh-CN"/>
        </w:rPr>
        <w:t>提供</w:t>
      </w:r>
      <w:bookmarkStart w:id="99" w:name="OLE_LINK6"/>
      <w:r>
        <w:rPr>
          <w:rFonts w:hint="eastAsia" w:ascii="仿宋" w:hAnsi="仿宋" w:eastAsia="仿宋" w:cs="仿宋"/>
          <w:sz w:val="24"/>
          <w:szCs w:val="24"/>
          <w:lang w:val="zh-CN"/>
        </w:rPr>
        <w:t>中小企业声明函</w:t>
      </w:r>
      <w:bookmarkEnd w:id="99"/>
      <w:r>
        <w:rPr>
          <w:rFonts w:hint="eastAsia" w:ascii="仿宋" w:hAnsi="仿宋" w:eastAsia="仿宋" w:cs="仿宋"/>
          <w:sz w:val="24"/>
          <w:szCs w:val="24"/>
          <w:lang w:val="zh-CN"/>
        </w:rPr>
        <w:t>（格式见附件4）或残疾人福利性单位声明函（格式见附件5）或监狱或戒毒企业证明材料（格式见附件6）</w:t>
      </w:r>
      <w:bookmarkEnd w:id="98"/>
      <w:r>
        <w:rPr>
          <w:rFonts w:hint="eastAsia" w:ascii="仿宋" w:hAnsi="仿宋" w:eastAsia="仿宋" w:cs="仿宋"/>
          <w:sz w:val="24"/>
          <w:szCs w:val="24"/>
          <w:lang w:val="zh-CN"/>
        </w:rPr>
        <w:t>（如有）</w:t>
      </w:r>
    </w:p>
    <w:p w14:paraId="4A7380D4">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5.供应商具有独立承担民事责任能力，提供法人或者其他组织的营业执照等证明文件。</w:t>
      </w:r>
    </w:p>
    <w:p w14:paraId="006304E5">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磋商公告资格要求提供相应的佐证材料；</w:t>
      </w:r>
    </w:p>
    <w:p w14:paraId="6F67EC87">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.其它需要提交的资格审查证明材料。</w:t>
      </w:r>
    </w:p>
    <w:p w14:paraId="495C6306">
      <w:pPr>
        <w:spacing w:line="360" w:lineRule="auto"/>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w:t>
      </w:r>
      <w:r>
        <w:rPr>
          <w:rFonts w:hint="eastAsia" w:ascii="仿宋" w:hAnsi="仿宋" w:eastAsia="仿宋" w:cs="仿宋"/>
          <w:b/>
          <w:bCs/>
          <w:sz w:val="24"/>
          <w:szCs w:val="24"/>
        </w:rPr>
        <w:t>如采购</w:t>
      </w:r>
      <w:r>
        <w:rPr>
          <w:rFonts w:hint="eastAsia" w:ascii="仿宋" w:hAnsi="仿宋" w:eastAsia="仿宋" w:cs="仿宋"/>
          <w:b/>
          <w:bCs/>
          <w:sz w:val="24"/>
          <w:szCs w:val="24"/>
          <w:lang w:val="zh-CN"/>
        </w:rPr>
        <w:t>文件要求提供的资格审查证明材料中没有对应的接口上传的资料，可以在本部分的其他材料的接口中上传）</w:t>
      </w:r>
    </w:p>
    <w:p w14:paraId="37CFFB2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二、符合性审查</w:t>
      </w:r>
    </w:p>
    <w:p w14:paraId="056A4EC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1.磋商响应函；</w:t>
      </w:r>
      <w:r>
        <w:rPr>
          <w:rFonts w:hint="eastAsia" w:ascii="仿宋" w:hAnsi="仿宋" w:eastAsia="仿宋" w:cs="仿宋"/>
          <w:sz w:val="24"/>
          <w:szCs w:val="24"/>
          <w:lang w:val="zh-CN"/>
        </w:rPr>
        <w:t>（格式见附件</w:t>
      </w:r>
      <w:r>
        <w:rPr>
          <w:rFonts w:hint="eastAsia" w:ascii="仿宋" w:hAnsi="仿宋" w:eastAsia="仿宋" w:cs="仿宋"/>
          <w:sz w:val="24"/>
          <w:szCs w:val="24"/>
        </w:rPr>
        <w:t>7</w:t>
      </w:r>
      <w:r>
        <w:rPr>
          <w:rFonts w:hint="eastAsia" w:ascii="仿宋" w:hAnsi="仿宋" w:eastAsia="仿宋" w:cs="仿宋"/>
          <w:sz w:val="24"/>
          <w:szCs w:val="24"/>
          <w:lang w:val="zh-CN"/>
        </w:rPr>
        <w:t>）</w:t>
      </w:r>
    </w:p>
    <w:p w14:paraId="07D3B66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2.</w:t>
      </w:r>
      <w:bookmarkStart w:id="100" w:name="OLE_LINK8"/>
      <w:r>
        <w:rPr>
          <w:rFonts w:hint="eastAsia" w:ascii="仿宋" w:hAnsi="仿宋" w:eastAsia="仿宋" w:cs="仿宋"/>
          <w:sz w:val="24"/>
          <w:szCs w:val="24"/>
        </w:rPr>
        <w:t>商务部分正负偏离表；</w:t>
      </w:r>
      <w:r>
        <w:rPr>
          <w:rFonts w:hint="eastAsia" w:ascii="仿宋" w:hAnsi="仿宋" w:eastAsia="仿宋" w:cs="仿宋"/>
          <w:sz w:val="24"/>
          <w:szCs w:val="24"/>
          <w:lang w:val="zh-CN"/>
        </w:rPr>
        <w:t>（格式见附件</w:t>
      </w:r>
      <w:r>
        <w:rPr>
          <w:rFonts w:hint="eastAsia" w:ascii="仿宋" w:hAnsi="仿宋" w:eastAsia="仿宋" w:cs="仿宋"/>
          <w:sz w:val="24"/>
          <w:szCs w:val="24"/>
        </w:rPr>
        <w:t>8</w:t>
      </w:r>
      <w:r>
        <w:rPr>
          <w:rFonts w:hint="eastAsia" w:ascii="仿宋" w:hAnsi="仿宋" w:eastAsia="仿宋" w:cs="仿宋"/>
          <w:sz w:val="24"/>
          <w:szCs w:val="24"/>
          <w:lang w:val="zh-CN"/>
        </w:rPr>
        <w:t>）</w:t>
      </w:r>
      <w:bookmarkEnd w:id="100"/>
    </w:p>
    <w:p w14:paraId="0BAF785F">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bookmarkStart w:id="101" w:name="OLE_LINK10"/>
      <w:r>
        <w:rPr>
          <w:rFonts w:hint="eastAsia" w:ascii="仿宋" w:hAnsi="仿宋" w:eastAsia="仿宋" w:cs="仿宋"/>
          <w:sz w:val="24"/>
          <w:szCs w:val="24"/>
        </w:rPr>
        <w:t>技术部分正负偏离表；</w:t>
      </w:r>
      <w:r>
        <w:rPr>
          <w:rFonts w:hint="eastAsia" w:ascii="仿宋" w:hAnsi="仿宋" w:eastAsia="仿宋" w:cs="仿宋"/>
          <w:sz w:val="24"/>
          <w:szCs w:val="24"/>
          <w:lang w:val="zh-CN"/>
        </w:rPr>
        <w:t>（格式见附件</w:t>
      </w:r>
      <w:r>
        <w:rPr>
          <w:rFonts w:hint="eastAsia" w:ascii="仿宋" w:hAnsi="仿宋" w:eastAsia="仿宋" w:cs="仿宋"/>
          <w:sz w:val="24"/>
          <w:szCs w:val="24"/>
        </w:rPr>
        <w:t>9</w:t>
      </w:r>
      <w:r>
        <w:rPr>
          <w:rFonts w:hint="eastAsia" w:ascii="仿宋" w:hAnsi="仿宋" w:eastAsia="仿宋" w:cs="仿宋"/>
          <w:sz w:val="24"/>
          <w:szCs w:val="24"/>
          <w:lang w:val="zh-CN"/>
        </w:rPr>
        <w:t>）</w:t>
      </w:r>
      <w:bookmarkEnd w:id="101"/>
    </w:p>
    <w:p w14:paraId="01A0D9F9">
      <w:pPr>
        <w:pStyle w:val="8"/>
        <w:spacing w:line="360" w:lineRule="auto"/>
        <w:ind w:left="0" w:firstLine="480" w:firstLineChars="200"/>
        <w:rPr>
          <w:rFonts w:ascii="仿宋" w:hAnsi="仿宋" w:eastAsia="仿宋" w:cs="仿宋"/>
        </w:rPr>
      </w:pPr>
      <w:r>
        <w:rPr>
          <w:rFonts w:hint="eastAsia" w:ascii="仿宋" w:hAnsi="仿宋" w:eastAsia="仿宋" w:cs="仿宋"/>
          <w:sz w:val="24"/>
          <w:szCs w:val="24"/>
          <w:lang w:val="zh-CN"/>
        </w:rPr>
        <w:t>★</w:t>
      </w:r>
      <w:r>
        <w:rPr>
          <w:rFonts w:hint="eastAsia" w:ascii="仿宋" w:hAnsi="仿宋" w:eastAsia="仿宋" w:cs="仿宋"/>
          <w:sz w:val="24"/>
          <w:szCs w:val="24"/>
        </w:rPr>
        <w:t>4.</w:t>
      </w:r>
      <w:bookmarkStart w:id="102" w:name="OLE_LINK11"/>
      <w:r>
        <w:rPr>
          <w:rFonts w:hint="eastAsia" w:ascii="仿宋" w:hAnsi="仿宋" w:eastAsia="仿宋" w:cs="仿宋"/>
          <w:sz w:val="24"/>
          <w:szCs w:val="24"/>
        </w:rPr>
        <w:t>相关承诺书（格式自拟）</w:t>
      </w:r>
      <w:bookmarkEnd w:id="102"/>
      <w:r>
        <w:rPr>
          <w:rFonts w:hint="eastAsia" w:ascii="仿宋" w:hAnsi="仿宋" w:eastAsia="仿宋" w:cs="仿宋"/>
          <w:sz w:val="24"/>
          <w:szCs w:val="24"/>
        </w:rPr>
        <w:t>；</w:t>
      </w:r>
    </w:p>
    <w:p w14:paraId="56B6CD5E">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u w:val="single"/>
        </w:rPr>
        <w:t>注明：上述1-4条款材料为符合性检查项，未提供或不符合要求均按无效响应处理。</w:t>
      </w:r>
    </w:p>
    <w:p w14:paraId="3532F408">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三、商务技术标包</w:t>
      </w:r>
      <w:r>
        <w:rPr>
          <w:rFonts w:hint="eastAsia" w:ascii="仿宋" w:hAnsi="仿宋" w:eastAsia="仿宋" w:cs="仿宋"/>
          <w:b/>
          <w:bCs/>
          <w:sz w:val="24"/>
          <w:szCs w:val="24"/>
        </w:rPr>
        <w:t>（应包括但不限于以下内容。不得出现报价，否则作废）</w:t>
      </w:r>
      <w:r>
        <w:rPr>
          <w:rFonts w:hint="eastAsia" w:ascii="仿宋" w:hAnsi="仿宋" w:eastAsia="仿宋" w:cs="仿宋"/>
          <w:sz w:val="24"/>
          <w:szCs w:val="24"/>
        </w:rPr>
        <w:t>：</w:t>
      </w:r>
    </w:p>
    <w:p w14:paraId="3B0CD1F8">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.商务技术评分标准中须提供的相关得分佐证材料；</w:t>
      </w:r>
    </w:p>
    <w:p w14:paraId="0B542DE8">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.供应商认为需要提交的其他商务技术材料。</w:t>
      </w:r>
    </w:p>
    <w:p w14:paraId="22E29C19">
      <w:pPr>
        <w:spacing w:line="360" w:lineRule="auto"/>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w:t>
      </w:r>
      <w:r>
        <w:rPr>
          <w:rFonts w:hint="eastAsia" w:ascii="仿宋" w:hAnsi="仿宋" w:eastAsia="仿宋" w:cs="仿宋"/>
          <w:b/>
          <w:bCs/>
          <w:sz w:val="24"/>
          <w:szCs w:val="24"/>
        </w:rPr>
        <w:t>如采购</w:t>
      </w:r>
      <w:r>
        <w:rPr>
          <w:rFonts w:hint="eastAsia" w:ascii="仿宋" w:hAnsi="仿宋" w:eastAsia="仿宋" w:cs="仿宋"/>
          <w:b/>
          <w:bCs/>
          <w:sz w:val="24"/>
          <w:szCs w:val="24"/>
          <w:lang w:val="zh-CN"/>
        </w:rPr>
        <w:t>文件要求提供的商务技术标材料中没有对应的接口上传的资料，可以在本部分的其他材料的接口中上传）</w:t>
      </w:r>
    </w:p>
    <w:p w14:paraId="3C30CF68">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四</w:t>
      </w:r>
      <w:r>
        <w:rPr>
          <w:rFonts w:hint="eastAsia" w:ascii="仿宋" w:hAnsi="仿宋" w:eastAsia="仿宋" w:cs="仿宋"/>
          <w:sz w:val="24"/>
          <w:szCs w:val="24"/>
          <w:lang w:val="zh-CN"/>
        </w:rPr>
        <w:t>、价格文件</w:t>
      </w:r>
    </w:p>
    <w:p w14:paraId="0A674E73">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1.磋商</w:t>
      </w:r>
      <w:r>
        <w:rPr>
          <w:rFonts w:hint="eastAsia" w:ascii="仿宋" w:hAnsi="仿宋" w:eastAsia="仿宋" w:cs="仿宋"/>
          <w:sz w:val="24"/>
          <w:szCs w:val="24"/>
        </w:rPr>
        <w:t>响应</w:t>
      </w:r>
      <w:r>
        <w:rPr>
          <w:rFonts w:hint="eastAsia" w:ascii="仿宋" w:hAnsi="仿宋" w:eastAsia="仿宋" w:cs="仿宋"/>
          <w:sz w:val="24"/>
          <w:szCs w:val="24"/>
          <w:lang w:val="zh-CN"/>
        </w:rPr>
        <w:t>报价</w:t>
      </w:r>
      <w:r>
        <w:rPr>
          <w:rFonts w:hint="eastAsia" w:ascii="仿宋" w:hAnsi="仿宋" w:eastAsia="仿宋" w:cs="仿宋"/>
          <w:sz w:val="24"/>
          <w:szCs w:val="24"/>
        </w:rPr>
        <w:t>总</w:t>
      </w:r>
      <w:r>
        <w:rPr>
          <w:rFonts w:hint="eastAsia" w:ascii="仿宋" w:hAnsi="仿宋" w:eastAsia="仿宋" w:cs="仿宋"/>
          <w:sz w:val="24"/>
          <w:szCs w:val="24"/>
          <w:lang w:val="zh-CN"/>
        </w:rPr>
        <w:t>表（首次）（格式见附件</w:t>
      </w:r>
      <w:r>
        <w:rPr>
          <w:rFonts w:hint="eastAsia" w:ascii="仿宋" w:hAnsi="仿宋" w:eastAsia="仿宋" w:cs="仿宋"/>
          <w:sz w:val="24"/>
          <w:szCs w:val="24"/>
        </w:rPr>
        <w:t>10</w:t>
      </w:r>
      <w:r>
        <w:rPr>
          <w:rFonts w:hint="eastAsia" w:ascii="仿宋" w:hAnsi="仿宋" w:eastAsia="仿宋" w:cs="仿宋"/>
          <w:sz w:val="24"/>
          <w:szCs w:val="24"/>
          <w:lang w:val="zh-CN"/>
        </w:rPr>
        <w:t>）；</w:t>
      </w:r>
    </w:p>
    <w:p w14:paraId="053E2FE8">
      <w:pPr>
        <w:spacing w:line="360" w:lineRule="auto"/>
        <w:ind w:firstLine="482" w:firstLineChars="200"/>
        <w:rPr>
          <w:rFonts w:ascii="仿宋" w:hAnsi="仿宋" w:eastAsia="仿宋" w:cs="仿宋"/>
          <w:b/>
          <w:bCs/>
          <w:sz w:val="24"/>
          <w:szCs w:val="24"/>
          <w:lang w:val="zh-CN"/>
        </w:rPr>
      </w:pPr>
      <w:r>
        <w:rPr>
          <w:rFonts w:hint="eastAsia" w:ascii="仿宋" w:hAnsi="仿宋" w:eastAsia="仿宋" w:cs="仿宋"/>
          <w:b/>
          <w:bCs/>
          <w:sz w:val="24"/>
          <w:szCs w:val="24"/>
          <w:lang w:val="zh-CN"/>
        </w:rPr>
        <w:t>（如</w:t>
      </w:r>
      <w:r>
        <w:rPr>
          <w:rFonts w:hint="eastAsia" w:ascii="仿宋" w:hAnsi="仿宋" w:eastAsia="仿宋" w:cs="仿宋"/>
          <w:b/>
          <w:bCs/>
          <w:sz w:val="24"/>
          <w:szCs w:val="24"/>
        </w:rPr>
        <w:t>采购</w:t>
      </w:r>
      <w:r>
        <w:rPr>
          <w:rFonts w:hint="eastAsia" w:ascii="仿宋" w:hAnsi="仿宋" w:eastAsia="仿宋" w:cs="仿宋"/>
          <w:b/>
          <w:bCs/>
          <w:sz w:val="24"/>
          <w:szCs w:val="24"/>
          <w:lang w:val="zh-CN"/>
        </w:rPr>
        <w:t>文件要求提供的价格标资料中没有对应的接口上传的资料可以在本部分的其他材料的接口中上传）</w:t>
      </w:r>
    </w:p>
    <w:p w14:paraId="058F06E5">
      <w:pPr>
        <w:ind w:left="695" w:firstLine="480"/>
        <w:rPr>
          <w:rFonts w:ascii="仿宋" w:hAnsi="仿宋" w:eastAsia="仿宋" w:cs="仿宋"/>
          <w:sz w:val="24"/>
          <w:szCs w:val="24"/>
          <w:lang w:val="zh-CN"/>
        </w:rPr>
      </w:pPr>
      <w:r>
        <w:rPr>
          <w:rFonts w:hint="eastAsia" w:ascii="仿宋" w:hAnsi="仿宋" w:eastAsia="仿宋" w:cs="仿宋"/>
          <w:sz w:val="24"/>
          <w:szCs w:val="24"/>
          <w:lang w:val="zh-CN"/>
        </w:rPr>
        <w:br w:type="page" w:clear="all"/>
      </w:r>
    </w:p>
    <w:p w14:paraId="018DC2E7">
      <w:pPr>
        <w:spacing w:line="360" w:lineRule="auto"/>
        <w:contextualSpacing/>
        <w:rPr>
          <w:rFonts w:ascii="仿宋" w:hAnsi="仿宋" w:eastAsia="仿宋" w:cs="仿宋"/>
          <w:sz w:val="32"/>
          <w:szCs w:val="32"/>
          <w:lang w:val="zh-CN"/>
        </w:rPr>
      </w:pPr>
      <w:r>
        <w:rPr>
          <w:rFonts w:hint="eastAsia" w:ascii="仿宋" w:hAnsi="仿宋" w:eastAsia="仿宋" w:cs="仿宋"/>
          <w:sz w:val="32"/>
          <w:szCs w:val="32"/>
          <w:lang w:val="zh-CN"/>
        </w:rPr>
        <w:t>附件1</w:t>
      </w:r>
    </w:p>
    <w:p w14:paraId="0B16A245">
      <w:pPr>
        <w:spacing w:line="360" w:lineRule="auto"/>
        <w:jc w:val="center"/>
        <w:rPr>
          <w:rFonts w:ascii="仿宋" w:hAnsi="仿宋" w:eastAsia="仿宋" w:cs="仿宋"/>
          <w:b/>
          <w:sz w:val="32"/>
          <w:szCs w:val="32"/>
        </w:rPr>
      </w:pPr>
      <w:bookmarkStart w:id="103" w:name="OLE_LINK13"/>
      <w:r>
        <w:rPr>
          <w:rFonts w:hint="eastAsia" w:ascii="仿宋" w:hAnsi="仿宋" w:eastAsia="仿宋" w:cs="仿宋"/>
          <w:b/>
          <w:sz w:val="30"/>
          <w:szCs w:val="30"/>
        </w:rPr>
        <w:t>投标供应商符合《政府采购法》第二十二条规定条件的声明函</w:t>
      </w:r>
    </w:p>
    <w:p w14:paraId="4FABAA25">
      <w:pPr>
        <w:spacing w:line="360" w:lineRule="auto"/>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（项目名称），</w:t>
      </w:r>
      <w:r>
        <w:rPr>
          <w:rFonts w:hint="eastAsia" w:ascii="仿宋" w:hAnsi="仿宋" w:eastAsia="仿宋" w:cs="仿宋"/>
          <w:bCs/>
          <w:sz w:val="24"/>
          <w:szCs w:val="21"/>
          <w:u w:val="single"/>
        </w:rPr>
        <w:t xml:space="preserve">   </w:t>
      </w:r>
      <w:r>
        <w:rPr>
          <w:rFonts w:hint="eastAsia" w:ascii="仿宋" w:hAnsi="仿宋" w:eastAsia="仿宋" w:cs="仿宋"/>
          <w:bCs/>
          <w:sz w:val="24"/>
          <w:szCs w:val="21"/>
          <w:u w:val="single"/>
          <w:lang w:val="en-US" w:eastAsia="zh-CN"/>
        </w:rPr>
        <w:t xml:space="preserve"> </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（项目编号）投标活动。针对《中华人民共和国政府采购法》第二十二条规定做出如下声明：</w:t>
      </w:r>
    </w:p>
    <w:p w14:paraId="21D3A0BF">
      <w:pPr>
        <w:spacing w:line="360" w:lineRule="auto"/>
        <w:ind w:firstLine="480" w:firstLineChars="200"/>
        <w:rPr>
          <w:rFonts w:ascii="仿宋" w:hAnsi="仿宋" w:eastAsia="仿宋" w:cs="仿宋"/>
          <w:sz w:val="24"/>
        </w:rPr>
      </w:pPr>
      <w:r>
        <w:rPr>
          <w:rFonts w:hint="eastAsia" w:ascii="仿宋" w:hAnsi="仿宋" w:eastAsia="仿宋" w:cs="仿宋"/>
          <w:bCs/>
          <w:sz w:val="24"/>
          <w:szCs w:val="21"/>
        </w:rPr>
        <w:t>1.我单位具有独立承担民事责任的能力；</w:t>
      </w:r>
    </w:p>
    <w:p w14:paraId="573ADC8C">
      <w:pPr>
        <w:spacing w:line="360" w:lineRule="auto"/>
        <w:ind w:firstLine="480" w:firstLineChars="200"/>
        <w:rPr>
          <w:rFonts w:ascii="仿宋" w:hAnsi="仿宋" w:eastAsia="仿宋" w:cs="仿宋"/>
          <w:sz w:val="24"/>
        </w:rPr>
      </w:pPr>
      <w:r>
        <w:rPr>
          <w:rFonts w:hint="eastAsia" w:ascii="仿宋" w:hAnsi="仿宋" w:eastAsia="仿宋" w:cs="仿宋"/>
          <w:sz w:val="24"/>
        </w:rPr>
        <w:t>2.我单位具有良好的商业信誉和健全的财务会计制度；</w:t>
      </w:r>
    </w:p>
    <w:p w14:paraId="4BE39346">
      <w:pPr>
        <w:spacing w:line="360" w:lineRule="auto"/>
        <w:ind w:firstLine="480" w:firstLineChars="200"/>
        <w:rPr>
          <w:rFonts w:ascii="仿宋" w:hAnsi="仿宋" w:eastAsia="仿宋" w:cs="仿宋"/>
          <w:sz w:val="24"/>
        </w:rPr>
      </w:pPr>
      <w:r>
        <w:rPr>
          <w:rFonts w:hint="eastAsia" w:ascii="仿宋" w:hAnsi="仿宋" w:eastAsia="仿宋" w:cs="仿宋"/>
          <w:sz w:val="24"/>
        </w:rPr>
        <w:t>3.我单位具有履行合同所必需的设备和专业技术能力；</w:t>
      </w:r>
    </w:p>
    <w:p w14:paraId="44887D38">
      <w:pPr>
        <w:spacing w:line="360" w:lineRule="auto"/>
        <w:ind w:firstLine="480" w:firstLineChars="200"/>
        <w:rPr>
          <w:rFonts w:ascii="仿宋" w:hAnsi="仿宋" w:eastAsia="仿宋" w:cs="仿宋"/>
          <w:sz w:val="24"/>
        </w:rPr>
      </w:pPr>
      <w:r>
        <w:rPr>
          <w:rFonts w:hint="eastAsia" w:ascii="仿宋" w:hAnsi="仿宋" w:eastAsia="仿宋" w:cs="仿宋"/>
          <w:sz w:val="24"/>
        </w:rPr>
        <w:t>4.我单位有依法缴纳税收和社会保障资金的良好记录；</w:t>
      </w:r>
    </w:p>
    <w:p w14:paraId="407478B0">
      <w:pPr>
        <w:spacing w:line="360" w:lineRule="auto"/>
        <w:ind w:firstLine="480" w:firstLineChars="20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3BB503F">
      <w:pPr>
        <w:spacing w:line="360" w:lineRule="auto"/>
        <w:ind w:firstLine="480" w:firstLineChars="200"/>
        <w:rPr>
          <w:rFonts w:ascii="仿宋" w:hAnsi="仿宋" w:eastAsia="仿宋" w:cs="仿宋"/>
          <w:sz w:val="24"/>
        </w:rPr>
      </w:pPr>
      <w:r>
        <w:rPr>
          <w:rFonts w:hint="eastAsia" w:ascii="仿宋" w:hAnsi="仿宋" w:eastAsia="仿宋" w:cs="仿宋"/>
          <w:sz w:val="24"/>
        </w:rPr>
        <w:t>6.我单位满足法律、行政法规规定的其他条件。</w:t>
      </w:r>
    </w:p>
    <w:p w14:paraId="7DED90F2">
      <w:pPr>
        <w:spacing w:line="360" w:lineRule="auto"/>
        <w:ind w:left="695" w:firstLine="480"/>
        <w:jc w:val="center"/>
        <w:rPr>
          <w:rFonts w:ascii="仿宋" w:hAnsi="仿宋" w:eastAsia="仿宋" w:cs="仿宋"/>
          <w:bCs/>
          <w:sz w:val="24"/>
          <w:szCs w:val="21"/>
        </w:rPr>
      </w:pPr>
      <w:r>
        <w:rPr>
          <w:rFonts w:hint="eastAsia" w:ascii="仿宋" w:hAnsi="仿宋" w:eastAsia="仿宋" w:cs="仿宋"/>
          <w:bCs/>
          <w:sz w:val="24"/>
          <w:szCs w:val="21"/>
        </w:rPr>
        <w:t xml:space="preserve">       </w:t>
      </w:r>
    </w:p>
    <w:p w14:paraId="00A82A4E">
      <w:pPr>
        <w:spacing w:line="360" w:lineRule="auto"/>
        <w:ind w:left="695" w:firstLine="480"/>
        <w:jc w:val="center"/>
        <w:rPr>
          <w:rFonts w:ascii="仿宋" w:hAnsi="仿宋" w:eastAsia="仿宋" w:cs="仿宋"/>
          <w:bCs/>
          <w:sz w:val="24"/>
          <w:szCs w:val="21"/>
        </w:rPr>
      </w:pPr>
    </w:p>
    <w:p w14:paraId="1BA9EE3B">
      <w:pPr>
        <w:spacing w:line="360" w:lineRule="auto"/>
        <w:ind w:left="695" w:firstLine="480"/>
        <w:jc w:val="center"/>
        <w:rPr>
          <w:rFonts w:ascii="仿宋" w:hAnsi="仿宋" w:eastAsia="仿宋" w:cs="仿宋"/>
          <w:bCs/>
          <w:sz w:val="24"/>
          <w:szCs w:val="21"/>
        </w:rPr>
      </w:pPr>
      <w:r>
        <w:rPr>
          <w:rFonts w:hint="eastAsia" w:ascii="仿宋" w:hAnsi="仿宋" w:eastAsia="仿宋" w:cs="仿宋"/>
          <w:bCs/>
          <w:sz w:val="24"/>
          <w:szCs w:val="21"/>
        </w:rPr>
        <w:t>承诺人名称（公章）：</w:t>
      </w:r>
    </w:p>
    <w:p w14:paraId="1106DD1E">
      <w:pPr>
        <w:spacing w:line="360" w:lineRule="auto"/>
        <w:ind w:left="695" w:firstLine="480"/>
        <w:jc w:val="right"/>
        <w:rPr>
          <w:rFonts w:ascii="仿宋" w:hAnsi="仿宋" w:eastAsia="仿宋" w:cs="仿宋"/>
          <w:bCs/>
          <w:sz w:val="24"/>
          <w:szCs w:val="21"/>
        </w:rPr>
      </w:pPr>
      <w:r>
        <w:rPr>
          <w:rFonts w:hint="eastAsia" w:ascii="仿宋" w:hAnsi="仿宋" w:eastAsia="仿宋" w:cs="仿宋"/>
          <w:bCs/>
          <w:sz w:val="24"/>
          <w:szCs w:val="21"/>
        </w:rPr>
        <w:t>日期：</w:t>
      </w:r>
      <w:r>
        <w:rPr>
          <w:rFonts w:hint="eastAsia" w:ascii="仿宋" w:hAnsi="仿宋" w:eastAsia="仿宋" w:cs="仿宋"/>
          <w:bCs/>
          <w:sz w:val="24"/>
          <w:szCs w:val="21"/>
          <w:u w:val="single"/>
        </w:rPr>
        <w:t>2025</w:t>
      </w:r>
      <w:r>
        <w:rPr>
          <w:rFonts w:hint="eastAsia" w:ascii="仿宋" w:hAnsi="仿宋" w:eastAsia="仿宋" w:cs="仿宋"/>
          <w:bCs/>
          <w:sz w:val="24"/>
          <w:szCs w:val="21"/>
        </w:rPr>
        <w:t>年</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月</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日</w:t>
      </w:r>
      <w:bookmarkEnd w:id="103"/>
    </w:p>
    <w:p w14:paraId="591E8DA5">
      <w:pPr>
        <w:ind w:left="695" w:firstLine="640"/>
        <w:rPr>
          <w:rFonts w:ascii="仿宋" w:hAnsi="仿宋" w:eastAsia="仿宋" w:cs="仿宋"/>
          <w:sz w:val="32"/>
          <w:szCs w:val="32"/>
          <w:lang w:val="zh-CN"/>
        </w:rPr>
      </w:pPr>
      <w:r>
        <w:rPr>
          <w:rFonts w:hint="eastAsia" w:ascii="仿宋" w:hAnsi="仿宋" w:eastAsia="仿宋" w:cs="仿宋"/>
          <w:sz w:val="32"/>
          <w:szCs w:val="32"/>
          <w:lang w:val="zh-CN"/>
        </w:rPr>
        <w:br w:type="page" w:clear="all"/>
      </w:r>
    </w:p>
    <w:p w14:paraId="1056478F">
      <w:pPr>
        <w:spacing w:line="360" w:lineRule="auto"/>
        <w:contextualSpacing/>
        <w:rPr>
          <w:rFonts w:ascii="仿宋" w:hAnsi="仿宋" w:eastAsia="仿宋" w:cs="仿宋"/>
          <w:b/>
          <w:bCs/>
          <w:sz w:val="32"/>
          <w:szCs w:val="32"/>
        </w:rPr>
      </w:pPr>
      <w:r>
        <w:rPr>
          <w:rFonts w:hint="eastAsia" w:ascii="仿宋" w:hAnsi="仿宋" w:eastAsia="仿宋" w:cs="仿宋"/>
          <w:sz w:val="32"/>
          <w:szCs w:val="32"/>
          <w:lang w:val="zh-CN"/>
        </w:rPr>
        <w:t>附件2</w:t>
      </w:r>
    </w:p>
    <w:p w14:paraId="176DDF21">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法定代表人身份证明</w:t>
      </w:r>
    </w:p>
    <w:p w14:paraId="1F1C55B6">
      <w:pPr>
        <w:spacing w:line="360" w:lineRule="auto"/>
        <w:ind w:firstLine="480" w:firstLineChars="200"/>
        <w:rPr>
          <w:rFonts w:ascii="仿宋" w:hAnsi="仿宋" w:eastAsia="仿宋" w:cs="仿宋"/>
          <w:sz w:val="24"/>
        </w:rPr>
      </w:pPr>
      <w:r>
        <w:rPr>
          <w:rFonts w:hint="eastAsia" w:ascii="仿宋" w:hAnsi="仿宋" w:eastAsia="仿宋" w:cs="仿宋"/>
          <w:sz w:val="24"/>
        </w:rPr>
        <w:t>先生/女士： 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9EC4B85">
      <w:pPr>
        <w:spacing w:line="360" w:lineRule="auto"/>
        <w:ind w:firstLine="480" w:firstLineChars="200"/>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3CD77C5C">
      <w:pPr>
        <w:spacing w:line="360" w:lineRule="auto"/>
        <w:ind w:firstLine="482" w:firstLineChars="200"/>
        <w:rPr>
          <w:rFonts w:ascii="仿宋" w:hAnsi="仿宋" w:eastAsia="仿宋" w:cs="仿宋"/>
          <w:b/>
          <w:sz w:val="24"/>
        </w:rPr>
      </w:pPr>
      <w:r>
        <w:rPr>
          <w:rFonts w:hint="eastAsia" w:ascii="仿宋" w:hAnsi="仿宋" w:eastAsia="仿宋" w:cs="仿宋"/>
          <w:b/>
          <w:sz w:val="24"/>
        </w:rPr>
        <w:t>注：提供法定代表人的身份证原件扫描件盖公章</w:t>
      </w:r>
    </w:p>
    <w:p w14:paraId="360B7671">
      <w:pPr>
        <w:spacing w:line="360" w:lineRule="auto"/>
        <w:rPr>
          <w:rFonts w:ascii="仿宋" w:hAnsi="仿宋" w:eastAsia="仿宋" w:cs="仿宋"/>
          <w:sz w:val="24"/>
          <w:szCs w:val="24"/>
        </w:rPr>
      </w:pPr>
    </w:p>
    <w:p w14:paraId="3BE2C735">
      <w:pPr>
        <w:spacing w:line="360" w:lineRule="auto"/>
        <w:rPr>
          <w:rFonts w:ascii="仿宋" w:hAnsi="仿宋" w:eastAsia="仿宋" w:cs="仿宋"/>
          <w:sz w:val="24"/>
          <w:szCs w:val="24"/>
        </w:rPr>
      </w:pPr>
    </w:p>
    <w:p w14:paraId="74B1374C">
      <w:pPr>
        <w:spacing w:line="360" w:lineRule="auto"/>
        <w:ind w:firstLine="240" w:firstLineChars="10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0FD6B939">
      <w:pPr>
        <w:spacing w:line="360" w:lineRule="auto"/>
        <w:ind w:firstLine="240" w:firstLineChars="100"/>
        <w:jc w:val="center"/>
        <w:rPr>
          <w:rFonts w:ascii="仿宋" w:hAnsi="仿宋" w:eastAsia="仿宋" w:cs="仿宋"/>
          <w:bCs/>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Cs/>
          <w:sz w:val="24"/>
          <w:szCs w:val="24"/>
        </w:rPr>
        <w:t>日期：</w:t>
      </w:r>
    </w:p>
    <w:p w14:paraId="208AC172">
      <w:pPr>
        <w:spacing w:line="360" w:lineRule="auto"/>
        <w:ind w:left="695" w:firstLine="640"/>
        <w:rPr>
          <w:rFonts w:ascii="仿宋" w:hAnsi="仿宋" w:eastAsia="仿宋" w:cs="仿宋"/>
          <w:sz w:val="32"/>
          <w:szCs w:val="32"/>
          <w:lang w:val="zh-CN"/>
        </w:rPr>
      </w:pPr>
      <w:r>
        <w:rPr>
          <w:rFonts w:hint="eastAsia" w:ascii="仿宋" w:hAnsi="仿宋" w:eastAsia="仿宋" w:cs="仿宋"/>
          <w:sz w:val="32"/>
          <w:szCs w:val="32"/>
          <w:lang w:val="zh-CN"/>
        </w:rPr>
        <w:br w:type="page" w:clear="all"/>
      </w:r>
    </w:p>
    <w:p w14:paraId="6F7F7205">
      <w:pPr>
        <w:spacing w:line="400" w:lineRule="exact"/>
        <w:contextualSpacing/>
        <w:rPr>
          <w:rFonts w:ascii="仿宋" w:hAnsi="仿宋" w:eastAsia="仿宋" w:cs="仿宋"/>
          <w:sz w:val="32"/>
          <w:szCs w:val="32"/>
          <w:lang w:val="zh-CN"/>
        </w:rPr>
      </w:pPr>
      <w:r>
        <w:rPr>
          <w:rFonts w:hint="eastAsia" w:ascii="仿宋" w:hAnsi="仿宋" w:eastAsia="仿宋" w:cs="仿宋"/>
          <w:sz w:val="32"/>
          <w:szCs w:val="32"/>
          <w:lang w:val="zh-CN"/>
        </w:rPr>
        <w:t>附件3</w:t>
      </w:r>
    </w:p>
    <w:p w14:paraId="37276F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0"/>
          <w:szCs w:val="30"/>
        </w:rPr>
      </w:pPr>
      <w:bookmarkStart w:id="104" w:name="OLE_LINK14"/>
      <w:r>
        <w:rPr>
          <w:rFonts w:hint="eastAsia" w:ascii="仿宋" w:hAnsi="仿宋" w:eastAsia="仿宋" w:cs="仿宋"/>
          <w:b/>
          <w:sz w:val="30"/>
          <w:szCs w:val="30"/>
        </w:rPr>
        <w:t>法定代表人授权委托书</w:t>
      </w:r>
    </w:p>
    <w:p w14:paraId="5B6BE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（授权单位名称）的法定代表人，现委托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（姓名）（身份证</w:t>
      </w:r>
      <w:r>
        <w:rPr>
          <w:rFonts w:hint="eastAsia" w:ascii="仿宋" w:hAnsi="仿宋" w:eastAsia="仿宋" w:cs="仿宋"/>
          <w:sz w:val="24"/>
          <w:szCs w:val="24"/>
          <w:lang w:eastAsia="zh-CN"/>
        </w:rPr>
        <w:t>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）为我方代理人，以我方名义全权处理与本次采购项目</w:t>
      </w:r>
      <w:r>
        <w:rPr>
          <w:rFonts w:hint="eastAsia" w:ascii="仿宋" w:hAnsi="仿宋" w:eastAsia="仿宋" w:cs="仿宋"/>
          <w:sz w:val="24"/>
          <w:szCs w:val="24"/>
          <w:u w:val="single"/>
          <w:lang w:val="en-US" w:eastAsia="zh-CN"/>
        </w:rPr>
        <w:t xml:space="preserve">            （项目名称）</w:t>
      </w:r>
      <w:r>
        <w:rPr>
          <w:rFonts w:hint="eastAsia" w:ascii="仿宋" w:hAnsi="仿宋" w:eastAsia="仿宋" w:cs="仿宋"/>
          <w:sz w:val="24"/>
          <w:szCs w:val="24"/>
        </w:rPr>
        <w:t>（</w:t>
      </w:r>
      <w:r>
        <w:rPr>
          <w:rFonts w:hint="eastAsia" w:ascii="仿宋" w:hAnsi="仿宋" w:eastAsia="仿宋" w:cs="仿宋"/>
          <w:sz w:val="24"/>
          <w:szCs w:val="24"/>
          <w:lang w:eastAsia="zh-CN"/>
        </w:rPr>
        <w:t>项目</w:t>
      </w:r>
      <w:r>
        <w:rPr>
          <w:rFonts w:hint="eastAsia" w:ascii="仿宋" w:hAnsi="仿宋" w:eastAsia="仿宋" w:cs="仿宋"/>
          <w:sz w:val="24"/>
          <w:szCs w:val="24"/>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）有关的一切事务，其法律后果由我方承担。</w:t>
      </w:r>
    </w:p>
    <w:p w14:paraId="30252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lang w:val="en-US" w:eastAsia="zh-CN"/>
        </w:rPr>
        <w:t>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日起生效。代理人无转委托权。</w:t>
      </w:r>
    </w:p>
    <w:p w14:paraId="4F71C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代理人(被授权人)</w:t>
      </w:r>
      <w:r>
        <w:rPr>
          <w:rFonts w:hint="eastAsia" w:ascii="仿宋" w:hAnsi="仿宋" w:eastAsia="仿宋" w:cs="仿宋"/>
          <w:sz w:val="24"/>
          <w:szCs w:val="24"/>
          <w:lang w:eastAsia="zh-CN"/>
        </w:rPr>
        <w:t>：</w:t>
      </w:r>
    </w:p>
    <w:p w14:paraId="198CB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授权单位名称（盖章）：</w:t>
      </w:r>
    </w:p>
    <w:p w14:paraId="2A55C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授权单位法定代表人（签字或盖章）：</w:t>
      </w:r>
    </w:p>
    <w:p w14:paraId="0D90AC87">
      <w:pPr>
        <w:keepNext w:val="0"/>
        <w:keepLines w:val="0"/>
        <w:pageBreakBefore w:val="0"/>
        <w:widowControl w:val="0"/>
        <w:kinsoku/>
        <w:wordWrap/>
        <w:overflowPunct/>
        <w:topLinePunct w:val="0"/>
        <w:autoSpaceDE/>
        <w:autoSpaceDN/>
        <w:bidi w:val="0"/>
        <w:adjustRightInd/>
        <w:snapToGrid/>
        <w:spacing w:line="360" w:lineRule="auto"/>
        <w:ind w:left="695" w:firstLine="480"/>
        <w:jc w:val="right"/>
        <w:textAlignment w:val="auto"/>
        <w:rPr>
          <w:rFonts w:ascii="仿宋" w:hAnsi="仿宋" w:eastAsia="仿宋" w:cs="仿宋"/>
          <w:sz w:val="24"/>
          <w:szCs w:val="24"/>
        </w:rPr>
      </w:pPr>
      <w:r>
        <w:rPr>
          <w:rFonts w:hint="eastAsia" w:ascii="仿宋" w:hAnsi="仿宋" w:eastAsia="仿宋" w:cs="仿宋"/>
          <w:sz w:val="24"/>
          <w:szCs w:val="24"/>
        </w:rPr>
        <w:t>2025年  月  日</w:t>
      </w:r>
    </w:p>
    <w:p w14:paraId="27984A3C">
      <w:pPr>
        <w:keepNext w:val="0"/>
        <w:keepLines w:val="0"/>
        <w:pageBreakBefore w:val="0"/>
        <w:widowControl w:val="0"/>
        <w:kinsoku/>
        <w:wordWrap/>
        <w:overflowPunct/>
        <w:topLinePunct w:val="0"/>
        <w:autoSpaceDE/>
        <w:autoSpaceDN/>
        <w:bidi w:val="0"/>
        <w:adjustRightInd/>
        <w:snapToGrid/>
        <w:spacing w:line="360" w:lineRule="auto"/>
        <w:ind w:left="695" w:firstLine="482"/>
        <w:contextualSpacing/>
        <w:textAlignment w:val="auto"/>
        <w:rPr>
          <w:rFonts w:ascii="仿宋" w:hAnsi="仿宋" w:eastAsia="仿宋" w:cs="仿宋"/>
          <w:b/>
          <w:sz w:val="24"/>
          <w:szCs w:val="24"/>
        </w:rPr>
      </w:pPr>
      <w:r>
        <w:rPr>
          <w:rFonts w:hint="eastAsia" w:ascii="仿宋" w:hAnsi="仿宋" w:eastAsia="仿宋" w:cs="仿宋"/>
          <w:b/>
          <w:sz w:val="24"/>
          <w:szCs w:val="24"/>
        </w:rPr>
        <w:t>注：提供被授权人本人身份证原件扫描件盖公章</w:t>
      </w:r>
      <w:bookmarkEnd w:id="104"/>
    </w:p>
    <w:p w14:paraId="73C862F1">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sz w:val="32"/>
          <w:szCs w:val="32"/>
          <w:lang w:val="zh-CN"/>
        </w:rPr>
      </w:pPr>
      <w:r>
        <w:rPr>
          <w:rFonts w:hint="eastAsia" w:ascii="仿宋" w:hAnsi="仿宋" w:eastAsia="仿宋" w:cs="仿宋"/>
          <w:sz w:val="32"/>
          <w:szCs w:val="32"/>
        </w:rPr>
        <w:br w:type="page" w:clear="all"/>
      </w:r>
      <w:r>
        <w:rPr>
          <w:rFonts w:hint="eastAsia" w:ascii="仿宋" w:hAnsi="仿宋" w:eastAsia="仿宋" w:cs="仿宋"/>
          <w:sz w:val="32"/>
          <w:szCs w:val="32"/>
          <w:lang w:val="zh-CN"/>
        </w:rPr>
        <w:t>附件</w:t>
      </w:r>
      <w:r>
        <w:rPr>
          <w:rFonts w:hint="eastAsia" w:ascii="仿宋" w:hAnsi="仿宋" w:eastAsia="仿宋" w:cs="仿宋"/>
          <w:sz w:val="32"/>
          <w:szCs w:val="32"/>
        </w:rPr>
        <w:t>4</w:t>
      </w:r>
    </w:p>
    <w:p w14:paraId="5C51CA5E">
      <w:pPr>
        <w:spacing w:line="360" w:lineRule="auto"/>
        <w:jc w:val="center"/>
        <w:rPr>
          <w:rFonts w:hint="eastAsia" w:ascii="仿宋" w:hAnsi="仿宋" w:eastAsia="仿宋" w:cs="仿宋"/>
          <w:b/>
          <w:sz w:val="30"/>
          <w:szCs w:val="30"/>
        </w:rPr>
      </w:pPr>
      <w:bookmarkStart w:id="105" w:name="OLE_LINK15"/>
      <w:bookmarkStart w:id="106" w:name="OLE_LINK16"/>
      <w:r>
        <w:rPr>
          <w:rFonts w:hint="eastAsia" w:ascii="仿宋" w:hAnsi="仿宋" w:eastAsia="仿宋" w:cs="仿宋"/>
          <w:b/>
          <w:sz w:val="30"/>
          <w:szCs w:val="30"/>
        </w:rPr>
        <w:t>中小企业声明函（服务）</w:t>
      </w:r>
    </w:p>
    <w:bookmarkEnd w:id="105"/>
    <w:p w14:paraId="642FF6A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lang w:bidi="zh-CN"/>
        </w:rPr>
        <w:t>（单位名称）</w:t>
      </w:r>
      <w:r>
        <w:rPr>
          <w:rFonts w:hint="eastAsia" w:ascii="仿宋" w:hAnsi="仿宋" w:eastAsia="仿宋" w:cs="仿宋"/>
          <w:color w:val="auto"/>
          <w:sz w:val="24"/>
          <w:szCs w:val="24"/>
          <w:highlight w:val="none"/>
          <w:lang w:bidi="zh-CN"/>
        </w:rPr>
        <w:t>的</w:t>
      </w:r>
      <w:r>
        <w:rPr>
          <w:rFonts w:hint="eastAsia" w:ascii="仿宋" w:hAnsi="仿宋" w:eastAsia="仿宋" w:cs="仿宋"/>
          <w:color w:val="auto"/>
          <w:sz w:val="24"/>
          <w:szCs w:val="24"/>
          <w:highlight w:val="none"/>
          <w:u w:val="single"/>
          <w:lang w:bidi="zh-CN"/>
        </w:rPr>
        <w:t>（项目名称）</w:t>
      </w:r>
      <w:r>
        <w:rPr>
          <w:rFonts w:hint="eastAsia" w:ascii="仿宋" w:hAnsi="仿宋" w:eastAsia="仿宋" w:cs="仿宋"/>
          <w:color w:val="auto"/>
          <w:sz w:val="24"/>
          <w:szCs w:val="24"/>
          <w:highlight w:val="none"/>
          <w:lang w:bidi="zh-CN"/>
        </w:rPr>
        <w:t>采购活动，服务全部由符合政策要求的中小企业承接）。相关企业（含联合 体中的中小企业、签订分包意向协议的中小企业）的具体情况如下：</w:t>
      </w:r>
    </w:p>
    <w:p w14:paraId="1FBFB14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w:t>
      </w:r>
      <w:r>
        <w:rPr>
          <w:rFonts w:hint="eastAsia" w:ascii="仿宋" w:hAnsi="仿宋" w:eastAsia="仿宋" w:cs="仿宋"/>
          <w:color w:val="auto"/>
          <w:sz w:val="24"/>
          <w:szCs w:val="24"/>
          <w:highlight w:val="none"/>
          <w:u w:val="single"/>
          <w:lang w:bidi="zh-CN"/>
        </w:rPr>
        <w:t>（标的名称）</w:t>
      </w:r>
      <w:r>
        <w:rPr>
          <w:rFonts w:hint="eastAsia" w:ascii="仿宋" w:hAnsi="仿宋" w:eastAsia="仿宋" w:cs="仿宋"/>
          <w:color w:val="auto"/>
          <w:sz w:val="24"/>
          <w:szCs w:val="24"/>
          <w:highlight w:val="none"/>
          <w:lang w:bidi="zh-CN"/>
        </w:rPr>
        <w:t>，属于</w:t>
      </w:r>
      <w:r>
        <w:rPr>
          <w:rFonts w:hint="eastAsia" w:ascii="仿宋" w:hAnsi="仿宋" w:eastAsia="仿宋" w:cs="仿宋"/>
          <w:color w:val="auto"/>
          <w:sz w:val="24"/>
          <w:szCs w:val="24"/>
          <w:highlight w:val="none"/>
          <w:u w:val="single"/>
          <w:lang w:bidi="zh-CN"/>
        </w:rPr>
        <w:t>其他未列明行业</w:t>
      </w:r>
      <w:r>
        <w:rPr>
          <w:rFonts w:hint="eastAsia" w:ascii="仿宋" w:hAnsi="仿宋" w:eastAsia="仿宋" w:cs="仿宋"/>
          <w:color w:val="auto"/>
          <w:sz w:val="24"/>
          <w:szCs w:val="24"/>
          <w:highlight w:val="none"/>
          <w:lang w:bidi="zh-CN"/>
        </w:rPr>
        <w:t>（</w:t>
      </w:r>
      <w:r>
        <w:rPr>
          <w:rFonts w:hint="eastAsia" w:ascii="仿宋" w:hAnsi="仿宋" w:eastAsia="仿宋" w:cs="仿宋"/>
          <w:color w:val="auto"/>
          <w:sz w:val="24"/>
          <w:szCs w:val="24"/>
          <w:highlight w:val="none"/>
          <w:u w:val="single"/>
          <w:lang w:bidi="zh-CN"/>
        </w:rPr>
        <w:t>采购文件中明确的所属行业）</w:t>
      </w:r>
      <w:r>
        <w:rPr>
          <w:rFonts w:hint="eastAsia" w:ascii="仿宋" w:hAnsi="仿宋" w:eastAsia="仿宋" w:cs="仿宋"/>
          <w:color w:val="auto"/>
          <w:sz w:val="24"/>
          <w:szCs w:val="24"/>
          <w:highlight w:val="none"/>
          <w:lang w:bidi="zh-CN"/>
        </w:rPr>
        <w:t>；承建（承接）企业为</w:t>
      </w:r>
      <w:r>
        <w:rPr>
          <w:rFonts w:hint="eastAsia" w:ascii="仿宋" w:hAnsi="仿宋" w:eastAsia="仿宋" w:cs="仿宋"/>
          <w:color w:val="auto"/>
          <w:sz w:val="24"/>
          <w:szCs w:val="24"/>
          <w:highlight w:val="none"/>
          <w:u w:val="single"/>
          <w:lang w:bidi="zh-CN"/>
        </w:rPr>
        <w:t>（企业名称）</w:t>
      </w:r>
      <w:r>
        <w:rPr>
          <w:rFonts w:hint="eastAsia" w:ascii="仿宋" w:hAnsi="仿宋" w:eastAsia="仿宋" w:cs="仿宋"/>
          <w:color w:val="auto"/>
          <w:sz w:val="24"/>
          <w:szCs w:val="24"/>
          <w:highlight w:val="none"/>
          <w:lang w:bidi="zh-CN"/>
        </w:rPr>
        <w:t>，从业人员</w:t>
      </w:r>
      <w:r>
        <w:rPr>
          <w:rFonts w:hint="eastAsia" w:ascii="仿宋" w:hAnsi="仿宋" w:eastAsia="仿宋" w:cs="仿宋"/>
          <w:color w:val="auto"/>
          <w:sz w:val="24"/>
          <w:szCs w:val="24"/>
          <w:highlight w:val="none"/>
          <w:u w:val="single"/>
          <w:lang w:bidi="zh-CN"/>
        </w:rPr>
        <w:tab/>
      </w:r>
      <w:r>
        <w:rPr>
          <w:rFonts w:hint="eastAsia" w:ascii="仿宋" w:hAnsi="仿宋" w:eastAsia="仿宋" w:cs="仿宋"/>
          <w:color w:val="auto"/>
          <w:sz w:val="24"/>
          <w:szCs w:val="24"/>
          <w:highlight w:val="none"/>
          <w:lang w:bidi="zh-CN"/>
        </w:rPr>
        <w:t>人，营业收入为</w:t>
      </w:r>
      <w:r>
        <w:rPr>
          <w:rFonts w:hint="eastAsia" w:ascii="仿宋" w:hAnsi="仿宋" w:eastAsia="仿宋" w:cs="仿宋"/>
          <w:color w:val="auto"/>
          <w:sz w:val="24"/>
          <w:szCs w:val="24"/>
          <w:highlight w:val="none"/>
          <w:u w:val="single"/>
          <w:lang w:bidi="zh-CN"/>
        </w:rPr>
        <w:tab/>
      </w:r>
      <w:r>
        <w:rPr>
          <w:rFonts w:hint="eastAsia" w:ascii="仿宋" w:hAnsi="仿宋" w:eastAsia="仿宋" w:cs="仿宋"/>
          <w:color w:val="auto"/>
          <w:sz w:val="24"/>
          <w:szCs w:val="24"/>
          <w:highlight w:val="none"/>
          <w:lang w:bidi="zh-CN"/>
        </w:rPr>
        <w:t>万元，资产总额为</w:t>
      </w:r>
      <w:r>
        <w:rPr>
          <w:rFonts w:hint="eastAsia" w:ascii="仿宋" w:hAnsi="仿宋" w:eastAsia="仿宋" w:cs="仿宋"/>
          <w:color w:val="auto"/>
          <w:sz w:val="24"/>
          <w:szCs w:val="24"/>
          <w:highlight w:val="none"/>
          <w:u w:val="single"/>
          <w:lang w:bidi="zh-CN"/>
        </w:rPr>
        <w:tab/>
      </w:r>
      <w:r>
        <w:rPr>
          <w:rFonts w:hint="eastAsia" w:ascii="仿宋" w:hAnsi="仿宋" w:eastAsia="仿宋" w:cs="仿宋"/>
          <w:color w:val="auto"/>
          <w:sz w:val="24"/>
          <w:szCs w:val="24"/>
          <w:highlight w:val="none"/>
          <w:lang w:bidi="zh-CN"/>
        </w:rPr>
        <w:t>万元，属于</w:t>
      </w:r>
      <w:r>
        <w:rPr>
          <w:rFonts w:hint="eastAsia" w:ascii="仿宋" w:hAnsi="仿宋" w:eastAsia="仿宋" w:cs="仿宋"/>
          <w:color w:val="auto"/>
          <w:sz w:val="24"/>
          <w:szCs w:val="24"/>
          <w:highlight w:val="none"/>
          <w:u w:val="single"/>
          <w:lang w:bidi="zh-CN"/>
        </w:rPr>
        <w:t>（□中型企业 □小型企业 □微型企业）</w:t>
      </w:r>
      <w:r>
        <w:rPr>
          <w:rFonts w:hint="eastAsia" w:ascii="仿宋" w:hAnsi="仿宋" w:eastAsia="仿宋" w:cs="仿宋"/>
          <w:color w:val="auto"/>
          <w:sz w:val="24"/>
          <w:szCs w:val="24"/>
          <w:highlight w:val="none"/>
          <w:lang w:bidi="zh-CN"/>
        </w:rPr>
        <w:t>；</w:t>
      </w:r>
    </w:p>
    <w:p w14:paraId="2EF40F3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2.</w:t>
      </w:r>
      <w:r>
        <w:rPr>
          <w:rFonts w:hint="eastAsia" w:ascii="仿宋" w:hAnsi="仿宋" w:eastAsia="仿宋" w:cs="仿宋"/>
          <w:color w:val="auto"/>
          <w:sz w:val="24"/>
          <w:szCs w:val="24"/>
          <w:highlight w:val="none"/>
          <w:u w:val="single"/>
          <w:lang w:bidi="zh-CN"/>
        </w:rPr>
        <w:t>（标的名称）</w:t>
      </w:r>
      <w:r>
        <w:rPr>
          <w:rFonts w:hint="eastAsia" w:ascii="仿宋" w:hAnsi="仿宋" w:eastAsia="仿宋" w:cs="仿宋"/>
          <w:color w:val="auto"/>
          <w:sz w:val="24"/>
          <w:szCs w:val="24"/>
          <w:highlight w:val="none"/>
          <w:lang w:bidi="zh-CN"/>
        </w:rPr>
        <w:t>，属于</w:t>
      </w:r>
      <w:r>
        <w:rPr>
          <w:rFonts w:hint="eastAsia" w:ascii="仿宋" w:hAnsi="仿宋" w:eastAsia="仿宋" w:cs="仿宋"/>
          <w:color w:val="auto"/>
          <w:sz w:val="24"/>
          <w:szCs w:val="24"/>
          <w:highlight w:val="none"/>
          <w:u w:val="single"/>
          <w:lang w:bidi="zh-CN"/>
        </w:rPr>
        <w:t>其他未列明行业</w:t>
      </w:r>
      <w:r>
        <w:rPr>
          <w:rFonts w:hint="eastAsia" w:ascii="仿宋" w:hAnsi="仿宋" w:eastAsia="仿宋" w:cs="仿宋"/>
          <w:color w:val="auto"/>
          <w:sz w:val="24"/>
          <w:szCs w:val="24"/>
          <w:highlight w:val="none"/>
          <w:lang w:bidi="zh-CN"/>
        </w:rPr>
        <w:t>（</w:t>
      </w:r>
      <w:r>
        <w:rPr>
          <w:rFonts w:hint="eastAsia" w:ascii="仿宋" w:hAnsi="仿宋" w:eastAsia="仿宋" w:cs="仿宋"/>
          <w:color w:val="auto"/>
          <w:sz w:val="24"/>
          <w:szCs w:val="24"/>
          <w:highlight w:val="none"/>
          <w:u w:val="single"/>
          <w:lang w:bidi="zh-CN"/>
        </w:rPr>
        <w:t>采购文件中明确的所属行业）</w:t>
      </w:r>
      <w:r>
        <w:rPr>
          <w:rFonts w:hint="eastAsia" w:ascii="仿宋" w:hAnsi="仿宋" w:eastAsia="仿宋" w:cs="仿宋"/>
          <w:color w:val="auto"/>
          <w:sz w:val="24"/>
          <w:szCs w:val="24"/>
          <w:highlight w:val="none"/>
          <w:lang w:bidi="zh-CN"/>
        </w:rPr>
        <w:t>；承建（承接）企业为</w:t>
      </w:r>
      <w:r>
        <w:rPr>
          <w:rFonts w:hint="eastAsia" w:ascii="仿宋" w:hAnsi="仿宋" w:eastAsia="仿宋" w:cs="仿宋"/>
          <w:color w:val="auto"/>
          <w:sz w:val="24"/>
          <w:szCs w:val="24"/>
          <w:highlight w:val="none"/>
          <w:u w:val="single"/>
          <w:lang w:bidi="zh-CN"/>
        </w:rPr>
        <w:t>（企业名称）</w:t>
      </w:r>
      <w:r>
        <w:rPr>
          <w:rFonts w:hint="eastAsia" w:ascii="仿宋" w:hAnsi="仿宋" w:eastAsia="仿宋" w:cs="仿宋"/>
          <w:color w:val="auto"/>
          <w:sz w:val="24"/>
          <w:szCs w:val="24"/>
          <w:highlight w:val="none"/>
          <w:lang w:bidi="zh-CN"/>
        </w:rPr>
        <w:t>，从业人员</w:t>
      </w:r>
      <w:r>
        <w:rPr>
          <w:rFonts w:hint="eastAsia" w:ascii="仿宋" w:hAnsi="仿宋" w:eastAsia="仿宋" w:cs="仿宋"/>
          <w:color w:val="auto"/>
          <w:sz w:val="24"/>
          <w:szCs w:val="24"/>
          <w:highlight w:val="none"/>
          <w:u w:val="single"/>
          <w:lang w:bidi="zh-CN"/>
        </w:rPr>
        <w:tab/>
      </w:r>
      <w:r>
        <w:rPr>
          <w:rFonts w:hint="eastAsia" w:ascii="仿宋" w:hAnsi="仿宋" w:eastAsia="仿宋" w:cs="仿宋"/>
          <w:color w:val="auto"/>
          <w:sz w:val="24"/>
          <w:szCs w:val="24"/>
          <w:highlight w:val="none"/>
          <w:lang w:bidi="zh-CN"/>
        </w:rPr>
        <w:t>人，营业收入为</w:t>
      </w:r>
      <w:r>
        <w:rPr>
          <w:rFonts w:hint="eastAsia" w:ascii="仿宋" w:hAnsi="仿宋" w:eastAsia="仿宋" w:cs="仿宋"/>
          <w:color w:val="auto"/>
          <w:sz w:val="24"/>
          <w:szCs w:val="24"/>
          <w:highlight w:val="none"/>
          <w:u w:val="single"/>
          <w:lang w:bidi="zh-CN"/>
        </w:rPr>
        <w:tab/>
      </w:r>
      <w:r>
        <w:rPr>
          <w:rFonts w:hint="eastAsia" w:ascii="仿宋" w:hAnsi="仿宋" w:eastAsia="仿宋" w:cs="仿宋"/>
          <w:color w:val="auto"/>
          <w:sz w:val="24"/>
          <w:szCs w:val="24"/>
          <w:highlight w:val="none"/>
          <w:lang w:bidi="zh-CN"/>
        </w:rPr>
        <w:t>万元，资产总额为</w:t>
      </w:r>
      <w:r>
        <w:rPr>
          <w:rFonts w:hint="eastAsia" w:ascii="仿宋" w:hAnsi="仿宋" w:eastAsia="仿宋" w:cs="仿宋"/>
          <w:color w:val="auto"/>
          <w:sz w:val="24"/>
          <w:szCs w:val="24"/>
          <w:highlight w:val="none"/>
          <w:u w:val="single"/>
          <w:lang w:bidi="zh-CN"/>
        </w:rPr>
        <w:tab/>
      </w:r>
      <w:r>
        <w:rPr>
          <w:rFonts w:hint="eastAsia" w:ascii="仿宋" w:hAnsi="仿宋" w:eastAsia="仿宋" w:cs="仿宋"/>
          <w:color w:val="auto"/>
          <w:sz w:val="24"/>
          <w:szCs w:val="24"/>
          <w:highlight w:val="none"/>
          <w:lang w:bidi="zh-CN"/>
        </w:rPr>
        <w:t xml:space="preserve">万元，属于 </w:t>
      </w:r>
      <w:r>
        <w:rPr>
          <w:rFonts w:hint="eastAsia" w:ascii="仿宋" w:hAnsi="仿宋" w:eastAsia="仿宋" w:cs="仿宋"/>
          <w:color w:val="auto"/>
          <w:sz w:val="24"/>
          <w:szCs w:val="24"/>
          <w:highlight w:val="none"/>
          <w:u w:val="single"/>
          <w:lang w:bidi="zh-CN"/>
        </w:rPr>
        <w:t>（□中型企业 □小型企业 □微型企业）</w:t>
      </w:r>
      <w:r>
        <w:rPr>
          <w:rFonts w:hint="eastAsia" w:ascii="仿宋" w:hAnsi="仿宋" w:eastAsia="仿宋" w:cs="仿宋"/>
          <w:color w:val="auto"/>
          <w:sz w:val="24"/>
          <w:szCs w:val="24"/>
          <w:highlight w:val="none"/>
          <w:lang w:bidi="zh-CN"/>
        </w:rPr>
        <w:t>；</w:t>
      </w:r>
    </w:p>
    <w:p w14:paraId="11C1977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w:t>
      </w:r>
    </w:p>
    <w:p w14:paraId="1DF4EA2C">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以上企业，不属于大企业的分支机构，不存在控股股东为大企业的情形，也不存在与大企业的负责人为同一人的情形。</w:t>
      </w:r>
    </w:p>
    <w:p w14:paraId="74E045EE">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本企业对上述声明内容的真实性负责。如有虚假，将依法承担相应责任。</w:t>
      </w:r>
    </w:p>
    <w:p w14:paraId="2A224A2B">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eastAsia" w:ascii="仿宋" w:hAnsi="仿宋" w:eastAsia="仿宋" w:cs="仿宋"/>
          <w:color w:val="auto"/>
          <w:sz w:val="24"/>
          <w:szCs w:val="24"/>
          <w:highlight w:val="none"/>
          <w:lang w:bidi="zh-CN"/>
        </w:rPr>
      </w:pPr>
    </w:p>
    <w:p w14:paraId="263DDA3E">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eastAsia" w:ascii="仿宋" w:hAnsi="仿宋" w:eastAsia="仿宋" w:cs="仿宋"/>
          <w:color w:val="auto"/>
          <w:sz w:val="24"/>
          <w:szCs w:val="24"/>
          <w:highlight w:val="none"/>
          <w:lang w:bidi="zh-CN"/>
        </w:rPr>
      </w:pPr>
    </w:p>
    <w:p w14:paraId="7B273D40">
      <w:pPr>
        <w:keepNext w:val="0"/>
        <w:keepLines w:val="0"/>
        <w:pageBreakBefore w:val="0"/>
        <w:widowControl w:val="0"/>
        <w:kinsoku/>
        <w:wordWrap/>
        <w:overflowPunct/>
        <w:topLinePunct w:val="0"/>
        <w:autoSpaceDE/>
        <w:autoSpaceDN/>
        <w:bidi w:val="0"/>
        <w:adjustRightInd/>
        <w:snapToGrid/>
        <w:spacing w:line="300" w:lineRule="auto"/>
        <w:ind w:firstLine="3675"/>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sz w:val="24"/>
        </w:rPr>
        <w:t>供应商全称（加盖CA电子公章）</w:t>
      </w:r>
      <w:r>
        <w:rPr>
          <w:rFonts w:hint="eastAsia" w:ascii="仿宋" w:hAnsi="仿宋" w:eastAsia="仿宋" w:cs="仿宋"/>
          <w:color w:val="auto"/>
          <w:sz w:val="24"/>
          <w:szCs w:val="24"/>
          <w:highlight w:val="none"/>
          <w:lang w:bidi="zh-CN"/>
        </w:rPr>
        <w:t>：</w:t>
      </w:r>
    </w:p>
    <w:p w14:paraId="43CBFF3C">
      <w:pPr>
        <w:keepNext w:val="0"/>
        <w:keepLines w:val="0"/>
        <w:pageBreakBefore w:val="0"/>
        <w:widowControl w:val="0"/>
        <w:kinsoku/>
        <w:wordWrap/>
        <w:overflowPunct/>
        <w:topLinePunct w:val="0"/>
        <w:autoSpaceDE/>
        <w:autoSpaceDN/>
        <w:bidi w:val="0"/>
        <w:adjustRightInd/>
        <w:snapToGrid/>
        <w:spacing w:line="300" w:lineRule="auto"/>
        <w:ind w:firstLine="3675"/>
        <w:textAlignment w:val="auto"/>
        <w:outlineLvl w:val="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日期：</w:t>
      </w:r>
    </w:p>
    <w:p w14:paraId="019955F9">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eastAsia" w:ascii="仿宋" w:hAnsi="仿宋" w:eastAsia="仿宋" w:cs="仿宋"/>
          <w:color w:val="auto"/>
          <w:sz w:val="24"/>
          <w:szCs w:val="24"/>
          <w:highlight w:val="none"/>
        </w:rPr>
      </w:pPr>
    </w:p>
    <w:p w14:paraId="1F47009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6C0F50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349FF0D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2.专门面向中小微型企业采购的项目，供应商如不提供此声明函，则不能通过资格审查；非专门面向中小微型企业采购的项目，小微企业供应商如不提供此声明函，价格将不做相应扣除。</w:t>
      </w:r>
    </w:p>
    <w:p w14:paraId="521EFA41">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3.供应商自行勾选承接企业的企业规模类型。</w:t>
      </w:r>
    </w:p>
    <w:p w14:paraId="67E6EDD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32"/>
          <w:szCs w:val="32"/>
        </w:rPr>
      </w:pPr>
      <w:r>
        <w:rPr>
          <w:rFonts w:hint="eastAsia" w:ascii="仿宋" w:hAnsi="仿宋" w:eastAsia="仿宋" w:cs="仿宋"/>
          <w:sz w:val="24"/>
          <w:szCs w:val="24"/>
        </w:rPr>
        <w:br w:type="page" w:clear="all"/>
      </w:r>
      <w:r>
        <w:rPr>
          <w:rFonts w:hint="eastAsia" w:ascii="仿宋" w:hAnsi="仿宋" w:eastAsia="仿宋" w:cs="仿宋"/>
          <w:sz w:val="32"/>
          <w:szCs w:val="32"/>
          <w:lang w:val="zh-CN"/>
        </w:rPr>
        <w:t>附件</w:t>
      </w:r>
      <w:r>
        <w:rPr>
          <w:rFonts w:hint="eastAsia" w:ascii="仿宋" w:hAnsi="仿宋" w:eastAsia="仿宋" w:cs="仿宋"/>
          <w:sz w:val="32"/>
          <w:szCs w:val="32"/>
        </w:rPr>
        <w:t>5</w:t>
      </w:r>
    </w:p>
    <w:p w14:paraId="1DEFB438">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残疾人福利性单位声明函</w:t>
      </w:r>
    </w:p>
    <w:p w14:paraId="605108F7">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仿宋" w:hAnsi="仿宋" w:eastAsia="仿宋" w:cs="仿宋"/>
          <w:sz w:val="24"/>
          <w:u w:val="single"/>
        </w:rPr>
        <w:t xml:space="preserve">       </w:t>
      </w:r>
      <w:r>
        <w:rPr>
          <w:rFonts w:hint="eastAsia" w:ascii="仿宋" w:hAnsi="仿宋" w:eastAsia="仿宋" w:cs="仿宋"/>
          <w:sz w:val="24"/>
        </w:rPr>
        <w:t>项目（分包号：**）采购活动由本单位提供服务。</w:t>
      </w:r>
    </w:p>
    <w:p w14:paraId="7E33A6F9">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C8559B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备注：</w:t>
      </w:r>
    </w:p>
    <w:p w14:paraId="1626A458">
      <w:pPr>
        <w:spacing w:line="360" w:lineRule="auto"/>
        <w:ind w:firstLine="480" w:firstLineChars="200"/>
        <w:rPr>
          <w:rFonts w:ascii="仿宋" w:hAnsi="仿宋" w:eastAsia="仿宋" w:cs="仿宋"/>
          <w:sz w:val="24"/>
        </w:rPr>
      </w:pPr>
      <w:r>
        <w:rPr>
          <w:rFonts w:hint="eastAsia" w:ascii="仿宋" w:hAnsi="仿宋" w:eastAsia="仿宋" w:cs="仿宋"/>
          <w:sz w:val="24"/>
        </w:rPr>
        <w:t>1.专门面向中小微型企业采购的项目，供应商为残疾人福利性单位并提供服务的必须提供此声明函，否则将不能通过资格审查。</w:t>
      </w:r>
    </w:p>
    <w:p w14:paraId="717A2E30">
      <w:pPr>
        <w:spacing w:line="360" w:lineRule="auto"/>
        <w:ind w:firstLine="480" w:firstLineChars="200"/>
        <w:rPr>
          <w:rFonts w:ascii="仿宋" w:hAnsi="仿宋" w:eastAsia="仿宋" w:cs="仿宋"/>
          <w:sz w:val="24"/>
        </w:rPr>
      </w:pPr>
      <w:r>
        <w:rPr>
          <w:rFonts w:hint="eastAsia" w:ascii="仿宋" w:hAnsi="仿宋" w:eastAsia="仿宋" w:cs="仿宋"/>
          <w:sz w:val="24"/>
        </w:rPr>
        <w:t>2.非专门面向中小微型企业采购的项目，供应商如不提供此声明函，价格将不做相应扣除。</w:t>
      </w:r>
    </w:p>
    <w:p w14:paraId="2CA789B5">
      <w:pPr>
        <w:spacing w:line="360" w:lineRule="auto"/>
        <w:ind w:firstLine="480" w:firstLineChars="200"/>
        <w:rPr>
          <w:rFonts w:ascii="仿宋" w:hAnsi="仿宋" w:eastAsia="仿宋" w:cs="仿宋"/>
          <w:sz w:val="24"/>
        </w:rPr>
      </w:pPr>
      <w:r>
        <w:rPr>
          <w:rFonts w:hint="eastAsia" w:ascii="仿宋" w:hAnsi="仿宋" w:eastAsia="仿宋" w:cs="仿宋"/>
          <w:sz w:val="24"/>
        </w:rPr>
        <w:t>3.中标/中标供应商为残疾人福利性单位的，此声明函将随中标/中标结果同时公告，接受社会监督</w:t>
      </w:r>
      <w:r>
        <w:rPr>
          <w:rFonts w:hint="eastAsia" w:ascii="仿宋" w:hAnsi="仿宋" w:eastAsia="仿宋" w:cs="仿宋"/>
          <w:sz w:val="24"/>
          <w:szCs w:val="24"/>
        </w:rPr>
        <w:t>。</w:t>
      </w:r>
    </w:p>
    <w:p w14:paraId="149155EF">
      <w:pPr>
        <w:tabs>
          <w:tab w:val="left" w:pos="4860"/>
        </w:tabs>
        <w:spacing w:line="360" w:lineRule="auto"/>
        <w:ind w:left="695" w:right="1560" w:firstLine="480"/>
        <w:jc w:val="center"/>
        <w:rPr>
          <w:rFonts w:ascii="仿宋" w:hAnsi="仿宋" w:eastAsia="仿宋" w:cs="仿宋"/>
          <w:sz w:val="24"/>
        </w:rPr>
      </w:pPr>
      <w:r>
        <w:rPr>
          <w:rFonts w:hint="eastAsia" w:ascii="仿宋" w:hAnsi="仿宋" w:eastAsia="仿宋" w:cs="仿宋"/>
          <w:sz w:val="24"/>
        </w:rPr>
        <w:t>供应商全称（加盖CA电子公章）：</w:t>
      </w:r>
    </w:p>
    <w:p w14:paraId="111E6F49">
      <w:pPr>
        <w:tabs>
          <w:tab w:val="left" w:pos="4860"/>
        </w:tabs>
        <w:spacing w:line="360" w:lineRule="auto"/>
        <w:ind w:left="695" w:right="1560" w:firstLine="480"/>
        <w:jc w:val="center"/>
        <w:rPr>
          <w:rFonts w:ascii="仿宋" w:hAnsi="仿宋" w:eastAsia="仿宋" w:cs="仿宋"/>
          <w:sz w:val="24"/>
        </w:rPr>
      </w:pPr>
      <w:r>
        <w:rPr>
          <w:rFonts w:hint="eastAsia" w:ascii="仿宋" w:hAnsi="仿宋" w:eastAsia="仿宋" w:cs="仿宋"/>
          <w:sz w:val="24"/>
        </w:rPr>
        <w:t>日  期：</w:t>
      </w:r>
    </w:p>
    <w:p w14:paraId="501C5ED9">
      <w:pPr>
        <w:spacing w:line="360" w:lineRule="auto"/>
        <w:ind w:left="695" w:firstLine="640"/>
        <w:rPr>
          <w:rFonts w:ascii="仿宋" w:hAnsi="仿宋" w:eastAsia="仿宋" w:cs="仿宋"/>
          <w:sz w:val="32"/>
          <w:szCs w:val="32"/>
          <w:lang w:val="zh-CN"/>
        </w:rPr>
      </w:pPr>
      <w:r>
        <w:rPr>
          <w:rFonts w:hint="eastAsia" w:ascii="仿宋" w:hAnsi="仿宋" w:eastAsia="仿宋" w:cs="仿宋"/>
          <w:sz w:val="32"/>
          <w:szCs w:val="32"/>
          <w:lang w:val="zh-CN"/>
        </w:rPr>
        <w:br w:type="page" w:clear="all"/>
      </w:r>
    </w:p>
    <w:p w14:paraId="7EC66CFC">
      <w:pPr>
        <w:spacing w:line="420" w:lineRule="exact"/>
        <w:jc w:val="left"/>
        <w:rPr>
          <w:rFonts w:ascii="仿宋" w:hAnsi="仿宋" w:eastAsia="仿宋" w:cs="仿宋"/>
          <w:b/>
          <w:bCs/>
          <w:sz w:val="32"/>
          <w:szCs w:val="32"/>
        </w:rPr>
      </w:pPr>
      <w:r>
        <w:rPr>
          <w:rFonts w:hint="eastAsia" w:ascii="仿宋" w:hAnsi="仿宋" w:eastAsia="仿宋" w:cs="仿宋"/>
          <w:sz w:val="32"/>
          <w:szCs w:val="32"/>
          <w:lang w:val="zh-CN"/>
        </w:rPr>
        <w:t>附件</w:t>
      </w:r>
      <w:r>
        <w:rPr>
          <w:rFonts w:hint="eastAsia" w:ascii="仿宋" w:hAnsi="仿宋" w:eastAsia="仿宋" w:cs="仿宋"/>
          <w:sz w:val="32"/>
          <w:szCs w:val="32"/>
        </w:rPr>
        <w:t>6</w:t>
      </w:r>
    </w:p>
    <w:p w14:paraId="506E5D4E">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监狱和戒毒企业证明材料</w:t>
      </w:r>
    </w:p>
    <w:p w14:paraId="1B85A37A">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（格式自拟）</w:t>
      </w:r>
    </w:p>
    <w:p w14:paraId="1023F78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bookmarkEnd w:id="106"/>
    </w:p>
    <w:p w14:paraId="3F3140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备注：</w:t>
      </w:r>
    </w:p>
    <w:p w14:paraId="2C64F3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1.专门面向中小微型企业采购的项目，供应商为监狱和戒毒企业并提供服务的必须提供此声明函，否则将不能通过资格审查。</w:t>
      </w:r>
    </w:p>
    <w:p w14:paraId="2318AAC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2.非专门面向中小微型企业采购的项目，供应商如不提供此声明函，价格将不做相应扣除。</w:t>
      </w:r>
    </w:p>
    <w:p w14:paraId="5AEEF4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3.中标/中标供应商为监狱和戒毒企业单位的，此声明函将随中标/中标结果同时公告，接受社会监督。</w:t>
      </w:r>
    </w:p>
    <w:p w14:paraId="6D8DB990">
      <w:pPr>
        <w:tabs>
          <w:tab w:val="left" w:pos="4860"/>
        </w:tabs>
        <w:spacing w:line="360" w:lineRule="auto"/>
        <w:ind w:left="695" w:right="1560" w:firstLine="480" w:firstLineChars="200"/>
        <w:jc w:val="center"/>
        <w:rPr>
          <w:rFonts w:ascii="仿宋" w:hAnsi="仿宋" w:eastAsia="仿宋" w:cs="仿宋"/>
          <w:sz w:val="24"/>
        </w:rPr>
      </w:pPr>
      <w:r>
        <w:rPr>
          <w:rFonts w:hint="eastAsia" w:ascii="仿宋" w:hAnsi="仿宋" w:eastAsia="仿宋" w:cs="仿宋"/>
          <w:sz w:val="24"/>
        </w:rPr>
        <w:t>供应商全称（加盖CA电子公章）：</w:t>
      </w:r>
    </w:p>
    <w:p w14:paraId="12DA0AD5">
      <w:pPr>
        <w:tabs>
          <w:tab w:val="left" w:pos="4860"/>
        </w:tabs>
        <w:spacing w:line="360" w:lineRule="auto"/>
        <w:ind w:left="695" w:right="1560" w:firstLine="480" w:firstLineChars="200"/>
        <w:jc w:val="center"/>
        <w:rPr>
          <w:rFonts w:ascii="仿宋" w:hAnsi="仿宋" w:eastAsia="仿宋" w:cs="仿宋"/>
          <w:sz w:val="24"/>
        </w:rPr>
      </w:pPr>
      <w:r>
        <w:rPr>
          <w:rFonts w:hint="eastAsia" w:ascii="仿宋" w:hAnsi="仿宋" w:eastAsia="仿宋" w:cs="仿宋"/>
          <w:sz w:val="24"/>
        </w:rPr>
        <w:t>日  期：</w:t>
      </w:r>
    </w:p>
    <w:p w14:paraId="453351AC">
      <w:pPr>
        <w:pStyle w:val="11"/>
        <w:spacing w:before="220" w:beforeAutospacing="0" w:after="200" w:afterAutospacing="0" w:line="499" w:lineRule="atLeast"/>
        <w:ind w:left="695" w:right="210" w:firstLine="640"/>
        <w:jc w:val="center"/>
        <w:rPr>
          <w:rFonts w:ascii="仿宋" w:hAnsi="仿宋" w:eastAsia="仿宋" w:cs="仿宋"/>
          <w:sz w:val="32"/>
          <w:szCs w:val="32"/>
        </w:rPr>
      </w:pPr>
      <w:r>
        <w:rPr>
          <w:rFonts w:hint="eastAsia" w:ascii="仿宋" w:hAnsi="仿宋" w:eastAsia="仿宋" w:cs="仿宋"/>
          <w:sz w:val="32"/>
          <w:szCs w:val="32"/>
        </w:rPr>
        <w:br w:type="page" w:clear="all"/>
      </w:r>
    </w:p>
    <w:p w14:paraId="2E476024">
      <w:pPr>
        <w:spacing w:line="300" w:lineRule="auto"/>
        <w:rPr>
          <w:rFonts w:ascii="仿宋" w:hAnsi="仿宋" w:eastAsia="仿宋" w:cs="仿宋"/>
          <w:b/>
          <w:sz w:val="32"/>
          <w:szCs w:val="32"/>
        </w:rPr>
      </w:pPr>
      <w:r>
        <w:rPr>
          <w:rFonts w:hint="eastAsia" w:ascii="仿宋" w:hAnsi="仿宋" w:eastAsia="仿宋" w:cs="仿宋"/>
          <w:sz w:val="32"/>
          <w:szCs w:val="32"/>
        </w:rPr>
        <w:t>附件7</w:t>
      </w:r>
    </w:p>
    <w:p w14:paraId="5D2CB00F">
      <w:pPr>
        <w:spacing w:line="360" w:lineRule="auto"/>
        <w:jc w:val="center"/>
        <w:rPr>
          <w:rFonts w:hint="eastAsia" w:ascii="仿宋" w:hAnsi="仿宋" w:eastAsia="仿宋" w:cs="仿宋"/>
          <w:b/>
          <w:sz w:val="30"/>
          <w:szCs w:val="30"/>
        </w:rPr>
      </w:pPr>
      <w:r>
        <w:rPr>
          <w:rFonts w:hint="eastAsia" w:ascii="仿宋" w:hAnsi="仿宋" w:eastAsia="仿宋" w:cs="仿宋"/>
          <w:b/>
          <w:sz w:val="30"/>
          <w:szCs w:val="30"/>
          <w:lang w:val="zh-CN"/>
        </w:rPr>
        <w:t>★</w:t>
      </w:r>
      <w:bookmarkStart w:id="107" w:name="OLE_LINK12"/>
      <w:bookmarkStart w:id="108" w:name="OLE_LINK19"/>
      <w:r>
        <w:rPr>
          <w:rFonts w:hint="eastAsia" w:ascii="仿宋" w:hAnsi="仿宋" w:eastAsia="仿宋" w:cs="仿宋"/>
          <w:b/>
          <w:sz w:val="30"/>
          <w:szCs w:val="30"/>
        </w:rPr>
        <w:t>磋商响应函</w:t>
      </w:r>
      <w:bookmarkEnd w:id="107"/>
    </w:p>
    <w:p w14:paraId="1048A1FF">
      <w:pPr>
        <w:spacing w:line="360" w:lineRule="auto"/>
        <w:rPr>
          <w:rFonts w:ascii="仿宋" w:hAnsi="仿宋" w:eastAsia="仿宋" w:cs="仿宋"/>
          <w:bCs/>
          <w:sz w:val="24"/>
          <w:szCs w:val="24"/>
        </w:rPr>
      </w:pPr>
      <w:r>
        <w:rPr>
          <w:rFonts w:hint="eastAsia" w:ascii="仿宋" w:hAnsi="仿宋" w:eastAsia="仿宋" w:cs="仿宋"/>
          <w:iCs/>
          <w:sz w:val="22"/>
          <w:szCs w:val="22"/>
          <w:u w:val="single"/>
        </w:rPr>
        <w:t>（采购人）</w:t>
      </w:r>
      <w:r>
        <w:rPr>
          <w:rFonts w:hint="eastAsia" w:ascii="仿宋" w:hAnsi="仿宋" w:eastAsia="仿宋" w:cs="仿宋"/>
          <w:sz w:val="24"/>
          <w:szCs w:val="24"/>
        </w:rPr>
        <w:t>：</w:t>
      </w:r>
    </w:p>
    <w:p w14:paraId="071D8A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依据贵单位 （采购项目名称及项目编号)项目公开招标的邀请，我方授权（姓名）（职务）为全权代表参加该项目的投标，全权处理本次投标的有关事宜。同时，我公司声明如下：</w:t>
      </w:r>
    </w:p>
    <w:p w14:paraId="28CA72A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1.同意并接受磋商文件的各项要求，遵守磋商文件中的各项规定，按磋商文件的要求提供报价。</w:t>
      </w:r>
    </w:p>
    <w:p w14:paraId="2AF248E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2.我公司已经详细阅读了全部磋商文件及其附件，我方已完全清晰理解磋商文件的要求，不存在任何含糊不清和误解之处，同意放弃对这些文件所提出的异议和质疑的权利。</w:t>
      </w:r>
    </w:p>
    <w:p w14:paraId="7A24829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3.我公司已毫无保留地向贵方提供一切所需的证明材料。</w:t>
      </w:r>
    </w:p>
    <w:p w14:paraId="4150EBC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4.我公司承诺在本次投标中提供的一切文件，无论是原件还是原件扫描件均真实合法有效，绝无任何虚假、伪造和夸大的成份。否则，愿承担相应的后果和法律责任。</w:t>
      </w:r>
    </w:p>
    <w:p w14:paraId="1C91C91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5.我公司尊重评标委员会所作的评定结果，同时清楚理解到报价最低并非意味着必定获得成交资格。</w:t>
      </w:r>
    </w:p>
    <w:p w14:paraId="3AAF1E7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6.一旦我方成交,我方将根据磋商文件的要求和投标文件的承诺签订合同，严格履行合同的责任和义务,并保证在磋商文件规定的时间完成项目，交付采购单位验收、使用。</w:t>
      </w:r>
    </w:p>
    <w:p w14:paraId="470A0299">
      <w:pPr>
        <w:spacing w:line="360" w:lineRule="auto"/>
        <w:ind w:left="695" w:firstLine="480"/>
        <w:jc w:val="right"/>
        <w:rPr>
          <w:rFonts w:ascii="仿宋" w:hAnsi="仿宋" w:eastAsia="仿宋" w:cs="仿宋"/>
          <w:sz w:val="24"/>
          <w:szCs w:val="24"/>
        </w:rPr>
      </w:pPr>
      <w:r>
        <w:rPr>
          <w:rFonts w:hint="eastAsia" w:ascii="仿宋" w:hAnsi="仿宋" w:eastAsia="仿宋" w:cs="仿宋"/>
          <w:sz w:val="24"/>
          <w:szCs w:val="24"/>
        </w:rPr>
        <w:t>磋商供应商：（加盖公章）</w:t>
      </w:r>
    </w:p>
    <w:p w14:paraId="33D7707A">
      <w:pPr>
        <w:spacing w:line="360" w:lineRule="auto"/>
        <w:ind w:left="695" w:firstLine="480"/>
        <w:jc w:val="right"/>
        <w:rPr>
          <w:rFonts w:ascii="仿宋" w:hAnsi="仿宋" w:eastAsia="仿宋" w:cs="仿宋"/>
          <w:sz w:val="24"/>
          <w:szCs w:val="24"/>
        </w:rPr>
      </w:pPr>
      <w:r>
        <w:rPr>
          <w:rFonts w:hint="eastAsia" w:ascii="仿宋" w:hAnsi="仿宋" w:eastAsia="仿宋" w:cs="仿宋"/>
          <w:sz w:val="24"/>
          <w:szCs w:val="24"/>
        </w:rPr>
        <w:t>法定代表人或被授权人：（签字或盖章）</w:t>
      </w:r>
    </w:p>
    <w:p w14:paraId="1A212B1E">
      <w:pPr>
        <w:spacing w:line="360" w:lineRule="auto"/>
        <w:ind w:left="695" w:firstLine="480"/>
        <w:jc w:val="right"/>
        <w:rPr>
          <w:rFonts w:ascii="仿宋" w:hAnsi="仿宋" w:eastAsia="仿宋" w:cs="仿宋"/>
          <w:sz w:val="24"/>
          <w:szCs w:val="24"/>
        </w:rPr>
      </w:pPr>
      <w:r>
        <w:rPr>
          <w:rFonts w:hint="eastAsia" w:ascii="仿宋" w:hAnsi="仿宋" w:eastAsia="仿宋" w:cs="仿宋"/>
          <w:sz w:val="24"/>
          <w:szCs w:val="24"/>
        </w:rPr>
        <w:t>年    月    日</w:t>
      </w:r>
      <w:bookmarkEnd w:id="108"/>
    </w:p>
    <w:p w14:paraId="6B9875C9">
      <w:pPr>
        <w:ind w:firstLine="562"/>
        <w:rPr>
          <w:rFonts w:ascii="仿宋" w:hAnsi="仿宋" w:eastAsia="仿宋" w:cs="仿宋"/>
          <w:b/>
          <w:sz w:val="28"/>
          <w:szCs w:val="28"/>
        </w:rPr>
      </w:pPr>
      <w:r>
        <w:rPr>
          <w:rFonts w:hint="eastAsia" w:ascii="仿宋" w:hAnsi="仿宋" w:eastAsia="仿宋" w:cs="仿宋"/>
          <w:b/>
          <w:sz w:val="28"/>
          <w:szCs w:val="28"/>
        </w:rPr>
        <w:br w:type="page" w:clear="all"/>
      </w:r>
    </w:p>
    <w:p w14:paraId="7F563AC5">
      <w:pPr>
        <w:spacing w:line="300" w:lineRule="auto"/>
        <w:contextualSpacing/>
        <w:rPr>
          <w:rFonts w:ascii="仿宋" w:hAnsi="仿宋" w:eastAsia="仿宋" w:cs="仿宋"/>
          <w:b/>
          <w:sz w:val="32"/>
          <w:szCs w:val="32"/>
        </w:rPr>
      </w:pPr>
      <w:r>
        <w:rPr>
          <w:rFonts w:hint="eastAsia" w:ascii="仿宋" w:hAnsi="仿宋" w:eastAsia="仿宋" w:cs="仿宋"/>
          <w:b/>
          <w:sz w:val="28"/>
          <w:szCs w:val="28"/>
        </w:rPr>
        <w:t xml:space="preserve">附件8          </w:t>
      </w:r>
      <w:r>
        <w:rPr>
          <w:rFonts w:hint="eastAsia" w:ascii="仿宋" w:hAnsi="仿宋" w:eastAsia="仿宋" w:cs="仿宋"/>
          <w:b/>
          <w:sz w:val="32"/>
          <w:szCs w:val="32"/>
        </w:rPr>
        <w:t xml:space="preserve">  </w:t>
      </w:r>
    </w:p>
    <w:p w14:paraId="4FCB9462">
      <w:pPr>
        <w:spacing w:line="360" w:lineRule="auto"/>
        <w:jc w:val="center"/>
        <w:rPr>
          <w:rFonts w:hint="eastAsia" w:ascii="仿宋" w:hAnsi="仿宋" w:eastAsia="仿宋" w:cs="仿宋"/>
          <w:b/>
          <w:sz w:val="30"/>
          <w:szCs w:val="30"/>
          <w:lang w:val="zh-CN"/>
        </w:rPr>
      </w:pPr>
      <w:r>
        <w:rPr>
          <w:rFonts w:hint="eastAsia" w:ascii="仿宋" w:hAnsi="仿宋" w:eastAsia="仿宋" w:cs="仿宋"/>
          <w:b/>
          <w:sz w:val="30"/>
          <w:szCs w:val="30"/>
          <w:lang w:val="zh-CN"/>
        </w:rPr>
        <w:t xml:space="preserve">★ </w:t>
      </w:r>
      <w:bookmarkStart w:id="109" w:name="OLE_LINK17"/>
      <w:r>
        <w:rPr>
          <w:rFonts w:hint="eastAsia" w:ascii="仿宋" w:hAnsi="仿宋" w:eastAsia="仿宋" w:cs="仿宋"/>
          <w:b/>
          <w:sz w:val="30"/>
          <w:szCs w:val="30"/>
          <w:lang w:val="zh-CN"/>
        </w:rPr>
        <w:t>商务部分正负偏离表</w:t>
      </w:r>
    </w:p>
    <w:p w14:paraId="187839C7">
      <w:pPr>
        <w:jc w:val="center"/>
        <w:rPr>
          <w:rFonts w:ascii="仿宋" w:hAnsi="仿宋" w:eastAsia="仿宋" w:cs="仿宋"/>
          <w:sz w:val="24"/>
          <w:szCs w:val="24"/>
        </w:rPr>
      </w:pPr>
      <w:r>
        <w:rPr>
          <w:rFonts w:hint="eastAsia" w:ascii="仿宋" w:hAnsi="仿宋" w:eastAsia="仿宋" w:cs="仿宋"/>
          <w:sz w:val="24"/>
          <w:szCs w:val="24"/>
        </w:rPr>
        <w:t>（由供应商据实填写，表格不够自行添加）</w:t>
      </w:r>
    </w:p>
    <w:tbl>
      <w:tblPr>
        <w:tblStyle w:val="13"/>
        <w:tblpPr w:leftFromText="180" w:rightFromText="180" w:vertAnchor="text" w:horzAnchor="page" w:tblpXSpec="center" w:tblpY="322"/>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138"/>
        <w:gridCol w:w="1867"/>
        <w:gridCol w:w="2409"/>
        <w:gridCol w:w="1326"/>
      </w:tblGrid>
      <w:tr w14:paraId="35D37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94" w:hRule="atLeast"/>
          <w:jc w:val="center"/>
        </w:trPr>
        <w:tc>
          <w:tcPr>
            <w:tcW w:w="459" w:type="pct"/>
            <w:tcBorders>
              <w:tl2br w:val="nil"/>
              <w:tr2bl w:val="nil"/>
            </w:tcBorders>
            <w:vAlign w:val="center"/>
          </w:tcPr>
          <w:p w14:paraId="440ADD10">
            <w:pPr>
              <w:spacing w:line="3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254" w:type="pct"/>
            <w:tcBorders>
              <w:tl2br w:val="nil"/>
              <w:tr2bl w:val="nil"/>
            </w:tcBorders>
            <w:vAlign w:val="center"/>
          </w:tcPr>
          <w:p w14:paraId="6EDAB2FD">
            <w:pPr>
              <w:spacing w:line="340" w:lineRule="exact"/>
              <w:jc w:val="center"/>
              <w:rPr>
                <w:rFonts w:ascii="仿宋" w:hAnsi="仿宋" w:eastAsia="仿宋" w:cs="仿宋"/>
                <w:sz w:val="24"/>
                <w:szCs w:val="24"/>
              </w:rPr>
            </w:pPr>
            <w:r>
              <w:rPr>
                <w:rFonts w:hint="eastAsia" w:ascii="仿宋" w:hAnsi="仿宋" w:eastAsia="仿宋" w:cs="仿宋"/>
                <w:sz w:val="24"/>
                <w:szCs w:val="24"/>
              </w:rPr>
              <w:t>货物或服务名称</w:t>
            </w:r>
          </w:p>
        </w:tc>
        <w:tc>
          <w:tcPr>
            <w:tcW w:w="1095" w:type="pct"/>
            <w:tcBorders>
              <w:tl2br w:val="nil"/>
              <w:tr2bl w:val="nil"/>
            </w:tcBorders>
            <w:vAlign w:val="center"/>
          </w:tcPr>
          <w:p w14:paraId="43C5584F">
            <w:pPr>
              <w:spacing w:line="340" w:lineRule="exact"/>
              <w:jc w:val="center"/>
              <w:rPr>
                <w:rFonts w:ascii="仿宋" w:hAnsi="仿宋" w:eastAsia="仿宋" w:cs="仿宋"/>
                <w:sz w:val="24"/>
                <w:szCs w:val="24"/>
              </w:rPr>
            </w:pPr>
            <w:r>
              <w:rPr>
                <w:rFonts w:hint="eastAsia" w:ascii="仿宋" w:hAnsi="仿宋" w:eastAsia="仿宋" w:cs="仿宋"/>
                <w:sz w:val="24"/>
                <w:szCs w:val="24"/>
              </w:rPr>
              <w:t>采购文件要求的商务条款</w:t>
            </w:r>
          </w:p>
        </w:tc>
        <w:tc>
          <w:tcPr>
            <w:tcW w:w="1413" w:type="pct"/>
            <w:tcBorders>
              <w:tl2br w:val="nil"/>
              <w:tr2bl w:val="nil"/>
            </w:tcBorders>
            <w:vAlign w:val="center"/>
          </w:tcPr>
          <w:p w14:paraId="722EBF84">
            <w:pPr>
              <w:spacing w:line="340" w:lineRule="exact"/>
              <w:jc w:val="center"/>
              <w:rPr>
                <w:rFonts w:ascii="仿宋" w:hAnsi="仿宋" w:eastAsia="仿宋" w:cs="仿宋"/>
                <w:sz w:val="24"/>
                <w:szCs w:val="24"/>
              </w:rPr>
            </w:pPr>
            <w:r>
              <w:rPr>
                <w:rFonts w:hint="eastAsia" w:ascii="仿宋" w:hAnsi="仿宋" w:eastAsia="仿宋" w:cs="仿宋"/>
                <w:sz w:val="24"/>
                <w:szCs w:val="24"/>
              </w:rPr>
              <w:t>响应文件响应情况</w:t>
            </w:r>
          </w:p>
        </w:tc>
        <w:tc>
          <w:tcPr>
            <w:tcW w:w="777" w:type="pct"/>
            <w:tcBorders>
              <w:tl2br w:val="nil"/>
              <w:tr2bl w:val="nil"/>
            </w:tcBorders>
            <w:vAlign w:val="center"/>
          </w:tcPr>
          <w:p w14:paraId="7A17819A">
            <w:pPr>
              <w:spacing w:line="340" w:lineRule="exact"/>
              <w:jc w:val="center"/>
              <w:rPr>
                <w:rFonts w:ascii="仿宋" w:hAnsi="仿宋" w:eastAsia="仿宋" w:cs="仿宋"/>
                <w:sz w:val="24"/>
                <w:szCs w:val="24"/>
              </w:rPr>
            </w:pPr>
            <w:r>
              <w:rPr>
                <w:rFonts w:hint="eastAsia" w:ascii="仿宋" w:hAnsi="仿宋" w:eastAsia="仿宋" w:cs="仿宋"/>
                <w:sz w:val="24"/>
                <w:szCs w:val="24"/>
              </w:rPr>
              <w:t>偏离说明</w:t>
            </w:r>
          </w:p>
        </w:tc>
      </w:tr>
      <w:tr w14:paraId="04614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27FA24CC">
            <w:pPr>
              <w:spacing w:line="340" w:lineRule="exact"/>
              <w:jc w:val="center"/>
              <w:rPr>
                <w:rFonts w:ascii="仿宋" w:hAnsi="仿宋" w:eastAsia="仿宋" w:cs="仿宋"/>
                <w:sz w:val="24"/>
                <w:szCs w:val="24"/>
              </w:rPr>
            </w:pPr>
            <w:r>
              <w:rPr>
                <w:rFonts w:hint="eastAsia" w:ascii="仿宋" w:hAnsi="仿宋" w:eastAsia="仿宋" w:cs="仿宋"/>
                <w:sz w:val="24"/>
                <w:szCs w:val="24"/>
              </w:rPr>
              <w:t>1</w:t>
            </w:r>
          </w:p>
        </w:tc>
        <w:tc>
          <w:tcPr>
            <w:tcW w:w="1254" w:type="pct"/>
            <w:tcBorders>
              <w:tl2br w:val="nil"/>
              <w:tr2bl w:val="nil"/>
            </w:tcBorders>
            <w:vAlign w:val="center"/>
          </w:tcPr>
          <w:p w14:paraId="66057867">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6BEE7C2F">
            <w:pPr>
              <w:spacing w:line="340" w:lineRule="exact"/>
              <w:ind w:left="695"/>
              <w:jc w:val="left"/>
              <w:rPr>
                <w:rFonts w:ascii="仿宋" w:hAnsi="仿宋" w:eastAsia="仿宋" w:cs="仿宋"/>
                <w:sz w:val="24"/>
                <w:szCs w:val="24"/>
              </w:rPr>
            </w:pPr>
          </w:p>
        </w:tc>
        <w:tc>
          <w:tcPr>
            <w:tcW w:w="1413" w:type="pct"/>
            <w:tcBorders>
              <w:tl2br w:val="nil"/>
              <w:tr2bl w:val="nil"/>
            </w:tcBorders>
            <w:vAlign w:val="center"/>
          </w:tcPr>
          <w:p w14:paraId="796189B0">
            <w:pPr>
              <w:spacing w:line="340" w:lineRule="exact"/>
              <w:ind w:left="695"/>
              <w:jc w:val="left"/>
              <w:rPr>
                <w:rFonts w:ascii="仿宋" w:hAnsi="仿宋" w:eastAsia="仿宋" w:cs="仿宋"/>
                <w:sz w:val="24"/>
                <w:szCs w:val="24"/>
              </w:rPr>
            </w:pPr>
          </w:p>
        </w:tc>
        <w:tc>
          <w:tcPr>
            <w:tcW w:w="777" w:type="pct"/>
            <w:tcBorders>
              <w:tl2br w:val="nil"/>
              <w:tr2bl w:val="nil"/>
            </w:tcBorders>
          </w:tcPr>
          <w:p w14:paraId="3839F4FD">
            <w:pPr>
              <w:spacing w:line="340" w:lineRule="exact"/>
              <w:ind w:left="695"/>
              <w:jc w:val="left"/>
              <w:rPr>
                <w:rFonts w:ascii="仿宋" w:hAnsi="仿宋" w:eastAsia="仿宋" w:cs="仿宋"/>
                <w:sz w:val="24"/>
                <w:szCs w:val="24"/>
              </w:rPr>
            </w:pPr>
          </w:p>
        </w:tc>
      </w:tr>
      <w:tr w14:paraId="04B3E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4CEE43AF">
            <w:pPr>
              <w:spacing w:line="340" w:lineRule="exact"/>
              <w:jc w:val="center"/>
              <w:rPr>
                <w:rFonts w:ascii="仿宋" w:hAnsi="仿宋" w:eastAsia="仿宋" w:cs="仿宋"/>
                <w:sz w:val="24"/>
                <w:szCs w:val="24"/>
              </w:rPr>
            </w:pPr>
            <w:r>
              <w:rPr>
                <w:rFonts w:hint="eastAsia" w:ascii="仿宋" w:hAnsi="仿宋" w:eastAsia="仿宋" w:cs="仿宋"/>
                <w:sz w:val="24"/>
                <w:szCs w:val="24"/>
              </w:rPr>
              <w:t>2</w:t>
            </w:r>
          </w:p>
        </w:tc>
        <w:tc>
          <w:tcPr>
            <w:tcW w:w="1254" w:type="pct"/>
            <w:tcBorders>
              <w:tl2br w:val="nil"/>
              <w:tr2bl w:val="nil"/>
            </w:tcBorders>
            <w:vAlign w:val="center"/>
          </w:tcPr>
          <w:p w14:paraId="2AEE7035">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27C15130">
            <w:pPr>
              <w:spacing w:line="340" w:lineRule="exact"/>
              <w:ind w:left="695"/>
              <w:jc w:val="left"/>
              <w:rPr>
                <w:rFonts w:ascii="仿宋" w:hAnsi="仿宋" w:eastAsia="仿宋" w:cs="仿宋"/>
                <w:sz w:val="24"/>
                <w:szCs w:val="24"/>
              </w:rPr>
            </w:pPr>
          </w:p>
        </w:tc>
        <w:tc>
          <w:tcPr>
            <w:tcW w:w="1413" w:type="pct"/>
            <w:tcBorders>
              <w:tl2br w:val="nil"/>
              <w:tr2bl w:val="nil"/>
            </w:tcBorders>
            <w:vAlign w:val="center"/>
          </w:tcPr>
          <w:p w14:paraId="3962F1AE">
            <w:pPr>
              <w:spacing w:line="340" w:lineRule="exact"/>
              <w:ind w:left="695"/>
              <w:jc w:val="left"/>
              <w:rPr>
                <w:rFonts w:ascii="仿宋" w:hAnsi="仿宋" w:eastAsia="仿宋" w:cs="仿宋"/>
                <w:sz w:val="24"/>
                <w:szCs w:val="24"/>
              </w:rPr>
            </w:pPr>
          </w:p>
        </w:tc>
        <w:tc>
          <w:tcPr>
            <w:tcW w:w="777" w:type="pct"/>
            <w:tcBorders>
              <w:tl2br w:val="nil"/>
              <w:tr2bl w:val="nil"/>
            </w:tcBorders>
          </w:tcPr>
          <w:p w14:paraId="554E1E85">
            <w:pPr>
              <w:spacing w:line="340" w:lineRule="exact"/>
              <w:ind w:left="695"/>
              <w:jc w:val="left"/>
              <w:rPr>
                <w:rFonts w:ascii="仿宋" w:hAnsi="仿宋" w:eastAsia="仿宋" w:cs="仿宋"/>
                <w:sz w:val="24"/>
                <w:szCs w:val="24"/>
              </w:rPr>
            </w:pPr>
          </w:p>
        </w:tc>
      </w:tr>
      <w:tr w14:paraId="3CFF4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1A2C8C1B">
            <w:pPr>
              <w:spacing w:line="340" w:lineRule="exact"/>
              <w:jc w:val="center"/>
              <w:rPr>
                <w:rFonts w:ascii="仿宋" w:hAnsi="仿宋" w:eastAsia="仿宋" w:cs="仿宋"/>
                <w:sz w:val="24"/>
                <w:szCs w:val="24"/>
              </w:rPr>
            </w:pPr>
            <w:r>
              <w:rPr>
                <w:rFonts w:hint="eastAsia" w:ascii="仿宋" w:hAnsi="仿宋" w:eastAsia="仿宋" w:cs="仿宋"/>
                <w:sz w:val="24"/>
                <w:szCs w:val="24"/>
              </w:rPr>
              <w:t>3</w:t>
            </w:r>
          </w:p>
        </w:tc>
        <w:tc>
          <w:tcPr>
            <w:tcW w:w="1254" w:type="pct"/>
            <w:tcBorders>
              <w:tl2br w:val="nil"/>
              <w:tr2bl w:val="nil"/>
            </w:tcBorders>
            <w:vAlign w:val="center"/>
          </w:tcPr>
          <w:p w14:paraId="08A3E54B">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2AA7D750">
            <w:pPr>
              <w:spacing w:line="340" w:lineRule="exact"/>
              <w:ind w:left="695"/>
              <w:jc w:val="left"/>
              <w:rPr>
                <w:rFonts w:ascii="仿宋" w:hAnsi="仿宋" w:eastAsia="仿宋" w:cs="仿宋"/>
                <w:sz w:val="24"/>
                <w:szCs w:val="24"/>
              </w:rPr>
            </w:pPr>
          </w:p>
        </w:tc>
        <w:tc>
          <w:tcPr>
            <w:tcW w:w="1413" w:type="pct"/>
            <w:tcBorders>
              <w:tl2br w:val="nil"/>
              <w:tr2bl w:val="nil"/>
            </w:tcBorders>
            <w:vAlign w:val="center"/>
          </w:tcPr>
          <w:p w14:paraId="44444EB4">
            <w:pPr>
              <w:spacing w:line="340" w:lineRule="exact"/>
              <w:ind w:left="695"/>
              <w:jc w:val="left"/>
              <w:rPr>
                <w:rFonts w:ascii="仿宋" w:hAnsi="仿宋" w:eastAsia="仿宋" w:cs="仿宋"/>
                <w:sz w:val="24"/>
                <w:szCs w:val="24"/>
              </w:rPr>
            </w:pPr>
          </w:p>
        </w:tc>
        <w:tc>
          <w:tcPr>
            <w:tcW w:w="777" w:type="pct"/>
            <w:tcBorders>
              <w:tl2br w:val="nil"/>
              <w:tr2bl w:val="nil"/>
            </w:tcBorders>
          </w:tcPr>
          <w:p w14:paraId="61863201">
            <w:pPr>
              <w:spacing w:line="340" w:lineRule="exact"/>
              <w:ind w:left="695"/>
              <w:jc w:val="left"/>
              <w:rPr>
                <w:rFonts w:ascii="仿宋" w:hAnsi="仿宋" w:eastAsia="仿宋" w:cs="仿宋"/>
                <w:sz w:val="24"/>
                <w:szCs w:val="24"/>
              </w:rPr>
            </w:pPr>
          </w:p>
        </w:tc>
      </w:tr>
      <w:tr w14:paraId="3F27D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07AEB5C3">
            <w:pPr>
              <w:spacing w:line="340" w:lineRule="exact"/>
              <w:jc w:val="center"/>
              <w:rPr>
                <w:rFonts w:ascii="仿宋" w:hAnsi="仿宋" w:eastAsia="仿宋" w:cs="仿宋"/>
                <w:sz w:val="24"/>
                <w:szCs w:val="24"/>
              </w:rPr>
            </w:pPr>
            <w:r>
              <w:rPr>
                <w:rFonts w:hint="eastAsia" w:ascii="仿宋" w:hAnsi="仿宋" w:eastAsia="仿宋" w:cs="仿宋"/>
                <w:sz w:val="24"/>
                <w:szCs w:val="24"/>
              </w:rPr>
              <w:t>4</w:t>
            </w:r>
          </w:p>
        </w:tc>
        <w:tc>
          <w:tcPr>
            <w:tcW w:w="1254" w:type="pct"/>
            <w:tcBorders>
              <w:tl2br w:val="nil"/>
              <w:tr2bl w:val="nil"/>
            </w:tcBorders>
            <w:vAlign w:val="center"/>
          </w:tcPr>
          <w:p w14:paraId="4989FF93">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031FFCF5">
            <w:pPr>
              <w:spacing w:line="340" w:lineRule="exact"/>
              <w:ind w:left="695"/>
              <w:jc w:val="left"/>
              <w:rPr>
                <w:rFonts w:ascii="仿宋" w:hAnsi="仿宋" w:eastAsia="仿宋" w:cs="仿宋"/>
                <w:sz w:val="24"/>
                <w:szCs w:val="24"/>
              </w:rPr>
            </w:pPr>
          </w:p>
        </w:tc>
        <w:tc>
          <w:tcPr>
            <w:tcW w:w="1413" w:type="pct"/>
            <w:tcBorders>
              <w:tl2br w:val="nil"/>
              <w:tr2bl w:val="nil"/>
            </w:tcBorders>
            <w:vAlign w:val="center"/>
          </w:tcPr>
          <w:p w14:paraId="2B9F0A62">
            <w:pPr>
              <w:spacing w:line="340" w:lineRule="exact"/>
              <w:ind w:left="695"/>
              <w:jc w:val="left"/>
              <w:rPr>
                <w:rFonts w:ascii="仿宋" w:hAnsi="仿宋" w:eastAsia="仿宋" w:cs="仿宋"/>
                <w:sz w:val="24"/>
                <w:szCs w:val="24"/>
              </w:rPr>
            </w:pPr>
          </w:p>
        </w:tc>
        <w:tc>
          <w:tcPr>
            <w:tcW w:w="777" w:type="pct"/>
            <w:tcBorders>
              <w:tl2br w:val="nil"/>
              <w:tr2bl w:val="nil"/>
            </w:tcBorders>
          </w:tcPr>
          <w:p w14:paraId="2CAAE99B">
            <w:pPr>
              <w:spacing w:line="340" w:lineRule="exact"/>
              <w:ind w:left="695"/>
              <w:jc w:val="left"/>
              <w:rPr>
                <w:rFonts w:ascii="仿宋" w:hAnsi="仿宋" w:eastAsia="仿宋" w:cs="仿宋"/>
                <w:sz w:val="24"/>
                <w:szCs w:val="24"/>
              </w:rPr>
            </w:pPr>
          </w:p>
        </w:tc>
      </w:tr>
    </w:tbl>
    <w:p w14:paraId="4F5BC380">
      <w:pPr>
        <w:spacing w:line="300" w:lineRule="auto"/>
        <w:contextualSpacing/>
        <w:rPr>
          <w:rFonts w:ascii="仿宋" w:hAnsi="仿宋" w:eastAsia="仿宋" w:cs="仿宋"/>
          <w:b/>
          <w:sz w:val="24"/>
          <w:szCs w:val="24"/>
        </w:rPr>
      </w:pPr>
      <w:r>
        <w:rPr>
          <w:rFonts w:hint="eastAsia" w:ascii="仿宋" w:hAnsi="仿宋" w:eastAsia="仿宋" w:cs="仿宋"/>
          <w:b/>
          <w:sz w:val="24"/>
          <w:szCs w:val="24"/>
        </w:rPr>
        <w:t>注：</w:t>
      </w:r>
    </w:p>
    <w:p w14:paraId="251B99D7">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1.供应商提交的响应文件中与采购文件第三部分“项目需求”中的商务部分的要求，应逐条填列在偏离表中。</w:t>
      </w:r>
    </w:p>
    <w:p w14:paraId="63245867">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2.“偏离说明”一栏选择“正偏离”、“无偏离”、“负偏离”进行填写。正偏离、无偏离的确认和负偏离的是否响应磋商文件，由磋商小组认定。</w:t>
      </w:r>
    </w:p>
    <w:p w14:paraId="6F76EAC3">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3.本项目商务条款不接受负偏离，有负偏离的按无效标处理。供应商若提供其他增值服务，可以在表中自行据实填写。</w:t>
      </w:r>
    </w:p>
    <w:p w14:paraId="7AFE6F83">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4.若完全响应本项目需求且无偏离，投标时本表可空白盖章提供。</w:t>
      </w:r>
      <w:bookmarkEnd w:id="109"/>
    </w:p>
    <w:p w14:paraId="54BB1FC6">
      <w:pPr>
        <w:rPr>
          <w:rFonts w:ascii="仿宋" w:hAnsi="仿宋" w:eastAsia="仿宋" w:cs="仿宋"/>
          <w:b/>
          <w:bCs/>
          <w:sz w:val="28"/>
          <w:szCs w:val="28"/>
        </w:rPr>
      </w:pPr>
      <w:r>
        <w:rPr>
          <w:rFonts w:hint="eastAsia" w:ascii="仿宋" w:hAnsi="仿宋" w:eastAsia="仿宋" w:cs="仿宋"/>
          <w:b/>
          <w:bCs/>
          <w:sz w:val="28"/>
          <w:szCs w:val="28"/>
        </w:rPr>
        <w:br w:type="page"/>
      </w:r>
    </w:p>
    <w:p w14:paraId="1E0939BB">
      <w:pPr>
        <w:rPr>
          <w:rFonts w:ascii="仿宋" w:hAnsi="仿宋" w:eastAsia="仿宋" w:cs="仿宋"/>
          <w:b/>
          <w:bCs/>
          <w:sz w:val="28"/>
          <w:szCs w:val="28"/>
        </w:rPr>
      </w:pPr>
      <w:r>
        <w:rPr>
          <w:rFonts w:hint="eastAsia" w:ascii="仿宋" w:hAnsi="仿宋" w:eastAsia="仿宋" w:cs="仿宋"/>
          <w:b/>
          <w:bCs/>
          <w:sz w:val="28"/>
          <w:szCs w:val="28"/>
        </w:rPr>
        <w:t>附件9</w:t>
      </w:r>
    </w:p>
    <w:p w14:paraId="2DD91425">
      <w:pPr>
        <w:spacing w:line="300" w:lineRule="auto"/>
        <w:contextualSpacing/>
        <w:jc w:val="center"/>
        <w:rPr>
          <w:rFonts w:ascii="仿宋" w:hAnsi="仿宋" w:eastAsia="仿宋" w:cs="仿宋"/>
          <w:b/>
          <w:sz w:val="32"/>
          <w:szCs w:val="32"/>
        </w:rPr>
      </w:pPr>
      <w:r>
        <w:rPr>
          <w:rFonts w:hint="eastAsia" w:ascii="仿宋" w:hAnsi="仿宋" w:eastAsia="仿宋" w:cs="仿宋"/>
          <w:sz w:val="32"/>
          <w:szCs w:val="32"/>
          <w:lang w:val="zh-CN"/>
        </w:rPr>
        <w:t>★</w:t>
      </w:r>
      <w:bookmarkStart w:id="110" w:name="OLE_LINK18"/>
      <w:r>
        <w:rPr>
          <w:rFonts w:hint="eastAsia" w:ascii="仿宋" w:hAnsi="仿宋" w:eastAsia="仿宋" w:cs="仿宋"/>
          <w:b/>
          <w:sz w:val="32"/>
          <w:szCs w:val="32"/>
        </w:rPr>
        <w:t>技术部分正负偏离表</w:t>
      </w:r>
    </w:p>
    <w:p w14:paraId="03D30D6E">
      <w:pPr>
        <w:jc w:val="center"/>
        <w:rPr>
          <w:rFonts w:ascii="仿宋" w:hAnsi="仿宋" w:eastAsia="仿宋" w:cs="仿宋"/>
          <w:sz w:val="24"/>
          <w:szCs w:val="24"/>
        </w:rPr>
      </w:pPr>
      <w:r>
        <w:rPr>
          <w:rFonts w:hint="eastAsia" w:ascii="仿宋" w:hAnsi="仿宋" w:eastAsia="仿宋" w:cs="仿宋"/>
          <w:sz w:val="24"/>
          <w:szCs w:val="24"/>
        </w:rPr>
        <w:t>（由供应商据实填写，表格不够自行添加）</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138"/>
        <w:gridCol w:w="1867"/>
        <w:gridCol w:w="2408"/>
        <w:gridCol w:w="1327"/>
      </w:tblGrid>
      <w:tr w14:paraId="552FF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59" w:type="pct"/>
            <w:tcBorders>
              <w:tl2br w:val="nil"/>
              <w:tr2bl w:val="nil"/>
            </w:tcBorders>
            <w:vAlign w:val="center"/>
          </w:tcPr>
          <w:p w14:paraId="54EEBA42">
            <w:pPr>
              <w:spacing w:line="3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254" w:type="pct"/>
            <w:tcBorders>
              <w:tl2br w:val="nil"/>
              <w:tr2bl w:val="nil"/>
            </w:tcBorders>
            <w:vAlign w:val="center"/>
          </w:tcPr>
          <w:p w14:paraId="3355B7F4">
            <w:pPr>
              <w:spacing w:line="340" w:lineRule="exact"/>
              <w:jc w:val="center"/>
              <w:rPr>
                <w:rFonts w:ascii="仿宋" w:hAnsi="仿宋" w:eastAsia="仿宋" w:cs="仿宋"/>
                <w:sz w:val="24"/>
                <w:szCs w:val="24"/>
              </w:rPr>
            </w:pPr>
            <w:r>
              <w:rPr>
                <w:rFonts w:hint="eastAsia" w:ascii="仿宋" w:hAnsi="仿宋" w:eastAsia="仿宋" w:cs="仿宋"/>
                <w:sz w:val="24"/>
                <w:szCs w:val="24"/>
              </w:rPr>
              <w:t>货物或服务名称</w:t>
            </w:r>
          </w:p>
        </w:tc>
        <w:tc>
          <w:tcPr>
            <w:tcW w:w="1095" w:type="pct"/>
            <w:tcBorders>
              <w:tl2br w:val="nil"/>
              <w:tr2bl w:val="nil"/>
            </w:tcBorders>
            <w:vAlign w:val="center"/>
          </w:tcPr>
          <w:p w14:paraId="6EACE796">
            <w:pPr>
              <w:spacing w:line="340" w:lineRule="exact"/>
              <w:jc w:val="center"/>
              <w:rPr>
                <w:rFonts w:ascii="仿宋" w:hAnsi="仿宋" w:eastAsia="仿宋" w:cs="仿宋"/>
                <w:sz w:val="24"/>
                <w:szCs w:val="24"/>
              </w:rPr>
            </w:pPr>
            <w:r>
              <w:rPr>
                <w:rFonts w:hint="eastAsia" w:ascii="仿宋" w:hAnsi="仿宋" w:eastAsia="仿宋" w:cs="仿宋"/>
                <w:sz w:val="24"/>
                <w:szCs w:val="24"/>
              </w:rPr>
              <w:t>采购文件要求的技术要求</w:t>
            </w:r>
          </w:p>
        </w:tc>
        <w:tc>
          <w:tcPr>
            <w:tcW w:w="1412" w:type="pct"/>
            <w:tcBorders>
              <w:tl2br w:val="nil"/>
              <w:tr2bl w:val="nil"/>
            </w:tcBorders>
            <w:vAlign w:val="center"/>
          </w:tcPr>
          <w:p w14:paraId="0310F675">
            <w:pPr>
              <w:spacing w:line="340" w:lineRule="exact"/>
              <w:jc w:val="center"/>
              <w:rPr>
                <w:rFonts w:ascii="仿宋" w:hAnsi="仿宋" w:eastAsia="仿宋" w:cs="仿宋"/>
                <w:sz w:val="24"/>
                <w:szCs w:val="24"/>
              </w:rPr>
            </w:pPr>
            <w:r>
              <w:rPr>
                <w:rFonts w:hint="eastAsia" w:ascii="仿宋" w:hAnsi="仿宋" w:eastAsia="仿宋" w:cs="仿宋"/>
                <w:sz w:val="24"/>
                <w:szCs w:val="24"/>
              </w:rPr>
              <w:t>响应文件响应情况</w:t>
            </w:r>
          </w:p>
        </w:tc>
        <w:tc>
          <w:tcPr>
            <w:tcW w:w="778" w:type="pct"/>
            <w:tcBorders>
              <w:tl2br w:val="nil"/>
              <w:tr2bl w:val="nil"/>
            </w:tcBorders>
            <w:vAlign w:val="center"/>
          </w:tcPr>
          <w:p w14:paraId="46743258">
            <w:pPr>
              <w:spacing w:line="340" w:lineRule="exact"/>
              <w:jc w:val="center"/>
              <w:rPr>
                <w:rFonts w:ascii="仿宋" w:hAnsi="仿宋" w:eastAsia="仿宋" w:cs="仿宋"/>
                <w:sz w:val="24"/>
                <w:szCs w:val="24"/>
              </w:rPr>
            </w:pPr>
            <w:r>
              <w:rPr>
                <w:rFonts w:hint="eastAsia" w:ascii="仿宋" w:hAnsi="仿宋" w:eastAsia="仿宋" w:cs="仿宋"/>
                <w:sz w:val="24"/>
                <w:szCs w:val="24"/>
              </w:rPr>
              <w:t>偏离说明</w:t>
            </w:r>
          </w:p>
        </w:tc>
      </w:tr>
      <w:tr w14:paraId="5F569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3EF05E28">
            <w:pPr>
              <w:spacing w:line="340" w:lineRule="exact"/>
              <w:jc w:val="center"/>
              <w:rPr>
                <w:rFonts w:ascii="仿宋" w:hAnsi="仿宋" w:eastAsia="仿宋" w:cs="仿宋"/>
                <w:sz w:val="24"/>
                <w:szCs w:val="24"/>
              </w:rPr>
            </w:pPr>
            <w:r>
              <w:rPr>
                <w:rFonts w:hint="eastAsia" w:ascii="仿宋" w:hAnsi="仿宋" w:eastAsia="仿宋" w:cs="仿宋"/>
                <w:sz w:val="24"/>
                <w:szCs w:val="24"/>
              </w:rPr>
              <w:t>1</w:t>
            </w:r>
          </w:p>
        </w:tc>
        <w:tc>
          <w:tcPr>
            <w:tcW w:w="1254" w:type="pct"/>
            <w:tcBorders>
              <w:tl2br w:val="nil"/>
              <w:tr2bl w:val="nil"/>
            </w:tcBorders>
            <w:vAlign w:val="center"/>
          </w:tcPr>
          <w:p w14:paraId="0CE802ED">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3737FE0E">
            <w:pPr>
              <w:spacing w:line="340" w:lineRule="exact"/>
              <w:ind w:left="695"/>
              <w:jc w:val="left"/>
              <w:rPr>
                <w:rFonts w:ascii="仿宋" w:hAnsi="仿宋" w:eastAsia="仿宋" w:cs="仿宋"/>
                <w:sz w:val="24"/>
                <w:szCs w:val="24"/>
              </w:rPr>
            </w:pPr>
          </w:p>
        </w:tc>
        <w:tc>
          <w:tcPr>
            <w:tcW w:w="1412" w:type="pct"/>
            <w:tcBorders>
              <w:tl2br w:val="nil"/>
              <w:tr2bl w:val="nil"/>
            </w:tcBorders>
            <w:vAlign w:val="center"/>
          </w:tcPr>
          <w:p w14:paraId="6DCCB137">
            <w:pPr>
              <w:spacing w:line="340" w:lineRule="exact"/>
              <w:ind w:left="695"/>
              <w:jc w:val="left"/>
              <w:rPr>
                <w:rFonts w:ascii="仿宋" w:hAnsi="仿宋" w:eastAsia="仿宋" w:cs="仿宋"/>
                <w:sz w:val="24"/>
                <w:szCs w:val="24"/>
              </w:rPr>
            </w:pPr>
          </w:p>
        </w:tc>
        <w:tc>
          <w:tcPr>
            <w:tcW w:w="778" w:type="pct"/>
            <w:tcBorders>
              <w:tl2br w:val="nil"/>
              <w:tr2bl w:val="nil"/>
            </w:tcBorders>
          </w:tcPr>
          <w:p w14:paraId="53FB4A1B">
            <w:pPr>
              <w:spacing w:line="340" w:lineRule="exact"/>
              <w:ind w:left="695"/>
              <w:jc w:val="left"/>
              <w:rPr>
                <w:rFonts w:ascii="仿宋" w:hAnsi="仿宋" w:eastAsia="仿宋" w:cs="仿宋"/>
                <w:sz w:val="24"/>
                <w:szCs w:val="24"/>
              </w:rPr>
            </w:pPr>
          </w:p>
        </w:tc>
      </w:tr>
      <w:tr w14:paraId="2089F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4154C1E7">
            <w:pPr>
              <w:spacing w:line="340" w:lineRule="exact"/>
              <w:jc w:val="center"/>
              <w:rPr>
                <w:rFonts w:ascii="仿宋" w:hAnsi="仿宋" w:eastAsia="仿宋" w:cs="仿宋"/>
                <w:sz w:val="24"/>
                <w:szCs w:val="24"/>
              </w:rPr>
            </w:pPr>
            <w:r>
              <w:rPr>
                <w:rFonts w:hint="eastAsia" w:ascii="仿宋" w:hAnsi="仿宋" w:eastAsia="仿宋" w:cs="仿宋"/>
                <w:sz w:val="24"/>
                <w:szCs w:val="24"/>
              </w:rPr>
              <w:t>2</w:t>
            </w:r>
          </w:p>
        </w:tc>
        <w:tc>
          <w:tcPr>
            <w:tcW w:w="1254" w:type="pct"/>
            <w:tcBorders>
              <w:tl2br w:val="nil"/>
              <w:tr2bl w:val="nil"/>
            </w:tcBorders>
            <w:vAlign w:val="center"/>
          </w:tcPr>
          <w:p w14:paraId="639DF120">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4E51E839">
            <w:pPr>
              <w:spacing w:line="340" w:lineRule="exact"/>
              <w:ind w:left="695"/>
              <w:jc w:val="left"/>
              <w:rPr>
                <w:rFonts w:ascii="仿宋" w:hAnsi="仿宋" w:eastAsia="仿宋" w:cs="仿宋"/>
                <w:sz w:val="24"/>
                <w:szCs w:val="24"/>
              </w:rPr>
            </w:pPr>
          </w:p>
        </w:tc>
        <w:tc>
          <w:tcPr>
            <w:tcW w:w="1412" w:type="pct"/>
            <w:tcBorders>
              <w:tl2br w:val="nil"/>
              <w:tr2bl w:val="nil"/>
            </w:tcBorders>
            <w:vAlign w:val="center"/>
          </w:tcPr>
          <w:p w14:paraId="0D330439">
            <w:pPr>
              <w:spacing w:line="340" w:lineRule="exact"/>
              <w:ind w:left="695"/>
              <w:jc w:val="left"/>
              <w:rPr>
                <w:rFonts w:ascii="仿宋" w:hAnsi="仿宋" w:eastAsia="仿宋" w:cs="仿宋"/>
                <w:sz w:val="24"/>
                <w:szCs w:val="24"/>
              </w:rPr>
            </w:pPr>
          </w:p>
        </w:tc>
        <w:tc>
          <w:tcPr>
            <w:tcW w:w="778" w:type="pct"/>
            <w:tcBorders>
              <w:tl2br w:val="nil"/>
              <w:tr2bl w:val="nil"/>
            </w:tcBorders>
          </w:tcPr>
          <w:p w14:paraId="4B9BC84F">
            <w:pPr>
              <w:spacing w:line="340" w:lineRule="exact"/>
              <w:ind w:left="695"/>
              <w:jc w:val="left"/>
              <w:rPr>
                <w:rFonts w:ascii="仿宋" w:hAnsi="仿宋" w:eastAsia="仿宋" w:cs="仿宋"/>
                <w:sz w:val="24"/>
                <w:szCs w:val="24"/>
              </w:rPr>
            </w:pPr>
          </w:p>
        </w:tc>
      </w:tr>
      <w:tr w14:paraId="5F630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296D2018">
            <w:pPr>
              <w:spacing w:line="340" w:lineRule="exact"/>
              <w:jc w:val="center"/>
              <w:rPr>
                <w:rFonts w:ascii="仿宋" w:hAnsi="仿宋" w:eastAsia="仿宋" w:cs="仿宋"/>
                <w:sz w:val="24"/>
                <w:szCs w:val="24"/>
              </w:rPr>
            </w:pPr>
            <w:r>
              <w:rPr>
                <w:rFonts w:hint="eastAsia" w:ascii="仿宋" w:hAnsi="仿宋" w:eastAsia="仿宋" w:cs="仿宋"/>
                <w:sz w:val="24"/>
                <w:szCs w:val="24"/>
              </w:rPr>
              <w:t>3</w:t>
            </w:r>
          </w:p>
        </w:tc>
        <w:tc>
          <w:tcPr>
            <w:tcW w:w="1254" w:type="pct"/>
            <w:tcBorders>
              <w:tl2br w:val="nil"/>
              <w:tr2bl w:val="nil"/>
            </w:tcBorders>
            <w:vAlign w:val="center"/>
          </w:tcPr>
          <w:p w14:paraId="45596933">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592214DD">
            <w:pPr>
              <w:spacing w:line="340" w:lineRule="exact"/>
              <w:ind w:left="695"/>
              <w:jc w:val="left"/>
              <w:rPr>
                <w:rFonts w:ascii="仿宋" w:hAnsi="仿宋" w:eastAsia="仿宋" w:cs="仿宋"/>
                <w:sz w:val="24"/>
                <w:szCs w:val="24"/>
              </w:rPr>
            </w:pPr>
          </w:p>
        </w:tc>
        <w:tc>
          <w:tcPr>
            <w:tcW w:w="1412" w:type="pct"/>
            <w:tcBorders>
              <w:tl2br w:val="nil"/>
              <w:tr2bl w:val="nil"/>
            </w:tcBorders>
            <w:vAlign w:val="center"/>
          </w:tcPr>
          <w:p w14:paraId="6772F1F5">
            <w:pPr>
              <w:spacing w:line="340" w:lineRule="exact"/>
              <w:ind w:left="695"/>
              <w:jc w:val="left"/>
              <w:rPr>
                <w:rFonts w:ascii="仿宋" w:hAnsi="仿宋" w:eastAsia="仿宋" w:cs="仿宋"/>
                <w:sz w:val="24"/>
                <w:szCs w:val="24"/>
              </w:rPr>
            </w:pPr>
          </w:p>
        </w:tc>
        <w:tc>
          <w:tcPr>
            <w:tcW w:w="778" w:type="pct"/>
            <w:tcBorders>
              <w:tl2br w:val="nil"/>
              <w:tr2bl w:val="nil"/>
            </w:tcBorders>
          </w:tcPr>
          <w:p w14:paraId="0F47B303">
            <w:pPr>
              <w:spacing w:line="340" w:lineRule="exact"/>
              <w:ind w:left="695"/>
              <w:jc w:val="left"/>
              <w:rPr>
                <w:rFonts w:ascii="仿宋" w:hAnsi="仿宋" w:eastAsia="仿宋" w:cs="仿宋"/>
                <w:sz w:val="24"/>
                <w:szCs w:val="24"/>
              </w:rPr>
            </w:pPr>
          </w:p>
        </w:tc>
      </w:tr>
      <w:tr w14:paraId="018FB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9" w:type="pct"/>
            <w:tcBorders>
              <w:tl2br w:val="nil"/>
              <w:tr2bl w:val="nil"/>
            </w:tcBorders>
          </w:tcPr>
          <w:p w14:paraId="684C5B6B">
            <w:pPr>
              <w:spacing w:line="340" w:lineRule="exact"/>
              <w:jc w:val="center"/>
              <w:rPr>
                <w:rFonts w:ascii="仿宋" w:hAnsi="仿宋" w:eastAsia="仿宋" w:cs="仿宋"/>
                <w:sz w:val="24"/>
                <w:szCs w:val="24"/>
              </w:rPr>
            </w:pPr>
            <w:r>
              <w:rPr>
                <w:rFonts w:hint="eastAsia" w:ascii="仿宋" w:hAnsi="仿宋" w:eastAsia="仿宋" w:cs="仿宋"/>
                <w:sz w:val="24"/>
                <w:szCs w:val="24"/>
              </w:rPr>
              <w:t>4</w:t>
            </w:r>
          </w:p>
        </w:tc>
        <w:tc>
          <w:tcPr>
            <w:tcW w:w="1254" w:type="pct"/>
            <w:tcBorders>
              <w:tl2br w:val="nil"/>
              <w:tr2bl w:val="nil"/>
            </w:tcBorders>
            <w:vAlign w:val="center"/>
          </w:tcPr>
          <w:p w14:paraId="3F2A7E8F">
            <w:pPr>
              <w:spacing w:line="340" w:lineRule="exact"/>
              <w:ind w:left="695"/>
              <w:jc w:val="left"/>
              <w:rPr>
                <w:rFonts w:ascii="仿宋" w:hAnsi="仿宋" w:eastAsia="仿宋" w:cs="仿宋"/>
                <w:sz w:val="24"/>
                <w:szCs w:val="24"/>
              </w:rPr>
            </w:pPr>
          </w:p>
        </w:tc>
        <w:tc>
          <w:tcPr>
            <w:tcW w:w="1095" w:type="pct"/>
            <w:tcBorders>
              <w:tl2br w:val="nil"/>
              <w:tr2bl w:val="nil"/>
            </w:tcBorders>
            <w:vAlign w:val="center"/>
          </w:tcPr>
          <w:p w14:paraId="39DD7D29">
            <w:pPr>
              <w:spacing w:line="340" w:lineRule="exact"/>
              <w:ind w:left="695"/>
              <w:jc w:val="left"/>
              <w:rPr>
                <w:rFonts w:ascii="仿宋" w:hAnsi="仿宋" w:eastAsia="仿宋" w:cs="仿宋"/>
                <w:sz w:val="24"/>
                <w:szCs w:val="24"/>
              </w:rPr>
            </w:pPr>
          </w:p>
        </w:tc>
        <w:tc>
          <w:tcPr>
            <w:tcW w:w="1412" w:type="pct"/>
            <w:tcBorders>
              <w:tl2br w:val="nil"/>
              <w:tr2bl w:val="nil"/>
            </w:tcBorders>
            <w:vAlign w:val="center"/>
          </w:tcPr>
          <w:p w14:paraId="4101F56B">
            <w:pPr>
              <w:spacing w:line="340" w:lineRule="exact"/>
              <w:ind w:left="695"/>
              <w:jc w:val="left"/>
              <w:rPr>
                <w:rFonts w:ascii="仿宋" w:hAnsi="仿宋" w:eastAsia="仿宋" w:cs="仿宋"/>
                <w:sz w:val="24"/>
                <w:szCs w:val="24"/>
              </w:rPr>
            </w:pPr>
          </w:p>
        </w:tc>
        <w:tc>
          <w:tcPr>
            <w:tcW w:w="778" w:type="pct"/>
            <w:tcBorders>
              <w:tl2br w:val="nil"/>
              <w:tr2bl w:val="nil"/>
            </w:tcBorders>
          </w:tcPr>
          <w:p w14:paraId="1FE44DA6">
            <w:pPr>
              <w:spacing w:line="340" w:lineRule="exact"/>
              <w:ind w:left="695"/>
              <w:jc w:val="left"/>
              <w:rPr>
                <w:rFonts w:ascii="仿宋" w:hAnsi="仿宋" w:eastAsia="仿宋" w:cs="仿宋"/>
                <w:sz w:val="24"/>
                <w:szCs w:val="24"/>
              </w:rPr>
            </w:pPr>
          </w:p>
        </w:tc>
      </w:tr>
    </w:tbl>
    <w:p w14:paraId="78E5431D">
      <w:pPr>
        <w:spacing w:line="300" w:lineRule="auto"/>
        <w:contextualSpacing/>
        <w:rPr>
          <w:rFonts w:ascii="仿宋" w:hAnsi="仿宋" w:eastAsia="仿宋" w:cs="仿宋"/>
          <w:b/>
          <w:sz w:val="24"/>
          <w:szCs w:val="24"/>
        </w:rPr>
      </w:pPr>
      <w:r>
        <w:rPr>
          <w:rFonts w:hint="eastAsia" w:ascii="仿宋" w:hAnsi="仿宋" w:eastAsia="仿宋" w:cs="仿宋"/>
          <w:b/>
          <w:sz w:val="24"/>
          <w:szCs w:val="24"/>
        </w:rPr>
        <w:t>注：</w:t>
      </w:r>
    </w:p>
    <w:p w14:paraId="79C6227C">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1.供应商提交的响应文件中与采购文件第三部分“项目需求”中的技术部分的要求，应逐条填列在偏离表中。</w:t>
      </w:r>
    </w:p>
    <w:p w14:paraId="1BF0D61E">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2.“偏离说明”一栏选择“正偏离”、“无偏离”、“负偏离”进行填写。正偏离、无偏离的确认和负偏离的是否响应磋商文件，由磋商小组认定。</w:t>
      </w:r>
    </w:p>
    <w:p w14:paraId="6F224A43">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3.供应商若提供其他增值服务，可以在表中自行据实填写。</w:t>
      </w:r>
    </w:p>
    <w:p w14:paraId="1A601D5E">
      <w:pPr>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4.若完全响应本项目需求且无偏离，投标时本表可空白盖章提供。</w:t>
      </w:r>
      <w:bookmarkEnd w:id="110"/>
    </w:p>
    <w:p w14:paraId="5FDFF6EF">
      <w:pPr>
        <w:rPr>
          <w:rFonts w:ascii="仿宋" w:hAnsi="仿宋" w:eastAsia="仿宋" w:cs="仿宋"/>
          <w:sz w:val="30"/>
          <w:szCs w:val="30"/>
        </w:rPr>
      </w:pPr>
      <w:r>
        <w:rPr>
          <w:rFonts w:hint="eastAsia" w:ascii="仿宋" w:hAnsi="仿宋" w:eastAsia="仿宋" w:cs="仿宋"/>
          <w:sz w:val="24"/>
          <w:szCs w:val="24"/>
        </w:rPr>
        <w:br w:type="page" w:clear="all"/>
      </w:r>
      <w:r>
        <w:rPr>
          <w:rFonts w:hint="eastAsia" w:ascii="仿宋" w:hAnsi="仿宋" w:eastAsia="仿宋" w:cs="仿宋"/>
          <w:b/>
          <w:bCs/>
          <w:sz w:val="30"/>
          <w:szCs w:val="30"/>
        </w:rPr>
        <w:t>附件</w:t>
      </w:r>
      <w:bookmarkStart w:id="111" w:name="_Toc20744274"/>
      <w:bookmarkStart w:id="112" w:name="_Toc20744811"/>
      <w:r>
        <w:rPr>
          <w:rFonts w:hint="eastAsia" w:ascii="仿宋" w:hAnsi="仿宋" w:eastAsia="仿宋" w:cs="仿宋"/>
          <w:b/>
          <w:bCs/>
          <w:sz w:val="30"/>
          <w:szCs w:val="30"/>
        </w:rPr>
        <w:t>10</w:t>
      </w:r>
    </w:p>
    <w:p w14:paraId="433C3C88">
      <w:pPr>
        <w:spacing w:line="360" w:lineRule="auto"/>
        <w:jc w:val="center"/>
        <w:rPr>
          <w:rFonts w:ascii="仿宋" w:hAnsi="仿宋" w:eastAsia="仿宋" w:cs="仿宋"/>
          <w:sz w:val="28"/>
          <w:szCs w:val="28"/>
          <w:lang w:val="zh-CN"/>
        </w:rPr>
      </w:pPr>
      <w:r>
        <w:rPr>
          <w:rFonts w:hint="eastAsia" w:ascii="仿宋" w:hAnsi="仿宋" w:eastAsia="仿宋" w:cs="仿宋"/>
          <w:b/>
          <w:bCs/>
          <w:sz w:val="28"/>
          <w:szCs w:val="28"/>
          <w:lang w:val="zh-CN"/>
        </w:rPr>
        <w:t>磋商</w:t>
      </w:r>
      <w:r>
        <w:rPr>
          <w:rFonts w:hint="eastAsia" w:ascii="仿宋" w:hAnsi="仿宋" w:eastAsia="仿宋" w:cs="仿宋"/>
          <w:b/>
          <w:bCs/>
          <w:sz w:val="28"/>
          <w:szCs w:val="28"/>
        </w:rPr>
        <w:t>响应</w:t>
      </w:r>
      <w:r>
        <w:rPr>
          <w:rFonts w:hint="eastAsia" w:ascii="仿宋" w:hAnsi="仿宋" w:eastAsia="仿宋" w:cs="仿宋"/>
          <w:b/>
          <w:bCs/>
          <w:sz w:val="28"/>
          <w:szCs w:val="28"/>
          <w:lang w:val="zh-CN"/>
        </w:rPr>
        <w:t>报价</w:t>
      </w:r>
      <w:r>
        <w:rPr>
          <w:rFonts w:hint="eastAsia" w:ascii="仿宋" w:hAnsi="仿宋" w:eastAsia="仿宋" w:cs="仿宋"/>
          <w:b/>
          <w:bCs/>
          <w:sz w:val="28"/>
          <w:szCs w:val="28"/>
        </w:rPr>
        <w:t>总</w:t>
      </w:r>
      <w:r>
        <w:rPr>
          <w:rFonts w:hint="eastAsia" w:ascii="仿宋" w:hAnsi="仿宋" w:eastAsia="仿宋" w:cs="仿宋"/>
          <w:b/>
          <w:bCs/>
          <w:sz w:val="28"/>
          <w:szCs w:val="28"/>
          <w:lang w:val="zh-CN"/>
        </w:rPr>
        <w:t>表（首次）</w:t>
      </w:r>
    </w:p>
    <w:p w14:paraId="2602306A">
      <w:pPr>
        <w:spacing w:line="360" w:lineRule="auto"/>
        <w:rPr>
          <w:rFonts w:ascii="仿宋" w:hAnsi="仿宋" w:eastAsia="仿宋" w:cs="仿宋"/>
          <w:sz w:val="24"/>
          <w:szCs w:val="24"/>
          <w:u w:val="single"/>
        </w:rPr>
      </w:pPr>
      <w:r>
        <w:rPr>
          <w:rFonts w:hint="eastAsia" w:ascii="仿宋" w:hAnsi="仿宋" w:eastAsia="仿宋" w:cs="仿宋"/>
          <w:sz w:val="24"/>
          <w:szCs w:val="24"/>
        </w:rPr>
        <w:t>供应商全称（加盖公章）：</w:t>
      </w:r>
    </w:p>
    <w:p w14:paraId="5B10E741">
      <w:pPr>
        <w:spacing w:line="360" w:lineRule="auto"/>
        <w:rPr>
          <w:rFonts w:ascii="仿宋" w:hAnsi="仿宋" w:eastAsia="仿宋" w:cs="仿宋"/>
          <w:sz w:val="24"/>
          <w:szCs w:val="24"/>
        </w:rPr>
      </w:pPr>
      <w:r>
        <w:rPr>
          <w:rFonts w:hint="eastAsia" w:ascii="仿宋" w:hAnsi="仿宋" w:eastAsia="仿宋" w:cs="仿宋"/>
          <w:sz w:val="24"/>
          <w:szCs w:val="24"/>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14:paraId="17A2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8" w:type="dxa"/>
            <w:vAlign w:val="center"/>
          </w:tcPr>
          <w:p w14:paraId="4D488B4C">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磋商货物、服务名称</w:t>
            </w:r>
          </w:p>
        </w:tc>
        <w:tc>
          <w:tcPr>
            <w:tcW w:w="4607" w:type="dxa"/>
            <w:vAlign w:val="center"/>
          </w:tcPr>
          <w:p w14:paraId="11931D1C">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磋商总价（元）</w:t>
            </w:r>
          </w:p>
        </w:tc>
      </w:tr>
      <w:tr w14:paraId="1090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6FF71CF7">
            <w:pPr>
              <w:ind w:left="695"/>
              <w:rPr>
                <w:rFonts w:ascii="仿宋" w:hAnsi="仿宋" w:eastAsia="仿宋" w:cs="仿宋"/>
                <w:sz w:val="24"/>
                <w:szCs w:val="24"/>
              </w:rPr>
            </w:pPr>
          </w:p>
        </w:tc>
        <w:tc>
          <w:tcPr>
            <w:tcW w:w="4607" w:type="dxa"/>
          </w:tcPr>
          <w:p w14:paraId="059A408D">
            <w:pPr>
              <w:rPr>
                <w:rFonts w:ascii="仿宋" w:hAnsi="仿宋" w:eastAsia="仿宋" w:cs="仿宋"/>
                <w:sz w:val="24"/>
                <w:szCs w:val="24"/>
              </w:rPr>
            </w:pPr>
            <w:r>
              <w:rPr>
                <w:rFonts w:hint="eastAsia" w:ascii="仿宋" w:hAnsi="仿宋" w:eastAsia="仿宋" w:cs="仿宋"/>
                <w:sz w:val="24"/>
                <w:szCs w:val="24"/>
              </w:rPr>
              <w:t>大写：</w:t>
            </w:r>
          </w:p>
          <w:p w14:paraId="6D2A88D5">
            <w:pPr>
              <w:rPr>
                <w:rFonts w:ascii="仿宋" w:hAnsi="仿宋" w:eastAsia="仿宋" w:cs="仿宋"/>
                <w:sz w:val="24"/>
                <w:szCs w:val="24"/>
                <w:u w:val="single"/>
              </w:rPr>
            </w:pPr>
            <w:r>
              <w:rPr>
                <w:rFonts w:hint="eastAsia" w:ascii="仿宋" w:hAnsi="仿宋" w:eastAsia="仿宋" w:cs="仿宋"/>
                <w:sz w:val="24"/>
                <w:szCs w:val="24"/>
              </w:rPr>
              <w:br w:type="textWrapping"/>
            </w:r>
            <w:r>
              <w:rPr>
                <w:rFonts w:hint="eastAsia" w:ascii="仿宋" w:hAnsi="仿宋" w:eastAsia="仿宋" w:cs="仿宋"/>
                <w:sz w:val="24"/>
                <w:szCs w:val="24"/>
              </w:rPr>
              <w:t>小写：元（人民币）</w:t>
            </w:r>
          </w:p>
        </w:tc>
      </w:tr>
    </w:tbl>
    <w:p w14:paraId="0F91127F">
      <w:pPr>
        <w:spacing w:line="360" w:lineRule="auto"/>
        <w:rPr>
          <w:rFonts w:ascii="仿宋" w:hAnsi="仿宋" w:eastAsia="仿宋" w:cs="仿宋"/>
          <w:sz w:val="24"/>
          <w:szCs w:val="24"/>
        </w:rPr>
      </w:pPr>
      <w:r>
        <w:rPr>
          <w:rFonts w:hint="eastAsia" w:ascii="仿宋" w:hAnsi="仿宋" w:eastAsia="仿宋" w:cs="仿宋"/>
          <w:sz w:val="24"/>
          <w:szCs w:val="24"/>
        </w:rPr>
        <w:t>日期：</w:t>
      </w:r>
    </w:p>
    <w:p w14:paraId="34DE47F0">
      <w:pPr>
        <w:spacing w:line="360" w:lineRule="auto"/>
        <w:rPr>
          <w:rFonts w:ascii="仿宋" w:hAnsi="仿宋" w:eastAsia="仿宋" w:cs="仿宋"/>
          <w:sz w:val="24"/>
          <w:szCs w:val="24"/>
        </w:rPr>
      </w:pPr>
      <w:r>
        <w:rPr>
          <w:rFonts w:hint="eastAsia" w:ascii="仿宋" w:hAnsi="仿宋" w:eastAsia="仿宋" w:cs="仿宋"/>
          <w:sz w:val="24"/>
          <w:szCs w:val="24"/>
        </w:rPr>
        <w:t>填写说明：</w:t>
      </w:r>
    </w:p>
    <w:p w14:paraId="3861A201">
      <w:pPr>
        <w:spacing w:line="360" w:lineRule="auto"/>
        <w:rPr>
          <w:rFonts w:ascii="仿宋" w:hAnsi="仿宋" w:eastAsia="仿宋" w:cs="仿宋"/>
          <w:sz w:val="24"/>
          <w:szCs w:val="24"/>
        </w:rPr>
      </w:pPr>
      <w:r>
        <w:rPr>
          <w:rFonts w:hint="eastAsia" w:ascii="仿宋" w:hAnsi="仿宋" w:eastAsia="仿宋" w:cs="仿宋"/>
          <w:sz w:val="24"/>
          <w:szCs w:val="24"/>
        </w:rPr>
        <w:t>1.报价总表必须加盖供应商公章。</w:t>
      </w:r>
    </w:p>
    <w:p w14:paraId="798BF523">
      <w:pPr>
        <w:spacing w:line="360" w:lineRule="auto"/>
        <w:rPr>
          <w:rFonts w:ascii="仿宋" w:hAnsi="仿宋" w:eastAsia="仿宋" w:cs="仿宋"/>
          <w:sz w:val="24"/>
          <w:szCs w:val="24"/>
        </w:rPr>
      </w:pPr>
      <w:r>
        <w:rPr>
          <w:rFonts w:hint="eastAsia" w:ascii="仿宋" w:hAnsi="仿宋" w:eastAsia="仿宋" w:cs="仿宋"/>
          <w:sz w:val="24"/>
          <w:szCs w:val="24"/>
        </w:rPr>
        <w:t>2.如有分包，供应商参与任何一个包的标的，都需单独填写报价总表。</w:t>
      </w:r>
    </w:p>
    <w:p w14:paraId="31916737">
      <w:pPr>
        <w:spacing w:line="360" w:lineRule="auto"/>
        <w:rPr>
          <w:rFonts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u w:val="single"/>
        </w:rPr>
        <w:t>各供应商请关注开标大厅交流区，在开标结束后，请勿离开开标大厅。采购人或采购代理机构通知最后报价填报后，所有的响应供应商须在15分钟内填写并提交最后报价，未在规定时间内提交最后报价的，将作无效响应处理。</w:t>
      </w:r>
    </w:p>
    <w:p w14:paraId="311D6C29">
      <w:pPr>
        <w:spacing w:line="360" w:lineRule="auto"/>
        <w:rPr>
          <w:rFonts w:ascii="仿宋" w:hAnsi="仿宋" w:eastAsia="仿宋" w:cs="仿宋"/>
          <w:b/>
          <w:bCs/>
          <w:u w:val="single"/>
        </w:rPr>
      </w:pPr>
      <w:r>
        <w:rPr>
          <w:rFonts w:hint="eastAsia" w:ascii="仿宋" w:hAnsi="仿宋" w:eastAsia="仿宋" w:cs="仿宋"/>
          <w:b/>
          <w:bCs/>
          <w:sz w:val="24"/>
          <w:szCs w:val="24"/>
          <w:u w:val="single"/>
        </w:rPr>
        <w:t>4.除非在磋商中磋商小组对采购需求中的技术、服务要求以及合同草案条款作了实质性变更，否则采购单位不接受供应商高于自己前一轮的磋商报价。</w:t>
      </w:r>
    </w:p>
    <w:p w14:paraId="4BEE2C97">
      <w:pPr>
        <w:pStyle w:val="12"/>
        <w:spacing w:line="360" w:lineRule="auto"/>
        <w:ind w:firstLine="0"/>
        <w:rPr>
          <w:rFonts w:ascii="仿宋" w:hAnsi="仿宋" w:eastAsia="仿宋" w:cs="仿宋"/>
          <w:sz w:val="24"/>
          <w:u w:val="single"/>
        </w:rPr>
      </w:pPr>
      <w:r>
        <w:rPr>
          <w:rFonts w:hint="eastAsia" w:ascii="仿宋" w:hAnsi="仿宋" w:eastAsia="仿宋" w:cs="仿宋"/>
          <w:sz w:val="24"/>
          <w:u w:val="single"/>
        </w:rPr>
        <w:t>5.报价小数点精确到后两位。</w:t>
      </w:r>
    </w:p>
    <w:p w14:paraId="58CA5E17">
      <w:pPr>
        <w:ind w:left="695" w:firstLine="480"/>
        <w:rPr>
          <w:rFonts w:ascii="仿宋" w:hAnsi="仿宋" w:eastAsia="仿宋" w:cs="仿宋"/>
          <w:sz w:val="24"/>
          <w:szCs w:val="24"/>
        </w:rPr>
      </w:pPr>
      <w:r>
        <w:rPr>
          <w:rFonts w:hint="eastAsia" w:ascii="仿宋" w:hAnsi="仿宋" w:eastAsia="仿宋" w:cs="仿宋"/>
          <w:sz w:val="24"/>
          <w:szCs w:val="24"/>
        </w:rPr>
        <w:br w:type="page" w:clear="all"/>
      </w:r>
    </w:p>
    <w:p w14:paraId="313ADC55">
      <w:pPr>
        <w:rPr>
          <w:rFonts w:ascii="仿宋" w:hAnsi="仿宋" w:eastAsia="仿宋" w:cs="仿宋"/>
          <w:b/>
          <w:bCs/>
          <w:sz w:val="28"/>
          <w:szCs w:val="28"/>
        </w:rPr>
      </w:pPr>
      <w:r>
        <w:rPr>
          <w:rFonts w:hint="eastAsia" w:ascii="仿宋" w:hAnsi="仿宋" w:eastAsia="仿宋" w:cs="仿宋"/>
          <w:b/>
          <w:bCs/>
          <w:sz w:val="28"/>
          <w:szCs w:val="28"/>
        </w:rPr>
        <w:t>附件11</w:t>
      </w:r>
    </w:p>
    <w:bookmarkEnd w:id="111"/>
    <w:bookmarkEnd w:id="112"/>
    <w:p w14:paraId="69D6E9BA">
      <w:pPr>
        <w:jc w:val="center"/>
        <w:rPr>
          <w:rFonts w:ascii="黑体" w:hAnsi="黑体" w:eastAsia="黑体" w:cs="仿宋"/>
          <w:bCs/>
          <w:sz w:val="44"/>
          <w:szCs w:val="44"/>
        </w:rPr>
      </w:pPr>
      <w:r>
        <w:rPr>
          <w:rFonts w:hint="eastAsia" w:ascii="黑体" w:hAnsi="黑体" w:eastAsia="黑体" w:cs="仿宋"/>
          <w:bCs/>
          <w:sz w:val="44"/>
          <w:szCs w:val="44"/>
        </w:rPr>
        <w:t>质疑函范本</w:t>
      </w:r>
    </w:p>
    <w:p w14:paraId="5E71F259">
      <w:pPr>
        <w:keepNext w:val="0"/>
        <w:keepLines w:val="0"/>
        <w:pageBreakBefore w:val="0"/>
        <w:kinsoku/>
        <w:wordWrap/>
        <w:overflowPunct/>
        <w:topLinePunct w:val="0"/>
        <w:autoSpaceDE/>
        <w:autoSpaceDN/>
        <w:bidi w:val="0"/>
        <w:adjustRightInd w:val="0"/>
        <w:snapToGrid w:val="0"/>
        <w:spacing w:before="240" w:beforeLines="100" w:line="360" w:lineRule="auto"/>
        <w:textAlignment w:val="auto"/>
        <w:rPr>
          <w:rFonts w:ascii="宋体" w:hAnsi="宋体" w:cs="仿宋"/>
          <w:bCs/>
          <w:sz w:val="28"/>
          <w:szCs w:val="28"/>
        </w:rPr>
      </w:pPr>
      <w:r>
        <w:rPr>
          <w:rFonts w:hint="eastAsia" w:ascii="宋体" w:hAnsi="宋体" w:cs="仿宋"/>
          <w:bCs/>
          <w:sz w:val="28"/>
          <w:szCs w:val="28"/>
        </w:rPr>
        <w:t>一、质疑供应商基本信息</w:t>
      </w:r>
    </w:p>
    <w:p w14:paraId="65BEA9C1">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质疑供应商：</w:t>
      </w:r>
    </w:p>
    <w:p w14:paraId="0273DDC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地址：邮编：</w:t>
      </w:r>
    </w:p>
    <w:p w14:paraId="6389B62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联系人：联系电话：</w:t>
      </w:r>
    </w:p>
    <w:p w14:paraId="4F73B5E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授权代表：</w:t>
      </w:r>
    </w:p>
    <w:p w14:paraId="2715D2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联系电话：</w:t>
      </w:r>
    </w:p>
    <w:p w14:paraId="52BAA525">
      <w:pPr>
        <w:keepNext w:val="0"/>
        <w:keepLines w:val="0"/>
        <w:pageBreakBefore w:val="0"/>
        <w:kinsoku/>
        <w:wordWrap/>
        <w:overflowPunct/>
        <w:topLinePunct w:val="0"/>
        <w:autoSpaceDE/>
        <w:autoSpaceDN/>
        <w:bidi w:val="0"/>
        <w:adjustRightInd w:val="0"/>
        <w:snapToGrid w:val="0"/>
        <w:spacing w:line="360" w:lineRule="auto"/>
        <w:textAlignment w:val="auto"/>
        <w:rPr>
          <w:rFonts w:eastAsia="仿宋"/>
          <w:sz w:val="28"/>
          <w:szCs w:val="28"/>
        </w:rPr>
      </w:pPr>
      <w:r>
        <w:rPr>
          <w:rFonts w:hint="eastAsia" w:ascii="宋体" w:hAnsi="宋体" w:cs="仿宋"/>
          <w:sz w:val="28"/>
          <w:szCs w:val="28"/>
        </w:rPr>
        <w:t>地址：              邮编：</w:t>
      </w: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hint="eastAsia" w:ascii="宋体" w:hAnsi="宋体" w:cs="仿宋"/>
          <w:sz w:val="28"/>
          <w:szCs w:val="28"/>
        </w:rPr>
        <w:t>邮箱：</w:t>
      </w:r>
    </w:p>
    <w:p w14:paraId="490557E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8"/>
          <w:szCs w:val="28"/>
        </w:rPr>
      </w:pPr>
      <w:r>
        <w:rPr>
          <w:rFonts w:hint="eastAsia" w:ascii="宋体" w:hAnsi="宋体" w:cs="仿宋"/>
          <w:bCs/>
          <w:sz w:val="28"/>
          <w:szCs w:val="28"/>
        </w:rPr>
        <w:t>二、质疑项目基本情况</w:t>
      </w:r>
    </w:p>
    <w:p w14:paraId="79F1B5B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质疑项目的名称：</w:t>
      </w:r>
    </w:p>
    <w:p w14:paraId="3FD6CCC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质疑项目的编号：包号：</w:t>
      </w:r>
    </w:p>
    <w:p w14:paraId="1FC9803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采购人名称：</w:t>
      </w:r>
    </w:p>
    <w:p w14:paraId="54EE679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采购文件获取日期：</w:t>
      </w:r>
    </w:p>
    <w:p w14:paraId="7215934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8"/>
          <w:szCs w:val="28"/>
        </w:rPr>
      </w:pPr>
      <w:r>
        <w:rPr>
          <w:rFonts w:hint="eastAsia" w:ascii="宋体" w:hAnsi="宋体" w:cs="仿宋"/>
          <w:bCs/>
          <w:sz w:val="28"/>
          <w:szCs w:val="28"/>
        </w:rPr>
        <w:t>三、质疑事项具体内容</w:t>
      </w:r>
    </w:p>
    <w:p w14:paraId="039B424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质疑事项1：</w:t>
      </w:r>
    </w:p>
    <w:p w14:paraId="7344D242">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事实依据：</w:t>
      </w:r>
    </w:p>
    <w:p w14:paraId="0DA2D29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p>
    <w:p w14:paraId="1DF89A8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法律依据：</w:t>
      </w:r>
    </w:p>
    <w:p w14:paraId="0C76259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p>
    <w:p w14:paraId="49CD5D4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质疑事项2</w:t>
      </w:r>
    </w:p>
    <w:p w14:paraId="53BAD571">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w:t>
      </w:r>
    </w:p>
    <w:p w14:paraId="239875E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8"/>
          <w:szCs w:val="28"/>
        </w:rPr>
      </w:pPr>
      <w:r>
        <w:rPr>
          <w:rFonts w:hint="eastAsia" w:ascii="宋体" w:hAnsi="宋体" w:cs="仿宋"/>
          <w:bCs/>
          <w:sz w:val="28"/>
          <w:szCs w:val="28"/>
        </w:rPr>
        <w:t>四、与质疑事项相关的质疑请求</w:t>
      </w:r>
    </w:p>
    <w:p w14:paraId="3B6E1F8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请求：</w:t>
      </w:r>
    </w:p>
    <w:p w14:paraId="2FD1CE44">
      <w:pPr>
        <w:keepNext w:val="0"/>
        <w:keepLines w:val="0"/>
        <w:pageBreakBefore w:val="0"/>
        <w:kinsoku/>
        <w:wordWrap/>
        <w:overflowPunct/>
        <w:topLinePunct w:val="0"/>
        <w:autoSpaceDE/>
        <w:autoSpaceDN/>
        <w:bidi w:val="0"/>
        <w:spacing w:line="360" w:lineRule="auto"/>
        <w:textAlignment w:val="auto"/>
        <w:rPr>
          <w:rFonts w:ascii="宋体" w:hAnsi="宋体"/>
          <w:sz w:val="28"/>
          <w:szCs w:val="28"/>
        </w:rPr>
      </w:pPr>
      <w:r>
        <w:rPr>
          <w:rFonts w:hint="eastAsia" w:ascii="宋体" w:hAnsi="宋体"/>
          <w:sz w:val="28"/>
          <w:szCs w:val="28"/>
        </w:rPr>
        <w:t xml:space="preserve">签字(签章)：                   公章：                      </w:t>
      </w:r>
    </w:p>
    <w:p w14:paraId="658C9BA4">
      <w:pPr>
        <w:keepNext w:val="0"/>
        <w:keepLines w:val="0"/>
        <w:pageBreakBefore w:val="0"/>
        <w:kinsoku/>
        <w:wordWrap/>
        <w:overflowPunct/>
        <w:topLinePunct w:val="0"/>
        <w:autoSpaceDE/>
        <w:autoSpaceDN/>
        <w:bidi w:val="0"/>
        <w:spacing w:line="360" w:lineRule="auto"/>
        <w:textAlignment w:val="auto"/>
        <w:rPr>
          <w:rFonts w:ascii="宋体" w:hAnsi="宋体"/>
          <w:sz w:val="28"/>
          <w:szCs w:val="28"/>
        </w:rPr>
      </w:pPr>
      <w:r>
        <w:rPr>
          <w:rFonts w:hint="eastAsia" w:ascii="宋体" w:hAnsi="宋体"/>
          <w:sz w:val="28"/>
          <w:szCs w:val="28"/>
        </w:rPr>
        <w:t xml:space="preserve">日期：    </w:t>
      </w:r>
    </w:p>
    <w:p w14:paraId="7E4C009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p>
    <w:p w14:paraId="0DEC34CD">
      <w:pPr>
        <w:keepNext w:val="0"/>
        <w:keepLines w:val="0"/>
        <w:pageBreakBefore w:val="0"/>
        <w:kinsoku/>
        <w:wordWrap/>
        <w:overflowPunct/>
        <w:topLinePunct w:val="0"/>
        <w:autoSpaceDE/>
        <w:autoSpaceDN/>
        <w:bidi w:val="0"/>
        <w:spacing w:line="360" w:lineRule="auto"/>
        <w:textAlignment w:val="auto"/>
        <w:rPr>
          <w:rFonts w:ascii="宋体" w:hAnsi="宋体"/>
          <w:b/>
          <w:sz w:val="28"/>
          <w:szCs w:val="28"/>
        </w:rPr>
      </w:pPr>
    </w:p>
    <w:p w14:paraId="365F4B64">
      <w:pPr>
        <w:keepNext w:val="0"/>
        <w:keepLines w:val="0"/>
        <w:pageBreakBefore w:val="0"/>
        <w:kinsoku/>
        <w:wordWrap/>
        <w:overflowPunct/>
        <w:topLinePunct w:val="0"/>
        <w:autoSpaceDE/>
        <w:autoSpaceDN/>
        <w:bidi w:val="0"/>
        <w:spacing w:line="360" w:lineRule="auto"/>
        <w:textAlignment w:val="auto"/>
        <w:rPr>
          <w:rFonts w:ascii="宋体" w:hAnsi="宋体"/>
          <w:b/>
          <w:sz w:val="28"/>
          <w:szCs w:val="28"/>
        </w:rPr>
      </w:pPr>
      <w:r>
        <w:rPr>
          <w:rFonts w:hint="eastAsia" w:ascii="宋体" w:hAnsi="宋体"/>
          <w:b/>
          <w:sz w:val="28"/>
          <w:szCs w:val="28"/>
        </w:rPr>
        <w:t>质疑函制作说明：</w:t>
      </w:r>
    </w:p>
    <w:p w14:paraId="1C0C8511">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1.供应商提出质疑时，应提交质疑函和必要的证明材料。</w:t>
      </w:r>
    </w:p>
    <w:p w14:paraId="3786917F">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2.质疑供应商若委托代理人进行质疑的，质疑函应按要求列明“授权代表”的有关内容，并在附件中提交由质疑</w:t>
      </w:r>
      <w:r>
        <w:rPr>
          <w:rFonts w:hint="eastAsia" w:ascii="宋体" w:hAnsi="宋体" w:cs="宋体"/>
          <w:sz w:val="28"/>
          <w:szCs w:val="28"/>
        </w:rPr>
        <w:t>供应商签署的授权委托书。授权委托书应载明代理人的姓名或者名称、代理事项、具体权限、期限和相关事项。</w:t>
      </w:r>
    </w:p>
    <w:p w14:paraId="30F877E6">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3.质疑供应商若对项目的某一分包进行质疑，质疑函中应列明具体分包号。</w:t>
      </w:r>
    </w:p>
    <w:p w14:paraId="586F2F52">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4.质疑函的质疑事项应具体、明确，并有必要的事实依据和法律依据。</w:t>
      </w:r>
    </w:p>
    <w:p w14:paraId="0584F986">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5.质疑函的质疑请求应与质疑事项相关。</w:t>
      </w:r>
    </w:p>
    <w:p w14:paraId="668D0F6B">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6.质疑供应商为自然人的，质疑函应由本人签字；质疑供应商为法人或者其他组织的，质疑函应由法定代表人、主要负责人，或者其授权代表签字或者盖章，并加盖公章。</w:t>
      </w:r>
    </w:p>
    <w:p w14:paraId="1E91A433"/>
    <w:p w14:paraId="153EA8B9">
      <w:pPr>
        <w:spacing w:line="480" w:lineRule="auto"/>
        <w:ind w:left="695" w:firstLine="562"/>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 xml:space="preserve">         </w:t>
      </w:r>
    </w:p>
    <w:p w14:paraId="73D3719B">
      <w:pPr>
        <w:rPr>
          <w:rFonts w:ascii="仿宋" w:hAnsi="仿宋" w:eastAsia="仿宋" w:cs="仿宋"/>
          <w:b/>
          <w:bCs/>
          <w:sz w:val="32"/>
          <w:szCs w:val="32"/>
        </w:rPr>
      </w:pPr>
      <w:r>
        <w:rPr>
          <w:rFonts w:hint="eastAsia" w:ascii="仿宋" w:hAnsi="仿宋" w:eastAsia="仿宋" w:cs="仿宋"/>
          <w:b/>
          <w:bCs/>
          <w:sz w:val="32"/>
          <w:szCs w:val="32"/>
        </w:rPr>
        <w:br w:type="page"/>
      </w:r>
    </w:p>
    <w:p w14:paraId="51E53F66">
      <w:pPr>
        <w:spacing w:line="480" w:lineRule="auto"/>
        <w:rPr>
          <w:rFonts w:ascii="仿宋" w:hAnsi="仿宋" w:eastAsia="仿宋" w:cs="仿宋"/>
          <w:b/>
          <w:bCs/>
          <w:sz w:val="32"/>
          <w:szCs w:val="32"/>
        </w:rPr>
      </w:pPr>
      <w:r>
        <w:rPr>
          <w:rFonts w:hint="eastAsia" w:ascii="仿宋" w:hAnsi="仿宋" w:eastAsia="仿宋" w:cs="仿宋"/>
          <w:b/>
          <w:bCs/>
          <w:sz w:val="28"/>
          <w:szCs w:val="28"/>
        </w:rPr>
        <w:t>附件12</w:t>
      </w:r>
      <w:r>
        <w:rPr>
          <w:rFonts w:hint="eastAsia" w:ascii="仿宋" w:hAnsi="仿宋" w:eastAsia="仿宋" w:cs="仿宋"/>
          <w:b/>
          <w:bCs/>
          <w:sz w:val="32"/>
          <w:szCs w:val="32"/>
        </w:rPr>
        <w:t xml:space="preserve">    </w:t>
      </w:r>
    </w:p>
    <w:p w14:paraId="37CBF0E3">
      <w:pPr>
        <w:shd w:val="clear" w:color="auto"/>
        <w:spacing w:line="480" w:lineRule="auto"/>
        <w:jc w:val="center"/>
        <w:outlineLvl w:val="1"/>
        <w:rPr>
          <w:rFonts w:ascii="仿宋" w:hAnsi="仿宋" w:eastAsia="仿宋" w:cs="仿宋"/>
          <w:b/>
          <w:sz w:val="32"/>
          <w:szCs w:val="32"/>
        </w:rPr>
      </w:pPr>
      <w:r>
        <w:rPr>
          <w:rFonts w:hint="eastAsia" w:ascii="仿宋" w:hAnsi="仿宋" w:eastAsia="仿宋" w:cs="仿宋"/>
          <w:b/>
          <w:sz w:val="32"/>
          <w:szCs w:val="32"/>
        </w:rPr>
        <w:t>政府采购合同</w:t>
      </w:r>
    </w:p>
    <w:p w14:paraId="52F9F07C">
      <w:pPr>
        <w:shd w:val="clear" w:color="auto"/>
        <w:spacing w:line="480" w:lineRule="auto"/>
        <w:ind w:left="697" w:firstLine="480"/>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E9F91EC">
      <w:pPr>
        <w:shd w:val="clear" w:color="auto"/>
        <w:spacing w:line="480" w:lineRule="auto"/>
        <w:ind w:left="695" w:firstLine="883"/>
        <w:jc w:val="center"/>
        <w:rPr>
          <w:rFonts w:ascii="仿宋" w:hAnsi="仿宋" w:eastAsia="仿宋" w:cs="仿宋"/>
          <w:b/>
          <w:sz w:val="44"/>
          <w:szCs w:val="44"/>
        </w:rPr>
      </w:pPr>
      <w:r>
        <w:rPr>
          <w:rFonts w:hint="eastAsia" w:ascii="仿宋" w:hAnsi="仿宋" w:eastAsia="仿宋" w:cs="仿宋"/>
          <w:b/>
          <w:sz w:val="44"/>
          <w:szCs w:val="44"/>
        </w:rPr>
        <w:t>政府采购合同参考范本</w:t>
      </w:r>
    </w:p>
    <w:p w14:paraId="51D282F8">
      <w:pPr>
        <w:shd w:val="clear" w:color="auto"/>
        <w:spacing w:line="480" w:lineRule="auto"/>
        <w:ind w:left="695" w:firstLine="482"/>
        <w:jc w:val="center"/>
        <w:rPr>
          <w:rFonts w:ascii="仿宋" w:hAnsi="仿宋" w:eastAsia="仿宋" w:cs="仿宋"/>
          <w:b/>
          <w:sz w:val="24"/>
        </w:rPr>
      </w:pPr>
      <w:r>
        <w:rPr>
          <w:rFonts w:hint="eastAsia" w:ascii="仿宋" w:hAnsi="仿宋" w:eastAsia="仿宋" w:cs="仿宋"/>
          <w:b/>
          <w:sz w:val="24"/>
        </w:rPr>
        <w:t>（服务类）</w:t>
      </w:r>
    </w:p>
    <w:p w14:paraId="7BFE1638">
      <w:pPr>
        <w:pStyle w:val="20"/>
        <w:shd w:val="clear" w:color="auto"/>
        <w:ind w:left="695" w:firstLine="482"/>
        <w:jc w:val="center"/>
        <w:outlineLvl w:val="2"/>
        <w:rPr>
          <w:rFonts w:ascii="仿宋" w:hAnsi="仿宋" w:eastAsia="仿宋" w:cs="仿宋"/>
          <w:b/>
          <w:szCs w:val="24"/>
        </w:rPr>
      </w:pPr>
      <w:r>
        <w:rPr>
          <w:rFonts w:hint="eastAsia" w:ascii="仿宋" w:hAnsi="仿宋" w:eastAsia="仿宋" w:cs="仿宋"/>
          <w:b/>
          <w:sz w:val="28"/>
          <w:szCs w:val="28"/>
        </w:rPr>
        <w:t>第一部分 合同书</w:t>
      </w:r>
    </w:p>
    <w:p w14:paraId="35F9E67C">
      <w:pPr>
        <w:shd w:val="clear" w:color="auto"/>
        <w:spacing w:before="120" w:line="480" w:lineRule="auto"/>
        <w:ind w:left="697" w:firstLine="480"/>
        <w:rPr>
          <w:rFonts w:hint="eastAsia" w:ascii="仿宋" w:hAnsi="仿宋" w:eastAsia="仿宋" w:cs="仿宋"/>
          <w:sz w:val="24"/>
        </w:rPr>
      </w:pPr>
    </w:p>
    <w:p w14:paraId="1C9602D9">
      <w:pPr>
        <w:shd w:val="clear" w:color="auto"/>
        <w:spacing w:before="120" w:line="480" w:lineRule="auto"/>
        <w:ind w:left="697" w:firstLine="48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南通开发区“AI+”场景应用服务项目</w:t>
      </w:r>
    </w:p>
    <w:p w14:paraId="42C2DF33">
      <w:pPr>
        <w:shd w:val="clear" w:color="auto"/>
        <w:spacing w:before="120" w:line="480" w:lineRule="auto"/>
        <w:ind w:left="697" w:firstLine="48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南通市经济技术开发区行政审批局</w:t>
      </w:r>
      <w:r>
        <w:rPr>
          <w:rFonts w:hint="eastAsia" w:ascii="仿宋" w:hAnsi="仿宋" w:eastAsia="仿宋" w:cs="仿宋"/>
          <w:sz w:val="24"/>
          <w:u w:val="single"/>
          <w:lang w:val="en-US" w:eastAsia="zh-CN"/>
        </w:rPr>
        <w:t xml:space="preserve">       </w:t>
      </w:r>
    </w:p>
    <w:p w14:paraId="5212C68F">
      <w:pPr>
        <w:shd w:val="clear" w:color="auto"/>
        <w:spacing w:before="120" w:line="480" w:lineRule="auto"/>
        <w:ind w:left="697" w:firstLine="48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511DA55">
      <w:pPr>
        <w:shd w:val="clear" w:color="auto"/>
        <w:spacing w:before="120" w:line="480" w:lineRule="auto"/>
        <w:ind w:left="697" w:firstLine="48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2189320D">
      <w:pPr>
        <w:shd w:val="clear" w:color="auto"/>
        <w:spacing w:before="120" w:line="480" w:lineRule="auto"/>
        <w:ind w:left="697" w:firstLine="48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2025</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072A900">
      <w:pPr>
        <w:shd w:val="clear" w:color="auto"/>
        <w:spacing w:line="480" w:lineRule="auto"/>
        <w:ind w:left="697"/>
        <w:jc w:val="center"/>
        <w:rPr>
          <w:rFonts w:ascii="仿宋" w:hAnsi="仿宋" w:eastAsia="仿宋" w:cs="仿宋"/>
          <w:sz w:val="24"/>
        </w:rPr>
        <w:sectPr>
          <w:headerReference r:id="rId5" w:type="default"/>
          <w:footerReference r:id="rId6" w:type="default"/>
          <w:pgSz w:w="11907" w:h="16840"/>
          <w:pgMar w:top="1440" w:right="1800" w:bottom="1440" w:left="1800" w:header="851" w:footer="851" w:gutter="0"/>
          <w:pgBorders>
            <w:top w:val="none" w:sz="0" w:space="0"/>
            <w:left w:val="none" w:sz="0" w:space="0"/>
            <w:bottom w:val="none" w:sz="0" w:space="0"/>
            <w:right w:val="none" w:sz="0" w:space="0"/>
          </w:pgBorders>
          <w:cols w:space="720" w:num="1"/>
          <w:docGrid w:linePitch="360" w:charSpace="0"/>
        </w:sectPr>
      </w:pPr>
    </w:p>
    <w:p w14:paraId="18DCAF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u w:val="single"/>
          <w:lang w:val="en-US" w:eastAsia="zh-CN"/>
        </w:rPr>
        <w:t>2025</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南通市经济技术开发区行政审批局（采购人名称）   </w:t>
      </w:r>
      <w:r>
        <w:rPr>
          <w:rFonts w:hint="eastAsia" w:ascii="仿宋" w:hAnsi="仿宋" w:eastAsia="仿宋" w:cs="仿宋"/>
          <w:sz w:val="24"/>
        </w:rPr>
        <w:t>以</w:t>
      </w:r>
      <w:r>
        <w:rPr>
          <w:rFonts w:hint="eastAsia" w:ascii="仿宋" w:hAnsi="仿宋" w:eastAsia="仿宋" w:cs="仿宋"/>
          <w:sz w:val="24"/>
          <w:u w:val="single"/>
        </w:rPr>
        <w:t xml:space="preserve"> </w:t>
      </w:r>
      <w:r>
        <w:rPr>
          <w:rFonts w:hint="eastAsia" w:ascii="仿宋" w:hAnsi="仿宋" w:eastAsia="仿宋" w:cs="仿宋"/>
          <w:sz w:val="24"/>
          <w:u w:val="single"/>
          <w:lang w:eastAsia="zh-CN"/>
        </w:rPr>
        <w:t>竞争性磋商的方式</w:t>
      </w:r>
      <w:r>
        <w:rPr>
          <w:rFonts w:hint="eastAsia" w:ascii="仿宋" w:hAnsi="仿宋" w:eastAsia="仿宋" w:cs="仿宋"/>
          <w:sz w:val="24"/>
          <w:u w:val="single"/>
        </w:rPr>
        <w:t xml:space="preserve">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w:t>
      </w:r>
      <w:r>
        <w:rPr>
          <w:rFonts w:hint="eastAsia" w:ascii="仿宋" w:hAnsi="仿宋" w:eastAsia="仿宋" w:cs="仿宋"/>
          <w:sz w:val="24"/>
          <w:u w:val="single"/>
          <w:lang w:eastAsia="zh-CN"/>
        </w:rPr>
        <w:t>成交</w:t>
      </w:r>
      <w:r>
        <w:rPr>
          <w:rFonts w:hint="eastAsia" w:ascii="仿宋" w:hAnsi="仿宋" w:eastAsia="仿宋" w:cs="仿宋"/>
          <w:sz w:val="24"/>
          <w:u w:val="single"/>
        </w:rPr>
        <w:t xml:space="preserve">供应商名称） </w:t>
      </w:r>
      <w:r>
        <w:rPr>
          <w:rFonts w:hint="eastAsia" w:ascii="仿宋" w:hAnsi="仿宋" w:eastAsia="仿宋" w:cs="仿宋"/>
          <w:sz w:val="24"/>
        </w:rPr>
        <w:t>为该项目</w:t>
      </w:r>
      <w:r>
        <w:rPr>
          <w:rFonts w:hint="eastAsia" w:ascii="仿宋" w:hAnsi="仿宋" w:eastAsia="仿宋" w:cs="仿宋"/>
          <w:sz w:val="24"/>
          <w:lang w:eastAsia="zh-CN"/>
        </w:rPr>
        <w:t>成交</w:t>
      </w:r>
      <w:r>
        <w:rPr>
          <w:rFonts w:hint="eastAsia" w:ascii="仿宋" w:hAnsi="仿宋" w:eastAsia="仿宋" w:cs="仿宋"/>
          <w:sz w:val="24"/>
        </w:rPr>
        <w:t>供应商。现于中标通知书发出之日起三十日内，按照采购文件确定的事项签订本合同。</w:t>
      </w:r>
    </w:p>
    <w:p w14:paraId="4426A4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南通市经济技术开发区行政审批局（采购人名称）</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w:t>
      </w:r>
      <w:r>
        <w:rPr>
          <w:rFonts w:hint="eastAsia" w:ascii="仿宋" w:hAnsi="仿宋" w:eastAsia="仿宋" w:cs="仿宋"/>
          <w:sz w:val="24"/>
          <w:u w:val="single"/>
          <w:lang w:eastAsia="zh-CN"/>
        </w:rPr>
        <w:t>成交</w:t>
      </w:r>
      <w:r>
        <w:rPr>
          <w:rFonts w:hint="eastAsia" w:ascii="仿宋" w:hAnsi="仿宋" w:eastAsia="仿宋" w:cs="仿宋"/>
          <w:sz w:val="24"/>
          <w:u w:val="single"/>
        </w:rPr>
        <w:t>供应商名称）</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333ED1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rPr>
      </w:pPr>
      <w:bookmarkStart w:id="113" w:name="_Toc28855"/>
      <w:bookmarkStart w:id="114" w:name="_Toc15367"/>
      <w:bookmarkStart w:id="115" w:name="_Toc20421"/>
      <w:bookmarkStart w:id="116" w:name="_Toc19273"/>
      <w:bookmarkStart w:id="117" w:name="_Toc22967"/>
      <w:r>
        <w:rPr>
          <w:rFonts w:hint="eastAsia" w:ascii="仿宋" w:hAnsi="仿宋" w:eastAsia="仿宋" w:cs="仿宋"/>
          <w:b/>
          <w:sz w:val="24"/>
        </w:rPr>
        <w:t>1.1 合同组成部分</w:t>
      </w:r>
      <w:bookmarkEnd w:id="113"/>
      <w:bookmarkEnd w:id="114"/>
      <w:bookmarkEnd w:id="115"/>
      <w:bookmarkEnd w:id="116"/>
      <w:bookmarkEnd w:id="117"/>
    </w:p>
    <w:p w14:paraId="6DBAB0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9489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1.1.1 本合同及其补充合同、变更协议；</w:t>
      </w:r>
    </w:p>
    <w:p w14:paraId="79DE9D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1.1.2 成交通知书；</w:t>
      </w:r>
    </w:p>
    <w:p w14:paraId="20D88F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1.1.3 磋商响应文件（含澄清或者说明文件）；</w:t>
      </w:r>
    </w:p>
    <w:p w14:paraId="5A377B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1.1.4 竞争性磋商文件（含澄清或者修改文件）；</w:t>
      </w:r>
    </w:p>
    <w:p w14:paraId="0AA607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1.1.5 其他相关采购文件。</w:t>
      </w:r>
    </w:p>
    <w:p w14:paraId="7F1DDE4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bookmarkStart w:id="118" w:name="_Toc18585"/>
      <w:bookmarkStart w:id="119" w:name="_Toc2918"/>
      <w:bookmarkStart w:id="120" w:name="_Toc22185"/>
      <w:bookmarkStart w:id="121" w:name="_Toc6773"/>
      <w:bookmarkStart w:id="122" w:name="_Toc6311"/>
      <w:r>
        <w:rPr>
          <w:rFonts w:hint="eastAsia" w:ascii="仿宋" w:hAnsi="仿宋" w:eastAsia="仿宋" w:cs="仿宋"/>
          <w:b/>
          <w:sz w:val="24"/>
        </w:rPr>
        <w:t>1.2 标的</w:t>
      </w:r>
      <w:bookmarkEnd w:id="118"/>
      <w:bookmarkEnd w:id="119"/>
      <w:bookmarkEnd w:id="120"/>
      <w:bookmarkEnd w:id="121"/>
      <w:bookmarkEnd w:id="122"/>
    </w:p>
    <w:p w14:paraId="2C91CF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乙方应根据合同约定按时向甲方提供“</w:t>
      </w:r>
      <w:r>
        <w:rPr>
          <w:rFonts w:hint="eastAsia" w:ascii="仿宋" w:hAnsi="仿宋" w:eastAsia="仿宋" w:cs="仿宋"/>
          <w:sz w:val="24"/>
          <w:u w:val="single"/>
        </w:rPr>
        <w:t>南通开发区“AI+”场景应用服务项目</w:t>
      </w:r>
      <w:r>
        <w:rPr>
          <w:rFonts w:hint="eastAsia" w:ascii="仿宋" w:hAnsi="仿宋" w:eastAsia="仿宋" w:cs="仿宋"/>
          <w:sz w:val="24"/>
        </w:rPr>
        <w:t>”的各项服务，具体内容和要求见竞争性磋商文件，若乙方响应文件中对各项服务的要求高于竞争性磋商文件中的要求的，则以乙方响应文件为准。</w:t>
      </w:r>
    </w:p>
    <w:p w14:paraId="2D09A6A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bookmarkStart w:id="123" w:name="_Toc4929"/>
      <w:bookmarkStart w:id="124" w:name="_Toc1386"/>
      <w:bookmarkStart w:id="125" w:name="_Toc21124"/>
      <w:bookmarkStart w:id="126" w:name="_Toc5635"/>
      <w:bookmarkStart w:id="127" w:name="_Toc13918"/>
      <w:r>
        <w:rPr>
          <w:rFonts w:hint="eastAsia" w:ascii="仿宋" w:hAnsi="仿宋" w:eastAsia="仿宋" w:cs="仿宋"/>
          <w:b/>
          <w:sz w:val="24"/>
        </w:rPr>
        <w:t>1.3 价款</w:t>
      </w:r>
      <w:bookmarkEnd w:id="123"/>
      <w:bookmarkEnd w:id="124"/>
      <w:bookmarkEnd w:id="125"/>
      <w:bookmarkEnd w:id="126"/>
      <w:bookmarkEnd w:id="127"/>
    </w:p>
    <w:p w14:paraId="537B2E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none"/>
        </w:rPr>
        <w:t xml:space="preserve"> </w:t>
      </w:r>
      <w:r>
        <w:rPr>
          <w:rFonts w:hint="eastAsia" w:ascii="仿宋" w:hAnsi="仿宋" w:eastAsia="仿宋" w:cs="仿宋"/>
          <w:sz w:val="24"/>
          <w:u w:val="none"/>
          <w:lang w:eastAsia="zh-CN"/>
        </w:rPr>
        <w:t>）</w:t>
      </w:r>
    </w:p>
    <w:p w14:paraId="735F24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分项价格：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255"/>
        <w:gridCol w:w="2896"/>
      </w:tblGrid>
      <w:tr w14:paraId="2A12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7" w:type="dxa"/>
            <w:vAlign w:val="center"/>
          </w:tcPr>
          <w:p w14:paraId="679849FE">
            <w:pPr>
              <w:pStyle w:val="23"/>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bCs/>
                <w:sz w:val="24"/>
                <w:szCs w:val="24"/>
              </w:rPr>
            </w:pPr>
            <w:r>
              <w:rPr>
                <w:rFonts w:hint="eastAsia" w:ascii="仿宋" w:hAnsi="仿宋" w:eastAsia="仿宋" w:cs="仿宋"/>
                <w:b/>
                <w:bCs/>
                <w:sz w:val="24"/>
                <w:szCs w:val="24"/>
              </w:rPr>
              <w:t>序号</w:t>
            </w:r>
          </w:p>
        </w:tc>
        <w:tc>
          <w:tcPr>
            <w:tcW w:w="4255" w:type="dxa"/>
            <w:vAlign w:val="center"/>
          </w:tcPr>
          <w:p w14:paraId="568F5BD1">
            <w:pPr>
              <w:pStyle w:val="23"/>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bCs/>
                <w:sz w:val="24"/>
                <w:szCs w:val="24"/>
              </w:rPr>
            </w:pPr>
            <w:r>
              <w:rPr>
                <w:rFonts w:hint="eastAsia" w:ascii="仿宋" w:hAnsi="仿宋" w:eastAsia="仿宋" w:cs="仿宋"/>
                <w:b/>
                <w:bCs/>
                <w:sz w:val="24"/>
                <w:szCs w:val="24"/>
              </w:rPr>
              <w:t>分项名称</w:t>
            </w:r>
          </w:p>
        </w:tc>
        <w:tc>
          <w:tcPr>
            <w:tcW w:w="2896" w:type="dxa"/>
            <w:vAlign w:val="center"/>
          </w:tcPr>
          <w:p w14:paraId="5ADCB8D0">
            <w:pPr>
              <w:pStyle w:val="23"/>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bCs/>
                <w:sz w:val="24"/>
                <w:szCs w:val="24"/>
              </w:rPr>
            </w:pPr>
            <w:r>
              <w:rPr>
                <w:rFonts w:hint="eastAsia" w:ascii="仿宋" w:hAnsi="仿宋" w:eastAsia="仿宋" w:cs="仿宋"/>
                <w:b/>
                <w:bCs/>
                <w:sz w:val="24"/>
                <w:szCs w:val="24"/>
              </w:rPr>
              <w:t>分项价格</w:t>
            </w:r>
          </w:p>
        </w:tc>
      </w:tr>
      <w:tr w14:paraId="039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7" w:type="dxa"/>
            <w:vAlign w:val="center"/>
          </w:tcPr>
          <w:p w14:paraId="7A5B47DB">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c>
          <w:tcPr>
            <w:tcW w:w="4255" w:type="dxa"/>
            <w:vAlign w:val="center"/>
          </w:tcPr>
          <w:p w14:paraId="1A086413">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c>
          <w:tcPr>
            <w:tcW w:w="2896" w:type="dxa"/>
            <w:vAlign w:val="center"/>
          </w:tcPr>
          <w:p w14:paraId="49562DA0">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r>
      <w:tr w14:paraId="4B39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7" w:type="dxa"/>
            <w:vAlign w:val="center"/>
          </w:tcPr>
          <w:p w14:paraId="02F2A980">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c>
          <w:tcPr>
            <w:tcW w:w="4255" w:type="dxa"/>
            <w:vAlign w:val="center"/>
          </w:tcPr>
          <w:p w14:paraId="011A134E">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c>
          <w:tcPr>
            <w:tcW w:w="2896" w:type="dxa"/>
            <w:vAlign w:val="center"/>
          </w:tcPr>
          <w:p w14:paraId="7F240AC1">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r>
      <w:tr w14:paraId="7347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7" w:type="dxa"/>
            <w:vAlign w:val="center"/>
          </w:tcPr>
          <w:p w14:paraId="3E6C5C07">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c>
          <w:tcPr>
            <w:tcW w:w="4255" w:type="dxa"/>
            <w:vAlign w:val="center"/>
          </w:tcPr>
          <w:p w14:paraId="286F19B9">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c>
          <w:tcPr>
            <w:tcW w:w="2896" w:type="dxa"/>
            <w:vAlign w:val="center"/>
          </w:tcPr>
          <w:p w14:paraId="7EC6F997">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r>
      <w:tr w14:paraId="05F4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222" w:type="dxa"/>
            <w:gridSpan w:val="2"/>
            <w:vAlign w:val="center"/>
          </w:tcPr>
          <w:p w14:paraId="0FA118BB">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r>
              <w:rPr>
                <w:rFonts w:hint="eastAsia" w:ascii="仿宋" w:hAnsi="仿宋" w:eastAsia="仿宋" w:cs="仿宋"/>
                <w:sz w:val="24"/>
                <w:szCs w:val="24"/>
              </w:rPr>
              <w:t>总价</w:t>
            </w:r>
          </w:p>
        </w:tc>
        <w:tc>
          <w:tcPr>
            <w:tcW w:w="2896" w:type="dxa"/>
            <w:vAlign w:val="center"/>
          </w:tcPr>
          <w:p w14:paraId="1BEB28FC">
            <w:pPr>
              <w:pStyle w:val="23"/>
              <w:keepNext w:val="0"/>
              <w:keepLines w:val="0"/>
              <w:pageBreakBefore w:val="0"/>
              <w:kinsoku/>
              <w:wordWrap/>
              <w:overflowPunct/>
              <w:topLinePunct w:val="0"/>
              <w:autoSpaceDE/>
              <w:autoSpaceDN/>
              <w:bidi w:val="0"/>
              <w:adjustRightInd/>
              <w:snapToGrid/>
              <w:spacing w:line="360" w:lineRule="auto"/>
              <w:ind w:left="695"/>
              <w:jc w:val="center"/>
              <w:textAlignment w:val="auto"/>
              <w:rPr>
                <w:rFonts w:ascii="仿宋" w:hAnsi="仿宋" w:eastAsia="仿宋" w:cs="仿宋"/>
                <w:sz w:val="24"/>
                <w:szCs w:val="24"/>
              </w:rPr>
            </w:pPr>
          </w:p>
        </w:tc>
      </w:tr>
    </w:tbl>
    <w:p w14:paraId="519EA18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bookmarkStart w:id="128" w:name="_Toc14993"/>
      <w:bookmarkStart w:id="129" w:name="_Toc30506"/>
      <w:bookmarkStart w:id="130" w:name="_Toc26916"/>
      <w:bookmarkStart w:id="131" w:name="_Toc30158"/>
      <w:bookmarkStart w:id="132" w:name="_Toc3654"/>
      <w:r>
        <w:rPr>
          <w:rFonts w:hint="eastAsia" w:ascii="仿宋" w:hAnsi="仿宋" w:eastAsia="仿宋" w:cs="仿宋"/>
          <w:b/>
          <w:sz w:val="24"/>
        </w:rPr>
        <w:t xml:space="preserve">1.4 </w:t>
      </w:r>
      <w:bookmarkEnd w:id="128"/>
      <w:bookmarkEnd w:id="129"/>
      <w:bookmarkEnd w:id="130"/>
      <w:bookmarkEnd w:id="131"/>
      <w:bookmarkEnd w:id="132"/>
      <w:r>
        <w:rPr>
          <w:rFonts w:hint="eastAsia" w:ascii="仿宋" w:hAnsi="仿宋" w:eastAsia="仿宋" w:cs="仿宋"/>
          <w:b/>
          <w:sz w:val="24"/>
        </w:rPr>
        <w:t>付款方式和发票开具方式</w:t>
      </w:r>
    </w:p>
    <w:p w14:paraId="3ED965BE">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color w:val="auto"/>
          <w:sz w:val="24"/>
          <w:highlight w:val="none"/>
        </w:rPr>
      </w:pPr>
      <w:r>
        <w:rPr>
          <w:rFonts w:hint="eastAsia" w:ascii="仿宋" w:hAnsi="仿宋" w:eastAsia="仿宋" w:cs="仿宋"/>
          <w:sz w:val="24"/>
        </w:rPr>
        <w:t xml:space="preserve">1.4.1付款方式：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w:t>
      </w:r>
    </w:p>
    <w:p w14:paraId="78B884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1.4.2 支付方式：</w:t>
      </w:r>
    </w:p>
    <w:p w14:paraId="0582BF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通过银行转帐方式支付，乙方信息如下：</w:t>
      </w:r>
    </w:p>
    <w:p w14:paraId="18F8AD6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户名：</w:t>
      </w:r>
      <w:r>
        <w:rPr>
          <w:rFonts w:hint="eastAsia" w:ascii="仿宋" w:hAnsi="仿宋" w:eastAsia="仿宋" w:cs="仿宋"/>
          <w:sz w:val="24"/>
          <w:u w:val="single"/>
        </w:rPr>
        <w:t xml:space="preserve">                          </w:t>
      </w:r>
    </w:p>
    <w:p w14:paraId="03C9AF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77F71A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账号：</w:t>
      </w:r>
      <w:r>
        <w:rPr>
          <w:rFonts w:hint="eastAsia" w:ascii="仿宋" w:hAnsi="仿宋" w:eastAsia="仿宋" w:cs="仿宋"/>
          <w:sz w:val="24"/>
          <w:u w:val="single"/>
        </w:rPr>
        <w:t xml:space="preserve">                          </w:t>
      </w:r>
    </w:p>
    <w:p w14:paraId="25F52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注明：签订合同时，</w:t>
      </w:r>
      <w:r>
        <w:rPr>
          <w:rFonts w:hint="eastAsia" w:ascii="仿宋" w:hAnsi="仿宋" w:eastAsia="仿宋" w:cs="仿宋"/>
          <w:sz w:val="24"/>
          <w:lang w:eastAsia="zh-CN"/>
        </w:rPr>
        <w:t>乙方</w:t>
      </w:r>
      <w:r>
        <w:rPr>
          <w:rFonts w:hint="eastAsia" w:ascii="仿宋" w:hAnsi="仿宋" w:eastAsia="仿宋" w:cs="仿宋"/>
          <w:sz w:val="24"/>
        </w:rPr>
        <w:t>明确表示无需预付款或者主动要求降低预付款比例的，</w:t>
      </w:r>
      <w:r>
        <w:rPr>
          <w:rFonts w:hint="eastAsia" w:ascii="仿宋" w:hAnsi="仿宋" w:eastAsia="仿宋" w:cs="仿宋"/>
          <w:sz w:val="24"/>
          <w:lang w:eastAsia="zh-CN"/>
        </w:rPr>
        <w:t>甲方</w:t>
      </w:r>
      <w:r>
        <w:rPr>
          <w:rFonts w:hint="eastAsia" w:ascii="仿宋" w:hAnsi="仿宋" w:eastAsia="仿宋" w:cs="仿宋"/>
          <w:sz w:val="24"/>
        </w:rPr>
        <w:t>不适用上述规定。</w:t>
      </w:r>
    </w:p>
    <w:p w14:paraId="224F01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rPr>
        <w:t>1.4.</w:t>
      </w:r>
      <w:r>
        <w:rPr>
          <w:rFonts w:hint="eastAsia" w:ascii="仿宋" w:hAnsi="仿宋" w:eastAsia="仿宋" w:cs="仿宋"/>
          <w:sz w:val="24"/>
          <w:lang w:val="en-US" w:eastAsia="zh-CN"/>
        </w:rPr>
        <w:t>3</w:t>
      </w:r>
      <w:r>
        <w:rPr>
          <w:rFonts w:hint="eastAsia" w:ascii="仿宋" w:hAnsi="仿宋" w:eastAsia="仿宋" w:cs="仿宋"/>
          <w:sz w:val="24"/>
        </w:rPr>
        <w:t xml:space="preserve"> 发票开具方式：</w:t>
      </w:r>
      <w:r>
        <w:rPr>
          <w:rFonts w:hint="eastAsia" w:ascii="仿宋" w:hAnsi="仿宋" w:eastAsia="仿宋" w:cs="仿宋"/>
          <w:sz w:val="24"/>
          <w:szCs w:val="24"/>
          <w:u w:val="single"/>
        </w:rPr>
        <w:t>发票由供应商按国家有关财税规定开具给采购人，采购人在收到供应商提供的发票后付款，若供应商方延迟开票，采购人付款时间顺延</w:t>
      </w:r>
      <w:r>
        <w:rPr>
          <w:rFonts w:hint="eastAsia" w:ascii="仿宋" w:hAnsi="仿宋" w:eastAsia="仿宋" w:cs="仿宋"/>
          <w:sz w:val="24"/>
          <w:szCs w:val="24"/>
        </w:rPr>
        <w:t>。</w:t>
      </w:r>
    </w:p>
    <w:p w14:paraId="7E063BE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bookmarkStart w:id="133" w:name="_Toc8772"/>
      <w:bookmarkStart w:id="134" w:name="_Toc31421"/>
      <w:bookmarkStart w:id="135" w:name="_Toc4760"/>
      <w:bookmarkStart w:id="136" w:name="_Toc11108"/>
      <w:bookmarkStart w:id="137" w:name="_Toc3625"/>
      <w:r>
        <w:rPr>
          <w:rFonts w:hint="eastAsia" w:ascii="仿宋" w:hAnsi="仿宋" w:eastAsia="仿宋" w:cs="仿宋"/>
          <w:b/>
          <w:sz w:val="24"/>
        </w:rPr>
        <w:t>1.5 履行期限、地点和方式</w:t>
      </w:r>
      <w:bookmarkEnd w:id="133"/>
      <w:bookmarkEnd w:id="134"/>
      <w:bookmarkEnd w:id="135"/>
      <w:bookmarkEnd w:id="136"/>
      <w:bookmarkEnd w:id="137"/>
    </w:p>
    <w:p w14:paraId="1295A7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自合同签订之日起，提供三个年度的服务。其中，合同签订后一周内需完成所需的系统运行环境准备和“能达E企通”平台的对接改造工作，主智能体基础咨询服务和AI高企服务试运行</w:t>
      </w:r>
      <w:r>
        <w:rPr>
          <w:rFonts w:hint="eastAsia" w:ascii="仿宋" w:hAnsi="仿宋" w:eastAsia="仿宋" w:cs="仿宋"/>
          <w:sz w:val="24"/>
        </w:rPr>
        <w:t>；</w:t>
      </w:r>
    </w:p>
    <w:p w14:paraId="20CFFF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lang w:eastAsia="zh-CN"/>
        </w:rPr>
        <w:t>甲方</w:t>
      </w:r>
      <w:r>
        <w:rPr>
          <w:rFonts w:hint="eastAsia" w:ascii="仿宋" w:hAnsi="仿宋" w:eastAsia="仿宋" w:cs="仿宋"/>
          <w:sz w:val="24"/>
          <w:u w:val="single"/>
        </w:rPr>
        <w:t xml:space="preserve">指定地点 </w:t>
      </w:r>
      <w:r>
        <w:rPr>
          <w:rFonts w:hint="eastAsia" w:ascii="仿宋" w:hAnsi="仿宋" w:eastAsia="仿宋" w:cs="仿宋"/>
          <w:sz w:val="24"/>
        </w:rPr>
        <w:t>；</w:t>
      </w:r>
    </w:p>
    <w:p w14:paraId="192D7B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u w:val="none"/>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u w:val="none"/>
        </w:rPr>
        <w:t>；</w:t>
      </w:r>
    </w:p>
    <w:p w14:paraId="7AD06AC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u w:val="single"/>
        </w:rPr>
      </w:pPr>
      <w:bookmarkStart w:id="138" w:name="_Toc8586"/>
      <w:bookmarkStart w:id="139" w:name="_Toc5698"/>
      <w:bookmarkStart w:id="140" w:name="_Toc2375"/>
      <w:bookmarkStart w:id="141" w:name="_Toc24662"/>
      <w:bookmarkStart w:id="142" w:name="_Toc3079"/>
      <w:r>
        <w:rPr>
          <w:rFonts w:hint="eastAsia" w:ascii="仿宋" w:hAnsi="仿宋" w:eastAsia="仿宋" w:cs="仿宋"/>
          <w:b/>
          <w:sz w:val="24"/>
        </w:rPr>
        <w:t>1.6 违约责任</w:t>
      </w:r>
      <w:bookmarkEnd w:id="138"/>
      <w:bookmarkEnd w:id="139"/>
      <w:bookmarkEnd w:id="140"/>
      <w:bookmarkEnd w:id="141"/>
      <w:bookmarkEnd w:id="142"/>
    </w:p>
    <w:p w14:paraId="41F0E6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43D589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6A2ECC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E40D9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C197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7D11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0E12177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bookmarkStart w:id="143" w:name="_Toc30329"/>
      <w:bookmarkStart w:id="144" w:name="_Toc26807"/>
      <w:bookmarkStart w:id="145" w:name="_Toc9497"/>
      <w:bookmarkStart w:id="146" w:name="_Toc32454"/>
      <w:bookmarkStart w:id="147" w:name="_Toc18683"/>
      <w:r>
        <w:rPr>
          <w:rFonts w:hint="eastAsia" w:ascii="仿宋" w:hAnsi="仿宋" w:eastAsia="仿宋" w:cs="仿宋"/>
          <w:b/>
          <w:sz w:val="24"/>
        </w:rPr>
        <w:t>1.7 合同争议的解决</w:t>
      </w:r>
      <w:bookmarkEnd w:id="143"/>
      <w:bookmarkEnd w:id="144"/>
      <w:bookmarkEnd w:id="145"/>
      <w:bookmarkEnd w:id="146"/>
      <w:bookmarkEnd w:id="147"/>
    </w:p>
    <w:p w14:paraId="7CD633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69438D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bookmarkStart w:id="148" w:name="_Toc16417"/>
      <w:bookmarkStart w:id="149" w:name="_Toc26227"/>
      <w:bookmarkStart w:id="150" w:name="_Toc12273"/>
      <w:bookmarkStart w:id="151" w:name="_Toc15827"/>
      <w:bookmarkStart w:id="152" w:name="_Toc23784"/>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2591F4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（被告住所地、合同履行地、合同签订地、原告住所地、标的物所在地等与争议有实际联系的地点中选出的人民法院名称）</w:t>
      </w:r>
      <w:r>
        <w:rPr>
          <w:rFonts w:hint="eastAsia" w:ascii="仿宋" w:hAnsi="仿宋" w:eastAsia="仿宋" w:cs="仿宋"/>
          <w:sz w:val="24"/>
        </w:rPr>
        <w:t>人民法院起诉。</w:t>
      </w:r>
    </w:p>
    <w:p w14:paraId="2062B9F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r>
        <w:rPr>
          <w:rFonts w:hint="eastAsia" w:ascii="仿宋" w:hAnsi="仿宋" w:eastAsia="仿宋" w:cs="仿宋"/>
          <w:b/>
          <w:sz w:val="24"/>
        </w:rPr>
        <w:t>1.8 合同生效</w:t>
      </w:r>
      <w:bookmarkEnd w:id="148"/>
      <w:bookmarkEnd w:id="149"/>
      <w:bookmarkEnd w:id="150"/>
      <w:bookmarkEnd w:id="151"/>
      <w:bookmarkEnd w:id="152"/>
    </w:p>
    <w:p w14:paraId="4BA9C7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sz w:val="24"/>
        </w:rPr>
      </w:pPr>
      <w:r>
        <w:rPr>
          <w:rFonts w:hint="eastAsia" w:ascii="仿宋" w:hAnsi="仿宋" w:eastAsia="仿宋" w:cs="仿宋"/>
          <w:sz w:val="24"/>
        </w:rPr>
        <w:t>本合同自双方当事人盖章或者签字时生效。</w:t>
      </w:r>
    </w:p>
    <w:p w14:paraId="03F38D3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lang w:val="zh-CN"/>
        </w:rPr>
      </w:pPr>
    </w:p>
    <w:p w14:paraId="021FD49E">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D75B1D2">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5F23EA6">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住所：                                   住所：</w:t>
      </w:r>
    </w:p>
    <w:p w14:paraId="6648F6D1">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法定代表人或                             法定代表人</w:t>
      </w:r>
    </w:p>
    <w:p w14:paraId="3FD5C72A">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1E22C2FC">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联系人：                                 联系人：</w:t>
      </w:r>
    </w:p>
    <w:p w14:paraId="72B7187B">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约定送达地址：                           约定送达地址：</w:t>
      </w:r>
    </w:p>
    <w:p w14:paraId="480A2667">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邮政编码：                               邮政编码：</w:t>
      </w:r>
    </w:p>
    <w:p w14:paraId="426FB225">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 xml:space="preserve">电话:                                    电话: </w:t>
      </w:r>
    </w:p>
    <w:p w14:paraId="7F08019F">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lang w:val="zh-CN"/>
        </w:rPr>
      </w:pPr>
      <w:r>
        <w:rPr>
          <w:rFonts w:hint="eastAsia" w:ascii="仿宋" w:hAnsi="仿宋" w:eastAsia="仿宋" w:cs="仿宋"/>
          <w:sz w:val="24"/>
          <w:lang w:val="zh-CN"/>
        </w:rPr>
        <w:t>传真:                                    传真:</w:t>
      </w:r>
    </w:p>
    <w:p w14:paraId="497F2536">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rPr>
      </w:pPr>
      <w:r>
        <w:rPr>
          <w:rFonts w:hint="eastAsia" w:ascii="仿宋" w:hAnsi="仿宋" w:eastAsia="仿宋" w:cs="仿宋"/>
          <w:sz w:val="24"/>
          <w:lang w:val="zh-CN"/>
        </w:rPr>
        <w:t>电子邮箱：                               电子邮箱：</w:t>
      </w:r>
    </w:p>
    <w:p w14:paraId="5912E458">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rPr>
      </w:pPr>
      <w:r>
        <w:rPr>
          <w:rFonts w:hint="eastAsia" w:ascii="仿宋" w:hAnsi="仿宋" w:eastAsia="仿宋" w:cs="仿宋"/>
          <w:sz w:val="24"/>
        </w:rPr>
        <w:t xml:space="preserve">开户银行：                               开户银行： </w:t>
      </w:r>
    </w:p>
    <w:p w14:paraId="4F1571E4">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rPr>
      </w:pPr>
      <w:r>
        <w:rPr>
          <w:rFonts w:hint="eastAsia" w:ascii="仿宋" w:hAnsi="仿宋" w:eastAsia="仿宋" w:cs="仿宋"/>
          <w:sz w:val="24"/>
        </w:rPr>
        <w:t xml:space="preserve">开户名称：                               开户名称： </w:t>
      </w:r>
    </w:p>
    <w:p w14:paraId="5B9C2F0C">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FDED215">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szCs w:val="24"/>
        </w:rPr>
      </w:pPr>
      <w:bookmarkStart w:id="153" w:name="_Toc331685783"/>
      <w:r>
        <w:rPr>
          <w:rFonts w:hint="eastAsia" w:ascii="仿宋" w:hAnsi="仿宋" w:eastAsia="仿宋" w:cs="仿宋"/>
          <w:b/>
          <w:szCs w:val="24"/>
        </w:rPr>
        <w:br w:type="page"/>
      </w:r>
    </w:p>
    <w:p w14:paraId="7D4A8780">
      <w:pPr>
        <w:pStyle w:val="20"/>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0" w:firstLineChars="0"/>
        <w:jc w:val="center"/>
        <w:textAlignment w:val="auto"/>
        <w:outlineLvl w:val="2"/>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153"/>
    </w:p>
    <w:p w14:paraId="31785B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rPr>
      </w:pPr>
      <w:bookmarkStart w:id="154" w:name="_Ref467378404"/>
      <w:bookmarkStart w:id="155" w:name="_Toc31297"/>
      <w:bookmarkStart w:id="156" w:name="_Ref467379101"/>
      <w:bookmarkStart w:id="157" w:name="_Toc19680"/>
      <w:bookmarkStart w:id="158" w:name="_Ref467379214"/>
      <w:bookmarkStart w:id="159" w:name="_Ref467379109"/>
      <w:bookmarkStart w:id="160" w:name="_Ref467378499"/>
      <w:bookmarkStart w:id="161" w:name="_Toc5228"/>
      <w:bookmarkStart w:id="162" w:name="_Toc279701240"/>
      <w:bookmarkStart w:id="163" w:name="_Toc25079"/>
      <w:bookmarkStart w:id="164" w:name="_Ref467378463"/>
      <w:bookmarkStart w:id="165" w:name="_Ref467379205"/>
      <w:bookmarkStart w:id="166" w:name="_Ref467379225"/>
      <w:bookmarkStart w:id="167" w:name="_Toc487900349"/>
      <w:bookmarkStart w:id="168" w:name="_Toc14021"/>
      <w:bookmarkStart w:id="169" w:name="_Ref467379195"/>
      <w:bookmarkStart w:id="170" w:name="_Toc259093669"/>
      <w:bookmarkStart w:id="171" w:name="_Ref467379094"/>
      <w:r>
        <w:rPr>
          <w:rFonts w:hint="eastAsia" w:ascii="仿宋" w:hAnsi="仿宋" w:eastAsia="仿宋" w:cs="仿宋"/>
          <w:b/>
          <w:sz w:val="24"/>
        </w:rPr>
        <w:t>2.1 定义</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D6BD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本合同中的下列词语应按以下内容进行解释：</w:t>
      </w:r>
    </w:p>
    <w:p w14:paraId="31A8F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2256E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1C1451D7">
      <w:pPr>
        <w:spacing w:line="360" w:lineRule="auto"/>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2CDAEAC2">
      <w:pPr>
        <w:spacing w:line="360" w:lineRule="auto"/>
        <w:ind w:firstLine="480" w:firstLineChars="200"/>
        <w:rPr>
          <w:rFonts w:ascii="仿宋" w:hAnsi="仿宋" w:eastAsia="仿宋" w:cs="仿宋"/>
          <w:sz w:val="24"/>
        </w:rPr>
      </w:pPr>
      <w:bookmarkStart w:id="172" w:name="_Ref467378840"/>
      <w:r>
        <w:rPr>
          <w:rFonts w:hint="eastAsia" w:ascii="仿宋" w:hAnsi="仿宋" w:eastAsia="仿宋" w:cs="仿宋"/>
          <w:sz w:val="24"/>
        </w:rPr>
        <w:t>2.1.4 “甲方”系指与中标供应商签署合同的采购人</w:t>
      </w:r>
      <w:bookmarkEnd w:id="172"/>
      <w:r>
        <w:rPr>
          <w:rFonts w:hint="eastAsia" w:ascii="仿宋" w:hAnsi="仿宋" w:eastAsia="仿宋" w:cs="仿宋"/>
          <w:sz w:val="24"/>
        </w:rPr>
        <w:t>；采购人委托采购代理机构代表其与乙方签订合同的，采购人的授权委托书作为合同附件。</w:t>
      </w:r>
    </w:p>
    <w:p w14:paraId="17BBD935">
      <w:pPr>
        <w:spacing w:line="360" w:lineRule="auto"/>
        <w:ind w:firstLine="480" w:firstLineChars="200"/>
        <w:rPr>
          <w:rFonts w:ascii="仿宋" w:hAnsi="仿宋" w:eastAsia="仿宋" w:cs="仿宋"/>
          <w:sz w:val="24"/>
        </w:rPr>
      </w:pPr>
      <w:bookmarkStart w:id="173" w:name="_Ref467379400"/>
      <w:r>
        <w:rPr>
          <w:rFonts w:hint="eastAsia" w:ascii="仿宋" w:hAnsi="仿宋" w:eastAsia="仿宋" w:cs="仿宋"/>
          <w:sz w:val="24"/>
        </w:rPr>
        <w:t>2.1.5 “乙方”系指根据合同约定提供服务的中标供应商</w:t>
      </w:r>
      <w:bookmarkEnd w:id="173"/>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55802D">
      <w:pPr>
        <w:spacing w:line="360" w:lineRule="auto"/>
        <w:ind w:firstLine="480" w:firstLineChars="200"/>
        <w:rPr>
          <w:rFonts w:ascii="仿宋" w:hAnsi="仿宋" w:eastAsia="仿宋" w:cs="仿宋"/>
          <w:sz w:val="24"/>
        </w:rPr>
      </w:pPr>
      <w:bookmarkStart w:id="174" w:name="_Ref467379436"/>
      <w:r>
        <w:rPr>
          <w:rFonts w:hint="eastAsia" w:ascii="仿宋" w:hAnsi="仿宋" w:eastAsia="仿宋" w:cs="仿宋"/>
          <w:sz w:val="24"/>
        </w:rPr>
        <w:t>2.1.6 “现场”系指合同约定提供服务的地点。</w:t>
      </w:r>
      <w:bookmarkEnd w:id="174"/>
    </w:p>
    <w:p w14:paraId="712DE245">
      <w:pPr>
        <w:spacing w:line="360" w:lineRule="auto"/>
        <w:ind w:firstLine="482" w:firstLineChars="200"/>
        <w:rPr>
          <w:rFonts w:ascii="仿宋" w:hAnsi="仿宋" w:eastAsia="仿宋" w:cs="仿宋"/>
          <w:b/>
          <w:sz w:val="24"/>
        </w:rPr>
      </w:pPr>
      <w:bookmarkStart w:id="175" w:name="_Toc259093670"/>
      <w:bookmarkStart w:id="176" w:name="_Toc19539"/>
      <w:bookmarkStart w:id="177" w:name="_Toc279701241"/>
      <w:bookmarkStart w:id="178" w:name="_Toc487900350"/>
      <w:bookmarkStart w:id="179" w:name="_Toc3769"/>
      <w:bookmarkStart w:id="180" w:name="_Toc23289"/>
      <w:bookmarkStart w:id="181" w:name="_Toc31402"/>
      <w:bookmarkStart w:id="182" w:name="_Toc16752"/>
      <w:r>
        <w:rPr>
          <w:rFonts w:hint="eastAsia" w:ascii="仿宋" w:hAnsi="仿宋" w:eastAsia="仿宋" w:cs="仿宋"/>
          <w:b/>
          <w:sz w:val="24"/>
        </w:rPr>
        <w:t>2.2 技术规范</w:t>
      </w:r>
      <w:bookmarkEnd w:id="175"/>
      <w:bookmarkEnd w:id="176"/>
      <w:bookmarkEnd w:id="177"/>
      <w:bookmarkEnd w:id="178"/>
      <w:bookmarkEnd w:id="179"/>
      <w:bookmarkEnd w:id="180"/>
      <w:bookmarkEnd w:id="181"/>
      <w:bookmarkEnd w:id="182"/>
    </w:p>
    <w:p w14:paraId="53532084">
      <w:pPr>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827616A">
      <w:pPr>
        <w:spacing w:line="360" w:lineRule="auto"/>
        <w:ind w:firstLine="482" w:firstLineChars="200"/>
        <w:rPr>
          <w:rFonts w:ascii="仿宋" w:hAnsi="仿宋" w:eastAsia="仿宋" w:cs="仿宋"/>
          <w:b/>
          <w:sz w:val="24"/>
        </w:rPr>
      </w:pPr>
      <w:bookmarkStart w:id="183" w:name="_Toc12412"/>
      <w:bookmarkStart w:id="184" w:name="_Toc9161"/>
      <w:bookmarkStart w:id="185" w:name="_Toc4133"/>
      <w:bookmarkStart w:id="186" w:name="_Toc13673"/>
      <w:bookmarkStart w:id="187" w:name="_Toc259093671"/>
      <w:bookmarkStart w:id="188" w:name="_Toc27945"/>
      <w:bookmarkStart w:id="189" w:name="_Toc279701242"/>
      <w:bookmarkStart w:id="190" w:name="_Toc487900351"/>
      <w:r>
        <w:rPr>
          <w:rFonts w:hint="eastAsia" w:ascii="仿宋" w:hAnsi="仿宋" w:eastAsia="仿宋" w:cs="仿宋"/>
          <w:b/>
          <w:sz w:val="24"/>
        </w:rPr>
        <w:t>2.3 知识产权</w:t>
      </w:r>
      <w:bookmarkEnd w:id="183"/>
      <w:bookmarkEnd w:id="184"/>
      <w:bookmarkEnd w:id="185"/>
      <w:bookmarkEnd w:id="186"/>
      <w:bookmarkEnd w:id="187"/>
      <w:bookmarkEnd w:id="188"/>
      <w:bookmarkEnd w:id="189"/>
      <w:bookmarkEnd w:id="190"/>
    </w:p>
    <w:p w14:paraId="3121156C">
      <w:pPr>
        <w:spacing w:line="360" w:lineRule="auto"/>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E29E10D">
      <w:pPr>
        <w:spacing w:line="360" w:lineRule="auto"/>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04C825F8">
      <w:pPr>
        <w:spacing w:line="360" w:lineRule="auto"/>
        <w:ind w:firstLine="480" w:firstLineChars="200"/>
        <w:rPr>
          <w:rFonts w:ascii="仿宋" w:hAnsi="仿宋" w:eastAsia="仿宋" w:cs="仿宋"/>
          <w:sz w:val="24"/>
        </w:rPr>
      </w:pPr>
      <w:bookmarkStart w:id="191" w:name="_Ref467379657"/>
      <w:r>
        <w:rPr>
          <w:rFonts w:hint="eastAsia" w:ascii="仿宋" w:hAnsi="仿宋" w:eastAsia="仿宋" w:cs="仿宋"/>
          <w:sz w:val="24"/>
        </w:rPr>
        <w:t>2.4.1</w:t>
      </w:r>
      <w:bookmarkEnd w:id="191"/>
      <w:bookmarkStart w:id="192" w:name="_Toc186431854"/>
      <w:bookmarkStart w:id="193" w:name="_Toc279701247"/>
      <w:bookmarkStart w:id="194" w:name="_Toc487900357"/>
      <w:bookmarkStart w:id="195" w:name="_Ref467379807"/>
      <w:bookmarkStart w:id="196" w:name="_Ref467379793"/>
      <w:bookmarkStart w:id="197" w:name="_Toc259093676"/>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E109B9B">
      <w:pPr>
        <w:spacing w:line="360" w:lineRule="auto"/>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192"/>
      <w:bookmarkStart w:id="198" w:name="_Toc186431855"/>
      <w:r>
        <w:rPr>
          <w:rFonts w:hint="eastAsia" w:ascii="仿宋" w:hAnsi="仿宋" w:eastAsia="仿宋" w:cs="仿宋"/>
          <w:sz w:val="24"/>
        </w:rPr>
        <w:t>。</w:t>
      </w:r>
      <w:bookmarkEnd w:id="198"/>
    </w:p>
    <w:p w14:paraId="6C219EA2">
      <w:pPr>
        <w:spacing w:line="360" w:lineRule="auto"/>
        <w:ind w:firstLine="482" w:firstLineChars="200"/>
        <w:rPr>
          <w:rFonts w:ascii="仿宋" w:hAnsi="仿宋" w:eastAsia="仿宋" w:cs="仿宋"/>
          <w:b/>
          <w:sz w:val="24"/>
        </w:rPr>
      </w:pPr>
      <w:bookmarkStart w:id="199" w:name="_Toc26555"/>
      <w:bookmarkStart w:id="200" w:name="_Toc22011"/>
      <w:bookmarkStart w:id="201" w:name="_Toc32670"/>
      <w:bookmarkStart w:id="202" w:name="_Toc15447"/>
      <w:bookmarkStart w:id="203" w:name="_Toc31233"/>
      <w:r>
        <w:rPr>
          <w:rFonts w:hint="eastAsia" w:ascii="仿宋" w:hAnsi="仿宋" w:eastAsia="仿宋" w:cs="仿宋"/>
          <w:b/>
          <w:sz w:val="24"/>
        </w:rPr>
        <w:t>2.5 结算方式和付款条件</w:t>
      </w:r>
      <w:bookmarkEnd w:id="193"/>
      <w:bookmarkEnd w:id="194"/>
      <w:bookmarkEnd w:id="195"/>
      <w:bookmarkEnd w:id="196"/>
      <w:bookmarkEnd w:id="197"/>
      <w:bookmarkEnd w:id="199"/>
      <w:bookmarkEnd w:id="200"/>
      <w:bookmarkEnd w:id="201"/>
      <w:bookmarkEnd w:id="202"/>
      <w:bookmarkEnd w:id="203"/>
    </w:p>
    <w:p w14:paraId="7588A21A">
      <w:pPr>
        <w:spacing w:line="360" w:lineRule="auto"/>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5EEA1225">
      <w:pPr>
        <w:spacing w:line="360" w:lineRule="auto"/>
        <w:ind w:firstLine="482" w:firstLineChars="200"/>
        <w:rPr>
          <w:rFonts w:ascii="仿宋" w:hAnsi="仿宋" w:eastAsia="仿宋" w:cs="仿宋"/>
          <w:b/>
          <w:sz w:val="24"/>
        </w:rPr>
      </w:pPr>
      <w:bookmarkStart w:id="204" w:name="_Ref467379923"/>
      <w:bookmarkStart w:id="205" w:name="_Ref467379863"/>
      <w:bookmarkStart w:id="206" w:name="_Toc279701248"/>
      <w:bookmarkStart w:id="207" w:name="_Toc487900358"/>
      <w:bookmarkStart w:id="208" w:name="_Ref467379852"/>
      <w:bookmarkStart w:id="209" w:name="_Toc259093677"/>
      <w:bookmarkStart w:id="210" w:name="_Toc13154"/>
      <w:bookmarkStart w:id="211" w:name="_Toc16163"/>
      <w:bookmarkStart w:id="212" w:name="_Toc18990"/>
      <w:bookmarkStart w:id="213" w:name="_Toc13467"/>
      <w:bookmarkStart w:id="214" w:name="_Toc30507"/>
      <w:r>
        <w:rPr>
          <w:rFonts w:hint="eastAsia" w:ascii="仿宋" w:hAnsi="仿宋" w:eastAsia="仿宋" w:cs="仿宋"/>
          <w:b/>
          <w:sz w:val="24"/>
        </w:rPr>
        <w:t>2.6 技术资料</w:t>
      </w:r>
      <w:bookmarkEnd w:id="204"/>
      <w:bookmarkEnd w:id="205"/>
      <w:bookmarkEnd w:id="206"/>
      <w:bookmarkEnd w:id="207"/>
      <w:bookmarkEnd w:id="208"/>
      <w:bookmarkEnd w:id="209"/>
      <w:r>
        <w:rPr>
          <w:rFonts w:hint="eastAsia" w:ascii="仿宋" w:hAnsi="仿宋" w:eastAsia="仿宋" w:cs="仿宋"/>
          <w:b/>
          <w:sz w:val="24"/>
        </w:rPr>
        <w:t>和保密义务</w:t>
      </w:r>
      <w:bookmarkEnd w:id="210"/>
      <w:bookmarkEnd w:id="211"/>
      <w:bookmarkEnd w:id="212"/>
      <w:bookmarkEnd w:id="213"/>
      <w:bookmarkEnd w:id="214"/>
    </w:p>
    <w:p w14:paraId="000E6C38">
      <w:pPr>
        <w:spacing w:line="360" w:lineRule="auto"/>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CD1FEE6">
      <w:pPr>
        <w:spacing w:line="360" w:lineRule="auto"/>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7DD20DED">
      <w:pPr>
        <w:spacing w:line="360" w:lineRule="auto"/>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88E27F3">
      <w:pPr>
        <w:spacing w:line="360" w:lineRule="auto"/>
        <w:ind w:firstLine="482" w:firstLineChars="200"/>
        <w:rPr>
          <w:rFonts w:ascii="仿宋" w:hAnsi="仿宋" w:eastAsia="仿宋" w:cs="仿宋"/>
          <w:b/>
          <w:sz w:val="24"/>
        </w:rPr>
      </w:pPr>
      <w:bookmarkStart w:id="215" w:name="_Toc19069"/>
      <w:bookmarkStart w:id="216" w:name="_Toc259093681"/>
      <w:bookmarkStart w:id="217" w:name="_Toc487900362"/>
      <w:bookmarkStart w:id="218" w:name="_Toc279701252"/>
      <w:r>
        <w:rPr>
          <w:rFonts w:hint="eastAsia" w:ascii="仿宋" w:hAnsi="仿宋" w:eastAsia="仿宋" w:cs="仿宋"/>
          <w:b/>
          <w:sz w:val="24"/>
        </w:rPr>
        <w:t>2.7 质量保证</w:t>
      </w:r>
      <w:bookmarkEnd w:id="215"/>
    </w:p>
    <w:p w14:paraId="706C2BEB">
      <w:pPr>
        <w:spacing w:line="360" w:lineRule="auto"/>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AA88AE8">
      <w:pPr>
        <w:spacing w:line="360" w:lineRule="auto"/>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020428C">
      <w:pPr>
        <w:spacing w:line="360" w:lineRule="auto"/>
        <w:ind w:firstLine="482" w:firstLineChars="200"/>
        <w:rPr>
          <w:rFonts w:ascii="仿宋" w:hAnsi="仿宋" w:eastAsia="仿宋" w:cs="仿宋"/>
          <w:b/>
          <w:sz w:val="24"/>
        </w:rPr>
      </w:pPr>
      <w:bookmarkStart w:id="219" w:name="_Toc22267"/>
      <w:r>
        <w:rPr>
          <w:rFonts w:hint="eastAsia" w:ascii="仿宋" w:hAnsi="仿宋" w:eastAsia="仿宋" w:cs="仿宋"/>
          <w:b/>
          <w:sz w:val="24"/>
        </w:rPr>
        <w:t>2.8 延迟</w:t>
      </w:r>
      <w:bookmarkEnd w:id="216"/>
      <w:bookmarkEnd w:id="217"/>
      <w:bookmarkEnd w:id="218"/>
      <w:r>
        <w:rPr>
          <w:rFonts w:hint="eastAsia" w:ascii="仿宋" w:hAnsi="仿宋" w:eastAsia="仿宋" w:cs="仿宋"/>
          <w:b/>
          <w:sz w:val="24"/>
        </w:rPr>
        <w:t>履行</w:t>
      </w:r>
      <w:bookmarkEnd w:id="219"/>
    </w:p>
    <w:p w14:paraId="7BE6E8F6">
      <w:pPr>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E29196B">
      <w:pPr>
        <w:spacing w:line="360" w:lineRule="auto"/>
        <w:ind w:firstLine="482" w:firstLineChars="200"/>
        <w:rPr>
          <w:rFonts w:ascii="仿宋" w:hAnsi="仿宋" w:eastAsia="仿宋" w:cs="仿宋"/>
          <w:b/>
          <w:sz w:val="24"/>
        </w:rPr>
      </w:pPr>
      <w:bookmarkStart w:id="220" w:name="_Toc10611"/>
      <w:bookmarkStart w:id="221" w:name="_Toc487900364"/>
      <w:bookmarkStart w:id="222" w:name="_Toc259093683"/>
      <w:bookmarkStart w:id="223" w:name="_Toc279701254"/>
      <w:bookmarkStart w:id="224" w:name="_Ref467378121"/>
      <w:r>
        <w:rPr>
          <w:rFonts w:hint="eastAsia" w:ascii="仿宋" w:hAnsi="仿宋" w:eastAsia="仿宋" w:cs="仿宋"/>
          <w:b/>
          <w:sz w:val="24"/>
        </w:rPr>
        <w:t>2.9 合同变更</w:t>
      </w:r>
      <w:bookmarkEnd w:id="220"/>
    </w:p>
    <w:p w14:paraId="43A6E532">
      <w:pPr>
        <w:spacing w:line="360" w:lineRule="auto"/>
        <w:ind w:firstLine="480" w:firstLineChars="200"/>
        <w:rPr>
          <w:rFonts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1263FA19">
      <w:pPr>
        <w:spacing w:line="360" w:lineRule="auto"/>
        <w:ind w:firstLine="480" w:firstLineChars="200"/>
        <w:rPr>
          <w:rFonts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225" w:name="_Toc487900369"/>
      <w:bookmarkStart w:id="226" w:name="_Toc259093688"/>
      <w:bookmarkStart w:id="227" w:name="_Toc279701259"/>
    </w:p>
    <w:p w14:paraId="46D9EAA0">
      <w:pPr>
        <w:spacing w:line="360" w:lineRule="auto"/>
        <w:ind w:firstLine="482" w:firstLineChars="200"/>
        <w:rPr>
          <w:rFonts w:ascii="仿宋" w:hAnsi="仿宋" w:eastAsia="仿宋" w:cs="仿宋"/>
          <w:b/>
          <w:sz w:val="24"/>
        </w:rPr>
      </w:pPr>
      <w:bookmarkStart w:id="228" w:name="_Toc10663"/>
      <w:bookmarkStart w:id="229" w:name="_Toc26689"/>
      <w:bookmarkStart w:id="230" w:name="_Toc21830"/>
      <w:bookmarkStart w:id="231" w:name="_Toc23368"/>
      <w:bookmarkStart w:id="232" w:name="_Toc42"/>
      <w:r>
        <w:rPr>
          <w:rFonts w:hint="eastAsia" w:ascii="仿宋" w:hAnsi="仿宋" w:eastAsia="仿宋" w:cs="仿宋"/>
          <w:b/>
          <w:sz w:val="24"/>
        </w:rPr>
        <w:t>2.10 合同转让</w:t>
      </w:r>
      <w:bookmarkEnd w:id="225"/>
      <w:bookmarkEnd w:id="226"/>
      <w:bookmarkEnd w:id="227"/>
      <w:r>
        <w:rPr>
          <w:rFonts w:hint="eastAsia" w:ascii="仿宋" w:hAnsi="仿宋" w:eastAsia="仿宋" w:cs="仿宋"/>
          <w:b/>
          <w:sz w:val="24"/>
        </w:rPr>
        <w:t>和分包</w:t>
      </w:r>
      <w:bookmarkEnd w:id="228"/>
      <w:bookmarkEnd w:id="229"/>
      <w:bookmarkEnd w:id="230"/>
      <w:bookmarkEnd w:id="231"/>
      <w:bookmarkEnd w:id="232"/>
    </w:p>
    <w:p w14:paraId="500E49EB">
      <w:pPr>
        <w:spacing w:line="360" w:lineRule="auto"/>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1B069A">
      <w:pPr>
        <w:spacing w:line="360" w:lineRule="auto"/>
        <w:ind w:firstLine="482" w:firstLineChars="200"/>
        <w:rPr>
          <w:rFonts w:ascii="仿宋" w:hAnsi="仿宋" w:eastAsia="仿宋" w:cs="仿宋"/>
          <w:b/>
          <w:sz w:val="24"/>
        </w:rPr>
      </w:pPr>
      <w:bookmarkStart w:id="233" w:name="_Toc32494"/>
      <w:bookmarkStart w:id="234" w:name="_Toc25571"/>
      <w:bookmarkStart w:id="235" w:name="_Toc14371"/>
      <w:bookmarkStart w:id="236" w:name="_Toc26633"/>
      <w:bookmarkStart w:id="237" w:name="_Toc4720"/>
      <w:r>
        <w:rPr>
          <w:rFonts w:hint="eastAsia" w:ascii="仿宋" w:hAnsi="仿宋" w:eastAsia="仿宋" w:cs="仿宋"/>
          <w:b/>
          <w:sz w:val="24"/>
        </w:rPr>
        <w:t>2.11 不可抗力</w:t>
      </w:r>
      <w:bookmarkEnd w:id="233"/>
      <w:bookmarkEnd w:id="234"/>
      <w:bookmarkEnd w:id="235"/>
      <w:bookmarkEnd w:id="236"/>
      <w:bookmarkEnd w:id="237"/>
    </w:p>
    <w:p w14:paraId="74C6FF9C">
      <w:pPr>
        <w:spacing w:line="360" w:lineRule="auto"/>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7AE9ADD">
      <w:pPr>
        <w:spacing w:line="360" w:lineRule="auto"/>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776B0E31">
      <w:pPr>
        <w:spacing w:line="360" w:lineRule="auto"/>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因不可抗力致使合同有变更必要的，双方当事人应在2个工作日内以书面形式变更合同；</w:t>
      </w:r>
    </w:p>
    <w:p w14:paraId="65B57035">
      <w:pPr>
        <w:spacing w:line="360" w:lineRule="auto"/>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2.11.4受不可抗力影响的一方在不可抗力发生后，应在2个工作日内以书面形式通知对方当事人，并在合理期限内，将有关部门出具的证明文件送达对方当事人。</w:t>
      </w:r>
    </w:p>
    <w:p w14:paraId="0D3AE855">
      <w:pPr>
        <w:spacing w:line="360" w:lineRule="auto"/>
        <w:ind w:firstLine="482" w:firstLineChars="200"/>
        <w:rPr>
          <w:rFonts w:ascii="仿宋" w:hAnsi="仿宋" w:eastAsia="仿宋" w:cs="仿宋"/>
          <w:b/>
          <w:sz w:val="24"/>
        </w:rPr>
      </w:pPr>
      <w:bookmarkStart w:id="238" w:name="_Toc487900365"/>
      <w:bookmarkStart w:id="239" w:name="_Toc279701255"/>
      <w:bookmarkStart w:id="240" w:name="_Toc3638"/>
      <w:bookmarkStart w:id="241" w:name="_Toc14115"/>
      <w:bookmarkStart w:id="242" w:name="_Toc25783"/>
      <w:bookmarkStart w:id="243" w:name="_Toc259093684"/>
      <w:bookmarkStart w:id="244" w:name="_Toc24465"/>
      <w:bookmarkStart w:id="245" w:name="_Toc23854"/>
      <w:r>
        <w:rPr>
          <w:rFonts w:hint="eastAsia" w:ascii="仿宋" w:hAnsi="仿宋" w:eastAsia="仿宋" w:cs="仿宋"/>
          <w:b/>
          <w:sz w:val="24"/>
        </w:rPr>
        <w:t>2.12 税费</w:t>
      </w:r>
      <w:bookmarkEnd w:id="238"/>
      <w:bookmarkEnd w:id="239"/>
      <w:bookmarkEnd w:id="240"/>
      <w:bookmarkEnd w:id="241"/>
      <w:bookmarkEnd w:id="242"/>
      <w:bookmarkEnd w:id="243"/>
      <w:bookmarkEnd w:id="244"/>
      <w:bookmarkEnd w:id="245"/>
    </w:p>
    <w:p w14:paraId="1791D315">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AD651BA">
      <w:pPr>
        <w:spacing w:line="360" w:lineRule="auto"/>
        <w:ind w:firstLine="482" w:firstLineChars="200"/>
        <w:rPr>
          <w:rFonts w:ascii="仿宋" w:hAnsi="仿宋" w:eastAsia="仿宋" w:cs="仿宋"/>
          <w:b/>
          <w:sz w:val="24"/>
        </w:rPr>
      </w:pPr>
      <w:bookmarkStart w:id="246" w:name="_Toc259093687"/>
      <w:bookmarkStart w:id="247" w:name="_Toc30105"/>
      <w:bookmarkStart w:id="248" w:name="_Toc26883"/>
      <w:bookmarkStart w:id="249" w:name="_Toc279701258"/>
      <w:bookmarkStart w:id="250" w:name="_Toc487900368"/>
      <w:bookmarkStart w:id="251" w:name="_Toc25525"/>
      <w:bookmarkStart w:id="252" w:name="_Toc14814"/>
      <w:bookmarkStart w:id="253" w:name="_Toc7315"/>
      <w:r>
        <w:rPr>
          <w:rFonts w:hint="eastAsia" w:ascii="仿宋" w:hAnsi="仿宋" w:eastAsia="仿宋" w:cs="仿宋"/>
          <w:b/>
          <w:sz w:val="24"/>
        </w:rPr>
        <w:t>2.13 乙方破产</w:t>
      </w:r>
      <w:bookmarkEnd w:id="246"/>
      <w:bookmarkEnd w:id="247"/>
      <w:bookmarkEnd w:id="248"/>
      <w:bookmarkEnd w:id="249"/>
      <w:bookmarkEnd w:id="250"/>
      <w:bookmarkEnd w:id="251"/>
      <w:bookmarkEnd w:id="252"/>
      <w:bookmarkEnd w:id="253"/>
    </w:p>
    <w:p w14:paraId="1364CAB1">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4565C3">
      <w:pPr>
        <w:spacing w:line="360" w:lineRule="auto"/>
        <w:ind w:firstLine="482" w:firstLineChars="200"/>
        <w:rPr>
          <w:rFonts w:ascii="仿宋" w:hAnsi="仿宋" w:eastAsia="仿宋" w:cs="仿宋"/>
          <w:b/>
          <w:sz w:val="24"/>
        </w:rPr>
      </w:pPr>
      <w:bookmarkStart w:id="254" w:name="_Toc2016"/>
      <w:bookmarkStart w:id="255" w:name="_Toc23323"/>
      <w:bookmarkStart w:id="256" w:name="_Toc1123"/>
      <w:r>
        <w:rPr>
          <w:rFonts w:hint="eastAsia" w:ascii="仿宋" w:hAnsi="仿宋" w:eastAsia="仿宋" w:cs="仿宋"/>
          <w:b/>
          <w:sz w:val="24"/>
        </w:rPr>
        <w:t>2.14 合同中止、终止</w:t>
      </w:r>
      <w:bookmarkEnd w:id="254"/>
      <w:bookmarkEnd w:id="255"/>
      <w:bookmarkEnd w:id="256"/>
    </w:p>
    <w:p w14:paraId="7592623D">
      <w:pPr>
        <w:spacing w:line="360" w:lineRule="auto"/>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57E024A7">
      <w:pPr>
        <w:spacing w:line="360" w:lineRule="auto"/>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561F5310">
      <w:pPr>
        <w:spacing w:line="360" w:lineRule="auto"/>
        <w:ind w:firstLine="482" w:firstLineChars="200"/>
        <w:rPr>
          <w:rFonts w:ascii="仿宋" w:hAnsi="仿宋" w:eastAsia="仿宋" w:cs="仿宋"/>
          <w:b/>
          <w:sz w:val="24"/>
        </w:rPr>
      </w:pPr>
      <w:bookmarkStart w:id="257" w:name="_Toc1969"/>
      <w:bookmarkStart w:id="258" w:name="_Toc14525"/>
      <w:bookmarkStart w:id="259" w:name="_Toc17363"/>
      <w:r>
        <w:rPr>
          <w:rFonts w:hint="eastAsia" w:ascii="仿宋" w:hAnsi="仿宋" w:eastAsia="仿宋" w:cs="仿宋"/>
          <w:b/>
          <w:sz w:val="24"/>
        </w:rPr>
        <w:t>2.15 检验和验收</w:t>
      </w:r>
      <w:bookmarkEnd w:id="257"/>
      <w:bookmarkEnd w:id="258"/>
      <w:bookmarkEnd w:id="259"/>
    </w:p>
    <w:p w14:paraId="085CA764">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CDE3D97">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763CB8">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bookmarkEnd w:id="221"/>
      <w:bookmarkEnd w:id="222"/>
      <w:bookmarkEnd w:id="223"/>
      <w:bookmarkEnd w:id="224"/>
    </w:p>
    <w:p w14:paraId="09013957">
      <w:pPr>
        <w:spacing w:line="360" w:lineRule="auto"/>
        <w:ind w:firstLine="482" w:firstLineChars="200"/>
        <w:rPr>
          <w:rFonts w:ascii="仿宋" w:hAnsi="仿宋" w:eastAsia="仿宋" w:cs="仿宋"/>
          <w:b/>
          <w:sz w:val="24"/>
        </w:rPr>
      </w:pPr>
      <w:bookmarkStart w:id="260" w:name="_Toc259093690"/>
      <w:bookmarkStart w:id="261" w:name="_Toc487900371"/>
      <w:bookmarkStart w:id="262" w:name="_Toc279701261"/>
      <w:bookmarkStart w:id="263" w:name="_Toc25198"/>
      <w:bookmarkStart w:id="264" w:name="_Toc31892"/>
      <w:bookmarkStart w:id="265" w:name="_Toc12666"/>
      <w:bookmarkStart w:id="266" w:name="_Toc2308"/>
      <w:bookmarkStart w:id="267" w:name="_Toc9808"/>
      <w:r>
        <w:rPr>
          <w:rFonts w:hint="eastAsia" w:ascii="仿宋" w:hAnsi="仿宋" w:eastAsia="仿宋" w:cs="仿宋"/>
          <w:b/>
          <w:sz w:val="24"/>
        </w:rPr>
        <w:t>2.16 通知</w:t>
      </w:r>
      <w:bookmarkEnd w:id="260"/>
      <w:bookmarkEnd w:id="261"/>
      <w:bookmarkEnd w:id="262"/>
      <w:r>
        <w:rPr>
          <w:rFonts w:hint="eastAsia" w:ascii="仿宋" w:hAnsi="仿宋" w:eastAsia="仿宋" w:cs="仿宋"/>
          <w:b/>
          <w:sz w:val="24"/>
        </w:rPr>
        <w:t>和送达</w:t>
      </w:r>
      <w:bookmarkEnd w:id="263"/>
      <w:bookmarkEnd w:id="264"/>
      <w:bookmarkEnd w:id="265"/>
      <w:bookmarkEnd w:id="266"/>
      <w:bookmarkEnd w:id="267"/>
    </w:p>
    <w:p w14:paraId="7E06AB40">
      <w:pPr>
        <w:spacing w:line="360" w:lineRule="auto"/>
        <w:ind w:firstLine="480" w:firstLineChars="200"/>
        <w:rPr>
          <w:rFonts w:ascii="仿宋" w:hAnsi="仿宋" w:eastAsia="仿宋" w:cs="仿宋"/>
          <w:sz w:val="24"/>
        </w:rPr>
      </w:pPr>
      <w:bookmarkStart w:id="268" w:name="_Toc7073"/>
      <w:bookmarkStart w:id="269" w:name="_Toc29220"/>
      <w:bookmarkStart w:id="270" w:name="_Toc487900372"/>
      <w:bookmarkStart w:id="271" w:name="_Toc259093691"/>
      <w:bookmarkStart w:id="272"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268"/>
      <w:bookmarkEnd w:id="269"/>
    </w:p>
    <w:p w14:paraId="06771060">
      <w:pPr>
        <w:spacing w:line="360" w:lineRule="auto"/>
        <w:ind w:firstLine="480" w:firstLineChars="200"/>
        <w:rPr>
          <w:rFonts w:ascii="仿宋" w:hAnsi="仿宋" w:eastAsia="仿宋" w:cs="仿宋"/>
          <w:sz w:val="24"/>
        </w:rPr>
      </w:pPr>
      <w:bookmarkStart w:id="273" w:name="_Toc18401"/>
      <w:bookmarkStart w:id="274"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0"/>
      <w:bookmarkEnd w:id="271"/>
      <w:bookmarkEnd w:id="272"/>
      <w:bookmarkEnd w:id="273"/>
      <w:bookmarkEnd w:id="274"/>
    </w:p>
    <w:p w14:paraId="3A1571B3">
      <w:pPr>
        <w:spacing w:line="360" w:lineRule="auto"/>
        <w:ind w:firstLine="482" w:firstLineChars="200"/>
        <w:rPr>
          <w:rFonts w:ascii="仿宋" w:hAnsi="仿宋" w:eastAsia="仿宋" w:cs="仿宋"/>
          <w:b/>
          <w:sz w:val="24"/>
        </w:rPr>
      </w:pPr>
      <w:bookmarkStart w:id="275" w:name="_Toc12254"/>
      <w:bookmarkStart w:id="276" w:name="_Toc5063"/>
      <w:bookmarkStart w:id="277" w:name="_Toc487900373"/>
      <w:bookmarkStart w:id="278" w:name="_Toc20808"/>
      <w:bookmarkStart w:id="279" w:name="_Toc259093692"/>
      <w:bookmarkStart w:id="280" w:name="_Toc279701263"/>
      <w:bookmarkStart w:id="281" w:name="_Toc27644"/>
      <w:bookmarkStart w:id="282" w:name="_Toc28906"/>
      <w:r>
        <w:rPr>
          <w:rFonts w:hint="eastAsia" w:ascii="仿宋" w:hAnsi="仿宋" w:eastAsia="仿宋" w:cs="仿宋"/>
          <w:b/>
          <w:sz w:val="24"/>
        </w:rPr>
        <w:t>2.17 合同使用的文字和适用的法律</w:t>
      </w:r>
      <w:bookmarkEnd w:id="275"/>
      <w:bookmarkEnd w:id="276"/>
      <w:bookmarkEnd w:id="277"/>
      <w:bookmarkEnd w:id="278"/>
      <w:bookmarkEnd w:id="279"/>
      <w:bookmarkEnd w:id="280"/>
      <w:bookmarkEnd w:id="281"/>
      <w:bookmarkEnd w:id="282"/>
    </w:p>
    <w:p w14:paraId="6FBB90BC">
      <w:pPr>
        <w:spacing w:line="360" w:lineRule="auto"/>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3BF472E8">
      <w:pPr>
        <w:spacing w:line="360" w:lineRule="auto"/>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0BE211A1">
      <w:pPr>
        <w:spacing w:line="360" w:lineRule="auto"/>
        <w:ind w:firstLine="482" w:firstLineChars="200"/>
        <w:rPr>
          <w:rFonts w:ascii="仿宋" w:hAnsi="仿宋" w:eastAsia="仿宋" w:cs="仿宋"/>
          <w:b/>
          <w:sz w:val="24"/>
        </w:rPr>
      </w:pPr>
      <w:bookmarkStart w:id="283" w:name="_Toc22266"/>
      <w:bookmarkStart w:id="284" w:name="_Toc27403"/>
      <w:bookmarkStart w:id="285" w:name="_Toc259093693"/>
      <w:bookmarkStart w:id="286" w:name="_Toc30096"/>
      <w:bookmarkStart w:id="287" w:name="_Toc27127"/>
      <w:bookmarkStart w:id="288" w:name="_Toc1492"/>
      <w:bookmarkStart w:id="289" w:name="_Toc279701264"/>
      <w:bookmarkStart w:id="290" w:name="_Toc487900374"/>
      <w:r>
        <w:rPr>
          <w:rFonts w:hint="eastAsia" w:ascii="仿宋" w:hAnsi="仿宋" w:eastAsia="仿宋" w:cs="仿宋"/>
          <w:b/>
          <w:sz w:val="24"/>
        </w:rPr>
        <w:t>2.18 履约保证金</w:t>
      </w:r>
      <w:bookmarkEnd w:id="283"/>
      <w:bookmarkEnd w:id="284"/>
      <w:bookmarkEnd w:id="285"/>
      <w:bookmarkEnd w:id="286"/>
      <w:bookmarkEnd w:id="287"/>
      <w:bookmarkEnd w:id="288"/>
      <w:bookmarkEnd w:id="289"/>
    </w:p>
    <w:p w14:paraId="207BAF0B">
      <w:pPr>
        <w:spacing w:line="360" w:lineRule="auto"/>
        <w:ind w:firstLine="480" w:firstLineChars="200"/>
        <w:rPr>
          <w:rFonts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约定的方式，以支票、汇票、本票或者金融机构、担保机构出具的保函等形式，提交不超过合同价5%的履约保证金；</w:t>
      </w:r>
    </w:p>
    <w:p w14:paraId="31915547">
      <w:pPr>
        <w:spacing w:line="360" w:lineRule="auto"/>
        <w:ind w:firstLine="480" w:firstLineChars="200"/>
        <w:rPr>
          <w:rFonts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3041391B">
      <w:pPr>
        <w:spacing w:line="360" w:lineRule="auto"/>
        <w:ind w:firstLine="480" w:firstLineChars="200"/>
        <w:rPr>
          <w:rFonts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290"/>
    </w:p>
    <w:p w14:paraId="30C9E89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2.18.4 根据《南通市财政局关于进一步加大政府采购支持中小企业力度的通知》（通财购〔2022〕23号）精神，对政府采购信用档案中无不良记录的中小企业免收履约保证金。</w:t>
      </w:r>
    </w:p>
    <w:p w14:paraId="4CBD91B4">
      <w:pPr>
        <w:spacing w:line="360" w:lineRule="auto"/>
        <w:ind w:firstLine="482" w:firstLineChars="200"/>
        <w:rPr>
          <w:rFonts w:ascii="仿宋" w:hAnsi="仿宋" w:eastAsia="仿宋" w:cs="仿宋"/>
          <w:b/>
          <w:sz w:val="24"/>
        </w:rPr>
      </w:pPr>
      <w:r>
        <w:rPr>
          <w:rFonts w:hint="eastAsia" w:ascii="仿宋" w:hAnsi="仿宋" w:eastAsia="仿宋" w:cs="仿宋"/>
          <w:b/>
          <w:sz w:val="24"/>
        </w:rPr>
        <w:t>2.19 合同份数</w:t>
      </w:r>
    </w:p>
    <w:p w14:paraId="3FE96A38">
      <w:pPr>
        <w:spacing w:line="360" w:lineRule="auto"/>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44F7815">
      <w:pPr>
        <w:pStyle w:val="20"/>
        <w:shd w:val="clear" w:color="auto"/>
        <w:ind w:left="0" w:leftChars="0" w:firstLine="0" w:firstLineChars="0"/>
        <w:jc w:val="both"/>
        <w:outlineLvl w:val="2"/>
        <w:rPr>
          <w:rFonts w:hint="eastAsia" w:ascii="仿宋" w:hAnsi="仿宋" w:eastAsia="仿宋" w:cs="仿宋"/>
          <w:b/>
          <w:sz w:val="28"/>
          <w:szCs w:val="28"/>
        </w:rPr>
      </w:pPr>
      <w:bookmarkStart w:id="291" w:name="_Toc331685784"/>
    </w:p>
    <w:p w14:paraId="14D3C01E">
      <w:pPr>
        <w:rPr>
          <w:rFonts w:hint="eastAsia" w:ascii="仿宋" w:hAnsi="仿宋" w:eastAsia="仿宋" w:cs="仿宋"/>
          <w:b/>
          <w:sz w:val="28"/>
          <w:szCs w:val="28"/>
        </w:rPr>
      </w:pPr>
      <w:r>
        <w:rPr>
          <w:rFonts w:hint="eastAsia" w:ascii="仿宋" w:hAnsi="仿宋" w:eastAsia="仿宋" w:cs="仿宋"/>
          <w:b/>
          <w:sz w:val="28"/>
          <w:szCs w:val="28"/>
        </w:rPr>
        <w:br w:type="page"/>
      </w:r>
    </w:p>
    <w:p w14:paraId="69B3CC34">
      <w:pPr>
        <w:pStyle w:val="20"/>
        <w:keepNext w:val="0"/>
        <w:keepLines w:val="0"/>
        <w:pageBreakBefore w:val="0"/>
        <w:widowControl w:val="0"/>
        <w:shd w:val="clear" w:color="auto"/>
        <w:kinsoku/>
        <w:wordWrap/>
        <w:overflowPunct/>
        <w:topLinePunct w:val="0"/>
        <w:autoSpaceDE/>
        <w:autoSpaceDN/>
        <w:bidi w:val="0"/>
        <w:adjustRightInd/>
        <w:snapToGrid/>
        <w:spacing w:line="360" w:lineRule="auto"/>
        <w:ind w:left="0" w:leftChars="0" w:firstLine="0" w:firstLineChars="0"/>
        <w:jc w:val="center"/>
        <w:textAlignment w:val="auto"/>
        <w:outlineLvl w:val="2"/>
        <w:rPr>
          <w:rFonts w:hint="eastAsia" w:ascii="仿宋" w:hAnsi="仿宋" w:eastAsia="仿宋" w:cs="仿宋"/>
          <w:b/>
          <w:sz w:val="28"/>
          <w:szCs w:val="28"/>
        </w:rPr>
      </w:pPr>
      <w:r>
        <w:rPr>
          <w:rFonts w:hint="eastAsia" w:ascii="仿宋" w:hAnsi="仿宋" w:eastAsia="仿宋" w:cs="仿宋"/>
          <w:b/>
          <w:sz w:val="28"/>
          <w:szCs w:val="28"/>
        </w:rPr>
        <w:t>第三部分 合同专用条款</w:t>
      </w:r>
      <w:bookmarkEnd w:id="291"/>
    </w:p>
    <w:p w14:paraId="447FCC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8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839"/>
      </w:tblGrid>
      <w:tr w14:paraId="33A2D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1" w:type="dxa"/>
            <w:tcBorders>
              <w:left w:val="single" w:color="auto" w:sz="4" w:space="0"/>
            </w:tcBorders>
            <w:vAlign w:val="center"/>
          </w:tcPr>
          <w:p w14:paraId="308FBE9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sz w:val="24"/>
              </w:rPr>
            </w:pPr>
            <w:r>
              <w:rPr>
                <w:rFonts w:hint="eastAsia" w:ascii="仿宋" w:hAnsi="仿宋" w:eastAsia="仿宋" w:cs="仿宋"/>
                <w:b/>
                <w:sz w:val="24"/>
              </w:rPr>
              <w:t>条款号</w:t>
            </w:r>
          </w:p>
        </w:tc>
        <w:tc>
          <w:tcPr>
            <w:tcW w:w="7839" w:type="dxa"/>
            <w:vAlign w:val="center"/>
          </w:tcPr>
          <w:p w14:paraId="33088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sz w:val="24"/>
              </w:rPr>
            </w:pPr>
            <w:r>
              <w:rPr>
                <w:rFonts w:hint="eastAsia" w:ascii="仿宋" w:hAnsi="仿宋" w:eastAsia="仿宋" w:cs="仿宋"/>
                <w:b/>
                <w:sz w:val="24"/>
              </w:rPr>
              <w:t>约定内容</w:t>
            </w:r>
          </w:p>
        </w:tc>
      </w:tr>
      <w:tr w14:paraId="3830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79EE3FA6">
            <w:pPr>
              <w:spacing w:line="560" w:lineRule="exact"/>
              <w:jc w:val="center"/>
              <w:rPr>
                <w:rFonts w:ascii="仿宋" w:hAnsi="仿宋" w:eastAsia="仿宋" w:cs="仿宋"/>
                <w:sz w:val="24"/>
              </w:rPr>
            </w:pPr>
            <w:r>
              <w:rPr>
                <w:rFonts w:hint="eastAsia" w:ascii="仿宋" w:hAnsi="仿宋" w:eastAsia="仿宋" w:cs="仿宋"/>
                <w:sz w:val="24"/>
              </w:rPr>
              <w:t>2.5</w:t>
            </w:r>
          </w:p>
        </w:tc>
        <w:tc>
          <w:tcPr>
            <w:tcW w:w="7839" w:type="dxa"/>
            <w:vAlign w:val="center"/>
          </w:tcPr>
          <w:p w14:paraId="7AE26094">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结算方式和付款条件：</w:t>
            </w:r>
          </w:p>
          <w:p w14:paraId="1567076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合同金额包含三个年度的服务费用，其中：</w:t>
            </w:r>
          </w:p>
          <w:p w14:paraId="0ADB685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合同签订</w:t>
            </w:r>
            <w:r>
              <w:rPr>
                <w:rFonts w:hint="eastAsia" w:ascii="仿宋" w:hAnsi="仿宋" w:eastAsia="仿宋" w:cs="仿宋"/>
                <w:sz w:val="24"/>
                <w:lang w:val="en-US" w:eastAsia="zh-CN"/>
              </w:rPr>
              <w:t>且合同约定的</w:t>
            </w:r>
            <w:r>
              <w:rPr>
                <w:rFonts w:hint="eastAsia" w:ascii="仿宋" w:hAnsi="仿宋" w:eastAsia="仿宋" w:cs="仿宋"/>
                <w:sz w:val="24"/>
              </w:rPr>
              <w:t>主智能体基础咨询服务和AI高企服务试运行一个月内，支付第一个年度服务费用的50%；</w:t>
            </w:r>
          </w:p>
          <w:p w14:paraId="02A66E6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第一年服务期满后一个月内，支付第一年服务费用的剩余部分，预付第二年服务费用的30%；</w:t>
            </w:r>
          </w:p>
          <w:p w14:paraId="44C6AE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第二年服务期满后一个月内，支付第二年服务费用的剩余部分，预付第三年服务费用的30%；</w:t>
            </w:r>
          </w:p>
          <w:p w14:paraId="3136867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第三年服务期满后一个月内，支付第三年服务费用的剩余部分。</w:t>
            </w:r>
          </w:p>
          <w:p w14:paraId="3BBDC04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注明：签订合同时，</w:t>
            </w:r>
            <w:r>
              <w:rPr>
                <w:rFonts w:hint="eastAsia" w:ascii="仿宋" w:hAnsi="仿宋" w:eastAsia="仿宋" w:cs="仿宋"/>
                <w:sz w:val="24"/>
                <w:lang w:eastAsia="zh-CN"/>
              </w:rPr>
              <w:t>乙方</w:t>
            </w:r>
            <w:r>
              <w:rPr>
                <w:rFonts w:hint="eastAsia" w:ascii="仿宋" w:hAnsi="仿宋" w:eastAsia="仿宋" w:cs="仿宋"/>
                <w:sz w:val="24"/>
              </w:rPr>
              <w:t>明确表示无需预付款或者主动要求降低预付款比例的，</w:t>
            </w:r>
            <w:r>
              <w:rPr>
                <w:rFonts w:hint="eastAsia" w:ascii="仿宋" w:hAnsi="仿宋" w:eastAsia="仿宋" w:cs="仿宋"/>
                <w:sz w:val="24"/>
                <w:lang w:eastAsia="zh-CN"/>
              </w:rPr>
              <w:t>甲方</w:t>
            </w:r>
            <w:r>
              <w:rPr>
                <w:rFonts w:hint="eastAsia" w:ascii="仿宋" w:hAnsi="仿宋" w:eastAsia="仿宋" w:cs="仿宋"/>
                <w:sz w:val="24"/>
              </w:rPr>
              <w:t>不适用上述规定。</w:t>
            </w:r>
          </w:p>
          <w:p w14:paraId="3B4079E9">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发票由</w:t>
            </w:r>
            <w:r>
              <w:rPr>
                <w:rFonts w:hint="eastAsia" w:ascii="仿宋" w:hAnsi="仿宋" w:eastAsia="仿宋" w:cs="仿宋"/>
                <w:sz w:val="24"/>
                <w:lang w:eastAsia="zh-CN"/>
              </w:rPr>
              <w:t>乙方</w:t>
            </w:r>
            <w:r>
              <w:rPr>
                <w:rFonts w:hint="eastAsia" w:ascii="仿宋" w:hAnsi="仿宋" w:eastAsia="仿宋" w:cs="仿宋"/>
                <w:sz w:val="24"/>
              </w:rPr>
              <w:t>按国家有关财税规定开具给</w:t>
            </w:r>
            <w:r>
              <w:rPr>
                <w:rFonts w:hint="eastAsia" w:ascii="仿宋" w:hAnsi="仿宋" w:eastAsia="仿宋" w:cs="仿宋"/>
                <w:sz w:val="24"/>
                <w:lang w:eastAsia="zh-CN"/>
              </w:rPr>
              <w:t>甲方</w:t>
            </w:r>
            <w:r>
              <w:rPr>
                <w:rFonts w:hint="eastAsia" w:ascii="仿宋" w:hAnsi="仿宋" w:eastAsia="仿宋" w:cs="仿宋"/>
                <w:sz w:val="24"/>
              </w:rPr>
              <w:t>，</w:t>
            </w:r>
            <w:r>
              <w:rPr>
                <w:rFonts w:hint="eastAsia" w:ascii="仿宋" w:hAnsi="仿宋" w:eastAsia="仿宋" w:cs="仿宋"/>
                <w:sz w:val="24"/>
                <w:lang w:eastAsia="zh-CN"/>
              </w:rPr>
              <w:t>甲方</w:t>
            </w:r>
            <w:r>
              <w:rPr>
                <w:rFonts w:hint="eastAsia" w:ascii="仿宋" w:hAnsi="仿宋" w:eastAsia="仿宋" w:cs="仿宋"/>
                <w:sz w:val="24"/>
              </w:rPr>
              <w:t>在收到</w:t>
            </w:r>
            <w:r>
              <w:rPr>
                <w:rFonts w:hint="eastAsia" w:ascii="仿宋" w:hAnsi="仿宋" w:eastAsia="仿宋" w:cs="仿宋"/>
                <w:sz w:val="24"/>
                <w:lang w:eastAsia="zh-CN"/>
              </w:rPr>
              <w:t>乙方</w:t>
            </w:r>
            <w:r>
              <w:rPr>
                <w:rFonts w:hint="eastAsia" w:ascii="仿宋" w:hAnsi="仿宋" w:eastAsia="仿宋" w:cs="仿宋"/>
                <w:sz w:val="24"/>
              </w:rPr>
              <w:t>提供的发票后付款，若</w:t>
            </w:r>
            <w:r>
              <w:rPr>
                <w:rFonts w:hint="eastAsia" w:ascii="仿宋" w:hAnsi="仿宋" w:eastAsia="仿宋" w:cs="仿宋"/>
                <w:sz w:val="24"/>
                <w:lang w:eastAsia="zh-CN"/>
              </w:rPr>
              <w:t>乙方</w:t>
            </w:r>
            <w:r>
              <w:rPr>
                <w:rFonts w:hint="eastAsia" w:ascii="仿宋" w:hAnsi="仿宋" w:eastAsia="仿宋" w:cs="仿宋"/>
                <w:sz w:val="24"/>
              </w:rPr>
              <w:t>延迟开票，</w:t>
            </w:r>
            <w:r>
              <w:rPr>
                <w:rFonts w:hint="eastAsia" w:ascii="仿宋" w:hAnsi="仿宋" w:eastAsia="仿宋" w:cs="仿宋"/>
                <w:sz w:val="24"/>
                <w:lang w:eastAsia="zh-CN"/>
              </w:rPr>
              <w:t>甲方</w:t>
            </w:r>
            <w:r>
              <w:rPr>
                <w:rFonts w:hint="eastAsia" w:ascii="仿宋" w:hAnsi="仿宋" w:eastAsia="仿宋" w:cs="仿宋"/>
                <w:sz w:val="24"/>
              </w:rPr>
              <w:t>付款时间顺延。</w:t>
            </w:r>
          </w:p>
        </w:tc>
      </w:tr>
      <w:tr w14:paraId="00F7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203953A4">
            <w:pPr>
              <w:spacing w:line="560" w:lineRule="exact"/>
              <w:jc w:val="center"/>
              <w:rPr>
                <w:rFonts w:ascii="仿宋" w:hAnsi="仿宋" w:eastAsia="仿宋" w:cs="仿宋"/>
                <w:sz w:val="24"/>
              </w:rPr>
            </w:pPr>
            <w:r>
              <w:rPr>
                <w:rFonts w:hint="eastAsia" w:ascii="仿宋" w:hAnsi="仿宋" w:eastAsia="仿宋" w:cs="仿宋"/>
                <w:sz w:val="24"/>
              </w:rPr>
              <w:t>2.15</w:t>
            </w:r>
          </w:p>
        </w:tc>
        <w:tc>
          <w:tcPr>
            <w:tcW w:w="7839" w:type="dxa"/>
            <w:vAlign w:val="center"/>
          </w:tcPr>
          <w:p w14:paraId="387DE387">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检验和验收：</w:t>
            </w:r>
          </w:p>
          <w:p w14:paraId="7D7870F9">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val="en-US" w:eastAsia="zh-CN"/>
              </w:rPr>
              <w:t>.</w:t>
            </w:r>
            <w:r>
              <w:rPr>
                <w:rFonts w:hint="eastAsia" w:ascii="仿宋" w:hAnsi="仿宋" w:eastAsia="仿宋" w:cs="仿宋"/>
                <w:b/>
                <w:bCs/>
                <w:sz w:val="24"/>
              </w:rPr>
              <w:t>项目验收的组织机构</w:t>
            </w:r>
          </w:p>
          <w:p w14:paraId="4CE2F87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甲方负责组织验收小组，负责整个验收工作。乙方应安排相关专业技术人员在验收小组指导监督下开展工作。</w:t>
            </w:r>
          </w:p>
          <w:p w14:paraId="00380F8A">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sz w:val="24"/>
                <w:lang w:val="en-US" w:eastAsia="zh-CN"/>
              </w:rPr>
              <w:t>.</w:t>
            </w:r>
            <w:r>
              <w:rPr>
                <w:rFonts w:hint="eastAsia" w:ascii="仿宋" w:hAnsi="仿宋" w:eastAsia="仿宋" w:cs="仿宋"/>
                <w:b/>
                <w:bCs/>
                <w:sz w:val="24"/>
              </w:rPr>
              <w:t>验收标准</w:t>
            </w:r>
          </w:p>
          <w:p w14:paraId="0B480D5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合同约定的服务内容全部完成；</w:t>
            </w:r>
          </w:p>
          <w:p w14:paraId="3394051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合同约定的交付条件齐全；</w:t>
            </w:r>
          </w:p>
          <w:p w14:paraId="51AFF2C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甲方采购人提出的问题均已解决或双方确认完毕。</w:t>
            </w:r>
          </w:p>
          <w:p w14:paraId="29E9E127">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bCs/>
                <w:sz w:val="24"/>
                <w:lang w:val="en-US" w:eastAsia="zh-CN"/>
              </w:rPr>
              <w:t>.</w:t>
            </w:r>
            <w:r>
              <w:rPr>
                <w:rFonts w:hint="eastAsia" w:ascii="仿宋" w:hAnsi="仿宋" w:eastAsia="仿宋" w:cs="仿宋"/>
                <w:b/>
                <w:bCs/>
                <w:sz w:val="24"/>
              </w:rPr>
              <w:t>交付要求</w:t>
            </w:r>
          </w:p>
          <w:p w14:paraId="6D8ED73C">
            <w:pPr>
              <w:spacing w:line="360" w:lineRule="auto"/>
              <w:ind w:firstLine="480" w:firstLineChars="200"/>
              <w:jc w:val="left"/>
              <w:rPr>
                <w:rFonts w:ascii="仿宋" w:hAnsi="仿宋" w:eastAsia="仿宋" w:cs="仿宋"/>
                <w:sz w:val="24"/>
              </w:rPr>
            </w:pPr>
            <w:r>
              <w:rPr>
                <w:rFonts w:hint="eastAsia" w:ascii="仿宋" w:hAnsi="仿宋" w:eastAsia="仿宋" w:cs="仿宋"/>
                <w:sz w:val="24"/>
              </w:rPr>
              <w:t>项目验收时，乙方应整理提交全部项目技术成果和资料，包括：《操作手册》、《服务台账》、《服务总结》。</w:t>
            </w:r>
          </w:p>
        </w:tc>
      </w:tr>
      <w:tr w14:paraId="0415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2BFE66C1">
            <w:pPr>
              <w:spacing w:line="560" w:lineRule="exact"/>
              <w:jc w:val="center"/>
              <w:rPr>
                <w:rFonts w:ascii="仿宋" w:hAnsi="仿宋" w:eastAsia="仿宋" w:cs="仿宋"/>
                <w:sz w:val="24"/>
              </w:rPr>
            </w:pPr>
            <w:r>
              <w:rPr>
                <w:rFonts w:hint="eastAsia" w:ascii="仿宋" w:hAnsi="仿宋" w:eastAsia="仿宋" w:cs="仿宋"/>
                <w:sz w:val="24"/>
              </w:rPr>
              <w:t>2.18</w:t>
            </w:r>
          </w:p>
        </w:tc>
        <w:tc>
          <w:tcPr>
            <w:tcW w:w="7839" w:type="dxa"/>
            <w:vAlign w:val="center"/>
          </w:tcPr>
          <w:p w14:paraId="1808407D">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履约保证金：</w:t>
            </w:r>
          </w:p>
          <w:p w14:paraId="5EB1F4F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本项目成交后的履约保证金为</w:t>
            </w:r>
            <w:r>
              <w:rPr>
                <w:rFonts w:hint="eastAsia" w:ascii="仿宋" w:hAnsi="仿宋" w:eastAsia="仿宋" w:cs="仿宋"/>
                <w:sz w:val="24"/>
                <w:lang w:eastAsia="zh-CN"/>
              </w:rPr>
              <w:t>成交</w:t>
            </w:r>
            <w:r>
              <w:rPr>
                <w:rFonts w:hint="eastAsia" w:ascii="仿宋" w:hAnsi="仿宋" w:eastAsia="仿宋" w:cs="仿宋"/>
                <w:sz w:val="24"/>
              </w:rPr>
              <w:t>价的5%，乙方的履约保证金须在成交通知书发出之日起至合同签订前汇入甲方账户（</w:t>
            </w:r>
            <w:r>
              <w:rPr>
                <w:rFonts w:hint="eastAsia" w:ascii="仿宋" w:hAnsi="仿宋" w:eastAsia="仿宋" w:cs="仿宋"/>
                <w:sz w:val="24"/>
                <w:u w:val="single"/>
                <w:lang w:val="en-US" w:eastAsia="zh-CN"/>
              </w:rPr>
              <w:t xml:space="preserve">        </w:t>
            </w:r>
            <w:r>
              <w:rPr>
                <w:rFonts w:hint="eastAsia" w:ascii="仿宋" w:hAnsi="仿宋" w:eastAsia="仿宋" w:cs="仿宋"/>
                <w:sz w:val="24"/>
              </w:rPr>
              <w:t>形式提交），</w:t>
            </w:r>
            <w:r>
              <w:rPr>
                <w:rFonts w:hint="eastAsia" w:ascii="仿宋" w:hAnsi="仿宋" w:eastAsia="仿宋" w:cs="仿宋"/>
                <w:sz w:val="24"/>
                <w:lang w:eastAsia="zh-CN"/>
              </w:rPr>
              <w:t>乙方</w:t>
            </w:r>
            <w:r>
              <w:rPr>
                <w:rFonts w:hint="eastAsia" w:ascii="仿宋" w:hAnsi="仿宋" w:eastAsia="仿宋" w:cs="仿宋"/>
                <w:sz w:val="24"/>
              </w:rPr>
              <w:t>凭成交通知书与</w:t>
            </w:r>
            <w:r>
              <w:rPr>
                <w:rFonts w:hint="eastAsia" w:ascii="仿宋" w:hAnsi="仿宋" w:eastAsia="仿宋" w:cs="仿宋"/>
                <w:sz w:val="24"/>
                <w:lang w:eastAsia="zh-CN"/>
              </w:rPr>
              <w:t>甲方</w:t>
            </w:r>
            <w:r>
              <w:rPr>
                <w:rFonts w:hint="eastAsia" w:ascii="仿宋" w:hAnsi="仿宋" w:eastAsia="仿宋" w:cs="仿宋"/>
                <w:sz w:val="24"/>
              </w:rPr>
              <w:t>签订合同。超期或未有协商，则视为自动放弃成交资格。</w:t>
            </w:r>
            <w:r>
              <w:rPr>
                <w:rFonts w:hint="eastAsia" w:ascii="仿宋" w:hAnsi="仿宋" w:eastAsia="仿宋" w:cs="仿宋"/>
                <w:sz w:val="24"/>
              </w:rPr>
              <w:br w:type="textWrapping"/>
            </w:r>
            <w:r>
              <w:rPr>
                <w:rFonts w:hint="eastAsia" w:ascii="仿宋" w:hAnsi="仿宋" w:eastAsia="仿宋" w:cs="仿宋"/>
                <w:sz w:val="24"/>
              </w:rPr>
              <w:t>2.乙方全部履约合同义务，经甲方验收合格无质量、进度等问题的，甲方在验收合格后一次性退还履约保证金；</w:t>
            </w:r>
            <w:r>
              <w:rPr>
                <w:rFonts w:hint="eastAsia" w:ascii="仿宋" w:hAnsi="仿宋" w:eastAsia="仿宋" w:cs="仿宋"/>
                <w:sz w:val="24"/>
              </w:rPr>
              <w:br w:type="textWrapping"/>
            </w:r>
            <w:r>
              <w:rPr>
                <w:rFonts w:hint="eastAsia" w:ascii="仿宋" w:hAnsi="仿宋" w:eastAsia="仿宋" w:cs="仿宋"/>
                <w:sz w:val="24"/>
              </w:rPr>
              <w:t>3.发生以下情况的，履约保证金不予退还或部分退还：</w:t>
            </w:r>
            <w:r>
              <w:rPr>
                <w:rFonts w:hint="eastAsia" w:ascii="仿宋" w:hAnsi="仿宋" w:eastAsia="仿宋" w:cs="仿宋"/>
                <w:sz w:val="24"/>
              </w:rPr>
              <w:br w:type="textWrapping"/>
            </w:r>
            <w:r>
              <w:rPr>
                <w:rFonts w:hint="eastAsia" w:ascii="仿宋" w:hAnsi="仿宋" w:eastAsia="仿宋" w:cs="仿宋"/>
                <w:sz w:val="24"/>
              </w:rPr>
              <w:t>a.签订合同后，乙方不履行合同义务的，甲方有权全额扣除履约保证金，全额不予退还，同时甲方亦有权终止合同，乙方还须承担相应的法律赔偿责任。</w:t>
            </w:r>
          </w:p>
          <w:p w14:paraId="2701E2F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b.乙方在履约过程中发生违约行为，给甲方造成损失的，甲方有权在乙方缴纳的履约保证金中予以扣款，以弥补甲方经济损失，不足的部分乙方另外补齐。</w:t>
            </w:r>
          </w:p>
          <w:p w14:paraId="5B48120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根据《南通市财政局关于进一步加大政府采购支持中小企业力度的通知》（通财购〔2022〕23号）精神，对政府采购信用档案中无不良记录的中小企业免收履约保证金。</w:t>
            </w:r>
          </w:p>
        </w:tc>
      </w:tr>
      <w:tr w14:paraId="2E16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0BFA6AA9">
            <w:pPr>
              <w:spacing w:line="560" w:lineRule="exact"/>
              <w:jc w:val="center"/>
              <w:rPr>
                <w:rFonts w:ascii="仿宋" w:hAnsi="仿宋" w:eastAsia="仿宋" w:cs="仿宋"/>
                <w:sz w:val="24"/>
              </w:rPr>
            </w:pPr>
            <w:r>
              <w:rPr>
                <w:rFonts w:hint="eastAsia" w:ascii="仿宋" w:hAnsi="仿宋" w:eastAsia="仿宋" w:cs="仿宋"/>
                <w:sz w:val="24"/>
              </w:rPr>
              <w:t>2.19</w:t>
            </w:r>
          </w:p>
        </w:tc>
        <w:tc>
          <w:tcPr>
            <w:tcW w:w="7839" w:type="dxa"/>
            <w:vAlign w:val="center"/>
          </w:tcPr>
          <w:p w14:paraId="45D748E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合同份数：</w:t>
            </w:r>
          </w:p>
          <w:p w14:paraId="09E60BB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本合同一式肆份，甲方执叁份、乙方执壹份，具有同等法律效力。</w:t>
            </w:r>
          </w:p>
        </w:tc>
      </w:tr>
    </w:tbl>
    <w:p w14:paraId="23D5A50E">
      <w:pPr>
        <w:pStyle w:val="12"/>
        <w:spacing w:line="360" w:lineRule="auto"/>
        <w:ind w:firstLine="482" w:firstLineChars="200"/>
        <w:rPr>
          <w:rFonts w:hint="eastAsia" w:ascii="黑体" w:hAnsi="黑体" w:eastAsia="黑体" w:cs="黑体"/>
          <w:b/>
          <w:bCs/>
          <w:color w:val="auto"/>
          <w:sz w:val="32"/>
          <w:szCs w:val="32"/>
          <w:highlight w:val="none"/>
        </w:rPr>
      </w:pPr>
      <w:r>
        <w:rPr>
          <w:rFonts w:hint="eastAsia" w:ascii="仿宋" w:hAnsi="仿宋" w:eastAsia="仿宋" w:cs="仿宋"/>
          <w:b/>
          <w:bCs/>
          <w:sz w:val="24"/>
          <w:u w:val="single"/>
          <w:lang w:bidi="ar"/>
        </w:rPr>
        <w:t>注释：本合同样本中的条款仅作为双方签订合同的参考，为阐明各方的权利和义务，经协商可增加新的条款。甲方对合同保留修改和完善的权利，但不得与磋商文件、乙方响应文件的实质性内容相背离。</w:t>
      </w:r>
    </w:p>
    <w:p w14:paraId="42E68D79"/>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8839">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63276AC0">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YRvc8BAACp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T0bqiP4VaXDQebqEP0IRq+TQC2Z+07alFfnTz1UPP2z3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IlhG9zwEAAKkDAAAOAAAAAAAAAAEAIAAAAB4BAABkcnMv&#10;ZTJvRG9jLnhtbFBLBQYAAAAABgAGAFkBAABfBQAAAAA=&#10;">
              <v:fill on="f" focussize="0,0"/>
              <v:stroke on="f"/>
              <v:imagedata o:title=""/>
              <o:lock v:ext="edit" aspectratio="f"/>
              <v:textbox inset="0mm,0mm,0mm,0mm" style="mso-fit-shape-to-text:t;">
                <w:txbxContent>
                  <w:p w14:paraId="63276AC0">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8617">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ED282B7">
                          <w:pPr>
                            <w:pStyle w:val="9"/>
                            <w:jc w:val="center"/>
                          </w:pPr>
                          <w:r>
                            <w:fldChar w:fldCharType="begin"/>
                          </w:r>
                          <w:r>
                            <w:instrText xml:space="preserve">PAGE   \* MERGEFORMAT</w:instrText>
                          </w:r>
                          <w:r>
                            <w:fldChar w:fldCharType="separate"/>
                          </w:r>
                          <w:r>
                            <w:rPr>
                              <w:lang w:val="zh-CN"/>
                            </w:rPr>
                            <w:t>20</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qlZ4W0gEAAKcDAAAOAAAAAAAAAAEAIAAAAB4BAABk&#10;cnMvZTJvRG9jLnhtbFBLBQYAAAAABgAGAFkBAABiBQAAAAA=&#10;">
              <v:fill on="f" focussize="0,0"/>
              <v:stroke on="f"/>
              <v:imagedata o:title=""/>
              <o:lock v:ext="edit" aspectratio="f"/>
              <v:textbox inset="0mm,0mm,0mm,0mm" style="mso-fit-shape-to-text:t;">
                <w:txbxContent>
                  <w:p w14:paraId="7ED282B7">
                    <w:pPr>
                      <w:pStyle w:val="9"/>
                      <w:jc w:val="center"/>
                    </w:pPr>
                    <w:r>
                      <w:fldChar w:fldCharType="begin"/>
                    </w:r>
                    <w:r>
                      <w:instrText xml:space="preserve">PAGE   \* MERGEFORMAT</w:instrText>
                    </w:r>
                    <w:r>
                      <w:fldChar w:fldCharType="separate"/>
                    </w:r>
                    <w:r>
                      <w:rPr>
                        <w:lang w:val="zh-CN"/>
                      </w:rPr>
                      <w:t>20</w:t>
                    </w:r>
                    <w:r>
                      <w:rPr>
                        <w:lang w:val="zh-CN"/>
                      </w:rPr>
                      <w:fldChar w:fldCharType="end"/>
                    </w:r>
                  </w:p>
                </w:txbxContent>
              </v:textbox>
            </v:shape>
          </w:pict>
        </mc:Fallback>
      </mc:AlternateContent>
    </w:r>
  </w:p>
  <w:p w14:paraId="3043B473">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A99">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EDDB">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nBtA2AgAAYwQAAA4AAABkcnMvZTJvRG9jLnhtbK1UwW4TMRC9I/EP&#10;lu90k1RU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vnBtA2AgAAYwQAAA4AAAAAAAAAAQAgAAAAHwEAAGRycy9lMm9Eb2MueG1s&#10;UEsFBgAAAAAGAAYAWQEAAMcFAAAAAA==&#10;">
              <v:fill on="f" focussize="0,0"/>
              <v:stroke on="f" weight="0.5pt"/>
              <v:imagedata o:title=""/>
              <o:lock v:ext="edit" aspectratio="f"/>
              <v:textbox inset="0mm,0mm,0mm,0mm" style="mso-fit-shape-to-text:t;">
                <w:txbxContent>
                  <w:p w14:paraId="5BA4EDDB">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D0F3">
    <w:pPr>
      <w:pStyle w:val="10"/>
      <w:jc w:val="left"/>
    </w:pPr>
    <w:r>
      <w:rPr>
        <w:rFonts w:hint="eastAsia"/>
      </w:rPr>
      <w:t>南通开发区“AI+”场景应用服务项目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7CF6">
    <w:pPr>
      <w:pStyle w:val="10"/>
      <w:jc w:val="both"/>
      <w:rPr>
        <w:rFonts w:hint="eastAsia" w:ascii="仿宋" w:hAnsi="仿宋" w:eastAsia="仿宋" w:cs="仿宋"/>
      </w:rPr>
    </w:pPr>
    <w:r>
      <w:rPr>
        <w:rFonts w:hint="eastAsia" w:ascii="仿宋" w:hAnsi="仿宋" w:eastAsia="仿宋" w:cs="仿宋"/>
      </w:rPr>
      <w:t>南通开发区“AI+”场景应用服务项目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NzA3ZDcyNzBhOWJlNzE3YjA5YThiMjNiY2RjZTQifQ=="/>
  </w:docVars>
  <w:rsids>
    <w:rsidRoot w:val="000561DD"/>
    <w:rsid w:val="000561DD"/>
    <w:rsid w:val="002D48DF"/>
    <w:rsid w:val="00514C99"/>
    <w:rsid w:val="005D02BB"/>
    <w:rsid w:val="00913AAB"/>
    <w:rsid w:val="00E8674C"/>
    <w:rsid w:val="03723298"/>
    <w:rsid w:val="050C4EC3"/>
    <w:rsid w:val="06017EC4"/>
    <w:rsid w:val="0AC7563B"/>
    <w:rsid w:val="0F2C1D70"/>
    <w:rsid w:val="10A21432"/>
    <w:rsid w:val="13C529EE"/>
    <w:rsid w:val="14103D55"/>
    <w:rsid w:val="14137580"/>
    <w:rsid w:val="18E54BA1"/>
    <w:rsid w:val="1CEA040E"/>
    <w:rsid w:val="23D435D7"/>
    <w:rsid w:val="253623E0"/>
    <w:rsid w:val="285A66B2"/>
    <w:rsid w:val="285B18CE"/>
    <w:rsid w:val="29C727F2"/>
    <w:rsid w:val="2EAB5D1F"/>
    <w:rsid w:val="34652D42"/>
    <w:rsid w:val="376D507A"/>
    <w:rsid w:val="37C67DB1"/>
    <w:rsid w:val="396400E5"/>
    <w:rsid w:val="3A2A4508"/>
    <w:rsid w:val="3C7423EB"/>
    <w:rsid w:val="3E450FCD"/>
    <w:rsid w:val="402E4A10"/>
    <w:rsid w:val="485117AB"/>
    <w:rsid w:val="4BBB3688"/>
    <w:rsid w:val="5195380F"/>
    <w:rsid w:val="51D8783C"/>
    <w:rsid w:val="524120FE"/>
    <w:rsid w:val="5CCF70BF"/>
    <w:rsid w:val="5EBB55C0"/>
    <w:rsid w:val="5F0679B3"/>
    <w:rsid w:val="61E2215F"/>
    <w:rsid w:val="64393704"/>
    <w:rsid w:val="65784C1B"/>
    <w:rsid w:val="65E51766"/>
    <w:rsid w:val="6E335798"/>
    <w:rsid w:val="6F5249C0"/>
    <w:rsid w:val="74724642"/>
    <w:rsid w:val="7E20642E"/>
    <w:rsid w:val="7F303AEC"/>
    <w:rsid w:val="7FF6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sz w:val="44"/>
    </w:rPr>
  </w:style>
  <w:style w:type="paragraph" w:styleId="3">
    <w:name w:val="heading 2"/>
    <w:basedOn w:val="1"/>
    <w:next w:val="4"/>
    <w:qFormat/>
    <w:uiPriority w:val="9"/>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jc w:val="left"/>
    </w:pPr>
    <w:rPr>
      <w:rFonts w:eastAsia="楷体_GB2312"/>
      <w:sz w:val="24"/>
    </w:rPr>
  </w:style>
  <w:style w:type="paragraph" w:styleId="5">
    <w:name w:val="annotation text"/>
    <w:basedOn w:val="1"/>
    <w:qFormat/>
    <w:uiPriority w:val="0"/>
    <w:pPr>
      <w:jc w:val="left"/>
    </w:pPr>
  </w:style>
  <w:style w:type="paragraph" w:styleId="6">
    <w:name w:val="Body Text Indent"/>
    <w:basedOn w:val="1"/>
    <w:next w:val="7"/>
    <w:unhideWhenUsed/>
    <w:qFormat/>
    <w:uiPriority w:val="99"/>
    <w:pPr>
      <w:spacing w:after="120"/>
      <w:ind w:left="420"/>
    </w:pPr>
    <w:rPr>
      <w:szCs w:val="24"/>
    </w:rPr>
  </w:style>
  <w:style w:type="paragraph" w:styleId="7">
    <w:name w:val="envelope return"/>
    <w:basedOn w:val="1"/>
    <w:unhideWhenUsed/>
    <w:qFormat/>
    <w:uiPriority w:val="99"/>
    <w:rPr>
      <w:rFonts w:ascii="Arial" w:hAnsi="Arial"/>
    </w:rPr>
  </w:style>
  <w:style w:type="paragraph" w:styleId="8">
    <w:name w:val="index 4"/>
    <w:basedOn w:val="1"/>
    <w:next w:val="1"/>
    <w:unhideWhenUsed/>
    <w:qFormat/>
    <w:uiPriority w:val="99"/>
    <w:pPr>
      <w:ind w:left="600"/>
    </w:pPr>
  </w:style>
  <w:style w:type="paragraph" w:styleId="9">
    <w:name w:val="footer"/>
    <w:basedOn w:val="1"/>
    <w:qFormat/>
    <w:uiPriority w:val="0"/>
    <w:pPr>
      <w:tabs>
        <w:tab w:val="center" w:pos="4153"/>
        <w:tab w:val="right" w:pos="8306"/>
      </w:tabs>
      <w:jc w:val="left"/>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semiHidden/>
    <w:qFormat/>
    <w:uiPriority w:val="99"/>
    <w:pPr>
      <w:widowControl/>
      <w:spacing w:before="100" w:beforeAutospacing="1" w:after="100" w:afterAutospacing="1"/>
      <w:jc w:val="left"/>
    </w:pPr>
    <w:rPr>
      <w:rFonts w:ascii="宋体" w:hAnsi="宋体" w:cs="宋体"/>
      <w:sz w:val="24"/>
      <w:szCs w:val="24"/>
    </w:rPr>
  </w:style>
  <w:style w:type="paragraph" w:styleId="12">
    <w:name w:val="Body Text First Indent 2"/>
    <w:basedOn w:val="1"/>
    <w:next w:val="1"/>
    <w:unhideWhenUsed/>
    <w:qFormat/>
    <w:uiPriority w:val="99"/>
    <w:pPr>
      <w:ind w:firstLine="200"/>
    </w:pPr>
  </w:style>
  <w:style w:type="paragraph" w:customStyle="1" w:styleId="15">
    <w:name w:val="正文首行缩进11"/>
    <w:basedOn w:val="16"/>
    <w:qFormat/>
    <w:uiPriority w:val="0"/>
    <w:pPr>
      <w:spacing w:line="360" w:lineRule="auto"/>
      <w:ind w:firstLine="200"/>
    </w:pPr>
    <w:rPr>
      <w:rFonts w:ascii="仿宋_GB2312" w:eastAsia="仿宋_GB2312"/>
      <w:sz w:val="30"/>
      <w:szCs w:val="30"/>
    </w:rPr>
  </w:style>
  <w:style w:type="paragraph" w:customStyle="1" w:styleId="16">
    <w:name w:val="正文文本1"/>
    <w:basedOn w:val="17"/>
    <w:qFormat/>
    <w:uiPriority w:val="99"/>
    <w:rPr>
      <w:rFonts w:ascii="??_GB2312" w:hAnsi="??_GB2312"/>
      <w:sz w:val="28"/>
      <w:szCs w:val="28"/>
    </w:rPr>
  </w:style>
  <w:style w:type="paragraph" w:customStyle="1" w:styleId="17">
    <w:name w:val="正文11"/>
    <w:next w:val="16"/>
    <w:qFormat/>
    <w:uiPriority w:val="99"/>
    <w:pPr>
      <w:widowControl w:val="0"/>
      <w:jc w:val="both"/>
    </w:pPr>
    <w:rPr>
      <w:rFonts w:ascii="Calibri" w:hAnsi="Calibri" w:eastAsia="宋体" w:cs="Times New Roman"/>
      <w:sz w:val="21"/>
      <w:szCs w:val="21"/>
      <w:lang w:val="en-US" w:eastAsia="zh-CN" w:bidi="ar-SA"/>
    </w:rPr>
  </w:style>
  <w:style w:type="character" w:customStyle="1" w:styleId="18">
    <w:name w:val="NormalCharacter"/>
    <w:qFormat/>
    <w:uiPriority w:val="0"/>
  </w:style>
  <w:style w:type="paragraph" w:customStyle="1" w:styleId="19">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20">
    <w:name w:val="正文缩进1"/>
    <w:basedOn w:val="1"/>
    <w:next w:val="21"/>
    <w:qFormat/>
    <w:uiPriority w:val="0"/>
    <w:pPr>
      <w:ind w:firstLine="420"/>
      <w:jc w:val="left"/>
    </w:pPr>
    <w:rPr>
      <w:rFonts w:ascii="宋体" w:hAnsi="Calibri"/>
      <w:sz w:val="24"/>
      <w:szCs w:val="22"/>
    </w:rPr>
  </w:style>
  <w:style w:type="paragraph" w:customStyle="1" w:styleId="21">
    <w:name w:val="List Paragraph1"/>
    <w:basedOn w:val="1"/>
    <w:next w:val="22"/>
    <w:qFormat/>
    <w:uiPriority w:val="0"/>
    <w:pPr>
      <w:ind w:firstLine="420"/>
    </w:pPr>
    <w:rPr>
      <w:rFonts w:hAnsi="宋体" w:cs="宋体"/>
    </w:rPr>
  </w:style>
  <w:style w:type="paragraph" w:customStyle="1" w:styleId="22">
    <w:name w:val="Char Char Char Char"/>
    <w:basedOn w:val="1"/>
    <w:qFormat/>
    <w:uiPriority w:val="0"/>
    <w:rPr>
      <w:rFonts w:ascii="Tahoma" w:hAnsi="Tahoma"/>
      <w:sz w:val="24"/>
    </w:rPr>
  </w:style>
  <w:style w:type="paragraph" w:customStyle="1" w:styleId="23">
    <w:name w:val="纯文本1"/>
    <w:basedOn w:val="1"/>
    <w:qFormat/>
    <w:uiPriority w:val="0"/>
    <w:rPr>
      <w:rFonts w:ascii="宋体" w:hAnsi="Courier New" w:eastAsiaTheme="minorEastAsia" w:cstheme="minorBidi"/>
      <w:szCs w:val="22"/>
    </w:rPr>
  </w:style>
  <w:style w:type="paragraph" w:customStyle="1" w:styleId="24">
    <w:name w:val="正文首行缩进1"/>
    <w:basedOn w:val="16"/>
    <w:qFormat/>
    <w:uiPriority w:val="0"/>
    <w:pPr>
      <w:spacing w:after="120"/>
      <w:ind w:firstLine="420"/>
    </w:pPr>
    <w:rPr>
      <w:rFonts w:ascii="Times New Roman" w:hAnsi="Times New Roman"/>
      <w:sz w:val="21"/>
      <w:szCs w:val="24"/>
    </w:rPr>
  </w:style>
  <w:style w:type="paragraph" w:styleId="25">
    <w:name w:val="List Paragraph"/>
    <w:basedOn w:val="1"/>
    <w:qFormat/>
    <w:uiPriority w:val="34"/>
    <w:pPr>
      <w:ind w:left="720"/>
      <w:contextualSpacing/>
    </w:pPr>
  </w:style>
  <w:style w:type="character" w:customStyle="1" w:styleId="26">
    <w:name w:val="font51"/>
    <w:basedOn w:val="14"/>
    <w:qFormat/>
    <w:uiPriority w:val="0"/>
    <w:rPr>
      <w:rFonts w:hint="eastAsia" w:ascii="仿宋" w:hAnsi="仿宋" w:eastAsia="仿宋" w:cs="仿宋"/>
      <w:color w:val="000000"/>
      <w:sz w:val="22"/>
      <w:szCs w:val="22"/>
      <w:u w:val="none"/>
    </w:rPr>
  </w:style>
  <w:style w:type="character" w:customStyle="1" w:styleId="27">
    <w:name w:val="font2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19260</Words>
  <Characters>20183</Characters>
  <Lines>272</Lines>
  <Paragraphs>76</Paragraphs>
  <TotalTime>21</TotalTime>
  <ScaleCrop>false</ScaleCrop>
  <LinksUpToDate>false</LinksUpToDate>
  <CharactersWithSpaces>20319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2025-04-21T06:13:00Z</dcterms:created>
  <dc:creator>Administrator</dc:creator>
  <cp:lastModifiedBy>HUAWEI</cp:lastModifiedBy>
  <dcterms:modified xsi:type="dcterms:W3CDTF">2025-06-19T06:34:03Z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AA0DFE2168644F52B9582464C210A6FA_13</vt:lpwstr>
  </property>
  <property fmtid="{D5CDD505-2E9C-101B-9397-08002B2CF9AE}" pid="4" name="KSOTemplateDocerSaveRecord">
    <vt:lpwstr>eyJoZGlkIjoiNzczMDFlYjNmNWE2MjNkODg5YjBlYjc2NzVlYzJiY2EiLCJ1c2VySWQiOiIzMTEyNzcyNzUifQ==</vt:lpwstr>
  </property>
</Properties>
</file>