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无锡市新吴区政府采购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Fonts w:hint="eastAsia" w:ascii="黑体" w:hAnsi="华文中宋" w:eastAsia="黑体"/>
          <w:bCs/>
          <w:spacing w:val="20"/>
          <w:sz w:val="48"/>
          <w:szCs w:val="48"/>
          <w:highlight w:val="none"/>
        </w:rPr>
      </w:pPr>
      <w:r>
        <w:rPr>
          <w:rFonts w:hint="eastAsia" w:ascii="黑体" w:hAnsi="华文中宋" w:eastAsia="黑体"/>
          <w:bCs/>
          <w:spacing w:val="20"/>
          <w:sz w:val="48"/>
          <w:szCs w:val="48"/>
          <w:highlight w:val="none"/>
        </w:rPr>
        <w:t xml:space="preserve"> </w:t>
      </w:r>
      <w:r/>
    </w:p>
    <w:p>
      <w:pPr>
        <w:jc w:val="center"/>
        <w:rPr>
          <w:rFonts w:ascii="黑体" w:hAnsi="华文中宋" w:eastAsia="黑体"/>
          <w:bCs/>
          <w:spacing w:val="20"/>
          <w:sz w:val="48"/>
          <w:szCs w:val="48"/>
          <w:highlight w:val="none"/>
        </w:rPr>
      </w:pPr>
      <w:r>
        <w:rPr>
          <w:rFonts w:hint="eastAsia" w:ascii="黑体" w:hAnsi="华文中宋" w:eastAsia="黑体"/>
          <w:bCs/>
          <w:spacing w:val="20"/>
          <w:sz w:val="48"/>
          <w:szCs w:val="48"/>
          <w:highlight w:val="none"/>
        </w:rPr>
        <w:t xml:space="preserve">公</w:t>
      </w:r>
      <w:r>
        <w:rPr>
          <w:rFonts w:ascii="黑体" w:hAnsi="华文中宋" w:eastAsia="黑体"/>
          <w:bCs/>
          <w:spacing w:val="20"/>
          <w:sz w:val="48"/>
          <w:szCs w:val="48"/>
          <w:highlight w:val="none"/>
        </w:rPr>
        <w:t xml:space="preserve">   </w:t>
      </w:r>
      <w:r>
        <w:rPr>
          <w:rFonts w:hint="eastAsia" w:ascii="黑体" w:hAnsi="华文中宋" w:eastAsia="黑体"/>
          <w:bCs/>
          <w:spacing w:val="20"/>
          <w:sz w:val="48"/>
          <w:szCs w:val="48"/>
          <w:highlight w:val="none"/>
        </w:rPr>
        <w:t xml:space="preserve">开</w:t>
      </w:r>
      <w:r/>
    </w:p>
    <w:p>
      <w:pPr>
        <w:jc w:val="center"/>
        <w:rPr>
          <w:rFonts w:ascii="黑体" w:hAnsi="华文中宋" w:eastAsia="黑体"/>
          <w:bCs/>
          <w:spacing w:val="20"/>
          <w:sz w:val="52"/>
          <w:szCs w:val="5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spacing w:val="20"/>
          <w:sz w:val="52"/>
          <w:szCs w:val="52"/>
          <w:highlight w:val="none"/>
        </w:rPr>
        <w:t xml:space="preserve">招</w:t>
      </w:r>
      <w:r>
        <w:rPr>
          <w:rFonts w:ascii="黑体" w:hAnsi="华文中宋" w:eastAsia="黑体"/>
          <w:bCs/>
          <w:spacing w:val="20"/>
          <w:sz w:val="52"/>
          <w:szCs w:val="52"/>
          <w:highlight w:val="none"/>
        </w:rPr>
        <w:t xml:space="preserve">  </w:t>
      </w:r>
      <w:r>
        <w:rPr>
          <w:rFonts w:hint="eastAsia" w:ascii="黑体" w:hAnsi="华文中宋" w:eastAsia="黑体"/>
          <w:bCs/>
          <w:spacing w:val="20"/>
          <w:sz w:val="52"/>
          <w:szCs w:val="52"/>
          <w:highlight w:val="none"/>
        </w:rPr>
        <w:t xml:space="preserve">标</w:t>
      </w:r>
      <w:r>
        <w:rPr>
          <w:rFonts w:ascii="黑体" w:hAnsi="华文中宋" w:eastAsia="黑体"/>
          <w:bCs/>
          <w:spacing w:val="20"/>
          <w:sz w:val="52"/>
          <w:szCs w:val="52"/>
          <w:highlight w:val="none"/>
        </w:rPr>
        <w:t xml:space="preserve">  </w:t>
      </w:r>
      <w:r>
        <w:rPr>
          <w:rFonts w:hint="eastAsia" w:ascii="黑体" w:hAnsi="华文中宋" w:eastAsia="黑体"/>
          <w:bCs/>
          <w:spacing w:val="20"/>
          <w:sz w:val="52"/>
          <w:szCs w:val="52"/>
          <w:highlight w:val="none"/>
        </w:rPr>
        <w:t xml:space="preserve">文</w:t>
      </w:r>
      <w:r>
        <w:rPr>
          <w:rFonts w:ascii="黑体" w:hAnsi="华文中宋" w:eastAsia="黑体"/>
          <w:bCs/>
          <w:spacing w:val="20"/>
          <w:sz w:val="52"/>
          <w:szCs w:val="52"/>
          <w:highlight w:val="none"/>
        </w:rPr>
        <w:t xml:space="preserve"> </w:t>
      </w:r>
      <w:r>
        <w:rPr>
          <w:rFonts w:hint="eastAsia" w:ascii="黑体" w:hAnsi="华文中宋" w:eastAsia="黑体"/>
          <w:bCs/>
          <w:spacing w:val="20"/>
          <w:sz w:val="52"/>
          <w:szCs w:val="52"/>
          <w:highlight w:val="none"/>
        </w:rPr>
        <w:t xml:space="preserve">件</w:t>
      </w:r>
      <w:r/>
    </w:p>
    <w:p>
      <w:pPr>
        <w:jc w:val="center"/>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jc w:val="center"/>
        <w:tabs>
          <w:tab w:val="left" w:pos="9921" w:leader="none"/>
        </w:tabs>
        <w:rPr>
          <w:rFonts w:ascii="华文中宋" w:hAnsi="华文中宋" w:eastAsia="华文中宋"/>
          <w:bCs/>
          <w:sz w:val="30"/>
          <w:highlight w:val="none"/>
        </w:rPr>
      </w:pPr>
      <w:r>
        <w:rPr>
          <w:rFonts w:hint="eastAsia" w:ascii="黑体" w:hAnsi="华文中宋" w:eastAsia="黑体"/>
          <w:bCs/>
          <w:color w:val="000000"/>
          <w:spacing w:val="20"/>
          <w:sz w:val="52"/>
          <w:szCs w:val="52"/>
          <w:highlight w:val="none"/>
          <w:lang w:eastAsia="zh-CN"/>
        </w:rPr>
        <w:t xml:space="preserve">（</w:t>
      </w:r>
      <w:r>
        <w:rPr>
          <w:rFonts w:hint="eastAsia" w:ascii="黑体" w:hAnsi="华文中宋" w:eastAsia="黑体"/>
          <w:bCs/>
          <w:color w:val="000000"/>
          <w:spacing w:val="20"/>
          <w:sz w:val="52"/>
          <w:szCs w:val="52"/>
          <w:highlight w:val="none"/>
          <w:lang w:val="en-US" w:eastAsia="zh-CN"/>
        </w:rPr>
        <w:t xml:space="preserve">暗标</w:t>
      </w:r>
      <w:r>
        <w:rPr>
          <w:rFonts w:hint="eastAsia" w:ascii="黑体" w:hAnsi="华文中宋" w:eastAsia="黑体"/>
          <w:bCs/>
          <w:color w:val="000000"/>
          <w:spacing w:val="20"/>
          <w:sz w:val="52"/>
          <w:szCs w:val="52"/>
          <w:highlight w:val="none"/>
          <w:lang w:eastAsia="zh-CN"/>
        </w:rPr>
        <w:t xml:space="preserve">）</w:t>
      </w:r>
      <w:r/>
    </w:p>
    <w:p>
      <w:pPr>
        <w:jc w:val="left"/>
        <w:rPr>
          <w:rFonts w:hint="eastAsia" w:ascii="华文中宋" w:hAnsi="华文中宋" w:eastAsia="华文中宋"/>
          <w:b/>
          <w:bCs/>
          <w:sz w:val="28"/>
          <w:szCs w:val="28"/>
          <w:highlight w:val="none"/>
        </w:rPr>
      </w:pPr>
      <w:r>
        <w:rPr>
          <w:rFonts w:hint="eastAsia" w:ascii="华文中宋" w:hAnsi="华文中宋" w:eastAsia="华文中宋"/>
          <w:b/>
          <w:bCs/>
          <w:sz w:val="28"/>
          <w:szCs w:val="28"/>
          <w:highlight w:val="none"/>
        </w:rPr>
      </w:r>
      <w:r/>
    </w:p>
    <w:p>
      <w:pPr>
        <w:ind w:firstLine="560"/>
        <w:rPr>
          <w:rFonts w:hint="eastAsia" w:ascii="黑体" w:hAnsi="黑体" w:eastAsia="黑体"/>
          <w:sz w:val="28"/>
          <w:szCs w:val="28"/>
          <w:highlight w:val="none"/>
          <w:lang w:eastAsia="zh-CN"/>
        </w:rPr>
      </w:pPr>
      <w:r>
        <w:rPr>
          <w:rFonts w:hint="eastAsia" w:ascii="黑体" w:hAnsi="黑体" w:eastAsia="黑体"/>
          <w:sz w:val="28"/>
          <w:szCs w:val="28"/>
          <w:highlight w:val="none"/>
        </w:rPr>
        <w:t xml:space="preserve">采购项目编号：</w:t>
      </w:r>
      <w:r>
        <w:rPr>
          <w:rFonts w:hint="eastAsia" w:ascii="黑体" w:hAnsi="黑体" w:eastAsia="黑体"/>
          <w:sz w:val="28"/>
          <w:szCs w:val="28"/>
          <w:highlight w:val="none"/>
          <w:lang w:eastAsia="zh-CN"/>
        </w:rPr>
        <w:t xml:space="preserve">JSZC-320214-CXLT-G2024-0005</w:t>
      </w:r>
      <w:r/>
    </w:p>
    <w:p>
      <w:pPr>
        <w:rPr>
          <w:rFonts w:hint="eastAsia" w:ascii="黑体" w:hAnsi="黑体" w:eastAsia="黑体"/>
          <w:sz w:val="28"/>
          <w:szCs w:val="28"/>
          <w:highlight w:val="none"/>
        </w:rPr>
      </w:pPr>
      <w:r>
        <w:rPr>
          <w:rFonts w:hint="eastAsia" w:ascii="黑体" w:hAnsi="黑体" w:eastAsia="黑体"/>
          <w:sz w:val="28"/>
          <w:szCs w:val="28"/>
          <w:highlight w:val="none"/>
        </w:rPr>
      </w:r>
      <w:r/>
    </w:p>
    <w:p>
      <w:pPr>
        <w:ind w:left="1958" w:hanging="1400"/>
        <w:rPr>
          <w:rFonts w:hint="eastAsia" w:ascii="黑体" w:hAnsi="黑体" w:eastAsia="黑体"/>
          <w:sz w:val="28"/>
          <w:szCs w:val="28"/>
          <w:highlight w:val="none"/>
          <w:lang w:eastAsia="zh-CN"/>
        </w:rPr>
      </w:pPr>
      <w:r>
        <w:rPr>
          <w:rFonts w:hint="eastAsia" w:ascii="黑体" w:hAnsi="黑体" w:eastAsia="黑体"/>
          <w:sz w:val="28"/>
          <w:szCs w:val="28"/>
          <w:highlight w:val="none"/>
        </w:rPr>
        <w:t xml:space="preserve">采购项目名称：</w:t>
      </w:r>
      <w:r>
        <w:rPr>
          <w:rFonts w:hint="eastAsia" w:ascii="黑体" w:hAnsi="黑体" w:eastAsia="黑体"/>
          <w:sz w:val="28"/>
          <w:szCs w:val="28"/>
          <w:highlight w:val="none"/>
          <w:lang w:eastAsia="zh-CN"/>
        </w:rPr>
        <w:t xml:space="preserve">鸿山街道2024年-2026年度绿化养护项目</w:t>
      </w:r>
      <w:r/>
    </w:p>
    <w:p>
      <w:pPr>
        <w:ind w:left="1958" w:hanging="1400"/>
        <w:rPr>
          <w:rFonts w:hint="eastAsia" w:ascii="黑体" w:hAnsi="黑体" w:eastAsia="黑体"/>
          <w:sz w:val="28"/>
          <w:szCs w:val="28"/>
          <w:highlight w:val="none"/>
        </w:rPr>
      </w:pPr>
      <w:r>
        <w:rPr>
          <w:rFonts w:hint="eastAsia" w:ascii="黑体" w:hAnsi="黑体" w:eastAsia="黑体"/>
          <w:sz w:val="28"/>
          <w:szCs w:val="28"/>
          <w:highlight w:val="none"/>
        </w:rPr>
      </w:r>
      <w:r/>
    </w:p>
    <w:p>
      <w:pPr>
        <w:ind w:left="1958" w:hanging="1400"/>
        <w:rPr>
          <w:rFonts w:hint="eastAsia" w:ascii="黑体" w:hAnsi="黑体" w:eastAsia="黑体"/>
          <w:sz w:val="28"/>
          <w:szCs w:val="28"/>
          <w:highlight w:val="none"/>
          <w:lang w:eastAsia="zh-CN"/>
        </w:rPr>
      </w:pPr>
      <w:r>
        <w:rPr>
          <w:rFonts w:hint="eastAsia" w:ascii="黑体" w:hAnsi="黑体" w:eastAsia="黑体"/>
          <w:sz w:val="28"/>
          <w:szCs w:val="28"/>
          <w:highlight w:val="none"/>
        </w:rPr>
        <w:t xml:space="preserve">采   购   人：</w:t>
      </w:r>
      <w:r>
        <w:rPr>
          <w:rFonts w:hint="eastAsia" w:ascii="黑体" w:hAnsi="黑体" w:eastAsia="黑体"/>
          <w:sz w:val="28"/>
          <w:szCs w:val="28"/>
          <w:highlight w:val="none"/>
          <w:lang w:eastAsia="zh-CN"/>
        </w:rPr>
        <w:t xml:space="preserve">无锡市新吴区人民政府鸿山街道办事处</w:t>
      </w:r>
      <w:r/>
    </w:p>
    <w:p>
      <w:pPr>
        <w:ind w:firstLine="560"/>
        <w:rPr>
          <w:rFonts w:hint="eastAsia" w:ascii="黑体" w:hAnsi="黑体" w:eastAsia="黑体"/>
          <w:sz w:val="28"/>
          <w:szCs w:val="28"/>
          <w:highlight w:val="none"/>
        </w:rPr>
      </w:pPr>
      <w:r>
        <w:rPr>
          <w:rFonts w:hint="eastAsia" w:ascii="黑体" w:hAnsi="黑体" w:eastAsia="黑体"/>
          <w:sz w:val="28"/>
          <w:szCs w:val="28"/>
          <w:highlight w:val="none"/>
        </w:rPr>
      </w:r>
      <w:r/>
    </w:p>
    <w:p>
      <w:pPr>
        <w:ind w:firstLine="560"/>
        <w:rPr>
          <w:rFonts w:hint="eastAsia" w:ascii="黑体" w:hAnsi="黑体" w:eastAsia="黑体"/>
          <w:sz w:val="28"/>
          <w:szCs w:val="28"/>
          <w:highlight w:val="none"/>
          <w:lang w:eastAsia="zh-CN"/>
        </w:rPr>
      </w:pPr>
      <w:r>
        <w:rPr>
          <w:rFonts w:hint="eastAsia" w:ascii="黑体" w:hAnsi="黑体" w:eastAsia="黑体"/>
          <w:sz w:val="28"/>
          <w:szCs w:val="28"/>
          <w:highlight w:val="none"/>
        </w:rPr>
        <w:t xml:space="preserve">采购代理机构：</w:t>
      </w:r>
      <w:r>
        <w:rPr>
          <w:rFonts w:hint="eastAsia" w:ascii="黑体" w:hAnsi="黑体" w:eastAsia="黑体"/>
          <w:sz w:val="28"/>
          <w:szCs w:val="28"/>
          <w:highlight w:val="none"/>
          <w:lang w:eastAsia="zh-CN"/>
        </w:rPr>
        <w:t xml:space="preserve">无锡城兴绿碳全过程工程咨询有限公司</w:t>
      </w:r>
      <w:r/>
    </w:p>
    <w:p>
      <w:pPr>
        <w:ind w:firstLine="560"/>
        <w:rPr>
          <w:rFonts w:hint="eastAsia" w:ascii="黑体" w:hAnsi="黑体" w:eastAsia="黑体"/>
          <w:sz w:val="28"/>
          <w:szCs w:val="28"/>
          <w:highlight w:val="none"/>
        </w:rPr>
      </w:pPr>
      <w:r>
        <w:rPr>
          <w:rFonts w:hint="eastAsia" w:ascii="黑体" w:hAnsi="黑体" w:eastAsia="黑体"/>
          <w:sz w:val="28"/>
          <w:szCs w:val="28"/>
          <w:highlight w:val="none"/>
        </w:rPr>
      </w:r>
      <w:r/>
    </w:p>
    <w:p>
      <w:pPr>
        <w:rPr>
          <w:rFonts w:ascii="黑体" w:hAnsi="黑体" w:eastAsia="黑体"/>
          <w:highlight w:val="none"/>
        </w:rPr>
      </w:pPr>
      <w:r>
        <w:rPr>
          <w:rFonts w:ascii="黑体" w:hAnsi="黑体" w:eastAsia="黑体"/>
          <w:highlight w:val="none"/>
        </w:rPr>
      </w:r>
      <w:r/>
    </w:p>
    <w:p>
      <w:pPr>
        <w:jc w:val="center"/>
        <w:rPr>
          <w:rStyle w:val="1221"/>
          <w:rFonts w:hint="eastAsia" w:eastAsia="黑体"/>
          <w:bCs/>
          <w:sz w:val="48"/>
          <w:highlight w:val="none"/>
        </w:rPr>
      </w:pPr>
      <w:r>
        <w:rPr>
          <w:rFonts w:hint="eastAsia" w:ascii="黑体" w:hAnsi="华文中宋" w:eastAsia="黑体"/>
          <w:bCs/>
          <w:sz w:val="36"/>
          <w:szCs w:val="36"/>
          <w:highlight w:val="none"/>
        </w:rPr>
        <w:t xml:space="preserve">二○二四年</w:t>
      </w:r>
      <w:r>
        <w:rPr>
          <w:rFonts w:hint="eastAsia" w:ascii="黑体" w:hAnsi="华文中宋" w:eastAsia="黑体"/>
          <w:bCs/>
          <w:sz w:val="36"/>
          <w:szCs w:val="36"/>
          <w:highlight w:val="none"/>
          <w:lang w:val="en-US" w:eastAsia="zh-CN"/>
        </w:rPr>
        <w:t xml:space="preserve">九</w:t>
      </w:r>
      <w:r>
        <w:rPr>
          <w:rFonts w:hint="eastAsia" w:ascii="黑体" w:hAnsi="华文中宋" w:eastAsia="黑体"/>
          <w:bCs/>
          <w:sz w:val="36"/>
          <w:szCs w:val="36"/>
          <w:highlight w:val="none"/>
        </w:rPr>
        <w:t xml:space="preserve">月</w:t>
      </w:r>
      <w:r/>
    </w:p>
    <w:p>
      <w:pPr>
        <w:jc w:val="center"/>
        <w:rPr>
          <w:rStyle w:val="1221"/>
          <w:rFonts w:eastAsia="黑体"/>
          <w:bCs/>
          <w:sz w:val="48"/>
          <w:highlight w:val="none"/>
        </w:rPr>
      </w:pPr>
      <w:r>
        <w:rPr>
          <w:rStyle w:val="1221"/>
          <w:rFonts w:hint="eastAsia" w:eastAsia="黑体"/>
          <w:bCs/>
          <w:sz w:val="48"/>
          <w:highlight w:val="none"/>
        </w:rPr>
        <w:br w:type="page" w:clear="all"/>
      </w:r>
      <w:r>
        <w:rPr>
          <w:rStyle w:val="1221"/>
          <w:rFonts w:hint="eastAsia" w:eastAsia="黑体"/>
          <w:bCs/>
          <w:sz w:val="48"/>
          <w:highlight w:val="none"/>
        </w:rPr>
        <w:t xml:space="preserve">目</w:t>
      </w:r>
      <w:r>
        <w:rPr>
          <w:rStyle w:val="1221"/>
          <w:rFonts w:eastAsia="黑体"/>
          <w:bCs/>
          <w:sz w:val="48"/>
          <w:highlight w:val="none"/>
        </w:rPr>
        <w:t xml:space="preserve">     </w:t>
      </w:r>
      <w:r>
        <w:rPr>
          <w:rStyle w:val="1221"/>
          <w:rFonts w:hint="eastAsia" w:eastAsia="黑体"/>
          <w:bCs/>
          <w:sz w:val="48"/>
          <w:highlight w:val="none"/>
        </w:rPr>
        <w:t xml:space="preserve">录</w:t>
      </w:r>
      <w:r/>
    </w:p>
    <w:p>
      <w:pPr>
        <w:jc w:val="center"/>
        <w:rPr>
          <w:rFonts w:ascii="黑体" w:eastAsia="黑体"/>
          <w:bCs/>
          <w:sz w:val="30"/>
          <w:highlight w:val="none"/>
        </w:rPr>
      </w:pPr>
      <w:r>
        <w:rPr>
          <w:rFonts w:ascii="黑体" w:eastAsia="黑体"/>
          <w:bCs/>
          <w:sz w:val="30"/>
          <w:highlight w:val="none"/>
        </w:rPr>
      </w:r>
      <w:r/>
    </w:p>
    <w:p>
      <w:pPr>
        <w:ind w:firstLine="450"/>
        <w:spacing w:line="720" w:lineRule="auto"/>
        <w:rPr>
          <w:rFonts w:ascii="宋体"/>
          <w:bCs/>
          <w:sz w:val="30"/>
          <w:szCs w:val="30"/>
          <w:highlight w:val="none"/>
        </w:rPr>
      </w:pPr>
      <w:r>
        <w:rPr>
          <w:rFonts w:hint="eastAsia" w:ascii="宋体" w:hAnsi="宋体"/>
          <w:bCs/>
          <w:sz w:val="30"/>
          <w:szCs w:val="30"/>
          <w:highlight w:val="none"/>
        </w:rPr>
        <w:t xml:space="preserve">一．投标邀请函</w:t>
      </w:r>
      <w:r>
        <w:rPr>
          <w:rFonts w:ascii="宋体"/>
          <w:bCs/>
          <w:sz w:val="30"/>
          <w:szCs w:val="30"/>
          <w:highlight w:val="none"/>
        </w:rPr>
        <w:t xml:space="preserve">-----------------------------------</w:t>
      </w:r>
      <w:r>
        <w:rPr>
          <w:rFonts w:hint="eastAsia" w:ascii="宋体" w:hAnsi="宋体"/>
          <w:bCs/>
          <w:sz w:val="30"/>
          <w:szCs w:val="30"/>
          <w:highlight w:val="none"/>
        </w:rPr>
        <w:t xml:space="preserve">（3）</w:t>
      </w:r>
      <w:r/>
    </w:p>
    <w:p>
      <w:pPr>
        <w:ind w:firstLine="450"/>
        <w:spacing w:line="720" w:lineRule="auto"/>
        <w:rPr>
          <w:rFonts w:ascii="宋体"/>
          <w:bCs/>
          <w:sz w:val="30"/>
          <w:szCs w:val="30"/>
          <w:highlight w:val="none"/>
        </w:rPr>
      </w:pPr>
      <w:r>
        <w:rPr>
          <w:rFonts w:hint="eastAsia" w:ascii="宋体" w:hAnsi="宋体"/>
          <w:bCs/>
          <w:sz w:val="30"/>
          <w:szCs w:val="30"/>
          <w:highlight w:val="none"/>
        </w:rPr>
        <w:t xml:space="preserve">二．投标供应商须知</w:t>
      </w:r>
      <w:r>
        <w:rPr>
          <w:rFonts w:ascii="宋体"/>
          <w:bCs/>
          <w:sz w:val="30"/>
          <w:szCs w:val="30"/>
          <w:highlight w:val="none"/>
        </w:rPr>
        <w:t xml:space="preserve">-------------------------------</w:t>
      </w:r>
      <w:r>
        <w:rPr>
          <w:rFonts w:hint="eastAsia" w:ascii="宋体" w:hAnsi="宋体"/>
          <w:bCs/>
          <w:sz w:val="30"/>
          <w:szCs w:val="30"/>
          <w:highlight w:val="none"/>
        </w:rPr>
        <w:t xml:space="preserve">（</w:t>
      </w:r>
      <w:r>
        <w:rPr>
          <w:rFonts w:hint="eastAsia" w:ascii="宋体" w:hAnsi="宋体"/>
          <w:bCs/>
          <w:sz w:val="30"/>
          <w:szCs w:val="30"/>
          <w:highlight w:val="none"/>
          <w:lang w:val="en-US" w:eastAsia="zh-CN"/>
        </w:rPr>
        <w:t xml:space="preserve">8</w:t>
      </w:r>
      <w:r>
        <w:rPr>
          <w:rFonts w:hint="eastAsia" w:ascii="宋体" w:hAnsi="宋体"/>
          <w:bCs/>
          <w:sz w:val="30"/>
          <w:szCs w:val="30"/>
          <w:highlight w:val="none"/>
        </w:rPr>
        <w:t xml:space="preserve">）</w:t>
      </w:r>
      <w:r/>
    </w:p>
    <w:p>
      <w:pPr>
        <w:ind w:firstLine="450"/>
        <w:spacing w:line="720" w:lineRule="auto"/>
        <w:rPr>
          <w:rFonts w:ascii="宋体"/>
          <w:bCs/>
          <w:sz w:val="30"/>
          <w:szCs w:val="30"/>
          <w:highlight w:val="none"/>
        </w:rPr>
      </w:pPr>
      <w:r>
        <w:rPr>
          <w:rFonts w:hint="eastAsia" w:ascii="宋体" w:hAnsi="宋体"/>
          <w:bCs/>
          <w:sz w:val="30"/>
          <w:szCs w:val="30"/>
          <w:highlight w:val="none"/>
        </w:rPr>
        <w:t xml:space="preserve">三．项目技术要求和有关说明 </w:t>
      </w:r>
      <w:r>
        <w:rPr>
          <w:rFonts w:ascii="宋体"/>
          <w:bCs/>
          <w:sz w:val="30"/>
          <w:szCs w:val="30"/>
          <w:highlight w:val="none"/>
        </w:rPr>
        <w:t xml:space="preserve">----------------------</w:t>
      </w:r>
      <w:r>
        <w:rPr>
          <w:rFonts w:hint="eastAsia" w:ascii="宋体" w:hAnsi="宋体"/>
          <w:bCs/>
          <w:sz w:val="30"/>
          <w:szCs w:val="30"/>
          <w:highlight w:val="none"/>
        </w:rPr>
        <w:t xml:space="preserve">（</w:t>
      </w:r>
      <w:r>
        <w:rPr>
          <w:rFonts w:hint="eastAsia" w:ascii="宋体" w:hAnsi="宋体"/>
          <w:bCs/>
          <w:sz w:val="30"/>
          <w:szCs w:val="30"/>
          <w:highlight w:val="none"/>
          <w:lang w:val="en-US" w:eastAsia="zh-CN"/>
        </w:rPr>
        <w:t xml:space="preserve">20</w:t>
      </w:r>
      <w:r>
        <w:rPr>
          <w:rFonts w:hint="eastAsia" w:ascii="宋体" w:hAnsi="宋体"/>
          <w:bCs/>
          <w:sz w:val="30"/>
          <w:szCs w:val="30"/>
          <w:highlight w:val="none"/>
        </w:rPr>
        <w:t xml:space="preserve">）</w:t>
      </w:r>
      <w:r/>
    </w:p>
    <w:p>
      <w:pPr>
        <w:ind w:firstLine="450"/>
        <w:spacing w:line="720" w:lineRule="auto"/>
        <w:rPr>
          <w:rFonts w:ascii="宋体"/>
          <w:bCs/>
          <w:sz w:val="30"/>
          <w:szCs w:val="30"/>
          <w:highlight w:val="none"/>
        </w:rPr>
      </w:pPr>
      <w:r>
        <w:rPr>
          <w:rFonts w:hint="eastAsia" w:ascii="宋体" w:hAnsi="宋体"/>
          <w:bCs/>
          <w:sz w:val="30"/>
          <w:szCs w:val="30"/>
          <w:highlight w:val="none"/>
        </w:rPr>
        <w:t xml:space="preserve">四</w:t>
      </w:r>
      <w:r>
        <w:rPr>
          <w:rFonts w:ascii="宋体" w:hAnsi="宋体"/>
          <w:bCs/>
          <w:sz w:val="30"/>
          <w:szCs w:val="30"/>
          <w:highlight w:val="none"/>
        </w:rPr>
        <w:t xml:space="preserve">. </w:t>
      </w:r>
      <w:r>
        <w:rPr>
          <w:rFonts w:hint="eastAsia" w:ascii="宋体" w:hAnsi="宋体"/>
          <w:bCs/>
          <w:sz w:val="30"/>
          <w:szCs w:val="30"/>
          <w:highlight w:val="none"/>
        </w:rPr>
        <w:t xml:space="preserve">合同书（格式文本）</w:t>
      </w:r>
      <w:r>
        <w:rPr>
          <w:rFonts w:ascii="宋体"/>
          <w:bCs/>
          <w:sz w:val="30"/>
          <w:szCs w:val="30"/>
          <w:highlight w:val="none"/>
        </w:rPr>
        <w:t xml:space="preserve">---------------------------</w:t>
      </w:r>
      <w:r>
        <w:rPr>
          <w:rFonts w:hint="eastAsia" w:ascii="宋体" w:hAnsi="宋体"/>
          <w:bCs/>
          <w:sz w:val="30"/>
          <w:szCs w:val="30"/>
          <w:highlight w:val="none"/>
        </w:rPr>
        <w:t xml:space="preserve">（</w:t>
      </w:r>
      <w:r>
        <w:rPr>
          <w:rFonts w:hint="eastAsia" w:ascii="宋体" w:hAnsi="宋体"/>
          <w:bCs/>
          <w:sz w:val="30"/>
          <w:szCs w:val="30"/>
          <w:highlight w:val="none"/>
          <w:lang w:val="en-US" w:eastAsia="zh-CN"/>
        </w:rPr>
        <w:t xml:space="preserve">28</w:t>
      </w:r>
      <w:r>
        <w:rPr>
          <w:rFonts w:hint="eastAsia" w:ascii="宋体" w:hAnsi="宋体"/>
          <w:bCs/>
          <w:sz w:val="30"/>
          <w:szCs w:val="30"/>
          <w:highlight w:val="none"/>
        </w:rPr>
        <w:t xml:space="preserve">）</w:t>
      </w:r>
      <w:r/>
    </w:p>
    <w:p>
      <w:pPr>
        <w:ind w:firstLine="450"/>
        <w:spacing w:line="720" w:lineRule="auto"/>
        <w:rPr>
          <w:rFonts w:hint="eastAsia" w:ascii="宋体" w:hAnsi="宋体"/>
          <w:bCs/>
          <w:sz w:val="30"/>
          <w:szCs w:val="30"/>
          <w:highlight w:val="none"/>
        </w:rPr>
      </w:pPr>
      <w:r>
        <w:rPr>
          <w:rFonts w:hint="eastAsia" w:ascii="宋体" w:hAnsi="宋体"/>
          <w:bCs/>
          <w:sz w:val="30"/>
          <w:szCs w:val="30"/>
          <w:highlight w:val="none"/>
        </w:rPr>
        <w:t xml:space="preserve">五．附件 </w:t>
      </w:r>
      <w:r>
        <w:rPr>
          <w:rFonts w:ascii="宋体"/>
          <w:bCs/>
          <w:sz w:val="30"/>
          <w:szCs w:val="30"/>
          <w:highlight w:val="none"/>
        </w:rPr>
        <w:t xml:space="preserve">----------------------------------------</w:t>
      </w:r>
      <w:r>
        <w:rPr>
          <w:rFonts w:hint="eastAsia" w:ascii="宋体" w:hAnsi="宋体"/>
          <w:bCs/>
          <w:sz w:val="30"/>
          <w:szCs w:val="30"/>
          <w:highlight w:val="none"/>
        </w:rPr>
        <w:t xml:space="preserve">（</w:t>
      </w:r>
      <w:r>
        <w:rPr>
          <w:rFonts w:hint="eastAsia" w:ascii="宋体" w:hAnsi="宋体"/>
          <w:bCs/>
          <w:sz w:val="30"/>
          <w:szCs w:val="30"/>
          <w:highlight w:val="none"/>
          <w:lang w:val="en-US" w:eastAsia="zh-CN"/>
        </w:rPr>
        <w:t xml:space="preserve">69</w:t>
      </w:r>
      <w:r>
        <w:rPr>
          <w:rFonts w:hint="eastAsia" w:ascii="宋体" w:hAnsi="宋体"/>
          <w:bCs/>
          <w:sz w:val="30"/>
          <w:szCs w:val="30"/>
          <w:highlight w:val="none"/>
        </w:rPr>
        <w:t xml:space="preserve">）</w:t>
      </w:r>
      <w:r/>
    </w:p>
    <w:p>
      <w:pPr>
        <w:spacing w:line="720" w:lineRule="auto"/>
        <w:rPr>
          <w:rFonts w:ascii="宋体"/>
          <w:bCs/>
          <w:sz w:val="28"/>
          <w:szCs w:val="28"/>
          <w:highlight w:val="none"/>
        </w:rPr>
      </w:pPr>
      <w:r>
        <w:rPr>
          <w:rFonts w:ascii="宋体"/>
          <w:bCs/>
          <w:sz w:val="28"/>
          <w:szCs w:val="28"/>
          <w:highlight w:val="none"/>
        </w:rPr>
        <w:t xml:space="preserve"> </w:t>
      </w:r>
      <w:r/>
    </w:p>
    <w:p>
      <w:pPr>
        <w:spacing w:line="720" w:lineRule="auto"/>
        <w:rPr>
          <w:rFonts w:ascii="宋体"/>
          <w:bCs/>
          <w:sz w:val="30"/>
          <w:highlight w:val="none"/>
        </w:rPr>
      </w:pPr>
      <w:r>
        <w:rPr>
          <w:rFonts w:ascii="宋体"/>
          <w:bCs/>
          <w:sz w:val="30"/>
          <w:highlight w:val="none"/>
        </w:rPr>
      </w:r>
      <w:r/>
    </w:p>
    <w:p>
      <w:pPr>
        <w:spacing w:line="480" w:lineRule="auto"/>
        <w:rPr>
          <w:rFonts w:ascii="宋体"/>
          <w:bCs/>
          <w:sz w:val="30"/>
          <w:highlight w:val="none"/>
        </w:rPr>
      </w:pPr>
      <w:r>
        <w:rPr>
          <w:rFonts w:ascii="宋体"/>
          <w:bCs/>
          <w:sz w:val="30"/>
          <w:highlight w:val="none"/>
        </w:rPr>
      </w:r>
      <w:r/>
    </w:p>
    <w:p>
      <w:pPr>
        <w:rPr>
          <w:rFonts w:ascii="宋体"/>
          <w:bCs/>
          <w:sz w:val="28"/>
          <w:highlight w:val="none"/>
        </w:rPr>
      </w:pPr>
      <w:r>
        <w:rPr>
          <w:rFonts w:ascii="宋体"/>
          <w:bCs/>
          <w:sz w:val="28"/>
          <w:highlight w:val="none"/>
        </w:rPr>
      </w:r>
      <w:r/>
    </w:p>
    <w:p>
      <w:pPr>
        <w:rPr>
          <w:rFonts w:ascii="宋体"/>
          <w:bCs/>
          <w:sz w:val="32"/>
          <w:highlight w:val="none"/>
        </w:rPr>
      </w:pPr>
      <w:r>
        <w:rPr>
          <w:rFonts w:ascii="宋体"/>
          <w:bCs/>
          <w:sz w:val="32"/>
          <w:highlight w:val="none"/>
        </w:rPr>
      </w:r>
      <w:r/>
    </w:p>
    <w:p>
      <w:pPr>
        <w:rPr>
          <w:rFonts w:ascii="宋体"/>
          <w:bCs/>
          <w:sz w:val="32"/>
          <w:highlight w:val="none"/>
        </w:rPr>
      </w:pPr>
      <w:r>
        <w:rPr>
          <w:rFonts w:ascii="宋体"/>
          <w:bCs/>
          <w:sz w:val="32"/>
          <w:highlight w:val="none"/>
        </w:rPr>
      </w:r>
      <w:r/>
    </w:p>
    <w:p>
      <w:pPr>
        <w:jc w:val="center"/>
        <w:spacing w:line="360" w:lineRule="auto"/>
        <w:rPr>
          <w:rFonts w:ascii="黑体" w:eastAsia="黑体"/>
          <w:bCs/>
          <w:sz w:val="28"/>
          <w:szCs w:val="28"/>
          <w:highlight w:val="none"/>
        </w:rPr>
      </w:pPr>
      <w:r/>
      <w:bookmarkStart w:id="0" w:name="报价方须知前附表"/>
      <w:r/>
      <w:bookmarkEnd w:id="0"/>
      <w:r>
        <w:rPr>
          <w:rFonts w:ascii="黑体" w:eastAsia="黑体"/>
          <w:bCs/>
          <w:sz w:val="28"/>
          <w:szCs w:val="28"/>
          <w:highlight w:val="none"/>
        </w:rPr>
        <w:br w:type="page" w:clear="all"/>
      </w:r>
      <w:r>
        <w:rPr>
          <w:rFonts w:hint="eastAsia" w:ascii="黑体" w:eastAsia="黑体"/>
          <w:bCs/>
          <w:sz w:val="28"/>
          <w:szCs w:val="28"/>
          <w:highlight w:val="none"/>
        </w:rPr>
        <w:t xml:space="preserve">一．投标邀请函</w:t>
      </w:r>
      <w:r/>
    </w:p>
    <w:p>
      <w:pPr>
        <w:ind w:firstLine="480"/>
        <w:spacing w:line="360" w:lineRule="auto"/>
        <w:rPr>
          <w:rFonts w:ascii="宋体" w:hAnsi="宋体"/>
          <w:bCs/>
          <w:sz w:val="24"/>
          <w:szCs w:val="24"/>
          <w:highlight w:val="none"/>
        </w:rPr>
      </w:pP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无锡市新吴区人民政府鸿山街道办事处</w:t>
      </w:r>
      <w:r>
        <w:rPr>
          <w:rFonts w:hint="eastAsia" w:ascii="宋体" w:hAnsi="宋体"/>
          <w:bCs/>
          <w:sz w:val="24"/>
          <w:szCs w:val="24"/>
          <w:highlight w:val="none"/>
        </w:rPr>
        <w:t xml:space="preserve">委托，对</w:t>
      </w:r>
      <w:r>
        <w:rPr>
          <w:rFonts w:hint="eastAsia" w:ascii="宋体" w:hAnsi="宋体"/>
          <w:bCs/>
          <w:sz w:val="24"/>
          <w:szCs w:val="24"/>
          <w:highlight w:val="none"/>
          <w:lang w:eastAsia="zh-CN"/>
        </w:rPr>
        <w:t xml:space="preserve">鸿山街道2024年-2026年度绿化养护项目</w:t>
      </w:r>
      <w:r>
        <w:rPr>
          <w:rFonts w:hint="eastAsia" w:ascii="宋体" w:hAnsi="宋体"/>
          <w:bCs/>
          <w:sz w:val="24"/>
          <w:szCs w:val="24"/>
          <w:highlight w:val="none"/>
        </w:rPr>
        <w:t xml:space="preserve">进行公开招标采购，欢迎符合相关条件的供应商参加投标并提请注意下列相关事项：</w:t>
      </w:r>
      <w:r/>
    </w:p>
    <w:p>
      <w:pPr>
        <w:ind w:firstLine="480"/>
        <w:jc w:val="left"/>
        <w:spacing w:line="360" w:lineRule="auto"/>
        <w:widowControl/>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（一）招标项目信息</w:t>
      </w:r>
      <w:r/>
    </w:p>
    <w:p>
      <w:pPr>
        <w:ind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1.项目名称：</w:t>
      </w:r>
      <w:r>
        <w:rPr>
          <w:rFonts w:hint="eastAsia" w:ascii="宋体" w:hAnsi="宋体" w:cs="Times New Roman"/>
          <w:sz w:val="24"/>
          <w:szCs w:val="24"/>
          <w:highlight w:val="none"/>
          <w:lang w:eastAsia="zh-CN"/>
        </w:rPr>
        <w:t xml:space="preserve">鸿山街道2024年-2026年度绿化养护项目</w:t>
      </w:r>
      <w:r>
        <w:rPr>
          <w:rFonts w:hint="eastAsia" w:ascii="宋体" w:hAnsi="宋体" w:eastAsia="宋体" w:cs="Times New Roman"/>
          <w:sz w:val="24"/>
          <w:szCs w:val="24"/>
          <w:highlight w:val="none"/>
          <w:lang w:eastAsia="zh-CN"/>
        </w:rPr>
        <w:t xml:space="preserve">；</w:t>
      </w:r>
      <w:r/>
    </w:p>
    <w:p>
      <w:pPr>
        <w:ind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2.项目编号：</w:t>
      </w:r>
      <w:r>
        <w:rPr>
          <w:rFonts w:hint="eastAsia" w:ascii="宋体" w:hAnsi="宋体" w:cs="Times New Roman"/>
          <w:sz w:val="24"/>
          <w:szCs w:val="24"/>
          <w:highlight w:val="none"/>
          <w:lang w:eastAsia="zh-CN"/>
        </w:rPr>
        <w:t xml:space="preserve">JSZC-320214-CXLT-G2024-0005</w:t>
      </w:r>
      <w:r>
        <w:rPr>
          <w:rFonts w:hint="eastAsia" w:ascii="宋体" w:hAnsi="宋体" w:eastAsia="宋体" w:cs="Times New Roman"/>
          <w:sz w:val="24"/>
          <w:szCs w:val="24"/>
          <w:highlight w:val="none"/>
          <w:lang w:eastAsia="zh-CN"/>
        </w:rPr>
        <w:t xml:space="preserve">；</w:t>
      </w:r>
      <w:r/>
    </w:p>
    <w:p>
      <w:pPr>
        <w:ind w:firstLine="480"/>
        <w:jc w:val="left"/>
        <w:spacing w:line="360" w:lineRule="auto"/>
        <w:widowControl/>
        <w:rPr>
          <w:rFonts w:hint="eastAsia" w:ascii="宋体" w:hAnsi="宋体" w:cs="Times New Roman"/>
          <w:sz w:val="24"/>
          <w:szCs w:val="24"/>
          <w:highlight w:val="none"/>
          <w:lang w:val="en-US" w:eastAsia="zh-CN"/>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val="en-US" w:eastAsia="zh-CN"/>
        </w:rPr>
        <w:t xml:space="preserve">服务概况及范围：鸿山街道2024年-2026年度绿化养护项目</w:t>
      </w:r>
      <w:r>
        <w:rPr>
          <w:rFonts w:hint="eastAsia" w:ascii="宋体" w:hAnsi="宋体" w:cs="Times New Roman"/>
          <w:sz w:val="24"/>
          <w:szCs w:val="24"/>
          <w:highlight w:val="none"/>
          <w:lang w:val="en-US" w:eastAsia="zh-CN"/>
        </w:rPr>
        <w:t xml:space="preserve">，共设两个标段：</w:t>
      </w:r>
      <w:r/>
    </w:p>
    <w:p>
      <w:pPr>
        <w:ind w:firstLine="1024"/>
        <w:jc w:val="left"/>
        <w:spacing w:line="360" w:lineRule="auto"/>
        <w:widowControl/>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一标段：鸿声片区及新增路段（详见清单）</w:t>
      </w:r>
      <w:r/>
    </w:p>
    <w:p>
      <w:pPr>
        <w:ind w:firstLine="1024"/>
        <w:jc w:val="left"/>
        <w:spacing w:line="360" w:lineRule="auto"/>
        <w:widowControl/>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二标段：后宅片区及新增路段（详见清单）</w:t>
      </w:r>
      <w:r/>
    </w:p>
    <w:p>
      <w:pPr>
        <w:ind w:firstLine="480"/>
        <w:jc w:val="left"/>
        <w:spacing w:line="360" w:lineRule="auto"/>
        <w:widowControl/>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采购</w:t>
      </w:r>
      <w:r>
        <w:rPr>
          <w:rFonts w:hint="eastAsia" w:ascii="宋体" w:hAnsi="宋体" w:eastAsia="宋体" w:cs="宋体"/>
          <w:sz w:val="24"/>
          <w:szCs w:val="24"/>
          <w:highlight w:val="none"/>
          <w:lang w:val="en-US" w:eastAsia="zh-CN"/>
        </w:rPr>
        <w:t xml:space="preserve">范围：采购范围内的绿化养护服务</w:t>
      </w:r>
      <w:r>
        <w:rPr>
          <w:rFonts w:hint="eastAsia" w:ascii="宋体" w:hAnsi="宋体" w:cs="宋体"/>
          <w:sz w:val="24"/>
          <w:szCs w:val="24"/>
          <w:highlight w:val="none"/>
          <w:lang w:val="en-US" w:eastAsia="zh-CN"/>
        </w:rPr>
        <w:t xml:space="preserve">，具体详见招标文件“三.项目技术要求和有关说明”</w:t>
      </w:r>
      <w:r>
        <w:rPr>
          <w:rFonts w:hint="eastAsia" w:ascii="宋体" w:hAnsi="宋体" w:eastAsia="宋体" w:cs="宋体"/>
          <w:sz w:val="24"/>
          <w:szCs w:val="24"/>
          <w:highlight w:val="none"/>
          <w:lang w:val="en-US" w:eastAsia="zh-CN"/>
        </w:rPr>
        <w:t xml:space="preserve">；</w:t>
      </w:r>
      <w:r/>
    </w:p>
    <w:p>
      <w:pPr>
        <w:ind w:firstLine="480"/>
        <w:jc w:val="left"/>
        <w:spacing w:line="360" w:lineRule="auto"/>
        <w:widowControl/>
        <w:rPr>
          <w:rFonts w:hint="eastAsia" w:hAnsi="宋体" w:cs="宋体"/>
          <w:sz w:val="24"/>
          <w:szCs w:val="24"/>
          <w:highlight w:val="none"/>
          <w:lang w:val="en-US" w:eastAsia="zh-CN"/>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服务期限：2年，合同一年一签，第二年将根据第一年养护考核情况决定是否续签合同</w:t>
      </w:r>
      <w:r>
        <w:rPr>
          <w:rFonts w:hint="eastAsia" w:hAnsi="宋体" w:cs="宋体"/>
          <w:sz w:val="24"/>
          <w:szCs w:val="24"/>
          <w:highlight w:val="none"/>
          <w:lang w:val="en-US" w:eastAsia="zh-CN"/>
        </w:rPr>
        <w:t xml:space="preserve">；</w:t>
      </w:r>
      <w:r/>
    </w:p>
    <w:p>
      <w:pPr>
        <w:ind w:firstLine="480"/>
        <w:jc w:val="left"/>
        <w:spacing w:line="360" w:lineRule="auto"/>
        <w:widowControl/>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6.服务</w:t>
      </w:r>
      <w:r>
        <w:rPr>
          <w:rFonts w:hint="eastAsia" w:ascii="宋体" w:hAnsi="宋体" w:eastAsia="宋体" w:cs="宋体"/>
          <w:sz w:val="24"/>
          <w:szCs w:val="24"/>
          <w:highlight w:val="none"/>
          <w:lang w:val="en-US" w:eastAsia="zh-CN"/>
        </w:rPr>
        <w:t xml:space="preserve">标准</w:t>
      </w:r>
      <w:r>
        <w:rPr>
          <w:rFonts w:hint="eastAsia" w:ascii="宋体" w:hAnsi="宋体" w:eastAsia="宋体" w:cs="宋体"/>
          <w:sz w:val="24"/>
          <w:szCs w:val="24"/>
          <w:highlight w:val="none"/>
          <w:lang w:val="zh-CN"/>
        </w:rPr>
        <w:t xml:space="preserve">：合格标准，符合相关养护标准</w:t>
      </w:r>
      <w:r>
        <w:rPr>
          <w:rFonts w:hint="eastAsia" w:ascii="宋体" w:hAnsi="宋体" w:eastAsia="宋体" w:cs="宋体"/>
          <w:sz w:val="24"/>
          <w:szCs w:val="24"/>
          <w:highlight w:val="none"/>
          <w:lang w:val="en-US" w:eastAsia="zh-CN"/>
        </w:rPr>
        <w:t xml:space="preserve">；</w:t>
      </w:r>
      <w:r/>
    </w:p>
    <w:p>
      <w:pPr>
        <w:ind w:firstLine="480"/>
        <w:jc w:val="left"/>
        <w:spacing w:line="360" w:lineRule="auto"/>
        <w:widowControl/>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.项目预算：本项目预算金额为人民币</w:t>
      </w:r>
      <w:r>
        <w:rPr>
          <w:rFonts w:hint="eastAsia" w:ascii="宋体" w:hAnsi="宋体" w:cs="Times New Roman"/>
          <w:sz w:val="24"/>
          <w:szCs w:val="24"/>
          <w:highlight w:val="none"/>
          <w:lang w:val="en-US" w:eastAsia="zh-CN"/>
        </w:rPr>
        <w:t xml:space="preserve">817.23</w:t>
      </w:r>
      <w:r>
        <w:rPr>
          <w:rFonts w:hint="eastAsia" w:ascii="宋体" w:hAnsi="宋体" w:eastAsia="宋体" w:cs="Times New Roman"/>
          <w:sz w:val="24"/>
          <w:szCs w:val="24"/>
          <w:highlight w:val="none"/>
        </w:rPr>
        <w:t xml:space="preserve">万元</w:t>
      </w:r>
      <w:r>
        <w:rPr>
          <w:rFonts w:hint="eastAsia" w:ascii="宋体" w:hAnsi="宋体" w:cs="Times New Roman"/>
          <w:sz w:val="24"/>
          <w:szCs w:val="24"/>
          <w:highlight w:val="none"/>
          <w:lang w:val="en-US" w:eastAsia="zh-CN"/>
        </w:rPr>
        <w:t xml:space="preserve">/2年</w:t>
      </w:r>
      <w:r>
        <w:rPr>
          <w:rFonts w:hint="eastAsia" w:ascii="宋体" w:hAnsi="宋体" w:eastAsia="宋体" w:cs="Times New Roman"/>
          <w:sz w:val="24"/>
          <w:szCs w:val="24"/>
          <w:highlight w:val="none"/>
          <w:lang w:eastAsia="zh-CN"/>
        </w:rPr>
        <w:t xml:space="preserve">；</w:t>
      </w:r>
      <w:r>
        <w:rPr>
          <w:rFonts w:hint="eastAsia"/>
          <w:bCs/>
          <w:sz w:val="24"/>
          <w:szCs w:val="24"/>
          <w:highlight w:val="none"/>
        </w:rPr>
        <w:t xml:space="preserve">其中一标段：</w:t>
      </w:r>
      <w:r>
        <w:rPr>
          <w:rFonts w:hint="eastAsia" w:ascii="宋体" w:hAnsi="宋体" w:eastAsia="宋体" w:cs="宋体"/>
          <w:sz w:val="24"/>
          <w:szCs w:val="24"/>
          <w:highlight w:val="none"/>
          <w:lang w:val="en-US" w:eastAsia="zh-CN" w:bidi="ar"/>
        </w:rPr>
        <w:t xml:space="preserve">371.23</w:t>
      </w:r>
      <w:r>
        <w:rPr>
          <w:rFonts w:hint="eastAsia"/>
          <w:bCs/>
          <w:sz w:val="24"/>
          <w:szCs w:val="24"/>
          <w:highlight w:val="none"/>
        </w:rPr>
        <w:t xml:space="preserve">万元</w:t>
      </w:r>
      <w:r>
        <w:rPr>
          <w:rFonts w:hint="eastAsia" w:ascii="宋体" w:hAnsi="宋体" w:cs="Times New Roman"/>
          <w:sz w:val="24"/>
          <w:szCs w:val="24"/>
          <w:highlight w:val="none"/>
          <w:lang w:val="en-US" w:eastAsia="zh-CN"/>
        </w:rPr>
        <w:t xml:space="preserve">/2年，185.615万元/1年</w:t>
      </w:r>
      <w:r>
        <w:rPr>
          <w:rFonts w:hint="eastAsia"/>
          <w:bCs/>
          <w:sz w:val="24"/>
          <w:szCs w:val="24"/>
          <w:highlight w:val="none"/>
        </w:rPr>
        <w:t xml:space="preserve">；二标段：</w:t>
      </w:r>
      <w:r>
        <w:rPr>
          <w:rFonts w:hint="eastAsia" w:ascii="宋体" w:hAnsi="宋体" w:eastAsia="宋体" w:cs="宋体"/>
          <w:sz w:val="24"/>
          <w:szCs w:val="24"/>
          <w:highlight w:val="none"/>
          <w:lang w:val="en-US" w:eastAsia="zh-CN" w:bidi="ar"/>
        </w:rPr>
        <w:t xml:space="preserve">446</w:t>
      </w:r>
      <w:r>
        <w:rPr>
          <w:rFonts w:hint="eastAsia"/>
          <w:bCs/>
          <w:sz w:val="24"/>
          <w:szCs w:val="24"/>
          <w:highlight w:val="none"/>
        </w:rPr>
        <w:t xml:space="preserve">万元</w:t>
      </w:r>
      <w:r>
        <w:rPr>
          <w:rFonts w:hint="eastAsia" w:ascii="宋体" w:hAnsi="宋体" w:cs="Times New Roman"/>
          <w:sz w:val="24"/>
          <w:szCs w:val="24"/>
          <w:highlight w:val="none"/>
          <w:lang w:val="en-US" w:eastAsia="zh-CN"/>
        </w:rPr>
        <w:t xml:space="preserve">/2年，223万元/1年</w:t>
      </w:r>
      <w:r>
        <w:rPr>
          <w:rFonts w:hint="eastAsia"/>
          <w:bCs/>
          <w:sz w:val="24"/>
          <w:szCs w:val="24"/>
          <w:highlight w:val="none"/>
        </w:rPr>
        <w:t xml:space="preserve">；</w:t>
      </w:r>
      <w:r/>
    </w:p>
    <w:p>
      <w:pPr>
        <w:ind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.项目最高限价：一标段最高限价</w:t>
      </w:r>
      <w:r>
        <w:rPr>
          <w:rFonts w:hint="eastAsia" w:ascii="宋体" w:hAnsi="宋体" w:eastAsia="宋体" w:cs="Times New Roman"/>
          <w:sz w:val="24"/>
          <w:szCs w:val="24"/>
          <w:highlight w:val="none"/>
          <w:lang w:val="en-US" w:eastAsia="zh-CN"/>
        </w:rPr>
        <w:t xml:space="preserve">为</w:t>
      </w:r>
      <w:r>
        <w:rPr>
          <w:rFonts w:hint="eastAsia" w:ascii="宋体" w:hAnsi="宋体" w:eastAsia="宋体" w:cs="Times New Roman"/>
          <w:sz w:val="24"/>
          <w:szCs w:val="24"/>
          <w:highlight w:val="none"/>
        </w:rPr>
        <w:t xml:space="preserve">371.23万元</w:t>
      </w:r>
      <w:r>
        <w:rPr>
          <w:rFonts w:hint="eastAsia" w:ascii="宋体" w:hAnsi="宋体" w:cs="Times New Roman"/>
          <w:sz w:val="24"/>
          <w:szCs w:val="24"/>
          <w:highlight w:val="none"/>
          <w:lang w:val="en-US" w:eastAsia="zh-CN"/>
        </w:rPr>
        <w:t xml:space="preserve">/2年，185.615万元/1年</w:t>
      </w:r>
      <w:r>
        <w:rPr>
          <w:rFonts w:hint="eastAsia" w:ascii="宋体" w:hAnsi="宋体" w:eastAsia="宋体" w:cs="Times New Roman"/>
          <w:sz w:val="24"/>
          <w:szCs w:val="24"/>
          <w:highlight w:val="none"/>
        </w:rPr>
        <w:t xml:space="preserve">；二标段最高限价</w:t>
      </w:r>
      <w:r>
        <w:rPr>
          <w:rFonts w:hint="eastAsia" w:ascii="宋体" w:hAnsi="宋体" w:eastAsia="宋体" w:cs="Times New Roman"/>
          <w:sz w:val="24"/>
          <w:szCs w:val="24"/>
          <w:highlight w:val="none"/>
          <w:lang w:val="en-US" w:eastAsia="zh-CN"/>
        </w:rPr>
        <w:t xml:space="preserve">为</w:t>
      </w:r>
      <w:r>
        <w:rPr>
          <w:rFonts w:hint="eastAsia" w:ascii="宋体" w:hAnsi="宋体" w:eastAsia="宋体" w:cs="Times New Roman"/>
          <w:sz w:val="24"/>
          <w:szCs w:val="24"/>
          <w:highlight w:val="none"/>
        </w:rPr>
        <w:t xml:space="preserve">446万元</w:t>
      </w:r>
      <w:r>
        <w:rPr>
          <w:rFonts w:hint="eastAsia" w:ascii="宋体" w:hAnsi="宋体" w:cs="Times New Roman"/>
          <w:sz w:val="24"/>
          <w:szCs w:val="24"/>
          <w:highlight w:val="none"/>
          <w:lang w:val="en-US" w:eastAsia="zh-CN"/>
        </w:rPr>
        <w:t xml:space="preserve">/2年，223万元/1年</w:t>
      </w:r>
      <w:r>
        <w:rPr>
          <w:rFonts w:hint="eastAsia" w:ascii="宋体" w:hAnsi="宋体" w:eastAsia="宋体" w:cs="Times New Roman"/>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b/>
          <w:color w:val="auto"/>
          <w:sz w:val="24"/>
          <w:szCs w:val="24"/>
          <w:highlight w:val="none"/>
        </w:rPr>
        <w:t xml:space="preserve">注：投标供应商可以参加本次采购所有标段的投标报名，但中标只能中1个标段。评分排名均第一的情况下由投标单位在投标文件中承诺优先中</w:t>
      </w:r>
      <w:r>
        <w:rPr>
          <w:rFonts w:hint="eastAsia"/>
          <w:b/>
          <w:color w:val="auto"/>
          <w:sz w:val="24"/>
          <w:szCs w:val="24"/>
          <w:highlight w:val="none"/>
          <w:lang w:val="en-US" w:eastAsia="zh-CN"/>
        </w:rPr>
        <w:t xml:space="preserve">标</w:t>
      </w:r>
      <w:r>
        <w:rPr>
          <w:rFonts w:hint="eastAsia"/>
          <w:b/>
          <w:color w:val="auto"/>
          <w:sz w:val="24"/>
          <w:szCs w:val="24"/>
          <w:highlight w:val="none"/>
        </w:rPr>
        <w:t xml:space="preserve">标段</w:t>
      </w:r>
      <w:r>
        <w:rPr>
          <w:rFonts w:hint="eastAsia"/>
          <w:b/>
          <w:color w:val="auto"/>
          <w:sz w:val="24"/>
          <w:szCs w:val="24"/>
          <w:highlight w:val="none"/>
          <w:lang w:eastAsia="zh-CN"/>
        </w:rPr>
        <w:t xml:space="preserve">（</w:t>
      </w:r>
      <w:r>
        <w:rPr>
          <w:rFonts w:hint="eastAsia"/>
          <w:b/>
          <w:color w:val="auto"/>
          <w:sz w:val="24"/>
          <w:szCs w:val="24"/>
          <w:highlight w:val="none"/>
          <w:lang w:val="en-US" w:eastAsia="zh-CN"/>
        </w:rPr>
        <w:t xml:space="preserve">提供承诺书，格式见附件</w:t>
      </w:r>
      <w:r>
        <w:rPr>
          <w:rFonts w:hint="eastAsia"/>
          <w:b/>
          <w:color w:val="auto"/>
          <w:sz w:val="24"/>
          <w:szCs w:val="24"/>
          <w:highlight w:val="none"/>
          <w:lang w:eastAsia="zh-CN"/>
        </w:rPr>
        <w:t xml:space="preserve">）</w:t>
      </w:r>
      <w:r>
        <w:rPr>
          <w:rFonts w:hint="eastAsia"/>
          <w:b/>
          <w:color w:val="auto"/>
          <w:sz w:val="24"/>
          <w:szCs w:val="24"/>
          <w:highlight w:val="none"/>
        </w:rPr>
        <w:t xml:space="preserve">。如某标段排名第一的供应商已经中了其他标段，则该标段由排名第二的供应商中标，依次类推。</w:t>
      </w:r>
      <w:r>
        <w:rPr>
          <w:rFonts w:hint="eastAsia"/>
          <w:b/>
          <w:color w:val="auto"/>
          <w:sz w:val="24"/>
          <w:szCs w:val="24"/>
          <w:highlight w:val="none"/>
          <w:lang w:eastAsia="zh-CN"/>
        </w:rPr>
        <w:t xml:space="preserve">（</w:t>
      </w:r>
      <w:r>
        <w:rPr>
          <w:rFonts w:hint="eastAsia"/>
          <w:b/>
          <w:color w:val="auto"/>
          <w:sz w:val="24"/>
          <w:szCs w:val="24"/>
          <w:highlight w:val="none"/>
        </w:rPr>
        <w:t xml:space="preserve">如投标供应商同时参加本次采购所有标段，则投标文件需分标段制作并上传</w:t>
      </w:r>
      <w:r>
        <w:rPr>
          <w:rFonts w:hint="eastAsia"/>
          <w:b/>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.采购方式：公开招标</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无锡市新吴区人民政府鸿山街道办事处；</w:t>
      </w:r>
      <w:r/>
    </w:p>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.本项目标的所属行业：其他未列明行业；</w:t>
      </w:r>
      <w:r/>
    </w:p>
    <w:p>
      <w:pPr>
        <w:ind w:firstLine="480"/>
        <w:jc w:val="left"/>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注：其他未列明行业中小微企业认定标准：从业人员300人以下的为中小微型企业。其中，从业人员100人及以上的为中型企业；从业人员10人及以上的为小型企业；从业人员10人以下的为微型企业</w:t>
      </w:r>
      <w:r>
        <w:rPr>
          <w:rFonts w:hint="eastAsia" w:ascii="宋体" w:hAnsi="宋体"/>
          <w:sz w:val="24"/>
          <w:szCs w:val="24"/>
          <w:highlight w:val="none"/>
          <w:lang w:eastAsia="zh-CN"/>
        </w:rPr>
        <w:t xml:space="preserve">。</w:t>
      </w:r>
      <w:r/>
    </w:p>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.本项目是否专门面向中小企业：是。</w:t>
      </w:r>
      <w:r/>
    </w:p>
    <w:p>
      <w:pPr>
        <w:ind w:firstLine="480"/>
        <w:jc w:val="left"/>
        <w:spacing w:line="360" w:lineRule="auto"/>
        <w:widowControl/>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（二）投标供应商资格要求</w:t>
      </w:r>
      <w:r/>
    </w:p>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1.具备《中华人民共和国政府采购法》第二十二条第一款规定的条件；</w:t>
      </w:r>
      <w:r/>
    </w:p>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（1）未被“信用中国”网站列入失信被执行人、重大税收违法案件当事人名单、政府采购严重违法失信行为记录名单；</w:t>
      </w:r>
      <w:r/>
    </w:p>
    <w:p>
      <w:pPr>
        <w:ind w:firstLine="480"/>
        <w:jc w:val="left"/>
        <w:spacing w:line="360" w:lineRule="auto"/>
        <w:widowControl/>
        <w:rPr>
          <w:rFonts w:hint="eastAsia" w:ascii="宋体" w:hAnsi="宋体"/>
          <w:b/>
          <w:bCs/>
          <w:color w:val="0000ff"/>
          <w:sz w:val="24"/>
          <w:szCs w:val="24"/>
          <w:highlight w:val="none"/>
          <w:lang w:eastAsia="zh-CN"/>
        </w:rPr>
      </w:pPr>
      <w:r>
        <w:rPr>
          <w:rFonts w:hint="eastAsia" w:ascii="宋体" w:hAnsi="宋体" w:eastAsia="宋体" w:cs="Times New Roman"/>
          <w:b/>
          <w:bCs/>
          <w:sz w:val="24"/>
          <w:szCs w:val="24"/>
          <w:highlight w:val="none"/>
          <w:lang w:val="en-US" w:eastAsia="zh-CN"/>
        </w:rPr>
        <w:t xml:space="preserve">（</w:t>
      </w:r>
      <w:r>
        <w:rPr>
          <w:rFonts w:hint="eastAsia" w:ascii="宋体" w:hAnsi="宋体" w:cs="Times New Roman"/>
          <w:b/>
          <w:bCs/>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）本项目不接受联合体投标。</w:t>
      </w:r>
      <w:r/>
    </w:p>
    <w:p>
      <w:pPr>
        <w:ind w:firstLine="480"/>
        <w:jc w:val="left"/>
        <w:spacing w:line="360" w:lineRule="auto"/>
        <w:widowControl/>
        <w:rPr>
          <w:rFonts w:ascii="黑体" w:hAnsi="黑体" w:eastAsia="黑体" w:cs="宋体"/>
          <w:sz w:val="24"/>
          <w:szCs w:val="24"/>
          <w:highlight w:val="none"/>
        </w:rPr>
      </w:pPr>
      <w:r>
        <w:rPr>
          <w:rFonts w:hint="eastAsia" w:ascii="黑体" w:hAnsi="黑体" w:eastAsia="黑体" w:cs="宋体"/>
          <w:sz w:val="24"/>
          <w:szCs w:val="24"/>
          <w:highlight w:val="none"/>
        </w:rPr>
        <w:t xml:space="preserve">（三）供应商主体信息库注册</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1.请有意参加本项目采购活动的供应商按以下流程进行操作：</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（1）访问“无锡政府采购网”点击“江苏省政府采购（</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）平台”（以下简称“</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（3）CA驱动下载：</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在“江苏省政府采购（</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w:t>
      </w:r>
      <w:r>
        <w:rPr>
          <w:rFonts w:hint="eastAsia" w:ascii="宋体" w:hAnsi="宋体"/>
          <w:bCs/>
          <w:sz w:val="24"/>
          <w:szCs w:val="24"/>
          <w:highlight w:val="none"/>
          <w:lang w:eastAsia="zh-CN"/>
        </w:rPr>
        <w:t xml:space="preserve">账号登录</w:t>
      </w:r>
      <w:r>
        <w:rPr>
          <w:rFonts w:hint="eastAsia" w:ascii="宋体" w:hAnsi="宋体"/>
          <w:bCs/>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技术服务电话：0510-81827781（服务时间：工作日 9:00-11:30，13:00-17:00）</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2.完成</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注册的供应商方可在</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中进行CA绑定。登录“江苏省政府采购（</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）平台”，插入CA后，点击【账号设置】——【绑定CA】。</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4.如供应商未按上述要求操作，由此所产生的损失及风险由供应商自行承担。具体操作步骤详见《“</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”系统供应商操作手册》（以下简称《操作手册》），下载地址：无锡市政府采购网——资料下载——</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w:t>
      </w:r>
      <w:r>
        <w:rPr>
          <w:rFonts w:hint="eastAsia" w:ascii="宋体" w:hAnsi="宋体"/>
          <w:bCs/>
          <w:sz w:val="24"/>
          <w:szCs w:val="24"/>
          <w:highlight w:val="none"/>
        </w:rPr>
        <w:fldChar w:fldCharType="begin"/>
      </w:r>
      <w:r>
        <w:rPr>
          <w:rFonts w:hint="eastAsia" w:ascii="宋体" w:hAnsi="宋体"/>
          <w:bCs/>
          <w:sz w:val="24"/>
          <w:szCs w:val="24"/>
          <w:highlight w:val="none"/>
        </w:rPr>
        <w:instrText xml:space="preserve">HYPERLINK "http://cz.wuxi.gov.cn/doc/2023/10/11/4080287.shtml" \t "_blank" \o "\“苏采云\”系统供应商操作手册"</w:instrText>
      </w:r>
      <w:r>
        <w:rPr>
          <w:rFonts w:hint="eastAsia" w:ascii="宋体" w:hAnsi="宋体"/>
          <w:bCs/>
          <w:sz w:val="24"/>
          <w:szCs w:val="24"/>
          <w:highlight w:val="none"/>
        </w:rPr>
        <w:fldChar w:fldCharType="separate"/>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w:t>
      </w:r>
      <w:r>
        <w:rPr>
          <w:rFonts w:hint="eastAsia" w:ascii="宋体" w:hAnsi="宋体"/>
          <w:bCs/>
          <w:sz w:val="24"/>
          <w:szCs w:val="24"/>
          <w:highlight w:val="none"/>
        </w:rPr>
        <w:fldChar w:fldCharType="end"/>
      </w:r>
      <w:r>
        <w:rPr>
          <w:rFonts w:hint="eastAsia"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技术支持QQ：田女士：3071474382 ；王先生：897651173。</w:t>
      </w:r>
      <w:r/>
    </w:p>
    <w:p>
      <w:pPr>
        <w:ind w:firstLine="480"/>
        <w:spacing w:line="360" w:lineRule="auto"/>
        <w:rPr>
          <w:rFonts w:hint="eastAsia" w:ascii="黑体" w:hAnsi="黑体" w:eastAsia="黑体"/>
          <w:bCs/>
          <w:sz w:val="24"/>
          <w:szCs w:val="24"/>
          <w:highlight w:val="none"/>
        </w:rPr>
      </w:pPr>
      <w:r>
        <w:rPr>
          <w:rFonts w:hint="eastAsia" w:ascii="黑体" w:hAnsi="黑体" w:eastAsia="黑体"/>
          <w:bCs/>
          <w:sz w:val="24"/>
          <w:szCs w:val="24"/>
          <w:highlight w:val="none"/>
        </w:rPr>
        <w:t xml:space="preserve">（四）完成项目报名，获取招标文件</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1.潜在投标供应商可在项目招标公告附件中查看公开招标文件，如确定投标，必须在</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平台（http://jszfcg.jscz.gov.cn/jszc/login）中免费下载公开招标文件（</w:t>
      </w:r>
      <w:r>
        <w:rPr>
          <w:rFonts w:hint="eastAsia" w:ascii="宋体" w:hAnsi="宋体"/>
          <w:color w:val="000000"/>
          <w:sz w:val="24"/>
          <w:highlight w:val="none"/>
        </w:rPr>
        <w:t xml:space="preserve">无锡政府采购网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江苏省政府采购（</w:t>
      </w:r>
      <w:r>
        <w:rPr>
          <w:rFonts w:hint="eastAsia" w:ascii="宋体" w:hAnsi="宋体"/>
          <w:color w:val="000000"/>
          <w:sz w:val="24"/>
          <w:highlight w:val="none"/>
          <w:lang w:eastAsia="zh-CN"/>
        </w:rPr>
        <w:t xml:space="preserve">苏采云</w:t>
      </w:r>
      <w:r>
        <w:rPr>
          <w:rFonts w:hint="eastAsia" w:ascii="宋体" w:hAnsi="宋体"/>
          <w:color w:val="000000"/>
          <w:sz w:val="24"/>
          <w:highlight w:val="none"/>
        </w:rPr>
        <w:t xml:space="preserve">）平台或“政府采购客户端（</w:t>
      </w:r>
      <w:r>
        <w:rPr>
          <w:rFonts w:hint="eastAsia" w:ascii="宋体" w:hAnsi="宋体"/>
          <w:color w:val="000000"/>
          <w:sz w:val="24"/>
          <w:highlight w:val="none"/>
          <w:lang w:eastAsia="zh-CN"/>
        </w:rPr>
        <w:t xml:space="preserve">苏采云</w:t>
      </w:r>
      <w:r>
        <w:rPr>
          <w:rFonts w:hint="eastAsia" w:ascii="宋体" w:hAnsi="宋体"/>
          <w:color w:val="000000"/>
          <w:sz w:val="24"/>
          <w:highlight w:val="none"/>
        </w:rPr>
        <w:t xml:space="preserve">）”</w:t>
      </w:r>
      <w:r>
        <w:rPr>
          <w:rFonts w:ascii="宋体" w:hAnsi="宋体"/>
          <w:color w:val="000000"/>
          <w:sz w:val="24"/>
          <w:highlight w:val="none"/>
        </w:rPr>
        <w:t xml:space="preserve">中免费下载文件（“项目参与”——找到需要获取</w:t>
      </w:r>
      <w:r>
        <w:rPr>
          <w:rFonts w:hint="eastAsia" w:ascii="宋体" w:hAnsi="宋体"/>
          <w:color w:val="000000"/>
          <w:sz w:val="24"/>
          <w:highlight w:val="none"/>
        </w:rPr>
        <w:t xml:space="preserve">招标文件</w:t>
      </w:r>
      <w:r>
        <w:rPr>
          <w:rFonts w:ascii="宋体" w:hAnsi="宋体"/>
          <w:color w:val="000000"/>
          <w:sz w:val="24"/>
          <w:highlight w:val="none"/>
        </w:rPr>
        <w:t xml:space="preserve">的项目，点击“我要参与”——“参与投标”</w:t>
      </w:r>
      <w:r>
        <w:rPr>
          <w:rFonts w:hint="eastAsia" w:ascii="宋体" w:hAnsi="宋体"/>
          <w:color w:val="000000"/>
          <w:sz w:val="24"/>
          <w:highlight w:val="none"/>
        </w:rPr>
        <w:t xml:space="preserve">——“</w:t>
      </w:r>
      <w:r>
        <w:rPr>
          <w:rFonts w:ascii="宋体" w:hAnsi="宋体"/>
          <w:color w:val="000000"/>
          <w:sz w:val="24"/>
          <w:highlight w:val="none"/>
        </w:rPr>
        <w:t xml:space="preserve">下载文件</w:t>
      </w:r>
      <w:r>
        <w:rPr>
          <w:rFonts w:hint="eastAsia" w:ascii="宋体" w:hAnsi="宋体"/>
          <w:color w:val="000000"/>
          <w:sz w:val="24"/>
          <w:highlight w:val="none"/>
        </w:rPr>
        <w:t xml:space="preserve">”</w:t>
      </w:r>
      <w:r>
        <w:rPr>
          <w:rFonts w:ascii="宋体" w:hAnsi="宋体"/>
          <w:color w:val="000000"/>
          <w:sz w:val="24"/>
          <w:highlight w:val="none"/>
        </w:rPr>
        <w:t xml:space="preserve">）</w:t>
      </w:r>
      <w:r>
        <w:rPr>
          <w:rFonts w:hint="eastAsia" w:ascii="宋体" w:hAnsi="宋体"/>
          <w:bCs/>
          <w:sz w:val="24"/>
          <w:szCs w:val="24"/>
          <w:highlight w:val="none"/>
        </w:rPr>
        <w:t xml:space="preserve">），完成项目报名，将</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平台中下载的招标文件（后缀名为“.kedt”）导入到“政府采购客户端”，离线按要求编制并加密投标文件（使用“CA数字证书”），导出加密的投标文件（后缀名为zip，不得超过150M）并在</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平台上传该加密的投标文件，对招标文件各项内容做出实质性响应，否则其投标文件无效。</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2.招标文件（后缀名为“.kedt”）、“</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”系统供应商操作手册及政府采购客户端工具也可通过“</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已参与项目</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报名详情页面内相应链接进行下载。</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3.政府采购客户端工具及“</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”系统供应商操作手册可访问江苏政府采购网</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办事指南</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“资料下载”进行下载《“</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”系统供应商操作手册及政府采购客户端工具》或可至无锡政府采购网</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下载专区</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”栏目下载《“</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w:t>
      </w:r>
      <w:r/>
    </w:p>
    <w:p>
      <w:pPr>
        <w:ind w:left="-58" w:firstLine="480"/>
        <w:spacing w:line="360" w:lineRule="auto"/>
        <w:rPr>
          <w:rFonts w:ascii="黑体" w:hAnsi="黑体" w:eastAsia="黑体" w:cs="宋体"/>
          <w:sz w:val="24"/>
          <w:szCs w:val="24"/>
          <w:highlight w:val="none"/>
        </w:rPr>
      </w:pPr>
      <w:r>
        <w:rPr>
          <w:rFonts w:hint="eastAsia" w:ascii="黑体" w:hAnsi="黑体" w:eastAsia="黑体" w:cs="宋体"/>
          <w:sz w:val="24"/>
          <w:szCs w:val="24"/>
          <w:highlight w:val="none"/>
        </w:rPr>
        <w:t xml:space="preserve">（五）公开答疑时间、地点</w:t>
      </w:r>
      <w:r/>
    </w:p>
    <w:p>
      <w:pPr>
        <w:ind w:firstLine="480"/>
        <w:jc w:val="left"/>
        <w:spacing w:line="360" w:lineRule="auto"/>
        <w:widowControl/>
        <w:rPr>
          <w:rFonts w:ascii="宋体" w:hAnsi="宋体"/>
          <w:sz w:val="24"/>
          <w:szCs w:val="24"/>
          <w:highlight w:val="none"/>
        </w:rPr>
      </w:pPr>
      <w:r>
        <w:rPr>
          <w:rFonts w:hint="eastAsia" w:ascii="宋体" w:hAnsi="宋体"/>
          <w:bCs/>
          <w:sz w:val="24"/>
          <w:szCs w:val="24"/>
          <w:highlight w:val="none"/>
        </w:rPr>
        <w:t xml:space="preserve">采购人、</w:t>
      </w:r>
      <w:r>
        <w:rPr>
          <w:rFonts w:hint="eastAsia" w:ascii="宋体" w:hAnsi="宋体"/>
          <w:sz w:val="24"/>
          <w:szCs w:val="24"/>
          <w:highlight w:val="none"/>
          <w:lang w:eastAsia="zh-CN"/>
        </w:rPr>
        <w:t xml:space="preserve">无锡城兴绿碳全过程工程咨询有限公司</w:t>
      </w:r>
      <w:r>
        <w:rPr>
          <w:rFonts w:hint="eastAsia" w:ascii="宋体" w:hAnsi="宋体"/>
          <w:bCs/>
          <w:sz w:val="24"/>
          <w:szCs w:val="24"/>
          <w:highlight w:val="none"/>
        </w:rPr>
        <w:t xml:space="preserve">将以线上不见面、电话咨询、传真等方式开展线上答疑服务。截止至</w:t>
      </w:r>
      <w:r>
        <w:rPr>
          <w:rFonts w:hint="eastAsia" w:ascii="宋体" w:hAnsi="宋体" w:cs="宋体"/>
          <w:color w:val="0000ff"/>
          <w:sz w:val="24"/>
          <w:szCs w:val="24"/>
          <w:highlight w:val="none"/>
          <w:lang w:eastAsia="zh-CN"/>
        </w:rPr>
        <w:t xml:space="preserve">2024年</w:t>
      </w:r>
      <w:r>
        <w:rPr>
          <w:rFonts w:hint="eastAsia" w:ascii="宋体" w:hAnsi="宋体" w:cs="宋体"/>
          <w:color w:val="0000ff"/>
          <w:sz w:val="24"/>
          <w:szCs w:val="24"/>
          <w:highlight w:val="none"/>
          <w:lang w:val="en-US" w:eastAsia="zh-CN"/>
        </w:rPr>
        <w:t xml:space="preserve">9</w:t>
      </w:r>
      <w:r>
        <w:rPr>
          <w:rFonts w:hint="eastAsia" w:ascii="宋体" w:hAnsi="宋体" w:cs="宋体"/>
          <w:color w:val="0000ff"/>
          <w:sz w:val="24"/>
          <w:szCs w:val="24"/>
          <w:highlight w:val="none"/>
          <w:lang w:eastAsia="zh-CN"/>
        </w:rPr>
        <w:t xml:space="preserve">月</w:t>
      </w:r>
      <w:r>
        <w:rPr>
          <w:rFonts w:hint="eastAsia" w:ascii="宋体" w:hAnsi="宋体" w:cs="宋体"/>
          <w:color w:val="0000ff"/>
          <w:sz w:val="24"/>
          <w:szCs w:val="24"/>
          <w:highlight w:val="none"/>
          <w:lang w:val="en-US" w:eastAsia="zh-CN"/>
        </w:rPr>
        <w:t xml:space="preserve">13</w:t>
      </w:r>
      <w:r>
        <w:rPr>
          <w:rFonts w:hint="eastAsia" w:ascii="宋体" w:hAnsi="宋体" w:cs="宋体"/>
          <w:color w:val="0000ff"/>
          <w:sz w:val="24"/>
          <w:szCs w:val="24"/>
          <w:highlight w:val="none"/>
          <w:lang w:eastAsia="zh-CN"/>
        </w:rPr>
        <w:t xml:space="preserve">日</w:t>
      </w:r>
      <w:r>
        <w:rPr>
          <w:rFonts w:hint="eastAsia" w:ascii="宋体" w:hAnsi="宋体" w:cs="宋体"/>
          <w:color w:val="0000ff"/>
          <w:sz w:val="24"/>
          <w:szCs w:val="24"/>
          <w:highlight w:val="none"/>
        </w:rPr>
        <w:t xml:space="preserve">10:00</w:t>
      </w:r>
      <w:r>
        <w:rPr>
          <w:rFonts w:hint="eastAsia" w:ascii="宋体" w:hAnsi="宋体" w:cs="宋体"/>
          <w:sz w:val="24"/>
          <w:szCs w:val="24"/>
          <w:highlight w:val="none"/>
        </w:rPr>
        <w:t xml:space="preserve">前，</w:t>
      </w:r>
      <w:r>
        <w:rPr>
          <w:rFonts w:hint="eastAsia" w:ascii="宋体" w:hAnsi="宋体"/>
          <w:bCs/>
          <w:sz w:val="24"/>
          <w:szCs w:val="24"/>
          <w:highlight w:val="none"/>
        </w:rPr>
        <w:t xml:space="preserve">有关单位对于招标文件的相关事项如有疑问可通过上述方式咨询；</w:t>
      </w:r>
      <w:r>
        <w:rPr>
          <w:rFonts w:hint="eastAsia" w:ascii="宋体" w:hAnsi="宋体"/>
          <w:sz w:val="24"/>
          <w:szCs w:val="24"/>
          <w:highlight w:val="none"/>
        </w:rPr>
        <w:t xml:space="preserve">投标供应商如有需要对招标文件要求澄清的问题，请以书面形式</w:t>
      </w:r>
      <w:r>
        <w:rPr>
          <w:rFonts w:hint="eastAsia" w:ascii="宋体" w:hAnsi="宋体"/>
          <w:b/>
          <w:bCs/>
          <w:sz w:val="24"/>
          <w:szCs w:val="24"/>
          <w:highlight w:val="none"/>
        </w:rPr>
        <w:t xml:space="preserve">（必须加盖投标供应商公章，也请务必留下联系方式，以便回复）</w:t>
      </w:r>
      <w:r>
        <w:rPr>
          <w:rFonts w:hint="eastAsia" w:ascii="宋体" w:hAnsi="宋体"/>
          <w:sz w:val="24"/>
          <w:szCs w:val="24"/>
          <w:highlight w:val="none"/>
        </w:rPr>
        <w:t xml:space="preserve">提出</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JSZC-320214-CXLT-G2024-0005</w:t>
      </w:r>
      <w:r>
        <w:rPr>
          <w:rFonts w:hint="eastAsia" w:ascii="宋体" w:hAnsi="宋体" w:cs="宋体"/>
          <w:sz w:val="24"/>
          <w:szCs w:val="24"/>
          <w:highlight w:val="none"/>
        </w:rPr>
        <w:t xml:space="preserve">项目需澄清问题”</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并于答疑</w:t>
      </w:r>
      <w:r>
        <w:rPr>
          <w:rFonts w:hint="eastAsia" w:ascii="宋体" w:hAnsi="宋体" w:cs="宋体"/>
          <w:bCs/>
          <w:sz w:val="24"/>
          <w:szCs w:val="24"/>
          <w:highlight w:val="none"/>
        </w:rPr>
        <w:t xml:space="preserve">截止时间前</w:t>
      </w:r>
      <w:r>
        <w:rPr>
          <w:rFonts w:hint="eastAsia" w:ascii="宋体" w:hAnsi="宋体" w:cs="宋体"/>
          <w:sz w:val="24"/>
          <w:szCs w:val="24"/>
          <w:highlight w:val="none"/>
        </w:rPr>
        <w:t xml:space="preserve">传真给项目联</w:t>
      </w:r>
      <w:r>
        <w:rPr>
          <w:rFonts w:hint="eastAsia" w:ascii="宋体" w:hAnsi="宋体"/>
          <w:sz w:val="24"/>
          <w:szCs w:val="24"/>
          <w:highlight w:val="none"/>
        </w:rPr>
        <w:t xml:space="preserve">系人</w:t>
      </w:r>
      <w:r>
        <w:rPr>
          <w:rFonts w:hint="eastAsia" w:ascii="宋体" w:hAnsi="宋体"/>
          <w:bCs/>
          <w:sz w:val="24"/>
          <w:szCs w:val="24"/>
          <w:highlight w:val="none"/>
        </w:rPr>
        <w:t xml:space="preserve">。若未在法定时间内提出澄清，由此造成的损失及风险由投标供应商自行承担。</w:t>
      </w:r>
      <w:r/>
    </w:p>
    <w:p>
      <w:pPr>
        <w:ind w:firstLine="480"/>
        <w:jc w:val="left"/>
        <w:spacing w:line="360" w:lineRule="auto"/>
        <w:widowControl/>
        <w:rPr>
          <w:rFonts w:ascii="黑体" w:hAnsi="黑体" w:eastAsia="黑体" w:cs="宋体"/>
          <w:sz w:val="24"/>
          <w:szCs w:val="24"/>
          <w:highlight w:val="none"/>
        </w:rPr>
      </w:pPr>
      <w:r>
        <w:rPr>
          <w:rFonts w:hint="eastAsia" w:ascii="黑体" w:hAnsi="黑体" w:eastAsia="黑体" w:cs="宋体"/>
          <w:sz w:val="24"/>
          <w:szCs w:val="24"/>
          <w:highlight w:val="none"/>
        </w:rPr>
        <w:t xml:space="preserve">（六）网上投标及开标、定标时间、地点</w:t>
      </w:r>
      <w:r/>
    </w:p>
    <w:p>
      <w:pPr>
        <w:ind w:firstLine="480"/>
        <w:jc w:val="left"/>
        <w:spacing w:line="360" w:lineRule="auto"/>
        <w:widowControl/>
        <w:rPr>
          <w:rFonts w:ascii="宋体" w:hAnsi="宋体" w:eastAsia="黑体" w:cs="宋体"/>
          <w:sz w:val="24"/>
          <w:szCs w:val="24"/>
          <w:highlight w:val="none"/>
        </w:rPr>
      </w:pPr>
      <w:r>
        <w:rPr>
          <w:rFonts w:hint="eastAsia" w:ascii="黑体" w:hAnsi="黑体" w:eastAsia="黑体" w:cs="宋体"/>
          <w:sz w:val="24"/>
          <w:szCs w:val="24"/>
          <w:highlight w:val="none"/>
        </w:rPr>
        <w:t xml:space="preserve">本项目进行线上不见面采购活动，供应商准备好制作标书的笔记本电脑、CA锁（政务CA），登录</w:t>
      </w:r>
      <w:r>
        <w:rPr>
          <w:rFonts w:hint="eastAsia" w:ascii="黑体" w:hAnsi="黑体" w:eastAsia="黑体" w:cs="宋体"/>
          <w:sz w:val="24"/>
          <w:szCs w:val="24"/>
          <w:highlight w:val="none"/>
          <w:lang w:eastAsia="zh-CN"/>
        </w:rPr>
        <w:t xml:space="preserve">苏采云</w:t>
      </w:r>
      <w:r>
        <w:rPr>
          <w:rFonts w:hint="eastAsia" w:ascii="黑体" w:hAnsi="黑体" w:eastAsia="黑体" w:cs="宋体"/>
          <w:sz w:val="24"/>
          <w:szCs w:val="24"/>
          <w:highlight w:val="none"/>
        </w:rPr>
        <w:t xml:space="preserve">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sz w:val="24"/>
          <w:szCs w:val="24"/>
          <w:highlight w:val="none"/>
          <w:lang w:eastAsia="zh-CN"/>
        </w:rPr>
        <w:t xml:space="preserve">苏采云</w:t>
      </w:r>
      <w:r>
        <w:rPr>
          <w:rFonts w:hint="eastAsia" w:ascii="黑体" w:hAnsi="黑体" w:eastAsia="黑体" w:cs="宋体"/>
          <w:sz w:val="24"/>
          <w:szCs w:val="24"/>
          <w:highlight w:val="none"/>
        </w:rPr>
        <w:t xml:space="preserve">”系统供应商操作手册》）。</w:t>
      </w:r>
      <w:r/>
    </w:p>
    <w:p>
      <w:pPr>
        <w:ind w:firstLine="480"/>
        <w:jc w:val="left"/>
        <w:spacing w:line="360" w:lineRule="auto"/>
        <w:widowControl/>
        <w:rPr>
          <w:rFonts w:ascii="宋体" w:hAnsi="宋体"/>
          <w:sz w:val="24"/>
          <w:szCs w:val="24"/>
          <w:highlight w:val="none"/>
        </w:rPr>
      </w:pPr>
      <w:r>
        <w:rPr>
          <w:rFonts w:hint="eastAsia" w:ascii="宋体" w:hAnsi="宋体" w:cs="宋体"/>
          <w:sz w:val="24"/>
          <w:szCs w:val="24"/>
          <w:highlight w:val="none"/>
        </w:rPr>
        <w:t xml:space="preserve">网上投标截止时间：</w:t>
      </w:r>
      <w:r>
        <w:rPr>
          <w:rFonts w:hint="eastAsia" w:ascii="宋体" w:hAnsi="宋体" w:cs="宋体"/>
          <w:color w:val="0000ff"/>
          <w:sz w:val="24"/>
          <w:szCs w:val="24"/>
          <w:highlight w:val="none"/>
          <w:lang w:eastAsia="zh-CN"/>
        </w:rPr>
        <w:t xml:space="preserve">2024年</w:t>
      </w:r>
      <w:r>
        <w:rPr>
          <w:rFonts w:hint="eastAsia" w:ascii="宋体" w:hAnsi="宋体" w:cs="宋体"/>
          <w:color w:val="0000ff"/>
          <w:sz w:val="24"/>
          <w:szCs w:val="24"/>
          <w:highlight w:val="none"/>
          <w:lang w:val="en-US" w:eastAsia="zh-CN"/>
        </w:rPr>
        <w:t xml:space="preserve">9</w:t>
      </w:r>
      <w:r>
        <w:rPr>
          <w:rFonts w:hint="eastAsia" w:ascii="宋体" w:hAnsi="宋体" w:cs="宋体"/>
          <w:color w:val="0000ff"/>
          <w:sz w:val="24"/>
          <w:szCs w:val="24"/>
          <w:highlight w:val="none"/>
          <w:lang w:eastAsia="zh-CN"/>
        </w:rPr>
        <w:t xml:space="preserve">月</w:t>
      </w:r>
      <w:r>
        <w:rPr>
          <w:rFonts w:hint="eastAsia" w:ascii="宋体" w:hAnsi="宋体" w:cs="宋体"/>
          <w:color w:val="0000ff"/>
          <w:sz w:val="24"/>
          <w:szCs w:val="24"/>
          <w:highlight w:val="none"/>
          <w:lang w:val="en-US" w:eastAsia="zh-CN"/>
        </w:rPr>
        <w:t xml:space="preserve">29</w:t>
      </w:r>
      <w:r>
        <w:rPr>
          <w:rFonts w:hint="eastAsia" w:ascii="宋体" w:hAnsi="宋体" w:cs="宋体"/>
          <w:color w:val="0000ff"/>
          <w:sz w:val="24"/>
          <w:szCs w:val="24"/>
          <w:highlight w:val="none"/>
          <w:lang w:eastAsia="zh-CN"/>
        </w:rPr>
        <w:t xml:space="preserve">日</w:t>
      </w:r>
      <w:r>
        <w:rPr>
          <w:rFonts w:hint="eastAsia" w:ascii="宋体" w:hAnsi="宋体" w:cs="宋体"/>
          <w:color w:val="0000ff"/>
          <w:sz w:val="24"/>
          <w:szCs w:val="24"/>
          <w:highlight w:val="none"/>
          <w:lang w:val="en-US" w:eastAsia="zh-CN"/>
        </w:rPr>
        <w:t xml:space="preserve">9</w:t>
      </w:r>
      <w:r>
        <w:rPr>
          <w:rFonts w:hint="eastAsia" w:ascii="宋体" w:hAnsi="宋体" w:cs="宋体"/>
          <w:color w:val="0000ff"/>
          <w:sz w:val="24"/>
          <w:szCs w:val="24"/>
          <w:highlight w:val="none"/>
        </w:rPr>
        <w:t xml:space="preserve">:</w:t>
      </w:r>
      <w:r>
        <w:rPr>
          <w:rFonts w:hint="eastAsia" w:ascii="宋体" w:hAnsi="宋体" w:cs="宋体"/>
          <w:color w:val="0000ff"/>
          <w:sz w:val="24"/>
          <w:szCs w:val="24"/>
          <w:highlight w:val="none"/>
          <w:lang w:val="en-US" w:eastAsia="zh-CN"/>
        </w:rPr>
        <w:t xml:space="preserve">30</w:t>
      </w:r>
      <w:r>
        <w:rPr>
          <w:rFonts w:hint="eastAsia" w:ascii="宋体" w:hAnsi="宋体" w:cs="宋体"/>
          <w:sz w:val="24"/>
          <w:szCs w:val="24"/>
          <w:highlight w:val="none"/>
        </w:rPr>
        <w:t xml:space="preserve">（投标</w:t>
      </w:r>
      <w:r>
        <w:rPr>
          <w:rFonts w:hint="eastAsia" w:ascii="宋体" w:hAnsi="宋体"/>
          <w:sz w:val="24"/>
          <w:szCs w:val="24"/>
          <w:highlight w:val="none"/>
        </w:rPr>
        <w:t xml:space="preserve">截止时间后的投标文件恕不接受</w:t>
      </w:r>
      <w:r>
        <w:rPr>
          <w:rFonts w:hint="eastAsia" w:ascii="宋体" w:hAnsi="宋体" w:cs="宋体"/>
          <w:sz w:val="24"/>
          <w:szCs w:val="24"/>
          <w:highlight w:val="none"/>
        </w:rPr>
        <w:t xml:space="preserve">）</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网上投标解密时间：</w:t>
      </w:r>
      <w:r>
        <w:rPr>
          <w:rFonts w:hint="eastAsia" w:ascii="宋体" w:hAnsi="宋体" w:cs="宋体"/>
          <w:color w:val="0000ff"/>
          <w:sz w:val="24"/>
          <w:szCs w:val="24"/>
          <w:highlight w:val="none"/>
          <w:lang w:eastAsia="zh-CN"/>
        </w:rPr>
        <w:t xml:space="preserve">2024年</w:t>
      </w:r>
      <w:r>
        <w:rPr>
          <w:rFonts w:hint="eastAsia" w:ascii="宋体" w:hAnsi="宋体" w:cs="宋体"/>
          <w:color w:val="0000ff"/>
          <w:sz w:val="24"/>
          <w:szCs w:val="24"/>
          <w:highlight w:val="none"/>
          <w:lang w:val="en-US" w:eastAsia="zh-CN"/>
        </w:rPr>
        <w:t xml:space="preserve">9</w:t>
      </w:r>
      <w:r>
        <w:rPr>
          <w:rFonts w:hint="eastAsia" w:ascii="宋体" w:hAnsi="宋体" w:cs="宋体"/>
          <w:color w:val="0000ff"/>
          <w:sz w:val="24"/>
          <w:szCs w:val="24"/>
          <w:highlight w:val="none"/>
          <w:lang w:eastAsia="zh-CN"/>
        </w:rPr>
        <w:t xml:space="preserve">月</w:t>
      </w:r>
      <w:r>
        <w:rPr>
          <w:rFonts w:hint="eastAsia" w:ascii="宋体" w:hAnsi="宋体" w:cs="宋体"/>
          <w:color w:val="0000ff"/>
          <w:sz w:val="24"/>
          <w:szCs w:val="24"/>
          <w:highlight w:val="none"/>
          <w:lang w:val="en-US" w:eastAsia="zh-CN"/>
        </w:rPr>
        <w:t xml:space="preserve">29</w:t>
      </w:r>
      <w:r>
        <w:rPr>
          <w:rFonts w:hint="eastAsia" w:ascii="宋体" w:hAnsi="宋体" w:cs="宋体"/>
          <w:color w:val="0000ff"/>
          <w:sz w:val="24"/>
          <w:szCs w:val="24"/>
          <w:highlight w:val="none"/>
          <w:lang w:eastAsia="zh-CN"/>
        </w:rPr>
        <w:t xml:space="preserve">日</w:t>
      </w:r>
      <w:r>
        <w:rPr>
          <w:rFonts w:hint="eastAsia" w:ascii="宋体" w:hAnsi="宋体" w:cs="宋体"/>
          <w:sz w:val="24"/>
          <w:szCs w:val="24"/>
          <w:highlight w:val="none"/>
        </w:rPr>
        <w:t xml:space="preserve">开启解密后半小时。</w:t>
      </w:r>
      <w:r/>
    </w:p>
    <w:p>
      <w:pPr>
        <w:ind w:firstLine="480"/>
        <w:jc w:val="left"/>
        <w:spacing w:line="360" w:lineRule="auto"/>
        <w:widowControl/>
        <w:rPr>
          <w:rFonts w:hint="eastAsia" w:ascii="宋体" w:hAnsi="宋体"/>
          <w:bCs/>
          <w:sz w:val="24"/>
          <w:szCs w:val="24"/>
          <w:highlight w:val="none"/>
        </w:rPr>
      </w:pPr>
      <w:r>
        <w:rPr>
          <w:rFonts w:hint="eastAsia" w:ascii="宋体" w:hAnsi="宋体"/>
          <w:sz w:val="24"/>
          <w:szCs w:val="24"/>
          <w:highlight w:val="none"/>
        </w:rPr>
        <w:t xml:space="preserve">投标及开标地点：网上线上投标。</w:t>
      </w:r>
      <w:r>
        <w:rPr>
          <w:rFonts w:ascii="宋体" w:hAnsi="宋体"/>
          <w:sz w:val="24"/>
          <w:szCs w:val="24"/>
          <w:highlight w:val="none"/>
        </w:rPr>
        <w:t xml:space="preserve"> </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定标时间：评标结束</w:t>
      </w:r>
      <w:r/>
    </w:p>
    <w:p>
      <w:pPr>
        <w:ind w:firstLine="480"/>
        <w:jc w:val="left"/>
        <w:spacing w:line="360" w:lineRule="auto"/>
        <w:widowControl/>
        <w:rPr>
          <w:rFonts w:ascii="宋体" w:hAnsi="宋体" w:cs="宋体"/>
          <w:sz w:val="24"/>
          <w:szCs w:val="24"/>
          <w:highlight w:val="none"/>
        </w:rPr>
      </w:pPr>
      <w:r>
        <w:rPr>
          <w:rFonts w:hint="eastAsia" w:ascii="宋体" w:hAnsi="宋体"/>
          <w:bCs/>
          <w:sz w:val="24"/>
          <w:szCs w:val="24"/>
          <w:highlight w:val="none"/>
        </w:rPr>
        <w:t xml:space="preserve">定标地点：</w:t>
      </w:r>
      <w:r>
        <w:rPr>
          <w:rFonts w:hint="eastAsia" w:ascii="宋体" w:hAnsi="宋体"/>
          <w:sz w:val="24"/>
          <w:szCs w:val="24"/>
          <w:highlight w:val="none"/>
        </w:rPr>
        <w:t xml:space="preserve">无锡市公共资源交易中心新吴分中心评标室</w:t>
      </w:r>
      <w:r/>
    </w:p>
    <w:p>
      <w:pPr>
        <w:ind w:firstLine="480"/>
        <w:spacing w:line="360" w:lineRule="auto"/>
        <w:rPr>
          <w:rFonts w:ascii="宋体"/>
          <w:bCs/>
          <w:sz w:val="24"/>
          <w:szCs w:val="24"/>
          <w:highlight w:val="none"/>
        </w:rPr>
      </w:pPr>
      <w:r>
        <w:rPr>
          <w:rFonts w:hint="eastAsia" w:ascii="黑体" w:hAnsi="黑体" w:eastAsia="黑体"/>
          <w:bCs/>
          <w:sz w:val="24"/>
          <w:szCs w:val="24"/>
          <w:highlight w:val="none"/>
        </w:rPr>
        <w:t xml:space="preserve">（七）投标有效期：</w:t>
      </w:r>
      <w:r>
        <w:rPr>
          <w:rFonts w:hint="eastAsia" w:ascii="宋体" w:hAnsi="宋体"/>
          <w:bCs/>
          <w:sz w:val="24"/>
          <w:szCs w:val="24"/>
          <w:highlight w:val="none"/>
        </w:rPr>
        <w:t xml:space="preserve">开标之日起</w:t>
      </w:r>
      <w:r>
        <w:rPr>
          <w:rFonts w:ascii="宋体" w:hAnsi="宋体"/>
          <w:bCs/>
          <w:sz w:val="24"/>
          <w:szCs w:val="24"/>
          <w:highlight w:val="none"/>
        </w:rPr>
        <w:t xml:space="preserve">90</w:t>
      </w:r>
      <w:r>
        <w:rPr>
          <w:rFonts w:hint="eastAsia" w:ascii="宋体" w:hAnsi="宋体"/>
          <w:bCs/>
          <w:sz w:val="24"/>
          <w:szCs w:val="24"/>
          <w:highlight w:val="none"/>
        </w:rPr>
        <w:t xml:space="preserve">天</w:t>
      </w:r>
      <w:r/>
    </w:p>
    <w:p>
      <w:pPr>
        <w:ind w:firstLine="480"/>
        <w:spacing w:line="360" w:lineRule="auto"/>
        <w:rPr>
          <w:rFonts w:ascii="黑体" w:hAnsi="黑体" w:eastAsia="黑体"/>
          <w:bCs/>
          <w:sz w:val="24"/>
          <w:szCs w:val="24"/>
          <w:highlight w:val="none"/>
        </w:rPr>
      </w:pPr>
      <w:r>
        <w:rPr>
          <w:rFonts w:hint="eastAsia" w:ascii="黑体" w:hAnsi="黑体" w:eastAsia="黑体"/>
          <w:bCs/>
          <w:sz w:val="24"/>
          <w:szCs w:val="24"/>
          <w:highlight w:val="none"/>
        </w:rPr>
        <w:t xml:space="preserve">（八）采购方法：</w:t>
      </w:r>
      <w:r/>
    </w:p>
    <w:p>
      <w:pPr>
        <w:ind w:firstLine="480"/>
        <w:spacing w:line="360" w:lineRule="auto"/>
        <w:rPr>
          <w:rFonts w:ascii="黑体" w:hAnsi="黑体" w:eastAsia="黑体"/>
          <w:bCs/>
          <w:sz w:val="24"/>
          <w:szCs w:val="24"/>
          <w:highlight w:val="none"/>
        </w:rPr>
      </w:pPr>
      <w:r>
        <w:rPr>
          <w:rFonts w:hint="eastAsia" w:ascii="宋体" w:hAnsi="宋体"/>
          <w:sz w:val="24"/>
          <w:szCs w:val="24"/>
          <w:highlight w:val="none"/>
        </w:rPr>
        <w:t xml:space="preserve">本次采购采用《</w:t>
      </w:r>
      <w:r>
        <w:rPr>
          <w:rFonts w:hint="eastAsia" w:ascii="宋体" w:hAnsi="宋体"/>
          <w:bCs/>
          <w:sz w:val="24"/>
          <w:szCs w:val="24"/>
          <w:highlight w:val="none"/>
        </w:rPr>
        <w:t xml:space="preserve">江苏省政府采购（</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w:t>
      </w:r>
      <w:r>
        <w:rPr>
          <w:rFonts w:hint="eastAsia" w:ascii="宋体" w:hAnsi="宋体"/>
          <w:sz w:val="24"/>
          <w:szCs w:val="24"/>
          <w:highlight w:val="none"/>
        </w:rPr>
        <w:t xml:space="preserve">》进行招标投标活动，招标、投标、评标和中标结果发布全程电子化。</w:t>
      </w:r>
      <w:r/>
    </w:p>
    <w:p>
      <w:pPr>
        <w:ind w:firstLine="480"/>
        <w:spacing w:line="360" w:lineRule="auto"/>
        <w:rPr>
          <w:rFonts w:ascii="黑体" w:hAnsi="黑体" w:eastAsia="黑体"/>
          <w:bCs/>
          <w:sz w:val="24"/>
          <w:szCs w:val="24"/>
          <w:highlight w:val="none"/>
        </w:rPr>
      </w:pPr>
      <w:r>
        <w:rPr>
          <w:rFonts w:hint="eastAsia" w:ascii="黑体" w:hAnsi="黑体" w:eastAsia="黑体"/>
          <w:bCs/>
          <w:sz w:val="24"/>
          <w:szCs w:val="24"/>
          <w:highlight w:val="none"/>
          <w:lang w:eastAsia="zh-CN"/>
        </w:rPr>
        <w:t xml:space="preserve">（</w:t>
      </w:r>
      <w:r>
        <w:rPr>
          <w:rFonts w:hint="eastAsia" w:ascii="黑体" w:hAnsi="黑体" w:eastAsia="黑体"/>
          <w:bCs/>
          <w:sz w:val="24"/>
          <w:szCs w:val="24"/>
          <w:highlight w:val="none"/>
        </w:rPr>
        <w:t xml:space="preserve">九</w:t>
      </w:r>
      <w:r>
        <w:rPr>
          <w:rFonts w:hint="eastAsia" w:ascii="黑体" w:hAnsi="黑体" w:eastAsia="黑体"/>
          <w:bCs/>
          <w:sz w:val="24"/>
          <w:szCs w:val="24"/>
          <w:highlight w:val="none"/>
          <w:lang w:eastAsia="zh-CN"/>
        </w:rPr>
        <w:t xml:space="preserve">）</w:t>
      </w:r>
      <w:r>
        <w:rPr>
          <w:rFonts w:hint="eastAsia" w:ascii="黑体" w:hAnsi="黑体" w:eastAsia="黑体"/>
          <w:bCs/>
          <w:sz w:val="24"/>
          <w:szCs w:val="24"/>
          <w:highlight w:val="none"/>
        </w:rPr>
        <w:t xml:space="preserve">本次采购联系方式</w:t>
      </w:r>
      <w:r/>
    </w:p>
    <w:p>
      <w:pPr>
        <w:pStyle w:val="1205"/>
        <w:ind w:firstLine="480"/>
        <w:spacing w:before="0" w:beforeAutospacing="0" w:after="0" w:afterAutospacing="0" w:line="460" w:lineRule="exact"/>
        <w:tabs>
          <w:tab w:val="left" w:pos="0" w:leader="none"/>
        </w:tabs>
        <w:rPr>
          <w:rFonts w:cs="宋体"/>
          <w:highlight w:val="none"/>
          <w:lang w:val="zh-CN"/>
        </w:rPr>
      </w:pPr>
      <w:r>
        <w:rPr>
          <w:rFonts w:hint="eastAsia" w:cs="宋体"/>
          <w:highlight w:val="none"/>
          <w:lang w:val="zh-CN"/>
        </w:rPr>
        <w:t xml:space="preserve">有关本次采购活动程序方面的问题，可来人、来函（传真）或电话联系。</w:t>
      </w:r>
      <w:r/>
    </w:p>
    <w:p>
      <w:pPr>
        <w:pStyle w:val="1205"/>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采购人：无锡市新吴区人民政府鸿山街道办事处</w:t>
      </w:r>
      <w:r/>
    </w:p>
    <w:p>
      <w:pPr>
        <w:pStyle w:val="1205"/>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采购人统一信用代码：11320214014038640X</w:t>
      </w:r>
      <w:r/>
    </w:p>
    <w:p>
      <w:pPr>
        <w:pStyle w:val="1205"/>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采购人地址：无锡市新吴区鸿山街道锦鸿路1号 </w:t>
      </w:r>
      <w:r/>
    </w:p>
    <w:p>
      <w:pPr>
        <w:pStyle w:val="1205"/>
        <w:ind w:firstLine="480"/>
        <w:spacing w:before="0" w:beforeAutospacing="0" w:after="0" w:afterAutospacing="0" w:line="460" w:lineRule="exact"/>
        <w:tabs>
          <w:tab w:val="left" w:pos="0" w:leader="none"/>
        </w:tabs>
        <w:rPr>
          <w:rFonts w:hint="eastAsia" w:eastAsia="宋体" w:cs="宋体"/>
          <w:highlight w:val="none"/>
          <w:lang w:val="en-US" w:eastAsia="zh-CN"/>
        </w:rPr>
      </w:pPr>
      <w:r>
        <w:rPr>
          <w:rFonts w:hint="eastAsia" w:cs="宋体"/>
          <w:highlight w:val="none"/>
          <w:lang w:val="zh-CN"/>
        </w:rPr>
        <w:t xml:space="preserve">联系人：</w:t>
      </w:r>
      <w:r>
        <w:rPr>
          <w:rFonts w:hint="eastAsia" w:cs="宋体"/>
          <w:highlight w:val="none"/>
          <w:lang w:val="en-US" w:eastAsia="zh-CN"/>
        </w:rPr>
        <w:t xml:space="preserve">沈小军</w:t>
      </w:r>
      <w:r/>
    </w:p>
    <w:p>
      <w:pPr>
        <w:pStyle w:val="1205"/>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联系电话：0510-88991506</w:t>
      </w:r>
      <w:r/>
    </w:p>
    <w:p>
      <w:pPr>
        <w:pStyle w:val="1205"/>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采购代理机构：无锡城兴绿碳全过程工程咨询有限公司</w:t>
      </w:r>
      <w:r/>
    </w:p>
    <w:p>
      <w:pPr>
        <w:ind w:firstLine="48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代理机构统一社会信用代码：91320211MA27L8HP69</w:t>
      </w:r>
      <w:r/>
    </w:p>
    <w:p>
      <w:pPr>
        <w:pStyle w:val="1205"/>
        <w:ind w:firstLine="480"/>
        <w:spacing w:before="0" w:beforeAutospacing="0" w:after="0" w:afterAutospacing="0" w:line="460" w:lineRule="exact"/>
        <w:tabs>
          <w:tab w:val="left" w:pos="0" w:leader="none"/>
        </w:tabs>
        <w:rPr>
          <w:rFonts w:eastAsia="宋体" w:cs="宋体"/>
          <w:highlight w:val="none"/>
          <w:lang w:val="en-US" w:eastAsia="zh-CN"/>
        </w:rPr>
      </w:pPr>
      <w:r>
        <w:rPr>
          <w:rFonts w:hint="eastAsia" w:cs="宋体"/>
          <w:highlight w:val="none"/>
          <w:lang w:val="zh-CN"/>
        </w:rPr>
        <w:t xml:space="preserve">联系人：</w:t>
      </w:r>
      <w:r>
        <w:rPr>
          <w:rFonts w:hint="eastAsia" w:cs="宋体"/>
          <w:highlight w:val="none"/>
          <w:lang w:val="en-US" w:eastAsia="zh-CN"/>
        </w:rPr>
        <w:t xml:space="preserve">朱莉、刘娟</w:t>
      </w:r>
      <w:r/>
    </w:p>
    <w:p>
      <w:pPr>
        <w:pStyle w:val="1205"/>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联系电话：</w:t>
      </w:r>
      <w:r>
        <w:rPr>
          <w:rFonts w:hint="eastAsia" w:cs="宋体"/>
          <w:highlight w:val="none"/>
          <w:lang w:val="en-US" w:eastAsia="zh-CN"/>
        </w:rPr>
        <w:t xml:space="preserve">15651907773</w:t>
      </w:r>
      <w:r/>
    </w:p>
    <w:p>
      <w:pPr>
        <w:pStyle w:val="1205"/>
        <w:ind w:firstLine="480"/>
        <w:spacing w:before="0" w:beforeAutospacing="0" w:after="0" w:afterAutospacing="0" w:line="460" w:lineRule="exact"/>
        <w:tabs>
          <w:tab w:val="left" w:pos="0" w:leader="none"/>
        </w:tabs>
        <w:rPr>
          <w:rFonts w:hint="eastAsia" w:eastAsia="宋体" w:cs="宋体"/>
          <w:highlight w:val="none"/>
          <w:lang w:val="zh-CN" w:eastAsia="zh-CN"/>
        </w:rPr>
      </w:pPr>
      <w:r>
        <w:rPr>
          <w:rFonts w:hint="eastAsia" w:cs="宋体"/>
          <w:highlight w:val="none"/>
          <w:lang w:val="zh-CN"/>
        </w:rPr>
        <w:t xml:space="preserve">联系地址：</w:t>
      </w:r>
      <w:r>
        <w:rPr>
          <w:rFonts w:hint="eastAsia" w:cs="宋体"/>
          <w:highlight w:val="none"/>
          <w:lang w:val="zh-CN" w:eastAsia="zh-CN"/>
        </w:rPr>
        <w:t xml:space="preserve">无锡市新吴区星洲电子商务园3-202</w:t>
      </w:r>
      <w:r/>
    </w:p>
    <w:p>
      <w:pPr>
        <w:pStyle w:val="1205"/>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邮政编码：214000</w:t>
      </w:r>
      <w:r/>
    </w:p>
    <w:p>
      <w:pPr>
        <w:pStyle w:val="1205"/>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电子邮件地址：1076073257@qq.com </w:t>
      </w:r>
      <w:r/>
    </w:p>
    <w:p>
      <w:pPr>
        <w:pStyle w:val="1205"/>
        <w:ind w:firstLine="480"/>
        <w:spacing w:before="0" w:beforeAutospacing="0" w:after="0" w:afterAutospacing="0" w:line="460" w:lineRule="exact"/>
        <w:tabs>
          <w:tab w:val="left" w:pos="0" w:leader="none"/>
        </w:tabs>
        <w:rPr>
          <w:rFonts w:hint="eastAsia" w:ascii="黑体" w:hAnsi="黑体" w:eastAsia="黑体"/>
          <w:bCs/>
          <w:highlight w:val="none"/>
        </w:rPr>
      </w:pPr>
      <w:r>
        <w:rPr>
          <w:rFonts w:hint="eastAsia" w:ascii="黑体" w:hAnsi="黑体" w:eastAsia="黑体"/>
          <w:bCs/>
          <w:highlight w:val="none"/>
        </w:rPr>
        <w:t xml:space="preserve">（十）其它</w:t>
      </w:r>
      <w:r/>
    </w:p>
    <w:p>
      <w:pPr>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sz w:val="24"/>
          <w:szCs w:val="24"/>
          <w:highlight w:val="none"/>
        </w:rPr>
        <w:t xml:space="preserve">应在开标前</w:t>
      </w:r>
      <w:r>
        <w:rPr>
          <w:rFonts w:hint="eastAsia" w:ascii="宋体" w:hAnsi="宋体" w:cs="宋体"/>
          <w:sz w:val="24"/>
          <w:szCs w:val="24"/>
          <w:highlight w:val="none"/>
          <w:lang w:val="zh-CN"/>
        </w:rPr>
        <w:t xml:space="preserve">提前上网设备确认是否浏览器设置、CA证书软件下载等，确保和CA证书匹配可以正常登录苏采云投标客户端，如因未提前准备好相关设备及CA锁导致的废标，由供应商自行承担。</w:t>
      </w:r>
      <w:r/>
    </w:p>
    <w:p>
      <w:pPr>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解密后，供应商须自行准备设备（包括但不限于笔记本电脑、无线网络）登录</w:t>
      </w:r>
      <w:r>
        <w:rPr>
          <w:rFonts w:hint="eastAsia" w:ascii="宋体" w:hAnsi="宋体" w:cs="宋体"/>
          <w:sz w:val="24"/>
          <w:szCs w:val="24"/>
          <w:highlight w:val="none"/>
          <w:lang w:eastAsia="zh-CN"/>
        </w:rPr>
        <w:t xml:space="preserve">苏采云</w:t>
      </w:r>
      <w:r>
        <w:rPr>
          <w:rFonts w:hint="eastAsia" w:ascii="宋体" w:hAnsi="宋体" w:cs="宋体"/>
          <w:sz w:val="24"/>
          <w:szCs w:val="24"/>
          <w:highlight w:val="none"/>
        </w:rPr>
        <w:t xml:space="preserve">网上开标大厅</w:t>
      </w:r>
      <w:r>
        <w:rPr>
          <w:rFonts w:hint="eastAsia" w:ascii="宋体" w:hAnsi="宋体" w:cs="宋体"/>
          <w:sz w:val="24"/>
          <w:szCs w:val="24"/>
          <w:highlight w:val="none"/>
          <w:lang w:val="zh-CN"/>
        </w:rPr>
        <w:t xml:space="preserve">，按采购文件规定时间解密后，在评审过程中保持在线，等待评标委员会的询问、按要求报价，并等待评审结果，中途不得离开。如未按要求应答，由此所产生的损失及风险由供应商自行承担。</w:t>
      </w:r>
      <w:r/>
    </w:p>
    <w:p>
      <w:pPr>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p>
    <w:p>
      <w:pPr>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纸质投标文件：本项目为不见面开标，供应商无需递交纸质投标文件至现场，</w:t>
      </w:r>
      <w:r>
        <w:rPr>
          <w:rFonts w:hint="eastAsia" w:ascii="宋体" w:hAnsi="宋体" w:cs="宋体"/>
          <w:sz w:val="24"/>
          <w:szCs w:val="24"/>
          <w:highlight w:val="none"/>
        </w:rPr>
        <w:t xml:space="preserve">中标</w:t>
      </w:r>
      <w:r>
        <w:rPr>
          <w:rFonts w:hint="eastAsia" w:ascii="宋体" w:hAnsi="宋体" w:cs="宋体"/>
          <w:sz w:val="24"/>
          <w:szCs w:val="24"/>
          <w:highlight w:val="none"/>
          <w:lang w:val="zh-CN"/>
        </w:rPr>
        <w:t xml:space="preserve">后中标供应商向采购代理机构提供与电子投标文件完全一致的纸质投标文件（</w:t>
      </w: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份：一正、</w:t>
      </w:r>
      <w:r>
        <w:rPr>
          <w:rFonts w:hint="eastAsia" w:ascii="宋体" w:hAnsi="宋体" w:cs="宋体"/>
          <w:sz w:val="24"/>
          <w:szCs w:val="24"/>
          <w:highlight w:val="none"/>
        </w:rPr>
        <w:t xml:space="preserve">二</w:t>
      </w:r>
      <w:r>
        <w:rPr>
          <w:rFonts w:hint="eastAsia" w:ascii="宋体" w:hAnsi="宋体" w:cs="宋体"/>
          <w:sz w:val="24"/>
          <w:szCs w:val="24"/>
          <w:highlight w:val="none"/>
          <w:lang w:val="zh-CN"/>
        </w:rPr>
        <w:t xml:space="preserve">副）。</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lang w:val="zh-CN"/>
        </w:rPr>
        <w:t xml:space="preserve">供应商请仔细阅读供应商注册流程和招标文件中关于电子开评标等相关事项，如有问题可发送邮件或电话咨询。</w:t>
      </w:r>
      <w:r/>
    </w:p>
    <w:p>
      <w:pPr>
        <w:pStyle w:val="1205"/>
        <w:ind w:firstLine="0"/>
        <w:jc w:val="center"/>
        <w:spacing w:before="0" w:beforeAutospacing="0" w:after="0" w:afterAutospacing="0" w:line="460" w:lineRule="exact"/>
        <w:tabs>
          <w:tab w:val="left" w:pos="0" w:leader="none"/>
        </w:tabs>
        <w:rPr>
          <w:rFonts w:ascii="黑体" w:eastAsia="黑体"/>
          <w:bCs/>
          <w:sz w:val="28"/>
          <w:szCs w:val="28"/>
          <w:highlight w:val="none"/>
        </w:rPr>
      </w:pPr>
      <w:r>
        <w:rPr>
          <w:rFonts w:ascii="黑体" w:eastAsia="黑体"/>
          <w:bCs/>
          <w:sz w:val="28"/>
          <w:szCs w:val="28"/>
          <w:highlight w:val="none"/>
        </w:rPr>
        <w:br w:type="page" w:clear="all"/>
      </w:r>
      <w:r>
        <w:rPr>
          <w:rFonts w:hint="eastAsia" w:ascii="黑体" w:eastAsia="黑体"/>
          <w:bCs/>
          <w:sz w:val="28"/>
          <w:szCs w:val="28"/>
          <w:highlight w:val="none"/>
        </w:rPr>
        <w:t xml:space="preserve">二．投标供应商须知</w:t>
      </w:r>
      <w:r/>
    </w:p>
    <w:p>
      <w:pPr>
        <w:ind w:firstLine="48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（一）</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遵循原则：</w:t>
      </w:r>
      <w:r/>
    </w:p>
    <w:p>
      <w:pPr>
        <w:ind w:firstLine="480"/>
        <w:spacing w:line="360" w:lineRule="auto"/>
        <w:rPr>
          <w:rFonts w:ascii="黑体" w:hAnsi="宋体" w:eastAsia="黑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ind w:left="1200" w:hanging="720"/>
        <w:spacing w:line="360" w:lineRule="auto"/>
        <w:rPr>
          <w:rFonts w:ascii="黑体" w:hAnsi="宋体" w:eastAsia="黑体"/>
          <w:bCs/>
          <w:sz w:val="24"/>
          <w:szCs w:val="24"/>
          <w:highlight w:val="none"/>
        </w:rPr>
      </w:pPr>
      <w:r>
        <w:rPr>
          <w:rFonts w:ascii="黑体" w:hAnsi="宋体" w:eastAsia="黑体"/>
          <w:bCs/>
          <w:sz w:val="24"/>
          <w:szCs w:val="24"/>
          <w:highlight w:val="none"/>
        </w:rPr>
        <w:t xml:space="preserve">（二） </w:t>
      </w:r>
      <w:r>
        <w:rPr>
          <w:rFonts w:hint="eastAsia" w:ascii="黑体" w:hAnsi="宋体" w:eastAsia="黑体"/>
          <w:bCs/>
          <w:sz w:val="24"/>
          <w:szCs w:val="24"/>
          <w:highlight w:val="none"/>
        </w:rPr>
        <w:t xml:space="preserve">招标文件：</w:t>
      </w:r>
      <w:r/>
    </w:p>
    <w:p>
      <w:pPr>
        <w:numPr>
          <w:ilvl w:val="0"/>
          <w:numId w:val="4"/>
        </w:numPr>
        <w:ind w:left="0" w:firstLine="523"/>
        <w:spacing w:line="360" w:lineRule="auto"/>
        <w:tabs>
          <w:tab w:val="left" w:pos="-126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招标文件包括本文件目录所列全部内容，投标供应商应仔细阅读，并在投标文件中充分响应招标文件的所有要求。</w:t>
      </w:r>
      <w:r/>
    </w:p>
    <w:p>
      <w:pPr>
        <w:numPr>
          <w:ilvl w:val="0"/>
          <w:numId w:val="4"/>
        </w:numPr>
        <w:ind w:left="0" w:firstLine="523"/>
        <w:spacing w:line="360" w:lineRule="auto"/>
        <w:tabs>
          <w:tab w:val="left" w:pos="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招标文件中的“法定代表人”是指投标供应商的营业执照的“法定代表人”或相关部门的登记证明文件中的“负责人”。</w:t>
      </w:r>
      <w:r/>
    </w:p>
    <w:p>
      <w:pPr>
        <w:numPr>
          <w:ilvl w:val="0"/>
          <w:numId w:val="4"/>
        </w:numPr>
        <w:ind w:left="0" w:firstLine="523"/>
        <w:spacing w:line="360" w:lineRule="auto"/>
        <w:tabs>
          <w:tab w:val="left" w:pos="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投标供应商应在</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平台（http://jszfcg.jscz.gov.cn/jszc/login）下载招标文件及有关资料，</w:t>
      </w:r>
      <w:r>
        <w:rPr>
          <w:rFonts w:hint="eastAsia" w:ascii="宋体" w:hAnsi="宋体"/>
          <w:sz w:val="24"/>
          <w:szCs w:val="24"/>
          <w:highlight w:val="none"/>
        </w:rPr>
        <w:t xml:space="preserve">按要求制作、上传投标文件，</w:t>
      </w:r>
      <w:r>
        <w:rPr>
          <w:rFonts w:hint="eastAsia" w:ascii="宋体" w:hAnsi="宋体"/>
          <w:bCs/>
          <w:sz w:val="24"/>
          <w:szCs w:val="24"/>
          <w:highlight w:val="none"/>
        </w:rPr>
        <w:t xml:space="preserve">对招标文件各项内容做出实质性响应，否则投标无效。</w:t>
      </w:r>
      <w:r/>
    </w:p>
    <w:p>
      <w:pPr>
        <w:numPr>
          <w:ilvl w:val="0"/>
          <w:numId w:val="4"/>
        </w:numPr>
        <w:ind w:left="0" w:firstLine="523"/>
        <w:spacing w:line="360" w:lineRule="auto"/>
        <w:tabs>
          <w:tab w:val="left" w:pos="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sz w:val="24"/>
          <w:szCs w:val="24"/>
          <w:highlight w:val="none"/>
        </w:rPr>
      </w:pPr>
      <w:r>
        <w:rPr>
          <w:rFonts w:hint="eastAsia" w:ascii="黑体" w:hAnsi="宋体" w:eastAsia="黑体"/>
          <w:bCs/>
          <w:sz w:val="24"/>
          <w:szCs w:val="24"/>
          <w:highlight w:val="none"/>
        </w:rPr>
        <w:t xml:space="preserve">（三）</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招标文件的解释：</w:t>
      </w:r>
      <w:r/>
    </w:p>
    <w:p>
      <w:pPr>
        <w:ind w:left="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sz w:val="24"/>
          <w:szCs w:val="24"/>
          <w:highlight w:val="none"/>
        </w:rPr>
      </w:pPr>
      <w:r>
        <w:rPr>
          <w:rFonts w:ascii="黑体" w:hAnsi="宋体" w:eastAsia="黑体"/>
          <w:bCs/>
          <w:sz w:val="24"/>
          <w:szCs w:val="24"/>
          <w:highlight w:val="none"/>
        </w:rPr>
        <w:t xml:space="preserve">（</w:t>
      </w:r>
      <w:r>
        <w:rPr>
          <w:rFonts w:hint="eastAsia" w:ascii="黑体" w:hAnsi="宋体" w:eastAsia="黑体"/>
          <w:bCs/>
          <w:sz w:val="24"/>
          <w:szCs w:val="24"/>
          <w:highlight w:val="none"/>
        </w:rPr>
        <w:t xml:space="preserve">四</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招标文件的补充或修正：</w:t>
      </w:r>
      <w:r>
        <w:rPr>
          <w:rFonts w:ascii="黑体" w:hAnsi="宋体" w:eastAsia="黑体"/>
          <w:bCs/>
          <w:sz w:val="24"/>
          <w:szCs w:val="24"/>
          <w:highlight w:val="none"/>
        </w:rPr>
        <w:t xml:space="preserve"> </w:t>
      </w:r>
      <w:r/>
    </w:p>
    <w:p>
      <w:pPr>
        <w:ind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bCs/>
          <w:sz w:val="24"/>
          <w:szCs w:val="24"/>
          <w:highlight w:val="none"/>
        </w:rPr>
      </w:pPr>
      <w:r>
        <w:rPr>
          <w:rFonts w:hint="eastAsia" w:ascii="宋体" w:hAnsi="宋体"/>
          <w:bCs/>
          <w:sz w:val="24"/>
          <w:szCs w:val="24"/>
          <w:highlight w:val="none"/>
        </w:rPr>
        <w:t xml:space="preserve">2.如需对招标文件进行澄清或修正，</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将在无锡政府采购网、江苏政府采购网发布更正公告，该澄清或修正的内容为招标文件的组成部分。投标供应商应在投标截止时间前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投标客户端</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关注原招标公告媒体上发布的相关更正公告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因投标供应商未尽注意义务，未及时更新上传投标文件</w:t>
      </w:r>
      <w:r>
        <w:rPr>
          <w:rFonts w:hint="eastAsia" w:ascii="宋体" w:hAnsi="宋体"/>
          <w:sz w:val="24"/>
          <w:szCs w:val="24"/>
          <w:highlight w:val="none"/>
        </w:rPr>
        <w:t xml:space="preserve">或</w:t>
      </w:r>
      <w:r>
        <w:rPr>
          <w:rFonts w:hint="eastAsia" w:ascii="宋体" w:hAnsi="宋体"/>
          <w:bCs/>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供应商认为</w:t>
      </w:r>
      <w:r>
        <w:rPr>
          <w:rFonts w:hint="eastAsia" w:ascii="宋体" w:hAnsi="宋体"/>
          <w:bCs/>
          <w:sz w:val="24"/>
          <w:szCs w:val="24"/>
          <w:highlight w:val="none"/>
        </w:rPr>
        <w:t xml:space="preserve">招标</w:t>
      </w:r>
      <w:r>
        <w:rPr>
          <w:rFonts w:ascii="宋体" w:hAnsi="宋体"/>
          <w:bCs/>
          <w:sz w:val="24"/>
          <w:szCs w:val="24"/>
          <w:highlight w:val="none"/>
        </w:rPr>
        <w:t xml:space="preserve">文件使自己的权益受到损害的，可以自获取</w:t>
      </w:r>
      <w:r>
        <w:rPr>
          <w:rFonts w:hint="eastAsia" w:ascii="宋体" w:hAnsi="宋体"/>
          <w:bCs/>
          <w:sz w:val="24"/>
          <w:szCs w:val="24"/>
          <w:highlight w:val="none"/>
        </w:rPr>
        <w:t xml:space="preserve">招标</w:t>
      </w:r>
      <w:r>
        <w:rPr>
          <w:rFonts w:ascii="宋体" w:hAnsi="宋体"/>
          <w:bCs/>
          <w:sz w:val="24"/>
          <w:szCs w:val="24"/>
          <w:highlight w:val="none"/>
        </w:rPr>
        <w:t xml:space="preserve">文件之日或者</w:t>
      </w:r>
      <w:r>
        <w:rPr>
          <w:rFonts w:hint="eastAsia" w:ascii="宋体" w:hAnsi="宋体"/>
          <w:bCs/>
          <w:sz w:val="24"/>
          <w:szCs w:val="24"/>
          <w:highlight w:val="none"/>
        </w:rPr>
        <w:t xml:space="preserve">招标</w:t>
      </w:r>
      <w:r>
        <w:rPr>
          <w:rFonts w:ascii="宋体" w:hAnsi="宋体"/>
          <w:bCs/>
          <w:sz w:val="24"/>
          <w:szCs w:val="24"/>
          <w:highlight w:val="none"/>
        </w:rPr>
        <w:t xml:space="preserve">公告期限届满之日（公告期限届满后获取招标文件的，以公告期限届满之日为准）起7个工作日内，以书面形式向</w:t>
      </w:r>
      <w:r>
        <w:rPr>
          <w:rFonts w:hint="eastAsia" w:ascii="宋体" w:hAnsi="宋体"/>
          <w:bCs/>
          <w:sz w:val="24"/>
          <w:szCs w:val="24"/>
          <w:highlight w:val="none"/>
        </w:rPr>
        <w:t xml:space="preserve">采购人、采购代理机构提出质疑。</w:t>
      </w:r>
      <w:r>
        <w:rPr>
          <w:rFonts w:ascii="宋体" w:hAnsi="宋体"/>
          <w:bCs/>
          <w:sz w:val="24"/>
          <w:szCs w:val="24"/>
          <w:highlight w:val="none"/>
        </w:rPr>
        <w:t xml:space="preserve">针对同一采购程序环节的质疑</w:t>
      </w:r>
      <w:r>
        <w:rPr>
          <w:rFonts w:hint="eastAsia" w:ascii="宋体" w:hAnsi="宋体"/>
          <w:bCs/>
          <w:sz w:val="24"/>
          <w:szCs w:val="24"/>
          <w:highlight w:val="none"/>
        </w:rPr>
        <w:t xml:space="preserve">，须</w:t>
      </w:r>
      <w:r>
        <w:rPr>
          <w:rFonts w:ascii="宋体" w:hAnsi="宋体"/>
          <w:bCs/>
          <w:sz w:val="24"/>
          <w:szCs w:val="24"/>
          <w:highlight w:val="none"/>
        </w:rPr>
        <w:t xml:space="preserve">在法定质疑期内一次性提出</w:t>
      </w:r>
      <w:r>
        <w:rPr>
          <w:rFonts w:hint="eastAsia" w:ascii="宋体" w:hAnsi="宋体"/>
          <w:bCs/>
          <w:sz w:val="24"/>
          <w:szCs w:val="24"/>
          <w:highlight w:val="none"/>
        </w:rPr>
        <w:t xml:space="preserve">。质疑函的质疑事项应具体、明确，并有必要的事实依据和法律依据（格式详见中国政府采购网《</w:t>
      </w:r>
      <w:r>
        <w:rPr>
          <w:rFonts w:ascii="宋体" w:hAnsi="宋体"/>
          <w:bCs/>
          <w:sz w:val="24"/>
          <w:szCs w:val="24"/>
          <w:highlight w:val="none"/>
        </w:rPr>
        <w:fldChar w:fldCharType="begin"/>
      </w:r>
      <w:r>
        <w:rPr>
          <w:rFonts w:ascii="宋体" w:hAnsi="宋体"/>
          <w:bCs/>
          <w:sz w:val="24"/>
          <w:szCs w:val="24"/>
          <w:highlight w:val="none"/>
        </w:rPr>
        <w:instrText xml:space="preserve">HYPERLINK "http://download.ccgp.gov.cn/2018/zhiyihanfanben.zip" \t "_blank"</w:instrText>
      </w:r>
      <w:r>
        <w:rPr>
          <w:rFonts w:ascii="宋体" w:hAnsi="宋体"/>
          <w:bCs/>
          <w:sz w:val="24"/>
          <w:szCs w:val="24"/>
          <w:highlight w:val="none"/>
        </w:rPr>
        <w:fldChar w:fldCharType="separate"/>
      </w:r>
      <w:r>
        <w:rPr>
          <w:rFonts w:hint="eastAsia" w:ascii="宋体" w:hAnsi="宋体"/>
          <w:bCs/>
          <w:sz w:val="24"/>
          <w:szCs w:val="24"/>
          <w:highlight w:val="none"/>
        </w:rPr>
        <w:t xml:space="preserve">政府采购供应商质疑函范本</w:t>
      </w:r>
      <w:r>
        <w:rPr>
          <w:rFonts w:ascii="宋体" w:hAnsi="宋体"/>
          <w:bCs/>
          <w:sz w:val="24"/>
          <w:szCs w:val="24"/>
          <w:highlight w:val="none"/>
        </w:rPr>
        <w:fldChar w:fldCharType="end"/>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将在收到符合上述要求的书面质疑后七个工作日内，对质疑内容</w:t>
      </w:r>
      <w:r>
        <w:rPr>
          <w:rFonts w:hint="eastAsia" w:ascii="宋体" w:hAnsi="宋体"/>
          <w:bCs/>
          <w:sz w:val="24"/>
          <w:szCs w:val="24"/>
          <w:highlight w:val="none"/>
          <w:lang w:eastAsia="zh-CN"/>
        </w:rPr>
        <w:t xml:space="preserve">作出</w:t>
      </w:r>
      <w:r>
        <w:rPr>
          <w:rFonts w:hint="eastAsia" w:ascii="宋体" w:hAnsi="宋体"/>
          <w:bCs/>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对无效质疑不予受理。</w:t>
      </w:r>
      <w:r/>
    </w:p>
    <w:p>
      <w:pPr>
        <w:ind w:left="480"/>
        <w:spacing w:line="360" w:lineRule="auto"/>
        <w:tabs>
          <w:tab w:val="left" w:pos="945" w:leader="none"/>
        </w:tabs>
        <w:rPr>
          <w:rFonts w:hint="eastAsia" w:ascii="黑体" w:hAnsi="宋体" w:eastAsia="黑体"/>
          <w:bCs/>
          <w:sz w:val="24"/>
          <w:szCs w:val="24"/>
          <w:highlight w:val="none"/>
        </w:rPr>
      </w:pPr>
      <w:r>
        <w:rPr>
          <w:rFonts w:hint="eastAsia" w:ascii="黑体" w:hAnsi="宋体" w:eastAsia="黑体"/>
          <w:bCs/>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质疑的提出和答复、投诉的提起和处理</w:t>
      </w:r>
      <w:r>
        <w:rPr>
          <w:rFonts w:hint="eastAsia" w:ascii="宋体" w:hAnsi="宋体"/>
          <w:bCs/>
          <w:sz w:val="24"/>
          <w:szCs w:val="24"/>
          <w:highlight w:val="none"/>
        </w:rPr>
        <w:t xml:space="preserve">须按《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2.质疑的提出</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潜在供应商已依法获取其可质疑的</w:t>
      </w:r>
      <w:r>
        <w:rPr>
          <w:rFonts w:hint="eastAsia" w:ascii="宋体" w:hAnsi="宋体"/>
          <w:bCs/>
          <w:sz w:val="24"/>
          <w:szCs w:val="24"/>
          <w:highlight w:val="none"/>
        </w:rPr>
        <w:t xml:space="preserve">招标文件</w:t>
      </w:r>
      <w:r>
        <w:rPr>
          <w:rFonts w:ascii="宋体" w:hAnsi="宋体"/>
          <w:bCs/>
          <w:sz w:val="24"/>
          <w:szCs w:val="24"/>
          <w:highlight w:val="none"/>
        </w:rPr>
        <w:t xml:space="preserve">的，可以对该文件提出质疑。对</w:t>
      </w:r>
      <w:r>
        <w:rPr>
          <w:rFonts w:hint="eastAsia" w:ascii="宋体" w:hAnsi="宋体"/>
          <w:bCs/>
          <w:sz w:val="24"/>
          <w:szCs w:val="24"/>
          <w:highlight w:val="none"/>
        </w:rPr>
        <w:t xml:space="preserve">招标文件</w:t>
      </w:r>
      <w:r>
        <w:rPr>
          <w:rFonts w:ascii="宋体" w:hAnsi="宋体"/>
          <w:bCs/>
          <w:sz w:val="24"/>
          <w:szCs w:val="24"/>
          <w:highlight w:val="none"/>
        </w:rPr>
        <w:t xml:space="preserve">提出质疑的，应当在获取</w:t>
      </w:r>
      <w:r>
        <w:rPr>
          <w:rFonts w:hint="eastAsia" w:ascii="宋体" w:hAnsi="宋体"/>
          <w:bCs/>
          <w:sz w:val="24"/>
          <w:szCs w:val="24"/>
          <w:highlight w:val="none"/>
        </w:rPr>
        <w:t xml:space="preserve">招标文件</w:t>
      </w:r>
      <w:r>
        <w:rPr>
          <w:rFonts w:ascii="宋体" w:hAnsi="宋体"/>
          <w:bCs/>
          <w:sz w:val="24"/>
          <w:szCs w:val="24"/>
          <w:highlight w:val="none"/>
        </w:rPr>
        <w:t xml:space="preserve">或者</w:t>
      </w:r>
      <w:r>
        <w:rPr>
          <w:rFonts w:hint="eastAsia" w:ascii="宋体" w:hAnsi="宋体"/>
          <w:bCs/>
          <w:sz w:val="24"/>
          <w:szCs w:val="24"/>
          <w:highlight w:val="none"/>
        </w:rPr>
        <w:t xml:space="preserve">招标文件</w:t>
      </w:r>
      <w:r>
        <w:rPr>
          <w:rFonts w:ascii="宋体" w:hAnsi="宋体"/>
          <w:bCs/>
          <w:sz w:val="24"/>
          <w:szCs w:val="24"/>
          <w:highlight w:val="none"/>
        </w:rPr>
        <w:t xml:space="preserve">公告期限届满之日起7个工作日内</w:t>
      </w:r>
      <w:r>
        <w:rPr>
          <w:rFonts w:hint="eastAsia" w:ascii="宋体" w:hAnsi="宋体"/>
          <w:bCs/>
          <w:sz w:val="24"/>
          <w:szCs w:val="24"/>
          <w:highlight w:val="none"/>
        </w:rPr>
        <w:t xml:space="preserve">以书面形式</w:t>
      </w:r>
      <w:r>
        <w:rPr>
          <w:rFonts w:ascii="宋体" w:hAnsi="宋体"/>
          <w:bCs/>
          <w:sz w:val="24"/>
          <w:szCs w:val="24"/>
          <w:highlight w:val="none"/>
        </w:rPr>
        <w:t xml:space="preserve">提出。</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供应商认为</w:t>
      </w:r>
      <w:r>
        <w:rPr>
          <w:rFonts w:hint="eastAsia" w:ascii="宋体" w:hAnsi="宋体"/>
          <w:bCs/>
          <w:sz w:val="24"/>
          <w:szCs w:val="24"/>
          <w:highlight w:val="none"/>
        </w:rPr>
        <w:t xml:space="preserve">招标文件</w:t>
      </w:r>
      <w:r>
        <w:rPr>
          <w:rFonts w:ascii="宋体" w:hAnsi="宋体"/>
          <w:bCs/>
          <w:sz w:val="24"/>
          <w:szCs w:val="24"/>
          <w:highlight w:val="none"/>
        </w:rPr>
        <w:t xml:space="preserve">、采购过程、中标或者成交结果使自己的权益受到损害的，可以在知道或者应知其权益受到损害之日起</w:t>
      </w:r>
      <w:r>
        <w:rPr>
          <w:rFonts w:hint="eastAsia" w:ascii="宋体" w:hAnsi="宋体"/>
          <w:bCs/>
          <w:sz w:val="24"/>
          <w:szCs w:val="24"/>
          <w:highlight w:val="none"/>
        </w:rPr>
        <w:t xml:space="preserve">7</w:t>
      </w:r>
      <w:r>
        <w:rPr>
          <w:rFonts w:ascii="宋体" w:hAnsi="宋体"/>
          <w:bCs/>
          <w:sz w:val="24"/>
          <w:szCs w:val="24"/>
          <w:highlight w:val="none"/>
        </w:rPr>
        <w:t xml:space="preserve">个工作日内，以书面形式向采购人提出质疑。供应商</w:t>
      </w:r>
      <w:r>
        <w:rPr>
          <w:rFonts w:hint="eastAsia" w:ascii="宋体" w:hAnsi="宋体"/>
          <w:bCs/>
          <w:sz w:val="24"/>
          <w:szCs w:val="24"/>
          <w:highlight w:val="none"/>
        </w:rPr>
        <w:t xml:space="preserve">须在</w:t>
      </w:r>
      <w:r>
        <w:rPr>
          <w:rFonts w:ascii="宋体" w:hAnsi="宋体"/>
          <w:bCs/>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7</w:t>
      </w:r>
      <w:r>
        <w:rPr>
          <w:rFonts w:ascii="宋体" w:hAnsi="宋体"/>
          <w:bCs/>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接收单位：</w:t>
      </w:r>
      <w:r>
        <w:rPr>
          <w:rFonts w:hint="eastAsia" w:ascii="宋体" w:hAnsi="宋体"/>
          <w:bCs/>
          <w:sz w:val="24"/>
          <w:szCs w:val="24"/>
          <w:highlight w:val="none"/>
          <w:lang w:eastAsia="zh-CN"/>
        </w:rPr>
        <w:t xml:space="preserve">无锡城兴绿碳全过程工程咨询有限公司</w:t>
      </w:r>
      <w:r/>
    </w:p>
    <w:p>
      <w:pPr>
        <w:ind w:firstLine="480"/>
        <w:spacing w:line="360" w:lineRule="auto"/>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地址：</w:t>
      </w:r>
      <w:r>
        <w:rPr>
          <w:rFonts w:hint="eastAsia" w:ascii="宋体" w:hAnsi="宋体"/>
          <w:bCs/>
          <w:sz w:val="24"/>
          <w:szCs w:val="24"/>
          <w:highlight w:val="none"/>
          <w:lang w:eastAsia="zh-CN"/>
        </w:rPr>
        <w:t xml:space="preserve">无锡市新吴区星洲电子商务园3-202</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sz w:val="24"/>
          <w:szCs w:val="24"/>
          <w:highlight w:val="none"/>
          <w:lang w:val="en-US" w:eastAsia="zh-CN"/>
        </w:rPr>
      </w:pPr>
      <w:r>
        <w:rPr>
          <w:rFonts w:hint="eastAsia" w:ascii="宋体" w:hAnsi="宋体"/>
          <w:bCs/>
          <w:sz w:val="24"/>
          <w:szCs w:val="24"/>
          <w:highlight w:val="none"/>
        </w:rPr>
        <w:t xml:space="preserve">联系人：</w:t>
      </w:r>
      <w:r>
        <w:rPr>
          <w:rFonts w:hint="eastAsia" w:ascii="宋体" w:hAnsi="宋体"/>
          <w:bCs/>
          <w:sz w:val="24"/>
          <w:szCs w:val="24"/>
          <w:highlight w:val="none"/>
          <w:lang w:val="en-US" w:eastAsia="zh-CN"/>
        </w:rPr>
        <w:t xml:space="preserve">朱莉</w:t>
      </w:r>
      <w:r/>
    </w:p>
    <w:p>
      <w:pPr>
        <w:ind w:firstLine="480"/>
        <w:spacing w:line="360" w:lineRule="auto"/>
        <w:tabs>
          <w:tab w:val="left" w:pos="0" w:leader="none"/>
          <w:tab w:val="left" w:pos="945" w:leader="none"/>
        </w:tabs>
        <w:rPr>
          <w:rFonts w:ascii="宋体" w:hAnsi="宋体" w:eastAsia="宋体"/>
          <w:bCs/>
          <w:sz w:val="24"/>
          <w:szCs w:val="24"/>
          <w:highlight w:val="none"/>
          <w:lang w:val="en-US" w:eastAsia="zh-CN"/>
        </w:rPr>
      </w:pPr>
      <w:r>
        <w:rPr>
          <w:rFonts w:hint="eastAsia" w:ascii="宋体" w:hAnsi="宋体"/>
          <w:bCs/>
          <w:sz w:val="24"/>
          <w:szCs w:val="24"/>
          <w:highlight w:val="none"/>
        </w:rPr>
        <w:t xml:space="preserve">电话：</w:t>
      </w:r>
      <w:r>
        <w:rPr>
          <w:rFonts w:hint="eastAsia" w:ascii="宋体" w:hAnsi="宋体"/>
          <w:bCs/>
          <w:sz w:val="24"/>
          <w:szCs w:val="24"/>
          <w:highlight w:val="none"/>
          <w:lang w:val="en-US" w:eastAsia="zh-CN"/>
        </w:rPr>
        <w:t xml:space="preserve">15651907773</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采购人</w:t>
      </w:r>
      <w:r>
        <w:rPr>
          <w:rFonts w:hint="eastAsia" w:ascii="宋体" w:hAnsi="宋体"/>
          <w:bCs/>
          <w:sz w:val="24"/>
          <w:szCs w:val="24"/>
          <w:highlight w:val="none"/>
        </w:rPr>
        <w:t xml:space="preserve">处理的其他要求按《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4、投诉的提起</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质疑供应商对采购人的答复不满意，或者采购人未在规定时间内作出答复的，可以在答复期满后</w:t>
      </w:r>
      <w:r>
        <w:rPr>
          <w:rFonts w:hint="eastAsia" w:ascii="宋体" w:hAnsi="宋体"/>
          <w:bCs/>
          <w:sz w:val="24"/>
          <w:szCs w:val="24"/>
          <w:highlight w:val="none"/>
        </w:rPr>
        <w:t xml:space="preserve">15</w:t>
      </w:r>
      <w:r>
        <w:rPr>
          <w:rFonts w:ascii="宋体" w:hAnsi="宋体"/>
          <w:bCs/>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2供应商</w:t>
      </w:r>
      <w:r>
        <w:rPr>
          <w:rFonts w:ascii="宋体" w:hAnsi="宋体"/>
          <w:bCs/>
          <w:sz w:val="24"/>
          <w:szCs w:val="24"/>
          <w:highlight w:val="none"/>
        </w:rPr>
        <w:t xml:space="preserve">投诉时</w:t>
      </w:r>
      <w:r>
        <w:rPr>
          <w:rFonts w:hint="eastAsia" w:ascii="宋体" w:hAnsi="宋体"/>
          <w:bCs/>
          <w:sz w:val="24"/>
          <w:szCs w:val="24"/>
          <w:highlight w:val="none"/>
          <w:lang w:eastAsia="zh-CN"/>
        </w:rPr>
        <w:t xml:space="preserve">，</w:t>
      </w:r>
      <w:r>
        <w:rPr>
          <w:rFonts w:ascii="宋体" w:hAnsi="宋体"/>
          <w:bCs/>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）法律依据；</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供应商投诉的事项不得超出已质疑事项的范围，但基于质疑答复内容提出的投诉事项除外。</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5、由</w:t>
      </w:r>
      <w:r>
        <w:rPr>
          <w:rFonts w:ascii="宋体" w:hAnsi="宋体"/>
          <w:bCs/>
          <w:sz w:val="24"/>
          <w:szCs w:val="24"/>
          <w:highlight w:val="none"/>
        </w:rPr>
        <w:t xml:space="preserve">采购人所属预算级次的财政部门</w:t>
      </w:r>
      <w:r>
        <w:rPr>
          <w:rFonts w:hint="eastAsia" w:ascii="宋体" w:hAnsi="宋体"/>
          <w:bCs/>
          <w:sz w:val="24"/>
          <w:szCs w:val="24"/>
          <w:highlight w:val="none"/>
        </w:rPr>
        <w:t xml:space="preserve">根据《</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）相关规定进行</w:t>
      </w:r>
      <w:r>
        <w:rPr>
          <w:rFonts w:ascii="宋体" w:hAnsi="宋体"/>
          <w:bCs/>
          <w:sz w:val="24"/>
          <w:szCs w:val="24"/>
          <w:highlight w:val="none"/>
        </w:rPr>
        <w:t xml:space="preserve">投诉处理</w:t>
      </w:r>
      <w:r>
        <w:rPr>
          <w:rFonts w:hint="eastAsia" w:ascii="宋体" w:hAnsi="宋体"/>
          <w:bCs/>
          <w:sz w:val="24"/>
          <w:szCs w:val="24"/>
          <w:highlight w:val="none"/>
        </w:rPr>
        <w:t xml:space="preserve">。</w:t>
      </w:r>
      <w:r/>
    </w:p>
    <w:p>
      <w:pPr>
        <w:ind w:firstLine="480"/>
        <w:spacing w:line="360" w:lineRule="auto"/>
        <w:rPr>
          <w:rFonts w:ascii="宋体"/>
          <w:bCs/>
          <w:sz w:val="24"/>
          <w:szCs w:val="24"/>
          <w:highlight w:val="none"/>
        </w:rPr>
      </w:pPr>
      <w:r>
        <w:rPr>
          <w:rFonts w:hint="eastAsia" w:ascii="黑体" w:hAnsi="宋体" w:eastAsia="黑体"/>
          <w:bCs/>
          <w:sz w:val="24"/>
          <w:szCs w:val="24"/>
          <w:highlight w:val="none"/>
        </w:rPr>
        <w:t xml:space="preserve">（六）投标文件的组成</w:t>
      </w:r>
      <w:r>
        <w:rPr>
          <w:rFonts w:hint="eastAsia" w:ascii="宋体" w:hAnsi="宋体"/>
          <w:bCs/>
          <w:sz w:val="24"/>
          <w:szCs w:val="24"/>
          <w:highlight w:val="none"/>
        </w:rPr>
        <w:t xml:space="preserve">（</w:t>
      </w:r>
      <w:r>
        <w:rPr>
          <w:rFonts w:hint="eastAsia" w:ascii="宋体" w:hAnsi="宋体"/>
          <w:b/>
          <w:bCs/>
          <w:sz w:val="24"/>
          <w:szCs w:val="24"/>
          <w:highlight w:val="none"/>
        </w:rPr>
        <w:t xml:space="preserve">相应内容上传至投标客户端</w:t>
      </w:r>
      <w:r>
        <w:rPr>
          <w:rFonts w:hint="eastAsia" w:ascii="宋体" w:hAnsi="宋体"/>
          <w:bCs/>
          <w:sz w:val="24"/>
          <w:szCs w:val="24"/>
          <w:highlight w:val="none"/>
        </w:rPr>
        <w:t xml:space="preserve">）</w:t>
      </w:r>
      <w:r>
        <w:rPr>
          <w:rFonts w:hint="eastAsia" w:ascii="黑体" w:hAnsi="宋体" w:eastAsia="黑体"/>
          <w:bCs/>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资格、资信证明文件（</w:t>
      </w:r>
      <w:r>
        <w:rPr>
          <w:rFonts w:hint="eastAsia" w:ascii="宋体" w:hAnsi="宋体"/>
          <w:b/>
          <w:bCs/>
          <w:sz w:val="24"/>
          <w:szCs w:val="24"/>
          <w:highlight w:val="none"/>
        </w:rPr>
        <w:t xml:space="preserve">扫描后上传，身份证应为正、反面</w:t>
      </w:r>
      <w:r>
        <w:rPr>
          <w:rFonts w:hint="eastAsia" w:ascii="宋体" w:hAnsi="宋体"/>
          <w:bCs/>
          <w:sz w:val="24"/>
          <w:szCs w:val="24"/>
          <w:highlight w:val="none"/>
        </w:rPr>
        <w:t xml:space="preserve">）：</w:t>
      </w:r>
      <w:r/>
    </w:p>
    <w:p>
      <w:pPr>
        <w:pStyle w:val="1227"/>
        <w:numPr>
          <w:ilvl w:val="1"/>
          <w:numId w:val="5"/>
        </w:numPr>
        <w:ind w:left="0" w:firstLine="567"/>
        <w:spacing w:line="360" w:lineRule="auto"/>
        <w:tabs>
          <w:tab w:val="left" w:pos="927" w:leader="none"/>
          <w:tab w:val="left" w:pos="1276" w:leader="none"/>
        </w:tabs>
        <w:rPr>
          <w:rFonts w:ascii="宋体"/>
          <w:bCs/>
          <w:sz w:val="24"/>
          <w:szCs w:val="24"/>
          <w:highlight w:val="none"/>
        </w:rPr>
      </w:pPr>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pStyle w:val="1227"/>
        <w:numPr>
          <w:ilvl w:val="1"/>
          <w:numId w:val="5"/>
        </w:numPr>
        <w:ind w:left="0" w:firstLine="567"/>
        <w:spacing w:line="360" w:lineRule="auto"/>
        <w:tabs>
          <w:tab w:val="left" w:pos="927" w:leader="none"/>
          <w:tab w:val="left" w:pos="1276" w:leader="none"/>
        </w:tabs>
        <w:rPr>
          <w:rFonts w:ascii="宋体"/>
          <w:bCs/>
          <w:sz w:val="24"/>
          <w:szCs w:val="24"/>
          <w:highlight w:val="none"/>
        </w:rPr>
      </w:pPr>
      <w:r>
        <w:rPr>
          <w:rFonts w:hint="eastAsia" w:ascii="宋体" w:hAnsi="宋体"/>
          <w:bCs/>
          <w:sz w:val="24"/>
          <w:szCs w:val="24"/>
          <w:highlight w:val="none"/>
        </w:rPr>
        <w:t xml:space="preserve">具有独立承担民事责任能力的投标供应商营业执照或相关部门的登记证明文件扫描件（投标供应商如</w:t>
      </w:r>
      <w:r>
        <w:rPr>
          <w:rFonts w:hint="eastAsia" w:ascii="宋体" w:hAnsi="宋体" w:cs="宋体"/>
          <w:sz w:val="24"/>
          <w:szCs w:val="24"/>
          <w:highlight w:val="none"/>
        </w:rPr>
        <w:t xml:space="preserve">允许以分支机构身份参加投标的，提供投标供应商分支机构的营业执照</w:t>
      </w:r>
      <w:r>
        <w:rPr>
          <w:rFonts w:hint="eastAsia" w:ascii="宋体" w:hAnsi="宋体"/>
          <w:bCs/>
          <w:sz w:val="24"/>
          <w:szCs w:val="24"/>
          <w:highlight w:val="none"/>
        </w:rPr>
        <w:t xml:space="preserve">扫描件）；</w:t>
      </w:r>
      <w:r/>
    </w:p>
    <w:p>
      <w:pPr>
        <w:numPr>
          <w:ilvl w:val="1"/>
          <w:numId w:val="5"/>
        </w:numPr>
        <w:ind w:left="0" w:firstLine="523"/>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）（投标供应商</w:t>
      </w:r>
      <w:r>
        <w:rPr>
          <w:rFonts w:hint="eastAsia" w:ascii="宋体" w:hAnsi="宋体"/>
          <w:bCs/>
          <w:sz w:val="24"/>
          <w:szCs w:val="24"/>
          <w:highlight w:val="none"/>
        </w:rPr>
        <w:t xml:space="preserve">如</w:t>
      </w:r>
      <w:r>
        <w:rPr>
          <w:rFonts w:hint="eastAsia" w:ascii="宋体" w:hAnsi="宋体" w:cs="宋体"/>
          <w:sz w:val="24"/>
          <w:szCs w:val="24"/>
          <w:highlight w:val="none"/>
        </w:rPr>
        <w:t xml:space="preserve">允许以分支机构身份参加投标的，请自行</w:t>
      </w:r>
      <w:r>
        <w:rPr>
          <w:rFonts w:ascii="宋体" w:hAnsi="宋体" w:cs="宋体"/>
          <w:sz w:val="24"/>
          <w:szCs w:val="24"/>
          <w:highlight w:val="none"/>
        </w:rPr>
        <w:t xml:space="preserve">将“</w:t>
      </w:r>
      <w:r>
        <w:rPr>
          <w:rFonts w:hint="eastAsia" w:ascii="宋体" w:hAnsi="宋体" w:cs="宋体"/>
          <w:sz w:val="24"/>
          <w:szCs w:val="24"/>
          <w:highlight w:val="none"/>
        </w:rPr>
        <w:t xml:space="preserve">法定代表人</w:t>
      </w:r>
      <w:r>
        <w:rPr>
          <w:rFonts w:ascii="宋体" w:hAnsi="宋体" w:cs="宋体"/>
          <w:sz w:val="24"/>
          <w:szCs w:val="24"/>
          <w:highlight w:val="none"/>
        </w:rPr>
        <w:t xml:space="preserve">”</w:t>
      </w:r>
      <w:r>
        <w:rPr>
          <w:rFonts w:hint="eastAsia" w:ascii="宋体" w:hAnsi="宋体" w:cs="宋体"/>
          <w:sz w:val="24"/>
          <w:szCs w:val="24"/>
          <w:highlight w:val="none"/>
        </w:rPr>
        <w:t xml:space="preserve">更改为</w:t>
      </w:r>
      <w:r>
        <w:rPr>
          <w:rFonts w:ascii="宋体" w:hAnsi="宋体" w:cs="宋体"/>
          <w:sz w:val="24"/>
          <w:szCs w:val="24"/>
          <w:highlight w:val="none"/>
        </w:rPr>
        <w:t xml:space="preserve">“</w:t>
      </w:r>
      <w:r>
        <w:rPr>
          <w:rFonts w:hint="eastAsia" w:ascii="宋体" w:hAnsi="宋体" w:cs="宋体"/>
          <w:sz w:val="24"/>
          <w:szCs w:val="24"/>
          <w:highlight w:val="none"/>
        </w:rPr>
        <w:t xml:space="preserve">负责人</w:t>
      </w:r>
      <w:r>
        <w:rPr>
          <w:rFonts w:ascii="宋体" w:hAnsi="宋体" w:cs="宋体"/>
          <w:sz w:val="24"/>
          <w:szCs w:val="24"/>
          <w:highlight w:val="none"/>
        </w:rPr>
        <w:t xml:space="preserve">”</w:t>
      </w:r>
      <w:r>
        <w:rPr>
          <w:rFonts w:hint="eastAsia" w:ascii="宋体" w:hAnsi="宋体" w:cs="宋体"/>
          <w:sz w:val="24"/>
          <w:szCs w:val="24"/>
          <w:highlight w:val="none"/>
        </w:rPr>
        <w:t xml:space="preserve">，分支机构投标</w:t>
      </w:r>
      <w:r>
        <w:rPr>
          <w:rFonts w:ascii="宋体" w:hAnsi="宋体" w:cs="宋体"/>
          <w:sz w:val="24"/>
          <w:szCs w:val="24"/>
          <w:highlight w:val="none"/>
        </w:rPr>
        <w:t xml:space="preserve">时</w:t>
      </w:r>
      <w:r>
        <w:rPr>
          <w:rFonts w:hint="eastAsia" w:ascii="宋体" w:hAnsi="宋体" w:cs="宋体"/>
          <w:sz w:val="24"/>
          <w:szCs w:val="24"/>
          <w:highlight w:val="none"/>
          <w:lang w:eastAsia="zh-CN"/>
        </w:rPr>
        <w:t xml:space="preserve">涉及</w:t>
      </w:r>
      <w:r>
        <w:rPr>
          <w:rFonts w:hint="eastAsia" w:ascii="宋体" w:hAnsi="宋体" w:cs="宋体"/>
          <w:sz w:val="24"/>
          <w:szCs w:val="24"/>
          <w:highlight w:val="none"/>
        </w:rPr>
        <w:t xml:space="preserve">招标文件</w:t>
      </w:r>
      <w:r>
        <w:rPr>
          <w:rFonts w:ascii="宋体" w:hAnsi="宋体" w:cs="宋体"/>
          <w:sz w:val="24"/>
          <w:szCs w:val="24"/>
          <w:highlight w:val="none"/>
        </w:rPr>
        <w:t xml:space="preserve">“</w:t>
      </w:r>
      <w:r>
        <w:rPr>
          <w:rFonts w:hint="eastAsia" w:ascii="宋体" w:hAnsi="宋体" w:cs="宋体"/>
          <w:sz w:val="24"/>
          <w:szCs w:val="24"/>
          <w:highlight w:val="none"/>
        </w:rPr>
        <w:t xml:space="preserve">法定代表人</w:t>
      </w:r>
      <w:r>
        <w:rPr>
          <w:rFonts w:ascii="宋体" w:hAnsi="宋体" w:cs="宋体"/>
          <w:sz w:val="24"/>
          <w:szCs w:val="24"/>
          <w:highlight w:val="none"/>
        </w:rPr>
        <w:t xml:space="preserve">”</w:t>
      </w:r>
      <w:r>
        <w:rPr>
          <w:rFonts w:hint="eastAsia" w:ascii="宋体" w:hAnsi="宋体" w:cs="宋体"/>
          <w:sz w:val="24"/>
          <w:szCs w:val="24"/>
          <w:highlight w:val="none"/>
        </w:rPr>
        <w:t xml:space="preserve">要求的部分</w:t>
      </w:r>
      <w:r>
        <w:rPr>
          <w:rFonts w:ascii="宋体" w:hAnsi="宋体" w:cs="宋体"/>
          <w:sz w:val="24"/>
          <w:szCs w:val="24"/>
          <w:highlight w:val="none"/>
        </w:rPr>
        <w:t xml:space="preserve">，其</w:t>
      </w:r>
      <w:r>
        <w:rPr>
          <w:rFonts w:hint="eastAsia" w:ascii="宋体" w:hAnsi="宋体" w:cs="宋体"/>
          <w:sz w:val="24"/>
          <w:szCs w:val="24"/>
          <w:highlight w:val="none"/>
        </w:rPr>
        <w:t xml:space="preserve">具体要求</w:t>
      </w:r>
      <w:r>
        <w:rPr>
          <w:rFonts w:ascii="宋体" w:hAnsi="宋体" w:cs="宋体"/>
          <w:sz w:val="24"/>
          <w:szCs w:val="24"/>
          <w:highlight w:val="none"/>
        </w:rPr>
        <w:t xml:space="preserve">视同本条规定</w:t>
      </w:r>
      <w:r>
        <w:rPr>
          <w:rFonts w:hint="eastAsia" w:ascii="宋体" w:hAnsi="宋体"/>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投标供应商法定代表人授权代表身份证（</w:t>
      </w:r>
      <w:r>
        <w:rPr>
          <w:rFonts w:hint="eastAsia" w:ascii="宋体" w:hAnsi="宋体"/>
          <w:b/>
          <w:bCs/>
          <w:sz w:val="24"/>
          <w:szCs w:val="24"/>
          <w:highlight w:val="none"/>
        </w:rPr>
        <w:t xml:space="preserve">法定代表人亲自参加投标的除外</w:t>
      </w:r>
      <w:r>
        <w:rPr>
          <w:rFonts w:hint="eastAsia" w:ascii="宋体" w:hAnsi="宋体"/>
          <w:bCs/>
          <w:sz w:val="24"/>
          <w:szCs w:val="24"/>
          <w:highlight w:val="none"/>
        </w:rPr>
        <w:t xml:space="preserve">）</w:t>
      </w:r>
      <w:r>
        <w:rPr>
          <w:rFonts w:hint="eastAsia" w:ascii="宋体" w:hAnsi="宋体"/>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hint="eastAsia" w:ascii="宋体"/>
          <w:bCs/>
          <w:sz w:val="24"/>
          <w:szCs w:val="24"/>
          <w:highlight w:val="none"/>
        </w:rPr>
      </w:pPr>
      <w:r>
        <w:rPr>
          <w:rFonts w:hint="eastAsia" w:ascii="宋体"/>
          <w:bCs/>
          <w:sz w:val="24"/>
          <w:szCs w:val="24"/>
          <w:highlight w:val="none"/>
        </w:rPr>
        <w:t xml:space="preserve">投标供应商近一年中任意一个月份</w:t>
      </w:r>
      <w:r>
        <w:rPr>
          <w:rFonts w:hint="eastAsia" w:ascii="宋体"/>
          <w:bCs/>
          <w:sz w:val="24"/>
          <w:szCs w:val="24"/>
          <w:highlight w:val="none"/>
          <w:lang w:eastAsia="zh-CN"/>
        </w:rPr>
        <w:t xml:space="preserve">（</w:t>
      </w:r>
      <w:r>
        <w:rPr>
          <w:rFonts w:hint="eastAsia" w:ascii="宋体"/>
          <w:bCs/>
          <w:sz w:val="24"/>
          <w:szCs w:val="24"/>
          <w:highlight w:val="none"/>
        </w:rPr>
        <w:t xml:space="preserve">不含投标当月</w:t>
      </w:r>
      <w:r>
        <w:rPr>
          <w:rFonts w:hint="eastAsia" w:ascii="宋体"/>
          <w:bCs/>
          <w:sz w:val="24"/>
          <w:szCs w:val="24"/>
          <w:highlight w:val="none"/>
          <w:lang w:eastAsia="zh-CN"/>
        </w:rPr>
        <w:t xml:space="preserve">）</w:t>
      </w:r>
      <w:r>
        <w:rPr>
          <w:rFonts w:hint="eastAsia" w:ascii="宋体"/>
          <w:bCs/>
          <w:sz w:val="24"/>
          <w:szCs w:val="24"/>
          <w:highlight w:val="none"/>
        </w:rPr>
        <w:t xml:space="preserve">为其法定代表人授权代表缴纳社保的证明（由相关主管部门出具，新成立公司除外、法定代表人亲自参加投标的除外）；</w:t>
      </w:r>
      <w:r/>
    </w:p>
    <w:p>
      <w:pPr>
        <w:numPr>
          <w:ilvl w:val="1"/>
          <w:numId w:val="5"/>
        </w:numPr>
        <w:ind w:left="0" w:firstLine="523"/>
        <w:spacing w:line="360" w:lineRule="auto"/>
        <w:tabs>
          <w:tab w:val="left" w:pos="945" w:leader="none"/>
          <w:tab w:val="left" w:pos="1276" w:leader="none"/>
        </w:tabs>
        <w:rPr>
          <w:rFonts w:hint="eastAsia" w:ascii="宋体"/>
          <w:bCs/>
          <w:sz w:val="24"/>
          <w:szCs w:val="24"/>
          <w:highlight w:val="none"/>
        </w:rPr>
      </w:pPr>
      <w:r>
        <w:rPr>
          <w:rFonts w:hint="eastAsia" w:ascii="宋体"/>
          <w:bCs/>
          <w:sz w:val="24"/>
          <w:szCs w:val="24"/>
          <w:highlight w:val="none"/>
        </w:rPr>
        <w:t xml:space="preserve">投标供应商近一年中任意一个月份</w:t>
      </w:r>
      <w:r>
        <w:rPr>
          <w:rFonts w:hint="eastAsia" w:ascii="宋体"/>
          <w:bCs/>
          <w:sz w:val="24"/>
          <w:szCs w:val="24"/>
          <w:highlight w:val="none"/>
          <w:lang w:eastAsia="zh-CN"/>
        </w:rPr>
        <w:t xml:space="preserve">（</w:t>
      </w:r>
      <w:r>
        <w:rPr>
          <w:rFonts w:hint="eastAsia" w:ascii="宋体"/>
          <w:bCs/>
          <w:sz w:val="24"/>
          <w:szCs w:val="24"/>
          <w:highlight w:val="none"/>
        </w:rPr>
        <w:t xml:space="preserve">不含投标当月</w:t>
      </w:r>
      <w:r>
        <w:rPr>
          <w:rFonts w:hint="eastAsia" w:ascii="宋体"/>
          <w:bCs/>
          <w:sz w:val="24"/>
          <w:szCs w:val="24"/>
          <w:highlight w:val="none"/>
          <w:lang w:eastAsia="zh-CN"/>
        </w:rPr>
        <w:t xml:space="preserve">）</w:t>
      </w:r>
      <w:r>
        <w:rPr>
          <w:rFonts w:hint="eastAsia" w:ascii="宋体"/>
          <w:bCs/>
          <w:sz w:val="24"/>
          <w:szCs w:val="24"/>
          <w:highlight w:val="none"/>
        </w:rPr>
        <w:t xml:space="preserve">的财务状况报告（资产负债表和利润表）或由会计师事务所出具的近两年中（2022年或2023年）任意一个年度的审计报告和所附已审财务报告；</w:t>
      </w:r>
      <w:r/>
    </w:p>
    <w:p>
      <w:pPr>
        <w:numPr>
          <w:ilvl w:val="1"/>
          <w:numId w:val="5"/>
        </w:numPr>
        <w:ind w:left="0" w:firstLine="523"/>
        <w:spacing w:line="360" w:lineRule="auto"/>
        <w:tabs>
          <w:tab w:val="left" w:pos="945" w:leader="none"/>
          <w:tab w:val="left" w:pos="1276" w:leader="none"/>
        </w:tabs>
        <w:rPr>
          <w:rFonts w:hint="eastAsia" w:ascii="宋体"/>
          <w:bCs/>
          <w:sz w:val="24"/>
          <w:szCs w:val="24"/>
          <w:highlight w:val="none"/>
        </w:rPr>
      </w:pPr>
      <w:r>
        <w:rPr>
          <w:rFonts w:hint="eastAsia" w:ascii="宋体"/>
          <w:bCs/>
          <w:sz w:val="24"/>
          <w:szCs w:val="24"/>
          <w:highlight w:val="none"/>
        </w:rPr>
        <w:t xml:space="preserve">投标供应商近一年中任意一个月份</w:t>
      </w:r>
      <w:r>
        <w:rPr>
          <w:rFonts w:hint="eastAsia" w:ascii="宋体"/>
          <w:bCs/>
          <w:sz w:val="24"/>
          <w:szCs w:val="24"/>
          <w:highlight w:val="none"/>
          <w:lang w:eastAsia="zh-CN"/>
        </w:rPr>
        <w:t xml:space="preserve">（</w:t>
      </w:r>
      <w:r>
        <w:rPr>
          <w:rFonts w:hint="eastAsia" w:ascii="宋体"/>
          <w:bCs/>
          <w:sz w:val="24"/>
          <w:szCs w:val="24"/>
          <w:highlight w:val="none"/>
        </w:rPr>
        <w:t xml:space="preserve">不含投标当月</w:t>
      </w:r>
      <w:r>
        <w:rPr>
          <w:rFonts w:hint="eastAsia" w:ascii="宋体"/>
          <w:bCs/>
          <w:sz w:val="24"/>
          <w:szCs w:val="24"/>
          <w:highlight w:val="none"/>
          <w:lang w:eastAsia="zh-CN"/>
        </w:rPr>
        <w:t xml:space="preserve">）</w:t>
      </w:r>
      <w:r>
        <w:rPr>
          <w:rFonts w:hint="eastAsia" w:ascii="宋体"/>
          <w:bCs/>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bCs/>
          <w:sz w:val="24"/>
          <w:szCs w:val="24"/>
          <w:highlight w:val="none"/>
        </w:rPr>
      </w:pPr>
      <w:r>
        <w:rPr>
          <w:rFonts w:hint="eastAsia" w:ascii="宋体"/>
          <w:bCs/>
          <w:sz w:val="24"/>
          <w:szCs w:val="24"/>
          <w:highlight w:val="none"/>
        </w:rPr>
        <w:t xml:space="preserve">投标供应商近一年中任意一个月份</w:t>
      </w:r>
      <w:r>
        <w:rPr>
          <w:rFonts w:hint="eastAsia" w:ascii="宋体"/>
          <w:bCs/>
          <w:sz w:val="24"/>
          <w:szCs w:val="24"/>
          <w:highlight w:val="none"/>
          <w:lang w:eastAsia="zh-CN"/>
        </w:rPr>
        <w:t xml:space="preserve">（</w:t>
      </w:r>
      <w:r>
        <w:rPr>
          <w:rFonts w:hint="eastAsia" w:ascii="宋体"/>
          <w:bCs/>
          <w:sz w:val="24"/>
          <w:szCs w:val="24"/>
          <w:highlight w:val="none"/>
        </w:rPr>
        <w:t xml:space="preserve">不含投标当月</w:t>
      </w:r>
      <w:r>
        <w:rPr>
          <w:rFonts w:hint="eastAsia" w:ascii="宋体"/>
          <w:bCs/>
          <w:sz w:val="24"/>
          <w:szCs w:val="24"/>
          <w:highlight w:val="none"/>
          <w:lang w:eastAsia="zh-CN"/>
        </w:rPr>
        <w:t xml:space="preserve">）</w:t>
      </w:r>
      <w:r>
        <w:rPr>
          <w:rFonts w:hint="eastAsia" w:ascii="宋体"/>
          <w:bCs/>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服务保障承诺书（</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1"/>
          <w:numId w:val="5"/>
        </w:numPr>
        <w:ind w:left="0" w:firstLine="523"/>
        <w:spacing w:line="360" w:lineRule="auto"/>
        <w:tabs>
          <w:tab w:val="left" w:pos="945" w:leader="none"/>
          <w:tab w:val="left" w:pos="1276" w:leader="none"/>
          <w:tab w:val="left" w:pos="3762" w:leader="none"/>
        </w:tabs>
        <w:rPr>
          <w:rFonts w:hint="eastAsia" w:ascii="宋体" w:hAnsi="宋体"/>
          <w:bCs/>
          <w:sz w:val="24"/>
          <w:szCs w:val="24"/>
          <w:highlight w:val="none"/>
        </w:rPr>
      </w:pPr>
      <w:r>
        <w:rPr>
          <w:rFonts w:hint="eastAsia" w:ascii="宋体" w:hAnsi="宋体"/>
          <w:bCs/>
          <w:sz w:val="24"/>
          <w:szCs w:val="24"/>
          <w:highlight w:val="none"/>
        </w:rPr>
        <w:t xml:space="preserve">供应商应为中小微企业、监狱企业、残疾人福利性单位</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hint="eastAsia" w:ascii="宋体"/>
          <w:bCs/>
          <w:sz w:val="24"/>
          <w:szCs w:val="24"/>
          <w:highlight w:val="none"/>
        </w:rPr>
      </w:pPr>
      <w:r>
        <w:rPr>
          <w:rFonts w:hint="eastAsia" w:ascii="宋体" w:hAnsi="宋体"/>
          <w:bCs/>
          <w:sz w:val="24"/>
          <w:szCs w:val="24"/>
          <w:highlight w:val="none"/>
        </w:rPr>
        <w:t xml:space="preserve">采购人要求的特定资质证明扫描件（</w:t>
      </w:r>
      <w:r>
        <w:rPr>
          <w:rFonts w:hint="eastAsia" w:ascii="宋体" w:hAnsi="宋体"/>
          <w:b/>
          <w:bCs/>
          <w:sz w:val="24"/>
          <w:szCs w:val="24"/>
          <w:highlight w:val="none"/>
        </w:rPr>
        <w:t xml:space="preserve">详见“投标邀请函”</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“投标供应商资格要求”之3中要求）</w:t>
      </w:r>
      <w:r>
        <w:rPr>
          <w:rFonts w:hint="eastAsia" w:ascii="宋体" w:hAnsi="宋体"/>
          <w:bCs/>
          <w:sz w:val="24"/>
          <w:szCs w:val="24"/>
          <w:highlight w:val="none"/>
        </w:rPr>
        <w:t xml:space="preserve">。</w:t>
      </w:r>
      <w:r/>
    </w:p>
    <w:p>
      <w:pPr>
        <w:ind w:firstLine="480"/>
        <w:spacing w:line="360" w:lineRule="auto"/>
        <w:tabs>
          <w:tab w:val="left" w:pos="945" w:leader="none"/>
        </w:tabs>
        <w:rPr>
          <w:rFonts w:ascii="宋体"/>
          <w:bCs/>
          <w:sz w:val="24"/>
          <w:szCs w:val="24"/>
          <w:highlight w:val="none"/>
        </w:rPr>
      </w:pPr>
      <w:r>
        <w:rPr>
          <w:rFonts w:hint="eastAsia" w:ascii="宋体" w:hAnsi="宋体" w:cs="宋体"/>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开标一览表（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b/>
          <w:bCs/>
          <w:sz w:val="24"/>
          <w:szCs w:val="24"/>
          <w:highlight w:val="none"/>
        </w:rPr>
      </w:pPr>
      <w:r>
        <w:rPr>
          <w:rFonts w:hint="eastAsia" w:ascii="宋体" w:hAnsi="宋体"/>
          <w:bCs/>
          <w:sz w:val="24"/>
          <w:szCs w:val="24"/>
          <w:highlight w:val="none"/>
        </w:rPr>
        <w:t xml:space="preserve">投标报价明细表（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rPr>
          <w:rFonts w:hint="eastAsia" w:ascii="黑体" w:hAnsi="黑体" w:eastAsia="黑体"/>
          <w:bCs/>
          <w:color w:val="000000"/>
          <w:sz w:val="24"/>
          <w:szCs w:val="24"/>
          <w:highlight w:val="none"/>
        </w:rPr>
        <w:t xml:space="preserve"> </w:t>
      </w:r>
      <w:r/>
    </w:p>
    <w:p>
      <w:pPr>
        <w:numPr>
          <w:ilvl w:val="0"/>
          <w:numId w:val="5"/>
        </w:numPr>
        <w:ind w:left="1" w:firstLine="523"/>
        <w:spacing w:line="360" w:lineRule="auto"/>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投标偏离表（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项目管理机构配备情况表（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b/>
          <w:bCs/>
          <w:sz w:val="24"/>
          <w:szCs w:val="24"/>
          <w:highlight w:val="none"/>
        </w:rPr>
      </w:pPr>
      <w:r>
        <w:rPr>
          <w:rFonts w:hint="eastAsia" w:ascii="宋体" w:hAnsi="宋体"/>
          <w:bCs/>
          <w:sz w:val="24"/>
          <w:szCs w:val="24"/>
          <w:highlight w:val="none"/>
        </w:rPr>
        <w:t xml:space="preserve">机械设备投入计划表（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技术文件（</w:t>
      </w:r>
      <w:r>
        <w:rPr>
          <w:rFonts w:hint="eastAsia" w:ascii="宋体" w:hAnsi="宋体"/>
          <w:b/>
          <w:bCs w:val="0"/>
          <w:sz w:val="24"/>
          <w:szCs w:val="24"/>
          <w:highlight w:val="none"/>
        </w:rPr>
        <w:t xml:space="preserve">暗标，内容参照评标办法</w:t>
      </w:r>
      <w:r>
        <w:rPr>
          <w:rFonts w:hint="eastAsia" w:ascii="宋体" w:hAnsi="宋体"/>
          <w:bCs/>
          <w:sz w:val="24"/>
          <w:szCs w:val="24"/>
          <w:highlight w:val="none"/>
        </w:rPr>
        <w:t xml:space="preserve">）</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rPr>
      </w:pPr>
      <w:r>
        <w:rPr>
          <w:rFonts w:hint="eastAsia" w:ascii="宋体" w:hAnsi="宋体"/>
          <w:b/>
          <w:bCs w:val="0"/>
          <w:color w:val="000000"/>
          <w:sz w:val="24"/>
          <w:szCs w:val="24"/>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不得有体现投标人身份的内容是指：</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①技术部分不得出现能够体现投标人身份、名称的相关描述、材料、文件等内容；</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②技术部分不得更改，不得在其中涂改、标注或做任何可以辨认投标人及所属人员身份的名称、印章、商标等标记；</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③技术部分应当版面整洁、字迹清楚、不许批注或进行底纹、阴影、水印等特殊设置，不得采用任何不符合常规、有别于其他投标人的特殊做法；</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ascii="宋体" w:hAnsi="宋体"/>
          <w:b/>
          <w:bCs/>
          <w:sz w:val="24"/>
          <w:szCs w:val="24"/>
          <w:highlight w:val="none"/>
        </w:rPr>
      </w:pPr>
      <w:r>
        <w:rPr>
          <w:rFonts w:hint="eastAsia" w:ascii="宋体" w:hAnsi="宋体"/>
          <w:b/>
          <w:bCs w:val="0"/>
          <w:color w:val="000000"/>
          <w:sz w:val="24"/>
          <w:szCs w:val="24"/>
          <w:highlight w:val="none"/>
        </w:rPr>
        <w:t xml:space="preserve">④不得有其他体现投标人身份的内容。</w:t>
      </w:r>
      <w:r/>
    </w:p>
    <w:p>
      <w:pPr>
        <w:numPr>
          <w:ilvl w:val="0"/>
          <w:numId w:val="5"/>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w:t>
      </w:r>
      <w:r>
        <w:rPr>
          <w:rFonts w:hint="eastAsia" w:ascii="宋体" w:hAnsi="宋体"/>
          <w:bCs/>
          <w:sz w:val="24"/>
          <w:szCs w:val="24"/>
          <w:highlight w:val="none"/>
          <w:lang w:eastAsia="zh-CN"/>
        </w:rPr>
        <w:t xml:space="preserve">的其他</w:t>
      </w:r>
      <w:r>
        <w:rPr>
          <w:rFonts w:hint="eastAsia" w:ascii="宋体" w:hAnsi="宋体"/>
          <w:bCs/>
          <w:sz w:val="24"/>
          <w:szCs w:val="24"/>
          <w:highlight w:val="none"/>
        </w:rPr>
        <w:t xml:space="preserve">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其它（</w:t>
      </w:r>
      <w:r>
        <w:rPr>
          <w:rFonts w:hint="eastAsia" w:ascii="宋体" w:hAnsi="宋体"/>
          <w:b/>
          <w:bCs/>
          <w:sz w:val="24"/>
          <w:szCs w:val="24"/>
          <w:highlight w:val="none"/>
        </w:rPr>
        <w:t xml:space="preserve">投标供应商认为有必要提供的声明和文件，如有自拟并自行添加</w:t>
      </w:r>
      <w:r>
        <w:rPr>
          <w:rFonts w:hint="eastAsia" w:ascii="宋体" w:hAnsi="宋体"/>
          <w:bCs/>
          <w:sz w:val="24"/>
          <w:szCs w:val="24"/>
          <w:highlight w:val="none"/>
        </w:rPr>
        <w:t xml:space="preserve">）</w:t>
      </w:r>
      <w:r/>
    </w:p>
    <w:p>
      <w:pPr>
        <w:ind w:firstLine="48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上述</w:t>
      </w:r>
      <w:r>
        <w:rPr>
          <w:rFonts w:ascii="宋体" w:hAnsi="宋体"/>
          <w:bCs/>
          <w:sz w:val="24"/>
          <w:szCs w:val="24"/>
          <w:highlight w:val="none"/>
        </w:rPr>
        <w:t xml:space="preserve">1-</w:t>
      </w: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项投标供应商必须按要求全部提供，否则投标文件无效。</w:t>
      </w:r>
      <w:r>
        <w:rPr>
          <w:rFonts w:hint="eastAsia" w:ascii="Tahoma" w:hAnsi="Tahoma" w:cs="Tahoma"/>
          <w:sz w:val="24"/>
          <w:szCs w:val="24"/>
          <w:highlight w:val="none"/>
        </w:rPr>
        <w:t xml:space="preserve">如上述资格证明文件遇年检、换证，则必须提供法定年检、换证单位出具的有效证明</w:t>
      </w:r>
      <w:r>
        <w:rPr>
          <w:rFonts w:hint="eastAsia" w:ascii="宋体" w:hAnsi="宋体"/>
          <w:bCs/>
          <w:sz w:val="24"/>
          <w:szCs w:val="24"/>
          <w:highlight w:val="none"/>
        </w:rPr>
        <w:t xml:space="preserve">扫描件</w:t>
      </w:r>
      <w:r>
        <w:rPr>
          <w:rFonts w:hint="eastAsia" w:ascii="Tahoma" w:hAnsi="Tahoma" w:cs="Tahoma"/>
          <w:sz w:val="24"/>
          <w:szCs w:val="24"/>
          <w:highlight w:val="none"/>
        </w:rPr>
        <w:t xml:space="preserve">。如上述资格证明文件第</w:t>
      </w:r>
      <w:r>
        <w:rPr>
          <w:rFonts w:hint="eastAsia" w:ascii="宋体" w:hAnsi="宋体" w:cs="Tahoma"/>
          <w:sz w:val="24"/>
          <w:szCs w:val="24"/>
          <w:highlight w:val="none"/>
        </w:rPr>
        <w:t xml:space="preserve">（</w:t>
      </w:r>
      <w:r>
        <w:rPr>
          <w:rFonts w:ascii="宋体" w:hAnsi="宋体" w:cs="Tahoma"/>
          <w:sz w:val="24"/>
          <w:szCs w:val="24"/>
          <w:highlight w:val="none"/>
        </w:rPr>
        <w:t xml:space="preserve">6</w:t>
      </w:r>
      <w:r>
        <w:rPr>
          <w:rFonts w:hint="eastAsia" w:ascii="宋体" w:hAnsi="宋体" w:cs="Tahoma"/>
          <w:sz w:val="24"/>
          <w:szCs w:val="24"/>
          <w:highlight w:val="none"/>
        </w:rPr>
        <w:t xml:space="preserve">）（</w:t>
      </w:r>
      <w:r>
        <w:rPr>
          <w:rFonts w:ascii="宋体" w:hAnsi="宋体" w:cs="Tahoma"/>
          <w:sz w:val="24"/>
          <w:szCs w:val="24"/>
          <w:highlight w:val="none"/>
        </w:rPr>
        <w:t xml:space="preserve">7</w:t>
      </w:r>
      <w:r>
        <w:rPr>
          <w:rFonts w:hint="eastAsia" w:ascii="宋体" w:hAnsi="宋体" w:cs="Tahoma"/>
          <w:sz w:val="24"/>
          <w:szCs w:val="24"/>
          <w:highlight w:val="none"/>
        </w:rPr>
        <w:t xml:space="preserve">）（8）（9）</w:t>
      </w:r>
      <w:r>
        <w:rPr>
          <w:rFonts w:hint="eastAsia" w:ascii="Tahoma" w:hAnsi="Tahoma" w:cs="Tahoma"/>
          <w:sz w:val="24"/>
          <w:szCs w:val="24"/>
          <w:highlight w:val="none"/>
        </w:rPr>
        <w:t xml:space="preserve">四项遇有国家相关政策规定可不具备的，必须提供相关政策规定或相关单位出具的有效证明</w:t>
      </w:r>
      <w:r>
        <w:rPr>
          <w:rFonts w:hint="eastAsia" w:ascii="宋体" w:hAnsi="宋体"/>
          <w:bCs/>
          <w:sz w:val="24"/>
          <w:szCs w:val="24"/>
          <w:highlight w:val="none"/>
        </w:rPr>
        <w:t xml:space="preserve">扫描件</w:t>
      </w:r>
      <w:r>
        <w:rPr>
          <w:rFonts w:hint="eastAsia" w:ascii="Tahoma" w:hAnsi="Tahoma" w:cs="Tahoma"/>
          <w:sz w:val="24"/>
          <w:szCs w:val="24"/>
          <w:highlight w:val="none"/>
        </w:rPr>
        <w:t xml:space="preserve">。</w:t>
      </w:r>
      <w:r>
        <w:rPr>
          <w:rFonts w:hint="eastAsia" w:ascii="宋体" w:hAnsi="宋体"/>
          <w:bCs/>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ascii="宋体" w:hAnsi="宋体"/>
          <w:bCs/>
          <w:sz w:val="24"/>
          <w:szCs w:val="24"/>
          <w:highlight w:val="none"/>
          <w:lang w:eastAsia="zh-CN"/>
        </w:rPr>
        <w:t xml:space="preserve">或其他</w:t>
      </w:r>
      <w:r>
        <w:rPr>
          <w:rFonts w:hint="eastAsia" w:ascii="宋体" w:hAnsi="宋体"/>
          <w:bCs/>
          <w:sz w:val="24"/>
          <w:szCs w:val="24"/>
          <w:highlight w:val="none"/>
        </w:rPr>
        <w:t xml:space="preserve">可在中国大陆有效居留的许可证明。</w:t>
      </w:r>
      <w:r/>
    </w:p>
    <w:p>
      <w:pPr>
        <w:ind w:firstLine="48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（七）</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投标文件的制作：</w:t>
      </w:r>
      <w:r/>
    </w:p>
    <w:p>
      <w:pPr>
        <w:numPr>
          <w:ilvl w:val="0"/>
          <w:numId w:val="6"/>
        </w:numPr>
        <w:ind w:left="0"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rFonts w:ascii="宋体"/>
          <w:bCs/>
          <w:sz w:val="24"/>
          <w:szCs w:val="24"/>
          <w:highlight w:val="none"/>
        </w:rPr>
      </w:pPr>
      <w:r>
        <w:rPr>
          <w:rFonts w:hint="eastAsia" w:ascii="宋体"/>
          <w:sz w:val="24"/>
          <w:szCs w:val="24"/>
          <w:highlight w:val="none"/>
          <w:lang w:val="zh-CN"/>
        </w:rPr>
        <w:t xml:space="preserve">如无特别说明，</w:t>
      </w:r>
      <w:r>
        <w:rPr>
          <w:rFonts w:hint="eastAsia" w:ascii="宋体" w:hAnsi="宋体"/>
          <w:bCs/>
          <w:sz w:val="24"/>
          <w:szCs w:val="24"/>
          <w:highlight w:val="none"/>
        </w:rPr>
        <w:t xml:space="preserve">投标供应商报价一律以人民币为投标结算货币</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投标费用自理。</w:t>
      </w:r>
      <w:r/>
    </w:p>
    <w:p>
      <w:pPr>
        <w:ind w:firstLine="480"/>
        <w:spacing w:line="360" w:lineRule="auto"/>
        <w:tabs>
          <w:tab w:val="left" w:pos="945" w:leader="none"/>
        </w:tabs>
        <w:rPr>
          <w:rFonts w:ascii="黑体" w:hAnsi="宋体" w:eastAsia="黑体"/>
          <w:bCs/>
          <w:sz w:val="24"/>
          <w:szCs w:val="24"/>
          <w:highlight w:val="none"/>
        </w:rPr>
      </w:pPr>
      <w:r>
        <w:rPr>
          <w:rFonts w:hint="eastAsia" w:ascii="黑体" w:hAnsi="宋体" w:eastAsia="黑体"/>
          <w:bCs/>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投标供应商应由其法定代表人或法定代表人授权代表在规定的网上投标时间内，凭</w:t>
      </w:r>
      <w:r>
        <w:rPr>
          <w:rFonts w:ascii="宋体" w:hAnsi="宋体"/>
          <w:bCs/>
          <w:sz w:val="24"/>
          <w:szCs w:val="24"/>
          <w:highlight w:val="none"/>
        </w:rPr>
        <w:t xml:space="preserve">CA</w:t>
      </w:r>
      <w:r>
        <w:rPr>
          <w:rFonts w:hint="eastAsia" w:ascii="宋体" w:hAnsi="宋体"/>
          <w:bCs/>
          <w:sz w:val="24"/>
          <w:szCs w:val="24"/>
          <w:highlight w:val="none"/>
        </w:rPr>
        <w:t xml:space="preserve">数字证书登陆</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平台获取招标文件，在投标客户端制作投标文件（电子数据），并在投标截止时间之前上传投标文件。</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投标供应商应对</w:t>
      </w:r>
      <w:r>
        <w:rPr>
          <w:rFonts w:ascii="宋体" w:hAnsi="宋体"/>
          <w:bCs/>
          <w:sz w:val="24"/>
          <w:szCs w:val="24"/>
          <w:highlight w:val="none"/>
        </w:rPr>
        <w:t xml:space="preserve">CA</w:t>
      </w:r>
      <w:r>
        <w:rPr>
          <w:rFonts w:hint="eastAsia" w:ascii="宋体" w:hAnsi="宋体"/>
          <w:bCs/>
          <w:sz w:val="24"/>
          <w:szCs w:val="24"/>
          <w:highlight w:val="none"/>
        </w:rPr>
        <w:t xml:space="preserve">数字证书妥善保管，如被他人盗用投标，后果自负。</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投标供应商按招标文件规定的</w:t>
      </w:r>
      <w:r>
        <w:rPr>
          <w:rFonts w:hint="eastAsia" w:ascii="宋体" w:hAnsi="宋体"/>
          <w:sz w:val="24"/>
          <w:szCs w:val="24"/>
          <w:highlight w:val="none"/>
        </w:rPr>
        <w:t xml:space="preserve">网上解密时间</w:t>
      </w:r>
      <w:r>
        <w:rPr>
          <w:rFonts w:hint="eastAsia" w:ascii="宋体" w:hAnsi="宋体"/>
          <w:bCs/>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投标供应商应当对招标文件提出的要求和条件作出实质性响应，并在电子投标系统逐条应答。</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rFonts w:hint="eastAsia" w:ascii="宋体" w:hAnsi="宋体"/>
          <w:sz w:val="24"/>
          <w:szCs w:val="24"/>
          <w:highlight w:val="none"/>
        </w:rPr>
      </w:pPr>
      <w:r>
        <w:rPr>
          <w:rFonts w:hint="eastAsia" w:ascii="宋体" w:hAnsi="宋体"/>
          <w:bCs/>
          <w:sz w:val="24"/>
          <w:szCs w:val="24"/>
          <w:highlight w:val="none"/>
        </w:rPr>
        <w:t xml:space="preserve">投标供应商进行网上</w:t>
      </w:r>
      <w:r>
        <w:rPr>
          <w:rFonts w:hint="eastAsia" w:ascii="宋体" w:hAnsi="宋体"/>
          <w:sz w:val="24"/>
          <w:szCs w:val="24"/>
          <w:highlight w:val="none"/>
        </w:rPr>
        <w:t xml:space="preserve">投标</w:t>
      </w:r>
      <w:r>
        <w:rPr>
          <w:rFonts w:hint="eastAsia" w:ascii="宋体" w:hAnsi="宋体"/>
          <w:bCs/>
          <w:sz w:val="24"/>
          <w:szCs w:val="24"/>
          <w:highlight w:val="none"/>
        </w:rPr>
        <w:t xml:space="preserve">请参照《</w:t>
      </w:r>
      <w:r>
        <w:rPr>
          <w:rFonts w:hint="eastAsia" w:ascii="宋体" w:hAnsi="宋体"/>
          <w:sz w:val="24"/>
          <w:szCs w:val="24"/>
          <w:highlight w:val="none"/>
        </w:rPr>
        <w:t xml:space="preserve">政府采购项目电子交易管理操作指南</w:t>
      </w:r>
      <w:r>
        <w:rPr>
          <w:rFonts w:hint="eastAsia" w:ascii="宋体" w:hAnsi="宋体"/>
          <w:color w:val="000000"/>
          <w:sz w:val="24"/>
          <w:highlight w:val="none"/>
          <w:lang w:eastAsia="zh-CN"/>
        </w:rPr>
        <w:t xml:space="preserve">－</w:t>
      </w:r>
      <w:r>
        <w:rPr>
          <w:rFonts w:hint="eastAsia" w:ascii="宋体" w:hAnsi="宋体"/>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sz w:val="24"/>
          <w:szCs w:val="24"/>
          <w:highlight w:val="none"/>
        </w:rPr>
      </w:pPr>
      <w:r>
        <w:rPr>
          <w:rFonts w:hint="eastAsia" w:ascii="黑体" w:hAnsi="宋体" w:eastAsia="黑体"/>
          <w:bCs/>
          <w:sz w:val="24"/>
          <w:szCs w:val="24"/>
          <w:highlight w:val="none"/>
        </w:rPr>
        <w:t xml:space="preserve">（九）无效投标文件的确认：</w:t>
      </w:r>
      <w:r/>
    </w:p>
    <w:p>
      <w:pPr>
        <w:ind w:firstLine="480"/>
        <w:spacing w:line="360" w:lineRule="auto"/>
        <w:tabs>
          <w:tab w:val="left" w:pos="945" w:leader="none"/>
        </w:tabs>
        <w:rPr>
          <w:rFonts w:ascii="黑体" w:hAnsi="宋体" w:eastAsia="黑体"/>
          <w:bCs/>
          <w:sz w:val="24"/>
          <w:szCs w:val="24"/>
          <w:highlight w:val="none"/>
        </w:rPr>
      </w:pPr>
      <w:r>
        <w:rPr>
          <w:rFonts w:hint="eastAsia" w:ascii="宋体" w:hAnsi="宋体"/>
          <w:bCs/>
          <w:sz w:val="24"/>
          <w:szCs w:val="24"/>
          <w:highlight w:val="none"/>
        </w:rPr>
        <w:t xml:space="preserve">投标供应商有下列情况之一者，投标文件无效：</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sz w:val="24"/>
          <w:szCs w:val="24"/>
          <w:highlight w:val="none"/>
        </w:rPr>
        <w:t xml:space="preserve">被“信用中国”网站（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ascii="宋体" w:hAnsi="宋体"/>
          <w:sz w:val="24"/>
          <w:szCs w:val="24"/>
          <w:highlight w:val="none"/>
        </w:rPr>
        <w:t xml:space="preserve">www.creditchina.gov.cn</w:t>
      </w:r>
      <w:r>
        <w:rPr>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bCs/>
          <w:color w:val="000000"/>
          <w:sz w:val="24"/>
          <w:szCs w:val="24"/>
          <w:highlight w:val="none"/>
        </w:rPr>
        <w:t xml:space="preserve">电子投标文件中技术文件暗标部分有体现投标人身份的内容</w:t>
      </w:r>
      <w:r>
        <w:rPr>
          <w:rFonts w:hint="eastAsia" w:ascii="宋体"/>
          <w:bCs/>
          <w:color w:val="000000"/>
          <w:sz w:val="24"/>
          <w:szCs w:val="24"/>
          <w:highlight w:val="none"/>
          <w:lang w:eastAsia="zh-CN"/>
        </w:rPr>
        <w:t xml:space="preserve">；</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投标文件内容不全或不符合招标文件中规定</w:t>
      </w:r>
      <w:r>
        <w:rPr>
          <w:rFonts w:hint="eastAsia" w:ascii="宋体" w:hAnsi="宋体"/>
          <w:bCs/>
          <w:sz w:val="24"/>
          <w:szCs w:val="24"/>
          <w:highlight w:val="none"/>
          <w:lang w:eastAsia="zh-CN"/>
        </w:rPr>
        <w:t xml:space="preserve">的其他</w:t>
      </w:r>
      <w:r>
        <w:rPr>
          <w:rFonts w:hint="eastAsia" w:ascii="宋体" w:hAnsi="宋体"/>
          <w:bCs/>
          <w:sz w:val="24"/>
          <w:szCs w:val="24"/>
          <w:highlight w:val="none"/>
        </w:rPr>
        <w:t xml:space="preserve">实质性要求的；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法律法规和招标文件规定</w:t>
      </w:r>
      <w:r>
        <w:rPr>
          <w:rFonts w:hint="eastAsia" w:ascii="宋体" w:hAnsi="宋体"/>
          <w:bCs/>
          <w:sz w:val="24"/>
          <w:szCs w:val="24"/>
          <w:highlight w:val="none"/>
          <w:lang w:eastAsia="zh-CN"/>
        </w:rPr>
        <w:t xml:space="preserve">的其他</w:t>
      </w:r>
      <w:r>
        <w:rPr>
          <w:rFonts w:hint="eastAsia" w:ascii="宋体" w:hAnsi="宋体"/>
          <w:bCs/>
          <w:sz w:val="24"/>
          <w:szCs w:val="24"/>
          <w:highlight w:val="none"/>
        </w:rPr>
        <w:t xml:space="preserve">无效情形。</w:t>
      </w:r>
      <w:r/>
    </w:p>
    <w:p>
      <w:pPr>
        <w:ind w:firstLine="48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开标时，投标文件</w:t>
      </w:r>
      <w:r>
        <w:rPr>
          <w:rFonts w:ascii="宋体" w:hAnsi="宋体"/>
          <w:bCs/>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highlight w:val="none"/>
        </w:rPr>
      </w:pPr>
      <w:r>
        <w:rPr>
          <w:rFonts w:hint="eastAsia" w:ascii="宋体" w:hAnsi="宋体"/>
          <w:bCs/>
          <w:sz w:val="24"/>
          <w:szCs w:val="24"/>
          <w:highlight w:val="none"/>
        </w:rPr>
        <w:t xml:space="preserve">（一）</w:t>
      </w:r>
      <w:r>
        <w:rPr>
          <w:rFonts w:ascii="宋体" w:hAnsi="宋体"/>
          <w:bCs/>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（二）</w:t>
      </w:r>
      <w:r>
        <w:rPr>
          <w:rFonts w:ascii="宋体" w:hAnsi="宋体"/>
          <w:bCs/>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（三）</w:t>
      </w:r>
      <w:r>
        <w:rPr>
          <w:rFonts w:ascii="宋体" w:hAnsi="宋体"/>
          <w:bCs/>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（四）</w:t>
      </w:r>
      <w:r>
        <w:rPr>
          <w:rFonts w:ascii="宋体" w:hAnsi="宋体"/>
          <w:bCs/>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highlight w:val="none"/>
        </w:rPr>
      </w:pPr>
      <w:r>
        <w:rPr>
          <w:rFonts w:ascii="宋体" w:hAnsi="宋体"/>
          <w:bCs/>
          <w:sz w:val="24"/>
          <w:szCs w:val="24"/>
          <w:highlight w:val="none"/>
        </w:rPr>
        <w:t xml:space="preserve">同时出现两种以上不一致的，按照前款规定的顺序修正。修正后的报价</w:t>
      </w:r>
      <w:r>
        <w:rPr>
          <w:rFonts w:hint="eastAsia" w:ascii="宋体" w:hAnsi="宋体"/>
          <w:bCs/>
          <w:sz w:val="24"/>
          <w:szCs w:val="24"/>
          <w:highlight w:val="none"/>
        </w:rPr>
        <w:t xml:space="preserve">评标委员会</w:t>
      </w:r>
      <w:r>
        <w:rPr>
          <w:rFonts w:ascii="宋体" w:hAnsi="宋体"/>
          <w:bCs/>
          <w:sz w:val="24"/>
          <w:szCs w:val="24"/>
          <w:highlight w:val="none"/>
        </w:rPr>
        <w:t xml:space="preserve">应当以书面形式要求</w:t>
      </w:r>
      <w:r>
        <w:rPr>
          <w:rFonts w:hint="eastAsia" w:ascii="宋体" w:hAnsi="宋体"/>
          <w:bCs/>
          <w:sz w:val="24"/>
          <w:szCs w:val="24"/>
          <w:highlight w:val="none"/>
        </w:rPr>
        <w:t xml:space="preserve">投标供应商</w:t>
      </w:r>
      <w:r>
        <w:rPr>
          <w:rFonts w:ascii="宋体" w:hAnsi="宋体"/>
          <w:bCs/>
          <w:sz w:val="24"/>
          <w:szCs w:val="24"/>
          <w:highlight w:val="none"/>
        </w:rPr>
        <w:t xml:space="preserve">作出必要的澄清、说明或者补正</w:t>
      </w:r>
      <w:r>
        <w:rPr>
          <w:rFonts w:hint="eastAsia" w:ascii="宋体" w:hAnsi="宋体"/>
          <w:bCs/>
          <w:sz w:val="24"/>
          <w:szCs w:val="24"/>
          <w:highlight w:val="none"/>
        </w:rPr>
        <w:t xml:space="preserve">，</w:t>
      </w:r>
      <w:r>
        <w:rPr>
          <w:rFonts w:ascii="宋体" w:hAnsi="宋体"/>
          <w:bCs/>
          <w:sz w:val="24"/>
          <w:szCs w:val="24"/>
          <w:highlight w:val="none"/>
        </w:rPr>
        <w:t xml:space="preserve">经投标供应商确认后产生约束力，投标供应商不确认的，其投标无效</w:t>
      </w:r>
      <w:r>
        <w:rPr>
          <w:rFonts w:hint="eastAsia" w:ascii="宋体" w:hAnsi="宋体"/>
          <w:bCs/>
          <w:sz w:val="24"/>
          <w:szCs w:val="24"/>
          <w:highlight w:val="none"/>
        </w:rPr>
        <w:t xml:space="preserve">。</w:t>
      </w:r>
      <w:r/>
    </w:p>
    <w:p>
      <w:pPr>
        <w:numPr>
          <w:ilvl w:val="1"/>
          <w:numId w:val="9"/>
        </w:numPr>
        <w:ind w:left="1" w:firstLine="523"/>
        <w:spacing w:line="360" w:lineRule="auto"/>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评标程序</w:t>
      </w:r>
      <w:r/>
    </w:p>
    <w:p>
      <w:pPr>
        <w:ind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评标工作由</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rFonts w:ascii="宋体" w:hAnsi="宋体"/>
          <w:bCs/>
          <w:sz w:val="24"/>
          <w:szCs w:val="24"/>
          <w:highlight w:val="none"/>
        </w:rPr>
      </w:pPr>
      <w:r>
        <w:rPr>
          <w:rFonts w:hint="eastAsia" w:ascii="宋体" w:hAnsi="宋体"/>
          <w:bCs/>
          <w:sz w:val="24"/>
          <w:szCs w:val="24"/>
          <w:highlight w:val="none"/>
        </w:rPr>
        <w:t xml:space="preserve">资格性检查。采购人或采购代理机构依据法律法规和招标文件的规定，对投标文件中的资格、资信证明部分等进行审查；通过“信用中国”网站（</w:t>
      </w:r>
      <w:r>
        <w:rPr>
          <w:rFonts w:ascii="宋体" w:hAnsi="宋体"/>
          <w:sz w:val="24"/>
          <w:szCs w:val="24"/>
          <w:highlight w:val="none"/>
        </w:rPr>
        <w:fldChar w:fldCharType="begin"/>
      </w:r>
      <w:r>
        <w:rPr>
          <w:rFonts w:ascii="宋体" w:hAnsi="宋体"/>
          <w:sz w:val="24"/>
          <w:szCs w:val="24"/>
          <w:highlight w:val="none"/>
        </w:rPr>
        <w:instrText xml:space="preserve">HYPERLINK "http://www.creditchina.gov.cn"</w:instrText>
      </w:r>
      <w:r>
        <w:rPr>
          <w:rFonts w:ascii="宋体" w:hAnsi="宋体"/>
          <w:sz w:val="24"/>
          <w:szCs w:val="24"/>
          <w:highlight w:val="none"/>
        </w:rPr>
        <w:fldChar w:fldCharType="separate"/>
      </w:r>
      <w:r>
        <w:rPr>
          <w:rFonts w:hint="eastAsia" w:ascii="宋体" w:hAnsi="宋体"/>
          <w:bCs/>
          <w:sz w:val="24"/>
          <w:szCs w:val="24"/>
          <w:highlight w:val="none"/>
        </w:rPr>
        <w:t xml:space="preserve">www.creditchina.gov.cn</w:t>
      </w:r>
      <w:r>
        <w:rPr>
          <w:rFonts w:ascii="宋体" w:hAnsi="宋体"/>
          <w:sz w:val="24"/>
          <w:szCs w:val="24"/>
          <w:highlight w:val="none"/>
        </w:rPr>
        <w:fldChar w:fldCharType="end"/>
      </w:r>
      <w:r>
        <w:rPr>
          <w:rFonts w:hint="eastAsia" w:ascii="宋体" w:hAnsi="宋体"/>
          <w:bCs/>
          <w:sz w:val="24"/>
          <w:szCs w:val="24"/>
          <w:highlight w:val="none"/>
        </w:rPr>
        <w:t xml:space="preserve">）、</w:t>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bCs/>
          <w:sz w:val="24"/>
          <w:szCs w:val="24"/>
          <w:highlight w:val="none"/>
        </w:rPr>
        <w:t xml:space="preserve">查询投标供应商在投标截止时间之前，是否被列入</w:t>
      </w:r>
      <w:r>
        <w:rPr>
          <w:rFonts w:hint="eastAsia" w:ascii="宋体" w:hAnsi="宋体"/>
          <w:sz w:val="24"/>
          <w:szCs w:val="24"/>
          <w:highlight w:val="none"/>
        </w:rPr>
        <w:t xml:space="preserve">失信被执行人、重大税收违法案件当事人名单、政府采购严重违法失信行为记录名单，</w:t>
      </w:r>
      <w:r>
        <w:rPr>
          <w:rFonts w:hint="eastAsia" w:ascii="宋体" w:hAnsi="宋体"/>
          <w:bCs/>
          <w:sz w:val="24"/>
          <w:szCs w:val="24"/>
          <w:highlight w:val="none"/>
        </w:rPr>
        <w:t xml:space="preserve">以确定投标供应商是否具备投标资格。信用</w:t>
      </w:r>
      <w:r>
        <w:rPr>
          <w:rFonts w:hint="eastAsia" w:ascii="宋体" w:hAnsi="宋体"/>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rFonts w:ascii="宋体" w:hAnsi="宋体"/>
          <w:bCs/>
          <w:sz w:val="24"/>
          <w:szCs w:val="24"/>
          <w:highlight w:val="none"/>
        </w:rPr>
      </w:pPr>
      <w:r>
        <w:rPr>
          <w:rFonts w:hint="eastAsia"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rFonts w:ascii="宋体" w:hAnsi="宋体"/>
          <w:bCs/>
          <w:sz w:val="24"/>
          <w:szCs w:val="24"/>
          <w:highlight w:val="none"/>
        </w:rPr>
      </w:pPr>
      <w:r>
        <w:rPr>
          <w:rFonts w:ascii="宋体" w:hAnsi="宋体"/>
          <w:bCs/>
          <w:sz w:val="24"/>
          <w:szCs w:val="24"/>
          <w:highlight w:val="none"/>
        </w:rPr>
        <w:t xml:space="preserve">澄清有关问题。对</w:t>
      </w:r>
      <w:r>
        <w:rPr>
          <w:rFonts w:hint="eastAsia" w:ascii="宋体" w:hAnsi="宋体"/>
          <w:bCs/>
          <w:sz w:val="24"/>
          <w:szCs w:val="24"/>
          <w:highlight w:val="none"/>
        </w:rPr>
        <w:t xml:space="preserve">投标</w:t>
      </w:r>
      <w:r>
        <w:rPr>
          <w:rFonts w:ascii="宋体" w:hAnsi="宋体"/>
          <w:bCs/>
          <w:sz w:val="24"/>
          <w:szCs w:val="24"/>
          <w:highlight w:val="none"/>
        </w:rPr>
        <w:t xml:space="preserve">文件中含义不明确、同类问题表述不一致或者有明显文字和计算错误的内容，</w:t>
      </w:r>
      <w:r>
        <w:rPr>
          <w:rFonts w:hint="eastAsia" w:ascii="宋体" w:hAnsi="宋体"/>
          <w:bCs/>
          <w:sz w:val="24"/>
          <w:szCs w:val="24"/>
          <w:highlight w:val="none"/>
        </w:rPr>
        <w:t xml:space="preserve">评标委员会</w:t>
      </w:r>
      <w:r>
        <w:rPr>
          <w:rFonts w:ascii="宋体" w:hAnsi="宋体"/>
          <w:bCs/>
          <w:sz w:val="24"/>
          <w:szCs w:val="24"/>
          <w:highlight w:val="none"/>
        </w:rPr>
        <w:t xml:space="preserve">可以</w:t>
      </w:r>
      <w:r>
        <w:rPr>
          <w:rFonts w:hint="eastAsia" w:ascii="宋体" w:hAnsi="宋体"/>
          <w:bCs/>
          <w:sz w:val="24"/>
          <w:szCs w:val="24"/>
          <w:highlight w:val="none"/>
        </w:rPr>
        <w:t xml:space="preserve">通过</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平台发起询标</w:t>
      </w:r>
      <w:r>
        <w:rPr>
          <w:rFonts w:ascii="宋体" w:hAnsi="宋体"/>
          <w:bCs/>
          <w:sz w:val="24"/>
          <w:szCs w:val="24"/>
          <w:highlight w:val="none"/>
        </w:rPr>
        <w:t xml:space="preserve">要求</w:t>
      </w:r>
      <w:r>
        <w:rPr>
          <w:rFonts w:hint="eastAsia" w:ascii="宋体" w:hAnsi="宋体"/>
          <w:bCs/>
          <w:sz w:val="24"/>
          <w:szCs w:val="24"/>
          <w:highlight w:val="none"/>
        </w:rPr>
        <w:t xml:space="preserve">投标供应商</w:t>
      </w:r>
      <w:r>
        <w:rPr>
          <w:rFonts w:ascii="宋体" w:hAnsi="宋体"/>
          <w:bCs/>
          <w:sz w:val="24"/>
          <w:szCs w:val="24"/>
          <w:highlight w:val="none"/>
        </w:rPr>
        <w:t xml:space="preserve">作出必要的澄清、说明或者纠正。</w:t>
      </w:r>
      <w:r>
        <w:rPr>
          <w:rFonts w:hint="eastAsia" w:ascii="宋体" w:hAnsi="宋体"/>
          <w:bCs/>
          <w:sz w:val="24"/>
          <w:szCs w:val="24"/>
          <w:highlight w:val="none"/>
        </w:rPr>
        <w:t xml:space="preserve">投标供应商</w:t>
      </w:r>
      <w:r>
        <w:rPr>
          <w:rFonts w:ascii="宋体" w:hAnsi="宋体"/>
          <w:bCs/>
          <w:sz w:val="24"/>
          <w:szCs w:val="24"/>
          <w:highlight w:val="none"/>
        </w:rPr>
        <w:t xml:space="preserve">的澄清、说明或者补正应当</w:t>
      </w:r>
      <w:r>
        <w:rPr>
          <w:rFonts w:hint="eastAsia" w:ascii="宋体" w:hAnsi="宋体"/>
          <w:bCs/>
          <w:sz w:val="24"/>
          <w:szCs w:val="24"/>
          <w:highlight w:val="none"/>
        </w:rPr>
        <w:t xml:space="preserve">通过</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w:t>
      </w:r>
      <w:r>
        <w:rPr>
          <w:rFonts w:ascii="宋体" w:hAnsi="宋体"/>
          <w:bCs/>
          <w:sz w:val="24"/>
          <w:szCs w:val="24"/>
          <w:highlight w:val="none"/>
        </w:rPr>
        <w:t xml:space="preserve">，由其授权的代表</w:t>
      </w:r>
      <w:r>
        <w:rPr>
          <w:rFonts w:hint="eastAsia" w:ascii="宋体" w:hAnsi="宋体"/>
          <w:bCs/>
          <w:sz w:val="24"/>
          <w:szCs w:val="24"/>
          <w:highlight w:val="none"/>
        </w:rPr>
        <w:t xml:space="preserve">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rFonts w:ascii="宋体"/>
          <w:bCs/>
          <w:sz w:val="24"/>
          <w:szCs w:val="24"/>
          <w:highlight w:val="none"/>
        </w:rPr>
      </w:pPr>
      <w:r>
        <w:rPr>
          <w:rFonts w:hint="eastAsia" w:ascii="宋体" w:hAnsi="宋体"/>
          <w:bCs/>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sz w:val="24"/>
          <w:szCs w:val="24"/>
          <w:highlight w:val="none"/>
        </w:rPr>
        <w:t xml:space="preserve">。</w:t>
      </w:r>
      <w:r/>
    </w:p>
    <w:p>
      <w:pPr>
        <w:numPr>
          <w:ilvl w:val="1"/>
          <w:numId w:val="9"/>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评标方法</w:t>
      </w:r>
      <w:r/>
    </w:p>
    <w:p>
      <w:pPr>
        <w:ind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投标供应商通过初审的，方可进入</w:t>
      </w:r>
      <w:r>
        <w:rPr>
          <w:rFonts w:hint="eastAsia" w:ascii="宋体" w:hAnsi="宋体"/>
          <w:bCs/>
          <w:sz w:val="24"/>
          <w:highlight w:val="none"/>
        </w:rPr>
        <w:t xml:space="preserve">比较与评价程序</w:t>
      </w:r>
      <w:r>
        <w:rPr>
          <w:rFonts w:hint="eastAsia" w:ascii="宋体" w:hAnsi="宋体"/>
          <w:bCs/>
          <w:sz w:val="24"/>
          <w:szCs w:val="24"/>
          <w:highlight w:val="none"/>
        </w:rPr>
        <w:t xml:space="preserve">。</w:t>
      </w:r>
      <w:r/>
    </w:p>
    <w:p>
      <w:pPr>
        <w:ind w:firstLine="523"/>
        <w:spacing w:line="360" w:lineRule="auto"/>
        <w:tabs>
          <w:tab w:val="left" w:pos="945" w:leader="none"/>
        </w:tabs>
        <w:rPr>
          <w:rFonts w:ascii="宋体"/>
          <w:bCs/>
          <w:sz w:val="24"/>
          <w:szCs w:val="24"/>
          <w:highlight w:val="none"/>
        </w:rPr>
      </w:pPr>
      <w:r>
        <w:rPr>
          <w:rFonts w:hint="eastAsia" w:ascii="宋体" w:hAnsi="宋体"/>
          <w:bCs/>
          <w:sz w:val="24"/>
          <w:highlight w:val="none"/>
        </w:rPr>
        <w:t xml:space="preserve">比较与评价</w:t>
      </w:r>
      <w:r>
        <w:rPr>
          <w:rFonts w:hint="eastAsia" w:ascii="宋体" w:hAnsi="宋体"/>
          <w:bCs/>
          <w:sz w:val="24"/>
          <w:szCs w:val="24"/>
          <w:highlight w:val="none"/>
        </w:rPr>
        <w:t xml:space="preserve">采用综合评分法。</w:t>
      </w:r>
      <w:r>
        <w:rPr>
          <w:rFonts w:ascii="宋体"/>
          <w:bCs/>
          <w:sz w:val="24"/>
          <w:szCs w:val="24"/>
          <w:highlight w:val="none"/>
        </w:rPr>
        <w:t xml:space="preserve"> </w:t>
      </w:r>
      <w:r/>
    </w:p>
    <w:p>
      <w:pPr>
        <w:ind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w:t>
      </w:r>
      <w:r/>
    </w:p>
    <w:p>
      <w:pPr>
        <w:ind w:left="524"/>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详见附件。</w:t>
      </w:r>
      <w:r/>
    </w:p>
    <w:p>
      <w:pPr>
        <w:ind w:firstLine="48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（十一）</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评标委员会根据招标文件规定的评标方法和评标标准进行评审，按招标文件的要求依法确定中标供应商。</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将在无锡政府采购网、江苏政府采购网发布中标公告。如有质疑，应在法定质疑期限内，即</w:t>
      </w:r>
      <w:r>
        <w:rPr>
          <w:rFonts w:hint="eastAsia" w:ascii="宋体" w:hAnsi="宋体"/>
          <w:sz w:val="24"/>
          <w:szCs w:val="24"/>
          <w:highlight w:val="none"/>
        </w:rPr>
        <w:t xml:space="preserve">中标公告</w:t>
      </w:r>
      <w:r>
        <w:rPr>
          <w:rFonts w:hint="eastAsia" w:ascii="宋体" w:hAnsi="宋体" w:cs="宋体"/>
          <w:bCs/>
          <w:sz w:val="24"/>
          <w:highlight w:val="none"/>
        </w:rPr>
        <w:t xml:space="preserve">期限届满之日</w:t>
      </w:r>
      <w:r>
        <w:rPr>
          <w:rFonts w:hint="eastAsia" w:ascii="宋体" w:hAnsi="宋体"/>
          <w:sz w:val="24"/>
          <w:szCs w:val="24"/>
          <w:highlight w:val="none"/>
        </w:rPr>
        <w:t xml:space="preserve">起</w:t>
      </w:r>
      <w:r>
        <w:rPr>
          <w:rFonts w:ascii="宋体" w:hAnsi="宋体"/>
          <w:sz w:val="24"/>
          <w:szCs w:val="24"/>
          <w:highlight w:val="none"/>
        </w:rPr>
        <w:t xml:space="preserve">7</w:t>
      </w:r>
      <w:r>
        <w:rPr>
          <w:rFonts w:hint="eastAsia" w:ascii="宋体" w:hAnsi="宋体"/>
          <w:sz w:val="24"/>
          <w:szCs w:val="24"/>
          <w:highlight w:val="none"/>
        </w:rPr>
        <w:t xml:space="preserve">个工作日</w:t>
      </w:r>
      <w:r>
        <w:rPr>
          <w:rFonts w:hint="eastAsia" w:ascii="宋体" w:hAnsi="宋体"/>
          <w:bCs/>
          <w:sz w:val="24"/>
          <w:szCs w:val="24"/>
          <w:highlight w:val="none"/>
        </w:rPr>
        <w:t xml:space="preserve">内，以书面形式（原件）送达</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，并且</w:t>
      </w:r>
      <w:r>
        <w:rPr>
          <w:rFonts w:ascii="宋体" w:hAnsi="宋体"/>
          <w:bCs/>
          <w:sz w:val="24"/>
          <w:szCs w:val="24"/>
          <w:highlight w:val="none"/>
        </w:rPr>
        <w:t xml:space="preserve">针对同一采购程序环节的质疑</w:t>
      </w:r>
      <w:r>
        <w:rPr>
          <w:rFonts w:hint="eastAsia" w:ascii="宋体" w:hAnsi="宋体"/>
          <w:bCs/>
          <w:sz w:val="24"/>
          <w:szCs w:val="24"/>
          <w:highlight w:val="none"/>
        </w:rPr>
        <w:t xml:space="preserve">，须</w:t>
      </w:r>
      <w:r>
        <w:rPr>
          <w:rFonts w:ascii="宋体" w:hAnsi="宋体"/>
          <w:bCs/>
          <w:sz w:val="24"/>
          <w:szCs w:val="24"/>
          <w:highlight w:val="none"/>
        </w:rPr>
        <w:t xml:space="preserve">在法定质疑期内一次性提出</w:t>
      </w:r>
      <w:r>
        <w:rPr>
          <w:rFonts w:hint="eastAsia" w:ascii="宋体" w:hAnsi="宋体"/>
          <w:bCs/>
          <w:sz w:val="24"/>
          <w:szCs w:val="24"/>
          <w:highlight w:val="none"/>
        </w:rPr>
        <w:t xml:space="preserve">。质疑函的质疑事项应具体、明确，并有必要的事实依据和法律依据（格式详见中国政府采购网《</w:t>
      </w:r>
      <w:r>
        <w:rPr>
          <w:rFonts w:ascii="宋体" w:hAnsi="宋体"/>
          <w:bCs/>
          <w:sz w:val="24"/>
          <w:szCs w:val="24"/>
          <w:highlight w:val="none"/>
        </w:rPr>
        <w:fldChar w:fldCharType="begin"/>
      </w:r>
      <w:r>
        <w:rPr>
          <w:rFonts w:ascii="宋体" w:hAnsi="宋体"/>
          <w:bCs/>
          <w:sz w:val="24"/>
          <w:szCs w:val="24"/>
          <w:highlight w:val="none"/>
        </w:rPr>
        <w:instrText xml:space="preserve"> HYPERLINK "http://download.ccgp.gov.cn/2018/zhiyihanfanben.zip" \t "_blank" </w:instrText>
      </w:r>
      <w:r>
        <w:rPr>
          <w:rFonts w:ascii="宋体" w:hAnsi="宋体"/>
          <w:bCs/>
          <w:sz w:val="24"/>
          <w:szCs w:val="24"/>
          <w:highlight w:val="none"/>
        </w:rPr>
        <w:fldChar w:fldCharType="separate"/>
      </w:r>
      <w:r>
        <w:rPr>
          <w:rFonts w:hint="eastAsia" w:ascii="宋体" w:hAnsi="宋体"/>
          <w:bCs/>
          <w:sz w:val="24"/>
          <w:szCs w:val="24"/>
          <w:highlight w:val="none"/>
        </w:rPr>
        <w:t xml:space="preserve">政府采购供应商质疑函范本</w:t>
      </w:r>
      <w:r>
        <w:rPr>
          <w:rFonts w:ascii="宋体" w:hAnsi="宋体"/>
          <w:bCs/>
          <w:sz w:val="24"/>
          <w:szCs w:val="24"/>
          <w:highlight w:val="none"/>
        </w:rPr>
        <w:fldChar w:fldCharType="end"/>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将在收到符合上述要求的书面质疑后七个工作日内，对质疑内容</w:t>
      </w:r>
      <w:r>
        <w:rPr>
          <w:rFonts w:hint="eastAsia" w:ascii="宋体" w:hAnsi="宋体"/>
          <w:bCs/>
          <w:sz w:val="24"/>
          <w:szCs w:val="24"/>
          <w:highlight w:val="none"/>
          <w:lang w:eastAsia="zh-CN"/>
        </w:rPr>
        <w:t xml:space="preserve">作出</w:t>
      </w:r>
      <w:r>
        <w:rPr>
          <w:rFonts w:hint="eastAsia" w:ascii="宋体" w:hAnsi="宋体"/>
          <w:bCs/>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sz w:val="24"/>
          <w:szCs w:val="24"/>
          <w:highlight w:val="none"/>
          <w:lang w:eastAsia="zh-CN"/>
        </w:rPr>
        <w:t xml:space="preserve">事宜</w:t>
      </w:r>
      <w:r>
        <w:rPr>
          <w:rFonts w:hint="eastAsia" w:ascii="宋体" w:hAnsi="宋体"/>
          <w:bCs/>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rFonts w:ascii="宋体"/>
          <w:bCs/>
          <w:sz w:val="24"/>
          <w:szCs w:val="24"/>
          <w:highlight w:val="none"/>
        </w:rPr>
      </w:pP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向中标供应商</w:t>
      </w:r>
      <w:r>
        <w:rPr>
          <w:rFonts w:hint="eastAsia" w:ascii="宋体" w:hAnsi="宋体"/>
          <w:bCs/>
          <w:sz w:val="24"/>
          <w:szCs w:val="24"/>
          <w:highlight w:val="none"/>
          <w:lang w:eastAsia="zh-CN"/>
        </w:rPr>
        <w:t xml:space="preserve">发出</w:t>
      </w:r>
      <w:r>
        <w:rPr>
          <w:rFonts w:hint="eastAsia" w:ascii="宋体" w:hAnsi="宋体"/>
          <w:bCs/>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rFonts w:ascii="宋体"/>
          <w:bCs/>
          <w:sz w:val="24"/>
          <w:szCs w:val="24"/>
          <w:highlight w:val="none"/>
        </w:rPr>
        <w:outlineLvl w:val="0"/>
      </w:pPr>
      <w:r>
        <w:rPr>
          <w:rFonts w:hint="eastAsia" w:ascii="宋体" w:hAnsi="宋体"/>
          <w:bCs/>
          <w:sz w:val="24"/>
          <w:szCs w:val="24"/>
          <w:highlight w:val="none"/>
        </w:rPr>
        <w:t xml:space="preserve">投标供应商电子投标文件将作为电子档案保存。</w:t>
      </w:r>
      <w:r/>
    </w:p>
    <w:p>
      <w:pPr>
        <w:ind w:firstLine="48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（十二）</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废标的确认：</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（十三）中标无效的确认：</w:t>
      </w:r>
      <w:r/>
    </w:p>
    <w:p>
      <w:pPr>
        <w:numPr>
          <w:ilvl w:val="0"/>
          <w:numId w:val="13"/>
        </w:numPr>
        <w:ind w:left="0" w:firstLine="523"/>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rFonts w:hint="eastAsia" w:ascii="宋体"/>
          <w:bCs/>
          <w:sz w:val="24"/>
          <w:szCs w:val="24"/>
          <w:highlight w:val="none"/>
        </w:rPr>
      </w:pPr>
      <w:r>
        <w:rPr>
          <w:rFonts w:hint="eastAsia" w:ascii="宋体" w:hAnsi="宋体"/>
          <w:bCs/>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rFonts w:hint="eastAsia" w:ascii="宋体"/>
          <w:bCs/>
          <w:sz w:val="24"/>
          <w:szCs w:val="24"/>
          <w:highlight w:val="none"/>
        </w:rPr>
      </w:pPr>
      <w:r>
        <w:rPr>
          <w:rFonts w:hint="eastAsia" w:ascii="宋体" w:hAnsi="宋体"/>
          <w:bCs/>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rFonts w:hint="eastAsia" w:ascii="宋体"/>
          <w:bCs/>
          <w:sz w:val="24"/>
          <w:szCs w:val="24"/>
          <w:highlight w:val="none"/>
        </w:rPr>
      </w:pPr>
      <w:r>
        <w:rPr>
          <w:rFonts w:hint="eastAsia" w:ascii="宋体" w:hAnsi="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rFonts w:hint="eastAsia" w:ascii="宋体"/>
          <w:bCs/>
          <w:sz w:val="24"/>
          <w:szCs w:val="24"/>
          <w:highlight w:val="none"/>
        </w:rPr>
      </w:pPr>
      <w:r>
        <w:rPr>
          <w:rFonts w:hint="eastAsia" w:ascii="宋体" w:hAnsi="宋体"/>
          <w:bCs/>
          <w:sz w:val="24"/>
          <w:szCs w:val="24"/>
          <w:highlight w:val="none"/>
        </w:rPr>
        <w:t xml:space="preserve">拒绝有关部门监督检查或者提供虚假情况的；</w:t>
      </w:r>
      <w:r/>
    </w:p>
    <w:p>
      <w:pPr>
        <w:numPr>
          <w:ilvl w:val="0"/>
          <w:numId w:val="13"/>
        </w:numPr>
        <w:ind w:left="0" w:firstLine="523"/>
        <w:spacing w:line="360" w:lineRule="auto"/>
        <w:tabs>
          <w:tab w:val="left" w:pos="420" w:leader="none"/>
          <w:tab w:val="left" w:pos="945" w:leader="none"/>
          <w:tab w:val="left" w:pos="1155" w:leader="none"/>
        </w:tabs>
        <w:rPr>
          <w:rFonts w:hint="eastAsia" w:ascii="宋体"/>
          <w:bCs/>
          <w:sz w:val="24"/>
          <w:szCs w:val="24"/>
          <w:highlight w:val="none"/>
        </w:rPr>
      </w:pPr>
      <w:r>
        <w:rPr>
          <w:rFonts w:hint="eastAsia" w:ascii="宋体" w:hAnsi="宋体"/>
          <w:bCs/>
          <w:sz w:val="24"/>
          <w:szCs w:val="24"/>
          <w:highlight w:val="none"/>
        </w:rPr>
        <w:t xml:space="preserve">采购人、采购代理机构发现评审小组未按照采购文件规定的评审标准进行评审的；</w:t>
      </w:r>
      <w:r/>
    </w:p>
    <w:p>
      <w:pPr>
        <w:numPr>
          <w:ilvl w:val="0"/>
          <w:numId w:val="13"/>
        </w:numPr>
        <w:ind w:left="0" w:firstLine="523"/>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中标供应商拒绝签订政府采购合同的。</w:t>
      </w:r>
      <w:r/>
    </w:p>
    <w:p>
      <w:pPr>
        <w:ind w:firstLine="48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有上述（</w:t>
      </w:r>
      <w:r>
        <w:rPr>
          <w:rFonts w:ascii="宋体" w:hAnsi="宋体"/>
          <w:bCs/>
          <w:sz w:val="24"/>
          <w:szCs w:val="24"/>
          <w:highlight w:val="none"/>
        </w:rPr>
        <w:t xml:space="preserve">1</w:t>
      </w:r>
      <w:r>
        <w:rPr>
          <w:rFonts w:hint="eastAsia" w:ascii="宋体" w:hAnsi="宋体"/>
          <w:bCs/>
          <w:sz w:val="24"/>
          <w:szCs w:val="24"/>
          <w:highlight w:val="none"/>
        </w:rPr>
        <w:t xml:space="preserve">）至（8）项情形之一的，中标无效。有上述（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cs="Times New Roman"/>
          <w:bCs/>
          <w:sz w:val="24"/>
          <w:szCs w:val="24"/>
          <w:highlight w:val="none"/>
        </w:rPr>
        <w:outlineLvl w:val="0"/>
      </w:pPr>
      <w:r>
        <w:rPr>
          <w:rFonts w:hint="eastAsia" w:ascii="黑体" w:hAnsi="宋体" w:eastAsia="黑体" w:cs="Times New Roman"/>
          <w:bCs/>
          <w:sz w:val="24"/>
          <w:szCs w:val="24"/>
          <w:highlight w:val="none"/>
        </w:rPr>
        <w:t xml:space="preserve">（十四）签订、履行合同：</w:t>
      </w:r>
      <w:r/>
    </w:p>
    <w:p>
      <w:pPr>
        <w:numPr>
          <w:ilvl w:val="0"/>
          <w:numId w:val="3"/>
        </w:numPr>
        <w:ind w:left="0" w:firstLine="525"/>
        <w:spacing w:line="360" w:lineRule="auto"/>
        <w:tabs>
          <w:tab w:val="left" w:pos="525" w:leader="none"/>
          <w:tab w:val="left" w:pos="945" w:leader="none"/>
          <w:tab w:val="left" w:pos="1050" w:leader="none"/>
        </w:tabs>
        <w:rPr>
          <w:rFonts w:ascii="宋体"/>
          <w:bCs/>
          <w:sz w:val="24"/>
          <w:szCs w:val="24"/>
          <w:highlight w:val="none"/>
        </w:rPr>
      </w:pPr>
      <w:r>
        <w:rPr>
          <w:rFonts w:ascii="宋体" w:hAnsi="宋体"/>
          <w:bCs/>
          <w:sz w:val="24"/>
          <w:szCs w:val="24"/>
          <w:highlight w:val="none"/>
        </w:rPr>
        <w:t xml:space="preserve">采购人应当自中标通知书发出之日起三十日内，按照招标文件和中标供应商投标文件的约定，在</w:t>
      </w:r>
      <w:r>
        <w:rPr>
          <w:rFonts w:hint="eastAsia" w:ascii="宋体" w:hAnsi="宋体"/>
          <w:sz w:val="24"/>
          <w:highlight w:val="none"/>
          <w:lang w:eastAsia="zh-CN"/>
        </w:rPr>
        <w:t xml:space="preserve">无锡城兴绿碳全过程工程咨询有限公司</w:t>
      </w:r>
      <w:r>
        <w:rPr>
          <w:rFonts w:ascii="宋体" w:hAnsi="宋体"/>
          <w:bCs/>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highlight w:val="none"/>
          <w:lang w:eastAsia="zh-CN"/>
        </w:rPr>
        <w:t xml:space="preserve">无锡城兴绿碳全过程工程咨询有限公司</w:t>
      </w:r>
      <w:r>
        <w:rPr>
          <w:rFonts w:ascii="宋体" w:hAnsi="宋体"/>
          <w:bCs/>
          <w:sz w:val="24"/>
          <w:szCs w:val="24"/>
          <w:highlight w:val="none"/>
        </w:rPr>
        <w:t xml:space="preserve">见证部分详见招标文件合同书（格式</w:t>
      </w:r>
      <w:r>
        <w:rPr>
          <w:rFonts w:hint="eastAsia" w:ascii="宋体" w:hAnsi="宋体"/>
          <w:bCs/>
          <w:sz w:val="24"/>
          <w:szCs w:val="24"/>
          <w:highlight w:val="none"/>
        </w:rPr>
        <w:t xml:space="preserve">条款</w:t>
      </w:r>
      <w:r>
        <w:rPr>
          <w:rFonts w:ascii="宋体" w:hAnsi="宋体"/>
          <w:bCs/>
          <w:sz w:val="24"/>
          <w:szCs w:val="24"/>
          <w:highlight w:val="none"/>
        </w:rPr>
        <w:t xml:space="preserve">），见证后的格式</w:t>
      </w:r>
      <w:r>
        <w:rPr>
          <w:rFonts w:hint="eastAsia" w:ascii="宋体" w:hAnsi="宋体"/>
          <w:bCs/>
          <w:sz w:val="24"/>
          <w:szCs w:val="24"/>
          <w:highlight w:val="none"/>
        </w:rPr>
        <w:t xml:space="preserve">条款</w:t>
      </w:r>
      <w:r>
        <w:rPr>
          <w:rFonts w:ascii="宋体" w:hAnsi="宋体"/>
          <w:bCs/>
          <w:sz w:val="24"/>
          <w:szCs w:val="24"/>
          <w:highlight w:val="none"/>
        </w:rPr>
        <w:t xml:space="preserve">不得作任何修改。</w:t>
      </w:r>
      <w:r/>
    </w:p>
    <w:p>
      <w:pPr>
        <w:numPr>
          <w:ilvl w:val="0"/>
          <w:numId w:val="3"/>
        </w:numPr>
        <w:ind w:left="0" w:firstLine="525"/>
        <w:spacing w:line="360" w:lineRule="auto"/>
        <w:tabs>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中标方非因不可抗力未履行招、投标文件和合同规定的义务，一经查实，</w:t>
      </w:r>
      <w:r>
        <w:rPr>
          <w:rFonts w:hint="eastAsia" w:ascii="宋体" w:hAnsi="宋体"/>
          <w:sz w:val="24"/>
          <w:highlight w:val="none"/>
          <w:lang w:eastAsia="zh-CN"/>
        </w:rPr>
        <w:t xml:space="preserve">无锡城兴绿碳全过程工程咨询有限公司</w:t>
      </w:r>
      <w:r>
        <w:rPr>
          <w:rFonts w:hint="eastAsia" w:ascii="宋体" w:hAnsi="宋体"/>
          <w:bCs/>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（十五）注意事项：</w:t>
      </w:r>
      <w:r/>
    </w:p>
    <w:p>
      <w:pPr>
        <w:ind w:firstLine="48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拒绝履行合同义务的。</w:t>
      </w:r>
      <w:r/>
    </w:p>
    <w:p>
      <w:pPr>
        <w:ind w:firstLine="48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（十六）中标服务费：</w:t>
      </w:r>
      <w:r/>
    </w:p>
    <w:p>
      <w:pPr>
        <w:ind w:firstLine="480"/>
        <w:spacing w:line="360" w:lineRule="auto"/>
        <w:tabs>
          <w:tab w:val="left" w:pos="1140" w:leader="none"/>
        </w:tabs>
        <w:rPr>
          <w:rFonts w:ascii="宋体" w:hAnsi="宋体"/>
          <w:bCs/>
          <w:sz w:val="24"/>
          <w:highlight w:val="none"/>
        </w:rPr>
      </w:pPr>
      <w:r>
        <w:rPr>
          <w:rFonts w:hint="eastAsia" w:ascii="宋体" w:hAnsi="宋体"/>
          <w:sz w:val="24"/>
          <w:highlight w:val="none"/>
        </w:rPr>
        <w:t xml:space="preserve">1.本项目招标代理服务费以中标金额为计费基础，按差额定率累进法计算：</w:t>
      </w:r>
      <w:r>
        <w:rPr>
          <w:rFonts w:ascii="宋体" w:hAnsi="宋体"/>
          <w:sz w:val="24"/>
          <w:highlight w:val="none"/>
        </w:rPr>
        <w:t xml:space="preserve">100万以下费率为1.</w:t>
      </w: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lang w:eastAsia="zh-CN"/>
        </w:rPr>
        <w:t xml:space="preserve">100万－500万</w:t>
      </w:r>
      <w:r>
        <w:rPr>
          <w:rFonts w:ascii="宋体" w:hAnsi="宋体"/>
          <w:sz w:val="24"/>
          <w:highlight w:val="none"/>
        </w:rPr>
        <w:t xml:space="preserve">费率为</w:t>
      </w:r>
      <w:r>
        <w:rPr>
          <w:rFonts w:hint="eastAsia" w:ascii="宋体" w:hAnsi="宋体"/>
          <w:sz w:val="24"/>
          <w:highlight w:val="none"/>
        </w:rPr>
        <w:t xml:space="preserve">0.8</w:t>
      </w:r>
      <w:r>
        <w:rPr>
          <w:rFonts w:ascii="宋体" w:hAnsi="宋体"/>
          <w:sz w:val="24"/>
          <w:highlight w:val="none"/>
        </w:rPr>
        <w:t xml:space="preserve">%</w:t>
      </w:r>
      <w:r>
        <w:rPr>
          <w:rFonts w:hint="eastAsia" w:ascii="宋体" w:hAnsi="宋体"/>
          <w:sz w:val="24"/>
          <w:highlight w:val="none"/>
          <w:lang w:val="en-US" w:eastAsia="zh-CN"/>
        </w:rPr>
        <w:t xml:space="preserve">,500万-1000万费率为0.45%</w:t>
      </w:r>
      <w:r>
        <w:rPr>
          <w:rFonts w:hint="eastAsia" w:ascii="宋体" w:hAnsi="宋体"/>
          <w:bCs/>
          <w:sz w:val="24"/>
          <w:highlight w:val="none"/>
        </w:rPr>
        <w:t xml:space="preserve">；在此基础上打七折计取。</w:t>
      </w:r>
      <w:r/>
    </w:p>
    <w:p>
      <w:pPr>
        <w:ind w:firstLine="480"/>
        <w:spacing w:line="360" w:lineRule="auto"/>
        <w:tabs>
          <w:tab w:val="left" w:pos="1140" w:leader="none"/>
        </w:tabs>
        <w:rPr>
          <w:rFonts w:hint="eastAsia" w:ascii="宋体" w:hAnsi="宋体"/>
          <w:bCs/>
          <w:sz w:val="24"/>
          <w:highlight w:val="none"/>
        </w:rPr>
      </w:pPr>
      <w:r>
        <w:rPr>
          <w:rFonts w:hint="eastAsia" w:ascii="宋体" w:hAnsi="宋体"/>
          <w:bCs/>
          <w:sz w:val="24"/>
          <w:highlight w:val="none"/>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sz w:val="24"/>
          <w:highlight w:val="none"/>
        </w:rPr>
      </w:pPr>
      <w:r>
        <w:rPr>
          <w:rFonts w:hint="eastAsia" w:ascii="宋体" w:hAnsi="宋体"/>
          <w:bCs/>
          <w:sz w:val="24"/>
          <w:highlight w:val="none"/>
        </w:rPr>
        <w:t xml:space="preserve">3.中标供应商如果未按规定缴纳采购代理服务费</w:t>
      </w:r>
      <w:r>
        <w:rPr>
          <w:rFonts w:hint="eastAsia" w:ascii="宋体" w:hAnsi="宋体"/>
          <w:bCs/>
          <w:sz w:val="24"/>
          <w:highlight w:val="none"/>
          <w:lang w:eastAsia="zh-CN"/>
        </w:rPr>
        <w:t xml:space="preserve">，</w:t>
      </w:r>
      <w:r>
        <w:rPr>
          <w:rFonts w:hint="eastAsia" w:ascii="宋体" w:hAnsi="宋体"/>
          <w:bCs/>
          <w:sz w:val="24"/>
          <w:highlight w:val="none"/>
        </w:rPr>
        <w:t xml:space="preserve">采购代理机构将保留诉讼的权利。</w:t>
      </w:r>
      <w:r/>
    </w:p>
    <w:p>
      <w:pPr>
        <w:ind w:firstLine="48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（十七）合同融资、履约担保</w:t>
      </w:r>
      <w:r/>
    </w:p>
    <w:p>
      <w:pPr>
        <w:numPr>
          <w:ilvl w:val="1"/>
          <w:numId w:val="14"/>
        </w:numPr>
        <w:ind w:left="0" w:firstLine="525"/>
        <w:spacing w:line="360" w:lineRule="auto"/>
        <w:tabs>
          <w:tab w:val="left" w:pos="525" w:leader="none"/>
          <w:tab w:val="left" w:pos="630" w:leader="none"/>
          <w:tab w:val="left" w:pos="73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根据国家扶持中小企业的有关政策，本次采购项目中标的供应商，如需要政府采购合同融资，请按锡财购【2020】17号文件执行。</w:t>
      </w:r>
      <w:r/>
    </w:p>
    <w:p>
      <w:pPr>
        <w:ind w:firstLine="480"/>
        <w:spacing w:line="360" w:lineRule="auto"/>
        <w:tabs>
          <w:tab w:val="left" w:pos="630" w:leader="none"/>
          <w:tab w:val="left" w:pos="73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中标、中标供应商可根据自身情况，自行决定是否选择采用合同融资形式，在无锡政府采购网——政采贷专栏提供的银行名录内自主选择合作银行。</w:t>
      </w:r>
      <w:r/>
    </w:p>
    <w:p>
      <w:pPr>
        <w:numPr>
          <w:ilvl w:val="1"/>
          <w:numId w:val="14"/>
        </w:numPr>
        <w:ind w:left="0" w:firstLine="525"/>
        <w:spacing w:line="360" w:lineRule="auto"/>
        <w:tabs>
          <w:tab w:val="left" w:pos="525" w:leader="none"/>
          <w:tab w:val="left" w:pos="630" w:leader="none"/>
          <w:tab w:val="left" w:pos="73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履约担保，是指由专业担保机构为中标、中标供应商支付履约保证金的义务向采购人提供的保函担保。专业担保机构根据中标、中标供应商的中标（成交）通知书为凭据，进行资信审查后出具保函</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 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630" w:leader="none"/>
          <w:tab w:val="left" w:pos="73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中标、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jc w:val="center"/>
        <w:keepLines w:val="0"/>
        <w:keepNext w:val="0"/>
        <w:pageBreakBefore w:val="0"/>
        <w:spacing w:line="360" w:lineRule="auto"/>
        <w:rPr>
          <w:rFonts w:ascii="黑体" w:eastAsia="黑体"/>
          <w:bCs/>
          <w:sz w:val="30"/>
          <w:szCs w:val="30"/>
          <w:highlight w:val="none"/>
        </w:rPr>
      </w:pPr>
      <w:r>
        <w:rPr>
          <w:rFonts w:hint="eastAsia" w:ascii="黑体" w:eastAsia="黑体"/>
          <w:bCs/>
          <w:sz w:val="30"/>
          <w:szCs w:val="30"/>
          <w:highlight w:val="none"/>
        </w:rPr>
        <w:br w:type="page" w:clear="all"/>
      </w:r>
      <w:r>
        <w:rPr>
          <w:rFonts w:hint="eastAsia" w:ascii="黑体" w:eastAsia="黑体"/>
          <w:bCs/>
          <w:sz w:val="30"/>
          <w:szCs w:val="30"/>
          <w:highlight w:val="none"/>
        </w:rPr>
        <w:t xml:space="preserve">三．</w:t>
      </w:r>
      <w:r>
        <w:rPr>
          <w:rFonts w:hint="eastAsia" w:ascii="黑体" w:eastAsia="黑体"/>
          <w:b/>
          <w:sz w:val="30"/>
          <w:szCs w:val="30"/>
          <w:highlight w:val="none"/>
        </w:rPr>
        <w:t xml:space="preserve">项目技术要求和有关说明</w:t>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一、采购标的需实现的功能或者目标，以及为落实政府采购政策需满足的要求：</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1.本项目为</w:t>
      </w:r>
      <w:r>
        <w:rPr>
          <w:rFonts w:hint="eastAsia" w:hAnsi="宋体" w:cs="宋体"/>
          <w:sz w:val="24"/>
          <w:szCs w:val="24"/>
          <w:highlight w:val="none"/>
          <w:lang w:eastAsia="zh-CN"/>
        </w:rPr>
        <w:t xml:space="preserve">鸿山街道2024年-2026年度绿化养护项目</w:t>
      </w:r>
      <w:r>
        <w:rPr>
          <w:rFonts w:hint="eastAsia" w:ascii="宋体" w:hAnsi="宋体" w:eastAsia="宋体" w:cs="宋体"/>
          <w:sz w:val="24"/>
          <w:szCs w:val="24"/>
          <w:highlight w:val="none"/>
        </w:rPr>
        <w:t xml:space="preserve">（项目内容详见清单）。</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2.为落实政府采购政策需满足的要求：</w:t>
      </w:r>
      <w:r>
        <w:rPr>
          <w:rFonts w:hint="eastAsia" w:ascii="宋体" w:hAnsi="宋体" w:eastAsia="宋体" w:cs="宋体"/>
          <w:sz w:val="24"/>
          <w:szCs w:val="24"/>
          <w:highlight w:val="none"/>
        </w:rPr>
        <w:t xml:space="preserve">本项目为专门面向中小企业的采购项目</w:t>
      </w:r>
      <w:r>
        <w:rPr>
          <w:rFonts w:hint="eastAsia" w:ascii="宋体" w:hAnsi="宋体" w:eastAsia="宋体" w:cs="宋体"/>
          <w:sz w:val="24"/>
          <w:szCs w:val="24"/>
          <w:highlight w:val="none"/>
          <w:lang w:eastAsia="zh-CN"/>
        </w:rPr>
        <w:t xml:space="preserve">。</w:t>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二、采购标的需执行的国家相关标准、行业标准、地方标准或者其他标准、规范：</w:t>
      </w:r>
      <w:r/>
    </w:p>
    <w:p>
      <w:pPr>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本项目必须符合</w:t>
      </w:r>
      <w:r>
        <w:rPr>
          <w:rFonts w:hint="eastAsia" w:ascii="宋体" w:hAnsi="宋体" w:eastAsia="宋体" w:cs="Times New Roman"/>
          <w:bCs/>
          <w:sz w:val="24"/>
          <w:szCs w:val="24"/>
          <w:highlight w:val="none"/>
        </w:rPr>
        <w:t xml:space="preserve">国家、行业标准和江苏地区相关的规范、规定</w:t>
      </w:r>
      <w:r>
        <w:rPr>
          <w:rFonts w:hint="eastAsia" w:ascii="宋体" w:hAnsi="宋体" w:eastAsia="宋体" w:cs="宋体"/>
          <w:sz w:val="24"/>
          <w:szCs w:val="24"/>
          <w:highlight w:val="none"/>
        </w:rPr>
        <w:t xml:space="preserve">。</w:t>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三、采购标的项目概况、采购范围等要求：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rPr>
        <w:t xml:space="preserve">项目概况：本项目为</w:t>
      </w:r>
      <w:r>
        <w:rPr>
          <w:rFonts w:hint="eastAsia" w:hAnsi="宋体" w:cs="宋体"/>
          <w:sz w:val="24"/>
          <w:szCs w:val="24"/>
          <w:highlight w:val="none"/>
          <w:lang w:eastAsia="zh-CN"/>
        </w:rPr>
        <w:t xml:space="preserve">鸿山街道2024年-2026年度绿化养护项目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具体内容详见清单</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 xml:space="preserve">2.采购范围：</w:t>
      </w:r>
      <w:r/>
    </w:p>
    <w:tbl>
      <w:tblPr>
        <w:tblStyle w:val="944"/>
        <w:tblW w:w="8821" w:type="dxa"/>
        <w:tblInd w:w="0" w:type="dxa"/>
        <w:tblLayout w:type="fixed"/>
        <w:tblCellMar>
          <w:left w:w="108" w:type="dxa"/>
          <w:top w:w="0" w:type="dxa"/>
          <w:right w:w="108" w:type="dxa"/>
          <w:bottom w:w="0" w:type="dxa"/>
        </w:tblCellMar>
        <w:tblLook w:val="04A0" w:firstRow="1" w:lastRow="0" w:firstColumn="1" w:lastColumn="0" w:noHBand="0" w:noVBand="1"/>
      </w:tblPr>
      <w:tblGrid>
        <w:gridCol w:w="1344"/>
        <w:gridCol w:w="4528"/>
        <w:gridCol w:w="1523"/>
        <w:gridCol w:w="1426"/>
      </w:tblGrid>
      <w:tr>
        <w:trPr>
          <w:trHeight w:val="616"/>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标段号</w:t>
            </w:r>
            <w:r/>
          </w:p>
        </w:tc>
        <w:tc>
          <w:tcPr>
            <w:tcBorders>
              <w:top w:val="single" w:color="auto" w:sz="4" w:space="0"/>
              <w:left w:val="none" w:color="000000" w:sz="4" w:space="0"/>
              <w:bottom w:val="single" w:color="auto" w:sz="4" w:space="0"/>
              <w:right w:val="single" w:color="auto" w:sz="4" w:space="0"/>
            </w:tcBorders>
            <w:tcW w:w="45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地块</w:t>
            </w:r>
            <w:r/>
          </w:p>
        </w:tc>
        <w:tc>
          <w:tcPr>
            <w:tcBorders>
              <w:top w:val="single" w:color="auto" w:sz="4" w:space="0"/>
              <w:left w:val="none" w:color="000000" w:sz="4" w:space="0"/>
              <w:bottom w:val="single" w:color="auto" w:sz="4" w:space="0"/>
              <w:right w:val="single" w:color="auto" w:sz="4" w:space="0"/>
            </w:tcBorders>
            <w:tcW w:w="152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1年采购预算（万元）</w:t>
            </w:r>
            <w:r/>
          </w:p>
        </w:tc>
        <w:tc>
          <w:tcPr>
            <w:tcBorders>
              <w:top w:val="single" w:color="auto" w:sz="4" w:space="0"/>
              <w:left w:val="none" w:color="000000" w:sz="4" w:space="0"/>
              <w:bottom w:val="single" w:color="auto" w:sz="4" w:space="0"/>
              <w:right w:val="single" w:color="auto" w:sz="4" w:space="0"/>
            </w:tcBorders>
            <w:tcW w:w="1426" w:type="dxa"/>
            <w:vAlign w:val="top"/>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2年采购预算（万元）</w:t>
            </w:r>
            <w:r/>
          </w:p>
        </w:tc>
      </w:tr>
      <w:tr>
        <w:trPr>
          <w:trHeight w:val="9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hAnsi="宋体" w:cs="宋体"/>
                <w:sz w:val="21"/>
                <w:szCs w:val="21"/>
                <w:highlight w:val="none"/>
                <w:lang w:val="en-US" w:eastAsia="zh-CN"/>
              </w:rPr>
              <w:t xml:space="preserve">一标段</w:t>
            </w:r>
            <w:r/>
          </w:p>
        </w:tc>
        <w:tc>
          <w:tcPr>
            <w:tcBorders>
              <w:top w:val="none" w:color="000000" w:sz="4" w:space="0"/>
              <w:left w:val="none" w:color="000000" w:sz="4" w:space="0"/>
              <w:bottom w:val="single" w:color="auto" w:sz="4" w:space="0"/>
              <w:right w:val="single" w:color="auto" w:sz="4" w:space="0"/>
            </w:tcBorders>
            <w:tcW w:w="45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4"/>
                <w:szCs w:val="24"/>
                <w:highlight w:val="none"/>
                <w:lang w:bidi="ar"/>
              </w:rPr>
              <w:t xml:space="preserve">鸿声片区</w:t>
            </w:r>
            <w:r>
              <w:rPr>
                <w:rFonts w:hint="eastAsia" w:hAnsi="宋体" w:cs="宋体"/>
                <w:sz w:val="24"/>
                <w:szCs w:val="24"/>
                <w:highlight w:val="none"/>
                <w:lang w:val="en-US" w:eastAsia="zh-CN" w:bidi="ar"/>
              </w:rPr>
              <w:t xml:space="preserve">及新增路段</w:t>
            </w:r>
            <w:r>
              <w:rPr>
                <w:rFonts w:hint="eastAsia" w:ascii="宋体" w:hAnsi="宋体" w:eastAsia="宋体" w:cs="宋体"/>
                <w:sz w:val="24"/>
                <w:szCs w:val="24"/>
                <w:highlight w:val="none"/>
                <w:lang w:bidi="ar"/>
              </w:rPr>
              <w:t xml:space="preserve">（详见清单）</w:t>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szCs w:val="24"/>
                <w:highlight w:val="none"/>
                <w:lang w:val="en-US" w:eastAsia="zh-CN" w:bidi="ar"/>
              </w:rPr>
            </w:pPr>
            <w:r>
              <w:rPr>
                <w:rFonts w:hint="eastAsia" w:hAnsi="宋体" w:cs="宋体"/>
                <w:sz w:val="24"/>
                <w:szCs w:val="24"/>
                <w:highlight w:val="none"/>
                <w:lang w:val="en-US" w:eastAsia="zh-CN" w:bidi="ar"/>
              </w:rPr>
              <w:t xml:space="preserve">185.615</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szCs w:val="24"/>
                <w:highlight w:val="none"/>
                <w:lang w:val="en-US" w:eastAsia="zh-CN" w:bidi="ar"/>
              </w:rPr>
            </w:pPr>
            <w:r>
              <w:rPr>
                <w:rFonts w:hint="eastAsia" w:hAnsi="宋体" w:cs="宋体"/>
                <w:sz w:val="24"/>
                <w:szCs w:val="24"/>
                <w:highlight w:val="none"/>
                <w:lang w:val="en-US" w:eastAsia="zh-CN" w:bidi="ar"/>
              </w:rPr>
              <w:t xml:space="preserve">371.23</w:t>
            </w:r>
            <w:r/>
          </w:p>
        </w:tc>
      </w:tr>
      <w:tr>
        <w:trPr>
          <w:trHeight w:val="407"/>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hAnsi="宋体" w:cs="宋体"/>
                <w:sz w:val="21"/>
                <w:szCs w:val="21"/>
                <w:highlight w:val="none"/>
                <w:lang w:val="en-US" w:eastAsia="zh-CN"/>
              </w:rPr>
              <w:t xml:space="preserve">二标段</w:t>
            </w:r>
            <w:r/>
          </w:p>
        </w:tc>
        <w:tc>
          <w:tcPr>
            <w:tcBorders>
              <w:top w:val="none" w:color="000000" w:sz="4" w:space="0"/>
              <w:left w:val="none" w:color="000000" w:sz="4" w:space="0"/>
              <w:bottom w:val="single" w:color="auto" w:sz="4" w:space="0"/>
              <w:right w:val="single" w:color="auto" w:sz="4" w:space="0"/>
            </w:tcBorders>
            <w:tcW w:w="45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4"/>
                <w:szCs w:val="24"/>
                <w:highlight w:val="none"/>
                <w:lang w:bidi="ar"/>
              </w:rPr>
              <w:t xml:space="preserve">后宅片区</w:t>
            </w:r>
            <w:r>
              <w:rPr>
                <w:rFonts w:hint="eastAsia" w:hAnsi="宋体" w:cs="宋体"/>
                <w:sz w:val="24"/>
                <w:szCs w:val="24"/>
                <w:highlight w:val="none"/>
                <w:lang w:val="en-US" w:eastAsia="zh-CN" w:bidi="ar"/>
              </w:rPr>
              <w:t xml:space="preserve">及新增路段</w:t>
            </w:r>
            <w:r>
              <w:rPr>
                <w:rFonts w:hint="eastAsia" w:ascii="宋体" w:hAnsi="宋体" w:eastAsia="宋体" w:cs="宋体"/>
                <w:sz w:val="24"/>
                <w:szCs w:val="24"/>
                <w:highlight w:val="none"/>
                <w:lang w:bidi="ar"/>
              </w:rPr>
              <w:t xml:space="preserve">（详见清单）</w:t>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szCs w:val="24"/>
                <w:highlight w:val="none"/>
                <w:lang w:val="en-US" w:eastAsia="zh-CN" w:bidi="ar"/>
              </w:rPr>
            </w:pPr>
            <w:r>
              <w:rPr>
                <w:rFonts w:hint="eastAsia" w:hAnsi="宋体" w:cs="宋体"/>
                <w:sz w:val="24"/>
                <w:szCs w:val="24"/>
                <w:highlight w:val="none"/>
                <w:lang w:val="en-US" w:eastAsia="zh-CN" w:bidi="ar"/>
              </w:rPr>
              <w:t xml:space="preserve">223</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szCs w:val="24"/>
                <w:highlight w:val="none"/>
                <w:lang w:val="en-US" w:eastAsia="zh-CN" w:bidi="ar"/>
              </w:rPr>
            </w:pPr>
            <w:r>
              <w:rPr>
                <w:rFonts w:hint="eastAsia" w:hAnsi="宋体" w:cs="宋体"/>
                <w:sz w:val="24"/>
                <w:szCs w:val="24"/>
                <w:highlight w:val="none"/>
                <w:lang w:val="en-US" w:eastAsia="zh-CN" w:bidi="ar"/>
              </w:rPr>
              <w:t xml:space="preserve">446</w:t>
            </w:r>
            <w:r/>
          </w:p>
        </w:tc>
      </w:tr>
    </w:tbl>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四、采购标的的</w:t>
      </w:r>
      <w:r>
        <w:rPr>
          <w:rFonts w:hint="eastAsia" w:ascii="宋体" w:hAnsi="宋体" w:eastAsia="宋体" w:cs="宋体"/>
          <w:b/>
          <w:sz w:val="24"/>
          <w:szCs w:val="24"/>
          <w:highlight w:val="none"/>
        </w:rPr>
        <w:t xml:space="preserve">服务标准、期限、效率等要求</w:t>
      </w:r>
      <w:r>
        <w:rPr>
          <w:rFonts w:hint="eastAsia" w:ascii="宋体" w:hAnsi="宋体" w:eastAsia="宋体" w:cs="宋体"/>
          <w:b/>
          <w:sz w:val="24"/>
          <w:szCs w:val="24"/>
          <w:highlight w:val="none"/>
        </w:rPr>
        <w:t xml:space="preserve">：</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质量标准：</w:t>
      </w:r>
      <w:r>
        <w:rPr>
          <w:rFonts w:hint="eastAsia" w:ascii="宋体" w:hAnsi="宋体" w:eastAsia="宋体" w:cs="Times New Roman"/>
          <w:sz w:val="24"/>
          <w:szCs w:val="24"/>
          <w:highlight w:val="none"/>
          <w:u w:val="single"/>
        </w:rPr>
        <w:t xml:space="preserve">合格标准，符合相关养护标准</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Times New Roman"/>
          <w:sz w:val="24"/>
          <w:szCs w:val="24"/>
          <w:highlight w:val="none"/>
        </w:rPr>
        <w:t xml:space="preserve">服务期</w:t>
      </w:r>
      <w:r>
        <w:rPr>
          <w:rFonts w:ascii="宋体" w:hAnsi="宋体" w:eastAsia="宋体" w:cs="Times New Roman"/>
          <w:sz w:val="24"/>
          <w:szCs w:val="24"/>
          <w:highlight w:val="none"/>
        </w:rPr>
        <w:t xml:space="preserve">：</w:t>
      </w:r>
      <w:r>
        <w:rPr>
          <w:rFonts w:hint="eastAsia" w:ascii="宋体" w:hAnsi="宋体" w:eastAsia="宋体" w:cs="宋体"/>
          <w:sz w:val="24"/>
          <w:szCs w:val="24"/>
          <w:highlight w:val="none"/>
          <w:u w:val="single"/>
          <w:lang w:bidi="ar"/>
        </w:rPr>
        <w:t xml:space="preserve">2年，合同一年一签，第二年将根据第一年养护考核情况决定是否续签合同</w:t>
      </w:r>
      <w:r>
        <w:rPr>
          <w:rFonts w:hint="eastAsia" w:ascii="宋体" w:hAnsi="宋体" w:eastAsia="宋体" w:cs="Times New Roman"/>
          <w:sz w:val="24"/>
          <w:szCs w:val="22"/>
          <w:highlight w:val="none"/>
          <w:u w:val="single"/>
        </w:rPr>
        <w:t xml:space="preserve">。</w:t>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五、采购标的的验收标准：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本项目按照满足国家、行业标准和江苏地区相关的规定进行验收。</w:t>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六、采购标的的其他技术、服务等要求：</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hAnsi="宋体" w:cs="宋体"/>
          <w:sz w:val="24"/>
          <w:szCs w:val="24"/>
          <w:highlight w:val="none"/>
          <w:lang w:eastAsia="zh-CN"/>
        </w:rPr>
        <w:t xml:space="preserve">（1）</w:t>
      </w:r>
      <w:r>
        <w:rPr>
          <w:rFonts w:hint="eastAsia" w:ascii="宋体" w:hAnsi="宋体" w:eastAsia="宋体" w:cs="宋体"/>
          <w:sz w:val="24"/>
          <w:szCs w:val="24"/>
          <w:highlight w:val="none"/>
        </w:rPr>
        <w:t xml:space="preserve">绿地养护工作一律不付预付款。</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hAnsi="宋体" w:cs="宋体"/>
          <w:sz w:val="24"/>
          <w:szCs w:val="24"/>
          <w:highlight w:val="none"/>
          <w:lang w:eastAsia="zh-CN"/>
        </w:rPr>
        <w:t xml:space="preserve">（2）</w:t>
      </w:r>
      <w:r>
        <w:rPr>
          <w:rFonts w:hint="eastAsia" w:ascii="宋体" w:hAnsi="宋体" w:eastAsia="宋体" w:cs="宋体"/>
          <w:sz w:val="24"/>
          <w:szCs w:val="24"/>
          <w:highlight w:val="none"/>
        </w:rPr>
        <w:t xml:space="preserve">养护费用按季支付，经检查考核合格的于该季度支付前一季度的养护费</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养护费按每年总承包款60%的月平均数计</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，以此类推。</w:t>
      </w:r>
      <w:r/>
    </w:p>
    <w:p>
      <w:pPr>
        <w:pStyle w:val="94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（3）</w:t>
      </w:r>
      <w:r>
        <w:rPr>
          <w:rFonts w:hint="eastAsia" w:hAnsi="宋体" w:cs="宋体"/>
          <w:sz w:val="24"/>
          <w:szCs w:val="24"/>
          <w:highlight w:val="none"/>
          <w:lang w:val="en-US" w:eastAsia="zh-CN"/>
        </w:rPr>
        <w:t xml:space="preserve">余款</w:t>
      </w:r>
      <w:r>
        <w:rPr>
          <w:rFonts w:hint="eastAsia" w:ascii="宋体" w:hAnsi="宋体" w:eastAsia="宋体" w:cs="宋体"/>
          <w:sz w:val="24"/>
          <w:szCs w:val="24"/>
          <w:highlight w:val="none"/>
        </w:rPr>
        <w:t xml:space="preserve">在合同期满决算审计后1年内结清，根据合同约定的养护质量标准，经甲方验收合格的，一次性支付；按养护质量标准扣除每月相应费用。考核办法详见合同附件。</w:t>
      </w:r>
      <w:r/>
    </w:p>
    <w:p>
      <w:pPr>
        <w:keepLines w:val="0"/>
        <w:keepNext w:val="0"/>
        <w:pageBreakBefore w:val="0"/>
        <w:spacing w:line="360" w:lineRule="auto"/>
        <w:widowControl/>
        <w:rPr>
          <w:rFonts w:hint="eastAsia" w:ascii="宋体" w:hAnsi="宋体" w:eastAsia="宋体" w:cs="Tahoma"/>
          <w:b/>
          <w:bCs/>
          <w:sz w:val="24"/>
          <w:szCs w:val="24"/>
          <w:highlight w:val="none"/>
        </w:rPr>
      </w:pPr>
      <w:r>
        <w:rPr>
          <w:rFonts w:hint="eastAsia" w:ascii="宋体" w:hAnsi="宋体" w:eastAsia="宋体" w:cs="Tahoma"/>
          <w:b/>
          <w:bCs/>
          <w:sz w:val="24"/>
          <w:szCs w:val="24"/>
          <w:highlight w:val="none"/>
        </w:rPr>
        <w:t xml:space="preserve">七、清单及</w:t>
      </w:r>
      <w:r>
        <w:rPr>
          <w:rFonts w:hint="eastAsia" w:ascii="宋体" w:hAnsi="宋体" w:eastAsia="宋体" w:cs="Tahoma"/>
          <w:b/>
          <w:bCs/>
          <w:sz w:val="24"/>
          <w:szCs w:val="24"/>
          <w:highlight w:val="none"/>
          <w:lang w:val="en-US" w:eastAsia="zh-CN"/>
        </w:rPr>
        <w:t xml:space="preserve">配置</w:t>
      </w:r>
      <w:r>
        <w:rPr>
          <w:rFonts w:hint="eastAsia" w:ascii="宋体" w:hAnsi="宋体" w:eastAsia="宋体" w:cs="Tahoma"/>
          <w:b/>
          <w:bCs/>
          <w:sz w:val="24"/>
          <w:szCs w:val="24"/>
          <w:highlight w:val="none"/>
        </w:rPr>
        <w:t xml:space="preserve">要求：</w:t>
      </w:r>
      <w:r/>
    </w:p>
    <w:p>
      <w:pPr>
        <w:ind w:firstLine="480"/>
        <w:keepLines w:val="0"/>
        <w:keepNext w:val="0"/>
        <w:pageBreakBefore w:val="0"/>
        <w:spacing w:line="360" w:lineRule="auto"/>
        <w:widowControl/>
        <w:rPr>
          <w:rFonts w:hint="eastAsia" w:ascii="宋体" w:hAnsi="宋体" w:eastAsia="宋体" w:cs="Tahoma"/>
          <w:b/>
          <w:bCs/>
          <w:sz w:val="24"/>
          <w:szCs w:val="24"/>
          <w:highlight w:val="none"/>
        </w:rPr>
      </w:pPr>
      <w:r>
        <w:rPr>
          <w:rFonts w:hint="eastAsia" w:hAnsi="宋体" w:cs="Tahoma"/>
          <w:b/>
          <w:bCs/>
          <w:sz w:val="24"/>
          <w:szCs w:val="24"/>
          <w:highlight w:val="none"/>
          <w:lang w:val="en-US" w:eastAsia="zh-CN"/>
        </w:rPr>
        <w:t xml:space="preserve">1.</w:t>
      </w:r>
      <w:r>
        <w:rPr>
          <w:rFonts w:hint="eastAsia" w:ascii="宋体" w:hAnsi="宋体" w:eastAsia="宋体" w:cs="Tahoma"/>
          <w:b/>
          <w:bCs/>
          <w:sz w:val="24"/>
          <w:szCs w:val="24"/>
          <w:highlight w:val="none"/>
        </w:rPr>
        <w:t xml:space="preserve">一标段：鸿声片区及新增路段</w:t>
      </w:r>
      <w:r/>
    </w:p>
    <w:tbl>
      <w:tblPr>
        <w:tblStyle w:val="944"/>
        <w:tblW w:w="9216"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4"/>
        <w:gridCol w:w="2376"/>
        <w:gridCol w:w="1381"/>
        <w:gridCol w:w="1479"/>
        <w:gridCol w:w="1519"/>
        <w:gridCol w:w="1757"/>
      </w:tblGrid>
      <w:tr>
        <w:trPr>
          <w:trHeight w:val="480"/>
        </w:trPr>
        <w:tc>
          <w:tcPr>
            <w:gridSpan w:val="6"/>
            <w:shd w:val="clear" w:color="auto" w:fill="auto"/>
            <w:tcW w:w="92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hAnsi="宋体" w:cs="宋体"/>
                <w:b/>
                <w:bCs/>
                <w:i w:val="0"/>
                <w:iCs w:val="0"/>
                <w:color w:val="000000"/>
                <w:sz w:val="24"/>
                <w:szCs w:val="24"/>
                <w:highlight w:val="none"/>
                <w:u w:val="none"/>
                <w:lang w:val="en-US" w:eastAsia="zh-CN" w:bidi="ar"/>
              </w:rPr>
              <w:t xml:space="preserve">一标段：</w:t>
            </w:r>
            <w:r>
              <w:rPr>
                <w:rFonts w:hint="eastAsia" w:ascii="宋体" w:hAnsi="宋体" w:eastAsia="宋体" w:cs="宋体"/>
                <w:b/>
                <w:bCs/>
                <w:i w:val="0"/>
                <w:iCs w:val="0"/>
                <w:color w:val="000000"/>
                <w:sz w:val="24"/>
                <w:szCs w:val="24"/>
                <w:highlight w:val="none"/>
                <w:u w:val="none"/>
                <w:lang w:val="en-US" w:eastAsia="zh-CN" w:bidi="ar"/>
              </w:rPr>
              <w:t xml:space="preserve">鸿声片区绿化养护</w:t>
            </w:r>
            <w:r/>
          </w:p>
        </w:tc>
      </w:tr>
      <w:tr>
        <w:trPr>
          <w:trHeight w:val="240"/>
        </w:trPr>
        <w:tc>
          <w:tcPr>
            <w:shd w:val="clear" w:color="auto" w:fill="auto"/>
            <w:tcW w:w="7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23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养护地段</w:t>
            </w:r>
            <w:r/>
          </w:p>
        </w:tc>
        <w:tc>
          <w:tcPr>
            <w:shd w:val="clear" w:color="auto" w:fill="auto"/>
            <w:tcW w:w="1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养护作业内容</w:t>
            </w:r>
            <w:r/>
          </w:p>
        </w:tc>
        <w:tc>
          <w:tcPr>
            <w:shd w:val="clear" w:color="auto" w:fill="auto"/>
            <w:tcW w:w="147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养护面积（平方米）</w:t>
            </w:r>
            <w:r/>
          </w:p>
        </w:tc>
        <w:tc>
          <w:tcPr>
            <w:shd w:val="clear" w:color="auto" w:fill="auto"/>
            <w:tcW w:w="15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撒播黑麦草草籽面积（平方米）</w:t>
            </w:r>
            <w:r/>
          </w:p>
        </w:tc>
        <w:tc>
          <w:tcPr>
            <w:shd w:val="clear" w:color="auto" w:fill="auto"/>
            <w:tcW w:w="17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鸿泰路</w:t>
            </w:r>
            <w:r/>
          </w:p>
        </w:tc>
        <w:tc>
          <w:tcPr>
            <w:shd w:val="clear" w:color="auto" w:fill="auto"/>
            <w:tcW w:w="1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含路段范围内的天堂草+黑麦草、天富道草坪、三叶草/葱兰/酢浆草/麦冬、绿篱（灌木）、阔叶林</w:t>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4375</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743</w:t>
            </w:r>
            <w:r/>
          </w:p>
        </w:tc>
        <w:tc>
          <w:tcPr>
            <w:shd w:val="clear" w:color="auto" w:fill="auto"/>
            <w:tcW w:w="17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养护标准：三级养护；本项目单价包括承包人承担本承包项目全部内容的实施、完成所需要的所有材料费、设备费、劳务费、管理费、机械费、措施费、利润、税费等所有费用。工程量按实结算。</w:t>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鸿声老幼儿园道路</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鸿声东路</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4894.5</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2652.4</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鸿山北路</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4296.3</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2958.3</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鸿声幼儿园</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10119</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4021</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鸿声菜场东门广场（游园）</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949</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鸿声庙庵桥两侧（含金润华庭游园）</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17673</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鸿月路</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19938.5</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2897</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鸿新路（德育路）</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10834</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一至路、大木桥、蔡家里</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3413</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双水沟</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8020</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5678</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生态园一期、二期</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80279.7</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45986</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鸿达路</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14837.7</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鸿声垃圾中转站</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鸿山农业生物展示区</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2142</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垃圾中转站</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2353</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锡协路</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31263</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26675</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西三房及新农村</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20255.32</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5852.78</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鸿运路</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46208</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鸿山党建游园（瑞金医院北面）</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2542</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40"/>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鸿山颐养院游园（颐养院围墙东侧）</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1691</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8"/>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鸿泰苑小游园绿化工程（实验幼儿园围墙西侧）</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4645.6</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1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七房桥农改房草坪种植工程</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3086.5</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飞凤路西侧边分带绿化工程（鸿泰苑围墙</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纬三路）</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4842.8</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W w:w="175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W w:w="23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理想湾幼儿园</w:t>
            </w:r>
            <w:r/>
          </w:p>
        </w:tc>
        <w:tc>
          <w:tcPr>
            <w:shd w:val="clear" w:color="auto" w:fill="auto"/>
            <w:tcW w:w="138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1357</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shd w:val="clear" w:color="auto" w:fill="auto"/>
            <w:tcW w:w="17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23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鸿山党建游园东侧绿地（瑞金医院北面）</w:t>
            </w:r>
            <w:r/>
          </w:p>
        </w:tc>
        <w:tc>
          <w:tcPr>
            <w:shd w:val="clear" w:color="auto" w:fill="auto"/>
            <w:tcW w:w="1381" w:type="dxa"/>
            <w:vAlign w:val="center"/>
            <w:vMerge w:val="continue"/>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1800.00</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p>
        </w:tc>
        <w:tc>
          <w:tcPr>
            <w:shd w:val="clear" w:color="auto" w:fill="auto"/>
            <w:tcW w:w="175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W w:w="23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鸿声睦邻中心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鸿泰苑二期河边</w:t>
            </w:r>
            <w:r/>
          </w:p>
        </w:tc>
        <w:tc>
          <w:tcPr>
            <w:shd w:val="clear" w:color="auto" w:fill="auto"/>
            <w:tcW w:w="1381" w:type="dxa"/>
            <w:vAlign w:val="center"/>
            <w:vMerge w:val="continue"/>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3310.00</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p>
        </w:tc>
        <w:tc>
          <w:tcPr>
            <w:shd w:val="clear" w:color="auto" w:fill="auto"/>
            <w:tcW w:w="175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W w:w="7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W w:w="23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河堰桥边绿地</w:t>
            </w:r>
            <w:r/>
          </w:p>
        </w:tc>
        <w:tc>
          <w:tcPr>
            <w:shd w:val="clear" w:color="auto" w:fill="auto"/>
            <w:tcW w:w="1381" w:type="dxa"/>
            <w:vAlign w:val="center"/>
            <w:vMerge w:val="continue"/>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800.00</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75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gridSpan w:val="2"/>
            <w:shd w:val="clear" w:color="auto" w:fill="auto"/>
            <w:tcW w:w="3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合计（平方米）</w:t>
            </w:r>
            <w:r/>
          </w:p>
        </w:tc>
        <w:tc>
          <w:tcPr>
            <w:shd w:val="clear" w:color="auto" w:fill="auto"/>
            <w:tcW w:w="1381" w:type="dxa"/>
            <w:vAlign w:val="center"/>
            <w:vMerge w:val="continue"/>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4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306405.92</w:t>
            </w:r>
            <w:r/>
          </w:p>
        </w:tc>
        <w:tc>
          <w:tcPr>
            <w:shd w:val="clear" w:color="auto" w:fill="auto"/>
            <w:tcW w:w="15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119996.48</w:t>
            </w:r>
            <w:r/>
          </w:p>
        </w:tc>
        <w:tc>
          <w:tcPr>
            <w:shd w:val="clear" w:color="auto" w:fill="auto"/>
            <w:tcW w:w="175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945"/>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944"/>
        <w:tblW w:w="92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1"/>
        <w:gridCol w:w="2145"/>
        <w:gridCol w:w="1455"/>
        <w:gridCol w:w="1305"/>
        <w:gridCol w:w="1110"/>
        <w:gridCol w:w="1095"/>
        <w:gridCol w:w="1470"/>
      </w:tblGrid>
      <w:tr>
        <w:trPr>
          <w:trHeight w:val="579"/>
        </w:trPr>
        <w:tc>
          <w:tcPr>
            <w:gridSpan w:val="7"/>
            <w:shd w:val="clear" w:color="auto" w:fill="auto"/>
            <w:tcBorders>
              <w:top w:val="single" w:color="000000" w:sz="4" w:space="0"/>
              <w:left w:val="single" w:color="000000" w:sz="4" w:space="0"/>
              <w:bottom w:val="single" w:color="000000" w:sz="4" w:space="0"/>
              <w:right w:val="single" w:color="000000" w:sz="4" w:space="0"/>
            </w:tcBorders>
            <w:tcW w:w="920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hAnsi="宋体" w:cs="宋体"/>
                <w:b/>
                <w:bCs/>
                <w:i w:val="0"/>
                <w:iCs w:val="0"/>
                <w:color w:val="000000"/>
                <w:sz w:val="24"/>
                <w:szCs w:val="24"/>
                <w:highlight w:val="none"/>
                <w:u w:val="none"/>
                <w:lang w:val="en-US" w:eastAsia="zh-CN" w:bidi="ar"/>
              </w:rPr>
              <w:t xml:space="preserve">一标段：</w:t>
            </w:r>
            <w:r>
              <w:rPr>
                <w:rFonts w:hint="eastAsia" w:ascii="宋体" w:hAnsi="宋体" w:eastAsia="宋体" w:cs="宋体"/>
                <w:b/>
                <w:bCs/>
                <w:i w:val="0"/>
                <w:iCs w:val="0"/>
                <w:color w:val="000000"/>
                <w:sz w:val="24"/>
                <w:szCs w:val="24"/>
                <w:highlight w:val="none"/>
                <w:u w:val="none"/>
                <w:lang w:val="en-US" w:eastAsia="zh-CN" w:bidi="ar"/>
              </w:rPr>
              <w:t xml:space="preserve">新增路段绿化养护</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养护地段</w:t>
            </w:r>
            <w:r/>
          </w:p>
        </w:tc>
        <w:tc>
          <w:tcPr>
            <w:shd w:val="clear" w:color="auto" w:fill="auto"/>
            <w:tcBorders>
              <w:top w:val="single" w:color="000000" w:sz="4" w:space="0"/>
              <w:left w:val="single" w:color="000000" w:sz="4" w:space="0"/>
              <w:bottom w:val="single" w:color="000000" w:sz="4" w:space="0"/>
              <w:right w:val="non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天堂草</w:t>
            </w:r>
            <w:r/>
          </w:p>
        </w:tc>
        <w:tc>
          <w:tcPr>
            <w:shd w:val="clear" w:color="auto" w:fill="auto"/>
            <w:tcBorders>
              <w:top w:val="single" w:color="000000" w:sz="4" w:space="0"/>
              <w:left w:val="single" w:color="000000" w:sz="4" w:space="0"/>
              <w:bottom w:val="single" w:color="000000" w:sz="4" w:space="0"/>
              <w:right w:val="non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籽播黑麦草</w:t>
            </w:r>
            <w:r/>
          </w:p>
        </w:tc>
        <w:tc>
          <w:tcPr>
            <w:shd w:val="clear" w:color="auto" w:fill="auto"/>
            <w:tcBorders>
              <w:top w:val="single" w:color="000000" w:sz="4" w:space="0"/>
              <w:left w:val="single" w:color="000000" w:sz="4" w:space="0"/>
              <w:bottom w:val="single" w:color="000000" w:sz="4" w:space="0"/>
              <w:right w:val="non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绿篱、色块、林带</w:t>
            </w:r>
            <w:r/>
          </w:p>
        </w:tc>
        <w:tc>
          <w:tcPr>
            <w:shd w:val="clear" w:color="auto" w:fill="auto"/>
            <w:tcBorders>
              <w:top w:val="single" w:color="000000" w:sz="4" w:space="0"/>
              <w:left w:val="single" w:color="000000" w:sz="4" w:space="0"/>
              <w:bottom w:val="single" w:color="000000" w:sz="4" w:space="0"/>
              <w:right w:val="non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四季草花</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撒播面积（平方米）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种植面积（平方米）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鸿山北路（锡甘路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张塘桥）</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5091.87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5091.87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养护标准：三级养护；本项目单价包括承包人承担本承包项目全部内容的实施、完成所需要的所有材料费、设备费、劳务费、管理费、机械费、措施费、利润、税费等所有费用。工程量按实结算。</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鸿山南路（鸿运路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铝箔厂）</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9924.49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9924.49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1148.56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振发路（金马路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鸿祥路）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15903.49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11351.29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6535.54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振发三路（经一路-空港路）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10562.74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10553.03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3994.11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建鸿路（鸿山路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飞凤路）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6108.48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6108.48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经十一路（振发路-飞凤路）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18457.48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18457.48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266.14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经十南路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9444.32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9444.32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1484.76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经十三路（振发路-鸿运路）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12687.02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12687.02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154.59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鸿声南路（飞凤路-鸿声东路）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2705.96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2705.96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2456.10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132.81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庙安桥</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鸿声医院</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1717.20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1717.20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6868.80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鸿运路与锡梅路交叉口新增</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2145.50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2145.50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919.50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鸿泰苑六区沿街商铺及外围墙绿化</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2371.00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2371.00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纬三路（鸿山北路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飞凤路）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7026.50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7026.50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8990.05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0</w:t>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gridSpan w:val="2"/>
            <w:shd w:val="clear" w:color="auto" w:fill="auto"/>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合计（平方米）</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104146.05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99584.14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32818.15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132.81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bl>
    <w:p>
      <w:pPr>
        <w:pStyle w:val="945"/>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945"/>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2.二标段：</w:t>
      </w:r>
      <w:r>
        <w:rPr>
          <w:rFonts w:hint="eastAsia" w:ascii="宋体" w:hAnsi="宋体" w:eastAsia="宋体" w:cs="宋体"/>
          <w:b/>
          <w:bCs/>
          <w:sz w:val="24"/>
          <w:szCs w:val="24"/>
          <w:highlight w:val="none"/>
        </w:rPr>
        <w:t xml:space="preserve">后宅片区及新增路段</w:t>
      </w:r>
      <w:r/>
    </w:p>
    <w:tbl>
      <w:tblPr>
        <w:tblStyle w:val="944"/>
        <w:tblW w:w="92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4"/>
        <w:gridCol w:w="2725"/>
        <w:gridCol w:w="1589"/>
        <w:gridCol w:w="1444"/>
        <w:gridCol w:w="1317"/>
        <w:gridCol w:w="1527"/>
      </w:tblGrid>
      <w:tr>
        <w:trPr>
          <w:trHeight w:val="480"/>
        </w:trPr>
        <w:tc>
          <w:tcPr>
            <w:gridSpan w:val="6"/>
            <w:shd w:val="clear" w:color="auto" w:fill="auto"/>
            <w:tcBorders>
              <w:top w:val="none" w:color="000000" w:sz="4" w:space="0"/>
              <w:left w:val="none" w:color="000000" w:sz="4" w:space="0"/>
              <w:bottom w:val="single" w:color="000000" w:sz="4" w:space="0"/>
              <w:right w:val="none" w:color="000000" w:sz="4" w:space="0"/>
            </w:tcBorders>
            <w:tcW w:w="92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二标段</w:t>
            </w:r>
            <w:r>
              <w:rPr>
                <w:rFonts w:hint="eastAsia"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后宅片区绿化养护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养护地段</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养护作业内容</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撒播黑麦草草籽面积（平方米）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鸿运苑幼儿园绿化工程（游园）</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含路段范围内的天堂草+黑麦草、天富道草坪、三叶草/葱兰/酢浆草/麦冬、绿篱（灌木）、阔叶林</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2552.6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613.2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养护标准：三级养护；本项目单价包括承包人承担本承包项目全部内容的实施、完成所需要的所有材料费、设备费、劳务费、管理费、机械费、措施费、利润、税费等所有费用。工程量按实结算。</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鸿山广场路及鸿运苑小区北围墙外</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鸿山广场（游园）</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4899</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锦鸿路（绿化公司——奶牛场）</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17663.7</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钢材市场绿化工程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2218</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鸿山镇政府</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3993.29</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3583.29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鸿福苑二区</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鸿祥路</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3187</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唐明河景观（游园）</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9153</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10714</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鸿山锦苑三周围</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4163.9</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1293.9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一、二、三墓</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38339</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18419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杨家浜经一路及路口</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16921</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中心小学大门口及中心小学</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4343.8</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后宅中学旁边及后面、后宅幼儿园及外墙一圈</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895.5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744.1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机光电路大力神轧机</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5214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鸿昌路</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欣鸿路（水岸观邸前）</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上下场、钦刘家湾绿化工程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22202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经三路绿化工程（绿化公司南门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梁鸿路）</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15584</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环鸿东路（绿化公司南门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东塘街村委）</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10836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后坊路（杨家浜-阿胖饭店）</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42905.2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后宅老菜场</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后宅影剧院</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双象公园（游园）</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9222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邮电局路（兴宅路）</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环镇北路（</w:t>
            </w:r>
            <w:r>
              <w:rPr>
                <w:rFonts w:hint="eastAsia" w:ascii="宋体" w:hAnsi="宋体" w:cs="宋体"/>
                <w:i w:val="0"/>
                <w:iCs w:val="0"/>
                <w:color w:val="000000"/>
                <w:sz w:val="24"/>
                <w:szCs w:val="24"/>
                <w:highlight w:val="none"/>
                <w:u w:val="none"/>
                <w:lang w:val="en-US" w:eastAsia="zh-CN" w:bidi="ar"/>
              </w:rPr>
              <w:t xml:space="preserve">鸿山路－梁鸿路</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10464</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8722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园区地面绿化工程（村建）</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3816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邹更上</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东塘街工业园区道路绿化工程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8302.6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8016.4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太科园安置企业绿化工程（北区）</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11450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太科园安置企业绿化工程（南区）</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6047</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6047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锦鸿路鸿山商贸城小游园</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1687.57</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1589.07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无锡市新区鸿山路（泰伯大道——锦鸿路）景观绿化工程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57598</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44307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明园西侧绿化景观改造工程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1965.3</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1876.6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鸿昌路绿化工程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德育路绿化工程（锡宅路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鸿月路）</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10625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葛家桥工业园绿化工程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18365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17535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五二期安置房小游园绿化景观工程 （游园）</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10451.5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10369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中通路公共停车场</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3811</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3569.7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鸿福路（振发三路-新农路）绿化工程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5328</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5177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后宅中心幼儿园绿化工程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7721.4</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5369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寺湾里环境改造工程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5101</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鸿运苑五二期商铺外侧花坛绿化</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美丽河湖集中整治工程</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2"/>
        </w:trPr>
        <w:tc>
          <w:tcPr>
            <w:gridSpan w:val="2"/>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合计（平方米）</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416564.86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204228.26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945"/>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944"/>
        <w:tblW w:w="96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6"/>
        <w:gridCol w:w="1280"/>
        <w:gridCol w:w="1184"/>
        <w:gridCol w:w="1184"/>
        <w:gridCol w:w="1184"/>
        <w:gridCol w:w="1063"/>
        <w:gridCol w:w="986"/>
        <w:gridCol w:w="2310"/>
      </w:tblGrid>
      <w:tr>
        <w:trPr>
          <w:trHeight w:val="579"/>
        </w:trPr>
        <w:tc>
          <w:tcPr>
            <w:gridSpan w:val="8"/>
            <w:shd w:val="clear" w:color="auto" w:fill="auto"/>
            <w:tcBorders>
              <w:top w:val="single" w:color="000000" w:sz="4" w:space="0"/>
              <w:left w:val="single" w:color="000000" w:sz="4" w:space="0"/>
              <w:bottom w:val="single" w:color="000000" w:sz="4" w:space="0"/>
              <w:right w:val="single" w:color="000000" w:sz="4" w:space="0"/>
            </w:tcBorders>
            <w:tcW w:w="965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hAnsi="宋体" w:cs="宋体"/>
                <w:b/>
                <w:bCs/>
                <w:i w:val="0"/>
                <w:iCs w:val="0"/>
                <w:color w:val="000000"/>
                <w:sz w:val="24"/>
                <w:szCs w:val="24"/>
                <w:highlight w:val="none"/>
                <w:u w:val="none"/>
                <w:lang w:val="en-US" w:eastAsia="zh-CN" w:bidi="ar"/>
              </w:rPr>
              <w:t xml:space="preserve">二标段：</w:t>
            </w:r>
            <w:r>
              <w:rPr>
                <w:rFonts w:hint="eastAsia" w:ascii="宋体" w:hAnsi="宋体" w:eastAsia="宋体" w:cs="宋体"/>
                <w:b/>
                <w:bCs/>
                <w:i w:val="0"/>
                <w:iCs w:val="0"/>
                <w:color w:val="000000"/>
                <w:sz w:val="24"/>
                <w:szCs w:val="24"/>
                <w:highlight w:val="none"/>
                <w:u w:val="none"/>
                <w:lang w:val="en-US" w:eastAsia="zh-CN" w:bidi="ar"/>
              </w:rPr>
              <w:t xml:space="preserve">新增路段绿化养护</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养护地段</w:t>
            </w:r>
            <w:r/>
          </w:p>
        </w:tc>
        <w:tc>
          <w:tcPr>
            <w:shd w:val="clear" w:color="auto" w:fill="auto"/>
            <w:tcBorders>
              <w:top w:val="single" w:color="000000" w:sz="4" w:space="0"/>
              <w:left w:val="single" w:color="000000" w:sz="4" w:space="0"/>
              <w:bottom w:val="single" w:color="000000" w:sz="4" w:space="0"/>
              <w:right w:val="non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天堂草</w:t>
            </w:r>
            <w:r/>
          </w:p>
        </w:tc>
        <w:tc>
          <w:tcPr>
            <w:shd w:val="clear" w:color="auto" w:fill="auto"/>
            <w:tcBorders>
              <w:top w:val="single" w:color="000000" w:sz="4" w:space="0"/>
              <w:left w:val="single" w:color="000000" w:sz="4" w:space="0"/>
              <w:bottom w:val="single" w:color="000000" w:sz="4" w:space="0"/>
              <w:right w:val="non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籽播黑麦草</w:t>
            </w:r>
            <w:r/>
          </w:p>
        </w:tc>
        <w:tc>
          <w:tcPr>
            <w:shd w:val="clear" w:color="auto" w:fill="auto"/>
            <w:tcBorders>
              <w:top w:val="single" w:color="000000" w:sz="4" w:space="0"/>
              <w:left w:val="single" w:color="000000" w:sz="4" w:space="0"/>
              <w:bottom w:val="single" w:color="000000" w:sz="4" w:space="0"/>
              <w:right w:val="non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绿篱、色块、林带</w:t>
            </w:r>
            <w:r/>
          </w:p>
        </w:tc>
        <w:tc>
          <w:tcPr>
            <w:shd w:val="clear" w:color="auto" w:fill="auto"/>
            <w:tcBorders>
              <w:top w:val="single" w:color="000000" w:sz="4" w:space="0"/>
              <w:left w:val="single" w:color="000000" w:sz="4" w:space="0"/>
              <w:bottom w:val="single" w:color="000000" w:sz="4" w:space="0"/>
              <w:right w:val="non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草花籽播</w:t>
            </w:r>
            <w:r/>
          </w:p>
        </w:tc>
        <w:tc>
          <w:tcPr>
            <w:shd w:val="clear" w:color="auto" w:fill="auto"/>
            <w:tcBorders>
              <w:top w:val="single" w:color="000000" w:sz="4" w:space="0"/>
              <w:left w:val="single" w:color="000000" w:sz="4" w:space="0"/>
              <w:bottom w:val="single" w:color="000000" w:sz="4" w:space="0"/>
              <w:right w:val="non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四季草花</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撒播面积（平方米）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种植面积（平方米）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种植面积（平方米）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沈家桥浜</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81337.10</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81337.00</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11896.05</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3856.70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159.00</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养护标准：三级养护；本项目单价包括承包人承担本承包项目全部内容的实施、完成所需要的所有材料费、设备费、劳务费、管理费、机械费、措施费、利润、税费等所有费用。工程量按实结算。</w:t>
            </w:r>
            <w:r/>
          </w:p>
        </w:tc>
      </w:tr>
      <w:tr>
        <w:trPr>
          <w:trHeight w:val="561"/>
        </w:trPr>
        <w:tc>
          <w:tcPr>
            <w:gridSpan w:val="2"/>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81337.1</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81337</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11896.05</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3856.7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ind w:firstLine="480"/>
        <w:spacing w:line="360" w:lineRule="auto"/>
        <w:rPr>
          <w:rFonts w:hint="eastAsia" w:ascii="宋体" w:hAnsi="宋体" w:eastAsia="宋体" w:cs="宋体"/>
          <w:b/>
          <w:bCs/>
          <w:sz w:val="24"/>
          <w:szCs w:val="24"/>
          <w:highlight w:val="none"/>
        </w:rPr>
      </w:pPr>
      <w:r>
        <w:rPr>
          <w:rFonts w:hint="eastAsia" w:hAnsi="宋体" w:cs="宋体"/>
          <w:b/>
          <w:bCs/>
          <w:sz w:val="24"/>
          <w:szCs w:val="24"/>
          <w:highlight w:val="none"/>
          <w:lang w:eastAsia="zh-CN"/>
        </w:rPr>
        <w:t xml:space="preserve">（</w:t>
      </w:r>
      <w:r>
        <w:rPr>
          <w:rFonts w:hint="eastAsia" w:hAnsi="宋体" w:cs="宋体"/>
          <w:b/>
          <w:bCs/>
          <w:sz w:val="24"/>
          <w:szCs w:val="24"/>
          <w:highlight w:val="none"/>
          <w:lang w:val="en-US" w:eastAsia="zh-CN"/>
        </w:rPr>
        <w:t xml:space="preserve">1</w:t>
      </w:r>
      <w:r>
        <w:rPr>
          <w:rFonts w:hint="eastAsia"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草坪年养护单价中包含了冬季黑麦草籽</w:t>
      </w:r>
      <w:r>
        <w:rPr>
          <w:rFonts w:hint="eastAsia" w:hAnsi="宋体" w:cs="宋体"/>
          <w:b/>
          <w:bCs/>
          <w:sz w:val="24"/>
          <w:szCs w:val="24"/>
          <w:highlight w:val="none"/>
          <w:lang w:eastAsia="zh-CN"/>
        </w:rPr>
        <w:t xml:space="preserve">、</w:t>
      </w:r>
      <w:r>
        <w:rPr>
          <w:rFonts w:hint="eastAsia" w:hAnsi="宋体" w:cs="宋体"/>
          <w:b/>
          <w:bCs/>
          <w:sz w:val="24"/>
          <w:szCs w:val="24"/>
          <w:highlight w:val="none"/>
          <w:lang w:val="en-US" w:eastAsia="zh-CN"/>
        </w:rPr>
        <w:t xml:space="preserve">草花等</w:t>
      </w:r>
      <w:r>
        <w:rPr>
          <w:rFonts w:hint="eastAsia" w:ascii="宋体" w:hAnsi="宋体" w:eastAsia="宋体" w:cs="宋体"/>
          <w:b/>
          <w:bCs/>
          <w:sz w:val="24"/>
          <w:szCs w:val="24"/>
          <w:highlight w:val="none"/>
        </w:rPr>
        <w:t xml:space="preserve">播撒及养护费用</w:t>
      </w:r>
      <w:r>
        <w:rPr>
          <w:rFonts w:hint="eastAsia"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含黑麦草籽）。</w:t>
      </w:r>
      <w:r/>
    </w:p>
    <w:p>
      <w:pPr>
        <w:ind w:firstLine="480"/>
        <w:spacing w:line="360" w:lineRule="auto"/>
        <w:rPr>
          <w:rFonts w:hint="eastAsia" w:ascii="宋体" w:hAnsi="宋体" w:eastAsia="宋体" w:cs="宋体"/>
          <w:b/>
          <w:bCs/>
          <w:sz w:val="24"/>
          <w:szCs w:val="24"/>
          <w:highlight w:val="none"/>
        </w:rPr>
      </w:pPr>
      <w:r>
        <w:rPr>
          <w:rFonts w:hint="eastAsia" w:hAnsi="宋体" w:cs="宋体"/>
          <w:b/>
          <w:bCs/>
          <w:sz w:val="24"/>
          <w:szCs w:val="24"/>
          <w:highlight w:val="none"/>
          <w:lang w:eastAsia="zh-CN"/>
        </w:rPr>
        <w:t xml:space="preserve">（</w:t>
      </w:r>
      <w:r>
        <w:rPr>
          <w:rFonts w:hint="eastAsia" w:hAnsi="宋体" w:cs="宋体"/>
          <w:b/>
          <w:bCs/>
          <w:sz w:val="24"/>
          <w:szCs w:val="24"/>
          <w:highlight w:val="none"/>
          <w:lang w:val="en-US" w:eastAsia="zh-CN"/>
        </w:rPr>
        <w:t xml:space="preserve">2</w:t>
      </w:r>
      <w:r>
        <w:rPr>
          <w:rFonts w:hint="eastAsia"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投标人投标时商务标部分按此明细表所投标标段按平方进行报价。</w:t>
      </w:r>
      <w:r/>
    </w:p>
    <w:p>
      <w:pPr>
        <w:ind w:firstLine="480"/>
        <w:spacing w:line="360" w:lineRule="auto"/>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r>
      <w:r/>
    </w:p>
    <w:p>
      <w:pPr>
        <w:ind w:firstLine="480"/>
        <w:spacing w:line="360" w:lineRule="auto"/>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3、人员配置要求及作业设备配置要求</w:t>
      </w:r>
      <w:r/>
    </w:p>
    <w:p>
      <w:pPr>
        <w:jc w:val="center"/>
        <w:pageBreakBefore w:val="0"/>
        <w:spacing w:line="400" w:lineRule="exact"/>
        <w:widowControl/>
        <w:rPr>
          <w:rFonts w:hint="eastAsia" w:ascii="黑体" w:hAnsi="Times New Roman" w:eastAsia="黑体" w:cs="Times New Roman"/>
          <w:bCs/>
          <w:sz w:val="28"/>
          <w:szCs w:val="28"/>
          <w:highlight w:val="none"/>
          <w:lang w:eastAsia="zh-CN"/>
        </w:rPr>
      </w:pPr>
      <w:r>
        <w:rPr>
          <w:rFonts w:hint="eastAsia" w:ascii="宋体" w:hAnsi="宋体" w:eastAsia="宋体" w:cs="宋体"/>
          <w:b/>
          <w:bCs/>
          <w:sz w:val="24"/>
          <w:szCs w:val="24"/>
          <w:highlight w:val="none"/>
          <w:lang w:val="en-US" w:eastAsia="zh-CN"/>
        </w:rPr>
        <w:t xml:space="preserve">人员配置要求</w:t>
      </w:r>
      <w:r/>
    </w:p>
    <w:tbl>
      <w:tblPr>
        <w:tblStyle w:val="944"/>
        <w:tblW w:w="9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01"/>
        <w:gridCol w:w="995"/>
        <w:gridCol w:w="1200"/>
        <w:gridCol w:w="1468"/>
        <w:gridCol w:w="1665"/>
        <w:gridCol w:w="1515"/>
      </w:tblGrid>
      <w:tr>
        <w:trPr/>
        <w:tc>
          <w:tcPr>
            <w:tcW w:w="746" w:type="dxa"/>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rPr>
              <w:t xml:space="preserve">编号</w:t>
            </w:r>
            <w:r/>
          </w:p>
        </w:tc>
        <w:tc>
          <w:tcPr>
            <w:tcW w:w="1801" w:type="dxa"/>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lang w:eastAsia="zh-CN"/>
              </w:rPr>
              <w:t xml:space="preserve">标段</w:t>
            </w:r>
            <w:r>
              <w:rPr>
                <w:rFonts w:hint="eastAsia" w:ascii="宋体" w:hAnsi="宋体" w:eastAsia="宋体" w:cs="Times New Roman"/>
                <w:b/>
                <w:bCs/>
                <w:sz w:val="21"/>
                <w:szCs w:val="24"/>
                <w:highlight w:val="none"/>
              </w:rPr>
              <w:t xml:space="preserve">名称</w:t>
            </w:r>
            <w:r/>
          </w:p>
        </w:tc>
        <w:tc>
          <w:tcPr>
            <w:tcW w:w="995" w:type="dxa"/>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rPr>
              <w:t xml:space="preserve">养护期</w:t>
            </w:r>
            <w:r/>
          </w:p>
        </w:tc>
        <w:tc>
          <w:tcPr>
            <w:tcW w:w="1200" w:type="dxa"/>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rPr>
              <w:t xml:space="preserve">最高限价（</w:t>
            </w:r>
            <w:r>
              <w:rPr>
                <w:rFonts w:hint="eastAsia" w:ascii="宋体" w:hAnsi="宋体" w:eastAsia="宋体" w:cs="Times New Roman"/>
                <w:b/>
                <w:bCs/>
                <w:sz w:val="21"/>
                <w:szCs w:val="24"/>
                <w:highlight w:val="none"/>
                <w:lang w:val="en-US" w:eastAsia="zh-CN"/>
              </w:rPr>
              <w:t xml:space="preserve">万</w:t>
            </w:r>
            <w:r>
              <w:rPr>
                <w:rFonts w:hint="eastAsia" w:ascii="宋体" w:hAnsi="宋体" w:eastAsia="宋体" w:cs="Times New Roman"/>
                <w:b/>
                <w:bCs/>
                <w:sz w:val="21"/>
                <w:szCs w:val="24"/>
                <w:highlight w:val="none"/>
              </w:rPr>
              <w:t xml:space="preserve">元）</w:t>
            </w:r>
            <w:r/>
          </w:p>
        </w:tc>
        <w:tc>
          <w:tcPr>
            <w:tcW w:w="1468" w:type="dxa"/>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rPr>
              <w:t xml:space="preserve">绿化总面积（</w:t>
            </w:r>
            <w:r>
              <w:rPr>
                <w:rFonts w:hint="eastAsia" w:ascii="宋体" w:hAnsi="宋体" w:eastAsia="宋体" w:cs="宋体"/>
                <w:b/>
                <w:bCs/>
                <w:sz w:val="21"/>
                <w:szCs w:val="24"/>
                <w:highlight w:val="none"/>
              </w:rPr>
              <w:t xml:space="preserve">㎡</w:t>
            </w:r>
            <w:r>
              <w:rPr>
                <w:rFonts w:hint="eastAsia" w:ascii="宋体" w:hAnsi="宋体" w:eastAsia="宋体" w:cs="Times New Roman"/>
                <w:b/>
                <w:bCs/>
                <w:sz w:val="21"/>
                <w:szCs w:val="24"/>
                <w:highlight w:val="none"/>
              </w:rPr>
              <w:t xml:space="preserve">）</w:t>
            </w:r>
            <w:r/>
          </w:p>
        </w:tc>
        <w:tc>
          <w:tcPr>
            <w:tcW w:w="1665" w:type="dxa"/>
            <w:vAlign w:val="center"/>
            <w:textDirection w:val="lrTb"/>
            <w:noWrap w:val="false"/>
          </w:tcPr>
          <w:p>
            <w:pPr>
              <w:jc w:val="center"/>
              <w:pageBreakBefore w:val="0"/>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最低作业人员配置要求</w:t>
            </w:r>
            <w:r/>
          </w:p>
          <w:p>
            <w:pPr>
              <w:jc w:val="center"/>
              <w:pageBreakBefore w:val="0"/>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（人）</w:t>
            </w:r>
            <w:r/>
          </w:p>
        </w:tc>
        <w:tc>
          <w:tcPr>
            <w:tcW w:w="1515" w:type="dxa"/>
            <w:vAlign w:val="center"/>
            <w:textDirection w:val="lrTb"/>
            <w:noWrap w:val="false"/>
          </w:tcPr>
          <w:p>
            <w:pPr>
              <w:jc w:val="center"/>
              <w:pageBreakBefore w:val="0"/>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人工费占比标准（%）</w:t>
            </w:r>
            <w:r/>
          </w:p>
        </w:tc>
      </w:tr>
      <w:tr>
        <w:trPr>
          <w:trHeight w:val="539" w:hRule="exact"/>
        </w:trPr>
        <w:tc>
          <w:tcPr>
            <w:tcW w:w="746" w:type="dxa"/>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rPr>
              <w:t xml:space="preserve">1</w:t>
            </w:r>
            <w:r/>
          </w:p>
        </w:tc>
        <w:tc>
          <w:tcPr>
            <w:tcW w:w="1801" w:type="dxa"/>
            <w:vAlign w:val="center"/>
            <w:textDirection w:val="lrTb"/>
            <w:noWrap w:val="false"/>
          </w:tcPr>
          <w:p>
            <w:pPr>
              <w:jc w:val="center"/>
              <w:pageBreakBefore w:val="0"/>
              <w:spacing w:line="400" w:lineRule="exact"/>
              <w:rPr>
                <w:rFonts w:hint="eastAsia" w:ascii="宋体" w:hAnsi="宋体" w:eastAsia="宋体" w:cs="Times New Roman"/>
                <w:b/>
                <w:bCs/>
                <w:sz w:val="21"/>
                <w:szCs w:val="24"/>
                <w:highlight w:val="none"/>
                <w:lang w:eastAsia="zh-CN"/>
              </w:rPr>
            </w:pPr>
            <w:r>
              <w:rPr>
                <w:rFonts w:hint="eastAsia" w:ascii="宋体" w:hAnsi="宋体" w:eastAsia="宋体" w:cs="Times New Roman"/>
                <w:b/>
                <w:bCs/>
                <w:sz w:val="21"/>
                <w:szCs w:val="24"/>
                <w:highlight w:val="none"/>
                <w:lang w:eastAsia="zh-CN"/>
              </w:rPr>
              <w:t xml:space="preserve">一标段</w:t>
            </w:r>
            <w:r/>
          </w:p>
        </w:tc>
        <w:tc>
          <w:tcPr>
            <w:tcW w:w="995" w:type="dxa"/>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lang w:val="en-US" w:eastAsia="zh-CN"/>
              </w:rPr>
              <w:t xml:space="preserve">2年</w:t>
            </w:r>
            <w:r/>
          </w:p>
        </w:tc>
        <w:tc>
          <w:tcPr>
            <w:tcW w:w="1200" w:type="dxa"/>
            <w:vAlign w:val="center"/>
            <w:textDirection w:val="lrTb"/>
            <w:noWrap w:val="false"/>
          </w:tcPr>
          <w:p>
            <w:pPr>
              <w:jc w:val="center"/>
              <w:pageBreakBefore w:val="0"/>
              <w:spacing w:line="400" w:lineRule="exact"/>
              <w:rPr>
                <w:rFonts w:hint="default" w:ascii="宋体" w:hAnsi="宋体" w:eastAsia="宋体" w:cs="Times New Roman"/>
                <w:b/>
                <w:bCs/>
                <w:sz w:val="21"/>
                <w:szCs w:val="24"/>
                <w:highlight w:val="none"/>
                <w:lang w:val="en-US" w:eastAsia="zh-CN"/>
              </w:rPr>
            </w:pPr>
            <w:r>
              <w:rPr>
                <w:rFonts w:hint="eastAsia" w:hAnsi="宋体" w:cs="Times New Roman"/>
                <w:b/>
                <w:bCs/>
                <w:sz w:val="21"/>
                <w:szCs w:val="24"/>
                <w:highlight w:val="none"/>
                <w:lang w:val="en-US" w:eastAsia="zh-CN"/>
              </w:rPr>
              <w:t xml:space="preserve">371.23</w:t>
            </w:r>
            <w:r/>
          </w:p>
        </w:tc>
        <w:tc>
          <w:tcPr>
            <w:tcW w:w="1468" w:type="dxa"/>
            <w:vAlign w:val="center"/>
            <w:textDirection w:val="lrTb"/>
            <w:noWrap w:val="false"/>
          </w:tcPr>
          <w:p>
            <w:pPr>
              <w:jc w:val="center"/>
              <w:pageBreakBefore w:val="0"/>
              <w:spacing w:line="400" w:lineRule="exact"/>
              <w:rPr>
                <w:rFonts w:hint="default" w:ascii="宋体" w:hAnsi="宋体" w:eastAsia="宋体" w:cs="Times New Roman"/>
                <w:b/>
                <w:bCs/>
                <w:sz w:val="21"/>
                <w:szCs w:val="24"/>
                <w:highlight w:val="none"/>
                <w:lang w:val="en-US" w:eastAsia="zh-CN"/>
              </w:rPr>
            </w:pPr>
            <w:r>
              <w:rPr>
                <w:rFonts w:hint="eastAsia" w:hAnsi="宋体" w:cs="Times New Roman"/>
                <w:b/>
                <w:bCs/>
                <w:sz w:val="21"/>
                <w:szCs w:val="24"/>
                <w:highlight w:val="none"/>
                <w:lang w:val="en-US" w:eastAsia="zh-CN"/>
              </w:rPr>
              <w:t xml:space="preserve">443502.93</w:t>
            </w:r>
            <w:r/>
          </w:p>
        </w:tc>
        <w:tc>
          <w:tcPr>
            <w:tcW w:w="1665" w:type="dxa"/>
            <w:vAlign w:val="center"/>
            <w:textDirection w:val="lrTb"/>
            <w:noWrap w:val="false"/>
          </w:tcPr>
          <w:p>
            <w:pPr>
              <w:jc w:val="center"/>
              <w:pageBreakBefore w:val="0"/>
              <w:spacing w:line="400" w:lineRule="exact"/>
              <w:rPr>
                <w:rFonts w:hint="default" w:ascii="宋体" w:hAnsi="宋体" w:eastAsia="宋体" w:cs="Times New Roman"/>
                <w:b/>
                <w:bCs/>
                <w:sz w:val="21"/>
                <w:szCs w:val="24"/>
                <w:highlight w:val="none"/>
                <w:lang w:val="en-US" w:eastAsia="zh-CN"/>
              </w:rPr>
            </w:pPr>
            <w:r>
              <w:rPr>
                <w:rFonts w:hint="eastAsia" w:hAnsi="宋体" w:cs="Times New Roman"/>
                <w:b/>
                <w:bCs/>
                <w:sz w:val="21"/>
                <w:szCs w:val="24"/>
                <w:highlight w:val="none"/>
                <w:lang w:val="en-US" w:eastAsia="zh-CN"/>
              </w:rPr>
              <w:t xml:space="preserve">12</w:t>
            </w:r>
            <w:r/>
          </w:p>
        </w:tc>
        <w:tc>
          <w:tcPr>
            <w:tcW w:w="1515" w:type="dxa"/>
            <w:vAlign w:val="center"/>
            <w:textDirection w:val="lrTb"/>
            <w:noWrap w:val="false"/>
          </w:tcPr>
          <w:p>
            <w:pPr>
              <w:jc w:val="center"/>
              <w:pageBreakBefore w:val="0"/>
              <w:spacing w:line="400" w:lineRule="exact"/>
              <w:rPr>
                <w:rFonts w:hint="default" w:ascii="宋体" w:hAnsi="宋体" w:eastAsia="宋体" w:cs="Times New Roman"/>
                <w:b/>
                <w:bCs/>
                <w:sz w:val="21"/>
                <w:szCs w:val="24"/>
                <w:highlight w:val="none"/>
                <w:lang w:val="en-US" w:eastAsia="zh-CN"/>
              </w:rPr>
            </w:pPr>
            <w:r>
              <w:rPr>
                <w:rFonts w:hint="eastAsia" w:hAnsi="宋体" w:cs="Times New Roman"/>
                <w:b/>
                <w:bCs/>
                <w:sz w:val="21"/>
                <w:szCs w:val="24"/>
                <w:highlight w:val="none"/>
                <w:lang w:val="en-US" w:eastAsia="zh-CN"/>
              </w:rPr>
              <w:t xml:space="preserve">24.34</w:t>
            </w:r>
            <w:r>
              <w:rPr>
                <w:rFonts w:hint="eastAsia" w:ascii="宋体" w:hAnsi="宋体" w:eastAsia="宋体" w:cs="Times New Roman"/>
                <w:b/>
                <w:bCs/>
                <w:sz w:val="21"/>
                <w:szCs w:val="24"/>
                <w:highlight w:val="none"/>
                <w:lang w:val="en-US" w:eastAsia="zh-CN"/>
              </w:rPr>
              <w:t xml:space="preserve">%</w:t>
            </w:r>
            <w:r/>
          </w:p>
        </w:tc>
      </w:tr>
      <w:tr>
        <w:trPr>
          <w:trHeight w:val="507" w:hRule="exact"/>
        </w:trPr>
        <w:tc>
          <w:tcPr>
            <w:tcW w:w="746" w:type="dxa"/>
            <w:vAlign w:val="center"/>
            <w:textDirection w:val="lrTb"/>
            <w:noWrap w:val="false"/>
          </w:tcPr>
          <w:p>
            <w:pPr>
              <w:jc w:val="center"/>
              <w:pageBreakBefore w:val="0"/>
              <w:spacing w:line="400" w:lineRule="exact"/>
              <w:rPr>
                <w:rFonts w:hint="eastAsia" w:ascii="宋体" w:hAnsi="宋体" w:eastAsia="宋体" w:cs="Times New Roman"/>
                <w:b/>
                <w:bCs/>
                <w:sz w:val="21"/>
                <w:szCs w:val="24"/>
                <w:highlight w:val="none"/>
                <w:lang w:val="en-US" w:eastAsia="zh-CN"/>
              </w:rPr>
            </w:pPr>
            <w:r>
              <w:rPr>
                <w:rFonts w:hint="eastAsia" w:ascii="宋体" w:hAnsi="宋体" w:eastAsia="宋体" w:cs="Times New Roman"/>
                <w:b/>
                <w:bCs/>
                <w:sz w:val="21"/>
                <w:szCs w:val="24"/>
                <w:highlight w:val="none"/>
                <w:lang w:val="en-US" w:eastAsia="zh-CN"/>
              </w:rPr>
              <w:t xml:space="preserve">2</w:t>
            </w:r>
            <w:r/>
          </w:p>
        </w:tc>
        <w:tc>
          <w:tcPr>
            <w:tcW w:w="1801" w:type="dxa"/>
            <w:vAlign w:val="center"/>
            <w:textDirection w:val="lrTb"/>
            <w:noWrap w:val="false"/>
          </w:tcPr>
          <w:p>
            <w:pPr>
              <w:jc w:val="center"/>
              <w:pageBreakBefore w:val="0"/>
              <w:spacing w:line="400" w:lineRule="exact"/>
              <w:rPr>
                <w:rFonts w:hint="eastAsia" w:ascii="宋体" w:hAnsi="宋体" w:eastAsia="宋体" w:cs="Times New Roman"/>
                <w:b/>
                <w:bCs/>
                <w:sz w:val="21"/>
                <w:szCs w:val="24"/>
                <w:highlight w:val="none"/>
                <w:lang w:eastAsia="zh-CN"/>
              </w:rPr>
            </w:pPr>
            <w:r>
              <w:rPr>
                <w:rFonts w:hint="eastAsia" w:ascii="宋体" w:hAnsi="宋体" w:eastAsia="宋体" w:cs="Times New Roman"/>
                <w:b/>
                <w:bCs/>
                <w:sz w:val="21"/>
                <w:szCs w:val="24"/>
                <w:highlight w:val="none"/>
                <w:lang w:eastAsia="zh-CN"/>
              </w:rPr>
              <w:t xml:space="preserve">二标段</w:t>
            </w:r>
            <w:r/>
          </w:p>
        </w:tc>
        <w:tc>
          <w:tcPr>
            <w:tcW w:w="995" w:type="dxa"/>
            <w:vAlign w:val="center"/>
            <w:textDirection w:val="lrTb"/>
            <w:noWrap w:val="false"/>
          </w:tcPr>
          <w:p>
            <w:pPr>
              <w:jc w:val="center"/>
              <w:pageBreakBefore w:val="0"/>
              <w:spacing w:line="400" w:lineRule="exact"/>
              <w:rPr>
                <w:rFonts w:hint="eastAsia" w:ascii="宋体" w:hAnsi="宋体" w:eastAsia="宋体" w:cs="Times New Roman"/>
                <w:b/>
                <w:bCs/>
                <w:sz w:val="21"/>
                <w:szCs w:val="24"/>
                <w:highlight w:val="none"/>
              </w:rPr>
            </w:pPr>
            <w:r>
              <w:rPr>
                <w:rFonts w:hint="eastAsia" w:ascii="宋体" w:hAnsi="宋体" w:eastAsia="宋体" w:cs="Times New Roman"/>
                <w:b/>
                <w:bCs/>
                <w:sz w:val="21"/>
                <w:szCs w:val="24"/>
                <w:highlight w:val="none"/>
                <w:lang w:val="en-US" w:eastAsia="zh-CN"/>
              </w:rPr>
              <w:t xml:space="preserve">2年</w:t>
            </w:r>
            <w:r/>
          </w:p>
        </w:tc>
        <w:tc>
          <w:tcPr>
            <w:tcW w:w="1200" w:type="dxa"/>
            <w:vAlign w:val="center"/>
            <w:textDirection w:val="lrTb"/>
            <w:noWrap w:val="false"/>
          </w:tcPr>
          <w:p>
            <w:pPr>
              <w:jc w:val="center"/>
              <w:pageBreakBefore w:val="0"/>
              <w:spacing w:line="400" w:lineRule="exact"/>
              <w:rPr>
                <w:rFonts w:hint="default" w:ascii="宋体" w:hAnsi="宋体" w:eastAsia="宋体" w:cs="Times New Roman"/>
                <w:b/>
                <w:bCs/>
                <w:sz w:val="21"/>
                <w:szCs w:val="24"/>
                <w:highlight w:val="none"/>
                <w:lang w:val="en-US" w:eastAsia="zh-CN"/>
              </w:rPr>
            </w:pPr>
            <w:r>
              <w:rPr>
                <w:rFonts w:hint="eastAsia" w:hAnsi="宋体" w:cs="Times New Roman"/>
                <w:b/>
                <w:bCs/>
                <w:sz w:val="21"/>
                <w:szCs w:val="24"/>
                <w:highlight w:val="none"/>
                <w:lang w:val="en-US" w:eastAsia="zh-CN"/>
              </w:rPr>
              <w:t xml:space="preserve">446</w:t>
            </w:r>
            <w:r/>
          </w:p>
        </w:tc>
        <w:tc>
          <w:tcPr>
            <w:tcW w:w="1468" w:type="dxa"/>
            <w:vAlign w:val="center"/>
            <w:textDirection w:val="lrTb"/>
            <w:noWrap w:val="false"/>
          </w:tcPr>
          <w:p>
            <w:pPr>
              <w:jc w:val="center"/>
              <w:pageBreakBefore w:val="0"/>
              <w:spacing w:line="400" w:lineRule="exact"/>
              <w:rPr>
                <w:rFonts w:hint="default" w:ascii="宋体" w:hAnsi="宋体" w:eastAsia="宋体" w:cs="Times New Roman"/>
                <w:b/>
                <w:bCs/>
                <w:sz w:val="21"/>
                <w:szCs w:val="24"/>
                <w:highlight w:val="none"/>
                <w:lang w:val="en-US" w:eastAsia="zh-CN"/>
              </w:rPr>
            </w:pPr>
            <w:r>
              <w:rPr>
                <w:rFonts w:hint="eastAsia" w:hAnsi="宋体" w:cs="Times New Roman"/>
                <w:b/>
                <w:bCs/>
                <w:sz w:val="21"/>
                <w:szCs w:val="24"/>
                <w:highlight w:val="none"/>
                <w:lang w:val="en-US" w:eastAsia="zh-CN"/>
              </w:rPr>
              <w:t xml:space="preserve">513813.71</w:t>
            </w:r>
            <w:r/>
          </w:p>
        </w:tc>
        <w:tc>
          <w:tcPr>
            <w:tcW w:w="1665" w:type="dxa"/>
            <w:vAlign w:val="center"/>
            <w:textDirection w:val="lrTb"/>
            <w:noWrap w:val="false"/>
          </w:tcPr>
          <w:p>
            <w:pPr>
              <w:jc w:val="center"/>
              <w:pageBreakBefore w:val="0"/>
              <w:spacing w:line="400" w:lineRule="exact"/>
              <w:rPr>
                <w:rFonts w:hint="default" w:ascii="宋体" w:hAnsi="宋体" w:eastAsia="宋体" w:cs="Times New Roman"/>
                <w:b/>
                <w:bCs/>
                <w:sz w:val="21"/>
                <w:szCs w:val="24"/>
                <w:highlight w:val="none"/>
                <w:lang w:val="en-US" w:eastAsia="zh-CN"/>
              </w:rPr>
            </w:pPr>
            <w:r>
              <w:rPr>
                <w:rFonts w:hint="eastAsia" w:hAnsi="宋体" w:cs="Times New Roman"/>
                <w:b/>
                <w:bCs/>
                <w:sz w:val="21"/>
                <w:szCs w:val="24"/>
                <w:highlight w:val="none"/>
                <w:lang w:val="en-US" w:eastAsia="zh-CN"/>
              </w:rPr>
              <w:t xml:space="preserve">14</w:t>
            </w:r>
            <w:r/>
          </w:p>
        </w:tc>
        <w:tc>
          <w:tcPr>
            <w:tcW w:w="1515" w:type="dxa"/>
            <w:vAlign w:val="center"/>
            <w:textDirection w:val="lrTb"/>
            <w:noWrap w:val="false"/>
          </w:tcPr>
          <w:p>
            <w:pPr>
              <w:jc w:val="center"/>
              <w:pageBreakBefore w:val="0"/>
              <w:spacing w:line="400" w:lineRule="exact"/>
              <w:rPr>
                <w:rFonts w:hint="default" w:ascii="宋体" w:hAnsi="宋体" w:eastAsia="宋体" w:cs="Times New Roman"/>
                <w:b/>
                <w:bCs/>
                <w:sz w:val="21"/>
                <w:szCs w:val="24"/>
                <w:highlight w:val="none"/>
                <w:lang w:val="en-US" w:eastAsia="zh-CN"/>
              </w:rPr>
            </w:pPr>
            <w:r>
              <w:rPr>
                <w:rFonts w:hint="eastAsia" w:hAnsi="宋体" w:cs="Times New Roman"/>
                <w:b/>
                <w:bCs/>
                <w:sz w:val="21"/>
                <w:szCs w:val="24"/>
                <w:highlight w:val="none"/>
                <w:lang w:val="en-US" w:eastAsia="zh-CN"/>
              </w:rPr>
              <w:t xml:space="preserve">23.24</w:t>
            </w:r>
            <w:r>
              <w:rPr>
                <w:rFonts w:hint="eastAsia" w:ascii="宋体" w:hAnsi="宋体" w:eastAsia="宋体" w:cs="Times New Roman"/>
                <w:b/>
                <w:bCs/>
                <w:sz w:val="21"/>
                <w:szCs w:val="24"/>
                <w:highlight w:val="none"/>
                <w:lang w:val="en-US" w:eastAsia="zh-CN"/>
              </w:rPr>
              <w:t xml:space="preserve">%</w:t>
            </w:r>
            <w:r/>
          </w:p>
        </w:tc>
      </w:tr>
    </w:tbl>
    <w:p>
      <w:pPr>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ageBreakBefore w:val="0"/>
        <w:spacing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注：配置人员需在项目管理机构配备情况表（格式见附件）中列明</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须满足人员最低配置要求，且人工费占</w:t>
      </w:r>
      <w:r>
        <w:rPr>
          <w:rFonts w:hint="eastAsia" w:ascii="宋体" w:hAnsi="宋体" w:cs="宋体"/>
          <w:b/>
          <w:bCs/>
          <w:sz w:val="21"/>
          <w:szCs w:val="21"/>
          <w:highlight w:val="none"/>
          <w:lang w:eastAsia="zh-CN"/>
        </w:rPr>
        <w:t xml:space="preserve">必须在</w:t>
      </w:r>
      <w:r>
        <w:rPr>
          <w:rFonts w:hint="eastAsia" w:ascii="宋体" w:hAnsi="宋体" w:eastAsia="宋体" w:cs="宋体"/>
          <w:b/>
          <w:bCs/>
          <w:sz w:val="21"/>
          <w:szCs w:val="21"/>
          <w:highlight w:val="none"/>
        </w:rPr>
        <w:t xml:space="preserve">报价合理性分析表（格式见附件）中列明，不得高于人工费占比标准，否则视为未响应</w:t>
      </w:r>
      <w:r>
        <w:rPr>
          <w:rFonts w:hint="eastAsia" w:ascii="宋体" w:hAnsi="宋体" w:eastAsia="宋体" w:cs="宋体"/>
          <w:b/>
          <w:bCs/>
          <w:sz w:val="21"/>
          <w:szCs w:val="21"/>
          <w:highlight w:val="none"/>
          <w:lang w:val="en-US" w:eastAsia="zh-CN"/>
        </w:rPr>
        <w:t xml:space="preserve">招标</w:t>
      </w:r>
      <w:r>
        <w:rPr>
          <w:rFonts w:hint="eastAsia" w:ascii="宋体" w:hAnsi="宋体" w:eastAsia="宋体" w:cs="宋体"/>
          <w:b/>
          <w:bCs/>
          <w:sz w:val="21"/>
          <w:szCs w:val="21"/>
          <w:highlight w:val="none"/>
        </w:rPr>
        <w:t xml:space="preserve">文件实质要求，做无效标处理。</w:t>
      </w:r>
      <w:r/>
    </w:p>
    <w:p>
      <w:pPr>
        <w:jc w:val="center"/>
        <w:pageBreakBefore w:val="0"/>
        <w:spacing w:line="400" w:lineRule="exact"/>
        <w:rPr>
          <w:rFonts w:ascii="黑体" w:hAnsi="Times New Roman" w:eastAsia="黑体" w:cs="Times New Roman"/>
          <w:bCs/>
          <w:sz w:val="28"/>
          <w:szCs w:val="28"/>
          <w:highlight w:val="none"/>
        </w:rPr>
      </w:pPr>
      <w:r>
        <w:rPr>
          <w:rFonts w:hint="eastAsia" w:ascii="宋体" w:hAnsi="宋体" w:eastAsia="宋体" w:cs="宋体"/>
          <w:b/>
          <w:bCs/>
          <w:sz w:val="24"/>
          <w:szCs w:val="24"/>
          <w:highlight w:val="none"/>
          <w:lang w:val="en-US" w:eastAsia="zh-CN"/>
        </w:rPr>
        <w:t xml:space="preserve">作业设备配置要求</w:t>
      </w:r>
      <w:r/>
    </w:p>
    <w:tbl>
      <w:tblPr>
        <w:tblStyle w:val="944"/>
        <w:tblW w:w="50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2110"/>
        <w:gridCol w:w="2479"/>
        <w:gridCol w:w="3774"/>
      </w:tblGrid>
      <w:tr>
        <w:trPr>
          <w:trHeight w:val="519"/>
        </w:trPr>
        <w:tc>
          <w:tcPr>
            <w:tcW w:w="552" w:type="pct"/>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rPr>
              <w:t xml:space="preserve">编号</w:t>
            </w:r>
            <w:r/>
          </w:p>
        </w:tc>
        <w:tc>
          <w:tcPr>
            <w:tcW w:w="1122" w:type="pct"/>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rPr>
              <w:t xml:space="preserve">项目名称</w:t>
            </w:r>
            <w:r/>
          </w:p>
        </w:tc>
        <w:tc>
          <w:tcPr>
            <w:tcW w:w="1318" w:type="pct"/>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rPr>
              <w:t xml:space="preserve">养护等级</w:t>
            </w:r>
            <w:r/>
          </w:p>
        </w:tc>
        <w:tc>
          <w:tcPr>
            <w:tcW w:w="2006" w:type="pct"/>
            <w:vAlign w:val="center"/>
            <w:textDirection w:val="lrTb"/>
            <w:noWrap w:val="false"/>
          </w:tcPr>
          <w:p>
            <w:pPr>
              <w:jc w:val="center"/>
              <w:pageBreakBefore w:val="0"/>
              <w:spacing w:line="400" w:lineRule="exact"/>
              <w:rPr>
                <w:rFonts w:ascii="宋体" w:hAnsi="宋体" w:eastAsia="宋体" w:cs="Times New Roman"/>
                <w:b/>
                <w:bCs/>
                <w:sz w:val="24"/>
                <w:szCs w:val="24"/>
                <w:highlight w:val="none"/>
              </w:rPr>
            </w:pPr>
            <w:r>
              <w:rPr>
                <w:rFonts w:hint="eastAsia" w:ascii="宋体" w:hAnsi="宋体" w:eastAsia="宋体" w:cs="宋体"/>
                <w:b/>
                <w:bCs/>
                <w:sz w:val="21"/>
                <w:szCs w:val="21"/>
                <w:highlight w:val="none"/>
              </w:rPr>
              <w:t xml:space="preserve">作业设备</w:t>
            </w:r>
            <w:r>
              <w:rPr>
                <w:rFonts w:hint="eastAsia" w:ascii="宋体" w:hAnsi="宋体" w:eastAsia="宋体" w:cs="宋体"/>
                <w:b/>
                <w:bCs/>
                <w:sz w:val="21"/>
                <w:szCs w:val="21"/>
                <w:highlight w:val="none"/>
                <w:lang w:eastAsia="zh-CN"/>
              </w:rPr>
              <w:t xml:space="preserve">最低</w:t>
            </w:r>
            <w:r>
              <w:rPr>
                <w:rFonts w:hint="eastAsia" w:ascii="宋体" w:hAnsi="宋体" w:eastAsia="宋体" w:cs="宋体"/>
                <w:b/>
                <w:bCs/>
                <w:sz w:val="21"/>
                <w:szCs w:val="21"/>
                <w:highlight w:val="none"/>
              </w:rPr>
              <w:t xml:space="preserve">配置要求</w:t>
            </w:r>
            <w:r/>
          </w:p>
        </w:tc>
      </w:tr>
      <w:tr>
        <w:trPr>
          <w:trHeight w:val="463" w:hRule="exact"/>
        </w:trPr>
        <w:tc>
          <w:tcPr>
            <w:tcW w:w="552" w:type="pct"/>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rPr>
              <w:t xml:space="preserve">1</w:t>
            </w:r>
            <w:r/>
          </w:p>
        </w:tc>
        <w:tc>
          <w:tcPr>
            <w:tcW w:w="1122" w:type="pct"/>
            <w:vAlign w:val="center"/>
            <w:textDirection w:val="lrTb"/>
            <w:noWrap w:val="false"/>
          </w:tcPr>
          <w:p>
            <w:pPr>
              <w:jc w:val="center"/>
              <w:pageBreakBefore w:val="0"/>
              <w:spacing w:line="400" w:lineRule="exact"/>
              <w:rPr>
                <w:rFonts w:ascii="宋体" w:hAnsi="宋体" w:eastAsia="宋体" w:cs="Times New Roman"/>
                <w:b/>
                <w:bCs/>
                <w:sz w:val="21"/>
                <w:szCs w:val="24"/>
                <w:highlight w:val="none"/>
              </w:rPr>
            </w:pPr>
            <w:r>
              <w:rPr>
                <w:rFonts w:hint="eastAsia" w:ascii="宋体" w:hAnsi="宋体" w:eastAsia="宋体" w:cs="Times New Roman"/>
                <w:b/>
                <w:bCs/>
                <w:sz w:val="21"/>
                <w:szCs w:val="24"/>
                <w:highlight w:val="none"/>
                <w:lang w:eastAsia="zh-CN"/>
              </w:rPr>
              <w:t xml:space="preserve">一标段</w:t>
            </w:r>
            <w:r/>
          </w:p>
        </w:tc>
        <w:tc>
          <w:tcPr>
            <w:tcW w:w="1318" w:type="pct"/>
            <w:vAlign w:val="center"/>
            <w:textDirection w:val="lrTb"/>
            <w:noWrap w:val="false"/>
          </w:tcPr>
          <w:p>
            <w:pPr>
              <w:jc w:val="center"/>
              <w:pageBreakBefore w:val="0"/>
              <w:spacing w:line="400" w:lineRule="exact"/>
              <w:rPr>
                <w:rFonts w:hint="default" w:ascii="宋体" w:hAnsi="宋体" w:eastAsia="宋体" w:cs="Times New Roman"/>
                <w:b/>
                <w:bCs/>
                <w:sz w:val="21"/>
                <w:szCs w:val="24"/>
                <w:highlight w:val="none"/>
                <w:lang w:val="en-US" w:eastAsia="zh-CN"/>
              </w:rPr>
            </w:pPr>
            <w:r>
              <w:rPr>
                <w:rFonts w:hint="eastAsia" w:ascii="宋体" w:hAnsi="宋体" w:eastAsia="宋体" w:cs="Times New Roman"/>
                <w:b/>
                <w:bCs/>
                <w:sz w:val="21"/>
                <w:szCs w:val="24"/>
                <w:highlight w:val="none"/>
                <w:lang w:val="en-US" w:eastAsia="zh-CN"/>
              </w:rPr>
              <w:t xml:space="preserve">三级</w:t>
            </w:r>
            <w:r/>
          </w:p>
        </w:tc>
        <w:tc>
          <w:tcPr>
            <w:tcW w:w="2006" w:type="pct"/>
            <w:vAlign w:val="center"/>
            <w:vMerge w:val="restart"/>
            <w:textDirection w:val="lrTb"/>
            <w:noWrap w:val="false"/>
          </w:tcPr>
          <w:p>
            <w:pPr>
              <w:jc w:val="left"/>
              <w:pageBreakBefore w:val="0"/>
              <w:spacing w:line="400" w:lineRule="exact"/>
              <w:widowControl/>
              <w:rPr>
                <w:rFonts w:ascii="宋体" w:hAnsi="宋体" w:eastAsia="宋体" w:cs="宋体"/>
                <w:sz w:val="21"/>
                <w:szCs w:val="24"/>
                <w:highlight w:val="none"/>
              </w:rPr>
            </w:pPr>
            <w:r>
              <w:rPr>
                <w:rFonts w:hint="eastAsia" w:ascii="宋体" w:hAnsi="宋体" w:eastAsia="宋体" w:cs="宋体"/>
                <w:sz w:val="21"/>
                <w:szCs w:val="24"/>
                <w:highlight w:val="none"/>
              </w:rPr>
              <w:t xml:space="preserve">1.有标识的巡查车辆</w:t>
            </w:r>
            <w:r/>
          </w:p>
          <w:p>
            <w:pPr>
              <w:jc w:val="left"/>
              <w:pageBreakBefore w:val="0"/>
              <w:spacing w:line="400" w:lineRule="exact"/>
              <w:widowControl/>
              <w:rPr>
                <w:rFonts w:ascii="宋体" w:hAnsi="宋体" w:eastAsia="宋体" w:cs="Times New Roman"/>
                <w:b/>
                <w:bCs/>
                <w:sz w:val="21"/>
                <w:szCs w:val="24"/>
                <w:highlight w:val="none"/>
              </w:rPr>
            </w:pPr>
            <w:r>
              <w:rPr>
                <w:rFonts w:hint="eastAsia" w:ascii="宋体" w:hAnsi="宋体" w:eastAsia="宋体" w:cs="宋体"/>
                <w:sz w:val="21"/>
                <w:szCs w:val="24"/>
                <w:highlight w:val="none"/>
                <w:lang w:val="en-US" w:eastAsia="zh-CN"/>
              </w:rPr>
              <w:t xml:space="preserve">2</w:t>
            </w:r>
            <w:r>
              <w:rPr>
                <w:rFonts w:hint="eastAsia" w:ascii="宋体" w:hAnsi="宋体" w:eastAsia="宋体" w:cs="宋体"/>
                <w:sz w:val="21"/>
                <w:szCs w:val="24"/>
                <w:highlight w:val="none"/>
              </w:rPr>
              <w:t xml:space="preserve">.标准制式水车（核定载质量≥</w:t>
            </w:r>
            <w:r>
              <w:rPr>
                <w:rFonts w:hint="eastAsia" w:hAnsi="宋体" w:cs="宋体"/>
                <w:sz w:val="21"/>
                <w:szCs w:val="24"/>
                <w:highlight w:val="none"/>
                <w:lang w:val="en-US" w:eastAsia="zh-CN"/>
              </w:rPr>
              <w:t xml:space="preserve">8</w:t>
            </w:r>
            <w:r>
              <w:rPr>
                <w:rFonts w:hint="eastAsia" w:ascii="宋体" w:hAnsi="宋体" w:eastAsia="宋体" w:cs="宋体"/>
                <w:sz w:val="21"/>
                <w:szCs w:val="24"/>
                <w:highlight w:val="none"/>
              </w:rPr>
              <w:t xml:space="preserve">吨）</w:t>
            </w:r>
            <w:r/>
          </w:p>
        </w:tc>
      </w:tr>
      <w:tr>
        <w:trPr>
          <w:trHeight w:val="556" w:hRule="exact"/>
        </w:trPr>
        <w:tc>
          <w:tcPr>
            <w:tcW w:w="552" w:type="pct"/>
            <w:vAlign w:val="center"/>
            <w:textDirection w:val="lrTb"/>
            <w:noWrap w:val="false"/>
          </w:tcPr>
          <w:p>
            <w:pPr>
              <w:jc w:val="center"/>
              <w:pageBreakBefore w:val="0"/>
              <w:spacing w:line="400" w:lineRule="exact"/>
              <w:rPr>
                <w:rFonts w:hint="eastAsia" w:ascii="宋体" w:hAnsi="宋体" w:eastAsia="宋体" w:cs="Times New Roman"/>
                <w:b/>
                <w:bCs/>
                <w:sz w:val="21"/>
                <w:szCs w:val="24"/>
                <w:highlight w:val="none"/>
                <w:lang w:val="en-US" w:eastAsia="zh-CN"/>
              </w:rPr>
            </w:pPr>
            <w:r>
              <w:rPr>
                <w:rFonts w:hint="eastAsia" w:ascii="宋体" w:hAnsi="宋体" w:eastAsia="宋体" w:cs="Times New Roman"/>
                <w:b/>
                <w:bCs/>
                <w:sz w:val="21"/>
                <w:szCs w:val="24"/>
                <w:highlight w:val="none"/>
                <w:lang w:val="en-US" w:eastAsia="zh-CN"/>
              </w:rPr>
              <w:t xml:space="preserve">2</w:t>
            </w:r>
            <w:r/>
          </w:p>
        </w:tc>
        <w:tc>
          <w:tcPr>
            <w:tcW w:w="1122" w:type="pct"/>
            <w:vAlign w:val="center"/>
            <w:textDirection w:val="lrTb"/>
            <w:noWrap w:val="false"/>
          </w:tcPr>
          <w:p>
            <w:pPr>
              <w:jc w:val="center"/>
              <w:pageBreakBefore w:val="0"/>
              <w:spacing w:line="400" w:lineRule="exact"/>
              <w:rPr>
                <w:rFonts w:hint="eastAsia" w:ascii="宋体" w:hAnsi="宋体" w:eastAsia="宋体" w:cs="Times New Roman"/>
                <w:b/>
                <w:bCs/>
                <w:sz w:val="21"/>
                <w:szCs w:val="24"/>
                <w:highlight w:val="none"/>
              </w:rPr>
            </w:pPr>
            <w:r>
              <w:rPr>
                <w:rFonts w:hint="eastAsia" w:ascii="宋体" w:hAnsi="宋体" w:eastAsia="宋体" w:cs="Times New Roman"/>
                <w:b/>
                <w:bCs/>
                <w:sz w:val="21"/>
                <w:szCs w:val="24"/>
                <w:highlight w:val="none"/>
                <w:lang w:eastAsia="zh-CN"/>
              </w:rPr>
              <w:t xml:space="preserve">二标段</w:t>
            </w:r>
            <w:r/>
          </w:p>
        </w:tc>
        <w:tc>
          <w:tcPr>
            <w:tcW w:w="1318" w:type="pct"/>
            <w:vAlign w:val="center"/>
            <w:textDirection w:val="lrTb"/>
            <w:noWrap w:val="false"/>
          </w:tcPr>
          <w:p>
            <w:pPr>
              <w:jc w:val="center"/>
              <w:pageBreakBefore w:val="0"/>
              <w:spacing w:line="400" w:lineRule="exact"/>
              <w:rPr>
                <w:rFonts w:hint="eastAsia" w:ascii="宋体" w:hAnsi="宋体" w:eastAsia="宋体" w:cs="Times New Roman"/>
                <w:b/>
                <w:bCs/>
                <w:sz w:val="21"/>
                <w:szCs w:val="24"/>
                <w:highlight w:val="none"/>
              </w:rPr>
            </w:pPr>
            <w:r>
              <w:rPr>
                <w:rFonts w:hint="eastAsia" w:ascii="宋体" w:hAnsi="宋体" w:eastAsia="宋体" w:cs="Times New Roman"/>
                <w:b/>
                <w:bCs/>
                <w:sz w:val="21"/>
                <w:szCs w:val="24"/>
                <w:highlight w:val="none"/>
                <w:lang w:val="en-US" w:eastAsia="zh-CN"/>
              </w:rPr>
              <w:t xml:space="preserve">三级</w:t>
            </w:r>
            <w:r/>
          </w:p>
        </w:tc>
        <w:tc>
          <w:tcPr>
            <w:tcW w:w="2006" w:type="pct"/>
            <w:vAlign w:val="center"/>
            <w:vMerge w:val="continue"/>
            <w:textDirection w:val="lrTb"/>
            <w:noWrap w:val="false"/>
          </w:tcPr>
          <w:p>
            <w:pPr>
              <w:jc w:val="left"/>
              <w:pageBreakBefore w:val="0"/>
              <w:spacing w:line="400" w:lineRule="exact"/>
              <w:widowControl/>
              <w:rPr>
                <w:rFonts w:hint="eastAsia" w:ascii="宋体" w:hAnsi="宋体" w:eastAsia="宋体" w:cs="宋体"/>
                <w:sz w:val="21"/>
                <w:szCs w:val="24"/>
                <w:highlight w:val="none"/>
              </w:rPr>
            </w:pPr>
            <w:r>
              <w:rPr>
                <w:rFonts w:hint="eastAsia" w:ascii="宋体" w:hAnsi="宋体" w:eastAsia="宋体" w:cs="宋体"/>
                <w:sz w:val="21"/>
                <w:szCs w:val="24"/>
                <w:highlight w:val="none"/>
              </w:rPr>
            </w:r>
            <w:r/>
          </w:p>
        </w:tc>
      </w:tr>
    </w:tbl>
    <w:p>
      <w:pPr>
        <w:ind w:firstLine="480"/>
        <w:keepLines w:val="0"/>
        <w:keepNext w:val="0"/>
        <w:pageBreakBefore w:val="0"/>
        <w:spacing w:line="360" w:lineRule="auto"/>
        <w:rPr>
          <w:highlight w:val="none"/>
        </w:rPr>
      </w:pPr>
      <w:r>
        <w:rPr>
          <w:rFonts w:hint="eastAsia" w:ascii="宋体" w:hAnsi="宋体" w:eastAsia="宋体" w:cs="宋体"/>
          <w:b/>
          <w:bCs/>
          <w:sz w:val="21"/>
          <w:szCs w:val="21"/>
          <w:highlight w:val="none"/>
        </w:rPr>
        <w:t xml:space="preserve">注：上述机械设备需为自有或租赁，须在机械设备投入计划表（格式见附件）中列明，所有机械设备</w:t>
      </w:r>
      <w:r>
        <w:rPr>
          <w:rFonts w:hint="eastAsia" w:ascii="宋体" w:hAnsi="宋体" w:cs="宋体"/>
          <w:b/>
          <w:bCs/>
          <w:sz w:val="21"/>
          <w:szCs w:val="21"/>
          <w:highlight w:val="none"/>
          <w:lang w:val="en-US" w:eastAsia="zh-CN"/>
        </w:rPr>
        <w:t xml:space="preserve">如是自有的</w:t>
      </w:r>
      <w:r>
        <w:rPr>
          <w:rFonts w:hint="eastAsia" w:ascii="宋体" w:hAnsi="宋体" w:eastAsia="宋体" w:cs="宋体"/>
          <w:b/>
          <w:bCs/>
          <w:sz w:val="21"/>
          <w:szCs w:val="21"/>
          <w:highlight w:val="none"/>
        </w:rPr>
        <w:t xml:space="preserve">需提供购置发票、车辆行驶证和图片等原件扫描件上传至投标文件内，</w:t>
      </w:r>
      <w:r>
        <w:rPr>
          <w:rFonts w:hint="eastAsia" w:ascii="宋体" w:hAnsi="宋体" w:cs="宋体"/>
          <w:b/>
          <w:bCs/>
          <w:sz w:val="21"/>
          <w:szCs w:val="21"/>
          <w:highlight w:val="none"/>
          <w:lang w:val="en-US" w:eastAsia="zh-CN"/>
        </w:rPr>
        <w:t xml:space="preserve">如是租赁的需提供</w:t>
      </w:r>
      <w:r>
        <w:rPr>
          <w:rFonts w:hint="eastAsia" w:ascii="宋体" w:hAnsi="宋体" w:eastAsia="宋体" w:cs="宋体"/>
          <w:b/>
          <w:bCs/>
          <w:sz w:val="21"/>
          <w:szCs w:val="21"/>
          <w:highlight w:val="none"/>
        </w:rPr>
        <w:t xml:space="preserve">租赁协议</w:t>
      </w:r>
      <w:r>
        <w:rPr>
          <w:rFonts w:hint="eastAsia" w:ascii="宋体" w:hAnsi="宋体" w:cs="宋体"/>
          <w:b/>
          <w:bCs/>
          <w:sz w:val="21"/>
          <w:szCs w:val="21"/>
          <w:highlight w:val="none"/>
          <w:lang w:eastAsia="zh-CN"/>
        </w:rPr>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租赁发票、出租方购置发票、</w:t>
      </w:r>
      <w:r>
        <w:rPr>
          <w:rFonts w:hint="eastAsia" w:ascii="宋体" w:hAnsi="宋体" w:eastAsia="宋体" w:cs="宋体"/>
          <w:b/>
          <w:bCs/>
          <w:sz w:val="21"/>
          <w:szCs w:val="21"/>
          <w:highlight w:val="none"/>
        </w:rPr>
        <w:t xml:space="preserve">车辆行驶证和图片等原件扫描件上传至投标文件内</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机械设备如不能满足以上要求视为未响应采购文件要求，做无效标处理。</w:t>
      </w:r>
      <w:r/>
    </w:p>
    <w:p>
      <w:pPr>
        <w:ind w:left="0" w:right="0" w:firstLine="480"/>
        <w:jc w:val="both"/>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shd w:val="nil" w:color="auto"/>
        <w:rPr>
          <w:rFonts w:hint="eastAsia" w:ascii="黑体" w:hAnsi="宋体" w:eastAsia="黑体"/>
          <w:b/>
          <w:bCs/>
          <w:sz w:val="28"/>
          <w:szCs w:val="28"/>
          <w:highlight w:val="none"/>
        </w:rPr>
      </w:pPr>
      <w:r>
        <w:rPr>
          <w:rFonts w:hint="eastAsia" w:ascii="黑体" w:eastAsia="黑体"/>
          <w:bCs/>
          <w:sz w:val="28"/>
          <w:szCs w:val="28"/>
          <w:highlight w:val="none"/>
        </w:rPr>
        <w:br w:type="page" w:clear="all"/>
      </w:r>
      <w:r>
        <w:rPr>
          <w:rFonts w:hint="eastAsia" w:ascii="黑体" w:eastAsia="黑体"/>
          <w:bCs/>
          <w:sz w:val="28"/>
          <w:szCs w:val="28"/>
          <w:highlight w:val="none"/>
        </w:rPr>
      </w:r>
      <w:r/>
    </w:p>
    <w:p>
      <w:pPr>
        <w:jc w:val="center"/>
        <w:spacing w:line="360" w:lineRule="auto"/>
        <w:rPr>
          <w:rFonts w:hint="eastAsia" w:ascii="黑体" w:eastAsia="黑体"/>
          <w:sz w:val="28"/>
          <w:szCs w:val="28"/>
          <w:highlight w:val="none"/>
        </w:rPr>
      </w:pPr>
      <w:r>
        <w:rPr>
          <w:rFonts w:hint="eastAsia" w:ascii="黑体" w:eastAsia="黑体"/>
          <w:bCs/>
          <w:sz w:val="28"/>
          <w:szCs w:val="28"/>
          <w:highlight w:val="none"/>
        </w:rPr>
        <w:t xml:space="preserve">四． 合同书（格式文本）</w:t>
      </w:r>
      <w:r/>
    </w:p>
    <w:p>
      <w:pPr>
        <w:ind w:left="0" w:firstLine="480"/>
        <w:jc w:val="center"/>
        <w:keepLines w:val="0"/>
        <w:keepNext/>
        <w:pageBreakBefore w:val="0"/>
        <w:spacing w:line="360" w:lineRule="auto"/>
        <w:widowControl/>
        <w:tabs>
          <w:tab w:val="left" w:pos="720" w:leader="none"/>
        </w:tabs>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一、合同协议书</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rPr>
        <w:t xml:space="preserve">（以下简称“甲方”）</w:t>
      </w:r>
      <w:r/>
    </w:p>
    <w:p>
      <w:pPr>
        <w:jc w:val="left"/>
        <w:keepLines w:val="0"/>
        <w:keepNext w:val="0"/>
        <w:pageBreakBefore w:val="0"/>
        <w:spacing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承包人：________________（以下简称“乙方”）</w:t>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根据《中华人民共和国</w:t>
      </w:r>
      <w:r>
        <w:rPr>
          <w:rFonts w:hint="eastAsia" w:ascii="宋体" w:hAnsi="宋体" w:eastAsia="宋体" w:cs="宋体"/>
          <w:sz w:val="24"/>
          <w:szCs w:val="24"/>
          <w:highlight w:val="none"/>
          <w:shd w:val="clear" w:color="auto" w:fill="ffffff"/>
          <w:lang w:eastAsia="zh-CN"/>
        </w:rPr>
        <w:t xml:space="preserve">民法典</w:t>
      </w:r>
      <w:r>
        <w:rPr>
          <w:rFonts w:hint="eastAsia" w:ascii="宋体" w:hAnsi="宋体" w:eastAsia="宋体" w:cs="宋体"/>
          <w:sz w:val="24"/>
          <w:szCs w:val="24"/>
          <w:highlight w:val="none"/>
          <w:shd w:val="clear" w:color="auto" w:fill="ffffff"/>
        </w:rPr>
        <w:t xml:space="preserve">》及其他有关法律、行政法规，遵循平等、自愿、公平的原则，在双方承诺</w:t>
      </w:r>
      <w:r>
        <w:rPr>
          <w:rFonts w:hint="eastAsia" w:ascii="宋体" w:hAnsi="宋体" w:cs="宋体"/>
          <w:sz w:val="24"/>
          <w:szCs w:val="24"/>
          <w:highlight w:val="none"/>
          <w:shd w:val="clear" w:color="auto" w:fill="ffffff"/>
          <w:lang w:val="en-US" w:eastAsia="zh-CN"/>
        </w:rPr>
        <w:t xml:space="preserve">招标</w:t>
      </w:r>
      <w:r>
        <w:rPr>
          <w:rFonts w:hint="eastAsia" w:ascii="宋体" w:hAnsi="宋体" w:eastAsia="宋体" w:cs="宋体"/>
          <w:sz w:val="24"/>
          <w:szCs w:val="24"/>
          <w:highlight w:val="none"/>
          <w:shd w:val="clear" w:color="auto" w:fill="ffffff"/>
          <w:lang w:eastAsia="zh-CN"/>
        </w:rPr>
        <w:t xml:space="preserve">文件</w:t>
      </w:r>
      <w:r>
        <w:rPr>
          <w:rFonts w:hint="eastAsia" w:ascii="宋体" w:hAnsi="宋体" w:eastAsia="宋体" w:cs="宋体"/>
          <w:sz w:val="24"/>
          <w:szCs w:val="24"/>
          <w:highlight w:val="none"/>
          <w:shd w:val="clear" w:color="auto" w:fill="ffffff"/>
        </w:rPr>
        <w:t xml:space="preserve">全部内容</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含招标补充文件</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和被认定的投标文件</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及补充说明</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全部内容的基础上，协商一致，订立本合同</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shd w:val="clear" w:color="auto" w:fill="ffffff"/>
          <w:lang w:val="en-US" w:eastAsia="zh-CN"/>
        </w:rPr>
        <w:t xml:space="preserve">一、</w:t>
      </w:r>
      <w:r>
        <w:rPr>
          <w:rFonts w:hint="eastAsia" w:ascii="宋体" w:hAnsi="宋体" w:eastAsia="宋体" w:cs="宋体"/>
          <w:sz w:val="24"/>
          <w:szCs w:val="24"/>
          <w:highlight w:val="none"/>
          <w:shd w:val="clear" w:color="auto" w:fill="ffffff"/>
        </w:rPr>
        <w:t xml:space="preserve">项目概况</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____________________________</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采购内容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_____________________________</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承包范围：_______________________________________</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承包期：_______年____月____日起至______年____月____日，为______个月，养护总历时天数：____天</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四、承包方式</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本项目由乙方包工、包料、包质量、包安全、包文明施工的方式实施总承包，乙方应对全部养护工程负责，中标以后不得分包、转包。如</w:t>
      </w:r>
      <w:r>
        <w:rPr>
          <w:rFonts w:hint="eastAsia" w:ascii="宋体" w:hAnsi="宋体" w:cs="宋体"/>
          <w:sz w:val="24"/>
          <w:szCs w:val="24"/>
          <w:highlight w:val="none"/>
          <w:lang w:eastAsia="zh-CN"/>
        </w:rPr>
        <w:t xml:space="preserve">一经</w:t>
      </w:r>
      <w:r>
        <w:rPr>
          <w:rFonts w:hint="eastAsia" w:ascii="宋体" w:hAnsi="宋体" w:eastAsia="宋体" w:cs="宋体"/>
          <w:sz w:val="24"/>
          <w:szCs w:val="24"/>
          <w:highlight w:val="none"/>
        </w:rPr>
        <w:t xml:space="preserve">发现上述行为，甲方单位有权立即终止综合养护工程承包合同，由此</w:t>
      </w:r>
      <w:r>
        <w:rPr>
          <w:rFonts w:hint="eastAsia" w:ascii="宋体" w:hAnsi="宋体" w:cs="宋体"/>
          <w:sz w:val="24"/>
          <w:szCs w:val="24"/>
          <w:highlight w:val="none"/>
          <w:lang w:eastAsia="zh-CN"/>
        </w:rPr>
        <w:t xml:space="preserve">产生的</w:t>
      </w:r>
      <w:r>
        <w:rPr>
          <w:rFonts w:hint="eastAsia" w:ascii="宋体" w:hAnsi="宋体" w:eastAsia="宋体" w:cs="宋体"/>
          <w:sz w:val="24"/>
          <w:szCs w:val="24"/>
          <w:highlight w:val="none"/>
        </w:rPr>
        <w:t xml:space="preserve">一切法律责任和经济损失均由乙方承担。</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五、养护质量标准</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本项目养护质量标准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六、合同价款</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金   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rPr>
        <w:t xml:space="preserve">大写</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人民币</w:t>
      </w:r>
      <w:r>
        <w:rPr>
          <w:rFonts w:hint="eastAsia" w:ascii="宋体" w:hAnsi="宋体" w:cs="宋体"/>
          <w:sz w:val="24"/>
          <w:szCs w:val="24"/>
          <w:highlight w:val="none"/>
          <w:u w:val="single"/>
          <w:lang w:eastAsia="zh-CN"/>
        </w:rPr>
        <w:t xml:space="preserve">）</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七、付款方式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八、本合同双方约定甲乙双方签字盖章</w:t>
      </w:r>
      <w:r>
        <w:rPr>
          <w:rFonts w:hint="eastAsia" w:ascii="宋体" w:hAnsi="宋体" w:cs="宋体"/>
          <w:sz w:val="24"/>
          <w:szCs w:val="24"/>
          <w:highlight w:val="none"/>
          <w:lang w:val="en-US" w:eastAsia="zh-CN"/>
        </w:rPr>
        <w:t xml:space="preserve">并经见证</w:t>
      </w:r>
      <w:r>
        <w:rPr>
          <w:rFonts w:hint="eastAsia" w:ascii="宋体" w:hAnsi="宋体" w:eastAsia="宋体" w:cs="宋体"/>
          <w:sz w:val="24"/>
          <w:szCs w:val="24"/>
          <w:highlight w:val="none"/>
        </w:rPr>
        <w:t xml:space="preserve">后生效。</w:t>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盖章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承包人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盖章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                </w:t>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派驻现场代表：                               派驻现场代表：             </w:t>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电  话：                   </w:t>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地   址：                  </w:t>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年    月    日     </w:t>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见证方：（盖章） </w:t>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见证人：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p>
    <w:p>
      <w:pPr>
        <w:ind w:left="0" w:right="0" w:firstLine="480"/>
        <w:jc w:val="both"/>
        <w:keepLines w:val="0"/>
        <w:keepNext w:val="0"/>
        <w:pageBreakBefore w:val="0"/>
        <w:spacing w:beforeAutospacing="0" w:afterAutospacing="0" w:line="240" w:lineRule="auto"/>
        <w:widowControl w:val="off"/>
        <w:rPr>
          <w:rFonts w:hint="eastAsia"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rPr>
        <w:t xml:space="preserve">★</w:t>
      </w:r>
      <w:r>
        <w:rPr>
          <w:rFonts w:hint="eastAsia" w:ascii="宋体" w:hAnsi="宋体" w:eastAsia="宋体" w:cs="宋体"/>
          <w:b/>
          <w:bCs/>
          <w:sz w:val="24"/>
          <w:szCs w:val="24"/>
          <w:highlight w:val="none"/>
        </w:rPr>
        <w:t xml:space="preserve">备注：</w:t>
      </w:r>
      <w:r>
        <w:rPr>
          <w:rFonts w:hint="eastAsia" w:ascii="宋体" w:hAnsi="宋体" w:eastAsia="宋体" w:cs="宋体"/>
          <w:bCs/>
          <w:sz w:val="24"/>
          <w:szCs w:val="24"/>
          <w:highlight w:val="none"/>
        </w:rPr>
        <w:t xml:space="preserve">供需双方必须以本格式文本拟订合同。</w:t>
      </w:r>
      <w:r/>
    </w:p>
    <w:p>
      <w:pPr>
        <w:ind w:left="0" w:right="0"/>
        <w:jc w:val="both"/>
        <w:keepLines w:val="0"/>
        <w:keepNext w:val="0"/>
        <w:spacing w:before="0" w:beforeAutospacing="0" w:after="0" w:afterAutospacing="0" w:line="360" w:lineRule="auto"/>
        <w:widowControl w:val="off"/>
        <w:rPr>
          <w:b/>
          <w:bCs/>
          <w:sz w:val="24"/>
          <w:szCs w:val="24"/>
          <w:highlight w:val="none"/>
          <w:lang w:val="en-US"/>
        </w:rPr>
        <w:suppressLineNumbers w:val="0"/>
      </w:pPr>
      <w:r>
        <w:rPr>
          <w:b/>
          <w:bCs/>
          <w:sz w:val="24"/>
          <w:szCs w:val="24"/>
          <w:highlight w:val="none"/>
          <w:lang w:val="en-US"/>
        </w:rPr>
      </w:r>
      <w:r/>
    </w:p>
    <w:p>
      <w:pPr>
        <w:rPr>
          <w:rFonts w:hint="eastAsia" w:ascii="Times New Roman" w:hAnsi="Times New Roman" w:eastAsia="宋体" w:cs="宋体"/>
          <w:b/>
          <w:bCs/>
          <w:sz w:val="24"/>
          <w:szCs w:val="24"/>
          <w:highlight w:val="none"/>
          <w:lang w:val="en-US" w:eastAsia="zh-CN" w:bidi="ar"/>
        </w:rPr>
      </w:pPr>
      <w:r>
        <w:rPr>
          <w:rFonts w:hint="eastAsia" w:ascii="Times New Roman" w:hAnsi="Times New Roman" w:eastAsia="宋体" w:cs="宋体"/>
          <w:b/>
          <w:bCs/>
          <w:sz w:val="24"/>
          <w:szCs w:val="24"/>
          <w:highlight w:val="none"/>
          <w:lang w:val="en-US" w:eastAsia="zh-CN" w:bidi="ar"/>
        </w:rPr>
        <w:br w:type="page" w:clear="all"/>
      </w:r>
      <w:r/>
    </w:p>
    <w:p>
      <w:pPr>
        <w:ind w:left="0" w:right="0"/>
        <w:jc w:val="center"/>
        <w:keepLines w:val="0"/>
        <w:keepNext w:val="0"/>
        <w:pageBreakBefore w:val="0"/>
        <w:spacing w:before="0" w:beforeAutospacing="0" w:after="0" w:afterAutospacing="0" w:line="360" w:lineRule="auto"/>
        <w:widowControl w:val="off"/>
        <w:rPr>
          <w:rFonts w:hint="eastAsia" w:ascii="黑体" w:hAnsi="黑体" w:eastAsia="黑体"/>
          <w:bCs/>
          <w:color w:val="000000"/>
          <w:sz w:val="28"/>
          <w:szCs w:val="28"/>
          <w:highlight w:val="none"/>
        </w:rPr>
        <w:suppressLineNumbers w:val="0"/>
      </w:pPr>
      <w:r>
        <w:rPr>
          <w:rFonts w:hint="eastAsia" w:ascii="宋体" w:hAnsi="宋体" w:eastAsia="宋体" w:cs="宋体"/>
          <w:b/>
          <w:bCs/>
          <w:sz w:val="24"/>
          <w:szCs w:val="24"/>
          <w:highlight w:val="none"/>
          <w:lang w:val="en-US" w:eastAsia="zh-CN" w:bidi="ar-SA"/>
        </w:rPr>
        <w:t xml:space="preserve">二、合同条款</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 甲方代表</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甲方指派</w:t>
      </w:r>
      <w:r>
        <w:rPr>
          <w:rFonts w:hint="eastAsia" w:ascii="宋体" w:hAnsi="宋体" w:eastAsia="宋体" w:cs="Times New Roman"/>
          <w:sz w:val="21"/>
          <w:szCs w:val="24"/>
          <w:highlight w:val="none"/>
          <w:u w:val="single"/>
        </w:rPr>
        <w:t xml:space="preserve">        </w:t>
      </w:r>
      <w:r>
        <w:rPr>
          <w:rFonts w:hint="eastAsia" w:ascii="宋体" w:hAnsi="宋体" w:eastAsia="宋体" w:cs="Times New Roman"/>
          <w:sz w:val="21"/>
          <w:szCs w:val="24"/>
          <w:highlight w:val="none"/>
        </w:rPr>
        <w:t xml:space="preserve">为派驻现场代表，全面负责日常养护作业的管理工作。</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 乙方代表</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2.1 乙方指派_________为绿地养护项目经理，具体负责本养护标段作业工作，同时成立</w:t>
      </w:r>
      <w:r>
        <w:rPr>
          <w:rFonts w:hint="eastAsia" w:ascii="宋体" w:hAnsi="宋体" w:eastAsia="宋体" w:cs="Times New Roman"/>
          <w:b/>
          <w:bCs/>
          <w:sz w:val="21"/>
          <w:szCs w:val="24"/>
          <w:highlight w:val="none"/>
        </w:rPr>
        <w:t xml:space="preserve">绿化养护项目部，</w:t>
      </w:r>
      <w:r>
        <w:rPr>
          <w:rFonts w:hint="eastAsia" w:ascii="宋体" w:hAnsi="宋体" w:eastAsia="宋体" w:cs="Times New Roman"/>
          <w:sz w:val="21"/>
          <w:szCs w:val="24"/>
          <w:highlight w:val="none"/>
        </w:rPr>
        <w:t xml:space="preserve">并用书面材料报甲方备案。项目经理须遵守《绿化养护项目部管理条例》，在甲方指定场所集中办公。</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2.2 项目经理具有</w:t>
      </w:r>
      <w:r>
        <w:rPr>
          <w:rFonts w:hint="eastAsia" w:ascii="宋体" w:hAnsi="宋体" w:cs="Times New Roman"/>
          <w:sz w:val="21"/>
          <w:szCs w:val="24"/>
          <w:highlight w:val="none"/>
          <w:u w:val="single"/>
          <w:lang w:val="en-US" w:eastAsia="zh-CN"/>
        </w:rPr>
        <w:t xml:space="preserve">                    </w:t>
      </w:r>
      <w:r>
        <w:rPr>
          <w:rFonts w:hint="eastAsia" w:ascii="宋体" w:hAnsi="宋体" w:eastAsia="宋体" w:cs="Times New Roman"/>
          <w:sz w:val="21"/>
          <w:szCs w:val="24"/>
          <w:highlight w:val="none"/>
        </w:rPr>
        <w:t xml:space="preserve">证书。</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2.3 项目经理等有关人员必须按时参加由甲方召开的养护例会和各种必须参加的会议。</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2.4 乙方如需更换项目经理，应至少提前1月将新任项目经理简历和申请书以书面形式递交甲方，并经甲方审核同意并试用1个月合格后，原项目经理方可离任。后任继续行使合同文件约定的前任的职权，履行前任的义务。</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2.5 甲方有权要求乙方更换不称职的项目经理。</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 甲方工作</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3.1 负责向乙方提供中标绿地的有关资料。</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3.2 组织召开养护作业技术交底会。</w:t>
      </w:r>
      <w:r/>
    </w:p>
    <w:p>
      <w:pPr>
        <w:spacing w:line="400" w:lineRule="exact"/>
        <w:rPr>
          <w:rFonts w:hint="eastAsia" w:ascii="宋体" w:hAnsi="宋体" w:eastAsia="宋体" w:cs="Times New Roman"/>
          <w:spacing w:val="-6"/>
          <w:sz w:val="21"/>
          <w:szCs w:val="24"/>
          <w:highlight w:val="none"/>
        </w:rPr>
      </w:pPr>
      <w:r>
        <w:rPr>
          <w:rFonts w:hint="eastAsia" w:ascii="宋体" w:hAnsi="宋体" w:eastAsia="宋体" w:cs="Times New Roman"/>
          <w:spacing w:val="-6"/>
          <w:sz w:val="21"/>
          <w:szCs w:val="24"/>
          <w:highlight w:val="none"/>
        </w:rPr>
        <w:t xml:space="preserve">3.3 负责乙方的日常养护作业的管理和检查，依据《绿化养护考核管理办法》和《绿地养护管理检查考核评分表》对乙方的日常养护工作质量和履约情况进行考核，并按考核结果实行奖惩。</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3.4 甲方每月对乙方的养护质量进行检查考核，按本合同有关条款，支付相应养护经费。</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3.5 如遇突发事件，协调乙方在作业过程中与其他管理部门的关系。</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3.6 甲方应</w:t>
      </w:r>
      <w:r>
        <w:rPr>
          <w:rFonts w:hint="eastAsia" w:ascii="宋体" w:hAnsi="宋体" w:cs="Times New Roman"/>
          <w:sz w:val="21"/>
          <w:szCs w:val="24"/>
          <w:highlight w:val="none"/>
          <w:lang w:eastAsia="zh-CN"/>
        </w:rPr>
        <w:t xml:space="preserve">做</w:t>
      </w:r>
      <w:r>
        <w:rPr>
          <w:rFonts w:hint="eastAsia" w:ascii="宋体" w:hAnsi="宋体" w:eastAsia="宋体" w:cs="Times New Roman"/>
          <w:sz w:val="21"/>
          <w:szCs w:val="24"/>
          <w:highlight w:val="none"/>
        </w:rPr>
        <w:t xml:space="preserve">的其他工作，双方在补充条款内约定。</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 乙方工作</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4.1 根据甲方养护工作计划，乙方承担日常养护内容有</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u w:val="single"/>
        </w:rPr>
        <w:t xml:space="preserve"> 详见《绿化养护考核管理办法》</w:t>
      </w:r>
      <w:r>
        <w:rPr>
          <w:rFonts w:hint="eastAsia" w:ascii="宋体" w:hAnsi="宋体" w:eastAsia="宋体" w:cs="Times New Roman"/>
          <w:sz w:val="21"/>
          <w:szCs w:val="24"/>
          <w:highlight w:val="none"/>
        </w:rPr>
        <w:t xml:space="preserve">。</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4.2 做好统计报表，并按时做好月、季、年度上报养护工作完成情况表，按甲方要求及时上报。</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4.3 应按甲方提出的对各种管理的要求落实保护措施。</w:t>
      </w:r>
      <w:r/>
    </w:p>
    <w:p>
      <w:pPr>
        <w:spacing w:line="400" w:lineRule="exact"/>
        <w:rPr>
          <w:rFonts w:hint="eastAsia" w:ascii="宋体" w:hAnsi="宋体" w:eastAsia="宋体" w:cs="Times New Roman"/>
          <w:spacing w:val="-4"/>
          <w:sz w:val="21"/>
          <w:szCs w:val="24"/>
          <w:highlight w:val="none"/>
        </w:rPr>
      </w:pPr>
      <w:r>
        <w:rPr>
          <w:rFonts w:hint="eastAsia" w:ascii="宋体" w:hAnsi="宋体" w:eastAsia="宋体" w:cs="Times New Roman"/>
          <w:spacing w:val="-4"/>
          <w:sz w:val="21"/>
          <w:szCs w:val="24"/>
          <w:highlight w:val="none"/>
        </w:rPr>
        <w:t xml:space="preserve">4.4 建立巡视报告制，每天有专人进行对绿化等设施的巡视，并做好每日</w:t>
      </w:r>
      <w:r>
        <w:rPr>
          <w:rFonts w:hint="eastAsia" w:ascii="宋体" w:hAnsi="宋体" w:cs="Times New Roman"/>
          <w:spacing w:val="-4"/>
          <w:sz w:val="21"/>
          <w:szCs w:val="24"/>
          <w:highlight w:val="none"/>
          <w:lang w:eastAsia="zh-CN"/>
        </w:rPr>
        <w:t xml:space="preserve">巡视记</w:t>
      </w:r>
      <w:r>
        <w:rPr>
          <w:rFonts w:hint="eastAsia" w:ascii="宋体" w:hAnsi="宋体" w:eastAsia="宋体" w:cs="Times New Roman"/>
          <w:spacing w:val="-4"/>
          <w:sz w:val="21"/>
          <w:szCs w:val="24"/>
          <w:highlight w:val="none"/>
        </w:rPr>
        <w:t xml:space="preserve">录。发现养护范围内公用设施等缺损，在原位置设置明显的安全标志，及时与甲方联系，否则乙方将承担相应责任。</w:t>
      </w:r>
      <w:r/>
    </w:p>
    <w:p>
      <w:pPr>
        <w:spacing w:line="400" w:lineRule="exact"/>
        <w:rPr>
          <w:rFonts w:hint="eastAsia" w:ascii="宋体" w:hAnsi="宋体" w:eastAsia="宋体" w:cs="Times New Roman"/>
          <w:sz w:val="21"/>
          <w:szCs w:val="24"/>
          <w:highlight w:val="none"/>
        </w:rPr>
      </w:pP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1</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巡视中如发现绿化设施损坏，应在24小时内处理完毕，如发现人为造成的绿化设施损坏，必须在24小时内书面报告甲方和所在地监察部门。</w:t>
      </w:r>
      <w:r/>
    </w:p>
    <w:p>
      <w:pPr>
        <w:spacing w:line="400" w:lineRule="exact"/>
        <w:rPr>
          <w:rFonts w:hint="eastAsia" w:ascii="宋体" w:hAnsi="宋体" w:eastAsia="宋体" w:cs="Times New Roman"/>
          <w:sz w:val="21"/>
          <w:szCs w:val="24"/>
          <w:highlight w:val="none"/>
        </w:rPr>
      </w:pP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2</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巡视中发现绿地内有违章搭建</w:t>
      </w:r>
      <w:r>
        <w:rPr>
          <w:rFonts w:hint="eastAsia" w:ascii="宋体" w:hAnsi="宋体" w:cs="Times New Roman"/>
          <w:sz w:val="21"/>
          <w:szCs w:val="24"/>
          <w:highlight w:val="none"/>
          <w:lang w:eastAsia="zh-CN"/>
        </w:rPr>
        <w:t xml:space="preserve">及其他</w:t>
      </w:r>
      <w:r>
        <w:rPr>
          <w:rFonts w:hint="eastAsia" w:ascii="宋体" w:hAnsi="宋体" w:eastAsia="宋体" w:cs="Times New Roman"/>
          <w:sz w:val="21"/>
          <w:szCs w:val="24"/>
          <w:highlight w:val="none"/>
        </w:rPr>
        <w:t xml:space="preserve">破坏绿化等现象，必须当场予以制止，立即报告所在地的监察部门，协助做好有关工作，并将处理结果报告甲方。</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4.5 超出常规养护范围的工作，需提前报甲方审批。</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4.6 及时解决来信、来访，并根据甲方要求及时处理。</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4.7 按时按量完成甲方交办</w:t>
      </w:r>
      <w:r>
        <w:rPr>
          <w:rFonts w:hint="eastAsia" w:ascii="宋体" w:hAnsi="宋体" w:cs="Times New Roman"/>
          <w:sz w:val="21"/>
          <w:szCs w:val="24"/>
          <w:highlight w:val="none"/>
          <w:lang w:eastAsia="zh-CN"/>
        </w:rPr>
        <w:t xml:space="preserve">的其他</w:t>
      </w:r>
      <w:r>
        <w:rPr>
          <w:rFonts w:hint="eastAsia" w:ascii="宋体" w:hAnsi="宋体" w:eastAsia="宋体" w:cs="Times New Roman"/>
          <w:sz w:val="21"/>
          <w:szCs w:val="24"/>
          <w:highlight w:val="none"/>
        </w:rPr>
        <w:t xml:space="preserve">突击性任务和指令性任务。</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4.8 加强法定节假日的正常养护维修工作。</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4.9 乙方应做的其他工作，双方在补充条款内约定。</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4.10 乙方应服从所在地的绿化行政主管部门的行业管理。</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4.11 如有移伐树木、占用绿地事项，乙方应及时负责移伐树木、占用绿地后的绿地修复工作。</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养护组织设计</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5 进度计划</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5.1 乙方在本合同生效后15天内上报全年养护作业计划，并结合季节特点和绿化状况，制定季度、月度养护计划在当季度、月度10天前送交甲方。甲方在7天内予以确认。</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质量与考核</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6 质量标准</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养护维修质量标准参照本项目</w:t>
      </w:r>
      <w:r>
        <w:rPr>
          <w:rFonts w:hint="eastAsia" w:hAnsi="宋体" w:cs="Times New Roman"/>
          <w:sz w:val="21"/>
          <w:szCs w:val="24"/>
          <w:highlight w:val="none"/>
          <w:lang w:val="en-US" w:eastAsia="zh-CN"/>
        </w:rPr>
        <w:t xml:space="preserve">招标</w:t>
      </w:r>
      <w:r>
        <w:rPr>
          <w:rFonts w:hint="eastAsia" w:hAnsi="宋体" w:cs="Times New Roman"/>
          <w:sz w:val="21"/>
          <w:szCs w:val="24"/>
          <w:highlight w:val="none"/>
          <w:lang w:eastAsia="zh-CN"/>
        </w:rPr>
        <w:t xml:space="preserve">文件</w:t>
      </w:r>
      <w:r>
        <w:rPr>
          <w:rFonts w:hint="eastAsia" w:ascii="宋体" w:hAnsi="宋体" w:eastAsia="宋体" w:cs="Times New Roman"/>
          <w:sz w:val="21"/>
          <w:szCs w:val="24"/>
          <w:highlight w:val="none"/>
        </w:rPr>
        <w:t xml:space="preserve">约定的质量标准。因乙方原因养护质量达不到约定的质量标准，乙方承担违约责任。</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7 检查和考核</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7.1 乙方应认真按照本项目</w:t>
      </w:r>
      <w:r>
        <w:rPr>
          <w:rFonts w:hint="eastAsia" w:hAnsi="宋体" w:cs="Times New Roman"/>
          <w:sz w:val="21"/>
          <w:szCs w:val="24"/>
          <w:highlight w:val="none"/>
          <w:lang w:val="en-US" w:eastAsia="zh-CN"/>
        </w:rPr>
        <w:t xml:space="preserve">招标</w:t>
      </w:r>
      <w:r>
        <w:rPr>
          <w:rFonts w:hint="eastAsia" w:hAnsi="宋体" w:cs="Times New Roman"/>
          <w:sz w:val="21"/>
          <w:szCs w:val="24"/>
          <w:highlight w:val="none"/>
          <w:lang w:eastAsia="zh-CN"/>
        </w:rPr>
        <w:t xml:space="preserve">文件</w:t>
      </w:r>
      <w:r>
        <w:rPr>
          <w:rFonts w:hint="eastAsia" w:ascii="宋体" w:hAnsi="宋体" w:eastAsia="宋体" w:cs="Times New Roman"/>
          <w:sz w:val="21"/>
          <w:szCs w:val="24"/>
          <w:highlight w:val="none"/>
        </w:rPr>
        <w:t xml:space="preserve">约定的质量标准进行养护，随时接受甲方的检查和考核，为检查和考核提供便利条件。</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7.2 对于养护质量不符合要求的，甲方先通知整改，乙方在两天内不整改的或整改效果不符合要求的，由甲方派其他队伍整改，费用在乙方养护费中扣除。</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pacing w:val="-8"/>
          <w:sz w:val="21"/>
          <w:szCs w:val="24"/>
          <w:highlight w:val="none"/>
        </w:rPr>
        <w:t xml:space="preserve">7.3检查和考核按</w:t>
      </w:r>
      <w:r>
        <w:rPr>
          <w:rFonts w:hint="eastAsia" w:ascii="宋体" w:hAnsi="宋体" w:eastAsia="宋体" w:cs="Times New Roman"/>
          <w:sz w:val="21"/>
          <w:szCs w:val="24"/>
          <w:highlight w:val="none"/>
        </w:rPr>
        <w:t xml:space="preserve">《绿化养护考核管理办法》</w:t>
      </w:r>
      <w:r>
        <w:rPr>
          <w:rFonts w:hint="eastAsia" w:ascii="宋体" w:hAnsi="宋体" w:eastAsia="宋体" w:cs="Times New Roman"/>
          <w:spacing w:val="-8"/>
          <w:sz w:val="21"/>
          <w:szCs w:val="24"/>
          <w:highlight w:val="none"/>
        </w:rPr>
        <w:t xml:space="preserve">执</w:t>
      </w:r>
      <w:r>
        <w:rPr>
          <w:rFonts w:hint="eastAsia" w:ascii="宋体" w:hAnsi="宋体" w:eastAsia="宋体" w:cs="Times New Roman"/>
          <w:sz w:val="21"/>
          <w:szCs w:val="24"/>
          <w:highlight w:val="none"/>
        </w:rPr>
        <w:t xml:space="preserve">行。</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安全文明施工</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8 安全文明施工与检查</w:t>
      </w:r>
      <w:r/>
    </w:p>
    <w:p>
      <w:pPr>
        <w:spacing w:line="400" w:lineRule="exact"/>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8.1 乙方应做好养护作业管理区内的安全管理工作，并随时接受甲方或行业安全检查人员依法实施的监察检查，采取必要的安全防护措施，消除事故隐患。</w:t>
      </w:r>
      <w:r/>
    </w:p>
    <w:p>
      <w:pPr>
        <w:spacing w:line="400" w:lineRule="exact"/>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8.2 由于乙方管理不善，引起政府职能部门处罚和停工整改，或安全措施不力造成事故的责任和因此发生的费用，由乙方承担。</w:t>
      </w:r>
      <w:r/>
    </w:p>
    <w:p>
      <w:pPr>
        <w:spacing w:line="400" w:lineRule="exact"/>
        <w:rPr>
          <w:rFonts w:hint="eastAsia" w:ascii="宋体" w:hAnsi="宋体" w:eastAsia="宋体" w:cs="Times New Roman"/>
          <w:sz w:val="21"/>
          <w:szCs w:val="24"/>
          <w:highlight w:val="none"/>
        </w:rPr>
      </w:pPr>
      <w:r>
        <w:rPr>
          <w:rFonts w:ascii="宋体" w:hAnsi="宋体" w:eastAsia="宋体" w:cs="Times New Roman"/>
          <w:sz w:val="21"/>
          <w:szCs w:val="24"/>
          <w:highlight w:val="none"/>
        </w:rPr>
        <w:t xml:space="preserve">9</w:t>
      </w:r>
      <w:r>
        <w:rPr>
          <w:rFonts w:hint="eastAsia" w:ascii="宋体" w:hAnsi="宋体" w:eastAsia="宋体" w:cs="Times New Roman"/>
          <w:sz w:val="21"/>
          <w:szCs w:val="24"/>
          <w:highlight w:val="none"/>
        </w:rPr>
        <w:t xml:space="preserve"> 安全防护</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    养护作业人员应做好各项安全防范措施，必须着装上岗操作。</w:t>
      </w:r>
      <w:r/>
    </w:p>
    <w:p>
      <w:pPr>
        <w:spacing w:line="400" w:lineRule="exact"/>
        <w:rPr>
          <w:rFonts w:hint="eastAsia" w:ascii="宋体" w:hAnsi="宋体" w:eastAsia="宋体" w:cs="Times New Roman"/>
          <w:sz w:val="21"/>
          <w:szCs w:val="24"/>
          <w:highlight w:val="none"/>
        </w:rPr>
      </w:pPr>
      <w:r>
        <w:rPr>
          <w:rFonts w:ascii="宋体" w:hAnsi="宋体" w:eastAsia="宋体" w:cs="Times New Roman"/>
          <w:sz w:val="21"/>
          <w:szCs w:val="24"/>
          <w:highlight w:val="none"/>
        </w:rPr>
        <w:t xml:space="preserve">10</w:t>
      </w:r>
      <w:r>
        <w:rPr>
          <w:rFonts w:hint="eastAsia" w:ascii="宋体" w:hAnsi="宋体" w:eastAsia="宋体" w:cs="Times New Roman"/>
          <w:sz w:val="21"/>
          <w:szCs w:val="24"/>
          <w:highlight w:val="none"/>
        </w:rPr>
        <w:t xml:space="preserve"> 事故处理</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    发生重大伤亡及其他安全事故，乙方应按有关规定立即上报有关部门并通知甲方代表，同时按政府有关部门要求处理由事故责任方承担发生的费用。</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合同价款与支付</w:t>
      </w:r>
      <w:r/>
    </w:p>
    <w:p>
      <w:pPr>
        <w:spacing w:line="400" w:lineRule="exact"/>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11</w:t>
      </w:r>
      <w:r>
        <w:rPr>
          <w:rFonts w:hint="eastAsia" w:ascii="宋体" w:hAnsi="宋体" w:eastAsia="宋体" w:cs="Times New Roman"/>
          <w:sz w:val="21"/>
          <w:szCs w:val="21"/>
          <w:highlight w:val="none"/>
        </w:rPr>
        <w:t xml:space="preserve"> 合同价款</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11.1</w:t>
      </w:r>
      <w:r>
        <w:rPr>
          <w:rFonts w:hint="eastAsia" w:ascii="宋体" w:hAnsi="宋体" w:eastAsia="宋体" w:cs="Times New Roman"/>
          <w:sz w:val="21"/>
          <w:szCs w:val="21"/>
          <w:highlight w:val="none"/>
        </w:rPr>
        <w:t xml:space="preserve"> 合同价款由甲、乙双方依据中标通知书中的中标价格在协议书内约定。</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11.2</w:t>
      </w:r>
      <w:r>
        <w:rPr>
          <w:rFonts w:hint="eastAsia" w:ascii="宋体" w:hAnsi="宋体" w:eastAsia="宋体" w:cs="Times New Roman"/>
          <w:sz w:val="21"/>
          <w:szCs w:val="21"/>
          <w:highlight w:val="none"/>
        </w:rPr>
        <w:t xml:space="preserve"> 乙方应向甲方提交月度养护作业统计报表。甲方在接到报表的7天内进行计量与考核，考核结果作为合同价款支付的依据。</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11.3</w:t>
      </w:r>
      <w:r>
        <w:rPr>
          <w:rFonts w:hint="eastAsia" w:ascii="宋体" w:hAnsi="宋体" w:eastAsia="宋体" w:cs="Times New Roman"/>
          <w:sz w:val="21"/>
          <w:szCs w:val="21"/>
          <w:highlight w:val="none"/>
        </w:rPr>
        <w:t xml:space="preserve"> 如实际养护作业量与作业量清单有出入时，乙方按照补充条款约定的时间上报计划变更单，经甲方审核并报有关部门审定后方可在下月养护计划中调整。</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11.4</w:t>
      </w:r>
      <w:r>
        <w:rPr>
          <w:rFonts w:hint="eastAsia" w:ascii="宋体" w:hAnsi="宋体" w:eastAsia="宋体" w:cs="Times New Roman"/>
          <w:sz w:val="21"/>
          <w:szCs w:val="21"/>
          <w:highlight w:val="none"/>
        </w:rPr>
        <w:t xml:space="preserve"> 对乙方超出养护范围和因乙方原因造成返工的工作量，甲方不予计量。</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12</w:t>
      </w:r>
      <w:r>
        <w:rPr>
          <w:rFonts w:hint="eastAsia" w:ascii="宋体" w:hAnsi="宋体" w:eastAsia="宋体" w:cs="Times New Roman"/>
          <w:sz w:val="21"/>
          <w:szCs w:val="21"/>
          <w:highlight w:val="none"/>
        </w:rPr>
        <w:t xml:space="preserve"> 合同价款支付</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12.1</w:t>
      </w:r>
      <w:r>
        <w:rPr>
          <w:rFonts w:hint="eastAsia" w:ascii="宋体" w:hAnsi="宋体" w:eastAsia="宋体" w:cs="Times New Roman"/>
          <w:sz w:val="21"/>
          <w:szCs w:val="21"/>
          <w:highlight w:val="none"/>
        </w:rPr>
        <w:t xml:space="preserve"> 甲方按计量与考核结果，按新吴区有关规定支付进度款。</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12.2</w:t>
      </w:r>
      <w:r>
        <w:rPr>
          <w:rFonts w:hint="eastAsia" w:ascii="宋体" w:hAnsi="宋体" w:eastAsia="宋体" w:cs="Times New Roman"/>
          <w:sz w:val="21"/>
          <w:szCs w:val="21"/>
          <w:highlight w:val="none"/>
        </w:rPr>
        <w:t xml:space="preserve"> 余额决算审计后1年内结清。</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违约和争议</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 违约</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13.1 甲方代表不能及时给出必要指令、确认、批准，不能按合同约定履行自己的各项义务</w:t>
      </w:r>
      <w:r>
        <w:rPr>
          <w:rFonts w:hint="eastAsia" w:ascii="宋体" w:hAnsi="宋体" w:cs="Times New Roman"/>
          <w:sz w:val="21"/>
          <w:szCs w:val="24"/>
          <w:highlight w:val="none"/>
          <w:lang w:eastAsia="zh-CN"/>
        </w:rPr>
        <w:t xml:space="preserve">，以及</w:t>
      </w:r>
      <w:r>
        <w:rPr>
          <w:rFonts w:hint="eastAsia" w:ascii="宋体" w:hAnsi="宋体" w:eastAsia="宋体" w:cs="Times New Roman"/>
          <w:sz w:val="21"/>
          <w:szCs w:val="24"/>
          <w:highlight w:val="none"/>
        </w:rPr>
        <w:t xml:space="preserve">发生其它使合同无法履行的行为，应承担违约责任</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包括支付违约导致乙方增加经济支出和从应支付之日起计算的应支付款项的利息</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，相应顺延工期；按协议条款约定支付违约金和赔偿因违约给乙方造成的窝工等损失。</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13.2 乙方不能达到所承诺的养护质量和有关技术规范标准，乙方按协议条款支付违约金，赔偿因违约给甲方造成的损失。</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13.3 因一方违约使合同不能履行，另一方欲终止或解除全部合同，应提前10天通知违约方后，方可终止或解除合同，由违约方承担违约责任。</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14 争议</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14.1 甲乙双方因合同发生争议，可由甲乙双方协商、调解、向有管辖权的经济合同仲裁机关申请仲裁</w:t>
      </w:r>
      <w:r>
        <w:rPr>
          <w:rFonts w:hint="eastAsia" w:ascii="宋体" w:hAnsi="宋体" w:cs="Times New Roman"/>
          <w:sz w:val="21"/>
          <w:szCs w:val="24"/>
          <w:highlight w:val="none"/>
          <w:lang w:eastAsia="zh-CN"/>
        </w:rPr>
        <w:t xml:space="preserve">或</w:t>
      </w:r>
      <w:r>
        <w:rPr>
          <w:rFonts w:hint="eastAsia" w:ascii="宋体" w:hAnsi="宋体" w:eastAsia="宋体" w:cs="Times New Roman"/>
          <w:sz w:val="21"/>
          <w:szCs w:val="24"/>
          <w:highlight w:val="none"/>
        </w:rPr>
        <w:t xml:space="preserve">向有管辖权的人民法院起诉解决。</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14.2 发生争议后，除出现以下情况的，双方都应继续履行合同，保持养护连续性：</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 合同确已无法履行；</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 双方协议停止养护作业；</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 仲裁机关要求停止养护作业；</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 法院要求停止养护作业。</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合同中止</w:t>
      </w:r>
      <w:r/>
    </w:p>
    <w:p>
      <w:pPr>
        <w:spacing w:line="400" w:lineRule="exact"/>
        <w:rPr>
          <w:rFonts w:hint="eastAsia" w:ascii="宋体" w:hAnsi="宋体" w:eastAsia="宋体" w:cs="Times New Roman"/>
          <w:spacing w:val="-6"/>
          <w:sz w:val="21"/>
          <w:szCs w:val="24"/>
          <w:highlight w:val="none"/>
        </w:rPr>
      </w:pPr>
      <w:r>
        <w:rPr>
          <w:rFonts w:hint="eastAsia" w:ascii="宋体" w:hAnsi="宋体" w:eastAsia="宋体" w:cs="Times New Roman"/>
          <w:spacing w:val="-6"/>
          <w:sz w:val="21"/>
          <w:szCs w:val="24"/>
          <w:highlight w:val="none"/>
        </w:rPr>
        <w:t xml:space="preserve">15.1 承包范围内的养护管理项目，乙方不得采取任何形式实施分包和转包，凡违反此规定的，甲方将立即取消乙方的承包资格，中止养护承包合同的履行，由此产生的一切法律责任和经济损失由乙方承担；</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15.2 乙方在本合同订立之日起三个月内，作为试用期；经甲方考核，达不到质量和技术标准的，甲方有权终止合同。因试用不合格，试用期内养护费按合同价的月平均价的50%付给。</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其  他</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16.1 在本合同执行过程中如遇和国家政策、地方法规的有关规定不符时，按有关政策法规执行。</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16.2 如遇自然灾害和不可抗力造成损失的，经双方协商解决。</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16.3 本合同如有未尽事宜，双方可通过协商补充协议解决。</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合同生效与终止</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    双方在合同协议书中约定合同生效方式。双方履行合同全部义务，合同价款支付完毕后，本合同即告终止。</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合同份数</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17.1 本合同一式五份，具有同等效力。由甲方、乙方各执二份，见证方一份。</w:t>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宋体"/>
          <w:b/>
          <w:bCs/>
          <w:sz w:val="13"/>
          <w:szCs w:val="24"/>
          <w:highlight w:val="none"/>
          <w:lang w:val="en-US" w:eastAsia="zh-CN" w:bidi="ar-SA"/>
        </w:rPr>
        <w:outlineLvl w:val="3"/>
      </w:pPr>
      <w:r>
        <w:rPr>
          <w:rFonts w:hint="eastAsia" w:ascii="宋体" w:hAnsi="宋体" w:eastAsia="宋体" w:cs="宋体"/>
          <w:b/>
          <w:bCs/>
          <w:sz w:val="13"/>
          <w:szCs w:val="24"/>
          <w:highlight w:val="none"/>
          <w:lang w:val="en-US" w:eastAsia="zh-CN" w:bidi="ar-SA"/>
        </w:rPr>
      </w:r>
      <w:r/>
    </w:p>
    <w:p>
      <w:pPr>
        <w:spacing w:line="24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Times New Roman"/>
          <w:b/>
          <w:bCs/>
          <w:sz w:val="13"/>
          <w:szCs w:val="24"/>
          <w:highlight w:val="none"/>
          <w:lang w:val="en-US" w:eastAsia="zh-CN" w:bidi="ar-SA"/>
        </w:rPr>
        <w:outlineLvl w:val="3"/>
      </w:pPr>
      <w:r>
        <w:rPr>
          <w:rFonts w:hint="eastAsia" w:ascii="宋体" w:hAnsi="宋体" w:eastAsia="宋体" w:cs="Times New Roman"/>
          <w:b/>
          <w:bCs/>
          <w:sz w:val="13"/>
          <w:szCs w:val="24"/>
          <w:highlight w:val="none"/>
          <w:lang w:val="en-US" w:eastAsia="zh-CN" w:bidi="ar-SA"/>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宋体"/>
          <w:b/>
          <w:bCs/>
          <w:sz w:val="13"/>
          <w:szCs w:val="24"/>
          <w:highlight w:val="none"/>
          <w:lang w:val="en-US" w:eastAsia="zh-CN" w:bidi="ar-SA"/>
        </w:rPr>
        <w:outlineLvl w:val="3"/>
      </w:pPr>
      <w:r>
        <w:rPr>
          <w:rFonts w:hint="eastAsia" w:ascii="宋体" w:hAnsi="宋体" w:eastAsia="宋体" w:cs="宋体"/>
          <w:b/>
          <w:bCs/>
          <w:sz w:val="13"/>
          <w:szCs w:val="24"/>
          <w:highlight w:val="none"/>
          <w:lang w:val="en-US" w:eastAsia="zh-CN" w:bidi="ar-SA"/>
        </w:rPr>
      </w:r>
      <w:r/>
    </w:p>
    <w:p>
      <w:pPr>
        <w:spacing w:line="24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Times New Roman"/>
          <w:b/>
          <w:bCs/>
          <w:sz w:val="13"/>
          <w:szCs w:val="24"/>
          <w:highlight w:val="none"/>
          <w:lang w:val="en-US" w:eastAsia="zh-CN" w:bidi="ar-SA"/>
        </w:rPr>
        <w:outlineLvl w:val="3"/>
      </w:pPr>
      <w:r>
        <w:rPr>
          <w:rFonts w:hint="eastAsia" w:ascii="宋体" w:hAnsi="宋体" w:eastAsia="宋体" w:cs="Times New Roman"/>
          <w:b/>
          <w:bCs/>
          <w:sz w:val="13"/>
          <w:szCs w:val="24"/>
          <w:highlight w:val="none"/>
          <w:lang w:val="en-US" w:eastAsia="zh-CN" w:bidi="ar-SA"/>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left"/>
        <w:spacing w:line="270" w:lineRule="atLeast"/>
        <w:shd w:val="clear" w:color="auto" w:fill="ffffff"/>
        <w:widowControl/>
        <w:rPr>
          <w:rFonts w:hint="eastAsia" w:ascii="宋体" w:hAnsi="宋体" w:eastAsia="宋体" w:cs="宋体"/>
          <w:sz w:val="44"/>
          <w:szCs w:val="44"/>
          <w:highlight w:val="none"/>
        </w:rPr>
      </w:pPr>
      <w:r>
        <w:rPr>
          <w:rFonts w:ascii="宋体" w:hAnsi="宋体" w:eastAsia="宋体" w:cs="宋体"/>
          <w:sz w:val="21"/>
          <w:szCs w:val="21"/>
          <w:highlight w:val="none"/>
        </w:rPr>
        <w:br w:type="page" w:clear="all"/>
      </w:r>
      <w:r>
        <w:rPr>
          <w:rFonts w:hint="eastAsia" w:ascii="宋体" w:hAnsi="宋体" w:eastAsia="宋体" w:cs="宋体"/>
          <w:sz w:val="21"/>
          <w:szCs w:val="21"/>
          <w:highlight w:val="none"/>
        </w:rPr>
        <w:t xml:space="preserve">附件1：</w:t>
      </w:r>
      <w:r/>
    </w:p>
    <w:p>
      <w:pPr>
        <w:ind w:left="720" w:hanging="720"/>
        <w:jc w:val="center"/>
        <w:keepNext/>
        <w:spacing w:before="120" w:after="120" w:line="360" w:lineRule="auto"/>
        <w:widowControl/>
        <w:tabs>
          <w:tab w:val="left" w:pos="720"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 绿化养护考核管理办法</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为建立和完善绿化养护长效管理机制，巩固鸿山街道绿化建设成果，不断提高绿化养护管理水平，使公共绿地日常养护得到更加持久有效、合理规范的管理，根据《无锡市城市绿化管理条例》及相关法律、法规，结合我区绿化养护实际情况，制订本办法。</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一、总则</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城市绿化养护管理及考核督查工作由新吴区鸿山街道主管，由鸿山街道城市管理（环卫）科具体负责。检查考核的结果作为对养护承包单位管养质量评定、信用评价、经费发放以及其他奖惩的依据。在每年末</w:t>
      </w:r>
      <w:r>
        <w:rPr>
          <w:rFonts w:hint="eastAsia" w:ascii="宋体" w:hAnsi="宋体" w:cs="Times New Roman"/>
          <w:sz w:val="24"/>
          <w:szCs w:val="24"/>
          <w:highlight w:val="none"/>
          <w:lang w:val="en-US" w:eastAsia="zh-CN"/>
        </w:rPr>
        <w:t xml:space="preserve">尾</w:t>
      </w:r>
      <w:r>
        <w:rPr>
          <w:rFonts w:hint="eastAsia" w:ascii="宋体" w:hAnsi="宋体" w:eastAsia="宋体" w:cs="Times New Roman"/>
          <w:sz w:val="24"/>
          <w:szCs w:val="24"/>
          <w:highlight w:val="none"/>
        </w:rPr>
        <w:t xml:space="preserve">进行考核评比，实行信用评价与经济处罚相结合的奖惩制度。</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二、检查考核机构及职责</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新吴区鸿山街道成立检查考核小组，由鸿山街道城市管理（环卫）科负责具体工作，并在检查考核中做好检查考核评分工作。</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三、考核办法</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实行日常考核、月度考核、季度考核、专项考核、信用评价相结合的办法进行养护考核。考核方式采用评分制，并按年度进行综合考评。</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1、日常考核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鸿山街道城市管理（环卫）科人员对在日常巡查管理中发现的，以及从其他投诉渠道获得的养护单位的违约行为予以记录考核并及时通报整改。</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2、月度考核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由鸿山街道城市管理（环卫）科每月组织对各养护单位当月各项主要工作任务完成情况及养护作业质量进行一次集中抽查考核。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3、季度考核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由鸿山街道城市管理（环卫）科每季度组织对各养护单位所有养护路段作业质量进行一次全面检查考核。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4、专项考核</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养护单位须严格按照《绿化养护年度工作任务及目标要求》，以10天为周期编制具体的养护作业计划。《计划书》需对照每月各项主要工作任务和目标要求，编制落实各项工作的计划作业路段和时间安排，签字盖章并报城管中队审核同意后，城管中队将根据计划时间安排人员对主要工作任务的实施情况进行专项现场跟踪检查。</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5、信用评价</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详见《绿化养护施工企业信用评价实施办法（试行）》。</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6、综合考评</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鸿山街道城市管理（环卫）科根据全年各项考评结果，从养护项目管理体系建设、项目经理履职情况、养护作业质量等方面对各养护单位年度履约情况进行全面综合考评，对各单位绿化养护管理绩效和企业信用进行等级评定，并以书面形式予以通报公示。</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在考核中发现的问题以《整改通知单》形式告知责任单位。《整改通知单》作为考评扣分主要依据，按相应标准进行扣分扣款。原则上要求责任单位在收到通知后24小时内必须完成整改，并将完成情况反馈鸿山街道城市管理（环卫）科，未及时反馈的视作未完成整改。</w:t>
      </w:r>
      <w:r/>
    </w:p>
    <w:p>
      <w:pPr>
        <w:ind w:firstLine="570"/>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z w:val="24"/>
          <w:szCs w:val="24"/>
          <w:highlight w:val="none"/>
        </w:rPr>
        <w:t xml:space="preserve">四、评</w:t>
      </w:r>
      <w:r>
        <w:rPr>
          <w:rFonts w:hint="eastAsia" w:ascii="宋体" w:hAnsi="宋体" w:eastAsia="宋体" w:cs="Times New Roman"/>
          <w:b/>
          <w:spacing w:val="-4"/>
          <w:sz w:val="24"/>
          <w:szCs w:val="24"/>
          <w:highlight w:val="none"/>
        </w:rPr>
        <w:t xml:space="preserve">分等级：</w:t>
      </w:r>
      <w:r/>
    </w:p>
    <w:p>
      <w:pPr>
        <w:ind w:firstLine="570"/>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根据月度综合考评得分结果，对各单位绿化养护管理绩效按优秀、良好、合格、不合格四个等级进行评定。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月度综合考评得分为91分及以上为优秀，86-90分为良好，81-85分为合格，80分及以下为不合格。</w:t>
      </w:r>
      <w:r/>
    </w:p>
    <w:p>
      <w:pPr>
        <w:ind w:firstLine="464"/>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pacing w:val="-4"/>
          <w:sz w:val="24"/>
          <w:szCs w:val="24"/>
          <w:highlight w:val="none"/>
        </w:rPr>
        <w:t xml:space="preserve">五、分值计算</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按百分制计分，满分100分，为求公正公平，采用分类扣分、不同考核项目按比例核算并结合养护面积规模进行综合评定的方法进行评分。</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六、项目经理集中办公制度</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为加强养护队伍管理，提高工作效率，实行项目经理集中办公制度。各养护作业单位中标项目经理必须</w:t>
      </w:r>
      <w:r>
        <w:rPr>
          <w:rFonts w:hint="eastAsia" w:ascii="宋体" w:hAnsi="宋体" w:eastAsia="宋体" w:cs="Times New Roman"/>
          <w:spacing w:val="-4"/>
          <w:sz w:val="24"/>
          <w:szCs w:val="24"/>
          <w:highlight w:val="none"/>
        </w:rPr>
        <w:t xml:space="preserve">专职服务于本项目，</w:t>
      </w:r>
      <w:r>
        <w:rPr>
          <w:rFonts w:hint="eastAsia" w:ascii="宋体" w:hAnsi="宋体" w:eastAsia="宋体" w:cs="Times New Roman"/>
          <w:sz w:val="24"/>
          <w:szCs w:val="24"/>
          <w:highlight w:val="none"/>
        </w:rPr>
        <w:t xml:space="preserve">在鸿山街道城市管理（环卫）科指定地点集中办公，遵守《绿化养护项目部管理条例》，落实好每日巡查工作</w:t>
      </w:r>
      <w:r>
        <w:rPr>
          <w:rFonts w:hint="eastAsia" w:ascii="宋体" w:hAnsi="宋体" w:eastAsia="宋体" w:cs="Times New Roman"/>
          <w:sz w:val="24"/>
          <w:szCs w:val="24"/>
          <w:highlight w:val="none"/>
        </w:rPr>
        <w:t xml:space="preserve">并做好巡查记录，积极执行城管中队各项工作指令。中标项目经理不得随意更换，如确因工作变动需更换项目经理，养护单位应至少提前1个月向鸿山街道城市管理（环卫）科提出申请，并上报符合招标条件的新任项目经理人选，经审核同意并经1个月试用期后方可更换，试用期内原项目经理应做好指导和交接工作且不得离岗。原则上中标后1年内不得提出更换项目经理申请。鸿山街道城市管理（环卫）科根据项目经理的工作表现，有权辞退违纪或无法胜任岗位职责的项目经理，养护单位接到项目经理辞退通知后应于1个月内重新派出符合条件的项目经理，并做好交接工作。</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七、每日巡查制度</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项目经理每日巡查：养护单位应配备专用巡查车辆供中标项目经理工作使用，专用巡查车须统一加装GPS。项目经理须按照《计划书》每日对工作任务情况进行布置和检查，对养护路段按计划进行巡查，并完成工作日志。</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2、城管中队检查人员每日巡查：鸿山街道城市管理（环卫）科派驻项目部的专职管理人员，须根据责任区域划分，做好辖区内养护单位日常管理工作。每日对管辖区域内养护单位的工作任务完成情况进行现场跟踪检查，对养护路段按计划进行巡查，并根据检查情况对项目经理工作日志进行审核。</w:t>
      </w:r>
      <w:r/>
    </w:p>
    <w:p>
      <w:pPr>
        <w:ind w:firstLine="464"/>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pacing w:val="-4"/>
          <w:sz w:val="24"/>
          <w:szCs w:val="24"/>
          <w:highlight w:val="none"/>
        </w:rPr>
        <w:t xml:space="preserve">八、整改反馈制度</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1、相关质量问题</w:t>
      </w:r>
      <w:r>
        <w:rPr>
          <w:rFonts w:hint="eastAsia" w:ascii="宋体" w:hAnsi="宋体" w:eastAsia="宋体" w:cs="Times New Roman"/>
          <w:sz w:val="24"/>
          <w:szCs w:val="24"/>
          <w:highlight w:val="none"/>
        </w:rPr>
        <w:t xml:space="preserve">鸿山街道城市管理（环卫）科</w:t>
      </w:r>
      <w:r>
        <w:rPr>
          <w:rFonts w:hint="eastAsia" w:ascii="宋体" w:hAnsi="宋体" w:eastAsia="宋体" w:cs="Times New Roman"/>
          <w:spacing w:val="-4"/>
          <w:sz w:val="24"/>
          <w:szCs w:val="24"/>
          <w:highlight w:val="none"/>
        </w:rPr>
        <w:t xml:space="preserve">原则上于24小时内通知到责任养护单位。</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2、现场检查发现的问题，属作业规范、保洁工作的，养护单位应在24小时内整改到位；如因季节性原因或其他特殊原因确实无法短期内完成的，由养护单位向城管中队申报整改计划，经批准后可将《整改通知单》变更为《限期整改通知单》。鸿山街道城市管理（环卫）科将对所有整改工作进行复查，如果整改工作不力按规从重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3、为确保工作的有效性，在检查考核中将把是否及时落实整改作为考核的一项重点。对同一地点、同一类型问题，每连续发现一次加扣一倍原扣分值，以此类推。</w:t>
      </w:r>
      <w:r/>
    </w:p>
    <w:p>
      <w:pPr>
        <w:ind w:firstLine="456"/>
        <w:spacing w:line="400" w:lineRule="exact"/>
        <w:rPr>
          <w:rFonts w:hint="eastAsia" w:ascii="宋体" w:hAnsi="宋体" w:eastAsia="宋体" w:cs="Times New Roman"/>
          <w:b/>
          <w:spacing w:val="-6"/>
          <w:sz w:val="24"/>
          <w:szCs w:val="24"/>
          <w:highlight w:val="none"/>
        </w:rPr>
      </w:pPr>
      <w:r>
        <w:rPr>
          <w:rFonts w:hint="eastAsia" w:ascii="宋体" w:hAnsi="宋体" w:eastAsia="宋体" w:cs="Times New Roman"/>
          <w:b/>
          <w:spacing w:val="-6"/>
          <w:sz w:val="24"/>
          <w:szCs w:val="24"/>
          <w:highlight w:val="none"/>
        </w:rPr>
        <w:t xml:space="preserve">九、养护工作例会制度</w:t>
      </w:r>
      <w:r/>
    </w:p>
    <w:p>
      <w:pPr>
        <w:ind w:firstLine="456"/>
        <w:spacing w:line="400" w:lineRule="exact"/>
        <w:rPr>
          <w:rFonts w:hint="eastAsia"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原则上每周五下午3：00召开养护工作例会，由城管中队通报本周日常考核情况，对本周工作进行总结点评，部署下周工作；各养护单位相互进行学习交流，对遇到的养护难点共同研讨。因故未召开例会，各养护单位应按</w:t>
      </w:r>
      <w:r>
        <w:rPr>
          <w:rFonts w:hint="eastAsia" w:ascii="宋体" w:hAnsi="宋体" w:eastAsia="宋体" w:cs="Times New Roman"/>
          <w:sz w:val="24"/>
          <w:szCs w:val="24"/>
          <w:highlight w:val="none"/>
        </w:rPr>
        <w:t xml:space="preserve">《绿化养护年度工作任务及目标要求》和各自工作计划正常落实养护工作。</w:t>
      </w:r>
      <w:r/>
    </w:p>
    <w:p>
      <w:pPr>
        <w:ind w:firstLine="456"/>
        <w:spacing w:line="400" w:lineRule="exact"/>
        <w:rPr>
          <w:rFonts w:hint="eastAsia" w:ascii="宋体" w:hAnsi="宋体" w:eastAsia="宋体" w:cs="Times New Roman"/>
          <w:b/>
          <w:spacing w:val="-6"/>
          <w:sz w:val="24"/>
          <w:szCs w:val="24"/>
          <w:highlight w:val="none"/>
        </w:rPr>
      </w:pPr>
      <w:r>
        <w:rPr>
          <w:rFonts w:hint="eastAsia" w:ascii="宋体" w:hAnsi="宋体" w:eastAsia="宋体" w:cs="Times New Roman"/>
          <w:b/>
          <w:spacing w:val="-6"/>
          <w:sz w:val="24"/>
          <w:szCs w:val="24"/>
          <w:highlight w:val="none"/>
        </w:rPr>
        <w:t xml:space="preserve">十、定期业务培训制度</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养护单位应结合养护工作计划，定期对技术骨干和作业工人进行相应的业务培训，努力</w:t>
      </w:r>
      <w:r>
        <w:rPr>
          <w:rFonts w:hint="eastAsia" w:ascii="宋体" w:hAnsi="宋体" w:cs="Times New Roman"/>
          <w:sz w:val="24"/>
          <w:szCs w:val="24"/>
          <w:highlight w:val="none"/>
          <w:lang w:eastAsia="zh-CN"/>
        </w:rPr>
        <w:t xml:space="preserve">增强</w:t>
      </w:r>
      <w:r>
        <w:rPr>
          <w:rFonts w:hint="eastAsia" w:ascii="宋体" w:hAnsi="宋体" w:eastAsia="宋体" w:cs="Times New Roman"/>
          <w:sz w:val="24"/>
          <w:szCs w:val="24"/>
          <w:highlight w:val="none"/>
        </w:rPr>
        <w:t xml:space="preserve">作业人员安全意识、专业素养和技术水平，积极参加市园林局或新吴区组织的集中培训并缴纳相关费用。按招标要求配备的经国家认定的中级和高级绿化工应作为技术骨干在日常养护作业过程中对作业工人进行带班指导。鸿山街道城市管理（环卫）科将对养护单位的培训内容、培训课时、培训成效和绿化工带班指导作业情况进行检查，检查结果列入日常考核。</w:t>
      </w:r>
      <w:r/>
    </w:p>
    <w:p>
      <w:pPr>
        <w:ind w:firstLine="464"/>
        <w:spacing w:line="400" w:lineRule="exact"/>
        <w:rPr>
          <w:rFonts w:hint="eastAsia" w:ascii="宋体" w:hAnsi="宋体" w:eastAsia="宋体" w:cs="Times New Roman"/>
          <w:sz w:val="24"/>
          <w:szCs w:val="24"/>
          <w:highlight w:val="none"/>
        </w:rPr>
      </w:pPr>
      <w:r>
        <w:rPr>
          <w:rFonts w:hint="eastAsia" w:ascii="宋体" w:hAnsi="宋体" w:eastAsia="宋体" w:cs="Times New Roman"/>
          <w:b/>
          <w:spacing w:val="-4"/>
          <w:sz w:val="24"/>
          <w:szCs w:val="24"/>
          <w:highlight w:val="none"/>
        </w:rPr>
        <w:t xml:space="preserve">十一、奖惩措施</w:t>
      </w:r>
      <w:r>
        <w:rPr>
          <w:rFonts w:hint="eastAsia" w:ascii="宋体" w:hAnsi="宋体" w:eastAsia="宋体" w:cs="Times New Roman"/>
          <w:spacing w:val="-4"/>
          <w:sz w:val="24"/>
          <w:szCs w:val="24"/>
          <w:highlight w:val="none"/>
        </w:rPr>
        <w:t xml:space="preserve">（本项与《绿化养护质量考核分类扣款规定</w:t>
      </w:r>
      <w:r>
        <w:rPr>
          <w:rFonts w:hint="eastAsia" w:ascii="宋体" w:hAnsi="宋体" w:eastAsia="宋体" w:cs="Times New Roman"/>
          <w:sz w:val="24"/>
          <w:szCs w:val="24"/>
          <w:highlight w:val="none"/>
        </w:rPr>
        <w:t xml:space="preserve">》</w:t>
      </w:r>
      <w:r>
        <w:rPr>
          <w:rFonts w:hint="eastAsia" w:ascii="宋体" w:hAnsi="宋体" w:eastAsia="宋体" w:cs="Times New Roman"/>
          <w:spacing w:val="-4"/>
          <w:sz w:val="24"/>
          <w:szCs w:val="24"/>
          <w:highlight w:val="none"/>
        </w:rPr>
        <w:t xml:space="preserve">、《</w:t>
      </w:r>
      <w:r>
        <w:rPr>
          <w:rFonts w:hint="eastAsia" w:ascii="宋体" w:hAnsi="宋体" w:eastAsia="宋体" w:cs="Times New Roman"/>
          <w:sz w:val="24"/>
          <w:szCs w:val="24"/>
          <w:highlight w:val="none"/>
        </w:rPr>
        <w:t xml:space="preserve">绿化养护施工企业信用评价实施办法（试行）》同时执行）</w:t>
      </w:r>
      <w:r/>
    </w:p>
    <w:p>
      <w:pPr>
        <w:ind w:firstLine="465"/>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1、养护单位应在中标后15个工作日内应落实好招标</w:t>
      </w:r>
      <w:r>
        <w:rPr>
          <w:rFonts w:hint="eastAsia" w:hAnsi="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中约定的办公场所、作业机械、作业人员等要求，未能及时落实到位的，鸿山街道城市管理（环卫）科有权无条件单方面终止合同，并罚没养护单位的履约保证金。养护单位接鸿山街道城市管理（环卫）科通知后48小时内无条件清退出场，由此造成的经济损失由养护单位承担，原已完成工作量据实按有关规定结算。</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养护单位在防台防汛、抗雪减灾等应急抢险中未能按应急抢险预案落实抢险工作，鸿山街道城市管理（环卫）科有权无条件单方面终止合同，并罚没养护单位的履约保证金。养护单位接鸿山街道城市管理（环卫）科通知后48小时内无条件清退出场，由此造成的经济损失由养护单位承担，原已完成工作量据实按有关规定结算。</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3、养护单位未执行</w:t>
      </w:r>
      <w:r>
        <w:rPr>
          <w:rFonts w:hint="eastAsia" w:ascii="宋体" w:hAnsi="宋体" w:eastAsia="宋体" w:cs="Times New Roman"/>
          <w:sz w:val="24"/>
          <w:szCs w:val="24"/>
          <w:highlight w:val="none"/>
        </w:rPr>
        <w:t xml:space="preserve">《绿化养护年度工作任务及目标要求》或执行不力，除按</w:t>
      </w:r>
      <w:r>
        <w:rPr>
          <w:rFonts w:hint="eastAsia" w:ascii="宋体" w:hAnsi="宋体" w:eastAsia="宋体" w:cs="Times New Roman"/>
          <w:spacing w:val="-4"/>
          <w:sz w:val="24"/>
          <w:szCs w:val="24"/>
          <w:highlight w:val="none"/>
        </w:rPr>
        <w:t xml:space="preserve">《绿化养护质量考核分类扣款规定</w:t>
      </w:r>
      <w:r>
        <w:rPr>
          <w:rFonts w:hint="eastAsia" w:ascii="宋体" w:hAnsi="宋体" w:cs="Times New Roman"/>
          <w:spacing w:val="-4"/>
          <w:sz w:val="24"/>
          <w:szCs w:val="24"/>
          <w:highlight w:val="none"/>
          <w:lang w:eastAsia="zh-CN"/>
        </w:rPr>
        <w:t xml:space="preserve">》《</w:t>
      </w:r>
      <w:r>
        <w:rPr>
          <w:rFonts w:hint="eastAsia" w:ascii="宋体" w:hAnsi="宋体" w:eastAsia="宋体" w:cs="Times New Roman"/>
          <w:sz w:val="24"/>
          <w:szCs w:val="24"/>
          <w:highlight w:val="none"/>
        </w:rPr>
        <w:t xml:space="preserve">绿化养护施工企业信用评价实施办法（试行）》予以相应处罚外，造成恶劣影响或拒不整改的，鸿山街道城市管理（环卫）科有权直接按投标报价的价格组成全部或部分扣除该项工作的养护费用</w:t>
      </w:r>
      <w:r>
        <w:rPr>
          <w:rFonts w:hint="eastAsia" w:ascii="宋体" w:hAnsi="宋体" w:eastAsia="宋体" w:cs="Times New Roman"/>
          <w:spacing w:val="-4"/>
          <w:sz w:val="24"/>
          <w:szCs w:val="24"/>
          <w:highlight w:val="none"/>
        </w:rPr>
        <w:t xml:space="preserve">。</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4、年度综合考评（月平均得分）评定为优秀或良好的单位和项目经理可予以适当奖励，续签中标期内下一年度养护合同；评定为合格的，续签中标期内下一年度养护合同；评定为不合格的，</w:t>
      </w:r>
      <w:r>
        <w:rPr>
          <w:rFonts w:hint="eastAsia" w:ascii="宋体" w:hAnsi="宋体" w:eastAsia="宋体" w:cs="Times New Roman"/>
          <w:sz w:val="24"/>
          <w:szCs w:val="24"/>
          <w:highlight w:val="none"/>
        </w:rPr>
        <w:t xml:space="preserve">鸿山街道城市管理（环卫）科有权</w:t>
      </w:r>
      <w:r>
        <w:rPr>
          <w:rFonts w:hint="eastAsia" w:ascii="宋体" w:hAnsi="宋体" w:eastAsia="宋体" w:cs="Times New Roman"/>
          <w:spacing w:val="-4"/>
          <w:sz w:val="24"/>
          <w:szCs w:val="24"/>
          <w:highlight w:val="none"/>
        </w:rPr>
        <w:t xml:space="preserve">不再续签下一年度养护合同</w:t>
      </w:r>
      <w:r>
        <w:rPr>
          <w:rFonts w:hint="eastAsia" w:ascii="宋体" w:hAnsi="宋体" w:eastAsia="宋体" w:cs="Times New Roman"/>
          <w:sz w:val="24"/>
          <w:szCs w:val="24"/>
          <w:highlight w:val="none"/>
        </w:rPr>
        <w:t xml:space="preserve">，并可罚没养护单位的部分履约保证金。养护单位接鸿山街道城市管理（环卫）科通知后48小时内无条件清退出场，由此造成的经济损失由养护单位承担，原已完成工作量据实按有关规定结算</w:t>
      </w:r>
      <w:r>
        <w:rPr>
          <w:rFonts w:hint="eastAsia" w:ascii="宋体" w:hAnsi="宋体" w:eastAsia="宋体" w:cs="Times New Roman"/>
          <w:spacing w:val="-4"/>
          <w:sz w:val="24"/>
          <w:szCs w:val="24"/>
          <w:highlight w:val="none"/>
        </w:rPr>
        <w:t xml:space="preserve">。</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5、养护单位有义务做好养护范围内绿化资产保护工作，无其他责任人的苗木损失责任均由养护单位承担，除须按规定扣分扣款外，还须重新补植或赔偿损失，补植或赔偿标准不得低于原损失苗木标准。</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6、养护单位有义务完成养护范围内鸿山街道城市管理（环卫）科布置的合同约定范围之外的其他工作任务，相关工作费用另行结算。不按要求完成的，</w:t>
      </w:r>
      <w:r>
        <w:rPr>
          <w:rFonts w:hint="eastAsia" w:ascii="宋体" w:hAnsi="宋体" w:eastAsia="宋体" w:cs="Times New Roman"/>
          <w:sz w:val="24"/>
          <w:szCs w:val="24"/>
          <w:highlight w:val="none"/>
        </w:rPr>
        <w:t xml:space="preserve">参照</w:t>
      </w:r>
      <w:r>
        <w:rPr>
          <w:rFonts w:hint="eastAsia" w:ascii="宋体" w:hAnsi="宋体" w:eastAsia="宋体" w:cs="Times New Roman"/>
          <w:spacing w:val="-4"/>
          <w:sz w:val="24"/>
          <w:szCs w:val="24"/>
          <w:highlight w:val="none"/>
        </w:rPr>
        <w:t xml:space="preserve">《绿化养护质量考核分类扣款规定》工作效率条款进行考核。</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7、被上级领导批评、被媒体曝光及发生其他有损鸿山街道绿化形象的事件，经查属养护公司责任的，按1000元/次处罚，情况严重或影响恶劣的，可按此标准的2-3倍予以从重处罚。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8、养护单位未按要求定期组织业务培训或不参加集中培训的，除须限期重新组织培训外，另按1000元/次处罚，培训纪律参照《绿化养护质量考核分类扣款规定》中工作纪律条款考核；作业现场无专业绿化工带班指导的，按1000元/次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9、鸿山街道绿化灌溉必须使用制式水车作业，用水必须使用鸿山街道高新水务公司提供的再生水，并在指定加水站刷卡取水。鸿山街道城市管理（环卫）科将根据水车GPS轨迹和再生水用水计量系统对水车作业情况进行考核。水车在应作业时间未作业，按1000元/次处罚，未使用再生水、再生水用水量明显不足以及未按要求作业的按500元/次处罚。（适用《绿化养护质量考核分类扣款规定》的，按该《规定》执行。）</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10、养护单位因管理不善或安全措施不力造成安全事故，除按国家规定和</w:t>
      </w:r>
      <w:r>
        <w:rPr>
          <w:rFonts w:hint="eastAsia" w:ascii="宋体" w:hAnsi="宋体" w:eastAsia="宋体" w:cs="Times New Roman"/>
          <w:sz w:val="24"/>
          <w:szCs w:val="24"/>
          <w:highlight w:val="none"/>
        </w:rPr>
        <w:t xml:space="preserve">《绿化养护施工企业信用评价实施办法（试行）》予以相应处罚外，另</w:t>
      </w:r>
      <w:r>
        <w:rPr>
          <w:rFonts w:hint="eastAsia" w:ascii="宋体" w:hAnsi="宋体" w:eastAsia="宋体" w:cs="Times New Roman"/>
          <w:spacing w:val="-4"/>
          <w:sz w:val="24"/>
          <w:szCs w:val="24"/>
          <w:highlight w:val="none"/>
        </w:rPr>
        <w:t xml:space="preserve">按1000元/次处罚，情况严重或影响恶劣的，可按此标准的2-3倍予以从重处罚；虽未发生安全事故但有未按要求进行安全技术交底、配备安全防护设备和工具、施工现场安全措施不到位等情况的，按500元/次处罚。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11、养护单位在完成合同约定责任之外，</w:t>
      </w:r>
      <w:r>
        <w:rPr>
          <w:rFonts w:hint="eastAsia" w:ascii="宋体" w:hAnsi="宋体" w:eastAsia="宋体" w:cs="Times New Roman"/>
          <w:sz w:val="24"/>
          <w:szCs w:val="24"/>
          <w:highlight w:val="none"/>
        </w:rPr>
        <w:t xml:space="preserve">如有养护工作在全区范围内起到模范带头作用的、获得市级以上表彰的或对鸿山街道绿化养护管理有其他突出贡献的，可酌情予以加分。</w:t>
      </w:r>
      <w:r/>
    </w:p>
    <w:p>
      <w:pPr>
        <w:ind w:firstLine="464"/>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pacing w:val="-4"/>
          <w:sz w:val="24"/>
          <w:szCs w:val="24"/>
          <w:highlight w:val="none"/>
        </w:rPr>
        <w:t xml:space="preserve">十二、考核检查兑现程序</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养护单位应于中标后10日内按招标要求足额缴纳履约保证金至指定账户。鸿山街道城市管理（环卫）科</w:t>
      </w:r>
      <w:r>
        <w:rPr>
          <w:rFonts w:hint="eastAsia" w:ascii="宋体" w:hAnsi="宋体" w:eastAsia="宋体" w:cs="Times New Roman"/>
          <w:spacing w:val="-4"/>
          <w:sz w:val="24"/>
          <w:szCs w:val="24"/>
          <w:highlight w:val="none"/>
        </w:rPr>
        <w:t xml:space="preserve">每月以书面形式将各养护单位扣分扣款情况予以通报公示。月度处罚</w:t>
      </w:r>
      <w:r>
        <w:rPr>
          <w:rFonts w:hint="eastAsia" w:ascii="宋体" w:hAnsi="宋体" w:cs="Times New Roman"/>
          <w:spacing w:val="-4"/>
          <w:sz w:val="24"/>
          <w:szCs w:val="24"/>
          <w:highlight w:val="none"/>
          <w:lang w:eastAsia="zh-CN"/>
        </w:rPr>
        <w:t xml:space="preserve">金额在</w:t>
      </w:r>
      <w:r>
        <w:rPr>
          <w:rFonts w:hint="eastAsia" w:ascii="宋体" w:hAnsi="宋体" w:eastAsia="宋体" w:cs="Times New Roman"/>
          <w:spacing w:val="-4"/>
          <w:sz w:val="24"/>
          <w:szCs w:val="24"/>
          <w:highlight w:val="none"/>
        </w:rPr>
        <w:t xml:space="preserve">月度综合考评后从履约保证金中扣除。养护单位应于上一月度处罚金额扣除后10日内重新补足下一月度履约保证金。</w:t>
      </w:r>
      <w:r/>
    </w:p>
    <w:p>
      <w:pP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附件：1、城市园林绿化植物养护技术规定</w:t>
      </w:r>
      <w:r/>
    </w:p>
    <w:p>
      <w:pPr>
        <w:ind w:firstLine="720"/>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pacing w:val="-4"/>
          <w:sz w:val="24"/>
          <w:szCs w:val="24"/>
          <w:highlight w:val="none"/>
        </w:rPr>
        <w:t xml:space="preserve">绿化养护质量考核分类扣款规定</w:t>
      </w:r>
      <w:r/>
    </w:p>
    <w:p>
      <w:pPr>
        <w:ind w:firstLine="696"/>
        <w:spacing w:line="400" w:lineRule="exact"/>
        <w:rPr>
          <w:rFonts w:hint="eastAsia" w:ascii="宋体" w:hAnsi="宋体" w:eastAsia="宋体" w:cs="Times New Roman"/>
          <w:sz w:val="24"/>
          <w:szCs w:val="24"/>
          <w:highlight w:val="none"/>
        </w:rPr>
      </w:pPr>
      <w:r>
        <w:rPr>
          <w:rFonts w:hint="eastAsia" w:ascii="宋体" w:hAnsi="宋体" w:eastAsia="宋体" w:cs="Times New Roman"/>
          <w:spacing w:val="-4"/>
          <w:sz w:val="24"/>
          <w:szCs w:val="24"/>
          <w:highlight w:val="none"/>
        </w:rPr>
        <w:t xml:space="preserve">3、</w:t>
      </w:r>
      <w:r>
        <w:rPr>
          <w:rFonts w:hint="eastAsia" w:ascii="宋体" w:hAnsi="宋体" w:eastAsia="宋体" w:cs="Times New Roman"/>
          <w:sz w:val="24"/>
          <w:szCs w:val="24"/>
          <w:highlight w:val="none"/>
        </w:rPr>
        <w:t xml:space="preserve">绿化养护施工企业信用评价实施办法（试行）</w:t>
      </w:r>
      <w:r/>
    </w:p>
    <w:p>
      <w:pPr>
        <w:ind w:firstLine="72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4、绿地养护等级标准</w:t>
      </w:r>
      <w:r/>
    </w:p>
    <w:p>
      <w:pPr>
        <w:ind w:firstLine="72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5、绿化养护项目部管理条例</w:t>
      </w:r>
      <w:r/>
    </w:p>
    <w:p>
      <w:pPr>
        <w:ind w:firstLine="72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6、绿化养护全年主要工作任务及目标要求</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r>
      <w:r/>
    </w:p>
    <w:p>
      <w:pPr>
        <w:ind w:right="464"/>
        <w:jc w:val="right"/>
        <w:spacing w:line="400" w:lineRule="exact"/>
        <w:rPr>
          <w:rFonts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                                              </w:t>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ascii="宋体" w:hAnsi="宋体" w:eastAsia="宋体" w:cs="Times New Roman"/>
          <w:b w:val="0"/>
          <w:bCs/>
          <w:sz w:val="15"/>
          <w:szCs w:val="24"/>
          <w:highlight w:val="none"/>
          <w:lang w:val="en-US" w:eastAsia="zh-CN" w:bidi="ar-SA"/>
        </w:rPr>
        <w:br w:type="page" w:clear="all"/>
      </w:r>
      <w:bookmarkStart w:id="1" w:name="_Toc231463943"/>
      <w:r>
        <w:rPr>
          <w:rFonts w:hint="eastAsia" w:ascii="宋体" w:hAnsi="宋体" w:eastAsia="宋体" w:cs="Times New Roman"/>
          <w:b/>
          <w:bCs/>
          <w:sz w:val="28"/>
          <w:szCs w:val="28"/>
          <w:highlight w:val="none"/>
          <w:lang w:val="en-US" w:eastAsia="zh-CN" w:bidi="ar-SA"/>
        </w:rPr>
        <w:t xml:space="preserve">附件1：        </w:t>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城市园林绿化植物养护技术规定</w:t>
      </w:r>
      <w:bookmarkEnd w:id="1"/>
      <w:r/>
      <w:r/>
    </w:p>
    <w:p>
      <w:pPr>
        <w:ind w:firstLine="480"/>
        <w:jc w:val="center"/>
        <w:spacing w:line="24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第一章</w:t>
      </w:r>
      <w:r>
        <w:rPr>
          <w:rFonts w:ascii="宋体" w:hAnsi="宋体" w:eastAsia="宋体" w:cs="Times New Roman"/>
          <w:b/>
          <w:sz w:val="24"/>
          <w:szCs w:val="24"/>
          <w:highlight w:val="none"/>
        </w:rPr>
        <w:t xml:space="preserve">  总  则</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1条  为了加强对</w:t>
      </w:r>
      <w:r>
        <w:rPr>
          <w:rFonts w:hint="eastAsia" w:ascii="宋体" w:hAnsi="宋体" w:eastAsia="宋体" w:cs="Times New Roman"/>
          <w:sz w:val="24"/>
          <w:szCs w:val="24"/>
          <w:highlight w:val="none"/>
        </w:rPr>
        <w:t xml:space="preserve">鸿山街道</w:t>
      </w:r>
      <w:r>
        <w:rPr>
          <w:rFonts w:ascii="宋体" w:hAnsi="宋体" w:eastAsia="宋体" w:cs="Times New Roman"/>
          <w:sz w:val="24"/>
          <w:szCs w:val="24"/>
          <w:highlight w:val="none"/>
        </w:rPr>
        <w:t xml:space="preserve">城市绿地绿化植物的养护，提高对绿化植物养护的技术水平，根据《江苏省城市绿化管理条例</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江苏省城市园林绿化植物养护技术规定（试行）》</w:t>
      </w:r>
      <w:r>
        <w:rPr>
          <w:rFonts w:ascii="宋体" w:hAnsi="宋体" w:eastAsia="宋体" w:cs="Times New Roman"/>
          <w:sz w:val="24"/>
          <w:szCs w:val="24"/>
          <w:highlight w:val="none"/>
        </w:rPr>
        <w:t xml:space="preserve">制定本规定。   </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2条  本规定适用于辖区内的公共绿地、防护绿地、风景林地、居住区绿地、单位附属绿地、道路绿地内的树木、花卉、地被和草坪等植物的养护技术工作。</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3条  各类植物凡种植一年以上的，其保存率应达到98％，受自然灾害或环境污染等原因而死亡的除外。</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4条  各绿地管理单位应结合绿地设计和实际情况，根据本规定，不断总结经验，开展科学</w:t>
      </w:r>
      <w:r>
        <w:rPr>
          <w:rFonts w:hint="eastAsia" w:ascii="宋体" w:hAnsi="宋体" w:eastAsia="宋体" w:cs="Times New Roman"/>
          <w:sz w:val="24"/>
          <w:szCs w:val="24"/>
          <w:highlight w:val="none"/>
        </w:rPr>
        <w:t xml:space="preserve">试验、推广新技术、实现科学管理。</w:t>
      </w:r>
      <w:r/>
    </w:p>
    <w:p>
      <w:pPr>
        <w:ind w:firstLine="480"/>
        <w:spacing w:line="240" w:lineRule="auto"/>
        <w:tabs>
          <w:tab w:val="left" w:pos="216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l</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加强对职工的技术培训和考核，提高职工的技术素质，按规定指导对绿化植物的养护。</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1.0.6</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各单位应根据分级管理的要求和质量标准，制订全年的养护计划。</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第1.0.</w:t>
      </w:r>
      <w:r>
        <w:rPr>
          <w:rFonts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应严格按照有关安全生产操作规程组织作业，保证作业人员人身安全。</w:t>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第二章  树木养护</w:t>
      </w:r>
      <w:r/>
    </w:p>
    <w:p>
      <w:pPr>
        <w:ind w:firstLine="480"/>
        <w:spacing w:line="240"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第一节</w:t>
      </w:r>
      <w:r>
        <w:rPr>
          <w:rFonts w:ascii="宋体" w:hAnsi="宋体" w:eastAsia="宋体" w:cs="Times New Roman"/>
          <w:b/>
          <w:bCs/>
          <w:sz w:val="24"/>
          <w:szCs w:val="24"/>
          <w:highlight w:val="none"/>
        </w:rPr>
        <w:t xml:space="preserve">  </w:t>
      </w:r>
      <w:r>
        <w:rPr>
          <w:rFonts w:hint="eastAsia" w:ascii="宋体" w:hAnsi="宋体" w:eastAsia="宋体" w:cs="Times New Roman"/>
          <w:b/>
          <w:bCs/>
          <w:sz w:val="24"/>
          <w:szCs w:val="24"/>
          <w:highlight w:val="none"/>
        </w:rPr>
        <w:t xml:space="preserve">树体保护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第2.1.1条  树体保护应贯彻防重于治的精神，做好宣传教育工作，使人们认识到</w:t>
      </w:r>
      <w:r>
        <w:rPr>
          <w:rFonts w:hint="eastAsia" w:ascii="宋体" w:hAnsi="宋体" w:cs="Times New Roman"/>
          <w:sz w:val="24"/>
          <w:szCs w:val="24"/>
          <w:highlight w:val="none"/>
          <w:cs w:val="0"/>
          <w:lang w:eastAsia="zh-CN"/>
        </w:rPr>
        <w:t xml:space="preserve">“</w:t>
      </w:r>
      <w:r>
        <w:rPr>
          <w:rFonts w:hint="eastAsia" w:ascii="宋体" w:hAnsi="宋体" w:eastAsia="宋体" w:cs="Times New Roman"/>
          <w:sz w:val="24"/>
          <w:szCs w:val="24"/>
          <w:highlight w:val="none"/>
        </w:rPr>
        <w:t xml:space="preserve">保护树木，人人有责</w:t>
      </w:r>
      <w:r>
        <w:rPr>
          <w:rFonts w:hint="eastAsia" w:ascii="宋体" w:hAnsi="宋体" w:cs="Times New Roman"/>
          <w:sz w:val="24"/>
          <w:szCs w:val="24"/>
          <w:highlight w:val="none"/>
          <w:cs w:val="0"/>
          <w:lang w:eastAsia="zh-CN"/>
        </w:rPr>
        <w:t xml:space="preserve">”</w:t>
      </w:r>
      <w:r>
        <w:rPr>
          <w:rFonts w:hint="eastAsia" w:ascii="宋体" w:hAnsi="宋体" w:eastAsia="宋体" w:cs="Times New Roman"/>
          <w:sz w:val="24"/>
          <w:szCs w:val="24"/>
          <w:highlight w:val="none"/>
        </w:rPr>
        <w:t xml:space="preserve">，做好对各种自然灾害的预防工作。</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第2.1.2条  对树体上出现的伤口应清理后用药剂消毒，涂保护剂或抹灰膏，做到早治防止扩大。</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第2.1.3条  发现树洞要及时修补，防止腐烂进一步扩大，对腐烂部位应按外科方法进行处理。</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灌溉与排水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第2.2.1条  根据不同树种、土地条件、季节差异和生长状况及时进行，并要一次浇透。</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第2.2.2条  树种浇水前应先松土、围堰，做好积水坑。</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第2.2.3条  夏季浇水宜早、晚进行，高温季节严禁中午浇水，对蒸发量大的草花和树种要勤浇水；冬季浇水宜中午进行，入冬前必须浇一次灌冬水。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第2.2.4条  草坪浇水必须浇透根系层，冷季型草坪在春秋季充分浇水，暖季型草坪夏季要勤浇水。草坪修剪后要及时浇水。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第2.2.5条  对名贵树木、新种树木，视天气干旱情况和植物生长情况对树干和树体进行喷雾。</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第2.2.6条  球类、色块等植物每周进行冲洗蒙尘，保持叶面整洁卫生，色泽光洁。</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第2.2.7条  浇水作业过程中水流不能过急，以防止</w:t>
      </w:r>
      <w:r>
        <w:rPr>
          <w:rFonts w:hint="eastAsia" w:ascii="宋体" w:hAnsi="宋体" w:cs="Times New Roman"/>
          <w:sz w:val="24"/>
          <w:szCs w:val="24"/>
          <w:highlight w:val="none"/>
          <w:lang w:eastAsia="zh-CN"/>
        </w:rPr>
        <w:t xml:space="preserve">地表径流</w:t>
      </w:r>
      <w:r>
        <w:rPr>
          <w:rFonts w:hint="eastAsia" w:ascii="宋体" w:hAnsi="宋体" w:eastAsia="宋体" w:cs="Times New Roman"/>
          <w:sz w:val="24"/>
          <w:szCs w:val="24"/>
          <w:highlight w:val="none"/>
        </w:rPr>
        <w:t xml:space="preserve">，避免对路面造成污染，如有污染需及时整改。</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第2.2.8条  树木周围雨后积水应及时排除。</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第三节  松土、除草</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第2.3.1条  树木根部周围的土壤要保持疏松，每年松土不少于4次。春、夏、冬季必须松土一次。易板洁的土壤在蒸腾旺季须每月松土一次，松土深度以不伤根系生长为限：乔木30cm以上，花灌木15cm以上，草坪10cm以上。松土范围：乔木为树穴直径1.5米范围以上，花灌木为植株冠幅。</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第2.3.2条  乔灌木下、草坪、草花内的杂草、缠绕树木的各类藤蔓必须及时铲除。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第2.3.3条  草坪杂草应及时连根清除，做到除早、除小、除净，草坪覆盖率不低于98％，集中空秃不大于0.1平方米。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第2.3.4条  树穴、模纹色块、绿篱、草花等与草坪交界边线每年要2</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3次切边，并全年保持树穴工整，切边清晰。</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第2.3.5条  使用化学除草剂时必须保证园林植物的安全，不得对植株产生危害。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第2.3.6条  除掉的杂草应及时清理、运走、掩埋或异地制肥。</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第四节  施肥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第2.4.1条  施肥应根据不同的树种、树龄、生长势和土壤理化性质而定。</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第2.4.2条  树木休眠期和种植前，需施基肥。生长期可按植株的生长势施追肥，花灌木应在花前、花后进行施肥。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第2.4.3条  各类绿地应以施腐熟有机肥为主，应用微量元素和根外施肥技术，推广应用复合肥料和长效缓释肥料。</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第2.4.4条  树木施肥应先挖好施肥环沟，其外径与树冠幅相适应。环沟深、宽均为25-30CM，除根外施肥外，肥料不得触及树叶，施肥宜</w:t>
      </w:r>
      <w:r>
        <w:rPr>
          <w:rFonts w:hint="eastAsia" w:ascii="宋体" w:hAnsi="宋体" w:cs="Times New Roman"/>
          <w:sz w:val="24"/>
          <w:szCs w:val="24"/>
          <w:highlight w:val="none"/>
          <w:lang w:eastAsia="zh-CN"/>
        </w:rPr>
        <w:t xml:space="preserve">在晴天</w:t>
      </w:r>
      <w:r>
        <w:rPr>
          <w:rFonts w:hint="eastAsia" w:ascii="宋体" w:hAnsi="宋体" w:eastAsia="宋体" w:cs="Times New Roman"/>
          <w:sz w:val="24"/>
          <w:szCs w:val="24"/>
          <w:highlight w:val="none"/>
        </w:rPr>
        <w:t xml:space="preserve">进行。</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第2.4.5条  草坪主要施肥时期在春秋季，施肥可采用撒施和根外追肥，每次修剪后需立即施肥，不发生明显的肥害现象。</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第2.4.6条  每年冬春两季施腐熟有机复合肥不少于2kg/平方、氮磷钾复合肥不少于45g/平方</w:t>
      </w:r>
      <w:r>
        <w:rPr>
          <w:rFonts w:hint="eastAsia" w:ascii="宋体" w:hAnsi="宋体" w:cs="Times New Roman"/>
          <w:sz w:val="24"/>
          <w:szCs w:val="24"/>
          <w:highlight w:val="none"/>
          <w:lang w:eastAsia="zh-CN"/>
        </w:rPr>
        <w:t xml:space="preserve">。</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第五节  修剪</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第2.5.1条  乔木类主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第2.5.2条  花灌木类秋冬季修剪应促枝叶繁茂，分布均匀，要有利于短枝和花芽的形成，遵循“先上后下，先内后外，去弱留强，去老留新”的原则进行修剪，生长季节及时剥芽（含脚芽），芽长不超过10cm。</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  草坪修剪在生长季节，应采用条纹状交叉修剪方式，按三分之一原则适时进行修剪，修剪后高度宜为5</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7cm（冷暖季草坪交替时有特殊要求的除外）。</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第2.5.5条  修剪剩余物要及时清理干净，保证作业现场洁净，防止滋生病虫害。</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第六节  防护设施</w:t>
      </w:r>
      <w:r/>
    </w:p>
    <w:p>
      <w:pPr>
        <w:ind w:firstLine="480"/>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第2.6.1条  新栽、倾斜树木必须进行扶正支撑；乔木、竹类植株等必须有防台措施。支撑所用材料须做到合理、美观，不</w:t>
      </w:r>
      <w:r>
        <w:rPr>
          <w:rFonts w:hint="eastAsia" w:ascii="宋体" w:hAnsi="宋体" w:cs="Times New Roman"/>
          <w:bCs/>
          <w:sz w:val="24"/>
          <w:szCs w:val="24"/>
          <w:highlight w:val="none"/>
          <w:lang w:eastAsia="zh-CN"/>
        </w:rPr>
        <w:t xml:space="preserve">伤及</w:t>
      </w:r>
      <w:r>
        <w:rPr>
          <w:rFonts w:hint="eastAsia" w:ascii="宋体" w:hAnsi="宋体" w:eastAsia="宋体" w:cs="Times New Roman"/>
          <w:bCs/>
          <w:sz w:val="24"/>
          <w:szCs w:val="24"/>
          <w:highlight w:val="none"/>
        </w:rPr>
        <w:t xml:space="preserve">树木本身，支撑所用材料应在规定时间内拆除（一般为2年）。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第2.6.2条  高大乔木在风暴来临前夕，应做好防止吹倒的预防工作，采取立支柱、绑扎、疏枝、打地桩等综合措施，发现问题及时解决。风暴后，应分轻重缓急进行抢救，对树体歪倒的树木及时扶正。</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第2.6.3条  易受冻害的树木，冬季应采取根际培土。</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第2.6.4条  枝叶积雪应及时清除，有倒伏危险的树木应立支撑保护。</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第七节  死树的处理和补植、移植</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第2.7.1条  街头绿地以及公园、广场等主要景点的死树应连同根部及时挖除，并填平坑槽。</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第2.7.2条  枯死的大树和古树名木在挖除前，必须报市园林绿化主管部门审批，不得擅自挖除。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第2.7.3条  补植、移植树木应选用原树种，规格相近，并按相关规定规范施工。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第2.7.4条  枯死植物应及时挖除并补植，枯枝残叶、残花要随时清理。</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第三章  地被植物和草坪养护</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第一节  地被植物</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地被植物在未覆盖前，每年应及时进行松土、除草，松土除草时要防止损伤根系和地下茎。</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天气干旱、土壤干燥时要适时、适量浇水。早春发芽前要施肥，生长季节采取薄肥勤施。</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枯死植物应及时挖除并补植，枯枝残叶、残花要随时清理。</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木本地被植物应在冬季休眠期修剪，应使植株在生长期间保持高度不超过</w:t>
      </w:r>
      <w:r>
        <w:rPr>
          <w:rFonts w:ascii="宋体" w:hAnsi="宋体" w:eastAsia="宋体" w:cs="Times New Roman"/>
          <w:sz w:val="24"/>
          <w:szCs w:val="24"/>
          <w:highlight w:val="none"/>
        </w:rPr>
        <w:t xml:space="preserve">60cm</w:t>
      </w:r>
      <w:r>
        <w:rPr>
          <w:rFonts w:hint="eastAsia" w:ascii="宋体" w:hAnsi="宋体" w:eastAsia="宋体" w:cs="Times New Roman"/>
          <w:sz w:val="24"/>
          <w:szCs w:val="24"/>
          <w:highlight w:val="none"/>
        </w:rPr>
        <w:t xml:space="preserve">的低矮状态。</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.1.5条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球根、宿根类地被植物，经</w:t>
      </w:r>
      <w:r>
        <w:rPr>
          <w:rFonts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年生长后，根部拥挤以致影响其正常生长时，必须按不同类群的生理习性进行分株或更新移植。</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草坪管护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第3.2.1条  草坪在生长季节，应按三分之一原则适时进行修剪，保持一定的高度，一般控制在5-7CM。修剪要平整，边角无遗留，草屑应及时运出、除净。</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第3.2.2条  草坪中的树坛、花坛边缘应进行切边，保持线条清晰、整齐。</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第3.2.3条  每年秋、冬季可采用刺孔在草坪上打洞，增加草坪土壤的透气性，促进草坪生长。枯草层每年一</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二次用耙或疏草机清除出草坪。</w:t>
      </w:r>
      <w:r/>
    </w:p>
    <w:p>
      <w:pPr>
        <w:ind w:firstLine="480"/>
        <w:spacing w:line="31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第3.2.4条  黑麦草品种由甲方指定，播种前须将原草坪修剪至2</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3cm，并进行疏草、打孔处理，经甲方检验合格后方可进行播种，草籽播种要均匀，播种后覆细土（砂）1-2cm，做好后期水肥管理和日常养护工作，确保出芽率90%以上。播种结束后，提供竣工图等相应竣工资料等。</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第四章  花坛和花卉养护</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第一节  花坛</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根据花坛的分级标准，制定花坛分级养护的技术措施和管理标准。</w:t>
      </w:r>
      <w:r>
        <w:rPr>
          <w:rFonts w:ascii="宋体" w:hAnsi="宋体" w:eastAsia="宋体" w:cs="Times New Roman"/>
          <w:sz w:val="24"/>
          <w:szCs w:val="24"/>
          <w:highlight w:val="none"/>
        </w:rPr>
        <w:t xml:space="preserve">  </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换花移栽前必须深翻细耙，除尽土中石块、草屑、残茎、落叶等杂物，并施足基肥。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  花坛的防护设施应保持清洁完好，并尽量保证行人和游客的安全。</w:t>
      </w:r>
      <w:r>
        <w:rPr>
          <w:rFonts w:ascii="宋体" w:hAnsi="宋体" w:eastAsia="宋体" w:cs="Times New Roman"/>
          <w:sz w:val="24"/>
          <w:szCs w:val="24"/>
          <w:highlight w:val="none"/>
        </w:rPr>
        <w:t xml:space="preserve">   </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立体花坛要与周围环境相协调，设置在路边的立体花坛不得影响交通视线，立体花坛要稳固、防止大风刮倒。</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主要花坛换花时空置期在3天之内，花卉覆盖率为90％以上。</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宿根花卉</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应根据宿根花卉不同品种的开花结实、越冬休眠等生长习性，采取相应养管措施。</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宿根花卉开花后，对不具观</w:t>
      </w:r>
      <w:r>
        <w:rPr>
          <w:rFonts w:hint="eastAsia" w:ascii="宋体" w:hAnsi="宋体" w:cs="Times New Roman"/>
          <w:sz w:val="24"/>
          <w:szCs w:val="24"/>
          <w:highlight w:val="none"/>
          <w:lang w:eastAsia="zh-CN"/>
        </w:rPr>
        <w:t xml:space="preserve">赏</w:t>
      </w:r>
      <w:r>
        <w:rPr>
          <w:rFonts w:ascii="宋体" w:hAnsi="宋体" w:eastAsia="宋体" w:cs="Times New Roman"/>
          <w:sz w:val="24"/>
          <w:szCs w:val="24"/>
          <w:highlight w:val="none"/>
        </w:rPr>
        <w:t xml:space="preserve">价值的品种应及时修剪残枝、残花、残果。</w:t>
      </w:r>
      <w:r/>
    </w:p>
    <w:p>
      <w:pPr>
        <w:ind w:firstLine="480"/>
        <w:spacing w:line="240" w:lineRule="auto"/>
        <w:rPr>
          <w:rFonts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宿根花卉进入休眠状态后，应及时清除地上部枯枝、残叶。</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对根蘖成丛的宿根花卉，宜结合调整栽植密度，于休眠期进行分墩重栽。</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冬季宜对耐寒性差的宿根花卉培土保墒、防寒。</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对宜倒伏的宿根花卉应适时修剪。对有二次开花习性的宿根花卉应在花后适时进行修剪。</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宿根花卉生长期间应进行追肥或叶面施肥。</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.8</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应根据土壤墒情适时浇水。喜湿的品种应在生长期保持充足的水分供给。宿根花卉必须浇返青水和冻水。</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第三节  草花</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各类花卉的种植，在最高气温</w:t>
      </w:r>
      <w:r>
        <w:rPr>
          <w:rFonts w:ascii="宋体" w:hAnsi="宋体" w:eastAsia="宋体" w:cs="Times New Roman"/>
          <w:sz w:val="24"/>
          <w:szCs w:val="24"/>
          <w:highlight w:val="none"/>
        </w:rPr>
        <w:t xml:space="preserve">25C</w:t>
      </w:r>
      <w:r>
        <w:rPr>
          <w:rFonts w:hint="eastAsia" w:ascii="宋体" w:hAnsi="宋体" w:eastAsia="宋体" w:cs="Times New Roman"/>
          <w:sz w:val="24"/>
          <w:szCs w:val="24"/>
          <w:highlight w:val="none"/>
          <w:vertAlign w:val="superscript"/>
        </w:rPr>
        <w:t xml:space="preserve">0</w:t>
      </w:r>
      <w:r>
        <w:rPr>
          <w:rFonts w:hint="eastAsia" w:ascii="宋体" w:hAnsi="宋体" w:eastAsia="宋体" w:cs="Times New Roman"/>
          <w:sz w:val="24"/>
          <w:szCs w:val="24"/>
          <w:highlight w:val="none"/>
        </w:rPr>
        <w:t xml:space="preserve">以下时可全天种植；当气温高于</w:t>
      </w:r>
      <w:r>
        <w:rPr>
          <w:rFonts w:ascii="宋体" w:hAnsi="宋体" w:eastAsia="宋体" w:cs="Times New Roman"/>
          <w:sz w:val="24"/>
          <w:szCs w:val="24"/>
          <w:highlight w:val="none"/>
        </w:rPr>
        <w:t xml:space="preserve">25</w:t>
      </w:r>
      <w:r>
        <w:rPr>
          <w:rFonts w:hint="eastAsia" w:ascii="宋体" w:hAnsi="宋体" w:eastAsia="宋体" w:cs="Times New Roman"/>
          <w:sz w:val="24"/>
          <w:szCs w:val="24"/>
          <w:highlight w:val="none"/>
        </w:rPr>
        <w:t xml:space="preserve">C</w:t>
      </w:r>
      <w:r>
        <w:rPr>
          <w:rFonts w:hint="eastAsia" w:ascii="宋体" w:hAnsi="宋体" w:eastAsia="宋体" w:cs="Times New Roman"/>
          <w:sz w:val="24"/>
          <w:szCs w:val="24"/>
          <w:highlight w:val="none"/>
          <w:vertAlign w:val="superscript"/>
        </w:rPr>
        <w:t xml:space="preserve">0</w:t>
      </w:r>
      <w:r>
        <w:rPr>
          <w:rFonts w:hint="eastAsia" w:ascii="宋体" w:hAnsi="宋体" w:eastAsia="宋体" w:cs="Times New Roman"/>
          <w:sz w:val="24"/>
          <w:szCs w:val="24"/>
          <w:highlight w:val="none"/>
        </w:rPr>
        <w:t xml:space="preserve">时，应避开中午高温时间，宜在早晨、傍晚或阴天进行，移栽后应立即浇透水，浇水时防止土壤冲到茎叶上，保持植株清洁。</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草本花卉需摘心的品种</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如一串红、菊花</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应及时摘心。对株型高、花茎长、花朵大的品种</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如菊花</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，应用支柱固定。</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选择生长健壮的花苗移栽，花苗需带花蕾方可移栽，</w:t>
      </w:r>
      <w:r>
        <w:rPr>
          <w:rFonts w:ascii="宋体" w:hAnsi="宋体" w:eastAsia="宋体" w:cs="Times New Roman"/>
          <w:sz w:val="24"/>
          <w:szCs w:val="24"/>
          <w:highlight w:val="none"/>
        </w:rPr>
        <w:t xml:space="preserve">应及时摘除残花</w:t>
      </w:r>
      <w:r>
        <w:rPr>
          <w:rFonts w:hint="eastAsia" w:ascii="宋体" w:hAnsi="宋体" w:eastAsia="宋体" w:cs="Times New Roman"/>
          <w:sz w:val="24"/>
          <w:szCs w:val="24"/>
          <w:highlight w:val="none"/>
        </w:rPr>
        <w:t xml:space="preserve">和修剪黄叶，缺株要及时补栽，保持草花区域的清洁、完整。</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应对栽于篱垣和棚架的攀缘草花采取适宜的牵引措施。</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应适时浇水、施肥或叶面施肥。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6条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花卉生长盛期要及时松土除草，施追肥后立即喷洒清水，并做好病虫害的防治工作。</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7条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及时更换草花，观叶类必须在开花前</w:t>
      </w:r>
      <w:r>
        <w:rPr>
          <w:rFonts w:hint="eastAsia" w:ascii="宋体" w:hAnsi="宋体" w:cs="Times New Roman"/>
          <w:sz w:val="24"/>
          <w:szCs w:val="24"/>
          <w:highlight w:val="none"/>
          <w:lang w:eastAsia="zh-CN"/>
        </w:rPr>
        <w:t xml:space="preserve">调换</w:t>
      </w:r>
      <w:r>
        <w:rPr>
          <w:rFonts w:hint="eastAsia" w:ascii="宋体" w:hAnsi="宋体" w:eastAsia="宋体" w:cs="Times New Roman"/>
          <w:sz w:val="24"/>
          <w:szCs w:val="24"/>
          <w:highlight w:val="none"/>
        </w:rPr>
        <w:t xml:space="preserve">，观花类必须在花朵凋谢前</w:t>
      </w:r>
      <w:r>
        <w:rPr>
          <w:rFonts w:hint="eastAsia" w:ascii="宋体" w:hAnsi="宋体" w:cs="Times New Roman"/>
          <w:sz w:val="24"/>
          <w:szCs w:val="24"/>
          <w:highlight w:val="none"/>
          <w:lang w:eastAsia="zh-CN"/>
        </w:rPr>
        <w:t xml:space="preserve">调换</w:t>
      </w:r>
      <w:r>
        <w:rPr>
          <w:rFonts w:hint="eastAsia" w:ascii="宋体" w:hAnsi="宋体" w:eastAsia="宋体" w:cs="Times New Roman"/>
          <w:sz w:val="24"/>
          <w:szCs w:val="24"/>
          <w:highlight w:val="none"/>
        </w:rPr>
        <w:t xml:space="preserve">。</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8条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及时清运草花种植区域多余泥土，使其不高于周边草坪。</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9条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草花覆盖率应达到90%以上，基本不见裸土，种植密度不低于49株/平方米。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10条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花卉应做到图案清晰、色彩鲜艳、花朵繁茂、花期一致。花境搭配科学、层次分明、高矮有序。</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第五章  防止污染和防治病虫害</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第一节  防止污染</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绿地内的排污管网和排水管网应保证通畅、有效，不得有漏点。</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绿地周围如发现有危害植物生长的废气时，应及时向环保部门报告，防止污染，必要时应调整种植抗有害气体的植物种类。</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树木根际附近不得有堆放盛有废液的容器、废渣和其他有害植物生长的物质。</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施用化肥、药剂要合理，不得污染环境。有机肥必须腐熟后使用，不得使用人粪尿和国家明令禁止使用的药品。</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.5条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加强肥料、药剂使用管理，对化肥农药等包装物统一收集堆放，并由专业单位回收，建立肥料、药剂进出仓库使用管理台账。</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防治病虫害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.2.1条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贯彻“预防为主，综合防治”的原则。</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2条  引进和输出种苗，必须严格遵守有关植物检疫法规和有关规章制度。</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.2.3条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做好园林植物病虫害的预测、预报工作，密切注意周边地区的病虫害发生情况，制订好防治计划。</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.2.4条</w:t>
      </w:r>
      <w:r>
        <w:rPr>
          <w:rFonts w:ascii="宋体" w:hAnsi="宋体" w:eastAsia="宋体" w:cs="Times New Roman"/>
          <w:sz w:val="24"/>
          <w:szCs w:val="24"/>
          <w:highlight w:val="none"/>
        </w:rPr>
        <w:t xml:space="preserve">  加强观察，局部发生严重病虫害地区必须及时治理，以防止扩大蔓延。</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5条  </w:t>
      </w:r>
      <w:r>
        <w:rPr>
          <w:rFonts w:hint="eastAsia" w:ascii="宋体" w:hAnsi="宋体" w:eastAsia="宋体" w:cs="Times New Roman"/>
          <w:sz w:val="24"/>
          <w:szCs w:val="24"/>
          <w:highlight w:val="none"/>
        </w:rPr>
        <w:t xml:space="preserve">严禁使用国家禁用农药，使用化学农药应按有关安全操作规定进行作业。</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6条</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发现大面积的病虫害应及时通知周边地区。</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条</w:t>
      </w:r>
      <w:r>
        <w:rPr>
          <w:rFonts w:hint="eastAsia" w:ascii="宋体" w:hAnsi="宋体" w:eastAsia="宋体" w:cs="Times New Roman"/>
          <w:sz w:val="24"/>
          <w:szCs w:val="24"/>
          <w:highlight w:val="none"/>
        </w:rPr>
        <w:t xml:space="preserve">  及时清除病虫害枝条或植株并按要求集中处理，避免二次感染。</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第六章</w:t>
      </w:r>
      <w:r>
        <w:rPr>
          <w:rFonts w:ascii="宋体" w:hAnsi="宋体" w:eastAsia="宋体" w:cs="Times New Roman"/>
          <w:sz w:val="24"/>
          <w:szCs w:val="24"/>
          <w:highlight w:val="none"/>
        </w:rPr>
        <w:t xml:space="preserve">  技术档案</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第6</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1条  各单位必须建立完整的园林植物养护技术档案，及时收集、整理和积累资料，总结经验。</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第6</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2条  技术档案内容</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、招投标文件、合同、预决算资料。</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二</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、养护施工组织设计（含项目部组成、机械设备各工种投入、目标任务及年度计划）、月度养护工作计划、自检情况、考核结果。</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三</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、养护工作日志，包括日常巡查</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附录一</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、病虫害防治[含农药管理台账（附录二）</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、防汛防台抗雪减灾（应急预案及执行情况）、技术培训等所有养护工作内容。</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四</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、绿地建设历史及发展状况。</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五</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、古树名木养护记录表</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附录三</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六</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、养护工作量变更情况。</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七</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、应用新技术、新工艺和新成果的单项技术资料。</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八</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、枯死树木记录表（大树、主景树和名贵树种）</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附录四</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九</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、各类统计表和调查报告、总结等。</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技术档案每年应分类整理，装订成册，编好目录，分类归档。</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第七章</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其他</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.1条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绿地设施管理：绿地内设施应严格按规范要求进行维修保养，确保常年整洁完好，发现损坏应及时修缮或报有关部门进行维修更换。</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.2条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在管护时，严格按照管护操作规程操作，做到安全管理、文明作业。</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.3条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必须参与系统内的工作培训、技术指导、政治学习等活动，掌握新技术和必要的技能</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更好</w:t>
      </w:r>
      <w:r>
        <w:rPr>
          <w:rFonts w:hint="eastAsia" w:ascii="宋体" w:hAnsi="宋体" w:cs="Times New Roman"/>
          <w:sz w:val="24"/>
          <w:szCs w:val="24"/>
          <w:highlight w:val="none"/>
          <w:lang w:eastAsia="zh-CN"/>
        </w:rPr>
        <w:t xml:space="preserve">地</w:t>
      </w:r>
      <w:r>
        <w:rPr>
          <w:rFonts w:hint="eastAsia" w:ascii="宋体" w:hAnsi="宋体" w:eastAsia="宋体" w:cs="Times New Roman"/>
          <w:sz w:val="24"/>
          <w:szCs w:val="24"/>
          <w:highlight w:val="none"/>
        </w:rPr>
        <w:t xml:space="preserve">做好绿化养护工作。</w:t>
      </w:r>
      <w:r/>
    </w:p>
    <w:p>
      <w:pPr>
        <w:ind w:firstLine="480"/>
        <w:jc w:val="left"/>
        <w:spacing w:before="0" w:beforeAutospacing="0" w:after="0" w:afterAutospacing="0" w:line="240" w:lineRule="auto"/>
        <w:widowControl/>
        <w:rPr>
          <w:rFonts w:hint="eastAsia" w:ascii="宋体" w:hAnsi="宋体" w:eastAsia="宋体" w:cs="Times New Roman"/>
          <w:b/>
          <w:color w:val="auto"/>
          <w:sz w:val="44"/>
          <w:szCs w:val="4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第7.</w:t>
      </w: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.4条</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按时按质完成业主布置</w:t>
      </w:r>
      <w:r>
        <w:rPr>
          <w:rFonts w:hint="eastAsia" w:ascii="宋体" w:hAnsi="宋体" w:cs="Times New Roman"/>
          <w:color w:val="auto"/>
          <w:sz w:val="24"/>
          <w:szCs w:val="24"/>
          <w:highlight w:val="none"/>
          <w:lang w:val="en-US" w:eastAsia="zh-CN" w:bidi="ar-SA"/>
        </w:rPr>
        <w:t xml:space="preserve">的其他</w:t>
      </w:r>
      <w:r>
        <w:rPr>
          <w:rFonts w:hint="eastAsia" w:ascii="宋体" w:hAnsi="宋体" w:eastAsia="宋体" w:cs="Times New Roman"/>
          <w:color w:val="auto"/>
          <w:sz w:val="24"/>
          <w:szCs w:val="24"/>
          <w:highlight w:val="none"/>
          <w:lang w:val="en-US" w:eastAsia="zh-CN" w:bidi="ar-SA"/>
        </w:rPr>
        <w:t xml:space="preserve">突击性工作。</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附录一：项目经理工作日志</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附录二：化学药剂出入库及空瓶回收台账</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附录三：古树名木养护记录表</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附录四：枯死树木记录表</w:t>
      </w:r>
      <w:r/>
    </w:p>
    <w:p>
      <w:pPr>
        <w:jc w:val="center"/>
        <w:spacing w:line="520" w:lineRule="exact"/>
        <w:rPr>
          <w:rFonts w:hint="eastAsia" w:ascii="宋体" w:hAnsi="宋体" w:eastAsia="宋体" w:cs="Times New Roman"/>
          <w:sz w:val="27"/>
          <w:szCs w:val="24"/>
          <w:highlight w:val="none"/>
        </w:rPr>
      </w:pPr>
      <w:r>
        <w:rPr>
          <w:rFonts w:ascii="宋体" w:hAnsi="宋体" w:eastAsia="宋体" w:cs="Times New Roman"/>
          <w:b/>
          <w:sz w:val="44"/>
          <w:szCs w:val="44"/>
          <w:highlight w:val="none"/>
        </w:rPr>
        <w:br w:type="page" w:clear="all"/>
      </w:r>
      <w:r>
        <w:rPr>
          <w:rFonts w:hint="eastAsia" w:ascii="宋体" w:hAnsi="宋体" w:eastAsia="宋体" w:cs="Times New Roman"/>
          <w:sz w:val="27"/>
          <w:szCs w:val="24"/>
          <w:highlight w:val="none"/>
        </w:rPr>
        <w:t xml:space="preserve">附录一：项目经理工作日志</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ind w:firstLine="105"/>
        <w:spacing w:line="240" w:lineRule="auto"/>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年</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月</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日   星期</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                            天气：</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  温度：</w:t>
      </w:r>
      <w:r>
        <w:rPr>
          <w:rFonts w:hint="eastAsia" w:ascii="宋体" w:hAnsi="宋体" w:eastAsia="宋体" w:cs="Times New Roman"/>
          <w:sz w:val="21"/>
          <w:szCs w:val="21"/>
          <w:highlight w:val="none"/>
          <w:u w:val="single"/>
        </w:rPr>
        <w:t xml:space="preserve">     </w:t>
      </w:r>
      <w:r/>
    </w:p>
    <w:tbl>
      <w:tblPr>
        <w:tblStyle w:val="9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900"/>
        <w:gridCol w:w="1620"/>
        <w:gridCol w:w="900"/>
        <w:gridCol w:w="1620"/>
        <w:gridCol w:w="1080"/>
        <w:gridCol w:w="1959"/>
      </w:tblGrid>
      <w:tr>
        <w:trPr>
          <w:jc w:val="center"/>
          <w:trHeight w:val="605"/>
        </w:trPr>
        <w:tc>
          <w:tcPr>
            <w:tcW w:w="853" w:type="dxa"/>
            <w:vAlign w:val="center"/>
            <w:vMerge w:val="restart"/>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工作</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任务</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完成</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情况</w:t>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任务</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编号</w:t>
            </w:r>
            <w:r/>
          </w:p>
        </w:tc>
        <w:tc>
          <w:tcPr>
            <w:gridSpan w:val="5"/>
            <w:tcW w:w="7179"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jc w:val="center"/>
          <w:trHeight w:val="812"/>
        </w:trPr>
        <w:tc>
          <w:tcPr>
            <w:tcW w:w="853" w:type="dxa"/>
            <w:vAlign w:val="center"/>
            <w:vMerge w:val="continue"/>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作业</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路段</w:t>
            </w:r>
            <w:r/>
          </w:p>
        </w:tc>
        <w:tc>
          <w:tcPr>
            <w:gridSpan w:val="5"/>
            <w:tcW w:w="7179"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jc w:val="center"/>
          <w:trHeight w:val="660"/>
        </w:trPr>
        <w:tc>
          <w:tcPr>
            <w:tcW w:w="853" w:type="dxa"/>
            <w:vAlign w:val="center"/>
            <w:vMerge w:val="continue"/>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进度</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计划</w:t>
            </w:r>
            <w:r/>
          </w:p>
        </w:tc>
        <w:tc>
          <w:tcPr>
            <w:gridSpan w:val="3"/>
            <w:tcW w:w="414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□提前 □正常 □延后</w:t>
            </w:r>
            <w:r/>
          </w:p>
        </w:tc>
        <w:tc>
          <w:tcPr>
            <w:tcW w:w="108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带班技工（签字）</w:t>
            </w:r>
            <w:r/>
          </w:p>
        </w:tc>
        <w:tc>
          <w:tcPr>
            <w:tcW w:w="1959"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jc w:val="center"/>
          <w:trHeight w:val="885"/>
        </w:trPr>
        <w:tc>
          <w:tcPr>
            <w:tcW w:w="853" w:type="dxa"/>
            <w:vAlign w:val="center"/>
            <w:vMerge w:val="continue"/>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工人</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数量</w:t>
            </w:r>
            <w:r/>
          </w:p>
        </w:tc>
        <w:tc>
          <w:tcPr>
            <w:tcW w:w="1620" w:type="dxa"/>
            <w:vAlign w:val="center"/>
            <w:textDirection w:val="lrTb"/>
            <w:noWrap w:val="false"/>
          </w:tcPr>
          <w:p>
            <w:pPr>
              <w:ind w:firstLine="640"/>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物资</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投入</w:t>
            </w:r>
            <w:r/>
          </w:p>
        </w:tc>
        <w:tc>
          <w:tcPr>
            <w:tcW w:w="1620" w:type="dxa"/>
            <w:vAlign w:val="center"/>
            <w:textDirection w:val="lrTb"/>
            <w:noWrap w:val="false"/>
          </w:tcPr>
          <w:p>
            <w:pPr>
              <w:ind w:firstLine="640"/>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08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车辆及机械设备</w:t>
            </w:r>
            <w:r/>
          </w:p>
        </w:tc>
        <w:tc>
          <w:tcPr>
            <w:tcW w:w="1959" w:type="dxa"/>
            <w:vAlign w:val="center"/>
            <w:textDirection w:val="lrTb"/>
            <w:noWrap w:val="false"/>
          </w:tcPr>
          <w:p>
            <w:pPr>
              <w:ind w:firstLine="640"/>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jc w:val="center"/>
          <w:trHeight w:val="1170"/>
        </w:trPr>
        <w:tc>
          <w:tcPr>
            <w:tcW w:w="853" w:type="dxa"/>
            <w:vAlign w:val="center"/>
            <w:vMerge w:val="continue"/>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完成</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内容</w:t>
            </w:r>
            <w:r/>
          </w:p>
        </w:tc>
        <w:tc>
          <w:tcPr>
            <w:gridSpan w:val="5"/>
            <w:tcW w:w="7179" w:type="dxa"/>
            <w:vAlign w:val="center"/>
            <w:textDirection w:val="lrTb"/>
            <w:noWrap w:val="false"/>
          </w:tcPr>
          <w:p>
            <w:pPr>
              <w:ind w:firstLine="640"/>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ind w:firstLine="640"/>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ind w:firstLine="640"/>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ind w:firstLine="640"/>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jc w:val="center"/>
          <w:trHeight w:val="772"/>
        </w:trPr>
        <w:tc>
          <w:tcPr>
            <w:tcW w:w="853" w:type="dxa"/>
            <w:vAlign w:val="center"/>
            <w:vMerge w:val="restart"/>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每日</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巡查</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情况</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巡查</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线路</w:t>
            </w:r>
            <w:r/>
          </w:p>
        </w:tc>
        <w:tc>
          <w:tcPr>
            <w:gridSpan w:val="5"/>
            <w:tcW w:w="7179"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jc w:val="center"/>
          <w:trHeight w:val="2804"/>
        </w:trPr>
        <w:tc>
          <w:tcPr>
            <w:tcW w:w="853" w:type="dxa"/>
            <w:vAlign w:val="center"/>
            <w:vMerge w:val="continue"/>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存在</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问题</w:t>
            </w:r>
            <w:r/>
          </w:p>
        </w:tc>
        <w:tc>
          <w:tcPr>
            <w:gridSpan w:val="5"/>
            <w:tcW w:w="7179"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ind w:firstLine="4200"/>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jc w:val="center"/>
          <w:trHeight w:val="916"/>
        </w:trPr>
        <w:tc>
          <w:tcPr>
            <w:tcW w:w="853" w:type="dxa"/>
            <w:vAlign w:val="center"/>
            <w:vMerge w:val="restart"/>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城管中队审核</w:t>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作业现场检查</w:t>
            </w:r>
            <w:r/>
          </w:p>
        </w:tc>
        <w:tc>
          <w:tcPr>
            <w:gridSpan w:val="5"/>
            <w:tcW w:w="7179" w:type="dxa"/>
            <w:vAlign w:val="center"/>
            <w:textDirection w:val="lrTb"/>
            <w:noWrap w:val="false"/>
          </w:tcPr>
          <w:p>
            <w:pPr>
              <w:ind w:firstLine="640"/>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jc w:val="center"/>
          <w:trHeight w:val="615"/>
        </w:trPr>
        <w:tc>
          <w:tcPr>
            <w:tcW w:w="853" w:type="dxa"/>
            <w:vAlign w:val="center"/>
            <w:vMerge w:val="continue"/>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巡查GPS复核</w:t>
            </w:r>
            <w:r/>
          </w:p>
        </w:tc>
        <w:tc>
          <w:tcPr>
            <w:gridSpan w:val="5"/>
            <w:tcW w:w="7179" w:type="dxa"/>
            <w:vAlign w:val="center"/>
            <w:textDirection w:val="lrTb"/>
            <w:noWrap w:val="false"/>
          </w:tcPr>
          <w:p>
            <w:pPr>
              <w:jc w:val="center"/>
              <w:spacing w:line="24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jc w:val="center"/>
          <w:trHeight w:val="735"/>
        </w:trPr>
        <w:tc>
          <w:tcPr>
            <w:tcW w:w="853" w:type="dxa"/>
            <w:vAlign w:val="center"/>
            <w:vMerge w:val="continue"/>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900" w:type="dxa"/>
            <w:vAlign w:val="center"/>
            <w:textDirection w:val="lrTb"/>
            <w:noWrap w:val="false"/>
          </w:tcPr>
          <w:p>
            <w:pPr>
              <w:jc w:val="center"/>
              <w:spacing w:line="24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问题整改复查</w:t>
            </w:r>
            <w:r/>
          </w:p>
        </w:tc>
        <w:tc>
          <w:tcPr>
            <w:gridSpan w:val="5"/>
            <w:tcW w:w="7179"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jc w:val="center"/>
          <w:trHeight w:val="1410"/>
        </w:trPr>
        <w:tc>
          <w:tcPr>
            <w:tcW w:w="853" w:type="dxa"/>
            <w:vAlign w:val="center"/>
            <w:vMerge w:val="continue"/>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900"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其他</w:t>
            </w:r>
            <w:r/>
          </w:p>
          <w:p>
            <w:pPr>
              <w:jc w:val="center"/>
              <w:spacing w:line="24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问题</w:t>
            </w:r>
            <w:r/>
          </w:p>
        </w:tc>
        <w:tc>
          <w:tcPr>
            <w:gridSpan w:val="5"/>
            <w:tcW w:w="7179" w:type="dxa"/>
            <w:vAlign w:val="center"/>
            <w:textDirection w:val="lrTb"/>
            <w:noWrap w:val="false"/>
          </w:tcPr>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bl>
    <w:p>
      <w:pP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rPr>
          <w:rFonts w:hint="eastAsia" w:ascii="宋体" w:hAnsi="宋体"/>
          <w:szCs w:val="21"/>
          <w:highlight w:val="none"/>
        </w:rPr>
        <w:sectPr>
          <w:headerReference w:type="first" r:id="rId9"/>
          <w:footerReference w:type="default" r:id="rId15"/>
          <w:footerReference w:type="first" r:id="rId16"/>
          <w:footnotePr/>
          <w:endnotePr/>
          <w:type w:val="continuous"/>
          <w:pgSz w:w="11906" w:h="16838" w:orient="portrait"/>
          <w:pgMar w:top="1100" w:right="1440" w:bottom="1440" w:left="1440" w:header="851" w:footer="992" w:gutter="0"/>
          <w:cols w:num="1" w:sep="0" w:space="720" w:equalWidth="1"/>
          <w:docGrid w:linePitch="360"/>
        </w:sectPr>
      </w:pPr>
      <w:r>
        <w:rPr>
          <w:rFonts w:hint="eastAsia" w:ascii="宋体" w:hAnsi="宋体" w:eastAsia="宋体" w:cs="Times New Roman"/>
          <w:sz w:val="21"/>
          <w:szCs w:val="21"/>
          <w:highlight w:val="none"/>
        </w:rPr>
        <w:t xml:space="preserve">项目经理（签字）：                                       审核人（签字）：</w:t>
      </w:r>
      <w:r/>
    </w:p>
    <w:tbl>
      <w:tblPr>
        <w:tblStyle w:val="944"/>
        <w:tblpPr w:horzAnchor="margin" w:tblpXSpec="center" w:vertAnchor="margin" w:tblpY="375" w:leftFromText="180" w:topFromText="0" w:rightFromText="180" w:bottomFromText="0"/>
        <w:tblW w:w="14820" w:type="dxa"/>
        <w:tblInd w:w="0" w:type="dxa"/>
        <w:tblLayout w:type="fixed"/>
        <w:tblCellMar>
          <w:left w:w="108" w:type="dxa"/>
          <w:top w:w="0" w:type="dxa"/>
          <w:right w:w="108" w:type="dxa"/>
          <w:bottom w:w="0" w:type="dxa"/>
        </w:tblCellMar>
        <w:tblLook w:val="04A0" w:firstRow="1" w:lastRow="0" w:firstColumn="1" w:lastColumn="0" w:noHBand="0" w:noVBand="1"/>
      </w:tblPr>
      <w:tblGrid>
        <w:gridCol w:w="1004"/>
        <w:gridCol w:w="1004"/>
        <w:gridCol w:w="1477"/>
        <w:gridCol w:w="1004"/>
        <w:gridCol w:w="1004"/>
        <w:gridCol w:w="1004"/>
        <w:gridCol w:w="1477"/>
        <w:gridCol w:w="1004"/>
        <w:gridCol w:w="1004"/>
        <w:gridCol w:w="1477"/>
        <w:gridCol w:w="1681"/>
        <w:gridCol w:w="1680"/>
      </w:tblGrid>
      <w:tr>
        <w:trPr>
          <w:trHeight w:val="630"/>
        </w:trPr>
        <w:tc>
          <w:tcPr>
            <w:gridSpan w:val="12"/>
            <w:tcBorders>
              <w:top w:val="none" w:color="000000" w:sz="4" w:space="0"/>
              <w:left w:val="none" w:color="000000" w:sz="4" w:space="0"/>
              <w:bottom w:val="single" w:color="auto" w:sz="6" w:space="0"/>
              <w:right w:val="none" w:color="000000" w:sz="4" w:space="0"/>
            </w:tcBorders>
            <w:tcW w:w="14820" w:type="dxa"/>
            <w:vAlign w:val="center"/>
            <w:textDirection w:val="lrTb"/>
            <w:noWrap w:val="false"/>
          </w:tcPr>
          <w:p>
            <w:pPr>
              <w:jc w:val="center"/>
              <w:spacing w:line="240" w:lineRule="auto"/>
              <w:rPr>
                <w:rFonts w:hint="eastAsia" w:ascii="宋体" w:hAnsi="宋体" w:eastAsia="宋体" w:cs="Times New Roman"/>
                <w:sz w:val="27"/>
                <w:szCs w:val="24"/>
                <w:highlight w:val="none"/>
              </w:rPr>
            </w:pPr>
            <w:r>
              <w:rPr>
                <w:rFonts w:hint="eastAsia" w:ascii="宋体" w:hAnsi="宋体" w:eastAsia="宋体" w:cs="Times New Roman"/>
                <w:sz w:val="27"/>
                <w:szCs w:val="24"/>
                <w:highlight w:val="none"/>
              </w:rPr>
              <w:t xml:space="preserve">附录二：化学药剂出入库及空瓶回收台账</w:t>
            </w:r>
            <w:r/>
          </w:p>
        </w:tc>
      </w:tr>
      <w:tr>
        <w:trPr>
          <w:trHeight w:val="402"/>
        </w:trPr>
        <w:tc>
          <w:tcPr>
            <w:gridSpan w:val="4"/>
            <w:tcBorders>
              <w:top w:val="single" w:color="auto" w:sz="6" w:space="0"/>
              <w:left w:val="single" w:color="auto" w:sz="6" w:space="0"/>
              <w:bottom w:val="single" w:color="auto" w:sz="4" w:space="0"/>
              <w:right w:val="single" w:color="000000" w:sz="6" w:space="0"/>
            </w:tcBorders>
            <w:tcW w:w="4489"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入库</w:t>
            </w:r>
            <w:r/>
          </w:p>
        </w:tc>
        <w:tc>
          <w:tcPr>
            <w:gridSpan w:val="4"/>
            <w:tcBorders>
              <w:top w:val="single" w:color="auto" w:sz="6" w:space="0"/>
              <w:left w:val="none" w:color="000000" w:sz="4" w:space="0"/>
              <w:bottom w:val="single" w:color="auto" w:sz="4" w:space="0"/>
              <w:right w:val="single" w:color="000000" w:sz="6" w:space="0"/>
            </w:tcBorders>
            <w:tcW w:w="4489"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出库</w:t>
            </w:r>
            <w:r/>
          </w:p>
        </w:tc>
        <w:tc>
          <w:tcPr>
            <w:gridSpan w:val="4"/>
            <w:tcBorders>
              <w:top w:val="single" w:color="auto" w:sz="6" w:space="0"/>
              <w:left w:val="none" w:color="000000" w:sz="4" w:space="0"/>
              <w:bottom w:val="single" w:color="auto" w:sz="4" w:space="0"/>
              <w:right w:val="single" w:color="000000" w:sz="6" w:space="0"/>
            </w:tcBorders>
            <w:tcW w:w="5842"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空瓶回收</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堆放地</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回收公司</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回收时间</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6"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6"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285"/>
        </w:trPr>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4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单位（盖章）：</w:t>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hint="eastAsia" w:ascii="宋体" w:hAnsi="宋体"/>
          <w:sz w:val="27"/>
          <w:highlight w:val="none"/>
        </w:rPr>
        <w:sectPr>
          <w:footnotePr/>
          <w:endnotePr/>
          <w:type w:val="nextPage"/>
          <w:pgSz w:w="16838" w:h="11906" w:orient="landscape"/>
          <w:pgMar w:top="1440" w:right="1440" w:bottom="1440" w:left="1440" w:header="851" w:footer="992" w:gutter="0"/>
          <w:cols w:num="1" w:sep="0" w:space="720" w:equalWidth="1"/>
          <w:docGrid w:linePitch="360"/>
        </w:sectPr>
      </w:pPr>
      <w:r>
        <w:rPr>
          <w:rFonts w:hint="eastAsia" w:ascii="宋体" w:hAnsi="宋体"/>
          <w:sz w:val="27"/>
          <w:highlight w:val="none"/>
        </w:rPr>
      </w:r>
      <w:r/>
    </w:p>
    <w:p>
      <w:pPr>
        <w:jc w:val="center"/>
        <w:spacing w:line="240" w:lineRule="auto"/>
        <w:rPr>
          <w:rFonts w:ascii="宋体" w:hAnsi="宋体" w:eastAsia="宋体" w:cs="Times New Roman"/>
          <w:sz w:val="27"/>
          <w:szCs w:val="24"/>
          <w:highlight w:val="none"/>
        </w:rPr>
      </w:pPr>
      <w:r>
        <w:rPr>
          <w:rFonts w:hint="eastAsia" w:ascii="宋体" w:hAnsi="宋体" w:eastAsia="宋体" w:cs="Times New Roman"/>
          <w:sz w:val="27"/>
          <w:szCs w:val="24"/>
          <w:highlight w:val="none"/>
        </w:rPr>
        <w:t xml:space="preserve">附录三：古树名木养护记录表</w:t>
      </w:r>
      <w:r/>
    </w:p>
    <w:tbl>
      <w:tblPr>
        <w:tblStyle w:val="944"/>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694"/>
        <w:gridCol w:w="3610"/>
        <w:gridCol w:w="1113"/>
        <w:gridCol w:w="1939"/>
      </w:tblGrid>
      <w:tr>
        <w:trPr>
          <w:jc w:val="center"/>
          <w:trHeight w:val="56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绿地名称</w:t>
            </w:r>
            <w:r/>
          </w:p>
        </w:tc>
        <w:tc>
          <w:tcPr>
            <w:tcW w:w="3610"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c>
          <w:tcPr>
            <w:tcW w:w="1113"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点</w:t>
            </w:r>
            <w:r/>
          </w:p>
        </w:tc>
        <w:tc>
          <w:tcPr>
            <w:tcW w:w="193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62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植物名称</w:t>
            </w:r>
            <w:r/>
          </w:p>
        </w:tc>
        <w:tc>
          <w:tcPr>
            <w:tcW w:w="3610"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c>
          <w:tcPr>
            <w:tcW w:w="1113"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编</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号</w:t>
            </w:r>
            <w:r/>
          </w:p>
        </w:tc>
        <w:tc>
          <w:tcPr>
            <w:tcW w:w="193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60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学</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名</w:t>
            </w:r>
            <w:r/>
          </w:p>
        </w:tc>
        <w:tc>
          <w:tcPr>
            <w:gridSpan w:val="3"/>
            <w:tcW w:w="6662"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62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规</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格</w:t>
            </w:r>
            <w:r/>
          </w:p>
        </w:tc>
        <w:tc>
          <w:tcPr>
            <w:tcW w:w="3610"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c>
          <w:tcPr>
            <w:tcW w:w="1113"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量</w:t>
            </w:r>
            <w:r/>
          </w:p>
        </w:tc>
        <w:tc>
          <w:tcPr>
            <w:tcW w:w="193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60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来</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源</w:t>
            </w:r>
            <w:r/>
          </w:p>
        </w:tc>
        <w:tc>
          <w:tcPr>
            <w:gridSpan w:val="3"/>
            <w:tcW w:w="6662"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60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种植时间</w:t>
            </w:r>
            <w:r/>
          </w:p>
        </w:tc>
        <w:tc>
          <w:tcPr>
            <w:gridSpan w:val="3"/>
            <w:tcW w:w="6662"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158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生长势</w:t>
            </w:r>
            <w:r/>
          </w:p>
        </w:tc>
        <w:tc>
          <w:tcPr>
            <w:gridSpan w:val="3"/>
            <w:tcW w:w="6662"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158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病虫害</w:t>
            </w:r>
            <w:r/>
          </w:p>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发生情况</w:t>
            </w:r>
            <w:r/>
          </w:p>
        </w:tc>
        <w:tc>
          <w:tcPr>
            <w:gridSpan w:val="3"/>
            <w:tcW w:w="6662"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158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养护措施</w:t>
            </w:r>
            <w:r/>
          </w:p>
        </w:tc>
        <w:tc>
          <w:tcPr>
            <w:gridSpan w:val="3"/>
            <w:tcW w:w="6662"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160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养护成效</w:t>
            </w:r>
            <w:r/>
          </w:p>
        </w:tc>
        <w:tc>
          <w:tcPr>
            <w:gridSpan w:val="3"/>
            <w:tcW w:w="6662"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740"/>
        </w:trPr>
        <w:tc>
          <w:tcPr>
            <w:tcW w:w="1694"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记录人</w:t>
            </w:r>
            <w:r/>
          </w:p>
        </w:tc>
        <w:tc>
          <w:tcPr>
            <w:tcW w:w="3610"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c>
          <w:tcPr>
            <w:tcW w:w="1113"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记录日期</w:t>
            </w:r>
            <w:r/>
          </w:p>
        </w:tc>
        <w:tc>
          <w:tcPr>
            <w:tcW w:w="193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bl>
    <w:p>
      <w:pP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jc w:val="center"/>
        <w:keepNext/>
        <w:widowControl w:val="off"/>
        <w:rPr>
          <w:rFonts w:hint="eastAsia" w:ascii="宋体" w:hAnsi="宋体" w:eastAsia="宋体" w:cs="Times New Roman"/>
          <w:b/>
          <w:bCs/>
          <w:sz w:val="32"/>
          <w:szCs w:val="24"/>
          <w:highlight w:val="none"/>
          <w:lang w:val="en-US" w:eastAsia="zh-CN" w:bidi="ar-SA"/>
        </w:rPr>
        <w:outlineLvl w:val="3"/>
      </w:pPr>
      <w:r>
        <w:rPr>
          <w:rFonts w:hint="eastAsia" w:ascii="宋体" w:hAnsi="宋体" w:eastAsia="宋体" w:cs="Times New Roman"/>
          <w:b/>
          <w:bCs/>
          <w:sz w:val="32"/>
          <w:szCs w:val="24"/>
          <w:highlight w:val="none"/>
          <w:lang w:val="en-US" w:eastAsia="zh-CN" w:bidi="ar-SA"/>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jc w:val="center"/>
        <w:keepNext/>
        <w:widowControl w:val="off"/>
        <w:rPr>
          <w:rFonts w:hint="eastAsia" w:ascii="宋体" w:hAnsi="宋体" w:eastAsia="宋体" w:cs="Times New Roman"/>
          <w:b/>
          <w:bCs/>
          <w:sz w:val="32"/>
          <w:szCs w:val="24"/>
          <w:highlight w:val="none"/>
          <w:lang w:val="en-US" w:eastAsia="zh-CN" w:bidi="ar-SA"/>
        </w:rPr>
        <w:outlineLvl w:val="3"/>
      </w:pPr>
      <w:r>
        <w:rPr>
          <w:rFonts w:hint="eastAsia" w:ascii="宋体" w:hAnsi="宋体" w:eastAsia="宋体" w:cs="Times New Roman"/>
          <w:b/>
          <w:bCs/>
          <w:sz w:val="32"/>
          <w:szCs w:val="24"/>
          <w:highlight w:val="none"/>
          <w:lang w:val="en-US" w:eastAsia="zh-CN" w:bidi="ar-SA"/>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jc w:val="center"/>
        <w:spacing w:line="240" w:lineRule="auto"/>
        <w:rPr>
          <w:rFonts w:hint="eastAsia" w:ascii="宋体" w:hAnsi="宋体" w:eastAsia="宋体" w:cs="Times New Roman"/>
          <w:sz w:val="27"/>
          <w:szCs w:val="24"/>
          <w:highlight w:val="none"/>
        </w:rPr>
        <w:sectPr>
          <w:headerReference w:type="default" r:id="rId10"/>
          <w:footerReference w:type="default" r:id="rId17"/>
          <w:footnotePr/>
          <w:endnotePr/>
          <w:type w:val="nextPage"/>
          <w:pgSz w:w="11906" w:h="16838" w:orient="portrait"/>
          <w:pgMar w:top="1418" w:right="1361" w:bottom="1418" w:left="1361" w:header="851" w:footer="726" w:gutter="0"/>
          <w:cols w:num="1" w:sep="0" w:space="720" w:equalWidth="1"/>
          <w:docGrid w:linePitch="360"/>
        </w:sectPr>
      </w:pPr>
      <w:r>
        <w:rPr>
          <w:rFonts w:hint="eastAsia" w:ascii="宋体" w:hAnsi="宋体" w:eastAsia="宋体" w:cs="Times New Roman"/>
          <w:sz w:val="27"/>
          <w:szCs w:val="24"/>
          <w:highlight w:val="none"/>
        </w:rPr>
      </w:r>
      <w:r/>
    </w:p>
    <w:p>
      <w:pPr>
        <w:pStyle w:val="945"/>
        <w:rPr>
          <w:rFonts w:hint="eastAsia"/>
          <w:highlight w:val="none"/>
        </w:rPr>
      </w:pPr>
      <w:r>
        <w:rPr>
          <w:rFonts w:hint="eastAsia"/>
          <w:highlight w:val="none"/>
        </w:rPr>
      </w:r>
      <w:r/>
    </w:p>
    <w:p>
      <w:pPr>
        <w:jc w:val="center"/>
        <w:spacing w:line="240" w:lineRule="auto"/>
        <w:rPr>
          <w:rFonts w:ascii="宋体" w:hAnsi="宋体" w:eastAsia="宋体" w:cs="Times New Roman"/>
          <w:sz w:val="27"/>
          <w:szCs w:val="24"/>
          <w:highlight w:val="none"/>
        </w:rPr>
      </w:pPr>
      <w:r>
        <w:rPr>
          <w:rFonts w:hint="eastAsia" w:ascii="宋体" w:hAnsi="宋体" w:eastAsia="宋体" w:cs="Times New Roman"/>
          <w:sz w:val="27"/>
          <w:szCs w:val="24"/>
          <w:highlight w:val="none"/>
        </w:rPr>
        <w:t xml:space="preserve">附录四：枯死树木记录表</w:t>
      </w:r>
      <w:r/>
    </w:p>
    <w:tbl>
      <w:tblPr>
        <w:tblStyle w:val="944"/>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521"/>
        <w:gridCol w:w="3639"/>
        <w:gridCol w:w="1123"/>
        <w:gridCol w:w="1949"/>
      </w:tblGrid>
      <w:tr>
        <w:trPr>
          <w:jc w:val="center"/>
          <w:trHeight w:val="560"/>
        </w:trPr>
        <w:tc>
          <w:tcPr>
            <w:tcW w:w="1521"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绿地名称</w:t>
            </w:r>
            <w:r/>
          </w:p>
        </w:tc>
        <w:tc>
          <w:tcPr>
            <w:tcW w:w="363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c>
          <w:tcPr>
            <w:tcW w:w="1123"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点</w:t>
            </w:r>
            <w:r/>
          </w:p>
        </w:tc>
        <w:tc>
          <w:tcPr>
            <w:tcW w:w="194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620"/>
        </w:trPr>
        <w:tc>
          <w:tcPr>
            <w:tcW w:w="1521"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植物名称</w:t>
            </w:r>
            <w:r/>
          </w:p>
        </w:tc>
        <w:tc>
          <w:tcPr>
            <w:tcW w:w="363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c>
          <w:tcPr>
            <w:tcW w:w="1123"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编</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号</w:t>
            </w:r>
            <w:r/>
          </w:p>
        </w:tc>
        <w:tc>
          <w:tcPr>
            <w:tcW w:w="194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600"/>
        </w:trPr>
        <w:tc>
          <w:tcPr>
            <w:tcW w:w="1521"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学</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名</w:t>
            </w:r>
            <w:r/>
          </w:p>
        </w:tc>
        <w:tc>
          <w:tcPr>
            <w:gridSpan w:val="3"/>
            <w:tcW w:w="6711"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620"/>
        </w:trPr>
        <w:tc>
          <w:tcPr>
            <w:tcW w:w="1521"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规</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格</w:t>
            </w:r>
            <w:r/>
          </w:p>
        </w:tc>
        <w:tc>
          <w:tcPr>
            <w:tcW w:w="363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c>
          <w:tcPr>
            <w:tcW w:w="1123"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量</w:t>
            </w:r>
            <w:r/>
          </w:p>
        </w:tc>
        <w:tc>
          <w:tcPr>
            <w:tcW w:w="194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600"/>
        </w:trPr>
        <w:tc>
          <w:tcPr>
            <w:tcW w:w="1521"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死亡时间</w:t>
            </w:r>
            <w:r/>
          </w:p>
        </w:tc>
        <w:tc>
          <w:tcPr>
            <w:tcW w:w="363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c>
          <w:tcPr>
            <w:tcW w:w="1123"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挖除时间</w:t>
            </w:r>
            <w:r/>
          </w:p>
        </w:tc>
        <w:tc>
          <w:tcPr>
            <w:tcW w:w="194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3020"/>
        </w:trPr>
        <w:tc>
          <w:tcPr>
            <w:tcW w:w="1521"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死亡原因</w:t>
            </w:r>
            <w:r/>
          </w:p>
        </w:tc>
        <w:tc>
          <w:tcPr>
            <w:gridSpan w:val="3"/>
            <w:tcW w:w="6711"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3020"/>
        </w:trPr>
        <w:tc>
          <w:tcPr>
            <w:tcW w:w="1521"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已采取何种</w:t>
            </w:r>
            <w:r/>
          </w:p>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抢救措施</w:t>
            </w:r>
            <w:r/>
          </w:p>
        </w:tc>
        <w:tc>
          <w:tcPr>
            <w:gridSpan w:val="3"/>
            <w:tcW w:w="6711"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760"/>
        </w:trPr>
        <w:tc>
          <w:tcPr>
            <w:tcW w:w="1521"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挖除人</w:t>
            </w:r>
            <w:r/>
          </w:p>
        </w:tc>
        <w:tc>
          <w:tcPr>
            <w:tcW w:w="363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c>
          <w:tcPr>
            <w:tcW w:w="1123"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记录人</w:t>
            </w:r>
            <w:r/>
          </w:p>
        </w:tc>
        <w:tc>
          <w:tcPr>
            <w:tcW w:w="194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r>
        <w:trPr>
          <w:jc w:val="center"/>
          <w:trHeight w:val="740"/>
        </w:trPr>
        <w:tc>
          <w:tcPr>
            <w:tcW w:w="1521"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单位负责人</w:t>
            </w:r>
            <w:r/>
          </w:p>
        </w:tc>
        <w:tc>
          <w:tcPr>
            <w:tcW w:w="363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c>
          <w:tcPr>
            <w:tcW w:w="1123" w:type="dxa"/>
            <w:vAlign w:val="center"/>
            <w:textDirection w:val="lrTb"/>
            <w:noWrap w:val="false"/>
          </w:tcPr>
          <w:p>
            <w:pPr>
              <w:jc w:val="center"/>
              <w:spacing w:line="240" w:lineRule="auto"/>
              <w:rPr>
                <w:rFonts w:ascii="宋体" w:hAnsi="宋体" w:eastAsia="宋体" w:cs="Times New Roman"/>
                <w:sz w:val="21"/>
                <w:szCs w:val="24"/>
                <w:highlight w:val="none"/>
              </w:rPr>
            </w:pPr>
            <w:r>
              <w:rPr>
                <w:rFonts w:hint="eastAsia" w:ascii="宋体" w:hAnsi="宋体" w:eastAsia="宋体" w:cs="Times New Roman"/>
                <w:sz w:val="21"/>
                <w:szCs w:val="24"/>
                <w:highlight w:val="none"/>
              </w:rPr>
              <w:t xml:space="preserve">记录日期</w:t>
            </w:r>
            <w:r/>
          </w:p>
        </w:tc>
        <w:tc>
          <w:tcPr>
            <w:tcW w:w="1949" w:type="dxa"/>
            <w:vAlign w:val="center"/>
            <w:textDirection w:val="lrTb"/>
            <w:noWrap w:val="false"/>
          </w:tcPr>
          <w:p>
            <w:pPr>
              <w:jc w:val="cente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c>
      </w:tr>
    </w:tbl>
    <w:p>
      <w:pPr>
        <w:ind w:firstLine="435"/>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240" w:lineRule="auto"/>
        <w:rPr>
          <w:rFonts w:hint="eastAsia" w:ascii="宋体" w:hAnsi="宋体" w:eastAsia="宋体" w:cs="Times New Roman"/>
          <w:sz w:val="24"/>
          <w:szCs w:val="24"/>
          <w:highlight w:val="none"/>
        </w:rPr>
      </w:pPr>
      <w:r/>
      <w:bookmarkStart w:id="2" w:name="_Toc231463945"/>
      <w:r/>
      <w:r/>
    </w:p>
    <w:p>
      <w:pPr>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center"/>
        <w:keepNext/>
        <w:widowControl w:val="off"/>
        <w:rPr>
          <w:rFonts w:hint="eastAsia" w:ascii="宋体" w:hAnsi="宋体" w:eastAsia="宋体" w:cs="Times New Roman"/>
          <w:b/>
          <w:bCs/>
          <w:sz w:val="24"/>
          <w:szCs w:val="24"/>
          <w:highlight w:val="none"/>
          <w:lang w:val="en-US" w:eastAsia="zh-CN" w:bidi="ar-SA"/>
        </w:rPr>
        <w:outlineLvl w:val="3"/>
      </w:pPr>
      <w:r>
        <w:rPr>
          <w:rFonts w:hint="eastAsia" w:ascii="宋体" w:hAnsi="宋体" w:eastAsia="宋体" w:cs="Times New Roman"/>
          <w:b/>
          <w:bCs/>
          <w:sz w:val="24"/>
          <w:szCs w:val="24"/>
          <w:highlight w:val="none"/>
          <w:lang w:val="en-US" w:eastAsia="zh-CN" w:bidi="ar-SA"/>
        </w:rPr>
      </w:r>
      <w:r/>
    </w:p>
    <w:p>
      <w:pPr>
        <w:spacing w:line="240" w:lineRule="auto"/>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r>
      <w:r/>
    </w:p>
    <w:p>
      <w:pPr>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spacing w:line="240" w:lineRule="auto"/>
        <w:rPr>
          <w:rFonts w:hint="eastAsia" w:ascii="宋体" w:hAnsi="宋体" w:eastAsia="宋体" w:cs="Times New Roman"/>
          <w:sz w:val="27"/>
          <w:szCs w:val="24"/>
          <w:highlight w:val="none"/>
        </w:rPr>
      </w:pPr>
      <w:r>
        <w:rPr>
          <w:rFonts w:hint="eastAsia" w:ascii="宋体" w:hAnsi="宋体" w:eastAsia="宋体" w:cs="Times New Roman"/>
          <w:sz w:val="27"/>
          <w:szCs w:val="24"/>
          <w:highlight w:val="none"/>
        </w:rPr>
        <w:t xml:space="preserve"> </w:t>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附件2：          绿化养护质量考核分类扣款规定</w:t>
      </w:r>
      <w:r/>
    </w:p>
    <w:p>
      <w:pPr>
        <w:ind w:left="-13" w:right="-874" w:firstLine="13"/>
        <w:spacing w:line="240" w:lineRule="auto"/>
        <w:rPr>
          <w:rFonts w:hint="eastAsia" w:ascii="宋体" w:hAnsi="宋体" w:eastAsia="宋体" w:cs="Times New Roman"/>
          <w:b/>
          <w:sz w:val="21"/>
          <w:szCs w:val="24"/>
          <w:highlight w:val="none"/>
        </w:rPr>
      </w:pPr>
      <w:r>
        <w:rPr>
          <w:rFonts w:hint="eastAsia" w:ascii="宋体" w:hAnsi="宋体" w:eastAsia="宋体" w:cs="Times New Roman"/>
          <w:b/>
          <w:sz w:val="21"/>
          <w:szCs w:val="24"/>
          <w:highlight w:val="none"/>
        </w:rPr>
        <w:t xml:space="preserve">概述：养护单位在从事绿化养护工作过程中出现以下问题，每起扣1分，每分扣款标准按下表分类执行。</w:t>
      </w:r>
      <w:r/>
    </w:p>
    <w:tbl>
      <w:tblPr>
        <w:tblStyle w:val="944"/>
        <w:tblW w:w="0" w:type="auto"/>
        <w:jc w:val="center"/>
        <w:tblLayout w:type="fixed"/>
        <w:tblCellMar>
          <w:left w:w="108" w:type="dxa"/>
          <w:top w:w="0" w:type="dxa"/>
          <w:right w:w="108" w:type="dxa"/>
          <w:bottom w:w="0" w:type="dxa"/>
        </w:tblCellMar>
        <w:tblLook w:val="04A0" w:firstRow="1" w:lastRow="0" w:firstColumn="1" w:lastColumn="0" w:noHBand="0" w:noVBand="1"/>
      </w:tblPr>
      <w:tblGrid>
        <w:gridCol w:w="930"/>
        <w:gridCol w:w="1575"/>
        <w:gridCol w:w="2730"/>
        <w:gridCol w:w="2625"/>
        <w:gridCol w:w="2396"/>
      </w:tblGrid>
      <w:tr>
        <w:trPr>
          <w:jc w:val="center"/>
          <w:trHeight w:val="835"/>
        </w:trPr>
        <w:tc>
          <w:tcPr>
            <w:gridSpan w:val="2"/>
            <w:tcBorders>
              <w:top w:val="single" w:color="auto" w:sz="4" w:space="0"/>
              <w:left w:val="single" w:color="auto" w:sz="4" w:space="0"/>
              <w:bottom w:val="single" w:color="auto" w:sz="2" w:space="0"/>
              <w:right w:val="single" w:color="auto" w:sz="2" w:space="0"/>
            </w:tcBorders>
            <w:tcW w:w="2505"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内容        倍率</w:t>
            </w:r>
            <w:r/>
          </w:p>
        </w:tc>
        <w:tc>
          <w:tcPr>
            <w:tcBorders>
              <w:top w:val="single" w:color="auto" w:sz="4"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A类（600元/分）</w:t>
            </w:r>
            <w:r/>
          </w:p>
        </w:tc>
        <w:tc>
          <w:tcPr>
            <w:tcBorders>
              <w:top w:val="single" w:color="auto" w:sz="4"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B类（400元/分）</w:t>
            </w:r>
            <w:r/>
          </w:p>
        </w:tc>
        <w:tc>
          <w:tcPr>
            <w:tcBorders>
              <w:top w:val="single" w:color="auto" w:sz="4"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C类（200元/分）</w:t>
            </w:r>
            <w:r/>
          </w:p>
        </w:tc>
      </w:tr>
      <w:tr>
        <w:trPr>
          <w:jc w:val="center"/>
          <w:trHeight w:val="463"/>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保障令</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保障期间一切质量问题</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68"/>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整改</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规定时间内未整改</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整改不及时或整改后不符合要求</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927"/>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工作纪律</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项目经理无故缺勤或离岗；养护人员作业期间私自焚烧垃圾、聚众聊天、打牌、</w:t>
            </w:r>
            <w:r>
              <w:rPr>
                <w:rFonts w:hint="eastAsia" w:ascii="宋体" w:hAnsi="宋体" w:cs="宋体"/>
                <w:sz w:val="24"/>
                <w:szCs w:val="24"/>
                <w:highlight w:val="none"/>
                <w:lang w:eastAsia="zh-CN"/>
              </w:rPr>
              <w:t xml:space="preserve">择菜</w:t>
            </w:r>
            <w:r>
              <w:rPr>
                <w:rFonts w:hint="eastAsia" w:ascii="宋体" w:hAnsi="宋体" w:eastAsia="宋体" w:cs="宋体"/>
                <w:sz w:val="24"/>
                <w:szCs w:val="24"/>
                <w:highlight w:val="none"/>
              </w:rPr>
              <w:t xml:space="preserve">、睡觉等严重违纪现象</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项目经理未巡查；养护人员不足、未按要求着装、不守交规、乱扔垃圾、从事非养护范围内工作</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项目经理迟到早退、联络不上、巡查制度落实不力；养护人员工作马虎</w:t>
            </w:r>
            <w:r/>
          </w:p>
        </w:tc>
      </w:tr>
      <w:tr>
        <w:trPr>
          <w:jc w:val="center"/>
          <w:trHeight w:val="756"/>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工作效率</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突击性、指令性任务响应时间超2小时、完成时间超1个工作日</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突击性、指令性任务响应时间超1小时、完成时间超半个工作日</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56"/>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jc w:val="center"/>
              <w:spacing w:line="240" w:lineRule="auto"/>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工作台账</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重要台账或其他要求报送的资料等内容缺项、内容弄虚作假</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台账或其他要求报送的资料等编制马虎、内容不详实</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整理装订不规范</w:t>
            </w:r>
            <w:r/>
          </w:p>
        </w:tc>
      </w:tr>
      <w:tr>
        <w:trPr>
          <w:jc w:val="center"/>
          <w:trHeight w:val="610"/>
        </w:trPr>
        <w:tc>
          <w:tcPr>
            <w:tcBorders>
              <w:top w:val="single" w:color="auto" w:sz="2" w:space="0"/>
              <w:left w:val="single" w:color="auto" w:sz="4" w:space="0"/>
              <w:bottom w:val="single" w:color="auto" w:sz="2" w:space="0"/>
              <w:right w:val="single" w:color="auto" w:sz="2" w:space="0"/>
            </w:tcBorders>
            <w:tcW w:w="930" w:type="dxa"/>
            <w:vAlign w:val="center"/>
            <w:vMerge w:val="restart"/>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工            作        质         量</w:t>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巡查</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非法开挖或其他毁绿损绿行为未发现上报</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超许可范围开挖未上报、开挖结束后未及时上报恢复</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1538"/>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jc w:val="center"/>
              <w:spacing w:line="240" w:lineRule="auto"/>
              <w:widowControl/>
              <w:rPr>
                <w:rFonts w:ascii="宋体" w:hAnsi="宋体" w:eastAsia="宋体" w:cs="宋体"/>
                <w:b/>
                <w:bCs/>
                <w:sz w:val="22"/>
                <w:szCs w:val="22"/>
                <w:highlight w:val="none"/>
              </w:rPr>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存活</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行道树缺株或死亡、道路绿化苗木连续3株死亡或缺株或缺株率2%以上、绿篱缺株或死亡2米以上、色块稀缺或死亡3平方以上、草坪集中空秃或死亡2平方米以上</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道路绿化苗木死亡或连续2株缺株、生态林内苗木死亡或缺株2%以上、绿篱缺株或死亡1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2米、色块稀缺或死亡2-3平方、草坪集中空秃或死亡1-2平方米</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生态林内苗木死亡或缺株2%以内、道路绿化非连续缺株2%以内，绿篱缺株或死亡1米、色块稀缺或死亡2平方、草坪集中空秃或死亡1平方米内</w:t>
            </w:r>
            <w:r/>
          </w:p>
        </w:tc>
      </w:tr>
      <w:tr>
        <w:trPr>
          <w:jc w:val="center"/>
          <w:trHeight w:val="108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jc w:val="center"/>
              <w:spacing w:line="240" w:lineRule="auto"/>
              <w:widowControl/>
              <w:rPr>
                <w:rFonts w:ascii="宋体" w:hAnsi="宋体" w:eastAsia="宋体" w:cs="宋体"/>
                <w:b/>
                <w:bCs/>
                <w:sz w:val="22"/>
                <w:szCs w:val="22"/>
                <w:highlight w:val="none"/>
              </w:rPr>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长势</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行道树有明显枯死枝、断枝、倾斜、倒伏；草坪被焚烧</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道路绿化苗木有明显枯死枝、断枝、倾斜倒伏；10平方米以上色块、草坪长势不佳；绿篱严重脱脚</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苗木长势不良、树形不佳；10平方米以内色块、草坪长势不佳；绿篱明显脱脚</w:t>
            </w:r>
            <w:r/>
          </w:p>
        </w:tc>
      </w:tr>
      <w:tr>
        <w:trPr>
          <w:jc w:val="center"/>
          <w:trHeight w:val="61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jc w:val="center"/>
              <w:spacing w:line="240" w:lineRule="auto"/>
              <w:widowControl/>
              <w:rPr>
                <w:rFonts w:ascii="宋体" w:hAnsi="宋体" w:eastAsia="宋体" w:cs="宋体"/>
                <w:b/>
                <w:bCs/>
                <w:sz w:val="22"/>
                <w:szCs w:val="22"/>
                <w:highlight w:val="none"/>
              </w:rPr>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修剪</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修剪损伤苗木、破坏树形；绿篱、色块、球类、草坪修剪不及时</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绿篱、色块修剪不带线、乔灌木疏枝整形修剪不及时</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乔灌木疏枝整形修剪不到位</w:t>
            </w:r>
            <w:r/>
          </w:p>
        </w:tc>
      </w:tr>
      <w:tr>
        <w:trPr>
          <w:jc w:val="center"/>
          <w:trHeight w:val="60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jc w:val="center"/>
              <w:spacing w:line="240" w:lineRule="auto"/>
              <w:widowControl/>
              <w:rPr>
                <w:rFonts w:ascii="宋体" w:hAnsi="宋体" w:eastAsia="宋体" w:cs="宋体"/>
                <w:b/>
                <w:bCs/>
                <w:sz w:val="22"/>
                <w:szCs w:val="22"/>
                <w:highlight w:val="none"/>
              </w:rPr>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保洁</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绿地内落叶、枯枝、杂草、杂树、废支撑、烂草绳、修剪废弃物等绿化垃圾较多</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绿地内落叶、枯枝、杂草、杂树、废支撑、烂草绳、修剪废弃物等绿化垃圾已归堆但未及时清理</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有零星绿化垃圾</w:t>
            </w:r>
            <w:r/>
          </w:p>
        </w:tc>
      </w:tr>
      <w:tr>
        <w:trPr>
          <w:jc w:val="center"/>
          <w:trHeight w:val="47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jc w:val="center"/>
              <w:spacing w:line="240" w:lineRule="auto"/>
              <w:widowControl/>
              <w:rPr>
                <w:rFonts w:ascii="宋体" w:hAnsi="宋体" w:eastAsia="宋体" w:cs="宋体"/>
                <w:b/>
                <w:bCs/>
                <w:sz w:val="22"/>
                <w:szCs w:val="22"/>
                <w:highlight w:val="none"/>
              </w:rPr>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浇水</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浇水不及时、有苗木干死</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浇水不及时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有苗木长势不佳</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未按规范作业、污染路面</w:t>
            </w:r>
            <w:r/>
          </w:p>
        </w:tc>
      </w:tr>
      <w:tr>
        <w:trPr>
          <w:jc w:val="center"/>
          <w:trHeight w:val="463"/>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jc w:val="center"/>
              <w:spacing w:line="240" w:lineRule="auto"/>
              <w:widowControl/>
              <w:rPr>
                <w:rFonts w:ascii="宋体" w:hAnsi="宋体" w:eastAsia="宋体" w:cs="宋体"/>
                <w:b/>
                <w:bCs/>
                <w:sz w:val="22"/>
                <w:szCs w:val="22"/>
                <w:highlight w:val="none"/>
              </w:rPr>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施肥</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未施肥或施肥不当导致苗木受损</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施肥不足、长势无明显改善</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污染路面</w:t>
            </w:r>
            <w:r/>
          </w:p>
        </w:tc>
      </w:tr>
      <w:tr>
        <w:trPr>
          <w:jc w:val="center"/>
          <w:trHeight w:val="1064"/>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jc w:val="center"/>
              <w:spacing w:line="240" w:lineRule="auto"/>
              <w:widowControl/>
              <w:rPr>
                <w:rFonts w:ascii="宋体" w:hAnsi="宋体" w:eastAsia="宋体" w:cs="宋体"/>
                <w:b/>
                <w:bCs/>
                <w:sz w:val="22"/>
                <w:szCs w:val="22"/>
                <w:highlight w:val="none"/>
              </w:rPr>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病虫害防治</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作业工人未做好安全防护、污染环境、连续5株乔灌木或超10平方地被有病虫害或单株植株因病虫害受损比例超50%</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病虫害发生在5株以内乔灌木或10平方内地被或单株受损50%以内，防治效果不明显</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防治器具、药物及回收包装物出入库未按规定登记并集中收置和处理</w:t>
            </w:r>
            <w:r/>
          </w:p>
        </w:tc>
      </w:tr>
      <w:tr>
        <w:trPr>
          <w:jc w:val="center"/>
          <w:trHeight w:val="469"/>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jc w:val="center"/>
              <w:spacing w:line="240" w:lineRule="auto"/>
              <w:widowControl/>
              <w:rPr>
                <w:rFonts w:ascii="宋体" w:hAnsi="宋体" w:eastAsia="宋体" w:cs="宋体"/>
                <w:b/>
                <w:bCs/>
                <w:sz w:val="22"/>
                <w:szCs w:val="22"/>
                <w:highlight w:val="none"/>
              </w:rPr>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松土</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树穴松土或草坪、绿篱未切边不及时</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树穴松土或草坪、绿篱未切边不到位</w:t>
            </w:r>
            <w:r/>
          </w:p>
        </w:tc>
      </w:tr>
      <w:tr>
        <w:trPr>
          <w:jc w:val="center"/>
          <w:trHeight w:val="1100"/>
        </w:trPr>
        <w:tc>
          <w:tcPr>
            <w:tcBorders>
              <w:top w:val="single" w:color="auto" w:sz="2" w:space="0"/>
              <w:left w:val="single" w:color="auto" w:sz="4" w:space="0"/>
              <w:bottom w:val="single" w:color="000000" w:sz="4" w:space="0"/>
              <w:right w:val="single" w:color="auto" w:sz="2" w:space="0"/>
            </w:tcBorders>
            <w:tcW w:w="930" w:type="dxa"/>
            <w:vAlign w:val="center"/>
            <w:vMerge w:val="continue"/>
            <w:textDirection w:val="lrTb"/>
            <w:noWrap w:val="false"/>
          </w:tcPr>
          <w:p>
            <w:pPr>
              <w:jc w:val="center"/>
              <w:spacing w:line="240" w:lineRule="auto"/>
              <w:widowControl/>
              <w:rPr>
                <w:rFonts w:ascii="宋体" w:hAnsi="宋体" w:eastAsia="宋体" w:cs="宋体"/>
                <w:b/>
                <w:bCs/>
                <w:sz w:val="22"/>
                <w:szCs w:val="22"/>
                <w:highlight w:val="none"/>
              </w:rPr>
            </w:pPr>
            <w:r>
              <w:rPr>
                <w:rFonts w:ascii="宋体" w:hAnsi="宋体" w:eastAsia="宋体" w:cs="宋体"/>
                <w:b/>
                <w:bCs/>
                <w:sz w:val="22"/>
                <w:szCs w:val="22"/>
                <w:highlight w:val="none"/>
              </w:rPr>
            </w:r>
            <w:r/>
          </w:p>
        </w:tc>
        <w:tc>
          <w:tcPr>
            <w:tcBorders>
              <w:top w:val="single" w:color="auto" w:sz="2" w:space="0"/>
              <w:left w:val="single" w:color="auto" w:sz="2" w:space="0"/>
              <w:bottom w:val="single" w:color="auto" w:sz="4" w:space="0"/>
              <w:right w:val="single" w:color="auto" w:sz="2" w:space="0"/>
            </w:tcBorders>
            <w:tcW w:w="1575" w:type="dxa"/>
            <w:vAlign w:val="center"/>
            <w:textDirection w:val="lrTb"/>
            <w:noWrap w:val="false"/>
          </w:tcPr>
          <w:p>
            <w:pPr>
              <w:jc w:val="center"/>
              <w:spacing w:line="240" w:lineRule="auto"/>
              <w:widowControl/>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草花</w:t>
            </w:r>
            <w:r/>
          </w:p>
        </w:tc>
        <w:tc>
          <w:tcPr>
            <w:tcBorders>
              <w:top w:val="single" w:color="auto" w:sz="2" w:space="0"/>
              <w:left w:val="single" w:color="auto" w:sz="2" w:space="0"/>
              <w:bottom w:val="single" w:color="auto" w:sz="4" w:space="0"/>
              <w:right w:val="single" w:color="auto" w:sz="2" w:space="0"/>
            </w:tcBorders>
            <w:tcW w:w="2730"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植株质量差（弱小、无开放花朵、开花过足、差异大）、密度不达标、提前死亡，换种不及时</w:t>
            </w:r>
            <w:r/>
          </w:p>
        </w:tc>
        <w:tc>
          <w:tcPr>
            <w:tcBorders>
              <w:top w:val="single" w:color="auto" w:sz="2" w:space="0"/>
              <w:left w:val="single" w:color="auto" w:sz="2" w:space="0"/>
              <w:bottom w:val="single" w:color="auto" w:sz="4" w:space="0"/>
              <w:right w:val="single" w:color="auto" w:sz="2" w:space="0"/>
            </w:tcBorders>
            <w:tcW w:w="2625"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花坛多土未清除、未翻晒、切边不齐、有杂草杂物枯枝残花，种植不整齐，图案不清晰，色彩不鲜艳，生长不繁茂</w:t>
            </w:r>
            <w:r/>
          </w:p>
        </w:tc>
        <w:tc>
          <w:tcPr>
            <w:tcBorders>
              <w:top w:val="single" w:color="auto" w:sz="2" w:space="0"/>
              <w:left w:val="single" w:color="auto" w:sz="2" w:space="0"/>
              <w:bottom w:val="single" w:color="auto" w:sz="4" w:space="0"/>
              <w:right w:val="single" w:color="auto" w:sz="4" w:space="0"/>
            </w:tcBorders>
            <w:tcW w:w="2396" w:type="dxa"/>
            <w:vAlign w:val="center"/>
            <w:textDirection w:val="lrTb"/>
            <w:noWrap w:val="false"/>
          </w:tcPr>
          <w:p>
            <w:pPr>
              <w:jc w:val="center"/>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污染路面</w:t>
            </w:r>
            <w:r/>
          </w:p>
        </w:tc>
      </w:tr>
    </w:tbl>
    <w:p>
      <w:pPr>
        <w:spacing w:line="240" w:lineRule="auto"/>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ascii="宋体" w:hAnsi="宋体" w:eastAsia="宋体" w:cs="Times New Roman"/>
          <w:b w:val="0"/>
          <w:bCs w:val="0"/>
          <w:sz w:val="28"/>
          <w:szCs w:val="28"/>
          <w:highlight w:val="none"/>
          <w:lang w:val="en-US" w:eastAsia="zh-CN" w:bidi="ar-SA"/>
        </w:rPr>
        <w:br w:type="page" w:clear="all"/>
      </w:r>
      <w:r>
        <w:rPr>
          <w:rFonts w:hint="eastAsia" w:ascii="宋体" w:hAnsi="宋体" w:eastAsia="宋体" w:cs="Times New Roman"/>
          <w:b/>
          <w:bCs/>
          <w:sz w:val="28"/>
          <w:szCs w:val="28"/>
          <w:highlight w:val="none"/>
          <w:lang w:val="en-US" w:eastAsia="zh-CN" w:bidi="ar-SA"/>
        </w:rPr>
        <w:t xml:space="preserve">附件3：</w:t>
      </w:r>
      <w:r/>
    </w:p>
    <w:p>
      <w:pPr>
        <w:ind w:firstLine="126"/>
        <w:jc w:val="center"/>
        <w:spacing w:before="120" w:after="120" w:line="580" w:lineRule="exact"/>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绿化养护施工企业信用评价实施办法</w:t>
      </w:r>
      <w:r/>
    </w:p>
    <w:p>
      <w:pPr>
        <w:ind w:firstLine="126"/>
        <w:jc w:val="center"/>
        <w:spacing w:before="120" w:after="120" w:line="580" w:lineRule="exact"/>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（试行）  </w:t>
      </w:r>
      <w:r>
        <w:rPr>
          <w:rFonts w:hint="eastAsia" w:ascii="宋体" w:hAnsi="宋体" w:eastAsia="宋体" w:cs="Times New Roman"/>
          <w:sz w:val="24"/>
          <w:szCs w:val="24"/>
          <w:highlight w:val="none"/>
          <w:lang w:val="en-US" w:eastAsia="zh-CN" w:bidi="ar-SA"/>
        </w:rPr>
        <w:t xml:space="preserve"> </w:t>
      </w:r>
      <w:r/>
    </w:p>
    <w:p>
      <w:pPr>
        <w:ind w:firstLine="126"/>
        <w:jc w:val="center"/>
        <w:spacing w:before="120" w:after="120" w:line="580" w:lineRule="exact"/>
        <w:widowControl w:val="off"/>
        <w:rPr>
          <w:rFonts w:hint="eastAsia" w:ascii="宋体" w:hAnsi="宋体" w:eastAsia="宋体" w:cs="Times New Roman"/>
          <w:b/>
          <w:sz w:val="24"/>
          <w:szCs w:val="24"/>
          <w:highlight w:val="none"/>
        </w:rPr>
      </w:pPr>
      <w:r>
        <w:rPr>
          <w:rFonts w:hint="eastAsia" w:ascii="宋体" w:hAnsi="宋体" w:eastAsia="宋体" w:cs="Times New Roman"/>
          <w:sz w:val="28"/>
          <w:szCs w:val="28"/>
          <w:highlight w:val="none"/>
          <w:lang w:val="en-US" w:eastAsia="zh-CN" w:bidi="ar-SA"/>
        </w:rPr>
        <w:t xml:space="preserve"> </w:t>
      </w:r>
      <w:r>
        <w:rPr>
          <w:rFonts w:hint="eastAsia" w:ascii="宋体" w:hAnsi="宋体" w:eastAsia="宋体" w:cs="Times New Roman"/>
          <w:b/>
          <w:sz w:val="24"/>
          <w:szCs w:val="24"/>
          <w:highlight w:val="none"/>
        </w:rPr>
        <w:t xml:space="preserve">第一章　总则</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第一条 </w:t>
      </w:r>
      <w:r>
        <w:rPr>
          <w:rFonts w:hint="eastAsia" w:ascii="宋体" w:hAnsi="宋体" w:eastAsia="宋体" w:cs="Times New Roman"/>
          <w:sz w:val="24"/>
          <w:szCs w:val="24"/>
          <w:highlight w:val="none"/>
        </w:rPr>
        <w:t xml:space="preserve">为加强鸿山街道绿化养护管理，提高鸿山街道绿化养护作业质量，完善施工企业诚信机制，结合鸿山街道绿化养护实际，制定本办法。</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第二条 </w:t>
      </w:r>
      <w:r>
        <w:rPr>
          <w:rFonts w:hint="eastAsia" w:ascii="宋体" w:hAnsi="宋体" w:eastAsia="宋体" w:cs="Times New Roman"/>
          <w:sz w:val="24"/>
          <w:szCs w:val="24"/>
          <w:highlight w:val="none"/>
        </w:rPr>
        <w:t xml:space="preserve">本办法适用于在鸿山街道城市管理（环卫）科从事绿化养护作业的各施工单位。</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第三条 </w:t>
      </w:r>
      <w:r>
        <w:rPr>
          <w:rFonts w:hint="eastAsia" w:ascii="宋体" w:hAnsi="宋体" w:eastAsia="宋体" w:cs="Times New Roman"/>
          <w:sz w:val="24"/>
          <w:szCs w:val="24"/>
          <w:highlight w:val="none"/>
        </w:rPr>
        <w:t xml:space="preserve">本办法所称施工企业信用评价（以下简称信用评价）是指根据绿化养护作业质量、现场行为等对施工企业项目履约信用状况进行的综合评价。</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第四条 </w:t>
      </w:r>
      <w:r>
        <w:rPr>
          <w:rFonts w:hint="eastAsia" w:ascii="宋体" w:hAnsi="宋体" w:eastAsia="宋体" w:cs="Times New Roman"/>
          <w:sz w:val="24"/>
          <w:szCs w:val="24"/>
          <w:highlight w:val="none"/>
        </w:rPr>
        <w:t xml:space="preserve">信用评价每一年为一个评价期。一个评价期内，对施工企业进行全面评价，结合养护作业日常监管和质量考核，对施工企业在评价期内的履约信用状况进行认定、公示、公布、处罚并记录。</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第五条 </w:t>
      </w:r>
      <w:r>
        <w:rPr>
          <w:rFonts w:hint="eastAsia" w:ascii="宋体" w:hAnsi="宋体" w:eastAsia="宋体" w:cs="Times New Roman"/>
          <w:sz w:val="24"/>
          <w:szCs w:val="24"/>
          <w:highlight w:val="none"/>
        </w:rPr>
        <w:t xml:space="preserve">信用评价坚持公开、公正、公平的原则进行，并自觉接受纪检监察部门和上级有关部门的监督。</w:t>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第二章　组织机构</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第六条 </w:t>
      </w:r>
      <w:r>
        <w:rPr>
          <w:rFonts w:hint="eastAsia" w:ascii="宋体" w:hAnsi="宋体" w:eastAsia="宋体" w:cs="Times New Roman"/>
          <w:sz w:val="24"/>
          <w:szCs w:val="24"/>
          <w:highlight w:val="none"/>
        </w:rPr>
        <w:t xml:space="preserve">信用评价工作领导小组：由城管科主要负责人任组长，分管副组长任副组长，城管中队负责人为组员，负责领导和监督信用评价工作，审核信用评价结果。领导小组下设办公室，办公室设在城管中队，具体负责评价的组织和日常工作。</w:t>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第三章　现场检查</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第八条 </w:t>
      </w:r>
      <w:r>
        <w:rPr>
          <w:rFonts w:hint="eastAsia" w:ascii="宋体" w:hAnsi="宋体" w:eastAsia="宋体" w:cs="Times New Roman"/>
          <w:sz w:val="24"/>
          <w:szCs w:val="24"/>
          <w:highlight w:val="none"/>
        </w:rPr>
        <w:t xml:space="preserve">现场检查是指在鸿山街道绿化养护管理过程中，鸿山街道城市管理（环卫）科依据法律、法规、规章制度、合同、标准和规范，对施工企业进行的养护作业质量和合同履约情况的检查，</w:t>
      </w:r>
      <w:r>
        <w:rPr>
          <w:rFonts w:hint="eastAsia" w:ascii="宋体" w:hAnsi="宋体" w:eastAsia="宋体" w:cs="Times New Roman"/>
          <w:bCs/>
          <w:sz w:val="24"/>
          <w:szCs w:val="24"/>
          <w:highlight w:val="none"/>
        </w:rPr>
        <w:t xml:space="preserve">检查方法及相关处罚标准</w:t>
      </w:r>
      <w:r>
        <w:rPr>
          <w:rFonts w:hint="eastAsia" w:ascii="宋体" w:hAnsi="宋体" w:eastAsia="宋体" w:cs="Times New Roman"/>
          <w:sz w:val="24"/>
          <w:szCs w:val="24"/>
          <w:highlight w:val="none"/>
        </w:rPr>
        <w:t xml:space="preserve">按《绿化养护考核管理办法》和《绿化养护施工企业信用评价扣分表》</w:t>
      </w:r>
      <w:r>
        <w:rPr>
          <w:rFonts w:hint="eastAsia" w:ascii="宋体" w:hAnsi="宋体" w:eastAsia="宋体" w:cs="Times New Roman"/>
          <w:bCs/>
          <w:sz w:val="24"/>
          <w:szCs w:val="24"/>
          <w:highlight w:val="none"/>
        </w:rPr>
        <w:t xml:space="preserve">执行</w:t>
      </w:r>
      <w:r>
        <w:rPr>
          <w:rFonts w:hint="eastAsia" w:ascii="宋体" w:hAnsi="宋体" w:eastAsia="宋体" w:cs="Times New Roman"/>
          <w:sz w:val="24"/>
          <w:szCs w:val="24"/>
          <w:highlight w:val="none"/>
        </w:rPr>
        <w:t xml:space="preserve">。</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第九条 </w:t>
      </w:r>
      <w:r>
        <w:rPr>
          <w:rFonts w:hint="eastAsia" w:ascii="宋体" w:hAnsi="宋体" w:eastAsia="宋体" w:cs="Times New Roman"/>
          <w:sz w:val="24"/>
          <w:szCs w:val="24"/>
          <w:highlight w:val="none"/>
        </w:rPr>
        <w:t xml:space="preserve">现场检查每月不少于1次，每个评价期检查不少于12次，各标段检查项目和频次应基本一致。</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第十条 </w:t>
      </w:r>
      <w:r>
        <w:rPr>
          <w:rFonts w:hint="eastAsia" w:ascii="宋体" w:hAnsi="宋体" w:eastAsia="宋体" w:cs="Times New Roman"/>
          <w:bCs/>
          <w:sz w:val="24"/>
          <w:szCs w:val="24"/>
          <w:highlight w:val="none"/>
        </w:rPr>
        <w:t xml:space="preserve">现场检查中每项检查扣分必须有2名以上检查人员签字，并经施工企业项目负责人签字确认；施工企业项目负责人拒签的检查结果，应由检查负责人签字并注明原因。</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第十一条 </w:t>
      </w:r>
      <w:r>
        <w:rPr>
          <w:rFonts w:hint="eastAsia" w:ascii="宋体" w:hAnsi="宋体" w:eastAsia="宋体" w:cs="Times New Roman"/>
          <w:bCs/>
          <w:sz w:val="24"/>
          <w:szCs w:val="24"/>
          <w:highlight w:val="none"/>
        </w:rPr>
        <w:t xml:space="preserve">每次检查结束5个工作日内，鸿山街道城市管理（环卫）科将检查结果在养护工作例会上予以通报公布，同时以书面形式通知施工单位。</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第十二条 </w:t>
      </w:r>
      <w:r>
        <w:rPr>
          <w:rFonts w:hint="eastAsia" w:ascii="宋体" w:hAnsi="宋体" w:eastAsia="宋体" w:cs="Times New Roman"/>
          <w:bCs/>
          <w:sz w:val="24"/>
          <w:szCs w:val="24"/>
          <w:highlight w:val="none"/>
        </w:rPr>
        <w:t xml:space="preserve">对现场检查中</w:t>
      </w:r>
      <w:r>
        <w:rPr>
          <w:rFonts w:hint="eastAsia" w:ascii="宋体" w:hAnsi="宋体" w:eastAsia="宋体" w:cs="Times New Roman"/>
          <w:sz w:val="24"/>
          <w:szCs w:val="24"/>
          <w:highlight w:val="none"/>
        </w:rPr>
        <w:t xml:space="preserve">发现的问题，施工企业必须限期整改，整改期结束后由鸿山街道城市管理（环卫）组织复查。</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第十三条 </w:t>
      </w:r>
      <w:r>
        <w:rPr>
          <w:rFonts w:hint="eastAsia" w:ascii="宋体" w:hAnsi="宋体" w:eastAsia="宋体" w:cs="Times New Roman"/>
          <w:sz w:val="24"/>
          <w:szCs w:val="24"/>
          <w:highlight w:val="none"/>
        </w:rPr>
        <w:t xml:space="preserve">城管中队负责各标段信用评价平时考核，并及时报分管领导；每个评价期最后一次信用评价由鸿山街道城市管理（环卫）统一组织安排考核。施工企业信用评价结果统一汇总上报主要领导审核。</w:t>
      </w:r>
      <w:r/>
    </w:p>
    <w:p>
      <w:pPr>
        <w:ind w:firstLine="480"/>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第四章　不良行为</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第十四条</w:t>
      </w:r>
      <w:r>
        <w:rPr>
          <w:rFonts w:hint="eastAsia" w:ascii="宋体" w:hAnsi="宋体" w:eastAsia="宋体" w:cs="Times New Roman"/>
          <w:sz w:val="24"/>
          <w:szCs w:val="24"/>
          <w:highlight w:val="none"/>
        </w:rPr>
        <w:t xml:space="preserve"> 不良行为是指在绿化养护过程中施工企业及其从业人员违反有关工程建设法律、法规、规章、强制性标准和合同条款的行为。</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第十五条 </w:t>
      </w:r>
      <w:r>
        <w:rPr>
          <w:rFonts w:hint="eastAsia" w:ascii="宋体" w:hAnsi="宋体" w:eastAsia="宋体" w:cs="Times New Roman"/>
          <w:sz w:val="24"/>
          <w:szCs w:val="24"/>
          <w:highlight w:val="none"/>
        </w:rPr>
        <w:t xml:space="preserve">不良行为分重大不良行为和一般不良行为。重大不良行为指较大及以上安全事故、</w:t>
      </w:r>
      <w:r>
        <w:rPr>
          <w:rFonts w:ascii="宋体" w:hAnsi="宋体" w:eastAsia="宋体" w:cs="Times New Roman"/>
          <w:sz w:val="24"/>
          <w:szCs w:val="24"/>
          <w:highlight w:val="none"/>
        </w:rPr>
        <w:t xml:space="preserve">一级一般</w:t>
      </w:r>
      <w:r>
        <w:rPr>
          <w:rFonts w:hint="eastAsia" w:ascii="宋体" w:hAnsi="宋体" w:eastAsia="宋体" w:cs="Times New Roman"/>
          <w:sz w:val="24"/>
          <w:szCs w:val="24"/>
          <w:highlight w:val="none"/>
        </w:rPr>
        <w:t xml:space="preserve">及以上</w:t>
      </w:r>
      <w:r>
        <w:rPr>
          <w:rFonts w:ascii="宋体" w:hAnsi="宋体" w:eastAsia="宋体" w:cs="Times New Roman"/>
          <w:sz w:val="24"/>
          <w:szCs w:val="24"/>
          <w:highlight w:val="none"/>
        </w:rPr>
        <w:t xml:space="preserve">质量事故</w:t>
      </w:r>
      <w:r>
        <w:rPr>
          <w:rFonts w:hint="eastAsia" w:ascii="宋体" w:hAnsi="宋体" w:eastAsia="宋体" w:cs="Times New Roman"/>
          <w:sz w:val="24"/>
          <w:szCs w:val="24"/>
          <w:highlight w:val="none"/>
        </w:rPr>
        <w:t xml:space="preserve">和严重违法违规行为，其他为一般不良行为。</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第十六条</w:t>
      </w:r>
      <w:r>
        <w:rPr>
          <w:rFonts w:hint="eastAsia" w:ascii="宋体" w:hAnsi="宋体" w:eastAsia="宋体" w:cs="Times New Roman"/>
          <w:sz w:val="24"/>
          <w:szCs w:val="24"/>
          <w:highlight w:val="none"/>
        </w:rPr>
        <w:t xml:space="preserve"> 重大不良行为实行一票否决，施工企业信用评价等级直接评定为C级；一般不良行为，施工企业应对直接责任人进行相应处理，情节严重的对直接责任人应予以更换，处理结果报公司备案。</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第十七条</w:t>
      </w:r>
      <w:r>
        <w:rPr>
          <w:rFonts w:hint="eastAsia" w:ascii="宋体" w:hAnsi="宋体" w:eastAsia="宋体" w:cs="Times New Roman"/>
          <w:sz w:val="24"/>
          <w:szCs w:val="24"/>
          <w:highlight w:val="none"/>
        </w:rPr>
        <w:t xml:space="preserve"> </w:t>
      </w:r>
      <w:r>
        <w:rPr>
          <w:rFonts w:hint="eastAsia" w:ascii="宋体" w:hAnsi="宋体" w:eastAsia="宋体" w:cs="Times New Roman"/>
          <w:bCs/>
          <w:sz w:val="24"/>
          <w:szCs w:val="24"/>
          <w:highlight w:val="none"/>
        </w:rPr>
        <w:t xml:space="preserve">鸿山街道城市管理（环卫）科</w:t>
      </w:r>
      <w:r>
        <w:rPr>
          <w:rFonts w:hint="eastAsia" w:ascii="宋体" w:hAnsi="宋体" w:eastAsia="宋体" w:cs="Times New Roman"/>
          <w:sz w:val="24"/>
          <w:szCs w:val="24"/>
          <w:highlight w:val="none"/>
        </w:rPr>
        <w:t xml:space="preserve">根据现场检查及有关单位反映的情况，对其中不良行为进行认定、公示、处罚并记录。同</w:t>
      </w:r>
      <w:r>
        <w:rPr>
          <w:rFonts w:hint="eastAsia" w:ascii="宋体" w:hAnsi="宋体" w:eastAsia="宋体" w:cs="Times New Roman"/>
          <w:bCs/>
          <w:sz w:val="24"/>
          <w:szCs w:val="24"/>
          <w:highlight w:val="none"/>
        </w:rPr>
        <w:t xml:space="preserve">一项不良行为，不得因检查人不同而重复记录。</w:t>
      </w:r>
      <w:r/>
    </w:p>
    <w:p>
      <w:pPr>
        <w:ind w:firstLine="53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第十八条</w:t>
      </w:r>
      <w:r>
        <w:rPr>
          <w:rFonts w:hint="eastAsia" w:ascii="宋体" w:hAnsi="宋体" w:eastAsia="宋体" w:cs="Times New Roman"/>
          <w:sz w:val="24"/>
          <w:szCs w:val="24"/>
          <w:highlight w:val="none"/>
        </w:rPr>
        <w:t xml:space="preserve"> </w:t>
      </w:r>
      <w:r>
        <w:rPr>
          <w:rFonts w:hint="eastAsia" w:ascii="宋体" w:hAnsi="宋体" w:eastAsia="宋体" w:cs="Times New Roman"/>
          <w:bCs/>
          <w:sz w:val="24"/>
          <w:szCs w:val="24"/>
          <w:highlight w:val="none"/>
        </w:rPr>
        <w:t xml:space="preserve">鸿山街道城市管理（环卫）科</w:t>
      </w:r>
      <w:r>
        <w:rPr>
          <w:rFonts w:hint="eastAsia" w:ascii="宋体" w:hAnsi="宋体" w:eastAsia="宋体" w:cs="Times New Roman"/>
          <w:sz w:val="24"/>
          <w:szCs w:val="24"/>
          <w:highlight w:val="none"/>
        </w:rPr>
        <w:t xml:space="preserve">将认定的不良行为于5个工作日内进行公示，公示时间为5天，被公示具有不良行为的单位或个人可以提出申诉。</w:t>
      </w:r>
      <w:r/>
    </w:p>
    <w:p>
      <w:pPr>
        <w:ind w:firstLine="480"/>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公司对申诉内容进行研究、核实，保证不良行为认定客观公正。</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第十九条</w:t>
      </w:r>
      <w:r>
        <w:rPr>
          <w:rFonts w:hint="eastAsia" w:ascii="宋体" w:hAnsi="宋体" w:eastAsia="宋体" w:cs="Times New Roman"/>
          <w:sz w:val="24"/>
          <w:szCs w:val="24"/>
          <w:highlight w:val="none"/>
        </w:rPr>
        <w:t xml:space="preserve"> 城管中队于每季度前5个工作日内，将上季度不良行为内容、合同主体、责任主体及主要责任人、处罚情况等信用评价考核情况书面报送信用评价领导小组审核。</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第二十条</w:t>
      </w:r>
      <w:r>
        <w:rPr>
          <w:rFonts w:hint="eastAsia" w:ascii="宋体" w:hAnsi="宋体" w:eastAsia="宋体" w:cs="Times New Roman"/>
          <w:sz w:val="24"/>
          <w:szCs w:val="24"/>
          <w:highlight w:val="none"/>
        </w:rPr>
        <w:t xml:space="preserve"> </w:t>
      </w:r>
      <w:r>
        <w:rPr>
          <w:rFonts w:hint="eastAsia" w:ascii="宋体" w:hAnsi="宋体" w:eastAsia="宋体" w:cs="Times New Roman"/>
          <w:bCs/>
          <w:sz w:val="24"/>
          <w:szCs w:val="24"/>
          <w:highlight w:val="none"/>
        </w:rPr>
        <w:t xml:space="preserve">发生重大不良行为的，城管中队和发现单位应立即向</w:t>
      </w:r>
      <w:r>
        <w:rPr>
          <w:rFonts w:hint="eastAsia" w:ascii="宋体" w:hAnsi="宋体" w:eastAsia="宋体" w:cs="Times New Roman"/>
          <w:sz w:val="24"/>
          <w:szCs w:val="24"/>
          <w:highlight w:val="none"/>
        </w:rPr>
        <w:t xml:space="preserve">信用评价领导小组报告。</w:t>
      </w:r>
      <w:r/>
    </w:p>
    <w:p>
      <w:pPr>
        <w:ind w:firstLine="532"/>
        <w:spacing w:line="580" w:lineRule="exact"/>
        <w:rPr>
          <w:rFonts w:hint="eastAsia" w:ascii="宋体" w:hAnsi="宋体" w:eastAsia="宋体" w:cs="Times New Roman"/>
          <w:bCs/>
          <w:sz w:val="24"/>
          <w:szCs w:val="24"/>
          <w:highlight w:val="none"/>
        </w:rPr>
      </w:pPr>
      <w:r>
        <w:rPr>
          <w:rFonts w:hint="eastAsia" w:ascii="宋体" w:hAnsi="宋体" w:eastAsia="宋体" w:cs="Times New Roman"/>
          <w:b/>
          <w:sz w:val="24"/>
          <w:szCs w:val="24"/>
          <w:highlight w:val="none"/>
        </w:rPr>
        <w:t xml:space="preserve">第二十一条 </w:t>
      </w:r>
      <w:r>
        <w:rPr>
          <w:rFonts w:hint="eastAsia" w:ascii="宋体" w:hAnsi="宋体" w:eastAsia="宋体" w:cs="Times New Roman"/>
          <w:bCs/>
          <w:sz w:val="24"/>
          <w:szCs w:val="24"/>
          <w:highlight w:val="none"/>
        </w:rPr>
        <w:t xml:space="preserve">施工企业应在鸿山街道城市管理（环卫）限定的期限内完成不良行为整改工作，责任单位和责任人拒不整改或整改不力的，视情况追加扣分。</w:t>
      </w:r>
      <w:r/>
    </w:p>
    <w:p>
      <w:pPr>
        <w:ind w:firstLine="530"/>
        <w:spacing w:line="58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第五章　信用评价</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第二十二条</w:t>
      </w:r>
      <w:r>
        <w:rPr>
          <w:rFonts w:hint="eastAsia" w:ascii="宋体" w:hAnsi="宋体" w:eastAsia="宋体" w:cs="Times New Roman"/>
          <w:sz w:val="24"/>
          <w:szCs w:val="24"/>
          <w:highlight w:val="none"/>
        </w:rPr>
        <w:t xml:space="preserve"> 信用评价采用百分制加减分考核制度分级评定。评价期满，综合得分90-100的评定为A级，80-89的评定为B级，80以下的评定为C级。</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第二十三条 </w:t>
      </w:r>
      <w:r>
        <w:rPr>
          <w:rFonts w:hint="eastAsia" w:ascii="宋体" w:hAnsi="宋体" w:eastAsia="宋体" w:cs="Times New Roman"/>
          <w:sz w:val="24"/>
          <w:szCs w:val="24"/>
          <w:highlight w:val="none"/>
        </w:rPr>
        <w:t xml:space="preserve">信用评价惩罚措施：中标养护期内，任何一评价期信用等级评定为C级的，取消下一轮养护投标资格，情节严重的直接终止合同。</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第二十四条 </w:t>
      </w:r>
      <w:r>
        <w:rPr>
          <w:rFonts w:hint="eastAsia" w:ascii="宋体" w:hAnsi="宋体" w:eastAsia="宋体" w:cs="Times New Roman"/>
          <w:sz w:val="24"/>
          <w:szCs w:val="24"/>
          <w:highlight w:val="none"/>
        </w:rPr>
        <w:t xml:space="preserve">信用评价奖励措施：在评价期内，施工企业在合同约定责任范围之外，如有养护工作在全区范围内起到模范带头作用的、获得市级以上表彰的或对鸿山街道绿化养护管理有其他突出贡献的，可酌情对信用评价进行加分（单项加分值一般不超过2分，最高不超过5分），由城管中队将建议加分值上报信用评价领导小组核定；中标养护期内，每一评价期信用等级均被评定为B级以上且有A级，可在下一轮养护投标时酌情给予加分，由城管中队将其主要事迹及建议加分值上报信用评价领导小组核定。</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第二十五条 </w:t>
      </w:r>
      <w:r>
        <w:rPr>
          <w:rFonts w:hint="eastAsia" w:ascii="宋体" w:hAnsi="宋体" w:eastAsia="宋体" w:cs="Times New Roman"/>
          <w:sz w:val="24"/>
          <w:szCs w:val="24"/>
          <w:highlight w:val="none"/>
        </w:rPr>
        <w:t xml:space="preserve">本办法由鸿山街道城市管理（环卫）科负责解释。</w:t>
      </w:r>
      <w:r/>
    </w:p>
    <w:p>
      <w:pPr>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附录1：绿化养护施工企业信用评价扣分表</w:t>
      </w:r>
      <w:r/>
    </w:p>
    <w:p>
      <w:pPr>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附录2：绿化养护施工企业信用评价加分申报表</w:t>
      </w:r>
      <w:r/>
    </w:p>
    <w:p>
      <w:pPr>
        <w:spacing w:line="580" w:lineRule="exact"/>
        <w:rPr>
          <w:rFonts w:hint="eastAsia" w:ascii="宋体" w:hAnsi="宋体" w:eastAsia="宋体" w:cs="Times New Roman"/>
          <w:sz w:val="32"/>
          <w:szCs w:val="32"/>
          <w:highlight w:val="none"/>
        </w:rPr>
      </w:pPr>
      <w:r>
        <w:rPr>
          <w:rFonts w:ascii="宋体" w:hAnsi="宋体" w:eastAsia="宋体" w:cs="Times New Roman"/>
          <w:sz w:val="32"/>
          <w:szCs w:val="32"/>
          <w:highlight w:val="none"/>
        </w:rPr>
        <w:br w:type="page" w:clear="all"/>
      </w:r>
      <w:r>
        <w:rPr>
          <w:rFonts w:hint="eastAsia" w:ascii="宋体" w:hAnsi="宋体" w:eastAsia="宋体" w:cs="Times New Roman"/>
          <w:sz w:val="32"/>
          <w:szCs w:val="32"/>
          <w:highlight w:val="none"/>
        </w:rPr>
        <w:t xml:space="preserve">附录1：</w:t>
      </w:r>
      <w:r/>
    </w:p>
    <w:tbl>
      <w:tblPr>
        <w:tblStyle w:val="944"/>
        <w:tblW w:w="0" w:type="auto"/>
        <w:tblInd w:w="-299" w:type="dxa"/>
        <w:tblLayout w:type="fixed"/>
        <w:tblCellMar>
          <w:left w:w="108" w:type="dxa"/>
          <w:top w:w="0" w:type="dxa"/>
          <w:right w:w="108" w:type="dxa"/>
          <w:bottom w:w="0" w:type="dxa"/>
        </w:tblCellMar>
        <w:tblLook w:val="04A0" w:firstRow="1" w:lastRow="0" w:firstColumn="1" w:lastColumn="0" w:noHBand="0" w:noVBand="1"/>
      </w:tblPr>
      <w:tblGrid>
        <w:gridCol w:w="658"/>
        <w:gridCol w:w="2856"/>
        <w:gridCol w:w="4205"/>
        <w:gridCol w:w="1285"/>
        <w:gridCol w:w="508"/>
      </w:tblGrid>
      <w:tr>
        <w:trPr>
          <w:trHeight w:val="1002"/>
        </w:trPr>
        <w:tc>
          <w:tcPr>
            <w:gridSpan w:val="5"/>
            <w:tcBorders>
              <w:top w:val="none" w:color="000000" w:sz="4" w:space="0"/>
              <w:left w:val="none" w:color="000000" w:sz="4" w:space="0"/>
              <w:bottom w:val="single" w:color="auto" w:sz="4" w:space="0"/>
              <w:right w:val="none" w:color="000000" w:sz="4" w:space="0"/>
            </w:tcBorders>
            <w:tcW w:w="9512" w:type="dxa"/>
            <w:vAlign w:val="center"/>
            <w:textDirection w:val="lrTb"/>
            <w:noWrap w:val="false"/>
          </w:tcPr>
          <w:p>
            <w:pPr>
              <w:jc w:val="center"/>
              <w:spacing w:line="240" w:lineRule="auto"/>
              <w:widowControl/>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绿化养护施工企业信用评价扣分表</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uto"/>
              <w:widowControl/>
              <w:rPr>
                <w:rFonts w:ascii="宋体" w:hAnsi="宋体" w:eastAsia="宋体" w:cs="宋体"/>
                <w:b/>
                <w:sz w:val="22"/>
                <w:szCs w:val="22"/>
                <w:highlight w:val="none"/>
              </w:rPr>
            </w:pPr>
            <w:r>
              <w:rPr>
                <w:rFonts w:hint="eastAsia" w:ascii="宋体" w:hAnsi="宋体" w:eastAsia="宋体" w:cs="宋体"/>
                <w:b/>
                <w:sz w:val="22"/>
                <w:szCs w:val="22"/>
                <w:highlight w:val="none"/>
              </w:rPr>
              <w:t xml:space="preserve">序号</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spacing w:line="240" w:lineRule="auto"/>
              <w:widowControl/>
              <w:rPr>
                <w:rFonts w:ascii="宋体" w:hAnsi="宋体" w:eastAsia="宋体" w:cs="宋体"/>
                <w:b/>
                <w:sz w:val="22"/>
                <w:szCs w:val="22"/>
                <w:highlight w:val="none"/>
              </w:rPr>
            </w:pPr>
            <w:r>
              <w:rPr>
                <w:rFonts w:hint="eastAsia" w:ascii="宋体" w:hAnsi="宋体" w:eastAsia="宋体" w:cs="宋体"/>
                <w:b/>
                <w:sz w:val="22"/>
                <w:szCs w:val="22"/>
                <w:highlight w:val="none"/>
              </w:rPr>
              <w:t xml:space="preserve">不良行为</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center"/>
              <w:spacing w:line="240" w:lineRule="auto"/>
              <w:widowControl/>
              <w:rPr>
                <w:rFonts w:ascii="宋体" w:hAnsi="宋体" w:eastAsia="宋体" w:cs="宋体"/>
                <w:b/>
                <w:sz w:val="22"/>
                <w:szCs w:val="22"/>
                <w:highlight w:val="none"/>
              </w:rPr>
            </w:pPr>
            <w:r>
              <w:rPr>
                <w:rFonts w:hint="eastAsia" w:ascii="宋体" w:hAnsi="宋体" w:eastAsia="宋体" w:cs="宋体"/>
                <w:b/>
                <w:sz w:val="22"/>
                <w:szCs w:val="22"/>
                <w:highlight w:val="none"/>
              </w:rPr>
              <w:t xml:space="preserve">不良行为认定</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240" w:lineRule="auto"/>
              <w:widowControl/>
              <w:rPr>
                <w:rFonts w:ascii="宋体" w:hAnsi="宋体" w:eastAsia="宋体" w:cs="宋体"/>
                <w:b/>
                <w:sz w:val="22"/>
                <w:szCs w:val="22"/>
                <w:highlight w:val="none"/>
              </w:rPr>
            </w:pPr>
            <w:r>
              <w:rPr>
                <w:rFonts w:hint="eastAsia" w:ascii="宋体" w:hAnsi="宋体" w:eastAsia="宋体" w:cs="宋体"/>
                <w:b/>
                <w:sz w:val="22"/>
                <w:szCs w:val="22"/>
                <w:highlight w:val="none"/>
              </w:rPr>
              <w:t xml:space="preserve">扣分标准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较大及以上安全事故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造成3人以上10人以下死亡，或者10人以上50人以下重伤</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一级一般及以上质量事故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大批量绿化死亡或损失，致直接经济损失在150万以上</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一般安全事故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造成3人以下死亡，或者10人以下重伤</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视情扣5-10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二级一般质量事故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大批量绿化死亡或损失，直接经济损失在</w:t>
            </w:r>
            <w:r>
              <w:rPr>
                <w:rFonts w:hint="eastAsia" w:ascii="宋体" w:hAnsi="宋体" w:cs="宋体"/>
                <w:sz w:val="24"/>
                <w:szCs w:val="24"/>
                <w:highlight w:val="none"/>
                <w:lang w:eastAsia="zh-CN"/>
              </w:rPr>
              <w:t xml:space="preserve">50万-150万</w:t>
            </w:r>
            <w:r>
              <w:rPr>
                <w:rFonts w:hint="eastAsia" w:ascii="宋体" w:hAnsi="宋体" w:eastAsia="宋体" w:cs="宋体"/>
                <w:sz w:val="24"/>
                <w:szCs w:val="24"/>
                <w:highlight w:val="none"/>
              </w:rPr>
              <w:t xml:space="preserve">之间</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视情扣5-10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vMerge w:val="restart"/>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5</w:t>
            </w:r>
            <w:r/>
          </w:p>
        </w:tc>
        <w:tc>
          <w:tcPr>
            <w:tcBorders>
              <w:top w:val="none" w:color="000000" w:sz="4" w:space="0"/>
              <w:left w:val="single" w:color="auto" w:sz="4" w:space="0"/>
              <w:bottom w:val="single" w:color="auto" w:sz="4" w:space="0"/>
              <w:right w:val="single" w:color="auto" w:sz="4" w:space="0"/>
            </w:tcBorders>
            <w:tcW w:w="2856" w:type="dxa"/>
            <w:vAlign w:val="center"/>
            <w:vMerge w:val="restart"/>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未按合同履行工作职责</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全年75项主要工作任务有任何一项未实施</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有1项扣2分，如是重点工作双倍扣分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spacing w:line="240" w:lineRule="auto"/>
              <w:widowControl/>
              <w:rPr>
                <w:rFonts w:ascii="宋体" w:hAnsi="宋体" w:eastAsia="宋体" w:cs="宋体"/>
                <w:sz w:val="22"/>
                <w:szCs w:val="22"/>
                <w:highlight w:val="none"/>
              </w:rPr>
            </w:pPr>
            <w:r>
              <w:rPr>
                <w:rFonts w:ascii="宋体" w:hAnsi="宋体" w:eastAsia="宋体" w:cs="宋体"/>
                <w:sz w:val="22"/>
                <w:szCs w:val="22"/>
                <w:highlight w:val="none"/>
              </w:rPr>
            </w:r>
            <w:r/>
          </w:p>
        </w:tc>
        <w:tc>
          <w:tcPr>
            <w:tcBorders>
              <w:top w:val="none" w:color="000000" w:sz="4" w:space="0"/>
              <w:left w:val="single" w:color="auto" w:sz="4" w:space="0"/>
              <w:bottom w:val="single" w:color="auto" w:sz="4" w:space="0"/>
              <w:right w:val="single" w:color="auto" w:sz="4" w:space="0"/>
            </w:tcBorders>
            <w:tcW w:w="2856" w:type="dxa"/>
            <w:vAlign w:val="center"/>
            <w:vMerge w:val="continue"/>
            <w:textDirection w:val="lrTb"/>
            <w:noWrap w:val="false"/>
          </w:tcPr>
          <w:p>
            <w:p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全年75项主要工作任务有任何一项未按要求实施</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视情有1项扣1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2分，如是重点工作双倍扣分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不遵守相关工作纪律</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项目经理玩忽职守，严重违反项目部工作纪律</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工作效率低下</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指令性工作响应不及时，工作拖沓，效率低下</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不按要求整改</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被查处的相关问题整改工作不及时、不到位或拒不整改</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弄虚作假</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合同履行期间有任何弄虚作假欺瞒业主行为</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left"/>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其他有损鸿山街道绿化形象行为</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保障令执行不力、显见性养护质量问题突出、焚烧或偷倒垃圾等严重有损鸿山街道绿化形象或绿化养护队伍形象的行为</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gridAfter w:val="1"/>
          <w:trHeight w:val="550"/>
        </w:trPr>
        <w:tc>
          <w:tcPr>
            <w:gridSpan w:val="3"/>
            <w:tcBorders>
              <w:top w:val="none" w:color="000000" w:sz="4" w:space="0"/>
              <w:left w:val="none" w:color="000000" w:sz="4" w:space="0"/>
              <w:bottom w:val="none" w:color="000000" w:sz="4" w:space="0"/>
              <w:right w:val="none" w:color="000000" w:sz="4" w:space="0"/>
            </w:tcBorders>
            <w:tcW w:w="7719" w:type="dxa"/>
            <w:vAlign w:val="center"/>
            <w:textDirection w:val="lrTb"/>
            <w:noWrap w:val="false"/>
          </w:tcPr>
          <w:p>
            <w:pPr>
              <w:jc w:val="left"/>
              <w:spacing w:line="240"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备注：各施工企业信用总分100分，扣完为止。</w:t>
            </w:r>
            <w:r/>
          </w:p>
        </w:tc>
        <w:tc>
          <w:tcPr>
            <w:tcBorders>
              <w:top w:val="none" w:color="000000" w:sz="4" w:space="0"/>
              <w:left w:val="none" w:color="000000" w:sz="4" w:space="0"/>
              <w:bottom w:val="none" w:color="000000" w:sz="4" w:space="0"/>
              <w:right w:val="none" w:color="000000" w:sz="4" w:space="0"/>
            </w:tcBorders>
            <w:tcW w:w="1285" w:type="dxa"/>
            <w:vAlign w:val="center"/>
            <w:textDirection w:val="lrTb"/>
            <w:noWrap w:val="false"/>
          </w:tcPr>
          <w:p>
            <w:pPr>
              <w:jc w:val="left"/>
              <w:spacing w:line="240" w:lineRule="auto"/>
              <w:widowControl/>
              <w:rPr>
                <w:rFonts w:ascii="宋体" w:hAnsi="宋体" w:eastAsia="宋体" w:cs="宋体"/>
                <w:sz w:val="21"/>
                <w:szCs w:val="21"/>
                <w:highlight w:val="none"/>
              </w:rPr>
            </w:pPr>
            <w:r>
              <w:rPr>
                <w:rFonts w:ascii="宋体" w:hAnsi="宋体" w:eastAsia="宋体" w:cs="宋体"/>
                <w:sz w:val="21"/>
                <w:szCs w:val="21"/>
                <w:highlight w:val="none"/>
              </w:rPr>
            </w:r>
            <w:r/>
          </w:p>
        </w:tc>
      </w:tr>
    </w:tbl>
    <w:p>
      <w:pPr>
        <w:spacing w:line="58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spacing w:line="58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t xml:space="preserve">附录2：</w:t>
      </w:r>
      <w:r/>
    </w:p>
    <w:p>
      <w:pPr>
        <w:jc w:val="center"/>
        <w:spacing w:line="440" w:lineRule="exact"/>
        <w:widowControl/>
        <w:rPr>
          <w:rFonts w:hint="eastAsia" w:ascii="宋体" w:hAnsi="宋体" w:eastAsia="宋体" w:cs="宋体"/>
          <w:b/>
          <w:bCs/>
          <w:sz w:val="13"/>
          <w:szCs w:val="13"/>
          <w:highlight w:val="none"/>
        </w:rPr>
      </w:pPr>
      <w:r>
        <w:rPr>
          <w:rFonts w:hint="eastAsia" w:ascii="宋体" w:hAnsi="宋体" w:eastAsia="宋体" w:cs="宋体"/>
          <w:b/>
          <w:bCs/>
          <w:sz w:val="32"/>
          <w:szCs w:val="32"/>
          <w:highlight w:val="none"/>
        </w:rPr>
        <w:t xml:space="preserve">绿化养护施工企业信用评价加分申报表</w:t>
      </w:r>
      <w:r/>
    </w:p>
    <w:p>
      <w:pPr>
        <w:jc w:val="center"/>
        <w:spacing w:line="440" w:lineRule="exact"/>
        <w:widowControl/>
        <w:rPr>
          <w:rFonts w:hint="eastAsia" w:ascii="宋体" w:hAnsi="宋体" w:eastAsia="宋体" w:cs="宋体"/>
          <w:b/>
          <w:bCs/>
          <w:sz w:val="13"/>
          <w:szCs w:val="13"/>
          <w:highlight w:val="none"/>
        </w:rPr>
      </w:pPr>
      <w:r>
        <w:rPr>
          <w:rFonts w:hint="eastAsia" w:ascii="宋体" w:hAnsi="宋体" w:eastAsia="宋体" w:cs="宋体"/>
          <w:b/>
          <w:bCs/>
          <w:sz w:val="13"/>
          <w:szCs w:val="13"/>
          <w:highlight w:val="none"/>
        </w:rPr>
      </w:r>
      <w:r/>
    </w:p>
    <w:tbl>
      <w:tblPr>
        <w:tblStyle w:val="9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4"/>
        <w:gridCol w:w="7171"/>
      </w:tblGrid>
      <w:tr>
        <w:trPr/>
        <w:tc>
          <w:tcPr>
            <w:tcW w:w="2074" w:type="dxa"/>
            <w:vAlign w:val="center"/>
            <w:textDirection w:val="lrTb"/>
            <w:noWrap w:val="false"/>
          </w:tcPr>
          <w:p>
            <w:pPr>
              <w:jc w:val="center"/>
              <w:spacing w:line="240" w:lineRule="auto"/>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申报单位</w:t>
            </w:r>
            <w:r/>
          </w:p>
        </w:tc>
        <w:tc>
          <w:tcPr>
            <w:tcW w:w="7171" w:type="dxa"/>
            <w:vAlign w:val="top"/>
            <w:textDirection w:val="lrTb"/>
            <w:noWrap w:val="false"/>
          </w:tcPr>
          <w:p>
            <w:pPr>
              <w:jc w:val="center"/>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（盖章）</w:t>
            </w:r>
            <w:r/>
          </w:p>
        </w:tc>
      </w:tr>
      <w:tr>
        <w:trPr>
          <w:trHeight w:val="1987"/>
        </w:trPr>
        <w:tc>
          <w:tcPr>
            <w:tcW w:w="2074" w:type="dxa"/>
            <w:vAlign w:val="center"/>
            <w:vMerge w:val="restart"/>
            <w:textDirection w:val="lrTb"/>
            <w:noWrap w:val="false"/>
          </w:tcPr>
          <w:p>
            <w:pPr>
              <w:jc w:val="center"/>
              <w:spacing w:line="240" w:lineRule="auto"/>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加分事项</w:t>
            </w:r>
            <w:r/>
          </w:p>
        </w:tc>
        <w:tc>
          <w:tcPr>
            <w:tcW w:w="7171" w:type="dxa"/>
            <w:vAlign w:val="top"/>
            <w:textDirection w:val="lrTb"/>
            <w:noWrap w:val="false"/>
          </w:tcPr>
          <w:p>
            <w:pPr>
              <w:jc w:val="cente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tc>
      </w:tr>
      <w:tr>
        <w:trPr>
          <w:trHeight w:val="868"/>
        </w:trPr>
        <w:tc>
          <w:tcPr>
            <w:tcW w:w="2074" w:type="dxa"/>
            <w:vAlign w:val="center"/>
            <w:vMerge w:val="continue"/>
            <w:textDirection w:val="lrTb"/>
            <w:noWrap w:val="false"/>
          </w:tcPr>
          <w:p>
            <w:pPr>
              <w:jc w:val="center"/>
              <w:spacing w:line="240" w:lineRule="auto"/>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r>
            <w:r/>
          </w:p>
        </w:tc>
        <w:tc>
          <w:tcPr>
            <w:tcW w:w="7171" w:type="dxa"/>
            <w:vAlign w:val="top"/>
            <w:textDirection w:val="lrTb"/>
            <w:noWrap w:val="false"/>
          </w:tcPr>
          <w:p>
            <w:pPr>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附件：</w:t>
            </w:r>
            <w:r/>
          </w:p>
          <w:p>
            <w:pPr>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c>
          <w:tcPr>
            <w:tcW w:w="2074" w:type="dxa"/>
            <w:vAlign w:val="center"/>
            <w:textDirection w:val="lrTb"/>
            <w:noWrap w:val="false"/>
          </w:tcPr>
          <w:p>
            <w:pPr>
              <w:jc w:val="center"/>
              <w:spacing w:line="240" w:lineRule="auto"/>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建议加分值</w:t>
            </w:r>
            <w:r/>
          </w:p>
        </w:tc>
        <w:tc>
          <w:tcPr>
            <w:tcW w:w="7171" w:type="dxa"/>
            <w:vAlign w:val="top"/>
            <w:textDirection w:val="lrTb"/>
            <w:noWrap w:val="false"/>
          </w:tcPr>
          <w:p>
            <w:pPr>
              <w:jc w:val="cente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tc>
      </w:tr>
      <w:tr>
        <w:trPr/>
        <w:tc>
          <w:tcPr>
            <w:tcW w:w="2074" w:type="dxa"/>
            <w:vAlign w:val="center"/>
            <w:textDirection w:val="lrTb"/>
            <w:noWrap w:val="false"/>
          </w:tcPr>
          <w:p>
            <w:pPr>
              <w:jc w:val="center"/>
              <w:spacing w:line="240" w:lineRule="auto"/>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城管中队意见</w:t>
            </w:r>
            <w:r/>
          </w:p>
        </w:tc>
        <w:tc>
          <w:tcPr>
            <w:tcW w:w="7171" w:type="dxa"/>
            <w:vAlign w:val="center"/>
            <w:textDirection w:val="lrTb"/>
            <w:noWrap w:val="false"/>
          </w:tcPr>
          <w:p>
            <w:pPr>
              <w:jc w:val="right"/>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right"/>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r>
        <w:trPr/>
        <w:tc>
          <w:tcPr>
            <w:tcW w:w="2074" w:type="dxa"/>
            <w:vAlign w:val="center"/>
            <w:textDirection w:val="lrTb"/>
            <w:noWrap w:val="false"/>
          </w:tcPr>
          <w:p>
            <w:pPr>
              <w:jc w:val="center"/>
              <w:spacing w:line="240" w:lineRule="auto"/>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督察处意见</w:t>
            </w:r>
            <w:r/>
          </w:p>
        </w:tc>
        <w:tc>
          <w:tcPr>
            <w:tcW w:w="7171" w:type="dxa"/>
            <w:vAlign w:val="center"/>
            <w:textDirection w:val="lrTb"/>
            <w:noWrap w:val="false"/>
          </w:tcPr>
          <w:p>
            <w:pPr>
              <w:jc w:val="right"/>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right"/>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r>
        <w:trPr/>
        <w:tc>
          <w:tcPr>
            <w:tcW w:w="2074" w:type="dxa"/>
            <w:vAlign w:val="center"/>
            <w:textDirection w:val="lrTb"/>
            <w:noWrap w:val="false"/>
          </w:tcPr>
          <w:p>
            <w:pPr>
              <w:jc w:val="center"/>
              <w:spacing w:line="240" w:lineRule="auto"/>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分管领导意见</w:t>
            </w:r>
            <w:r/>
          </w:p>
        </w:tc>
        <w:tc>
          <w:tcPr>
            <w:tcW w:w="7171" w:type="dxa"/>
            <w:vAlign w:val="center"/>
            <w:textDirection w:val="lrTb"/>
            <w:noWrap w:val="false"/>
          </w:tcPr>
          <w:p>
            <w:pPr>
              <w:jc w:val="right"/>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right"/>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r>
        <w:trPr/>
        <w:tc>
          <w:tcPr>
            <w:tcW w:w="2074" w:type="dxa"/>
            <w:vAlign w:val="center"/>
            <w:textDirection w:val="lrTb"/>
            <w:noWrap w:val="false"/>
          </w:tcPr>
          <w:p>
            <w:pPr>
              <w:jc w:val="center"/>
              <w:spacing w:line="240" w:lineRule="auto"/>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领导意见</w:t>
            </w:r>
            <w:r/>
          </w:p>
        </w:tc>
        <w:tc>
          <w:tcPr>
            <w:tcW w:w="7171" w:type="dxa"/>
            <w:vAlign w:val="center"/>
            <w:textDirection w:val="lrTb"/>
            <w:noWrap w:val="false"/>
          </w:tcPr>
          <w:p>
            <w:pPr>
              <w:jc w:val="right"/>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right"/>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bl>
    <w:p>
      <w:pPr>
        <w:jc w:val="cente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shd w:val="nil" w:color="auto"/>
        <w:rPr>
          <w:rFonts w:hint="eastAsia" w:ascii="宋体" w:hAnsi="宋体" w:eastAsia="宋体" w:cs="Times New Roman"/>
          <w:b/>
          <w:bCs/>
          <w:sz w:val="28"/>
          <w:szCs w:val="28"/>
          <w:highlight w:val="none"/>
          <w:lang w:val="en-US" w:eastAsia="zh-CN" w:bidi="ar-SA"/>
        </w:rPr>
        <w:outlineLvl w:val="2"/>
      </w:pPr>
      <w:r>
        <w:rPr>
          <w:highlight w:val="none"/>
        </w:rPr>
        <w:br w:type="page" w:clear="all"/>
      </w:r>
      <w:r>
        <w:rPr>
          <w:highlight w:val="none"/>
        </w:rPr>
      </w:r>
      <w:r/>
    </w:p>
    <w:p>
      <w:pPr>
        <w:jc w:val="center"/>
        <w:keepNext/>
        <w:spacing w:before="120" w:after="120" w:line="360" w:lineRule="auto"/>
        <w:widowControl/>
        <w:tabs>
          <w:tab w:val="left" w:pos="14" w:leader="none"/>
        </w:tabs>
        <w:rPr>
          <w:highlight w:val="none"/>
        </w:rPr>
        <w:outlineLvl w:val="2"/>
      </w:pPr>
      <w:r>
        <w:rPr>
          <w:rFonts w:hint="eastAsia" w:ascii="宋体" w:hAnsi="宋体" w:eastAsia="宋体" w:cs="Times New Roman"/>
          <w:b/>
          <w:bCs/>
          <w:sz w:val="28"/>
          <w:szCs w:val="28"/>
          <w:highlight w:val="none"/>
          <w:lang w:val="en-US" w:eastAsia="zh-CN" w:bidi="ar-SA"/>
        </w:rPr>
        <w:t xml:space="preserve">附件4：            绿地养护等级标准</w:t>
      </w:r>
      <w:bookmarkEnd w:id="2"/>
      <w:r/>
      <w:r/>
    </w:p>
    <w:tbl>
      <w:tblPr>
        <w:tblStyle w:val="944"/>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3137"/>
        <w:gridCol w:w="2443"/>
        <w:gridCol w:w="2940"/>
      </w:tblGrid>
      <w:tr>
        <w:trPr>
          <w:jc w:val="center"/>
          <w:trHeight w:val="726"/>
          <w:tblHeader/>
        </w:trPr>
        <w:tc>
          <w:tcPr>
            <w:tcW w:w="1080" w:type="dxa"/>
            <w:vAlign w:val="center"/>
            <w:textDirection w:val="lrTb"/>
            <w:noWrap w:val="false"/>
          </w:tcPr>
          <w:p>
            <w:pPr>
              <w:jc w:val="center"/>
              <w:widowControl w:val="off"/>
              <w:rPr>
                <w:rFonts w:ascii="宋体" w:hAnsi="宋体" w:eastAsia="宋体" w:cs="Times New Roman"/>
                <w:b/>
                <w:bCs/>
                <w:sz w:val="24"/>
                <w:szCs w:val="20"/>
                <w:highlight w:val="none"/>
                <w:lang w:val="en-US" w:eastAsia="zh-CN" w:bidi="ar-SA"/>
              </w:rPr>
            </w:pPr>
            <w:r>
              <w:rPr>
                <w:rFonts w:hint="eastAsia" w:ascii="宋体" w:hAnsi="宋体" w:eastAsia="宋体" w:cs="Times New Roman"/>
                <w:b/>
                <w:bCs/>
                <w:sz w:val="24"/>
                <w:szCs w:val="20"/>
                <w:highlight w:val="none"/>
                <w:lang w:val="en-US" w:eastAsia="zh-CN" w:bidi="ar-SA"/>
              </w:rPr>
              <w:t xml:space="preserve">类别</w:t>
            </w:r>
            <w:r/>
          </w:p>
        </w:tc>
        <w:tc>
          <w:tcPr>
            <w:tcW w:w="3137" w:type="dxa"/>
            <w:vAlign w:val="center"/>
            <w:textDirection w:val="lrTb"/>
            <w:noWrap w:val="false"/>
          </w:tcPr>
          <w:p>
            <w:pPr>
              <w:jc w:val="center"/>
              <w:widowControl w:val="off"/>
              <w:rPr>
                <w:rFonts w:ascii="宋体" w:hAnsi="宋体" w:eastAsia="宋体" w:cs="Times New Roman"/>
                <w:b/>
                <w:bCs/>
                <w:sz w:val="24"/>
                <w:szCs w:val="20"/>
                <w:highlight w:val="none"/>
                <w:lang w:val="en-US" w:eastAsia="zh-CN" w:bidi="ar-SA"/>
              </w:rPr>
            </w:pPr>
            <w:r>
              <w:rPr>
                <w:rFonts w:hint="eastAsia" w:ascii="宋体" w:hAnsi="宋体" w:eastAsia="宋体" w:cs="Times New Roman"/>
                <w:b/>
                <w:bCs/>
                <w:sz w:val="24"/>
                <w:szCs w:val="20"/>
                <w:highlight w:val="none"/>
                <w:lang w:val="en-US" w:eastAsia="zh-CN" w:bidi="ar-SA"/>
              </w:rPr>
              <w:t xml:space="preserve">一级</w:t>
            </w:r>
            <w:r/>
          </w:p>
        </w:tc>
        <w:tc>
          <w:tcPr>
            <w:tcW w:w="2443" w:type="dxa"/>
            <w:vAlign w:val="center"/>
            <w:textDirection w:val="lrTb"/>
            <w:noWrap w:val="false"/>
          </w:tcPr>
          <w:p>
            <w:pPr>
              <w:jc w:val="center"/>
              <w:widowControl w:val="off"/>
              <w:rPr>
                <w:rFonts w:ascii="宋体" w:hAnsi="宋体" w:eastAsia="宋体" w:cs="Times New Roman"/>
                <w:b/>
                <w:bCs/>
                <w:sz w:val="24"/>
                <w:szCs w:val="20"/>
                <w:highlight w:val="none"/>
                <w:lang w:val="en-US" w:eastAsia="zh-CN" w:bidi="ar-SA"/>
              </w:rPr>
            </w:pPr>
            <w:r>
              <w:rPr>
                <w:rFonts w:hint="eastAsia" w:ascii="宋体" w:hAnsi="宋体" w:eastAsia="宋体" w:cs="Times New Roman"/>
                <w:b/>
                <w:bCs/>
                <w:sz w:val="24"/>
                <w:szCs w:val="20"/>
                <w:highlight w:val="none"/>
                <w:lang w:val="en-US" w:eastAsia="zh-CN" w:bidi="ar-SA"/>
              </w:rPr>
              <w:t xml:space="preserve">二级</w:t>
            </w:r>
            <w:r/>
          </w:p>
        </w:tc>
        <w:tc>
          <w:tcPr>
            <w:tcW w:w="2940" w:type="dxa"/>
            <w:vAlign w:val="center"/>
            <w:textDirection w:val="lrTb"/>
            <w:noWrap w:val="false"/>
          </w:tcPr>
          <w:p>
            <w:pPr>
              <w:jc w:val="center"/>
              <w:widowControl w:val="off"/>
              <w:rPr>
                <w:rFonts w:ascii="宋体" w:hAnsi="宋体" w:eastAsia="宋体" w:cs="Times New Roman"/>
                <w:b/>
                <w:bCs/>
                <w:sz w:val="24"/>
                <w:szCs w:val="20"/>
                <w:highlight w:val="none"/>
                <w:lang w:val="en-US" w:eastAsia="zh-CN" w:bidi="ar-SA"/>
              </w:rPr>
            </w:pPr>
            <w:r>
              <w:rPr>
                <w:rFonts w:hint="eastAsia" w:ascii="宋体" w:hAnsi="宋体" w:eastAsia="宋体" w:cs="Times New Roman"/>
                <w:b/>
                <w:bCs/>
                <w:sz w:val="24"/>
                <w:szCs w:val="20"/>
                <w:highlight w:val="none"/>
                <w:lang w:val="en-US" w:eastAsia="zh-CN" w:bidi="ar-SA"/>
              </w:rPr>
              <w:t xml:space="preserve">三级</w:t>
            </w:r>
            <w:r/>
          </w:p>
        </w:tc>
      </w:tr>
      <w:tr>
        <w:trPr>
          <w:jc w:val="center"/>
          <w:trHeight w:val="1060"/>
        </w:trPr>
        <w:tc>
          <w:tcPr>
            <w:tcW w:w="1080" w:type="dxa"/>
            <w:vAlign w:val="center"/>
            <w:textDirection w:val="lrTb"/>
            <w:noWrap w:val="false"/>
          </w:tcPr>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道路</w:t>
            </w:r>
            <w:r/>
          </w:p>
          <w:p>
            <w:pPr>
              <w:jc w:val="center"/>
              <w:widowControl w:val="off"/>
              <w:rPr>
                <w:rFonts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绿地</w:t>
            </w:r>
            <w:r/>
          </w:p>
        </w:tc>
        <w:tc>
          <w:tcPr>
            <w:tcW w:w="3137" w:type="dxa"/>
            <w:vAlign w:val="center"/>
            <w:textDirection w:val="lrTb"/>
            <w:noWrap w:val="false"/>
          </w:tcPr>
          <w:p>
            <w:pPr>
              <w:jc w:val="both"/>
              <w:widowControl w:val="off"/>
              <w:rPr>
                <w:rFonts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群落合理完整，层次丰富，黄土不裸露，树木种间株间生长空间与层次处理得当，整体观赏效果好。</w:t>
            </w:r>
            <w:r/>
          </w:p>
        </w:tc>
        <w:tc>
          <w:tcPr>
            <w:tcW w:w="2443" w:type="dxa"/>
            <w:vAlign w:val="center"/>
            <w:textDirection w:val="lrTb"/>
            <w:noWrap w:val="false"/>
          </w:tcPr>
          <w:p>
            <w:pPr>
              <w:jc w:val="both"/>
              <w:widowControl w:val="off"/>
              <w:rPr>
                <w:rFonts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林相结构合理，以乔木为主的树坛，其下应有灌木，地表不裸露。</w:t>
            </w:r>
            <w:r/>
          </w:p>
        </w:tc>
        <w:tc>
          <w:tcPr>
            <w:tcW w:w="2940" w:type="dxa"/>
            <w:vAlign w:val="center"/>
            <w:textDirection w:val="lrTb"/>
            <w:noWrap w:val="false"/>
          </w:tcPr>
          <w:p>
            <w:pPr>
              <w:jc w:val="both"/>
              <w:widowControl w:val="off"/>
              <w:rPr>
                <w:rFonts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植物种植成片或带状，有完整的景观效果，地表不裸露。</w:t>
            </w:r>
            <w:r/>
          </w:p>
        </w:tc>
      </w:tr>
      <w:tr>
        <w:trPr>
          <w:jc w:val="center"/>
          <w:trHeight w:val="4146"/>
        </w:trPr>
        <w:tc>
          <w:tcPr>
            <w:tcW w:w="1080" w:type="dxa"/>
            <w:vAlign w:val="center"/>
            <w:textDirection w:val="lrTb"/>
            <w:noWrap w:val="false"/>
          </w:tcPr>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行道树</w:t>
            </w:r>
            <w:r/>
          </w:p>
        </w:tc>
        <w:tc>
          <w:tcPr>
            <w:tcW w:w="3137" w:type="dxa"/>
            <w:vAlign w:val="center"/>
            <w:textDirection w:val="lrTb"/>
            <w:noWrap w:val="false"/>
          </w:tcPr>
          <w:p>
            <w:pPr>
              <w:jc w:val="both"/>
              <w:widowControl w:val="off"/>
              <w:rPr>
                <w:rFonts w:hint="eastAsia" w:ascii="宋体" w:hAnsi="宋体" w:eastAsia="宋体" w:cs="Times New Roman"/>
                <w:bCs/>
                <w:spacing w:val="-2"/>
                <w:sz w:val="24"/>
                <w:szCs w:val="24"/>
                <w:highlight w:val="none"/>
                <w:lang w:val="en-US" w:eastAsia="zh-CN" w:bidi="ar-SA"/>
              </w:rPr>
            </w:pPr>
            <w:r>
              <w:rPr>
                <w:rFonts w:hint="eastAsia" w:ascii="宋体" w:hAnsi="宋体" w:eastAsia="宋体" w:cs="Times New Roman"/>
                <w:bCs/>
                <w:spacing w:val="-2"/>
                <w:sz w:val="24"/>
                <w:szCs w:val="24"/>
                <w:highlight w:val="none"/>
                <w:lang w:val="en-US" w:eastAsia="zh-CN" w:bidi="ar-SA"/>
              </w:rPr>
              <w:t xml:space="preserve">植株青枝绿叶，长势茂盛（含地被植物），树冠丰满完整。植株无徒长枝、病虫枝、过密枝、并生枝、交叉枝、下垂枝、枯枝、伤损枝。树穴有平整盖板或种植地被植物，黄土不裸露。道路行道树要有群体特色效果，品种统一，姿态协调，补植树木品种规格也应保持一致。无缺株、死树，植株不倾斜，无断桩、坏桩，桩位扎缚规范化。基本无病虫害危害迹象。其中蛀干性害虫危害率不超过3％。有防治措施。</w:t>
            </w:r>
            <w:r/>
          </w:p>
        </w:tc>
        <w:tc>
          <w:tcPr>
            <w:tcW w:w="2443"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树冠完整，长势良好。植株基本无徒长枝、病虫枝、过密枝、并生枝、交叉枝、下垂枝、枯枝。树穴有平整盖板或种植地被植物，黄土不裸露。行道树品种统一，有良好的外观和</w:t>
            </w:r>
            <w:r>
              <w:rPr>
                <w:rFonts w:hint="eastAsia" w:ascii="宋体" w:hAnsi="宋体" w:cs="Times New Roman"/>
                <w:bCs/>
                <w:sz w:val="24"/>
                <w:szCs w:val="24"/>
                <w:highlight w:val="none"/>
                <w:lang w:val="en-US" w:eastAsia="zh-CN" w:bidi="ar-SA"/>
              </w:rPr>
              <w:t xml:space="preserve">遮阴</w:t>
            </w:r>
            <w:r>
              <w:rPr>
                <w:rFonts w:hint="eastAsia" w:ascii="宋体" w:hAnsi="宋体" w:eastAsia="宋体" w:cs="Times New Roman"/>
                <w:bCs/>
                <w:sz w:val="24"/>
                <w:szCs w:val="24"/>
                <w:highlight w:val="none"/>
                <w:lang w:val="en-US" w:eastAsia="zh-CN" w:bidi="ar-SA"/>
              </w:rPr>
              <w:t xml:space="preserve">效果，无死树，无缺株现象，基本无断桩，坏桩，桩位扎缚有效。病虫害危害未达到明显程度。其中，蛀干性害虫危害不超过5％。有一定的防治措施。</w:t>
            </w:r>
            <w:r/>
          </w:p>
        </w:tc>
        <w:tc>
          <w:tcPr>
            <w:tcW w:w="2940"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保持树冠基本完整。树穴有完整覆盖。无死树、无缺株现象。有病虫害控制措施，其中，蛀干性害虫危害率不超过10％。有一定的防治措施。</w:t>
            </w:r>
            <w:r/>
          </w:p>
        </w:tc>
      </w:tr>
      <w:tr>
        <w:trPr>
          <w:jc w:val="center"/>
          <w:trHeight w:val="407"/>
        </w:trPr>
        <w:tc>
          <w:tcPr>
            <w:tcW w:w="1080" w:type="dxa"/>
            <w:vAlign w:val="center"/>
            <w:textDirection w:val="lrTb"/>
            <w:noWrap w:val="false"/>
          </w:tcPr>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其它</w:t>
            </w:r>
            <w:r/>
          </w:p>
          <w:p>
            <w:pPr>
              <w:jc w:val="center"/>
              <w:widowControl w:val="off"/>
              <w:rPr>
                <w:rFonts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树木</w:t>
            </w:r>
            <w:r/>
          </w:p>
        </w:tc>
        <w:tc>
          <w:tcPr>
            <w:tcW w:w="3137"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生长旺盛，树冠整齐，主侧枝分枝均匀，数量适宜，内膛通风透光。</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叶色正常，无卷叶、黄叶（生长季节），无病虫害。</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枝干健壮，无枯死枝，无蛀干性病虫危害。</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缺株在2%以下（含2%）。不得连续2棵缺株，补植树木与原树木径级不超过20%。</w:t>
            </w:r>
            <w:r/>
          </w:p>
          <w:p>
            <w:pPr>
              <w:jc w:val="both"/>
              <w:widowControl w:val="off"/>
              <w:rPr>
                <w:rFonts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5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⑤</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树穴内无垃圾杂草、土壤</w:t>
            </w:r>
            <w:r>
              <w:rPr>
                <w:rFonts w:hint="eastAsia" w:ascii="宋体" w:hAnsi="宋体" w:cs="Times New Roman"/>
                <w:bCs/>
                <w:sz w:val="24"/>
                <w:szCs w:val="24"/>
                <w:highlight w:val="none"/>
                <w:lang w:val="en-US" w:eastAsia="zh-CN" w:bidi="ar-SA"/>
              </w:rPr>
              <w:t xml:space="preserve">疏松</w:t>
            </w:r>
            <w:r>
              <w:rPr>
                <w:rFonts w:hint="eastAsia" w:ascii="宋体" w:hAnsi="宋体" w:eastAsia="宋体" w:cs="Times New Roman"/>
                <w:bCs/>
                <w:sz w:val="24"/>
                <w:szCs w:val="24"/>
                <w:highlight w:val="none"/>
                <w:lang w:val="en-US" w:eastAsia="zh-CN" w:bidi="ar-SA"/>
              </w:rPr>
              <w:t xml:space="preserve">。</w:t>
            </w:r>
            <w:r/>
          </w:p>
        </w:tc>
        <w:tc>
          <w:tcPr>
            <w:tcW w:w="2443"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生长正常，树冠基本完整，主侧枝分枝基本均匀，数量适宜，内膛通风透光。</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叶色基本正常，有少量黄叶（生长季节）、焦叶、卷叶，有少量虫粪。</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枝干生长正常，无明显枯死枝，病虫害虽有发生，但能及时根除。</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缺株在4%以下（含4%）。不得连续3棵缺株，补植树木与原树木径级不超过30%。</w:t>
            </w:r>
            <w:r/>
          </w:p>
          <w:p>
            <w:pPr>
              <w:jc w:val="both"/>
              <w:widowControl w:val="off"/>
              <w:rPr>
                <w:rFonts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5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⑤</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树穴无垃圾杂草、土壤不板结。</w:t>
            </w:r>
            <w:r/>
          </w:p>
        </w:tc>
        <w:tc>
          <w:tcPr>
            <w:tcW w:w="2940" w:type="dxa"/>
            <w:vAlign w:val="center"/>
            <w:textDirection w:val="lrTb"/>
            <w:noWrap w:val="false"/>
          </w:tcPr>
          <w:p>
            <w:pPr>
              <w:jc w:val="both"/>
              <w:widowControl w:val="off"/>
              <w:rPr>
                <w:rFonts w:hint="eastAsia" w:ascii="宋体" w:hAnsi="宋体" w:eastAsia="宋体" w:cs="Times New Roman"/>
                <w:bCs/>
                <w:spacing w:val="-4"/>
                <w:sz w:val="24"/>
                <w:szCs w:val="24"/>
                <w:highlight w:val="none"/>
                <w:lang w:val="en-US" w:eastAsia="zh-CN" w:bidi="ar-SA"/>
              </w:rPr>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1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①</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4"/>
                <w:sz w:val="24"/>
                <w:szCs w:val="24"/>
                <w:highlight w:val="none"/>
                <w:lang w:val="en-US" w:eastAsia="zh-CN" w:bidi="ar-SA"/>
              </w:rPr>
              <w:t xml:space="preserve">生长基本正常，树冠基本完整，选留主侧枝基本合理，内膛基本通风透气。</w:t>
            </w:r>
            <w:r/>
          </w:p>
          <w:p>
            <w:pPr>
              <w:jc w:val="both"/>
              <w:widowControl w:val="off"/>
              <w:rPr>
                <w:rFonts w:hint="eastAsia" w:ascii="宋体" w:hAnsi="宋体" w:eastAsia="宋体" w:cs="Times New Roman"/>
                <w:bCs/>
                <w:spacing w:val="-4"/>
                <w:sz w:val="24"/>
                <w:szCs w:val="24"/>
                <w:highlight w:val="none"/>
                <w:lang w:val="en-US" w:eastAsia="zh-CN" w:bidi="ar-SA"/>
              </w:rPr>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2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②</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4"/>
                <w:sz w:val="24"/>
                <w:szCs w:val="24"/>
                <w:highlight w:val="none"/>
                <w:lang w:val="en-US" w:eastAsia="zh-CN" w:bidi="ar-SA"/>
              </w:rPr>
              <w:t xml:space="preserve">叶色基本正常，有部分黄叶（生长季节）、焦叶、卷叶，有部分虫粪，有被虫咬食的痕迹。</w:t>
            </w:r>
            <w:r/>
          </w:p>
          <w:p>
            <w:pPr>
              <w:jc w:val="both"/>
              <w:widowControl w:val="off"/>
              <w:rPr>
                <w:rFonts w:hint="eastAsia" w:ascii="宋体" w:hAnsi="宋体" w:eastAsia="宋体" w:cs="Times New Roman"/>
                <w:bCs/>
                <w:spacing w:val="-4"/>
                <w:sz w:val="24"/>
                <w:szCs w:val="24"/>
                <w:highlight w:val="none"/>
                <w:lang w:val="en-US" w:eastAsia="zh-CN" w:bidi="ar-SA"/>
              </w:rPr>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3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③</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8"/>
                <w:sz w:val="24"/>
                <w:szCs w:val="24"/>
                <w:highlight w:val="none"/>
                <w:lang w:val="en-US" w:eastAsia="zh-CN" w:bidi="ar-SA"/>
              </w:rPr>
              <w:t xml:space="preserve">枝干生长正常，有少量枯死枝，有少量蛀干病虫</w:t>
            </w:r>
            <w:r>
              <w:rPr>
                <w:rFonts w:hint="eastAsia" w:ascii="宋体" w:hAnsi="宋体" w:cs="Times New Roman"/>
                <w:bCs/>
                <w:spacing w:val="-8"/>
                <w:sz w:val="24"/>
                <w:szCs w:val="24"/>
                <w:highlight w:val="none"/>
                <w:lang w:val="en-US" w:eastAsia="zh-CN" w:bidi="ar-SA"/>
              </w:rPr>
              <w:t xml:space="preserve">危害</w:t>
            </w:r>
            <w:r>
              <w:rPr>
                <w:rFonts w:hint="eastAsia" w:ascii="宋体" w:hAnsi="宋体" w:eastAsia="宋体" w:cs="Times New Roman"/>
                <w:bCs/>
                <w:spacing w:val="-8"/>
                <w:sz w:val="24"/>
                <w:szCs w:val="24"/>
                <w:highlight w:val="none"/>
                <w:lang w:val="en-US" w:eastAsia="zh-CN" w:bidi="ar-SA"/>
              </w:rPr>
              <w:t xml:space="preserve">。</w:t>
            </w:r>
            <w:r/>
          </w:p>
          <w:p>
            <w:pPr>
              <w:jc w:val="both"/>
              <w:widowControl w:val="off"/>
              <w:rPr>
                <w:rFonts w:hint="eastAsia" w:ascii="宋体" w:hAnsi="宋体" w:eastAsia="宋体" w:cs="Times New Roman"/>
                <w:bCs/>
                <w:spacing w:val="-8"/>
                <w:sz w:val="24"/>
                <w:szCs w:val="24"/>
                <w:highlight w:val="none"/>
                <w:lang w:val="en-US" w:eastAsia="zh-CN" w:bidi="ar-SA"/>
              </w:rPr>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4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④</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8"/>
                <w:sz w:val="24"/>
                <w:szCs w:val="24"/>
                <w:highlight w:val="none"/>
                <w:lang w:val="en-US" w:eastAsia="zh-CN" w:bidi="ar-SA"/>
              </w:rPr>
              <w:t xml:space="preserve">缺株在6%以下（含6%）。不得连续4棵缺株，补植树木与原树木径级不超过40%。</w:t>
            </w:r>
            <w:r/>
          </w:p>
          <w:p>
            <w:pPr>
              <w:jc w:val="both"/>
              <w:widowControl w:val="off"/>
              <w:rPr>
                <w:rFonts w:ascii="宋体" w:hAnsi="宋体" w:eastAsia="宋体" w:cs="Times New Roman"/>
                <w:bCs/>
                <w:spacing w:val="-4"/>
                <w:sz w:val="24"/>
                <w:szCs w:val="24"/>
                <w:highlight w:val="none"/>
                <w:lang w:val="en-US" w:eastAsia="zh-CN" w:bidi="ar-SA"/>
              </w:rPr>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5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⑤</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4"/>
                <w:sz w:val="24"/>
                <w:szCs w:val="24"/>
                <w:highlight w:val="none"/>
                <w:lang w:val="en-US" w:eastAsia="zh-CN" w:bidi="ar-SA"/>
              </w:rPr>
              <w:t xml:space="preserve">树穴内基本无垃圾及高型杂草。</w:t>
            </w:r>
            <w:r/>
          </w:p>
        </w:tc>
      </w:tr>
      <w:tr>
        <w:trPr>
          <w:jc w:val="center"/>
          <w:trHeight w:val="903"/>
        </w:trPr>
        <w:tc>
          <w:tcPr>
            <w:tcW w:w="1080" w:type="dxa"/>
            <w:vAlign w:val="center"/>
            <w:textDirection w:val="lrTb"/>
            <w:noWrap w:val="false"/>
          </w:tcPr>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花卉</w:t>
            </w:r>
            <w:r/>
          </w:p>
        </w:tc>
        <w:tc>
          <w:tcPr>
            <w:tcW w:w="3137"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植株健壮，花型正，花色艳，株行距适宜，不露底土，覆盖面达90%以上。</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花卉生长正常，无枯枝残花，无缺株、倒伏。</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花坛图案清晰，色彩鲜艳，花朵繁茂，花期一致。</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花径花卉层次分明，高矮有序。</w:t>
            </w:r>
            <w:r/>
          </w:p>
        </w:tc>
        <w:tc>
          <w:tcPr>
            <w:tcW w:w="2443"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花卉植株生长良好，花色艳丽，具有一定的株行距，不露底土，覆盖面达85%以上。</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花卉生长正常，缺株、倒伏不超过3处，无枯枝残花。</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花期基本一致。</w:t>
            </w:r>
            <w:r/>
          </w:p>
        </w:tc>
        <w:tc>
          <w:tcPr>
            <w:tcW w:w="2940"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有整体色彩效果</w:t>
            </w:r>
            <w:r>
              <w:rPr>
                <w:rFonts w:hint="eastAsia" w:ascii="宋体" w:hAnsi="宋体" w:cs="Times New Roman"/>
                <w:bCs/>
                <w:sz w:val="24"/>
                <w:szCs w:val="24"/>
                <w:highlight w:val="none"/>
                <w:lang w:val="en-US" w:eastAsia="zh-CN" w:bidi="ar-SA"/>
              </w:rPr>
              <w:t xml:space="preserve">，</w:t>
            </w:r>
            <w:r>
              <w:rPr>
                <w:rFonts w:hint="eastAsia" w:ascii="宋体" w:hAnsi="宋体" w:eastAsia="宋体" w:cs="Times New Roman"/>
                <w:bCs/>
                <w:sz w:val="24"/>
                <w:szCs w:val="24"/>
                <w:highlight w:val="none"/>
                <w:lang w:val="en-US" w:eastAsia="zh-CN" w:bidi="ar-SA"/>
              </w:rPr>
              <w:t xml:space="preserve">不露底土，覆盖面达80%以上。</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花卉生长基本正常，缺株、倒伏不超过5处</w:t>
            </w:r>
            <w:r>
              <w:rPr>
                <w:rFonts w:hint="eastAsia" w:ascii="宋体" w:hAnsi="宋体" w:cs="Times New Roman"/>
                <w:bCs/>
                <w:sz w:val="24"/>
                <w:szCs w:val="24"/>
                <w:highlight w:val="none"/>
                <w:lang w:val="en-US" w:eastAsia="zh-CN" w:bidi="ar-SA"/>
              </w:rPr>
              <w:t xml:space="preserve">，</w:t>
            </w:r>
            <w:r>
              <w:rPr>
                <w:rFonts w:hint="eastAsia" w:ascii="宋体" w:hAnsi="宋体" w:eastAsia="宋体" w:cs="Times New Roman"/>
                <w:bCs/>
                <w:sz w:val="24"/>
                <w:szCs w:val="24"/>
                <w:highlight w:val="none"/>
                <w:lang w:val="en-US" w:eastAsia="zh-CN" w:bidi="ar-SA"/>
              </w:rPr>
              <w:t xml:space="preserve"> 基本无枯枝残花。</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适时开花。</w:t>
            </w:r>
            <w:r/>
          </w:p>
        </w:tc>
      </w:tr>
      <w:tr>
        <w:trPr>
          <w:jc w:val="center"/>
          <w:trHeight w:val="1316"/>
        </w:trPr>
        <w:tc>
          <w:tcPr>
            <w:tcW w:w="1080" w:type="dxa"/>
            <w:vAlign w:val="center"/>
            <w:textDirection w:val="lrTb"/>
            <w:noWrap w:val="false"/>
          </w:tcPr>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绿篱</w:t>
            </w:r>
            <w:r/>
          </w:p>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及</w:t>
            </w:r>
            <w:r/>
          </w:p>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地被</w:t>
            </w:r>
            <w:r/>
          </w:p>
        </w:tc>
        <w:tc>
          <w:tcPr>
            <w:tcW w:w="3137"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生长茂盛，枝条茂密。</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修剪成型，完整无缺。</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无垃圾杂物。</w:t>
            </w:r>
            <w:r/>
          </w:p>
        </w:tc>
        <w:tc>
          <w:tcPr>
            <w:tcW w:w="2443"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生长正常。无明显枯枝、断枝。</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修剪及时，形状较完整。</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基本无垃圾杂物。</w:t>
            </w:r>
            <w:r/>
          </w:p>
        </w:tc>
        <w:tc>
          <w:tcPr>
            <w:tcW w:w="2940"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生长基本正常，有少量枯枝、断枝。</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修剪能在规定时间内完成。</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无明显的垃圾杂物。</w:t>
            </w:r>
            <w:r/>
          </w:p>
        </w:tc>
      </w:tr>
      <w:tr>
        <w:trPr>
          <w:jc w:val="center"/>
          <w:trHeight w:val="1911"/>
        </w:trPr>
        <w:tc>
          <w:tcPr>
            <w:tcW w:w="1080" w:type="dxa"/>
            <w:vAlign w:val="center"/>
            <w:textDirection w:val="lrTb"/>
            <w:noWrap w:val="false"/>
          </w:tcPr>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草坪</w:t>
            </w:r>
            <w:r/>
          </w:p>
        </w:tc>
        <w:tc>
          <w:tcPr>
            <w:tcW w:w="3137"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生长旺盛，草根不裸露。</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生长季节不枯黄，杂草率≤10%，覆盖率达98%以上。</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修剪及时，修剪高度符合要求，无垃圾及堆料堆物。</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集中空秃面积不超过0.1M</w:t>
            </w:r>
            <w:r>
              <w:rPr>
                <w:rFonts w:hint="eastAsia" w:ascii="宋体" w:hAnsi="宋体" w:eastAsia="宋体" w:cs="Times New Roman"/>
                <w:bCs/>
                <w:sz w:val="24"/>
                <w:szCs w:val="24"/>
                <w:highlight w:val="none"/>
                <w:vertAlign w:val="superscript"/>
                <w:lang w:val="en-US" w:eastAsia="zh-CN" w:bidi="ar-SA"/>
              </w:rPr>
              <w:t xml:space="preserve">2</w:t>
            </w:r>
            <w:r>
              <w:rPr>
                <w:rFonts w:hint="eastAsia" w:ascii="宋体" w:hAnsi="宋体" w:eastAsia="宋体" w:cs="Times New Roman"/>
                <w:bCs/>
                <w:sz w:val="24"/>
                <w:szCs w:val="24"/>
                <w:highlight w:val="none"/>
                <w:lang w:val="en-US" w:eastAsia="zh-CN" w:bidi="ar-SA"/>
              </w:rPr>
              <w:t xml:space="preserve">。</w:t>
            </w:r>
            <w:r/>
          </w:p>
        </w:tc>
        <w:tc>
          <w:tcPr>
            <w:tcW w:w="2443"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生长良好，杂草率≤20%，覆盖率达95%以上。</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修剪高度符合要求，能及时处理堆料堆物。</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单块空秃面积不超过0.2M</w:t>
            </w:r>
            <w:r>
              <w:rPr>
                <w:rFonts w:hint="eastAsia" w:ascii="宋体" w:hAnsi="宋体" w:eastAsia="宋体" w:cs="Times New Roman"/>
                <w:bCs/>
                <w:sz w:val="24"/>
                <w:szCs w:val="24"/>
                <w:highlight w:val="none"/>
                <w:vertAlign w:val="superscript"/>
                <w:lang w:val="en-US" w:eastAsia="zh-CN" w:bidi="ar-SA"/>
              </w:rPr>
              <w:t xml:space="preserve">2</w:t>
            </w:r>
            <w:r>
              <w:rPr>
                <w:rFonts w:hint="eastAsia" w:ascii="宋体" w:hAnsi="宋体" w:eastAsia="宋体" w:cs="Times New Roman"/>
                <w:bCs/>
                <w:sz w:val="24"/>
                <w:szCs w:val="24"/>
                <w:highlight w:val="none"/>
                <w:lang w:val="en-US" w:eastAsia="zh-CN" w:bidi="ar-SA"/>
              </w:rPr>
              <w:t xml:space="preserve">。</w:t>
            </w:r>
            <w:r/>
          </w:p>
        </w:tc>
        <w:tc>
          <w:tcPr>
            <w:tcW w:w="2940"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生长基本正常，杂草率≤30%，覆盖率达90%以上。</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修剪高度基本符合要求，堆料堆场清理能在规定期限内完成。</w:t>
            </w:r>
            <w:r/>
          </w:p>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单块空秃面积不超过0.3M</w:t>
            </w:r>
            <w:r>
              <w:rPr>
                <w:rFonts w:hint="eastAsia" w:ascii="宋体" w:hAnsi="宋体" w:eastAsia="宋体" w:cs="Times New Roman"/>
                <w:bCs/>
                <w:sz w:val="24"/>
                <w:szCs w:val="24"/>
                <w:highlight w:val="none"/>
                <w:vertAlign w:val="superscript"/>
                <w:lang w:val="en-US" w:eastAsia="zh-CN" w:bidi="ar-SA"/>
              </w:rPr>
              <w:t xml:space="preserve">2</w:t>
            </w:r>
            <w:r>
              <w:rPr>
                <w:rFonts w:hint="eastAsia" w:ascii="宋体" w:hAnsi="宋体" w:eastAsia="宋体" w:cs="Times New Roman"/>
                <w:bCs/>
                <w:sz w:val="24"/>
                <w:szCs w:val="24"/>
                <w:highlight w:val="none"/>
                <w:lang w:val="en-US" w:eastAsia="zh-CN" w:bidi="ar-SA"/>
              </w:rPr>
              <w:t xml:space="preserve">.</w:t>
            </w:r>
            <w:r/>
          </w:p>
        </w:tc>
      </w:tr>
      <w:tr>
        <w:trPr>
          <w:jc w:val="center"/>
          <w:trHeight w:val="1911"/>
        </w:trPr>
        <w:tc>
          <w:tcPr>
            <w:tcW w:w="1080" w:type="dxa"/>
            <w:vAlign w:val="center"/>
            <w:textDirection w:val="lrTb"/>
            <w:noWrap w:val="false"/>
          </w:tcPr>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病虫害</w:t>
            </w:r>
            <w:r/>
          </w:p>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控制</w:t>
            </w:r>
            <w:r/>
          </w:p>
        </w:tc>
        <w:tc>
          <w:tcPr>
            <w:tcW w:w="3137"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食叶性害虫危害的叶片每株小于5%，刺吸性害虫危害的叶片每株小于10%，蛀干性害虫率小于3%，基本无危害迹象。</w:t>
            </w:r>
            <w:r/>
          </w:p>
        </w:tc>
        <w:tc>
          <w:tcPr>
            <w:tcW w:w="2443"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食叶性害虫危害的叶片每株小于10%，刺吸性害虫危害的叶片每株小于20%，蛀干性害虫危害率小于5%，无明显危害迹象。</w:t>
            </w:r>
            <w:r/>
          </w:p>
        </w:tc>
        <w:tc>
          <w:tcPr>
            <w:tcW w:w="2940"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食叶性害虫危害的叶片每株小于15%，刺吸性害虫危害的叶片每株小于30%，蛀干性害虫危害率小于10%，无因病害而引起断枝倒伏现象。</w:t>
            </w:r>
            <w:r/>
          </w:p>
        </w:tc>
      </w:tr>
      <w:tr>
        <w:trPr>
          <w:jc w:val="center"/>
          <w:trHeight w:val="1391"/>
        </w:trPr>
        <w:tc>
          <w:tcPr>
            <w:tcW w:w="1080" w:type="dxa"/>
            <w:vAlign w:val="center"/>
            <w:textDirection w:val="lrTb"/>
            <w:noWrap w:val="false"/>
          </w:tcPr>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杂草</w:t>
            </w:r>
            <w:r/>
          </w:p>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控制</w:t>
            </w:r>
            <w:r/>
          </w:p>
        </w:tc>
        <w:tc>
          <w:tcPr>
            <w:tcW w:w="3137"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无杂草。</w:t>
            </w:r>
            <w:r/>
          </w:p>
        </w:tc>
        <w:tc>
          <w:tcPr>
            <w:tcW w:w="2443"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基本无杂草。无缠绕性、攀援性杂草。杂草高度控制在6cm以下，不影响景观效果。</w:t>
            </w:r>
            <w:r/>
          </w:p>
        </w:tc>
        <w:tc>
          <w:tcPr>
            <w:tcW w:w="2940"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无缠绕性、攀援性杂草。控制杂草高度以不影响景观效果为度。</w:t>
            </w:r>
            <w:r/>
          </w:p>
        </w:tc>
      </w:tr>
      <w:tr>
        <w:trPr>
          <w:jc w:val="center"/>
          <w:trHeight w:val="1091"/>
        </w:trPr>
        <w:tc>
          <w:tcPr>
            <w:tcW w:w="1080" w:type="dxa"/>
            <w:vAlign w:val="center"/>
            <w:textDirection w:val="lrTb"/>
            <w:noWrap w:val="false"/>
          </w:tcPr>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设施</w:t>
            </w:r>
            <w:r/>
          </w:p>
        </w:tc>
        <w:tc>
          <w:tcPr>
            <w:tcW w:w="3137"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建筑小品、辅助设施完好无损，并做到经常出新。</w:t>
            </w:r>
            <w:r/>
          </w:p>
        </w:tc>
        <w:tc>
          <w:tcPr>
            <w:tcW w:w="2443"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建筑小品、辅助设施整洁无损。</w:t>
            </w:r>
            <w:r/>
          </w:p>
        </w:tc>
        <w:tc>
          <w:tcPr>
            <w:tcW w:w="2940"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有必要的防护措施。</w:t>
            </w:r>
            <w:r/>
          </w:p>
        </w:tc>
      </w:tr>
      <w:tr>
        <w:trPr>
          <w:jc w:val="center"/>
          <w:trHeight w:val="501"/>
        </w:trPr>
        <w:tc>
          <w:tcPr>
            <w:tcW w:w="1080" w:type="dxa"/>
            <w:vAlign w:val="center"/>
            <w:textDirection w:val="lrTb"/>
            <w:noWrap w:val="false"/>
          </w:tcPr>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环境</w:t>
            </w:r>
            <w:r/>
          </w:p>
          <w:p>
            <w:pPr>
              <w:jc w:val="center"/>
              <w:widowControl w:val="off"/>
              <w:rPr>
                <w:rFonts w:hint="eastAsia" w:ascii="宋体" w:hAnsi="宋体" w:eastAsia="宋体" w:cs="Times New Roman"/>
                <w:b/>
                <w:bCs/>
                <w:sz w:val="21"/>
                <w:szCs w:val="20"/>
                <w:highlight w:val="none"/>
                <w:lang w:val="en-US" w:eastAsia="zh-CN" w:bidi="ar-SA"/>
              </w:rPr>
            </w:pPr>
            <w:r>
              <w:rPr>
                <w:rFonts w:hint="eastAsia" w:ascii="宋体" w:hAnsi="宋体" w:eastAsia="宋体" w:cs="Times New Roman"/>
                <w:b/>
                <w:bCs/>
                <w:sz w:val="21"/>
                <w:szCs w:val="20"/>
                <w:highlight w:val="none"/>
                <w:lang w:val="en-US" w:eastAsia="zh-CN" w:bidi="ar-SA"/>
              </w:rPr>
              <w:t xml:space="preserve">卫生</w:t>
            </w:r>
            <w:r/>
          </w:p>
        </w:tc>
        <w:tc>
          <w:tcPr>
            <w:tcW w:w="3137"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绿地整洁，无垃圾。</w:t>
            </w:r>
            <w:r/>
          </w:p>
        </w:tc>
        <w:tc>
          <w:tcPr>
            <w:tcW w:w="2443"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绿地整洁，无垃圾。</w:t>
            </w:r>
            <w:r/>
          </w:p>
        </w:tc>
        <w:tc>
          <w:tcPr>
            <w:tcW w:w="2940" w:type="dxa"/>
            <w:vAlign w:val="center"/>
            <w:textDirection w:val="lrTb"/>
            <w:noWrap w:val="false"/>
          </w:tcPr>
          <w:p>
            <w:pPr>
              <w:jc w:val="both"/>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绿地整洁，基本无垃圾。</w:t>
            </w:r>
            <w:r/>
          </w:p>
        </w:tc>
      </w:tr>
    </w:tbl>
    <w:p>
      <w:pPr>
        <w:ind w:firstLine="420"/>
        <w:jc w:val="both"/>
        <w:widowControl w:val="off"/>
        <w:rPr>
          <w:rFonts w:hint="eastAsia" w:ascii="宋体" w:hAnsi="宋体" w:eastAsia="宋体" w:cs="Times New Roman"/>
          <w:sz w:val="21"/>
          <w:szCs w:val="24"/>
          <w:highlight w:val="none"/>
          <w:lang w:val="en-US" w:eastAsia="zh-CN" w:bidi="ar-SA"/>
        </w:rPr>
      </w:pPr>
      <w:r>
        <w:rPr>
          <w:rFonts w:hint="eastAsia" w:ascii="宋体" w:hAnsi="宋体" w:eastAsia="宋体" w:cs="Times New Roman"/>
          <w:sz w:val="21"/>
          <w:szCs w:val="24"/>
          <w:highlight w:val="none"/>
          <w:lang w:val="en-US" w:eastAsia="zh-CN" w:bidi="ar-SA"/>
        </w:rPr>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ascii="宋体" w:hAnsi="宋体" w:eastAsia="宋体" w:cs="Times New Roman"/>
          <w:b/>
          <w:bCs/>
          <w:sz w:val="28"/>
          <w:szCs w:val="28"/>
          <w:highlight w:val="none"/>
          <w:lang w:val="en-US" w:eastAsia="zh-CN" w:bidi="ar-SA"/>
        </w:rPr>
        <w:br w:type="page" w:clear="all"/>
      </w:r>
      <w:bookmarkStart w:id="3" w:name="_Toc231463946"/>
      <w:r>
        <w:rPr>
          <w:rFonts w:hint="eastAsia" w:ascii="宋体" w:hAnsi="宋体" w:eastAsia="宋体" w:cs="Times New Roman"/>
          <w:b/>
          <w:bCs/>
          <w:sz w:val="28"/>
          <w:szCs w:val="28"/>
          <w:highlight w:val="none"/>
          <w:lang w:val="en-US" w:eastAsia="zh-CN" w:bidi="ar-SA"/>
        </w:rPr>
        <w:t xml:space="preserve">附件5：          绿化养护项目部管理条例</w:t>
      </w:r>
      <w:bookmarkEnd w:id="3"/>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第一章 总则</w:t>
      </w:r>
      <w:r/>
    </w:p>
    <w:p>
      <w:pPr>
        <w:ind w:left="900" w:hanging="90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第一条 为加强绿化养护队伍管理，严肃工作纪律，不断提升鸿山街道绿化养护质量，特制定本条例，明确要求，规范行为，维护鸿山街道城管中队良好形象。</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第二章 细则</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第二条 行为规范</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仪容仪表：项目部人员应仪表整洁、大方。</w:t>
      </w:r>
      <w:r/>
    </w:p>
    <w:p>
      <w:pPr>
        <w:ind w:left="418" w:hanging="42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用语：在任何场合用语应文明规范，语气温和，音量适中，严禁大声喧哗。</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现场接待：遇有客人进入项目部应礼貌接待，上班时间（包括午餐时间）办公室内应保证有人接待。</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电话接听：接听电话应及时，一般铃响不应超过三声，如受话人不能接听，其他人员应主动接听，重要电话</w:t>
      </w:r>
      <w:r>
        <w:rPr>
          <w:rFonts w:hint="eastAsia" w:ascii="宋体" w:hAnsi="宋体" w:cs="Times New Roman"/>
          <w:sz w:val="24"/>
          <w:szCs w:val="24"/>
          <w:highlight w:val="none"/>
          <w:lang w:eastAsia="zh-CN"/>
        </w:rPr>
        <w:t xml:space="preserve">做好</w:t>
      </w:r>
      <w:r>
        <w:rPr>
          <w:rFonts w:hint="eastAsia" w:ascii="宋体" w:hAnsi="宋体" w:eastAsia="宋体" w:cs="Times New Roman"/>
          <w:sz w:val="24"/>
          <w:szCs w:val="24"/>
          <w:highlight w:val="none"/>
        </w:rPr>
        <w:t xml:space="preserve">接听记录，严禁长时间占用项目部电话。</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第三条 办公秩序</w:t>
      </w:r>
      <w:r/>
    </w:p>
    <w:p>
      <w:pPr>
        <w:ind w:left="432"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工作时间内不应无故离岗、串岗，不得闲聊、吃零食、大声喧哗，确保办公环境的安静有序。</w:t>
      </w:r>
      <w:r/>
    </w:p>
    <w:p>
      <w:pPr>
        <w:ind w:left="360" w:hanging="36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项目部成员应自觉维护办公室公共卫生，保持整洁舒适的办公环境。</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 项目部成员应在每天的工作时间开始前和工作时间结束后做好个人工作区内的卫生保洁工作，保持物品整齐，桌面清洁。</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发现办公设备损坏或发生故障时，及时报修或更换。</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厉行节约，自觉减少日常办公用品消耗。</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当日巡查用车所属公司项目经理应做好车辆检查，确保不影响工作使用。</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第四条 工作纪律</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  严禁在工作区域内向同事鼓吹任何政治理论，赌博或使用侮辱语言。</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  严禁强迫同事加入任何组织，社团或工会。</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  严禁违</w:t>
      </w:r>
      <w:r>
        <w:rPr>
          <w:rFonts w:hint="eastAsia" w:ascii="宋体" w:hAnsi="宋体" w:cs="Times New Roman"/>
          <w:sz w:val="24"/>
          <w:szCs w:val="24"/>
          <w:highlight w:val="none"/>
          <w:lang w:eastAsia="zh-CN"/>
        </w:rPr>
        <w:t xml:space="preserve">反</w:t>
      </w:r>
      <w:r>
        <w:rPr>
          <w:rFonts w:hint="eastAsia" w:ascii="宋体" w:hAnsi="宋体" w:eastAsia="宋体" w:cs="Times New Roman"/>
          <w:sz w:val="24"/>
          <w:szCs w:val="24"/>
          <w:highlight w:val="none"/>
        </w:rPr>
        <w:t xml:space="preserve">任何安全条件或从事任何危害安全的行为。</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  项目部工作时间为8：30-17：30，每周工作6天，周日轮流值班，未获准许任何人员不得旷工、缺勤或迟到、早退。</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  不得故意疏忽或拒绝甲方的合理合法命令或分配工作。</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  项目经理去现场检查工作时，要确保项目部有人在岗，外出前应将去向对在岗人员说明。</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第五条 岗位职责</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  项目经理作为公司代表全面负责承包养护范围内所有绿化养护管理工作。</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  服从管理，不折不扣完成甲方交办的重要任务。</w:t>
      </w:r>
      <w:r/>
    </w:p>
    <w:p>
      <w:pPr>
        <w:ind w:left="478" w:hanging="48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  抓好养护队伍建设，做好养护工人思想、理论、技术培训，不断</w:t>
      </w:r>
      <w:r>
        <w:rPr>
          <w:rFonts w:hint="eastAsia" w:ascii="宋体" w:hAnsi="宋体" w:cs="Times New Roman"/>
          <w:sz w:val="24"/>
          <w:szCs w:val="24"/>
          <w:highlight w:val="none"/>
          <w:lang w:eastAsia="zh-CN"/>
        </w:rPr>
        <w:t xml:space="preserve">增强</w:t>
      </w:r>
      <w:r>
        <w:rPr>
          <w:rFonts w:hint="eastAsia" w:ascii="宋体" w:hAnsi="宋体" w:eastAsia="宋体" w:cs="Times New Roman"/>
          <w:sz w:val="24"/>
          <w:szCs w:val="24"/>
          <w:highlight w:val="none"/>
        </w:rPr>
        <w:t xml:space="preserve">养护作业责任意识和技术水平。</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  做好养护工作自评自考，完善巡查、考核等工作日志和相关台账。</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第三章 督查</w:t>
      </w:r>
      <w:r/>
    </w:p>
    <w:p>
      <w:pPr>
        <w:ind w:left="1" w:firstLine="537"/>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制度的检查、监督部门为鸿山街道城市管理（环卫）科，违反此规定的人员，将给予所属公司每次100-200元的处罚，适用《绿化养护质量考核分类扣款规定》的，按该《规定》执行。本制度的最终解释权在鸿山街道城市管理（环卫）科。</w:t>
      </w:r>
      <w:r/>
    </w:p>
    <w:p>
      <w:pPr>
        <w:spacing w:before="120" w:after="120" w:line="360" w:lineRule="auto"/>
        <w:widowControl/>
        <w:tabs>
          <w:tab w:val="left" w:pos="14" w:leader="none"/>
        </w:tabs>
        <w:rPr>
          <w:rFonts w:hint="eastAsia" w:ascii="宋体" w:hAnsi="宋体" w:eastAsia="宋体"/>
          <w:sz w:val="28"/>
          <w:szCs w:val="28"/>
          <w:highlight w:val="none"/>
        </w:rPr>
        <w:sectPr>
          <w:footerReference w:type="default" r:id="rId18"/>
          <w:footnotePr/>
          <w:endnotePr/>
          <w:type w:val="nextPage"/>
          <w:pgSz w:w="11906" w:h="16838" w:orient="portrait"/>
          <w:pgMar w:top="1418" w:right="1361" w:bottom="1418" w:left="1361" w:header="851" w:footer="726" w:gutter="0"/>
          <w:cols w:num="1" w:sep="0" w:space="720" w:equalWidth="1"/>
          <w:docGrid w:linePitch="360"/>
        </w:sectPr>
      </w:pPr>
      <w:r>
        <w:rPr>
          <w:rFonts w:hint="eastAsia" w:ascii="宋体" w:hAnsi="宋体" w:eastAsia="宋体"/>
          <w:sz w:val="28"/>
          <w:szCs w:val="28"/>
          <w:highlight w:val="none"/>
        </w:rPr>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附件6：                    绿化养护全年主要工作任务及目标要求</w:t>
      </w:r>
      <w:r/>
    </w:p>
    <w:tbl>
      <w:tblPr>
        <w:tblStyle w:val="94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97"/>
        <w:gridCol w:w="783"/>
        <w:gridCol w:w="416"/>
        <w:gridCol w:w="2679"/>
        <w:gridCol w:w="7879"/>
        <w:gridCol w:w="1053"/>
        <w:gridCol w:w="1281"/>
      </w:tblGrid>
      <w:tr>
        <w:trPr>
          <w:trHeight w:val="675"/>
        </w:trPr>
        <w:tc>
          <w:tcPr>
            <w:gridSpan w:val="7"/>
            <w:tcBorders>
              <w:top w:val="none" w:color="000000" w:sz="4" w:space="0"/>
              <w:left w:val="none" w:color="000000" w:sz="4" w:space="0"/>
              <w:bottom w:val="single" w:color="auto" w:sz="4" w:space="0"/>
              <w:right w:val="none" w:color="000000" w:sz="4" w:space="0"/>
            </w:tcBorders>
            <w:tcW w:w="14788"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绿化养护年度工作任务及目标要求</w:t>
            </w:r>
            <w:r/>
          </w:p>
        </w:tc>
      </w:tr>
      <w:tr>
        <w:trPr>
          <w:trHeight w:val="540"/>
        </w:trPr>
        <w:tc>
          <w:tcPr>
            <w:gridSpan w:val="2"/>
            <w:tcBorders>
              <w:top w:val="single" w:color="auto" w:sz="4" w:space="0"/>
              <w:left w:val="single" w:color="auto" w:sz="4" w:space="0"/>
              <w:bottom w:val="single" w:color="auto" w:sz="4" w:space="0"/>
              <w:right w:val="single" w:color="000000" w:sz="4" w:space="0"/>
            </w:tcBorders>
            <w:tcW w:w="1480"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月份</w:t>
            </w:r>
            <w:r/>
          </w:p>
        </w:tc>
        <w:tc>
          <w:tcPr>
            <w:gridSpan w:val="2"/>
            <w:tcBorders>
              <w:top w:val="single" w:color="auto" w:sz="4" w:space="0"/>
              <w:left w:val="none" w:color="000000" w:sz="4" w:space="0"/>
              <w:bottom w:val="single" w:color="auto" w:sz="4" w:space="0"/>
              <w:right w:val="single" w:color="000000" w:sz="4" w:space="0"/>
            </w:tcBorders>
            <w:tcW w:w="3095"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主要工作任务</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目标要求</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时间计划</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2"/>
                <w:szCs w:val="22"/>
                <w:highlight w:val="none"/>
              </w:rPr>
            </w:pPr>
            <w:r>
              <w:rPr>
                <w:rFonts w:hint="eastAsia" w:ascii="宋体" w:hAnsi="宋体" w:eastAsia="宋体" w:cs="宋体"/>
                <w:sz w:val="22"/>
                <w:szCs w:val="22"/>
                <w:highlight w:val="none"/>
              </w:rPr>
              <w:t xml:space="preserve">报价组成（%）</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冬季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树木整形修剪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对以香樟、法梧为代表的常绿和落叶行道树进行疏枝和整形修剪，本月应完成行道树整形以及法梧、紫薇、木芙蓉、月季、美人蕉、水生植物等品种的越冬修剪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树木修剪前应重点针对高空作业人员进行安全技术交底和正确示范，并做好安全防护措施，并上报安全交底记录和照片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黑麦草每15天修剪1次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抗雪减灾应急保障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月上旬完成抗雪减灾应急预案编制，最低标准应急物料（铁锹30把、长竹竿60根、扫帚30把）、车辆（卡车1辆、水车1辆）、人员（30人）等全部落实到位，加固倾斜松动树木，抽稀和加固竹林，并按照城管中队统一部署组织应急抢险演练，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灌冻水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12月下旬，土壤封冻前，对所有乔灌草浇灌一次冻水，浇足浇透，以浸透土壤15-20cm为宜。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台账资料</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台账包括年度工作总结、项目管理网络图、项目经理每日巡查记录、考核扣分台账、合同、招投标资料、决算、竣工图及光盘，1月中旬上报</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黑麦草中旬修剪1次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抗雪减灾应急保障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继续按照抗雪减灾应急预案做好应急保障，保障期间应做到1小时内排除险情，2天内完成倒伏树木扶正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春节前一周应对所有作业工人进行节日安全交底，并上报安全交底记录和照片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春节保障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春节前一周结清农民工工资，对绿地内的绿化垃圾进行一次全面清理，并按照抗雪减灾应急预案做好春节期间应急保障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w:t>
            </w:r>
            <w:r>
              <w:rPr>
                <w:rFonts w:hint="eastAsia" w:ascii="宋体" w:hAnsi="宋体" w:cs="宋体"/>
                <w:sz w:val="20"/>
                <w:szCs w:val="24"/>
                <w:highlight w:val="none"/>
                <w:lang w:val="en-US" w:eastAsia="zh-CN"/>
              </w:rPr>
              <w:t xml:space="preserve">-</w:t>
            </w: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抗雪减灾应急保障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继续按照抗雪减灾应急预案做好应急保障，保障期间应做到1小时内排除险情，2天内完成倒伏树木扶正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黑麦草中旬修剪1次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树木整形修剪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完成除行道树以外的香樟、广玉兰、女贞、桂花等常绿树种的疏枝整形修剪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春季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施肥、松土</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结合对所有乔灌木树穴松土整饬，施腐熟有机肥，施肥量不低于1kg/m</w:t>
            </w:r>
            <w:r>
              <w:rPr>
                <w:rFonts w:hint="eastAsia" w:ascii="宋体" w:hAnsi="宋体" w:eastAsia="宋体" w:cs="宋体"/>
                <w:sz w:val="20"/>
                <w:szCs w:val="24"/>
                <w:highlight w:val="none"/>
                <w:vertAlign w:val="superscript"/>
              </w:rPr>
              <w:t xml:space="preserve">2</w:t>
            </w:r>
            <w:r>
              <w:rPr>
                <w:rFonts w:hint="eastAsia" w:ascii="宋体" w:hAnsi="宋体" w:eastAsia="宋体" w:cs="宋体"/>
                <w:sz w:val="20"/>
                <w:szCs w:val="24"/>
                <w:highlight w:val="none"/>
              </w:rPr>
              <w:t xml:space="preserve">，对绿篱、色块、黑麦草和草花等地被植物施一次复合肥，施肥量不低于15g/m</w:t>
            </w:r>
            <w:r>
              <w:rPr>
                <w:rFonts w:hint="eastAsia" w:ascii="宋体" w:hAnsi="宋体" w:eastAsia="宋体" w:cs="宋体"/>
                <w:sz w:val="20"/>
                <w:szCs w:val="24"/>
                <w:highlight w:val="none"/>
                <w:vertAlign w:val="superscript"/>
              </w:rPr>
              <w:t xml:space="preserve">2</w:t>
            </w:r>
            <w:r>
              <w:rPr>
                <w:rFonts w:hint="eastAsia" w:ascii="宋体" w:hAnsi="宋体" w:eastAsia="宋体" w:cs="宋体"/>
                <w:sz w:val="20"/>
                <w:szCs w:val="24"/>
                <w:highlight w:val="none"/>
              </w:rPr>
              <w:t xml:space="preserve">，施肥可与春灌结合，提高吸收率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春灌</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对所有绿地进行一次全面春灌，要求浇足浇透，以浸透土壤15</w:t>
            </w:r>
            <w:r>
              <w:rPr>
                <w:rFonts w:hint="eastAsia" w:ascii="宋体" w:hAnsi="宋体" w:cs="宋体"/>
                <w:sz w:val="20"/>
                <w:szCs w:val="24"/>
                <w:highlight w:val="none"/>
                <w:lang w:eastAsia="zh-CN"/>
              </w:rPr>
              <w:t xml:space="preserve">—</w:t>
            </w:r>
            <w:r>
              <w:rPr>
                <w:rFonts w:hint="eastAsia" w:ascii="宋体" w:hAnsi="宋体" w:eastAsia="宋体" w:cs="宋体"/>
                <w:sz w:val="20"/>
                <w:szCs w:val="24"/>
                <w:highlight w:val="none"/>
              </w:rPr>
              <w:t xml:space="preserve">20cm为宜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撤除防寒设施</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撤除热带树种防寒设施</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黑麦草每15天修剪1次，中旬天堂草、绿篱、球类修剪1次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主要应针对病虫害越冬代进行防治，摘除</w:t>
            </w:r>
            <w:r>
              <w:rPr>
                <w:rFonts w:hint="eastAsia" w:ascii="宋体" w:hAnsi="宋体" w:eastAsia="宋体" w:cs="宋体"/>
                <w:b/>
                <w:bCs/>
                <w:sz w:val="20"/>
                <w:szCs w:val="24"/>
                <w:highlight w:val="none"/>
              </w:rPr>
              <w:t xml:space="preserve">大袋蛾</w:t>
            </w:r>
            <w:r>
              <w:rPr>
                <w:rFonts w:hint="eastAsia" w:ascii="宋体" w:hAnsi="宋体" w:eastAsia="宋体" w:cs="宋体"/>
                <w:sz w:val="20"/>
                <w:szCs w:val="24"/>
                <w:highlight w:val="none"/>
              </w:rPr>
              <w:t xml:space="preserve">虫囊（香樟、樱花、柏类、桂花等）；清除</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虫茧（法梧、栾树、枫杨、红叶李、杨树、柳树、桃树等）；对草坪、麦冬、葱兰等土壤中的金龟子幼虫（</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）视情况通过人工翻土或药物进行防治；开始对</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进行防治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春季草花更换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完成春季草花更换，草花应图案清晰、色彩鲜艳、花朵繁茂、花期一致，种植密度不低于49株/平方米，视品种植株大小应适当提高密度，保持基本不见裸土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每10天修剪一次黑麦草、绿篱、球类，乔木剥芽1次，黑麦草低修剪，开花植物花后2周内完成整形修剪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清扫香樟落叶</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中旬起加大保洁力度，及时清扫香樟落叶</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本月是春季病虫害发生和</w:t>
            </w:r>
            <w:r>
              <w:rPr>
                <w:rFonts w:hint="eastAsia" w:ascii="宋体" w:hAnsi="宋体" w:cs="宋体"/>
                <w:sz w:val="20"/>
                <w:szCs w:val="24"/>
                <w:highlight w:val="none"/>
                <w:lang w:eastAsia="zh-CN"/>
              </w:rPr>
              <w:t xml:space="preserve">危害</w:t>
            </w:r>
            <w:r>
              <w:rPr>
                <w:rFonts w:hint="eastAsia" w:ascii="宋体" w:hAnsi="宋体" w:eastAsia="宋体" w:cs="宋体"/>
                <w:sz w:val="20"/>
                <w:szCs w:val="24"/>
                <w:highlight w:val="none"/>
              </w:rPr>
              <w:t xml:space="preserve">高峰，重点防治对象：</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介壳虫</w:t>
            </w:r>
            <w:r>
              <w:rPr>
                <w:rFonts w:hint="eastAsia" w:ascii="宋体" w:hAnsi="宋体" w:eastAsia="宋体" w:cs="宋体"/>
                <w:sz w:val="20"/>
                <w:szCs w:val="24"/>
                <w:highlight w:val="none"/>
              </w:rPr>
              <w:t xml:space="preserve">（香樟、广玉兰、含笑、香橼、独干女贞、桂花、桔子等）</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（栾树、无患子、合欢、红枫、法梧、杨树、柳树、桃树、槐树等）、</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（草坪、麦冬、葱兰）、</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杜鹃网蝽</w:t>
            </w:r>
            <w:r>
              <w:rPr>
                <w:rFonts w:hint="eastAsia" w:ascii="宋体" w:hAnsi="宋体" w:eastAsia="宋体" w:cs="宋体"/>
                <w:sz w:val="20"/>
                <w:szCs w:val="24"/>
                <w:highlight w:val="none"/>
              </w:rPr>
              <w:t xml:space="preserve">（杜鹃）、</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大叶黄杨斑蛾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每10天修剪一次草坪、绿篱、球类，乔木剥芽1次，黑麦草低修剪，开花植物花后2周内完成整形修剪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每5天对绿地浇一次透水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追肥</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5月上旬对草坪、草花、绿篱追施复合肥，施肥量</w:t>
            </w:r>
            <w:r>
              <w:rPr>
                <w:rFonts w:hint="eastAsia" w:ascii="宋体" w:hAnsi="宋体" w:cs="宋体"/>
                <w:sz w:val="20"/>
                <w:szCs w:val="24"/>
                <w:highlight w:val="none"/>
                <w:lang w:eastAsia="zh-CN"/>
              </w:rPr>
              <w:t xml:space="preserve">不低于</w:t>
            </w:r>
            <w:r>
              <w:rPr>
                <w:rFonts w:hint="eastAsia" w:ascii="宋体" w:hAnsi="宋体" w:eastAsia="宋体" w:cs="宋体"/>
                <w:sz w:val="20"/>
                <w:szCs w:val="24"/>
                <w:highlight w:val="none"/>
              </w:rPr>
              <w:t xml:space="preserve">15g/ m</w:t>
            </w:r>
            <w:r>
              <w:rPr>
                <w:rFonts w:hint="eastAsia" w:ascii="宋体" w:hAnsi="宋体" w:eastAsia="宋体" w:cs="宋体"/>
                <w:sz w:val="20"/>
                <w:szCs w:val="24"/>
                <w:highlight w:val="none"/>
                <w:vertAlign w:val="superscript"/>
              </w:rPr>
              <w:t xml:space="preserve">2</w:t>
            </w:r>
            <w:r>
              <w:rPr>
                <w:rFonts w:hint="eastAsia" w:ascii="宋体" w:hAnsi="宋体" w:eastAsia="宋体" w:cs="宋体"/>
                <w:sz w:val="20"/>
                <w:szCs w:val="24"/>
                <w:highlight w:val="none"/>
              </w:rPr>
              <w:t xml:space="preserve">，对花后植物追施腐熟有机肥，施肥量不低于1kg/m</w:t>
            </w:r>
            <w:r>
              <w:rPr>
                <w:rFonts w:hint="eastAsia" w:ascii="宋体" w:hAnsi="宋体" w:eastAsia="宋体" w:cs="宋体"/>
                <w:sz w:val="20"/>
                <w:szCs w:val="24"/>
                <w:highlight w:val="none"/>
                <w:vertAlign w:val="superscript"/>
              </w:rPr>
              <w:t xml:space="preserve">2</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松土</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cs="宋体"/>
                <w:sz w:val="20"/>
                <w:szCs w:val="24"/>
                <w:highlight w:val="none"/>
                <w:lang w:eastAsia="zh-CN"/>
              </w:rPr>
              <w:t xml:space="preserve">中旬</w:t>
            </w:r>
            <w:r>
              <w:rPr>
                <w:rFonts w:hint="eastAsia" w:ascii="宋体" w:hAnsi="宋体" w:eastAsia="宋体" w:cs="宋体"/>
                <w:sz w:val="20"/>
                <w:szCs w:val="24"/>
                <w:highlight w:val="none"/>
              </w:rPr>
              <w:t xml:space="preserve">对所有乔灌木树穴进行翻土整饬，灌木、色块、草坪切边</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清扫香樟落叶</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5月上旬继续对香樟落叶进行及时清扫</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常绿树补植</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10月上旬对常绿树种缺株、死苗及受损、外形不佳苗木规格数量进行排查统计，制定补植计划，本月完成常绿树种补植，补植苗木规格不得低于原来标准</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木虱</w:t>
            </w:r>
            <w:r>
              <w:rPr>
                <w:rFonts w:hint="eastAsia" w:ascii="宋体" w:hAnsi="宋体" w:eastAsia="宋体" w:cs="宋体"/>
                <w:sz w:val="20"/>
                <w:szCs w:val="24"/>
                <w:highlight w:val="none"/>
              </w:rPr>
              <w:t xml:space="preserve">（青桐、合欢）、</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（法梧、杨树、柳树、枫杨、槐树、桃树、梅花、海棠、樱花、红叶李等）、</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介壳虫（香樟、广玉兰、含笑、香橼、独干女贞、桂花、桔子等）、紫薇绒蚧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（栾树、无患子、合欢、红枫、法梧、杨树、柳树、桃树、槐树等）、</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大叶黄杨斑蛾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夏季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每10天修剪一次草坪、绿篱、球类，乔木剥芽1次，黑麦草低修剪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每3天对绿地浇一次透水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月上旬完成防台防汛应急预案编制，最低标准应急物料（铁锹30把、排水泵2台、油锯2台、手锯10把、杉木棍100根）、车辆（卡车1辆、水车1辆）、人员（30人）等全部落实到位，加固倾斜松动的树木，抽稀和加固竹林，并按照城管中队统一部署组织应急抢险演练，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排水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6月上旬完成生态林排水系统整饬，至少每3排树一条排水沟，排水沟底宽及深度不低于50cm，排水导入地表水系或道路排水管网</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夏季草花更换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6月下旬完成夏季草花更换，草花应图案清晰、色彩鲜艳、花朵繁茂、花期一致，种植密度不低于49株/平方米，视品种植株大小应适当提高密度，保持基本不见裸土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木虱</w:t>
            </w:r>
            <w:r>
              <w:rPr>
                <w:rFonts w:hint="eastAsia" w:ascii="宋体" w:hAnsi="宋体" w:eastAsia="宋体" w:cs="宋体"/>
                <w:sz w:val="20"/>
                <w:szCs w:val="24"/>
                <w:highlight w:val="none"/>
              </w:rPr>
              <w:t xml:space="preserve">（青桐、合欢）、</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（法梧、杨树、柳树、枫杨、槐树、桃树、梅花、海棠、樱花、红叶李等）、</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介壳虫</w:t>
            </w:r>
            <w:r>
              <w:rPr>
                <w:rFonts w:hint="eastAsia" w:ascii="宋体" w:hAnsi="宋体" w:eastAsia="宋体" w:cs="宋体"/>
                <w:sz w:val="20"/>
                <w:szCs w:val="24"/>
                <w:highlight w:val="none"/>
              </w:rPr>
              <w:t xml:space="preserve">（香樟、广玉兰、含笑、香橼、独干女贞、桂花、桔子等）、</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（栾树、无患子、合欢、红枫、法梧、杨树、柳树、桃树、槐树等）、</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大叶黄杨斑蛾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针对高温期间作业安全管理工作进行安全技术交底，发放相应防暑降温物资，并上报安全交底记录、防暑降温物资领取记录和照片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7月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每10天修剪一次草坪、绿篱、球类，乔木剥芽1次，黑麦草低修剪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每天对绿地浇一次透水，视天气情况对乔灌木树穴翻土灌水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继续按照防台防汛应急预案做好应急保障，保障期间应做到1小时内排除险情，2天内完成倒伏树木扶正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樟巢螟</w:t>
            </w:r>
            <w:r>
              <w:rPr>
                <w:rFonts w:hint="eastAsia" w:ascii="宋体" w:hAnsi="宋体" w:eastAsia="宋体" w:cs="宋体"/>
                <w:sz w:val="20"/>
                <w:szCs w:val="24"/>
                <w:highlight w:val="none"/>
              </w:rPr>
              <w:t xml:space="preserve">（香樟）、</w:t>
            </w:r>
            <w:r>
              <w:rPr>
                <w:rFonts w:hint="eastAsia" w:ascii="宋体" w:hAnsi="宋体" w:eastAsia="宋体" w:cs="宋体"/>
                <w:b/>
                <w:bCs/>
                <w:sz w:val="20"/>
                <w:szCs w:val="24"/>
                <w:highlight w:val="none"/>
              </w:rPr>
              <w:t xml:space="preserve">葱兰夜蛾</w:t>
            </w:r>
            <w:r>
              <w:rPr>
                <w:rFonts w:hint="eastAsia" w:ascii="宋体" w:hAnsi="宋体" w:eastAsia="宋体" w:cs="宋体"/>
                <w:sz w:val="20"/>
                <w:szCs w:val="24"/>
                <w:highlight w:val="none"/>
              </w:rPr>
              <w:t xml:space="preserve">（葱兰）。每7天进行一次药物防治，樟巢螟虫巢进行1次人工剪除销毁。</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8月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每10天修剪一次草坪、绿篱、球类，乔木剥芽1次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每天对绿地浇一次透水，视天气情况对乔灌木树穴翻土灌水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继续按照防台防汛应急预案做好应急保障，保障期间应做到1小时内排除险情，2天内完成倒伏树木扶正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120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樟巢螟</w:t>
            </w:r>
            <w:r>
              <w:rPr>
                <w:rFonts w:hint="eastAsia" w:ascii="宋体" w:hAnsi="宋体" w:eastAsia="宋体" w:cs="宋体"/>
                <w:sz w:val="20"/>
                <w:szCs w:val="24"/>
                <w:highlight w:val="none"/>
              </w:rPr>
              <w:t xml:space="preserve">（香樟）、</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斜纹夜蛾</w:t>
            </w:r>
            <w:r>
              <w:rPr>
                <w:rFonts w:hint="eastAsia" w:ascii="宋体" w:hAnsi="宋体" w:eastAsia="宋体" w:cs="宋体"/>
                <w:sz w:val="20"/>
                <w:szCs w:val="24"/>
                <w:highlight w:val="none"/>
              </w:rPr>
              <w:t xml:space="preserve">（白三叶、草坪）、</w:t>
            </w:r>
            <w:r>
              <w:rPr>
                <w:rFonts w:hint="eastAsia" w:ascii="宋体" w:hAnsi="宋体" w:cs="宋体"/>
                <w:sz w:val="20"/>
                <w:szCs w:val="24"/>
                <w:highlight w:val="none"/>
                <w:lang w:eastAsia="zh-CN"/>
              </w:rPr>
              <w:t xml:space="preserve">黏虫</w:t>
            </w:r>
            <w:r>
              <w:rPr>
                <w:rFonts w:hint="eastAsia" w:ascii="宋体" w:hAnsi="宋体" w:eastAsia="宋体" w:cs="宋体"/>
                <w:sz w:val="20"/>
                <w:szCs w:val="24"/>
                <w:highlight w:val="none"/>
              </w:rPr>
              <w:t xml:space="preserve">（草坪）、</w:t>
            </w:r>
            <w:r>
              <w:rPr>
                <w:rFonts w:hint="eastAsia" w:ascii="宋体" w:hAnsi="宋体" w:eastAsia="宋体" w:cs="宋体"/>
                <w:b/>
                <w:bCs/>
                <w:sz w:val="20"/>
                <w:szCs w:val="24"/>
                <w:highlight w:val="none"/>
              </w:rPr>
              <w:t xml:space="preserve">草地螟</w:t>
            </w:r>
            <w:r>
              <w:rPr>
                <w:rFonts w:hint="eastAsia" w:ascii="宋体" w:hAnsi="宋体" w:eastAsia="宋体" w:cs="宋体"/>
                <w:sz w:val="20"/>
                <w:szCs w:val="24"/>
                <w:highlight w:val="none"/>
              </w:rPr>
              <w:t xml:space="preserve">（草坪）、</w:t>
            </w:r>
            <w:r>
              <w:rPr>
                <w:rFonts w:hint="eastAsia" w:ascii="宋体" w:hAnsi="宋体" w:eastAsia="宋体" w:cs="宋体"/>
                <w:b/>
                <w:bCs/>
                <w:sz w:val="20"/>
                <w:szCs w:val="24"/>
                <w:highlight w:val="none"/>
              </w:rPr>
              <w:t xml:space="preserve">葱兰夜蛾</w:t>
            </w:r>
            <w:r>
              <w:rPr>
                <w:rFonts w:hint="eastAsia" w:ascii="宋体" w:hAnsi="宋体" w:eastAsia="宋体" w:cs="宋体"/>
                <w:sz w:val="20"/>
                <w:szCs w:val="24"/>
                <w:highlight w:val="none"/>
              </w:rPr>
              <w:t xml:space="preserve">（葱兰）、</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杜鹃网蝽</w:t>
            </w:r>
            <w:r>
              <w:rPr>
                <w:rFonts w:hint="eastAsia" w:ascii="宋体" w:hAnsi="宋体" w:eastAsia="宋体" w:cs="宋体"/>
                <w:sz w:val="20"/>
                <w:szCs w:val="24"/>
                <w:highlight w:val="none"/>
              </w:rPr>
              <w:t xml:space="preserve">（杜鹃）、</w:t>
            </w:r>
            <w:r>
              <w:rPr>
                <w:rFonts w:hint="eastAsia" w:ascii="宋体" w:hAnsi="宋体" w:eastAsia="宋体" w:cs="宋体"/>
                <w:b/>
                <w:bCs/>
                <w:sz w:val="20"/>
                <w:szCs w:val="24"/>
                <w:highlight w:val="none"/>
              </w:rPr>
              <w:t xml:space="preserve">康氏粉蚧</w:t>
            </w:r>
            <w:r>
              <w:rPr>
                <w:rFonts w:hint="eastAsia" w:ascii="宋体" w:hAnsi="宋体" w:eastAsia="宋体" w:cs="宋体"/>
                <w:sz w:val="20"/>
                <w:szCs w:val="24"/>
                <w:highlight w:val="none"/>
              </w:rPr>
              <w:t xml:space="preserve">（金叶女贞），</w:t>
            </w:r>
            <w:r>
              <w:rPr>
                <w:rFonts w:hint="eastAsia" w:ascii="宋体" w:hAnsi="宋体" w:eastAsia="宋体" w:cs="宋体"/>
                <w:b/>
                <w:bCs/>
                <w:sz w:val="20"/>
                <w:szCs w:val="24"/>
                <w:highlight w:val="none"/>
              </w:rPr>
              <w:t xml:space="preserve">合欢枯萎病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（紫薇、月季、狭叶十大功劳、大叶黄杨等）。每7天进行一次药物防治，樟巢螟虫巢进行1次人工剪除销毁。</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秋季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9月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每10天修剪一次草坪、绿篱、球类，乔木每月剥芽1次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每2天对绿地浇一次透水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继续按照防台防汛应急预案做好应急保障，保障期间应做到1小时内排除险情，2天内完成倒伏树木扶正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秋季草花更换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下旬完成秋季草花更换，草花应图案清晰、色彩鲜艳、花朵繁茂、花期一致，种植密度不低于49株/平方米，视品种植株大小应适当提高密度，保持基本不见裸土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192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本月是秋季病虫害发生和</w:t>
            </w:r>
            <w:r>
              <w:rPr>
                <w:rFonts w:hint="eastAsia" w:ascii="宋体" w:hAnsi="宋体" w:cs="宋体"/>
                <w:sz w:val="20"/>
                <w:szCs w:val="24"/>
                <w:highlight w:val="none"/>
                <w:lang w:eastAsia="zh-CN"/>
              </w:rPr>
              <w:t xml:space="preserve">危害</w:t>
            </w:r>
            <w:r>
              <w:rPr>
                <w:rFonts w:hint="eastAsia" w:ascii="宋体" w:hAnsi="宋体" w:eastAsia="宋体" w:cs="宋体"/>
                <w:sz w:val="20"/>
                <w:szCs w:val="24"/>
                <w:highlight w:val="none"/>
              </w:rPr>
              <w:t xml:space="preserve">高峰，重点防治对象：</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樟巢螟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斜纹夜蛾</w:t>
            </w:r>
            <w:r>
              <w:rPr>
                <w:rFonts w:hint="eastAsia" w:ascii="宋体" w:hAnsi="宋体" w:eastAsia="宋体" w:cs="宋体"/>
                <w:sz w:val="20"/>
                <w:szCs w:val="24"/>
                <w:highlight w:val="none"/>
              </w:rPr>
              <w:t xml:space="preserve">（白三叶、草坪）、</w:t>
            </w:r>
            <w:r>
              <w:rPr>
                <w:rFonts w:hint="eastAsia" w:ascii="宋体" w:hAnsi="宋体" w:eastAsia="宋体" w:cs="宋体"/>
                <w:b/>
                <w:bCs/>
                <w:sz w:val="20"/>
                <w:szCs w:val="24"/>
                <w:highlight w:val="none"/>
              </w:rPr>
              <w:t xml:space="preserve">葱兰夜蛾</w:t>
            </w:r>
            <w:r>
              <w:rPr>
                <w:rFonts w:hint="eastAsia" w:ascii="宋体" w:hAnsi="宋体" w:eastAsia="宋体" w:cs="宋体"/>
                <w:sz w:val="20"/>
                <w:szCs w:val="24"/>
                <w:highlight w:val="none"/>
              </w:rPr>
              <w:t xml:space="preserve">（葱兰）、</w:t>
            </w:r>
            <w:r>
              <w:rPr>
                <w:rFonts w:hint="eastAsia" w:ascii="宋体" w:hAnsi="宋体" w:eastAsia="宋体" w:cs="宋体"/>
                <w:b/>
                <w:bCs/>
                <w:sz w:val="20"/>
                <w:szCs w:val="24"/>
                <w:highlight w:val="none"/>
              </w:rPr>
              <w:t xml:space="preserve">木蠹蛾</w:t>
            </w:r>
            <w:r>
              <w:rPr>
                <w:rFonts w:hint="eastAsia" w:ascii="宋体" w:hAnsi="宋体" w:eastAsia="宋体" w:cs="宋体"/>
                <w:sz w:val="20"/>
                <w:szCs w:val="24"/>
                <w:highlight w:val="none"/>
              </w:rPr>
              <w:t xml:space="preserve">（银杏、杨树、柳树、榆树、桃树、樱花、法冬、海棠、法梧、栾树等）、</w:t>
            </w:r>
            <w:r>
              <w:rPr>
                <w:rFonts w:hint="eastAsia" w:ascii="宋体" w:hAnsi="宋体" w:eastAsia="宋体" w:cs="宋体"/>
                <w:b/>
                <w:bCs/>
                <w:sz w:val="20"/>
                <w:szCs w:val="24"/>
                <w:highlight w:val="none"/>
              </w:rPr>
              <w:t xml:space="preserve">木虱</w:t>
            </w:r>
            <w:r>
              <w:rPr>
                <w:rFonts w:hint="eastAsia" w:ascii="宋体" w:hAnsi="宋体" w:eastAsia="宋体" w:cs="宋体"/>
                <w:sz w:val="20"/>
                <w:szCs w:val="24"/>
                <w:highlight w:val="none"/>
              </w:rPr>
              <w:t xml:space="preserve">（青桐、合欢）、</w:t>
            </w:r>
            <w:r>
              <w:rPr>
                <w:rFonts w:hint="eastAsia" w:ascii="宋体" w:hAnsi="宋体" w:eastAsia="宋体" w:cs="宋体"/>
                <w:b/>
                <w:bCs/>
                <w:sz w:val="20"/>
                <w:szCs w:val="24"/>
                <w:highlight w:val="none"/>
              </w:rPr>
              <w:t xml:space="preserve">介壳虫</w:t>
            </w:r>
            <w:r>
              <w:rPr>
                <w:rFonts w:hint="eastAsia" w:ascii="宋体" w:hAnsi="宋体" w:eastAsia="宋体" w:cs="宋体"/>
                <w:sz w:val="20"/>
                <w:szCs w:val="24"/>
                <w:highlight w:val="none"/>
              </w:rPr>
              <w:t xml:space="preserve">（香樟、广玉兰、含笑、香橼、独干女贞、桂花、桔子等）、</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舟蛾</w:t>
            </w:r>
            <w:r>
              <w:rPr>
                <w:rFonts w:hint="eastAsia" w:ascii="宋体" w:hAnsi="宋体" w:eastAsia="宋体" w:cs="宋体"/>
                <w:sz w:val="20"/>
                <w:szCs w:val="24"/>
                <w:highlight w:val="none"/>
              </w:rPr>
              <w:t xml:space="preserve">（杨树、柳树、榆叶梅、海棠、樱花、桃树等）、</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杜鹃网蝽</w:t>
            </w:r>
            <w:r>
              <w:rPr>
                <w:rFonts w:hint="eastAsia" w:ascii="宋体" w:hAnsi="宋体" w:eastAsia="宋体" w:cs="宋体"/>
                <w:sz w:val="20"/>
                <w:szCs w:val="24"/>
                <w:highlight w:val="none"/>
              </w:rPr>
              <w:t xml:space="preserve">（杜鹃）、</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（草坪）、各类天蛾幼虫，</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白粉病、草坪斑枯病、草坪褐斑病、樱花褐斑病、大叶黄杨枯萎病。</w:t>
            </w:r>
            <w:r>
              <w:rPr>
                <w:rFonts w:hint="eastAsia" w:ascii="宋体" w:hAnsi="宋体" w:eastAsia="宋体" w:cs="宋体"/>
                <w:sz w:val="20"/>
                <w:szCs w:val="24"/>
                <w:highlight w:val="none"/>
              </w:rPr>
              <w:t xml:space="preserve">每7天进行一次药物防治，樟巢螟虫巢进行1次人工剪除销毁。</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籽播黑麦草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上旬起对籽播黑麦草路段草坪进行疏草、打孔，每7天低修剪1次，下旬播种路段经验收后进行播种</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10月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59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籽播黑麦草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上旬完成所有路段黑麦草播种工作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每10天修剪一次绿篱、球类，未播黑麦草路段草坪每15天修剪1次，乔木每月剥芽2次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黑麦草播种路段每天浇1次透水，其他则5天</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每15天除一次杂草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2、4周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追肥</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10月下旬对黑麦草、草花、绿篱追施复合肥，施肥量</w:t>
            </w:r>
            <w:r>
              <w:rPr>
                <w:rFonts w:hint="eastAsia" w:ascii="宋体" w:hAnsi="宋体" w:cs="宋体"/>
                <w:sz w:val="20"/>
                <w:szCs w:val="24"/>
                <w:highlight w:val="none"/>
                <w:lang w:eastAsia="zh-CN"/>
              </w:rPr>
              <w:t xml:space="preserve">不低于</w:t>
            </w:r>
            <w:r>
              <w:rPr>
                <w:rFonts w:hint="eastAsia" w:ascii="宋体" w:hAnsi="宋体" w:eastAsia="宋体" w:cs="宋体"/>
                <w:sz w:val="20"/>
                <w:szCs w:val="24"/>
                <w:highlight w:val="none"/>
              </w:rPr>
              <w:t xml:space="preserve">15g/m</w:t>
            </w:r>
            <w:r>
              <w:rPr>
                <w:rFonts w:hint="eastAsia" w:ascii="宋体" w:hAnsi="宋体" w:eastAsia="宋体" w:cs="宋体"/>
                <w:sz w:val="20"/>
                <w:szCs w:val="24"/>
                <w:highlight w:val="none"/>
                <w:vertAlign w:val="superscript"/>
              </w:rPr>
              <w:t xml:space="preserve">2</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落叶清扫</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10月下旬完成所有绿地内落叶清扫，消除火灾隐患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落叶树补植</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10月上旬对落叶树种缺株、死苗及受损、外形不佳苗木规格数量进行排查统计，制定补植计划，本月完成落叶树和藤本植物补植，补植苗木规格不得低于原来标准</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11月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翻土</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对所有乔灌木树穴、生态林进行翻土，翻土深度不低于20cm，灌木、草坪切边</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黑麦草播种路段每3天浇1次透水，其他则10天</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69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黑麦草每15天修剪1次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70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树木修剪前应重点针对高空作业人员进行安全技术交底和正确示范，并做好安全防护措施，并上报安全交底记录和照片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71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落叶树整形修剪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完成除行道树以外的榉树、朴树、白玉兰、栾树、槐树、无患子、合欢、樱花、海棠、桃树、梅花、红叶李、紫荆等落叶树种的疏枝整形修剪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72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施基肥</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对所有乔灌木施腐熟有机肥，施肥量不低于1kg/m2，施肥可与树穴翻土结合进行</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73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防寒设施</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11月中旬，对所有海藻等热带树种统一以竹竿为骨架、外包蓝色塑料薄膜、搭建高3m、下底宽80cm、上底40cm左右的四棱台形防寒风障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74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b/>
                <w:bCs/>
                <w:sz w:val="20"/>
                <w:szCs w:val="24"/>
                <w:highlight w:val="none"/>
              </w:rPr>
            </w:pPr>
            <w:r>
              <w:rPr>
                <w:rFonts w:hint="eastAsia" w:ascii="宋体" w:hAnsi="宋体" w:eastAsia="宋体" w:cs="宋体"/>
                <w:b/>
                <w:bCs/>
                <w:sz w:val="20"/>
                <w:szCs w:val="24"/>
                <w:highlight w:val="none"/>
              </w:rPr>
              <w:t xml:space="preserve">树干刷白</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刷白时间：11月中旬</w:t>
            </w:r>
            <w:r>
              <w:rPr>
                <w:rFonts w:hint="eastAsia" w:ascii="宋体" w:hAnsi="宋体" w:cs="宋体"/>
                <w:sz w:val="20"/>
                <w:szCs w:val="24"/>
                <w:highlight w:val="none"/>
                <w:lang w:eastAsia="zh-CN"/>
              </w:rPr>
              <w:t xml:space="preserve">－</w:t>
            </w:r>
            <w:r>
              <w:rPr>
                <w:rFonts w:hint="eastAsia" w:ascii="宋体" w:hAnsi="宋体" w:eastAsia="宋体" w:cs="宋体"/>
                <w:sz w:val="20"/>
                <w:szCs w:val="24"/>
                <w:highlight w:val="none"/>
              </w:rPr>
              <w:t xml:space="preserve">下旬，范围：所有乔木及花灌木，高度：乔木1.3m、花灌木0.8m，质量：不流淌、无疙瘩、均匀严密、无刷花刷漏，配比：100斤水+20斤生石灰+1包石硫合剂，用量：石硫合剂10cm树木200棵1包、片林1亩1包</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3-4周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75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冬季草花更换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11月下旬，完成冬季草花更换，草花应图案清晰、色彩鲜艳、花朵繁茂、花期一致，种植密度不低于49株/平方米，视品种植株大小应适当提高密度，保持基本不见裸土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　</w:t>
            </w:r>
            <w:r/>
          </w:p>
        </w:tc>
      </w:tr>
      <w:tr>
        <w:trPr>
          <w:trHeight w:val="480"/>
        </w:trPr>
        <w:tc>
          <w:tcPr>
            <w:gridSpan w:val="5"/>
            <w:tcBorders>
              <w:top w:val="none" w:color="000000" w:sz="4" w:space="0"/>
              <w:left w:val="none" w:color="000000" w:sz="4" w:space="0"/>
              <w:bottom w:val="none" w:color="000000" w:sz="4" w:space="0"/>
              <w:right w:val="none" w:color="000000" w:sz="4" w:space="0"/>
            </w:tcBorders>
            <w:tcW w:w="12454" w:type="dxa"/>
            <w:vAlign w:val="center"/>
            <w:textDirection w:val="lrTb"/>
            <w:noWrap w:val="false"/>
          </w:tcPr>
          <w:p>
            <w:pPr>
              <w:jc w:val="left"/>
              <w:spacing w:line="240" w:lineRule="auto"/>
              <w:widowControl/>
              <w:rPr>
                <w:rFonts w:ascii="宋体" w:hAnsi="宋体" w:eastAsia="宋体" w:cs="宋体"/>
                <w:sz w:val="20"/>
                <w:szCs w:val="24"/>
                <w:highlight w:val="none"/>
              </w:rPr>
            </w:pPr>
            <w:r>
              <w:rPr>
                <w:rFonts w:hint="eastAsia" w:ascii="宋体" w:hAnsi="宋体" w:eastAsia="宋体" w:cs="宋体"/>
                <w:sz w:val="20"/>
                <w:szCs w:val="24"/>
                <w:highlight w:val="none"/>
              </w:rPr>
              <w:t xml:space="preserve">注：本表工作任务中加粗的为当月重点工作，浇水等部分目标要求及作业时间安排视气候情况可相应调整。</w:t>
            </w:r>
            <w:r/>
          </w:p>
        </w:tc>
        <w:tc>
          <w:tcPr>
            <w:tcBorders>
              <w:top w:val="none" w:color="000000" w:sz="4" w:space="0"/>
              <w:left w:val="none" w:color="000000" w:sz="4" w:space="0"/>
              <w:bottom w:val="none" w:color="000000" w:sz="4" w:space="0"/>
              <w:right w:val="none" w:color="000000" w:sz="4" w:space="0"/>
            </w:tcBorders>
            <w:tcW w:w="1053"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c>
          <w:tcPr>
            <w:tcBorders>
              <w:top w:val="none" w:color="000000" w:sz="4" w:space="0"/>
              <w:left w:val="none" w:color="000000" w:sz="4" w:space="0"/>
              <w:bottom w:val="none" w:color="000000" w:sz="4" w:space="0"/>
              <w:right w:val="none" w:color="000000" w:sz="4" w:space="0"/>
            </w:tcBorders>
            <w:tcW w:w="1281" w:type="dxa"/>
            <w:vAlign w:val="center"/>
            <w:textDirection w:val="lrTb"/>
            <w:noWrap w:val="false"/>
          </w:tcPr>
          <w:p>
            <w:pPr>
              <w:jc w:val="center"/>
              <w:spacing w:line="240" w:lineRule="auto"/>
              <w:widowControl/>
              <w:rPr>
                <w:rFonts w:ascii="宋体" w:hAnsi="宋体" w:eastAsia="宋体" w:cs="宋体"/>
                <w:sz w:val="20"/>
                <w:szCs w:val="24"/>
                <w:highlight w:val="none"/>
              </w:rPr>
            </w:pPr>
            <w:r>
              <w:rPr>
                <w:rFonts w:ascii="宋体" w:hAnsi="宋体" w:eastAsia="宋体" w:cs="宋体"/>
                <w:sz w:val="20"/>
                <w:szCs w:val="24"/>
                <w:highlight w:val="none"/>
              </w:rPr>
            </w:r>
            <w:r/>
          </w:p>
        </w:tc>
      </w:tr>
    </w:tbl>
    <w:p>
      <w:pPr>
        <w:ind w:firstLine="420"/>
        <w:jc w:val="left"/>
        <w:spacing w:line="440" w:lineRule="exact"/>
        <w:widowControl/>
        <w:tabs>
          <w:tab w:val="left" w:pos="720" w:leader="none"/>
        </w:tabs>
        <w:rPr>
          <w:rFonts w:ascii="宋体" w:hAnsi="宋体" w:eastAsia="宋体" w:cs="Times New Roman"/>
          <w:sz w:val="21"/>
          <w:szCs w:val="24"/>
          <w:highlight w:val="none"/>
        </w:rPr>
      </w:pPr>
      <w:r>
        <w:rPr>
          <w:rFonts w:ascii="宋体" w:hAnsi="宋体" w:eastAsia="宋体" w:cs="Times New Roman"/>
          <w:sz w:val="21"/>
          <w:szCs w:val="24"/>
          <w:highlight w:val="none"/>
        </w:rPr>
      </w:r>
      <w:r/>
    </w:p>
    <w:p>
      <w:pPr>
        <w:ind w:firstLine="420"/>
        <w:jc w:val="left"/>
        <w:spacing w:line="440" w:lineRule="exact"/>
        <w:widowControl/>
        <w:tabs>
          <w:tab w:val="left" w:pos="720" w:leader="none"/>
        </w:tabs>
        <w:rPr>
          <w:rFonts w:hint="eastAsia" w:ascii="宋体" w:hAnsi="宋体" w:eastAsia="宋体" w:cs="宋体"/>
          <w:b/>
          <w:bCs/>
          <w:sz w:val="24"/>
          <w:szCs w:val="24"/>
          <w:highlight w:val="none"/>
        </w:rPr>
      </w:pPr>
      <w:r>
        <w:rPr>
          <w:rFonts w:ascii="宋体" w:hAnsi="宋体" w:eastAsia="宋体" w:cs="Times New Roman"/>
          <w:sz w:val="21"/>
          <w:szCs w:val="24"/>
          <w:highlight w:val="none"/>
        </w:rPr>
        <w:br w:type="page" w:clear="all"/>
      </w:r>
      <w:r>
        <w:rPr>
          <w:rFonts w:hint="eastAsia" w:ascii="宋体" w:hAnsi="宋体" w:eastAsia="宋体" w:cs="宋体"/>
          <w:b/>
          <w:bCs/>
          <w:sz w:val="24"/>
          <w:szCs w:val="24"/>
          <w:highlight w:val="none"/>
        </w:rPr>
        <w:t xml:space="preserve">五、“针对《绿化养护年度工作任务及目标要求》中75项工作任务的价格组成进行报价”范例</w:t>
      </w:r>
      <w:r/>
    </w:p>
    <w:p>
      <w:pP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bl>
      <w:tblPr>
        <w:tblStyle w:val="944"/>
        <w:tblW w:w="0" w:type="auto"/>
        <w:tblInd w:w="-573" w:type="dxa"/>
        <w:tblLayout w:type="fixed"/>
        <w:tblCellMar>
          <w:left w:w="15" w:type="dxa"/>
          <w:top w:w="0" w:type="dxa"/>
          <w:right w:w="15" w:type="dxa"/>
          <w:bottom w:w="0" w:type="dxa"/>
        </w:tblCellMar>
        <w:tblLook w:val="04A0" w:firstRow="1" w:lastRow="0" w:firstColumn="1" w:lastColumn="0" w:noHBand="0" w:noVBand="1"/>
      </w:tblPr>
      <w:tblGrid>
        <w:gridCol w:w="555"/>
        <w:gridCol w:w="720"/>
        <w:gridCol w:w="1995"/>
        <w:gridCol w:w="9690"/>
        <w:gridCol w:w="1035"/>
        <w:gridCol w:w="1290"/>
      </w:tblGrid>
      <w:tr>
        <w:trPr>
          <w:trHeight w:val="540"/>
        </w:trPr>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240" w:lineRule="auto"/>
              <w:rPr>
                <w:rFonts w:ascii="宋体" w:hAnsi="宋体" w:eastAsia="宋体" w:cs="Times New Roman"/>
                <w:sz w:val="22"/>
                <w:szCs w:val="24"/>
                <w:highlight w:val="none"/>
              </w:rPr>
            </w:pPr>
            <w:r>
              <w:rPr>
                <w:rFonts w:ascii="宋体" w:hAnsi="宋体" w:eastAsia="宋体" w:cs="Times New Roman"/>
                <w:sz w:val="22"/>
                <w:szCs w:val="24"/>
                <w:highlight w:val="none"/>
              </w:rPr>
              <w:t xml:space="preserve">月份</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spacing w:line="240" w:lineRule="auto"/>
              <w:rPr>
                <w:rFonts w:ascii="宋体" w:hAnsi="宋体" w:eastAsia="宋体" w:cs="Times New Roman"/>
                <w:sz w:val="22"/>
                <w:szCs w:val="24"/>
                <w:highlight w:val="none"/>
              </w:rPr>
            </w:pPr>
            <w:r>
              <w:rPr>
                <w:rFonts w:ascii="宋体" w:hAnsi="宋体" w:eastAsia="宋体" w:cs="Times New Roman"/>
                <w:sz w:val="22"/>
                <w:szCs w:val="24"/>
                <w:highlight w:val="none"/>
              </w:rPr>
              <w:t xml:space="preserve">主要工作任务</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center"/>
              <w:spacing w:line="240" w:lineRule="auto"/>
              <w:rPr>
                <w:rFonts w:ascii="宋体" w:hAnsi="宋体" w:eastAsia="宋体" w:cs="Times New Roman"/>
                <w:sz w:val="22"/>
                <w:szCs w:val="24"/>
                <w:highlight w:val="none"/>
              </w:rPr>
            </w:pPr>
            <w:r>
              <w:rPr>
                <w:rFonts w:ascii="宋体" w:hAnsi="宋体" w:eastAsia="宋体" w:cs="Times New Roman"/>
                <w:sz w:val="22"/>
                <w:szCs w:val="24"/>
                <w:highlight w:val="none"/>
              </w:rPr>
              <w:t xml:space="preserve">目标要求</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2"/>
                <w:szCs w:val="24"/>
                <w:highlight w:val="none"/>
              </w:rPr>
            </w:pPr>
            <w:r>
              <w:rPr>
                <w:rFonts w:ascii="宋体" w:hAnsi="宋体" w:eastAsia="宋体" w:cs="Times New Roman"/>
                <w:sz w:val="22"/>
                <w:szCs w:val="24"/>
                <w:highlight w:val="none"/>
              </w:rPr>
              <w:t xml:space="preserve">时间计划</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2"/>
                <w:szCs w:val="24"/>
                <w:highlight w:val="none"/>
              </w:rPr>
            </w:pPr>
            <w:r>
              <w:rPr>
                <w:rFonts w:ascii="宋体" w:hAnsi="宋体" w:eastAsia="宋体" w:cs="Times New Roman"/>
                <w:sz w:val="22"/>
                <w:szCs w:val="24"/>
                <w:highlight w:val="none"/>
              </w:rPr>
              <w:t xml:space="preserve">报价组成（%）</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冬季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树木整形修剪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对以香樟、法梧为代表的常绿和落叶行道树进行疏枝和整形修剪，本月应完成行道树整形以及法梧、紫薇、木芙蓉、月季、美人蕉、水生植物等品种的越冬修剪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3.50%</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树木修剪前应重点针对高空作业人员进行安全技术交底和正确示范，并做好安全防护措施，并上报安全交底记录和照片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0.29%</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黑麦草每15天修剪1次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0.58%</w:t>
            </w:r>
            <w:r/>
          </w:p>
        </w:tc>
      </w:tr>
      <w:tr>
        <w:trPr>
          <w:trHeight w:val="79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抗雪减灾应急保障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12月上旬完成抗雪减灾应急预案编制，最低标准应急物料（铁锹30把、长竹竿60根、扫帚30把）、车辆（卡车1辆、水车1辆）、人员（30人）等全部落实到位，加固倾斜松动树木，抽稀和加固竹林，并按照</w:t>
            </w:r>
            <w:r>
              <w:rPr>
                <w:rFonts w:hint="eastAsia" w:ascii="宋体" w:hAnsi="宋体" w:eastAsia="宋体" w:cs="Times New Roman"/>
                <w:sz w:val="20"/>
                <w:szCs w:val="24"/>
                <w:highlight w:val="none"/>
              </w:rPr>
              <w:t xml:space="preserve">城管中队</w:t>
            </w:r>
            <w:r>
              <w:rPr>
                <w:rFonts w:ascii="宋体" w:hAnsi="宋体" w:eastAsia="宋体" w:cs="Times New Roman"/>
                <w:sz w:val="20"/>
                <w:szCs w:val="24"/>
                <w:highlight w:val="none"/>
              </w:rPr>
              <w:t xml:space="preserve">统一部署组织应急抢险演练，保障期间应做到1小时内排除险情，2天内完成倒伏树木扶正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0.88%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灌冻水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12月下旬，土壤封冻前，对所有乔灌草浇灌一次冻水，浇足浇透，以浸透土壤15</w:t>
            </w:r>
            <w:r>
              <w:rPr>
                <w:rFonts w:hint="eastAsia" w:ascii="宋体" w:hAnsi="宋体" w:cs="Times New Roman"/>
                <w:sz w:val="20"/>
                <w:szCs w:val="24"/>
                <w:highlight w:val="none"/>
                <w:lang w:eastAsia="zh-CN"/>
              </w:rPr>
              <w:t xml:space="preserve">—</w:t>
            </w:r>
            <w:r>
              <w:rPr>
                <w:rFonts w:ascii="宋体" w:hAnsi="宋体" w:eastAsia="宋体" w:cs="Times New Roman"/>
                <w:sz w:val="20"/>
                <w:szCs w:val="24"/>
                <w:highlight w:val="none"/>
              </w:rPr>
              <w:t xml:space="preserve">20cm为宜。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0.58%</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台账资料</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台账包括年度工作总结、项目管理网络图、项目经理每日巡查记录、考核扣分台账、合同、招投标资料、决算、竣工图及光盘，1月中旬上报</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黑麦草中旬修剪1次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抗雪减灾应急保障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继续按照抗雪减灾应急预案做好应急保障，保障期间应做到1小时内排除险情，2天内完成倒伏树木扶正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0.75%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春节前一周应对所有作业工人进行节日安全交底，并上报安全交底记录和照片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0.50%</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春节保障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春节前一周结清农民工工资，对绿地内的绿化垃圾进行一次全面清理，并按照抗雪减灾应急预案做好春节期间应急保障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3-4周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抗雪减灾应急保障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继续按照抗雪减灾应急预案做好应急保障，保障期间应做到1小时内排除险情，2天内完成倒伏树木扶正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0.75%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黑麦草中旬修剪1次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树木整形修剪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完成除行道树以外的香樟、广玉兰、女贞、桂花等常绿树种的疏枝整形修剪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3.75%</w:t>
            </w:r>
            <w:r/>
          </w:p>
        </w:tc>
      </w:tr>
      <w:tr>
        <w:trPr>
          <w:trHeight w:val="51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春季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3月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施肥、松土</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结合对所有乔灌木树穴松土整饬，施腐熟有机肥，施肥量不低于1kg/m</w:t>
            </w:r>
            <w:r>
              <w:rPr>
                <w:rFonts w:ascii="宋体" w:hAnsi="宋体" w:eastAsia="宋体" w:cs="Times New Roman"/>
                <w:sz w:val="20"/>
                <w:szCs w:val="24"/>
                <w:highlight w:val="none"/>
                <w:vertAlign w:val="superscript"/>
              </w:rPr>
              <w:t xml:space="preserve">2</w:t>
            </w:r>
            <w:r>
              <w:rPr>
                <w:rFonts w:ascii="宋体" w:hAnsi="宋体" w:eastAsia="宋体" w:cs="Times New Roman"/>
                <w:sz w:val="20"/>
                <w:szCs w:val="24"/>
                <w:highlight w:val="none"/>
              </w:rPr>
              <w:t xml:space="preserve">，对绿篱、色块、黑麦草和草花等地被植物施一次复合肥，施肥量不低于15g/m</w:t>
            </w:r>
            <w:r>
              <w:rPr>
                <w:rFonts w:ascii="宋体" w:hAnsi="宋体" w:eastAsia="宋体" w:cs="Times New Roman"/>
                <w:sz w:val="20"/>
                <w:szCs w:val="24"/>
                <w:highlight w:val="none"/>
                <w:vertAlign w:val="superscript"/>
              </w:rPr>
              <w:t xml:space="preserve">2</w:t>
            </w:r>
            <w:r>
              <w:rPr>
                <w:rFonts w:ascii="宋体" w:hAnsi="宋体" w:eastAsia="宋体" w:cs="Times New Roman"/>
                <w:sz w:val="20"/>
                <w:szCs w:val="24"/>
                <w:highlight w:val="none"/>
              </w:rPr>
              <w:t xml:space="preserve">，施肥可与春灌结合，提高吸收率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1.75%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春灌</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对所有绿地进行一次全面春灌，要求浇足浇透，以浸透土壤15</w:t>
            </w:r>
            <w:r>
              <w:rPr>
                <w:rFonts w:hint="eastAsia" w:ascii="宋体" w:hAnsi="宋体" w:cs="Times New Roman"/>
                <w:sz w:val="20"/>
                <w:szCs w:val="24"/>
                <w:highlight w:val="none"/>
                <w:lang w:eastAsia="zh-CN"/>
              </w:rPr>
              <w:t xml:space="preserve">—</w:t>
            </w:r>
            <w:r>
              <w:rPr>
                <w:rFonts w:ascii="宋体" w:hAnsi="宋体" w:eastAsia="宋体" w:cs="Times New Roman"/>
                <w:sz w:val="20"/>
                <w:szCs w:val="24"/>
                <w:highlight w:val="none"/>
              </w:rPr>
              <w:t xml:space="preserve">20cm为宜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0.58%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撤除防寒设施</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撤除热带树种防寒设施</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0.29%</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1.46%</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黑麦草每15天修剪1次，中旬天堂草、绿篱、球类修剪1次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1.17%</w:t>
            </w:r>
            <w:r/>
          </w:p>
        </w:tc>
      </w:tr>
      <w:tr>
        <w:trPr>
          <w:trHeight w:val="79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主要应针对病虫害越冬代进行防治，摘除</w:t>
            </w:r>
            <w:r>
              <w:rPr>
                <w:rFonts w:ascii="宋体" w:hAnsi="宋体" w:eastAsia="宋体" w:cs="Times New Roman"/>
                <w:b/>
                <w:sz w:val="20"/>
                <w:szCs w:val="24"/>
                <w:highlight w:val="none"/>
              </w:rPr>
              <w:t xml:space="preserve">大袋蛾</w:t>
            </w:r>
            <w:r>
              <w:rPr>
                <w:rFonts w:ascii="宋体" w:hAnsi="宋体" w:eastAsia="宋体" w:cs="Times New Roman"/>
                <w:sz w:val="20"/>
                <w:szCs w:val="24"/>
                <w:highlight w:val="none"/>
              </w:rPr>
              <w:t xml:space="preserve">虫囊（香樟、樱花、柏类、桂花等）；清除</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虫茧（法梧、栾树、枫杨、红叶李、杨树、柳树、桃树等）；对草坪、麦冬、葱兰等土壤中的金龟子幼虫（</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）视情况通过人工翻土或药物进行防治；开始对</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进行防治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3-4周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0.58%</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春季草花更换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完成春季草花更换，草花应图案清晰、色彩鲜艳、花朵繁茂、花期一致，种植密度不低于49株/平方米，视品种植株大小应适当提高密度，保持基本不见裸土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每10天修剪一次黑麦草、绿篱、球类，乔木剥芽1次，黑麦草低修剪，开花植物花后2周内完成整形修剪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1.67%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2.08%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清扫香樟落叶</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中旬起加大保洁力度，及时清扫香樟落叶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0.83%</w:t>
            </w:r>
            <w:r/>
          </w:p>
        </w:tc>
      </w:tr>
      <w:tr>
        <w:trPr>
          <w:trHeight w:val="16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本月是春季病虫害发生和</w:t>
            </w:r>
            <w:r>
              <w:rPr>
                <w:rFonts w:hint="eastAsia" w:ascii="宋体" w:hAnsi="宋体" w:cs="Times New Roman"/>
                <w:sz w:val="20"/>
                <w:szCs w:val="24"/>
                <w:highlight w:val="none"/>
                <w:lang w:eastAsia="zh-CN"/>
              </w:rPr>
              <w:t xml:space="preserve">危害</w:t>
            </w:r>
            <w:r>
              <w:rPr>
                <w:rFonts w:ascii="宋体" w:hAnsi="宋体" w:eastAsia="宋体" w:cs="Times New Roman"/>
                <w:sz w:val="20"/>
                <w:szCs w:val="24"/>
                <w:highlight w:val="none"/>
              </w:rPr>
              <w:t xml:space="preserve">高峰，重点防治对象：</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介壳虫</w:t>
            </w:r>
            <w:r>
              <w:rPr>
                <w:rFonts w:ascii="宋体" w:hAnsi="宋体" w:eastAsia="宋体" w:cs="Times New Roman"/>
                <w:sz w:val="20"/>
                <w:szCs w:val="24"/>
                <w:highlight w:val="none"/>
              </w:rPr>
              <w:t xml:space="preserve">（香樟、广玉兰、含笑、香橼、独干女贞、桂花、桔子等）</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（栾树、无患子、合欢、红枫、法梧、杨树、柳树、桃树、槐树等）、</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（草坪、麦冬、葱兰）、</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杜鹃网蝽</w:t>
            </w:r>
            <w:r>
              <w:rPr>
                <w:rFonts w:ascii="宋体" w:hAnsi="宋体" w:eastAsia="宋体" w:cs="Times New Roman"/>
                <w:sz w:val="20"/>
                <w:szCs w:val="24"/>
                <w:highlight w:val="none"/>
              </w:rPr>
              <w:t xml:space="preserve">（杜鹃）、</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大叶黄杨斑蛾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1.67%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5月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每10天修剪一次草坪、绿篱、球类，乔木剥芽1次，黑麦草低修剪，开花植物花后2周内完成整形修剪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1.38%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每5天对绿地浇一次透水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0.92%</w:t>
            </w:r>
            <w:r/>
          </w:p>
        </w:tc>
      </w:tr>
      <w:tr>
        <w:trPr>
          <w:trHeight w:val="51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追肥</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5月上旬对草坪、草花、绿篱追施复合肥，施肥量</w:t>
            </w:r>
            <w:r>
              <w:rPr>
                <w:rFonts w:hint="eastAsia" w:ascii="宋体" w:hAnsi="宋体" w:cs="Times New Roman"/>
                <w:sz w:val="20"/>
                <w:szCs w:val="24"/>
                <w:highlight w:val="none"/>
                <w:lang w:eastAsia="zh-CN"/>
              </w:rPr>
              <w:t xml:space="preserve">不低于</w:t>
            </w:r>
            <w:r>
              <w:rPr>
                <w:rFonts w:ascii="宋体" w:hAnsi="宋体" w:eastAsia="宋体" w:cs="Times New Roman"/>
                <w:sz w:val="20"/>
                <w:szCs w:val="24"/>
                <w:highlight w:val="none"/>
              </w:rPr>
              <w:t xml:space="preserve">15g/ m</w:t>
            </w:r>
            <w:r>
              <w:rPr>
                <w:rFonts w:ascii="宋体" w:hAnsi="宋体" w:eastAsia="宋体" w:cs="Times New Roman"/>
                <w:sz w:val="20"/>
                <w:szCs w:val="24"/>
                <w:highlight w:val="none"/>
                <w:vertAlign w:val="superscript"/>
              </w:rPr>
              <w:t xml:space="preserve">2</w:t>
            </w:r>
            <w:r>
              <w:rPr>
                <w:rFonts w:ascii="宋体" w:hAnsi="宋体" w:eastAsia="宋体" w:cs="Times New Roman"/>
                <w:sz w:val="20"/>
                <w:szCs w:val="24"/>
                <w:highlight w:val="none"/>
              </w:rPr>
              <w:t xml:space="preserve">，对花后植物追施腐熟有机肥，施肥量不低于1kg/m</w:t>
            </w:r>
            <w:r>
              <w:rPr>
                <w:rFonts w:ascii="宋体" w:hAnsi="宋体" w:eastAsia="宋体" w:cs="Times New Roman"/>
                <w:sz w:val="20"/>
                <w:szCs w:val="24"/>
                <w:highlight w:val="none"/>
                <w:vertAlign w:val="superscript"/>
              </w:rPr>
              <w:t xml:space="preserve">2</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松土</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hint="eastAsia" w:ascii="宋体" w:hAnsi="宋体" w:cs="Times New Roman"/>
                <w:sz w:val="20"/>
                <w:szCs w:val="24"/>
                <w:highlight w:val="none"/>
                <w:lang w:eastAsia="zh-CN"/>
              </w:rPr>
              <w:t xml:space="preserve">中旬</w:t>
            </w:r>
            <w:r>
              <w:rPr>
                <w:rFonts w:ascii="宋体" w:hAnsi="宋体" w:eastAsia="宋体" w:cs="Times New Roman"/>
                <w:sz w:val="20"/>
                <w:szCs w:val="24"/>
                <w:highlight w:val="none"/>
              </w:rPr>
              <w:t xml:space="preserve">对所有乔灌木树穴进行翻土整饬，灌木、色块、草坪切边</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hint="eastAsia" w:ascii="宋体" w:hAnsi="宋体" w:cs="Times New Roman"/>
                <w:sz w:val="20"/>
                <w:szCs w:val="24"/>
                <w:highlight w:val="none"/>
                <w:lang w:eastAsia="zh-CN"/>
              </w:rPr>
              <w:t xml:space="preserve">2～3周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0.46%</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清扫香樟落叶</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5月上旬继续对香樟落叶进行及时清扫</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0.46%</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常绿树补植</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10月上旬对常绿树种缺株、死苗及受损、外形不佳苗木规格数量进行排查统计，制定补植计划，本月完成常绿树种补植，补植苗木规格不得低于原来标准</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1.38%</w:t>
            </w:r>
            <w:r/>
          </w:p>
        </w:tc>
      </w:tr>
      <w:tr>
        <w:trPr>
          <w:trHeight w:val="16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木虱</w:t>
            </w:r>
            <w:r>
              <w:rPr>
                <w:rFonts w:ascii="宋体" w:hAnsi="宋体" w:eastAsia="宋体" w:cs="Times New Roman"/>
                <w:sz w:val="20"/>
                <w:szCs w:val="24"/>
                <w:highlight w:val="none"/>
              </w:rPr>
              <w:t xml:space="preserve">（青桐、合欢）、</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（法梧、杨树、柳树、枫杨、槐树、桃树、梅花、海棠、樱花、红叶李等）、</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介壳虫（香樟、广玉兰、含笑、香橼、独干女贞、桂花、桔子等）、紫薇绒蚧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（栾树、无患子、合欢、红枫、法梧、杨树、柳树、桃树、槐树等）、</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大叶黄杨斑蛾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0.92%</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夏季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6月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每10天修剪一次草坪、绿篱、球类，乔木剥芽1次，黑麦草低修剪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每3天对绿地浇一次透水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2.00%</w:t>
            </w:r>
            <w:r/>
          </w:p>
        </w:tc>
      </w:tr>
      <w:tr>
        <w:trPr>
          <w:trHeight w:val="72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6月上旬完成防台防汛应急预案编制，最低标准应急物料（铁锹30把、排水泵2台、油锯2台、手锯10把、杉木棍100根）、车辆（卡车1辆、水车1辆）、人员（30人）等全部落实到位，加固倾斜松动的树木，抽稀和加固竹林，并按照</w:t>
            </w:r>
            <w:r>
              <w:rPr>
                <w:rFonts w:hint="eastAsia" w:ascii="宋体" w:hAnsi="宋体" w:eastAsia="宋体" w:cs="Times New Roman"/>
                <w:sz w:val="20"/>
                <w:szCs w:val="24"/>
                <w:highlight w:val="none"/>
              </w:rPr>
              <w:t xml:space="preserve">城管中队</w:t>
            </w:r>
            <w:r>
              <w:rPr>
                <w:rFonts w:ascii="宋体" w:hAnsi="宋体" w:eastAsia="宋体" w:cs="Times New Roman"/>
                <w:sz w:val="20"/>
                <w:szCs w:val="24"/>
                <w:highlight w:val="none"/>
              </w:rPr>
              <w:t xml:space="preserve">统一部署组织应急抢险演练，保障期间应做到1小时内排除险情，2天内完成倒伏树木扶正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1.00%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排水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6月上旬完成生态林排水系统整饬，至少每3排树一条排水沟，排水沟底宽及深度不低于50cm，排水导入地表水系或道路排水管网</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0.50%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夏季草花更换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6月下旬完成夏季草花更换，草花应图案清晰、色彩鲜艳、花朵繁茂、花期一致，种植密度不低于49株/平方米，视品种植株大小应适当提高密度，保持基本不见裸土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1.50%</w:t>
            </w:r>
            <w:r/>
          </w:p>
        </w:tc>
      </w:tr>
      <w:tr>
        <w:trPr>
          <w:trHeight w:val="16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木虱</w:t>
            </w:r>
            <w:r>
              <w:rPr>
                <w:rFonts w:ascii="宋体" w:hAnsi="宋体" w:eastAsia="宋体" w:cs="Times New Roman"/>
                <w:sz w:val="20"/>
                <w:szCs w:val="24"/>
                <w:highlight w:val="none"/>
              </w:rPr>
              <w:t xml:space="preserve">（青桐、合欢）、</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（法梧、杨树、柳树、枫杨、槐树、桃树、梅花、海棠、樱花、红叶李等）、</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介壳虫</w:t>
            </w:r>
            <w:r>
              <w:rPr>
                <w:rFonts w:ascii="宋体" w:hAnsi="宋体" w:eastAsia="宋体" w:cs="Times New Roman"/>
                <w:sz w:val="20"/>
                <w:szCs w:val="24"/>
                <w:highlight w:val="none"/>
              </w:rPr>
              <w:t xml:space="preserve">（香樟、广玉兰、含笑、香橼、独干女贞、桂花、桔子等）、</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（栾树、无患子、合欢、红枫、法梧、杨树、柳树、桃树、槐树等）、</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大叶黄杨斑蛾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1.00%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针对高温期间作业安全管理工作进行安全技术交底，发放相应防暑降温物资，并上报安全交底记录、防暑降温物资领取记录和照片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7月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每10天修剪一次草坪、绿篱、球类，乔木剥芽1次，黑麦草低修剪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每天对绿地浇一次透水，视天气情况对乔灌木树穴翻土灌水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4.08%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继续按照防台防汛应急预案做好应急保障，保障期间应做到1小时内排除险情，2天内完成倒伏树木扶正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1.75%</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樟巢螟</w:t>
            </w:r>
            <w:r>
              <w:rPr>
                <w:rFonts w:ascii="宋体" w:hAnsi="宋体" w:eastAsia="宋体" w:cs="Times New Roman"/>
                <w:sz w:val="20"/>
                <w:szCs w:val="24"/>
                <w:highlight w:val="none"/>
              </w:rPr>
              <w:t xml:space="preserve">（香樟）、</w:t>
            </w:r>
            <w:r>
              <w:rPr>
                <w:rFonts w:ascii="宋体" w:hAnsi="宋体" w:eastAsia="宋体" w:cs="Times New Roman"/>
                <w:b/>
                <w:sz w:val="20"/>
                <w:szCs w:val="24"/>
                <w:highlight w:val="none"/>
              </w:rPr>
              <w:t xml:space="preserve">葱兰夜蛾</w:t>
            </w:r>
            <w:r>
              <w:rPr>
                <w:rFonts w:ascii="宋体" w:hAnsi="宋体" w:eastAsia="宋体" w:cs="Times New Roman"/>
                <w:sz w:val="20"/>
                <w:szCs w:val="24"/>
                <w:highlight w:val="none"/>
              </w:rPr>
              <w:t xml:space="preserve">（葱兰）。每7天进行一次药物防治，樟巢螟虫巢进行1次人工剪除销毁。</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1.17%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8月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每10天修剪一次草坪、绿篱、球类，乔木剥芽1次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每天对绿地浇一次透水，视天气情况对乔灌木树穴翻土灌水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4.08%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继续按照防台防汛应急预案做好应急保障，保障期间应做到1小时内排除险情，2天内完成倒伏树木扶正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1.75%</w:t>
            </w:r>
            <w:r/>
          </w:p>
        </w:tc>
      </w:tr>
      <w:tr>
        <w:trPr>
          <w:trHeight w:val="120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樟巢螟</w:t>
            </w:r>
            <w:r>
              <w:rPr>
                <w:rFonts w:ascii="宋体" w:hAnsi="宋体" w:eastAsia="宋体" w:cs="Times New Roman"/>
                <w:sz w:val="20"/>
                <w:szCs w:val="24"/>
                <w:highlight w:val="none"/>
              </w:rPr>
              <w:t xml:space="preserve">（香樟）、</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斜纹夜蛾</w:t>
            </w:r>
            <w:r>
              <w:rPr>
                <w:rFonts w:ascii="宋体" w:hAnsi="宋体" w:eastAsia="宋体" w:cs="Times New Roman"/>
                <w:sz w:val="20"/>
                <w:szCs w:val="24"/>
                <w:highlight w:val="none"/>
              </w:rPr>
              <w:t xml:space="preserve">（白三叶、草坪）、</w:t>
            </w:r>
            <w:r>
              <w:rPr>
                <w:rFonts w:hint="eastAsia" w:ascii="宋体" w:hAnsi="宋体" w:cs="Times New Roman"/>
                <w:sz w:val="20"/>
                <w:szCs w:val="24"/>
                <w:highlight w:val="none"/>
                <w:lang w:eastAsia="zh-CN"/>
              </w:rPr>
              <w:t xml:space="preserve">黏虫</w:t>
            </w:r>
            <w:r>
              <w:rPr>
                <w:rFonts w:ascii="宋体" w:hAnsi="宋体" w:eastAsia="宋体" w:cs="Times New Roman"/>
                <w:sz w:val="20"/>
                <w:szCs w:val="24"/>
                <w:highlight w:val="none"/>
              </w:rPr>
              <w:t xml:space="preserve">（草坪）、</w:t>
            </w:r>
            <w:r>
              <w:rPr>
                <w:rFonts w:ascii="宋体" w:hAnsi="宋体" w:eastAsia="宋体" w:cs="Times New Roman"/>
                <w:b/>
                <w:sz w:val="20"/>
                <w:szCs w:val="24"/>
                <w:highlight w:val="none"/>
              </w:rPr>
              <w:t xml:space="preserve">草地螟</w:t>
            </w:r>
            <w:r>
              <w:rPr>
                <w:rFonts w:ascii="宋体" w:hAnsi="宋体" w:eastAsia="宋体" w:cs="Times New Roman"/>
                <w:sz w:val="20"/>
                <w:szCs w:val="24"/>
                <w:highlight w:val="none"/>
              </w:rPr>
              <w:t xml:space="preserve">（草坪）、</w:t>
            </w:r>
            <w:r>
              <w:rPr>
                <w:rFonts w:ascii="宋体" w:hAnsi="宋体" w:eastAsia="宋体" w:cs="Times New Roman"/>
                <w:b/>
                <w:sz w:val="20"/>
                <w:szCs w:val="24"/>
                <w:highlight w:val="none"/>
              </w:rPr>
              <w:t xml:space="preserve">葱兰夜蛾</w:t>
            </w:r>
            <w:r>
              <w:rPr>
                <w:rFonts w:ascii="宋体" w:hAnsi="宋体" w:eastAsia="宋体" w:cs="Times New Roman"/>
                <w:sz w:val="20"/>
                <w:szCs w:val="24"/>
                <w:highlight w:val="none"/>
              </w:rPr>
              <w:t xml:space="preserve">（葱兰）、</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杜鹃网蝽</w:t>
            </w:r>
            <w:r>
              <w:rPr>
                <w:rFonts w:ascii="宋体" w:hAnsi="宋体" w:eastAsia="宋体" w:cs="Times New Roman"/>
                <w:sz w:val="20"/>
                <w:szCs w:val="24"/>
                <w:highlight w:val="none"/>
              </w:rPr>
              <w:t xml:space="preserve">（杜鹃）、</w:t>
            </w:r>
            <w:r>
              <w:rPr>
                <w:rFonts w:ascii="宋体" w:hAnsi="宋体" w:eastAsia="宋体" w:cs="Times New Roman"/>
                <w:b/>
                <w:sz w:val="20"/>
                <w:szCs w:val="24"/>
                <w:highlight w:val="none"/>
              </w:rPr>
              <w:t xml:space="preserve">康氏粉蚧</w:t>
            </w:r>
            <w:r>
              <w:rPr>
                <w:rFonts w:ascii="宋体" w:hAnsi="宋体" w:eastAsia="宋体" w:cs="Times New Roman"/>
                <w:sz w:val="20"/>
                <w:szCs w:val="24"/>
                <w:highlight w:val="none"/>
              </w:rPr>
              <w:t xml:space="preserve">（金叶女贞），</w:t>
            </w:r>
            <w:r>
              <w:rPr>
                <w:rFonts w:ascii="宋体" w:hAnsi="宋体" w:eastAsia="宋体" w:cs="Times New Roman"/>
                <w:b/>
                <w:sz w:val="20"/>
                <w:szCs w:val="24"/>
                <w:highlight w:val="none"/>
              </w:rPr>
              <w:t xml:space="preserve">合欢枯萎病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（紫薇、月季、狭叶十大功劳、大叶黄杨等）。每7天进行一次药物防治，樟巢螟虫巢进行1次人工剪除销毁。</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1.17%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秋季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9月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每10天修剪一次草坪、绿篱、球类，乔木每月剥芽1次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每2天对绿地浇一次透水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继续按照防台防汛应急预案做好应急保障，保障期间应做到1小时内排除险情，2天内完成倒伏树木扶正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1.00%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秋季草花更换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下旬完成秋季草花更换，草花应图案清晰、色彩鲜艳、花朵繁茂、花期一致，种植密度不低于49株/平方米，视品种植株大小应适当提高密度，保持基本不见裸土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1.50%</w:t>
            </w:r>
            <w:r/>
          </w:p>
        </w:tc>
      </w:tr>
      <w:tr>
        <w:trPr>
          <w:trHeight w:val="192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本月是秋季病虫害发生和</w:t>
            </w:r>
            <w:r>
              <w:rPr>
                <w:rFonts w:hint="eastAsia" w:ascii="宋体" w:hAnsi="宋体" w:cs="Times New Roman"/>
                <w:sz w:val="20"/>
                <w:szCs w:val="24"/>
                <w:highlight w:val="none"/>
                <w:lang w:eastAsia="zh-CN"/>
              </w:rPr>
              <w:t xml:space="preserve">危害</w:t>
            </w:r>
            <w:r>
              <w:rPr>
                <w:rFonts w:ascii="宋体" w:hAnsi="宋体" w:eastAsia="宋体" w:cs="Times New Roman"/>
                <w:sz w:val="20"/>
                <w:szCs w:val="24"/>
                <w:highlight w:val="none"/>
              </w:rPr>
              <w:t xml:space="preserve">高峰，重点防治对象：</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樟巢螟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斜纹夜蛾</w:t>
            </w:r>
            <w:r>
              <w:rPr>
                <w:rFonts w:ascii="宋体" w:hAnsi="宋体" w:eastAsia="宋体" w:cs="Times New Roman"/>
                <w:sz w:val="20"/>
                <w:szCs w:val="24"/>
                <w:highlight w:val="none"/>
              </w:rPr>
              <w:t xml:space="preserve">（白三叶、草坪）、</w:t>
            </w:r>
            <w:r>
              <w:rPr>
                <w:rFonts w:ascii="宋体" w:hAnsi="宋体" w:eastAsia="宋体" w:cs="Times New Roman"/>
                <w:b/>
                <w:sz w:val="20"/>
                <w:szCs w:val="24"/>
                <w:highlight w:val="none"/>
              </w:rPr>
              <w:t xml:space="preserve">葱兰夜蛾</w:t>
            </w:r>
            <w:r>
              <w:rPr>
                <w:rFonts w:ascii="宋体" w:hAnsi="宋体" w:eastAsia="宋体" w:cs="Times New Roman"/>
                <w:sz w:val="20"/>
                <w:szCs w:val="24"/>
                <w:highlight w:val="none"/>
              </w:rPr>
              <w:t xml:space="preserve">（葱兰）、</w:t>
            </w:r>
            <w:r>
              <w:rPr>
                <w:rFonts w:ascii="宋体" w:hAnsi="宋体" w:eastAsia="宋体" w:cs="Times New Roman"/>
                <w:b/>
                <w:sz w:val="20"/>
                <w:szCs w:val="24"/>
                <w:highlight w:val="none"/>
              </w:rPr>
              <w:t xml:space="preserve">木蠹蛾</w:t>
            </w:r>
            <w:r>
              <w:rPr>
                <w:rFonts w:ascii="宋体" w:hAnsi="宋体" w:eastAsia="宋体" w:cs="Times New Roman"/>
                <w:sz w:val="20"/>
                <w:szCs w:val="24"/>
                <w:highlight w:val="none"/>
              </w:rPr>
              <w:t xml:space="preserve">（银杏、杨树、柳树、榆树、桃树、樱花、法冬、海棠、法梧、栾树等）、</w:t>
            </w:r>
            <w:r>
              <w:rPr>
                <w:rFonts w:ascii="宋体" w:hAnsi="宋体" w:eastAsia="宋体" w:cs="Times New Roman"/>
                <w:b/>
                <w:sz w:val="20"/>
                <w:szCs w:val="24"/>
                <w:highlight w:val="none"/>
              </w:rPr>
              <w:t xml:space="preserve">木虱</w:t>
            </w:r>
            <w:r>
              <w:rPr>
                <w:rFonts w:ascii="宋体" w:hAnsi="宋体" w:eastAsia="宋体" w:cs="Times New Roman"/>
                <w:sz w:val="20"/>
                <w:szCs w:val="24"/>
                <w:highlight w:val="none"/>
              </w:rPr>
              <w:t xml:space="preserve">（青桐、合欢）、</w:t>
            </w:r>
            <w:r>
              <w:rPr>
                <w:rFonts w:ascii="宋体" w:hAnsi="宋体" w:eastAsia="宋体" w:cs="Times New Roman"/>
                <w:b/>
                <w:sz w:val="20"/>
                <w:szCs w:val="24"/>
                <w:highlight w:val="none"/>
              </w:rPr>
              <w:t xml:space="preserve">介壳虫</w:t>
            </w:r>
            <w:r>
              <w:rPr>
                <w:rFonts w:ascii="宋体" w:hAnsi="宋体" w:eastAsia="宋体" w:cs="Times New Roman"/>
                <w:sz w:val="20"/>
                <w:szCs w:val="24"/>
                <w:highlight w:val="none"/>
              </w:rPr>
              <w:t xml:space="preserve">（香樟、广玉兰、含笑、香橼、独干女贞、桂花、桔子等）、</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舟蛾</w:t>
            </w:r>
            <w:r>
              <w:rPr>
                <w:rFonts w:ascii="宋体" w:hAnsi="宋体" w:eastAsia="宋体" w:cs="Times New Roman"/>
                <w:sz w:val="20"/>
                <w:szCs w:val="24"/>
                <w:highlight w:val="none"/>
              </w:rPr>
              <w:t xml:space="preserve">（杨树、柳树、榆叶梅、海棠、樱花、桃树等）、</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杜鹃网蝽</w:t>
            </w:r>
            <w:r>
              <w:rPr>
                <w:rFonts w:ascii="宋体" w:hAnsi="宋体" w:eastAsia="宋体" w:cs="Times New Roman"/>
                <w:sz w:val="20"/>
                <w:szCs w:val="24"/>
                <w:highlight w:val="none"/>
              </w:rPr>
              <w:t xml:space="preserve">（杜鹃）、</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（草坪）、各类天蛾幼虫，</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白粉病、草坪斑枯病、草坪褐斑病、樱花褐斑病、大叶黄杨枯萎病。</w:t>
            </w:r>
            <w:r>
              <w:rPr>
                <w:rFonts w:ascii="宋体" w:hAnsi="宋体" w:eastAsia="宋体" w:cs="Times New Roman"/>
                <w:sz w:val="20"/>
                <w:szCs w:val="24"/>
                <w:highlight w:val="none"/>
              </w:rPr>
              <w:t xml:space="preserve">每7天进行一次药物防治，樟巢螟虫巢进行1次人工剪除销毁。</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籽播黑麦草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上旬起对籽播黑麦草路段草坪进行疏草、打孔，每7天低修剪1次，下旬播种路段经验收后进行播种</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10月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籽播黑麦草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上旬完成所有路段黑麦草播种工作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0.92%</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每10天修剪一次绿篱、球类，未播黑麦草路段草坪每15天修剪1次，乔木每月剥芽2次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1.38%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黑麦草播种路段每天浇1次透水，其他则5天</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1.38%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每15天除一次杂草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2、4周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追肥</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10月下旬对黑麦草、草花、绿篱追施复合肥，施肥量</w:t>
            </w:r>
            <w:r>
              <w:rPr>
                <w:rFonts w:hint="eastAsia" w:ascii="宋体" w:hAnsi="宋体" w:cs="Times New Roman"/>
                <w:sz w:val="20"/>
                <w:szCs w:val="24"/>
                <w:highlight w:val="none"/>
                <w:lang w:eastAsia="zh-CN"/>
              </w:rPr>
              <w:t xml:space="preserve">不低于</w:t>
            </w:r>
            <w:r>
              <w:rPr>
                <w:rFonts w:ascii="宋体" w:hAnsi="宋体" w:eastAsia="宋体" w:cs="Times New Roman"/>
                <w:sz w:val="20"/>
                <w:szCs w:val="24"/>
                <w:highlight w:val="none"/>
              </w:rPr>
              <w:t xml:space="preserve">15g/m</w:t>
            </w:r>
            <w:r>
              <w:rPr>
                <w:rFonts w:ascii="宋体" w:hAnsi="宋体" w:eastAsia="宋体" w:cs="Times New Roman"/>
                <w:sz w:val="20"/>
                <w:szCs w:val="24"/>
                <w:highlight w:val="none"/>
                <w:vertAlign w:val="superscript"/>
              </w:rPr>
              <w:t xml:space="preserve">2</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0.92%</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落叶清扫</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10月下旬完成所有绿地内落叶清扫，消除火灾隐患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0.92%</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落叶树补植</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10月上旬对落叶树种缺株、死苗及受损、外形不佳苗木规格数量进行排查统计，制定补植计划，本月完成落叶树和藤本植物补植，补植苗木规格不得低于原来标准</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1.38%</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0.46%</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11月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翻土</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对所有乔灌木树穴、生态林进行翻土，翻土深度不低于20cm，灌木、草坪切边</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黑麦草播种路段每3天浇1次透水，其他则10天</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黑麦草每15天修剪1次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0.42%</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树木修剪前应重点针对高空作业人员进行安全技术交底和正确示范，并做好安全防护措施，并上报安全交底记录和照片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0.42%</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落叶树整形修剪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完成除行道树以外的榉树、朴树、白玉兰、栾树、槐树、无患子、合欢、樱花、海棠、桃树、梅花、红叶李、紫荆等落叶树种的疏枝整形修剪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施基肥</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对所有乔灌木施腐熟有机肥，施肥量不低于1kg/m2，施肥可与树穴翻土结合进行</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1.25%</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防寒设施</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11月中旬，对所有海藻等热带树种统一以竹竿为骨架、外包蓝色塑料薄膜、搭建高3m、下底宽80cm、上底40cm左右的四棱台形防寒风障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0.42%</w:t>
            </w:r>
            <w:r/>
          </w:p>
        </w:tc>
      </w:tr>
      <w:tr>
        <w:trPr>
          <w:trHeight w:val="79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b/>
                <w:sz w:val="20"/>
                <w:szCs w:val="24"/>
                <w:highlight w:val="none"/>
              </w:rPr>
            </w:pPr>
            <w:r>
              <w:rPr>
                <w:rFonts w:ascii="宋体" w:hAnsi="宋体" w:eastAsia="宋体" w:cs="Times New Roman"/>
                <w:b/>
                <w:sz w:val="20"/>
                <w:szCs w:val="24"/>
                <w:highlight w:val="none"/>
              </w:rPr>
              <w:t xml:space="preserve">树干刷白</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刷白时间：11月中旬</w:t>
            </w:r>
            <w:r>
              <w:rPr>
                <w:rFonts w:hint="eastAsia" w:ascii="宋体" w:hAnsi="宋体" w:cs="Times New Roman"/>
                <w:sz w:val="20"/>
                <w:szCs w:val="24"/>
                <w:highlight w:val="none"/>
                <w:lang w:eastAsia="zh-CN"/>
              </w:rPr>
              <w:t xml:space="preserve">－</w:t>
            </w:r>
            <w:r>
              <w:rPr>
                <w:rFonts w:ascii="宋体" w:hAnsi="宋体" w:eastAsia="宋体" w:cs="Times New Roman"/>
                <w:sz w:val="20"/>
                <w:szCs w:val="24"/>
                <w:highlight w:val="none"/>
              </w:rPr>
              <w:t xml:space="preserve">下旬，范围：所有乔木及花灌木，高度：乔木1.3m、花灌木0.8m，质量：不流淌、无疙瘩、均匀严密、无刷花刷漏，配比：100斤水+20斤生石灰+1包石硫合剂，用量：石硫合剂10cm树木200棵1包、片林1亩1包</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hint="eastAsia" w:ascii="宋体" w:hAnsi="宋体" w:cs="Times New Roman"/>
                <w:sz w:val="20"/>
                <w:szCs w:val="24"/>
                <w:highlight w:val="none"/>
                <w:lang w:eastAsia="zh-CN"/>
              </w:rPr>
              <w:t xml:space="preserve">3～4周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1.67%</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冬季草花更换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left"/>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11月下旬，完成冬季草花更换，草花应图案清晰、色彩鲜艳、花朵繁茂、花期一致，种植密度不低于49株/平方米，视品种植株大小应适当提高密度，保持基本不见裸土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rPr>
                <w:rFonts w:ascii="宋体" w:hAnsi="宋体" w:eastAsia="宋体" w:cs="Times New Roman"/>
                <w:sz w:val="20"/>
                <w:szCs w:val="24"/>
                <w:highlight w:val="none"/>
              </w:rPr>
            </w:pPr>
            <w:r>
              <w:rPr>
                <w:rFonts w:ascii="宋体" w:hAnsi="宋体" w:eastAsia="宋体" w:cs="Times New Roman"/>
                <w:sz w:val="20"/>
                <w:szCs w:val="24"/>
                <w:highlight w:val="none"/>
              </w:rPr>
              <w:t xml:space="preserve">1.25%</w:t>
            </w:r>
            <w:r/>
          </w:p>
        </w:tc>
      </w:tr>
    </w:tbl>
    <w:p>
      <w:pPr>
        <w:pStyle w:val="934"/>
        <w:numPr>
          <w:ilvl w:val="0"/>
          <w:numId w:val="0"/>
        </w:numPr>
        <w:jc w:val="both"/>
        <w:keepLines w:val="0"/>
        <w:keepNext w:val="0"/>
        <w:spacing w:before="0" w:after="0"/>
        <w:rPr>
          <w:rFonts w:hint="eastAsia"/>
          <w:highlight w:val="none"/>
        </w:rPr>
        <w:sectPr>
          <w:headerReference w:type="default" r:id="rId11"/>
          <w:headerReference w:type="first" r:id="rId12"/>
          <w:footerReference w:type="default" r:id="rId19"/>
          <w:footnotePr/>
          <w:endnotePr/>
          <w:type w:val="nextPage"/>
          <w:pgSz w:w="16838" w:h="11906" w:orient="landscape"/>
          <w:pgMar w:top="1418" w:right="1440" w:bottom="1440" w:left="1440" w:header="851" w:footer="992" w:gutter="0"/>
          <w:cols w:num="1" w:sep="0" w:space="720" w:equalWidth="1"/>
          <w:docGrid w:linePitch="360"/>
        </w:sectPr>
      </w:pPr>
      <w:r>
        <w:rPr>
          <w:rFonts w:hint="eastAsia"/>
          <w:highlight w:val="none"/>
        </w:rPr>
      </w:r>
      <w:r/>
    </w:p>
    <w:p>
      <w:pPr>
        <w:pStyle w:val="1256"/>
        <w:ind w:left="0" w:firstLine="0"/>
        <w:jc w:val="center"/>
        <w:rPr>
          <w:rFonts w:ascii="黑体" w:eastAsia="黑体"/>
          <w:bCs/>
          <w:sz w:val="28"/>
          <w:szCs w:val="28"/>
          <w:highlight w:val="none"/>
        </w:rPr>
      </w:pPr>
      <w:r>
        <w:rPr>
          <w:rFonts w:hint="eastAsia" w:ascii="黑体" w:eastAsia="黑体"/>
          <w:bCs/>
          <w:sz w:val="28"/>
          <w:szCs w:val="28"/>
          <w:highlight w:val="none"/>
          <w:lang w:val="en-US" w:eastAsia="zh-CN"/>
        </w:rPr>
        <w:t xml:space="preserve">五</w:t>
      </w:r>
      <w:r>
        <w:rPr>
          <w:rFonts w:hint="eastAsia" w:ascii="黑体" w:eastAsia="黑体"/>
          <w:bCs/>
          <w:sz w:val="28"/>
          <w:szCs w:val="28"/>
          <w:highlight w:val="none"/>
        </w:rPr>
        <w:t xml:space="preserve">.附件</w:t>
      </w:r>
      <w:r/>
    </w:p>
    <w:p>
      <w:pPr>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附件一：评分标准</w:t>
      </w:r>
      <w:r/>
    </w:p>
    <w:p>
      <w:pPr>
        <w:numPr>
          <w:ilvl w:val="0"/>
          <w:numId w:val="0"/>
        </w:numPr>
        <w:ind w:firstLine="720"/>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u w:val="single"/>
        </w:rPr>
        <w:t xml:space="preserve">特别注意：本项目采用暗标形式，投标人须对商务部分和技术</w:t>
      </w:r>
      <w:r>
        <w:rPr>
          <w:rFonts w:hint="eastAsia" w:ascii="宋体" w:hAnsi="宋体" w:cs="宋体"/>
          <w:b/>
          <w:bCs/>
          <w:color w:val="000000"/>
          <w:sz w:val="24"/>
          <w:highlight w:val="none"/>
          <w:u w:val="single"/>
          <w:lang w:val="en-US" w:eastAsia="zh-CN"/>
        </w:rPr>
        <w:t xml:space="preserve">文件</w:t>
      </w:r>
      <w:r>
        <w:rPr>
          <w:rFonts w:hint="eastAsia" w:ascii="宋体" w:hAnsi="宋体" w:cs="宋体"/>
          <w:b/>
          <w:bCs/>
          <w:color w:val="000000"/>
          <w:sz w:val="24"/>
          <w:highlight w:val="none"/>
          <w:u w:val="single"/>
        </w:rPr>
        <w:t xml:space="preserve">部分分别进行制作。其中技术</w:t>
      </w:r>
      <w:r>
        <w:rPr>
          <w:rFonts w:hint="eastAsia" w:ascii="宋体" w:hAnsi="宋体" w:cs="宋体"/>
          <w:b/>
          <w:bCs/>
          <w:color w:val="000000"/>
          <w:sz w:val="24"/>
          <w:highlight w:val="none"/>
          <w:u w:val="single"/>
          <w:lang w:val="en-US" w:eastAsia="zh-CN"/>
        </w:rPr>
        <w:t xml:space="preserve">文件</w:t>
      </w:r>
      <w:r>
        <w:rPr>
          <w:rFonts w:hint="eastAsia" w:ascii="宋体" w:hAnsi="宋体" w:cs="宋体"/>
          <w:b/>
          <w:bCs/>
          <w:color w:val="000000"/>
          <w:sz w:val="24"/>
          <w:highlight w:val="none"/>
          <w:u w:val="single"/>
        </w:rPr>
        <w:t xml:space="preserve">部分属于暗标，投标人在制作技术</w:t>
      </w:r>
      <w:r>
        <w:rPr>
          <w:rFonts w:hint="eastAsia" w:ascii="宋体" w:hAnsi="宋体" w:cs="宋体"/>
          <w:b/>
          <w:bCs/>
          <w:color w:val="000000"/>
          <w:sz w:val="24"/>
          <w:highlight w:val="none"/>
          <w:u w:val="single"/>
          <w:lang w:val="en-US" w:eastAsia="zh-CN"/>
        </w:rPr>
        <w:t xml:space="preserve">文件</w:t>
      </w:r>
      <w:r>
        <w:rPr>
          <w:rFonts w:hint="eastAsia" w:ascii="宋体" w:hAnsi="宋体" w:cs="宋体"/>
          <w:b/>
          <w:bCs/>
          <w:color w:val="000000"/>
          <w:sz w:val="24"/>
          <w:highlight w:val="none"/>
          <w:u w:val="single"/>
        </w:rPr>
        <w:t xml:space="preserve">部分相关内容时不得有体现投标人身份的内容，否则投标无效。</w:t>
      </w:r>
      <w:r/>
    </w:p>
    <w:p>
      <w:pPr>
        <w:numPr>
          <w:ilvl w:val="0"/>
          <w:numId w:val="0"/>
        </w:numPr>
        <w:ind w:firstLine="72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综合评分法满分为100分，计分均保留2位小数。</w:t>
      </w:r>
      <w:r/>
    </w:p>
    <w:p>
      <w:pPr>
        <w:ind w:left="0"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评分项目及分值（总分100分）</w:t>
      </w:r>
      <w:r/>
    </w:p>
    <w:p>
      <w:pPr>
        <w:ind w:left="0"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投标报价            </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30分</w:t>
      </w:r>
      <w:r/>
    </w:p>
    <w:p>
      <w:pPr>
        <w:ind w:left="0"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投标供应商评价      </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0分</w:t>
      </w:r>
      <w:r/>
    </w:p>
    <w:p>
      <w:pPr>
        <w:ind w:left="0" w:firstLine="482"/>
        <w:keepLines w:val="0"/>
        <w:keepNext w:val="0"/>
        <w:pageBreakBefore w:val="0"/>
        <w:spacing w:line="360" w:lineRule="auto"/>
        <w:widowControl w:val="off"/>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技术文件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0分</w:t>
      </w:r>
      <w:r/>
    </w:p>
    <w:p>
      <w:pPr>
        <w:ind w:left="0"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各项目评分标准</w:t>
      </w:r>
      <w:r/>
    </w:p>
    <w:p>
      <w:pPr>
        <w:ind w:left="0" w:firstLine="482"/>
        <w:jc w:val="left"/>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1.投标报价（30分）</w:t>
      </w:r>
      <w:r/>
    </w:p>
    <w:p>
      <w:pPr>
        <w:ind w:left="0" w:firstLine="480"/>
        <w:jc w:val="left"/>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left="0" w:firstLine="480"/>
        <w:jc w:val="left"/>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投标报价得分=(评标基准价／投标报价)×价格权值×100。</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000000"/>
          <w:sz w:val="24"/>
          <w:szCs w:val="24"/>
          <w:highlight w:val="none"/>
        </w:rPr>
        <w:t xml:space="preserve">2、投标供应商评价（20分）</w:t>
      </w:r>
      <w:r/>
    </w:p>
    <w:p>
      <w:pPr>
        <w:ind w:left="0" w:firstLine="480"/>
        <w:jc w:val="left"/>
        <w:keepLines w:val="0"/>
        <w:keepNext w:val="0"/>
        <w:pageBreakBefore w:val="0"/>
        <w:spacing w:line="360" w:lineRule="auto"/>
        <w:widowControl w:val="off"/>
        <w:rPr>
          <w:rFonts w:hint="eastAsia" w:ascii="宋体" w:hAnsi="宋体" w:cs="宋体"/>
          <w:b/>
          <w:bCs w:val="0"/>
          <w:color w:val="auto"/>
          <w:sz w:val="24"/>
          <w:highlight w:val="none"/>
          <w:lang w:eastAsia="zh-CN"/>
        </w:rPr>
      </w:pP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1</w:t>
      </w:r>
      <w:r>
        <w:rPr>
          <w:rFonts w:hint="eastAsia" w:ascii="宋体" w:hAnsi="宋体" w:cs="宋体"/>
          <w:b/>
          <w:bCs w:val="0"/>
          <w:color w:val="auto"/>
          <w:sz w:val="24"/>
          <w:highlight w:val="none"/>
          <w:lang w:eastAsia="zh-CN"/>
        </w:rPr>
        <w:t xml:space="preserve">）拟投入养护人员配备情况（13分）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①养护作业人员基本配备情况（养护作业人员包含项目负责人、绿化技术工人、特种作业人员及其他所有养护作业人员）（8分）</w:t>
      </w:r>
      <w:r/>
    </w:p>
    <w:tbl>
      <w:tblPr>
        <w:tblStyle w:val="944"/>
        <w:tblpPr w:horzAnchor="page" w:tblpX="1490" w:vertAnchor="text" w:tblpY="7" w:leftFromText="180" w:topFromText="0" w:rightFromText="180" w:bottomFromText="0"/>
        <w:tblW w:w="4912" w:type="pct"/>
        <w:tblInd w:w="0" w:type="dxa"/>
        <w:tblLayout w:type="fixed"/>
        <w:tblCellMar>
          <w:left w:w="0" w:type="dxa"/>
          <w:top w:w="0" w:type="dxa"/>
          <w:right w:w="0" w:type="dxa"/>
          <w:bottom w:w="0" w:type="dxa"/>
        </w:tblCellMar>
        <w:tblLook w:val="04A0" w:firstRow="1" w:lastRow="0" w:firstColumn="1" w:lastColumn="0" w:noHBand="0" w:noVBand="1"/>
      </w:tblPr>
      <w:tblGrid>
        <w:gridCol w:w="972"/>
        <w:gridCol w:w="1572"/>
        <w:gridCol w:w="1287"/>
        <w:gridCol w:w="717"/>
        <w:gridCol w:w="1200"/>
        <w:gridCol w:w="886"/>
        <w:gridCol w:w="1271"/>
        <w:gridCol w:w="714"/>
        <w:gridCol w:w="1341"/>
      </w:tblGrid>
      <w:tr>
        <w:trPr>
          <w:trHeight w:val="1204" w:hRule="exact"/>
        </w:trPr>
        <w:tc>
          <w:tcPr>
            <w:tcBorders>
              <w:top w:val="single" w:color="auto" w:sz="8" w:space="0"/>
              <w:left w:val="single" w:color="auto" w:sz="8" w:space="0"/>
              <w:bottom w:val="single" w:color="auto" w:sz="4" w:space="0"/>
              <w:right w:val="single" w:color="auto" w:sz="8" w:space="0"/>
            </w:tcBorders>
            <w:tcMar>
              <w:left w:w="108" w:type="dxa"/>
              <w:right w:w="108" w:type="dxa"/>
            </w:tcMar>
            <w:tcW w:w="487"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w:t>
            </w:r>
            <w:r/>
          </w:p>
        </w:tc>
        <w:tc>
          <w:tcPr>
            <w:tcBorders>
              <w:top w:val="single" w:color="auto" w:sz="8" w:space="0"/>
              <w:left w:val="none" w:color="000000" w:sz="4" w:space="0"/>
              <w:bottom w:val="single" w:color="auto" w:sz="4" w:space="0"/>
              <w:right w:val="single" w:color="auto" w:sz="8" w:space="0"/>
            </w:tcBorders>
            <w:tcMar>
              <w:left w:w="108" w:type="dxa"/>
              <w:right w:w="108" w:type="dxa"/>
            </w:tcMar>
            <w:tcW w:w="789"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绿化总面积（㎡）</w:t>
            </w:r>
            <w:r/>
          </w:p>
        </w:tc>
        <w:tc>
          <w:tcPr>
            <w:tcBorders>
              <w:top w:val="single" w:color="auto" w:sz="8" w:space="0"/>
              <w:left w:val="none" w:color="000000" w:sz="4" w:space="0"/>
              <w:bottom w:val="single" w:color="auto" w:sz="4" w:space="0"/>
              <w:right w:val="single" w:color="auto" w:sz="4" w:space="0"/>
            </w:tcBorders>
            <w:tcMar>
              <w:left w:w="108" w:type="dxa"/>
              <w:right w:w="108" w:type="dxa"/>
            </w:tcMar>
            <w:tcW w:w="646"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最低配置数量标准（人）</w:t>
            </w:r>
            <w:r/>
          </w:p>
        </w:tc>
        <w:tc>
          <w:tcPr>
            <w:tcBorders>
              <w:top w:val="single" w:color="auto" w:sz="8" w:space="0"/>
              <w:left w:val="none" w:color="000000" w:sz="4" w:space="0"/>
              <w:bottom w:val="single" w:color="auto" w:sz="4" w:space="0"/>
              <w:right w:val="single" w:color="auto" w:sz="4" w:space="0"/>
            </w:tcBorders>
            <w:tcMar>
              <w:left w:w="108" w:type="dxa"/>
              <w:right w:w="108" w:type="dxa"/>
            </w:tcMar>
            <w:tcW w:w="359"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c>
          <w:tcPr>
            <w:tcBorders>
              <w:top w:val="single" w:color="auto" w:sz="8" w:space="0"/>
              <w:left w:val="none" w:color="000000" w:sz="4" w:space="0"/>
              <w:bottom w:val="single" w:color="auto" w:sz="4" w:space="0"/>
              <w:right w:val="single" w:color="auto" w:sz="4" w:space="0"/>
            </w:tcBorders>
            <w:tcMar>
              <w:left w:w="108" w:type="dxa"/>
              <w:right w:w="108" w:type="dxa"/>
            </w:tcMar>
            <w:tcW w:w="602"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中级配置数量标准（人）</w:t>
            </w:r>
            <w:r/>
          </w:p>
        </w:tc>
        <w:tc>
          <w:tcPr>
            <w:tcBorders>
              <w:top w:val="single" w:color="auto" w:sz="8" w:space="0"/>
              <w:left w:val="none" w:color="000000" w:sz="4" w:space="0"/>
              <w:bottom w:val="single" w:color="auto" w:sz="4" w:space="0"/>
              <w:right w:val="single" w:color="auto" w:sz="4" w:space="0"/>
            </w:tcBorders>
            <w:tcMar>
              <w:left w:w="108" w:type="dxa"/>
              <w:right w:w="108" w:type="dxa"/>
            </w:tcMar>
            <w:tcW w:w="444"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c>
          <w:tcPr>
            <w:tcBorders>
              <w:top w:val="single" w:color="auto" w:sz="8" w:space="0"/>
              <w:left w:val="none" w:color="000000" w:sz="4" w:space="0"/>
              <w:bottom w:val="single" w:color="auto" w:sz="4" w:space="0"/>
              <w:right w:val="single" w:color="auto" w:sz="4" w:space="0"/>
            </w:tcBorders>
            <w:tcMar>
              <w:left w:w="108" w:type="dxa"/>
              <w:right w:w="108" w:type="dxa"/>
            </w:tcMar>
            <w:tcW w:w="638"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高级配置</w:t>
            </w:r>
            <w:r/>
          </w:p>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数量标准</w:t>
            </w:r>
            <w:r/>
          </w:p>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w:t>
            </w:r>
            <w:r/>
          </w:p>
        </w:tc>
        <w:tc>
          <w:tcPr>
            <w:tcBorders>
              <w:top w:val="single" w:color="auto" w:sz="8" w:space="0"/>
              <w:left w:val="none" w:color="000000" w:sz="4" w:space="0"/>
              <w:bottom w:val="single" w:color="auto" w:sz="4" w:space="0"/>
              <w:right w:val="single" w:color="auto" w:sz="4" w:space="0"/>
            </w:tcBorders>
            <w:tcMar>
              <w:left w:w="108" w:type="dxa"/>
              <w:right w:w="108" w:type="dxa"/>
            </w:tcMar>
            <w:tcW w:w="358"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c>
          <w:tcPr>
            <w:tcBorders>
              <w:top w:val="single" w:color="auto" w:sz="8" w:space="0"/>
              <w:left w:val="none" w:color="000000" w:sz="4" w:space="0"/>
              <w:bottom w:val="single" w:color="auto" w:sz="4" w:space="0"/>
              <w:right w:val="single" w:color="auto" w:sz="4" w:space="0"/>
            </w:tcBorders>
            <w:tcMar>
              <w:left w:w="108" w:type="dxa"/>
              <w:right w:w="108" w:type="dxa"/>
            </w:tcMar>
            <w:tcW w:w="673"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人工费占比标准</w:t>
            </w:r>
            <w:r/>
          </w:p>
        </w:tc>
      </w:tr>
      <w:tr>
        <w:trPr>
          <w:trHeight w:val="626" w:hRule="exact"/>
        </w:trPr>
        <w:tc>
          <w:tcPr>
            <w:tcBorders>
              <w:top w:val="single" w:color="auto" w:sz="4" w:space="0"/>
              <w:left w:val="single" w:color="auto" w:sz="4" w:space="0"/>
              <w:bottom w:val="single" w:color="auto" w:sz="4" w:space="0"/>
              <w:right w:val="single" w:color="auto" w:sz="4" w:space="0"/>
            </w:tcBorders>
            <w:tcMar>
              <w:left w:w="108" w:type="dxa"/>
              <w:right w:w="108" w:type="dxa"/>
            </w:tcMar>
            <w:tcW w:w="487"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rPr>
              <w:t xml:space="preserve">标段</w:t>
            </w:r>
            <w:r/>
          </w:p>
        </w:tc>
        <w:tc>
          <w:tcPr>
            <w:tcBorders>
              <w:top w:val="single" w:color="auto" w:sz="4" w:space="0"/>
              <w:left w:val="single" w:color="auto" w:sz="4" w:space="0"/>
              <w:bottom w:val="single" w:color="auto" w:sz="4" w:space="0"/>
              <w:right w:val="single" w:color="auto" w:sz="4" w:space="0"/>
            </w:tcBorders>
            <w:tcMar>
              <w:left w:w="108" w:type="dxa"/>
              <w:right w:w="108" w:type="dxa"/>
            </w:tcMar>
            <w:tcW w:w="789"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443502.93</w:t>
            </w:r>
            <w:r/>
          </w:p>
        </w:tc>
        <w:tc>
          <w:tcPr>
            <w:tcBorders>
              <w:top w:val="single" w:color="auto" w:sz="4" w:space="0"/>
              <w:left w:val="single" w:color="auto" w:sz="4" w:space="0"/>
              <w:bottom w:val="single" w:color="auto" w:sz="4" w:space="0"/>
              <w:right w:val="single" w:color="auto" w:sz="4" w:space="0"/>
            </w:tcBorders>
            <w:tcMar>
              <w:left w:w="108" w:type="dxa"/>
              <w:right w:w="108" w:type="dxa"/>
            </w:tcMar>
            <w:tcW w:w="646" w:type="pct"/>
            <w:vAlign w:val="center"/>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w:t>
            </w:r>
            <w:r/>
          </w:p>
        </w:tc>
        <w:tc>
          <w:tcPr>
            <w:tcBorders>
              <w:top w:val="single" w:color="auto" w:sz="4" w:space="0"/>
              <w:left w:val="single" w:color="auto" w:sz="4" w:space="0"/>
              <w:right w:val="single" w:color="auto" w:sz="4" w:space="0"/>
            </w:tcBorders>
            <w:tcMar>
              <w:left w:w="108" w:type="dxa"/>
              <w:right w:w="108" w:type="dxa"/>
            </w:tcMar>
            <w:tcW w:w="359" w:type="pct"/>
            <w:vAlign w:val="center"/>
            <w:vMerge w:val="restart"/>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0</w:t>
            </w:r>
            <w:r/>
          </w:p>
        </w:tc>
        <w:tc>
          <w:tcPr>
            <w:tcBorders>
              <w:top w:val="single" w:color="auto" w:sz="4" w:space="0"/>
              <w:left w:val="single" w:color="auto" w:sz="4" w:space="0"/>
              <w:bottom w:val="single" w:color="auto" w:sz="4" w:space="0"/>
              <w:right w:val="single" w:color="auto" w:sz="4" w:space="0"/>
            </w:tcBorders>
            <w:tcMar>
              <w:left w:w="108" w:type="dxa"/>
              <w:right w:w="108" w:type="dxa"/>
            </w:tcMar>
            <w:tcW w:w="602" w:type="pct"/>
            <w:vAlign w:val="center"/>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w:t>
            </w:r>
            <w:r/>
          </w:p>
        </w:tc>
        <w:tc>
          <w:tcPr>
            <w:tcBorders>
              <w:top w:val="single" w:color="auto" w:sz="4" w:space="0"/>
              <w:left w:val="single" w:color="auto" w:sz="4" w:space="0"/>
              <w:right w:val="single" w:color="auto" w:sz="4" w:space="0"/>
            </w:tcBorders>
            <w:tcMar>
              <w:left w:w="108" w:type="dxa"/>
              <w:right w:w="108" w:type="dxa"/>
            </w:tcMar>
            <w:tcW w:w="444" w:type="pct"/>
            <w:vAlign w:val="center"/>
            <w:vMerge w:val="restart"/>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right w:w="108" w:type="dxa"/>
            </w:tcMar>
            <w:tcW w:w="638" w:type="pct"/>
            <w:vAlign w:val="center"/>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w:t>
            </w:r>
            <w:r/>
          </w:p>
        </w:tc>
        <w:tc>
          <w:tcPr>
            <w:tcBorders>
              <w:top w:val="single" w:color="auto" w:sz="4" w:space="0"/>
              <w:left w:val="single" w:color="auto" w:sz="4" w:space="0"/>
              <w:right w:val="single" w:color="auto" w:sz="4" w:space="0"/>
            </w:tcBorders>
            <w:tcMar>
              <w:left w:w="108" w:type="dxa"/>
              <w:right w:w="108" w:type="dxa"/>
            </w:tcMar>
            <w:tcW w:w="358" w:type="pct"/>
            <w:vAlign w:val="center"/>
            <w:vMerge w:val="restart"/>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right w:w="108" w:type="dxa"/>
            </w:tcMar>
            <w:tcW w:w="673"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24.34%</w:t>
            </w:r>
            <w:r/>
          </w:p>
        </w:tc>
      </w:tr>
      <w:tr>
        <w:trPr>
          <w:trHeight w:val="582" w:hRule="exact"/>
        </w:trPr>
        <w:tc>
          <w:tcPr>
            <w:tcBorders>
              <w:top w:val="single" w:color="auto" w:sz="4" w:space="0"/>
              <w:left w:val="single" w:color="auto" w:sz="4" w:space="0"/>
              <w:bottom w:val="single" w:color="auto" w:sz="4" w:space="0"/>
              <w:right w:val="single" w:color="auto" w:sz="4" w:space="0"/>
            </w:tcBorders>
            <w:tcMar>
              <w:left w:w="108" w:type="dxa"/>
              <w:right w:w="108" w:type="dxa"/>
            </w:tcMar>
            <w:tcW w:w="487"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rPr>
              <w:t xml:space="preserve">标段</w:t>
            </w:r>
            <w:r/>
          </w:p>
        </w:tc>
        <w:tc>
          <w:tcPr>
            <w:tcBorders>
              <w:top w:val="single" w:color="auto" w:sz="4" w:space="0"/>
              <w:left w:val="single" w:color="auto" w:sz="4" w:space="0"/>
              <w:bottom w:val="single" w:color="auto" w:sz="4" w:space="0"/>
              <w:right w:val="single" w:color="auto" w:sz="4" w:space="0"/>
            </w:tcBorders>
            <w:tcMar>
              <w:left w:w="108" w:type="dxa"/>
              <w:right w:w="108" w:type="dxa"/>
            </w:tcMar>
            <w:tcW w:w="789"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513813.71</w:t>
            </w:r>
            <w:r/>
          </w:p>
        </w:tc>
        <w:tc>
          <w:tcPr>
            <w:tcBorders>
              <w:top w:val="single" w:color="auto" w:sz="4" w:space="0"/>
              <w:left w:val="single" w:color="auto" w:sz="4" w:space="0"/>
              <w:bottom w:val="single" w:color="auto" w:sz="4" w:space="0"/>
              <w:right w:val="single" w:color="auto" w:sz="4" w:space="0"/>
            </w:tcBorders>
            <w:tcMar>
              <w:left w:w="108" w:type="dxa"/>
              <w:right w:w="108" w:type="dxa"/>
            </w:tcMar>
            <w:tcW w:w="646" w:type="pct"/>
            <w:vAlign w:val="center"/>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w:t>
            </w:r>
            <w:r/>
          </w:p>
        </w:tc>
        <w:tc>
          <w:tcPr>
            <w:tcBorders>
              <w:left w:val="single" w:color="auto" w:sz="4" w:space="0"/>
              <w:bottom w:val="single" w:color="auto" w:sz="4" w:space="0"/>
              <w:right w:val="single" w:color="auto" w:sz="4" w:space="0"/>
            </w:tcBorders>
            <w:tcMar>
              <w:left w:w="108" w:type="dxa"/>
              <w:right w:w="108" w:type="dxa"/>
            </w:tcMar>
            <w:tcW w:w="359" w:type="pct"/>
            <w:vAlign w:val="center"/>
            <w:vMerge w:val="continue"/>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602" w:type="pct"/>
            <w:vAlign w:val="center"/>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w:t>
            </w:r>
            <w:r/>
          </w:p>
        </w:tc>
        <w:tc>
          <w:tcPr>
            <w:tcBorders>
              <w:left w:val="single" w:color="auto" w:sz="4" w:space="0"/>
              <w:bottom w:val="single" w:color="auto" w:sz="4" w:space="0"/>
              <w:right w:val="single" w:color="auto" w:sz="4" w:space="0"/>
            </w:tcBorders>
            <w:tcMar>
              <w:left w:w="108" w:type="dxa"/>
              <w:right w:w="108" w:type="dxa"/>
            </w:tcMar>
            <w:tcW w:w="444" w:type="pct"/>
            <w:vAlign w:val="center"/>
            <w:vMerge w:val="continue"/>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638" w:type="pct"/>
            <w:vAlign w:val="center"/>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p>
        </w:tc>
        <w:tc>
          <w:tcPr>
            <w:tcBorders>
              <w:left w:val="single" w:color="auto" w:sz="4" w:space="0"/>
              <w:bottom w:val="single" w:color="auto" w:sz="4" w:space="0"/>
              <w:right w:val="single" w:color="auto" w:sz="4" w:space="0"/>
            </w:tcBorders>
            <w:tcMar>
              <w:left w:w="108" w:type="dxa"/>
              <w:right w:w="108" w:type="dxa"/>
            </w:tcMar>
            <w:tcW w:w="358" w:type="pct"/>
            <w:vAlign w:val="center"/>
            <w:vMerge w:val="continue"/>
            <w:textDirection w:val="lrTb"/>
            <w:noWrap/>
          </w:tcPr>
          <w:p>
            <w:pPr>
              <w:jc w:val="cente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673" w:type="pct"/>
            <w:vAlign w:val="center"/>
            <w:textDirection w:val="lrTb"/>
            <w:noWrap/>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23.24%</w:t>
            </w:r>
            <w:r/>
          </w:p>
        </w:tc>
      </w:tr>
    </w:tbl>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② 本项目养护作业人员中（项目负责人除外）具有园林绿化相关专业中级及以上职称证书同时具备绿化工或花卉工或植保工中级及以上技能等级证书的，每人得0.5分，本项最高得3分。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园林绿化专业是指：与园林绿化工程规划、设计、施工及养护管理相关的专业，包括园林（含园林规划设计、园林植物、风景园林、园林绿化等）、园艺、城市规划、景观、植物（含植保、森保等）。提供有效职称证书原件的扫描件上传至投标文件中，无扫描件不得分。</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技能等级证书需网上可查询到的技能等级证书，提供证书原件的扫描件并网址查询截图上传至投标文件中，无扫描件不得分。</w:t>
      </w:r>
      <w:r/>
    </w:p>
    <w:p>
      <w:pPr>
        <w:ind w:left="0" w:firstLine="480"/>
        <w:jc w:val="left"/>
        <w:keepLines w:val="0"/>
        <w:keepNext w:val="0"/>
        <w:pageBreakBefore w:val="0"/>
        <w:spacing w:line="360" w:lineRule="auto"/>
        <w:widowControl w:val="off"/>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③本项目养护作业人员中（项目负责人除外）配备特种作业人员中具有高处作业或升降机相关专业特种工证书的，每人得2分，本项最高2分。</w:t>
      </w:r>
      <w:r>
        <w:rPr>
          <w:rFonts w:hint="eastAsia" w:ascii="宋体" w:hAnsi="宋体" w:cs="宋体"/>
          <w:bCs/>
          <w:color w:val="000000"/>
          <w:sz w:val="24"/>
          <w:highlight w:val="none"/>
          <w:lang w:val="en-US" w:eastAsia="zh-CN"/>
        </w:rPr>
        <w:t xml:space="preserve">提供证书原件扫描件上传至投标文件中，</w:t>
      </w:r>
      <w:r>
        <w:rPr>
          <w:rFonts w:hint="eastAsia" w:ascii="宋体" w:hAnsi="宋体" w:cs="宋体"/>
          <w:bCs/>
          <w:color w:val="000000"/>
          <w:sz w:val="24"/>
          <w:highlight w:val="none"/>
          <w:lang w:eastAsia="zh-CN"/>
        </w:rPr>
        <w:t xml:space="preserve">无扫描件不得分。</w:t>
      </w:r>
      <w:bookmarkStart w:id="6" w:name="_GoBack"/>
      <w:r/>
      <w:bookmarkEnd w:id="6"/>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000000"/>
          <w:sz w:val="24"/>
          <w:highlight w:val="none"/>
        </w:rPr>
        <w:t xml:space="preserve">注：②、③人</w:t>
      </w:r>
      <w:r>
        <w:rPr>
          <w:rFonts w:hint="eastAsia" w:ascii="宋体" w:hAnsi="宋体" w:cs="宋体"/>
          <w:bCs/>
          <w:color w:val="auto"/>
          <w:sz w:val="24"/>
          <w:highlight w:val="none"/>
        </w:rPr>
        <w:t xml:space="preserve">员不得重复，提供由法定社保收缴部门出具的投标供应商为上述所有养护作业人员</w:t>
      </w:r>
      <w:r>
        <w:rPr>
          <w:rFonts w:hint="eastAsia" w:ascii="宋体" w:hAnsi="宋体" w:cs="宋体"/>
          <w:bCs/>
          <w:color w:val="auto"/>
          <w:sz w:val="24"/>
          <w:highlight w:val="none"/>
          <w:lang w:val="en-US" w:eastAsia="zh-CN"/>
        </w:rPr>
        <w:t xml:space="preserve">近一年中任意一个月份（不含投标当月）为其缴纳社保的证明</w:t>
      </w:r>
      <w:r>
        <w:rPr>
          <w:rFonts w:hint="eastAsia" w:ascii="宋体" w:hAnsi="宋体" w:cs="宋体"/>
          <w:bCs/>
          <w:color w:val="auto"/>
          <w:sz w:val="24"/>
          <w:highlight w:val="none"/>
        </w:rPr>
        <w:t xml:space="preserve">，上述资料原件的扫描件上传至投标文件中，无扫描件不得分。</w:t>
      </w:r>
      <w:r/>
    </w:p>
    <w:p>
      <w:pPr>
        <w:ind w:left="0" w:firstLine="480"/>
        <w:jc w:val="left"/>
        <w:keepLines w:val="0"/>
        <w:keepNext w:val="0"/>
        <w:pageBreakBefore w:val="0"/>
        <w:spacing w:line="360" w:lineRule="auto"/>
        <w:widowControl w:val="off"/>
        <w:rPr>
          <w:rFonts w:hint="eastAsia" w:ascii="宋体" w:hAnsi="宋体" w:cs="宋体"/>
          <w:b/>
          <w:bCs w:val="0"/>
          <w:color w:val="auto"/>
          <w:sz w:val="24"/>
          <w:highlight w:val="none"/>
        </w:rPr>
      </w:pP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2</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企业信誉（5分）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①</w:t>
      </w:r>
      <w:r>
        <w:rPr>
          <w:rFonts w:hint="eastAsia" w:ascii="宋体" w:hAnsi="宋体" w:cs="宋体"/>
          <w:bCs/>
          <w:color w:val="auto"/>
          <w:sz w:val="24"/>
          <w:highlight w:val="none"/>
        </w:rPr>
        <w:t xml:space="preserve">体系认证证书（3分）：</w:t>
      </w:r>
      <w:r>
        <w:rPr>
          <w:rFonts w:hint="eastAsia" w:ascii="宋体" w:hAnsi="宋体" w:cs="宋体"/>
          <w:bCs/>
          <w:color w:val="000000"/>
          <w:sz w:val="24"/>
          <w:highlight w:val="none"/>
        </w:rPr>
        <w:t xml:space="preserve">投标</w:t>
      </w:r>
      <w:r>
        <w:rPr>
          <w:rFonts w:hint="eastAsia" w:ascii="宋体" w:hAnsi="宋体" w:cs="宋体"/>
          <w:bCs/>
          <w:color w:val="auto"/>
          <w:sz w:val="24"/>
          <w:highlight w:val="none"/>
        </w:rPr>
        <w:t xml:space="preserve">供应商提供有效期内的环境管理体系认证证书、职业安全健康管理体系认证证书、质量管理体系认证证书，每提供一项得1分，本项最高得3分。（提供证书扫描件和“全国认证认可信息公共服务平台”查询截图上传至电子投标文件，未按要求提供或提供不全的不得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auto"/>
          <w:sz w:val="24"/>
          <w:highlight w:val="none"/>
          <w:lang w:val="en-US" w:eastAsia="zh-CN"/>
        </w:rPr>
        <w:t xml:space="preserve">②服务</w:t>
      </w:r>
      <w:r>
        <w:rPr>
          <w:rFonts w:hint="eastAsia" w:ascii="宋体" w:hAnsi="宋体" w:cs="宋体"/>
          <w:bCs/>
          <w:color w:val="auto"/>
          <w:sz w:val="24"/>
          <w:highlight w:val="none"/>
        </w:rPr>
        <w:t xml:space="preserve">证书（2分）：投标供应商具</w:t>
      </w:r>
      <w:r>
        <w:rPr>
          <w:rFonts w:hint="eastAsia" w:ascii="宋体" w:hAnsi="宋体" w:cs="宋体"/>
          <w:bCs/>
          <w:color w:val="000000"/>
          <w:sz w:val="24"/>
          <w:highlight w:val="none"/>
        </w:rPr>
        <w:t xml:space="preserve">有有效期内的有害生物防治（制）服务资质证书的，得2分；（提供相关证书原件扫描件上传至系统中，不提供不得分）</w:t>
      </w:r>
      <w:r/>
    </w:p>
    <w:p>
      <w:pPr>
        <w:ind w:left="0" w:firstLine="480"/>
        <w:jc w:val="left"/>
        <w:keepLines w:val="0"/>
        <w:keepNext w:val="0"/>
        <w:pageBreakBefore w:val="0"/>
        <w:spacing w:line="360" w:lineRule="auto"/>
        <w:widowControl w:val="off"/>
        <w:rPr>
          <w:rFonts w:hint="eastAsia" w:ascii="宋体" w:hAnsi="宋体" w:cs="宋体"/>
          <w:b/>
          <w:bCs w:val="0"/>
          <w:color w:val="000000"/>
          <w:sz w:val="24"/>
          <w:highlight w:val="none"/>
        </w:rPr>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3</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企业业绩（2分）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投标供应商自2020年1月1日（以中标通知书签发时间为准）以来承担过类似绿化养护项目的，有一个得2分，最高得2分。（提供合同及中标通知书原件扫描件并加盖公章上传至系统中，不提供不得分）</w:t>
      </w:r>
      <w:r/>
    </w:p>
    <w:p>
      <w:pPr>
        <w:ind w:left="0" w:firstLine="480"/>
        <w:jc w:val="left"/>
        <w:keepLines w:val="0"/>
        <w:keepNext w:val="0"/>
        <w:pageBreakBefore w:val="0"/>
        <w:spacing w:line="360" w:lineRule="auto"/>
        <w:widowControl w:val="off"/>
        <w:rPr>
          <w:rFonts w:hint="eastAsia" w:ascii="宋体" w:hAnsi="宋体" w:cs="宋体"/>
          <w:b/>
          <w:bCs w:val="0"/>
          <w:color w:val="000000"/>
          <w:sz w:val="24"/>
          <w:highlight w:val="none"/>
          <w:lang w:eastAsia="zh-CN"/>
        </w:rPr>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4</w:t>
      </w:r>
      <w:r>
        <w:rPr>
          <w:rFonts w:hint="eastAsia" w:ascii="宋体" w:hAnsi="宋体" w:cs="宋体"/>
          <w:b/>
          <w:bCs w:val="0"/>
          <w:color w:val="000000"/>
          <w:sz w:val="24"/>
          <w:highlight w:val="none"/>
          <w:lang w:eastAsia="zh-CN"/>
        </w:rPr>
        <w:t xml:space="preserve">）养护施工机械设备配置（10分）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拟投入自有机械设备在满足最低配置要求的基础下另加分（最低设备配置详见“</w:t>
      </w:r>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lang w:eastAsia="zh-CN"/>
        </w:rPr>
        <w:t xml:space="preserve">项目技术要求和有关说明”</w:t>
      </w:r>
      <w:r>
        <w:rPr>
          <w:rFonts w:hint="eastAsia" w:ascii="宋体" w:hAnsi="宋体" w:cs="宋体"/>
          <w:bCs/>
          <w:color w:val="000000"/>
          <w:sz w:val="24"/>
          <w:highlight w:val="none"/>
          <w:lang w:val="en-US" w:eastAsia="zh-CN"/>
        </w:rPr>
        <w:t xml:space="preserve">中的《作业设备配置要求》</w:t>
      </w:r>
      <w:r>
        <w:rPr>
          <w:rFonts w:hint="eastAsia" w:ascii="宋体" w:hAnsi="宋体" w:cs="宋体"/>
          <w:bCs/>
          <w:color w:val="000000"/>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①投标供应商拟投入标准制式水车（核定载质量≥10吨），有一辆得2分，本项最高得2分。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②投标供应商拟投入卡车/货车（核定载质量≥7吨）（用于运输材料），有一辆得2分，本项最高得2分。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③投标供应商拟投入客车（9座及以上，用于接送养护工人），有一辆得2分，本项最高得2分。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④投标供应商拟投入吊车（汽车起重机），有一辆得2分，本项最高得2分。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000000"/>
          <w:sz w:val="24"/>
          <w:highlight w:val="none"/>
          <w:lang w:eastAsia="zh-CN"/>
        </w:rPr>
        <w:t xml:space="preserve">⑤投标供应商拟投入高枝油锯、手推式喷雾机、微耕机、树枝粉碎机，同时具备以上设备的得</w:t>
      </w:r>
      <w:r>
        <w:rPr>
          <w:rFonts w:hint="eastAsia" w:ascii="宋体" w:hAnsi="宋体" w:cs="宋体"/>
          <w:bCs/>
          <w:color w:val="auto"/>
          <w:sz w:val="24"/>
          <w:highlight w:val="none"/>
          <w:lang w:eastAsia="zh-CN"/>
        </w:rPr>
        <w:t xml:space="preserve">2分，本项最高得2分。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注：投标文件中附《机械设备投入计划表》（格式见附件），上述机械设备为自有的，投标时须提供机械设备照片、购置发票（发票抬头必须与供应商名称一致）原件的扫描件、行驶证原件的扫描件；上述机械设备为租赁的，投标时须提供机械设备照片扫描件、有效期内的车辆租赁协议（租赁期</w:t>
      </w:r>
      <w:r>
        <w:rPr>
          <w:rFonts w:hint="eastAsia" w:ascii="宋体" w:hAnsi="宋体" w:cs="宋体"/>
          <w:bCs/>
          <w:color w:val="auto"/>
          <w:sz w:val="24"/>
          <w:highlight w:val="none"/>
          <w:lang w:val="en-US" w:eastAsia="zh-CN"/>
        </w:rPr>
        <w:t xml:space="preserve">须涵盖</w:t>
      </w:r>
      <w:r>
        <w:rPr>
          <w:rFonts w:hint="eastAsia" w:ascii="宋体" w:hAnsi="宋体" w:cs="宋体"/>
          <w:bCs/>
          <w:color w:val="auto"/>
          <w:sz w:val="24"/>
          <w:highlight w:val="none"/>
          <w:lang w:eastAsia="zh-CN"/>
        </w:rPr>
        <w:t xml:space="preserve">本项目的服务期）原件的扫描件、出租</w:t>
      </w:r>
      <w:r>
        <w:rPr>
          <w:rFonts w:hint="eastAsia" w:ascii="宋体" w:hAnsi="宋体" w:cs="宋体"/>
          <w:bCs/>
          <w:color w:val="auto"/>
          <w:sz w:val="24"/>
          <w:highlight w:val="none"/>
          <w:lang w:val="en-US" w:eastAsia="zh-CN"/>
        </w:rPr>
        <w:t xml:space="preserve">方</w:t>
      </w:r>
      <w:r>
        <w:rPr>
          <w:rFonts w:hint="eastAsia" w:ascii="宋体" w:hAnsi="宋体" w:cs="宋体"/>
          <w:bCs/>
          <w:color w:val="auto"/>
          <w:sz w:val="24"/>
          <w:highlight w:val="none"/>
          <w:lang w:eastAsia="zh-CN"/>
        </w:rPr>
        <w:t xml:space="preserve">购置发票、行驶证的原件扫描件。自有或租赁高枝油锯、手推式喷雾机、微耕机、树枝粉碎机无需提供行驶证。上述资料按要求上传至投标文件中，不按要求提供资料的不得分。</w:t>
      </w:r>
      <w:r/>
    </w:p>
    <w:p>
      <w:pPr>
        <w:ind w:left="0" w:firstLine="482"/>
        <w:jc w:val="left"/>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3.技术文件（暗标）（</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0分）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u w:val="single"/>
          <w:lang w:val="zh-CN"/>
        </w:rPr>
      </w:pPr>
      <w:r>
        <w:rPr>
          <w:rFonts w:hint="eastAsia" w:ascii="宋体" w:hAnsi="宋体" w:cs="宋体"/>
          <w:b/>
          <w:bCs w:val="0"/>
          <w:color w:val="000000"/>
          <w:sz w:val="24"/>
          <w:szCs w:val="24"/>
          <w:highlight w:val="none"/>
          <w:u w:val="single"/>
          <w:lang w:val="zh-CN"/>
        </w:rPr>
        <w:t xml:space="preserve">注：技术</w:t>
      </w:r>
      <w:r>
        <w:rPr>
          <w:rFonts w:hint="eastAsia" w:ascii="宋体" w:hAnsi="宋体" w:cs="宋体"/>
          <w:b/>
          <w:bCs w:val="0"/>
          <w:color w:val="000000"/>
          <w:sz w:val="24"/>
          <w:szCs w:val="24"/>
          <w:highlight w:val="none"/>
          <w:u w:val="single"/>
          <w:lang w:val="en-US" w:eastAsia="zh-CN"/>
        </w:rPr>
        <w:t xml:space="preserve">文件</w:t>
      </w:r>
      <w:r>
        <w:rPr>
          <w:rFonts w:hint="eastAsia" w:ascii="宋体" w:hAnsi="宋体" w:cs="宋体"/>
          <w:b/>
          <w:bCs w:val="0"/>
          <w:color w:val="000000"/>
          <w:sz w:val="24"/>
          <w:szCs w:val="24"/>
          <w:highlight w:val="none"/>
          <w:u w:val="single"/>
          <w:lang w:val="zh-CN"/>
        </w:rPr>
        <w:t xml:space="preserve">部分属于暗标，投标人在制作技术</w:t>
      </w:r>
      <w:r>
        <w:rPr>
          <w:rFonts w:hint="eastAsia" w:ascii="宋体" w:hAnsi="宋体" w:cs="宋体"/>
          <w:b/>
          <w:bCs w:val="0"/>
          <w:color w:val="000000"/>
          <w:sz w:val="24"/>
          <w:szCs w:val="24"/>
          <w:highlight w:val="none"/>
          <w:u w:val="single"/>
          <w:lang w:val="en-US" w:eastAsia="zh-CN"/>
        </w:rPr>
        <w:t xml:space="preserve">文件</w:t>
      </w:r>
      <w:r>
        <w:rPr>
          <w:rFonts w:hint="eastAsia" w:ascii="宋体" w:hAnsi="宋体" w:cs="宋体"/>
          <w:b/>
          <w:bCs w:val="0"/>
          <w:color w:val="000000"/>
          <w:sz w:val="24"/>
          <w:szCs w:val="24"/>
          <w:highlight w:val="none"/>
          <w:u w:val="single"/>
          <w:lang w:val="zh-CN"/>
        </w:rPr>
        <w:t xml:space="preserve">部分相关内容时不得有体现投标人身份的内容，否则投标无效。</w:t>
      </w:r>
      <w:r/>
    </w:p>
    <w:p>
      <w:pPr>
        <w:ind w:left="0" w:firstLine="480"/>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（1）养护管理制度（8分）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①养护考核制度（2分）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②日常养护管理方案（2分）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③项目人员责任制落实措施（2分）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④养护台账体系（2分）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上述内容每有一项分析透彻、合理可行且目标明确，满足采购需求的得2分；方案内容有待改善的得1分；每有一项内容未进行阐述或不满足采购需求的，该项不得分；本项最高得8分。</w:t>
      </w:r>
      <w:r/>
    </w:p>
    <w:p>
      <w:pPr>
        <w:ind w:left="0" w:firstLine="480"/>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（2）绿化应急修复（4分）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①针对各类灾害处置的可行性预案（2分）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②方案合理性：养护计划科学合理，符合植物生长规律和季节特点情况（2分）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上述内容每有一项分析透彻、合理可行且目标明确，满足采购需求的得2分；方案内容有待改善的得1分；每有一项内容未进行阐述或不满足采购需求的，该项不得分；本项最高得4分。</w:t>
      </w:r>
      <w:r/>
    </w:p>
    <w:p>
      <w:pPr>
        <w:ind w:left="0" w:firstLine="480"/>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 （3）养护技术方案（6分）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①针对本项目绿化设施特点，制定符合实际情况的月度养护重点及主要养护工作计划（3分）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②突出绿地存在问题的解决措施（3分）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上述内容每有一项分析透彻、合理可行且目标明确，满足采购需求的得3分；方案内容有待改善的得1.5分；每有一项内容未进行阐述或不满足采购需求的，该项不得分；本项最高得6分。</w:t>
      </w:r>
      <w:r/>
    </w:p>
    <w:p>
      <w:pPr>
        <w:ind w:left="0" w:firstLine="480"/>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（4）专项养护方案（8分）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①乔木修剪（2分）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②花灌木修剪（2分）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③空秃地整治（2分）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④病虫害防治（2分）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上述内容每有一项分析透彻、合理可行且目标明确，满足采购需求的得2分；方案内容有待改善的得1分；每有一项内容未进行阐述或不满足采购需求的，该项不得分；本项最高得8分。</w:t>
      </w:r>
      <w:r/>
    </w:p>
    <w:p>
      <w:pPr>
        <w:ind w:left="0" w:firstLine="480"/>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（5）安全文明施工及环境保护（6分）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①安全文明施工及环境保护（3分）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②描述日常养护作业对周边环境维护（3分）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上述内容每有一项分析透彻、合理可行且目标明确，满足采购需求的得3分；方案内容有待改善的得1.5分；每有一项内容未进行阐述或不满足采购需求的，该项不得分；本项最高得6分。</w:t>
      </w:r>
      <w:r/>
    </w:p>
    <w:p>
      <w:pPr>
        <w:ind w:left="0" w:firstLine="480"/>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（6）苗木移栽补栽（6分）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①绿化补种方案（3分）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②树木移栽专项方案（3分）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上述内容每有一项分析透彻、合理可行且目标明确，满足采购需求的得3分；方案内容有待改善的得1.5分；每有一项内容未进行阐述或不满足采购需求的，该项不得分；本项最高得6分。</w:t>
      </w:r>
      <w:r/>
    </w:p>
    <w:p>
      <w:pPr>
        <w:ind w:left="0" w:firstLine="480"/>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（7）质量及服务、优惠条件承诺（2分）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①各供应商应根据自身实际情况，结合招标文件，针对中标后进一步配合采购人加强绿地管养做出具体承诺（1分）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②对本项目相关的质量及服务、优惠条件做出具体承诺（1分）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上述内容每有一项分析透彻、合理可行且目标明确，满足采购需求的得1分；方案内容有待改善的得0.5分；每有一项内容未进行阐述或不满足采购需求的，该项不得分；本项最高得2分。</w:t>
      </w:r>
      <w:r/>
    </w:p>
    <w:p>
      <w:pPr>
        <w:ind w:firstLine="480"/>
        <w:keepLines w:val="0"/>
        <w:keepNext w:val="0"/>
        <w:pageBreakBefore w:val="0"/>
        <w:spacing w:line="360" w:lineRule="auto"/>
        <w:widowControl w:val="off"/>
        <w:rPr>
          <w:highlight w:val="none"/>
        </w:rPr>
      </w:pPr>
      <w:r>
        <w:rPr>
          <w:rFonts w:hint="eastAsia" w:ascii="宋体" w:hAnsi="宋体" w:eastAsia="宋体" w:cs="Times New Roman"/>
          <w:bCs/>
          <w:color w:val="000000"/>
          <w:sz w:val="24"/>
          <w:highlight w:val="none"/>
        </w:rPr>
        <w:t xml:space="preserve">评委为</w:t>
      </w:r>
      <w:r>
        <w:rPr>
          <w:rFonts w:ascii="宋体" w:hAnsi="宋体" w:eastAsia="宋体" w:cs="Times New Roman"/>
          <w:bCs/>
          <w:color w:val="000000"/>
          <w:sz w:val="24"/>
          <w:highlight w:val="none"/>
        </w:rPr>
        <w:t xml:space="preserve">5</w:t>
      </w:r>
      <w:r>
        <w:rPr>
          <w:rFonts w:hint="eastAsia" w:ascii="宋体" w:hAnsi="宋体" w:eastAsia="宋体" w:cs="Times New Roman"/>
          <w:bCs/>
          <w:color w:val="000000"/>
          <w:sz w:val="24"/>
          <w:highlight w:val="none"/>
        </w:rPr>
        <w:t xml:space="preserve">人以上的单数（含</w:t>
      </w:r>
      <w:r>
        <w:rPr>
          <w:rFonts w:ascii="宋体" w:hAnsi="宋体" w:eastAsia="宋体" w:cs="Times New Roman"/>
          <w:bCs/>
          <w:color w:val="000000"/>
          <w:sz w:val="24"/>
          <w:highlight w:val="none"/>
        </w:rPr>
        <w:t xml:space="preserve">5</w:t>
      </w:r>
      <w:r>
        <w:rPr>
          <w:rFonts w:hint="eastAsia" w:ascii="宋体" w:hAnsi="宋体" w:eastAsia="宋体" w:cs="Times New Roman"/>
          <w:bCs/>
          <w:color w:val="000000"/>
          <w:sz w:val="24"/>
          <w:highlight w:val="none"/>
        </w:rPr>
        <w:t xml:space="preserve">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评委独立评分。所有评委打分的平均值为各供应商最终得分。最终得分前三名为推荐中标候选人。评分办法及评分细则的解释权属采购人。未列入本评分细则的其他条件不作为评分内容</w:t>
      </w:r>
      <w:r>
        <w:rPr>
          <w:rStyle w:val="1390"/>
          <w:rFonts w:hint="eastAsia" w:ascii="宋体" w:hAnsi="宋体" w:cs="宋体"/>
          <w:color w:val="000000"/>
          <w:sz w:val="24"/>
          <w:szCs w:val="24"/>
          <w:highlight w:val="none"/>
        </w:rPr>
        <w:t xml:space="preserve">。</w:t>
      </w:r>
      <w:r/>
    </w:p>
    <w:p>
      <w:pPr>
        <w:jc w:val="left"/>
        <w:rPr>
          <w:rFonts w:ascii="黑体" w:eastAsia="黑体"/>
          <w:bCs/>
          <w:sz w:val="24"/>
          <w:szCs w:val="24"/>
          <w:highlight w:val="none"/>
        </w:rPr>
      </w:pPr>
      <w:r>
        <w:rPr>
          <w:rFonts w:hint="eastAsia" w:ascii="黑体" w:eastAsia="黑体"/>
          <w:bCs/>
          <w:sz w:val="24"/>
          <w:szCs w:val="24"/>
          <w:highlight w:val="none"/>
        </w:rPr>
        <w:t xml:space="preserve">附件二：投标文件格式</w:t>
      </w:r>
      <w:r/>
    </w:p>
    <w:p>
      <w:pPr>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jc w:val="center"/>
        <w:rPr>
          <w:rFonts w:hint="eastAsia" w:ascii="黑体" w:eastAsia="黑体"/>
          <w:bCs/>
          <w:sz w:val="52"/>
          <w:szCs w:val="52"/>
          <w:highlight w:val="none"/>
        </w:rPr>
      </w:pPr>
      <w:r>
        <w:rPr>
          <w:rFonts w:hint="eastAsia" w:ascii="黑体" w:eastAsia="黑体"/>
          <w:bCs/>
          <w:sz w:val="52"/>
          <w:szCs w:val="52"/>
          <w:highlight w:val="none"/>
        </w:rPr>
      </w:r>
      <w:r/>
    </w:p>
    <w:p>
      <w:pPr>
        <w:jc w:val="center"/>
        <w:rPr>
          <w:rFonts w:hint="eastAsia" w:ascii="黑体" w:eastAsia="黑体"/>
          <w:bCs/>
          <w:sz w:val="52"/>
          <w:szCs w:val="52"/>
          <w:highlight w:val="none"/>
        </w:rPr>
      </w:pPr>
      <w:r>
        <w:rPr>
          <w:rFonts w:hint="eastAsia" w:ascii="黑体" w:eastAsia="黑体"/>
          <w:bCs/>
          <w:sz w:val="52"/>
          <w:szCs w:val="5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投</w:t>
      </w:r>
      <w:r/>
    </w:p>
    <w:p>
      <w:pPr>
        <w:jc w:val="center"/>
        <w:rPr>
          <w:rFonts w:ascii="黑体" w:eastAsia="黑体"/>
          <w:bCs/>
          <w:sz w:val="72"/>
          <w:highlight w:val="none"/>
        </w:rPr>
      </w:pPr>
      <w:r>
        <w:rPr>
          <w:rFonts w:ascii="黑体" w:eastAsia="黑体"/>
          <w:bCs/>
          <w:sz w:val="7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标</w:t>
      </w:r>
      <w:r/>
    </w:p>
    <w:p>
      <w:pPr>
        <w:jc w:val="center"/>
        <w:rPr>
          <w:rFonts w:ascii="黑体" w:eastAsia="黑体"/>
          <w:bCs/>
          <w:sz w:val="72"/>
          <w:highlight w:val="none"/>
        </w:rPr>
      </w:pPr>
      <w:r>
        <w:rPr>
          <w:rFonts w:ascii="黑体" w:eastAsia="黑体"/>
          <w:bCs/>
          <w:sz w:val="7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文</w:t>
      </w:r>
      <w:r/>
    </w:p>
    <w:p>
      <w:pPr>
        <w:jc w:val="center"/>
        <w:rPr>
          <w:rFonts w:ascii="黑体" w:eastAsia="黑体"/>
          <w:bCs/>
          <w:sz w:val="52"/>
          <w:szCs w:val="52"/>
          <w:highlight w:val="none"/>
        </w:rPr>
      </w:pPr>
      <w:r>
        <w:rPr>
          <w:rFonts w:ascii="黑体" w:eastAsia="黑体"/>
          <w:bCs/>
          <w:sz w:val="52"/>
          <w:szCs w:val="5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件</w:t>
      </w:r>
      <w:r/>
    </w:p>
    <w:p>
      <w:pPr>
        <w:rPr>
          <w:rFonts w:ascii="楷体_GB2312" w:eastAsia="楷体_GB2312"/>
          <w:bCs/>
          <w:sz w:val="72"/>
          <w:highlight w:val="none"/>
        </w:rPr>
      </w:pPr>
      <w:r>
        <w:rPr>
          <w:rFonts w:ascii="楷体_GB2312" w:eastAsia="楷体_GB2312"/>
          <w:bCs/>
          <w:sz w:val="72"/>
          <w:highlight w:val="none"/>
        </w:rPr>
      </w:r>
      <w:r/>
    </w:p>
    <w:p>
      <w:pPr>
        <w:rPr>
          <w:rFonts w:ascii="楷体_GB2312" w:eastAsia="楷体_GB2312"/>
          <w:bCs/>
          <w:sz w:val="28"/>
          <w:highlight w:val="none"/>
        </w:rPr>
      </w:pPr>
      <w:r>
        <w:rPr>
          <w:rFonts w:ascii="楷体_GB2312" w:eastAsia="楷体_GB2312"/>
          <w:bCs/>
          <w:sz w:val="28"/>
          <w:highlight w:val="none"/>
        </w:rPr>
      </w:r>
      <w:r/>
    </w:p>
    <w:p>
      <w:pPr>
        <w:pStyle w:val="945"/>
        <w:rPr>
          <w:rFonts w:ascii="楷体_GB2312" w:eastAsia="楷体_GB2312"/>
          <w:bCs/>
          <w:sz w:val="28"/>
          <w:highlight w:val="none"/>
        </w:rPr>
      </w:pPr>
      <w:r>
        <w:rPr>
          <w:rFonts w:ascii="楷体_GB2312" w:eastAsia="楷体_GB2312"/>
          <w:bCs/>
          <w:sz w:val="28"/>
          <w:highlight w:val="none"/>
        </w:rPr>
      </w:r>
      <w:r/>
    </w:p>
    <w:p>
      <w:pPr>
        <w:pStyle w:val="945"/>
        <w:rPr>
          <w:rFonts w:ascii="楷体_GB2312" w:eastAsia="楷体_GB2312"/>
          <w:bCs/>
          <w:sz w:val="28"/>
          <w:highlight w:val="none"/>
        </w:rPr>
      </w:pPr>
      <w:r>
        <w:rPr>
          <w:rFonts w:ascii="楷体_GB2312" w:eastAsia="楷体_GB2312"/>
          <w:bCs/>
          <w:sz w:val="28"/>
          <w:highlight w:val="none"/>
        </w:rPr>
      </w:r>
      <w:r/>
    </w:p>
    <w:p>
      <w:pPr>
        <w:pStyle w:val="945"/>
        <w:rPr>
          <w:rFonts w:ascii="楷体_GB2312" w:eastAsia="楷体_GB2312"/>
          <w:bCs/>
          <w:sz w:val="28"/>
          <w:highlight w:val="none"/>
        </w:rPr>
      </w:pPr>
      <w:r>
        <w:rPr>
          <w:rFonts w:ascii="楷体_GB2312" w:eastAsia="楷体_GB2312"/>
          <w:bCs/>
          <w:sz w:val="28"/>
          <w:highlight w:val="none"/>
        </w:rPr>
      </w:r>
      <w:r/>
    </w:p>
    <w:p>
      <w:pPr>
        <w:pStyle w:val="945"/>
        <w:rPr>
          <w:rFonts w:ascii="楷体_GB2312" w:eastAsia="楷体_GB2312"/>
          <w:bCs/>
          <w:sz w:val="28"/>
          <w:highlight w:val="none"/>
        </w:rPr>
      </w:pPr>
      <w:r>
        <w:rPr>
          <w:rFonts w:ascii="楷体_GB2312" w:eastAsia="楷体_GB2312"/>
          <w:bCs/>
          <w:sz w:val="28"/>
          <w:highlight w:val="none"/>
        </w:rPr>
      </w:r>
      <w:r/>
    </w:p>
    <w:p>
      <w:pPr>
        <w:pStyle w:val="945"/>
        <w:rPr>
          <w:rFonts w:ascii="楷体_GB2312" w:eastAsia="楷体_GB2312"/>
          <w:bCs/>
          <w:sz w:val="28"/>
          <w:highlight w:val="none"/>
        </w:rPr>
      </w:pPr>
      <w:r>
        <w:rPr>
          <w:rFonts w:ascii="楷体_GB2312" w:eastAsia="楷体_GB2312"/>
          <w:bCs/>
          <w:sz w:val="28"/>
          <w:highlight w:val="none"/>
        </w:rPr>
      </w:r>
      <w:r/>
    </w:p>
    <w:p>
      <w:pPr>
        <w:ind w:firstLine="560"/>
        <w:rPr>
          <w:rFonts w:hint="eastAsia" w:ascii="黑体" w:eastAsia="黑体"/>
          <w:bCs/>
          <w:sz w:val="28"/>
          <w:szCs w:val="28"/>
          <w:highlight w:val="none"/>
          <w:lang w:eastAsia="zh-CN"/>
        </w:rPr>
      </w:pPr>
      <w:r>
        <w:rPr>
          <w:rFonts w:hint="eastAsia" w:ascii="黑体" w:eastAsia="黑体"/>
          <w:bCs/>
          <w:sz w:val="28"/>
          <w:szCs w:val="28"/>
          <w:highlight w:val="none"/>
        </w:rPr>
        <w:t xml:space="preserve">采购项目编号：</w:t>
      </w:r>
      <w:r>
        <w:rPr>
          <w:rFonts w:hint="eastAsia" w:ascii="黑体" w:eastAsia="黑体"/>
          <w:bCs/>
          <w:sz w:val="28"/>
          <w:szCs w:val="28"/>
          <w:highlight w:val="none"/>
          <w:lang w:eastAsia="zh-CN"/>
        </w:rPr>
        <w:t xml:space="preserve">JSZC-320214-CXLT-G2024-0005</w:t>
      </w:r>
      <w:r/>
    </w:p>
    <w:p>
      <w:pPr>
        <w:ind w:firstLine="560"/>
        <w:rPr>
          <w:rFonts w:hint="eastAsia" w:ascii="黑体" w:eastAsia="黑体"/>
          <w:bCs/>
          <w:sz w:val="28"/>
          <w:szCs w:val="28"/>
          <w:highlight w:val="none"/>
          <w:lang w:eastAsia="zh-CN"/>
        </w:rPr>
      </w:pPr>
      <w:r>
        <w:rPr>
          <w:rFonts w:hint="eastAsia" w:ascii="黑体" w:eastAsia="黑体"/>
          <w:bCs/>
          <w:sz w:val="28"/>
          <w:szCs w:val="28"/>
          <w:highlight w:val="none"/>
        </w:rPr>
        <w:t xml:space="preserve">采购项目名称：</w:t>
      </w:r>
      <w:r>
        <w:rPr>
          <w:rFonts w:hint="eastAsia" w:ascii="黑体" w:eastAsia="黑体"/>
          <w:bCs/>
          <w:sz w:val="28"/>
          <w:szCs w:val="28"/>
          <w:highlight w:val="none"/>
          <w:lang w:eastAsia="zh-CN"/>
        </w:rPr>
        <w:t xml:space="preserve">鸿山街道2024年-2026年度绿化养护项目</w:t>
      </w:r>
      <w:r/>
    </w:p>
    <w:p>
      <w:pPr>
        <w:ind w:firstLine="560"/>
        <w:rPr>
          <w:rFonts w:ascii="黑体" w:eastAsia="黑体"/>
          <w:bCs/>
          <w:sz w:val="28"/>
          <w:szCs w:val="28"/>
          <w:highlight w:val="none"/>
        </w:rPr>
      </w:pPr>
      <w:r>
        <w:rPr>
          <w:rFonts w:hint="eastAsia" w:ascii="黑体" w:eastAsia="黑体"/>
          <w:bCs/>
          <w:sz w:val="28"/>
          <w:szCs w:val="28"/>
          <w:highlight w:val="none"/>
        </w:rPr>
        <w:t xml:space="preserve">投标供应商：</w:t>
      </w:r>
      <w:r/>
    </w:p>
    <w:p>
      <w:pPr>
        <w:rPr>
          <w:rFonts w:ascii="黑体" w:eastAsia="黑体"/>
          <w:bCs/>
          <w:sz w:val="32"/>
          <w:highlight w:val="none"/>
        </w:rPr>
      </w:pPr>
      <w:r>
        <w:rPr>
          <w:rFonts w:ascii="黑体" w:eastAsia="黑体"/>
          <w:bCs/>
          <w:sz w:val="32"/>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t xml:space="preserve">二○二四年</w:t>
      </w:r>
      <w:r>
        <w:rPr>
          <w:rFonts w:ascii="黑体" w:eastAsia="黑体"/>
          <w:bCs/>
          <w:sz w:val="36"/>
          <w:szCs w:val="36"/>
          <w:highlight w:val="none"/>
        </w:rPr>
        <w:t xml:space="preserve">  </w:t>
      </w:r>
      <w:r>
        <w:rPr>
          <w:rFonts w:hint="eastAsia" w:ascii="黑体" w:eastAsia="黑体"/>
          <w:bCs/>
          <w:sz w:val="36"/>
          <w:szCs w:val="36"/>
          <w:highlight w:val="none"/>
        </w:rPr>
        <w:t xml:space="preserve">月</w:t>
      </w:r>
      <w:r>
        <w:rPr>
          <w:rFonts w:ascii="黑体" w:eastAsia="黑体"/>
          <w:bCs/>
          <w:sz w:val="36"/>
          <w:szCs w:val="36"/>
          <w:highlight w:val="none"/>
        </w:rPr>
        <w:t xml:space="preserve">  </w:t>
      </w:r>
      <w:r>
        <w:rPr>
          <w:rFonts w:hint="eastAsia" w:ascii="黑体" w:eastAsia="黑体"/>
          <w:bCs/>
          <w:sz w:val="36"/>
          <w:szCs w:val="36"/>
          <w:highlight w:val="none"/>
        </w:rPr>
        <w:t xml:space="preserve">日</w:t>
      </w:r>
      <w:r/>
    </w:p>
    <w:p>
      <w:pPr>
        <w:jc w:val="center"/>
        <w:rPr>
          <w:rFonts w:ascii="黑体" w:eastAsia="黑体"/>
          <w:bCs/>
          <w:sz w:val="36"/>
          <w:szCs w:val="36"/>
          <w:highlight w:val="none"/>
        </w:rPr>
      </w:pPr>
      <w:r>
        <w:rPr>
          <w:rFonts w:ascii="黑体" w:eastAsia="黑体"/>
          <w:bCs/>
          <w:sz w:val="36"/>
          <w:szCs w:val="36"/>
          <w:highlight w:val="none"/>
        </w:rPr>
      </w:r>
      <w:r/>
    </w:p>
    <w:p>
      <w:pPr>
        <w:ind w:firstLine="480"/>
        <w:rPr>
          <w:rFonts w:ascii="黑体" w:hAnsi="宋体" w:eastAsia="黑体"/>
          <w:bCs/>
          <w:sz w:val="24"/>
          <w:szCs w:val="24"/>
          <w:highlight w:val="none"/>
        </w:rPr>
        <w:outlineLvl w:val="0"/>
      </w:pPr>
      <w:r/>
      <w:bookmarkStart w:id="4" w:name="一．报价函（格式）"/>
      <w:r/>
      <w:bookmarkEnd w:id="4"/>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（一）投标函（格式）：</w:t>
      </w:r>
      <w:r/>
    </w:p>
    <w:p>
      <w:pPr>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p>
    <w:p>
      <w:pPr>
        <w:spacing w:line="360" w:lineRule="auto"/>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bCs/>
          <w:sz w:val="24"/>
          <w:szCs w:val="24"/>
          <w:highlight w:val="none"/>
          <w:lang w:eastAsia="zh-CN"/>
        </w:rPr>
        <w:t xml:space="preserve">JSZC-320214-CXLT-G2024-0005</w:t>
      </w:r>
      <w:r>
        <w:rPr>
          <w:rFonts w:hint="eastAsia" w:ascii="宋体" w:hAnsi="宋体"/>
          <w:bCs/>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23"/>
          <w:bCs/>
          <w:highlight w:val="none"/>
        </w:rPr>
      </w:pPr>
      <w:r>
        <w:rPr>
          <w:rFonts w:hint="eastAsia" w:ascii="宋体" w:hAnsi="宋体"/>
          <w:bCs/>
          <w:sz w:val="24"/>
          <w:szCs w:val="24"/>
          <w:highlight w:val="none"/>
        </w:rPr>
        <w:t xml:space="preserve">我方愿意提供</w:t>
      </w: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我方同意按招标文件中的规定，本投标文件投标的有效期限为开标之日起</w:t>
      </w:r>
      <w:r>
        <w:rPr>
          <w:rFonts w:ascii="宋体" w:hAnsi="宋体"/>
          <w:bCs/>
          <w:sz w:val="24"/>
          <w:szCs w:val="24"/>
          <w:highlight w:val="none"/>
        </w:rPr>
        <w:t xml:space="preserve">90</w:t>
      </w:r>
      <w:r>
        <w:rPr>
          <w:rFonts w:hint="eastAsia" w:ascii="宋体" w:hAnsi="宋体"/>
          <w:bCs/>
          <w:sz w:val="24"/>
          <w:szCs w:val="24"/>
          <w:highlight w:val="none"/>
        </w:rPr>
        <w:t xml:space="preserve">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我方认为采购人有权决定中标者。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w:t>
      </w:r>
      <w:r>
        <w:rPr>
          <w:rFonts w:hint="eastAsia" w:ascii="宋体" w:hAnsi="宋体"/>
          <w:sz w:val="24"/>
          <w:szCs w:val="24"/>
          <w:highlight w:val="none"/>
        </w:rPr>
        <w:t xml:space="preserve">向</w:t>
      </w:r>
      <w:r>
        <w:rPr>
          <w:rFonts w:hint="eastAsia" w:ascii="宋体" w:hAnsi="宋体"/>
          <w:bCs/>
          <w:sz w:val="24"/>
          <w:szCs w:val="24"/>
          <w:highlight w:val="none"/>
        </w:rPr>
        <w:t xml:space="preserve">采购人</w:t>
      </w:r>
      <w:r>
        <w:rPr>
          <w:rFonts w:hint="eastAsia" w:ascii="宋体" w:hAnsi="宋体"/>
          <w:bCs/>
          <w:sz w:val="24"/>
          <w:szCs w:val="24"/>
          <w:highlight w:val="none"/>
          <w:lang w:eastAsia="zh-CN"/>
        </w:rPr>
        <w:t xml:space="preserve">缴纳</w:t>
      </w:r>
      <w:r>
        <w:rPr>
          <w:rFonts w:hint="eastAsia" w:ascii="宋体" w:hAnsi="宋体"/>
          <w:bCs/>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sz w:val="24"/>
          <w:szCs w:val="24"/>
          <w:highlight w:val="none"/>
        </w:rPr>
      </w:pPr>
      <w:r>
        <w:rPr>
          <w:rFonts w:ascii="宋体"/>
          <w:bCs/>
          <w:sz w:val="24"/>
          <w:szCs w:val="24"/>
          <w:highlight w:val="none"/>
        </w:rPr>
      </w:r>
      <w:r/>
    </w:p>
    <w:p>
      <w:pPr>
        <w:ind w:firstLine="480"/>
        <w:spacing w:line="400" w:lineRule="exact"/>
        <w:rPr>
          <w:rFonts w:ascii="宋体"/>
          <w:bCs/>
          <w:sz w:val="24"/>
          <w:szCs w:val="24"/>
          <w:highlight w:val="none"/>
        </w:rPr>
      </w:pPr>
      <w:r>
        <w:rPr>
          <w:rFonts w:hint="eastAsia" w:ascii="宋体" w:hAnsi="宋体"/>
          <w:bCs/>
          <w:sz w:val="24"/>
          <w:szCs w:val="24"/>
          <w:highlight w:val="none"/>
        </w:rPr>
        <w:t xml:space="preserve">投标供应商（盖章）：</w:t>
      </w:r>
      <w:r>
        <w:rPr>
          <w:rFonts w:ascii="宋体" w:hAnsi="宋体"/>
          <w:bCs/>
          <w:sz w:val="24"/>
          <w:szCs w:val="24"/>
          <w:highlight w:val="none"/>
        </w:rPr>
        <w:t xml:space="preserve">     </w:t>
      </w:r>
      <w:r/>
    </w:p>
    <w:p>
      <w:pPr>
        <w:ind w:firstLine="480"/>
        <w:spacing w:line="400" w:lineRule="exact"/>
        <w:rPr>
          <w:rFonts w:asci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00" w:lineRule="exact"/>
        <w:rPr>
          <w:rFonts w:ascii="宋体"/>
          <w:bCs/>
          <w:sz w:val="24"/>
          <w:szCs w:val="24"/>
          <w:highlight w:val="none"/>
        </w:rPr>
      </w:pPr>
      <w:r>
        <w:rPr>
          <w:rFonts w:hint="eastAsia" w:ascii="宋体" w:hAnsi="宋体"/>
          <w:bCs/>
          <w:sz w:val="24"/>
          <w:szCs w:val="24"/>
          <w:highlight w:val="none"/>
        </w:rPr>
        <w:t xml:space="preserve">电话：</w:t>
      </w:r>
      <w:r>
        <w:rPr>
          <w:rFonts w:ascii="宋体" w:hAnsi="宋体"/>
          <w:bCs/>
          <w:sz w:val="24"/>
          <w:szCs w:val="24"/>
          <w:highlight w:val="none"/>
        </w:rPr>
        <w:t xml:space="preserve">                              </w:t>
      </w:r>
      <w:r>
        <w:rPr>
          <w:rFonts w:hint="eastAsia" w:ascii="宋体" w:hAnsi="宋体"/>
          <w:bCs/>
          <w:sz w:val="24"/>
          <w:szCs w:val="24"/>
          <w:highlight w:val="none"/>
        </w:rPr>
        <w:t xml:space="preserve">传真：</w:t>
      </w:r>
      <w:r/>
    </w:p>
    <w:p>
      <w:pPr>
        <w:ind w:firstLine="480"/>
        <w:spacing w:line="400" w:lineRule="exact"/>
        <w:rPr>
          <w:rFonts w:ascii="宋体" w:hAnsi="宋体"/>
          <w:bCs/>
          <w:sz w:val="24"/>
          <w:szCs w:val="24"/>
          <w:highlight w:val="none"/>
        </w:rPr>
      </w:pPr>
      <w:r>
        <w:rPr>
          <w:rFonts w:hint="eastAsia" w:ascii="宋体" w:hAnsi="宋体"/>
          <w:bCs/>
          <w:sz w:val="24"/>
          <w:szCs w:val="24"/>
          <w:highlight w:val="none"/>
        </w:rPr>
        <w:t xml:space="preserve">通讯地址：</w:t>
      </w:r>
      <w:r>
        <w:rPr>
          <w:rFonts w:ascii="宋体" w:hAnsi="宋体"/>
          <w:bCs/>
          <w:sz w:val="24"/>
          <w:szCs w:val="24"/>
          <w:highlight w:val="none"/>
        </w:rPr>
        <w:t xml:space="preserve">                          </w:t>
      </w:r>
      <w:r>
        <w:rPr>
          <w:rFonts w:hint="eastAsia" w:ascii="宋体" w:hAnsi="宋体"/>
          <w:bCs/>
          <w:sz w:val="24"/>
          <w:szCs w:val="24"/>
          <w:highlight w:val="none"/>
        </w:rPr>
        <w:t xml:space="preserve">邮编：</w:t>
      </w:r>
      <w:r/>
    </w:p>
    <w:p>
      <w:pPr>
        <w:ind w:firstLine="480"/>
        <w:rPr>
          <w:rFonts w:ascii="黑体" w:eastAsia="黑体"/>
          <w:bCs/>
          <w:sz w:val="28"/>
          <w:szCs w:val="28"/>
          <w:highlight w:val="none"/>
        </w:rPr>
        <w:outlineLvl w:val="0"/>
      </w:pPr>
      <w:r>
        <w:rPr>
          <w:rFonts w:hint="eastAsia" w:ascii="黑体" w:hAnsi="宋体" w:eastAsia="黑体"/>
          <w:bCs/>
          <w:sz w:val="24"/>
          <w:szCs w:val="24"/>
          <w:highlight w:val="none"/>
        </w:rPr>
        <w:t xml:space="preserve">（二）（投标供应商）关于资格的声明函（格式）：</w:t>
      </w:r>
      <w:r/>
    </w:p>
    <w:p>
      <w:pPr>
        <w:spacing w:line="360" w:lineRule="auto"/>
        <w:rPr>
          <w:rFonts w:ascii="黑体" w:eastAsia="黑体"/>
          <w:bCs/>
          <w:sz w:val="36"/>
          <w:highlight w:val="none"/>
        </w:rPr>
      </w:pPr>
      <w:r>
        <w:rPr>
          <w:rFonts w:ascii="黑体" w:eastAsia="黑体"/>
          <w:bCs/>
          <w:sz w:val="36"/>
          <w:highlight w:val="none"/>
        </w:rPr>
      </w:r>
      <w:r/>
    </w:p>
    <w:p>
      <w:pPr>
        <w:jc w:val="center"/>
        <w:rPr>
          <w:rFonts w:ascii="黑体" w:eastAsia="黑体"/>
          <w:bCs/>
          <w:sz w:val="28"/>
          <w:szCs w:val="28"/>
          <w:highlight w:val="none"/>
        </w:rPr>
        <w:outlineLvl w:val="0"/>
      </w:pPr>
      <w:r/>
      <w:bookmarkStart w:id="5" w:name="报价方关于资格的声明函（格式）"/>
      <w:r/>
      <w:bookmarkEnd w:id="5"/>
      <w:r>
        <w:rPr>
          <w:rFonts w:hint="eastAsia" w:ascii="黑体" w:eastAsia="黑体"/>
          <w:bCs/>
          <w:sz w:val="28"/>
          <w:szCs w:val="28"/>
          <w:highlight w:val="none"/>
        </w:rPr>
        <w:t xml:space="preserve">关于资格的声明函</w:t>
      </w:r>
      <w:r/>
    </w:p>
    <w:p>
      <w:pPr>
        <w:jc w:val="center"/>
        <w:spacing w:line="480" w:lineRule="auto"/>
        <w:rPr>
          <w:rFonts w:ascii="宋体"/>
          <w:bCs/>
          <w:sz w:val="24"/>
          <w:szCs w:val="24"/>
          <w:highlight w:val="none"/>
        </w:rPr>
      </w:pPr>
      <w:r>
        <w:rPr>
          <w:rFonts w:ascii="楷体_GB2312" w:eastAsia="楷体_GB2312"/>
          <w:bCs/>
          <w:sz w:val="30"/>
          <w:highlight w:val="none"/>
        </w:rPr>
        <w:t xml:space="preserve">   </w:t>
      </w:r>
      <w:r>
        <w:rPr>
          <w:rFonts w:ascii="宋体" w:hAnsi="宋体"/>
          <w:bCs/>
          <w:sz w:val="24"/>
          <w:szCs w:val="24"/>
          <w:highlight w:val="none"/>
        </w:rPr>
        <w:t xml:space="preserve"> </w:t>
      </w:r>
      <w:r>
        <w:rPr>
          <w:rFonts w:hint="eastAsia" w:ascii="宋体" w:hAnsi="宋体"/>
          <w:bCs/>
          <w:sz w:val="24"/>
          <w:szCs w:val="24"/>
          <w:highlight w:val="none"/>
        </w:rPr>
        <w:t xml:space="preserve">采购项目编号：</w:t>
      </w:r>
      <w:r/>
    </w:p>
    <w:p>
      <w:pPr>
        <w:jc w:val="center"/>
        <w:spacing w:line="480" w:lineRule="auto"/>
        <w:tabs>
          <w:tab w:val="left" w:pos="6300" w:leader="none"/>
        </w:tabs>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日期：</w:t>
      </w:r>
      <w:r/>
    </w:p>
    <w:p>
      <w:pPr>
        <w:spacing w:line="480" w:lineRule="auto"/>
        <w:rPr>
          <w:rFonts w:ascii="宋体"/>
          <w:bCs/>
          <w:sz w:val="24"/>
          <w:szCs w:val="24"/>
          <w:highlight w:val="none"/>
        </w:rPr>
      </w:pP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w:t>
      </w:r>
      <w:r/>
    </w:p>
    <w:p>
      <w:pPr>
        <w:spacing w:line="480" w:lineRule="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我公司（单位）参加本次项目（</w:t>
      </w:r>
      <w:r>
        <w:rPr>
          <w:rFonts w:hint="eastAsia" w:ascii="宋体" w:hAnsi="宋体"/>
          <w:bCs/>
          <w:sz w:val="24"/>
          <w:szCs w:val="24"/>
          <w:highlight w:val="none"/>
          <w:lang w:eastAsia="zh-CN"/>
        </w:rPr>
        <w:t xml:space="preserve">JSZC-320214-CXLT-G2024-0005</w:t>
      </w:r>
      <w:r>
        <w:rPr>
          <w:rFonts w:hint="eastAsia" w:ascii="宋体" w:hAnsi="宋体"/>
          <w:bCs/>
          <w:sz w:val="24"/>
          <w:szCs w:val="24"/>
          <w:highlight w:val="none"/>
        </w:rPr>
        <w:t xml:space="preserve"> ）政府采购活动前三年内，在经营活动中没有重大违法记录，我公司（单位）愿针对本次项目（</w:t>
      </w:r>
      <w:r>
        <w:rPr>
          <w:rFonts w:hint="eastAsia" w:ascii="宋体" w:hAnsi="宋体"/>
          <w:bCs/>
          <w:sz w:val="24"/>
          <w:szCs w:val="24"/>
          <w:highlight w:val="none"/>
          <w:lang w:eastAsia="zh-CN"/>
        </w:rPr>
        <w:t xml:space="preserve">JSZC-320214-CXLT-G2024-0005</w:t>
      </w:r>
      <w:r>
        <w:rPr>
          <w:rFonts w:hint="eastAsia" w:ascii="宋体" w:hAnsi="宋体"/>
          <w:bCs/>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投标供应商（盖章）：</w:t>
      </w:r>
      <w:r/>
    </w:p>
    <w:p>
      <w:pPr>
        <w:spacing w:line="480" w:lineRule="auto"/>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法定代表人或法定代表人授权代表（签字或盖章）：</w:t>
      </w:r>
      <w:r/>
    </w:p>
    <w:p>
      <w:pPr>
        <w:spacing w:line="480" w:lineRule="auto"/>
        <w:rPr>
          <w:rFonts w:ascii="宋体"/>
          <w:bCs/>
          <w:sz w:val="24"/>
          <w:szCs w:val="24"/>
          <w:highlight w:val="none"/>
        </w:rPr>
      </w:pPr>
      <w:r>
        <w:rPr>
          <w:rFonts w:ascii="宋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20"/>
        <w:rPr>
          <w:rFonts w:ascii="黑体" w:hAnsi="宋体" w:eastAsia="黑体"/>
          <w:bCs/>
          <w:sz w:val="24"/>
          <w:szCs w:val="24"/>
          <w:highlight w:val="none"/>
        </w:rPr>
        <w:outlineLvl w:val="0"/>
      </w:pPr>
      <w:r>
        <w:rPr>
          <w:rFonts w:hint="eastAsia"/>
          <w:highlight w:val="none"/>
        </w:rPr>
        <w:t xml:space="preserve">备注：上述所称“重大违法记录”</w:t>
      </w:r>
      <w:r>
        <w:rPr>
          <w:rFonts w:hint="eastAsia"/>
          <w:highlight w:val="none"/>
          <w:lang w:eastAsia="zh-CN"/>
        </w:rPr>
        <w:t xml:space="preserve">，</w:t>
      </w:r>
      <w:r>
        <w:rPr>
          <w:rFonts w:hint="eastAsia"/>
          <w:highlight w:val="none"/>
        </w:rPr>
        <w:t xml:space="preserve">是指供应商因违法经营受到刑事处罚或者责令停产停业、吊销许可证或者执照、较大数额罚款等行政处罚。</w:t>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ascii="黑体" w:eastAsia="黑体"/>
          <w:bCs/>
          <w:sz w:val="28"/>
          <w:szCs w:val="28"/>
          <w:highlight w:val="none"/>
        </w:rPr>
        <w:outlineLvl w:val="0"/>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（三）（投标供应商）法定代表人授权委托书（格式）：</w:t>
      </w:r>
      <w:r/>
    </w:p>
    <w:p>
      <w:pPr>
        <w:rPr>
          <w:rFonts w:ascii="黑体" w:eastAsia="黑体"/>
          <w:bCs/>
          <w:sz w:val="28"/>
          <w:szCs w:val="28"/>
          <w:highlight w:val="none"/>
        </w:rPr>
        <w:outlineLvl w:val="0"/>
      </w:pPr>
      <w:r>
        <w:rPr>
          <w:rFonts w:ascii="黑体" w:eastAsia="黑体"/>
          <w:bCs/>
          <w:sz w:val="28"/>
          <w:szCs w:val="28"/>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法定代表人授权委托书</w:t>
      </w:r>
      <w:r/>
    </w:p>
    <w:p>
      <w:pPr>
        <w:jc w:val="center"/>
        <w:spacing w:line="360" w:lineRule="auto"/>
        <w:rPr>
          <w:rFonts w:ascii="楷体_GB2312" w:eastAsia="楷体_GB2312"/>
          <w:bCs/>
          <w:sz w:val="36"/>
          <w:highlight w:val="none"/>
        </w:rPr>
      </w:pPr>
      <w:r>
        <w:rPr>
          <w:rFonts w:ascii="楷体_GB2312" w:eastAsia="楷体_GB2312"/>
          <w:bCs/>
          <w:sz w:val="36"/>
          <w:highlight w:val="none"/>
        </w:rPr>
      </w:r>
      <w:r/>
    </w:p>
    <w:p>
      <w:pPr>
        <w:spacing w:line="480" w:lineRule="auto"/>
        <w:rPr>
          <w:rFonts w:ascii="宋体"/>
          <w:bCs/>
          <w:sz w:val="24"/>
          <w:szCs w:val="24"/>
          <w:highlight w:val="none"/>
        </w:rPr>
      </w:pPr>
      <w:r>
        <w:rPr>
          <w:rFonts w:ascii="楷体_GB2312" w:eastAsia="楷体_GB2312"/>
          <w:bCs/>
          <w:sz w:val="30"/>
          <w:highlight w:val="none"/>
        </w:rPr>
        <w:t xml:space="preserve">                           </w:t>
      </w:r>
      <w:r>
        <w:rPr>
          <w:rFonts w:hint="eastAsia" w:ascii="宋体" w:hAnsi="宋体"/>
          <w:bCs/>
          <w:sz w:val="24"/>
          <w:szCs w:val="24"/>
          <w:highlight w:val="none"/>
        </w:rPr>
        <w:t xml:space="preserve">采购项目编号：</w:t>
      </w:r>
      <w:r/>
    </w:p>
    <w:p>
      <w:pPr>
        <w:spacing w:line="480" w:lineRule="auto"/>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日期：</w:t>
      </w:r>
      <w:r/>
    </w:p>
    <w:p>
      <w:pPr>
        <w:spacing w:line="600" w:lineRule="exact"/>
        <w:rPr>
          <w:rFonts w:hint="eastAsia" w:ascii="宋体"/>
          <w:bCs/>
          <w:sz w:val="24"/>
          <w:szCs w:val="24"/>
          <w:highlight w:val="none"/>
        </w:rPr>
      </w:pPr>
      <w:r>
        <w:rPr>
          <w:rFonts w:hint="eastAsia" w:ascii="宋体" w:hAnsi="宋体"/>
          <w:bCs/>
          <w:sz w:val="24"/>
          <w:szCs w:val="24"/>
          <w:highlight w:val="none"/>
          <w:lang w:eastAsia="zh-CN"/>
        </w:rPr>
        <w:t xml:space="preserve">无锡城兴绿碳全过程工程咨询有限公司</w:t>
      </w:r>
      <w:r>
        <w:rPr>
          <w:rFonts w:hint="eastAsia" w:ascii="宋体" w:hAnsi="宋体"/>
          <w:bCs/>
          <w:sz w:val="24"/>
          <w:szCs w:val="24"/>
          <w:highlight w:val="none"/>
        </w:rPr>
        <w:t xml:space="preserve">：</w:t>
      </w:r>
      <w:r/>
    </w:p>
    <w:p>
      <w:pPr>
        <w:ind w:firstLine="480"/>
        <w:spacing w:line="600" w:lineRule="exact"/>
        <w:rPr>
          <w:rFonts w:ascii="宋体" w:hAnsi="宋体"/>
          <w:bCs/>
          <w:sz w:val="24"/>
          <w:szCs w:val="24"/>
          <w:highlight w:val="none"/>
        </w:rPr>
      </w:pP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lang w:eastAsia="zh-CN"/>
        </w:rPr>
        <w:t xml:space="preserve">JSZC-320214-CXLT-G2024-0005</w:t>
      </w:r>
      <w:r>
        <w:rPr>
          <w:rFonts w:hint="eastAsia" w:ascii="宋体" w:hAnsi="宋体"/>
          <w:bCs/>
          <w:sz w:val="24"/>
          <w:szCs w:val="24"/>
          <w:highlight w:val="none"/>
        </w:rPr>
        <w:t xml:space="preserve">）的投标、参与开标、评标、签约等具体工作，并签署全部有关的文件、协议及合同。</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bCs/>
          <w:sz w:val="24"/>
          <w:szCs w:val="24"/>
          <w:highlight w:val="none"/>
        </w:rPr>
      </w:pPr>
      <w:r>
        <w:rPr>
          <w:rFonts w:hint="eastAsia" w:ascii="宋体" w:hAnsi="宋体"/>
          <w:bCs/>
          <w:sz w:val="24"/>
          <w:szCs w:val="24"/>
          <w:highlight w:val="none"/>
        </w:rPr>
        <w:t xml:space="preserve">姓名：</w:t>
      </w:r>
      <w:r>
        <w:rPr>
          <w:rFonts w:ascii="宋体" w:hAnsi="宋体"/>
          <w:bCs/>
          <w:sz w:val="24"/>
          <w:szCs w:val="24"/>
          <w:highlight w:val="none"/>
        </w:rPr>
        <w:t xml:space="preserve">         </w:t>
      </w:r>
      <w:r>
        <w:rPr>
          <w:rFonts w:hint="eastAsia" w:ascii="宋体" w:hAnsi="宋体"/>
          <w:bCs/>
          <w:sz w:val="24"/>
          <w:szCs w:val="24"/>
          <w:highlight w:val="none"/>
        </w:rPr>
        <w:t xml:space="preserve">性别：</w:t>
      </w:r>
      <w:r>
        <w:rPr>
          <w:rFonts w:ascii="宋体" w:hAnsi="宋体"/>
          <w:bCs/>
          <w:sz w:val="24"/>
          <w:szCs w:val="24"/>
          <w:highlight w:val="none"/>
        </w:rPr>
        <w:t xml:space="preserve">       </w:t>
      </w:r>
      <w:r>
        <w:rPr>
          <w:rFonts w:hint="eastAsia" w:ascii="宋体" w:hAnsi="宋体"/>
          <w:bCs/>
          <w:sz w:val="24"/>
          <w:szCs w:val="24"/>
          <w:highlight w:val="none"/>
        </w:rPr>
        <w:t xml:space="preserve">电话：</w:t>
      </w:r>
      <w:r/>
    </w:p>
    <w:p>
      <w:pPr>
        <w:ind w:firstLine="3240"/>
        <w:spacing w:line="580" w:lineRule="exact"/>
        <w:rPr>
          <w:rFonts w:ascii="宋体"/>
          <w:bCs/>
          <w:sz w:val="24"/>
          <w:szCs w:val="24"/>
          <w:highlight w:val="none"/>
        </w:rPr>
      </w:pPr>
      <w:r>
        <w:rPr>
          <w:rFonts w:ascii="宋体"/>
          <w:bCs/>
          <w:sz w:val="24"/>
          <w:szCs w:val="24"/>
          <w:highlight w:val="none"/>
        </w:rPr>
      </w:r>
      <w:r/>
    </w:p>
    <w:p>
      <w:pPr>
        <w:ind w:firstLine="3240"/>
        <w:spacing w:line="580" w:lineRule="exact"/>
        <w:rPr>
          <w:rFonts w:ascii="宋体"/>
          <w:bCs/>
          <w:sz w:val="24"/>
          <w:szCs w:val="24"/>
          <w:highlight w:val="none"/>
        </w:rPr>
      </w:pPr>
      <w:r>
        <w:rPr>
          <w:rFonts w:ascii="宋体"/>
          <w:bCs/>
          <w:sz w:val="24"/>
          <w:szCs w:val="24"/>
          <w:highlight w:val="none"/>
        </w:rPr>
      </w:r>
      <w:r/>
    </w:p>
    <w:p>
      <w:pPr>
        <w:ind w:firstLine="3240"/>
        <w:spacing w:line="580" w:lineRule="exact"/>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单位名称（盖章）：</w:t>
      </w:r>
      <w:r/>
    </w:p>
    <w:p>
      <w:pPr>
        <w:ind w:firstLine="4080"/>
        <w:spacing w:line="580" w:lineRule="exact"/>
        <w:rPr>
          <w:rFonts w:ascii="宋体"/>
          <w:bCs/>
          <w:sz w:val="24"/>
          <w:szCs w:val="24"/>
          <w:highlight w:val="none"/>
        </w:rPr>
      </w:pPr>
      <w:r>
        <w:rPr>
          <w:rFonts w:hint="eastAsia" w:ascii="宋体" w:hAnsi="宋体"/>
          <w:bCs/>
          <w:sz w:val="24"/>
          <w:szCs w:val="24"/>
          <w:highlight w:val="none"/>
        </w:rPr>
        <w:t xml:space="preserve">法定代表人（签字或盖章）：</w:t>
      </w:r>
      <w:r/>
    </w:p>
    <w:p>
      <w:pPr>
        <w:ind w:firstLine="420"/>
        <w:spacing w:line="580" w:lineRule="exact"/>
        <w:rPr>
          <w:rFonts w:ascii="宋体"/>
          <w:bCs/>
          <w:sz w:val="24"/>
          <w:szCs w:val="24"/>
          <w:highlight w:val="none"/>
        </w:rPr>
      </w:pPr>
      <w:r>
        <w:rPr>
          <w:rFonts w:ascii="宋体"/>
          <w:bCs/>
          <w:sz w:val="24"/>
          <w:szCs w:val="24"/>
          <w:highlight w:val="none"/>
        </w:rPr>
      </w:r>
      <w:r/>
    </w:p>
    <w:p>
      <w:pPr>
        <w:ind w:firstLine="420"/>
        <w:spacing w:line="580" w:lineRule="exact"/>
        <w:rPr>
          <w:rFonts w:ascii="宋体"/>
          <w:bCs/>
          <w:sz w:val="24"/>
          <w:szCs w:val="24"/>
          <w:highlight w:val="none"/>
        </w:rPr>
      </w:pPr>
      <w:r>
        <w:rPr>
          <w:rFonts w:ascii="宋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eastAsia="黑体"/>
          <w:bCs/>
          <w:sz w:val="28"/>
          <w:szCs w:val="28"/>
          <w:highlight w:val="none"/>
        </w:rPr>
        <w:outlineLvl w:val="0"/>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（四）（投标供应商）中小企业声明函（格式）：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招标文件</w:t>
      </w:r>
      <w:r>
        <w:rPr>
          <w:rFonts w:ascii="宋体" w:hAnsi="宋体"/>
          <w:bCs/>
          <w:sz w:val="24"/>
          <w:szCs w:val="24"/>
          <w:highlight w:val="none"/>
          <w:u w:val="single"/>
        </w:rPr>
        <w:t xml:space="preserve">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招标文件</w:t>
      </w:r>
      <w:r>
        <w:rPr>
          <w:rFonts w:ascii="宋体" w:hAnsi="宋体"/>
          <w:bCs/>
          <w:sz w:val="24"/>
          <w:szCs w:val="24"/>
          <w:highlight w:val="none"/>
          <w:u w:val="single"/>
        </w:rPr>
        <w:t xml:space="preserve">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 </w:t>
      </w:r>
      <w:r/>
    </w:p>
    <w:p>
      <w:pPr>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spacing w:line="360" w:lineRule="auto"/>
        <w:rPr>
          <w:rFonts w:ascii="宋体" w:hAnsi="宋体"/>
          <w:bCs/>
          <w:sz w:val="24"/>
          <w:szCs w:val="24"/>
          <w:highlight w:val="none"/>
        </w:rPr>
      </w:pPr>
      <w:r>
        <w:rPr>
          <w:rFonts w:ascii="宋体" w:hAnsi="宋体"/>
          <w:bCs/>
          <w:sz w:val="24"/>
          <w:szCs w:val="24"/>
          <w:highlight w:val="none"/>
        </w:rPr>
      </w:r>
      <w:r/>
    </w:p>
    <w:p>
      <w:pPr>
        <w:rPr>
          <w:highlight w:val="none"/>
        </w:rPr>
        <w:outlineLvl w:val="0"/>
      </w:pPr>
      <w:r>
        <w:rPr>
          <w:rFonts w:hint="eastAsia"/>
          <w:highlight w:val="none"/>
        </w:rPr>
        <w:t xml:space="preserve">注：1.</w:t>
      </w:r>
      <w:r>
        <w:rPr>
          <w:highlight w:val="none"/>
        </w:rPr>
        <w:t xml:space="preserve">从业人员、营业收入、资产总额填报上一年度数据，无上一年度数据的新成立企业可不填报。</w:t>
      </w:r>
      <w:r/>
    </w:p>
    <w:p>
      <w:pPr>
        <w:ind w:firstLine="420"/>
        <w:rPr>
          <w:highlight w:val="none"/>
        </w:rPr>
        <w:outlineLvl w:val="0"/>
      </w:pPr>
      <w:r>
        <w:rPr>
          <w:rFonts w:hint="eastAsia"/>
          <w:highlight w:val="none"/>
        </w:rPr>
        <w:t xml:space="preserve">2.中标供应商的《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sz w:val="24"/>
          <w:szCs w:val="24"/>
          <w:highlight w:val="none"/>
        </w:rPr>
        <w:outlineLvl w:val="0"/>
      </w:pPr>
      <w:r>
        <w:rPr>
          <w:rFonts w:hint="eastAsia"/>
          <w:highlight w:val="none"/>
        </w:rPr>
        <w:t xml:space="preserve">3.投标时本表附在《明细报价表》之后（如有）。</w:t>
      </w:r>
      <w:r>
        <w:rPr>
          <w:rFonts w:ascii="黑体" w:hAnsi="宋体" w:eastAsia="黑体"/>
          <w:bCs/>
          <w:sz w:val="24"/>
          <w:szCs w:val="24"/>
          <w:highlight w:val="none"/>
        </w:rPr>
        <w:br w:type="page" w:clear="all"/>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（五）（投标供应商）残疾人福利性单位声明函（格式）：</w:t>
      </w:r>
      <w:r/>
    </w:p>
    <w:p>
      <w:pPr>
        <w:spacing w:line="480" w:lineRule="auto"/>
        <w:rPr>
          <w:rFonts w:ascii="宋体"/>
          <w:bCs/>
          <w:sz w:val="24"/>
          <w:szCs w:val="24"/>
          <w:highlight w:val="none"/>
        </w:rPr>
      </w:pPr>
      <w:r>
        <w:rPr>
          <w:rFonts w:ascii="宋体"/>
          <w:bCs/>
          <w:sz w:val="24"/>
          <w:szCs w:val="24"/>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（六）服务保障承诺书（格式）：</w:t>
      </w:r>
      <w:r/>
    </w:p>
    <w:p>
      <w:pPr>
        <w:jc w:val="center"/>
        <w:rPr>
          <w:rFonts w:hint="eastAsia" w:ascii="黑体" w:eastAsia="黑体"/>
          <w:bCs/>
          <w:sz w:val="28"/>
          <w:szCs w:val="28"/>
          <w:highlight w:val="none"/>
        </w:rPr>
      </w:pPr>
      <w:r>
        <w:rPr>
          <w:rFonts w:hint="eastAsia" w:ascii="黑体" w:eastAsia="黑体"/>
          <w:bCs/>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服务保障承诺书</w:t>
      </w:r>
      <w:r/>
    </w:p>
    <w:p>
      <w:pPr>
        <w:jc w:val="center"/>
        <w:rPr>
          <w:rFonts w:ascii="黑体" w:eastAsia="黑体"/>
          <w:bCs/>
          <w:sz w:val="28"/>
          <w:szCs w:val="28"/>
          <w:highlight w:val="none"/>
        </w:rPr>
      </w:pPr>
      <w:r>
        <w:rPr>
          <w:rFonts w:ascii="黑体" w:eastAsia="黑体"/>
          <w:bCs/>
          <w:sz w:val="28"/>
          <w:szCs w:val="28"/>
          <w:highlight w:val="none"/>
        </w:rPr>
      </w:r>
      <w:r/>
    </w:p>
    <w:p>
      <w:pPr>
        <w:spacing w:line="480" w:lineRule="auto"/>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（投标供应商名称）针</w:t>
      </w:r>
      <w:r>
        <w:rPr>
          <w:rFonts w:hint="eastAsia" w:ascii="宋体" w:hAnsi="宋体"/>
          <w:bCs/>
          <w:sz w:val="24"/>
          <w:szCs w:val="24"/>
          <w:highlight w:val="none"/>
        </w:rPr>
        <w:t xml:space="preserve">对本项目（</w:t>
      </w:r>
      <w:r>
        <w:rPr>
          <w:rFonts w:hint="eastAsia" w:ascii="宋体" w:hAnsi="宋体"/>
          <w:bCs/>
          <w:sz w:val="24"/>
          <w:szCs w:val="24"/>
          <w:highlight w:val="none"/>
          <w:lang w:eastAsia="zh-CN"/>
        </w:rPr>
        <w:t xml:space="preserve">JSZC-320214-CXLT-G2024-0005</w:t>
      </w:r>
      <w:r>
        <w:rPr>
          <w:rFonts w:hint="eastAsia" w:ascii="宋体" w:hAnsi="宋体"/>
          <w:bCs/>
          <w:sz w:val="24"/>
          <w:szCs w:val="24"/>
          <w:highlight w:val="none"/>
        </w:rPr>
        <w:t xml:space="preserve">）</w:t>
      </w:r>
      <w:r>
        <w:rPr>
          <w:rFonts w:hint="eastAsia" w:ascii="宋体" w:hAnsi="宋体"/>
          <w:sz w:val="24"/>
          <w:szCs w:val="24"/>
          <w:highlight w:val="none"/>
        </w:rPr>
        <w:t xml:space="preserve">在此承诺：</w:t>
      </w:r>
      <w:r/>
    </w:p>
    <w:p>
      <w:pPr>
        <w:spacing w:line="48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对本项目（</w:t>
      </w:r>
      <w:r>
        <w:rPr>
          <w:rFonts w:hint="eastAsia" w:ascii="宋体" w:hAnsi="宋体"/>
          <w:bCs/>
          <w:sz w:val="24"/>
          <w:szCs w:val="24"/>
          <w:highlight w:val="none"/>
          <w:lang w:eastAsia="zh-CN"/>
        </w:rPr>
        <w:t xml:space="preserve">JSZC-320214-CXLT-G2024-0005</w:t>
      </w:r>
      <w:r>
        <w:rPr>
          <w:rFonts w:hint="eastAsia" w:ascii="宋体" w:hAnsi="宋体"/>
          <w:bCs/>
          <w:sz w:val="24"/>
          <w:szCs w:val="24"/>
          <w:highlight w:val="none"/>
        </w:rPr>
        <w:t xml:space="preserve">）所提供的服务符合招标文件要求；</w:t>
      </w:r>
      <w:r/>
    </w:p>
    <w:p>
      <w:pPr>
        <w:ind w:firstLine="465"/>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具备履行合同所必需的人员、设备和专业技术能力；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sz w:val="24"/>
          <w:szCs w:val="24"/>
          <w:highlight w:val="none"/>
        </w:rPr>
        <w:t xml:space="preserve">本公司未被“</w:t>
      </w:r>
      <w:r>
        <w:rPr>
          <w:rFonts w:hint="eastAsia" w:ascii="宋体" w:hAnsi="宋体"/>
          <w:bCs/>
          <w:sz w:val="24"/>
          <w:szCs w:val="24"/>
          <w:highlight w:val="none"/>
        </w:rPr>
        <w:t xml:space="preserve">信用中国</w:t>
      </w:r>
      <w:r>
        <w:rPr>
          <w:rFonts w:hint="eastAsia" w:ascii="宋体" w:hAnsi="宋体"/>
          <w:sz w:val="24"/>
          <w:szCs w:val="24"/>
          <w:highlight w:val="none"/>
        </w:rPr>
        <w:t xml:space="preserve">”</w:t>
      </w:r>
      <w:r>
        <w:rPr>
          <w:rFonts w:hint="eastAsia" w:ascii="宋体" w:hAnsi="宋体"/>
          <w:bCs/>
          <w:sz w:val="24"/>
          <w:szCs w:val="24"/>
          <w:highlight w:val="none"/>
        </w:rPr>
        <w:t xml:space="preserve">网站（</w:t>
      </w:r>
      <w:r>
        <w:rPr>
          <w:highlight w:val="none"/>
        </w:rPr>
        <w:fldChar w:fldCharType="begin"/>
      </w:r>
      <w:r>
        <w:rPr>
          <w:highlight w:val="none"/>
        </w:rPr>
        <w:instrText xml:space="preserve">HYPERLINK "http://www.creditchina.gov.cn"</w:instrText>
      </w:r>
      <w:r>
        <w:rPr>
          <w:highlight w:val="none"/>
        </w:rPr>
        <w:fldChar w:fldCharType="separate"/>
      </w:r>
      <w:r>
        <w:rPr>
          <w:rStyle w:val="1224"/>
          <w:rFonts w:hint="eastAsia" w:ascii="宋体" w:hAnsi="宋体"/>
          <w:bCs/>
          <w:sz w:val="24"/>
          <w:szCs w:val="24"/>
          <w:highlight w:val="none"/>
        </w:rPr>
        <w:t xml:space="preserve">www.creditchina.gov.cn</w:t>
      </w:r>
      <w:r>
        <w:rPr>
          <w:highlight w:val="none"/>
        </w:rPr>
        <w:fldChar w:fldCharType="end"/>
      </w:r>
      <w:r>
        <w:rPr>
          <w:rFonts w:hint="eastAsia" w:ascii="宋体" w:hAnsi="宋体"/>
          <w:bCs/>
          <w:sz w:val="24"/>
          <w:szCs w:val="24"/>
          <w:highlight w:val="none"/>
        </w:rPr>
        <w:t xml:space="preserve">）、</w:t>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w:t>
      </w:r>
      <w:r>
        <w:rPr>
          <w:rFonts w:hint="eastAsia" w:ascii="宋体" w:hAnsi="宋体"/>
          <w:bCs/>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w:t>
      </w:r>
      <w:r/>
    </w:p>
    <w:p>
      <w:pPr>
        <w:ind w:firstLine="465"/>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8、</w:t>
      </w:r>
      <w:r/>
    </w:p>
    <w:p>
      <w:pPr>
        <w:ind w:firstLine="960"/>
        <w:spacing w:line="480" w:lineRule="auto"/>
        <w:rPr>
          <w:rFonts w:ascii="宋体" w:hAnsi="宋体"/>
          <w:bCs/>
          <w:sz w:val="24"/>
          <w:szCs w:val="24"/>
          <w:highlight w:val="none"/>
        </w:rPr>
      </w:pPr>
      <w:r>
        <w:rPr>
          <w:rFonts w:ascii="宋体" w:hAnsi="宋体"/>
          <w:bCs/>
          <w:sz w:val="24"/>
          <w:szCs w:val="24"/>
          <w:highlight w:val="none"/>
        </w:rPr>
        <w:t xml:space="preserve">…………………</w:t>
      </w:r>
      <w:r/>
    </w:p>
    <w:p>
      <w:pPr>
        <w:ind w:firstLine="960"/>
        <w:spacing w:line="480" w:lineRule="auto"/>
        <w:rPr>
          <w:rFonts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spacing w:line="480" w:lineRule="auto"/>
        <w:rPr>
          <w:rFonts w:ascii="宋体" w:hAnsi="宋体"/>
          <w:bCs/>
          <w:sz w:val="24"/>
          <w:szCs w:val="24"/>
          <w:highlight w:val="none"/>
        </w:rPr>
      </w:pPr>
      <w:r>
        <w:rPr>
          <w:rFonts w:ascii="宋体" w:hAnsi="宋体"/>
          <w:bCs/>
          <w:sz w:val="24"/>
          <w:szCs w:val="24"/>
          <w:highlight w:val="none"/>
        </w:rPr>
      </w:r>
      <w:r/>
    </w:p>
    <w:p>
      <w:pPr>
        <w:ind w:firstLine="3720"/>
        <w:spacing w:line="480" w:lineRule="auto"/>
        <w:rPr>
          <w:rFonts w:ascii="宋体" w:hAnsi="宋体"/>
          <w:bCs/>
          <w:sz w:val="24"/>
          <w:szCs w:val="24"/>
          <w:highlight w:val="none"/>
        </w:rPr>
      </w:pPr>
      <w:r>
        <w:rPr>
          <w:rFonts w:hint="eastAsia" w:ascii="宋体" w:hAnsi="宋体"/>
          <w:sz w:val="24"/>
          <w:szCs w:val="24"/>
          <w:highlight w:val="none"/>
        </w:rPr>
        <w:t xml:space="preserve">投标供应商</w:t>
      </w:r>
      <w:r>
        <w:rPr>
          <w:rFonts w:hint="eastAsia" w:ascii="宋体" w:hAnsi="宋体"/>
          <w:bCs/>
          <w:sz w:val="24"/>
          <w:szCs w:val="24"/>
          <w:highlight w:val="none"/>
        </w:rPr>
        <w:t xml:space="preserve">（盖章）：</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80" w:lineRule="auto"/>
        <w:rPr>
          <w:rFonts w:ascii="宋体" w:hAnsi="宋体"/>
          <w:bCs/>
          <w:sz w:val="24"/>
          <w:szCs w:val="24"/>
          <w:highlight w:val="none"/>
        </w:rPr>
      </w:pPr>
      <w:r>
        <w:rPr>
          <w:rFonts w:ascii="宋体" w:hAnsi="宋体"/>
          <w:bCs/>
          <w:sz w:val="24"/>
          <w:szCs w:val="24"/>
          <w:highlight w:val="none"/>
        </w:rPr>
      </w:r>
      <w:r/>
    </w:p>
    <w:p>
      <w:pPr>
        <w:ind w:firstLine="420"/>
        <w:spacing w:line="480" w:lineRule="auto"/>
        <w:rPr>
          <w:rFonts w:hint="eastAsia" w:ascii="宋体" w:hAnsi="宋体"/>
          <w:bCs/>
          <w:szCs w:val="21"/>
          <w:highlight w:val="none"/>
        </w:rPr>
      </w:pPr>
      <w:r>
        <w:rPr>
          <w:rFonts w:hint="eastAsia" w:ascii="宋体" w:hAnsi="宋体"/>
          <w:bCs/>
          <w:szCs w:val="21"/>
          <w:highlight w:val="none"/>
        </w:rPr>
        <w:t xml:space="preserve">注：以上内容由投标单位根据采购要求可自行完善。</w:t>
      </w:r>
      <w:r/>
    </w:p>
    <w:p>
      <w:pPr>
        <w:rPr>
          <w:rFonts w:hint="eastAsia" w:ascii="宋体" w:hAnsi="宋体"/>
          <w:bCs/>
          <w:szCs w:val="21"/>
          <w:highlight w:val="none"/>
        </w:rPr>
      </w:pPr>
      <w:r>
        <w:rPr>
          <w:rFonts w:hint="eastAsia" w:ascii="宋体" w:hAnsi="宋体"/>
          <w:bCs/>
          <w:szCs w:val="21"/>
          <w:highlight w:val="none"/>
        </w:rPr>
        <w:br w:type="page" w:clear="all"/>
      </w:r>
      <w:r/>
    </w:p>
    <w:p>
      <w:pPr>
        <w:rPr>
          <w:rFonts w:hint="eastAsia" w:ascii="黑体" w:hAnsi="宋体" w:eastAsia="黑体" w:cs="Times New Roman"/>
          <w:bCs/>
          <w:sz w:val="24"/>
          <w:szCs w:val="24"/>
          <w:highlight w:val="none"/>
        </w:rPr>
        <w:outlineLvl w:val="0"/>
      </w:pPr>
      <w:r>
        <w:rPr>
          <w:rFonts w:hint="eastAsia" w:ascii="黑体" w:hAnsi="宋体" w:eastAsia="黑体" w:cs="Times New Roman"/>
          <w:bCs/>
          <w:sz w:val="24"/>
          <w:szCs w:val="24"/>
          <w:highlight w:val="none"/>
        </w:rPr>
        <w:t xml:space="preserve">（</w:t>
      </w:r>
      <w:r>
        <w:rPr>
          <w:rFonts w:hint="eastAsia" w:ascii="黑体" w:hAnsi="宋体" w:eastAsia="黑体" w:cs="Times New Roman"/>
          <w:bCs/>
          <w:sz w:val="24"/>
          <w:szCs w:val="24"/>
          <w:highlight w:val="none"/>
          <w:lang w:val="en-US" w:eastAsia="zh-CN"/>
        </w:rPr>
        <w:t xml:space="preserve">七</w:t>
      </w:r>
      <w:r>
        <w:rPr>
          <w:rFonts w:hint="eastAsia" w:ascii="黑体" w:hAnsi="宋体" w:eastAsia="黑体" w:cs="Times New Roman"/>
          <w:bCs/>
          <w:sz w:val="24"/>
          <w:szCs w:val="24"/>
          <w:highlight w:val="none"/>
        </w:rPr>
        <w:t xml:space="preserve">）中标标段优先顺序承诺函（格式）：</w:t>
      </w:r>
      <w:r/>
    </w:p>
    <w:p>
      <w:pPr>
        <w:ind w:left="0" w:right="0" w:firstLine="0"/>
        <w:jc w:val="center"/>
        <w:keepLines w:val="0"/>
        <w:keepNext w:val="0"/>
        <w:pageBreakBefore w:val="0"/>
        <w:spacing w:before="0" w:after="0" w:line="360"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0"/>
        <w:jc w:val="center"/>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中标标段优先顺序承诺函</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无锡市新吴区人民政府鸿山街道办事处</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1、我单位完全理解本次招标最多可中1个标段的要求。将按照投标供应商承诺的中标标段优先顺序确定中标标段，并放弃对这方面有不明或误解的权利。</w:t>
      </w:r>
      <w:r/>
    </w:p>
    <w:p>
      <w:pPr>
        <w:ind w:left="0" w:right="0" w:firstLine="48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2、如果我单位经评委评审后在多个标项均为第一名时，我公司愿意按照下表的优先顺序选择排列于前的标段中标，放弃其余标段的中标权。</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6"/>
        <w:gridCol w:w="3119"/>
        <w:gridCol w:w="3119"/>
      </w:tblGrid>
      <w:tr>
        <w:trP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center"/>
            <w:textDirection w:val="lrTb"/>
            <w:noWrap w:val="false"/>
          </w:tcPr>
          <w:p>
            <w:pPr>
              <w:ind w:left="0" w:right="0" w:firstLine="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中标优先顺序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标段名称</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center"/>
            <w:textDirection w:val="lrTb"/>
            <w:noWrap w:val="false"/>
          </w:tcPr>
          <w:p>
            <w:pPr>
              <w:ind w:left="0" w:right="0" w:firstLine="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56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56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center"/>
            <w:textDirection w:val="lrTb"/>
            <w:noWrap w:val="false"/>
          </w:tcPr>
          <w:p>
            <w:pPr>
              <w:ind w:left="0" w:right="0" w:firstLine="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56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56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center"/>
            <w:textDirection w:val="lrTb"/>
            <w:noWrap w:val="false"/>
          </w:tcPr>
          <w:p>
            <w:pPr>
              <w:ind w:left="0" w:right="0" w:firstLine="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56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56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center"/>
            <w:textDirection w:val="lrTb"/>
            <w:noWrap w:val="false"/>
          </w:tcPr>
          <w:p>
            <w:pPr>
              <w:ind w:left="0" w:right="0" w:firstLine="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56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56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center"/>
            <w:textDirection w:val="lrTb"/>
            <w:noWrap w:val="false"/>
          </w:tcPr>
          <w:p>
            <w:pPr>
              <w:ind w:left="0" w:right="0" w:firstLine="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56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560"/>
              <w:jc w:val="center"/>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3720"/>
        <w:jc w:val="both"/>
        <w:spacing w:before="0" w:after="0"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投标人（盖章）：</w:t>
      </w:r>
      <w:r/>
    </w:p>
    <w:p>
      <w:pPr>
        <w:pStyle w:val="945"/>
        <w:rPr>
          <w:highlight w:val="none"/>
        </w:rPr>
      </w:pPr>
      <w:r>
        <w:rPr>
          <w:rFonts w:ascii="宋体" w:hAnsi="宋体" w:eastAsia="宋体" w:cs="宋体"/>
          <w:color w:val="000000"/>
          <w:sz w:val="24"/>
          <w:highlight w:val="none"/>
        </w:rPr>
        <w:t xml:space="preserve">法定代表人或法定代表人授权代表签字或盖章：</w:t>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jc w:val="left"/>
        <w:rPr>
          <w:rFonts w:ascii="黑体" w:eastAsia="黑体"/>
          <w:bCs/>
          <w:sz w:val="28"/>
          <w:szCs w:val="28"/>
          <w:highlight w:val="none"/>
        </w:rPr>
        <w:outlineLvl w:val="0"/>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八</w:t>
      </w:r>
      <w:r>
        <w:rPr>
          <w:rFonts w:hint="eastAsia" w:ascii="黑体" w:hAnsi="宋体" w:eastAsia="黑体"/>
          <w:bCs/>
          <w:sz w:val="24"/>
          <w:szCs w:val="24"/>
          <w:highlight w:val="none"/>
        </w:rPr>
        <w:t xml:space="preserve">）开标一览表（格式）：</w:t>
      </w:r>
      <w:r/>
    </w:p>
    <w:p>
      <w:pPr>
        <w:jc w:val="center"/>
        <w:rPr>
          <w:rFonts w:hint="eastAsia" w:ascii="黑体" w:eastAsia="黑体"/>
          <w:bCs/>
          <w:sz w:val="28"/>
          <w:szCs w:val="28"/>
          <w:highlight w:val="none"/>
        </w:rPr>
        <w:outlineLvl w:val="0"/>
      </w:pPr>
      <w:r>
        <w:rPr>
          <w:rFonts w:hint="eastAsia" w:ascii="黑体" w:eastAsia="黑体"/>
          <w:bCs/>
          <w:sz w:val="28"/>
          <w:szCs w:val="28"/>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开标一览表</w:t>
      </w:r>
      <w:r>
        <w:rPr>
          <w:rFonts w:ascii="黑体" w:eastAsia="黑体"/>
          <w:bCs/>
          <w:sz w:val="28"/>
          <w:szCs w:val="28"/>
          <w:highlight w:val="none"/>
        </w:rPr>
        <w:t xml:space="preserve"> </w:t>
      </w:r>
      <w:r>
        <w:rPr>
          <w:rFonts w:hint="eastAsia" w:ascii="黑体" w:eastAsia="黑体"/>
          <w:bCs/>
          <w:sz w:val="28"/>
          <w:szCs w:val="28"/>
          <w:highlight w:val="none"/>
        </w:rPr>
        <w:t xml:space="preserve">（</w:t>
      </w:r>
      <w:r>
        <w:rPr>
          <w:rFonts w:hint="eastAsia" w:ascii="黑体" w:eastAsia="黑体"/>
          <w:bCs/>
          <w:sz w:val="28"/>
          <w:szCs w:val="28"/>
          <w:highlight w:val="none"/>
          <w:u w:val="single"/>
        </w:rPr>
        <w:t xml:space="preserve">  </w:t>
      </w:r>
      <w:r>
        <w:rPr>
          <w:rFonts w:hint="eastAsia" w:ascii="黑体" w:eastAsia="黑体"/>
          <w:bCs/>
          <w:sz w:val="28"/>
          <w:szCs w:val="28"/>
          <w:highlight w:val="none"/>
          <w:u w:val="single"/>
          <w:lang w:val="en-US" w:eastAsia="zh-CN"/>
        </w:rPr>
        <w:t xml:space="preserve"> </w:t>
      </w:r>
      <w:r>
        <w:rPr>
          <w:rFonts w:hint="eastAsia" w:ascii="黑体" w:eastAsia="黑体"/>
          <w:bCs/>
          <w:sz w:val="28"/>
          <w:szCs w:val="28"/>
          <w:highlight w:val="none"/>
        </w:rPr>
        <w:t xml:space="preserve">标段）</w:t>
      </w:r>
      <w:r/>
    </w:p>
    <w:p>
      <w:pPr>
        <w:spacing w:line="360" w:lineRule="auto"/>
        <w:rPr>
          <w:rFonts w:hint="eastAsia" w:ascii="黑体" w:eastAsia="黑体"/>
          <w:bCs/>
          <w:sz w:val="24"/>
          <w:szCs w:val="24"/>
          <w:highlight w:val="none"/>
        </w:rPr>
      </w:pPr>
      <w:r>
        <w:rPr>
          <w:rFonts w:hint="eastAsia" w:ascii="黑体" w:eastAsia="黑体"/>
          <w:bCs/>
          <w:sz w:val="24"/>
          <w:szCs w:val="24"/>
          <w:highlight w:val="none"/>
        </w:rPr>
      </w:r>
      <w:r/>
    </w:p>
    <w:p>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 xml:space="preserve">投标供应商名称（盖章）</w:t>
      </w:r>
      <w:r>
        <w:rPr>
          <w:rFonts w:ascii="黑体" w:eastAsia="黑体"/>
          <w:bCs/>
          <w:sz w:val="24"/>
          <w:szCs w:val="24"/>
          <w:highlight w:val="none"/>
        </w:rPr>
        <w:t xml:space="preserve">  </w:t>
      </w:r>
      <w:r>
        <w:rPr>
          <w:rFonts w:hint="eastAsia" w:ascii="黑体" w:eastAsia="黑体"/>
          <w:bCs/>
          <w:sz w:val="24"/>
          <w:szCs w:val="24"/>
          <w:highlight w:val="none"/>
        </w:rPr>
        <w:t xml:space="preserve">           </w:t>
      </w:r>
      <w:r>
        <w:rPr>
          <w:rFonts w:ascii="黑体" w:eastAsia="黑体"/>
          <w:bCs/>
          <w:sz w:val="24"/>
          <w:szCs w:val="24"/>
          <w:highlight w:val="none"/>
        </w:rPr>
        <w:t xml:space="preserve"> </w:t>
      </w:r>
      <w:r>
        <w:rPr>
          <w:rFonts w:hint="eastAsia" w:ascii="黑体" w:eastAsia="黑体"/>
          <w:bCs/>
          <w:sz w:val="24"/>
          <w:szCs w:val="24"/>
          <w:highlight w:val="none"/>
        </w:rPr>
        <w:t xml:space="preserve">采购项目编号：</w:t>
      </w:r>
      <w:r>
        <w:rPr>
          <w:rFonts w:hint="eastAsia" w:ascii="黑体" w:eastAsia="黑体"/>
          <w:bCs/>
          <w:sz w:val="24"/>
          <w:szCs w:val="24"/>
          <w:highlight w:val="none"/>
          <w:lang w:eastAsia="zh-CN"/>
        </w:rPr>
        <w:t xml:space="preserve">JSZC-320214-CXLT-G2024-0005</w:t>
      </w:r>
      <w:r/>
    </w:p>
    <w:p>
      <w:pPr>
        <w:spacing w:line="300" w:lineRule="auto"/>
        <w:rPr>
          <w:rFonts w:ascii="宋体" w:hAnsi="宋体" w:cs="宋体"/>
          <w:highlight w:val="none"/>
        </w:rPr>
      </w:pPr>
      <w:r>
        <w:rPr>
          <w:rFonts w:ascii="宋体" w:hAnsi="宋体" w:cs="宋体"/>
          <w:highlight w:val="none"/>
        </w:rPr>
      </w:r>
      <w:r/>
    </w:p>
    <w:tbl>
      <w:tblPr>
        <w:tblStyle w:val="944"/>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3"/>
        <w:gridCol w:w="5774"/>
      </w:tblGrid>
      <w:tr>
        <w:trPr>
          <w:cantSplit/>
          <w:jc w:val="center"/>
          <w:trHeight w:val="1546"/>
        </w:trPr>
        <w:tc>
          <w:tcPr>
            <w:tcW w:w="2913" w:type="dxa"/>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bCs/>
                <w:sz w:val="24"/>
                <w:highlight w:val="none"/>
              </w:rPr>
              <w:t xml:space="preserve">项目名称</w:t>
            </w:r>
            <w:r/>
          </w:p>
        </w:tc>
        <w:tc>
          <w:tcPr>
            <w:tcW w:w="5774" w:type="dxa"/>
            <w:vAlign w:val="center"/>
            <w:textDirection w:val="lrTb"/>
            <w:noWrap w:val="false"/>
          </w:tcPr>
          <w:p>
            <w:pPr>
              <w:pStyle w:val="1155"/>
              <w:spacing w:line="30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鸿山街道2024年-2026年度绿化养护项目</w:t>
            </w:r>
            <w:r/>
          </w:p>
        </w:tc>
      </w:tr>
      <w:tr>
        <w:trPr>
          <w:cantSplit/>
          <w:jc w:val="center"/>
          <w:trHeight w:val="1761"/>
        </w:trPr>
        <w:tc>
          <w:tcPr>
            <w:tcW w:w="2913"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bCs/>
                <w:color w:val="auto"/>
                <w:sz w:val="24"/>
                <w:highlight w:val="none"/>
              </w:rPr>
              <w:t xml:space="preserve">投标</w:t>
            </w:r>
            <w:r>
              <w:rPr>
                <w:rFonts w:hint="eastAsia" w:ascii="宋体" w:hAnsi="宋体"/>
                <w:bCs/>
                <w:color w:val="auto"/>
                <w:sz w:val="24"/>
                <w:highlight w:val="none"/>
                <w:lang w:val="en-US" w:eastAsia="zh-CN"/>
              </w:rPr>
              <w:t xml:space="preserve">总</w:t>
            </w:r>
            <w:r>
              <w:rPr>
                <w:rFonts w:hint="eastAsia" w:ascii="宋体" w:hAnsi="宋体"/>
                <w:bCs/>
                <w:color w:val="auto"/>
                <w:sz w:val="24"/>
                <w:highlight w:val="none"/>
              </w:rPr>
              <w:t xml:space="preserve">报价（元</w:t>
            </w:r>
            <w:r>
              <w:rPr>
                <w:rFonts w:hint="eastAsia" w:ascii="宋体" w:hAnsi="宋体"/>
                <w:bCs/>
                <w:color w:val="auto"/>
                <w:sz w:val="24"/>
                <w:highlight w:val="none"/>
                <w:lang w:val="en-US" w:eastAsia="zh-CN"/>
              </w:rPr>
              <w:t xml:space="preserve">/2年</w:t>
            </w:r>
            <w:r>
              <w:rPr>
                <w:rFonts w:hint="eastAsia" w:ascii="宋体" w:hAnsi="宋体"/>
                <w:bCs/>
                <w:color w:val="auto"/>
                <w:sz w:val="24"/>
                <w:highlight w:val="none"/>
              </w:rPr>
              <w:t xml:space="preserve">）</w:t>
            </w:r>
            <w:r/>
          </w:p>
        </w:tc>
        <w:tc>
          <w:tcPr>
            <w:tcW w:w="5774" w:type="dxa"/>
            <w:vAlign w:val="center"/>
            <w:textDirection w:val="lrTb"/>
            <w:noWrap w:val="false"/>
          </w:tcPr>
          <w:p>
            <w:pPr>
              <w:pStyle w:val="1155"/>
              <w:spacing w:line="30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p>
          <w:p>
            <w:pPr>
              <w:pStyle w:val="1155"/>
              <w:spacing w:line="300" w:lineRule="auto"/>
              <w:rPr>
                <w:rFonts w:ascii="宋体" w:hAnsi="宋体" w:cs="宋体"/>
                <w:color w:val="auto"/>
                <w:sz w:val="24"/>
                <w:szCs w:val="28"/>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p>
        </w:tc>
      </w:tr>
      <w:tr>
        <w:trPr>
          <w:cantSplit/>
          <w:jc w:val="center"/>
          <w:trHeight w:val="1761"/>
        </w:trPr>
        <w:tc>
          <w:tcPr>
            <w:shd w:val="clear" w:color="auto" w:fill="auto"/>
            <w:tcW w:w="2913" w:type="dxa"/>
            <w:vAlign w:val="center"/>
            <w:textDirection w:val="lrTb"/>
            <w:noWrap w:val="false"/>
          </w:tcPr>
          <w:p>
            <w:pPr>
              <w:jc w:val="center"/>
              <w:spacing w:line="400" w:lineRule="exact"/>
              <w:rPr>
                <w:rFonts w:hint="eastAsia" w:ascii="宋体" w:hAnsi="宋体" w:eastAsia="宋体" w:cs="宋体"/>
                <w:color w:val="auto"/>
                <w:sz w:val="24"/>
                <w:highlight w:val="none"/>
                <w:lang w:val="en-US" w:eastAsia="zh-CN" w:bidi="ar-SA"/>
              </w:rPr>
            </w:pPr>
            <w:r>
              <w:rPr>
                <w:rFonts w:hint="eastAsia" w:ascii="宋体" w:hAnsi="宋体"/>
                <w:bCs/>
                <w:color w:val="auto"/>
                <w:sz w:val="24"/>
                <w:highlight w:val="none"/>
              </w:rPr>
              <w:t xml:space="preserve">投标报价（元</w:t>
            </w:r>
            <w:r>
              <w:rPr>
                <w:rFonts w:hint="eastAsia" w:ascii="宋体" w:hAnsi="宋体"/>
                <w:bCs/>
                <w:color w:val="auto"/>
                <w:sz w:val="24"/>
                <w:highlight w:val="none"/>
                <w:lang w:val="en-US" w:eastAsia="zh-CN"/>
              </w:rPr>
              <w:t xml:space="preserve">/年</w:t>
            </w:r>
            <w:r>
              <w:rPr>
                <w:rFonts w:hint="eastAsia" w:ascii="宋体" w:hAnsi="宋体"/>
                <w:bCs/>
                <w:color w:val="auto"/>
                <w:sz w:val="24"/>
                <w:highlight w:val="none"/>
              </w:rPr>
              <w:t xml:space="preserve">）</w:t>
            </w:r>
            <w:r/>
          </w:p>
        </w:tc>
        <w:tc>
          <w:tcPr>
            <w:shd w:val="clear" w:color="auto" w:fill="auto"/>
            <w:tcW w:w="5774" w:type="dxa"/>
            <w:vAlign w:val="center"/>
            <w:textDirection w:val="lrTb"/>
            <w:noWrap w:val="false"/>
          </w:tcPr>
          <w:p>
            <w:pPr>
              <w:pStyle w:val="1155"/>
              <w:spacing w:line="30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p>
          <w:p>
            <w:pPr>
              <w:pStyle w:val="1155"/>
              <w:spacing w:line="300" w:lineRule="auto"/>
              <w:rPr>
                <w:rFonts w:hint="eastAsia" w:ascii="宋体" w:hAnsi="宋体" w:eastAsia="华文中宋" w:cs="宋体"/>
                <w:bCs/>
                <w:color w:val="auto"/>
                <w:sz w:val="24"/>
                <w:szCs w:val="28"/>
                <w:highlight w:val="none"/>
                <w:lang w:val="en-US" w:eastAsia="zh-CN" w:bidi="ar-SA"/>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p>
        </w:tc>
      </w:tr>
      <w:tr>
        <w:trPr>
          <w:cantSplit/>
          <w:jc w:val="center"/>
          <w:trHeight w:val="1496"/>
        </w:trPr>
        <w:tc>
          <w:tcPr>
            <w:tcW w:w="2913" w:type="dxa"/>
            <w:vAlign w:val="center"/>
            <w:textDirection w:val="lrTb"/>
            <w:noWrap w:val="false"/>
          </w:tcPr>
          <w:p>
            <w:pPr>
              <w:jc w:val="center"/>
              <w:spacing w:line="300" w:lineRule="auto"/>
              <w:rPr>
                <w:rFonts w:hint="eastAsia" w:ascii="宋体" w:hAnsi="宋体" w:cs="宋体"/>
                <w:sz w:val="24"/>
                <w:highlight w:val="none"/>
              </w:rPr>
            </w:pPr>
            <w:r>
              <w:rPr>
                <w:rFonts w:hint="eastAsia" w:ascii="宋体" w:hAnsi="宋体" w:cs="宋体"/>
                <w:sz w:val="24"/>
                <w:highlight w:val="none"/>
              </w:rPr>
              <w:t xml:space="preserve">服务期限 </w:t>
            </w:r>
            <w:r/>
          </w:p>
        </w:tc>
        <w:tc>
          <w:tcPr>
            <w:tcW w:w="5774"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r>
        <w:trPr>
          <w:cantSplit/>
          <w:jc w:val="center"/>
          <w:trHeight w:val="1496"/>
        </w:trPr>
        <w:tc>
          <w:tcPr>
            <w:tcW w:w="2913" w:type="dxa"/>
            <w:vAlign w:val="center"/>
            <w:textDirection w:val="lrTb"/>
            <w:noWrap w:val="false"/>
          </w:tcPr>
          <w:p>
            <w:pPr>
              <w:jc w:val="center"/>
              <w:spacing w:line="300" w:lineRule="auto"/>
              <w:rPr>
                <w:rFonts w:hint="eastAsia" w:ascii="宋体" w:hAnsi="宋体" w:cs="宋体"/>
                <w:sz w:val="24"/>
                <w:highlight w:val="none"/>
              </w:rPr>
            </w:pPr>
            <w:r>
              <w:rPr>
                <w:rFonts w:hint="eastAsia" w:hAnsi="宋体"/>
                <w:bCs/>
                <w:sz w:val="24"/>
                <w:szCs w:val="22"/>
                <w:highlight w:val="none"/>
                <w:lang w:val="en-US" w:eastAsia="zh-CN"/>
              </w:rPr>
              <w:t xml:space="preserve">服务</w:t>
            </w:r>
            <w:r>
              <w:rPr>
                <w:rFonts w:hint="eastAsia" w:ascii="宋体" w:hAnsi="宋体"/>
                <w:bCs/>
                <w:sz w:val="24"/>
                <w:szCs w:val="22"/>
                <w:highlight w:val="none"/>
              </w:rPr>
              <w:t xml:space="preserve">标准</w:t>
            </w:r>
            <w:r/>
          </w:p>
        </w:tc>
        <w:tc>
          <w:tcPr>
            <w:tcW w:w="5774"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bl>
    <w:p>
      <w:pPr>
        <w:spacing w:before="5"/>
        <w:rPr>
          <w:rFonts w:hint="eastAsia"/>
          <w:b/>
          <w:bCs/>
          <w:sz w:val="24"/>
          <w:szCs w:val="24"/>
          <w:highlight w:val="none"/>
        </w:rPr>
      </w:pPr>
      <w:r>
        <w:rPr>
          <w:rFonts w:hint="eastAsia"/>
          <w:b/>
          <w:bCs/>
          <w:sz w:val="24"/>
          <w:szCs w:val="24"/>
          <w:highlight w:val="none"/>
        </w:rPr>
      </w:r>
      <w:r/>
    </w:p>
    <w:p>
      <w:pPr>
        <w:spacing w:before="5"/>
        <w:rPr>
          <w:rFonts w:hint="eastAsia"/>
          <w:b/>
          <w:bCs/>
          <w:sz w:val="24"/>
          <w:szCs w:val="24"/>
          <w:highlight w:val="none"/>
        </w:rPr>
      </w:pPr>
      <w:r>
        <w:rPr>
          <w:rFonts w:hint="eastAsia"/>
          <w:b/>
          <w:bCs/>
          <w:sz w:val="24"/>
          <w:szCs w:val="24"/>
          <w:highlight w:val="none"/>
        </w:rPr>
      </w:r>
      <w:r/>
    </w:p>
    <w:p>
      <w:pPr>
        <w:spacing w:before="5"/>
        <w:rPr>
          <w:b/>
          <w:bCs/>
          <w:sz w:val="24"/>
          <w:szCs w:val="24"/>
          <w:highlight w:val="none"/>
        </w:rPr>
      </w:pPr>
      <w:r>
        <w:rPr>
          <w:rFonts w:hint="eastAsia"/>
          <w:b/>
          <w:bCs/>
          <w:sz w:val="24"/>
          <w:szCs w:val="24"/>
          <w:highlight w:val="none"/>
        </w:rPr>
        <w:t xml:space="preserve">法定代表人或法定代表人授权代表签字或盖章：</w:t>
      </w:r>
      <w:r/>
    </w:p>
    <w:p>
      <w:pPr>
        <w:spacing w:line="400" w:lineRule="exact"/>
        <w:rPr>
          <w:rFonts w:ascii="黑体" w:eastAsia="黑体"/>
          <w:bCs/>
          <w:sz w:val="32"/>
          <w:highlight w:val="none"/>
        </w:rPr>
      </w:pPr>
      <w:r>
        <w:rPr>
          <w:rFonts w:ascii="黑体" w:eastAsia="黑体"/>
          <w:bCs/>
          <w:sz w:val="32"/>
          <w:highlight w:val="none"/>
        </w:rPr>
      </w:r>
      <w:r/>
    </w:p>
    <w:p>
      <w:pPr>
        <w:rPr>
          <w:rFonts w:hint="eastAsia" w:ascii="宋体" w:hAnsi="宋体" w:cs="宋体"/>
          <w:sz w:val="24"/>
          <w:highlight w:val="none"/>
        </w:rPr>
      </w:pPr>
      <w:r>
        <w:rPr>
          <w:rFonts w:hint="eastAsia" w:ascii="宋体" w:hAnsi="宋体" w:cs="宋体"/>
          <w:sz w:val="24"/>
          <w:highlight w:val="none"/>
        </w:rPr>
        <w:t xml:space="preserve">填写说明：</w:t>
      </w:r>
      <w:r/>
    </w:p>
    <w:p>
      <w:pPr>
        <w:rPr>
          <w:rFonts w:hint="eastAsia" w:ascii="宋体" w:hAnsi="宋体"/>
          <w:b/>
          <w:sz w:val="24"/>
          <w:highlight w:val="none"/>
        </w:rPr>
      </w:pPr>
      <w:r>
        <w:rPr>
          <w:rFonts w:hint="eastAsia" w:ascii="宋体" w:hAnsi="宋体"/>
          <w:b/>
          <w:sz w:val="24"/>
          <w:highlight w:val="none"/>
        </w:rPr>
        <w:t xml:space="preserve">1、开标一览表中的内容应与响应函内容一致，否则评标时一律按开标一览表中内容为准，开标一览表中必须盖章或签字。</w:t>
      </w:r>
      <w:r/>
    </w:p>
    <w:p>
      <w:pPr>
        <w:rPr>
          <w:rFonts w:hint="eastAsia" w:ascii="黑体" w:hAnsi="宋体" w:eastAsia="黑体"/>
          <w:bCs/>
          <w:sz w:val="24"/>
          <w:szCs w:val="24"/>
          <w:highlight w:val="none"/>
        </w:rPr>
        <w:sectPr>
          <w:headerReference w:type="default" r:id="rId13"/>
          <w:headerReference w:type="first" r:id="rId14"/>
          <w:footerReference w:type="default" r:id="rId20"/>
          <w:footerReference w:type="even" r:id="rId21"/>
          <w:footnotePr/>
          <w:endnotePr/>
          <w:type w:val="continuous"/>
          <w:pgSz w:w="11906" w:h="16838" w:orient="portrait"/>
          <w:pgMar w:top="567" w:right="851" w:bottom="1351" w:left="1134" w:header="624" w:footer="907" w:gutter="0"/>
          <w:cols w:num="1" w:sep="0" w:space="1701" w:equalWidth="1"/>
          <w:docGrid w:linePitch="360"/>
          <w:titlePg/>
        </w:sectPr>
      </w:pPr>
      <w:r>
        <w:rPr>
          <w:rFonts w:hint="eastAsia" w:ascii="黑体" w:hAnsi="宋体" w:eastAsia="黑体"/>
          <w:bCs/>
          <w:sz w:val="24"/>
          <w:szCs w:val="24"/>
          <w:highlight w:val="none"/>
        </w:rPr>
        <w:br w:type="page" w:clear="all"/>
      </w:r>
      <w:r/>
    </w:p>
    <w:p>
      <w:pPr>
        <w:pStyle w:val="945"/>
        <w:rPr>
          <w:rFonts w:hint="eastAsia"/>
          <w:highlight w:val="none"/>
        </w:rPr>
      </w:pPr>
      <w:r>
        <w:rPr>
          <w:rFonts w:hint="eastAsia"/>
          <w:highlight w:val="none"/>
        </w:rPr>
      </w:r>
      <w:r/>
    </w:p>
    <w:p>
      <w:pPr>
        <w:jc w:val="left"/>
        <w:rPr>
          <w:rFonts w:hint="eastAsia" w:ascii="黑体" w:hAnsi="宋体" w:eastAsia="黑体"/>
          <w:bCs/>
          <w:sz w:val="24"/>
          <w:szCs w:val="24"/>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九</w:t>
      </w:r>
      <w:r>
        <w:rPr>
          <w:rFonts w:hint="eastAsia" w:ascii="黑体" w:hAnsi="宋体" w:eastAsia="黑体"/>
          <w:bCs/>
          <w:sz w:val="24"/>
          <w:szCs w:val="24"/>
          <w:highlight w:val="none"/>
        </w:rPr>
        <w:t xml:space="preserve">）投标报价明细表（格式）</w:t>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rPr>
          <w:rFonts w:eastAsia="宋体"/>
          <w:b/>
          <w:bCs/>
          <w:sz w:val="24"/>
          <w:szCs w:val="24"/>
          <w:highlight w:val="none"/>
          <w:lang w:val="en-US" w:eastAsia="zh-CN"/>
        </w:rPr>
      </w:pPr>
      <w:r>
        <w:rPr>
          <w:rFonts w:hint="eastAsia" w:hAnsi="宋体" w:cs="宋体"/>
          <w:bCs/>
          <w:sz w:val="28"/>
          <w:szCs w:val="28"/>
          <w:highlight w:val="none"/>
          <w:lang w:val="en-US" w:eastAsia="zh-CN"/>
        </w:rPr>
        <w:t xml:space="preserve">明细报价表（</w:t>
      </w:r>
      <w:r>
        <w:rPr>
          <w:rFonts w:hint="eastAsia" w:hAnsi="宋体" w:cs="宋体"/>
          <w:bCs/>
          <w:sz w:val="28"/>
          <w:szCs w:val="28"/>
          <w:highlight w:val="none"/>
          <w:u w:val="single"/>
          <w:lang w:val="en-US" w:eastAsia="zh-CN"/>
        </w:rPr>
        <w:t xml:space="preserve">   </w:t>
      </w:r>
      <w:r>
        <w:rPr>
          <w:rFonts w:hint="eastAsia" w:hAnsi="宋体" w:cs="宋体"/>
          <w:bCs/>
          <w:sz w:val="28"/>
          <w:szCs w:val="28"/>
          <w:highlight w:val="none"/>
          <w:lang w:val="en-US" w:eastAsia="zh-CN"/>
        </w:rPr>
        <w:t xml:space="preserve">标段）</w:t>
      </w:r>
      <w:r/>
    </w:p>
    <w:p>
      <w:pP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供应商名称（盖章）                                  </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政府采购编号：</w:t>
      </w:r>
      <w:r/>
    </w:p>
    <w:p>
      <w:pPr>
        <w:ind w:firstLine="482"/>
        <w:keepLines w:val="0"/>
        <w:keepNext w:val="0"/>
        <w:pageBreakBefore w:val="0"/>
        <w:spacing w:line="460" w:lineRule="exact"/>
        <w:widowControl/>
        <w:rPr>
          <w:rFonts w:hint="eastAsia" w:ascii="宋体" w:hAnsi="宋体" w:eastAsia="宋体" w:cs="Tahoma"/>
          <w:b/>
          <w:bCs/>
          <w:sz w:val="24"/>
          <w:szCs w:val="24"/>
          <w:highlight w:val="none"/>
        </w:rPr>
      </w:pPr>
      <w:r>
        <w:rPr>
          <w:rFonts w:hint="eastAsia" w:hAnsi="宋体" w:cs="Tahoma"/>
          <w:b/>
          <w:bCs/>
          <w:sz w:val="24"/>
          <w:szCs w:val="24"/>
          <w:highlight w:val="none"/>
          <w:lang w:val="en-US" w:eastAsia="zh-CN"/>
        </w:rPr>
        <w:t xml:space="preserve">1.</w:t>
      </w:r>
      <w:r>
        <w:rPr>
          <w:rFonts w:hint="eastAsia" w:ascii="宋体" w:hAnsi="宋体" w:eastAsia="宋体" w:cs="Tahoma"/>
          <w:b/>
          <w:bCs/>
          <w:sz w:val="24"/>
          <w:szCs w:val="24"/>
          <w:highlight w:val="none"/>
        </w:rPr>
        <w:t xml:space="preserve">一标段：鸿声片区及新增路段</w:t>
      </w:r>
      <w:r/>
    </w:p>
    <w:tbl>
      <w:tblPr>
        <w:tblStyle w:val="944"/>
        <w:tblW w:w="15603" w:type="dxa"/>
        <w:tblInd w:w="40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8"/>
        <w:gridCol w:w="4405"/>
        <w:gridCol w:w="1114"/>
        <w:gridCol w:w="1472"/>
        <w:gridCol w:w="1260"/>
        <w:gridCol w:w="854"/>
        <w:gridCol w:w="1566"/>
        <w:gridCol w:w="1291"/>
        <w:gridCol w:w="898"/>
        <w:gridCol w:w="2055"/>
      </w:tblGrid>
      <w:tr>
        <w:trPr>
          <w:trHeight w:val="610"/>
        </w:trPr>
        <w:tc>
          <w:tcPr>
            <w:gridSpan w:val="10"/>
            <w:shd w:val="clear" w:color="auto" w:fill="auto"/>
            <w:tcBorders>
              <w:top w:val="single" w:color="000000" w:sz="4" w:space="0"/>
              <w:left w:val="single" w:color="000000" w:sz="4" w:space="0"/>
              <w:bottom w:val="single" w:color="000000" w:sz="4" w:space="0"/>
              <w:right w:val="single" w:color="000000" w:sz="4" w:space="0"/>
            </w:tcBorders>
            <w:tcW w:w="156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一标段：鸿声片区绿化养护</w:t>
            </w:r>
            <w:r/>
          </w:p>
        </w:tc>
      </w:tr>
      <w:tr>
        <w:trPr>
          <w:trHeight w:val="7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养护地段</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养护作业内容</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撒播黑麦草草籽面积（平方米）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鸿泰路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含路段范围内的天堂草+黑麦草、天富道草坪、三叶草/葱兰/酢浆草/麦冬、绿篱（灌木）、阔叶林</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4375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养护标准：三级养护；本项目单价包括承包人承担本承包项目全部内容的实施、完成所需要的所有材料费、设备费、劳务费、管理费、机械费、措施费、利润、税费等所有费用。工程量按实结算。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鸿声老幼儿园道路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鸿声东路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4894.5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2652.4</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鸿山北路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4296.3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2958.3</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鸿声幼儿园</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10119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鸿声菜场东门广场（游园）</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鸿声庙庵桥两侧（含金润华庭游园）</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17673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鸿月路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19938.5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2897</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鸿新路（德育路）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10834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一至路、大木桥、蔡家里</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3413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双水沟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8020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5678</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生态园一期、二期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80279.7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45986</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鸿达路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14837.7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鸿山农业生物展示区</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锡协路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31263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26675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西三房及新农村</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20255.32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5852.78</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鸿运路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46208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鸿山党建游园（瑞金医院北面）</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鸿山颐养院游园（颐养院围墙东侧）</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鸿泰苑小游园绿化工程（实验幼儿园围墙西侧）</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4645.6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七房桥农改房草坪种植工程</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3086.5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飞凤路西侧边分带绿化工程（鸿泰苑围墙</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纬三路）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4842.8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理想湾幼儿园</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鸿山党建游园东侧绿地（瑞金医院北面）</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鸿声睦邻中心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鸿泰苑二期河边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3310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河堰桥边绿地</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306405.92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119996.48</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总计（元</w:t>
            </w:r>
            <w:r>
              <w:rPr>
                <w:rFonts w:hint="eastAsia" w:ascii="宋体" w:hAnsi="宋体" w:cs="宋体"/>
                <w:i w:val="0"/>
                <w:iCs w:val="0"/>
                <w:color w:val="auto"/>
                <w:sz w:val="24"/>
                <w:szCs w:val="24"/>
                <w:highlight w:val="none"/>
                <w:u w:val="none"/>
                <w:lang w:val="en-US" w:eastAsia="zh-CN" w:bidi="ar"/>
              </w:rPr>
              <w:t xml:space="preserve">/年</w:t>
            </w:r>
            <w:r>
              <w:rPr>
                <w:rFonts w:hint="eastAsia" w:ascii="宋体" w:hAnsi="宋体" w:eastAsia="宋体" w:cs="宋体"/>
                <w:i w:val="0"/>
                <w:iCs w:val="0"/>
                <w:color w:val="auto"/>
                <w:sz w:val="24"/>
                <w:szCs w:val="24"/>
                <w:highlight w:val="none"/>
                <w:u w:val="none"/>
                <w:lang w:val="en-US" w:eastAsia="zh-CN" w:bidi="ar"/>
              </w:rPr>
              <w:t xml:space="preserve">）</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051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945"/>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944"/>
        <w:tblW w:w="15330" w:type="dxa"/>
        <w:tblInd w:w="3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1334"/>
        <w:gridCol w:w="1296"/>
        <w:gridCol w:w="960"/>
        <w:gridCol w:w="960"/>
        <w:gridCol w:w="1176"/>
        <w:gridCol w:w="960"/>
        <w:gridCol w:w="960"/>
        <w:gridCol w:w="1176"/>
        <w:gridCol w:w="960"/>
        <w:gridCol w:w="960"/>
        <w:gridCol w:w="960"/>
        <w:gridCol w:w="960"/>
        <w:gridCol w:w="960"/>
        <w:gridCol w:w="1078"/>
      </w:tblGrid>
      <w:tr>
        <w:trPr>
          <w:trHeight w:val="315"/>
        </w:trPr>
        <w:tc>
          <w:tcPr>
            <w:gridSpan w:val="15"/>
            <w:shd w:val="clear" w:color="auto" w:fill="auto"/>
            <w:tcBorders>
              <w:top w:val="single" w:color="000000" w:sz="4" w:space="0"/>
              <w:left w:val="single" w:color="000000" w:sz="4" w:space="0"/>
              <w:bottom w:val="single" w:color="000000" w:sz="4" w:space="0"/>
              <w:right w:val="single" w:color="000000" w:sz="4" w:space="0"/>
            </w:tcBorders>
            <w:tcW w:w="153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一标段：新增路段绿化养护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养护地段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天堂草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籽播黑麦草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绿篱、色块、林带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四季草花</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撒播面积（平方米）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种植面积（平方米）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鸿山北路（锡甘路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张塘桥）</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5091.87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5091.87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养护标准：三级养护；本项目单价包括承包人承担本承包项目全部内容的实施、完成所需要的所有材料费、设备费、劳务费、管理费、机械费、措施费、利润、税费等所有费用。工程量按实结算。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鸿山南路（鸿运路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铝箔厂）</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9924.49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9924.49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1148.56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振发路（金马路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鸿祥路）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15903.49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11351.29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6535.54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振发三路（经一路-空港路）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10562.74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10553.03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3994.11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建鸿路（鸿山路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飞凤路）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6108.48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6108.48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经十一路（振发路-飞凤路）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18457.48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18457.48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266.14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经十南路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9444.32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9444.32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1484.76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经十三路（振发路-鸿运路）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12687.02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12687.02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154.59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鸿声南路（飞凤路-鸿声东路）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2705.96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2705.96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2456.1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132.81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庙安桥</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鸿声医院</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1717.2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1717.2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6868.8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鸿运路与锡梅路交叉口新增</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2145.5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2145.5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919.5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鸿泰苑六区沿街商铺及外围墙绿化</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纬三路（鸿山北路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飞凤路）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7026.5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7026.5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8990.05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104146.05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99584.14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32818.15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132.81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总计（元</w:t>
            </w:r>
            <w:r>
              <w:rPr>
                <w:rFonts w:hint="eastAsia" w:ascii="宋体" w:hAnsi="宋体" w:cs="宋体"/>
                <w:i w:val="0"/>
                <w:iCs w:val="0"/>
                <w:color w:val="auto"/>
                <w:sz w:val="24"/>
                <w:szCs w:val="24"/>
                <w:highlight w:val="none"/>
                <w:u w:val="none"/>
                <w:lang w:val="en-US" w:eastAsia="zh-CN" w:bidi="ar"/>
              </w:rPr>
              <w:t xml:space="preserve">/年</w:t>
            </w:r>
            <w:r>
              <w:rPr>
                <w:rFonts w:hint="eastAsia" w:ascii="宋体" w:hAnsi="宋体" w:eastAsia="宋体" w:cs="宋体"/>
                <w:i w:val="0"/>
                <w:iCs w:val="0"/>
                <w:color w:val="auto"/>
                <w:sz w:val="24"/>
                <w:szCs w:val="24"/>
                <w:highlight w:val="none"/>
                <w:u w:val="none"/>
                <w:lang w:val="en-US" w:eastAsia="zh-CN" w:bidi="ar"/>
              </w:rPr>
              <w:t xml:space="preserve">）</w:t>
            </w:r>
            <w:r/>
          </w:p>
        </w:tc>
        <w:tc>
          <w:tcPr>
            <w:gridSpan w:val="13"/>
            <w:shd w:val="clear" w:color="auto" w:fill="auto"/>
            <w:tcBorders>
              <w:top w:val="single" w:color="000000" w:sz="4" w:space="0"/>
              <w:left w:val="single" w:color="000000" w:sz="4" w:space="0"/>
              <w:bottom w:val="single" w:color="000000" w:sz="4" w:space="0"/>
              <w:right w:val="single" w:color="000000" w:sz="4" w:space="0"/>
            </w:tcBorders>
            <w:tcW w:w="1336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rPr>
          <w:rFonts w:hAnsi="宋体" w:eastAsia="宋体" w:cs="宋体"/>
          <w:b/>
          <w:bCs/>
          <w:sz w:val="21"/>
          <w:szCs w:val="21"/>
          <w:highlight w:val="none"/>
        </w:rPr>
      </w:pPr>
      <w:r>
        <w:rPr>
          <w:rFonts w:hAnsi="宋体" w:eastAsia="宋体" w:cs="宋体"/>
          <w:b/>
          <w:bCs/>
          <w:sz w:val="21"/>
          <w:szCs w:val="21"/>
          <w:highlight w:val="none"/>
        </w:rPr>
      </w:r>
      <w:r/>
    </w:p>
    <w:p>
      <w:pPr>
        <w:ind w:firstLine="632"/>
        <w:rPr>
          <w:rFonts w:hint="eastAsia" w:ascii="宋体" w:hAnsi="宋体" w:cs="宋体"/>
          <w:b/>
          <w:bCs/>
          <w:sz w:val="24"/>
          <w:szCs w:val="24"/>
          <w:highlight w:val="none"/>
          <w:lang w:val="en-US" w:eastAsia="zh-CN"/>
        </w:rPr>
      </w:pPr>
      <w:r>
        <w:rPr>
          <w:rFonts w:hAnsi="宋体" w:eastAsia="宋体" w:cs="宋体"/>
          <w:b/>
          <w:bCs/>
          <w:sz w:val="21"/>
          <w:szCs w:val="21"/>
          <w:highlight w:val="none"/>
        </w:rPr>
        <w:t xml:space="preserve">法定代表人或法定代表人授权代表签字或盖章：</w:t>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br w:type="page" w:clear="all"/>
      </w:r>
      <w:r/>
    </w:p>
    <w:p>
      <w:pPr>
        <w:pStyle w:val="945"/>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2.二标段：</w:t>
      </w:r>
      <w:r>
        <w:rPr>
          <w:rFonts w:hint="eastAsia" w:ascii="宋体" w:hAnsi="宋体" w:eastAsia="宋体" w:cs="宋体"/>
          <w:b/>
          <w:bCs/>
          <w:sz w:val="24"/>
          <w:szCs w:val="24"/>
          <w:highlight w:val="none"/>
        </w:rPr>
        <w:t xml:space="preserve">后宅片区及新增路段</w:t>
      </w:r>
      <w:r/>
    </w:p>
    <w:tbl>
      <w:tblPr>
        <w:tblStyle w:val="944"/>
        <w:tblW w:w="15208" w:type="dxa"/>
        <w:tblInd w:w="4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4005"/>
        <w:gridCol w:w="1285"/>
        <w:gridCol w:w="1296"/>
        <w:gridCol w:w="1237"/>
        <w:gridCol w:w="1240"/>
        <w:gridCol w:w="1296"/>
        <w:gridCol w:w="1370"/>
        <w:gridCol w:w="1373"/>
        <w:gridCol w:w="1371"/>
      </w:tblGrid>
      <w:tr>
        <w:trPr>
          <w:trHeight w:val="800"/>
        </w:trPr>
        <w:tc>
          <w:tcPr>
            <w:gridSpan w:val="10"/>
            <w:shd w:val="clear" w:color="auto" w:fill="auto"/>
            <w:tcBorders>
              <w:top w:val="single" w:color="000000" w:sz="4" w:space="0"/>
              <w:left w:val="single" w:color="000000" w:sz="4" w:space="0"/>
              <w:bottom w:val="single" w:color="000000" w:sz="4" w:space="0"/>
              <w:right w:val="single" w:color="000000" w:sz="4" w:space="0"/>
            </w:tcBorders>
            <w:tcW w:w="152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二标段：后宅片区绿化养护</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养护地段</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养护作业内容</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撒播黑麦草草籽面积（平方米）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鸿运苑幼儿园绿化工程（游园）</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含路段范围内的天堂草+黑麦草、天富道草坪、三叶草/葱兰/酢浆草/麦冬、绿篱（灌木）、阔叶林</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2552.6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613.2</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养护标准：三级养护；本项目单价包括承包人承担本承包项目全部内容的实施、完成所需要的所有材料费、设备费、劳务费、管理费、机械费、措施费、利润、税费等所有费用。工程量按实结算。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鸿山广场路及鸿运苑小区北围墙外</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鸿山广场（游园）</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4899</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2485</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锦鸿路（绿化公司——奶牛场）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17663.7</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2894</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钢材市场绿化工程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2218</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2218</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鸿山镇政府</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3993.29</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3583.29</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鸿福苑二区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鸿祥路</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3187</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2245</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唐明河景观（游园）</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9153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10714</w:t>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鸿山锦苑三周围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4163.9</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1293.9</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一、二、三墓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38339</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18419</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杨家浜经一路及路口</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16921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中心小学大门口及中心小学</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4343.8</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1538</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后宅中学旁边及后面、后宅幼儿园及外墙一圈</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895.5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744.1</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机光电路大力神轧机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5810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5214</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鸿昌路</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5450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2098</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欣鸿路（水岸观邸前）</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上下场、钦刘家湾绿化工程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22202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经三路绿化工程（绿化公司南门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梁鸿路）</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15584</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环鸿东路（绿化公司南门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东塘街村委）</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10836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后坊路（杨家浜-阿胖饭店）</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42905.2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后宅老菜场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后宅影剧院</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双象公园（游园）</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9222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7209</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邮电局路（兴宅路）</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环镇北路（</w:t>
            </w:r>
            <w:r>
              <w:rPr>
                <w:rFonts w:hint="eastAsia" w:ascii="宋体" w:hAnsi="宋体" w:cs="宋体"/>
                <w:i w:val="0"/>
                <w:iCs w:val="0"/>
                <w:color w:val="000000"/>
                <w:sz w:val="24"/>
                <w:szCs w:val="24"/>
                <w:highlight w:val="none"/>
                <w:u w:val="none"/>
                <w:lang w:val="en-US" w:eastAsia="zh-CN" w:bidi="ar"/>
              </w:rPr>
              <w:t xml:space="preserve">鸿山路－梁鸿路</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10464</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8722</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园区地面绿化工程（村建）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3816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邹更上</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东塘街工业园区道路绿化工程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8302.6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8016.4</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太科园安置企业绿化工程（北区）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11450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11450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太科园安置企业绿化工程（南区）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6047</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6047</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锦鸿路鸿山商贸城小游园</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1687.57</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1589.07</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无锡市新区鸿山路（泰伯大道——锦鸿路）景观绿化工程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57598</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44307</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明园西侧绿化景观改造工程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1965.3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1876.6</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鸿昌路绿化工程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3505</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德育路绿化工程（锡宅路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鸿月路）</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10625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葛家桥工业园绿化工程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18365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17535</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五二期安置房小游园绿化景观工程 （游园）</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10451.5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10369</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中通路公共停车场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3811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3569.7</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鸿福路（振发三路-新农路）绿化工程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5328</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5177</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后宅中心幼儿园绿化工程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7721.4</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5369</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寺湾里环境改造工程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5101</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鸿运苑五二期商铺外侧花坛绿化</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美丽河湖集中整治工程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10850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right w:val="single" w:color="000000" w:sz="4" w:space="0"/>
            </w:tcBorders>
            <w:tcW w:w="1285"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416564.86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204228.26</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right w:val="single" w:color="000000" w:sz="4" w:space="0"/>
            </w:tcBorders>
            <w:tcW w:w="137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总计（元</w:t>
            </w:r>
            <w:r>
              <w:rPr>
                <w:rFonts w:hint="eastAsia" w:ascii="宋体" w:hAnsi="宋体" w:cs="宋体"/>
                <w:i w:val="0"/>
                <w:iCs w:val="0"/>
                <w:color w:val="auto"/>
                <w:sz w:val="24"/>
                <w:szCs w:val="24"/>
                <w:highlight w:val="none"/>
                <w:u w:val="none"/>
                <w:lang w:val="en-US" w:eastAsia="zh-CN" w:bidi="ar"/>
              </w:rPr>
              <w:t xml:space="preserve">/年</w:t>
            </w:r>
            <w:r>
              <w:rPr>
                <w:rFonts w:hint="eastAsia" w:ascii="宋体" w:hAnsi="宋体" w:eastAsia="宋体" w:cs="宋体"/>
                <w:i w:val="0"/>
                <w:iCs w:val="0"/>
                <w:color w:val="auto"/>
                <w:sz w:val="24"/>
                <w:szCs w:val="24"/>
                <w:highlight w:val="none"/>
                <w:u w:val="none"/>
                <w:lang w:val="en-US" w:eastAsia="zh-CN" w:bidi="ar"/>
              </w:rPr>
              <w:t xml:space="preserve">）</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0468"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950"/>
        <w:spacing w:line="400" w:lineRule="exact"/>
        <w:widowControl/>
        <w:rPr>
          <w:rFonts w:hAnsi="宋体" w:eastAsia="宋体" w:cs="宋体"/>
          <w:b/>
          <w:bCs/>
          <w:sz w:val="21"/>
          <w:szCs w:val="21"/>
          <w:highlight w:val="none"/>
        </w:rPr>
      </w:pPr>
      <w:r>
        <w:rPr>
          <w:rFonts w:hAnsi="宋体" w:eastAsia="宋体" w:cs="宋体"/>
          <w:b/>
          <w:bCs/>
          <w:sz w:val="21"/>
          <w:szCs w:val="21"/>
          <w:highlight w:val="none"/>
        </w:rPr>
      </w:r>
      <w:r/>
    </w:p>
    <w:p>
      <w:pPr>
        <w:pStyle w:val="950"/>
        <w:spacing w:line="400" w:lineRule="exact"/>
        <w:widowControl/>
        <w:rPr>
          <w:rFonts w:hAnsi="宋体" w:eastAsia="宋体" w:cs="宋体"/>
          <w:b/>
          <w:bCs/>
          <w:sz w:val="21"/>
          <w:szCs w:val="21"/>
          <w:highlight w:val="none"/>
        </w:rPr>
      </w:pPr>
      <w:r>
        <w:rPr>
          <w:rFonts w:hAnsi="宋体" w:eastAsia="宋体" w:cs="宋体"/>
          <w:b/>
          <w:bCs/>
          <w:sz w:val="21"/>
          <w:szCs w:val="21"/>
          <w:highlight w:val="none"/>
        </w:rPr>
      </w:r>
      <w:r/>
    </w:p>
    <w:tbl>
      <w:tblPr>
        <w:tblStyle w:val="944"/>
        <w:tblW w:w="159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5"/>
        <w:gridCol w:w="991"/>
        <w:gridCol w:w="1008"/>
        <w:gridCol w:w="679"/>
        <w:gridCol w:w="911"/>
        <w:gridCol w:w="795"/>
        <w:gridCol w:w="679"/>
        <w:gridCol w:w="911"/>
        <w:gridCol w:w="1080"/>
        <w:gridCol w:w="679"/>
        <w:gridCol w:w="911"/>
        <w:gridCol w:w="911"/>
        <w:gridCol w:w="679"/>
        <w:gridCol w:w="911"/>
        <w:gridCol w:w="679"/>
        <w:gridCol w:w="696"/>
        <w:gridCol w:w="936"/>
        <w:gridCol w:w="1755"/>
      </w:tblGrid>
      <w:tr>
        <w:trPr>
          <w:trHeight w:val="755"/>
        </w:trPr>
        <w:tc>
          <w:tcPr>
            <w:gridSpan w:val="18"/>
            <w:shd w:val="clear" w:color="auto" w:fill="auto"/>
            <w:tcBorders>
              <w:top w:val="single" w:color="000000" w:sz="4" w:space="0"/>
              <w:left w:val="single" w:color="000000" w:sz="4" w:space="0"/>
              <w:bottom w:val="single" w:color="000000" w:sz="4" w:space="0"/>
              <w:right w:val="single" w:color="000000" w:sz="4" w:space="0"/>
            </w:tcBorders>
            <w:tcW w:w="1599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二标段：新增路段绿化养护</w:t>
            </w:r>
            <w:r/>
          </w:p>
        </w:tc>
      </w:tr>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养护地段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天堂草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籽播黑麦草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绿篱、色块、林带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草花籽播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四季草花</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1839"/>
        </w:trPr>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撒播面积（平方米）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养护面积（平方米）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种植面积（平方米）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种植面积（平方米）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单价（元/平方米/年）</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83"/>
        </w:trPr>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沈家桥浜</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81337.1</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81337</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11896.05</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3856.7</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养护标准：三级养护；本项目单价包括承包人承担本承包项目全部内容的实施、完成所需要的所有材料费、设备费、劳务费、管理费、机械费、措施费、利润、税费等所有费用。工程量按实结算。</w:t>
            </w:r>
            <w:r/>
          </w:p>
        </w:tc>
      </w:tr>
      <w:tr>
        <w:trPr>
          <w:trHeight w:val="583"/>
        </w:trPr>
        <w:tc>
          <w:tcPr>
            <w:gridSpan w:val="2"/>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non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81337.1</w:t>
            </w:r>
            <w:r/>
          </w:p>
        </w:tc>
        <w:tc>
          <w:tcPr>
            <w:shd w:val="clear" w:color="auto" w:fill="auto"/>
            <w:tcBorders>
              <w:top w:val="single" w:color="000000" w:sz="4" w:space="0"/>
              <w:left w:val="single" w:color="000000" w:sz="4" w:space="0"/>
              <w:bottom w:val="non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81337</w:t>
            </w:r>
            <w:r/>
          </w:p>
        </w:tc>
        <w:tc>
          <w:tcPr>
            <w:shd w:val="clear" w:color="auto" w:fill="auto"/>
            <w:tcBorders>
              <w:top w:val="single" w:color="000000" w:sz="4" w:space="0"/>
              <w:left w:val="single" w:color="000000" w:sz="4" w:space="0"/>
              <w:bottom w:val="non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11896.05</w:t>
            </w:r>
            <w:r/>
          </w:p>
        </w:tc>
        <w:tc>
          <w:tcPr>
            <w:shd w:val="clear" w:color="auto" w:fill="auto"/>
            <w:tcBorders>
              <w:top w:val="single" w:color="000000" w:sz="4" w:space="0"/>
              <w:left w:val="single" w:color="000000" w:sz="4" w:space="0"/>
              <w:bottom w:val="non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3856.7</w:t>
            </w:r>
            <w:r/>
          </w:p>
        </w:tc>
        <w:tc>
          <w:tcPr>
            <w:shd w:val="clear" w:color="auto" w:fill="auto"/>
            <w:tcBorders>
              <w:top w:val="single" w:color="000000" w:sz="4" w:space="0"/>
              <w:left w:val="single" w:color="000000" w:sz="4" w:space="0"/>
              <w:bottom w:val="non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non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936"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755"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总计（元</w:t>
            </w:r>
            <w:r>
              <w:rPr>
                <w:rFonts w:hint="eastAsia" w:ascii="宋体" w:hAnsi="宋体" w:cs="宋体"/>
                <w:i w:val="0"/>
                <w:iCs w:val="0"/>
                <w:color w:val="auto"/>
                <w:sz w:val="24"/>
                <w:szCs w:val="24"/>
                <w:highlight w:val="none"/>
                <w:u w:val="none"/>
                <w:lang w:val="en-US" w:eastAsia="zh-CN" w:bidi="ar"/>
              </w:rPr>
              <w:t xml:space="preserve">/年</w:t>
            </w:r>
            <w:r>
              <w:rPr>
                <w:rFonts w:hint="eastAsia" w:ascii="宋体" w:hAnsi="宋体" w:eastAsia="宋体" w:cs="宋体"/>
                <w:i w:val="0"/>
                <w:iCs w:val="0"/>
                <w:color w:val="auto"/>
                <w:sz w:val="24"/>
                <w:szCs w:val="24"/>
                <w:highlight w:val="none"/>
                <w:u w:val="none"/>
                <w:lang w:val="en-US" w:eastAsia="zh-CN" w:bidi="ar"/>
              </w:rPr>
              <w:t xml:space="preserve">）</w:t>
            </w:r>
            <w:r/>
          </w:p>
        </w:tc>
        <w:tc>
          <w:tcPr>
            <w:gridSpan w:val="16"/>
            <w:shd w:val="clear" w:color="auto" w:fill="auto"/>
            <w:tcBorders>
              <w:top w:val="single" w:color="000000" w:sz="4" w:space="0"/>
              <w:left w:val="single" w:color="000000" w:sz="4" w:space="0"/>
              <w:bottom w:val="single" w:color="000000" w:sz="4" w:space="0"/>
              <w:right w:val="single" w:color="000000" w:sz="4" w:space="0"/>
            </w:tcBorders>
            <w:tcW w:w="142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950"/>
        <w:ind w:firstLine="632"/>
        <w:spacing w:line="400" w:lineRule="exact"/>
        <w:widowControl/>
        <w:rPr>
          <w:rFonts w:hAnsi="宋体" w:eastAsia="宋体" w:cs="宋体"/>
          <w:b/>
          <w:bCs/>
          <w:sz w:val="21"/>
          <w:szCs w:val="21"/>
          <w:highlight w:val="none"/>
        </w:rPr>
      </w:pPr>
      <w:r>
        <w:rPr>
          <w:rFonts w:hAnsi="宋体" w:eastAsia="宋体" w:cs="宋体"/>
          <w:b/>
          <w:bCs/>
          <w:sz w:val="21"/>
          <w:szCs w:val="21"/>
          <w:highlight w:val="none"/>
        </w:rPr>
        <w:t xml:space="preserve">法定代表人或法定代表人授权代表签字或盖章：</w:t>
      </w:r>
      <w:r/>
    </w:p>
    <w:p>
      <w:pPr>
        <w:ind w:firstLine="720"/>
        <w:spacing w:line="40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注：1）根据所投标段进行报价。</w:t>
      </w:r>
      <w:r/>
    </w:p>
    <w:p>
      <w:pPr>
        <w:ind w:firstLine="72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报价人应当根据“</w:t>
      </w:r>
      <w:r>
        <w:rPr>
          <w:rFonts w:hint="eastAsia" w:ascii="宋体" w:hAnsi="宋体" w:eastAsia="宋体" w:cs="宋体"/>
          <w:bCs/>
          <w:sz w:val="24"/>
          <w:szCs w:val="24"/>
          <w:highlight w:val="none"/>
          <w:lang w:val="en-US" w:eastAsia="zh-CN"/>
        </w:rPr>
        <w:t xml:space="preserve">项目技术要求和有关说明</w:t>
      </w:r>
      <w:r>
        <w:rPr>
          <w:rFonts w:hint="eastAsia" w:ascii="宋体" w:hAnsi="宋体" w:eastAsia="宋体" w:cs="宋体"/>
          <w:bCs/>
          <w:sz w:val="24"/>
          <w:szCs w:val="24"/>
          <w:highlight w:val="none"/>
        </w:rPr>
        <w:t xml:space="preserve">”的内容在上表中详细填写；</w:t>
      </w:r>
      <w:r/>
    </w:p>
    <w:p>
      <w:pPr>
        <w:ind w:firstLine="720"/>
        <w:jc w:val="left"/>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表格不够可自行延长。</w:t>
      </w:r>
      <w:r/>
    </w:p>
    <w:p>
      <w:pPr>
        <w:pStyle w:val="94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560"/>
        <w:jc w:val="center"/>
        <w:rPr>
          <w:rFonts w:hint="eastAsia" w:ascii="黑体" w:hAnsi="Calibri" w:eastAsia="黑体" w:cs="Times New Roman"/>
          <w:bCs/>
          <w:sz w:val="28"/>
          <w:szCs w:val="28"/>
        </w:rPr>
        <w:outlineLvl w:val="0"/>
      </w:pPr>
      <w:r>
        <w:rPr>
          <w:rFonts w:hint="eastAsia" w:ascii="黑体" w:hAnsi="Calibri" w:eastAsia="黑体" w:cs="Times New Roman"/>
          <w:bCs/>
          <w:sz w:val="28"/>
          <w:szCs w:val="28"/>
        </w:rPr>
      </w:r>
      <w:r/>
    </w:p>
    <w:p>
      <w:pPr>
        <w:ind w:firstLine="560"/>
        <w:jc w:val="center"/>
        <w:rPr>
          <w:rFonts w:hint="eastAsia" w:ascii="黑体" w:hAnsi="Calibri" w:eastAsia="黑体" w:cs="Times New Roman"/>
          <w:bCs/>
          <w:sz w:val="28"/>
          <w:szCs w:val="28"/>
        </w:rPr>
        <w:outlineLvl w:val="0"/>
      </w:pPr>
      <w:r>
        <w:rPr>
          <w:rFonts w:hint="eastAsia" w:ascii="黑体" w:hAnsi="Calibri" w:eastAsia="黑体" w:cs="Times New Roman"/>
          <w:bCs/>
          <w:sz w:val="28"/>
          <w:szCs w:val="28"/>
        </w:rPr>
      </w:r>
      <w:r/>
    </w:p>
    <w:p>
      <w:pPr>
        <w:ind w:firstLine="560"/>
        <w:jc w:val="center"/>
        <w:rPr>
          <w:rFonts w:hint="eastAsia" w:ascii="黑体" w:hAnsi="Calibri" w:eastAsia="黑体" w:cs="Times New Roman"/>
          <w:bCs/>
          <w:sz w:val="28"/>
          <w:szCs w:val="28"/>
        </w:rPr>
        <w:outlineLvl w:val="0"/>
      </w:pPr>
      <w:r>
        <w:rPr>
          <w:rFonts w:hint="eastAsia" w:ascii="黑体" w:hAnsi="Calibri" w:eastAsia="黑体" w:cs="Times New Roman"/>
          <w:bCs/>
          <w:sz w:val="28"/>
          <w:szCs w:val="28"/>
        </w:rPr>
        <w:t xml:space="preserve">报价合理性分析表（格式）</w:t>
      </w:r>
      <w:r/>
    </w:p>
    <w:p>
      <w:pPr>
        <w:ind w:left="480" w:firstLine="0"/>
        <w:rPr>
          <w:rFonts w:ascii="Calibri" w:hAnsi="Calibri" w:eastAsia="宋体" w:cs="Times New Roman"/>
          <w:sz w:val="24"/>
        </w:rPr>
      </w:pPr>
      <w:r>
        <w:rPr>
          <w:rFonts w:ascii="Calibri" w:hAnsi="Calibri" w:eastAsia="宋体" w:cs="Times New Roman"/>
          <w:sz w:val="24"/>
        </w:rPr>
      </w:r>
      <w:r/>
    </w:p>
    <w:tbl>
      <w:tblPr>
        <w:tblStyle w:val="944"/>
        <w:tblW w:w="0" w:type="auto"/>
        <w:tblInd w:w="2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958"/>
        <w:gridCol w:w="1132"/>
        <w:gridCol w:w="1276"/>
        <w:gridCol w:w="869"/>
        <w:gridCol w:w="5415"/>
      </w:tblGrid>
      <w:tr>
        <w:trPr/>
        <w:tc>
          <w:tcPr>
            <w:tcW w:w="735" w:type="dxa"/>
            <w:vAlign w:val="top"/>
            <w:textDirection w:val="lrTb"/>
            <w:noWrap w:val="false"/>
          </w:tcPr>
          <w:p>
            <w:pPr>
              <w:ind w:firstLine="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序号</w:t>
            </w:r>
            <w:r/>
          </w:p>
        </w:tc>
        <w:tc>
          <w:tcPr>
            <w:tcW w:w="1958" w:type="dxa"/>
            <w:vAlign w:val="top"/>
            <w:textDirection w:val="lrTb"/>
            <w:noWrap w:val="false"/>
          </w:tcPr>
          <w:p>
            <w:pPr>
              <w:ind w:firstLine="42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内容</w:t>
            </w:r>
            <w:r/>
          </w:p>
        </w:tc>
        <w:tc>
          <w:tcPr>
            <w:tcW w:w="1132" w:type="dxa"/>
            <w:vAlign w:val="top"/>
            <w:textDirection w:val="lrTb"/>
            <w:noWrap w:val="false"/>
          </w:tcPr>
          <w:p>
            <w:pPr>
              <w:ind w:firstLine="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投入数量</w:t>
            </w:r>
            <w:r/>
          </w:p>
        </w:tc>
        <w:tc>
          <w:tcPr>
            <w:tcW w:w="1276" w:type="dxa"/>
            <w:vAlign w:val="top"/>
            <w:textDirection w:val="lrTb"/>
            <w:noWrap w:val="false"/>
          </w:tcPr>
          <w:p>
            <w:pPr>
              <w:ind w:firstLine="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人工工资</w:t>
            </w:r>
            <w:r/>
          </w:p>
        </w:tc>
        <w:tc>
          <w:tcPr>
            <w:tcW w:w="869" w:type="dxa"/>
            <w:vAlign w:val="top"/>
            <w:textDirection w:val="lrTb"/>
            <w:noWrap w:val="false"/>
          </w:tcPr>
          <w:p>
            <w:pPr>
              <w:ind w:firstLine="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合价</w:t>
            </w:r>
            <w:r/>
          </w:p>
        </w:tc>
        <w:tc>
          <w:tcPr>
            <w:tcW w:w="5415" w:type="dxa"/>
            <w:vAlign w:val="top"/>
            <w:textDirection w:val="lrTb"/>
            <w:noWrap w:val="false"/>
          </w:tcPr>
          <w:p>
            <w:pPr>
              <w:ind w:firstLine="420"/>
              <w:jc w:val="center"/>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备注</w:t>
            </w:r>
            <w:r/>
          </w:p>
        </w:tc>
      </w:tr>
      <w:tr>
        <w:trPr/>
        <w:tc>
          <w:tcPr>
            <w:tcW w:w="735" w:type="dxa"/>
            <w:vAlign w:val="top"/>
            <w:textDirection w:val="lrTb"/>
            <w:noWrap w:val="false"/>
          </w:tcPr>
          <w:p>
            <w:pPr>
              <w:ind w:firstLine="210"/>
              <w:jc w:val="left"/>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1</w:t>
            </w:r>
            <w:r/>
          </w:p>
        </w:tc>
        <w:tc>
          <w:tcPr>
            <w:tcW w:w="1958" w:type="dxa"/>
            <w:vAlign w:val="top"/>
            <w:textDirection w:val="lrTb"/>
            <w:noWrap w:val="false"/>
          </w:tcPr>
          <w:p>
            <w:pPr>
              <w:ind w:firstLine="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一、养护作业人员</w:t>
            </w:r>
            <w:r/>
          </w:p>
        </w:tc>
        <w:tc>
          <w:tcPr>
            <w:tcW w:w="1132" w:type="dxa"/>
            <w:vAlign w:val="top"/>
            <w:textDirection w:val="lrTb"/>
            <w:noWrap w:val="false"/>
          </w:tcPr>
          <w:p>
            <w:pPr>
              <w:ind w:firstLine="420"/>
              <w:jc w:val="center"/>
              <w:keepLines w:val="0"/>
              <w:keepNext w:val="0"/>
              <w:pageBreakBefore w:val="0"/>
              <w:spacing w:line="440" w:lineRule="exact"/>
              <w:widowControl w:val="off"/>
              <w:rPr>
                <w:rFonts w:ascii="宋体" w:hAnsi="宋体" w:eastAsia="宋体" w:cs="Times New Roman"/>
                <w:sz w:val="21"/>
                <w:szCs w:val="21"/>
              </w:rPr>
            </w:pPr>
            <w:r>
              <w:rPr>
                <w:rFonts w:ascii="宋体" w:hAnsi="宋体" w:eastAsia="宋体" w:cs="Times New Roman"/>
                <w:sz w:val="21"/>
                <w:szCs w:val="21"/>
              </w:rPr>
            </w:r>
            <w:r/>
          </w:p>
        </w:tc>
        <w:tc>
          <w:tcPr>
            <w:tcW w:w="1276" w:type="dxa"/>
            <w:vAlign w:val="top"/>
            <w:textDirection w:val="lrTb"/>
            <w:noWrap w:val="false"/>
          </w:tcPr>
          <w:p>
            <w:pPr>
              <w:ind w:firstLine="420"/>
              <w:jc w:val="center"/>
              <w:keepLines w:val="0"/>
              <w:keepNext w:val="0"/>
              <w:pageBreakBefore w:val="0"/>
              <w:spacing w:line="440" w:lineRule="exact"/>
              <w:widowControl w:val="off"/>
              <w:rPr>
                <w:rFonts w:ascii="宋体" w:hAnsi="宋体" w:eastAsia="宋体" w:cs="Times New Roman"/>
                <w:sz w:val="21"/>
                <w:szCs w:val="21"/>
              </w:rPr>
            </w:pPr>
            <w:r>
              <w:rPr>
                <w:rFonts w:ascii="宋体" w:hAnsi="宋体" w:eastAsia="宋体" w:cs="Times New Roman"/>
                <w:sz w:val="21"/>
                <w:szCs w:val="21"/>
              </w:rPr>
            </w:r>
            <w:r/>
          </w:p>
        </w:tc>
        <w:tc>
          <w:tcPr>
            <w:tcW w:w="869" w:type="dxa"/>
            <w:vAlign w:val="top"/>
            <w:textDirection w:val="lrTb"/>
            <w:noWrap w:val="false"/>
          </w:tcPr>
          <w:p>
            <w:pPr>
              <w:ind w:firstLine="420"/>
              <w:jc w:val="center"/>
              <w:keepLines w:val="0"/>
              <w:keepNext w:val="0"/>
              <w:pageBreakBefore w:val="0"/>
              <w:spacing w:line="440" w:lineRule="exact"/>
              <w:widowControl w:val="off"/>
              <w:rPr>
                <w:rFonts w:ascii="宋体" w:hAnsi="宋体" w:eastAsia="宋体" w:cs="Times New Roman"/>
                <w:sz w:val="21"/>
                <w:szCs w:val="21"/>
              </w:rPr>
            </w:pPr>
            <w:r>
              <w:rPr>
                <w:rFonts w:ascii="宋体" w:hAnsi="宋体" w:eastAsia="宋体" w:cs="Times New Roman"/>
                <w:sz w:val="21"/>
                <w:szCs w:val="21"/>
              </w:rPr>
            </w:r>
            <w:r/>
          </w:p>
        </w:tc>
        <w:tc>
          <w:tcPr>
            <w:tcW w:w="5415" w:type="dxa"/>
            <w:vAlign w:val="top"/>
            <w:textDirection w:val="lrTb"/>
            <w:noWrap w:val="false"/>
          </w:tcPr>
          <w:p>
            <w:pPr>
              <w:ind w:firstLine="0"/>
              <w:jc w:val="left"/>
              <w:keepLines w:val="0"/>
              <w:keepNext w:val="0"/>
              <w:pageBreakBefore w:val="0"/>
              <w:spacing w:line="440" w:lineRule="exact"/>
              <w:widowControl w:val="off"/>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1.养护作业人员投入数量以项目管理机构配备情况表为准（含项目负责人），不得低于</w:t>
            </w:r>
            <w:r>
              <w:rPr>
                <w:rFonts w:hint="eastAsia" w:hAnsi="宋体" w:cs="Times New Roman"/>
                <w:sz w:val="21"/>
                <w:szCs w:val="21"/>
                <w:lang w:val="en-US" w:eastAsia="zh-CN"/>
              </w:rPr>
              <w:t xml:space="preserve">“三、项目技术要求和有关说明”《作业设备配置要求》表中</w:t>
            </w:r>
            <w:r>
              <w:rPr>
                <w:rFonts w:hint="eastAsia" w:ascii="宋体" w:hAnsi="宋体" w:eastAsia="宋体" w:cs="Times New Roman"/>
                <w:sz w:val="21"/>
                <w:szCs w:val="21"/>
              </w:rPr>
              <w:t xml:space="preserve">最低作业人员配置要求</w:t>
            </w:r>
            <w:r>
              <w:rPr>
                <w:rFonts w:hint="eastAsia" w:hAnsi="宋体" w:cs="Times New Roman"/>
                <w:sz w:val="21"/>
                <w:szCs w:val="21"/>
                <w:lang w:eastAsia="zh-CN"/>
              </w:rPr>
              <w:t xml:space="preserve">。</w:t>
            </w:r>
            <w:r/>
          </w:p>
          <w:p>
            <w:pPr>
              <w:ind w:firstLine="0"/>
              <w:keepLines w:val="0"/>
              <w:keepNext w:val="0"/>
              <w:pageBreakBefore w:val="0"/>
              <w:spacing w:line="440" w:lineRule="exact"/>
              <w:widowControl w:val="off"/>
              <w:rPr>
                <w:rFonts w:hint="eastAsia" w:ascii="宋体" w:hAnsi="宋体" w:eastAsia="宋体" w:cs="Times New Roman"/>
                <w:b/>
                <w:sz w:val="21"/>
                <w:szCs w:val="21"/>
                <w:lang w:eastAsia="zh-CN"/>
              </w:rPr>
            </w:pPr>
            <w:r>
              <w:rPr>
                <w:rFonts w:hint="eastAsia" w:ascii="宋体" w:hAnsi="宋体" w:eastAsia="宋体" w:cs="Times New Roman"/>
                <w:b/>
                <w:sz w:val="21"/>
                <w:szCs w:val="21"/>
              </w:rPr>
              <w:t xml:space="preserve">2.人工工资不得低于无锡市最低工资标准</w:t>
            </w:r>
            <w:r>
              <w:rPr>
                <w:rFonts w:hint="eastAsia" w:hAnsi="宋体" w:cs="Times New Roman"/>
                <w:b/>
                <w:sz w:val="21"/>
                <w:szCs w:val="21"/>
                <w:lang w:eastAsia="zh-CN"/>
              </w:rPr>
              <w:t xml:space="preserve">。</w:t>
            </w:r>
            <w:r/>
          </w:p>
        </w:tc>
      </w:tr>
      <w:tr>
        <w:trPr/>
        <w:tc>
          <w:tcPr>
            <w:tcW w:w="735" w:type="dxa"/>
            <w:vAlign w:val="top"/>
            <w:textDirection w:val="lrTb"/>
            <w:noWrap w:val="false"/>
          </w:tcPr>
          <w:p>
            <w:pPr>
              <w:ind w:firstLine="174"/>
              <w:jc w:val="left"/>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p>
        </w:tc>
        <w:tc>
          <w:tcPr>
            <w:tcW w:w="1958" w:type="dxa"/>
            <w:vAlign w:val="top"/>
            <w:textDirection w:val="lrTb"/>
            <w:noWrap w:val="false"/>
          </w:tcPr>
          <w:p>
            <w:pPr>
              <w:ind w:firstLine="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二、投标总价</w:t>
            </w:r>
            <w:r/>
          </w:p>
        </w:tc>
        <w:tc>
          <w:tcPr>
            <w:gridSpan w:val="3"/>
            <w:tcW w:w="3277" w:type="dxa"/>
            <w:vAlign w:val="top"/>
            <w:textDirection w:val="lrTb"/>
            <w:noWrap w:val="false"/>
          </w:tcPr>
          <w:p>
            <w:pPr>
              <w:ind w:firstLine="420"/>
              <w:jc w:val="center"/>
              <w:keepLines w:val="0"/>
              <w:keepNext w:val="0"/>
              <w:pageBreakBefore w:val="0"/>
              <w:spacing w:line="440" w:lineRule="exact"/>
              <w:widowControl w:val="off"/>
              <w:rPr>
                <w:rFonts w:ascii="宋体" w:hAnsi="宋体" w:eastAsia="宋体" w:cs="Times New Roman"/>
                <w:sz w:val="21"/>
                <w:szCs w:val="21"/>
              </w:rPr>
            </w:pPr>
            <w:r>
              <w:rPr>
                <w:rFonts w:ascii="宋体" w:hAnsi="宋体" w:eastAsia="宋体" w:cs="Times New Roman"/>
                <w:sz w:val="21"/>
                <w:szCs w:val="21"/>
              </w:rPr>
            </w:r>
            <w:r/>
          </w:p>
        </w:tc>
        <w:tc>
          <w:tcPr>
            <w:tcW w:w="5415" w:type="dxa"/>
            <w:vAlign w:val="top"/>
            <w:textDirection w:val="lrTb"/>
            <w:noWrap w:val="false"/>
          </w:tcPr>
          <w:p>
            <w:pPr>
              <w:ind w:firstLine="42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与</w:t>
            </w:r>
            <w:r>
              <w:rPr>
                <w:rFonts w:hint="eastAsia" w:hAnsi="宋体" w:cs="Times New Roman"/>
                <w:sz w:val="21"/>
                <w:szCs w:val="21"/>
                <w:lang w:val="en-US" w:eastAsia="zh-CN"/>
              </w:rPr>
              <w:t xml:space="preserve">开标一览表中</w:t>
            </w:r>
            <w:r>
              <w:rPr>
                <w:rFonts w:hint="eastAsia" w:ascii="宋体" w:hAnsi="宋体" w:eastAsia="宋体" w:cs="Times New Roman"/>
                <w:sz w:val="21"/>
                <w:szCs w:val="21"/>
              </w:rPr>
              <w:t xml:space="preserve">内容一致</w:t>
            </w:r>
            <w:r/>
          </w:p>
        </w:tc>
      </w:tr>
      <w:tr>
        <w:trPr/>
        <w:tc>
          <w:tcPr>
            <w:tcW w:w="735" w:type="dxa"/>
            <w:vAlign w:val="top"/>
            <w:textDirection w:val="lrTb"/>
            <w:noWrap w:val="false"/>
          </w:tcPr>
          <w:p>
            <w:pPr>
              <w:ind w:firstLine="174"/>
              <w:jc w:val="left"/>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p>
        </w:tc>
        <w:tc>
          <w:tcPr>
            <w:tcW w:w="1958" w:type="dxa"/>
            <w:vAlign w:val="top"/>
            <w:textDirection w:val="lrTb"/>
            <w:noWrap w:val="false"/>
          </w:tcPr>
          <w:p>
            <w:pPr>
              <w:ind w:firstLine="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人工费占比</w:t>
            </w:r>
            <w:r/>
          </w:p>
        </w:tc>
        <w:tc>
          <w:tcPr>
            <w:gridSpan w:val="3"/>
            <w:tcW w:w="3277" w:type="dxa"/>
            <w:vAlign w:val="top"/>
            <w:textDirection w:val="lrTb"/>
            <w:noWrap w:val="false"/>
          </w:tcPr>
          <w:p>
            <w:pPr>
              <w:ind w:firstLine="420"/>
              <w:jc w:val="center"/>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w:t>
            </w:r>
            <w:r/>
          </w:p>
        </w:tc>
        <w:tc>
          <w:tcPr>
            <w:tcW w:w="5415" w:type="dxa"/>
            <w:vAlign w:val="top"/>
            <w:textDirection w:val="lrTb"/>
            <w:noWrap w:val="false"/>
          </w:tcPr>
          <w:p>
            <w:pPr>
              <w:ind w:firstLine="42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养护作业人员合价/投标总价</w:t>
            </w:r>
            <w:r/>
          </w:p>
        </w:tc>
      </w:tr>
      <w:tr>
        <w:trPr/>
        <w:tc>
          <w:tcPr>
            <w:tcW w:w="735" w:type="dxa"/>
            <w:vAlign w:val="top"/>
            <w:textDirection w:val="lrTb"/>
            <w:noWrap w:val="false"/>
          </w:tcPr>
          <w:p>
            <w:pPr>
              <w:ind w:firstLine="174"/>
              <w:jc w:val="left"/>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4</w:t>
            </w:r>
            <w:r/>
          </w:p>
        </w:tc>
        <w:tc>
          <w:tcPr>
            <w:tcW w:w="1958" w:type="dxa"/>
            <w:vAlign w:val="top"/>
            <w:textDirection w:val="lrTb"/>
            <w:noWrap w:val="false"/>
          </w:tcPr>
          <w:p>
            <w:pPr>
              <w:ind w:firstLine="0"/>
              <w:keepLines w:val="0"/>
              <w:keepNext w:val="0"/>
              <w:pageBreakBefore w:val="0"/>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人工费占比标准</w:t>
            </w:r>
            <w:r/>
          </w:p>
        </w:tc>
        <w:tc>
          <w:tcPr>
            <w:gridSpan w:val="3"/>
            <w:tcW w:w="3277" w:type="dxa"/>
            <w:vAlign w:val="top"/>
            <w:textDirection w:val="lrTb"/>
            <w:noWrap w:val="false"/>
          </w:tcPr>
          <w:p>
            <w:pPr>
              <w:ind w:firstLine="420"/>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cs="Times New Roman"/>
                <w:sz w:val="21"/>
                <w:szCs w:val="21"/>
                <w:lang w:val="en-US" w:eastAsia="zh-CN"/>
              </w:rPr>
              <w:t xml:space="preserve">一标段：</w:t>
            </w:r>
            <w:r>
              <w:rPr>
                <w:rFonts w:hint="eastAsia" w:ascii="宋体" w:hAnsi="宋体" w:eastAsia="宋体" w:cs="Times New Roman"/>
                <w:sz w:val="21"/>
                <w:szCs w:val="21"/>
              </w:rPr>
              <w:t xml:space="preserve">24.34%</w:t>
            </w:r>
            <w:r/>
          </w:p>
          <w:p>
            <w:pPr>
              <w:ind w:firstLine="420"/>
              <w:jc w:val="center"/>
              <w:keepLines w:val="0"/>
              <w:keepNext w:val="0"/>
              <w:pageBreakBefore w:val="0"/>
              <w:spacing w:line="44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二标段：23.24%</w:t>
            </w:r>
            <w:r/>
          </w:p>
        </w:tc>
        <w:tc>
          <w:tcPr>
            <w:tcW w:w="5415" w:type="dxa"/>
            <w:vAlign w:val="top"/>
            <w:textDirection w:val="lrTb"/>
            <w:noWrap w:val="false"/>
          </w:tcPr>
          <w:p>
            <w:pPr>
              <w:ind w:firstLine="0"/>
              <w:jc w:val="left"/>
              <w:keepLines w:val="0"/>
              <w:keepNext w:val="0"/>
              <w:pageBreakBefore w:val="0"/>
              <w:spacing w:line="440" w:lineRule="exact"/>
              <w:widowControl w:val="off"/>
              <w:rPr>
                <w:rFonts w:hint="eastAsia" w:ascii="宋体" w:hAnsi="宋体" w:eastAsia="宋体" w:cs="Times New Roman"/>
                <w:sz w:val="21"/>
                <w:szCs w:val="21"/>
                <w:lang w:eastAsia="zh-CN"/>
              </w:rPr>
            </w:pPr>
            <w:r>
              <w:rPr>
                <w:rFonts w:hint="eastAsia" w:hAnsi="宋体" w:cs="Times New Roman"/>
                <w:b/>
                <w:bCs/>
                <w:sz w:val="21"/>
                <w:szCs w:val="21"/>
                <w:lang w:val="en-US" w:eastAsia="zh-CN"/>
              </w:rPr>
              <w:t xml:space="preserve">“三、项目技术要求和有关说明”《作业设备配置要求》表中</w:t>
            </w:r>
            <w:r>
              <w:rPr>
                <w:rFonts w:hint="eastAsia" w:ascii="宋体" w:hAnsi="宋体" w:eastAsia="宋体" w:cs="Times New Roman"/>
                <w:b/>
                <w:bCs/>
                <w:sz w:val="21"/>
                <w:szCs w:val="21"/>
              </w:rPr>
              <w:t xml:space="preserve">人工费占比标准</w:t>
            </w:r>
            <w:r>
              <w:rPr>
                <w:rFonts w:hint="eastAsia" w:ascii="宋体" w:hAnsi="宋体" w:cs="Times New Roman"/>
                <w:b/>
                <w:bCs/>
                <w:sz w:val="21"/>
                <w:szCs w:val="21"/>
                <w:lang w:eastAsia="zh-CN"/>
              </w:rPr>
              <w:t xml:space="preserve">。</w:t>
            </w:r>
            <w:r/>
          </w:p>
        </w:tc>
      </w:tr>
    </w:tbl>
    <w:p>
      <w:pPr>
        <w:ind w:firstLine="0"/>
        <w:jc w:val="left"/>
        <w:spacing w:line="480" w:lineRule="auto"/>
        <w:rPr>
          <w:rFonts w:hint="eastAsia" w:ascii="宋体" w:hAnsi="宋体" w:eastAsia="宋体" w:cs="Times New Roman"/>
          <w:sz w:val="24"/>
        </w:rPr>
      </w:pPr>
      <w:r>
        <w:rPr>
          <w:rFonts w:hint="eastAsia" w:ascii="宋体" w:hAnsi="宋体" w:eastAsia="宋体" w:cs="Times New Roman"/>
          <w:sz w:val="24"/>
        </w:rPr>
      </w:r>
      <w:r/>
    </w:p>
    <w:p>
      <w:pPr>
        <w:ind w:left="1680" w:firstLine="0"/>
        <w:jc w:val="left"/>
        <w:keepLines w:val="0"/>
        <w:keepNext w:val="0"/>
        <w:pageBreakBefore w:val="0"/>
        <w:spacing w:line="480" w:lineRule="auto"/>
        <w:widowControl w:val="off"/>
        <w:rPr>
          <w:rFonts w:ascii="宋体" w:hAnsi="宋体" w:eastAsia="宋体" w:cs="Times New Roman"/>
          <w:sz w:val="24"/>
        </w:rPr>
      </w:pPr>
      <w:r>
        <w:rPr>
          <w:rFonts w:hint="eastAsia" w:ascii="宋体" w:hAnsi="宋体" w:eastAsia="宋体" w:cs="Times New Roman"/>
          <w:sz w:val="24"/>
        </w:rPr>
        <w:t xml:space="preserve">注：1.单价、合价均以人民币元，金额及百分比精确到小数点后2位。</w:t>
      </w:r>
      <w:r/>
    </w:p>
    <w:p>
      <w:pPr>
        <w:ind w:left="1680"/>
        <w:keepLines w:val="0"/>
        <w:keepNext w:val="0"/>
        <w:pageBreakBefore w:val="0"/>
        <w:spacing w:line="360" w:lineRule="auto"/>
        <w:widowControl w:val="off"/>
        <w:rPr>
          <w:rFonts w:hint="eastAsia" w:ascii="宋体" w:hAnsi="宋体" w:eastAsia="宋体" w:cs="Times New Roman"/>
          <w:bCs/>
          <w:sz w:val="24"/>
          <w:highlight w:val="none"/>
        </w:rPr>
      </w:pPr>
      <w:r>
        <w:rPr>
          <w:rFonts w:hint="eastAsia" w:ascii="宋体" w:hAnsi="宋体" w:eastAsia="宋体" w:cs="Times New Roman"/>
          <w:sz w:val="24"/>
        </w:rPr>
        <w:t xml:space="preserve">2.人工费占比不得高于人工费占比标准，否则按无效标处理。</w:t>
      </w:r>
      <w:r/>
    </w:p>
    <w:p>
      <w:pPr>
        <w:pStyle w:val="945"/>
        <w:rPr>
          <w:rFonts w:hint="eastAsia" w:ascii="宋体" w:hAnsi="宋体" w:eastAsia="宋体" w:cs="宋体"/>
          <w:bCs/>
          <w:sz w:val="24"/>
          <w:szCs w:val="24"/>
          <w:highlight w:val="none"/>
        </w:rPr>
        <w:sectPr>
          <w:footnotePr/>
          <w:endnotePr/>
          <w:type w:val="continuous"/>
          <w:pgSz w:w="16838" w:h="11906" w:orient="landscape"/>
          <w:pgMar w:top="1134" w:right="567" w:bottom="850" w:left="567" w:header="624" w:footer="907" w:gutter="0"/>
          <w:cols w:num="1" w:sep="0" w:space="0" w:equalWidth="1"/>
          <w:docGrid w:linePitch="360"/>
          <w:titlePg/>
        </w:sectPr>
      </w:pPr>
      <w:r>
        <w:rPr>
          <w:rFonts w:hint="eastAsia" w:ascii="宋体" w:hAnsi="宋体" w:eastAsia="宋体" w:cs="宋体"/>
          <w:bCs/>
          <w:sz w:val="24"/>
          <w:szCs w:val="24"/>
          <w:highlight w:val="none"/>
        </w:rPr>
      </w:r>
      <w:r/>
    </w:p>
    <w:p>
      <w:pPr>
        <w:jc w:val="left"/>
        <w:spacing w:line="400" w:lineRule="exact"/>
        <w:rPr>
          <w:rFonts w:hint="eastAsia" w:ascii="黑体" w:hAnsi="宋体" w:eastAsia="黑体"/>
          <w:bCs/>
          <w:sz w:val="24"/>
          <w:szCs w:val="24"/>
          <w:highlight w:val="none"/>
        </w:rPr>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十</w:t>
      </w:r>
      <w:r>
        <w:rPr>
          <w:rFonts w:hint="eastAsia" w:ascii="黑体" w:hAnsi="宋体" w:eastAsia="黑体"/>
          <w:bCs/>
          <w:sz w:val="24"/>
          <w:szCs w:val="24"/>
          <w:highlight w:val="none"/>
        </w:rPr>
        <w:t xml:space="preserve">）项目管理机构配备情况表（格式）</w:t>
      </w:r>
      <w:r/>
    </w:p>
    <w:p>
      <w:pPr>
        <w:jc w:val="center"/>
        <w:spacing w:line="360" w:lineRule="auto"/>
        <w:tabs>
          <w:tab w:val="left" w:pos="312"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jc w:val="center"/>
        <w:spacing w:line="360" w:lineRule="auto"/>
        <w:tabs>
          <w:tab w:val="left" w:pos="312"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项目管理机构配备情况表</w:t>
      </w:r>
      <w:r/>
    </w:p>
    <w:p>
      <w:pPr>
        <w:spacing w:line="360" w:lineRule="auto"/>
        <w:tabs>
          <w:tab w:val="left" w:pos="312" w:leader="none"/>
        </w:tabs>
        <w:rPr>
          <w:rFonts w:hint="eastAsia" w:ascii="宋体" w:hAnsi="宋体" w:cs="宋体"/>
          <w:bCs/>
          <w:sz w:val="24"/>
          <w:szCs w:val="24"/>
          <w:highlight w:val="none"/>
        </w:rPr>
      </w:pPr>
      <w:r>
        <w:rPr>
          <w:rFonts w:hint="eastAsia" w:ascii="宋体" w:hAnsi="宋体"/>
          <w:bCs/>
          <w:color w:val="000000"/>
          <w:sz w:val="24"/>
          <w:szCs w:val="24"/>
          <w:highlight w:val="none"/>
        </w:rPr>
        <w:t xml:space="preserve">供应商名称（盖章）                                     采购编号：</w:t>
      </w: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387"/>
        <w:gridCol w:w="1443"/>
        <w:gridCol w:w="1283"/>
        <w:gridCol w:w="2184"/>
        <w:gridCol w:w="2310"/>
      </w:tblGrid>
      <w:tr>
        <w:trPr>
          <w:cantSplit/>
          <w:trHeight w:val="467"/>
        </w:trPr>
        <w:tc>
          <w:tcPr>
            <w:tcW w:w="675" w:type="dxa"/>
            <w:vAlign w:val="center"/>
            <w:vMerge w:val="restart"/>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序号</w:t>
            </w:r>
            <w:r/>
          </w:p>
        </w:tc>
        <w:tc>
          <w:tcPr>
            <w:tcW w:w="1387" w:type="dxa"/>
            <w:vAlign w:val="center"/>
            <w:vMerge w:val="restart"/>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姓名</w:t>
            </w:r>
            <w:r/>
          </w:p>
        </w:tc>
        <w:tc>
          <w:tcPr>
            <w:gridSpan w:val="3"/>
            <w:tcW w:w="4910" w:type="dxa"/>
            <w:vAlign w:val="center"/>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主要相关工作经历</w:t>
            </w:r>
            <w:r/>
          </w:p>
        </w:tc>
        <w:tc>
          <w:tcPr>
            <w:tcW w:w="2310" w:type="dxa"/>
            <w:vAlign w:val="center"/>
            <w:vMerge w:val="restart"/>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本次负责工作内容</w:t>
            </w:r>
            <w:r/>
          </w:p>
        </w:tc>
      </w:tr>
      <w:tr>
        <w:trPr>
          <w:cantSplit/>
          <w:trHeight w:val="444"/>
        </w:trPr>
        <w:tc>
          <w:tcPr>
            <w:tcW w:w="675" w:type="dxa"/>
            <w:vAlign w:val="top"/>
            <w:vMerge w:val="continue"/>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vMerge w:val="continue"/>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center"/>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职务</w:t>
            </w:r>
            <w:r/>
          </w:p>
        </w:tc>
        <w:tc>
          <w:tcPr>
            <w:tcW w:w="1283" w:type="dxa"/>
            <w:vAlign w:val="center"/>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学历</w:t>
            </w:r>
            <w:r/>
          </w:p>
        </w:tc>
        <w:tc>
          <w:tcPr>
            <w:tcW w:w="2184" w:type="dxa"/>
            <w:vAlign w:val="center"/>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负责工作内容</w:t>
            </w:r>
            <w:r/>
          </w:p>
        </w:tc>
        <w:tc>
          <w:tcPr>
            <w:tcW w:w="2310" w:type="dxa"/>
            <w:vAlign w:val="center"/>
            <w:vMerge w:val="continue"/>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trHeight w:val="660"/>
        </w:trPr>
        <w:tc>
          <w:tcPr>
            <w:tcW w:w="675"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387"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44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1283"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184"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c>
          <w:tcPr>
            <w:tcW w:w="2310" w:type="dxa"/>
            <w:vAlign w:val="top"/>
            <w:textDirection w:val="lrTb"/>
            <w:noWrap w:val="false"/>
          </w:tcPr>
          <w:p>
            <w:pPr>
              <w:spacing w:line="420" w:lineRule="exact"/>
              <w:rPr>
                <w:rFonts w:hint="eastAsia" w:ascii="宋体" w:hAnsi="宋体"/>
                <w:sz w:val="24"/>
                <w:highlight w:val="none"/>
              </w:rPr>
            </w:pPr>
            <w:r>
              <w:rPr>
                <w:rFonts w:hint="eastAsia" w:ascii="宋体" w:hAnsi="宋体"/>
                <w:sz w:val="24"/>
                <w:highlight w:val="none"/>
              </w:rPr>
            </w:r>
            <w:r/>
          </w:p>
        </w:tc>
      </w:tr>
      <w:tr>
        <w:trPr>
          <w:cantSplit/>
          <w:trHeight w:val="979"/>
        </w:trPr>
        <w:tc>
          <w:tcPr>
            <w:gridSpan w:val="6"/>
            <w:tcW w:w="9282" w:type="dxa"/>
            <w:vAlign w:val="top"/>
            <w:textDirection w:val="lrTb"/>
            <w:noWrap w:val="false"/>
          </w:tcPr>
          <w:p>
            <w:pPr>
              <w:ind w:firstLine="360"/>
              <w:spacing w:line="420" w:lineRule="exact"/>
              <w:rPr>
                <w:rFonts w:hint="eastAsia" w:ascii="宋体" w:hAnsi="宋体"/>
                <w:sz w:val="24"/>
                <w:highlight w:val="none"/>
              </w:rPr>
            </w:pPr>
            <w:r>
              <w:rPr>
                <w:rFonts w:hint="eastAsia" w:ascii="宋体" w:hAnsi="宋体"/>
                <w:b/>
                <w:sz w:val="24"/>
                <w:highlight w:val="none"/>
              </w:rPr>
              <w:tab/>
            </w:r>
            <w:r>
              <w:rPr>
                <w:rFonts w:hint="eastAsia" w:ascii="宋体" w:hAnsi="宋体"/>
                <w:sz w:val="24"/>
                <w:highlight w:val="none"/>
              </w:rPr>
              <w:t xml:space="preserve">上述填报内容真实，若不真实，愿按有关规定接受处理。项目管理班子机构设置、职责分工等情况另附资料说明。             </w:t>
            </w:r>
            <w:r/>
          </w:p>
        </w:tc>
      </w:tr>
    </w:tbl>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法定代表人或授权委托人（签字或盖章）：</w:t>
      </w:r>
      <w:r/>
    </w:p>
    <w:p>
      <w:pPr>
        <w:ind w:firstLine="216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  年   月    日</w:t>
      </w:r>
      <w:r/>
    </w:p>
    <w:p>
      <w:pPr>
        <w:rPr>
          <w:rFonts w:hint="eastAsia" w:ascii="宋体" w:hAnsi="宋体" w:cs="宋体"/>
          <w:b/>
          <w:bCs/>
          <w:sz w:val="24"/>
          <w:szCs w:val="21"/>
          <w:highlight w:val="none"/>
        </w:rPr>
        <w:outlineLvl w:val="0"/>
      </w:pPr>
      <w:r>
        <w:rPr>
          <w:rFonts w:hint="eastAsia" w:ascii="宋体" w:hAnsi="宋体" w:cs="宋体"/>
          <w:b/>
          <w:bCs/>
          <w:sz w:val="24"/>
          <w:szCs w:val="21"/>
          <w:highlight w:val="none"/>
        </w:rPr>
        <w:t xml:space="preserve">注：后附评分标准中要求的相关人员材料扫描件。</w:t>
      </w:r>
      <w:r/>
    </w:p>
    <w:p>
      <w:pPr>
        <w:rPr>
          <w:rFonts w:ascii="黑体" w:eastAsia="黑体"/>
          <w:bCs/>
          <w:sz w:val="28"/>
          <w:szCs w:val="28"/>
          <w:highlight w:val="none"/>
        </w:rPr>
        <w:outlineLvl w:val="0"/>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（十</w:t>
      </w:r>
      <w:r>
        <w:rPr>
          <w:rFonts w:hint="eastAsia" w:ascii="黑体" w:hAnsi="宋体" w:eastAsia="黑体"/>
          <w:bCs/>
          <w:sz w:val="24"/>
          <w:szCs w:val="24"/>
          <w:highlight w:val="none"/>
          <w:lang w:val="en-US" w:eastAsia="zh-CN"/>
        </w:rPr>
        <w:t xml:space="preserve">一</w:t>
      </w:r>
      <w:r>
        <w:rPr>
          <w:rFonts w:hint="eastAsia" w:ascii="黑体" w:hAnsi="宋体" w:eastAsia="黑体"/>
          <w:bCs/>
          <w:sz w:val="24"/>
          <w:szCs w:val="24"/>
          <w:highlight w:val="none"/>
        </w:rPr>
        <w:t xml:space="preserve">）机械设备投入计划表（格式）：</w:t>
      </w:r>
      <w:r/>
    </w:p>
    <w:p>
      <w:pPr>
        <w:jc w:val="center"/>
        <w:spacing w:line="460" w:lineRule="exact"/>
        <w:rPr>
          <w:rFonts w:hint="eastAsia"/>
          <w:b/>
          <w:sz w:val="28"/>
          <w:szCs w:val="28"/>
          <w:highlight w:val="none"/>
        </w:rPr>
      </w:pPr>
      <w:r>
        <w:rPr>
          <w:rFonts w:hint="eastAsia"/>
          <w:b/>
          <w:sz w:val="28"/>
          <w:szCs w:val="28"/>
          <w:highlight w:val="none"/>
        </w:rPr>
      </w:r>
      <w:r/>
    </w:p>
    <w:p>
      <w:pPr>
        <w:jc w:val="center"/>
        <w:spacing w:line="460" w:lineRule="exact"/>
        <w:rPr>
          <w:b/>
          <w:sz w:val="28"/>
          <w:szCs w:val="28"/>
          <w:highlight w:val="none"/>
        </w:rPr>
      </w:pPr>
      <w:r>
        <w:rPr>
          <w:rFonts w:hint="eastAsia" w:ascii="黑体" w:eastAsia="黑体"/>
          <w:bCs/>
          <w:sz w:val="28"/>
          <w:szCs w:val="28"/>
          <w:highlight w:val="none"/>
        </w:rPr>
        <w:t xml:space="preserve">机械设备投入计划表</w:t>
      </w: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15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机械或</w:t>
            </w:r>
            <w:r/>
          </w:p>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设备名称</w:t>
            </w:r>
            <w:r/>
          </w:p>
        </w:tc>
        <w:tc>
          <w:tcPr>
            <w:tcW w:w="979"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型号</w:t>
            </w:r>
            <w:r/>
          </w:p>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规格</w:t>
            </w:r>
            <w:r/>
          </w:p>
        </w:tc>
        <w:tc>
          <w:tcPr>
            <w:tcW w:w="72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数量</w:t>
            </w:r>
            <w:r/>
          </w:p>
        </w:tc>
        <w:tc>
          <w:tcPr>
            <w:tcW w:w="801"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国别产地</w:t>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制造</w:t>
            </w:r>
            <w:r/>
          </w:p>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年份</w:t>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额定功率</w:t>
            </w:r>
            <w:r>
              <w:rPr>
                <w:rFonts w:hint="eastAsia" w:ascii="宋体" w:hAnsi="宋体"/>
                <w:sz w:val="24"/>
                <w:szCs w:val="24"/>
                <w:highlight w:val="none"/>
                <w:lang w:eastAsia="zh-CN"/>
              </w:rPr>
              <w:t xml:space="preserve">（kW）</w:t>
            </w:r>
            <w:r/>
          </w:p>
        </w:tc>
        <w:tc>
          <w:tcPr>
            <w:tcW w:w="8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自备</w:t>
            </w:r>
            <w:r/>
          </w:p>
        </w:tc>
        <w:tc>
          <w:tcPr>
            <w:tcW w:w="10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租赁</w:t>
            </w:r>
            <w:r/>
          </w:p>
        </w:tc>
        <w:tc>
          <w:tcPr>
            <w:tcW w:w="945"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车牌号</w:t>
            </w:r>
            <w:r/>
          </w:p>
        </w:tc>
      </w:tr>
      <w:tr>
        <w:trPr>
          <w:trHeight w:val="740"/>
        </w:trPr>
        <w:tc>
          <w:tcPr>
            <w:tcW w:w="508"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5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79"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72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1"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0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45"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5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79"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72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1"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0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45"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5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79"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72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1"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0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45"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5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79"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72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1"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0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45"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5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79"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72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1"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0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45"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5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79"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72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1"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0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45"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5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79"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72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1"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0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45"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5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79"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72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1"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0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45"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5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79"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72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1"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1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1000"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c>
          <w:tcPr>
            <w:tcW w:w="945" w:type="dxa"/>
            <w:vAlign w:val="center"/>
            <w:textDirection w:val="lrTb"/>
            <w:noWrap w:val="false"/>
          </w:tcPr>
          <w:p>
            <w:pPr>
              <w:jc w:val="center"/>
              <w:spacing w:line="420" w:lineRule="exact"/>
              <w:rPr>
                <w:rFonts w:hint="eastAsia" w:ascii="宋体" w:hAnsi="宋体"/>
                <w:sz w:val="24"/>
                <w:szCs w:val="24"/>
                <w:highlight w:val="none"/>
              </w:rPr>
            </w:pPr>
            <w:r>
              <w:rPr>
                <w:rFonts w:hint="eastAsia" w:ascii="宋体" w:hAnsi="宋体"/>
                <w:sz w:val="24"/>
                <w:szCs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150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979"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72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801"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110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110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80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100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945"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150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979"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72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801"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110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110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80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1000"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c>
          <w:tcPr>
            <w:tcW w:w="945"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tc>
      </w:tr>
      <w:tr>
        <w:trPr>
          <w:trHeight w:val="740"/>
        </w:trPr>
        <w:tc>
          <w:tcPr>
            <w:gridSpan w:val="2"/>
            <w:tcW w:w="2008" w:type="dxa"/>
            <w:vAlign w:val="center"/>
            <w:textDirection w:val="lrTb"/>
            <w:noWrap w:val="false"/>
          </w:tcPr>
          <w:p>
            <w:pPr>
              <w:jc w:val="center"/>
              <w:spacing w:line="420" w:lineRule="exact"/>
              <w:rPr>
                <w:rFonts w:hint="eastAsia" w:ascii="宋体" w:hAnsi="宋体"/>
                <w:szCs w:val="24"/>
                <w:highlight w:val="none"/>
              </w:rPr>
            </w:pPr>
            <w:r>
              <w:rPr>
                <w:rFonts w:hint="eastAsia" w:ascii="宋体" w:hAnsi="宋体"/>
                <w:szCs w:val="24"/>
                <w:highlight w:val="none"/>
              </w:rPr>
            </w:r>
            <w:r/>
          </w:p>
          <w:p>
            <w:pPr>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备   注</w:t>
            </w:r>
            <w:r/>
          </w:p>
          <w:p>
            <w:pPr>
              <w:jc w:val="center"/>
              <w:spacing w:line="420" w:lineRule="exact"/>
              <w:rPr>
                <w:rFonts w:hint="eastAsia" w:ascii="宋体" w:hAnsi="宋体"/>
                <w:szCs w:val="24"/>
                <w:highlight w:val="none"/>
              </w:rPr>
            </w:pPr>
            <w:r>
              <w:rPr>
                <w:rFonts w:hint="eastAsia" w:ascii="宋体" w:hAnsi="宋体"/>
                <w:szCs w:val="24"/>
                <w:highlight w:val="none"/>
              </w:rPr>
            </w:r>
            <w:r/>
          </w:p>
        </w:tc>
        <w:tc>
          <w:tcPr>
            <w:gridSpan w:val="8"/>
            <w:tcW w:w="7445" w:type="dxa"/>
            <w:vAlign w:val="center"/>
            <w:textDirection w:val="lrTb"/>
            <w:noWrap w:val="false"/>
          </w:tcPr>
          <w:p>
            <w:pPr>
              <w:jc w:val="center"/>
              <w:spacing w:line="420" w:lineRule="exact"/>
              <w:rPr>
                <w:rFonts w:hint="eastAsia" w:ascii="宋体" w:hAnsi="宋体"/>
                <w:b/>
                <w:sz w:val="28"/>
                <w:szCs w:val="28"/>
                <w:highlight w:val="none"/>
                <w:u w:val="single"/>
              </w:rPr>
            </w:pPr>
            <w:r>
              <w:rPr>
                <w:rFonts w:hint="eastAsia" w:ascii="宋体" w:hAnsi="宋体"/>
                <w:b/>
                <w:sz w:val="28"/>
                <w:szCs w:val="28"/>
                <w:highlight w:val="none"/>
                <w:u w:val="single"/>
              </w:rPr>
            </w:r>
            <w:r/>
          </w:p>
        </w:tc>
      </w:tr>
    </w:tbl>
    <w:p>
      <w:pPr>
        <w:spacing w:line="400" w:lineRule="exact"/>
        <w:rPr>
          <w:rFonts w:ascii="黑体" w:eastAsia="黑体"/>
          <w:b/>
          <w:sz w:val="32"/>
          <w:highlight w:val="none"/>
        </w:rPr>
      </w:pPr>
      <w:r>
        <w:rPr>
          <w:rFonts w:hint="eastAsia"/>
          <w:bCs/>
          <w:sz w:val="24"/>
          <w:highlight w:val="none"/>
        </w:rPr>
        <w:t xml:space="preserve">注：以上内容由投标单位根据采购要求自行完善。                   </w:t>
      </w:r>
      <w:r/>
    </w:p>
    <w:p>
      <w:pPr>
        <w:ind w:firstLine="240"/>
        <w:spacing w:line="480" w:lineRule="auto"/>
        <w:rPr>
          <w:rFonts w:hint="eastAsia" w:ascii="宋体" w:hAnsi="宋体"/>
          <w:bCs/>
          <w:sz w:val="24"/>
          <w:highlight w:val="none"/>
        </w:rPr>
      </w:pPr>
      <w:r>
        <w:rPr>
          <w:rFonts w:hint="eastAsia" w:ascii="宋体" w:hAnsi="宋体"/>
          <w:bCs/>
          <w:sz w:val="24"/>
          <w:highlight w:val="none"/>
        </w:rPr>
      </w:r>
      <w:r/>
    </w:p>
    <w:p>
      <w:pPr>
        <w:ind w:firstLine="240"/>
        <w:spacing w:line="480" w:lineRule="auto"/>
        <w:rPr>
          <w:rFonts w:hint="eastAsia" w:ascii="宋体" w:hAnsi="宋体"/>
          <w:bCs/>
          <w:sz w:val="24"/>
          <w:highlight w:val="none"/>
        </w:rPr>
      </w:pPr>
      <w:r>
        <w:rPr>
          <w:rFonts w:hint="eastAsia" w:ascii="宋体" w:hAnsi="宋体"/>
          <w:bCs/>
          <w:sz w:val="24"/>
          <w:highlight w:val="none"/>
        </w:rPr>
        <w:t xml:space="preserve">供应商名称（盖章）：</w:t>
      </w:r>
      <w:r/>
    </w:p>
    <w:p>
      <w:pPr>
        <w:jc w:val="left"/>
        <w:rPr>
          <w:rFonts w:ascii="黑体" w:eastAsia="黑体"/>
          <w:bCs/>
          <w:sz w:val="28"/>
          <w:szCs w:val="28"/>
          <w:highlight w:val="none"/>
        </w:rPr>
        <w:outlineLvl w:val="0"/>
      </w:pPr>
      <w:r>
        <w:rPr>
          <w:rFonts w:hint="eastAsia" w:ascii="宋体" w:hAnsi="宋体"/>
          <w:sz w:val="24"/>
          <w:highlight w:val="none"/>
        </w:rPr>
        <w:t xml:space="preserve">法定代表人或授权代表</w:t>
      </w:r>
      <w:r>
        <w:rPr>
          <w:rFonts w:hint="eastAsia" w:ascii="宋体" w:hAnsi="宋体"/>
          <w:bCs/>
          <w:sz w:val="24"/>
          <w:highlight w:val="none"/>
        </w:rPr>
        <w:t xml:space="preserve">签字或盖章：</w:t>
      </w: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（十</w:t>
      </w:r>
      <w:r>
        <w:rPr>
          <w:rFonts w:hint="eastAsia" w:ascii="黑体" w:hAnsi="宋体" w:eastAsia="黑体"/>
          <w:bCs/>
          <w:sz w:val="24"/>
          <w:szCs w:val="24"/>
          <w:highlight w:val="none"/>
          <w:lang w:val="en-US" w:eastAsia="zh-CN"/>
        </w:rPr>
        <w:t xml:space="preserve">二</w:t>
      </w:r>
      <w:r>
        <w:rPr>
          <w:rFonts w:hint="eastAsia" w:ascii="黑体" w:hAnsi="宋体" w:eastAsia="黑体"/>
          <w:bCs/>
          <w:sz w:val="24"/>
          <w:szCs w:val="24"/>
          <w:highlight w:val="none"/>
        </w:rPr>
        <w:t xml:space="preserve">）投标偏离表（格式）：</w:t>
      </w:r>
      <w:r/>
    </w:p>
    <w:p>
      <w:pPr>
        <w:ind w:firstLine="490"/>
        <w:jc w:val="center"/>
        <w:rPr>
          <w:rFonts w:ascii="黑体" w:eastAsia="黑体"/>
          <w:bCs/>
          <w:sz w:val="28"/>
          <w:szCs w:val="28"/>
          <w:highlight w:val="none"/>
        </w:rPr>
        <w:outlineLvl w:val="0"/>
      </w:pPr>
      <w:r>
        <w:rPr>
          <w:rFonts w:hint="eastAsia" w:ascii="黑体" w:eastAsia="黑体"/>
          <w:bCs/>
          <w:sz w:val="28"/>
          <w:szCs w:val="28"/>
          <w:highlight w:val="none"/>
        </w:rPr>
        <w:t xml:space="preserve">投标偏离表</w:t>
      </w:r>
      <w:r/>
    </w:p>
    <w:p>
      <w:pPr>
        <w:jc w:val="center"/>
        <w:spacing w:line="400" w:lineRule="exact"/>
        <w:rPr>
          <w:rFonts w:ascii="黑体" w:eastAsia="黑体"/>
          <w:bCs/>
          <w:sz w:val="28"/>
          <w:szCs w:val="28"/>
          <w:highlight w:val="none"/>
        </w:rPr>
        <w:outlineLvl w:val="0"/>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0"/>
      </w:pPr>
      <w:r>
        <w:rPr>
          <w:rFonts w:ascii="黑体" w:eastAsia="黑体"/>
          <w:bCs/>
          <w:sz w:val="28"/>
          <w:szCs w:val="28"/>
          <w:highlight w:val="none"/>
        </w:rPr>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投标供应商名称（盖章）       </w:t>
      </w:r>
      <w:r>
        <w:rPr>
          <w:rFonts w:ascii="黑体" w:eastAsia="黑体"/>
          <w:bCs/>
          <w:sz w:val="24"/>
          <w:szCs w:val="24"/>
          <w:highlight w:val="none"/>
        </w:rPr>
        <w:t xml:space="preserve"> </w:t>
      </w:r>
      <w:r>
        <w:rPr>
          <w:rFonts w:hint="eastAsia" w:ascii="黑体" w:eastAsia="黑体"/>
          <w:bCs/>
          <w:sz w:val="24"/>
          <w:szCs w:val="24"/>
          <w:highlight w:val="none"/>
        </w:rPr>
        <w:t xml:space="preserve">  采购项目编号：</w:t>
      </w:r>
      <w:r>
        <w:rPr>
          <w:rFonts w:hint="eastAsia" w:ascii="黑体" w:eastAsia="黑体"/>
          <w:bCs/>
          <w:sz w:val="24"/>
          <w:szCs w:val="24"/>
          <w:highlight w:val="none"/>
          <w:lang w:eastAsia="zh-CN"/>
        </w:rPr>
        <w:t xml:space="preserve">JSZC-320214-CXLT-G2024-0005</w:t>
      </w:r>
      <w:r/>
    </w:p>
    <w:tbl>
      <w:tblPr>
        <w:tblStyle w:val="94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highlight w:val="none"/>
              </w:rPr>
            </w:pPr>
            <w:r>
              <w:rPr>
                <w:rFonts w:ascii="宋体"/>
                <w:bCs/>
                <w:highlight w:val="none"/>
              </w:rPr>
            </w:r>
            <w:r/>
          </w:p>
        </w:tc>
      </w:tr>
    </w:tbl>
    <w:p>
      <w:pPr>
        <w:rPr>
          <w:rFonts w:ascii="宋体"/>
          <w:b/>
          <w:sz w:val="24"/>
          <w:szCs w:val="24"/>
          <w:highlight w:val="none"/>
        </w:rPr>
      </w:pPr>
      <w:r>
        <w:rPr>
          <w:rFonts w:ascii="宋体"/>
          <w:b/>
          <w:sz w:val="24"/>
          <w:szCs w:val="24"/>
          <w:highlight w:val="none"/>
        </w:rPr>
      </w:r>
      <w:r/>
    </w:p>
    <w:p>
      <w:pPr>
        <w:rPr>
          <w:b/>
          <w:bCs/>
          <w:sz w:val="24"/>
          <w:szCs w:val="24"/>
          <w:highlight w:val="none"/>
        </w:rPr>
      </w:pPr>
      <w:r>
        <w:rPr>
          <w:rFonts w:hint="eastAsia"/>
          <w:b/>
          <w:bCs/>
          <w:sz w:val="24"/>
          <w:szCs w:val="24"/>
          <w:highlight w:val="none"/>
        </w:rPr>
        <w:t xml:space="preserve">法定代表人或法定代表人授权代表签字或盖章：</w:t>
      </w:r>
      <w:r/>
    </w:p>
    <w:p>
      <w:pPr>
        <w:rPr>
          <w:rFonts w:ascii="宋体"/>
          <w:bCs/>
          <w:sz w:val="30"/>
          <w:highlight w:val="none"/>
        </w:rPr>
      </w:pPr>
      <w:r>
        <w:rPr>
          <w:rFonts w:ascii="宋体"/>
          <w:bCs/>
          <w:sz w:val="30"/>
          <w:highlight w:val="none"/>
        </w:rPr>
      </w:r>
      <w:r/>
    </w:p>
    <w:p>
      <w:pPr>
        <w:rPr>
          <w:rFonts w:ascii="宋体" w:hAnsi="宋体"/>
          <w:bCs/>
          <w:sz w:val="24"/>
          <w:szCs w:val="24"/>
          <w:highlight w:val="none"/>
        </w:rPr>
        <w:outlineLvl w:val="0"/>
      </w:pPr>
      <w:r>
        <w:rPr>
          <w:rFonts w:hint="eastAsia" w:ascii="宋体" w:hAnsi="宋体"/>
          <w:bCs/>
          <w:sz w:val="24"/>
          <w:szCs w:val="24"/>
          <w:highlight w:val="none"/>
        </w:rPr>
        <w:t xml:space="preserve">注：（</w:t>
      </w:r>
      <w:r>
        <w:rPr>
          <w:rFonts w:ascii="宋体" w:hAnsi="宋体"/>
          <w:bCs/>
          <w:sz w:val="24"/>
          <w:szCs w:val="24"/>
          <w:highlight w:val="none"/>
        </w:rPr>
        <w:t xml:space="preserve">1</w:t>
      </w:r>
      <w:r>
        <w:rPr>
          <w:rFonts w:hint="eastAsia" w:ascii="宋体" w:hAnsi="宋体"/>
          <w:bCs/>
          <w:sz w:val="24"/>
          <w:szCs w:val="24"/>
          <w:highlight w:val="none"/>
        </w:rPr>
        <w:t xml:space="preserve">）本表不得删除；</w:t>
      </w:r>
      <w:r/>
    </w:p>
    <w:p>
      <w:pPr>
        <w:rPr>
          <w:rFonts w:ascii="宋体" w:hAnsi="宋体"/>
          <w:bCs/>
          <w:sz w:val="24"/>
          <w:szCs w:val="24"/>
          <w:highlight w:val="none"/>
        </w:rPr>
        <w:outlineLvl w:val="0"/>
      </w:pPr>
      <w:r>
        <w:rPr>
          <w:rFonts w:ascii="宋体" w:hAnsi="宋体"/>
          <w:bCs/>
          <w:sz w:val="24"/>
          <w:szCs w:val="24"/>
          <w:highlight w:val="none"/>
        </w:rPr>
        <w:t xml:space="preserve">   </w:t>
      </w:r>
      <w:r>
        <w:rPr>
          <w:rFonts w:hint="eastAsia" w:ascii="宋体" w:hAnsi="宋体"/>
          <w:bCs/>
          <w:sz w:val="24"/>
          <w:szCs w:val="24"/>
          <w:highlight w:val="none"/>
        </w:rPr>
        <w:t xml:space="preserve">（</w:t>
      </w:r>
      <w:r>
        <w:rPr>
          <w:rFonts w:ascii="宋体" w:hAnsi="宋体"/>
          <w:bCs/>
          <w:sz w:val="24"/>
          <w:szCs w:val="24"/>
          <w:highlight w:val="none"/>
        </w:rPr>
        <w:t xml:space="preserve">2</w:t>
      </w:r>
      <w:r>
        <w:rPr>
          <w:rFonts w:hint="eastAsia" w:ascii="宋体" w:hAnsi="宋体"/>
          <w:bCs/>
          <w:sz w:val="24"/>
          <w:szCs w:val="24"/>
          <w:highlight w:val="none"/>
        </w:rPr>
        <w:t xml:space="preserve">）如无任何服务偏离，请于本表 “偏离说明”中注明“无偏离”；</w:t>
      </w:r>
      <w:r/>
    </w:p>
    <w:p>
      <w:pPr>
        <w:rPr>
          <w:rFonts w:ascii="宋体"/>
          <w:bCs/>
          <w:sz w:val="24"/>
          <w:szCs w:val="24"/>
          <w:highlight w:val="none"/>
        </w:rPr>
        <w:outlineLvl w:val="0"/>
      </w:pPr>
      <w:r>
        <w:rPr>
          <w:rFonts w:hint="eastAsia" w:ascii="宋体" w:hAnsi="宋体"/>
          <w:bCs/>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jc w:val="center"/>
        <w:rPr>
          <w:rFonts w:hint="eastAsia" w:ascii="黑体" w:hAnsi="宋体" w:eastAsia="黑体"/>
          <w:bCs/>
          <w:sz w:val="24"/>
          <w:szCs w:val="24"/>
          <w:highlight w:val="none"/>
        </w:rPr>
      </w:pPr>
      <w:r>
        <w:rPr>
          <w:rFonts w:ascii="黑体" w:hAnsi="宋体" w:eastAsia="黑体"/>
          <w:bCs/>
          <w:sz w:val="24"/>
          <w:szCs w:val="24"/>
          <w:highlight w:val="none"/>
        </w:rPr>
        <w:br w:type="page" w:clear="all"/>
      </w:r>
      <w:r/>
    </w:p>
    <w:p>
      <w:pPr>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（十</w:t>
      </w:r>
      <w:r>
        <w:rPr>
          <w:rFonts w:hint="eastAsia" w:ascii="黑体" w:hAnsi="宋体" w:eastAsia="黑体"/>
          <w:bCs/>
          <w:sz w:val="24"/>
          <w:szCs w:val="24"/>
          <w:highlight w:val="none"/>
          <w:lang w:val="en-US" w:eastAsia="zh-CN"/>
        </w:rPr>
        <w:t xml:space="preserve">三</w:t>
      </w:r>
      <w:r>
        <w:rPr>
          <w:rFonts w:hint="eastAsia" w:ascii="黑体" w:hAnsi="宋体" w:eastAsia="黑体"/>
          <w:bCs/>
          <w:sz w:val="24"/>
          <w:szCs w:val="24"/>
          <w:highlight w:val="none"/>
        </w:rPr>
        <w:t xml:space="preserve">）技术方案（</w:t>
      </w:r>
      <w:r>
        <w:rPr>
          <w:rFonts w:hint="eastAsia" w:ascii="黑体" w:hAnsi="宋体" w:eastAsia="黑体"/>
          <w:bCs/>
          <w:color w:val="000000"/>
          <w:sz w:val="24"/>
          <w:szCs w:val="24"/>
          <w:highlight w:val="none"/>
        </w:rPr>
        <w:t xml:space="preserve">格式自拟</w:t>
      </w:r>
      <w:r>
        <w:rPr>
          <w:rFonts w:hint="eastAsia" w:ascii="黑体" w:hAnsi="宋体" w:eastAsia="黑体"/>
          <w:bCs/>
          <w:sz w:val="24"/>
          <w:szCs w:val="24"/>
          <w:highlight w:val="none"/>
        </w:rPr>
        <w:t xml:space="preserve">）</w:t>
      </w:r>
      <w:r/>
    </w:p>
    <w:p>
      <w:pPr>
        <w:ind w:firstLine="480"/>
        <w:jc w:val="center"/>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技术方案</w:t>
      </w:r>
      <w:r/>
    </w:p>
    <w:p>
      <w:pPr>
        <w:pStyle w:val="1227"/>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p>
    <w:p>
      <w:pPr>
        <w:pStyle w:val="1227"/>
        <w:ind w:firstLine="0"/>
        <w:rPr>
          <w:color w:val="000000"/>
          <w:sz w:val="24"/>
          <w:highlight w:val="none"/>
        </w:rPr>
      </w:pPr>
      <w:r>
        <w:rPr>
          <w:color w:val="000000"/>
          <w:sz w:val="24"/>
          <w:highlight w:val="none"/>
        </w:rPr>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③</w:t>
      </w:r>
      <w:r>
        <w:rPr>
          <w:rFonts w:hint="eastAsia" w:ascii="宋体" w:hAnsi="宋体" w:eastAsia="宋体" w:cs="Times New Roman"/>
          <w:b/>
          <w:color w:val="000000"/>
          <w:sz w:val="24"/>
          <w:szCs w:val="21"/>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Cs/>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p>
    <w:sectPr>
      <w:footnotePr/>
      <w:endnotePr/>
      <w:type w:val="continuous"/>
      <w:pgSz w:w="11906" w:h="16838" w:orient="portrait"/>
      <w:pgMar w:top="567" w:right="850" w:bottom="567"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otum">
    <w:panose1 w:val="020B0600000101010101"/>
  </w:font>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ˎ̥">
    <w:panose1 w:val="020B0503020202020204"/>
  </w:font>
  <w:font w:name="楷体_GB2312">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lear" w:pos="7143" w:leader="none"/>
      </w:tabs>
      <w:rPr>
        <w:rFonts w:hint="default" w:eastAsia="宋体"/>
        <w:lang w:val="en-US" w:eastAsia="zh-CN"/>
      </w:rPr>
    </w:pPr>
    <w:r>
      <w:rPr>
        <w:rFonts w:hint="eastAsia"/>
        <w:lang w:val="en-US" w:eastAsia="zh-CN"/>
      </w:rPr>
      <w:t xml:space="preserve">69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24"/>
        <w:szCs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24"/>
        <w:szCs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pPr>
                          <w:r>
                            <w:fldChar w:fldCharType="begin"/>
                          </w:r>
                          <w:r>
                            <w:instrText xml:space="preserve"> PAGE  \* MERGEFORMAT </w:instrText>
                          </w:r>
                          <w:r>
                            <w:fldChar w:fldCharType="separate"/>
                          </w:r>
                          <w:r>
                            <w:t xml:space="preserve">47</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enter" w:pos="4153" w:leader="none"/>
        <w:tab w:val="clear" w:pos="7143" w:leader="none"/>
        <w:tab w:val="right" w:pos="8306" w:leader="none"/>
        <w:tab w:val="clear" w:pos="14287"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pPr>
                          <w:r>
                            <w:fldChar w:fldCharType="begin"/>
                          </w:r>
                          <w:r>
                            <w:instrText xml:space="preserve"> PAGE  \* MERGEFORMAT </w:instrText>
                          </w:r>
                          <w:r>
                            <w:fldChar w:fldCharType="separate"/>
                          </w:r>
                          <w:r>
                            <w:t xml:space="preserve">59</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pPr>
                          <w:r>
                            <w:fldChar w:fldCharType="begin"/>
                          </w:r>
                          <w:r>
                            <w:instrText xml:space="preserve"> PAGE  \* MERGEFORMAT </w:instrText>
                          </w:r>
                          <w:r>
                            <w:fldChar w:fldCharType="separate"/>
                          </w:r>
                          <w:r>
                            <w:t xml:space="preserve">71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rPr>
        <w:rStyle w:val="1220"/>
      </w:rPr>
      <w:framePr w:wrap="around" w:vAnchor="text" w:hAnchor="margin" w:xAlign="center" w:y="1"/>
    </w:pPr>
    <w:r>
      <w:rPr>
        <w:rStyle w:val="1220"/>
      </w:rPr>
      <w:fldChar w:fldCharType="begin"/>
    </w:r>
    <w:r>
      <w:rPr>
        <w:rStyle w:val="1220"/>
      </w:rPr>
      <w:instrText xml:space="preserve">PAGE  </w:instrText>
    </w:r>
    <w:r>
      <w:rPr>
        <w:rStyle w:val="1220"/>
      </w:rPr>
      <w:fldChar w:fldCharType="separate"/>
    </w:r>
    <w:r>
      <w:rPr>
        <w:rStyle w:val="1220"/>
      </w:rPr>
      <w:t xml:space="preserve">1</w:t>
    </w:r>
    <w:r>
      <w:rPr>
        <w:rStyle w:val="1220"/>
      </w:rPr>
      <w:fldChar w:fldCharType="end"/>
    </w:r>
    <w:r/>
  </w:p>
  <w:p>
    <w:pPr>
      <w:pStyle w:val="117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clear" w:pos="7143" w:leader="none"/>
        <w:tab w:val="right" w:pos="8306" w:leader="none"/>
        <w:tab w:val="clear" w:pos="14287" w:leader="none"/>
      </w:tabs>
      <w:rPr>
        <w:lang w:val="en-US" w:eastAsia="zh-CN"/>
      </w:rPr>
    </w:pPr>
    <w:r>
      <w:rPr>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clear" w:pos="7143" w:leader="none"/>
        <w:tab w:val="right" w:pos="8306" w:leader="none"/>
        <w:tab w:val="clear" w:pos="14287" w:leader="none"/>
      </w:tabs>
      <w:rPr>
        <w:rFonts w:hint="eastAsia" w:eastAsia="宋体"/>
        <w:lang w:eastAsia="zh-CN"/>
      </w:rPr>
    </w:pP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clear" w:pos="7143" w:leader="none"/>
        <w:tab w:val="right" w:pos="8306" w:leader="none"/>
        <w:tab w:val="clear" w:pos="14287"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2011无锡新区绿化养护管理项目采</w:t>
    </w:r>
    <w:r>
      <w:rPr>
        <w:rFonts w:hint="eastAsia" w:hAnsi="宋体" w:cs="宋体"/>
        <w:sz w:val="21"/>
        <w:szCs w:val="21"/>
      </w:rPr>
      <w:t xml:space="preserve">购</w:t>
    </w:r>
    <w:r>
      <w:rPr>
        <w:rFonts w:hint="eastAsia" w:ascii="Dotum" w:hAnsi="Dotum" w:eastAsia="Dotum" w:cs="Dotum"/>
        <w:sz w:val="21"/>
        <w:szCs w:val="21"/>
      </w:rPr>
      <w:t xml:space="preserve">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left="2880" w:hanging="2880"/>
      <w:jc w:val="left"/>
      <w:tabs>
        <w:tab w:val="center" w:pos="4524" w:leader="none"/>
        <w:tab w:val="right" w:pos="9048" w:leader="none"/>
      </w:tabs>
    </w:pPr>
    <w:r>
      <w:rPr>
        <w:rFonts w:hint="eastAsia" w:ascii="宋体" w:hAnsi="宋体"/>
        <w:lang w:eastAsia="zh-CN"/>
      </w:rPr>
      <w:t xml:space="preserve">JSZC-320214-CXLT-G2024-0005</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鸿山街道2024年-2026年度绿化养护项目</w:t>
    </w:r>
    <w:r>
      <w:rPr>
        <w:rFonts w:hint="eastAsia" w:ascii="宋体" w:hAnsi="宋体"/>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left"/>
      <w:tabs>
        <w:tab w:val="center" w:pos="4524" w:leader="none"/>
        <w:tab w:val="right" w:pos="9048" w:leader="none"/>
      </w:tabs>
    </w:pPr>
    <w:r>
      <w:rPr>
        <w:rFonts w:hint="eastAsia" w:ascii="宋体" w:hAnsi="宋体"/>
        <w:lang w:eastAsia="zh-CN"/>
      </w:rPr>
      <w:t xml:space="preserve">JSZC-320214-CXLT-G2024-0005</w:t>
    </w:r>
    <w:r>
      <w:rPr>
        <w:rFonts w:hint="eastAsia" w:ascii="宋体" w:hAnsi="宋体"/>
      </w:rPr>
      <w:t xml:space="preserve"> </w:t>
    </w:r>
    <w:r>
      <w:rPr>
        <w:rFonts w:hint="eastAsia"/>
      </w:rPr>
      <w:t xml:space="preserve">             </w:t>
    </w:r>
    <w:r>
      <w:rPr>
        <w:rFonts w:hint="eastAsia" w:ascii="宋体" w:hAnsi="宋体"/>
        <w:lang w:eastAsia="zh-CN"/>
      </w:rPr>
      <w:t xml:space="preserve">鸿山街道2024年-2026年度绿化养护项目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b w:val="0"/>
        <w:bCs w:val="0"/>
      </w:rPr>
    </w:lvl>
    <w:lvl w:ilvl="1">
      <w:start w:val="1"/>
      <w:numFmt w:val="decimal"/>
      <w:isLgl w:val="false"/>
      <w:suff w:val="tab"/>
      <w:lvlText w:val="（%2）"/>
      <w:lvlJc w:val="left"/>
      <w:pPr>
        <w:ind w:left="9858" w:hanging="360"/>
        <w:tabs>
          <w:tab w:val="left" w:pos="9858"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1156"/>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112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429" w:hanging="720"/>
        <w:tabs>
          <w:tab w:val="left" w:pos="1429"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24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3" w:default="1">
    <w:name w:val="Normal"/>
    <w:next w:val="945"/>
    <w:link w:val="1390"/>
    <w:uiPriority w:val="0"/>
    <w:qFormat/>
    <w:pPr>
      <w:jc w:val="both"/>
      <w:widowControl w:val="off"/>
    </w:pPr>
    <w:rPr>
      <w:rFonts w:hint="default" w:ascii="Times New Roman" w:hAnsi="Times New Roman" w:eastAsia="宋体" w:cs="Times New Roman"/>
      <w:sz w:val="21"/>
      <w:lang w:val="en-US" w:eastAsia="zh-CN" w:bidi="ar-SA"/>
    </w:rPr>
  </w:style>
  <w:style w:type="paragraph" w:styleId="934">
    <w:name w:val="Heading 1"/>
    <w:basedOn w:val="933"/>
    <w:next w:val="933"/>
    <w:link w:val="969"/>
    <w:uiPriority w:val="9"/>
    <w:qFormat/>
    <w:pPr>
      <w:keepLines/>
      <w:keepNext/>
      <w:spacing w:before="480" w:after="200"/>
      <w:outlineLvl w:val="0"/>
    </w:pPr>
    <w:rPr>
      <w:rFonts w:ascii="Arial" w:hAnsi="Arial" w:eastAsia="Arial" w:cs="Arial"/>
      <w:sz w:val="40"/>
      <w:szCs w:val="40"/>
    </w:rPr>
  </w:style>
  <w:style w:type="paragraph" w:styleId="935">
    <w:name w:val="Heading 2"/>
    <w:basedOn w:val="933"/>
    <w:next w:val="933"/>
    <w:link w:val="970"/>
    <w:uiPriority w:val="9"/>
    <w:unhideWhenUsed/>
    <w:qFormat/>
    <w:pPr>
      <w:keepLines/>
      <w:keepNext/>
      <w:spacing w:before="360" w:after="200"/>
      <w:outlineLvl w:val="1"/>
    </w:pPr>
    <w:rPr>
      <w:rFonts w:ascii="Arial" w:hAnsi="Arial" w:eastAsia="Arial" w:cs="Arial"/>
      <w:sz w:val="34"/>
    </w:rPr>
  </w:style>
  <w:style w:type="paragraph" w:styleId="936">
    <w:name w:val="Heading 3"/>
    <w:basedOn w:val="933"/>
    <w:next w:val="933"/>
    <w:link w:val="971"/>
    <w:uiPriority w:val="9"/>
    <w:unhideWhenUsed/>
    <w:qFormat/>
    <w:pPr>
      <w:keepLines/>
      <w:keepNext/>
      <w:spacing w:before="320" w:after="200"/>
      <w:outlineLvl w:val="2"/>
    </w:pPr>
    <w:rPr>
      <w:rFonts w:ascii="Arial" w:hAnsi="Arial" w:eastAsia="Arial" w:cs="Arial"/>
      <w:sz w:val="30"/>
      <w:szCs w:val="30"/>
    </w:rPr>
  </w:style>
  <w:style w:type="paragraph" w:styleId="937">
    <w:name w:val="Heading 4"/>
    <w:basedOn w:val="933"/>
    <w:next w:val="933"/>
    <w:link w:val="972"/>
    <w:uiPriority w:val="9"/>
    <w:unhideWhenUsed/>
    <w:qFormat/>
    <w:pPr>
      <w:keepLines/>
      <w:keepNext/>
      <w:spacing w:before="320" w:after="200"/>
      <w:outlineLvl w:val="3"/>
    </w:pPr>
    <w:rPr>
      <w:rFonts w:ascii="Arial" w:hAnsi="Arial" w:eastAsia="Arial" w:cs="Arial"/>
      <w:b/>
      <w:bCs/>
      <w:sz w:val="26"/>
      <w:szCs w:val="26"/>
    </w:rPr>
  </w:style>
  <w:style w:type="paragraph" w:styleId="938">
    <w:name w:val="Heading 5"/>
    <w:basedOn w:val="933"/>
    <w:next w:val="933"/>
    <w:link w:val="973"/>
    <w:uiPriority w:val="9"/>
    <w:unhideWhenUsed/>
    <w:qFormat/>
    <w:pPr>
      <w:keepLines/>
      <w:keepNext/>
      <w:spacing w:before="320" w:after="200"/>
      <w:outlineLvl w:val="4"/>
    </w:pPr>
    <w:rPr>
      <w:rFonts w:ascii="Arial" w:hAnsi="Arial" w:eastAsia="Arial" w:cs="Arial"/>
      <w:b/>
      <w:bCs/>
      <w:sz w:val="24"/>
      <w:szCs w:val="24"/>
    </w:rPr>
  </w:style>
  <w:style w:type="paragraph" w:styleId="939">
    <w:name w:val="Heading 6"/>
    <w:basedOn w:val="933"/>
    <w:next w:val="933"/>
    <w:link w:val="974"/>
    <w:uiPriority w:val="9"/>
    <w:unhideWhenUsed/>
    <w:qFormat/>
    <w:pPr>
      <w:keepLines/>
      <w:keepNext/>
      <w:spacing w:before="320" w:after="200"/>
      <w:outlineLvl w:val="5"/>
    </w:pPr>
    <w:rPr>
      <w:rFonts w:ascii="Arial" w:hAnsi="Arial" w:eastAsia="Arial" w:cs="Arial"/>
      <w:b/>
      <w:bCs/>
      <w:sz w:val="22"/>
      <w:szCs w:val="22"/>
    </w:rPr>
  </w:style>
  <w:style w:type="paragraph" w:styleId="940">
    <w:name w:val="Heading 7"/>
    <w:basedOn w:val="933"/>
    <w:next w:val="933"/>
    <w:link w:val="975"/>
    <w:uiPriority w:val="9"/>
    <w:unhideWhenUsed/>
    <w:qFormat/>
    <w:pPr>
      <w:keepLines/>
      <w:keepNext/>
      <w:spacing w:before="320" w:after="200"/>
      <w:outlineLvl w:val="6"/>
    </w:pPr>
    <w:rPr>
      <w:rFonts w:ascii="Arial" w:hAnsi="Arial" w:eastAsia="Arial" w:cs="Arial"/>
      <w:b/>
      <w:bCs/>
      <w:i/>
      <w:iCs/>
      <w:sz w:val="22"/>
      <w:szCs w:val="22"/>
    </w:rPr>
  </w:style>
  <w:style w:type="paragraph" w:styleId="941">
    <w:name w:val="Heading 8"/>
    <w:basedOn w:val="933"/>
    <w:next w:val="933"/>
    <w:link w:val="976"/>
    <w:uiPriority w:val="9"/>
    <w:unhideWhenUsed/>
    <w:qFormat/>
    <w:pPr>
      <w:keepLines/>
      <w:keepNext/>
      <w:spacing w:before="320" w:after="200"/>
      <w:outlineLvl w:val="7"/>
    </w:pPr>
    <w:rPr>
      <w:rFonts w:ascii="Arial" w:hAnsi="Arial" w:eastAsia="Arial" w:cs="Arial"/>
      <w:i/>
      <w:iCs/>
      <w:sz w:val="22"/>
      <w:szCs w:val="22"/>
    </w:rPr>
  </w:style>
  <w:style w:type="paragraph" w:styleId="942">
    <w:name w:val="Heading 9"/>
    <w:basedOn w:val="933"/>
    <w:next w:val="933"/>
    <w:link w:val="977"/>
    <w:uiPriority w:val="9"/>
    <w:unhideWhenUsed/>
    <w:qFormat/>
    <w:pPr>
      <w:keepLines/>
      <w:keepNext/>
      <w:spacing w:before="320" w:after="200"/>
      <w:outlineLvl w:val="8"/>
    </w:pPr>
    <w:rPr>
      <w:rFonts w:ascii="Arial" w:hAnsi="Arial" w:eastAsia="Arial" w:cs="Arial"/>
      <w:i/>
      <w:iCs/>
      <w:sz w:val="21"/>
      <w:szCs w:val="21"/>
    </w:rPr>
  </w:style>
  <w:style w:type="character" w:styleId="943" w:default="1">
    <w:name w:val="Default Paragraph Font"/>
    <w:uiPriority w:val="1"/>
    <w:semiHidden/>
    <w:unhideWhenUsed/>
    <w:qFormat/>
  </w:style>
  <w:style w:type="table" w:styleId="944" w:default="1">
    <w:name w:val="Normal Table"/>
    <w:uiPriority w:val="99"/>
    <w:semiHidden/>
    <w:unhideWhenUsed/>
    <w:qFormat/>
    <w:tblPr>
      <w:tblCellMar>
        <w:left w:w="108" w:type="dxa"/>
        <w:top w:w="0" w:type="dxa"/>
        <w:right w:w="108" w:type="dxa"/>
        <w:bottom w:w="0" w:type="dxa"/>
      </w:tblCellMar>
    </w:tblPr>
  </w:style>
  <w:style w:type="paragraph" w:styleId="945" w:customStyle="1">
    <w:name w:val="_Style 1"/>
    <w:uiPriority w:val="0"/>
    <w:qFormat/>
    <w:pPr>
      <w:ind w:firstLine="420"/>
      <w:jc w:val="both"/>
      <w:spacing w:line="360" w:lineRule="auto"/>
      <w:widowControl w:val="off"/>
    </w:pPr>
    <w:rPr>
      <w:rFonts w:hint="default" w:ascii="Calibri" w:hAnsi="Calibri" w:eastAsia="宋体" w:cs="Times New Roman"/>
      <w:sz w:val="24"/>
      <w:szCs w:val="22"/>
      <w:lang w:val="en-US" w:eastAsia="zh-CN" w:bidi="ar-SA"/>
    </w:rPr>
  </w:style>
  <w:style w:type="paragraph" w:styleId="946">
    <w:name w:val="toc 7"/>
    <w:basedOn w:val="933"/>
    <w:next w:val="933"/>
    <w:uiPriority w:val="39"/>
    <w:unhideWhenUsed/>
    <w:qFormat/>
    <w:pPr>
      <w:ind w:left="1701" w:right="0" w:firstLine="0"/>
      <w:spacing w:after="57"/>
    </w:pPr>
  </w:style>
  <w:style w:type="paragraph" w:styleId="947">
    <w:name w:val="Caption"/>
    <w:basedOn w:val="933"/>
    <w:next w:val="933"/>
    <w:uiPriority w:val="35"/>
    <w:semiHidden/>
    <w:unhideWhenUsed/>
    <w:qFormat/>
    <w:pPr>
      <w:spacing w:line="276" w:lineRule="auto"/>
    </w:pPr>
    <w:rPr>
      <w:b/>
      <w:bCs/>
      <w:color w:val="4f81bd" w:themeColor="accent1"/>
      <w:sz w:val="18"/>
      <w:szCs w:val="18"/>
    </w:rPr>
  </w:style>
  <w:style w:type="paragraph" w:styleId="948">
    <w:name w:val="toc 5"/>
    <w:basedOn w:val="933"/>
    <w:next w:val="933"/>
    <w:uiPriority w:val="39"/>
    <w:unhideWhenUsed/>
    <w:qFormat/>
    <w:pPr>
      <w:ind w:left="1134" w:right="0" w:firstLine="0"/>
      <w:spacing w:after="57"/>
    </w:pPr>
  </w:style>
  <w:style w:type="paragraph" w:styleId="949">
    <w:name w:val="toc 3"/>
    <w:basedOn w:val="933"/>
    <w:next w:val="933"/>
    <w:uiPriority w:val="39"/>
    <w:unhideWhenUsed/>
    <w:qFormat/>
    <w:pPr>
      <w:ind w:left="567" w:right="0" w:firstLine="0"/>
      <w:spacing w:after="57"/>
    </w:pPr>
  </w:style>
  <w:style w:type="paragraph" w:styleId="950">
    <w:name w:val="Plain Text"/>
    <w:basedOn w:val="933"/>
    <w:uiPriority w:val="0"/>
    <w:qFormat/>
    <w:rPr>
      <w:rFonts w:hint="eastAsia" w:ascii="宋体" w:hAnsi="Courier New" w:eastAsia="楷体_GB2312"/>
      <w:sz w:val="28"/>
    </w:rPr>
  </w:style>
  <w:style w:type="paragraph" w:styleId="951">
    <w:name w:val="toc 8"/>
    <w:basedOn w:val="933"/>
    <w:next w:val="933"/>
    <w:uiPriority w:val="39"/>
    <w:unhideWhenUsed/>
    <w:qFormat/>
    <w:pPr>
      <w:ind w:left="1984" w:right="0" w:firstLine="0"/>
      <w:spacing w:after="57"/>
    </w:pPr>
  </w:style>
  <w:style w:type="paragraph" w:styleId="952">
    <w:name w:val="endnote text"/>
    <w:basedOn w:val="933"/>
    <w:link w:val="1114"/>
    <w:uiPriority w:val="99"/>
    <w:semiHidden/>
    <w:unhideWhenUsed/>
    <w:qFormat/>
    <w:pPr>
      <w:spacing w:after="0" w:line="240" w:lineRule="auto"/>
    </w:pPr>
    <w:rPr>
      <w:sz w:val="20"/>
    </w:rPr>
  </w:style>
  <w:style w:type="paragraph" w:styleId="953">
    <w:name w:val="Footer"/>
    <w:basedOn w:val="933"/>
    <w:next w:val="954"/>
    <w:link w:val="987"/>
    <w:uiPriority w:val="99"/>
    <w:unhideWhenUsed/>
    <w:qFormat/>
    <w:pPr>
      <w:spacing w:after="0" w:line="240" w:lineRule="auto"/>
      <w:tabs>
        <w:tab w:val="center" w:pos="7143" w:leader="none"/>
        <w:tab w:val="right" w:pos="14287" w:leader="none"/>
      </w:tabs>
    </w:pPr>
  </w:style>
  <w:style w:type="paragraph" w:styleId="954" w:customStyle="1">
    <w:name w:val="TOC Heading1"/>
    <w:next w:val="933"/>
    <w:uiPriority w:val="0"/>
    <w:unhideWhenUsed/>
    <w:qFormat/>
    <w:rPr>
      <w:rFonts w:hint="eastAsia" w:ascii="Times New Roman" w:hAnsi="Times New Roman" w:eastAsia="Times New Roman" w:cs="Times New Roman"/>
      <w:sz w:val="32"/>
      <w:szCs w:val="24"/>
      <w:lang w:val="en-US" w:eastAsia="zh-CN" w:bidi="ar-SA"/>
    </w:rPr>
  </w:style>
  <w:style w:type="paragraph" w:styleId="955">
    <w:name w:val="Header"/>
    <w:basedOn w:val="933"/>
    <w:link w:val="985"/>
    <w:uiPriority w:val="99"/>
    <w:unhideWhenUsed/>
    <w:qFormat/>
    <w:pPr>
      <w:spacing w:after="0" w:line="240" w:lineRule="auto"/>
      <w:tabs>
        <w:tab w:val="center" w:pos="7143" w:leader="none"/>
        <w:tab w:val="right" w:pos="14287" w:leader="none"/>
      </w:tabs>
    </w:pPr>
  </w:style>
  <w:style w:type="paragraph" w:styleId="956">
    <w:name w:val="toc 1"/>
    <w:basedOn w:val="933"/>
    <w:next w:val="933"/>
    <w:uiPriority w:val="39"/>
    <w:unhideWhenUsed/>
    <w:qFormat/>
    <w:pPr>
      <w:ind w:left="0" w:right="0" w:firstLine="0"/>
      <w:spacing w:after="57"/>
    </w:pPr>
  </w:style>
  <w:style w:type="paragraph" w:styleId="957">
    <w:name w:val="toc 4"/>
    <w:basedOn w:val="933"/>
    <w:next w:val="933"/>
    <w:uiPriority w:val="39"/>
    <w:unhideWhenUsed/>
    <w:qFormat/>
    <w:pPr>
      <w:ind w:left="850" w:right="0" w:firstLine="0"/>
      <w:spacing w:after="57"/>
    </w:pPr>
  </w:style>
  <w:style w:type="paragraph" w:styleId="958">
    <w:name w:val="Subtitle"/>
    <w:basedOn w:val="933"/>
    <w:next w:val="933"/>
    <w:link w:val="980"/>
    <w:uiPriority w:val="11"/>
    <w:qFormat/>
    <w:pPr>
      <w:spacing w:before="200" w:after="200"/>
    </w:pPr>
    <w:rPr>
      <w:sz w:val="24"/>
      <w:szCs w:val="24"/>
    </w:rPr>
  </w:style>
  <w:style w:type="paragraph" w:styleId="959">
    <w:name w:val="footnote text"/>
    <w:basedOn w:val="933"/>
    <w:link w:val="1113"/>
    <w:uiPriority w:val="99"/>
    <w:semiHidden/>
    <w:unhideWhenUsed/>
    <w:qFormat/>
    <w:pPr>
      <w:spacing w:after="40" w:line="240" w:lineRule="auto"/>
    </w:pPr>
    <w:rPr>
      <w:sz w:val="18"/>
    </w:rPr>
  </w:style>
  <w:style w:type="paragraph" w:styleId="960">
    <w:name w:val="toc 6"/>
    <w:basedOn w:val="933"/>
    <w:next w:val="933"/>
    <w:uiPriority w:val="39"/>
    <w:unhideWhenUsed/>
    <w:qFormat/>
    <w:pPr>
      <w:ind w:left="1417" w:right="0" w:firstLine="0"/>
      <w:spacing w:after="57"/>
    </w:pPr>
  </w:style>
  <w:style w:type="paragraph" w:styleId="961">
    <w:name w:val="table of figures"/>
    <w:basedOn w:val="933"/>
    <w:next w:val="933"/>
    <w:uiPriority w:val="99"/>
    <w:unhideWhenUsed/>
    <w:qFormat/>
    <w:pPr>
      <w:spacing w:after="0" w:afterAutospacing="0"/>
    </w:pPr>
  </w:style>
  <w:style w:type="paragraph" w:styleId="962">
    <w:name w:val="toc 2"/>
    <w:basedOn w:val="933"/>
    <w:next w:val="933"/>
    <w:uiPriority w:val="39"/>
    <w:unhideWhenUsed/>
    <w:qFormat/>
    <w:pPr>
      <w:ind w:left="283" w:right="0" w:firstLine="0"/>
      <w:spacing w:after="57"/>
    </w:pPr>
  </w:style>
  <w:style w:type="paragraph" w:styleId="963">
    <w:name w:val="toc 9"/>
    <w:basedOn w:val="933"/>
    <w:next w:val="933"/>
    <w:uiPriority w:val="39"/>
    <w:unhideWhenUsed/>
    <w:qFormat/>
    <w:pPr>
      <w:ind w:left="2268" w:right="0" w:firstLine="0"/>
      <w:spacing w:after="57"/>
    </w:pPr>
  </w:style>
  <w:style w:type="paragraph" w:styleId="964">
    <w:name w:val="Title"/>
    <w:basedOn w:val="933"/>
    <w:next w:val="933"/>
    <w:link w:val="979"/>
    <w:uiPriority w:val="10"/>
    <w:qFormat/>
    <w:pPr>
      <w:contextualSpacing/>
      <w:spacing w:before="300" w:after="200"/>
    </w:pPr>
    <w:rPr>
      <w:sz w:val="48"/>
      <w:szCs w:val="48"/>
    </w:rPr>
  </w:style>
  <w:style w:type="table" w:styleId="9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6">
    <w:name w:val="endnote reference"/>
    <w:uiPriority w:val="99"/>
    <w:semiHidden/>
    <w:unhideWhenUsed/>
    <w:qFormat/>
    <w:rPr>
      <w:vertAlign w:val="superscript"/>
    </w:rPr>
  </w:style>
  <w:style w:type="character" w:styleId="967">
    <w:name w:val="Hyperlink"/>
    <w:uiPriority w:val="99"/>
    <w:unhideWhenUsed/>
    <w:qFormat/>
    <w:rPr>
      <w:color w:val="0000ff" w:themeColor="hyperlink"/>
      <w:u w:val="single"/>
    </w:rPr>
  </w:style>
  <w:style w:type="character" w:styleId="968">
    <w:name w:val="footnote reference"/>
    <w:uiPriority w:val="99"/>
    <w:unhideWhenUsed/>
    <w:qFormat/>
    <w:rPr>
      <w:vertAlign w:val="superscript"/>
    </w:rPr>
  </w:style>
  <w:style w:type="character" w:styleId="969" w:customStyle="1">
    <w:name w:val="Heading 1 Char"/>
    <w:link w:val="934"/>
    <w:uiPriority w:val="9"/>
    <w:qFormat/>
    <w:rPr>
      <w:rFonts w:ascii="Arial" w:hAnsi="Arial" w:eastAsia="Arial" w:cs="Arial"/>
      <w:sz w:val="40"/>
      <w:szCs w:val="40"/>
    </w:rPr>
  </w:style>
  <w:style w:type="character" w:styleId="970" w:customStyle="1">
    <w:name w:val="Heading 2 Char"/>
    <w:link w:val="935"/>
    <w:uiPriority w:val="9"/>
    <w:qFormat/>
    <w:rPr>
      <w:rFonts w:ascii="Arial" w:hAnsi="Arial" w:eastAsia="Arial" w:cs="Arial"/>
      <w:sz w:val="34"/>
    </w:rPr>
  </w:style>
  <w:style w:type="character" w:styleId="971" w:customStyle="1">
    <w:name w:val="Heading 3 Char"/>
    <w:link w:val="936"/>
    <w:uiPriority w:val="9"/>
    <w:qFormat/>
    <w:rPr>
      <w:rFonts w:ascii="Arial" w:hAnsi="Arial" w:eastAsia="Arial" w:cs="Arial"/>
      <w:sz w:val="30"/>
      <w:szCs w:val="30"/>
    </w:rPr>
  </w:style>
  <w:style w:type="character" w:styleId="972" w:customStyle="1">
    <w:name w:val="Heading 4 Char"/>
    <w:link w:val="937"/>
    <w:uiPriority w:val="9"/>
    <w:qFormat/>
    <w:rPr>
      <w:rFonts w:ascii="Arial" w:hAnsi="Arial" w:eastAsia="Arial" w:cs="Arial"/>
      <w:b/>
      <w:bCs/>
      <w:sz w:val="26"/>
      <w:szCs w:val="26"/>
    </w:rPr>
  </w:style>
  <w:style w:type="character" w:styleId="973" w:customStyle="1">
    <w:name w:val="Heading 5 Char"/>
    <w:link w:val="938"/>
    <w:uiPriority w:val="9"/>
    <w:qFormat/>
    <w:rPr>
      <w:rFonts w:ascii="Arial" w:hAnsi="Arial" w:eastAsia="Arial" w:cs="Arial"/>
      <w:b/>
      <w:bCs/>
      <w:sz w:val="24"/>
      <w:szCs w:val="24"/>
    </w:rPr>
  </w:style>
  <w:style w:type="character" w:styleId="974" w:customStyle="1">
    <w:name w:val="Heading 6 Char"/>
    <w:link w:val="939"/>
    <w:uiPriority w:val="9"/>
    <w:qFormat/>
    <w:rPr>
      <w:rFonts w:ascii="Arial" w:hAnsi="Arial" w:eastAsia="Arial" w:cs="Arial"/>
      <w:b/>
      <w:bCs/>
      <w:sz w:val="22"/>
      <w:szCs w:val="22"/>
    </w:rPr>
  </w:style>
  <w:style w:type="character" w:styleId="975" w:customStyle="1">
    <w:name w:val="Heading 7 Char"/>
    <w:link w:val="940"/>
    <w:uiPriority w:val="9"/>
    <w:qFormat/>
    <w:rPr>
      <w:rFonts w:ascii="Arial" w:hAnsi="Arial" w:eastAsia="Arial" w:cs="Arial"/>
      <w:b/>
      <w:bCs/>
      <w:i/>
      <w:iCs/>
      <w:sz w:val="22"/>
      <w:szCs w:val="22"/>
    </w:rPr>
  </w:style>
  <w:style w:type="character" w:styleId="976" w:customStyle="1">
    <w:name w:val="Heading 8 Char"/>
    <w:link w:val="941"/>
    <w:uiPriority w:val="9"/>
    <w:qFormat/>
    <w:rPr>
      <w:rFonts w:ascii="Arial" w:hAnsi="Arial" w:eastAsia="Arial" w:cs="Arial"/>
      <w:i/>
      <w:iCs/>
      <w:sz w:val="22"/>
      <w:szCs w:val="22"/>
    </w:rPr>
  </w:style>
  <w:style w:type="character" w:styleId="977" w:customStyle="1">
    <w:name w:val="Heading 9 Char"/>
    <w:link w:val="942"/>
    <w:uiPriority w:val="9"/>
    <w:qFormat/>
    <w:rPr>
      <w:rFonts w:ascii="Arial" w:hAnsi="Arial" w:eastAsia="Arial" w:cs="Arial"/>
      <w:i/>
      <w:iCs/>
      <w:sz w:val="21"/>
      <w:szCs w:val="21"/>
    </w:rPr>
  </w:style>
  <w:style w:type="paragraph" w:styleId="978">
    <w:name w:val="No Spacing"/>
    <w:uiPriority w:val="1"/>
    <w:qFormat/>
    <w:pPr>
      <w:spacing w:before="0" w:after="0" w:line="240" w:lineRule="auto"/>
    </w:pPr>
    <w:rPr>
      <w:rFonts w:hint="default" w:ascii="Times New Roman" w:hAnsi="Times New Roman" w:eastAsia="宋体" w:cs="Times New Roman"/>
    </w:rPr>
  </w:style>
  <w:style w:type="character" w:styleId="979" w:customStyle="1">
    <w:name w:val="Title Char"/>
    <w:link w:val="964"/>
    <w:uiPriority w:val="10"/>
    <w:qFormat/>
    <w:rPr>
      <w:sz w:val="48"/>
      <w:szCs w:val="48"/>
    </w:rPr>
  </w:style>
  <w:style w:type="character" w:styleId="980" w:customStyle="1">
    <w:name w:val="Subtitle Char"/>
    <w:link w:val="958"/>
    <w:uiPriority w:val="11"/>
    <w:qFormat/>
    <w:rPr>
      <w:sz w:val="24"/>
      <w:szCs w:val="24"/>
    </w:rPr>
  </w:style>
  <w:style w:type="paragraph" w:styleId="981">
    <w:name w:val="Quote"/>
    <w:basedOn w:val="933"/>
    <w:next w:val="933"/>
    <w:link w:val="982"/>
    <w:uiPriority w:val="29"/>
    <w:qFormat/>
    <w:pPr>
      <w:ind w:left="720" w:right="720"/>
    </w:pPr>
    <w:rPr>
      <w:i/>
    </w:rPr>
  </w:style>
  <w:style w:type="character" w:styleId="982" w:customStyle="1">
    <w:name w:val="Quote Char"/>
    <w:link w:val="981"/>
    <w:uiPriority w:val="29"/>
    <w:qFormat/>
    <w:rPr>
      <w:i/>
    </w:rPr>
  </w:style>
  <w:style w:type="paragraph" w:styleId="983">
    <w:name w:val="Intense Quote"/>
    <w:basedOn w:val="933"/>
    <w:next w:val="933"/>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Intense Quote Char"/>
    <w:link w:val="983"/>
    <w:uiPriority w:val="30"/>
    <w:qFormat/>
    <w:rPr>
      <w:i/>
    </w:rPr>
  </w:style>
  <w:style w:type="character" w:styleId="985" w:customStyle="1">
    <w:name w:val="Header Char"/>
    <w:link w:val="955"/>
    <w:uiPriority w:val="99"/>
    <w:qFormat/>
  </w:style>
  <w:style w:type="character" w:styleId="986" w:customStyle="1">
    <w:name w:val="Footer Char"/>
    <w:link w:val="953"/>
    <w:uiPriority w:val="99"/>
    <w:qFormat/>
  </w:style>
  <w:style w:type="character" w:styleId="987" w:customStyle="1">
    <w:name w:val="Caption Char"/>
    <w:link w:val="953"/>
    <w:uiPriority w:val="99"/>
    <w:qFormat/>
  </w:style>
  <w:style w:type="table" w:styleId="9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Footnote Text Char"/>
    <w:link w:val="959"/>
    <w:uiPriority w:val="99"/>
    <w:qFormat/>
    <w:rPr>
      <w:sz w:val="18"/>
    </w:rPr>
  </w:style>
  <w:style w:type="character" w:styleId="1114" w:customStyle="1">
    <w:name w:val="Endnote Text Char"/>
    <w:link w:val="952"/>
    <w:uiPriority w:val="99"/>
    <w:qFormat/>
    <w:rPr>
      <w:sz w:val="20"/>
    </w:rPr>
  </w:style>
  <w:style w:type="paragraph" w:styleId="1115" w:customStyle="1">
    <w:name w:val="TOC Heading"/>
    <w:uiPriority w:val="39"/>
    <w:unhideWhenUsed/>
    <w:qFormat/>
    <w:rPr>
      <w:rFonts w:hint="default" w:ascii="Times New Roman" w:hAnsi="Times New Roman" w:eastAsia="宋体" w:cs="Times New Roman"/>
    </w:rPr>
  </w:style>
  <w:style w:type="paragraph" w:styleId="1116" w:customStyle="1">
    <w:name w:val="标题 11"/>
    <w:basedOn w:val="933"/>
    <w:next w:val="933"/>
    <w:link w:val="1127"/>
    <w:uiPriority w:val="0"/>
    <w:qFormat/>
    <w:pPr>
      <w:jc w:val="center"/>
      <w:keepNext/>
      <w:outlineLvl w:val="0"/>
    </w:pPr>
    <w:rPr>
      <w:rFonts w:ascii="楷体_GB2312" w:eastAsia="楷体_GB2312"/>
      <w:b/>
      <w:sz w:val="28"/>
    </w:rPr>
  </w:style>
  <w:style w:type="paragraph" w:styleId="1117" w:customStyle="1">
    <w:name w:val="标题 21"/>
    <w:basedOn w:val="933"/>
    <w:next w:val="933"/>
    <w:link w:val="1128"/>
    <w:uiPriority w:val="0"/>
    <w:qFormat/>
    <w:pPr>
      <w:jc w:val="center"/>
      <w:keepNext/>
      <w:outlineLvl w:val="1"/>
    </w:pPr>
    <w:rPr>
      <w:rFonts w:ascii="楷体_GB2312" w:eastAsia="楷体_GB2312"/>
      <w:b/>
      <w:bCs/>
      <w:sz w:val="18"/>
    </w:rPr>
  </w:style>
  <w:style w:type="paragraph" w:styleId="1118" w:customStyle="1">
    <w:name w:val="标题 31"/>
    <w:basedOn w:val="933"/>
    <w:next w:val="933"/>
    <w:link w:val="1129"/>
    <w:uiPriority w:val="0"/>
    <w:qFormat/>
    <w:pPr>
      <w:jc w:val="center"/>
      <w:keepNext/>
      <w:outlineLvl w:val="2"/>
    </w:pPr>
    <w:rPr>
      <w:rFonts w:eastAsia="楷体_GB2312"/>
      <w:b/>
      <w:bCs/>
      <w:sz w:val="15"/>
    </w:rPr>
  </w:style>
  <w:style w:type="paragraph" w:styleId="1119" w:customStyle="1">
    <w:name w:val="标题 41"/>
    <w:basedOn w:val="933"/>
    <w:next w:val="933"/>
    <w:link w:val="1130"/>
    <w:uiPriority w:val="0"/>
    <w:qFormat/>
    <w:pPr>
      <w:jc w:val="center"/>
      <w:keepNext/>
      <w:outlineLvl w:val="3"/>
    </w:pPr>
    <w:rPr>
      <w:rFonts w:eastAsia="楷体_GB2312"/>
      <w:b/>
      <w:bCs/>
      <w:sz w:val="13"/>
    </w:rPr>
  </w:style>
  <w:style w:type="paragraph" w:styleId="1120" w:customStyle="1">
    <w:name w:val="标题 51"/>
    <w:basedOn w:val="933"/>
    <w:next w:val="933"/>
    <w:link w:val="1131"/>
    <w:uiPriority w:val="99"/>
    <w:qFormat/>
    <w:pPr>
      <w:numPr>
        <w:ilvl w:val="0"/>
        <w:numId w:val="1"/>
      </w:numPr>
      <w:keepNext/>
      <w:outlineLvl w:val="4"/>
    </w:pPr>
    <w:rPr>
      <w:rFonts w:ascii="楷体_GB2312" w:eastAsia="楷体_GB2312"/>
      <w:bCs/>
      <w:sz w:val="28"/>
    </w:rPr>
  </w:style>
  <w:style w:type="paragraph" w:styleId="1121" w:customStyle="1">
    <w:name w:val="标题 61"/>
    <w:basedOn w:val="933"/>
    <w:next w:val="933"/>
    <w:link w:val="1132"/>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1122" w:customStyle="1">
    <w:name w:val="标题 71"/>
    <w:basedOn w:val="933"/>
    <w:next w:val="933"/>
    <w:link w:val="1133"/>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1123" w:customStyle="1">
    <w:name w:val="标题 81"/>
    <w:basedOn w:val="933"/>
    <w:next w:val="933"/>
    <w:link w:val="1134"/>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1124" w:customStyle="1">
    <w:name w:val="标题 91"/>
    <w:basedOn w:val="933"/>
    <w:next w:val="933"/>
    <w:link w:val="1135"/>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1125" w:customStyle="1">
    <w:name w:val="默认段落字体1"/>
    <w:link w:val="933"/>
    <w:uiPriority w:val="1"/>
    <w:unhideWhenUsed/>
    <w:qFormat/>
  </w:style>
  <w:style w:type="table" w:styleId="1126" w:customStyle="1">
    <w:name w:val="普通表格1"/>
    <w:uiPriority w:val="99"/>
    <w:unhideWhenUsed/>
    <w:qFormat/>
    <w:tblPr/>
  </w:style>
  <w:style w:type="character" w:styleId="1127" w:customStyle="1">
    <w:name w:val="标题 1 Char"/>
    <w:link w:val="1116"/>
    <w:uiPriority w:val="0"/>
    <w:qFormat/>
    <w:rPr>
      <w:rFonts w:ascii="楷体_GB2312" w:hAnsi="Times New Roman" w:eastAsia="楷体_GB2312" w:cs="Times New Roman"/>
      <w:b/>
      <w:sz w:val="28"/>
      <w:szCs w:val="20"/>
    </w:rPr>
  </w:style>
  <w:style w:type="character" w:styleId="1128" w:customStyle="1">
    <w:name w:val="标题 2 Char"/>
    <w:link w:val="1117"/>
    <w:uiPriority w:val="0"/>
    <w:qFormat/>
    <w:rPr>
      <w:rFonts w:ascii="楷体_GB2312" w:hAnsi="Times New Roman" w:eastAsia="楷体_GB2312" w:cs="Times New Roman"/>
      <w:b/>
      <w:bCs/>
      <w:sz w:val="18"/>
      <w:szCs w:val="20"/>
    </w:rPr>
  </w:style>
  <w:style w:type="character" w:styleId="1129" w:customStyle="1">
    <w:name w:val="标题 3 Char"/>
    <w:link w:val="1118"/>
    <w:uiPriority w:val="0"/>
    <w:qFormat/>
    <w:rPr>
      <w:rFonts w:ascii="Times New Roman" w:hAnsi="Times New Roman" w:eastAsia="楷体_GB2312" w:cs="Times New Roman"/>
      <w:b/>
      <w:bCs/>
      <w:sz w:val="15"/>
      <w:szCs w:val="20"/>
    </w:rPr>
  </w:style>
  <w:style w:type="character" w:styleId="1130" w:customStyle="1">
    <w:name w:val="标题 4 Char"/>
    <w:link w:val="1119"/>
    <w:uiPriority w:val="0"/>
    <w:qFormat/>
    <w:rPr>
      <w:rFonts w:ascii="Times New Roman" w:hAnsi="Times New Roman" w:eastAsia="楷体_GB2312" w:cs="Times New Roman"/>
      <w:b/>
      <w:bCs/>
      <w:sz w:val="13"/>
      <w:szCs w:val="20"/>
    </w:rPr>
  </w:style>
  <w:style w:type="character" w:styleId="1131" w:customStyle="1">
    <w:name w:val="标题 5 Char"/>
    <w:link w:val="1120"/>
    <w:uiPriority w:val="99"/>
    <w:qFormat/>
    <w:rPr>
      <w:rFonts w:ascii="楷体_GB2312" w:hAnsi="Times New Roman" w:eastAsia="楷体_GB2312"/>
      <w:bCs/>
      <w:sz w:val="28"/>
    </w:rPr>
  </w:style>
  <w:style w:type="character" w:styleId="1132" w:customStyle="1">
    <w:name w:val="标题 6 Char"/>
    <w:link w:val="1121"/>
    <w:uiPriority w:val="0"/>
    <w:qFormat/>
    <w:rPr>
      <w:rFonts w:ascii="Arial" w:hAnsi="Arial" w:eastAsia="黑体"/>
      <w:b/>
      <w:sz w:val="24"/>
      <w:szCs w:val="24"/>
    </w:rPr>
  </w:style>
  <w:style w:type="character" w:styleId="1133" w:customStyle="1">
    <w:name w:val="标题 7 Char"/>
    <w:link w:val="1122"/>
    <w:uiPriority w:val="0"/>
    <w:qFormat/>
    <w:rPr>
      <w:rFonts w:ascii="Times New Roman" w:hAnsi="Times New Roman"/>
      <w:b/>
      <w:sz w:val="24"/>
      <w:szCs w:val="24"/>
    </w:rPr>
  </w:style>
  <w:style w:type="character" w:styleId="1134" w:customStyle="1">
    <w:name w:val="标题 8 Char"/>
    <w:link w:val="1123"/>
    <w:uiPriority w:val="0"/>
    <w:qFormat/>
    <w:rPr>
      <w:rFonts w:ascii="Arial" w:hAnsi="Arial" w:eastAsia="黑体"/>
      <w:sz w:val="24"/>
      <w:szCs w:val="24"/>
    </w:rPr>
  </w:style>
  <w:style w:type="character" w:styleId="1135" w:customStyle="1">
    <w:name w:val="标题 9 Char"/>
    <w:link w:val="1124"/>
    <w:uiPriority w:val="0"/>
    <w:qFormat/>
    <w:rPr>
      <w:rFonts w:ascii="Arial" w:hAnsi="Arial" w:eastAsia="黑体"/>
      <w:sz w:val="21"/>
      <w:szCs w:val="24"/>
    </w:rPr>
  </w:style>
  <w:style w:type="paragraph" w:styleId="1136" w:customStyle="1">
    <w:name w:val="列表 31"/>
    <w:basedOn w:val="933"/>
    <w:uiPriority w:val="0"/>
    <w:qFormat/>
    <w:pPr>
      <w:ind w:left="1260" w:hanging="420"/>
    </w:pPr>
    <w:rPr>
      <w:rFonts w:hAnsi="宋体"/>
      <w:color w:val="000000"/>
      <w:spacing w:val="-8"/>
    </w:rPr>
  </w:style>
  <w:style w:type="paragraph" w:styleId="1137" w:customStyle="1">
    <w:name w:val="目录 71"/>
    <w:basedOn w:val="933"/>
    <w:next w:val="933"/>
    <w:uiPriority w:val="0"/>
    <w:qFormat/>
    <w:pPr>
      <w:ind w:left="1260" w:firstLine="420"/>
      <w:jc w:val="left"/>
      <w:spacing w:line="288" w:lineRule="auto"/>
    </w:pPr>
    <w:rPr>
      <w:sz w:val="18"/>
      <w:szCs w:val="18"/>
    </w:rPr>
  </w:style>
  <w:style w:type="paragraph" w:styleId="1138" w:customStyle="1">
    <w:name w:val="索引 81"/>
    <w:basedOn w:val="933"/>
    <w:next w:val="933"/>
    <w:uiPriority w:val="0"/>
    <w:qFormat/>
    <w:pPr>
      <w:ind w:left="1400"/>
    </w:pPr>
  </w:style>
  <w:style w:type="paragraph" w:styleId="1139" w:customStyle="1">
    <w:name w:val="正文缩进11"/>
    <w:basedOn w:val="933"/>
    <w:link w:val="1140"/>
    <w:uiPriority w:val="0"/>
    <w:unhideWhenUsed/>
    <w:qFormat/>
    <w:pPr>
      <w:ind w:firstLine="420"/>
    </w:pPr>
    <w:rPr>
      <w:szCs w:val="24"/>
    </w:rPr>
  </w:style>
  <w:style w:type="character" w:styleId="1140" w:customStyle="1">
    <w:name w:val="正文缩进 Char"/>
    <w:link w:val="1139"/>
    <w:uiPriority w:val="0"/>
    <w:qFormat/>
    <w:rPr>
      <w:rFonts w:ascii="Times New Roman" w:hAnsi="Times New Roman"/>
      <w:sz w:val="21"/>
      <w:szCs w:val="24"/>
    </w:rPr>
  </w:style>
  <w:style w:type="paragraph" w:styleId="1141" w:customStyle="1">
    <w:name w:val="题注1"/>
    <w:basedOn w:val="933"/>
    <w:next w:val="933"/>
    <w:uiPriority w:val="0"/>
    <w:qFormat/>
    <w:rPr>
      <w:rFonts w:ascii="Arial" w:hAnsi="Arial" w:eastAsia="黑体" w:cs="Arial"/>
      <w:sz w:val="20"/>
    </w:rPr>
  </w:style>
  <w:style w:type="paragraph" w:styleId="1142" w:customStyle="1">
    <w:name w:val="索引 51"/>
    <w:basedOn w:val="933"/>
    <w:next w:val="933"/>
    <w:uiPriority w:val="0"/>
    <w:unhideWhenUsed/>
    <w:qFormat/>
    <w:pPr>
      <w:ind w:left="800"/>
    </w:pPr>
  </w:style>
  <w:style w:type="paragraph" w:styleId="1143" w:customStyle="1">
    <w:name w:val="列表项目符号1"/>
    <w:basedOn w:val="933"/>
    <w:uiPriority w:val="0"/>
    <w:qFormat/>
    <w:pPr>
      <w:ind w:left="360" w:firstLine="200"/>
      <w:tabs>
        <w:tab w:val="left" w:pos="360" w:leader="none"/>
      </w:tabs>
    </w:pPr>
    <w:rPr>
      <w:rFonts w:hAnsi="宋体"/>
      <w:color w:val="000000"/>
      <w:spacing w:val="-8"/>
    </w:rPr>
  </w:style>
  <w:style w:type="paragraph" w:styleId="1144" w:customStyle="1">
    <w:name w:val="文档结构图1"/>
    <w:basedOn w:val="933"/>
    <w:link w:val="1145"/>
    <w:uiPriority w:val="0"/>
    <w:qFormat/>
    <w:pPr>
      <w:shd w:val="clear" w:color="auto" w:fill="000080"/>
    </w:pPr>
    <w:rPr>
      <w:sz w:val="20"/>
    </w:rPr>
  </w:style>
  <w:style w:type="character" w:styleId="1145" w:customStyle="1">
    <w:name w:val="文档结构图 Char"/>
    <w:link w:val="1144"/>
    <w:uiPriority w:val="0"/>
    <w:qFormat/>
    <w:rPr>
      <w:rFonts w:ascii="Times New Roman" w:hAnsi="Times New Roman" w:eastAsia="宋体" w:cs="Times New Roman"/>
      <w:szCs w:val="20"/>
      <w:shd w:val="clear" w:color="auto" w:fill="000080"/>
    </w:rPr>
  </w:style>
  <w:style w:type="paragraph" w:styleId="1146" w:customStyle="1">
    <w:name w:val="批注文字1"/>
    <w:basedOn w:val="933"/>
    <w:link w:val="1147"/>
    <w:uiPriority w:val="0"/>
    <w:qFormat/>
    <w:pPr>
      <w:jc w:val="left"/>
    </w:pPr>
    <w:rPr>
      <w:sz w:val="20"/>
      <w:szCs w:val="24"/>
    </w:rPr>
  </w:style>
  <w:style w:type="character" w:styleId="1147" w:customStyle="1">
    <w:name w:val="批注文字 Char"/>
    <w:link w:val="1146"/>
    <w:uiPriority w:val="0"/>
    <w:qFormat/>
    <w:rPr>
      <w:rFonts w:ascii="Times New Roman" w:hAnsi="Times New Roman" w:eastAsia="宋体" w:cs="Times New Roman"/>
      <w:szCs w:val="24"/>
    </w:rPr>
  </w:style>
  <w:style w:type="paragraph" w:styleId="1148" w:customStyle="1">
    <w:name w:val="索引 61"/>
    <w:basedOn w:val="933"/>
    <w:next w:val="933"/>
    <w:uiPriority w:val="0"/>
    <w:qFormat/>
    <w:pPr>
      <w:ind w:left="1000"/>
    </w:pPr>
  </w:style>
  <w:style w:type="paragraph" w:styleId="1149" w:customStyle="1">
    <w:name w:val="称呼1"/>
    <w:basedOn w:val="933"/>
    <w:next w:val="933"/>
    <w:link w:val="1150"/>
    <w:uiPriority w:val="0"/>
    <w:qFormat/>
    <w:pPr>
      <w:ind w:firstLine="420"/>
      <w:spacing w:after="20" w:line="288" w:lineRule="auto"/>
    </w:pPr>
    <w:rPr>
      <w:sz w:val="28"/>
      <w:szCs w:val="24"/>
    </w:rPr>
  </w:style>
  <w:style w:type="character" w:styleId="1150" w:customStyle="1">
    <w:name w:val="称呼 Char"/>
    <w:link w:val="1149"/>
    <w:uiPriority w:val="0"/>
    <w:qFormat/>
    <w:rPr>
      <w:rFonts w:ascii="Times New Roman" w:hAnsi="Times New Roman"/>
      <w:sz w:val="28"/>
      <w:szCs w:val="24"/>
    </w:rPr>
  </w:style>
  <w:style w:type="paragraph" w:styleId="1151" w:customStyle="1">
    <w:name w:val="正文文本 31"/>
    <w:basedOn w:val="933"/>
    <w:link w:val="1152"/>
    <w:uiPriority w:val="0"/>
    <w:qFormat/>
    <w:pPr>
      <w:jc w:val="center"/>
      <w:spacing w:after="20" w:line="288" w:lineRule="auto"/>
    </w:pPr>
    <w:rPr>
      <w:b/>
      <w:bCs/>
      <w:sz w:val="24"/>
      <w:szCs w:val="24"/>
    </w:rPr>
  </w:style>
  <w:style w:type="character" w:styleId="1152" w:customStyle="1">
    <w:name w:val="正文文本 3 Char"/>
    <w:link w:val="1151"/>
    <w:uiPriority w:val="0"/>
    <w:qFormat/>
    <w:rPr>
      <w:rFonts w:ascii="Times New Roman" w:hAnsi="Times New Roman"/>
      <w:b/>
      <w:bCs/>
      <w:sz w:val="24"/>
      <w:szCs w:val="24"/>
    </w:rPr>
  </w:style>
  <w:style w:type="paragraph" w:styleId="1153" w:customStyle="1">
    <w:name w:val="结束语1"/>
    <w:basedOn w:val="933"/>
    <w:link w:val="1154"/>
    <w:uiPriority w:val="0"/>
    <w:qFormat/>
    <w:pPr>
      <w:ind w:left="100" w:firstLine="420"/>
      <w:spacing w:after="20" w:line="288" w:lineRule="auto"/>
    </w:pPr>
    <w:rPr>
      <w:sz w:val="28"/>
      <w:szCs w:val="24"/>
    </w:rPr>
  </w:style>
  <w:style w:type="character" w:styleId="1154" w:customStyle="1">
    <w:name w:val="结束语 Char"/>
    <w:link w:val="1153"/>
    <w:uiPriority w:val="0"/>
    <w:qFormat/>
    <w:rPr>
      <w:rFonts w:ascii="Times New Roman" w:hAnsi="Times New Roman"/>
      <w:sz w:val="28"/>
      <w:szCs w:val="24"/>
    </w:rPr>
  </w:style>
  <w:style w:type="paragraph" w:styleId="1155" w:customStyle="1">
    <w:name w:val="正文文本1"/>
    <w:basedOn w:val="933"/>
    <w:next w:val="1156"/>
    <w:link w:val="1157"/>
    <w:uiPriority w:val="0"/>
    <w:qFormat/>
    <w:rPr>
      <w:rFonts w:ascii="华文中宋" w:eastAsia="华文中宋"/>
      <w:bCs/>
      <w:sz w:val="28"/>
    </w:rPr>
  </w:style>
  <w:style w:type="paragraph" w:styleId="1156" w:customStyle="1">
    <w:name w:val="列表1"/>
    <w:basedOn w:val="933"/>
    <w:uiPriority w:val="0"/>
    <w:qFormat/>
    <w:pPr>
      <w:numPr>
        <w:ilvl w:val="0"/>
        <w:numId w:val="2"/>
      </w:numPr>
      <w:spacing w:after="20" w:line="288" w:lineRule="auto"/>
      <w:tabs>
        <w:tab w:val="left" w:pos="420" w:leader="none"/>
      </w:tabs>
    </w:pPr>
    <w:rPr>
      <w:rFonts w:ascii="Calibri" w:hAnsi="Calibri"/>
      <w:lang w:val="en-GB"/>
    </w:rPr>
  </w:style>
  <w:style w:type="character" w:styleId="1157" w:customStyle="1">
    <w:name w:val="正文文本 Char"/>
    <w:link w:val="1155"/>
    <w:uiPriority w:val="0"/>
    <w:qFormat/>
    <w:rPr>
      <w:rFonts w:ascii="华文中宋" w:hAnsi="Times New Roman" w:eastAsia="华文中宋" w:cs="Times New Roman"/>
      <w:bCs/>
      <w:sz w:val="28"/>
      <w:szCs w:val="20"/>
    </w:rPr>
  </w:style>
  <w:style w:type="paragraph" w:styleId="1158" w:customStyle="1">
    <w:name w:val="正文文本缩进1"/>
    <w:basedOn w:val="933"/>
    <w:link w:val="1159"/>
    <w:uiPriority w:val="0"/>
    <w:qFormat/>
    <w:pPr>
      <w:ind w:firstLine="576"/>
    </w:pPr>
    <w:rPr>
      <w:b/>
      <w:sz w:val="30"/>
    </w:rPr>
  </w:style>
  <w:style w:type="character" w:styleId="1159" w:customStyle="1">
    <w:name w:val="正文文本缩进 Char"/>
    <w:link w:val="1158"/>
    <w:uiPriority w:val="0"/>
    <w:qFormat/>
    <w:rPr>
      <w:rFonts w:ascii="Times New Roman" w:hAnsi="Times New Roman" w:eastAsia="宋体" w:cs="Times New Roman"/>
      <w:b/>
      <w:sz w:val="30"/>
      <w:szCs w:val="20"/>
    </w:rPr>
  </w:style>
  <w:style w:type="paragraph" w:styleId="1160" w:customStyle="1">
    <w:name w:val="列表 21"/>
    <w:basedOn w:val="933"/>
    <w:uiPriority w:val="0"/>
    <w:qFormat/>
    <w:pPr>
      <w:ind w:left="840" w:hanging="420"/>
    </w:pPr>
    <w:rPr>
      <w:rFonts w:hAnsi="宋体"/>
      <w:color w:val="000000"/>
      <w:spacing w:val="-8"/>
    </w:rPr>
  </w:style>
  <w:style w:type="paragraph" w:styleId="1161" w:customStyle="1">
    <w:name w:val="列表接续1"/>
    <w:basedOn w:val="933"/>
    <w:uiPriority w:val="0"/>
    <w:qFormat/>
    <w:pPr>
      <w:ind w:left="420" w:firstLine="448"/>
      <w:spacing w:after="120"/>
    </w:pPr>
    <w:rPr>
      <w:rFonts w:hAnsi="宋体"/>
      <w:color w:val="000000"/>
      <w:spacing w:val="-8"/>
    </w:rPr>
  </w:style>
  <w:style w:type="paragraph" w:styleId="1162" w:customStyle="1">
    <w:name w:val="文本块1"/>
    <w:basedOn w:val="933"/>
    <w:uiPriority w:val="0"/>
    <w:qFormat/>
    <w:pPr>
      <w:ind w:left="420" w:right="33"/>
      <w:jc w:val="left"/>
    </w:pPr>
    <w:rPr>
      <w:sz w:val="24"/>
    </w:rPr>
  </w:style>
  <w:style w:type="paragraph" w:styleId="1163" w:customStyle="1">
    <w:name w:val="列表项目符号 21"/>
    <w:basedOn w:val="933"/>
    <w:uiPriority w:val="0"/>
    <w:qFormat/>
    <w:pPr>
      <w:ind w:left="780" w:firstLine="200"/>
      <w:tabs>
        <w:tab w:val="left" w:pos="780" w:leader="none"/>
      </w:tabs>
    </w:pPr>
    <w:rPr>
      <w:rFonts w:hAnsi="宋体"/>
      <w:color w:val="000000"/>
      <w:spacing w:val="-8"/>
    </w:rPr>
  </w:style>
  <w:style w:type="paragraph" w:styleId="1164" w:customStyle="1">
    <w:name w:val="索引 41"/>
    <w:basedOn w:val="933"/>
    <w:next w:val="933"/>
    <w:uiPriority w:val="0"/>
    <w:unhideWhenUsed/>
    <w:qFormat/>
    <w:pPr>
      <w:ind w:left="600"/>
    </w:pPr>
  </w:style>
  <w:style w:type="paragraph" w:styleId="1165" w:customStyle="1">
    <w:name w:val="目录 51"/>
    <w:basedOn w:val="933"/>
    <w:next w:val="933"/>
    <w:uiPriority w:val="0"/>
    <w:qFormat/>
    <w:pPr>
      <w:ind w:left="840" w:firstLine="420"/>
      <w:jc w:val="left"/>
      <w:spacing w:line="288" w:lineRule="auto"/>
    </w:pPr>
    <w:rPr>
      <w:sz w:val="18"/>
      <w:szCs w:val="18"/>
    </w:rPr>
  </w:style>
  <w:style w:type="paragraph" w:styleId="1166" w:customStyle="1">
    <w:name w:val="目录 31"/>
    <w:basedOn w:val="933"/>
    <w:next w:val="933"/>
    <w:uiPriority w:val="0"/>
    <w:qFormat/>
    <w:pPr>
      <w:ind w:left="420" w:firstLine="420"/>
      <w:jc w:val="left"/>
      <w:spacing w:line="288" w:lineRule="auto"/>
    </w:pPr>
    <w:rPr>
      <w:iCs/>
      <w:sz w:val="20"/>
    </w:rPr>
  </w:style>
  <w:style w:type="paragraph" w:styleId="1167" w:customStyle="1">
    <w:name w:val="纯文本11"/>
    <w:basedOn w:val="933"/>
    <w:next w:val="933"/>
    <w:link w:val="1168"/>
    <w:uiPriority w:val="0"/>
    <w:qFormat/>
    <w:rPr>
      <w:rFonts w:ascii="宋体" w:hAnsi="Courier New"/>
      <w:szCs w:val="21"/>
    </w:rPr>
  </w:style>
  <w:style w:type="character" w:styleId="1168" w:customStyle="1">
    <w:name w:val="纯文本 Char"/>
    <w:link w:val="1167"/>
    <w:uiPriority w:val="0"/>
    <w:qFormat/>
    <w:rPr>
      <w:rFonts w:ascii="宋体" w:hAnsi="Courier New"/>
      <w:sz w:val="21"/>
      <w:szCs w:val="21"/>
    </w:rPr>
  </w:style>
  <w:style w:type="paragraph" w:styleId="1169" w:customStyle="1">
    <w:name w:val="列表项目符号 51"/>
    <w:basedOn w:val="933"/>
    <w:uiPriority w:val="0"/>
    <w:qFormat/>
    <w:pPr>
      <w:ind w:left="2040" w:hanging="360"/>
      <w:spacing w:line="360" w:lineRule="exact"/>
      <w:widowControl/>
      <w:tabs>
        <w:tab w:val="left" w:pos="2040" w:leader="none"/>
      </w:tabs>
    </w:pPr>
    <w:rPr>
      <w:rFonts w:eastAsia="楷体_GB2312"/>
      <w:sz w:val="24"/>
    </w:rPr>
  </w:style>
  <w:style w:type="paragraph" w:styleId="1170" w:customStyle="1">
    <w:name w:val="目录 81"/>
    <w:basedOn w:val="933"/>
    <w:next w:val="933"/>
    <w:uiPriority w:val="0"/>
    <w:qFormat/>
    <w:pPr>
      <w:ind w:left="1470" w:firstLine="420"/>
      <w:jc w:val="left"/>
      <w:spacing w:line="288" w:lineRule="auto"/>
    </w:pPr>
    <w:rPr>
      <w:sz w:val="18"/>
      <w:szCs w:val="18"/>
    </w:rPr>
  </w:style>
  <w:style w:type="paragraph" w:styleId="1171" w:customStyle="1">
    <w:name w:val="索引 31"/>
    <w:basedOn w:val="933"/>
    <w:next w:val="933"/>
    <w:uiPriority w:val="0"/>
    <w:qFormat/>
    <w:pPr>
      <w:ind w:left="400"/>
    </w:pPr>
  </w:style>
  <w:style w:type="paragraph" w:styleId="1172" w:customStyle="1">
    <w:name w:val="日期1"/>
    <w:basedOn w:val="933"/>
    <w:next w:val="933"/>
    <w:link w:val="1173"/>
    <w:uiPriority w:val="0"/>
    <w:qFormat/>
    <w:rPr>
      <w:rFonts w:eastAsia="黑体"/>
      <w:b/>
      <w:sz w:val="36"/>
    </w:rPr>
  </w:style>
  <w:style w:type="character" w:styleId="1173" w:customStyle="1">
    <w:name w:val="日期 Char"/>
    <w:link w:val="1172"/>
    <w:uiPriority w:val="0"/>
    <w:qFormat/>
    <w:rPr>
      <w:rFonts w:ascii="Times New Roman" w:hAnsi="Times New Roman" w:eastAsia="黑体" w:cs="Times New Roman"/>
      <w:b/>
      <w:sz w:val="36"/>
      <w:szCs w:val="20"/>
    </w:rPr>
  </w:style>
  <w:style w:type="paragraph" w:styleId="1174" w:customStyle="1">
    <w:name w:val="正文文本缩进 21"/>
    <w:basedOn w:val="933"/>
    <w:link w:val="1175"/>
    <w:uiPriority w:val="0"/>
    <w:qFormat/>
    <w:pPr>
      <w:ind w:left="900"/>
    </w:pPr>
    <w:rPr>
      <w:rFonts w:ascii="楷体_GB2312" w:eastAsia="楷体_GB2312"/>
      <w:b/>
      <w:sz w:val="28"/>
    </w:rPr>
  </w:style>
  <w:style w:type="character" w:styleId="1175" w:customStyle="1">
    <w:name w:val="正文文本缩进 2 Char"/>
    <w:link w:val="1174"/>
    <w:uiPriority w:val="0"/>
    <w:qFormat/>
    <w:rPr>
      <w:rFonts w:ascii="楷体_GB2312" w:hAnsi="Times New Roman" w:eastAsia="楷体_GB2312" w:cs="Times New Roman"/>
      <w:b/>
      <w:sz w:val="28"/>
      <w:szCs w:val="20"/>
    </w:rPr>
  </w:style>
  <w:style w:type="paragraph" w:styleId="1176" w:customStyle="1">
    <w:name w:val="批注框文本1"/>
    <w:basedOn w:val="933"/>
    <w:link w:val="1177"/>
    <w:uiPriority w:val="0"/>
    <w:unhideWhenUsed/>
    <w:qFormat/>
    <w:rPr>
      <w:sz w:val="18"/>
      <w:szCs w:val="18"/>
    </w:rPr>
  </w:style>
  <w:style w:type="character" w:styleId="1177" w:customStyle="1">
    <w:name w:val="批注框文本 Char"/>
    <w:link w:val="1176"/>
    <w:uiPriority w:val="0"/>
    <w:qFormat/>
    <w:rPr>
      <w:rFonts w:ascii="Times New Roman" w:hAnsi="Times New Roman" w:eastAsia="宋体" w:cs="Times New Roman"/>
      <w:sz w:val="18"/>
      <w:szCs w:val="18"/>
    </w:rPr>
  </w:style>
  <w:style w:type="paragraph" w:styleId="1178" w:customStyle="1">
    <w:name w:val="页脚1"/>
    <w:basedOn w:val="933"/>
    <w:link w:val="1179"/>
    <w:uiPriority w:val="99"/>
    <w:unhideWhenUsed/>
    <w:qFormat/>
    <w:pPr>
      <w:jc w:val="left"/>
      <w:tabs>
        <w:tab w:val="center" w:pos="4153" w:leader="none"/>
        <w:tab w:val="right" w:pos="8306" w:leader="none"/>
      </w:tabs>
    </w:pPr>
    <w:rPr>
      <w:sz w:val="18"/>
      <w:szCs w:val="18"/>
    </w:rPr>
  </w:style>
  <w:style w:type="character" w:styleId="1179" w:customStyle="1">
    <w:name w:val="页脚 Char"/>
    <w:link w:val="1178"/>
    <w:uiPriority w:val="99"/>
    <w:qFormat/>
    <w:rPr>
      <w:sz w:val="18"/>
      <w:szCs w:val="18"/>
    </w:rPr>
  </w:style>
  <w:style w:type="paragraph" w:styleId="1180" w:customStyle="1">
    <w:name w:val="寄信人地址1"/>
    <w:basedOn w:val="933"/>
    <w:uiPriority w:val="99"/>
    <w:unhideWhenUsed/>
    <w:qFormat/>
    <w:rPr>
      <w:rFonts w:hint="eastAsia" w:ascii="Arial" w:hAnsi="Arial"/>
      <w:sz w:val="24"/>
      <w:szCs w:val="24"/>
    </w:rPr>
  </w:style>
  <w:style w:type="paragraph" w:styleId="1181" w:customStyle="1">
    <w:name w:val="页眉11"/>
    <w:basedOn w:val="933"/>
    <w:link w:val="118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82" w:customStyle="1">
    <w:name w:val="页眉 Char"/>
    <w:link w:val="1181"/>
    <w:uiPriority w:val="99"/>
    <w:qFormat/>
    <w:rPr>
      <w:sz w:val="18"/>
      <w:szCs w:val="18"/>
    </w:rPr>
  </w:style>
  <w:style w:type="paragraph" w:styleId="1183" w:customStyle="1">
    <w:name w:val="目录 11"/>
    <w:basedOn w:val="933"/>
    <w:next w:val="933"/>
    <w:uiPriority w:val="0"/>
    <w:qFormat/>
    <w:pPr>
      <w:spacing w:before="120" w:after="120" w:line="288" w:lineRule="auto"/>
      <w:tabs>
        <w:tab w:val="right" w:pos="8296" w:leader="dot"/>
      </w:tabs>
    </w:pPr>
    <w:rPr>
      <w:rFonts w:ascii="黑体" w:hAnsi="宋体" w:eastAsia="黑体"/>
      <w:caps/>
      <w:sz w:val="30"/>
      <w:szCs w:val="30"/>
    </w:rPr>
  </w:style>
  <w:style w:type="paragraph" w:styleId="1184" w:customStyle="1">
    <w:name w:val="目录 41"/>
    <w:basedOn w:val="933"/>
    <w:next w:val="933"/>
    <w:uiPriority w:val="0"/>
    <w:qFormat/>
    <w:pPr>
      <w:ind w:left="630" w:firstLine="420"/>
      <w:jc w:val="left"/>
      <w:spacing w:line="288" w:lineRule="auto"/>
    </w:pPr>
    <w:rPr>
      <w:sz w:val="18"/>
      <w:szCs w:val="18"/>
    </w:rPr>
  </w:style>
  <w:style w:type="paragraph" w:styleId="1185" w:customStyle="1">
    <w:name w:val="副标题1"/>
    <w:basedOn w:val="933"/>
    <w:next w:val="933"/>
    <w:link w:val="1186"/>
    <w:uiPriority w:val="0"/>
    <w:qFormat/>
    <w:pPr>
      <w:jc w:val="left"/>
      <w:outlineLvl w:val="1"/>
    </w:pPr>
    <w:rPr>
      <w:rFonts w:ascii="Calibri Light" w:hAnsi="Calibri Light" w:eastAsia="仿宋"/>
      <w:b/>
      <w:bCs/>
      <w:sz w:val="28"/>
      <w:szCs w:val="32"/>
    </w:rPr>
  </w:style>
  <w:style w:type="character" w:styleId="1186" w:customStyle="1">
    <w:name w:val="副标题 Char"/>
    <w:link w:val="1185"/>
    <w:uiPriority w:val="0"/>
    <w:qFormat/>
    <w:rPr>
      <w:rFonts w:ascii="Calibri Light" w:hAnsi="Calibri Light" w:eastAsia="仿宋"/>
      <w:b/>
      <w:bCs/>
      <w:sz w:val="28"/>
      <w:szCs w:val="32"/>
    </w:rPr>
  </w:style>
  <w:style w:type="paragraph" w:styleId="1187" w:customStyle="1">
    <w:name w:val="脚注文本1"/>
    <w:basedOn w:val="933"/>
    <w:next w:val="1142"/>
    <w:link w:val="1188"/>
    <w:uiPriority w:val="0"/>
    <w:qFormat/>
    <w:pPr>
      <w:ind w:firstLine="425"/>
      <w:jc w:val="left"/>
      <w:spacing w:before="120" w:line="360" w:lineRule="auto"/>
    </w:pPr>
    <w:rPr>
      <w:sz w:val="18"/>
    </w:rPr>
  </w:style>
  <w:style w:type="character" w:styleId="1188" w:customStyle="1">
    <w:name w:val="脚注文本 Char"/>
    <w:link w:val="1187"/>
    <w:uiPriority w:val="0"/>
    <w:qFormat/>
    <w:rPr>
      <w:rFonts w:ascii="Times New Roman" w:hAnsi="Times New Roman"/>
      <w:sz w:val="18"/>
    </w:rPr>
  </w:style>
  <w:style w:type="paragraph" w:styleId="1189" w:customStyle="1">
    <w:name w:val="目录 61"/>
    <w:basedOn w:val="933"/>
    <w:next w:val="933"/>
    <w:uiPriority w:val="0"/>
    <w:qFormat/>
    <w:pPr>
      <w:ind w:left="1050" w:firstLine="420"/>
      <w:jc w:val="left"/>
      <w:spacing w:line="288" w:lineRule="auto"/>
    </w:pPr>
    <w:rPr>
      <w:sz w:val="18"/>
      <w:szCs w:val="18"/>
    </w:rPr>
  </w:style>
  <w:style w:type="paragraph" w:styleId="1190" w:customStyle="1">
    <w:name w:val="列表 51"/>
    <w:basedOn w:val="933"/>
    <w:uiPriority w:val="0"/>
    <w:qFormat/>
    <w:pPr>
      <w:ind w:left="2100" w:hanging="420"/>
    </w:pPr>
    <w:rPr>
      <w:rFonts w:hAnsi="宋体"/>
      <w:color w:val="000000"/>
      <w:spacing w:val="-8"/>
    </w:rPr>
  </w:style>
  <w:style w:type="paragraph" w:styleId="1191" w:customStyle="1">
    <w:name w:val="正文文本缩进 31"/>
    <w:basedOn w:val="933"/>
    <w:link w:val="1192"/>
    <w:uiPriority w:val="0"/>
    <w:qFormat/>
    <w:pPr>
      <w:ind w:left="359" w:firstLine="359"/>
    </w:pPr>
    <w:rPr>
      <w:sz w:val="20"/>
    </w:rPr>
  </w:style>
  <w:style w:type="character" w:styleId="1192" w:customStyle="1">
    <w:name w:val="正文文本缩进 3 Char"/>
    <w:link w:val="1191"/>
    <w:uiPriority w:val="0"/>
    <w:qFormat/>
    <w:rPr>
      <w:rFonts w:ascii="Times New Roman" w:hAnsi="Times New Roman" w:eastAsia="宋体" w:cs="Times New Roman"/>
      <w:szCs w:val="20"/>
    </w:rPr>
  </w:style>
  <w:style w:type="paragraph" w:styleId="1193" w:customStyle="1">
    <w:name w:val="索引 71"/>
    <w:basedOn w:val="933"/>
    <w:next w:val="933"/>
    <w:uiPriority w:val="0"/>
    <w:qFormat/>
    <w:pPr>
      <w:ind w:left="1200"/>
    </w:pPr>
  </w:style>
  <w:style w:type="paragraph" w:styleId="1194" w:customStyle="1">
    <w:name w:val="索引 91"/>
    <w:basedOn w:val="933"/>
    <w:next w:val="933"/>
    <w:uiPriority w:val="0"/>
    <w:qFormat/>
    <w:pPr>
      <w:ind w:left="1600"/>
    </w:pPr>
  </w:style>
  <w:style w:type="paragraph" w:styleId="1195" w:customStyle="1">
    <w:name w:val="目录 21"/>
    <w:basedOn w:val="933"/>
    <w:next w:val="933"/>
    <w:uiPriority w:val="0"/>
    <w:qFormat/>
    <w:pPr>
      <w:ind w:left="210" w:firstLine="420"/>
      <w:jc w:val="left"/>
      <w:spacing w:line="288" w:lineRule="auto"/>
    </w:pPr>
    <w:rPr>
      <w:smallCaps/>
      <w:sz w:val="20"/>
    </w:rPr>
  </w:style>
  <w:style w:type="paragraph" w:styleId="1196" w:customStyle="1">
    <w:name w:val="目录 91"/>
    <w:basedOn w:val="933"/>
    <w:next w:val="933"/>
    <w:uiPriority w:val="0"/>
    <w:qFormat/>
    <w:pPr>
      <w:ind w:left="1680" w:firstLine="420"/>
      <w:jc w:val="left"/>
      <w:spacing w:line="288" w:lineRule="auto"/>
    </w:pPr>
    <w:rPr>
      <w:sz w:val="18"/>
      <w:szCs w:val="18"/>
    </w:rPr>
  </w:style>
  <w:style w:type="paragraph" w:styleId="1197" w:customStyle="1">
    <w:name w:val="正文文本 21"/>
    <w:basedOn w:val="933"/>
    <w:link w:val="1198"/>
    <w:uiPriority w:val="0"/>
    <w:qFormat/>
    <w:pPr>
      <w:spacing w:after="120" w:line="480" w:lineRule="auto"/>
    </w:pPr>
    <w:rPr>
      <w:sz w:val="20"/>
    </w:rPr>
  </w:style>
  <w:style w:type="character" w:styleId="1198" w:customStyle="1">
    <w:name w:val="正文文本 2 Char"/>
    <w:link w:val="1197"/>
    <w:uiPriority w:val="0"/>
    <w:qFormat/>
    <w:rPr>
      <w:rFonts w:ascii="Times New Roman" w:hAnsi="Times New Roman" w:eastAsia="宋体" w:cs="Times New Roman"/>
      <w:szCs w:val="20"/>
    </w:rPr>
  </w:style>
  <w:style w:type="paragraph" w:styleId="1199" w:customStyle="1">
    <w:name w:val="列表 41"/>
    <w:basedOn w:val="933"/>
    <w:uiPriority w:val="0"/>
    <w:qFormat/>
    <w:pPr>
      <w:ind w:left="1680" w:hanging="420"/>
    </w:pPr>
    <w:rPr>
      <w:rFonts w:hAnsi="宋体"/>
      <w:color w:val="000000"/>
      <w:spacing w:val="-8"/>
    </w:rPr>
  </w:style>
  <w:style w:type="paragraph" w:styleId="1200" w:customStyle="1">
    <w:name w:val="列表接续 21"/>
    <w:basedOn w:val="933"/>
    <w:uiPriority w:val="0"/>
    <w:qFormat/>
    <w:pPr>
      <w:ind w:left="840" w:firstLine="448"/>
      <w:spacing w:after="120"/>
    </w:pPr>
    <w:rPr>
      <w:rFonts w:hAnsi="宋体"/>
      <w:color w:val="000000"/>
      <w:spacing w:val="-8"/>
    </w:rPr>
  </w:style>
  <w:style w:type="paragraph" w:styleId="1201" w:customStyle="1">
    <w:name w:val="信息标题1"/>
    <w:basedOn w:val="1155"/>
    <w:link w:val="1202"/>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202" w:customStyle="1">
    <w:name w:val="信息标题 Char"/>
    <w:link w:val="1201"/>
    <w:uiPriority w:val="0"/>
    <w:qFormat/>
    <w:rPr>
      <w:rFonts w:ascii="Garamond" w:hAnsi="Garamond"/>
      <w:color w:val="000000"/>
      <w:spacing w:val="-8"/>
      <w:sz w:val="18"/>
      <w:lang w:bidi="he-IL"/>
    </w:rPr>
  </w:style>
  <w:style w:type="paragraph" w:styleId="1203" w:customStyle="1">
    <w:name w:val="HTML 预设格式1"/>
    <w:basedOn w:val="933"/>
    <w:link w:val="120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204" w:customStyle="1">
    <w:name w:val="HTML 预设格式 Char"/>
    <w:link w:val="1203"/>
    <w:uiPriority w:val="0"/>
    <w:qFormat/>
    <w:rPr>
      <w:rFonts w:ascii="黑体" w:hAnsi="Courier New" w:eastAsia="黑体"/>
    </w:rPr>
  </w:style>
  <w:style w:type="paragraph" w:styleId="1205" w:customStyle="1">
    <w:name w:val="普通(网站)1"/>
    <w:basedOn w:val="933"/>
    <w:link w:val="1206"/>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206" w:customStyle="1">
    <w:name w:val="普通(网站) Char"/>
    <w:link w:val="1205"/>
    <w:uiPriority w:val="0"/>
    <w:qFormat/>
    <w:rPr>
      <w:rFonts w:ascii="宋体" w:hAnsi="宋体"/>
      <w:sz w:val="24"/>
      <w:szCs w:val="24"/>
    </w:rPr>
  </w:style>
  <w:style w:type="paragraph" w:styleId="1207" w:customStyle="1">
    <w:name w:val="列表接续 31"/>
    <w:basedOn w:val="933"/>
    <w:uiPriority w:val="0"/>
    <w:qFormat/>
    <w:pPr>
      <w:ind w:left="1260" w:firstLine="448"/>
      <w:spacing w:after="120"/>
    </w:pPr>
    <w:rPr>
      <w:rFonts w:hAnsi="宋体"/>
      <w:color w:val="000000"/>
      <w:spacing w:val="-8"/>
    </w:rPr>
  </w:style>
  <w:style w:type="paragraph" w:styleId="1208" w:customStyle="1">
    <w:name w:val="索引 11"/>
    <w:basedOn w:val="933"/>
    <w:next w:val="933"/>
    <w:uiPriority w:val="0"/>
    <w:qFormat/>
  </w:style>
  <w:style w:type="paragraph" w:styleId="1209" w:customStyle="1">
    <w:name w:val="索引 21"/>
    <w:basedOn w:val="933"/>
    <w:next w:val="933"/>
    <w:uiPriority w:val="0"/>
    <w:qFormat/>
    <w:pPr>
      <w:ind w:left="200"/>
    </w:pPr>
  </w:style>
  <w:style w:type="paragraph" w:styleId="1210" w:customStyle="1">
    <w:name w:val="标题1"/>
    <w:basedOn w:val="933"/>
    <w:link w:val="1211"/>
    <w:uiPriority w:val="10"/>
    <w:qFormat/>
    <w:pPr>
      <w:ind w:firstLine="420"/>
      <w:jc w:val="center"/>
      <w:spacing w:before="240" w:after="60" w:line="288" w:lineRule="auto"/>
      <w:outlineLvl w:val="0"/>
    </w:pPr>
    <w:rPr>
      <w:rFonts w:ascii="Arial" w:hAnsi="Arial"/>
      <w:b/>
      <w:bCs/>
      <w:sz w:val="32"/>
      <w:szCs w:val="32"/>
    </w:rPr>
  </w:style>
  <w:style w:type="character" w:styleId="1211" w:customStyle="1">
    <w:name w:val="标题 Char"/>
    <w:link w:val="1210"/>
    <w:uiPriority w:val="10"/>
    <w:qFormat/>
    <w:rPr>
      <w:rFonts w:ascii="Arial" w:hAnsi="Arial"/>
      <w:b/>
      <w:bCs/>
      <w:sz w:val="32"/>
      <w:szCs w:val="32"/>
    </w:rPr>
  </w:style>
  <w:style w:type="paragraph" w:styleId="1212" w:customStyle="1">
    <w:name w:val="批注主题1"/>
    <w:basedOn w:val="1146"/>
    <w:next w:val="1146"/>
    <w:link w:val="1213"/>
    <w:uiPriority w:val="0"/>
    <w:qFormat/>
    <w:rPr>
      <w:b/>
      <w:bCs/>
    </w:rPr>
  </w:style>
  <w:style w:type="character" w:styleId="1213" w:customStyle="1">
    <w:name w:val="批注主题 Char"/>
    <w:link w:val="1212"/>
    <w:uiPriority w:val="0"/>
    <w:qFormat/>
    <w:rPr>
      <w:rFonts w:ascii="Times New Roman" w:hAnsi="Times New Roman" w:eastAsia="宋体" w:cs="Times New Roman"/>
      <w:b/>
      <w:bCs/>
      <w:szCs w:val="24"/>
    </w:rPr>
  </w:style>
  <w:style w:type="paragraph" w:styleId="1214" w:customStyle="1">
    <w:name w:val="正文首行缩进1"/>
    <w:basedOn w:val="1155"/>
    <w:link w:val="1215"/>
    <w:uiPriority w:val="0"/>
    <w:unhideWhenUsed/>
    <w:qFormat/>
    <w:pPr>
      <w:ind w:firstLine="420"/>
      <w:spacing w:after="120"/>
    </w:pPr>
    <w:rPr>
      <w:rFonts w:ascii="Times New Roman"/>
      <w:bCs w:val="0"/>
      <w:sz w:val="21"/>
    </w:rPr>
  </w:style>
  <w:style w:type="character" w:styleId="1215" w:customStyle="1">
    <w:name w:val="正文首行缩进 Char"/>
    <w:link w:val="1214"/>
    <w:uiPriority w:val="0"/>
    <w:qFormat/>
    <w:rPr>
      <w:rFonts w:ascii="Times New Roman" w:hAnsi="Times New Roman" w:eastAsia="华文中宋" w:cs="Times New Roman"/>
      <w:sz w:val="21"/>
      <w:szCs w:val="20"/>
    </w:rPr>
  </w:style>
  <w:style w:type="paragraph" w:styleId="1216" w:customStyle="1">
    <w:name w:val="正文首行缩进 21"/>
    <w:basedOn w:val="1158"/>
    <w:link w:val="1217"/>
    <w:uiPriority w:val="0"/>
    <w:qFormat/>
    <w:pPr>
      <w:ind w:firstLine="210"/>
      <w:spacing w:after="120"/>
    </w:pPr>
    <w:rPr>
      <w:rFonts w:ascii="Cambria Math" w:hAnsi="新宋体" w:eastAsia="Cambria Math"/>
      <w:b w:val="0"/>
      <w:color w:val="000000"/>
      <w:spacing w:val="-8"/>
      <w:sz w:val="21"/>
    </w:rPr>
  </w:style>
  <w:style w:type="character" w:styleId="1217" w:customStyle="1">
    <w:name w:val="正文首行缩进 2 Char"/>
    <w:link w:val="1216"/>
    <w:uiPriority w:val="0"/>
    <w:qFormat/>
    <w:rPr>
      <w:rFonts w:ascii="Cambria Math" w:hAnsi="新宋体" w:eastAsia="Cambria Math" w:cs="Times New Roman"/>
      <w:color w:val="000000"/>
      <w:spacing w:val="-8"/>
      <w:sz w:val="21"/>
      <w:szCs w:val="20"/>
    </w:rPr>
  </w:style>
  <w:style w:type="table" w:styleId="1218" w:customStyle="1">
    <w:name w:val="网格型1"/>
    <w:basedOn w:val="1126"/>
    <w:uiPriority w:val="0"/>
    <w:qFormat/>
    <w:tblPr/>
  </w:style>
  <w:style w:type="character" w:styleId="1219" w:customStyle="1">
    <w:name w:val="要点1"/>
    <w:link w:val="933"/>
    <w:uiPriority w:val="0"/>
    <w:qFormat/>
    <w:rPr>
      <w:rFonts w:cs="Times New Roman"/>
      <w:b/>
      <w:bCs/>
    </w:rPr>
  </w:style>
  <w:style w:type="character" w:styleId="1220" w:customStyle="1">
    <w:name w:val="页码1"/>
    <w:link w:val="933"/>
    <w:uiPriority w:val="0"/>
    <w:qFormat/>
    <w:rPr>
      <w:rFonts w:cs="Times New Roman"/>
    </w:rPr>
  </w:style>
  <w:style w:type="character" w:styleId="1221" w:customStyle="1">
    <w:name w:val="已访问的超链接1"/>
    <w:link w:val="933"/>
    <w:uiPriority w:val="0"/>
    <w:qFormat/>
    <w:rPr>
      <w:rFonts w:cs="Times New Roman"/>
      <w:color w:val="000000"/>
      <w:u w:val="none"/>
    </w:rPr>
  </w:style>
  <w:style w:type="character" w:styleId="1222" w:customStyle="1">
    <w:name w:val="强调1"/>
    <w:link w:val="933"/>
    <w:uiPriority w:val="0"/>
    <w:qFormat/>
    <w:rPr>
      <w:i/>
    </w:rPr>
  </w:style>
  <w:style w:type="character" w:styleId="1223" w:customStyle="1">
    <w:name w:val="HTML 打字机1"/>
    <w:link w:val="933"/>
    <w:uiPriority w:val="0"/>
    <w:qFormat/>
    <w:rPr>
      <w:rFonts w:ascii="宋体" w:hAnsi="宋体" w:eastAsia="宋体" w:cs="宋体"/>
      <w:sz w:val="24"/>
      <w:szCs w:val="24"/>
    </w:rPr>
  </w:style>
  <w:style w:type="character" w:styleId="1224" w:customStyle="1">
    <w:name w:val="超链接1"/>
    <w:link w:val="933"/>
    <w:uiPriority w:val="99"/>
    <w:qFormat/>
    <w:rPr>
      <w:color w:val="000000"/>
      <w:u w:val="none"/>
    </w:rPr>
  </w:style>
  <w:style w:type="character" w:styleId="1225" w:customStyle="1">
    <w:name w:val="批注引用1"/>
    <w:link w:val="933"/>
    <w:uiPriority w:val="0"/>
    <w:unhideWhenUsed/>
    <w:qFormat/>
    <w:rPr>
      <w:sz w:val="21"/>
      <w:szCs w:val="21"/>
    </w:rPr>
  </w:style>
  <w:style w:type="character" w:styleId="1226" w:customStyle="1">
    <w:name w:val="脚注引用1"/>
    <w:link w:val="933"/>
    <w:uiPriority w:val="0"/>
    <w:qFormat/>
    <w:rPr>
      <w:rFonts w:ascii="宋体" w:hAnsi="宋体" w:eastAsia="宋体"/>
      <w:vertAlign w:val="superscript"/>
    </w:rPr>
  </w:style>
  <w:style w:type="paragraph" w:styleId="1227" w:customStyle="1">
    <w:name w:val="列出段落"/>
    <w:basedOn w:val="933"/>
    <w:link w:val="1228"/>
    <w:uiPriority w:val="34"/>
    <w:qFormat/>
    <w:pPr>
      <w:ind w:firstLine="420"/>
    </w:pPr>
  </w:style>
  <w:style w:type="character" w:styleId="1228" w:customStyle="1">
    <w:name w:val="列出段落 Char1"/>
    <w:link w:val="1227"/>
    <w:uiPriority w:val="34"/>
    <w:qFormat/>
    <w:rPr>
      <w:rFonts w:ascii="Times New Roman" w:hAnsi="Times New Roman"/>
      <w:sz w:val="21"/>
    </w:rPr>
  </w:style>
  <w:style w:type="paragraph" w:styleId="1229" w:customStyle="1">
    <w:name w:val="段"/>
    <w:next w:val="933"/>
    <w:uiPriority w:val="0"/>
    <w:qFormat/>
    <w:pPr>
      <w:ind w:firstLine="200"/>
      <w:jc w:val="both"/>
    </w:pPr>
    <w:rPr>
      <w:rFonts w:hint="default" w:ascii="宋体" w:hAnsi="Times New Roman" w:eastAsia="宋体" w:cs="Times New Roman"/>
      <w:sz w:val="21"/>
      <w:lang w:val="en-US" w:eastAsia="zh-CN" w:bidi="ar-SA"/>
    </w:rPr>
  </w:style>
  <w:style w:type="character" w:styleId="1230" w:customStyle="1">
    <w:name w:val="日期 Char1"/>
    <w:link w:val="933"/>
    <w:uiPriority w:val="99"/>
    <w:semiHidden/>
    <w:qFormat/>
    <w:rPr>
      <w:rFonts w:ascii="Times New Roman" w:hAnsi="Times New Roman" w:eastAsia="宋体" w:cs="Times New Roman"/>
      <w:szCs w:val="20"/>
    </w:rPr>
  </w:style>
  <w:style w:type="character" w:styleId="1231" w:customStyle="1">
    <w:name w:val="正文文本缩进 Char1"/>
    <w:link w:val="933"/>
    <w:uiPriority w:val="99"/>
    <w:semiHidden/>
    <w:qFormat/>
    <w:rPr>
      <w:rFonts w:ascii="Times New Roman" w:hAnsi="Times New Roman" w:eastAsia="宋体" w:cs="Times New Roman"/>
      <w:szCs w:val="20"/>
    </w:rPr>
  </w:style>
  <w:style w:type="character" w:styleId="1232" w:customStyle="1">
    <w:name w:val="正文文本缩进 2 Char1"/>
    <w:link w:val="933"/>
    <w:uiPriority w:val="99"/>
    <w:semiHidden/>
    <w:qFormat/>
    <w:rPr>
      <w:rFonts w:ascii="Times New Roman" w:hAnsi="Times New Roman" w:eastAsia="宋体" w:cs="Times New Roman"/>
      <w:szCs w:val="20"/>
    </w:rPr>
  </w:style>
  <w:style w:type="character" w:styleId="1233" w:customStyle="1">
    <w:name w:val="正文文本缩进 3 Char1"/>
    <w:link w:val="933"/>
    <w:uiPriority w:val="99"/>
    <w:semiHidden/>
    <w:qFormat/>
    <w:rPr>
      <w:rFonts w:ascii="Times New Roman" w:hAnsi="Times New Roman" w:eastAsia="宋体" w:cs="Times New Roman"/>
      <w:sz w:val="16"/>
      <w:szCs w:val="16"/>
    </w:rPr>
  </w:style>
  <w:style w:type="paragraph" w:styleId="1234" w:customStyle="1">
    <w:name w:val="普通文字"/>
    <w:basedOn w:val="933"/>
    <w:next w:val="933"/>
    <w:uiPriority w:val="0"/>
    <w:qFormat/>
    <w:rPr>
      <w:rFonts w:ascii="宋体"/>
      <w:sz w:val="24"/>
    </w:rPr>
  </w:style>
  <w:style w:type="character" w:styleId="1235" w:customStyle="1">
    <w:name w:val="文档结构图 Char1"/>
    <w:link w:val="933"/>
    <w:uiPriority w:val="99"/>
    <w:semiHidden/>
    <w:qFormat/>
    <w:rPr>
      <w:rFonts w:ascii="宋体" w:hAnsi="Times New Roman" w:eastAsia="宋体" w:cs="Times New Roman"/>
      <w:sz w:val="18"/>
      <w:szCs w:val="18"/>
    </w:rPr>
  </w:style>
  <w:style w:type="character" w:styleId="1236" w:customStyle="1">
    <w:name w:val="正文文本 2 Char1"/>
    <w:link w:val="933"/>
    <w:uiPriority w:val="99"/>
    <w:semiHidden/>
    <w:qFormat/>
    <w:rPr>
      <w:rFonts w:ascii="Times New Roman" w:hAnsi="Times New Roman" w:eastAsia="宋体" w:cs="Times New Roman"/>
      <w:szCs w:val="20"/>
    </w:rPr>
  </w:style>
  <w:style w:type="character" w:styleId="1237" w:customStyle="1">
    <w:name w:val="批注框文本 Char1"/>
    <w:link w:val="933"/>
    <w:uiPriority w:val="99"/>
    <w:semiHidden/>
    <w:qFormat/>
    <w:rPr>
      <w:rFonts w:ascii="Times New Roman" w:hAnsi="Times New Roman" w:eastAsia="宋体" w:cs="Times New Roman"/>
      <w:sz w:val="18"/>
      <w:szCs w:val="18"/>
    </w:rPr>
  </w:style>
  <w:style w:type="paragraph" w:styleId="1238" w:customStyle="1">
    <w:name w:val="样式 小四 段前: 5 磅 段后: 5 磅 首行缩进:  2 字符"/>
    <w:basedOn w:val="933"/>
    <w:uiPriority w:val="0"/>
    <w:qFormat/>
    <w:pPr>
      <w:jc w:val="center"/>
      <w:spacing w:line="360" w:lineRule="auto"/>
    </w:pPr>
    <w:rPr>
      <w:rFonts w:ascii="宋体" w:hAnsi="宋体"/>
      <w:bCs/>
      <w:color w:val="ff0000"/>
      <w:sz w:val="24"/>
      <w:szCs w:val="24"/>
    </w:rPr>
  </w:style>
  <w:style w:type="paragraph" w:styleId="123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40" w:customStyle="1">
    <w:name w:val="列出段落1"/>
    <w:basedOn w:val="933"/>
    <w:uiPriority w:val="0"/>
    <w:qFormat/>
    <w:pPr>
      <w:ind w:firstLine="420"/>
    </w:pPr>
    <w:rPr>
      <w:rFonts w:ascii="Calibri" w:hAnsi="Calibri"/>
      <w:color w:val="000000"/>
      <w:spacing w:val="-8"/>
      <w:szCs w:val="22"/>
    </w:rPr>
  </w:style>
  <w:style w:type="paragraph" w:styleId="1241">
    <w:name w:val="List Paragraph"/>
    <w:basedOn w:val="933"/>
    <w:uiPriority w:val="34"/>
    <w:qFormat/>
    <w:pPr>
      <w:ind w:firstLine="420"/>
    </w:pPr>
    <w:rPr>
      <w:szCs w:val="21"/>
    </w:rPr>
  </w:style>
  <w:style w:type="paragraph" w:styleId="1242" w:customStyle="1">
    <w:name w:val="样式 表格正文 + 两端对齐"/>
    <w:basedOn w:val="933"/>
    <w:next w:val="1243"/>
    <w:uiPriority w:val="99"/>
    <w:qFormat/>
    <w:pPr>
      <w:spacing w:line="300" w:lineRule="auto"/>
    </w:pPr>
    <w:rPr>
      <w:rFonts w:ascii="Calibri" w:hAnsi="Calibri"/>
      <w:szCs w:val="24"/>
    </w:rPr>
  </w:style>
  <w:style w:type="paragraph" w:styleId="1243" w:customStyle="1">
    <w:name w:val="正文1"/>
    <w:basedOn w:val="1144"/>
    <w:next w:val="933"/>
    <w:uiPriority w:val="0"/>
    <w:qFormat/>
    <w:pPr>
      <w:ind w:right="1"/>
      <w:spacing w:line="360" w:lineRule="auto"/>
    </w:pPr>
    <w:rPr>
      <w:rFonts w:ascii="宋体" w:hAnsi="宋体"/>
      <w:color w:val="000000"/>
      <w:sz w:val="24"/>
      <w:shd w:val="clear" w:color="auto" w:fill="000080"/>
      <w:lang w:val="en-US" w:eastAsia="zh-CN"/>
    </w:rPr>
  </w:style>
  <w:style w:type="paragraph" w:styleId="1244" w:customStyle="1">
    <w:name w:val="样式 首行缩进:  0 字符"/>
    <w:basedOn w:val="933"/>
    <w:uiPriority w:val="0"/>
    <w:qFormat/>
    <w:pPr>
      <w:spacing w:line="360" w:lineRule="auto"/>
    </w:pPr>
    <w:rPr>
      <w:rFonts w:ascii="Arial" w:hAnsi="Arial" w:cs="宋体"/>
      <w:sz w:val="24"/>
      <w:szCs w:val="24"/>
    </w:rPr>
  </w:style>
  <w:style w:type="character" w:styleId="1245" w:customStyle="1">
    <w:name w:val="bookmark-item"/>
    <w:link w:val="933"/>
    <w:uiPriority w:val="0"/>
    <w:qFormat/>
  </w:style>
  <w:style w:type="character" w:styleId="1246" w:customStyle="1">
    <w:name w:val="font61"/>
    <w:link w:val="933"/>
    <w:uiPriority w:val="0"/>
    <w:qFormat/>
    <w:rPr>
      <w:rFonts w:ascii="微软雅黑" w:hAnsi="微软雅黑" w:eastAsia="微软雅黑" w:cs="微软雅黑"/>
      <w:color w:val="000000"/>
      <w:sz w:val="22"/>
      <w:szCs w:val="22"/>
      <w:u w:val="none"/>
    </w:rPr>
  </w:style>
  <w:style w:type="paragraph" w:styleId="1247" w:customStyle="1">
    <w:name w:val="02-标书-标题2"/>
    <w:uiPriority w:val="0"/>
    <w:qFormat/>
    <w:pPr>
      <w:numPr>
        <w:ilvl w:val="1"/>
        <w:numId w:val="3"/>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248" w:customStyle="1">
    <w:name w:val="font41"/>
    <w:link w:val="933"/>
    <w:uiPriority w:val="0"/>
    <w:qFormat/>
    <w:rPr>
      <w:rFonts w:ascii="微软雅黑" w:hAnsi="微软雅黑" w:eastAsia="微软雅黑" w:cs="微软雅黑"/>
      <w:b/>
      <w:color w:val="ff0000"/>
      <w:sz w:val="22"/>
      <w:szCs w:val="22"/>
      <w:u w:val="none"/>
    </w:rPr>
  </w:style>
  <w:style w:type="character" w:styleId="1249" w:customStyle="1">
    <w:name w:val="font71"/>
    <w:link w:val="933"/>
    <w:uiPriority w:val="0"/>
    <w:qFormat/>
    <w:rPr>
      <w:rFonts w:ascii="Calibri" w:hAnsi="Calibri" w:cs="Calibri"/>
      <w:color w:val="000000"/>
      <w:sz w:val="20"/>
      <w:szCs w:val="20"/>
      <w:u w:val="none"/>
    </w:rPr>
  </w:style>
  <w:style w:type="character" w:styleId="1250" w:customStyle="1">
    <w:name w:val="font01"/>
    <w:link w:val="933"/>
    <w:uiPriority w:val="0"/>
    <w:qFormat/>
    <w:rPr>
      <w:rFonts w:ascii="Tahoma" w:hAnsi="Tahoma" w:eastAsia="Tahoma" w:cs="Tahoma"/>
      <w:color w:val="333333"/>
      <w:sz w:val="20"/>
      <w:szCs w:val="20"/>
      <w:u w:val="none"/>
    </w:rPr>
  </w:style>
  <w:style w:type="character" w:styleId="1251" w:customStyle="1">
    <w:name w:val="font11"/>
    <w:link w:val="933"/>
    <w:uiPriority w:val="0"/>
    <w:qFormat/>
    <w:rPr>
      <w:rFonts w:hint="eastAsia" w:ascii="宋体" w:hAnsi="宋体" w:eastAsia="宋体" w:cs="宋体"/>
      <w:color w:val="333333"/>
      <w:sz w:val="20"/>
      <w:szCs w:val="20"/>
      <w:u w:val="none"/>
    </w:rPr>
  </w:style>
  <w:style w:type="character" w:styleId="1252" w:customStyle="1">
    <w:name w:val="font21"/>
    <w:link w:val="933"/>
    <w:uiPriority w:val="0"/>
    <w:qFormat/>
    <w:rPr>
      <w:rFonts w:hint="eastAsia" w:ascii="宋体" w:hAnsi="宋体" w:eastAsia="宋体" w:cs="宋体"/>
      <w:color w:val="333333"/>
      <w:sz w:val="20"/>
      <w:szCs w:val="20"/>
      <w:u w:val="none"/>
    </w:rPr>
  </w:style>
  <w:style w:type="paragraph" w:styleId="125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254" w:customStyle="1">
    <w:name w:val="无"/>
    <w:link w:val="933"/>
    <w:uiPriority w:val="0"/>
    <w:qFormat/>
  </w:style>
  <w:style w:type="paragraph" w:styleId="1255" w:customStyle="1">
    <w:name w:val="paragraph"/>
    <w:basedOn w:val="933"/>
    <w:uiPriority w:val="0"/>
    <w:qFormat/>
    <w:pPr>
      <w:jc w:val="left"/>
      <w:spacing w:before="100" w:beforeAutospacing="1" w:after="100" w:afterAutospacing="1"/>
      <w:widowControl/>
    </w:pPr>
    <w:rPr>
      <w:rFonts w:ascii="宋体" w:hAnsi="宋体" w:cs="宋体"/>
      <w:sz w:val="24"/>
      <w:szCs w:val="24"/>
    </w:rPr>
  </w:style>
  <w:style w:type="paragraph" w:styleId="125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257" w:customStyle="1">
    <w:name w:val="纯文本111"/>
    <w:basedOn w:val="933"/>
    <w:uiPriority w:val="0"/>
    <w:qFormat/>
    <w:pPr>
      <w:spacing w:line="360" w:lineRule="auto"/>
    </w:pPr>
    <w:rPr>
      <w:rFonts w:ascii="宋体" w:hAnsi="Courier New"/>
      <w:sz w:val="26"/>
      <w:szCs w:val="24"/>
    </w:rPr>
  </w:style>
  <w:style w:type="character" w:styleId="1258" w:customStyle="1">
    <w:name w:val="列出段落 Char"/>
    <w:link w:val="933"/>
    <w:uiPriority w:val="34"/>
    <w:qFormat/>
    <w:rPr>
      <w:rFonts w:ascii="Calibri" w:hAnsi="Calibri"/>
      <w:sz w:val="21"/>
      <w:szCs w:val="22"/>
    </w:rPr>
  </w:style>
  <w:style w:type="paragraph" w:styleId="1259" w:customStyle="1">
    <w:name w:val="纯文本1"/>
    <w:basedOn w:val="933"/>
    <w:uiPriority w:val="0"/>
    <w:qFormat/>
    <w:rPr>
      <w:rFonts w:ascii="宋体" w:hAnsi="Courier New" w:eastAsia="楷体_GB2312"/>
      <w:sz w:val="26"/>
    </w:rPr>
  </w:style>
  <w:style w:type="paragraph" w:styleId="1260" w:customStyle="1">
    <w:name w:val="正文文本首行缩进 2"/>
    <w:basedOn w:val="1158"/>
    <w:uiPriority w:val="99"/>
    <w:qFormat/>
    <w:pPr>
      <w:ind w:left="156" w:firstLine="420"/>
      <w:spacing w:line="200" w:lineRule="atLeast"/>
      <w:widowControl/>
    </w:pPr>
    <w:rPr>
      <w:rFonts w:ascii="宋体" w:hAnsi="Courier New" w:eastAsia="仿宋_GB2312"/>
      <w:b w:val="0"/>
      <w:spacing w:val="-4"/>
      <w:sz w:val="18"/>
    </w:rPr>
  </w:style>
  <w:style w:type="character" w:styleId="1261" w:customStyle="1">
    <w:name w:val="Char Char15"/>
    <w:link w:val="933"/>
    <w:uiPriority w:val="0"/>
    <w:qFormat/>
    <w:rPr>
      <w:rFonts w:ascii="仿宋_GB2312" w:hAnsi="Times New Roman" w:eastAsia="宋体" w:cs="Times New Roman"/>
      <w:sz w:val="24"/>
      <w:szCs w:val="24"/>
      <w:shd w:val="clear" w:color="auto" w:fill="000080"/>
    </w:rPr>
  </w:style>
  <w:style w:type="character" w:styleId="1262" w:customStyle="1">
    <w:name w:val="apple-converted-space"/>
    <w:link w:val="933"/>
    <w:uiPriority w:val="0"/>
    <w:qFormat/>
  </w:style>
  <w:style w:type="character" w:styleId="1263" w:customStyle="1">
    <w:name w:val="font"/>
    <w:link w:val="933"/>
    <w:uiPriority w:val="0"/>
    <w:qFormat/>
  </w:style>
  <w:style w:type="character" w:styleId="1264" w:customStyle="1">
    <w:name w:val="Char Char9"/>
    <w:link w:val="933"/>
    <w:uiPriority w:val="0"/>
    <w:qFormat/>
    <w:rPr>
      <w:rFonts w:ascii="Cambria" w:hAnsi="Cambria" w:eastAsia="宋体" w:cs="Times New Roman"/>
      <w:b/>
      <w:bCs/>
      <w:sz w:val="32"/>
      <w:szCs w:val="32"/>
    </w:rPr>
  </w:style>
  <w:style w:type="character" w:styleId="1265" w:customStyle="1">
    <w:name w:val="Char Char7"/>
    <w:link w:val="933"/>
    <w:uiPriority w:val="0"/>
    <w:qFormat/>
    <w:rPr>
      <w:rFonts w:ascii="Times New Roman" w:hAnsi="Times New Roman" w:eastAsia="宋体" w:cs="Times New Roman"/>
      <w:b/>
      <w:bCs/>
      <w:szCs w:val="21"/>
    </w:rPr>
  </w:style>
  <w:style w:type="character" w:styleId="1266" w:customStyle="1">
    <w:name w:val="itm1"/>
    <w:link w:val="933"/>
    <w:uiPriority w:val="0"/>
    <w:qFormat/>
    <w:rPr>
      <w:rFonts w:hint="eastAsia" w:ascii="宋体" w:hAnsi="宋体" w:eastAsia="宋体"/>
      <w:sz w:val="21"/>
      <w:szCs w:val="21"/>
    </w:rPr>
  </w:style>
  <w:style w:type="character" w:styleId="1267" w:customStyle="1">
    <w:name w:val="Char Char4"/>
    <w:link w:val="933"/>
    <w:uiPriority w:val="0"/>
    <w:qFormat/>
    <w:rPr>
      <w:sz w:val="18"/>
      <w:szCs w:val="18"/>
    </w:rPr>
  </w:style>
  <w:style w:type="character" w:styleId="1268" w:customStyle="1">
    <w:name w:val="b"/>
    <w:link w:val="933"/>
    <w:uiPriority w:val="0"/>
    <w:qFormat/>
  </w:style>
  <w:style w:type="character" w:styleId="1269" w:customStyle="1">
    <w:name w:val="apple-style-span"/>
    <w:link w:val="933"/>
    <w:uiPriority w:val="0"/>
    <w:qFormat/>
  </w:style>
  <w:style w:type="character" w:styleId="1270" w:customStyle="1">
    <w:name w:val="Char Char13"/>
    <w:link w:val="933"/>
    <w:uiPriority w:val="0"/>
    <w:qFormat/>
    <w:rPr>
      <w:rFonts w:ascii="仿宋_GB2312" w:hAnsi="Times New Roman" w:eastAsia="宋体" w:cs="Times New Roman"/>
      <w:sz w:val="18"/>
      <w:szCs w:val="18"/>
    </w:rPr>
  </w:style>
  <w:style w:type="character" w:styleId="1271" w:customStyle="1">
    <w:name w:val="表格 Char"/>
    <w:link w:val="1272"/>
    <w:uiPriority w:val="0"/>
    <w:qFormat/>
    <w:rPr>
      <w:sz w:val="21"/>
      <w:szCs w:val="21"/>
    </w:rPr>
  </w:style>
  <w:style w:type="paragraph" w:styleId="1272" w:customStyle="1">
    <w:name w:val="表格"/>
    <w:basedOn w:val="933"/>
    <w:link w:val="1271"/>
    <w:uiPriority w:val="0"/>
    <w:qFormat/>
    <w:pPr>
      <w:jc w:val="center"/>
    </w:pPr>
    <w:rPr>
      <w:szCs w:val="21"/>
    </w:rPr>
  </w:style>
  <w:style w:type="character" w:styleId="1273" w:customStyle="1">
    <w:name w:val="标题 311"/>
    <w:link w:val="933"/>
    <w:uiPriority w:val="0"/>
    <w:qFormat/>
    <w:rPr>
      <w:rFonts w:hint="eastAsia" w:ascii="黑体" w:hAnsi="ˎ̥" w:eastAsia="黑体"/>
      <w:sz w:val="28"/>
    </w:rPr>
  </w:style>
  <w:style w:type="character" w:styleId="1274" w:customStyle="1">
    <w:name w:val="Char Char Char Char Char Char Char Char Char Char Char Char Char"/>
    <w:link w:val="933"/>
    <w:uiPriority w:val="0"/>
    <w:qFormat/>
    <w:rPr>
      <w:rFonts w:eastAsia="宋体"/>
      <w:b/>
      <w:bCs/>
      <w:sz w:val="32"/>
      <w:szCs w:val="44"/>
      <w:lang w:val="en-US" w:eastAsia="zh-CN" w:bidi="ar-SA"/>
    </w:rPr>
  </w:style>
  <w:style w:type="character" w:styleId="1275" w:customStyle="1">
    <w:name w:val="表格正文 Char Char"/>
    <w:link w:val="1276"/>
    <w:uiPriority w:val="0"/>
    <w:qFormat/>
    <w:rPr>
      <w:sz w:val="21"/>
      <w:szCs w:val="24"/>
    </w:rPr>
  </w:style>
  <w:style w:type="paragraph" w:styleId="1276" w:customStyle="1">
    <w:name w:val="表格正文"/>
    <w:basedOn w:val="933"/>
    <w:link w:val="1275"/>
    <w:uiPriority w:val="0"/>
    <w:qFormat/>
    <w:rPr>
      <w:szCs w:val="24"/>
    </w:rPr>
  </w:style>
  <w:style w:type="character" w:styleId="1277" w:customStyle="1">
    <w:name w:val="Char Char8"/>
    <w:link w:val="933"/>
    <w:uiPriority w:val="0"/>
    <w:qFormat/>
    <w:rPr>
      <w:rFonts w:ascii="Times New Roman" w:hAnsi="Times New Roman"/>
      <w:b/>
      <w:bCs/>
      <w:sz w:val="44"/>
      <w:szCs w:val="44"/>
    </w:rPr>
  </w:style>
  <w:style w:type="character" w:styleId="1278" w:customStyle="1">
    <w:name w:val="unnamed21"/>
    <w:link w:val="933"/>
    <w:uiPriority w:val="0"/>
    <w:qFormat/>
    <w:rPr>
      <w:b/>
      <w:bCs/>
      <w:color w:val="ff6600"/>
      <w:sz w:val="21"/>
      <w:szCs w:val="21"/>
      <w:u w:val="none"/>
    </w:rPr>
  </w:style>
  <w:style w:type="character" w:styleId="1279" w:customStyle="1">
    <w:name w:val="tw4winTerm"/>
    <w:link w:val="933"/>
    <w:uiPriority w:val="0"/>
    <w:qFormat/>
    <w:rPr>
      <w:color w:val="0000ff"/>
    </w:rPr>
  </w:style>
  <w:style w:type="character" w:styleId="1280" w:customStyle="1">
    <w:name w:val="正文 + 宋体 Char"/>
    <w:link w:val="1281"/>
    <w:uiPriority w:val="0"/>
    <w:qFormat/>
    <w:rPr>
      <w:rFonts w:ascii="新宋体" w:hAnsi="宋体" w:eastAsia="黑体"/>
      <w:b/>
      <w:bCs/>
      <w:sz w:val="28"/>
      <w:szCs w:val="28"/>
    </w:rPr>
  </w:style>
  <w:style w:type="paragraph" w:styleId="1281" w:customStyle="1">
    <w:name w:val="正文 + 宋体"/>
    <w:basedOn w:val="1116"/>
    <w:link w:val="1280"/>
    <w:uiPriority w:val="0"/>
    <w:qFormat/>
    <w:pPr>
      <w:ind w:left="-51"/>
      <w:keepLines/>
      <w:spacing w:before="120" w:after="120"/>
      <w:widowControl/>
      <w:tabs>
        <w:tab w:val="left" w:pos="1800" w:leader="none"/>
      </w:tabs>
    </w:pPr>
    <w:rPr>
      <w:rFonts w:ascii="新宋体" w:hAnsi="宋体" w:eastAsia="黑体"/>
      <w:bCs/>
      <w:szCs w:val="28"/>
    </w:rPr>
  </w:style>
  <w:style w:type="character" w:styleId="1282" w:customStyle="1">
    <w:name w:val="text_list1"/>
    <w:link w:val="933"/>
    <w:uiPriority w:val="0"/>
    <w:qFormat/>
    <w:rPr>
      <w:rFonts w:ascii="Arial" w:hAnsi="Arial" w:cs="Arial"/>
      <w:color w:val="000000"/>
      <w:spacing w:val="272"/>
      <w:sz w:val="16"/>
      <w:szCs w:val="16"/>
    </w:rPr>
  </w:style>
  <w:style w:type="character" w:styleId="1283" w:customStyle="1">
    <w:name w:val="样式 三号 下划线"/>
    <w:link w:val="933"/>
    <w:uiPriority w:val="0"/>
    <w:qFormat/>
    <w:rPr>
      <w:sz w:val="28"/>
      <w:u w:val="single"/>
    </w:rPr>
  </w:style>
  <w:style w:type="character" w:styleId="1284" w:customStyle="1">
    <w:name w:val="普通(网站) 字符"/>
    <w:link w:val="933"/>
    <w:uiPriority w:val="0"/>
    <w:qFormat/>
    <w:rPr>
      <w:rFonts w:ascii="宋体" w:hAnsi="宋体" w:cs="宋体"/>
      <w:sz w:val="24"/>
      <w:szCs w:val="24"/>
    </w:rPr>
  </w:style>
  <w:style w:type="character" w:styleId="1285" w:customStyle="1">
    <w:name w:val="Char Char14"/>
    <w:link w:val="933"/>
    <w:uiPriority w:val="0"/>
    <w:qFormat/>
    <w:rPr>
      <w:rFonts w:ascii="楷体_GB2312" w:hAnsi="Arial" w:eastAsia="楷体_GB2312" w:cs="Times New Roman"/>
      <w:sz w:val="28"/>
      <w:szCs w:val="24"/>
    </w:rPr>
  </w:style>
  <w:style w:type="character" w:styleId="1286" w:customStyle="1">
    <w:name w:val="普通正文 Char Char"/>
    <w:link w:val="1287"/>
    <w:uiPriority w:val="0"/>
    <w:qFormat/>
    <w:rPr>
      <w:rFonts w:ascii="Arial" w:hAnsi="Arial"/>
      <w:sz w:val="24"/>
      <w:szCs w:val="24"/>
    </w:rPr>
  </w:style>
  <w:style w:type="paragraph" w:styleId="1287" w:customStyle="1">
    <w:name w:val="普通正文"/>
    <w:basedOn w:val="933"/>
    <w:link w:val="1286"/>
    <w:uiPriority w:val="0"/>
    <w:qFormat/>
    <w:pPr>
      <w:ind w:firstLine="480"/>
      <w:spacing w:before="120" w:after="120" w:line="500" w:lineRule="exact"/>
    </w:pPr>
    <w:rPr>
      <w:rFonts w:ascii="Arial" w:hAnsi="Arial"/>
      <w:sz w:val="24"/>
      <w:szCs w:val="24"/>
    </w:rPr>
  </w:style>
  <w:style w:type="character" w:styleId="1288" w:customStyle="1">
    <w:name w:val="正文文本 Char Char"/>
    <w:link w:val="933"/>
    <w:uiPriority w:val="0"/>
    <w:qFormat/>
    <w:rPr>
      <w:rFonts w:ascii="楷体_GB2312" w:hAnsi="Arial" w:eastAsia="楷体_GB2312" w:cs="Times New Roman"/>
      <w:sz w:val="28"/>
      <w:szCs w:val="28"/>
    </w:rPr>
  </w:style>
  <w:style w:type="character" w:styleId="1289" w:customStyle="1">
    <w:name w:val="+正文 Char3"/>
    <w:link w:val="1290"/>
    <w:uiPriority w:val="0"/>
    <w:qFormat/>
    <w:rPr>
      <w:sz w:val="24"/>
      <w:szCs w:val="28"/>
    </w:rPr>
  </w:style>
  <w:style w:type="paragraph" w:styleId="1290" w:customStyle="1">
    <w:name w:val="+正文"/>
    <w:basedOn w:val="933"/>
    <w:link w:val="1289"/>
    <w:uiPriority w:val="0"/>
    <w:qFormat/>
    <w:pPr>
      <w:ind w:firstLine="200"/>
      <w:spacing w:line="360" w:lineRule="auto"/>
    </w:pPr>
    <w:rPr>
      <w:sz w:val="24"/>
      <w:szCs w:val="28"/>
    </w:rPr>
  </w:style>
  <w:style w:type="character" w:styleId="1291" w:customStyle="1">
    <w:name w:val="style331"/>
    <w:link w:val="933"/>
    <w:uiPriority w:val="0"/>
    <w:qFormat/>
    <w:rPr>
      <w:color w:val="9900ff"/>
      <w:sz w:val="18"/>
      <w:szCs w:val="18"/>
    </w:rPr>
  </w:style>
  <w:style w:type="character" w:styleId="1292" w:customStyle="1">
    <w:name w:val="一般文字 字元 Char"/>
    <w:link w:val="933"/>
    <w:uiPriority w:val="0"/>
    <w:qFormat/>
    <w:rPr>
      <w:rFonts w:ascii="宋体" w:hAnsi="Courier New" w:eastAsia="宋体"/>
      <w:sz w:val="21"/>
      <w:lang w:val="en-US" w:eastAsia="zh-CN" w:bidi="ar-SA"/>
    </w:rPr>
  </w:style>
  <w:style w:type="character" w:styleId="1293" w:customStyle="1">
    <w:name w:val="正文缩进 Char1"/>
    <w:link w:val="933"/>
    <w:uiPriority w:val="0"/>
    <w:qFormat/>
    <w:rPr>
      <w:rFonts w:eastAsia="楷体_GB2312"/>
      <w:sz w:val="24"/>
      <w:lang w:val="en-US" w:eastAsia="zh-CN" w:bidi="ar-SA"/>
    </w:rPr>
  </w:style>
  <w:style w:type="character" w:styleId="1294" w:customStyle="1">
    <w:name w:val="纯文本 Char1"/>
    <w:link w:val="933"/>
    <w:uiPriority w:val="0"/>
    <w:semiHidden/>
    <w:qFormat/>
    <w:rPr>
      <w:rFonts w:ascii="宋体" w:hAnsi="Courier New" w:eastAsia="宋体"/>
    </w:rPr>
  </w:style>
  <w:style w:type="paragraph" w:styleId="1295" w:customStyle="1">
    <w:name w:val="图形"/>
    <w:basedOn w:val="933"/>
    <w:uiPriority w:val="0"/>
    <w:qFormat/>
    <w:pPr>
      <w:ind w:firstLine="420"/>
      <w:jc w:val="center"/>
      <w:spacing w:after="20" w:line="288" w:lineRule="auto"/>
    </w:pPr>
    <w:rPr>
      <w:szCs w:val="24"/>
    </w:rPr>
  </w:style>
  <w:style w:type="paragraph" w:styleId="1296" w:customStyle="1">
    <w:name w:val="xl45"/>
    <w:basedOn w:val="9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97" w:customStyle="1">
    <w:name w:val="回信地址"/>
    <w:basedOn w:val="933"/>
    <w:uiPriority w:val="0"/>
    <w:qFormat/>
    <w:pPr>
      <w:ind w:right="-120" w:firstLine="420"/>
      <w:jc w:val="left"/>
      <w:keepLines/>
      <w:spacing w:after="20" w:line="200" w:lineRule="atLeast"/>
      <w:widowControl/>
    </w:pPr>
    <w:rPr>
      <w:sz w:val="16"/>
    </w:rPr>
  </w:style>
  <w:style w:type="paragraph" w:styleId="1298" w:customStyle="1">
    <w:name w:val="xl46"/>
    <w:basedOn w:val="9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299" w:customStyle="1">
    <w:name w:val="xl36"/>
    <w:basedOn w:val="9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300" w:customStyle="1">
    <w:name w:val="表中"/>
    <w:basedOn w:val="933"/>
    <w:uiPriority w:val="0"/>
    <w:qFormat/>
    <w:pPr>
      <w:jc w:val="center"/>
      <w:spacing w:line="360" w:lineRule="atLeast"/>
    </w:pPr>
  </w:style>
  <w:style w:type="paragraph" w:styleId="1301" w:customStyle="1">
    <w:name w:val="Char"/>
    <w:basedOn w:val="933"/>
    <w:uiPriority w:val="0"/>
    <w:qFormat/>
    <w:rPr>
      <w:rFonts w:ascii="仿宋_GB2312" w:eastAsia="仿宋_GB2312"/>
      <w:b/>
      <w:sz w:val="32"/>
      <w:szCs w:val="32"/>
    </w:rPr>
  </w:style>
  <w:style w:type="paragraph" w:styleId="1302" w:customStyle="1">
    <w:name w:val="font6"/>
    <w:basedOn w:val="933"/>
    <w:uiPriority w:val="0"/>
    <w:qFormat/>
    <w:pPr>
      <w:ind w:firstLine="420"/>
      <w:jc w:val="left"/>
      <w:spacing w:before="100" w:beforeAutospacing="1" w:after="100" w:afterAutospacing="1" w:line="288" w:lineRule="auto"/>
      <w:widowControl/>
    </w:pPr>
    <w:rPr>
      <w:sz w:val="24"/>
      <w:szCs w:val="24"/>
    </w:rPr>
  </w:style>
  <w:style w:type="paragraph" w:styleId="1303" w:customStyle="1">
    <w:name w:val="xl40"/>
    <w:basedOn w:val="9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304" w:customStyle="1">
    <w:name w:val="xl37"/>
    <w:basedOn w:val="9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30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306" w:customStyle="1">
    <w:name w:val="样式 纯文本 + 楷体_GB2312 小四 行距: 固定值 20 磅1"/>
    <w:basedOn w:val="1167"/>
    <w:uiPriority w:val="0"/>
    <w:qFormat/>
    <w:pPr>
      <w:ind w:firstLine="200"/>
      <w:spacing w:line="400" w:lineRule="exact"/>
    </w:pPr>
    <w:rPr>
      <w:rFonts w:ascii="楷体_GB2312" w:eastAsia="楷体_GB2312"/>
      <w:sz w:val="24"/>
      <w:szCs w:val="20"/>
    </w:rPr>
  </w:style>
  <w:style w:type="paragraph" w:styleId="1307" w:customStyle="1">
    <w:name w:val="页眉1"/>
    <w:basedOn w:val="93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308" w:customStyle="1">
    <w:name w:val="yyn"/>
    <w:basedOn w:val="933"/>
    <w:uiPriority w:val="0"/>
    <w:qFormat/>
    <w:pPr>
      <w:ind w:right="562" w:firstLine="576"/>
      <w:keepNext/>
      <w:spacing w:line="360" w:lineRule="auto"/>
      <w:widowControl/>
    </w:pPr>
    <w:rPr>
      <w:rFonts w:ascii="宋体"/>
      <w:sz w:val="28"/>
    </w:rPr>
  </w:style>
  <w:style w:type="paragraph" w:styleId="1309" w:customStyle="1">
    <w:name w:val="标题2"/>
    <w:basedOn w:val="1117"/>
    <w:next w:val="933"/>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310" w:customStyle="1">
    <w:name w:val="样式3"/>
    <w:basedOn w:val="1167"/>
    <w:uiPriority w:val="0"/>
    <w:qFormat/>
    <w:pPr>
      <w:ind w:firstLine="448"/>
    </w:pPr>
    <w:rPr>
      <w:rFonts w:cs="Courier New"/>
      <w:color w:val="000000"/>
      <w:spacing w:val="-8"/>
    </w:rPr>
  </w:style>
  <w:style w:type="paragraph" w:styleId="1311" w:customStyle="1">
    <w:name w:val="xl44"/>
    <w:basedOn w:val="93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312" w:customStyle="1">
    <w:name w:val="附录1层"/>
    <w:basedOn w:val="933"/>
    <w:next w:val="933"/>
    <w:uiPriority w:val="0"/>
    <w:qFormat/>
    <w:pPr>
      <w:ind w:firstLine="448"/>
      <w:jc w:val="center"/>
      <w:spacing w:line="440" w:lineRule="exact"/>
    </w:pPr>
    <w:rPr>
      <w:rFonts w:ascii="黑体" w:hAnsi="宋体" w:eastAsia="黑体"/>
      <w:color w:val="000000"/>
      <w:spacing w:val="-8"/>
      <w:sz w:val="24"/>
    </w:rPr>
  </w:style>
  <w:style w:type="paragraph" w:styleId="1313" w:customStyle="1">
    <w:name w:val="正文1)"/>
    <w:basedOn w:val="93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314" w:customStyle="1">
    <w:name w:val="标题0"/>
    <w:basedOn w:val="1210"/>
    <w:next w:val="1210"/>
    <w:uiPriority w:val="0"/>
    <w:qFormat/>
    <w:rPr>
      <w:sz w:val="52"/>
    </w:rPr>
  </w:style>
  <w:style w:type="paragraph" w:styleId="1315" w:customStyle="1">
    <w:name w:val="Table Paragraph"/>
    <w:basedOn w:val="933"/>
    <w:uiPriority w:val="1"/>
    <w:qFormat/>
    <w:rPr>
      <w:rFonts w:ascii="宋体" w:hAnsi="宋体" w:cs="宋体"/>
      <w:szCs w:val="24"/>
      <w:lang w:val="zh-CN" w:bidi="zh-CN"/>
    </w:rPr>
  </w:style>
  <w:style w:type="paragraph" w:styleId="1316" w:customStyle="1">
    <w:name w:val="xl49"/>
    <w:basedOn w:val="933"/>
    <w:uiPriority w:val="0"/>
    <w:qFormat/>
    <w:pPr>
      <w:jc w:val="center"/>
      <w:spacing w:before="100" w:beforeAutospacing="1" w:after="100" w:afterAutospacing="1"/>
      <w:widowControl/>
    </w:pPr>
    <w:rPr>
      <w:rFonts w:ascii="宋体" w:hAnsi="宋体"/>
      <w:b/>
      <w:bCs/>
      <w:color w:val="000000"/>
      <w:sz w:val="40"/>
      <w:szCs w:val="40"/>
    </w:rPr>
  </w:style>
  <w:style w:type="paragraph" w:styleId="1317" w:customStyle="1">
    <w:name w:val="table_lines"/>
    <w:basedOn w:val="933"/>
    <w:uiPriority w:val="0"/>
    <w:qFormat/>
    <w:pPr>
      <w:jc w:val="left"/>
      <w:widowControl/>
    </w:pPr>
    <w:rPr>
      <w:sz w:val="20"/>
      <w:lang w:val="de-DE" w:eastAsia="de-DE"/>
    </w:rPr>
  </w:style>
  <w:style w:type="paragraph" w:styleId="1318" w:customStyle="1">
    <w:name w:val="font7"/>
    <w:basedOn w:val="933"/>
    <w:uiPriority w:val="0"/>
    <w:qFormat/>
    <w:pPr>
      <w:ind w:firstLine="420"/>
      <w:jc w:val="left"/>
      <w:spacing w:before="100" w:beforeAutospacing="1" w:after="100" w:afterAutospacing="1" w:line="288" w:lineRule="auto"/>
      <w:widowControl/>
    </w:pPr>
    <w:rPr>
      <w:b/>
      <w:bCs/>
      <w:sz w:val="24"/>
      <w:szCs w:val="24"/>
    </w:rPr>
  </w:style>
  <w:style w:type="paragraph" w:styleId="1319" w:customStyle="1">
    <w:name w:val="xl33"/>
    <w:basedOn w:val="9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20" w:customStyle="1">
    <w:name w:val="正文(缩进)"/>
    <w:basedOn w:val="933"/>
    <w:uiPriority w:val="0"/>
    <w:qFormat/>
    <w:pPr>
      <w:ind w:firstLine="200"/>
      <w:spacing w:line="360" w:lineRule="auto"/>
      <w:widowControl/>
    </w:pPr>
    <w:rPr>
      <w:rFonts w:eastAsia="仿宋_GB2312"/>
      <w:sz w:val="24"/>
    </w:rPr>
  </w:style>
  <w:style w:type="paragraph" w:styleId="1321" w:customStyle="1">
    <w:name w:val="样式1"/>
    <w:basedOn w:val="1119"/>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322" w:customStyle="1">
    <w:name w:val="并列项-点"/>
    <w:basedOn w:val="933"/>
    <w:uiPriority w:val="0"/>
    <w:qFormat/>
    <w:pPr>
      <w:ind w:left="851" w:hanging="284"/>
      <w:spacing w:before="120" w:line="360" w:lineRule="auto"/>
      <w:widowControl/>
      <w:tabs>
        <w:tab w:val="left" w:pos="851" w:leader="none"/>
        <w:tab w:val="left" w:pos="927" w:leader="none"/>
      </w:tabs>
    </w:pPr>
    <w:rPr>
      <w:sz w:val="24"/>
    </w:rPr>
  </w:style>
  <w:style w:type="paragraph" w:styleId="1323" w:customStyle="1">
    <w:name w:val="表蕊"/>
    <w:basedOn w:val="933"/>
    <w:uiPriority w:val="0"/>
    <w:qFormat/>
    <w:pPr>
      <w:jc w:val="left"/>
      <w:spacing w:line="320" w:lineRule="atLeast"/>
    </w:pPr>
    <w:rPr>
      <w:rFonts w:eastAsia="楷体_GB2312"/>
      <w:spacing w:val="-10"/>
    </w:rPr>
  </w:style>
  <w:style w:type="paragraph" w:styleId="1324" w:customStyle="1">
    <w:name w:val="正文缩进1"/>
    <w:basedOn w:val="933"/>
    <w:uiPriority w:val="99"/>
    <w:qFormat/>
    <w:pPr>
      <w:ind w:firstLine="200"/>
      <w:jc w:val="left"/>
      <w:spacing w:line="360" w:lineRule="auto"/>
      <w:widowControl/>
    </w:pPr>
    <w:rPr>
      <w:rFonts w:eastAsia="华文细黑"/>
      <w:sz w:val="24"/>
      <w:szCs w:val="21"/>
    </w:rPr>
  </w:style>
  <w:style w:type="paragraph" w:styleId="1325" w:customStyle="1">
    <w:name w:val="font5"/>
    <w:basedOn w:val="933"/>
    <w:uiPriority w:val="0"/>
    <w:qFormat/>
    <w:pPr>
      <w:jc w:val="left"/>
      <w:spacing w:before="100" w:beforeAutospacing="1" w:after="100" w:afterAutospacing="1"/>
      <w:widowControl/>
    </w:pPr>
    <w:rPr>
      <w:rFonts w:hint="eastAsia" w:ascii="宋体" w:hAnsi="宋体"/>
      <w:sz w:val="18"/>
      <w:szCs w:val="18"/>
    </w:rPr>
  </w:style>
  <w:style w:type="paragraph" w:styleId="1326" w:customStyle="1">
    <w:name w:val="产品型号"/>
    <w:basedOn w:val="93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327" w:customStyle="1">
    <w:name w:val="xl41"/>
    <w:basedOn w:val="93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328" w:customStyle="1">
    <w:name w:val="xl39"/>
    <w:basedOn w:val="9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329" w:customStyle="1">
    <w:name w:val="名词解释11"/>
    <w:basedOn w:val="1330"/>
    <w:uiPriority w:val="0"/>
    <w:qFormat/>
    <w:pPr>
      <w:ind w:firstLine="0"/>
      <w:spacing w:after="0"/>
    </w:pPr>
  </w:style>
  <w:style w:type="paragraph" w:styleId="1330" w:customStyle="1">
    <w:name w:val="名词解释"/>
    <w:basedOn w:val="933"/>
    <w:uiPriority w:val="0"/>
    <w:qFormat/>
    <w:pPr>
      <w:ind w:left="2325" w:hanging="2325"/>
      <w:spacing w:after="20" w:line="288" w:lineRule="auto"/>
    </w:pPr>
  </w:style>
  <w:style w:type="paragraph" w:styleId="1331" w:customStyle="1">
    <w:name w:val="xl51"/>
    <w:basedOn w:val="93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332" w:customStyle="1">
    <w:name w:val="xl26"/>
    <w:basedOn w:val="93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333" w:customStyle="1">
    <w:name w:val="xl38"/>
    <w:basedOn w:val="93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34" w:customStyle="1">
    <w:name w:val="办公自动化专用正文"/>
    <w:basedOn w:val="933"/>
    <w:uiPriority w:val="0"/>
    <w:qFormat/>
    <w:pPr>
      <w:ind w:firstLine="624"/>
      <w:spacing w:line="500" w:lineRule="atLeast"/>
    </w:pPr>
    <w:rPr>
      <w:rFonts w:hAnsi="宋体" w:eastAsia="楷体_GB2312"/>
      <w:color w:val="000000"/>
      <w:spacing w:val="-8"/>
      <w:sz w:val="32"/>
    </w:rPr>
  </w:style>
  <w:style w:type="paragraph" w:styleId="1335" w:customStyle="1">
    <w:name w:val="样式 标题 2标题 2 Char Char + (西文) 仿宋_GB2312"/>
    <w:basedOn w:val="1117"/>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336" w:customStyle="1">
    <w:name w:val="章标题"/>
    <w:next w:val="933"/>
    <w:uiPriority w:val="0"/>
    <w:qFormat/>
    <w:pPr>
      <w:jc w:val="both"/>
      <w:outlineLvl w:val="1"/>
    </w:pPr>
    <w:rPr>
      <w:rFonts w:hint="default" w:ascii="黑体" w:hAnsi="Times New Roman" w:eastAsia="黑体" w:cs="Times New Roman"/>
      <w:sz w:val="21"/>
      <w:lang w:val="en-US" w:eastAsia="zh-CN" w:bidi="ar-SA"/>
    </w:rPr>
  </w:style>
  <w:style w:type="paragraph" w:styleId="1337" w:customStyle="1">
    <w:name w:val="Char Char Char Char Char Char Char Char Char Char Char"/>
    <w:basedOn w:val="1144"/>
    <w:uiPriority w:val="0"/>
    <w:qFormat/>
    <w:pPr>
      <w:ind w:firstLine="420"/>
    </w:pPr>
    <w:rPr>
      <w:rFonts w:hAnsi="宋体"/>
      <w:color w:val="000000"/>
      <w:spacing w:val="-8"/>
      <w:sz w:val="21"/>
      <w:shd w:val="clear" w:color="auto" w:fill="000080"/>
    </w:rPr>
  </w:style>
  <w:style w:type="paragraph" w:styleId="1338" w:customStyle="1">
    <w:name w:val="text"/>
    <w:basedOn w:val="933"/>
    <w:uiPriority w:val="0"/>
    <w:qFormat/>
    <w:pPr>
      <w:ind w:left="1098" w:hanging="2"/>
      <w:spacing w:after="60" w:line="264" w:lineRule="auto"/>
      <w:widowControl/>
      <w:tabs>
        <w:tab w:val="left" w:pos="1020" w:leader="none"/>
        <w:tab w:val="left" w:pos="1090" w:leader="none"/>
      </w:tabs>
    </w:pPr>
    <w:rPr>
      <w:sz w:val="24"/>
      <w:szCs w:val="24"/>
    </w:rPr>
  </w:style>
  <w:style w:type="paragraph" w:styleId="1339" w:customStyle="1">
    <w:name w:val="函数注释1"/>
    <w:basedOn w:val="933"/>
    <w:uiPriority w:val="0"/>
    <w:qFormat/>
    <w:pPr>
      <w:ind w:left="1678" w:right="210" w:hanging="1049"/>
      <w:jc w:val="left"/>
      <w:spacing w:after="20" w:line="320" w:lineRule="exact"/>
    </w:pPr>
  </w:style>
  <w:style w:type="paragraph" w:styleId="1340" w:customStyle="1">
    <w:name w:val="列表_名词"/>
    <w:basedOn w:val="1329"/>
    <w:uiPriority w:val="0"/>
    <w:qFormat/>
    <w:pPr>
      <w:ind w:left="2745" w:hanging="420"/>
      <w:tabs>
        <w:tab w:val="left" w:pos="2745" w:leader="none"/>
      </w:tabs>
    </w:pPr>
  </w:style>
  <w:style w:type="paragraph" w:styleId="1341" w:customStyle="1">
    <w:name w:val="样式 标题 3 + (西文) 宋体 黑色"/>
    <w:basedOn w:val="1118"/>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342" w:customStyle="1">
    <w:name w:val="Javis"/>
    <w:basedOn w:val="933"/>
    <w:uiPriority w:val="0"/>
    <w:qFormat/>
    <w:pPr>
      <w:ind w:right="210"/>
    </w:pPr>
    <w:rPr>
      <w:rFonts w:cs="宋体"/>
      <w:sz w:val="24"/>
    </w:rPr>
  </w:style>
  <w:style w:type="paragraph" w:styleId="1343" w:customStyle="1">
    <w:name w:val="样式 标题 1 + 加粗"/>
    <w:basedOn w:val="1116"/>
    <w:uiPriority w:val="0"/>
    <w:qFormat/>
    <w:pPr>
      <w:keepLines/>
      <w:spacing w:before="120" w:after="120"/>
      <w:widowControl/>
      <w:tabs>
        <w:tab w:val="left" w:pos="1800" w:leader="none"/>
      </w:tabs>
    </w:pPr>
    <w:rPr>
      <w:rFonts w:ascii="新宋体" w:hAnsi="宋体" w:eastAsia="黑体"/>
      <w:bCs/>
      <w:szCs w:val="28"/>
    </w:rPr>
  </w:style>
  <w:style w:type="paragraph" w:styleId="1344" w:customStyle="1">
    <w:name w:val="重点"/>
    <w:basedOn w:val="933"/>
    <w:uiPriority w:val="0"/>
    <w:qFormat/>
    <w:pPr>
      <w:ind w:firstLine="420"/>
      <w:spacing w:after="20" w:line="288" w:lineRule="auto"/>
      <w:shd w:val="pct10" w:color="auto" w:fill="auto"/>
    </w:pPr>
    <w:rPr>
      <w:rFonts w:eastAsia="黑体"/>
      <w:b/>
      <w:szCs w:val="24"/>
    </w:rPr>
  </w:style>
  <w:style w:type="paragraph" w:styleId="1345" w:customStyle="1">
    <w:name w:val="目录"/>
    <w:basedOn w:val="933"/>
    <w:next w:val="933"/>
    <w:uiPriority w:val="0"/>
    <w:qFormat/>
    <w:pPr>
      <w:ind w:firstLine="420"/>
      <w:jc w:val="center"/>
      <w:spacing w:before="360" w:after="360" w:line="360" w:lineRule="auto"/>
    </w:pPr>
    <w:rPr>
      <w:b/>
      <w:spacing w:val="200"/>
      <w:sz w:val="36"/>
    </w:rPr>
  </w:style>
  <w:style w:type="paragraph" w:styleId="1346" w:customStyle="1">
    <w:name w:val="样式2"/>
    <w:basedOn w:val="1118"/>
    <w:uiPriority w:val="0"/>
    <w:qFormat/>
    <w:pPr>
      <w:ind w:firstLine="448"/>
      <w:jc w:val="both"/>
      <w:keepLines/>
      <w:spacing w:line="416" w:lineRule="auto"/>
    </w:pPr>
    <w:rPr>
      <w:rFonts w:hAnsi="宋体" w:eastAsia="宋体"/>
      <w:color w:val="000000"/>
      <w:spacing w:val="-8"/>
      <w:sz w:val="24"/>
      <w:szCs w:val="32"/>
    </w:rPr>
  </w:style>
  <w:style w:type="paragraph" w:styleId="1347" w:customStyle="1">
    <w:name w:val="Char Char Char Char Char Char Char Char Char Char Char Char Char Char Char Char"/>
    <w:basedOn w:val="933"/>
    <w:uiPriority w:val="0"/>
    <w:qFormat/>
    <w:pPr>
      <w:tabs>
        <w:tab w:val="left" w:pos="360" w:leader="none"/>
      </w:tabs>
    </w:pPr>
    <w:rPr>
      <w:sz w:val="24"/>
      <w:szCs w:val="24"/>
    </w:rPr>
  </w:style>
  <w:style w:type="paragraph" w:styleId="1348" w:customStyle="1">
    <w:name w:val="xl52"/>
    <w:basedOn w:val="93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349" w:customStyle="1">
    <w:name w:val="函数注释2"/>
    <w:basedOn w:val="933"/>
    <w:uiPriority w:val="0"/>
    <w:qFormat/>
    <w:pPr>
      <w:ind w:left="1680" w:firstLine="420"/>
      <w:spacing w:after="20" w:line="288" w:lineRule="auto"/>
    </w:pPr>
    <w:rPr>
      <w:szCs w:val="24"/>
    </w:rPr>
  </w:style>
  <w:style w:type="paragraph" w:styleId="1350" w:customStyle="1">
    <w:name w:val="xl22"/>
    <w:basedOn w:val="93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351" w:customStyle="1">
    <w:name w:val="xl24"/>
    <w:basedOn w:val="93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352" w:customStyle="1">
    <w:name w:val="xl42"/>
    <w:basedOn w:val="93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353" w:customStyle="1">
    <w:name w:val="复选框1"/>
    <w:basedOn w:val="933"/>
    <w:uiPriority w:val="0"/>
    <w:qFormat/>
    <w:pPr>
      <w:ind w:firstLine="448"/>
      <w:spacing w:before="360" w:after="360"/>
      <w:widowControl/>
    </w:pPr>
    <w:rPr>
      <w:rFonts w:hAnsi="宋体"/>
      <w:color w:val="000000"/>
      <w:spacing w:val="-8"/>
      <w:sz w:val="20"/>
    </w:rPr>
  </w:style>
  <w:style w:type="paragraph" w:styleId="1354" w:customStyle="1">
    <w:name w:val="Char Char Char Char Char Char Char"/>
    <w:basedOn w:val="933"/>
    <w:uiPriority w:val="0"/>
    <w:qFormat/>
    <w:pPr>
      <w:jc w:val="left"/>
      <w:spacing w:after="160" w:line="240" w:lineRule="exact"/>
      <w:widowControl/>
    </w:pPr>
    <w:rPr>
      <w:rFonts w:ascii="Arial" w:hAnsi="Arial" w:eastAsia="Times New Roman" w:cs="Verdana"/>
      <w:b/>
      <w:sz w:val="24"/>
      <w:szCs w:val="24"/>
      <w:lang w:eastAsia="en-US"/>
    </w:rPr>
  </w:style>
  <w:style w:type="paragraph" w:styleId="1355" w:customStyle="1">
    <w:name w:val="标准文字"/>
    <w:basedOn w:val="933"/>
    <w:uiPriority w:val="0"/>
    <w:qFormat/>
    <w:pPr>
      <w:ind w:firstLine="420"/>
      <w:spacing w:after="20" w:line="360" w:lineRule="auto"/>
    </w:pPr>
    <w:rPr>
      <w:szCs w:val="24"/>
    </w:rPr>
  </w:style>
  <w:style w:type="paragraph" w:styleId="1356" w:customStyle="1">
    <w:name w:val="Char Char Char Char"/>
    <w:basedOn w:val="933"/>
    <w:uiPriority w:val="0"/>
    <w:qFormat/>
    <w:pPr>
      <w:jc w:val="left"/>
      <w:spacing w:after="160" w:line="240" w:lineRule="exact"/>
      <w:widowControl/>
    </w:pPr>
    <w:rPr>
      <w:rFonts w:ascii="Verdana" w:hAnsi="Verdana" w:eastAsia="仿宋_GB2312"/>
      <w:sz w:val="24"/>
      <w:lang w:eastAsia="en-US"/>
    </w:rPr>
  </w:style>
  <w:style w:type="paragraph" w:styleId="1357" w:customStyle="1">
    <w:name w:val="样式一"/>
    <w:basedOn w:val="93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358" w:customStyle="1">
    <w:name w:val="程序代码"/>
    <w:basedOn w:val="933"/>
    <w:uiPriority w:val="0"/>
    <w:qFormat/>
    <w:pPr>
      <w:ind w:left="839" w:firstLine="420"/>
      <w:spacing w:after="20" w:line="288" w:lineRule="auto"/>
    </w:pPr>
    <w:rPr>
      <w:rFonts w:eastAsia="仿宋_GB2312"/>
      <w:szCs w:val="24"/>
    </w:rPr>
  </w:style>
  <w:style w:type="paragraph" w:styleId="1359" w:customStyle="1">
    <w:name w:val="表格文字"/>
    <w:basedOn w:val="933"/>
    <w:uiPriority w:val="0"/>
    <w:qFormat/>
    <w:pPr>
      <w:jc w:val="left"/>
      <w:spacing w:line="288" w:lineRule="auto"/>
    </w:pPr>
  </w:style>
  <w:style w:type="paragraph" w:styleId="1360" w:customStyle="1">
    <w:name w:val="xl25"/>
    <w:basedOn w:val="9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361" w:customStyle="1">
    <w:name w:val="xl29"/>
    <w:basedOn w:val="93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362" w:customStyle="1">
    <w:name w:val="xl47"/>
    <w:basedOn w:val="9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363" w:customStyle="1">
    <w:name w:val="xl34"/>
    <w:basedOn w:val="9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64" w:customStyle="1">
    <w:name w:val="xl23"/>
    <w:basedOn w:val="93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365" w:customStyle="1">
    <w:name w:val="List Paragraph[858D7CFB-ED40-4347-BF05-701D383B685F][858D7CFB-ED40-4347-BF05-701D383B685F]"/>
    <w:basedOn w:val="933"/>
    <w:uiPriority w:val="0"/>
    <w:qFormat/>
    <w:pPr>
      <w:ind w:firstLine="420"/>
    </w:pPr>
    <w:rPr>
      <w:rFonts w:ascii="Calibri" w:hAnsi="Calibri"/>
      <w:color w:val="000000"/>
      <w:spacing w:val="-8"/>
      <w:szCs w:val="22"/>
    </w:rPr>
  </w:style>
  <w:style w:type="paragraph" w:styleId="1366" w:customStyle="1">
    <w:name w:val="xl30"/>
    <w:basedOn w:val="93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367" w:customStyle="1">
    <w:name w:val="文档标签"/>
    <w:next w:val="933"/>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368" w:customStyle="1">
    <w:name w:val="whs5"/>
    <w:basedOn w:val="933"/>
    <w:uiPriority w:val="0"/>
    <w:qFormat/>
    <w:pPr>
      <w:ind w:left="115" w:right="130" w:firstLine="448"/>
      <w:widowControl/>
    </w:pPr>
    <w:rPr>
      <w:rFonts w:hAnsi="宋体"/>
      <w:color w:val="000000"/>
      <w:spacing w:val="-8"/>
      <w:sz w:val="18"/>
      <w:szCs w:val="18"/>
      <w:lang w:eastAsia="en-US"/>
    </w:rPr>
  </w:style>
  <w:style w:type="paragraph" w:styleId="1369" w:customStyle="1">
    <w:name w:val="Char Char Char Char Char Char"/>
    <w:basedOn w:val="933"/>
    <w:uiPriority w:val="0"/>
    <w:qFormat/>
    <w:pPr>
      <w:jc w:val="left"/>
      <w:spacing w:after="160" w:line="240" w:lineRule="exact"/>
      <w:widowControl/>
    </w:pPr>
    <w:rPr>
      <w:rFonts w:ascii="黑体" w:hAnsi="Verdana" w:eastAsia="黑体"/>
      <w:sz w:val="32"/>
      <w:szCs w:val="32"/>
    </w:rPr>
  </w:style>
  <w:style w:type="paragraph" w:styleId="1370" w:customStyle="1">
    <w:name w:val="表格标题"/>
    <w:basedOn w:val="933"/>
    <w:uiPriority w:val="0"/>
    <w:qFormat/>
    <w:pPr>
      <w:jc w:val="center"/>
      <w:spacing w:before="120" w:line="400" w:lineRule="exact"/>
    </w:pPr>
    <w:rPr>
      <w:rFonts w:eastAsia="文鼎CS中宋"/>
      <w:spacing w:val="8"/>
      <w:sz w:val="24"/>
    </w:rPr>
  </w:style>
  <w:style w:type="paragraph" w:styleId="1371" w:customStyle="1">
    <w:name w:val="列表2"/>
    <w:basedOn w:val="933"/>
    <w:uiPriority w:val="0"/>
    <w:qFormat/>
    <w:pPr>
      <w:ind w:left="1469" w:hanging="420"/>
      <w:spacing w:after="20" w:line="288" w:lineRule="auto"/>
      <w:tabs>
        <w:tab w:val="left" w:pos="1470" w:leader="none"/>
      </w:tabs>
    </w:pPr>
    <w:rPr>
      <w:szCs w:val="24"/>
    </w:rPr>
  </w:style>
  <w:style w:type="paragraph" w:styleId="1372" w:customStyle="1">
    <w:name w:val="列表段落1"/>
    <w:basedOn w:val="933"/>
    <w:uiPriority w:val="0"/>
    <w:qFormat/>
    <w:pPr>
      <w:ind w:firstLine="420"/>
    </w:pPr>
    <w:rPr>
      <w:rFonts w:ascii="Calibri" w:hAnsi="Calibri"/>
      <w:szCs w:val="22"/>
    </w:rPr>
  </w:style>
  <w:style w:type="paragraph" w:styleId="1373" w:customStyle="1">
    <w:name w:val="xl28"/>
    <w:basedOn w:val="93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374" w:customStyle="1">
    <w:name w:val="Char Char Char1 Char Char Char"/>
    <w:basedOn w:val="933"/>
    <w:uiPriority w:val="0"/>
    <w:qFormat/>
    <w:pPr>
      <w:ind w:firstLine="200"/>
    </w:pPr>
    <w:rPr>
      <w:rFonts w:ascii="Tahoma" w:hAnsi="Tahoma"/>
      <w:sz w:val="24"/>
    </w:rPr>
  </w:style>
  <w:style w:type="paragraph" w:styleId="1375" w:customStyle="1">
    <w:name w:val="xl35"/>
    <w:basedOn w:val="9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76"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7" w:customStyle="1">
    <w:name w:val="xl43"/>
    <w:basedOn w:val="93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378" w:customStyle="1">
    <w:name w:val="表头"/>
    <w:basedOn w:val="933"/>
    <w:uiPriority w:val="0"/>
    <w:qFormat/>
    <w:pPr>
      <w:jc w:val="center"/>
      <w:spacing w:line="320" w:lineRule="atLeast"/>
    </w:pPr>
    <w:rPr>
      <w:rFonts w:eastAsia="黑体"/>
      <w:spacing w:val="-10"/>
    </w:rPr>
  </w:style>
  <w:style w:type="paragraph" w:styleId="1379" w:customStyle="1">
    <w:name w:val="标准式样"/>
    <w:basedOn w:val="1195"/>
    <w:uiPriority w:val="0"/>
    <w:qFormat/>
  </w:style>
  <w:style w:type="paragraph" w:styleId="1380" w:customStyle="1">
    <w:name w:val="xl50"/>
    <w:basedOn w:val="933"/>
    <w:uiPriority w:val="0"/>
    <w:qFormat/>
    <w:pPr>
      <w:jc w:val="center"/>
      <w:spacing w:before="100" w:beforeAutospacing="1" w:after="100" w:afterAutospacing="1"/>
      <w:widowControl/>
    </w:pPr>
    <w:rPr>
      <w:rFonts w:ascii="宋体" w:hAnsi="宋体"/>
      <w:b/>
      <w:bCs/>
      <w:sz w:val="40"/>
      <w:szCs w:val="40"/>
    </w:rPr>
  </w:style>
  <w:style w:type="paragraph" w:styleId="1381" w:customStyle="1">
    <w:name w:val="Char1"/>
    <w:basedOn w:val="933"/>
    <w:uiPriority w:val="0"/>
    <w:qFormat/>
    <w:pPr>
      <w:ind w:firstLine="448"/>
    </w:pPr>
    <w:rPr>
      <w:rFonts w:ascii="宋体" w:hAnsi="宋体" w:eastAsia="仿宋_GB2312"/>
      <w:b/>
      <w:color w:val="000000"/>
      <w:spacing w:val="-8"/>
      <w:sz w:val="32"/>
      <w:szCs w:val="32"/>
    </w:rPr>
  </w:style>
  <w:style w:type="paragraph" w:styleId="1382" w:customStyle="1">
    <w:name w:val="font0"/>
    <w:basedOn w:val="933"/>
    <w:uiPriority w:val="0"/>
    <w:qFormat/>
    <w:pPr>
      <w:jc w:val="left"/>
      <w:spacing w:before="100" w:beforeAutospacing="1" w:after="100" w:afterAutospacing="1"/>
      <w:widowControl/>
    </w:pPr>
    <w:rPr>
      <w:rFonts w:hint="eastAsia" w:ascii="宋体" w:hAnsi="宋体"/>
      <w:sz w:val="18"/>
      <w:szCs w:val="18"/>
    </w:rPr>
  </w:style>
  <w:style w:type="paragraph" w:styleId="1383" w:customStyle="1">
    <w:name w:val="xl27"/>
    <w:basedOn w:val="93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384" w:customStyle="1">
    <w:name w:val="简介正文"/>
    <w:basedOn w:val="933"/>
    <w:uiPriority w:val="0"/>
    <w:qFormat/>
    <w:pPr>
      <w:ind w:left="1701" w:hanging="1701"/>
      <w:spacing w:after="20" w:line="520" w:lineRule="exact"/>
      <w:tabs>
        <w:tab w:val="left" w:pos="425" w:leader="none"/>
      </w:tabs>
    </w:pPr>
    <w:rPr>
      <w:sz w:val="24"/>
    </w:rPr>
  </w:style>
  <w:style w:type="paragraph" w:styleId="1385" w:customStyle="1">
    <w:name w:val="xl31"/>
    <w:basedOn w:val="9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86" w:customStyle="1">
    <w:name w:val="xl32"/>
    <w:basedOn w:val="9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87" w:customStyle="1">
    <w:name w:val="xl48"/>
    <w:basedOn w:val="9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388" w:customStyle="1">
    <w:name w:val="Other|1"/>
    <w:basedOn w:val="933"/>
    <w:uiPriority w:val="0"/>
    <w:qFormat/>
    <w:pPr>
      <w:ind w:firstLine="220"/>
    </w:pPr>
    <w:rPr>
      <w:rFonts w:ascii="宋体" w:hAnsi="宋体" w:cs="宋体"/>
      <w:sz w:val="20"/>
      <w:lang w:val="zh-TW" w:eastAsia="zh-TW" w:bidi="zh-TW"/>
    </w:rPr>
  </w:style>
  <w:style w:type="paragraph" w:styleId="1389" w:customStyle="1">
    <w:name w:val="reader-word-layer reader-word-s1-8"/>
    <w:basedOn w:val="933"/>
    <w:uiPriority w:val="0"/>
    <w:qFormat/>
    <w:pPr>
      <w:jc w:val="left"/>
      <w:spacing w:before="100" w:beforeAutospacing="1" w:after="100" w:afterAutospacing="1"/>
      <w:widowControl/>
    </w:pPr>
    <w:rPr>
      <w:rFonts w:cs="宋体"/>
      <w:sz w:val="24"/>
      <w:szCs w:val="24"/>
    </w:rPr>
  </w:style>
  <w:style w:type="character" w:styleId="1390" w:customStyle="1">
    <w:name w:val="NormalCharacter1"/>
    <w:link w:val="933"/>
    <w:uiPriority w:val="99"/>
    <w:qFormat/>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59" textRotate="1"/>
    <customShpInfo spid="_x0000_s2060" textRotate="1"/>
    <customShpInfo spid="_x0000_s2061" textRotate="1"/>
    <customShpInfo spid="_x0000_s2062" textRotate="1"/>
    <customShpInfo spid="_x0000_s2063"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dc:creator>
  <cp:lastModifiedBy>朱莉</cp:lastModifiedBy>
  <cp:revision>6</cp:revision>
  <dcterms:created xsi:type="dcterms:W3CDTF">2022-07-11T04:13:00Z</dcterms:created>
  <dcterms:modified xsi:type="dcterms:W3CDTF">2024-09-03T06:25:45Z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C16B1572AA354893835E21C6F0814213_12</vt:lpwstr>
  </property>
</Properties>
</file>