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spacing w:before="120" w:beforeAutospacing="0" w:after="120" w:afterAutospacing="0" w:line="360" w:lineRule="auto"/>
      </w:pPr>
      <w:r>
        <w:t xml:space="preserve"> </w:t>
      </w:r>
      <w:r/>
    </w:p>
    <w:p>
      <w:pPr>
        <w:pStyle w:val="87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77"/>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77"/>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77"/>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77"/>
        <w:ind w:firstLine="964"/>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盐城市东台生态环境局综合行政执法能力建设项目</w:t>
      </w:r>
      <w:r/>
    </w:p>
    <w:p>
      <w:pPr>
        <w:pStyle w:val="877"/>
        <w:ind w:firstLine="964"/>
        <w:jc w:val="both"/>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lang w:eastAsia="zh-CN"/>
        </w:rPr>
        <w:t xml:space="preserve">JSZC-320981-JSRJ-G2025-0006</w:t>
      </w:r>
      <w:r/>
    </w:p>
    <w:p>
      <w:pPr>
        <w:pStyle w:val="877"/>
        <w:spacing w:beforeAutospacing="0" w:afterAutospacing="0" w:line="360" w:lineRule="auto"/>
        <w:rPr>
          <w:highlight w:val="none"/>
        </w:rPr>
      </w:pPr>
      <w:r>
        <w:rPr>
          <w:highlight w:val="none"/>
        </w:rPr>
        <w:t xml:space="preserve"> </w:t>
      </w:r>
      <w:r/>
    </w:p>
    <w:p>
      <w:pPr>
        <w:pStyle w:val="877"/>
        <w:spacing w:beforeAutospacing="0" w:afterAutospacing="0" w:line="360" w:lineRule="auto"/>
        <w:rPr>
          <w:highlight w:val="none"/>
        </w:rPr>
      </w:pPr>
      <w:r>
        <w:rPr>
          <w:highlight w:val="none"/>
        </w:rPr>
        <w:t xml:space="preserve"> </w:t>
      </w:r>
      <w:r/>
    </w:p>
    <w:p>
      <w:pPr>
        <w:pStyle w:val="877"/>
        <w:spacing w:beforeAutospacing="0" w:afterAutospacing="0" w:line="360" w:lineRule="auto"/>
        <w:rPr>
          <w:highlight w:val="none"/>
        </w:rPr>
      </w:pPr>
      <w:r>
        <w:rPr>
          <w:highlight w:val="none"/>
        </w:rPr>
        <w:t xml:space="preserve"> </w:t>
      </w:r>
      <w:r/>
    </w:p>
    <w:p>
      <w:pPr>
        <w:pStyle w:val="877"/>
        <w:spacing w:beforeAutospacing="0" w:afterAutospacing="0" w:line="360" w:lineRule="auto"/>
        <w:rPr>
          <w:highlight w:val="none"/>
        </w:rPr>
      </w:pPr>
      <w:r>
        <w:rPr>
          <w:highlight w:val="none"/>
        </w:rPr>
        <w:t xml:space="preserve"> </w:t>
      </w:r>
      <w:r/>
    </w:p>
    <w:p>
      <w:pPr>
        <w:pStyle w:val="877"/>
        <w:spacing w:beforeAutospacing="0" w:afterAutospacing="0" w:line="360" w:lineRule="auto"/>
        <w:rPr>
          <w:highlight w:val="none"/>
        </w:rPr>
      </w:pPr>
      <w:r>
        <w:rPr>
          <w:highlight w:val="none"/>
        </w:rPr>
      </w:r>
      <w:r/>
    </w:p>
    <w:p>
      <w:pPr>
        <w:pStyle w:val="877"/>
        <w:spacing w:beforeAutospacing="0" w:afterAutospacing="0" w:line="360" w:lineRule="auto"/>
        <w:rPr>
          <w:highlight w:val="none"/>
        </w:rPr>
      </w:pPr>
      <w:r>
        <w:rPr>
          <w:highlight w:val="none"/>
        </w:rPr>
      </w:r>
      <w:r/>
    </w:p>
    <w:p>
      <w:pPr>
        <w:pStyle w:val="877"/>
        <w:spacing w:beforeAutospacing="0" w:afterAutospacing="0" w:line="360" w:lineRule="auto"/>
        <w:rPr>
          <w:highlight w:val="none"/>
        </w:rPr>
      </w:pPr>
      <w:r>
        <w:rPr>
          <w:highlight w:val="none"/>
        </w:rPr>
        <w:t xml:space="preserve"> </w:t>
      </w:r>
      <w:r/>
    </w:p>
    <w:p>
      <w:pPr>
        <w:pStyle w:val="877"/>
        <w:spacing w:beforeAutospacing="0" w:afterAutospacing="0" w:line="360" w:lineRule="auto"/>
        <w:rPr>
          <w:highlight w:val="none"/>
        </w:rPr>
      </w:pPr>
      <w:r>
        <w:rPr>
          <w:highlight w:val="none"/>
        </w:rPr>
        <w:t xml:space="preserve"> </w:t>
      </w:r>
      <w:r/>
    </w:p>
    <w:p>
      <w:pPr>
        <w:pStyle w:val="877"/>
        <w:spacing w:beforeAutospacing="0" w:afterAutospacing="0" w:line="360" w:lineRule="auto"/>
        <w:rPr>
          <w:highlight w:val="none"/>
        </w:rPr>
      </w:pPr>
      <w:r>
        <w:rPr>
          <w:highlight w:val="none"/>
        </w:rPr>
        <w:t xml:space="preserve"> </w:t>
      </w:r>
      <w:r/>
    </w:p>
    <w:p>
      <w:pPr>
        <w:pStyle w:val="877"/>
        <w:jc w:val="center"/>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盐城市东台生态环境局</w:t>
      </w:r>
      <w:r/>
    </w:p>
    <w:p>
      <w:pPr>
        <w:pStyle w:val="877"/>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2025</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2</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lang w:val="en-US" w:eastAsia="zh-CN"/>
        </w:rPr>
        <w:t xml:space="preserve">24</w:t>
      </w:r>
      <w:r>
        <w:rPr>
          <w:rFonts w:hint="eastAsia" w:ascii="宋体" w:hAnsi="宋体" w:eastAsia="宋体" w:cs="宋体"/>
          <w:b/>
          <w:color w:val="000000"/>
          <w:sz w:val="32"/>
          <w:szCs w:val="32"/>
          <w:highlight w:val="none"/>
        </w:rPr>
        <w:t xml:space="preserve">日</w:t>
      </w:r>
      <w:r/>
    </w:p>
    <w:p>
      <w:pPr>
        <w:pStyle w:val="877"/>
        <w:spacing w:before="120" w:beforeAutospacing="0" w:after="120" w:afterAutospacing="0" w:line="360" w:lineRule="auto"/>
        <w:rPr>
          <w:highlight w:val="none"/>
        </w:rPr>
      </w:pPr>
      <w:r>
        <w:rPr>
          <w:rFonts w:ascii="Arial" w:hAnsi="Arial" w:cs="Arial"/>
          <w:color w:val="000000"/>
          <w:highlight w:val="none"/>
        </w:rPr>
        <w:t xml:space="preserve">                        </w:t>
      </w:r>
      <w:r/>
    </w:p>
    <w:p>
      <w:pPr>
        <w:pStyle w:val="877"/>
        <w:jc w:val="center"/>
        <w:spacing w:before="120" w:beforeAutospacing="0" w:after="120" w:afterAutospacing="0" w:line="360" w:lineRule="auto"/>
        <w:rPr>
          <w:highlight w:val="none"/>
        </w:rPr>
      </w:pPr>
      <w:r>
        <w:rPr>
          <w:highlight w:val="none"/>
        </w:rPr>
        <w:t xml:space="preserve"> </w:t>
      </w:r>
      <w:r/>
    </w:p>
    <w:p>
      <w:pPr>
        <w:pStyle w:val="877"/>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p>
    <w:p>
      <w:pPr>
        <w:pStyle w:val="877"/>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20823272"/>
      <w:r/>
      <w:bookmarkStart w:id="1" w:name="_Toc513029200"/>
      <w:r/>
      <w:bookmarkStart w:id="2" w:name="_Toc523127445"/>
      <w:r/>
      <w:bookmarkStart w:id="3" w:name="_Toc120614210"/>
      <w:r/>
      <w:bookmarkStart w:id="4" w:name="_Toc16938516"/>
      <w:r/>
      <w:bookmarkStart w:id="5" w:name="_Toc479757206"/>
      <w:r>
        <w:rPr>
          <w:rFonts w:ascii="Times New Roman" w:hAnsi="Times New Roman"/>
          <w:color w:val="000000"/>
          <w:sz w:val="21"/>
          <w:szCs w:val="21"/>
          <w:highlight w:val="none"/>
        </w:rPr>
        <w:t xml:space="preserve"> </w:t>
      </w:r>
      <w:r/>
    </w:p>
    <w:p>
      <w:pPr>
        <w:pStyle w:val="877"/>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77"/>
        <w:jc w:val="both"/>
        <w:spacing w:beforeAutospacing="0" w:afterAutospacing="0" w:line="480" w:lineRule="auto"/>
        <w:rPr>
          <w:highlight w:val="none"/>
        </w:rPr>
      </w:pPr>
      <w:r>
        <w:rPr>
          <w:highlight w:val="none"/>
        </w:rPr>
        <w:t xml:space="preserve"> </w:t>
      </w:r>
      <w:r/>
    </w:p>
    <w:p>
      <w:pPr>
        <w:pStyle w:val="877"/>
        <w:ind w:left="0" w:firstLine="1080"/>
        <w:jc w:val="both"/>
        <w:keepLines w:val="0"/>
        <w:keepNext w:val="0"/>
        <w:pageBreakBefore w:val="0"/>
        <w:spacing w:beforeAutospacing="0" w:afterAutospacing="0" w:line="48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01</w:t>
      </w:r>
      <w:r/>
    </w:p>
    <w:p>
      <w:pPr>
        <w:pStyle w:val="877"/>
        <w:ind w:left="0" w:firstLine="1080"/>
        <w:jc w:val="both"/>
        <w:keepLines w:val="0"/>
        <w:keepNext w:val="0"/>
        <w:pageBreakBefore w:val="0"/>
        <w:spacing w:beforeAutospacing="0" w:afterAutospacing="0" w:line="480" w:lineRule="auto"/>
        <w:widowControl w:val="off"/>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05</w:t>
      </w:r>
      <w:r/>
    </w:p>
    <w:p>
      <w:pPr>
        <w:pStyle w:val="877"/>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eastAsia="zh-CN"/>
        </w:rPr>
        <w:t xml:space="preserve">合同条款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21</w:t>
      </w:r>
      <w:r/>
    </w:p>
    <w:p>
      <w:pPr>
        <w:pStyle w:val="877"/>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44</w:t>
      </w:r>
      <w:r/>
    </w:p>
    <w:p>
      <w:pPr>
        <w:pStyle w:val="877"/>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64</w:t>
      </w:r>
      <w:r/>
    </w:p>
    <w:p>
      <w:pPr>
        <w:pStyle w:val="877"/>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68</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both"/>
        <w:spacing w:beforeAutospacing="0" w:afterAutospacing="0"/>
        <w:rPr>
          <w:highlight w:val="none"/>
        </w:rPr>
      </w:pPr>
      <w:r>
        <w:rPr>
          <w:highlight w:val="none"/>
        </w:rPr>
        <w:t xml:space="preserve"> </w:t>
      </w:r>
      <w:r/>
    </w:p>
    <w:p>
      <w:pPr>
        <w:pStyle w:val="877"/>
        <w:jc w:val="center"/>
        <w:spacing w:beforeAutospacing="0" w:afterAutospacing="0"/>
        <w:rPr>
          <w:rFonts w:hint="default" w:eastAsia="黑体"/>
          <w:highlight w:val="none"/>
          <w:lang w:val="en-US" w:eastAsia="zh-CN"/>
        </w:rPr>
      </w:pPr>
      <w:r>
        <w:rPr>
          <w:rFonts w:hint="eastAsia" w:ascii="黑体" w:hAnsi="黑体" w:eastAsia="黑体" w:cs="黑体"/>
          <w:color w:val="000000"/>
          <w:sz w:val="44"/>
          <w:szCs w:val="44"/>
          <w:highlight w:val="none"/>
        </w:rPr>
        <w:t xml:space="preserve">第一章 </w:t>
      </w:r>
      <w:r>
        <w:rPr>
          <w:rFonts w:hint="eastAsia" w:ascii="黑体" w:hAnsi="黑体" w:eastAsia="黑体" w:cs="黑体"/>
          <w:color w:val="000000"/>
          <w:sz w:val="44"/>
          <w:szCs w:val="44"/>
          <w:highlight w:val="none"/>
          <w:lang w:val="en-US" w:eastAsia="zh-CN"/>
        </w:rPr>
        <w:t xml:space="preserve">招标公告</w:t>
      </w:r>
      <w:r/>
    </w:p>
    <w:p>
      <w:pPr>
        <w:pStyle w:val="877"/>
        <w:ind w:firstLine="480"/>
        <w:jc w:val="left"/>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77"/>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盐城市东台生态环境局综合行政执法能力建设项目</w:t>
      </w:r>
      <w:r>
        <w:rPr>
          <w:rFonts w:hint="eastAsia" w:ascii="宋体" w:hAnsi="宋体" w:eastAsia="宋体" w:cs="宋体"/>
          <w:color w:val="000000"/>
          <w:sz w:val="24"/>
          <w:szCs w:val="24"/>
          <w:highlight w:val="none"/>
          <w:u w:val="single"/>
          <w:lang w:val="en-US" w:eastAsia="zh-CN"/>
        </w:rPr>
        <w:t xml:space="preserve"> JSZC-320981-JSRJ-G2025-0006</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lang w:val="en-US" w:eastAsia="zh-CN"/>
        </w:rPr>
        <w:t xml:space="preserve">获取</w:t>
      </w:r>
      <w:r>
        <w:rPr>
          <w:rFonts w:hint="eastAsia" w:ascii="宋体" w:hAnsi="宋体" w:eastAsia="宋体" w:cs="宋体"/>
          <w:color w:val="000000"/>
          <w:sz w:val="24"/>
          <w:szCs w:val="24"/>
          <w:highlight w:val="none"/>
        </w:rPr>
        <w:t xml:space="preserve">招标文件，并于202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03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18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北京时间）前递交投标文件。</w:t>
      </w:r>
      <w:r/>
    </w:p>
    <w:p>
      <w:pPr>
        <w:pStyle w:val="877"/>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bookmarkStart w:id="6" w:name="_Toc38985263"/>
      <w:r/>
      <w:bookmarkStart w:id="7" w:name="_Toc28359002"/>
      <w:r/>
      <w:bookmarkStart w:id="8" w:name="_Hlk24379207"/>
      <w:r/>
      <w:bookmarkStart w:id="9" w:name="_Toc35393790"/>
      <w:r/>
      <w:bookmarkStart w:id="10" w:name="_Toc35393621"/>
      <w:r/>
      <w:bookmarkStart w:id="11" w:name="_Toc28359079"/>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JSZC-320981-JSRJ-G2025-0006</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盐城市东台生态环境局综合行政执法能力建设项目</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491.000000万元</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rPr>
        <w:t xml:space="preserve">最高限价（如有）：</w:t>
      </w:r>
      <w:r>
        <w:rPr>
          <w:rFonts w:hint="eastAsia" w:ascii="宋体" w:hAnsi="宋体" w:eastAsia="宋体" w:cs="宋体"/>
          <w:i w:val="0"/>
          <w:iCs w:val="0"/>
          <w:caps w:val="0"/>
          <w:color w:val="333333"/>
          <w:spacing w:val="0"/>
          <w:sz w:val="24"/>
          <w:szCs w:val="24"/>
          <w:shd w:val="clear" w:color="auto" w:fill="ffffff"/>
          <w:lang w:val="en-US" w:eastAsia="zh-CN"/>
        </w:rPr>
        <w:t xml:space="preserve">人民币</w:t>
      </w:r>
      <w:r>
        <w:rPr>
          <w:rFonts w:hint="eastAsia" w:ascii="宋体" w:hAnsi="宋体" w:eastAsia="宋体" w:cs="宋体"/>
          <w:color w:val="000000"/>
          <w:sz w:val="24"/>
          <w:szCs w:val="24"/>
          <w:lang w:val="en-US" w:eastAsia="zh-CN"/>
        </w:rPr>
        <w:t xml:space="preserve">461万元</w:t>
      </w:r>
      <w:r>
        <w:rPr>
          <w:rFonts w:hint="eastAsia" w:ascii="宋体" w:hAnsi="宋体" w:eastAsia="宋体" w:cs="宋体"/>
          <w:i w:val="0"/>
          <w:iCs w:val="0"/>
          <w:caps w:val="0"/>
          <w:color w:val="333333"/>
          <w:spacing w:val="0"/>
          <w:sz w:val="24"/>
          <w:szCs w:val="24"/>
          <w:shd w:val="clear" w:color="auto" w:fill="ffffff"/>
          <w:lang w:val="en-US" w:eastAsia="zh-CN"/>
        </w:rPr>
        <w:t xml:space="preserve">，投标报价高于最高限价的作无效投标处理。</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采购需求：按照《江苏省生态环境保护综合行政执法装备标准化建设指导标准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2021版）》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苏环办</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2021]339号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中要求采购无人船、粉尘快速测定仪、热成像仪等设备。（详细内容见本招标文件第四章） </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w:t>
      </w:r>
      <w:r>
        <w:rPr>
          <w:rFonts w:hint="eastAsia" w:ascii="宋体" w:hAnsi="宋体" w:eastAsia="宋体" w:cs="宋体"/>
          <w:color w:val="000000"/>
          <w:sz w:val="24"/>
          <w:szCs w:val="24"/>
          <w:lang w:val="en-US" w:eastAsia="zh-CN"/>
        </w:rPr>
        <w:t xml:space="preserve">合同签订后30日历天完成所有产品的供货、安装、调试、并运行，设备免费质保期为1年及免费运维期为1年（自交货验收合格之日起计）。</w:t>
      </w:r>
      <w:r/>
    </w:p>
    <w:p>
      <w:pPr>
        <w:pStyle w:val="877"/>
        <w:ind w:firstLine="480"/>
        <w:jc w:val="left"/>
        <w:pageBreakBefore w:val="0"/>
        <w:spacing w:beforeAutospacing="0" w:afterAutospacing="0" w:line="360" w:lineRule="auto"/>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本项目（是/否）接受联合体投标：否</w:t>
      </w:r>
      <w:r/>
    </w:p>
    <w:p>
      <w:pPr>
        <w:pStyle w:val="877"/>
        <w:ind w:firstLine="482"/>
        <w:jc w:val="left"/>
        <w:keepLines/>
        <w:keepNext/>
        <w:pageBreakBefore w:val="0"/>
        <w:spacing w:beforeAutospacing="0" w:afterAutospacing="0" w:line="360" w:lineRule="auto"/>
        <w:rPr>
          <w:rFonts w:hint="eastAsia" w:ascii="宋体" w:hAnsi="宋体" w:eastAsia="宋体" w:cs="宋体"/>
          <w:sz w:val="24"/>
          <w:szCs w:val="24"/>
        </w:rPr>
      </w:pPr>
      <w:r/>
      <w:bookmarkStart w:id="12" w:name="_Toc38985264"/>
      <w:r/>
      <w:bookmarkStart w:id="13" w:name="_Toc28359080"/>
      <w:r/>
      <w:bookmarkStart w:id="14" w:name="_Toc28359003"/>
      <w:r/>
      <w:bookmarkStart w:id="15" w:name="_Toc35393622"/>
      <w:r/>
      <w:bookmarkStart w:id="16" w:name="_Toc35393791"/>
      <w:r>
        <w:rPr>
          <w:rFonts w:hint="eastAsia" w:ascii="宋体" w:hAnsi="宋体" w:eastAsia="宋体" w:cs="宋体"/>
          <w:b/>
          <w:color w:val="000000"/>
          <w:sz w:val="24"/>
          <w:szCs w:val="24"/>
        </w:rPr>
        <w:t xml:space="preserve">二、申请人的资格要求：</w:t>
      </w:r>
      <w:bookmarkEnd w:id="12"/>
      <w:r/>
      <w:bookmarkEnd w:id="13"/>
      <w:r/>
      <w:bookmarkEnd w:id="14"/>
      <w:r/>
      <w:bookmarkEnd w:id="15"/>
      <w:r/>
      <w:bookmarkEnd w:id="16"/>
      <w:r/>
      <w:r/>
    </w:p>
    <w:p>
      <w:pPr>
        <w:pStyle w:val="877"/>
        <w:ind w:firstLine="480"/>
        <w:jc w:val="lef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（一）满足《中华人民共和国政府采购法》第二十二条规定：</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法人或者其他组织的营业执照等证明文件，自然人的身份证明</w:t>
      </w:r>
      <w:r>
        <w:rPr>
          <w:rFonts w:hint="eastAsia" w:ascii="宋体" w:hAnsi="宋体" w:eastAsia="宋体" w:cs="宋体"/>
          <w:color w:val="000000"/>
          <w:sz w:val="24"/>
          <w:szCs w:val="24"/>
        </w:rPr>
        <w:t xml:space="preserve">。</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上一年度（或上上年度）经审计的财务报告（投标人成立不满一年无需提供）</w:t>
      </w:r>
      <w:r>
        <w:rPr>
          <w:rFonts w:hint="eastAsia" w:ascii="宋体" w:hAnsi="宋体" w:eastAsia="宋体" w:cs="宋体"/>
          <w:color w:val="000000"/>
          <w:sz w:val="24"/>
          <w:szCs w:val="24"/>
        </w:rPr>
        <w:t xml:space="preserve">。</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t xml:space="preserve">。</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具备履行合同所必需的设备和专业技术能力的书面声明</w:t>
      </w:r>
      <w:r>
        <w:rPr>
          <w:rFonts w:hint="eastAsia" w:ascii="宋体" w:hAnsi="宋体" w:eastAsia="宋体" w:cs="宋体"/>
          <w:color w:val="000000"/>
          <w:sz w:val="24"/>
          <w:szCs w:val="24"/>
        </w:rPr>
        <w:t xml:space="preserve">。</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参加政府采购活动前3年内在经营活动中没有重大违法记录的书面声明</w:t>
      </w:r>
      <w:r>
        <w:rPr>
          <w:rFonts w:hint="eastAsia" w:ascii="宋体" w:hAnsi="宋体" w:eastAsia="宋体" w:cs="宋体"/>
          <w:color w:val="000000"/>
          <w:sz w:val="24"/>
          <w:szCs w:val="24"/>
        </w:rPr>
        <w:t xml:space="preserve">。</w:t>
      </w:r>
      <w:r/>
    </w:p>
    <w:p>
      <w:pPr>
        <w:pStyle w:val="877"/>
        <w:ind w:firstLine="480"/>
        <w:jc w:val="left"/>
        <w:pageBreakBefore w:val="0"/>
        <w:spacing w:beforeAutospacing="0" w:afterAutospacing="0" w:line="360" w:lineRule="auto"/>
        <w:rPr>
          <w:rFonts w:hint="eastAsia"/>
          <w:lang w:val="en-US" w:eastAsia="zh-CN"/>
        </w:rPr>
      </w:pPr>
      <w:r>
        <w:rPr>
          <w:rFonts w:hint="eastAsia" w:ascii="宋体" w:hAnsi="宋体" w:eastAsia="宋体" w:cs="宋体"/>
          <w:color w:val="000000"/>
          <w:sz w:val="24"/>
          <w:szCs w:val="24"/>
          <w:lang w:val="en-US" w:eastAsia="zh-CN"/>
        </w:rPr>
        <w:t xml:space="preserve">（二）落实政府采购政策需满足的资格要求：无。</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（三）本项目的特定资格要求：</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2.单位负责人为同一人或者存在直接控股、管理关系的不同供应商，不得参加同一合同项下的政府采购活动。</w:t>
      </w:r>
      <w:r/>
    </w:p>
    <w:p>
      <w:pPr>
        <w:pStyle w:val="877"/>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3.投标人如委托被授权人参与，则被授权人须为本单位正式职工并提供投标人为被授权人缴纳的社会养老保险证明。</w:t>
      </w:r>
      <w:r/>
    </w:p>
    <w:p>
      <w:pPr>
        <w:pStyle w:val="877"/>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17" w:name="_Toc38985266"/>
      <w:r/>
      <w:bookmarkStart w:id="18" w:name="_Toc28359082"/>
      <w:r/>
      <w:bookmarkStart w:id="19" w:name="_Toc28359005"/>
      <w:r/>
      <w:bookmarkStart w:id="20" w:name="_Toc35393793"/>
      <w:r/>
      <w:bookmarkStart w:id="21" w:name="_Toc35393624"/>
      <w:r>
        <w:rPr>
          <w:rFonts w:hint="eastAsia" w:ascii="宋体" w:hAnsi="宋体" w:eastAsia="宋体" w:cs="宋体"/>
          <w:color w:val="auto"/>
          <w:sz w:val="24"/>
          <w:szCs w:val="24"/>
        </w:rPr>
        <w:t xml:space="preserve">时间：</w:t>
      </w:r>
      <w:bookmarkEnd w:id="17"/>
      <w:r/>
      <w:bookmarkEnd w:id="18"/>
      <w:r/>
      <w:bookmarkEnd w:id="19"/>
      <w:r/>
      <w:bookmarkEnd w:id="20"/>
      <w:r/>
      <w:bookmarkEnd w:id="21"/>
      <w:r>
        <w:rPr>
          <w:rFonts w:hint="eastAsia" w:ascii="宋体" w:hAnsi="宋体" w:eastAsia="宋体" w:cs="宋体"/>
          <w:color w:val="auto"/>
          <w:sz w:val="24"/>
          <w:szCs w:val="24"/>
        </w:rPr>
        <w:t xml:space="preserve">自招标文件公告发布之日起5个工作日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lang w:val="en-US" w:eastAsia="zh-CN"/>
        </w:rPr>
        <w:t xml:space="preserve">“苏采云”系统内免费下载（投标人必须在苏采云系统中获取采购文件，方能参与政府采购项目）</w:t>
      </w:r>
      <w:r/>
    </w:p>
    <w:p>
      <w:pPr>
        <w:ind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方式：本项目采用网上注册登记方式</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pStyle w:val="877"/>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22" w:name="_Toc28359084"/>
      <w:r/>
      <w:bookmarkStart w:id="23" w:name="_Toc35393625"/>
      <w:r/>
      <w:bookmarkStart w:id="24" w:name="_Toc38985267"/>
      <w:r/>
      <w:bookmarkStart w:id="25" w:name="_Toc35393794"/>
      <w:r/>
      <w:bookmarkStart w:id="26" w:name="_Toc28359007"/>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:00 （北京时</w:t>
      </w:r>
      <w:r>
        <w:rPr>
          <w:rFonts w:hint="eastAsia" w:ascii="宋体" w:hAnsi="宋体" w:eastAsia="宋体" w:cs="宋体"/>
          <w:color w:val="auto"/>
          <w:sz w:val="24"/>
          <w:szCs w:val="24"/>
        </w:rPr>
        <w:t xml:space="preserve">间）</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地点：“苏采云”政府采购交易系统网上开标大厅。</w:t>
      </w:r>
      <w:r/>
    </w:p>
    <w:p>
      <w:pPr>
        <w:pStyle w:val="877"/>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五、公告期限</w:t>
      </w:r>
      <w:bookmarkEnd w:id="22"/>
      <w:r/>
      <w:bookmarkEnd w:id="23"/>
      <w:r/>
      <w:bookmarkEnd w:id="24"/>
      <w:r/>
      <w:bookmarkEnd w:id="25"/>
      <w:r/>
      <w:bookmarkEnd w:id="26"/>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795"/>
      <w:r/>
      <w:bookmarkStart w:id="29" w:name="_Toc35393626"/>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7"/>
      <w:r/>
      <w:bookmarkEnd w:id="28"/>
      <w:r/>
      <w:bookmarkEnd w:id="29"/>
      <w:r/>
      <w:r/>
    </w:p>
    <w:p>
      <w:pPr>
        <w:pStyle w:val="877"/>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w:t>
      </w:r>
      <w:bookmarkStart w:id="222" w:name="_GoBack"/>
      <w:r/>
      <w:bookmarkEnd w:id="222"/>
      <w:r>
        <w:rPr>
          <w:rFonts w:hint="eastAsia" w:ascii="宋体" w:hAnsi="宋体" w:eastAsia="宋体" w:cs="宋体"/>
          <w:i w:val="0"/>
          <w:iCs w:val="0"/>
          <w:caps w:val="0"/>
          <w:color w:val="333333"/>
          <w:spacing w:val="0"/>
          <w:sz w:val="24"/>
          <w:szCs w:val="24"/>
          <w:shd w:val="clear" w:color="auto" w:fill="ffffff"/>
          <w:lang w:val="en-US" w:eastAsia="zh-CN"/>
        </w:rPr>
        <w:t xml:space="preserve">府采购网点击【办事指南】-【供应商参与政府采购活动相关资料】。</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2.潜在供应商访问电子招标响应交易平台的网络地址和方法： </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2.2 潜在投标人访问“苏采云”系统方法：江苏省政府采购网首页-“苏采云”链接。 </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2.3 采购文件（后缀名为“.kedt”）、供应商操作手册及政府采购客户端 工具可通过“苏采云”系统相应链接进行下载。 </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2.4 采购代理机构将数据电文形式的采购文件加载至“苏采云”系统，供潜在供应商下载或者查阅。 </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如潜在投标人未按上述要求操作，将自行承担所产生的风险。</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3.如潜在投标人未按上述要求操作，将自行承担所产生的风险。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4.投标人不得提供虚假材料谋取中标成交的或采取不正当手段诋毁、排挤其他供应商。</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5.投标人存在串通投标、以他人名义投标、弄虚作假等违法违规行为，或者无正当理由放弃投标、中标资格，造成项目招标失败的，不得参加该项目重新招标的投标。</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6.因供应商的系统环境、操作等原因导致项目参与、开评标过程中出现问题由供应商自行承担负责。</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7.本次招标不收取投标保证金，不收取质量保证金。</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8.本项目（是/否）接受银行、保险、石油石化、电力、电信等行业的分支机构参与：</w:t>
      </w:r>
      <w:r>
        <w:rPr>
          <w:rFonts w:hint="eastAsia" w:ascii="宋体" w:hAnsi="宋体" w:eastAsia="宋体" w:cs="宋体"/>
          <w:color w:val="auto"/>
          <w:sz w:val="24"/>
          <w:szCs w:val="24"/>
          <w:u w:val="single"/>
          <w:lang w:val="en-US" w:eastAsia="zh-CN"/>
        </w:rPr>
        <w:t xml:space="preserve">否</w:t>
      </w:r>
      <w:r>
        <w:rPr>
          <w:rFonts w:hint="eastAsia" w:ascii="宋体" w:hAnsi="宋体" w:eastAsia="宋体" w:cs="宋体"/>
          <w:color w:val="auto"/>
          <w:sz w:val="24"/>
          <w:szCs w:val="24"/>
          <w:lang w:val="en-US" w:eastAsia="zh-CN"/>
        </w:rPr>
        <w:t xml:space="preserve">。【如接受，则分支机构的负责人视同为供应商法定代表人。】</w:t>
      </w:r>
      <w:r/>
    </w:p>
    <w:p>
      <w:pPr>
        <w:ind w:firstLine="480"/>
        <w:keepLines w:val="0"/>
        <w:keepNext w:val="0"/>
        <w:pageBreakBefore w:val="0"/>
        <w:spacing w:line="360" w:lineRule="auto"/>
        <w:widowControl w:val="off"/>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4"/>
          <w:lang w:val="en-US" w:eastAsia="zh-CN"/>
        </w:rPr>
        <w:t xml:space="preserve">9.供应商成交后打印纸质响应文件（正本壹份、副本贰份），在领取成交通知书前与用普通光盘或U盘拷贝的电子响应文件一并送至采购人。</w:t>
      </w:r>
      <w:r/>
    </w:p>
    <w:p>
      <w:pPr>
        <w:pStyle w:val="863"/>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u w:val="none"/>
          <w:shd w:val="clear" w:color="auto" w:fill="ffffff"/>
        </w:rPr>
        <w:t xml:space="preserve">、对本次</w:t>
      </w: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u w:val="none"/>
          <w:shd w:val="clear" w:color="auto" w:fill="ffffff"/>
        </w:rPr>
        <w:t xml:space="preserve">提出询问，请按以下方式联系。</w:t>
      </w:r>
      <w:bookmarkEnd w:id="30"/>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shd w:val="clear" w:color="auto" w:fill="ffffff"/>
          <w:lang w:val="en-US" w:eastAsia="zh-CN"/>
        </w:rPr>
        <w:t xml:space="preserve">1.采购人信息</w:t>
      </w:r>
      <w:r/>
    </w:p>
    <w:p>
      <w:pPr>
        <w:ind w:firstLine="480"/>
        <w:pageBreakBefore w:val="0"/>
        <w:spacing w:line="360" w:lineRule="auto"/>
        <w:widowControl/>
        <w:rPr>
          <w:rStyle w:val="886"/>
          <w:rFonts w:hint="eastAsia" w:ascii="宋体" w:hAnsi="宋体" w:eastAsia="宋体" w:cs="Times New Roman"/>
          <w:color w:val="auto"/>
          <w:sz w:val="24"/>
          <w:szCs w:val="24"/>
        </w:rPr>
      </w:pPr>
      <w:r>
        <w:rPr>
          <w:rStyle w:val="886"/>
          <w:rFonts w:hint="eastAsia" w:ascii="宋体" w:hAnsi="宋体" w:eastAsia="宋体" w:cs="Times New Roman"/>
          <w:color w:val="auto"/>
          <w:sz w:val="24"/>
          <w:szCs w:val="24"/>
        </w:rPr>
        <w:t xml:space="preserve">单位名称：</w:t>
      </w:r>
      <w:r>
        <w:rPr>
          <w:rStyle w:val="886"/>
          <w:rFonts w:hint="eastAsia" w:ascii="宋体" w:hAnsi="宋体" w:eastAsia="宋体" w:cs="Times New Roman"/>
          <w:color w:val="auto"/>
          <w:sz w:val="24"/>
          <w:szCs w:val="24"/>
          <w:lang w:val="en-US" w:eastAsia="zh-CN"/>
        </w:rPr>
        <w:t xml:space="preserve">盐城市东台生态环境局</w:t>
      </w:r>
      <w:r/>
    </w:p>
    <w:p>
      <w:pPr>
        <w:ind w:firstLine="480"/>
        <w:pageBreakBefore w:val="0"/>
        <w:spacing w:line="360" w:lineRule="auto"/>
        <w:widowControl/>
        <w:rPr>
          <w:rStyle w:val="886"/>
          <w:rFonts w:hint="eastAsia" w:ascii="宋体" w:hAnsi="宋体" w:eastAsia="宋体" w:cs="Times New Roman"/>
          <w:color w:val="auto"/>
          <w:sz w:val="24"/>
          <w:szCs w:val="24"/>
        </w:rPr>
      </w:pPr>
      <w:r>
        <w:rPr>
          <w:rStyle w:val="886"/>
          <w:rFonts w:hint="eastAsia" w:ascii="宋体" w:hAnsi="宋体" w:eastAsia="宋体" w:cs="Times New Roman"/>
          <w:color w:val="auto"/>
          <w:sz w:val="24"/>
          <w:szCs w:val="24"/>
        </w:rPr>
        <w:t xml:space="preserve">单位地址：</w:t>
      </w:r>
      <w:r>
        <w:rPr>
          <w:rStyle w:val="886"/>
          <w:rFonts w:hint="eastAsia" w:ascii="宋体" w:hAnsi="宋体" w:eastAsia="宋体" w:cs="Times New Roman"/>
          <w:color w:val="auto"/>
          <w:sz w:val="24"/>
          <w:szCs w:val="24"/>
          <w:lang w:val="en-US" w:eastAsia="zh-CN"/>
        </w:rPr>
        <w:t xml:space="preserve">东台市金海东路1号</w:t>
      </w:r>
      <w:r/>
    </w:p>
    <w:p>
      <w:pPr>
        <w:ind w:firstLine="480"/>
        <w:pageBreakBefore w:val="0"/>
        <w:spacing w:line="360" w:lineRule="auto"/>
        <w:widowControl/>
        <w:rPr>
          <w:rStyle w:val="886"/>
          <w:rFonts w:hint="eastAsia" w:ascii="宋体" w:hAnsi="宋体" w:eastAsia="宋体" w:cs="Times New Roman"/>
          <w:color w:val="auto"/>
          <w:sz w:val="24"/>
          <w:szCs w:val="24"/>
        </w:rPr>
      </w:pPr>
      <w:r>
        <w:rPr>
          <w:rStyle w:val="886"/>
          <w:rFonts w:hint="eastAsia" w:ascii="宋体" w:hAnsi="宋体" w:eastAsia="宋体" w:cs="Times New Roman"/>
          <w:color w:val="auto"/>
          <w:sz w:val="24"/>
          <w:szCs w:val="24"/>
        </w:rPr>
        <w:t xml:space="preserve">联</w:t>
      </w:r>
      <w:r>
        <w:rPr>
          <w:rStyle w:val="886"/>
          <w:rFonts w:hint="eastAsia" w:ascii="宋体" w:hAnsi="宋体" w:eastAsia="宋体" w:cs="Times New Roman"/>
          <w:color w:val="auto"/>
          <w:sz w:val="24"/>
          <w:szCs w:val="24"/>
          <w:lang w:val="en-US" w:eastAsia="zh-CN"/>
        </w:rPr>
        <w:t xml:space="preserve"> </w:t>
      </w:r>
      <w:r>
        <w:rPr>
          <w:rStyle w:val="886"/>
          <w:rFonts w:hint="eastAsia" w:ascii="宋体" w:hAnsi="宋体" w:eastAsia="宋体" w:cs="Times New Roman"/>
          <w:color w:val="auto"/>
          <w:sz w:val="24"/>
          <w:szCs w:val="24"/>
        </w:rPr>
        <w:t xml:space="preserve">系</w:t>
      </w:r>
      <w:r>
        <w:rPr>
          <w:rStyle w:val="886"/>
          <w:rFonts w:hint="eastAsia" w:ascii="宋体" w:hAnsi="宋体" w:eastAsia="宋体" w:cs="Times New Roman"/>
          <w:color w:val="auto"/>
          <w:sz w:val="24"/>
          <w:szCs w:val="24"/>
          <w:lang w:val="en-US" w:eastAsia="zh-CN"/>
        </w:rPr>
        <w:t xml:space="preserve"> </w:t>
      </w:r>
      <w:r>
        <w:rPr>
          <w:rStyle w:val="886"/>
          <w:rFonts w:hint="eastAsia" w:ascii="宋体" w:hAnsi="宋体" w:eastAsia="宋体" w:cs="Times New Roman"/>
          <w:color w:val="auto"/>
          <w:sz w:val="24"/>
          <w:szCs w:val="24"/>
        </w:rPr>
        <w:t xml:space="preserve">人：</w:t>
      </w:r>
      <w:r>
        <w:rPr>
          <w:rStyle w:val="886"/>
          <w:rFonts w:hint="eastAsia" w:ascii="宋体" w:hAnsi="宋体" w:eastAsia="宋体" w:cs="Times New Roman"/>
          <w:color w:val="auto"/>
          <w:sz w:val="24"/>
          <w:szCs w:val="24"/>
          <w:lang w:val="en-US" w:eastAsia="zh-CN"/>
        </w:rPr>
        <w:t xml:space="preserve">张女士</w:t>
      </w:r>
      <w:r/>
    </w:p>
    <w:p>
      <w:pPr>
        <w:ind w:firstLine="480"/>
        <w:pageBreakBefore w:val="0"/>
        <w:spacing w:line="360" w:lineRule="auto"/>
        <w:widowControl/>
        <w:rPr>
          <w:rFonts w:hint="eastAsia" w:ascii="宋体" w:hAnsi="宋体" w:eastAsia="宋体" w:cs="宋体"/>
          <w:i w:val="0"/>
          <w:iCs w:val="0"/>
          <w:caps w:val="0"/>
          <w:color w:val="333333"/>
          <w:spacing w:val="0"/>
          <w:sz w:val="24"/>
          <w:szCs w:val="24"/>
          <w:shd w:val="clear" w:color="auto" w:fill="ffffff"/>
          <w:lang w:val="en-US" w:eastAsia="zh-CN"/>
        </w:rPr>
      </w:pPr>
      <w:r>
        <w:rPr>
          <w:rStyle w:val="886"/>
          <w:rFonts w:hint="eastAsia" w:ascii="宋体" w:hAnsi="宋体" w:eastAsia="宋体" w:cs="Times New Roman"/>
          <w:color w:val="auto"/>
          <w:sz w:val="24"/>
          <w:szCs w:val="24"/>
        </w:rPr>
        <w:t xml:space="preserve">联系电话：</w:t>
      </w:r>
      <w:r>
        <w:rPr>
          <w:rStyle w:val="886"/>
          <w:rFonts w:hint="eastAsia" w:ascii="宋体" w:hAnsi="宋体" w:eastAsia="宋体" w:cs="Times New Roman"/>
          <w:color w:val="auto"/>
          <w:sz w:val="24"/>
          <w:szCs w:val="24"/>
          <w:lang w:val="en-US" w:eastAsia="zh-CN"/>
        </w:rPr>
        <w:t xml:space="preserve">0515-85222296</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2.采购代理机构信息</w:t>
      </w:r>
      <w:r/>
    </w:p>
    <w:p>
      <w:pPr>
        <w:ind w:firstLine="480"/>
        <w:pageBreakBefore w:val="0"/>
        <w:spacing w:line="360" w:lineRule="auto"/>
        <w:widowControl/>
        <w:rPr>
          <w:rStyle w:val="886"/>
          <w:rFonts w:hint="eastAsia" w:ascii="宋体" w:hAnsi="宋体" w:eastAsia="宋体" w:cs="Times New Roman"/>
          <w:color w:val="auto"/>
          <w:sz w:val="24"/>
          <w:szCs w:val="24"/>
          <w:lang w:eastAsia="zh-CN"/>
        </w:rPr>
      </w:pPr>
      <w:r/>
      <w:bookmarkStart w:id="32" w:name="_Toc28359010"/>
      <w:r/>
      <w:bookmarkStart w:id="33" w:name="_Toc28359087"/>
      <w:r>
        <w:rPr>
          <w:rStyle w:val="886"/>
          <w:rFonts w:hint="eastAsia" w:ascii="宋体" w:hAnsi="宋体" w:eastAsia="宋体" w:cs="Times New Roman"/>
          <w:color w:val="auto"/>
          <w:sz w:val="24"/>
          <w:szCs w:val="24"/>
        </w:rPr>
        <w:t xml:space="preserve">单位名称：</w:t>
      </w:r>
      <w:r>
        <w:rPr>
          <w:rStyle w:val="886"/>
          <w:rFonts w:hint="eastAsia" w:ascii="宋体" w:hAnsi="宋体" w:eastAsia="宋体" w:cs="Times New Roman"/>
          <w:color w:val="auto"/>
          <w:sz w:val="24"/>
          <w:szCs w:val="24"/>
          <w:lang w:eastAsia="zh-CN"/>
        </w:rPr>
        <w:t xml:space="preserve">江苏瑞杰项目管理顾问有限公司</w:t>
      </w:r>
      <w:r/>
    </w:p>
    <w:p>
      <w:pPr>
        <w:ind w:firstLine="480"/>
        <w:pageBreakBefore w:val="0"/>
        <w:spacing w:line="360" w:lineRule="auto"/>
        <w:widowControl/>
        <w:rPr>
          <w:rStyle w:val="886"/>
          <w:rFonts w:hint="eastAsia" w:ascii="宋体" w:hAnsi="宋体" w:eastAsia="宋体" w:cs="Times New Roman"/>
          <w:color w:val="auto"/>
          <w:sz w:val="24"/>
          <w:szCs w:val="24"/>
          <w:lang w:eastAsia="zh-CN"/>
        </w:rPr>
      </w:pPr>
      <w:r>
        <w:rPr>
          <w:rStyle w:val="886"/>
          <w:rFonts w:hint="eastAsia" w:ascii="宋体" w:hAnsi="宋体" w:eastAsia="宋体" w:cs="Times New Roman"/>
          <w:color w:val="auto"/>
          <w:sz w:val="24"/>
          <w:szCs w:val="24"/>
        </w:rPr>
        <w:t xml:space="preserve">单位地址：</w:t>
      </w:r>
      <w:r>
        <w:rPr>
          <w:rStyle w:val="886"/>
          <w:rFonts w:hint="eastAsia" w:ascii="宋体" w:hAnsi="宋体" w:eastAsia="宋体" w:cs="Times New Roman"/>
          <w:color w:val="auto"/>
          <w:sz w:val="24"/>
          <w:szCs w:val="24"/>
          <w:lang w:eastAsia="zh-CN"/>
        </w:rPr>
        <w:t xml:space="preserve">盐城市金航财富大厦3AF</w:t>
      </w:r>
      <w:r/>
    </w:p>
    <w:p>
      <w:pPr>
        <w:ind w:firstLine="480"/>
        <w:pageBreakBefore w:val="0"/>
        <w:spacing w:line="360" w:lineRule="auto"/>
        <w:widowControl/>
        <w:rPr>
          <w:rStyle w:val="886"/>
          <w:rFonts w:hint="eastAsia" w:ascii="宋体" w:hAnsi="宋体" w:eastAsia="宋体" w:cs="Times New Roman"/>
          <w:color w:val="auto"/>
          <w:sz w:val="24"/>
          <w:szCs w:val="24"/>
        </w:rPr>
      </w:pPr>
      <w:r>
        <w:rPr>
          <w:rStyle w:val="886"/>
          <w:rFonts w:hint="eastAsia" w:ascii="宋体" w:hAnsi="宋体" w:eastAsia="宋体" w:cs="Times New Roman"/>
          <w:color w:val="auto"/>
          <w:sz w:val="24"/>
          <w:szCs w:val="24"/>
        </w:rPr>
        <w:t xml:space="preserve">联</w:t>
      </w:r>
      <w:r>
        <w:rPr>
          <w:rStyle w:val="886"/>
          <w:rFonts w:hint="eastAsia" w:ascii="宋体" w:hAnsi="宋体" w:eastAsia="宋体" w:cs="Times New Roman"/>
          <w:color w:val="auto"/>
          <w:sz w:val="24"/>
          <w:szCs w:val="24"/>
          <w:lang w:val="en-US" w:eastAsia="zh-CN"/>
        </w:rPr>
        <w:t xml:space="preserve"> </w:t>
      </w:r>
      <w:r>
        <w:rPr>
          <w:rStyle w:val="886"/>
          <w:rFonts w:hint="eastAsia" w:ascii="宋体" w:hAnsi="宋体" w:eastAsia="宋体" w:cs="Times New Roman"/>
          <w:color w:val="auto"/>
          <w:sz w:val="24"/>
          <w:szCs w:val="24"/>
        </w:rPr>
        <w:t xml:space="preserve">系</w:t>
      </w:r>
      <w:r>
        <w:rPr>
          <w:rStyle w:val="886"/>
          <w:rFonts w:hint="eastAsia" w:ascii="宋体" w:hAnsi="宋体" w:eastAsia="宋体" w:cs="Times New Roman"/>
          <w:color w:val="auto"/>
          <w:sz w:val="24"/>
          <w:szCs w:val="24"/>
          <w:lang w:val="en-US" w:eastAsia="zh-CN"/>
        </w:rPr>
        <w:t xml:space="preserve"> </w:t>
      </w:r>
      <w:r>
        <w:rPr>
          <w:rStyle w:val="886"/>
          <w:rFonts w:hint="eastAsia" w:ascii="宋体" w:hAnsi="宋体" w:eastAsia="宋体" w:cs="Times New Roman"/>
          <w:color w:val="auto"/>
          <w:sz w:val="24"/>
          <w:szCs w:val="24"/>
        </w:rPr>
        <w:t xml:space="preserve">人：</w:t>
      </w:r>
      <w:r>
        <w:rPr>
          <w:rStyle w:val="886"/>
          <w:rFonts w:hint="eastAsia" w:ascii="宋体" w:hAnsi="宋体" w:eastAsia="宋体" w:cs="Times New Roman"/>
          <w:color w:val="auto"/>
          <w:sz w:val="24"/>
          <w:szCs w:val="24"/>
          <w:lang w:val="en-US" w:eastAsia="zh-CN"/>
        </w:rPr>
        <w:t xml:space="preserve">朱先生</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886"/>
          <w:rFonts w:hint="eastAsia" w:ascii="宋体" w:hAnsi="宋体" w:eastAsia="宋体" w:cs="Times New Roman"/>
          <w:color w:val="auto"/>
          <w:sz w:val="24"/>
          <w:szCs w:val="24"/>
        </w:rPr>
        <w:t xml:space="preserve">联系电话：</w:t>
      </w:r>
      <w:r>
        <w:rPr>
          <w:rStyle w:val="886"/>
          <w:rFonts w:hint="eastAsia" w:ascii="宋体" w:hAnsi="宋体" w:eastAsia="宋体" w:cs="Times New Roman"/>
          <w:color w:val="auto"/>
          <w:sz w:val="24"/>
          <w:szCs w:val="24"/>
          <w:lang w:val="en-US" w:eastAsia="zh-CN"/>
        </w:rPr>
        <w:t xml:space="preserve">18932281510</w:t>
      </w:r>
      <w:bookmarkEnd w:id="32"/>
      <w:r/>
      <w:bookmarkEnd w:id="33"/>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shd w:val="clear" w:color="auto" w:fill="ffffff"/>
          <w:lang w:val="en-US" w:eastAsia="zh-CN"/>
        </w:rPr>
        <w:t xml:space="preserve">项目联系方式</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项目联系人：</w:t>
      </w:r>
      <w:r>
        <w:rPr>
          <w:rStyle w:val="886"/>
          <w:rFonts w:hint="eastAsia" w:ascii="宋体" w:hAnsi="宋体" w:eastAsia="宋体" w:cs="Times New Roman"/>
          <w:color w:val="auto"/>
          <w:sz w:val="24"/>
          <w:szCs w:val="24"/>
          <w:lang w:val="en-US" w:eastAsia="zh-CN"/>
        </w:rPr>
        <w:t xml:space="preserve">朱先生</w:t>
      </w:r>
      <w:r/>
    </w:p>
    <w:p>
      <w:pPr>
        <w:pStyle w:val="877"/>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电      话：</w:t>
      </w:r>
      <w:r>
        <w:rPr>
          <w:rStyle w:val="886"/>
          <w:rFonts w:hint="eastAsia" w:ascii="宋体" w:hAnsi="宋体" w:eastAsia="宋体" w:cs="Times New Roman"/>
          <w:color w:val="auto"/>
          <w:sz w:val="24"/>
          <w:szCs w:val="24"/>
          <w:lang w:val="en-US" w:eastAsia="zh-CN"/>
        </w:rPr>
        <w:t xml:space="preserve">18932281510</w:t>
      </w:r>
      <w:r/>
    </w:p>
    <w:p>
      <w:r>
        <w:t xml:space="preserve"> </w:t>
      </w:r>
      <w:r/>
    </w:p>
    <w:p>
      <w:pPr>
        <w:pStyle w:val="877"/>
        <w:ind w:right="840"/>
        <w:jc w:val="center"/>
        <w:spacing w:beforeAutospacing="0" w:afterAutospacing="0"/>
        <w:rPr>
          <w:rFonts w:hint="eastAsia" w:ascii="黑体" w:hAnsi="黑体" w:eastAsia="黑体" w:cs="黑体"/>
          <w:color w:val="000000"/>
          <w:sz w:val="44"/>
          <w:szCs w:val="44"/>
          <w:lang w:val="en-US" w:eastAsia="zh-CN"/>
        </w:rPr>
      </w:pPr>
      <w:r>
        <w:rPr>
          <w:rFonts w:hint="eastAsia" w:ascii="宋体" w:hAnsi="宋体" w:eastAsia="宋体" w:cs="宋体"/>
          <w:color w:val="000000"/>
        </w:rPr>
        <w:br w:type="page" w:clear="all"/>
      </w:r>
      <w:bookmarkStart w:id="35" w:name="_Toc120614211"/>
      <w:r>
        <w:rPr>
          <w:rFonts w:hint="eastAsia" w:ascii="黑体" w:hAnsi="黑体" w:eastAsia="黑体" w:cs="黑体"/>
          <w:color w:val="000000"/>
          <w:sz w:val="44"/>
          <w:szCs w:val="44"/>
          <w:lang w:val="en-US" w:eastAsia="zh-CN"/>
        </w:rPr>
        <w:t xml:space="preserve">第二章  </w:t>
      </w:r>
      <w:bookmarkEnd w:id="35"/>
      <w:r/>
      <w:bookmarkStart w:id="36" w:name="_Toc16938518"/>
      <w:r/>
      <w:bookmarkStart w:id="37" w:name="_Toc513029202"/>
      <w:r/>
      <w:bookmarkStart w:id="38" w:name="_Toc120614213"/>
      <w:r/>
      <w:bookmarkStart w:id="39" w:name="_Toc20823274"/>
      <w:r>
        <w:rPr>
          <w:rFonts w:hint="eastAsia" w:ascii="黑体" w:hAnsi="黑体" w:eastAsia="黑体" w:cs="黑体"/>
          <w:color w:val="000000"/>
          <w:sz w:val="44"/>
          <w:szCs w:val="44"/>
          <w:lang w:val="en-US" w:eastAsia="zh-CN"/>
        </w:rPr>
        <w:t xml:space="preserve">投标人须知</w:t>
      </w:r>
      <w:bookmarkEnd w:id="36"/>
      <w:r/>
      <w:bookmarkEnd w:id="37"/>
      <w:r/>
      <w:bookmarkEnd w:id="38"/>
      <w:r/>
      <w:bookmarkEnd w:id="39"/>
      <w:r/>
      <w:r/>
    </w:p>
    <w:p>
      <w:pPr>
        <w:pStyle w:val="87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0" w:name="_Toc513029203"/>
      <w:r/>
      <w:bookmarkStart w:id="41" w:name="_Toc120614214"/>
      <w:r/>
      <w:bookmarkStart w:id="42" w:name="_Toc16938519"/>
      <w:r/>
      <w:bookmarkStart w:id="43" w:name="_Toc20823275"/>
      <w:r>
        <w:rPr>
          <w:rFonts w:hint="eastAsia" w:ascii="宋体" w:hAnsi="宋体" w:eastAsia="宋体" w:cs="宋体"/>
          <w:b/>
          <w:color w:val="auto"/>
          <w:sz w:val="24"/>
          <w:szCs w:val="24"/>
        </w:rPr>
        <w:t xml:space="preserve">一、总则</w:t>
      </w:r>
      <w:bookmarkEnd w:id="40"/>
      <w:r/>
      <w:bookmarkEnd w:id="41"/>
      <w:r/>
      <w:bookmarkEnd w:id="42"/>
      <w:r/>
      <w:bookmarkEnd w:id="43"/>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auto"/>
          <w:sz w:val="24"/>
          <w:szCs w:val="24"/>
        </w:rPr>
        <w:t xml:space="preserve">1</w:t>
      </w:r>
      <w:bookmarkEnd w:id="44"/>
      <w:r>
        <w:rPr>
          <w:rFonts w:hint="eastAsia" w:ascii="宋体" w:hAnsi="宋体" w:eastAsia="宋体" w:cs="宋体"/>
          <w:color w:val="auto"/>
          <w:sz w:val="24"/>
          <w:szCs w:val="24"/>
        </w:rPr>
        <w:t xml:space="preserve">、招标方式</w:t>
      </w:r>
      <w:bookmarkEnd w:id="45"/>
      <w:r/>
      <w:bookmarkEnd w:id="46"/>
      <w:r/>
      <w:bookmarkEnd w:id="47"/>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1.1本次招标采取公开招标方式，本招标文件仅适用于招标公告中所述项目。</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9" w:name="_Toc20823277"/>
      <w:r/>
      <w:bookmarkStart w:id="50" w:name="_Toc513029205"/>
      <w:r/>
      <w:bookmarkStart w:id="51" w:name="_Toc16938521"/>
      <w:r>
        <w:rPr>
          <w:rFonts w:hint="eastAsia" w:ascii="宋体" w:hAnsi="宋体" w:eastAsia="宋体" w:cs="宋体"/>
          <w:color w:val="auto"/>
          <w:sz w:val="24"/>
          <w:szCs w:val="24"/>
        </w:rPr>
        <w:t xml:space="preserve">2、合格的投标人</w:t>
      </w:r>
      <w:bookmarkEnd w:id="49"/>
      <w:r/>
      <w:bookmarkEnd w:id="50"/>
      <w:r/>
      <w:bookmarkEnd w:id="51"/>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2.2满足本文件实质性要求和条件的规定。</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52" w:name="_Toc16938522"/>
      <w:r/>
      <w:bookmarkStart w:id="53" w:name="_Toc513029206"/>
      <w:r/>
      <w:bookmarkStart w:id="54" w:name="_Toc20823278"/>
      <w:r>
        <w:rPr>
          <w:rFonts w:hint="eastAsia" w:ascii="宋体" w:hAnsi="宋体" w:eastAsia="宋体" w:cs="宋体"/>
          <w:color w:val="auto"/>
          <w:sz w:val="24"/>
          <w:szCs w:val="24"/>
        </w:rPr>
        <w:t xml:space="preserve">3、适用法律</w:t>
      </w:r>
      <w:bookmarkEnd w:id="52"/>
      <w:r/>
      <w:bookmarkEnd w:id="53"/>
      <w:r/>
      <w:bookmarkEnd w:id="54"/>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3.1本次招标及由此产生的合同受中华人民共和国有关的法律法规制约和保护。</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55" w:name="_Toc462564067"/>
      <w:r/>
      <w:bookmarkStart w:id="56" w:name="_Toc20823279"/>
      <w:r/>
      <w:bookmarkStart w:id="57" w:name="_Toc513029207"/>
      <w:r/>
      <w:bookmarkStart w:id="58" w:name="_Toc16938523"/>
      <w:r>
        <w:rPr>
          <w:rFonts w:hint="eastAsia" w:ascii="宋体" w:hAnsi="宋体" w:eastAsia="宋体" w:cs="宋体"/>
          <w:color w:val="auto"/>
          <w:sz w:val="24"/>
          <w:szCs w:val="24"/>
        </w:rPr>
        <w:t xml:space="preserve">4、投标费用</w:t>
      </w:r>
      <w:bookmarkEnd w:id="55"/>
      <w:r/>
      <w:bookmarkEnd w:id="56"/>
      <w:r/>
      <w:bookmarkEnd w:id="57"/>
      <w:r/>
      <w:bookmarkEnd w:id="58"/>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4.1投标人应自行承担所有与参加投标有关的费用，无论投标过程中的做法和结果如何，</w:t>
      </w:r>
      <w:r>
        <w:rPr>
          <w:rFonts w:hint="eastAsia" w:ascii="宋体" w:hAnsi="宋体" w:eastAsia="宋体" w:cs="宋体"/>
          <w:color w:val="auto"/>
          <w:sz w:val="24"/>
          <w:szCs w:val="24"/>
          <w:lang w:val="en-US" w:eastAsia="zh-CN"/>
        </w:rPr>
        <w:t xml:space="preserve">江苏瑞杰项目管理顾问有限公司（以下简称代理机构）</w:t>
      </w:r>
      <w:r>
        <w:rPr>
          <w:rFonts w:hint="eastAsia" w:ascii="宋体" w:hAnsi="宋体" w:eastAsia="宋体" w:cs="宋体"/>
          <w:color w:val="auto"/>
          <w:sz w:val="24"/>
          <w:szCs w:val="24"/>
        </w:rPr>
        <w:t xml:space="preserve">在任何情况下均无义务和责任承担这些费用。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val="en-US" w:eastAsia="zh-CN"/>
        </w:rPr>
        <w:t xml:space="preserve">代理机构和</w:t>
      </w:r>
      <w:r>
        <w:rPr>
          <w:rFonts w:hint="eastAsia" w:ascii="宋体" w:hAnsi="宋体" w:eastAsia="宋体" w:cs="宋体"/>
          <w:color w:val="auto"/>
          <w:sz w:val="24"/>
          <w:szCs w:val="24"/>
        </w:rPr>
        <w:t xml:space="preserve">采购人不收取标书工本费与中标服务费。</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val="0"/>
          <w:bCs/>
          <w:color w:val="auto"/>
          <w:sz w:val="24"/>
          <w:szCs w:val="24"/>
        </w:rPr>
        <w:t xml:space="preserve">5、</w:t>
      </w:r>
      <w:r>
        <w:rPr>
          <w:rFonts w:hint="eastAsia" w:ascii="宋体" w:hAnsi="宋体" w:eastAsia="宋体" w:cs="宋体"/>
          <w:color w:val="auto"/>
          <w:sz w:val="24"/>
          <w:szCs w:val="24"/>
        </w:rPr>
        <w:t xml:space="preserve">招标文件的约束力</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5.1投标人一旦参加本项目采购活动，即被认为接受了本招标文件的规定和约束。</w:t>
      </w:r>
      <w:r/>
    </w:p>
    <w:p>
      <w:pPr>
        <w:pStyle w:val="877"/>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59" w:name="_Toc16938525"/>
      <w:r/>
      <w:bookmarkStart w:id="60" w:name="_Toc20823281"/>
      <w:r/>
      <w:bookmarkStart w:id="61" w:name="_Toc513029209"/>
      <w:r/>
      <w:bookmarkStart w:id="62" w:name="_Toc120614215"/>
      <w:r>
        <w:rPr>
          <w:rFonts w:hint="eastAsia" w:ascii="宋体" w:hAnsi="宋体" w:eastAsia="宋体" w:cs="宋体"/>
          <w:b/>
          <w:color w:val="auto"/>
          <w:sz w:val="24"/>
          <w:szCs w:val="24"/>
        </w:rPr>
        <w:t xml:space="preserve">二、招标文件</w:t>
      </w:r>
      <w:bookmarkEnd w:id="59"/>
      <w:r/>
      <w:bookmarkEnd w:id="60"/>
      <w:r/>
      <w:bookmarkEnd w:id="61"/>
      <w:r/>
      <w:bookmarkEnd w:id="62"/>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63" w:name="_Toc20823282"/>
      <w:r/>
      <w:bookmarkStart w:id="64" w:name="_Toc16938526"/>
      <w:r/>
      <w:bookmarkStart w:id="65" w:name="_Toc513029210"/>
      <w:r>
        <w:rPr>
          <w:rFonts w:hint="eastAsia" w:ascii="宋体" w:hAnsi="宋体" w:eastAsia="宋体" w:cs="宋体"/>
          <w:color w:val="auto"/>
          <w:sz w:val="24"/>
          <w:szCs w:val="24"/>
        </w:rPr>
        <w:t xml:space="preserve">6、招标文件构成</w:t>
      </w:r>
      <w:bookmarkEnd w:id="63"/>
      <w:r/>
      <w:bookmarkEnd w:id="64"/>
      <w:r/>
      <w:bookmarkEnd w:id="65"/>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6.1招标文件由以下部分组成：</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招标公告</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合同条款</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rPr>
        <w:t xml:space="preserve">联系解决。</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66" w:name="_Toc513029211"/>
      <w:r/>
      <w:bookmarkStart w:id="67" w:name="_Toc16938527"/>
      <w:r/>
      <w:bookmarkStart w:id="68" w:name="_Toc20823283"/>
      <w:r/>
      <w:bookmarkStart w:id="69" w:name="_Toc462564070"/>
      <w:r>
        <w:rPr>
          <w:rFonts w:hint="eastAsia" w:ascii="宋体" w:hAnsi="宋体" w:eastAsia="宋体" w:cs="宋体"/>
          <w:color w:val="auto"/>
          <w:sz w:val="24"/>
          <w:szCs w:val="24"/>
        </w:rPr>
        <w:t xml:space="preserve">7、招标文件的澄清</w:t>
      </w:r>
      <w:bookmarkEnd w:id="66"/>
      <w:r/>
      <w:bookmarkEnd w:id="67"/>
      <w:r/>
      <w:bookmarkEnd w:id="68"/>
      <w:r/>
      <w:bookmarkEnd w:id="69"/>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7.1任何要求对招标文件进行澄清的投标人，应在投标截止期</w:t>
      </w:r>
      <w:r>
        <w:rPr>
          <w:rFonts w:hint="eastAsia" w:ascii="宋体" w:hAnsi="宋体" w:eastAsia="宋体" w:cs="宋体"/>
          <w:b/>
          <w:color w:val="auto"/>
          <w:sz w:val="24"/>
          <w:szCs w:val="24"/>
        </w:rPr>
        <w:t xml:space="preserve">十日</w:t>
      </w:r>
      <w:r>
        <w:rPr>
          <w:rFonts w:hint="eastAsia" w:ascii="宋体" w:hAnsi="宋体" w:eastAsia="宋体" w:cs="宋体"/>
          <w:color w:val="auto"/>
          <w:sz w:val="24"/>
          <w:szCs w:val="24"/>
        </w:rPr>
        <w:t xml:space="preserve">前按招标公告中的通讯地址，以书面形式通知</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70" w:name="_Toc462564071"/>
      <w:r/>
      <w:bookmarkStart w:id="71" w:name="_Toc20823284"/>
      <w:r/>
      <w:bookmarkStart w:id="72" w:name="_Toc513029212"/>
      <w:r/>
      <w:bookmarkStart w:id="73" w:name="_Toc16938528"/>
      <w:r>
        <w:rPr>
          <w:rFonts w:hint="eastAsia" w:ascii="宋体" w:hAnsi="宋体" w:eastAsia="宋体" w:cs="宋体"/>
          <w:color w:val="auto"/>
          <w:sz w:val="24"/>
          <w:szCs w:val="24"/>
        </w:rPr>
        <w:t xml:space="preserve">8、招标文件的修改</w:t>
      </w:r>
      <w:bookmarkEnd w:id="70"/>
      <w:r/>
      <w:bookmarkEnd w:id="71"/>
      <w:r/>
      <w:bookmarkEnd w:id="72"/>
      <w:r/>
      <w:bookmarkEnd w:id="73"/>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8.1在投标截止时间前，</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采购人可以对招标文件进行修改。</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采购人有权按照法定的要求推迟投标截止日期和开标日期。</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8.3招标文件的修改将在</w:t>
      </w:r>
      <w:r>
        <w:rPr>
          <w:rFonts w:hint="eastAsia" w:ascii="宋体" w:hAnsi="宋体" w:eastAsia="宋体" w:cs="宋体"/>
          <w:color w:val="auto"/>
          <w:sz w:val="24"/>
          <w:szCs w:val="24"/>
          <w:lang w:val="en-US" w:eastAsia="zh-CN" w:bidi="ar-SA"/>
        </w:rPr>
        <w:t xml:space="preserve">中国政府采购网</w:t>
      </w:r>
      <w:r>
        <w:rPr>
          <w:rFonts w:hint="eastAsia" w:ascii="宋体" w:hAnsi="宋体" w:eastAsia="宋体" w:cs="宋体"/>
          <w:i w:val="0"/>
          <w:iCs w:val="0"/>
          <w:caps w:val="0"/>
          <w:color w:val="auto"/>
          <w:spacing w:val="0"/>
          <w:sz w:val="24"/>
          <w:szCs w:val="24"/>
          <w:shd w:val="clear" w:color="auto" w:fill="ffffff"/>
          <w:lang w:val="en-US" w:eastAsia="zh-CN"/>
        </w:rPr>
        <w:t xml:space="preserve">、</w:t>
      </w:r>
      <w:r>
        <w:rPr>
          <w:rFonts w:hint="eastAsia" w:ascii="宋体" w:hAnsi="宋体" w:eastAsia="宋体" w:cs="宋体"/>
          <w:color w:val="auto"/>
          <w:sz w:val="24"/>
          <w:szCs w:val="24"/>
        </w:rPr>
        <w:t xml:space="preserve">江苏政府采购网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盐城市政府采购网</w:t>
      </w:r>
      <w:r>
        <w:rPr>
          <w:rFonts w:hint="eastAsia" w:ascii="宋体" w:hAnsi="宋体" w:eastAsia="宋体" w:cs="宋体"/>
          <w:color w:val="auto"/>
          <w:sz w:val="24"/>
          <w:szCs w:val="24"/>
        </w:rPr>
        <w:t xml:space="preserve">公布，补充文件将作为招标文件的组成部分，并对投标人具有约束力。</w:t>
      </w:r>
      <w:r/>
    </w:p>
    <w:p>
      <w:pPr>
        <w:pStyle w:val="877"/>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74" w:name="_Toc462564072"/>
      <w:r/>
      <w:bookmarkStart w:id="75" w:name="_Toc16938529"/>
      <w:r/>
      <w:bookmarkStart w:id="76" w:name="_Toc20823285"/>
      <w:r/>
      <w:bookmarkStart w:id="77" w:name="_Toc120614216"/>
      <w:r/>
      <w:bookmarkStart w:id="78" w:name="_Toc513029213"/>
      <w:r>
        <w:rPr>
          <w:rFonts w:hint="eastAsia" w:ascii="宋体" w:hAnsi="宋体" w:eastAsia="宋体" w:cs="宋体"/>
          <w:b/>
          <w:color w:val="auto"/>
          <w:sz w:val="24"/>
          <w:szCs w:val="24"/>
        </w:rPr>
        <w:t xml:space="preserve">三、投标文件的编制</w:t>
      </w:r>
      <w:bookmarkEnd w:id="74"/>
      <w:r/>
      <w:bookmarkEnd w:id="75"/>
      <w:r/>
      <w:bookmarkEnd w:id="76"/>
      <w:r/>
      <w:bookmarkEnd w:id="77"/>
      <w:r/>
      <w:bookmarkEnd w:id="78"/>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79" w:name="_Toc513029214"/>
      <w:r/>
      <w:bookmarkStart w:id="80" w:name="_Toc20823286"/>
      <w:r/>
      <w:bookmarkStart w:id="81" w:name="_Toc16938530"/>
      <w:r/>
      <w:bookmarkStart w:id="82" w:name="_Toc462564073"/>
      <w:r>
        <w:rPr>
          <w:rFonts w:hint="eastAsia" w:ascii="宋体" w:hAnsi="宋体" w:eastAsia="宋体" w:cs="宋体"/>
          <w:color w:val="auto"/>
          <w:sz w:val="24"/>
          <w:szCs w:val="24"/>
        </w:rPr>
        <w:t xml:space="preserve">9、投标文件的语言及度量衡单位</w:t>
      </w:r>
      <w:bookmarkEnd w:id="79"/>
      <w:r/>
      <w:bookmarkEnd w:id="80"/>
      <w:r/>
      <w:bookmarkEnd w:id="81"/>
      <w:r/>
      <w:bookmarkEnd w:id="82"/>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9.1投标人提交的投标文件以及投标人与</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采购人就有关投标的所有来往通知、函件和文件均应使用</w:t>
      </w:r>
      <w:r>
        <w:rPr>
          <w:rFonts w:hint="eastAsia" w:ascii="宋体" w:hAnsi="宋体" w:eastAsia="宋体" w:cs="宋体"/>
          <w:b/>
          <w:color w:val="auto"/>
          <w:sz w:val="24"/>
          <w:szCs w:val="24"/>
        </w:rPr>
        <w:t xml:space="preserve">简体中文</w:t>
      </w:r>
      <w:r>
        <w:rPr>
          <w:rFonts w:hint="eastAsia" w:ascii="宋体" w:hAnsi="宋体" w:eastAsia="宋体" w:cs="宋体"/>
          <w:color w:val="auto"/>
          <w:sz w:val="24"/>
          <w:szCs w:val="24"/>
        </w:rPr>
        <w:t xml:space="preserve">。</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9.2除技术性能另有规定外，投标文件所使用的度量衡单位，均须采用国家法定计量单位。</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83" w:name="_Toc462564074"/>
      <w:r/>
      <w:bookmarkStart w:id="84" w:name="_Toc513029215"/>
      <w:r/>
      <w:bookmarkStart w:id="85" w:name="_Toc20823287"/>
      <w:r/>
      <w:bookmarkStart w:id="86" w:name="_Toc16938531"/>
      <w:r>
        <w:rPr>
          <w:rFonts w:hint="eastAsia" w:ascii="宋体" w:hAnsi="宋体" w:eastAsia="宋体" w:cs="宋体"/>
          <w:color w:val="auto"/>
          <w:sz w:val="24"/>
          <w:szCs w:val="24"/>
        </w:rPr>
        <w:t xml:space="preserve">10、投标文件构成</w:t>
      </w:r>
      <w:bookmarkEnd w:id="83"/>
      <w:r/>
      <w:bookmarkEnd w:id="84"/>
      <w:r/>
      <w:bookmarkEnd w:id="85"/>
      <w:r/>
      <w:bookmarkEnd w:id="86"/>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10.1 开标一览表（系统固定格式）</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 资格审查资料</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10.2.1 法人或者其他组织的营业执照等证明文件，自然人的身份证明；</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10.2.2 上一年度（或上上年度）经审计的财务报告（投标人成立不满一年无需提供）；</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10.2.4 具备履行合同所必需的设备和专业技术能力的书面声明；</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10.2.5 参加政府采购活动前 3 年内在经营活动中没有重大违法记录的书面声明；</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10.2.6 投标人法定代表人身份证明和投标文件签署授权委托书（另附法定代表人和被授权人的身份证复印件或扫描件）；</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10.2.7 投标人为被授权人缴纳的社会养老保险证明；</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10.2.8 与资格审查有关的其他资料（如有）。</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 符合性资料</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10.3.1 投标报价明细表；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10.3.2 投标函；</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10.3.3 技术要求响应及偏离表；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10.3.4 商务要求响应及偏离表；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10.3.5 投标人的服务承诺；</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10.3.6 东台市政府采购事前信用承诺书；</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 综合评审相关资料</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10.5 价格折扣文件（如有）</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注：1）以上材料须按顺序进行排列。</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2）如为法定代表人参与公开招标的无须提供“投标文件签署授权委托书”和“被授权人缴纳的社会养老保险证明”。</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3）与本次公开招标无关的资料不要求提供。</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“江苏政府采购网”、“盐城市政府采购网”发布的招标文件为准。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87" w:name="_Toc513029216"/>
      <w:r/>
      <w:bookmarkStart w:id="88" w:name="_Toc14577357"/>
      <w:r/>
      <w:bookmarkStart w:id="89" w:name="_Toc49090507"/>
      <w:r/>
      <w:bookmarkStart w:id="90" w:name="_Toc513029219"/>
      <w:r/>
      <w:bookmarkStart w:id="91" w:name="_Toc49090509"/>
      <w:r/>
      <w:bookmarkStart w:id="92" w:name="_Toc14577354"/>
      <w:r/>
      <w:bookmarkStart w:id="93" w:name="_Hlt26670360"/>
      <w:r/>
      <w:bookmarkStart w:id="94" w:name="_Hlt26954838"/>
      <w:r/>
      <w:bookmarkStart w:id="95" w:name="_Hlt26668975"/>
      <w:r>
        <w:rPr>
          <w:rFonts w:hint="eastAsia" w:ascii="宋体" w:hAnsi="宋体" w:eastAsia="宋体" w:cs="宋体"/>
          <w:color w:val="auto"/>
          <w:sz w:val="24"/>
          <w:szCs w:val="24"/>
        </w:rPr>
        <w:t xml:space="preserve">11、证明投标人及投标标的符合招标文件规定的文件</w:t>
      </w:r>
      <w:bookmarkEnd w:id="87"/>
      <w:r/>
      <w:bookmarkEnd w:id="88"/>
      <w:r/>
      <w:bookmarkEnd w:id="89"/>
      <w:r/>
      <w:bookmarkEnd w:id="90"/>
      <w:r/>
      <w:bookmarkEnd w:id="91"/>
      <w:r/>
      <w:bookmarkEnd w:id="92"/>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96" w:name="_Toc14577355"/>
      <w:r/>
      <w:bookmarkStart w:id="97" w:name="_Toc49090508"/>
      <w:r>
        <w:rPr>
          <w:rFonts w:hint="eastAsia" w:ascii="宋体" w:hAnsi="宋体" w:eastAsia="宋体" w:cs="宋体"/>
          <w:color w:val="auto"/>
          <w:sz w:val="24"/>
          <w:szCs w:val="24"/>
        </w:rPr>
        <w:t xml:space="preserve">11.1投标人应按照法律、法规、规章和规范性文件以及招标文件要求提交证明文件，证明其及投标标的符合招标文件规定。</w:t>
      </w:r>
      <w:bookmarkEnd w:id="96"/>
      <w:r/>
      <w:bookmarkEnd w:id="97"/>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11.2招标文件对证明文件无明确形式要求的，证明文件可以以文字资料、图纸和数据等形式提交。</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11.3 “上一年度（或上上年度）的财务报告”，投标人应提供经审计的财务报告，或银行出具的资信证明。</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11.4 “依法缴纳税收的相关材料”，投标人应提供近期缴纳税收的凭据。</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11.5 “依法缴纳社会保障资金的相关材料”，投标人应提供近期缴纳社会保险的凭据。</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11.6 依法免税或不需要缴纳社会保障资金的投标人，应提供相应文件证明其依法免税或不需要缴纳社会保障资金。</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11.7 “申请人的资格要求”和“资格审查资料”中的“近期”是指近两年以来的任一时间段。</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bookmarkStart w:id="98" w:name="_Hlt26670373"/>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报价明细表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99" w:name="_Hlt26954840"/>
      <w:r/>
      <w:bookmarkStart w:id="100" w:name="_Hlt26670399"/>
      <w:r>
        <w:rPr>
          <w:rFonts w:hint="eastAsia" w:ascii="宋体" w:hAnsi="宋体" w:eastAsia="宋体" w:cs="宋体"/>
          <w:color w:val="auto"/>
          <w:sz w:val="24"/>
          <w:szCs w:val="24"/>
        </w:rPr>
        <w:t xml:space="preserve">12.1投标人应按照招标文件规定格式填报投标</w:t>
      </w:r>
      <w:r>
        <w:rPr>
          <w:rFonts w:hint="eastAsia" w:ascii="宋体" w:hAnsi="宋体" w:eastAsia="宋体" w:cs="宋体"/>
          <w:color w:val="auto"/>
          <w:sz w:val="24"/>
          <w:szCs w:val="24"/>
          <w:lang w:eastAsia="zh-CN"/>
        </w:rPr>
        <w:t xml:space="preserve">报价明细表</w:t>
      </w:r>
      <w:r>
        <w:rPr>
          <w:rFonts w:hint="eastAsia" w:ascii="宋体" w:hAnsi="宋体" w:eastAsia="宋体" w:cs="宋体"/>
          <w:color w:val="auto"/>
          <w:sz w:val="24"/>
          <w:szCs w:val="24"/>
        </w:rPr>
        <w:t xml:space="preserve">。</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12.3 投标人应按照第六章投标文件格式完整地填写投标报价明细表，说明其拟提供服务的名称、服务内容、数量、价格等，采购人要求投标人明确填写的相关内容的，也应填写。</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12.4 每项服务内容只允许有一个报价，任何有选择的报价将不予接受。</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12.5 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bookmarkStart w:id="101" w:name="_Hlt26668983"/>
      <w:r/>
      <w:bookmarkStart w:id="102" w:name="_Hlt26670486"/>
      <w:r/>
      <w:bookmarkStart w:id="103" w:name="_Hlt26670403"/>
      <w:r/>
      <w:bookmarkStart w:id="104" w:name="_Hlt26954844"/>
      <w:r/>
      <w:bookmarkStart w:id="105" w:name="_Hlt26954848"/>
      <w:r/>
      <w:bookmarkStart w:id="106" w:name="_Hlt26670482"/>
      <w:r/>
      <w:bookmarkStart w:id="107" w:name="_Hlt26670425"/>
      <w:r/>
      <w:bookmarkStart w:id="108" w:name="_Hlt26954842"/>
      <w:r/>
      <w:bookmarkStart w:id="109" w:name="_Hlt26954846"/>
      <w:r/>
      <w:bookmarkStart w:id="110" w:name="_Hlt26954731"/>
      <w:r>
        <w:rPr>
          <w:rFonts w:hint="eastAsia" w:ascii="宋体" w:hAnsi="宋体" w:eastAsia="宋体" w:cs="宋体"/>
          <w:color w:val="auto"/>
          <w:sz w:val="24"/>
          <w:szCs w:val="24"/>
          <w:lang w:val="en-US" w:eastAsia="zh-CN"/>
        </w:rPr>
        <w:t xml:space="preserve">本项目中标供应商在领取中标通知书前，须向采购代理机构江苏瑞杰项目管理顾问有限公司支付招标代理服务费，招标代理服务费为人民币</w:t>
      </w:r>
      <w:r>
        <w:rPr>
          <w:rFonts w:hint="eastAsia" w:ascii="宋体" w:hAnsi="宋体" w:eastAsia="宋体" w:cs="宋体"/>
          <w:color w:val="auto"/>
          <w:sz w:val="24"/>
          <w:szCs w:val="24"/>
          <w:u w:val="single"/>
          <w:lang w:val="en-US" w:eastAsia="zh-CN"/>
        </w:rPr>
        <w:t xml:space="preserve"> 92500.00 </w:t>
      </w:r>
      <w:r>
        <w:rPr>
          <w:rFonts w:hint="eastAsia" w:ascii="宋体" w:hAnsi="宋体" w:eastAsia="宋体" w:cs="宋体"/>
          <w:color w:val="auto"/>
          <w:sz w:val="24"/>
          <w:szCs w:val="24"/>
          <w:lang w:val="en-US" w:eastAsia="zh-CN"/>
        </w:rPr>
        <w:t xml:space="preserve">元，费用由各供应商在响应时自行综合考虑分摊在报价中，且不得单列，采购人不再承担上述费用。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13、技术要求响应及偏离表、商务要求响应及偏离表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11" w:name="_Toc14577359"/>
      <w:r/>
      <w:bookmarkStart w:id="112" w:name="_Toc49090510"/>
      <w:r>
        <w:rPr>
          <w:rFonts w:hint="eastAsia" w:ascii="宋体" w:hAnsi="宋体" w:eastAsia="宋体" w:cs="宋体"/>
          <w:color w:val="auto"/>
          <w:sz w:val="24"/>
          <w:szCs w:val="24"/>
        </w:rPr>
        <w:t xml:space="preserve">13.1 投标人需对招标文件中的技术要求与商务要求逐项作出响应或偏离，并说明原因。</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投标人可在投标文件中提供认为需要的其他技术文件或说明。</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14、投标函和开标一览表</w:t>
      </w:r>
      <w:bookmarkEnd w:id="111"/>
      <w:r/>
      <w:bookmarkEnd w:id="112"/>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14.1投标人应按照招标文件中提供的格式完整、正确填写投标函、开标一览表。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rPr>
        <w:t xml:space="preserve">。</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13" w:name="_Toc14577360"/>
      <w:r/>
      <w:bookmarkStart w:id="114" w:name="_Toc49090511"/>
      <w:r/>
      <w:bookmarkStart w:id="115" w:name="_Hlt26670489"/>
      <w:r/>
      <w:bookmarkStart w:id="116" w:name="_Hlt26954734"/>
      <w:r/>
      <w:bookmarkStart w:id="117" w:name="_Hlt26954850"/>
      <w:r>
        <w:rPr>
          <w:rFonts w:hint="eastAsia" w:ascii="宋体" w:hAnsi="宋体" w:eastAsia="宋体" w:cs="宋体"/>
          <w:color w:val="auto"/>
          <w:sz w:val="24"/>
          <w:szCs w:val="24"/>
        </w:rPr>
        <w:t xml:space="preserve">15、投标有效期</w:t>
      </w:r>
      <w:bookmarkEnd w:id="113"/>
      <w:r/>
      <w:bookmarkEnd w:id="114"/>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15.1投标有效期为</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color w:val="auto"/>
          <w:sz w:val="24"/>
          <w:szCs w:val="24"/>
        </w:rPr>
        <w:t xml:space="preserve">。投标有效期比规定短的将被视为未实质性响应招标文件而予以拒绝。</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16、投标有效期的延长</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16.1在特殊情况下，</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采购人于原投标有效期满之前，可向投标人提出延长投标有效期的要求。这种要求与答复均应采用书面形式。投标人可以拒绝</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采购人的这一要求而放弃投标。同意延长投标有效期的投标人既不能要求也不允许修改其投标文件，同时受投标有效期约束的所有权利与义务均延长至新的有效期。</w:t>
      </w:r>
      <w:r/>
    </w:p>
    <w:p>
      <w:pPr>
        <w:pStyle w:val="877"/>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118" w:name="_Toc16938540"/>
      <w:r/>
      <w:bookmarkStart w:id="119" w:name="_Toc120614217"/>
      <w:r/>
      <w:bookmarkStart w:id="120" w:name="_Toc20823296"/>
      <w:r/>
      <w:bookmarkStart w:id="121" w:name="_Toc513029224"/>
      <w:r/>
      <w:bookmarkStart w:id="122" w:name="_Hlt26954852"/>
      <w:r/>
      <w:bookmarkStart w:id="123" w:name="_Hlt26954739"/>
      <w:r>
        <w:rPr>
          <w:rFonts w:hint="eastAsia" w:ascii="宋体" w:hAnsi="宋体" w:eastAsia="宋体" w:cs="宋体"/>
          <w:b/>
          <w:color w:val="auto"/>
          <w:sz w:val="24"/>
          <w:szCs w:val="24"/>
        </w:rPr>
        <w:t xml:space="preserve">四、投标文件的递交</w:t>
      </w:r>
      <w:bookmarkEnd w:id="118"/>
      <w:r/>
      <w:bookmarkEnd w:id="119"/>
      <w:r/>
      <w:bookmarkEnd w:id="120"/>
      <w:r/>
      <w:bookmarkEnd w:id="121"/>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24" w:name="_Toc462564084"/>
      <w:r/>
      <w:bookmarkStart w:id="125" w:name="_Toc20823297"/>
      <w:r/>
      <w:bookmarkStart w:id="126" w:name="_Toc513029225"/>
      <w:r/>
      <w:bookmarkStart w:id="127" w:name="_Toc16938541"/>
      <w:r>
        <w:rPr>
          <w:rFonts w:hint="eastAsia" w:ascii="宋体" w:hAnsi="宋体" w:eastAsia="宋体" w:cs="宋体"/>
          <w:color w:val="auto"/>
          <w:sz w:val="24"/>
          <w:szCs w:val="24"/>
        </w:rPr>
        <w:t xml:space="preserve">17、投标文件</w:t>
      </w:r>
      <w:bookmarkEnd w:id="124"/>
      <w:r/>
      <w:bookmarkEnd w:id="125"/>
      <w:r/>
      <w:bookmarkEnd w:id="126"/>
      <w:r/>
      <w:bookmarkEnd w:id="127"/>
      <w:r>
        <w:rPr>
          <w:rFonts w:hint="eastAsia" w:ascii="宋体" w:hAnsi="宋体" w:eastAsia="宋体" w:cs="宋体"/>
          <w:color w:val="auto"/>
          <w:sz w:val="24"/>
          <w:szCs w:val="24"/>
        </w:rPr>
        <w:t xml:space="preserve">的递交</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17.1电子投标文件的递交</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18、投标截止时间</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i/>
          <w:color w:val="auto"/>
          <w:sz w:val="24"/>
          <w:szCs w:val="24"/>
          <w:u w:val="single"/>
        </w:rPr>
        <w:t xml:space="preserve">18.1投标人上传电子投标文件的时间不得迟于招标公告中规定的投标截止时间。</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31" w:name="_Toc513029227"/>
      <w:r/>
      <w:bookmarkStart w:id="132" w:name="_Toc16938543"/>
      <w:r/>
      <w:bookmarkStart w:id="133" w:name="_Toc20823299"/>
      <w:r>
        <w:rPr>
          <w:rFonts w:hint="eastAsia" w:ascii="宋体" w:hAnsi="宋体" w:eastAsia="宋体" w:cs="宋体"/>
          <w:color w:val="auto"/>
          <w:sz w:val="24"/>
          <w:szCs w:val="24"/>
        </w:rPr>
        <w:t xml:space="preserve">19、投标文件</w:t>
      </w:r>
      <w:bookmarkEnd w:id="131"/>
      <w:r/>
      <w:bookmarkEnd w:id="132"/>
      <w:r/>
      <w:bookmarkEnd w:id="133"/>
      <w:r>
        <w:rPr>
          <w:rFonts w:hint="eastAsia" w:ascii="宋体" w:hAnsi="宋体" w:eastAsia="宋体" w:cs="宋体"/>
          <w:color w:val="auto"/>
          <w:sz w:val="24"/>
          <w:szCs w:val="24"/>
        </w:rPr>
        <w:t xml:space="preserve">的拒收</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拒绝接收在其规定的投标截止时间后上传的任何投标文件。</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34" w:name="_Toc20823300"/>
      <w:r/>
      <w:bookmarkStart w:id="135" w:name="_Toc16938544"/>
      <w:r/>
      <w:bookmarkStart w:id="136" w:name="_Toc513029228"/>
      <w:r>
        <w:rPr>
          <w:rFonts w:hint="eastAsia" w:ascii="宋体" w:hAnsi="宋体" w:eastAsia="宋体" w:cs="宋体"/>
          <w:color w:val="auto"/>
          <w:sz w:val="24"/>
          <w:szCs w:val="24"/>
        </w:rPr>
        <w:t xml:space="preserve">20、投标文件的撤回和修改</w:t>
      </w:r>
      <w:bookmarkEnd w:id="134"/>
      <w:r/>
      <w:bookmarkEnd w:id="135"/>
      <w:r/>
      <w:bookmarkEnd w:id="136"/>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20.1投标文件的撤回</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.1.1电子投标文件的撤回</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投标人可在投标截止时间前，撤回其电子投标文件，具体操作方法见《操作手册》。</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.1.2投标人撤回电子投标文件，则认为其不再参与本项目投标活动。</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20.2投标文件的修改</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20.2.1投标人可在投标截止时间前，对其电子投标文件进行修改，具体操作方法见《操作手册》。</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20.2.2在投标截止时间之后，投标人不得对其电子投标文件作任何修改。</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20.3在投标截止时间至招标文件中规定的投标有效期满之间的这段时间内，投标人不得撤回其投标。</w:t>
      </w:r>
      <w:r/>
    </w:p>
    <w:p>
      <w:pPr>
        <w:pStyle w:val="877"/>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137" w:name="_Toc120614218"/>
      <w:r/>
      <w:bookmarkStart w:id="138" w:name="_Toc16938545"/>
      <w:r/>
      <w:bookmarkStart w:id="139" w:name="_Toc513029229"/>
      <w:r/>
      <w:bookmarkStart w:id="140" w:name="_Toc20823301"/>
      <w:r>
        <w:rPr>
          <w:rFonts w:hint="eastAsia" w:ascii="宋体" w:hAnsi="宋体" w:eastAsia="宋体" w:cs="宋体"/>
          <w:b/>
          <w:color w:val="auto"/>
          <w:sz w:val="24"/>
          <w:szCs w:val="24"/>
        </w:rPr>
        <w:t xml:space="preserve">五、开标与评标</w:t>
      </w:r>
      <w:bookmarkEnd w:id="137"/>
      <w:r/>
      <w:bookmarkEnd w:id="138"/>
      <w:r/>
      <w:bookmarkEnd w:id="139"/>
      <w:r/>
      <w:bookmarkEnd w:id="140"/>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1" w:name="_Toc20823302"/>
      <w:r/>
      <w:bookmarkStart w:id="142" w:name="_Toc16938546"/>
      <w:r/>
      <w:bookmarkStart w:id="143" w:name="_Toc513029230"/>
      <w:r>
        <w:rPr>
          <w:rFonts w:hint="eastAsia" w:ascii="宋体" w:hAnsi="宋体" w:eastAsia="宋体" w:cs="宋体"/>
          <w:color w:val="auto"/>
          <w:sz w:val="24"/>
          <w:szCs w:val="24"/>
        </w:rPr>
        <w:t xml:space="preserve">21、开标</w:t>
      </w:r>
      <w:bookmarkEnd w:id="141"/>
      <w:r/>
      <w:bookmarkEnd w:id="142"/>
      <w:r/>
      <w:bookmarkEnd w:id="143"/>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rPr>
        <w:t xml:space="preserve">将在招标公告中规定的时间和地点组织公开开标。投标人应当按照《操作手册》规定，参加开标活动和在苏采云系统规定的时间内对投标文件进行解密。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21.2开标仪式由</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组织。苏采云系统将自动对项目进行开标，并宣布各投标人名称和投标价格。</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21.3投标人在开标过程中涉及到的投标文件解密、开标结果确认等工作，应按照《操作手册》规定执行。</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21.4投标人如果对开标过程和开标记录有疑义，应当根据《操作手册》规定提出，如苏采云系统中《开标记录表》宣布后5分钟内未提出的，视同认可开标结果。</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4" w:name="_Toc20823303"/>
      <w:r/>
      <w:bookmarkStart w:id="145" w:name="_Toc513029231"/>
      <w:r/>
      <w:bookmarkStart w:id="146" w:name="_Toc16938547"/>
      <w:r>
        <w:rPr>
          <w:rFonts w:hint="eastAsia" w:ascii="宋体" w:hAnsi="宋体" w:eastAsia="宋体" w:cs="宋体"/>
          <w:color w:val="auto"/>
          <w:sz w:val="24"/>
          <w:szCs w:val="24"/>
        </w:rPr>
        <w:t xml:space="preserve">22、评标委员会</w:t>
      </w:r>
      <w:bookmarkEnd w:id="144"/>
      <w:r/>
      <w:bookmarkEnd w:id="145"/>
      <w:r/>
      <w:bookmarkEnd w:id="146"/>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22.1开标后，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将立即组织评标委员会（以下简称评委会）进行评标。</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22.2评委会由采购人代表和有关技术、经济等方面的专家组成，且人员构成符合政府采购有关规定。</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22.3评委会独立工作，负责评审所有投标文件并确定中标</w:t>
      </w:r>
      <w:r>
        <w:rPr>
          <w:rFonts w:hint="eastAsia" w:ascii="宋体" w:hAnsi="宋体" w:eastAsia="宋体" w:cs="宋体"/>
          <w:color w:val="auto"/>
          <w:sz w:val="24"/>
          <w:szCs w:val="24"/>
          <w:lang w:eastAsia="zh-CN"/>
        </w:rPr>
        <w:t xml:space="preserve">候选人</w:t>
      </w:r>
      <w:r>
        <w:rPr>
          <w:rFonts w:hint="eastAsia" w:ascii="宋体" w:hAnsi="宋体" w:eastAsia="宋体" w:cs="宋体"/>
          <w:color w:val="auto"/>
          <w:sz w:val="24"/>
          <w:szCs w:val="24"/>
        </w:rPr>
        <w:t xml:space="preserve">。</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23、评标过程的保密与公正</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23.1凡是与审查、澄清、评价和比较投标的有关资料以及授标建议等，采购人、评委均不得向投标人或与评标无关的其他人员透露。</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23.2在评标过程中，投标人不得以任何行为影响评标过程，否则其投标文件将被作为无效投标文件。</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23.3</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采购人和评标委员会不向未中标的投标人解释未中标原因，也不公布评标过程中的相关细节。</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23.4采用综合评分法的项目，未中标的投标人可于中标结果公告期限届满之日起通过苏采云系统查看自己的评审得分及排序情况。</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7" w:name="_Toc513029232"/>
      <w:r/>
      <w:bookmarkStart w:id="148" w:name="_Toc20823304"/>
      <w:r/>
      <w:bookmarkStart w:id="149" w:name="_Toc16938548"/>
      <w:r>
        <w:rPr>
          <w:rFonts w:hint="eastAsia" w:ascii="宋体" w:hAnsi="宋体" w:eastAsia="宋体" w:cs="宋体"/>
          <w:color w:val="auto"/>
          <w:sz w:val="24"/>
          <w:szCs w:val="24"/>
        </w:rPr>
        <w:t xml:space="preserve">24、投标文件的澄清</w:t>
      </w:r>
      <w:bookmarkEnd w:id="147"/>
      <w:r/>
      <w:bookmarkEnd w:id="148"/>
      <w:r/>
      <w:bookmarkEnd w:id="149"/>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24.1评标期间，评委会对投标文件中含义不明确、同类问题表述不一致或者有明显文字和计算错误的内容，有权要求投标人作出必要的澄清、说明或者补正。</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评标委员会并非对每个投标人都做澄清要求。</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24.3接到评委会澄清、说明和补正要求的投标人如未按规定做出澄清、说明和补正，其风险由投标人自行承担。</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0" w:name="_Toc20823305"/>
      <w:r/>
      <w:bookmarkStart w:id="151" w:name="_Toc16938549"/>
      <w:r/>
      <w:bookmarkStart w:id="152" w:name="_Toc513029233"/>
      <w:r>
        <w:rPr>
          <w:rFonts w:hint="eastAsia" w:ascii="宋体" w:hAnsi="宋体" w:eastAsia="宋体" w:cs="宋体"/>
          <w:color w:val="auto"/>
          <w:sz w:val="24"/>
          <w:szCs w:val="24"/>
        </w:rPr>
        <w:t xml:space="preserve">25、对投标文件的初审</w:t>
      </w:r>
      <w:bookmarkEnd w:id="150"/>
      <w:r/>
      <w:bookmarkEnd w:id="151"/>
      <w:r/>
      <w:bookmarkEnd w:id="152"/>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25.1投标文件初审分为资格审查和符合性审查。</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25.1.1资格审查：依据法律法规和招标文件的规定，由采购人对投标文件中的资格证明文件进行审查。资格审查的结论，采购人以书面形式向评委会进行反馈。</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查询结果留存并归档。</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联合体成员存在不良信用记录的，视同联合体存在不良应用记录。</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25.1.3未通过资格审查或符合性审查的投标人，</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采购人将在苏采云系统中告知未通过资格审查或符合性审查的原因，评标结束后，</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采购人将不再告知未通过资格审查和符合性审查的原因。</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25.3如果投标文件实质上没有响应招标文件的要求，评委会将予以拒绝，投标人不得通过修改或撤销不合要求的偏离或保留而使其投标成为实质性响应的投标。</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25.4评委会将对确定为实质性响应的投标进行进一步审核，确定其是否有计算上或累加上的算术错误，修正错误的原则如下：</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（1）投标文件中开标一览表内容与投标文件中相应内容不一致的，以开标一览表为准。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3" w:name="_Toc16938550"/>
      <w:r/>
      <w:bookmarkStart w:id="154" w:name="_Toc513029234"/>
      <w:r/>
      <w:bookmarkStart w:id="155" w:name="_Toc20823306"/>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投标人在开、评标全过程中应保持通讯畅通，及时登录苏采云系统查阅、答复相关信息，并安排专人与</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采购人及评标委员会联系。</w:t>
      </w:r>
      <w:bookmarkEnd w:id="153"/>
      <w:r/>
      <w:bookmarkEnd w:id="154"/>
      <w:r/>
      <w:bookmarkEnd w:id="155"/>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26、无效投标条款和废标条款</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6" w:name="_Toc20823307"/>
      <w:r/>
      <w:bookmarkStart w:id="157" w:name="_Toc513029235"/>
      <w:r/>
      <w:bookmarkStart w:id="158" w:name="_Toc16938551"/>
      <w:r>
        <w:rPr>
          <w:rFonts w:hint="eastAsia" w:ascii="宋体" w:hAnsi="宋体" w:eastAsia="宋体" w:cs="宋体"/>
          <w:color w:val="auto"/>
          <w:sz w:val="24"/>
          <w:szCs w:val="24"/>
        </w:rPr>
        <w:t xml:space="preserve">26.1无效投标条款</w:t>
      </w:r>
      <w:bookmarkEnd w:id="156"/>
      <w:r/>
      <w:bookmarkEnd w:id="157"/>
      <w:r/>
      <w:bookmarkEnd w:id="158"/>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.1 投标人在苏采云系统规定的时间内未成功解密电子投标文件的。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.2 投标人未按照招标文件要求上传电子投标文件的。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同一投标人投标人递交两份或多份内容不同的投标文件，或在一份投标文件中对同一采购项目报有两个或多个报价，且未声明哪一个有效，按招标文件规定提交备选方案的除外。</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 </w:t>
      </w:r>
      <w:r>
        <w:rPr>
          <w:rFonts w:hint="eastAsia" w:ascii="宋体" w:hAnsi="宋体" w:eastAsia="宋体" w:cs="宋体"/>
          <w:color w:val="auto"/>
          <w:sz w:val="24"/>
          <w:szCs w:val="24"/>
        </w:rPr>
        <w:t xml:space="preserve">投标人不具备招标文件中规定资格要求的。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 </w:t>
      </w:r>
      <w:r>
        <w:rPr>
          <w:rFonts w:hint="eastAsia" w:ascii="宋体" w:hAnsi="宋体" w:eastAsia="宋体" w:cs="宋体"/>
          <w:color w:val="auto"/>
          <w:sz w:val="24"/>
          <w:szCs w:val="24"/>
        </w:rPr>
        <w:t xml:space="preserve">投标人的报价超过了采购预算或最高限价的。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lang w:val="en-US" w:eastAsia="zh-CN"/>
        </w:rPr>
        <w:t xml:space="preserve">.7 被授权人无法提供证明其为本单位正式职工的社会养老保险缴费证明的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26.1.8 由被授权人参加，但未随投标文件一起提交合法、有效的“授权委托书”的；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9 投标文件内容不全或关键字迹模糊、无法辨认的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10投标文件修改处未加盖投标人公章的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未通过符合性审查的。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不符合招标文件中规定的实质性要求和条件的</w:t>
      </w:r>
      <w:r>
        <w:rPr>
          <w:rFonts w:hint="eastAsia" w:ascii="宋体" w:hAnsi="宋体" w:eastAsia="宋体" w:cs="宋体"/>
          <w:b/>
          <w:bCs/>
          <w:color w:val="auto"/>
          <w:sz w:val="24"/>
          <w:szCs w:val="24"/>
        </w:rPr>
        <w:t xml:space="preserve">（</w:t>
      </w:r>
      <w:r>
        <w:rPr>
          <w:rFonts w:hint="eastAsia" w:ascii="宋体" w:hAnsi="宋体" w:eastAsia="宋体" w:cs="宋体"/>
          <w:b/>
          <w:bCs/>
          <w:i/>
          <w:color w:val="auto"/>
          <w:sz w:val="24"/>
          <w:szCs w:val="24"/>
          <w:u w:val="single"/>
        </w:rPr>
        <w:t xml:space="preserve">本招标文件中斜体且有下划线部分为实质性要求和条件）。</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投标文件含有采购人不能接受的附加条件的。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ascii="宋体" w:hAnsi="宋体" w:eastAsia="宋体" w:cs="宋体"/>
          <w:color w:val="auto"/>
          <w:sz w:val="24"/>
          <w:szCs w:val="24"/>
          <w:lang w:val="en-US" w:eastAsia="zh-CN"/>
        </w:rPr>
        <w:t xml:space="preserve">或虽说明理由但评标委员会认为其理由不能成立的</w:t>
      </w:r>
      <w:r>
        <w:rPr>
          <w:rFonts w:hint="eastAsia" w:ascii="宋体" w:hAnsi="宋体" w:eastAsia="宋体" w:cs="宋体"/>
          <w:color w:val="auto"/>
          <w:sz w:val="24"/>
          <w:szCs w:val="24"/>
        </w:rPr>
        <w:t xml:space="preserve">。</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26.1.16投标文件中所供产品供货期限（服务周期）、售后服务条款不符合招标文件相关条款要求或技术指标要求、货物的包装方式、检验标准等低于招标文件规定指标、要求的；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26.1.17以他人的名义投标、串通投标、以行贿手段谋取中标或者以其他弄虚作假方式投标的；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26.1.18组成联合体，投标文件未附联合体协议的。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26.1.19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26.1.20投标文件未按照招标文件要求签署或加盖CA电子公章的。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26.1.21</w:t>
      </w:r>
      <w:r>
        <w:rPr>
          <w:rFonts w:hint="eastAsia" w:ascii="宋体" w:hAnsi="宋体" w:eastAsia="宋体" w:cs="宋体"/>
          <w:color w:val="auto"/>
          <w:sz w:val="24"/>
          <w:szCs w:val="24"/>
        </w:rPr>
        <w:t xml:space="preserve">其他法律、法规及本招标文件规定的属无效投标的情形。</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26.2废标条款</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26.2.1符合专业条件的供应商或者对招标文件作实质响应的供应商不足三家的。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26.2.2出现影响采购公正的违法、违规行为的。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26.2.3因重大变故，采购任务取消的。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26.2.4评标委员会认定招标文件存在歧义、重大缺陷导致评审工作无法进行。</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26.2.5因苏采云系统系统故障原因造成开标不成功的。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26.3投标截止时间结束后参加投标的供应商不足三家的处理：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26.3.1如出现投标截止时间结束后参加投标的供应商或者在评标期间对招标文件做出实质响应的供应商不足三家情况，按政府采购相关规定执行。</w:t>
      </w:r>
      <w:r/>
    </w:p>
    <w:p>
      <w:pPr>
        <w:pStyle w:val="877"/>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159" w:name="_Toc120614219"/>
      <w:r>
        <w:rPr>
          <w:rFonts w:hint="eastAsia" w:ascii="宋体" w:hAnsi="宋体" w:eastAsia="宋体" w:cs="宋体"/>
          <w:b/>
          <w:color w:val="auto"/>
          <w:sz w:val="24"/>
          <w:szCs w:val="24"/>
        </w:rPr>
        <w:t xml:space="preserve">六、定标</w:t>
      </w:r>
      <w:bookmarkEnd w:id="159"/>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0" w:name="_Toc20823310"/>
      <w:r/>
      <w:bookmarkStart w:id="161" w:name="_Toc513029238"/>
      <w:r/>
      <w:bookmarkStart w:id="162" w:name="_Toc16938554"/>
      <w:r>
        <w:rPr>
          <w:rFonts w:hint="eastAsia" w:ascii="宋体" w:hAnsi="宋体" w:eastAsia="宋体" w:cs="宋体"/>
          <w:color w:val="auto"/>
          <w:sz w:val="24"/>
          <w:szCs w:val="24"/>
        </w:rPr>
        <w:t xml:space="preserve">27、</w:t>
      </w:r>
      <w:bookmarkEnd w:id="160"/>
      <w:r>
        <w:rPr>
          <w:rFonts w:hint="eastAsia" w:ascii="宋体" w:hAnsi="宋体" w:eastAsia="宋体" w:cs="宋体"/>
          <w:color w:val="auto"/>
          <w:sz w:val="24"/>
          <w:szCs w:val="24"/>
        </w:rPr>
        <w:t xml:space="preserve">确定</w:t>
      </w:r>
      <w:bookmarkEnd w:id="161"/>
      <w:r/>
      <w:bookmarkEnd w:id="162"/>
      <w:r>
        <w:rPr>
          <w:rFonts w:hint="eastAsia" w:ascii="宋体" w:hAnsi="宋体" w:eastAsia="宋体" w:cs="宋体"/>
          <w:color w:val="auto"/>
          <w:sz w:val="24"/>
          <w:szCs w:val="24"/>
        </w:rPr>
        <w:t xml:space="preserve">中标单位</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27.1中标候选人的选取原则和数量见招标文件第五章规定。</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27.2采购人应根据评委会推荐的中标候选人确定中标人。</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27.3</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“江苏政府采购网”、“盐城市政府采购网”发布中标公告，公告期限为1个工作日。</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27.4若有充分证据证明，中标人出现下列情况之一的，一经查实，将被取消中标资格：</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27.4.1提供虚假材料谋取中标的。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27.4.2向</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采购人行贿或者提供其他不正当利益的。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27.4.3属于本文件规定的无效条件，但在评标过程中又未被评委会发现的。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27.4.4与采购人或者其他供应商恶意串通的。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27.4.5采取不正当手段诋毁、排挤其他供应商的。</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3" w:name="_Toc200451960"/>
      <w:r>
        <w:rPr>
          <w:rFonts w:hint="eastAsia" w:ascii="宋体" w:hAnsi="宋体" w:eastAsia="宋体" w:cs="宋体"/>
          <w:color w:val="auto"/>
          <w:sz w:val="24"/>
          <w:szCs w:val="24"/>
        </w:rPr>
        <w:t xml:space="preserve">27.5有下列情形之一的，视为投标人串通投标，投标无效：</w:t>
      </w:r>
      <w:bookmarkEnd w:id="163"/>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27.5.1不同投标人的投标文件由同一单位或者个人编制。</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27.5.2不同投标人委托同一单位或者个人办理投标事宜。</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27.5.3不同投标人的投标文件载明的项目管理成员或者联系人员为同一人。</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27.5.4不同投标人的投标文件异常一致或者投标报价呈规律性差异。</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28、质疑处理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28.1提出质疑的供应商应当是参与所质疑项目采购活动的供应商。潜在供应商依法获取其可质疑的采购文件的，可以对采购文件提出质疑。</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提出质疑。上述应知其权益受到损害之日，是指：</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28.2.1对可以质疑的采购文件提出质疑的，为收到采购文件之日或者采购文件公告期限届满之日；</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28.2.2对采购过程提出质疑的，为各采购程序环节结束之日；</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28.2.3对中标或者成交结果提出质疑的，为中标或者成交结果公告期限届满之日。</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将只对供应商第一次质疑作出答复。</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采购人及采购代理机构只接收以纸质原件形式送达的质疑,采购人和采购代理机构不接受未填写快递运单的快件。</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质疑受理部门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盐城市东台生态环境局         </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联系地址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东台市金海东路1号         </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0515-85222296</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28.5以下情形的质疑不予受理</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28.5.1内容不符合《政府采购质疑和投诉办法》第十二条规定的质疑。</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28.5.2超出政府采购法定期限的质疑。</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28.5.3以传真、电子邮件等方式递交的非原件形式的质疑。</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28.5.4未参加投标活动的供应商或在投标活动中自身权益未受到损害的供应商所提出的质疑。</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28.5.5供应商组成联合体参加投标，联合体中任何一方或多方未按要求签字、盖章、加盖公章的质疑。</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29、中标通知书</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29.l中标结果确定后，</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rPr>
        <w:t xml:space="preserve">将向中标人发出中标通知书。请中标人在中标结果公告届满之日起30日内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因未及时下载而造成的不利后果由中标人自行承担。</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7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bookmarkStart w:id="164" w:name="_Toc120614220"/>
      <w:r/>
      <w:bookmarkStart w:id="165" w:name="_Toc20823308"/>
      <w:r/>
      <w:bookmarkStart w:id="166" w:name="_Toc513029236"/>
      <w:r/>
      <w:bookmarkStart w:id="167" w:name="_Toc16938552"/>
      <w:r>
        <w:rPr>
          <w:rFonts w:hint="eastAsia" w:ascii="宋体" w:hAnsi="宋体" w:eastAsia="宋体" w:cs="宋体"/>
          <w:color w:val="auto"/>
          <w:sz w:val="24"/>
          <w:szCs w:val="24"/>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bookmarkEnd w:id="164"/>
      <w:r/>
      <w:bookmarkEnd w:id="165"/>
      <w:r/>
      <w:bookmarkEnd w:id="166"/>
      <w:r/>
      <w:bookmarkEnd w:id="167"/>
      <w:r/>
      <w:r/>
    </w:p>
    <w:p>
      <w:pPr>
        <w:pStyle w:val="877"/>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七、授予合同</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rPr>
      </w:pPr>
      <w:r/>
      <w:bookmarkStart w:id="168" w:name="_Toc513029237"/>
      <w:r/>
      <w:bookmarkStart w:id="169" w:name="_Toc16938553"/>
      <w:r/>
      <w:bookmarkStart w:id="170" w:name="_Toc20823309"/>
      <w:r>
        <w:rPr>
          <w:rFonts w:hint="eastAsia" w:ascii="宋体" w:hAnsi="宋体" w:eastAsia="宋体" w:cs="宋体"/>
          <w:color w:val="000000"/>
          <w:sz w:val="24"/>
          <w:szCs w:val="24"/>
        </w:rPr>
        <w:t xml:space="preserve">30.签订合同</w:t>
      </w:r>
      <w:bookmarkEnd w:id="168"/>
      <w:r/>
      <w:bookmarkEnd w:id="169"/>
      <w:r/>
      <w:bookmarkEnd w:id="170"/>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lang w:val="en-US" w:eastAsia="zh-CN"/>
        </w:rPr>
        <w:t xml:space="preserve">所签订的合同不得对招标文件确定的事项和中标人投标文件作实质性修改。招标文件、中标人的投标文件及其澄清文件等均作为签订合同的依据。</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31、服务（包含与服务相关的货物）的追加</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000000"/>
          <w:sz w:val="24"/>
          <w:szCs w:val="24"/>
          <w:lang w:eastAsia="zh-CN"/>
        </w:rPr>
        <w:t xml:space="preserve">额的</w:t>
      </w:r>
      <w:r>
        <w:rPr>
          <w:rFonts w:hint="eastAsia" w:ascii="宋体" w:hAnsi="宋体" w:eastAsia="宋体" w:cs="宋体"/>
          <w:color w:val="000000"/>
          <w:sz w:val="24"/>
          <w:szCs w:val="24"/>
        </w:rPr>
        <w:t xml:space="preserve">10%。</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32.政府采购政策功能落实</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32.1政府采购线上合同信用融资政策</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32.2进口产品</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32.3中小企业、监狱企业及残疾人福利性单位</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32.3.1中小企业定义：</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中小企业是</w:t>
      </w:r>
      <w:r>
        <w:rPr>
          <w:rFonts w:hint="eastAsia" w:ascii="宋体" w:hAnsi="宋体" w:eastAsia="宋体" w:cs="宋体"/>
          <w:color w:val="000000"/>
          <w:sz w:val="24"/>
          <w:szCs w:val="24"/>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32.3.2供应商提供的货物、工程或者服务符合下列情形的，享受中小企业扶持政策：</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32.3.2.1在货物采购项目中，货物由中小企业制造，即货物由中小企业生产且使用该中小企业商号或者注册商标；</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32.3.2.2在工程采购项目中，工程由中小企业承建，即工程施工单位为中小企业；</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32.3.2.3在服务采购项目中，服务由中小企业承接，即提供服务的人员为中小企业依照《中华人民共和国劳动合同法》订立劳动合同的从业人员。</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32.3.3在货物采购项目中，供应商提供的货物既有中小企业制造货物，也有大型企业制造货物的，不享受中小企业扶持政策。</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32.3.4以联合体形式参加政府采购活动，联合体各方均为中小企业的，联合体视同中小企业。其中，联合体各方均为小微企业的，联合体视同小微企业。</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32.3.6残疾人福利单位定义：享受政府采购支持政策的残疾人福利性单位应当同时满足以下条件：</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32.3.6.1安置的残疾人占本单位在职职工人数的比例不低于25%（含25%），并且安置的残疾人人数不少于10 人（含10 人）；</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32.3.6.2依法与安置的每位残疾人签订了一年以上（含一年）的劳动合同或服务协议；</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32.3.6.3为安置的每位残疾人按月足额缴纳了基本养老保险、基本医疗保险、失业保险、工伤保险和生育保险等社会保险费；</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32.3.6.4通过银行等金融机构向安置的每位残疾人，按月支付了不低于单位所在区县适用的经省级人民政府批准的月最低工资标准的工资；</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32.3.7本项目是否专门面向中小企业预留采购份额见第一章《招标公告》。</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32.3.8采购标的对应的中小企业划分标准所属行业见第四章《采购需求》。</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32.3.9小微企业价格评审优惠的政策：见第五章《评标方法和评标标准》。</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32.4政府采购节能产品、环境标志产品</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000000"/>
          <w:sz w:val="24"/>
          <w:szCs w:val="24"/>
          <w:lang w:val="en-US" w:eastAsia="zh-CN"/>
        </w:rPr>
        <w:t xml:space="preserve">其他条件相同情况下，应当优先采购节能产品、环境标志产品。</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32.5绿色包装</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32.6政府采购创新产品</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采购人优先采购各级政府部门公开发布的有效期内的创新产品、创新服务、首台套、首购首用等《目录》的创新产品。</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32.7绿色数据中心政策 </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32.8履约保证金政策</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确需收取履约保证金的，履约保证金的缴纳形式：</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如以履约保函（保险）形式缴纳履约保证金，供应商可通过政府采购电子履约保函（保险）平台（www.jsdzbh.com）在线申请履约保函（保险）。</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 预付款制度</w:t>
      </w:r>
      <w:r/>
    </w:p>
    <w:p>
      <w:pPr>
        <w:pStyle w:val="87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本项目落实预付款制度，预付款比例为</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lang w:val="en-US" w:eastAsia="zh-CN"/>
        </w:rPr>
        <w:t xml:space="preserve">%。在签订合同时，中标、成交供应商明确书面表示无需预付款或者主动要求降低预付款比例的，采购人可就预付款比例作相应调整。</w:t>
      </w:r>
      <w:r/>
    </w:p>
    <w:p>
      <w:pPr>
        <w:pStyle w:val="877"/>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ascii="黑体" w:hAnsi="宋体" w:eastAsia="黑体" w:cs="黑体"/>
          <w:color w:val="000000"/>
          <w:sz w:val="44"/>
          <w:szCs w:val="44"/>
        </w:rPr>
      </w:pPr>
      <w:r>
        <w:t xml:space="preserve"> </w:t>
      </w:r>
      <w:r/>
    </w:p>
    <w:p>
      <w:pPr>
        <w:rPr>
          <w:rFonts w:hint="eastAsia" w:ascii="黑体" w:hAnsi="黑体" w:eastAsia="黑体" w:cs="黑体"/>
          <w:color w:val="000000"/>
          <w:sz w:val="44"/>
          <w:szCs w:val="44"/>
          <w:lang w:val="en-US" w:eastAsia="zh-CN"/>
        </w:rPr>
      </w:pPr>
      <w:r>
        <w:rPr>
          <w:rFonts w:hint="eastAsia" w:ascii="黑体" w:hAnsi="黑体" w:eastAsia="黑体" w:cs="黑体"/>
          <w:color w:val="000000"/>
          <w:sz w:val="44"/>
          <w:szCs w:val="44"/>
          <w:lang w:val="en-US" w:eastAsia="zh-CN"/>
        </w:rPr>
        <w:br w:type="page" w:clear="all"/>
      </w:r>
      <w:r/>
    </w:p>
    <w:p>
      <w:pPr>
        <w:pStyle w:val="877"/>
        <w:ind w:right="840"/>
        <w:jc w:val="center"/>
        <w:spacing w:beforeAutospacing="0" w:afterAutospacing="0"/>
        <w:rPr>
          <w:rFonts w:hint="eastAsia" w:ascii="黑体" w:hAnsi="黑体" w:eastAsia="黑体" w:cs="黑体"/>
          <w:color w:val="000000"/>
          <w:sz w:val="44"/>
          <w:szCs w:val="44"/>
          <w:lang w:val="en-US" w:eastAsia="zh-CN"/>
        </w:rPr>
      </w:pPr>
      <w:r>
        <w:rPr>
          <w:rFonts w:hint="eastAsia" w:ascii="黑体" w:hAnsi="黑体" w:eastAsia="黑体" w:cs="黑体"/>
          <w:color w:val="000000"/>
          <w:sz w:val="44"/>
          <w:szCs w:val="44"/>
          <w:lang w:val="en-US" w:eastAsia="zh-CN"/>
        </w:rPr>
        <w:t xml:space="preserve">第三章  合同条款</w:t>
      </w:r>
      <w:r/>
    </w:p>
    <w:p>
      <w:pPr>
        <w:pStyle w:val="869"/>
        <w:jc w:val="center"/>
        <w:spacing w:after="0"/>
        <w:rPr>
          <w:rFonts w:hint="eastAsia" w:ascii="宋体" w:hAnsi="宋体" w:cs="宋体"/>
          <w:b/>
          <w:bCs/>
          <w:spacing w:val="-20"/>
          <w:sz w:val="48"/>
          <w:szCs w:val="48"/>
        </w:rPr>
      </w:pPr>
      <w:r/>
      <w:bookmarkStart w:id="171" w:name="_Toc479757211"/>
      <w:r/>
      <w:bookmarkStart w:id="172" w:name="_Hlt16619350"/>
      <w:r/>
      <w:bookmarkStart w:id="173" w:name="_Toc16938590"/>
      <w:r/>
      <w:bookmarkStart w:id="174" w:name="_Toc20823346"/>
      <w:r/>
      <w:bookmarkStart w:id="175" w:name="_Toc462564139"/>
      <w:r/>
      <w:bookmarkStart w:id="176" w:name="_Toc120614244"/>
      <w:r/>
      <w:bookmarkStart w:id="177" w:name="_Hlt16619369"/>
      <w:r/>
      <w:r/>
    </w:p>
    <w:p>
      <w:pPr>
        <w:pStyle w:val="86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6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6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6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6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6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6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869"/>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lang w:eastAsia="zh-CN"/>
        </w:rPr>
        <w:t xml:space="preserve">盐城市东台生态环境局综合行政执法能力建设项目（采购包</w:t>
      </w:r>
      <w:r>
        <w:rPr>
          <w:rFonts w:hint="eastAsia"/>
          <w:sz w:val="32"/>
          <w:szCs w:val="32"/>
          <w:u w:val="single"/>
          <w:lang w:val="en-US" w:eastAsia="zh-CN"/>
        </w:rPr>
        <w:t xml:space="preserve">  </w:t>
      </w:r>
      <w:r>
        <w:rPr>
          <w:rFonts w:hint="eastAsia"/>
          <w:sz w:val="32"/>
          <w:szCs w:val="32"/>
          <w:u w:val="single"/>
          <w:lang w:eastAsia="zh-CN"/>
        </w:rPr>
        <w:t xml:space="preserve">）</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rFonts w:hint="eastAsia"/>
          <w:sz w:val="32"/>
          <w:szCs w:val="32"/>
          <w:u w:val="single"/>
          <w:lang w:eastAsia="zh-CN"/>
        </w:rPr>
        <w:t xml:space="preserve">盐城市东台生态环境局</w:t>
      </w:r>
      <w:r>
        <w:rPr>
          <w:rFonts w:hint="eastAsia"/>
          <w:sz w:val="32"/>
          <w:szCs w:val="32"/>
          <w:u w:val="single"/>
          <w:lang w:val="en-US" w:eastAsia="zh-CN"/>
        </w:rPr>
        <w:t xml:space="preserve">   </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rFonts w:hint="eastAsia"/>
          <w:sz w:val="32"/>
          <w:szCs w:val="32"/>
          <w:u w:val="single"/>
          <w:lang w:val="en-US" w:eastAsia="zh-CN"/>
        </w:rPr>
        <w:t xml:space="preserve">   2025年  月  日</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rPr>
          <w:rFonts w:hint="eastAsia" w:ascii="黑体" w:hAnsi="黑体" w:eastAsia="黑体"/>
          <w:sz w:val="28"/>
          <w:szCs w:val="28"/>
        </w:rPr>
      </w:pPr>
      <w:r>
        <w:rPr>
          <w:rFonts w:hint="eastAsia" w:ascii="黑体" w:hAnsi="黑体" w:eastAsia="黑体"/>
          <w:sz w:val="28"/>
          <w:szCs w:val="28"/>
        </w:rPr>
      </w:r>
      <w:r/>
    </w:p>
    <w:p>
      <w:pPr>
        <w:rPr>
          <w:rFonts w:hint="eastAsia" w:ascii="黑体" w:hAnsi="黑体" w:eastAsia="黑体"/>
          <w:sz w:val="28"/>
          <w:szCs w:val="28"/>
        </w:rPr>
      </w:pPr>
      <w:r>
        <w:rPr>
          <w:rFonts w:hint="eastAsia" w:ascii="黑体" w:hAnsi="黑体" w:eastAsia="黑体"/>
          <w:sz w:val="28"/>
          <w:szCs w:val="28"/>
        </w:rPr>
        <w:br w:type="page" w:clear="all"/>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sz w:val="24"/>
          <w:lang w:eastAsia="zh-CN"/>
        </w:rPr>
        <w:t xml:space="preserve">盐城市东台生态环境局</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rPr>
      </w:pPr>
      <w:r>
        <w:rPr>
          <w:rFonts w:hint="eastAsia" w:ascii="宋体" w:hAnsi="宋体"/>
          <w:sz w:val="24"/>
        </w:rPr>
        <w:t xml:space="preserve">采购项目名称：</w:t>
      </w:r>
      <w:r>
        <w:rPr>
          <w:rFonts w:hint="eastAsia" w:ascii="宋体" w:hAnsi="宋体"/>
          <w:sz w:val="24"/>
          <w:lang w:eastAsia="zh-CN"/>
        </w:rPr>
        <w:t xml:space="preserve">东台市功能区声环境质量自动站（点）建设项目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hint="eastAsia" w:ascii="宋体" w:hAnsi="宋体"/>
          <w:sz w:val="24"/>
          <w:lang w:val="en-US" w:eastAsia="zh-CN"/>
        </w:rPr>
        <w:t xml:space="preserve">详见投标（响应）文件</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w:t>
      </w:r>
      <w:r>
        <w:rPr>
          <w:rFonts w:hint="eastAsia" w:ascii="宋体" w:hAnsi="宋体" w:cs="宋体"/>
          <w:sz w:val="24"/>
          <w:lang w:val="en-US" w:eastAsia="zh-CN"/>
        </w:rPr>
        <w:t xml:space="preserve">详见投标（响应）文件  </w:t>
      </w:r>
      <w:r>
        <w:rPr>
          <w:rFonts w:hint="eastAsia" w:ascii="宋体" w:hAnsi="宋体" w:cs="宋体"/>
          <w:sz w:val="24"/>
        </w:rPr>
        <w:t xml:space="preserve">规格型号：</w:t>
      </w:r>
      <w:r>
        <w:rPr>
          <w:rFonts w:hint="eastAsia" w:ascii="宋体" w:hAnsi="宋体" w:cs="宋体"/>
          <w:sz w:val="24"/>
          <w:lang w:val="en-US" w:eastAsia="zh-CN"/>
        </w:rPr>
        <w:t xml:space="preserve">详见投标（响应）文件</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numPr>
          <w:ilvl w:val="255"/>
          <w:numId w:val="0"/>
        </w:numPr>
        <w:ind w:firstLine="48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ascii="宋体" w:hAnsi="宋体"/>
          <w:sz w:val="24"/>
          <w:u w:val="single"/>
        </w:rPr>
      </w:pPr>
      <w:r>
        <w:rPr>
          <w:rFonts w:hint="eastAsia" w:ascii="宋体" w:hAnsi="宋体"/>
          <w:sz w:val="24"/>
        </w:rPr>
        <w:t xml:space="preserve">分包主要内容：</w:t>
      </w:r>
      <w:r/>
    </w:p>
    <w:p>
      <w:pPr>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960"/>
        <w:spacing w:line="360" w:lineRule="auto"/>
        <w:rPr>
          <w:rFonts w:ascii="宋体" w:hAnsi="宋体"/>
          <w:sz w:val="24"/>
        </w:rPr>
      </w:pPr>
      <w:r>
        <w:rPr>
          <w:rFonts w:ascii="Wingdings" w:hAnsi="Wingdings" w:eastAsia="Wingdings" w:cs="Wingdings"/>
          <w:sz w:val="24"/>
        </w:rPr>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þ</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 （2）付款方式：</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具体详见专用条款第二节第12.2款</w:t>
      </w:r>
      <w:r>
        <w:rPr>
          <w:rFonts w:hint="eastAsia" w:ascii="宋体" w:hAnsi="宋体"/>
          <w:szCs w:val="21"/>
          <w:u w:val="none"/>
        </w:rPr>
        <w:t xml:space="preserve">，其中涉及预付款的：</w:t>
      </w:r>
      <w:r>
        <w:rPr>
          <w:rFonts w:hint="eastAsia" w:ascii="宋体" w:hAnsi="宋体"/>
          <w:szCs w:val="21"/>
          <w:u w:val="single"/>
        </w:rPr>
        <w:t xml:space="preserve">（具体详见专用条款第二节第12.2款）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同专用条款 第二节 第23.1款 </w:t>
      </w:r>
      <w:r>
        <w:rPr>
          <w:rFonts w:hint="eastAsia" w:ascii="宋体" w:hAnsi="宋体" w:cs="宋体"/>
          <w:bCs/>
          <w:sz w:val="24"/>
        </w:rPr>
        <w:t xml:space="preserve">  </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p>
    <w:p>
      <w:pPr>
        <w:ind w:firstLine="480"/>
        <w:spacing w:line="360" w:lineRule="auto"/>
        <w:rPr>
          <w:rFonts w:hint="eastAsia" w:ascii="宋体" w:hAnsi="宋体" w:cs="宋体"/>
          <w:bCs/>
          <w:sz w:val="24"/>
          <w:u w:val="single"/>
        </w:rPr>
      </w:pPr>
      <w:r>
        <w:rPr>
          <w:rFonts w:hint="eastAsia" w:ascii="宋体" w:hAnsi="宋体" w:cs="宋体"/>
          <w:bCs/>
          <w:sz w:val="24"/>
          <w:u w:val="single"/>
          <w:lang w:val="en-US" w:eastAsia="zh-CN"/>
        </w:rPr>
        <w:t xml:space="preserve">1.</w:t>
      </w:r>
      <w:r>
        <w:rPr>
          <w:rFonts w:hint="eastAsia" w:ascii="宋体" w:hAnsi="宋体" w:cs="宋体"/>
          <w:bCs/>
          <w:sz w:val="24"/>
          <w:u w:val="single"/>
        </w:rPr>
        <w:t xml:space="preserve">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cs="宋体"/>
          <w:bCs/>
          <w:sz w:val="24"/>
          <w:u w:val="single"/>
          <w:lang w:val="en-US" w:eastAsia="zh-CN"/>
        </w:rPr>
        <w:t xml:space="preserve"> 否 </w:t>
      </w:r>
      <w:r>
        <w:rPr>
          <w:rFonts w:hint="eastAsia" w:ascii="宋体" w:hAnsi="宋体" w:cs="宋体"/>
          <w:bCs/>
          <w:sz w:val="24"/>
          <w:u w:val="single"/>
        </w:rPr>
        <w:t xml:space="preserve">免收 ，降低履约保证金缴纳比例 </w:t>
      </w:r>
      <w:r>
        <w:rPr>
          <w:rFonts w:hint="eastAsia" w:ascii="宋体" w:hAnsi="宋体" w:cs="宋体"/>
          <w:bCs/>
          <w:sz w:val="24"/>
          <w:u w:val="single"/>
          <w:lang w:val="en-US" w:eastAsia="zh-CN"/>
        </w:rPr>
        <w:t xml:space="preserve">5</w:t>
      </w:r>
      <w:r>
        <w:rPr>
          <w:rFonts w:hint="eastAsia" w:ascii="宋体" w:hAnsi="宋体" w:cs="宋体"/>
          <w:bCs/>
          <w:sz w:val="24"/>
          <w:u w:val="single"/>
        </w:rPr>
        <w:t xml:space="preserve">0% 。</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2合同履行结束后，甲方应及时退还交纳的履约保证金。</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3履约保证金的退还：</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3.1方式：无息退还至投标人缴纳履约保证金的账户。如为保函，在到期时自行失效。</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3.2时间：验收合格且甲方收到发票后30日内。</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3.3条件：按合同要求全部履约完成并经采购人验收合格，且采购人收到中标人出具的发票。</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4不予退还情形：</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（2）中标人不履行与采购人订立的合同的；</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（3）中标人所供货物或服务不符合招标文件规定要求的；</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（4）中标人采取欺骗、弄虚作假方式投标的或与其它投标人串通投标的；</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（5）中标人将合同内容转包、违法分包的；</w:t>
      </w:r>
      <w:r/>
    </w:p>
    <w:p>
      <w:pPr>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（6）中标人故意捏造事实或伪造证明材料，进行虚假恶意投诉或反映的。</w:t>
      </w:r>
      <w:r/>
    </w:p>
    <w:p>
      <w:pPr>
        <w:ind w:firstLine="480"/>
        <w:spacing w:line="360" w:lineRule="auto"/>
        <w:rPr>
          <w:rFonts w:ascii="宋体" w:hAnsi="宋体" w:cs="宋体"/>
          <w:sz w:val="24"/>
        </w:rPr>
      </w:pPr>
      <w:r>
        <w:rPr>
          <w:rFonts w:hint="eastAsia" w:ascii="宋体" w:hAnsi="宋体" w:cs="宋体"/>
          <w:bCs/>
          <w:sz w:val="24"/>
          <w:u w:val="single"/>
          <w:lang w:val="en-US" w:eastAsia="zh-CN"/>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lang w:val="en-US" w:eastAsia="zh-CN"/>
        </w:rPr>
        <w:t xml:space="preserve">中标</w:t>
      </w:r>
      <w:r>
        <w:rPr>
          <w:rFonts w:hint="eastAsia" w:ascii="宋体" w:hAnsi="宋体" w:cs="宋体"/>
          <w:bCs/>
          <w:sz w:val="24"/>
          <w:u w:val="single"/>
        </w:rPr>
        <w:t xml:space="preserve">金额的10%</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rPr>
      </w:pPr>
      <w:r>
        <w:rPr>
          <w:rFonts w:hint="eastAsia" w:ascii="宋体" w:hAnsi="宋体" w:cs="宋体"/>
          <w:sz w:val="24"/>
        </w:rPr>
        <w:t xml:space="preserve">     履约担保期限：</w:t>
      </w:r>
      <w:r>
        <w:rPr>
          <w:rFonts w:hint="eastAsia" w:ascii="宋体" w:hAnsi="宋体" w:cs="宋体"/>
          <w:bCs/>
          <w:sz w:val="24"/>
          <w:u w:val="single"/>
        </w:rPr>
        <w:t xml:space="preserve">合同履行</w:t>
      </w:r>
      <w:r>
        <w:rPr>
          <w:rFonts w:hint="eastAsia" w:ascii="宋体" w:hAnsi="宋体" w:cs="宋体"/>
          <w:bCs/>
          <w:sz w:val="24"/>
          <w:u w:val="single"/>
          <w:lang w:val="en-US" w:eastAsia="zh-CN"/>
        </w:rPr>
        <w:t xml:space="preserve">期限内</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）分期履行要求：</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lang w:val="en-US" w:eastAsia="zh-CN"/>
        </w:rPr>
        <w:t xml:space="preserve">5</w:t>
      </w:r>
      <w:r>
        <w:rPr>
          <w:rFonts w:hint="eastAsia" w:ascii="宋体" w:hAnsi="宋体" w:cs="宋体"/>
          <w:bCs/>
          <w:sz w:val="24"/>
        </w:rPr>
        <w:t xml:space="preserve">）风险处置措施和替代方案：</w:t>
      </w:r>
      <w:r/>
    </w:p>
    <w:p>
      <w:pPr>
        <w:numPr>
          <w:ilvl w:val="0"/>
          <w:numId w:val="1"/>
        </w:numPr>
        <w:ind w:firstLine="482"/>
        <w:spacing w:line="360" w:lineRule="auto"/>
        <w:rPr>
          <w:rFonts w:ascii="宋体" w:hAnsi="宋体"/>
          <w:b/>
          <w:sz w:val="24"/>
        </w:rPr>
      </w:pPr>
      <w:r>
        <w:rPr>
          <w:rFonts w:hint="eastAsia" w:ascii="宋体" w:hAnsi="宋体"/>
          <w:b/>
          <w:sz w:val="24"/>
        </w:rPr>
        <w:t xml:space="preserve">合同验收</w:t>
      </w:r>
      <w:r/>
    </w:p>
    <w:p>
      <w:pPr>
        <w:numPr>
          <w:ilvl w:val="0"/>
          <w:numId w:val="2"/>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bCs/>
          <w:sz w:val="24"/>
          <w:u w:val="single"/>
          <w:lang w:eastAsia="zh-CN"/>
        </w:rPr>
        <w:t xml:space="preserve">盐城市东台生态环境局</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（供应商提出验收申请之日起</w:t>
      </w:r>
      <w:r>
        <w:rPr>
          <w:rFonts w:hint="eastAsia" w:ascii="宋体" w:hAnsi="宋体"/>
          <w:bCs/>
          <w:sz w:val="24"/>
          <w:u w:val="single"/>
          <w:lang w:val="en-US" w:eastAsia="zh-CN"/>
        </w:rPr>
        <w:t xml:space="preserve">30</w:t>
      </w:r>
      <w:r>
        <w:rPr>
          <w:rFonts w:hint="eastAsia" w:ascii="宋体" w:hAnsi="宋体"/>
          <w:bCs/>
          <w:sz w:val="24"/>
          <w:u w:val="single"/>
        </w:rPr>
        <w:t xml:space="preserve">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lang w:eastAsia="zh-CN"/>
        </w:rPr>
        <w:t xml:space="preserve">供应商负责编制验收报告，提交甲方，</w:t>
      </w:r>
      <w:r>
        <w:rPr>
          <w:rFonts w:hint="eastAsia" w:ascii="宋体" w:hAnsi="宋体"/>
          <w:bCs/>
          <w:sz w:val="24"/>
          <w:u w:val="single"/>
        </w:rPr>
        <w:t xml:space="preserve">甲方依法组织履约验收工作。</w:t>
      </w:r>
      <w:r>
        <w:rPr>
          <w:rFonts w:hint="eastAsia" w:ascii="宋体" w:hAnsi="宋体"/>
          <w:bCs/>
          <w:sz w:val="24"/>
          <w:u w:val="single"/>
          <w:lang w:eastAsia="zh-CN"/>
        </w:rPr>
        <w:t xml:space="preserve">由办公室组织，监测站领导、业务科室、专家参与，共同对项目进行验收，并由甲乙双方共同签署验收意见书。</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w:t>
      </w:r>
      <w:r>
        <w:rPr>
          <w:rFonts w:hint="eastAsia" w:ascii="宋体" w:hAnsi="宋体"/>
          <w:color w:val="auto"/>
          <w:sz w:val="24"/>
          <w:u w:val="single"/>
        </w:rPr>
        <w:t xml:space="preserve">型号、规格、数量、外观是否完好，安装调试是否合格</w:t>
      </w:r>
      <w:r>
        <w:rPr>
          <w:rFonts w:hint="eastAsia" w:ascii="宋体" w:hAnsi="宋体"/>
          <w:color w:val="auto"/>
          <w:sz w:val="24"/>
          <w:u w:val="single"/>
          <w:lang w:eastAsia="zh-CN"/>
        </w:rPr>
        <w:t xml:space="preserve">、</w:t>
      </w:r>
      <w:r>
        <w:rPr>
          <w:rFonts w:hint="eastAsia" w:ascii="宋体" w:hAnsi="宋体"/>
          <w:color w:val="auto"/>
          <w:sz w:val="24"/>
          <w:u w:val="single"/>
        </w:rPr>
        <w:t xml:space="preserve">使用状况</w:t>
      </w:r>
      <w:r>
        <w:rPr>
          <w:rFonts w:hint="eastAsia" w:ascii="宋体" w:hAnsi="宋体"/>
          <w:color w:val="auto"/>
          <w:sz w:val="24"/>
          <w:u w:val="single"/>
          <w:lang w:eastAsia="zh-CN"/>
        </w:rPr>
        <w:t xml:space="preserve">、培训情况</w:t>
      </w:r>
      <w:r>
        <w:rPr>
          <w:rFonts w:hint="eastAsia" w:ascii="宋体" w:hAnsi="宋体"/>
          <w:color w:val="auto"/>
          <w:sz w:val="24"/>
          <w:u w:val="single"/>
        </w:rPr>
        <w:t xml:space="preserve">等</w:t>
      </w:r>
      <w:r>
        <w:rPr>
          <w:rFonts w:hint="eastAsia" w:ascii="宋体" w:hAnsi="宋体"/>
          <w:bCs/>
          <w:sz w:val="24"/>
          <w:u w:val="single"/>
          <w:lang w:eastAsia="zh-CN"/>
        </w:rPr>
        <w:t xml:space="preserve">。</w:t>
      </w:r>
      <w:r>
        <w:rPr>
          <w:rFonts w:hint="eastAsia" w:ascii="宋体" w:hAnsi="宋体"/>
          <w:bCs/>
          <w:sz w:val="24"/>
          <w:u w:val="single"/>
        </w:rPr>
        <w:t xml:space="preserve">）</w:t>
      </w:r>
      <w:r/>
    </w:p>
    <w:p>
      <w:pPr>
        <w:ind w:firstLine="480"/>
        <w:spacing w:line="360" w:lineRule="auto"/>
        <w:rPr>
          <w:rFonts w:hint="eastAsia" w:ascii="宋体" w:hAnsi="宋体" w:eastAsiaTheme="minorEastAsia"/>
          <w:bCs/>
          <w:sz w:val="24"/>
          <w:u w:val="single"/>
          <w:lang w:eastAsia="zh-CN"/>
        </w:rPr>
      </w:pPr>
      <w:r>
        <w:rPr>
          <w:rFonts w:hint="eastAsia" w:ascii="宋体" w:hAnsi="宋体"/>
          <w:bCs/>
          <w:sz w:val="24"/>
        </w:rPr>
        <w:t xml:space="preserve">（6）履约验收标准：</w:t>
      </w:r>
      <w:r>
        <w:rPr>
          <w:rFonts w:hint="eastAsia" w:ascii="宋体" w:hAnsi="宋体"/>
          <w:color w:val="auto"/>
          <w:sz w:val="24"/>
          <w:u w:val="single"/>
          <w:lang w:val="en-US" w:eastAsia="zh-CN"/>
        </w:rPr>
        <w:t xml:space="preserve">①符合中华人民共和国国家安全质量标准、环保标准或行业技术规范标准等；②符合招标文件和响应承诺采购人认可的合理最佳配置、参数及各项要求；③货物来源为官方标准。上述标准必须是有关官方机构发布的最新版本的标准，</w:t>
      </w:r>
      <w:r>
        <w:rPr>
          <w:rFonts w:hint="eastAsia" w:ascii="宋体" w:hAnsi="宋体"/>
          <w:color w:val="auto"/>
          <w:sz w:val="24"/>
          <w:u w:val="single"/>
          <w:lang w:eastAsia="zh-CN"/>
        </w:rPr>
        <w:t xml:space="preserve">并通过专家认可。</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þ</w:t>
      </w:r>
      <w:r>
        <w:rPr>
          <w:rFonts w:hint="eastAsia" w:ascii="宋体" w:hAnsi="宋体" w:cs="宋体"/>
          <w:bCs/>
          <w:sz w:val="24"/>
        </w:rPr>
        <w:t xml:space="preserve">否</w:t>
      </w:r>
      <w:r/>
    </w:p>
    <w:p>
      <w:pPr>
        <w:ind w:firstLine="480"/>
        <w:spacing w:line="360" w:lineRule="auto"/>
        <w:rPr>
          <w:rFonts w:hint="eastAsia" w:ascii="宋体" w:hAnsi="宋体" w:cs="宋体" w:eastAsiaTheme="minorEastAsia"/>
          <w:bCs/>
          <w:sz w:val="24"/>
          <w:u w:val="single"/>
          <w:lang w:eastAsia="zh-CN"/>
        </w:rPr>
      </w:pPr>
      <w:r>
        <w:rPr>
          <w:rFonts w:hint="eastAsia" w:ascii="宋体" w:hAnsi="宋体" w:cs="宋体"/>
          <w:bCs/>
          <w:sz w:val="24"/>
        </w:rPr>
        <w:t xml:space="preserve">（8）履约验收其他事项：</w:t>
      </w:r>
      <w:r>
        <w:rPr>
          <w:rFonts w:hint="eastAsia" w:ascii="宋体" w:hAnsi="宋体" w:cs="宋体"/>
          <w:bCs/>
          <w:sz w:val="24"/>
          <w:u w:val="single"/>
          <w:lang w:val="en-US" w:eastAsia="zh-CN"/>
        </w:rPr>
        <w:t xml:space="preserve">/</w:t>
      </w:r>
      <w:r/>
    </w:p>
    <w:p>
      <w:pPr>
        <w:numPr>
          <w:ilvl w:val="0"/>
          <w:numId w:val="1"/>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u w:val="single"/>
          <w:lang w:val="en-US" w:eastAsia="zh-CN"/>
        </w:rPr>
        <w:t xml:space="preserve">陆</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叁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叁</w:t>
      </w:r>
      <w:r>
        <w:rPr>
          <w:rFonts w:hint="eastAsia" w:ascii="宋体" w:hAnsi="宋体"/>
          <w:szCs w:val="21"/>
          <w:u w:val="single"/>
        </w:rPr>
        <w:t xml:space="preserve"> </w:t>
      </w:r>
      <w:r>
        <w:rPr>
          <w:rFonts w:hint="eastAsia" w:ascii="宋体" w:hAnsi="宋体"/>
          <w:szCs w:val="21"/>
        </w:rPr>
        <w:t xml:space="preserve">份，均具有同等法律效力</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rFonts w:hint="eastAsia" w:ascii="宋体" w:hAnsi="宋体"/>
          <w:szCs w:val="21"/>
          <w:u w:val="single"/>
          <w:lang w:val="en-US" w:eastAsia="zh-CN"/>
        </w:rPr>
        <w:t xml:space="preserve">盐城市东台生态环境局</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rPr>
      </w:pPr>
      <w:r>
        <w:rPr>
          <w:szCs w:val="21"/>
        </w:rPr>
      </w:r>
      <w:r/>
    </w:p>
    <w:tbl>
      <w:tblPr>
        <w:tblStyle w:val="86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9"/>
        <w:gridCol w:w="2817"/>
        <w:gridCol w:w="2312"/>
        <w:gridCol w:w="2473"/>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63"/>
        <w:jc w:val="center"/>
        <w:spacing w:before="156"/>
        <w:rPr>
          <w:rFonts w:ascii="黑体" w:hAnsi="黑体" w:eastAsia="黑体"/>
          <w:sz w:val="28"/>
          <w:szCs w:val="28"/>
        </w:rPr>
      </w:pPr>
      <w:r>
        <w:rPr>
          <w:rFonts w:ascii="宋体" w:hAnsi="宋体"/>
          <w:u w:val="single"/>
        </w:rPr>
        <w:br w:type="page" w:clear="all"/>
      </w:r>
      <w:bookmarkStart w:id="178" w:name="_Toc27624"/>
      <w:r/>
      <w:bookmarkStart w:id="179" w:name="_Toc20313"/>
      <w:r>
        <w:rPr>
          <w:rFonts w:hint="eastAsia" w:ascii="黑体" w:hAnsi="黑体" w:eastAsia="黑体"/>
          <w:b w:val="0"/>
          <w:bCs w:val="0"/>
          <w:sz w:val="28"/>
          <w:szCs w:val="28"/>
        </w:rPr>
        <w:t xml:space="preserve">第二节 政府采购合同通用条款</w:t>
      </w:r>
      <w:bookmarkEnd w:id="178"/>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3"/>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rPr>
      </w:pPr>
      <w:r>
        <w:rPr>
          <w:rFonts w:hint="eastAsia"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9"/>
        <w:ind w:firstLine="492"/>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69"/>
        <w:ind w:firstLine="492"/>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4"/>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rPr>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03"/>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873"/>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3"/>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8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80"/>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863"/>
        <w:ind w:firstLine="420"/>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869"/>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3"/>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3"/>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3"/>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3"/>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69"/>
        <w:ind w:firstLine="560"/>
        <w:spacing w:after="0" w:line="400" w:lineRule="exact"/>
        <w:rPr>
          <w:rFonts w:hint="eastAsia"/>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03"/>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color w:val="auto"/>
          <w:sz w:val="24"/>
        </w:rPr>
        <w:outlineLvl w:val="1"/>
      </w:pPr>
      <w:r>
        <w:rPr>
          <w:rFonts w:hint="eastAsia" w:ascii="黑体" w:hAnsi="华文中宋" w:eastAsia="黑体"/>
          <w:color w:val="auto"/>
          <w:sz w:val="24"/>
        </w:rPr>
        <w:t xml:space="preserve">第三节 政府采购合同专用条款</w:t>
      </w:r>
      <w:bookmarkEnd w:id="179"/>
      <w:r/>
      <w:r/>
    </w:p>
    <w:tbl>
      <w:tblPr>
        <w:tblStyle w:val="86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同招标公告及文件</w:t>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十五个工作日内</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ind w:left="0" w:right="0" w:firstLine="0"/>
              <w:jc w:val="both"/>
              <w:spacing w:before="0" w:after="0" w:line="32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ind w:left="0" w:right="0" w:firstLine="0"/>
              <w:jc w:val="both"/>
              <w:spacing w:before="0" w:after="0" w:line="32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ind w:left="0" w:right="0" w:firstLine="0"/>
              <w:jc w:val="both"/>
              <w:spacing w:before="0" w:after="0" w:line="32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同协议书</w:t>
            </w:r>
            <w:r/>
          </w:p>
        </w:tc>
      </w:tr>
      <w:tr>
        <w:trPr>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tc>
      </w:tr>
      <w:tr>
        <w:trPr>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color w:val="auto"/>
                <w:sz w:val="24"/>
                <w:highlight w:val="none"/>
              </w:rPr>
              <w:t xml:space="preserve">同协议书</w:t>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903"/>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903"/>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877"/>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年</w:t>
            </w:r>
            <w:r>
              <w:rPr>
                <w:rFonts w:hint="eastAsia" w:ascii="宋体" w:hAnsi="宋体"/>
                <w:color w:val="auto"/>
                <w:highlight w:val="none"/>
              </w:rPr>
              <w:t xml:space="preserve">。（</w:t>
            </w:r>
            <w:r>
              <w:rPr>
                <w:rFonts w:hint="eastAsia" w:ascii="宋体" w:hAnsi="宋体" w:cs="宋体"/>
                <w:color w:val="auto"/>
                <w:highlight w:val="none"/>
              </w:rPr>
              <w:t xml:space="preserve">自</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u w:val="single"/>
                <w:lang w:val="en-US" w:eastAsia="zh-CN"/>
              </w:rPr>
              <w:t xml:space="preserve"> 24 </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hint="eastAsia"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hint="eastAsia"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hint="eastAsia"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宋体" w:hAnsi="宋体"/>
                <w:color w:val="auto"/>
                <w:sz w:val="24"/>
                <w:highlight w:val="none"/>
              </w:rPr>
            </w:pPr>
            <w:r>
              <w:rPr>
                <w:rFonts w:hint="eastAsia" w:ascii="宋体" w:hAnsi="宋体"/>
                <w:color w:val="auto"/>
                <w:sz w:val="24"/>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（1）合同签订后10工作日内（自收到发票之日起），</w:t>
            </w:r>
            <w:r>
              <w:rPr>
                <w:rFonts w:hint="eastAsia" w:ascii="宋体" w:hAnsi="宋体"/>
                <w:color w:val="auto"/>
                <w:sz w:val="24"/>
                <w:highlight w:val="none"/>
                <w:lang w:val="en-US" w:eastAsia="zh-CN"/>
              </w:rPr>
              <w:t xml:space="preserve">甲方</w:t>
            </w:r>
            <w:r>
              <w:rPr>
                <w:rFonts w:hint="eastAsia" w:ascii="宋体" w:hAnsi="宋体"/>
                <w:color w:val="auto"/>
                <w:sz w:val="24"/>
                <w:highlight w:val="none"/>
                <w:lang w:val="zh-CN" w:eastAsia="zh-CN"/>
              </w:rPr>
              <w:t xml:space="preserve">支付</w:t>
            </w:r>
            <w:r>
              <w:rPr>
                <w:rFonts w:hint="eastAsia" w:ascii="宋体" w:hAnsi="宋体"/>
                <w:color w:val="auto"/>
                <w:sz w:val="24"/>
                <w:highlight w:val="none"/>
                <w:lang w:val="en-US" w:eastAsia="zh-CN"/>
              </w:rPr>
              <w:t xml:space="preserve">乙方</w:t>
            </w:r>
            <w:r>
              <w:rPr>
                <w:rFonts w:hint="eastAsia" w:ascii="宋体" w:hAnsi="宋体"/>
                <w:color w:val="auto"/>
                <w:sz w:val="24"/>
                <w:highlight w:val="none"/>
                <w:lang w:val="zh-CN" w:eastAsia="zh-CN"/>
              </w:rPr>
              <w:t xml:space="preserve">合同总价的30％作为预付款；</w:t>
            </w:r>
            <w:r/>
          </w:p>
          <w:p>
            <w:pPr>
              <w:jc w:val="left"/>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（2）项目验收合格后10个工作日内（自收到发票之日起），</w:t>
            </w:r>
            <w:r>
              <w:rPr>
                <w:rFonts w:hint="eastAsia" w:ascii="宋体" w:hAnsi="宋体"/>
                <w:color w:val="auto"/>
                <w:sz w:val="24"/>
                <w:highlight w:val="none"/>
                <w:lang w:val="en-US" w:eastAsia="zh-CN"/>
              </w:rPr>
              <w:t xml:space="preserve">甲方</w:t>
            </w:r>
            <w:r>
              <w:rPr>
                <w:rFonts w:hint="eastAsia" w:ascii="宋体" w:hAnsi="宋体"/>
                <w:color w:val="auto"/>
                <w:sz w:val="24"/>
                <w:highlight w:val="none"/>
                <w:lang w:val="zh-CN" w:eastAsia="zh-CN"/>
              </w:rPr>
              <w:t xml:space="preserve">支付</w:t>
            </w:r>
            <w:r>
              <w:rPr>
                <w:rFonts w:hint="eastAsia" w:ascii="宋体" w:hAnsi="宋体"/>
                <w:color w:val="auto"/>
                <w:sz w:val="24"/>
                <w:highlight w:val="none"/>
                <w:lang w:val="en-US" w:eastAsia="zh-CN"/>
              </w:rPr>
              <w:t xml:space="preserve">乙方</w:t>
            </w:r>
            <w:r>
              <w:rPr>
                <w:rFonts w:hint="eastAsia" w:ascii="宋体" w:hAnsi="宋体"/>
                <w:color w:val="auto"/>
                <w:sz w:val="24"/>
                <w:highlight w:val="none"/>
                <w:lang w:val="zh-CN" w:eastAsia="zh-CN"/>
              </w:rPr>
              <w:t xml:space="preserve">合同总价的60％（扣除项目已支付的金额）。</w:t>
            </w:r>
            <w:r/>
          </w:p>
          <w:p>
            <w:pPr>
              <w:jc w:val="left"/>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（3）质保期满（自收到发票之日起），</w:t>
            </w:r>
            <w:r>
              <w:rPr>
                <w:rFonts w:hint="eastAsia" w:ascii="宋体" w:hAnsi="宋体"/>
                <w:color w:val="auto"/>
                <w:sz w:val="24"/>
                <w:highlight w:val="none"/>
                <w:lang w:val="en-US" w:eastAsia="zh-CN"/>
              </w:rPr>
              <w:t xml:space="preserve">甲方</w:t>
            </w:r>
            <w:r>
              <w:rPr>
                <w:rFonts w:hint="eastAsia" w:ascii="宋体" w:hAnsi="宋体"/>
                <w:color w:val="auto"/>
                <w:sz w:val="24"/>
                <w:highlight w:val="none"/>
                <w:lang w:val="zh-CN" w:eastAsia="zh-CN"/>
              </w:rPr>
              <w:t xml:space="preserve">支付</w:t>
            </w:r>
            <w:r>
              <w:rPr>
                <w:rFonts w:hint="eastAsia" w:ascii="宋体" w:hAnsi="宋体"/>
                <w:color w:val="auto"/>
                <w:sz w:val="24"/>
                <w:highlight w:val="none"/>
                <w:lang w:val="en-US" w:eastAsia="zh-CN"/>
              </w:rPr>
              <w:t xml:space="preserve">乙方</w:t>
            </w:r>
            <w:r>
              <w:rPr>
                <w:rFonts w:hint="eastAsia" w:ascii="宋体" w:hAnsi="宋体"/>
                <w:color w:val="auto"/>
                <w:sz w:val="24"/>
                <w:highlight w:val="none"/>
                <w:lang w:val="zh-CN" w:eastAsia="zh-CN"/>
              </w:rPr>
              <w:t xml:space="preserve">应结算金额的100%（扣除项目已支付的金额）。</w:t>
            </w:r>
            <w:r/>
          </w:p>
          <w:p>
            <w:pPr>
              <w:jc w:val="left"/>
              <w:rPr>
                <w:rFonts w:hint="eastAsia" w:ascii="宋体" w:hAnsi="宋体"/>
                <w:color w:val="auto"/>
                <w:sz w:val="24"/>
                <w:highlight w:val="none"/>
              </w:rPr>
            </w:pPr>
            <w:r>
              <w:rPr>
                <w:rFonts w:hint="eastAsia" w:ascii="宋体" w:hAnsi="宋体"/>
                <w:color w:val="auto"/>
                <w:sz w:val="24"/>
                <w:highlight w:val="none"/>
                <w:lang w:val="zh-CN" w:eastAsia="zh-CN"/>
              </w:rPr>
              <w:t xml:space="preserve">每次付款前</w:t>
            </w:r>
            <w:r>
              <w:rPr>
                <w:rFonts w:hint="eastAsia" w:ascii="宋体" w:hAnsi="宋体"/>
                <w:color w:val="auto"/>
                <w:sz w:val="24"/>
                <w:highlight w:val="none"/>
                <w:lang w:val="en-US" w:eastAsia="zh-CN"/>
              </w:rPr>
              <w:t xml:space="preserve">乙方</w:t>
            </w:r>
            <w:r>
              <w:rPr>
                <w:rFonts w:hint="eastAsia" w:ascii="宋体" w:hAnsi="宋体"/>
                <w:color w:val="auto"/>
                <w:sz w:val="24"/>
                <w:highlight w:val="none"/>
                <w:lang w:val="zh-CN" w:eastAsia="zh-CN"/>
              </w:rPr>
              <w:t xml:space="preserve">需开具合法有效的增值税发票（开具付款金额）给采购人，以上付款均无银行利息，一律通过银行结转。</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除不可抗力情况外，投标人出现下列情形之一的，其履约保证金，招标人将视情节决定不予退还或部分不予退还。</w:t>
            </w:r>
            <w:r/>
          </w:p>
          <w:p>
            <w:pPr>
              <w:jc w:val="left"/>
              <w:rPr>
                <w:rFonts w:hint="eastAsia" w:ascii="宋体" w:hAnsi="宋体"/>
                <w:color w:val="auto"/>
                <w:sz w:val="24"/>
                <w:highlight w:val="none"/>
              </w:rPr>
            </w:pPr>
            <w:r>
              <w:rPr>
                <w:rFonts w:hint="eastAsia" w:ascii="宋体" w:hAnsi="宋体"/>
                <w:color w:val="auto"/>
                <w:sz w:val="24"/>
                <w:highlight w:val="none"/>
              </w:rPr>
              <w:t xml:space="preserve">（1）中标人无正当理由拒绝签订合同的，或者在签订合同时向采购人提出附加条件或者更改合同实质性内容要求的；</w:t>
            </w:r>
            <w:r/>
          </w:p>
          <w:p>
            <w:pPr>
              <w:jc w:val="left"/>
              <w:rPr>
                <w:rFonts w:hint="eastAsia" w:ascii="宋体" w:hAnsi="宋体"/>
                <w:color w:val="auto"/>
                <w:sz w:val="24"/>
                <w:highlight w:val="none"/>
              </w:rPr>
            </w:pPr>
            <w:r>
              <w:rPr>
                <w:rFonts w:hint="eastAsia" w:ascii="宋体" w:hAnsi="宋体"/>
                <w:color w:val="auto"/>
                <w:sz w:val="24"/>
                <w:highlight w:val="none"/>
              </w:rPr>
              <w:t xml:space="preserve">（2）中标人不履行与采购人订立的合同的；</w:t>
            </w:r>
            <w:r/>
          </w:p>
          <w:p>
            <w:pPr>
              <w:jc w:val="left"/>
              <w:rPr>
                <w:rFonts w:hint="eastAsia" w:ascii="宋体" w:hAnsi="宋体"/>
                <w:color w:val="auto"/>
                <w:sz w:val="24"/>
                <w:highlight w:val="none"/>
              </w:rPr>
            </w:pPr>
            <w:r>
              <w:rPr>
                <w:rFonts w:hint="eastAsia" w:ascii="宋体" w:hAnsi="宋体"/>
                <w:color w:val="auto"/>
                <w:sz w:val="24"/>
                <w:highlight w:val="none"/>
              </w:rPr>
              <w:t xml:space="preserve">（3）中标人所供货物或服务不符合招标文件规定要求的；</w:t>
            </w:r>
            <w:r/>
          </w:p>
          <w:p>
            <w:pPr>
              <w:jc w:val="left"/>
              <w:rPr>
                <w:rFonts w:hint="eastAsia" w:ascii="宋体" w:hAnsi="宋体"/>
                <w:color w:val="auto"/>
                <w:sz w:val="24"/>
                <w:highlight w:val="none"/>
              </w:rPr>
            </w:pPr>
            <w:r>
              <w:rPr>
                <w:rFonts w:hint="eastAsia" w:ascii="宋体" w:hAnsi="宋体"/>
                <w:color w:val="auto"/>
                <w:sz w:val="24"/>
                <w:highlight w:val="none"/>
              </w:rPr>
              <w:t xml:space="preserve">（4）中标人采取欺骗、弄虚作假方式投标的或与其它投标人串通投标的；</w:t>
            </w:r>
            <w:r/>
          </w:p>
          <w:p>
            <w:pPr>
              <w:jc w:val="left"/>
              <w:rPr>
                <w:rFonts w:hint="eastAsia" w:ascii="宋体" w:hAnsi="宋体"/>
                <w:color w:val="auto"/>
                <w:sz w:val="24"/>
                <w:highlight w:val="none"/>
              </w:rPr>
            </w:pPr>
            <w:r>
              <w:rPr>
                <w:rFonts w:hint="eastAsia" w:ascii="宋体" w:hAnsi="宋体"/>
                <w:color w:val="auto"/>
                <w:sz w:val="24"/>
                <w:highlight w:val="none"/>
              </w:rPr>
              <w:t xml:space="preserve">（5）中标人将合同内容转包、违法分包的；</w:t>
            </w:r>
            <w:r/>
          </w:p>
          <w:p>
            <w:pPr>
              <w:jc w:val="left"/>
              <w:rPr>
                <w:rFonts w:hint="eastAsia" w:ascii="宋体" w:hAnsi="宋体"/>
                <w:color w:val="auto"/>
                <w:sz w:val="24"/>
                <w:highlight w:val="none"/>
              </w:rPr>
            </w:pPr>
            <w:r>
              <w:rPr>
                <w:rFonts w:hint="eastAsia" w:ascii="宋体" w:hAnsi="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1、合同履行结束后，甲方应及时退还交纳的履约保证金。</w:t>
            </w:r>
            <w:r/>
          </w:p>
          <w:p>
            <w:pPr>
              <w:jc w:val="left"/>
              <w:rPr>
                <w:rFonts w:hint="eastAsia" w:ascii="宋体" w:hAnsi="宋体"/>
                <w:color w:val="auto"/>
                <w:sz w:val="24"/>
                <w:highlight w:val="none"/>
              </w:rPr>
            </w:pPr>
            <w:r>
              <w:rPr>
                <w:rFonts w:hint="eastAsia" w:ascii="宋体" w:hAnsi="宋体"/>
                <w:color w:val="auto"/>
                <w:sz w:val="24"/>
                <w:highlight w:val="none"/>
              </w:rPr>
              <w:t xml:space="preserve">2、退还方式：无息退还至投标人缴纳履约保证金的账户。如为保函，在到期时自行失效。</w:t>
            </w:r>
            <w:r/>
          </w:p>
          <w:p>
            <w:pPr>
              <w:jc w:val="left"/>
              <w:rPr>
                <w:rFonts w:hint="eastAsia" w:ascii="宋体" w:hAnsi="宋体"/>
                <w:color w:val="auto"/>
                <w:sz w:val="24"/>
                <w:highlight w:val="none"/>
              </w:rPr>
            </w:pPr>
            <w:r>
              <w:rPr>
                <w:rFonts w:hint="eastAsia" w:ascii="宋体" w:hAnsi="宋体"/>
                <w:color w:val="auto"/>
                <w:sz w:val="24"/>
                <w:highlight w:val="none"/>
              </w:rPr>
              <w:t xml:space="preserve">3、退还时间：验收合格且甲方收到发票后30日内。</w:t>
            </w:r>
            <w:r/>
          </w:p>
          <w:p>
            <w:pPr>
              <w:jc w:val="left"/>
              <w:rPr>
                <w:rFonts w:hint="eastAsia" w:ascii="宋体" w:hAnsi="宋体"/>
                <w:color w:val="auto"/>
                <w:sz w:val="24"/>
                <w:highlight w:val="none"/>
              </w:rPr>
            </w:pPr>
            <w:r>
              <w:rPr>
                <w:rFonts w:hint="eastAsia" w:ascii="宋体" w:hAnsi="宋体"/>
                <w:color w:val="auto"/>
                <w:sz w:val="24"/>
                <w:highlight w:val="none"/>
              </w:rPr>
              <w:t xml:space="preserve">4、退还条件：按合同要求全部履约完成并经采购人验收合格，且采购人收到中标人出具的发票。</w:t>
            </w:r>
            <w:r/>
          </w:p>
          <w:p>
            <w:pPr>
              <w:jc w:val="left"/>
              <w:rPr>
                <w:rFonts w:hint="eastAsia" w:ascii="宋体" w:hAnsi="宋体"/>
                <w:color w:val="auto"/>
                <w:sz w:val="24"/>
                <w:highlight w:val="none"/>
              </w:rPr>
            </w:pPr>
            <w:r>
              <w:rPr>
                <w:rFonts w:hint="eastAsia" w:ascii="宋体" w:hAnsi="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同合同通用条款</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lang w:eastAsia="zh-CN"/>
              </w:rPr>
              <w:t xml:space="preserve">满足招标文件中相关服务要求</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修理、重作、更换相关具体规定</w:t>
            </w:r>
            <w:r/>
          </w:p>
        </w:tc>
        <w:tc>
          <w:tcPr>
            <w:tcW w:w="5170" w:type="dxa"/>
            <w:vAlign w:val="center"/>
            <w:textDirection w:val="lrTb"/>
            <w:noWrap w:val="false"/>
          </w:tcPr>
          <w:p>
            <w:pPr>
              <w:numPr>
                <w:ilvl w:val="0"/>
                <w:numId w:val="7"/>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7"/>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u w:val="singl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877"/>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lang w:val="en-US" w:eastAsia="zh-CN"/>
              </w:rPr>
              <w:t xml:space="preserve"> 1%</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877"/>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lang w:val="en-US" w:eastAsia="zh-CN"/>
              </w:rPr>
              <w:t xml:space="preserve"> 5‰</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u w:val="none"/>
              </w:rPr>
            </w:pPr>
            <w:r>
              <w:rPr>
                <w:rFonts w:hint="eastAsia" w:ascii="宋体" w:hAnsi="宋体"/>
                <w:color w:val="auto"/>
                <w:sz w:val="24"/>
                <w:highlight w:val="none"/>
                <w:u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none"/>
              </w:rPr>
            </w:pPr>
            <w:r>
              <w:rPr>
                <w:rFonts w:ascii="宋体" w:hAnsi="宋体"/>
                <w:color w:val="auto"/>
                <w:sz w:val="24"/>
                <w:highlight w:val="none"/>
                <w:u w:val="none"/>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东台市</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w:t>
            </w:r>
            <w:r>
              <w:rPr>
                <w:rFonts w:hint="eastAsia" w:ascii="宋体" w:hAnsi="宋体"/>
                <w:color w:val="auto"/>
                <w:sz w:val="24"/>
                <w:highlight w:val="none"/>
                <w:lang w:eastAsia="zh-CN"/>
              </w:rPr>
              <w:t xml:space="preserve">签</w:t>
            </w:r>
            <w:r>
              <w:rPr>
                <w:rFonts w:hint="eastAsia" w:ascii="宋体" w:hAnsi="宋体"/>
                <w:color w:val="auto"/>
                <w:sz w:val="24"/>
                <w:highlight w:val="none"/>
              </w:rPr>
              <w:t xml:space="preserve">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hint="eastAsia"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lang w:val="en-US" w:eastAsia="zh-CN"/>
              </w:rPr>
              <w:t xml:space="preserve">合同签订后30日历天完成所有产品的供货、安装、调试、并运行，免费</w:t>
            </w:r>
            <w:r>
              <w:rPr>
                <w:rFonts w:hint="eastAsia" w:ascii="宋体" w:hAnsi="宋体"/>
                <w:color w:val="auto"/>
                <w:sz w:val="24"/>
                <w:highlight w:val="none"/>
                <w:lang w:val="zh-CN" w:eastAsia="zh-CN"/>
              </w:rPr>
              <w:t xml:space="preserve">质保期为</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eastAsia="zh-CN"/>
              </w:rPr>
              <w:t xml:space="preserve">年</w:t>
            </w:r>
            <w:r>
              <w:rPr>
                <w:rFonts w:hint="eastAsia" w:ascii="宋体" w:hAnsi="宋体"/>
                <w:color w:val="auto"/>
                <w:sz w:val="24"/>
                <w:highlight w:val="none"/>
                <w:lang w:val="en-US" w:eastAsia="zh-CN"/>
              </w:rPr>
              <w:t xml:space="preserve">（自交货验收合格之日起计）。</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zh-CN" w:eastAsia="zh-CN"/>
              </w:rPr>
              <w:t xml:space="preserve">采购人指定地点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w:t>
            </w:r>
            <w:r>
              <w:rPr>
                <w:rFonts w:hint="eastAsia" w:ascii="宋体" w:hAnsi="宋体"/>
                <w:color w:val="auto"/>
                <w:sz w:val="24"/>
                <w:highlight w:val="none"/>
                <w:lang w:eastAsia="zh-CN"/>
              </w:rPr>
              <w:t xml:space="preserve">调试</w:t>
            </w:r>
            <w:r>
              <w:rPr>
                <w:rFonts w:hint="eastAsia" w:ascii="宋体" w:hAnsi="宋体"/>
                <w:color w:val="auto"/>
                <w:sz w:val="24"/>
                <w:highlight w:val="none"/>
              </w:rPr>
              <w:t xml:space="preserve">完毕后的</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rPr>
              <w:t xml:space="preserve">日内进行验收，验收包括：型号、规格、数量、外观是否完好，安装调试是否合格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使用状况</w:t>
            </w:r>
            <w:r>
              <w:rPr>
                <w:rFonts w:hint="eastAsia" w:ascii="宋体" w:hAnsi="宋体"/>
                <w:color w:val="auto"/>
                <w:sz w:val="24"/>
                <w:highlight w:val="none"/>
                <w:lang w:eastAsia="zh-CN"/>
              </w:rPr>
              <w:t xml:space="preserve">、培训情况</w:t>
            </w:r>
            <w:r>
              <w:rPr>
                <w:rFonts w:hint="eastAsia" w:ascii="宋体" w:hAnsi="宋体"/>
                <w:color w:val="auto"/>
                <w:sz w:val="24"/>
                <w:highlight w:val="none"/>
              </w:rPr>
              <w:t xml:space="preserve">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验收合格后甲方应在验收报告上签字盖章。</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w:t>
            </w:r>
            <w:r>
              <w:rPr>
                <w:rFonts w:hint="eastAsia" w:ascii="宋体" w:hAnsi="宋体"/>
                <w:color w:val="auto"/>
                <w:sz w:val="24"/>
                <w:highlight w:val="none"/>
                <w:lang w:eastAsia="zh-CN"/>
              </w:rPr>
              <w:t xml:space="preserve">搬运、</w:t>
            </w:r>
            <w:r>
              <w:rPr>
                <w:rFonts w:hint="eastAsia" w:ascii="宋体" w:hAnsi="宋体"/>
                <w:color w:val="auto"/>
                <w:sz w:val="24"/>
                <w:highlight w:val="none"/>
              </w:rPr>
              <w:t xml:space="preserve">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合同生效及其它</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4.本合同应按照中华人民共和国的现行法律进行解释。本合同未尽事宜，遵照《民法典》、《政府采购法》等有关条文执行。</w:t>
            </w:r>
            <w:r/>
          </w:p>
        </w:tc>
      </w:tr>
    </w:tbl>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877"/>
        <w:ind w:right="840"/>
        <w:jc w:val="center"/>
        <w:spacing w:beforeAutospacing="0" w:afterAutospacing="0"/>
        <w:rPr>
          <w:rFonts w:hint="eastAsia" w:ascii="黑体" w:hAnsi="黑体" w:eastAsia="黑体" w:cs="黑体"/>
          <w:color w:val="000000"/>
          <w:sz w:val="44"/>
          <w:szCs w:val="44"/>
          <w:lang w:val="en-US" w:eastAsia="zh-CN"/>
        </w:rPr>
      </w:pPr>
      <w:r>
        <w:rPr>
          <w:rFonts w:hint="eastAsia" w:ascii="黑体" w:hAnsi="黑体" w:eastAsia="黑体" w:cs="黑体"/>
          <w:color w:val="000000"/>
          <w:sz w:val="44"/>
          <w:szCs w:val="44"/>
          <w:lang w:val="en-US" w:eastAsia="zh-CN"/>
        </w:rPr>
        <w:t xml:space="preserve">第</w:t>
      </w:r>
      <w:bookmarkEnd w:id="171"/>
      <w:r>
        <w:rPr>
          <w:rFonts w:hint="eastAsia" w:ascii="黑体" w:hAnsi="黑体" w:eastAsia="黑体" w:cs="黑体"/>
          <w:color w:val="000000"/>
          <w:sz w:val="44"/>
          <w:szCs w:val="44"/>
          <w:lang w:val="en-US" w:eastAsia="zh-CN"/>
        </w:rPr>
        <w:t xml:space="preserve">四章 采购需求</w:t>
      </w:r>
      <w:bookmarkEnd w:id="172"/>
      <w:r/>
      <w:bookmarkEnd w:id="173"/>
      <w:r/>
      <w:bookmarkEnd w:id="174"/>
      <w:r/>
      <w:bookmarkEnd w:id="175"/>
      <w:r/>
      <w:bookmarkEnd w:id="176"/>
      <w:r/>
      <w:r/>
    </w:p>
    <w:p>
      <w:pPr>
        <w:pStyle w:val="877"/>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rPr>
      </w:pPr>
      <w:r/>
      <w:bookmarkStart w:id="181" w:name="_Toc26554093"/>
      <w:r/>
      <w:bookmarkStart w:id="182" w:name="_Toc49090575"/>
      <w:r>
        <w:rPr>
          <w:rFonts w:hint="eastAsia" w:asciiTheme="minorEastAsia" w:hAnsiTheme="minorEastAsia" w:eastAsiaTheme="minorEastAsia" w:cstheme="minorEastAsia"/>
          <w:color w:val="auto"/>
        </w:rPr>
        <w:t xml:space="preserve">项目属性</w:t>
      </w:r>
      <w:r>
        <w:rPr>
          <w:rFonts w:hint="eastAsia" w:asciiTheme="minorEastAsia" w:hAnsiTheme="minorEastAsia" w:cstheme="minorEastAsia"/>
          <w:color w:val="auto"/>
          <w:lang w:eastAsia="zh-CN"/>
        </w:rPr>
        <w:t xml:space="preserve">：</w:t>
      </w:r>
      <w:r>
        <w:rPr>
          <w:rFonts w:hint="eastAsia" w:asciiTheme="minorEastAsia" w:hAnsiTheme="minorEastAsia" w:cstheme="minorEastAsia"/>
          <w:color w:val="auto"/>
          <w:lang w:val="en-US" w:eastAsia="zh-CN"/>
        </w:rPr>
        <w:t xml:space="preserve">货物</w:t>
      </w:r>
      <w:r>
        <w:rPr>
          <w:rFonts w:hint="eastAsia" w:asciiTheme="minorEastAsia" w:hAnsiTheme="minorEastAsia" w:eastAsiaTheme="minorEastAsia" w:cstheme="minorEastAsia"/>
          <w:color w:val="auto"/>
        </w:rPr>
        <w:t xml:space="preserve">类项目。</w:t>
      </w:r>
      <w:bookmarkEnd w:id="181"/>
      <w:r/>
      <w:bookmarkEnd w:id="182"/>
      <w:r/>
      <w:r/>
    </w:p>
    <w:p>
      <w:pPr>
        <w:pStyle w:val="877"/>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lang w:val="en-US" w:eastAsia="zh-CN"/>
        </w:rPr>
      </w:pPr>
      <w:r>
        <w:rPr>
          <w:rFonts w:hint="eastAsia" w:asciiTheme="minorEastAsia" w:hAnsiTheme="minorEastAsia" w:eastAsiaTheme="minorEastAsia" w:cstheme="minorEastAsia"/>
          <w:b/>
          <w:bCs/>
          <w:color w:val="auto"/>
          <w:lang w:val="en-US" w:eastAsia="zh-CN"/>
        </w:rPr>
        <w:t xml:space="preserve">一、项目概述</w:t>
      </w:r>
      <w:r/>
    </w:p>
    <w:p>
      <w:pPr>
        <w:pStyle w:val="877"/>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bookmarkStart w:id="183" w:name="_Toc97295831"/>
      <w:r>
        <w:rPr>
          <w:rFonts w:hint="eastAsia" w:asciiTheme="minorEastAsia" w:hAnsiTheme="minorEastAsia" w:eastAsiaTheme="minorEastAsia" w:cstheme="minorEastAsia"/>
          <w:color w:val="auto"/>
          <w:highlight w:val="none"/>
          <w:lang w:val="en-US" w:eastAsia="zh-CN"/>
        </w:rPr>
        <w:t xml:space="preserve">1.1项目名称</w:t>
      </w:r>
      <w:bookmarkEnd w:id="183"/>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cstheme="minorEastAsia"/>
          <w:color w:val="auto"/>
          <w:highlight w:val="none"/>
          <w:lang w:val="en-US" w:eastAsia="zh-CN"/>
        </w:rPr>
        <w:t xml:space="preserve">盐城市东台生态环境局综合行政执法能力建设项目</w:t>
      </w:r>
      <w:r/>
    </w:p>
    <w:p>
      <w:pPr>
        <w:pStyle w:val="877"/>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1.2项目背景：按照《江苏省生态环境保护综合行政执法装备标准化建设指导标准（2021版）》（苏环办[2021]339号）中要求采购无人船、粉尘快速测定仪、热成像仪等设备。</w:t>
      </w:r>
      <w:r/>
    </w:p>
    <w:p>
      <w:pPr>
        <w:pStyle w:val="877"/>
        <w:ind w:firstLine="480"/>
        <w:jc w:val="left"/>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lang w:val="en-US" w:eastAsia="zh-CN"/>
        </w:rPr>
        <w:t xml:space="preserve">预算金额及最高限价：人民币</w:t>
      </w:r>
      <w:r>
        <w:rPr>
          <w:rFonts w:hint="eastAsia" w:asciiTheme="minorEastAsia" w:hAnsiTheme="minorEastAsia" w:cstheme="minorEastAsia"/>
          <w:color w:val="auto"/>
          <w:highlight w:val="none"/>
          <w:lang w:val="en-US" w:eastAsia="zh-CN"/>
        </w:rPr>
        <w:t xml:space="preserve">461</w:t>
      </w:r>
      <w:r>
        <w:rPr>
          <w:rFonts w:hint="eastAsia" w:ascii="宋体" w:hAnsi="宋体" w:eastAsia="宋体" w:cs="宋体"/>
          <w:color w:val="000000"/>
          <w:sz w:val="24"/>
          <w:szCs w:val="24"/>
          <w:lang w:val="en-US" w:eastAsia="zh-CN"/>
        </w:rPr>
        <w:t xml:space="preserve">万元</w:t>
      </w:r>
      <w:r/>
    </w:p>
    <w:p>
      <w:pPr>
        <w:pStyle w:val="877"/>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宋体" w:hAnsi="宋体" w:eastAsia="宋体" w:cs="宋体"/>
          <w:sz w:val="24"/>
          <w:szCs w:val="24"/>
        </w:rPr>
        <w:t xml:space="preserve">4</w:t>
      </w:r>
      <w:r>
        <w:rPr>
          <w:rFonts w:hint="eastAsia" w:asciiTheme="minorEastAsia" w:hAnsiTheme="minorEastAsia" w:eastAsiaTheme="minorEastAsia" w:cstheme="minorEastAsia"/>
          <w:color w:val="auto"/>
          <w:highlight w:val="none"/>
          <w:lang w:val="en-US" w:eastAsia="zh-CN"/>
        </w:rPr>
        <w:t xml:space="preserve">项目</w:t>
      </w:r>
      <w:r>
        <w:rPr>
          <w:rFonts w:hint="eastAsia" w:asciiTheme="minorEastAsia" w:hAnsiTheme="minorEastAsia" w:eastAsiaTheme="minorEastAsia" w:cstheme="minorEastAsia"/>
          <w:color w:val="auto"/>
          <w:highlight w:val="none"/>
          <w:lang w:val="zh-CN" w:eastAsia="zh-CN"/>
        </w:rPr>
        <w:t xml:space="preserve">清单：</w:t>
      </w:r>
      <w:r/>
    </w:p>
    <w:p>
      <w:pPr>
        <w:pStyle w:val="877"/>
        <w:ind w:firstLine="480"/>
        <w:jc w:val="both"/>
        <w:keepLines w:val="0"/>
        <w:keepNext w:val="0"/>
        <w:pageBreakBefore w:val="0"/>
        <w:spacing w:beforeAutospacing="0" w:afterAutospacing="0" w:line="360" w:lineRule="auto"/>
        <w:rPr>
          <w:rFonts w:hint="eastAsia" w:asciiTheme="minorEastAsia" w:hAnsiTheme="minorEastAsia" w:cstheme="minorEastAsia"/>
          <w:b w:val="0"/>
          <w:bCs w:val="0"/>
          <w:color w:val="auto"/>
          <w:highlight w:val="none"/>
          <w:lang w:val="en-US" w:eastAsia="zh-CN"/>
        </w:rPr>
      </w:pPr>
      <w:r>
        <w:rPr>
          <w:rFonts w:hint="eastAsia" w:ascii="宋体" w:hAnsi="宋体"/>
          <w:sz w:val="24"/>
          <w:highlight w:val="none"/>
          <w:lang w:val="en-US" w:eastAsia="zh-CN"/>
        </w:rPr>
        <w:t xml:space="preserve">本采购项目的</w:t>
      </w:r>
      <w:r>
        <w:rPr>
          <w:rFonts w:hint="eastAsia" w:ascii="宋体" w:hAnsi="宋体"/>
          <w:sz w:val="24"/>
          <w:highlight w:val="none"/>
        </w:rPr>
        <w:t xml:space="preserve">核心产品</w:t>
      </w:r>
      <w:r>
        <w:rPr>
          <w:rFonts w:hint="eastAsia" w:asciiTheme="minorEastAsia" w:hAnsiTheme="minorEastAsia" w:eastAsiaTheme="minorEastAsia" w:cstheme="minorEastAsia"/>
          <w:b w:val="0"/>
          <w:bCs w:val="0"/>
          <w:color w:val="auto"/>
          <w:highlight w:val="none"/>
          <w:lang w:val="en-US" w:eastAsia="zh-CN"/>
        </w:rPr>
        <w:t xml:space="preserve">为</w:t>
      </w:r>
      <w:r>
        <w:rPr>
          <w:rFonts w:hint="eastAsia" w:ascii="宋体" w:hAnsi="宋体"/>
          <w:sz w:val="24"/>
          <w:highlight w:val="none"/>
          <w:lang w:val="en-US" w:eastAsia="zh-CN"/>
        </w:rPr>
        <w:t xml:space="preserve">：</w:t>
      </w:r>
      <w:r>
        <w:rPr>
          <w:rFonts w:hint="eastAsia" w:ascii="宋体" w:hAnsi="宋体"/>
          <w:sz w:val="24"/>
          <w:highlight w:val="none"/>
          <w:u w:val="single"/>
          <w:lang w:val="en-US" w:eastAsia="zh-CN"/>
        </w:rPr>
        <w:t xml:space="preserve"> 红外热成像气体泄漏检测仪 </w:t>
      </w:r>
      <w:r>
        <w:rPr>
          <w:rFonts w:hint="eastAsia" w:ascii="宋体" w:hAnsi="宋体"/>
          <w:sz w:val="24"/>
          <w:highlight w:val="none"/>
          <w:lang w:val="en-US" w:eastAsia="zh-CN"/>
        </w:rPr>
        <w:t xml:space="preserve">货</w:t>
      </w:r>
      <w:r>
        <w:rPr>
          <w:rFonts w:hint="eastAsia" w:asciiTheme="minorEastAsia" w:hAnsiTheme="minorEastAsia" w:eastAsiaTheme="minorEastAsia" w:cstheme="minorEastAsia"/>
          <w:b w:val="0"/>
          <w:bCs w:val="0"/>
          <w:color w:val="auto"/>
          <w:highlight w:val="none"/>
          <w:lang w:val="en-US" w:eastAsia="zh-CN"/>
        </w:rPr>
        <w:t xml:space="preserve">物</w:t>
      </w:r>
      <w:r>
        <w:rPr>
          <w:rFonts w:hint="eastAsia" w:asciiTheme="minorEastAsia" w:hAnsiTheme="minorEastAsia" w:cstheme="minorEastAsia"/>
          <w:b w:val="0"/>
          <w:bCs w:val="0"/>
          <w:color w:val="auto"/>
          <w:highlight w:val="none"/>
          <w:lang w:val="en-US" w:eastAsia="zh-CN"/>
        </w:rPr>
        <w:t xml:space="preserve">。</w:t>
      </w:r>
      <w:r/>
    </w:p>
    <w:tbl>
      <w:tblPr>
        <w:tblStyle w:val="8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91"/>
        <w:gridCol w:w="4928"/>
        <w:gridCol w:w="1673"/>
        <w:gridCol w:w="2360"/>
      </w:tblGrid>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本次采购数量</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移动执法终端</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采集工作站</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测距仪</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红外摄像机</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快检试剂包</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热成像仪</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红外热成像气体泄漏检测仪</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粉尘快速测定仪</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手持式光离子化检测仪（PID）</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油气回收三项检测仪</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微风风速计</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便携式水污染物监测设备</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台式计算机</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打印机</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无人船（水下声纳探测仪）</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电磁辐射检测设备</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pStyle w:val="877"/>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注：为达成项目效果，供应商可根据实际情况，增加所需辅材设备，但整体预算不再增加。</w:t>
      </w:r>
      <w:r/>
    </w:p>
    <w:p>
      <w:pPr>
        <w:pStyle w:val="877"/>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二、项目执行的相关标准：符合国家、省、市相关标准、强制性标准，并通过相关部门审查，通过相关行政主管部门评审。</w:t>
      </w:r>
      <w:r/>
    </w:p>
    <w:p>
      <w:pPr>
        <w:pStyle w:val="877"/>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三、技术要求：</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3.1</w:t>
      </w:r>
      <w:bookmarkStart w:id="184" w:name="_Toc24144"/>
      <w:r>
        <w:rPr>
          <w:rFonts w:hint="eastAsia" w:ascii="宋体" w:hAnsi="宋体" w:eastAsia="宋体" w:cs="宋体"/>
          <w:b/>
          <w:bCs/>
          <w:color w:val="auto"/>
          <w:sz w:val="24"/>
          <w:szCs w:val="24"/>
          <w:lang w:val="en-US" w:eastAsia="zh-CN"/>
        </w:rPr>
        <w:t xml:space="preserve">移动执法终端</w:t>
      </w:r>
      <w:bookmarkEnd w:id="184"/>
      <w:r/>
      <w:r/>
    </w:p>
    <w:p>
      <w:pPr>
        <w:numPr>
          <w:ilvl w:val="0"/>
          <w:numId w:val="0"/>
        </w:numPr>
        <w:ind w:left="0" w:firstLine="420"/>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满足移动执法系统相关技术指标要求，通过移动数据、WIFI等方式联网，具备现场执法数据查询、 执法记录、数据上传、数据存储、地理定位(北斗定位系统)、取证拍照或摄像等功能的定制化手机或PAD等。</w:t>
      </w:r>
      <w:r/>
    </w:p>
    <w:p>
      <w:pPr>
        <w:numPr>
          <w:ilvl w:val="0"/>
          <w:numId w:val="0"/>
        </w:numPr>
        <w:ind w:left="420"/>
        <w:jc w:val="left"/>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w:t>
      </w:r>
      <w:r>
        <w:rPr>
          <w:rFonts w:hint="default" w:ascii="宋体" w:hAnsi="宋体" w:eastAsia="宋体" w:cs="宋体"/>
          <w:b/>
          <w:bCs/>
          <w:color w:val="auto"/>
          <w:sz w:val="24"/>
          <w:szCs w:val="24"/>
          <w:lang w:val="en-US" w:eastAsia="zh-CN"/>
        </w:rPr>
        <w:t xml:space="preserve">2采集工作站</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1)显示特征屏幕</w:t>
      </w:r>
      <w:r>
        <w:rPr>
          <w:rFonts w:hint="eastAsia" w:ascii="宋体" w:hAnsi="宋体" w:eastAsia="宋体" w:cs="宋体"/>
          <w:color w:val="auto"/>
          <w:sz w:val="24"/>
          <w:szCs w:val="24"/>
          <w:lang w:val="en-US" w:eastAsia="zh-CN" w:bidi="ar-SA"/>
        </w:rPr>
        <w:t xml:space="preserve">不小于</w:t>
      </w:r>
      <w:r>
        <w:rPr>
          <w:rFonts w:hint="default" w:ascii="宋体" w:hAnsi="宋体" w:eastAsia="宋体" w:cs="宋体"/>
          <w:color w:val="auto"/>
          <w:sz w:val="24"/>
          <w:szCs w:val="24"/>
          <w:lang w:val="en-US" w:eastAsia="zh-CN" w:bidi="ar-SA"/>
        </w:rPr>
        <w:t xml:space="preserve">19寸工业电容触摸屏屏幕分辨率1280×1024</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)主板型号</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H/Q270RAID</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RAID0,  RAID1,  RAID5内存插槽4个,最大支持64GPCIE插槽1个PCIE X16插槽+1个M.2插槽、SATA接口10个SATA3.0其他接口1个、RJ45网口+1个COM口性能配置芯片组、</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Intel H/Q270芯片组，支持LGA 1151，支持Intel I系列第6代处理器CPU</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Intel 双核CPU，主频2.8GHz内存4GB DDR4 2133/2400 MHz系统盘、标配128G固态盘硬盘、最大支持单个16T硬盘, 最大支持128T硬盘盘位最大支持8个3.5寸硬盘盘位阵列卡</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板载火箭640L 4口阵列，可选火箭2720 8口阵列卡（配8TB容量）</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)电源电源特性</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180~260V  AC/50~60Hz350W（标配，2-4块硬盘，）500W（选配，5-8块硬盘，）过载保护</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过压保护，过流保护，过功率保护，短路保护</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)操作系统，支持Windows 7/Windows 10I/O接口、采集充电接口、USB 3.0 ×25，伸缩式USB数据线充电电流≥800mA调试接口、USB 调试口×2网口Intel RJ45 千兆网络接口电源接口、机箱电源220V接口</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)环境测试，可靠性，MTBF≥10000h，工作温度</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-10℃～50℃，表面空气流动存储温度</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-20℃～60℃，存储湿度95% @40℃,无凝露工业冷轧钢板、存取拍照记录功能</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支持记录仪接入、拔出时，自动对操作者进行拍照日志记录，日志包含取用记录仪的设备、用户、时间、舱位等信息，日志默认保存时长为3个月，拍照分辨率为1920*1080，选配此功能的采集站默认开启此功能，可通过设置关闭此功能。</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人脸/指纹识别功能，支持指纹识别取用者身份信息，并通过语音与显示屏画面上提示用户取走对应记录仪“请领取？号位记录仪”，如错误取用将通过语音与显示屏画面上提示“领取错误，请归还记录仪，并重新取用正确的记录仪”，领取正确则无提示。</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智慧识别解锁功能，支持指纹识别核验操作者身份信息，如与前期录入的身份信息比对一致，则自动解锁记录仪舱门；解锁舱门后，通过语音与显示屏画面上提示用户取走对应记录仪“请领取？号位记录仪”，如错误取用将通过语音与显示屏画面上提示“领取错误，请归还记录仪，并重新取用正确的记录仪”，领取正确则提示“请关舱门，谢谢”。磁盘阵列</w:t>
      </w:r>
      <w:r>
        <w:rPr>
          <w:rFonts w:hint="default" w:ascii="宋体" w:hAnsi="宋体" w:eastAsia="宋体" w:cs="宋体"/>
          <w:color w:val="auto"/>
          <w:sz w:val="24"/>
          <w:szCs w:val="24"/>
          <w:lang w:val="en-US" w:eastAsia="zh-CN" w:bidi="ar-SA"/>
        </w:rPr>
        <w:tab/>
      </w:r>
      <w:r>
        <w:rPr>
          <w:rFonts w:hint="default" w:ascii="宋体" w:hAnsi="宋体" w:eastAsia="宋体" w:cs="宋体"/>
          <w:color w:val="auto"/>
          <w:sz w:val="24"/>
          <w:szCs w:val="24"/>
          <w:lang w:val="en-US" w:eastAsia="zh-CN" w:bidi="ar-SA"/>
        </w:rPr>
        <w:t xml:space="preserve">支持板载RAID(≤4盘位)，支持加装独立RAID卡</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85" w:name="_Toc5270"/>
      <w:r>
        <w:rPr>
          <w:rFonts w:hint="eastAsia" w:ascii="宋体" w:hAnsi="宋体" w:eastAsia="宋体" w:cs="宋体"/>
          <w:b/>
          <w:bCs/>
          <w:color w:val="auto"/>
          <w:sz w:val="24"/>
          <w:szCs w:val="24"/>
          <w:lang w:val="en-US" w:eastAsia="zh-CN"/>
        </w:rPr>
        <w:t xml:space="preserve">3.3测距仪</w:t>
      </w:r>
      <w:bookmarkEnd w:id="185"/>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测距方式：半导体激光测距</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外观尺寸：≤100*40*80MM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波长：905纳米</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测距范围：5-1000米</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测距误差：±0.5米</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角度显示分辨率：0.1米</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测距显示方式：视野内透过式LCD显示</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望远镜倍率：≥6倍</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目镜直径：13~14mm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物镜直径：24~25mm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对焦方式：目镜手动调焦</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防护等级：IP54</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测距模式：手动模式、测高测角模式、自动扫描模式、高尔夫模式（旗杆锁定时震动）</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86" w:name="_Toc19264"/>
      <w:r>
        <w:rPr>
          <w:rFonts w:hint="eastAsia" w:ascii="宋体" w:hAnsi="宋体" w:eastAsia="宋体" w:cs="宋体"/>
          <w:b/>
          <w:bCs/>
          <w:color w:val="auto"/>
          <w:sz w:val="24"/>
          <w:szCs w:val="24"/>
          <w:lang w:val="en-US" w:eastAsia="zh-CN"/>
        </w:rPr>
        <w:t xml:space="preserve">3.4红外摄像机</w:t>
      </w:r>
      <w:bookmarkEnd w:id="186"/>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光学变焦：12倍</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传感器类型：CMOS</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防抖功能：光学防抖</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对焦方式：自动/手动</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音效模式：内置麦克风</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液晶屏尺寸：3英寸</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分辨率：1920*1080</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清晰度：4K</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像素：601万以上</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变焦倍数：15倍以下</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最大扩展容量：不低于256 GB</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像素：总像素不低于2000万</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87" w:name="_Toc26097"/>
      <w:r>
        <w:rPr>
          <w:rFonts w:hint="eastAsia" w:ascii="宋体" w:hAnsi="宋体" w:eastAsia="宋体" w:cs="宋体"/>
          <w:b/>
          <w:bCs/>
          <w:color w:val="auto"/>
          <w:sz w:val="24"/>
          <w:szCs w:val="24"/>
          <w:lang w:val="en-US" w:eastAsia="zh-CN"/>
        </w:rPr>
        <w:t xml:space="preserve">3.5快检试剂包</w:t>
      </w:r>
      <w:bookmarkEnd w:id="187"/>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COD：0-250mg/L 50次/盒，2盒</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氨氮：0.5-20 mg/L 50次/盒，2盒</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总磷：0-20mg/L 50次/盒，2盒</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总氮：0-20mg/L 50次/盒，2盒</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总镍：0-5mg/L 50次/盒，1盒</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六价铬：0.05-2mg/L 50次/盒，1盒</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88" w:name="_Toc30014"/>
      <w:r>
        <w:rPr>
          <w:rFonts w:hint="eastAsia" w:ascii="宋体" w:hAnsi="宋体" w:eastAsia="宋体" w:cs="宋体"/>
          <w:b/>
          <w:bCs/>
          <w:color w:val="auto"/>
          <w:sz w:val="24"/>
          <w:szCs w:val="24"/>
          <w:lang w:val="en-US" w:eastAsia="zh-CN"/>
        </w:rPr>
        <w:t xml:space="preserve">3.6热成像仪</w:t>
      </w:r>
      <w:bookmarkEnd w:id="188"/>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3.6.1产品符合GB/T19870-2018工业检测型红外热像仪标准要求。用于远距离观测企业生产状况，分辨目标物的温度。将不可见红外能量转变为可见的热图像，能实时显示被测目标表面温度及背景环境温度。能进行温度分析、背景补偿、温度修正、温度报警等。能同时保存红外和可见光影像。</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3.6.2采用384×288高像素非晶硅微量热型探测器，50Hz帧频，完美的成像质量，测温精准，搭配手自一体镜头，符合人体工学设计，有效提高检测效率。</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3.6.3技术参数：</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DSX可见光和红外图像融合、叠加</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手自一体镜头，自动对焦功能</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多种测温模式：高低温自动跟踪、线测温、矩形测温、圆形测温、等温分析；</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4寸以上高清触摸显示屏，阳光下清晰可见</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2米防跌落</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3.6.4适用于环境监测、建筑诊断、电气/电力/机械检验、钢铁冶金、研究与开发、自动化应用程序、预防性和预见性维护。</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3.6.5类型：非制冷焦平面微量热型</w:t>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像素：384×288</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像元间距：17μm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▲波长范围：7.5~14μm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▲热灵敏度：50mK</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▲视场角：24°×18°</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空间分辨率：1.13mrad</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聚焦：手动/电动/自动</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镜头识：自动</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液晶显示屏：高清晰不小于4。彩色液晶触摸显示屏，小于等于850×500</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▲内置可见光相机：不低于500万像素CMOS，自动对焦，1个LED补光灯</w:t>
      </w:r>
      <w:r/>
    </w:p>
    <w:p>
      <w:pPr>
        <w:numPr>
          <w:ilvl w:val="0"/>
          <w:numId w:val="0"/>
        </w:numPr>
        <w:ind w:left="0"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帧频：50Hz/</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放大倍数：1X~10X连续放大</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调色板：12种可选（包括铁红、彩虹、黑热和白热等）</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▲测温范围：-40℃~+600℃</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测温精度：±2℃或±2%（读数范围），取大值</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测量模式：实时至少10个可移动点，至少5个可移动区域（最高温、最低温捕捉、平均温度测量），至少3个圆形区域，至少5个可移动线测温，等温分析，温差测量，温度报警（声音、颜色）</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▲辐射率校正：0.01至1.0辐射率可调，或通过预定义的物质辐射率表校正辐射率</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声光报警：有</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存储卡：</w:t>
      </w:r>
      <w:r>
        <w:rPr>
          <w:rFonts w:hint="default" w:ascii="宋体" w:hAnsi="宋体" w:eastAsia="宋体" w:cs="宋体"/>
          <w:color w:val="auto"/>
          <w:sz w:val="24"/>
          <w:szCs w:val="24"/>
          <w:lang w:val="en-US" w:eastAsia="zh-CN" w:bidi="ar-SA"/>
        </w:rPr>
        <w:t xml:space="preserve">64</w:t>
      </w:r>
      <w:r>
        <w:rPr>
          <w:rFonts w:hint="eastAsia" w:ascii="宋体" w:hAnsi="宋体" w:eastAsia="宋体" w:cs="宋体"/>
          <w:color w:val="auto"/>
          <w:sz w:val="24"/>
          <w:szCs w:val="24"/>
          <w:lang w:val="en-US" w:eastAsia="zh-CN" w:bidi="ar-SA"/>
        </w:rPr>
        <w:t xml:space="preserve">G，可存储&gt;128000幅</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语音注释：60s语音格式，随图像一同存储</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具备激光指示功能：带安全激光，夜间指示观测目标。</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USB接口：USB2.0，图像、视频、实时视频</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WIFI：有</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蓝牙：有</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电池类型：锂电池（可充电）</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工作时间：4h连续工作（常温）</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省电模式：有</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▲可见光图像显示：具备图像数字处理 DDE 显示技术、    </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▲修正功能：输入目标距离、目标发射率、环境温度、反射温度、相对湿度后，自动计算修正大气透过率和目标表面反射率对测量结果的影响</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▲光学穿透率校正：根据内置的温度传感器对探测器周围的温度的漂移和增益（包括仪器本身的温度变化）进行连续的自动校准。</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89" w:name="_Toc5866"/>
      <w:r>
        <w:rPr>
          <w:rFonts w:hint="eastAsia" w:ascii="宋体" w:hAnsi="宋体" w:eastAsia="宋体" w:cs="宋体"/>
          <w:b/>
          <w:bCs/>
          <w:color w:val="auto"/>
          <w:sz w:val="24"/>
          <w:szCs w:val="24"/>
          <w:lang w:val="en-US" w:eastAsia="zh-CN"/>
        </w:rPr>
        <w:t xml:space="preserve">3.7红外热成像气体泄漏检测仪</w:t>
      </w:r>
      <w:bookmarkEnd w:id="189"/>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3.7.1可通过非接触式、远距离操作、准确定位VOCs气 体无组织排放泄露点位。具备拍照、语音、视频录制、北斗定位系统、防爆等功能。</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3.7.2单套配置要求</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主机，1台</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专用锂电池，4块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专用电源适配器和充电底座，2套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USB数据线和HDMI数据线，1套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标准SD卡和读卡器，1套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专用蓝牙耳机，1副</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镜头清洁工具套装，2套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仪器防护箱，1个</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定量模块，1个</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移动式应急模块，1套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3.7.3基本要求</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针对挥发性有机气体的非接触式检测仪，以图像形式快速发现挥发性有机气体泄漏，并能精准定位泄漏或排放源头。</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探测器类型：制冷型高灵敏度探测器； </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操作方式：具备中文操作界面，用按键或者触摸屏操作；</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图像调整：自动/手动调整对比度、亮度；</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气体增强显示：可探测到微小泄漏状态，具备高灵敏度模式；</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录制红外视频和可见光视频时，可以同时录制语音数据；</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语音记录和回放功能：可随图像一同存储60秒及以上的语音记录；</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具有可旋转触摸彩色显示屏，可根据测量点位调整屏幕视角，方便观察；</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▲激光指示：具有激光指示功能，激光分类为二级，功率为1mW，波长为635nm红色激光。（提供第三方的检测报告复印件）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▲激光指示：具有激光指示和测距功能，可在屏幕上显示距离信息，可选配最大测量距离≥1000m。（提供的第三方检测报告和软件操作界面截图）</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测温精度：采用不少于4个不同的温度校准点，进行温度校准比对，示值误差均≤2%。</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单北斗定位：主机屏幕可以显示实时经纬度信息。</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放大镜功能：可使用放大镜功能对热图像进行局部放大。</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图像冻结功能：具备图像冻结功能。</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通过WIFI连接防爆手操器，可对红外热成像气体泄漏检测仪图像远程传输并可以进行远程控制。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▲具有防爆合格证，且防爆等级不低于Ex ic nc IIC T6 Gc，防爆证上不能有产品和测量点之间的距离限制，且需满足光辐照度≤5mW/mm2。</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防护等级：不低于IP54。</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▲电池使用时间：单块电池连续使用时间≥4小时；低温环境下（-20℃及以下）电池使用时间≥3小时，具有电量报警、自动关机或自动息屏功能。</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充电方式：仪器具备直接充电和座充两种充电方式，可采用电源适配器连接主机充电口直接充电，或将电池拆卸采用座充独立充电，座充可同时为两块电池充电。</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▲需具备定量功能，可通过WIFI连接定量模块（FID+PID），仪器屏幕可以同时显示FID检测器和PID检测器实时检测检测数据。（提供仪器连接界面截图）</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定量模块技术要求：</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1.检测原理：FID检测器和PID检测器。</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2.▲氢气气源：储氢合金作为氢气气源，连续工作时间≥6小时；储氢合金重量不超过100g，容纳氢气体积不少于10L；（提供第三方的检测报告复印件）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3.▲氢气瓶充氢方式：可使用电解水原理的小型氢气发生器充气，氢气发生器重量≤2kg。（提供第三方的检测报告复印件）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4.▲氢气发生器可选配防爆外壳，可适用于防爆环境下；同时至少需达到IP66防护等级。（提供防爆合格证）</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5.▲防爆要求：分析仪在有潜在易燃易爆气体的危险性环境中操作，应具有防爆安全性，整机防爆等级至少达到Ex db ia IIC T4 Gb；（提供防爆合格证，需与仪器型号保持一致）</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6.供电方式：采用可拆卸电池供电，电池容量≥3500mAh，单个电池的连续工作时间≥6小时；（提供第三方的检测报告复印件）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7.▲储氢合金安全性：危险性识别和空运货物条件限制（提供国家认可的检测机构出具的CNAS货物运输条件鉴定书）</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8.充电方式：可采用电源适配器连接主机充电口直接充电，或将电池拆卸采用座充独立充电，座充可同时为两块电池充电；</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9.量程范围：FID：0~50000μmol/mol，PID：0.5~2000μmol/mol；</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10.检出限：FID：≤0.5μmol/mol，PID：≤0.5μmol/mol； </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11.重复性：FID：≤2%，PID：≤2%；仪器平行性：FID：≤2%，PID：≤2%</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12.▲分析仪总重量≤3kg；（提供第三方的检测报告复印件）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配备VOCs泄漏现场筛查工具APP，可以实现现场拍照取证功能，照片中可以同时显示当前实时的地理位置信息（单北斗）以及定量模块FID和PID检测实时数值和最大值，还可以显示当前日期、时间以及检测仪器的型号。（提供APP软件截图）</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仪器及定量模块可与VOCs现场监察综合管控平台系统、APP实现联动，仪器检测数据及检测点信息通过手操器实现上传，系统需至少包含建档管理、数据导入、任务管理、统计分析、报表导出等功能。（提供仪器及平台联动演示视频）</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15.移动式应急模块：功率300W及以上，带光源，电压≤36V（含），应急时间≥180min</w:t>
      </w:r>
      <w:r/>
    </w:p>
    <w:p>
      <w:pPr>
        <w:numPr>
          <w:ilvl w:val="0"/>
          <w:numId w:val="0"/>
        </w:numPr>
        <w:ind w:left="0" w:firstLine="420"/>
        <w:jc w:val="left"/>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3.7.4参数要求</w:t>
      </w:r>
      <w:r/>
    </w:p>
    <w:tbl>
      <w:tblPr>
        <w:tblStyle w:val="8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838"/>
        <w:gridCol w:w="6228"/>
      </w:tblGrid>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bCs/>
                <w:color w:val="000000"/>
                <w:sz w:val="21"/>
                <w:szCs w:val="21"/>
              </w:rPr>
            </w:pPr>
            <w:r>
              <w:rPr>
                <w:rFonts w:hint="default" w:ascii="Times New Roman" w:hAnsi="Times New Roman" w:cs="Times New Roman" w:eastAsiaTheme="minorEastAsia"/>
                <w:b/>
                <w:bCs/>
                <w:color w:val="000000"/>
                <w:sz w:val="21"/>
                <w:szCs w:val="21"/>
              </w:rPr>
              <w:t xml:space="preserve">序号</w:t>
            </w:r>
            <w:r/>
          </w:p>
        </w:tc>
        <w:tc>
          <w:tcPr>
            <w:tcW w:w="1425" w:type="pct"/>
            <w:vAlign w:val="center"/>
            <w:textDirection w:val="lrTb"/>
            <w:noWrap w:val="false"/>
          </w:tcPr>
          <w:p>
            <w:pPr>
              <w:jc w:val="center"/>
              <w:rPr>
                <w:rFonts w:hint="default" w:ascii="Times New Roman" w:hAnsi="Times New Roman" w:cs="Times New Roman" w:eastAsiaTheme="minorEastAsia"/>
                <w:b/>
                <w:bCs/>
                <w:color w:val="000000"/>
                <w:sz w:val="21"/>
                <w:szCs w:val="21"/>
              </w:rPr>
            </w:pPr>
            <w:r>
              <w:rPr>
                <w:rFonts w:hint="default" w:ascii="Times New Roman" w:hAnsi="Times New Roman" w:cs="Times New Roman" w:eastAsiaTheme="minorEastAsia"/>
                <w:b/>
                <w:bCs/>
                <w:color w:val="000000"/>
                <w:sz w:val="21"/>
                <w:szCs w:val="21"/>
              </w:rPr>
              <w:t xml:space="preserve">项目</w:t>
            </w:r>
            <w:r/>
          </w:p>
        </w:tc>
        <w:tc>
          <w:tcPr>
            <w:tcW w:w="3127" w:type="pct"/>
            <w:vAlign w:val="center"/>
            <w:textDirection w:val="lrTb"/>
            <w:noWrap w:val="false"/>
          </w:tcPr>
          <w:p>
            <w:pPr>
              <w:jc w:val="center"/>
              <w:rPr>
                <w:rFonts w:hint="default" w:ascii="Times New Roman" w:hAnsi="Times New Roman" w:cs="Times New Roman" w:eastAsiaTheme="minorEastAsia"/>
                <w:b/>
                <w:bCs/>
                <w:color w:val="000000"/>
                <w:sz w:val="21"/>
                <w:szCs w:val="21"/>
              </w:rPr>
            </w:pPr>
            <w:r>
              <w:rPr>
                <w:rFonts w:hint="default" w:ascii="Times New Roman" w:hAnsi="Times New Roman" w:cs="Times New Roman" w:eastAsiaTheme="minorEastAsia"/>
                <w:b/>
                <w:bCs/>
                <w:color w:val="000000"/>
                <w:sz w:val="21"/>
                <w:szCs w:val="21"/>
              </w:rPr>
              <w:t xml:space="preserve">指标要求</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工作温度</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-20℃～+60℃</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(2)</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存储温度</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-40℃～+80℃</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(3)</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测温范围</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-40℃～+500℃</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(4)</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工作波段</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lang w:eastAsia="ja-JP"/>
              </w:rPr>
            </w:pPr>
            <w:r>
              <w:rPr>
                <w:rFonts w:hint="default" w:ascii="Times New Roman" w:hAnsi="Times New Roman" w:cs="Times New Roman" w:eastAsiaTheme="minorEastAsia"/>
                <w:b w:val="0"/>
                <w:bCs/>
                <w:color w:val="000000"/>
                <w:sz w:val="21"/>
                <w:szCs w:val="21"/>
              </w:rPr>
              <w:t xml:space="preserve">3.2~3.5μm</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(5)</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分辨率</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≥320×256</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(6)</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热灵敏度</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≤10mk@25℃</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(7)</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制冷器运行噪声</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≤35dB</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(8)</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显示屏</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≥5英寸可旋转触摸液晶显示屏，分辨率≥1920×1080</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(9)</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启动时间</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≤5 min</w:t>
            </w:r>
            <w:r/>
          </w:p>
        </w:tc>
      </w:tr>
      <w:tr>
        <w:trPr>
          <w:jc w:val="center"/>
          <w:trHeight w:val="407"/>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(10)</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目镜分辨率</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≥1920×1080（OLED，可旋转）</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(11)</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可见光摄像头像素</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≥500万（CMOS，带补光灯）</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(12)</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手柄可旋转角度</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≥180度</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(13)</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显示模式</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可使用用户自定义的调色板伪彩显示热图，具有不少于10种伪彩色调色板，可以手动/自动调节色标，具备色标反向功能。</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(14)</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变倍</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1~10倍连续数字变倍</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(15)</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视频存储</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SD卡≥64G</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(16)</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重量</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≤2.7kg（含标配镜头和电池）</w:t>
            </w:r>
            <w:r/>
          </w:p>
        </w:tc>
      </w:tr>
      <w:tr>
        <w:trPr>
          <w:jc w:val="center"/>
          <w:trHeight w:val="395"/>
        </w:trPr>
        <w:tc>
          <w:tcPr>
            <w:tcW w:w="447" w:type="pct"/>
            <w:vAlign w:val="center"/>
            <w:textDirection w:val="lrTb"/>
            <w:noWrap w:val="false"/>
          </w:tcPr>
          <w:p>
            <w:pPr>
              <w:jc w:val="center"/>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(17)</w:t>
            </w:r>
            <w:r/>
          </w:p>
        </w:tc>
        <w:tc>
          <w:tcPr>
            <w:tcW w:w="1425"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仪器防护箱</w:t>
            </w:r>
            <w:r/>
          </w:p>
        </w:tc>
        <w:tc>
          <w:tcPr>
            <w:tcW w:w="3127" w:type="pct"/>
            <w:vAlign w:val="center"/>
            <w:textDirection w:val="lrTb"/>
            <w:noWrap w:val="false"/>
          </w:tcPr>
          <w:p>
            <w:pPr>
              <w:jc w:val="left"/>
              <w:rPr>
                <w:rFonts w:hint="default" w:ascii="Times New Roman" w:hAnsi="Times New Roman" w:cs="Times New Roman" w:eastAsiaTheme="minorEastAsia"/>
                <w:b w:val="0"/>
                <w:bCs/>
                <w:color w:val="000000"/>
                <w:sz w:val="21"/>
                <w:szCs w:val="21"/>
              </w:rPr>
            </w:pPr>
            <w:r>
              <w:rPr>
                <w:rFonts w:hint="default" w:ascii="Times New Roman" w:hAnsi="Times New Roman" w:cs="Times New Roman" w:eastAsiaTheme="minorEastAsia"/>
                <w:b w:val="0"/>
                <w:bCs/>
                <w:color w:val="000000"/>
                <w:sz w:val="21"/>
                <w:szCs w:val="21"/>
              </w:rPr>
              <w:t xml:space="preserve">拉杆式防护箱，防护等级不低于IP67</w:t>
            </w:r>
            <w:r/>
          </w:p>
        </w:tc>
      </w:tr>
    </w:tbl>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3.7.5两年内10次现场指导使用服务。</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3.7.6根据所投红外热成像气体泄漏检测仪探测器核心指标：噪声等效温差（NETD）≤0.020℃（提供第三方的检测报告和对应检测机构认可证书附表扫描件）。</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90" w:name="_Toc14883"/>
      <w:r>
        <w:rPr>
          <w:rFonts w:hint="eastAsia" w:ascii="宋体" w:hAnsi="宋体" w:eastAsia="宋体" w:cs="宋体"/>
          <w:b/>
          <w:bCs/>
          <w:color w:val="auto"/>
          <w:sz w:val="24"/>
          <w:szCs w:val="24"/>
          <w:lang w:val="en-US" w:eastAsia="zh-CN"/>
        </w:rPr>
        <w:t xml:space="preserve">3.8粉尘快速测定仪</w:t>
      </w:r>
      <w:bookmarkEnd w:id="190"/>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3.8.1用途</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应用激光散射法测量环境空气中PM10/PM2.5的浓度，具有测试速度快，灵敏度高，稳定性好，重量轻，噪声低，操作简单等优点。</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3.8.2执行标准</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JJG 846-2015 《粉尘浓度测量仪检定规程》</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LD 98-1996 《空气中粉尘浓度的光散射式测定法》</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bookmarkStart w:id="191" w:name="_Hlk82281503"/>
      <w:r>
        <w:rPr>
          <w:rFonts w:hint="eastAsia" w:ascii="宋体" w:hAnsi="宋体" w:eastAsia="宋体" w:cs="宋体"/>
          <w:color w:val="auto"/>
          <w:sz w:val="24"/>
          <w:szCs w:val="24"/>
          <w:lang w:val="en-US" w:eastAsia="zh-CN" w:bidi="ar-SA"/>
        </w:rPr>
        <w:t xml:space="preserve">3.8.3主要特点</w:t>
      </w:r>
      <w:bookmarkEnd w:id="191"/>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体积小、重量轻、噪音低；</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大尺寸显示屏，强光下可清晰显示测量数据；</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实时测量环境空气中PM2.5/PM10及温湿度等参数；</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稳定性好、灵敏度高，测试速度快；</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颗粒物浓度动态曲线显示，方便用户观测污染物变化；</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内置大容量锂电池，连续工作时间大于24小时；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USB数据线支持导出存储数据，并可以为仪器充电；</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提供专门的数据处理软件。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3.8.4技术指标</w:t>
      </w:r>
      <w:r/>
    </w:p>
    <w:tbl>
      <w:tblPr>
        <w:tblStyle w:val="8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7"/>
        <w:gridCol w:w="2520"/>
        <w:gridCol w:w="1955"/>
        <w:gridCol w:w="3080"/>
      </w:tblGrid>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主要参数</w:t>
            </w:r>
            <w:r/>
          </w:p>
        </w:tc>
        <w:tc>
          <w:tcPr>
            <w:tcW w:w="1266"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参 数 范 围</w:t>
            </w:r>
            <w:r/>
          </w:p>
        </w:tc>
        <w:tc>
          <w:tcPr>
            <w:tcW w:w="982"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分 辨 率</w:t>
            </w:r>
            <w:r/>
          </w:p>
        </w:tc>
        <w:tc>
          <w:tcPr>
            <w:tcW w:w="154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准 确 度</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PM</w:t>
            </w:r>
            <w:r>
              <w:rPr>
                <w:rFonts w:hint="default" w:ascii="Times New Roman" w:hAnsi="Times New Roman" w:cs="Times New Roman" w:eastAsiaTheme="minorEastAsia"/>
                <w:sz w:val="21"/>
                <w:szCs w:val="21"/>
                <w:vertAlign w:val="subscript"/>
              </w:rPr>
              <w:t xml:space="preserve">10</w:t>
            </w:r>
            <w:r>
              <w:rPr>
                <w:rFonts w:hint="default" w:ascii="Times New Roman" w:hAnsi="Times New Roman" w:cs="Times New Roman" w:eastAsiaTheme="minorEastAsia"/>
                <w:sz w:val="21"/>
                <w:szCs w:val="21"/>
              </w:rPr>
              <w:t xml:space="preserve">测量范围</w:t>
            </w:r>
            <w:r/>
          </w:p>
        </w:tc>
        <w:tc>
          <w:tcPr>
            <w:tcW w:w="1266"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（0～999）μg/m³</w:t>
            </w:r>
            <w:r/>
          </w:p>
        </w:tc>
        <w:tc>
          <w:tcPr>
            <w:tcW w:w="982"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0.1μg/m³</w:t>
            </w:r>
            <w:r/>
          </w:p>
        </w:tc>
        <w:tc>
          <w:tcPr>
            <w:tcW w:w="1545" w:type="pct"/>
            <w:vAlign w:val="center"/>
            <w:vMerge w:val="restart"/>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优于±15%和±10μg/m³的最大值</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PM</w:t>
            </w:r>
            <w:r>
              <w:rPr>
                <w:rFonts w:hint="default" w:ascii="Times New Roman" w:hAnsi="Times New Roman" w:cs="Times New Roman" w:eastAsiaTheme="minorEastAsia"/>
                <w:sz w:val="21"/>
                <w:szCs w:val="21"/>
                <w:vertAlign w:val="subscript"/>
              </w:rPr>
              <w:t xml:space="preserve">2.5</w:t>
            </w:r>
            <w:r>
              <w:rPr>
                <w:rFonts w:hint="default" w:ascii="Times New Roman" w:hAnsi="Times New Roman" w:cs="Times New Roman" w:eastAsiaTheme="minorEastAsia"/>
                <w:sz w:val="21"/>
                <w:szCs w:val="21"/>
              </w:rPr>
              <w:t xml:space="preserve">测量范围</w:t>
            </w:r>
            <w:r/>
          </w:p>
        </w:tc>
        <w:tc>
          <w:tcPr>
            <w:tcW w:w="1266"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（0～999）μg/m³</w:t>
            </w:r>
            <w:r/>
          </w:p>
        </w:tc>
        <w:tc>
          <w:tcPr>
            <w:tcW w:w="982"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0.1μg/m³</w:t>
            </w:r>
            <w:r/>
          </w:p>
        </w:tc>
        <w:tc>
          <w:tcPr>
            <w:tcW w:w="1545" w:type="pct"/>
            <w:vAlign w:val="center"/>
            <w:vMerge w:val="continue"/>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温度测量范围</w:t>
            </w:r>
            <w:r/>
          </w:p>
        </w:tc>
        <w:tc>
          <w:tcPr>
            <w:tcW w:w="1266"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(-20～40)℃</w:t>
            </w:r>
            <w:r/>
          </w:p>
        </w:tc>
        <w:tc>
          <w:tcPr>
            <w:tcW w:w="982"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0.1℃</w:t>
            </w:r>
            <w:r/>
          </w:p>
        </w:tc>
        <w:tc>
          <w:tcPr>
            <w:tcW w:w="154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优于±1℃</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湿度测量范围</w:t>
            </w:r>
            <w:r/>
          </w:p>
        </w:tc>
        <w:tc>
          <w:tcPr>
            <w:tcW w:w="1266"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(0～99) %RH</w:t>
            </w:r>
            <w:r/>
          </w:p>
        </w:tc>
        <w:tc>
          <w:tcPr>
            <w:tcW w:w="982"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0.1%RH</w:t>
            </w:r>
            <w:r/>
          </w:p>
        </w:tc>
        <w:tc>
          <w:tcPr>
            <w:tcW w:w="154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优于±3%RH</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测量原理</w:t>
            </w:r>
            <w:r/>
          </w:p>
        </w:tc>
        <w:tc>
          <w:tcPr>
            <w:gridSpan w:val="3"/>
            <w:tcW w:w="379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光散射测量法</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检测方式</w:t>
            </w:r>
            <w:r/>
          </w:p>
        </w:tc>
        <w:tc>
          <w:tcPr>
            <w:gridSpan w:val="3"/>
            <w:tcW w:w="379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自动</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响应时间</w:t>
            </w:r>
            <w:r/>
          </w:p>
        </w:tc>
        <w:tc>
          <w:tcPr>
            <w:gridSpan w:val="3"/>
            <w:tcW w:w="379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≤10s</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主机尺寸</w:t>
            </w:r>
            <w:r/>
          </w:p>
        </w:tc>
        <w:tc>
          <w:tcPr>
            <w:gridSpan w:val="3"/>
            <w:tcW w:w="379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≤(长</w:t>
            </w:r>
            <w:r>
              <w:rPr>
                <w:rFonts w:hint="default" w:ascii="Times New Roman" w:hAnsi="Times New Roman" w:cs="Times New Roman" w:eastAsiaTheme="minorEastAsia"/>
                <w:sz w:val="21"/>
                <w:szCs w:val="21"/>
                <w:lang w:val="en-US" w:eastAsia="zh-CN"/>
              </w:rPr>
              <w:t xml:space="preserve">30</w:t>
            </w:r>
            <w:r>
              <w:rPr>
                <w:rFonts w:hint="default" w:ascii="Times New Roman" w:hAnsi="Times New Roman" w:cs="Times New Roman" w:eastAsiaTheme="minorEastAsia"/>
                <w:sz w:val="21"/>
                <w:szCs w:val="21"/>
              </w:rPr>
              <w:t xml:space="preserve">0×宽1</w:t>
            </w:r>
            <w:r>
              <w:rPr>
                <w:rFonts w:hint="default" w:ascii="Times New Roman" w:hAnsi="Times New Roman" w:cs="Times New Roman" w:eastAsiaTheme="minorEastAsia"/>
                <w:sz w:val="21"/>
                <w:szCs w:val="21"/>
                <w:lang w:val="en-US" w:eastAsia="zh-CN"/>
              </w:rPr>
              <w:t xml:space="preserve">20</w:t>
            </w:r>
            <w:r>
              <w:rPr>
                <w:rFonts w:hint="default" w:ascii="Times New Roman" w:hAnsi="Times New Roman" w:cs="Times New Roman" w:eastAsiaTheme="minorEastAsia"/>
                <w:sz w:val="21"/>
                <w:szCs w:val="21"/>
              </w:rPr>
              <w:t xml:space="preserve">×高</w:t>
            </w:r>
            <w:r>
              <w:rPr>
                <w:rFonts w:hint="default" w:ascii="Times New Roman" w:hAnsi="Times New Roman" w:cs="Times New Roman" w:eastAsiaTheme="minorEastAsia"/>
                <w:sz w:val="21"/>
                <w:szCs w:val="21"/>
                <w:lang w:val="en-US" w:eastAsia="zh-CN"/>
              </w:rPr>
              <w:t xml:space="preserve">60</w:t>
            </w:r>
            <w:r>
              <w:rPr>
                <w:rFonts w:hint="default" w:ascii="Times New Roman" w:hAnsi="Times New Roman" w:cs="Times New Roman" w:eastAsiaTheme="minorEastAsia"/>
                <w:sz w:val="21"/>
                <w:szCs w:val="21"/>
              </w:rPr>
              <w:t xml:space="preserve">)mm</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主机重量</w:t>
            </w:r>
            <w:r/>
          </w:p>
        </w:tc>
        <w:tc>
          <w:tcPr>
            <w:gridSpan w:val="3"/>
            <w:tcW w:w="379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w:t>
            </w:r>
            <w:r>
              <w:rPr>
                <w:rFonts w:hint="default" w:ascii="Times New Roman" w:hAnsi="Times New Roman" w:cs="Times New Roman" w:eastAsiaTheme="minorEastAsia"/>
                <w:sz w:val="21"/>
                <w:szCs w:val="21"/>
                <w:lang w:val="en-US" w:eastAsia="zh-CN"/>
              </w:rPr>
              <w:t xml:space="preserve">1</w:t>
            </w:r>
            <w:r>
              <w:rPr>
                <w:rFonts w:hint="default" w:ascii="Times New Roman" w:hAnsi="Times New Roman" w:cs="Times New Roman" w:eastAsiaTheme="minorEastAsia"/>
                <w:sz w:val="21"/>
                <w:szCs w:val="21"/>
              </w:rPr>
              <w:t xml:space="preserve">kg</w:t>
            </w:r>
            <w:r/>
          </w:p>
        </w:tc>
      </w:tr>
      <w:tr>
        <w:trPr>
          <w:trHeight w:val="397"/>
        </w:trPr>
        <w:tc>
          <w:tcPr>
            <w:tcW w:w="1204"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功    耗</w:t>
            </w:r>
            <w:r/>
          </w:p>
        </w:tc>
        <w:tc>
          <w:tcPr>
            <w:gridSpan w:val="3"/>
            <w:tcW w:w="3795" w:type="pct"/>
            <w:vAlign w:val="center"/>
            <w:textDirection w:val="lrTb"/>
            <w:noWrap w:val="false"/>
          </w:tcPr>
          <w:p>
            <w:pPr>
              <w:jc w:val="center"/>
              <w:spacing w:line="360" w:lineRule="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＜1W</w:t>
            </w:r>
            <w:r/>
          </w:p>
        </w:tc>
      </w:tr>
    </w:tbl>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92" w:name="_Toc4848"/>
      <w:r>
        <w:rPr>
          <w:rFonts w:hint="eastAsia" w:ascii="宋体" w:hAnsi="宋体" w:eastAsia="宋体" w:cs="宋体"/>
          <w:b/>
          <w:bCs/>
          <w:color w:val="auto"/>
          <w:sz w:val="24"/>
          <w:szCs w:val="24"/>
          <w:lang w:val="en-US" w:eastAsia="zh-CN"/>
        </w:rPr>
        <w:t xml:space="preserve">3.9手持式光离子化检测仪（PID）</w:t>
      </w:r>
      <w:bookmarkEnd w:id="192"/>
      <w:r/>
      <w:r/>
    </w:p>
    <w:p>
      <w:pPr>
        <w:numPr>
          <w:ilvl w:val="0"/>
          <w:numId w:val="0"/>
        </w:numPr>
        <w:ind w:left="0" w:firstLine="420"/>
        <w:jc w:val="left"/>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通过光离子技术快速检测VOCs气体。具备防爆、便携式强、检测精度高、检测结果可直接读取等功能。</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3.9.1设备用途</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仪器主要用于检测现场环境空气中的有毒有害气体的浓度，应急（泄漏）事故监测、职业卫生场所有毒有害气体检测、石化企业安全检测以及储罐、管道、阀门泄漏检测等场景。该仪器传感器的配置灵活，可配置催化燃烧式、电化学式、红外和光离子化（PID）等传感器，一次可同时安装7个不同种类的气体传感器，对特定挥发性有机气体的检测范围可达1ppb～10000pp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3.9.2性能要求</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体积小巧，操作简单，同时显示多组分测量结果；</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特定VOC气体检测范围1ppb—10000ppm；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内设上百种VOC气体校正系数；</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气体浓度动态曲线显示，方便用户观测污染物变化；</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内置大容量锂电池，连续工作时间长；</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可以同时选配包括PID在内的7种气体传感器；</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USB数据线导出存储数据，并可以对仪器充电；</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提供专门的数据处理软件；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具有防爆型证书；</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性能稳定可靠、操作使用简便；</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可保存95000组测量数据；</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具备计量器具型式批准证书和制造计量器具许可证书。（提供复印件）。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可选配土壤开孔器可用于土壤VOCs监测。</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3.9.3技术指标</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传感器模块可选配种类及量程（种类、量程可定制）：氧  气O2(0～30%)Vol，分辨率0.1%VoI；一氧化碳CO(0～1000)ppm，分辨率1ppm；氨  气NH3(0～100)ppm，分辨率0.1ppm；硫化氢H2S(0～100)ppm，分辨率0.1ppm；可燃气体LEL(0～100)%LEL，分辨率1%LEL；二氧化碳CO</w:t>
      </w:r>
      <w:r>
        <w:rPr>
          <w:rFonts w:hint="eastAsia" w:ascii="宋体" w:hAnsi="宋体" w:eastAsia="宋体" w:cs="宋体"/>
          <w:color w:val="auto"/>
          <w:sz w:val="24"/>
          <w:szCs w:val="24"/>
          <w:vertAlign w:val="subscript"/>
          <w:lang w:val="en-US" w:eastAsia="zh-CN" w:bidi="ar-SA"/>
        </w:rPr>
        <w:t xml:space="preserve">2</w:t>
      </w:r>
      <w:r>
        <w:rPr>
          <w:rFonts w:hint="eastAsia" w:ascii="宋体" w:hAnsi="宋体" w:eastAsia="宋体" w:cs="宋体"/>
          <w:color w:val="auto"/>
          <w:sz w:val="24"/>
          <w:szCs w:val="24"/>
          <w:lang w:val="en-US" w:eastAsia="zh-CN" w:bidi="ar-SA"/>
        </w:rPr>
        <w:t xml:space="preserve">(0～5000)ppm，分辨率1ppm；PID检测器VOC(0～10000)ppm，分辨率1ppm。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外型尺寸＜(长300×宽120×高60)mm</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工作温度（-20～50）℃</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工作湿度（15～90）%RH</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工作电源为3.7V/6.8Ah锂电池</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仪器噪声＜50dB(A)</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整机重量＜1kg</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功耗＜1W</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3.9.4设备配置</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主机1台</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主机箱1个</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充电器1个</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USB数据线1根</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针头过滤器2个</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U盘1个</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延长杆组件1套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说明书1份</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合格证/保修卡1套</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装箱单1份</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3.10油气回收三项检测仪</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3.10.1、设备用途：适用于加油站油气回收系统的密闭性、液阻和气液比等参数的检测。也可用于加油站油气回收在线监测系统的校准和气液比、系统压力指标的比对。</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3.10.2、设备配置：仪器主机、防爆手操器、附件箱、油桶等。</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3.10.3技术要求：</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密闭性、液阻和气液比等参数一体化检测；</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通过国家防爆产品质量监督检验中心认证，可应用于防爆和非防爆场合；</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主机和手操器分体式设计，方便现场操作；</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内置压力发生器，可直接进行适配器和仪器自身密闭性检测；</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实时测量环境温湿度、大气压等气象参数；</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▲内置大容量锂电池，可连续工作24小时以上；</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▲安卓系统手操器，人机交互便捷、直观，可直接生成检测报告和检测记录；(须提供相关证明材料）</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存储空间大，加油站信息、检测报告、原始数据永久存储，支持查询、导出和打印；</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▲防爆等级不小于ExibⅡBT4Gb；（须提供防爆认证证书复印件）</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3.10.4主机技术指标： </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3376"/>
        <w:gridCol w:w="2222"/>
        <w:gridCol w:w="2206"/>
      </w:tblGrid>
      <w:tr>
        <w:trPr>
          <w:jc w:val="center"/>
          <w:trHeight w:val="376"/>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主要参数</w:t>
            </w:r>
            <w:r/>
          </w:p>
        </w:tc>
        <w:tc>
          <w:tcPr>
            <w:tcW w:w="1696"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参数范围</w:t>
            </w:r>
            <w:r/>
          </w:p>
        </w:tc>
        <w:tc>
          <w:tcPr>
            <w:tcW w:w="1116"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分辨率 </w:t>
            </w:r>
            <w:r/>
          </w:p>
        </w:tc>
        <w:tc>
          <w:tcPr>
            <w:tcW w:w="1107"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准确度</w:t>
            </w:r>
            <w:r/>
          </w:p>
        </w:tc>
      </w:tr>
      <w:tr>
        <w:trPr>
          <w:jc w:val="center"/>
          <w:trHeight w:val="90"/>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压力</w:t>
            </w:r>
            <w:r/>
          </w:p>
        </w:tc>
        <w:tc>
          <w:tcPr>
            <w:tcW w:w="1696"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(-5000～5000)Pa</w:t>
            </w:r>
            <w:r/>
          </w:p>
        </w:tc>
        <w:tc>
          <w:tcPr>
            <w:tcW w:w="1116"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1Pa</w:t>
            </w:r>
            <w:r/>
          </w:p>
        </w:tc>
        <w:tc>
          <w:tcPr>
            <w:tcW w:w="1107"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优于±0.25% FS</w:t>
            </w:r>
            <w:r/>
          </w:p>
        </w:tc>
      </w:tr>
      <w:tr>
        <w:trPr>
          <w:jc w:val="center"/>
          <w:trHeight w:val="313"/>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流量</w:t>
            </w:r>
            <w:r/>
          </w:p>
        </w:tc>
        <w:tc>
          <w:tcPr>
            <w:tcW w:w="1696"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(0～130)L/min</w:t>
            </w:r>
            <w:r/>
          </w:p>
        </w:tc>
        <w:tc>
          <w:tcPr>
            <w:tcW w:w="1116"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0.1L/min</w:t>
            </w:r>
            <w:r/>
          </w:p>
        </w:tc>
        <w:tc>
          <w:tcPr>
            <w:tcW w:w="1107"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优于±1.5%</w:t>
            </w:r>
            <w:r/>
          </w:p>
        </w:tc>
      </w:tr>
      <w:tr>
        <w:trPr>
          <w:jc w:val="center"/>
          <w:trHeight w:val="90"/>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重量</w:t>
            </w:r>
            <w:r/>
          </w:p>
        </w:tc>
        <w:tc>
          <w:tcPr>
            <w:gridSpan w:val="3"/>
            <w:tcW w:w="3920"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&lt;6kg</w:t>
            </w:r>
            <w:r/>
          </w:p>
        </w:tc>
      </w:tr>
      <w:tr>
        <w:trPr>
          <w:jc w:val="center"/>
          <w:trHeight w:val="433"/>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电源</w:t>
            </w:r>
            <w:r/>
          </w:p>
        </w:tc>
        <w:tc>
          <w:tcPr>
            <w:gridSpan w:val="3"/>
            <w:tcW w:w="3920"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3.7V锂电池或外接4.2V电源适配器</w:t>
            </w:r>
            <w:r/>
          </w:p>
        </w:tc>
      </w:tr>
      <w:tr>
        <w:trPr>
          <w:jc w:val="center"/>
          <w:trHeight w:val="90"/>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平均功耗</w:t>
            </w:r>
            <w:r/>
          </w:p>
        </w:tc>
        <w:tc>
          <w:tcPr>
            <w:gridSpan w:val="3"/>
            <w:tcW w:w="3920"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&lt;1.5W</w:t>
            </w:r>
            <w:r/>
          </w:p>
        </w:tc>
      </w:tr>
      <w:tr>
        <w:trPr>
          <w:jc w:val="center"/>
          <w:trHeight w:val="90"/>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连续工作时间</w:t>
            </w:r>
            <w:r/>
          </w:p>
        </w:tc>
        <w:tc>
          <w:tcPr>
            <w:gridSpan w:val="3"/>
            <w:tcW w:w="3920"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不低于24小时</w:t>
            </w:r>
            <w:r/>
          </w:p>
        </w:tc>
      </w:tr>
      <w:tr>
        <w:trPr>
          <w:jc w:val="center"/>
          <w:trHeight w:val="90"/>
        </w:trPr>
        <w:tc>
          <w:tcPr>
            <w:tcW w:w="1079"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防爆等级</w:t>
            </w:r>
            <w:r/>
          </w:p>
        </w:tc>
        <w:tc>
          <w:tcPr>
            <w:gridSpan w:val="3"/>
            <w:tcW w:w="3920" w:type="pct"/>
            <w:vAlign w:val="center"/>
            <w:textDirection w:val="lrTb"/>
            <w:noWrap w:val="false"/>
          </w:tcPr>
          <w:p>
            <w:pPr>
              <w:contextualSpacing/>
              <w:ind w:left="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Ex ib ⅡB T4 Gb</w:t>
            </w:r>
            <w:r/>
          </w:p>
        </w:tc>
      </w:tr>
    </w:tbl>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93" w:name="_Toc22869"/>
      <w:r>
        <w:rPr>
          <w:rFonts w:hint="eastAsia" w:ascii="宋体" w:hAnsi="宋体" w:eastAsia="宋体" w:cs="宋体"/>
          <w:b/>
          <w:bCs/>
          <w:color w:val="auto"/>
          <w:sz w:val="24"/>
          <w:szCs w:val="24"/>
          <w:lang w:val="en-US" w:eastAsia="zh-CN"/>
        </w:rPr>
        <w:t xml:space="preserve">3.11微风风速计</w:t>
      </w:r>
      <w:bookmarkEnd w:id="193"/>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3.11.1防爆等级：Ex IbIIC T6 Gb</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3.11.2风量测量：0-45m/s（公尺/秒）</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3.11.3准确度：±3% ±0.1dgts</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3.11.4分辨率：0.1m/s</w:t>
      </w:r>
      <w:r/>
    </w:p>
    <w:p>
      <w:pPr>
        <w:numPr>
          <w:ilvl w:val="0"/>
          <w:numId w:val="0"/>
        </w:numPr>
        <w:ind w:left="0" w:firstLine="420"/>
        <w:jc w:val="lef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3.11.5风温测量：0℃～+45℃；32°F～113°F</w:t>
      </w:r>
      <w:r/>
    </w:p>
    <w:p>
      <w:pPr>
        <w:numPr>
          <w:ilvl w:val="0"/>
          <w:numId w:val="0"/>
        </w:numPr>
        <w:ind w:left="0" w:firstLine="420"/>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bidi="ar-SA"/>
        </w:rPr>
        <w:t xml:space="preserve">3.11.6准确度：±2℃/±3.6°F</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3.12便携式水污染物监测设备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3.12.1应用于应急监测、排查溯源、执法检测、工业废水、河流治理、生活污水、污水处理、医药化工、食品、饮品、纺织印染、电镀、造纸、石油冶金、河流治理、科研单位、院校等领域。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可检测COD、氨氮、总磷、总氮等常规检测参数及拓展总格、六价铬、铜、镍、锌、余氯、二氧化氯、氰化物、氟化物、硫化物、硝酸盐、亚硝酸盐、磷酸盐、硫酸盐、挥发酚等数十种常规污染项目，检测结果满足国家标准、行业标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3.12.3仪器操作简单，拆箱即可使用；智能提示操作步骤，直接读取检测结果。</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3.12.4收藏功能：可将常用检测程序一键收藏；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3.12.5使用比色技术、消解比色一体管，系统稳定，算法专业，可减少脏污、刮痕或有瑕疵的玻璃管（包括指纹）对结果产生的影响。</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3.12.6操作界面：≥5英寸彩色触摸电容屏设计，内置TOS操作系统，一键式操作。</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3.12.7自由选择测量模式：内置“单次测量”和“连续测量”模式，可选择测量模式，在快速性和准确性间选择。锂电池，剩余电量显示，功率小、耗电量低，待机时间长。</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3.12.8数据存储：大容量存储，可储存30万条历史测量数据（包括项目、日期、时间、样品ID等）。支持无线蓝牙打印，可打印历史测定数据</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3.12.9装箱式配置，设计方便携带；6000mAh超大容量可充电锂电池，剩余电量显示，功率小、耗电量低，待机时间长。</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3.12.10排除异常数据：每组数据仪器都会对水样进行10次测量，排除异常值后取平均值，减小测量误差；并具有空白异常提示、超量程提示等。</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3.12.11抗氯干扰：2000mg/L以下无影响（可扩展）</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3.12.12▲示值误差：≤±10％，其中：COD≤±2％、氨氮≤±1%、总磷≤±1%、总氮≤±1%、悬浮物≤±2%；（提供第三方检测机构出具的校准报告）</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3.12.13▲重复性：≤2％，其中：COD≤0.5％、氨氮≤0.2%、总磷≤0.2%、总氮≤0.2%、悬浮物≤0.2%；（提供第三方检测机构出具的校准报告）</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3.12.14光学稳定性：≤±0.001A/20分钟（10万小时寿命）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3.12.15测量模式：内置“单次测量”和“连续测量”模式，自由选择；</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3.12.16曲线数量；≥96条曲线（可扩展）</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3.12.17打印机：可选配便携式热敏型打印机</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3.12.18批量处理：6支（可选配16支、25支、30支）</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3.12.19样品兼容性：16mm（圆形），25mm（圆形）</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3.12.20传输：4G/WiFi</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3.12.21异常通知：空白对比提示、超量程提示等</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3.12.22供电方式：≥6000mAH大容量可充电锂电池</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3.12.23数据处理：测量10次排除异常值后取平均值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3.12.24引导功能：操作提示，引导用户完成操作</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3.12.25功率：≤1.5W</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3.12.26箱体防护等级：≥IP63</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3.12.27环境湿度：≤85%无冷凝</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3.12.28环境温度：5~40℃</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3.12.29主机尺寸：≤240mm*100mm*80mm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3.12.30仪器重量：≤主机1kg</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3.12.31配备一套户外电源，包含两年的耗材更换服务以及校准服务</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3.13</w:t>
      </w:r>
      <w:bookmarkStart w:id="194" w:name="_Toc32475"/>
      <w:r>
        <w:rPr>
          <w:rFonts w:hint="eastAsia" w:ascii="宋体" w:hAnsi="宋体" w:eastAsia="宋体" w:cs="宋体"/>
          <w:b/>
          <w:bCs/>
          <w:color w:val="auto"/>
          <w:sz w:val="24"/>
          <w:szCs w:val="24"/>
          <w:lang w:val="en-US" w:eastAsia="zh-CN"/>
        </w:rPr>
        <w:t xml:space="preserve">台式计算机</w:t>
      </w:r>
      <w:bookmarkEnd w:id="194"/>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兆芯KXU6780A 16G 512G+1T、2G独显+23.8英寸显示器</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95" w:name="_Toc7665"/>
      <w:r>
        <w:rPr>
          <w:rFonts w:hint="eastAsia" w:ascii="宋体" w:hAnsi="宋体" w:eastAsia="宋体" w:cs="宋体"/>
          <w:b/>
          <w:bCs/>
          <w:color w:val="auto"/>
          <w:sz w:val="24"/>
          <w:szCs w:val="24"/>
          <w:lang w:val="en-US" w:eastAsia="zh-CN"/>
        </w:rPr>
        <w:t xml:space="preserve">3.14打印机</w:t>
      </w:r>
      <w:bookmarkEnd w:id="195"/>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黑白平板式+馈纸式A4激光一体机、自动双面、打印速度：25-34页/分、复印，扫描，打印</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bookmarkStart w:id="196" w:name="_Toc20729"/>
      <w:r>
        <w:rPr>
          <w:rFonts w:hint="eastAsia" w:ascii="宋体" w:hAnsi="宋体" w:eastAsia="宋体" w:cs="宋体"/>
          <w:b/>
          <w:bCs/>
          <w:color w:val="auto"/>
          <w:sz w:val="24"/>
          <w:szCs w:val="24"/>
          <w:lang w:val="en-US" w:eastAsia="zh-CN"/>
        </w:rPr>
        <w:t xml:space="preserve">3.15无人船（水下声纳探测仪）</w:t>
      </w:r>
      <w:bookmarkEnd w:id="196"/>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温度</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6702"/>
      </w:tblGrid>
      <w:tr>
        <w:trPr>
          <w:jc w:val="center"/>
          <w:trHeight w:val="23"/>
          <w:tblHeader/>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技术指标</w:t>
            </w:r>
            <w:r/>
          </w:p>
        </w:tc>
      </w:tr>
      <w:tr>
        <w:trPr>
          <w:jc w:val="center"/>
          <w:trHeight w:val="23"/>
          <w:tblHeader/>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工作原理</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热敏电阻法</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-5℃~﹢50℃</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分辨率</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0.1℃</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精度</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 0.5℃</w:t>
            </w:r>
            <w:r/>
          </w:p>
        </w:tc>
      </w:tr>
    </w:tbl>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pH</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6702"/>
      </w:tblGrid>
      <w:tr>
        <w:trPr>
          <w:jc w:val="center"/>
          <w:trHeight w:val="23"/>
          <w:tblHeader/>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技术指标</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工作原理</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玻璃电极法</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0-14 pH</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分辨率</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0.01 pH</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精度</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 0.1 pH</w:t>
            </w:r>
            <w:r/>
          </w:p>
        </w:tc>
      </w:tr>
    </w:tbl>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溶解氧</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6702"/>
      </w:tblGrid>
      <w:tr>
        <w:trPr>
          <w:jc w:val="center"/>
          <w:trHeight w:val="23"/>
          <w:tblHeader/>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技术指标</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工作原理</w:t>
            </w:r>
            <w:r/>
          </w:p>
        </w:tc>
        <w:tc>
          <w:tcPr>
            <w:tcW w:w="3366" w:type="pct"/>
            <w:vAlign w:val="top"/>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荧光法</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量程</w:t>
            </w:r>
            <w:r/>
          </w:p>
        </w:tc>
        <w:tc>
          <w:tcPr>
            <w:tcW w:w="3366" w:type="pct"/>
            <w:vAlign w:val="top"/>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0 - 50.00 mg/L</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分辨率</w:t>
            </w:r>
            <w:r/>
          </w:p>
        </w:tc>
        <w:tc>
          <w:tcPr>
            <w:tcW w:w="3366" w:type="pct"/>
            <w:vAlign w:val="top"/>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0.01mg/L</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精度</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&lt; 20mg/L：读数± 1%； &gt;20mg/L：读数± 10%</w:t>
            </w:r>
            <w:r/>
          </w:p>
        </w:tc>
      </w:tr>
    </w:tbl>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电导率</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6702"/>
      </w:tblGrid>
      <w:tr>
        <w:trPr>
          <w:jc w:val="center"/>
          <w:trHeight w:val="23"/>
          <w:tblHeader/>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项目</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技术指标</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工作原理</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四电极电导法</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量程</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0 - 200mS/cm</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分辨率</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bookmarkStart w:id="197" w:name="OLE_LINK11"/>
            <w:r>
              <w:rPr>
                <w:rFonts w:hint="eastAsia" w:ascii="宋体" w:hAnsi="宋体" w:eastAsia="宋体" w:cs="宋体"/>
                <w:sz w:val="24"/>
                <w:szCs w:val="24"/>
              </w:rPr>
              <w:t xml:space="preserve">3个自动调节的量程：</w:t>
            </w:r>
            <w:bookmarkEnd w:id="197"/>
            <w:r/>
            <w:r/>
          </w:p>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0 - 9999μS/cm, 10.00 - 99.99mS/cm,</w:t>
            </w:r>
            <w:r/>
          </w:p>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100.0 - 200.0 mS/cm</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精度</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读数± 1%或± 1μS/cm，取较大值</w:t>
            </w:r>
            <w:r/>
          </w:p>
        </w:tc>
      </w:tr>
    </w:tbl>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浊度</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6702"/>
      </w:tblGrid>
      <w:tr>
        <w:trPr>
          <w:jc w:val="center"/>
          <w:trHeight w:val="23"/>
          <w:tblHeader/>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项目</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技术指标</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工作原理</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90度光散射法</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量程</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0-3000 NTU</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分辨率</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2个自动调节的量程： 0.0-99.9 NTU, 100-3000 NTU</w:t>
            </w:r>
            <w:r/>
          </w:p>
        </w:tc>
      </w:tr>
      <w:tr>
        <w:trPr>
          <w:jc w:val="center"/>
          <w:trHeight w:val="23"/>
        </w:trPr>
        <w:tc>
          <w:tcPr>
            <w:tcW w:w="16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精度</w:t>
            </w:r>
            <w:r/>
          </w:p>
        </w:tc>
        <w:tc>
          <w:tcPr>
            <w:tcW w:w="336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读数的± 5%</w:t>
            </w:r>
            <w:r/>
          </w:p>
        </w:tc>
      </w:tr>
    </w:tbl>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3.15.2.2侧扫声呐</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频率：900kHz</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信号类型：CW / LFM（线性调频）</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最大量程（每侧）：不小于43m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波束宽度：水平：0.3°；垂直：50°</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分辨率：航迹分辨率：0.005h (量程米)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垂直航迹分辨率：1.25cm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最大工作深度：不小于290m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换能器尺寸/重量（空气中）：小于等于300mm*60mm(长*宽)/2kg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非密封电子仓尺寸/重量（空气中）：小于等于180mm*100mm*100mm(长*宽*高) /2kg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功 耗：DC9-18V，最大15W</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声呐软件OTech：Windows系统，支持NMEA 0183定位导航格式数据输入；可同时输出OTSS、XTF两种格式数据</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换能器缆：标配长度: 不小于3米</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3.15.3船体要求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3.15.3.1工作条件</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投放方式：岸边投放；</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风浪等级：≤3级风，≤0.5m浪；</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充电AC 220～240V/50Hz；</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工作温度：-10℃～＋60℃。</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3.15.3.2船体技术指标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船体尺寸：≤1100 mm×600 mm；（不含防撞条）</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船体重量： ≤10KG （不含搭载的业务单元）；</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荷载能力：≥10KG；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船体材质：碳钎维+玻璃钢材质；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设计形态：重心低，航行稳；</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续航能力：单块电池续航≥6h，包含至少一整块电池</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3.15.3.3两年内10次现场指导使用服务</w:t>
      </w:r>
      <w:r/>
    </w:p>
    <w:p>
      <w:pPr>
        <w:numPr>
          <w:ilvl w:val="0"/>
          <w:numId w:val="0"/>
        </w:numPr>
        <w:ind w:left="420"/>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3.16电磁辐射检测设备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3.16.1用途</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用于测量交流输变电设施、配电系统、家居、地铁、高铁、充电桩等场所的工频电磁场，能测量通信基站、雷达的射频电场，能进行电磁环境的安全评估。</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3.16.2、系统配置</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043"/>
        <w:gridCol w:w="2846"/>
        <w:gridCol w:w="2075"/>
      </w:tblGrid>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sz w:val="21"/>
                <w:szCs w:val="21"/>
                <w:lang w:val="zh-TW"/>
              </w:rPr>
            </w:pPr>
            <w:r>
              <w:rPr>
                <w:rFonts w:hint="eastAsia" w:ascii="宋体" w:hAnsi="宋体" w:eastAsia="宋体" w:cs="宋体"/>
                <w:b/>
                <w:sz w:val="21"/>
                <w:szCs w:val="21"/>
                <w:lang w:val="zh-TW"/>
              </w:rPr>
              <w:t xml:space="preserve">序号</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sz w:val="21"/>
                <w:szCs w:val="21"/>
                <w:lang w:val="zh-TW"/>
              </w:rPr>
            </w:pPr>
            <w:r>
              <w:rPr>
                <w:rFonts w:hint="eastAsia" w:ascii="宋体" w:hAnsi="宋体" w:eastAsia="宋体" w:cs="宋体"/>
                <w:b/>
                <w:sz w:val="21"/>
                <w:szCs w:val="21"/>
                <w:lang w:val="zh-TW"/>
              </w:rPr>
              <w:t xml:space="preserve">产品配置名称</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sz w:val="21"/>
                <w:szCs w:val="21"/>
                <w:lang w:val="zh-TW"/>
              </w:rPr>
            </w:pPr>
            <w:r>
              <w:rPr>
                <w:rFonts w:hint="eastAsia" w:ascii="宋体" w:hAnsi="宋体" w:eastAsia="宋体" w:cs="宋体"/>
                <w:b/>
                <w:sz w:val="21"/>
                <w:szCs w:val="21"/>
                <w:lang w:val="zh-TW"/>
              </w:rPr>
              <w:t xml:space="preserve">数量（台/</w:t>
            </w:r>
            <w:r>
              <w:rPr>
                <w:rFonts w:hint="eastAsia" w:ascii="宋体" w:hAnsi="宋体" w:eastAsia="宋体" w:cs="宋体"/>
                <w:b/>
                <w:sz w:val="21"/>
                <w:szCs w:val="21"/>
                <w:lang w:val="zh-TW" w:eastAsia="zh-TW"/>
              </w:rPr>
              <w:t xml:space="preserve"> </w:t>
            </w:r>
            <w:r>
              <w:rPr>
                <w:rFonts w:hint="eastAsia" w:ascii="宋体" w:hAnsi="宋体" w:eastAsia="宋体" w:cs="宋体"/>
                <w:b/>
                <w:sz w:val="21"/>
                <w:szCs w:val="21"/>
                <w:lang w:val="zh-TW"/>
              </w:rPr>
              <w:t xml:space="preserve">套/</w:t>
            </w:r>
            <w:r>
              <w:rPr>
                <w:rFonts w:hint="eastAsia" w:ascii="宋体" w:hAnsi="宋体" w:eastAsia="宋体" w:cs="宋体"/>
                <w:b/>
                <w:sz w:val="21"/>
                <w:szCs w:val="21"/>
                <w:lang w:val="zh-TW" w:eastAsia="zh-TW"/>
              </w:rPr>
              <w:t xml:space="preserve"> </w:t>
            </w:r>
            <w:r>
              <w:rPr>
                <w:rFonts w:hint="eastAsia" w:ascii="宋体" w:hAnsi="宋体" w:eastAsia="宋体" w:cs="宋体"/>
                <w:b/>
                <w:sz w:val="21"/>
                <w:szCs w:val="21"/>
                <w:lang w:val="zh-TW"/>
              </w:rPr>
              <w:t xml:space="preserve">件/</w:t>
            </w:r>
            <w:r>
              <w:rPr>
                <w:rFonts w:hint="eastAsia" w:ascii="宋体" w:hAnsi="宋体" w:eastAsia="宋体" w:cs="宋体"/>
                <w:b/>
                <w:sz w:val="21"/>
                <w:szCs w:val="21"/>
                <w:lang w:val="zh-TW" w:eastAsia="zh-TW"/>
              </w:rPr>
              <w:t xml:space="preserve"> </w:t>
            </w:r>
            <w:r>
              <w:rPr>
                <w:rFonts w:hint="eastAsia" w:ascii="宋体" w:hAnsi="宋体" w:eastAsia="宋体" w:cs="宋体"/>
                <w:b/>
                <w:sz w:val="21"/>
                <w:szCs w:val="21"/>
                <w:lang w:val="zh-TW"/>
              </w:rPr>
              <w:t xml:space="preserve">项）</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sz w:val="21"/>
                <w:szCs w:val="21"/>
                <w:lang w:val="zh-TW"/>
              </w:rPr>
            </w:pPr>
            <w:r>
              <w:rPr>
                <w:rFonts w:hint="eastAsia" w:ascii="宋体" w:hAnsi="宋体" w:eastAsia="宋体" w:cs="宋体"/>
                <w:b/>
                <w:sz w:val="21"/>
                <w:szCs w:val="21"/>
                <w:lang w:val="zh-TW"/>
              </w:rPr>
              <w:t xml:space="preserve">备注</w:t>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1</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rPr>
              <w:t xml:space="preserve">电磁辐射分析仪主机</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rPr>
              <w:t xml:space="preserve">1台</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lang w:val="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2</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rPr>
              <w:t xml:space="preserve">6G射频探头</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1个</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工频电磁场合一探头</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1个</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1.5m无感应三脚架</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1个</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5m工频专用光纤</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6</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电磁辐射分析仪软件</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1组</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7</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lang w:eastAsia="zh-TW"/>
              </w:rPr>
            </w:pPr>
            <w:r>
              <w:rPr>
                <w:rFonts w:hint="eastAsia" w:ascii="宋体" w:hAnsi="宋体" w:eastAsia="宋体" w:cs="宋体"/>
                <w:sz w:val="21"/>
                <w:szCs w:val="21"/>
                <w:lang w:eastAsia="zh-TW"/>
              </w:rPr>
              <w:t xml:space="preserve">其他必要配件等</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1套</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8</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专用便携箱</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1个</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r>
        <w:trPr>
          <w:jc w:val="center"/>
          <w:trHeight w:val="454"/>
        </w:trPr>
        <w:tc>
          <w:tcPr>
            <w:tcW w:w="4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p>
        </w:tc>
        <w:tc>
          <w:tcPr>
            <w:tcW w:w="203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电磁场仿真计算软件</w:t>
            </w:r>
            <w:r/>
          </w:p>
        </w:tc>
        <w:tc>
          <w:tcPr>
            <w:tcW w:w="14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1套</w:t>
            </w:r>
            <w:r/>
          </w:p>
        </w:tc>
        <w:tc>
          <w:tcPr>
            <w:tcW w:w="10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tc>
      </w:tr>
    </w:tbl>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3.16.3技术参数</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3.16.3.1宽频电磁辐射分析仪主机</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▲低频射频一体式超宽频主机，可选配不同频段的全向电磁场探头，可扩展测量频率范围不小于1Hz～260GHz（提供软件测评证书）</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显示单位：V/m，KV/m，μW/cm2，W/m2，mW/cm2，mA/m，A/m，nT，μT，mT；根据监测结果单位自动切换：V/m和KV/m，μT和mT</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更新速率：默认1s，最快220ms</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结果类型（三维全向）：实时值，最大值，最小值，平均值（方均根平均、算数平均），最大平均值，三维分量值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数据模式：算术平均值、方均根值(RMS值)、统计场强（E5，E50，E80，E95），能给出频率与场强曲线，包含50Hz场强值。（提供设备包含频率与场强曲线，且包含50Hz场强值界面图片）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空间平均：支持多位置空间平均，最多75个场所的空间平均，存储每个点的数据及总值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▲仪器具备支持定位、温湿度显示、自动识别探头、软件远程管理和现场打印检测信息等功能，输变电检测支持FFT频谱分析，12次谐波分析，计权（曝露比）功能（需提供软件测评证书证明）</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低频监测过程中，工频电场和磁场检测能同时进行，数据同屏显示</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显示单位：V/m，KV/m，μW/cm2，W/m2，mW/cm2，mA/m，A/m，nT，μT，mT；根据监测结果单位自动切换：V/m和KV/m，μT和mT</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结果类型（三维全向）：实时值，最大值，最小值，平均值（方均根平均、算数平均），最大平均值，三维分量值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数据模式：算术平均值、方均根值(RMS值)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▲具有简易法、标准法和自定义测量功能，自动测量和数据存储（提供仪器截图简易法、标准法和定时测量功能的截图）</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可选配置全流程智能管理系统App：涵盖监测任务管理、现场检测、原始记录、数据传输、报告审核及报告出具等，实现对监测任务的管理及监控，满足监管部门对监测工作进行管理及监控的需求。（提供管理系统登入、检测任务导入、下发、APP端接受任务及现场绘图界面图片）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▲仪器数据稳定性，仪器生产厂家实验室具有电磁辐射测量仪校准装置，频率范围需包含100KHz、400KHz 、3GHz、6GHz。（需提供证明材料，证明包含以上频率范围）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▲仪器生产厂家须有能提供资质扩项及供检测技术支持和服务的能力（需提供国家认可的CNAS实验室认可证书）</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能够承受各种复杂电磁场骚扰的能力，（提供有资质的第三方出具的通过电磁兼容射频电磁场辐射抗扰度测试报告，且辐射抗扰度试验等级不小于25V/m）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▲设备具有计量器具型式批准证书。（提供复印件）</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存储容量：数据大于100万个, 文档大于10万个</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工作时长：大于14小时  充电时长：小于8小时</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工作温度：-10 °C～+60 °C</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3.16.3.2射频电场探头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▲频率范围：100KHz～6GHz；</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量程：0.2V/m～630V/m；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动态范围：70dB；</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最大过载：850V/m  192mW/cm2；</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传感器类型：三轴全向，电场，偶极子；</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线性度：±0.5dB；</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各向同性：±0.85dB（100kHz~5GHz）、±1dB（5GHz~6GHz）。</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3.16.3.3工频电磁场探头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频率范围：1Hz-100KHz；</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量程：电场0.01V/m-100KV/m ；磁场1nT-10mT；</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线性误差：≤±0.3dB（典型值）；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最大过载：电场200KV/m；磁场20mT；</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频响误差：≤±0.45dB（典型值）；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各向同性：≤0.45dB（典型值）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▲带宽频率：符合GB8702-2014 公众暴露限值频率范围划分：1Hz~25Hz、25Hz~1.2KHz、1.2KHz~2.9KHz、2.9KHz~100KHz（提供带宽频率选择实物操作界面照片）；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工作模式：探头置于木质三脚架上、光纤连接主机使用，满足HJ681-2013标准的工频检测方式；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测量结果：FFT，给出频率与场强曲线；具有包含50Hz的场强值的曲线</w:t>
      </w:r>
      <w:r/>
    </w:p>
    <w:p>
      <w:pPr>
        <w:pStyle w:val="883"/>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四、商务要求</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（一）</w:t>
      </w:r>
      <w:r>
        <w:rPr>
          <w:rFonts w:hint="eastAsia" w:asciiTheme="minorEastAsia" w:hAnsiTheme="minorEastAsia" w:eastAsiaTheme="minorEastAsia" w:cstheme="minorEastAsia"/>
          <w:color w:val="auto"/>
          <w:sz w:val="24"/>
          <w:szCs w:val="24"/>
          <w:highlight w:val="none"/>
          <w:lang w:val="en-US" w:eastAsia="zh-CN"/>
        </w:rPr>
        <w:t xml:space="preserve">供货期（合同履行期限）：合同签订后30日历天完成所有产品的供货、安装、调试、并运行，设备免费质保期为1年及免费运维期为1年（自交货验收合格之日起计）。</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val="zh-CN" w:eastAsia="zh-CN"/>
        </w:rPr>
        <w:t xml:space="preserve">）质量要求：未经使用的全新产品。</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val="zh-CN" w:eastAsia="zh-CN"/>
        </w:rPr>
        <w:t xml:space="preserve">）交货地点：采购人指定地点</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zh-CN" w:eastAsia="zh-CN"/>
        </w:rPr>
        <w:t xml:space="preserve">）付款</w:t>
      </w:r>
      <w:r>
        <w:rPr>
          <w:rFonts w:hint="eastAsia" w:asciiTheme="minorEastAsia" w:hAnsiTheme="minorEastAsia" w:eastAsiaTheme="minorEastAsia" w:cstheme="minorEastAsia"/>
          <w:color w:val="auto"/>
          <w:sz w:val="24"/>
          <w:szCs w:val="24"/>
          <w:highlight w:val="none"/>
          <w:lang w:val="en-US" w:eastAsia="zh-CN"/>
        </w:rPr>
        <w:t xml:space="preserve">方式</w:t>
      </w:r>
      <w:r>
        <w:rPr>
          <w:rFonts w:hint="eastAsia" w:asciiTheme="minorEastAsia" w:hAnsiTheme="minorEastAsia" w:eastAsiaTheme="minorEastAsia" w:cstheme="minorEastAsia"/>
          <w:color w:val="auto"/>
          <w:sz w:val="24"/>
          <w:szCs w:val="24"/>
          <w:highlight w:val="none"/>
          <w:lang w:val="zh-CN" w:eastAsia="zh-CN"/>
        </w:rPr>
        <w:t xml:space="preserve">：</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（1）合同签订后10工作日内（自收到发票之日起），采购人支付供应商合同总价的30％作为预付款；</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（2）项目验收合格后10个工作日内（自收到发票之日起），采购人支付供应商合同总价的</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zh-CN" w:eastAsia="zh-CN"/>
        </w:rPr>
        <w:t xml:space="preserve">0％（扣除项目已支付的金额）。</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eastAsia="zh-CN"/>
        </w:rPr>
        <w:t xml:space="preserve">）质保期满（自收到发票之日起），采购人支付供应商应结算金额的100%（扣除项目已支付的金额）。</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每次付款前供应商需开具合法有效的增值税发票（开具付款金额）给采购人，以上付款均无银行利息，一律通过银行结转。</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zh-CN" w:eastAsia="zh-CN"/>
        </w:rPr>
        <w:t xml:space="preserve">）售后服务</w:t>
      </w:r>
      <w:r>
        <w:rPr>
          <w:rFonts w:hint="eastAsia" w:ascii="宋体" w:hAnsi="宋体" w:eastAsia="宋体" w:cs="宋体"/>
          <w:color w:val="auto"/>
          <w:sz w:val="24"/>
          <w:szCs w:val="24"/>
          <w:highlight w:val="none"/>
          <w:lang w:val="en-US" w:eastAsia="zh-CN"/>
        </w:rPr>
        <w:t xml:space="preserve">内容、要求和期限：</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（1）乙方应按采购文件规定的货物性能、技术要求、质量标准向甲方提供未经使用的全新产品。</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（2）乙方提供的货物在质保期内因货物本身的质量问题发生故障，乙方应负责免费更换。对达不到技术要求者，根据实际情况，经双方协商，可按以下办法处理：</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⑴更换：由乙方承担所发生的全部费用。</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⑵贬值处理：由甲乙双方合议定价。</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⑶退货处理：乙方应退还甲方支付的合同款，同时应承担该货物的直接费用（运输、保险、检验、贷款利息及银行手续费等）。</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（3）如在使用过程中发生质量问题，乙方在接到甲方通知后在24小时（时间以供应商具体承诺为准）内到达甲方现场。</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（4）在质保期内，乙方应对货物出现的质量及安全问题负责处理解决并承担一切费用。</w:t>
      </w:r>
      <w:r/>
    </w:p>
    <w:p>
      <w:pPr>
        <w:pStyle w:val="88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免费质保期为1年（自交货验收合格之日起计，期限以供应商具体承诺为准），因人为因素出现的故障不在免费保修范围内。超过免费质量保修期的机器设备，终身维修（除采购人不再要求继续维修外），维修时只收部件成本费。</w:t>
      </w:r>
      <w:r/>
    </w:p>
    <w:p>
      <w:pPr>
        <w:pStyle w:val="88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eastAsia="zh-CN"/>
        </w:rPr>
        <w:t xml:space="preserve">）结算方式：采购人</w:t>
      </w:r>
      <w:r>
        <w:rPr>
          <w:rFonts w:hint="eastAsia" w:asciiTheme="minorEastAsia" w:hAnsiTheme="minorEastAsia" w:eastAsiaTheme="minorEastAsia" w:cstheme="minorEastAsia"/>
          <w:color w:val="auto"/>
          <w:highlight w:val="none"/>
          <w:lang w:val="zh-CN" w:eastAsia="zh-CN"/>
        </w:rPr>
        <w:t xml:space="preserve">应结算金额按中标供应商实际供货数量结算（实际结算金额为响应单价金额×实际供货数量）。</w:t>
      </w:r>
      <w:r/>
    </w:p>
    <w:p>
      <w:pPr>
        <w:ind w:firstLine="480"/>
        <w:jc w:val="left"/>
        <w:keepLines w:val="0"/>
        <w:keepNext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lang w:val="zh-CN" w:eastAsia="zh-CN"/>
        </w:rPr>
        <w:t xml:space="preserve">）其他</w:t>
      </w:r>
      <w:r/>
    </w:p>
    <w:p>
      <w:pPr>
        <w:ind w:firstLine="480"/>
        <w:jc w:val="left"/>
        <w:keepLines w:val="0"/>
        <w:keepNext w:val="0"/>
        <w:spacing w:before="0" w:after="0"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1、保险：供应商的工作人员保险由供应商负责。</w:t>
      </w:r>
      <w:r/>
    </w:p>
    <w:p>
      <w:pPr>
        <w:ind w:firstLine="480"/>
        <w:jc w:val="left"/>
        <w:keepLines w:val="0"/>
        <w:keepNext w:val="0"/>
        <w:spacing w:before="0" w:after="0"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包装和运输：本项目所涉及的包装和运输均由供应商负责。</w:t>
      </w:r>
      <w:r/>
    </w:p>
    <w:p>
      <w:pPr>
        <w:ind w:firstLine="480"/>
        <w:jc w:val="left"/>
        <w:keepLines w:val="0"/>
        <w:keepNext w:val="0"/>
        <w:spacing w:before="0" w:after="0"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、验收标准：全部货物安装调试完毕后</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eastAsia="zh-CN"/>
        </w:rPr>
        <w:t xml:space="preserve">日内，由</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val="zh-CN" w:eastAsia="zh-CN"/>
        </w:rPr>
        <w:t xml:space="preserve">组织相关人员，按照</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val="zh-CN" w:eastAsia="zh-CN"/>
        </w:rPr>
        <w:t xml:space="preserve">文件的要求和现行技术标准、强制性标准对所供货物的技术性能、技术参数等进行验收，并形成验收意见。</w:t>
      </w:r>
      <w:r/>
    </w:p>
    <w:p>
      <w:pPr>
        <w:pStyle w:val="883"/>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五、采购标的对应的中小企业划分标准所属行业一览表</w:t>
      </w:r>
      <w:r/>
    </w:p>
    <w:tbl>
      <w:tblPr>
        <w:tblStyle w:val="867"/>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4"/>
        <w:gridCol w:w="6138"/>
        <w:gridCol w:w="3164"/>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highlight w:val="none"/>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zh-CN"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移动执法终端</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lang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zh-CN"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采集工作站</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zh-CN"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测距仪</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zh-CN"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红外摄像机</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zh-CN"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快检试剂包</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热成像仪</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红外热成像气体泄漏检测仪</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粉尘快速测定仪</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手持式光离子化检测仪（PID）</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油气回收三项检测仪</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微风风速计</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便携式水污染物监测设备</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无人船（水下声纳探测仪）</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keepLines w:val="0"/>
              <w:keepNext w:val="0"/>
              <w:pageBreakBefore w:val="0"/>
              <w:widowControl/>
              <w:rPr>
                <w:rFonts w:hint="eastAsia" w:asciiTheme="minorEastAsia" w:hAnsiTheme="minorEastAsia" w:cstheme="minorEastAsia"/>
                <w:color w:val="auto"/>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电磁辐射检测设备</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7"/>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highlight w:val="none"/>
                <w:lang w:val="en-US" w:eastAsia="zh-CN"/>
              </w:rPr>
              <w:t xml:space="preserve">工业</w:t>
            </w:r>
            <w:r/>
          </w:p>
        </w:tc>
      </w:tr>
      <w:tr>
        <w:trPr>
          <w:jc w:val="center"/>
          <w:tblCellSpacing w:w="0" w:type="dxa"/>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val="false"/>
          </w:tcPr>
          <w:p>
            <w:pPr>
              <w:pStyle w:val="877"/>
              <w:jc w:val="left"/>
              <w:keepLines w:val="0"/>
              <w:keepNext w:val="0"/>
              <w:pageBreakBefore w:val="0"/>
              <w:spacing w:beforeAutospacing="0" w:afterAutospacing="0" w:line="240" w:lineRule="auto"/>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color w:val="auto"/>
                <w:lang w:val="en-US" w:eastAsia="zh-CN"/>
              </w:rPr>
              <w:t xml:space="preserve">注：上述货物制造商的相关信息应全部列入《小微企业声明函》，否则不享受中小企业扶持政策。</w:t>
            </w:r>
            <w:r/>
          </w:p>
        </w:tc>
      </w:tr>
    </w:tbl>
    <w:p>
      <w:pPr>
        <w:rPr>
          <w:color w:val="auto"/>
        </w:rPr>
      </w:pPr>
      <w:r>
        <w:rPr>
          <w:color w:val="auto"/>
        </w:rPr>
      </w:r>
      <w:r/>
    </w:p>
    <w:p>
      <w:pPr>
        <w:rPr>
          <w:rFonts w:hint="eastAsia" w:ascii="黑体" w:hAnsi="黑体" w:eastAsia="黑体" w:cs="黑体"/>
          <w:color w:val="000000"/>
          <w:sz w:val="44"/>
          <w:szCs w:val="44"/>
          <w:lang w:val="en-US" w:eastAsia="zh-CN" w:bidi="ar-SA"/>
        </w:rPr>
      </w:pPr>
      <w:r/>
      <w:bookmarkStart w:id="198" w:name="_Toc120614281"/>
      <w:r>
        <w:rPr>
          <w:rFonts w:hint="eastAsia" w:ascii="黑体" w:hAnsi="黑体" w:eastAsia="黑体" w:cs="黑体"/>
          <w:color w:val="000000"/>
          <w:sz w:val="44"/>
          <w:szCs w:val="44"/>
          <w:lang w:val="en-US" w:eastAsia="zh-CN" w:bidi="ar-SA"/>
        </w:rPr>
        <w:br w:type="page" w:clear="all"/>
      </w:r>
      <w:r/>
    </w:p>
    <w:p>
      <w:pPr>
        <w:jc w:val="center"/>
        <w:rPr>
          <w:rFonts w:hint="eastAsia" w:ascii="黑体" w:hAnsi="黑体" w:eastAsia="黑体" w:cs="黑体"/>
          <w:color w:val="000000"/>
          <w:sz w:val="44"/>
          <w:szCs w:val="44"/>
          <w:lang w:val="en-US" w:eastAsia="zh-CN" w:bidi="ar-SA"/>
        </w:rPr>
      </w:pPr>
      <w:r>
        <w:rPr>
          <w:rFonts w:hint="eastAsia" w:ascii="黑体" w:hAnsi="黑体" w:eastAsia="黑体" w:cs="黑体"/>
          <w:color w:val="000000"/>
          <w:sz w:val="44"/>
          <w:szCs w:val="44"/>
          <w:lang w:val="en-US" w:eastAsia="zh-CN" w:bidi="ar-SA"/>
        </w:rPr>
        <w:t xml:space="preserve">第五章  评标方法与评标标准</w:t>
      </w:r>
      <w:r/>
    </w:p>
    <w:p>
      <w:pPr>
        <w:pStyle w:val="877"/>
        <w:jc w:val="both"/>
        <w:spacing w:beforeAutospacing="0" w:afterAutospacing="0"/>
      </w:pPr>
      <w:r>
        <w:t xml:space="preserve"> </w:t>
      </w:r>
      <w:r/>
    </w:p>
    <w:p>
      <w:pPr>
        <w:spacing w:line="360" w:lineRule="auto"/>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p>
    <w:p>
      <w:pPr>
        <w:ind w:firstLine="480"/>
        <w:spacing w:line="360" w:lineRule="auto"/>
        <w:rPr>
          <w:rFonts w:hint="eastAsia" w:ascii="宋体" w:hAnsi="宋体" w:cs="Arial"/>
          <w:color w:val="000000"/>
          <w:sz w:val="24"/>
          <w:szCs w:val="24"/>
        </w:rPr>
      </w:pPr>
      <w:r>
        <w:rPr>
          <w:rFonts w:hint="eastAsia" w:ascii="宋体" w:hAnsi="宋体" w:cs="Courier New"/>
          <w:bCs/>
          <w:color w:val="000000"/>
          <w:sz w:val="24"/>
          <w:szCs w:val="24"/>
        </w:rPr>
        <w:t xml:space="preserve">本项目采用</w:t>
      </w:r>
      <w:r>
        <w:rPr>
          <w:rFonts w:hint="eastAsia" w:ascii="宋体" w:hAnsi="宋体" w:cs="Courier New"/>
          <w:bCs/>
          <w:color w:val="000000"/>
          <w:sz w:val="24"/>
          <w:szCs w:val="24"/>
          <w:u w:val="single"/>
        </w:rPr>
        <w:t xml:space="preserve"> 综合评分 </w:t>
      </w:r>
      <w:r>
        <w:rPr>
          <w:rFonts w:hint="eastAsia" w:ascii="宋体" w:hAnsi="宋体" w:cs="Courier New"/>
          <w:bCs/>
          <w:color w:val="000000"/>
          <w:sz w:val="24"/>
          <w:szCs w:val="24"/>
        </w:rPr>
        <w:t xml:space="preserve">法。</w:t>
      </w:r>
      <w:r>
        <w:rPr>
          <w:rFonts w:hint="eastAsia" w:ascii="宋体" w:hAnsi="宋体" w:cs="Arial"/>
          <w:color w:val="000000"/>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77"/>
        <w:ind w:left="0" w:firstLine="482"/>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1、小微型企业价格扣除</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（1）本项目若不专门面向中小企业采购，对</w:t>
      </w:r>
      <w:r>
        <w:rPr>
          <w:rFonts w:hint="eastAsia" w:ascii="宋体" w:hAnsi="宋体" w:cs="Arial"/>
          <w:color w:val="000000"/>
          <w:sz w:val="24"/>
          <w:szCs w:val="24"/>
          <w:lang w:val="en-US" w:eastAsia="zh-CN"/>
        </w:rPr>
        <w:t xml:space="preserve">符合规定的</w:t>
      </w:r>
      <w:r>
        <w:rPr>
          <w:rFonts w:hint="eastAsia" w:ascii="宋体" w:hAnsi="宋体" w:cs="Arial"/>
          <w:color w:val="000000"/>
          <w:sz w:val="24"/>
          <w:szCs w:val="24"/>
        </w:rPr>
        <w:t xml:space="preserve">小型和微型企业</w:t>
      </w:r>
      <w:r>
        <w:rPr>
          <w:rFonts w:hint="eastAsia" w:ascii="宋体" w:hAnsi="宋体" w:cs="Arial"/>
          <w:color w:val="000000"/>
          <w:sz w:val="24"/>
          <w:szCs w:val="24"/>
          <w:lang w:val="en-US" w:eastAsia="zh-CN"/>
        </w:rPr>
        <w:t xml:space="preserve">报价</w:t>
      </w:r>
      <w:r>
        <w:rPr>
          <w:rFonts w:hint="eastAsia" w:ascii="宋体" w:hAnsi="宋体" w:cs="Arial"/>
          <w:color w:val="000000"/>
          <w:sz w:val="24"/>
          <w:szCs w:val="24"/>
        </w:rPr>
        <w:t xml:space="preserve">给予20%的扣除价格，用扣除后的价格参与评审；若专门面向中小企业采购，不再对小型和微型企业</w:t>
      </w:r>
      <w:r>
        <w:rPr>
          <w:rFonts w:hint="eastAsia" w:ascii="宋体" w:hAnsi="宋体" w:cs="Arial"/>
          <w:color w:val="000000"/>
          <w:sz w:val="24"/>
          <w:szCs w:val="24"/>
          <w:lang w:val="en-US" w:eastAsia="zh-CN"/>
        </w:rPr>
        <w:t xml:space="preserve">报价</w:t>
      </w:r>
      <w:r>
        <w:rPr>
          <w:rFonts w:hint="eastAsia" w:ascii="宋体" w:hAnsi="宋体" w:cs="Arial"/>
          <w:color w:val="000000"/>
          <w:sz w:val="24"/>
          <w:szCs w:val="24"/>
        </w:rPr>
        <w:t xml:space="preserve">给予价格扣除。</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（2）供应商需按照采购文件的要求提供相应的《小微企业声明函》。</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2、残疾人福利单位价格扣除</w:t>
      </w:r>
      <w:r/>
    </w:p>
    <w:p>
      <w:pPr>
        <w:ind w:firstLine="480"/>
        <w:spacing w:line="360" w:lineRule="auto"/>
        <w:rPr>
          <w:rFonts w:hint="eastAsia" w:ascii="宋体" w:hAnsi="宋体" w:cs="Arial"/>
          <w:color w:val="000000"/>
          <w:sz w:val="24"/>
          <w:szCs w:val="24"/>
          <w:lang w:eastAsia="zh-CN"/>
        </w:rPr>
      </w:pPr>
      <w:r>
        <w:rPr>
          <w:rFonts w:hint="eastAsia" w:ascii="宋体" w:hAnsi="宋体" w:cs="Arial"/>
          <w:color w:val="000000"/>
          <w:sz w:val="24"/>
          <w:szCs w:val="24"/>
        </w:rPr>
        <w:t xml:space="preserve">（1）本项目对残疾人福利性单位视同小型、微型企业，给予</w:t>
      </w:r>
      <w:r>
        <w:rPr>
          <w:rFonts w:hint="eastAsia" w:ascii="宋体" w:hAnsi="宋体" w:cs="Arial"/>
          <w:color w:val="000000"/>
          <w:sz w:val="24"/>
          <w:szCs w:val="24"/>
          <w:u w:val="single"/>
        </w:rPr>
        <w:t xml:space="preserve">20%</w:t>
      </w:r>
      <w:r>
        <w:rPr>
          <w:rFonts w:hint="eastAsia" w:ascii="宋体" w:hAnsi="宋体" w:cs="Arial"/>
          <w:color w:val="000000"/>
          <w:sz w:val="24"/>
          <w:szCs w:val="24"/>
        </w:rPr>
        <w:t xml:space="preserve">的价格扣除</w:t>
      </w:r>
      <w:r>
        <w:rPr>
          <w:rFonts w:hint="eastAsia" w:ascii="宋体" w:hAnsi="宋体" w:cs="Arial"/>
          <w:color w:val="000000"/>
          <w:sz w:val="24"/>
          <w:szCs w:val="24"/>
          <w:lang w:eastAsia="zh-CN"/>
        </w:rPr>
        <w:t xml:space="preserve">。</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（2）残疾人福利单位需按照采购文件的要求提供《残疾人福利性单位声明函》。</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（3）残疾人福利单位标准请参照《关于促进残疾人就业政府采购政策的通知》（财库〔2017〕141号）。</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3、监狱和戒毒企业价格扣除</w:t>
      </w:r>
      <w:r/>
    </w:p>
    <w:p>
      <w:pPr>
        <w:ind w:firstLine="480"/>
        <w:spacing w:line="360" w:lineRule="auto"/>
        <w:rPr>
          <w:rFonts w:hint="eastAsia" w:ascii="宋体" w:hAnsi="宋体" w:cs="Arial"/>
          <w:color w:val="000000"/>
          <w:sz w:val="24"/>
          <w:szCs w:val="24"/>
          <w:lang w:eastAsia="zh-CN"/>
        </w:rPr>
      </w:pPr>
      <w:r>
        <w:rPr>
          <w:rFonts w:hint="eastAsia" w:ascii="宋体" w:hAnsi="宋体" w:cs="Arial"/>
          <w:color w:val="000000"/>
          <w:sz w:val="24"/>
          <w:szCs w:val="24"/>
        </w:rPr>
        <w:t xml:space="preserve">（1）本项目对监狱和戒毒企业（简称监狱企业）视同小型、微型企业，给予</w:t>
      </w:r>
      <w:r>
        <w:rPr>
          <w:rFonts w:hint="eastAsia" w:ascii="宋体" w:hAnsi="宋体" w:cs="Arial"/>
          <w:color w:val="000000"/>
          <w:sz w:val="24"/>
          <w:szCs w:val="24"/>
          <w:u w:val="single"/>
        </w:rPr>
        <w:t xml:space="preserve">20%</w:t>
      </w:r>
      <w:r>
        <w:rPr>
          <w:rFonts w:hint="eastAsia" w:ascii="宋体" w:hAnsi="宋体" w:cs="Arial"/>
          <w:color w:val="000000"/>
          <w:sz w:val="24"/>
          <w:szCs w:val="24"/>
        </w:rPr>
        <w:t xml:space="preserve">的价格扣除</w:t>
      </w:r>
      <w:r>
        <w:rPr>
          <w:rFonts w:hint="eastAsia" w:ascii="宋体" w:hAnsi="宋体" w:cs="Arial"/>
          <w:color w:val="000000"/>
          <w:sz w:val="24"/>
          <w:szCs w:val="24"/>
          <w:lang w:eastAsia="zh-CN"/>
        </w:rPr>
        <w:t xml:space="preserve">。</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（3）监狱企业标准请参照《关于政府采购支持监狱企业发展有关问题的通知》（财库[2014]68号）。</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4、残疾人福利单位、监狱企业属于小型、微型企业的，不重复享受政策。</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6、联合体各方均为小型、微型企业（残疾人福利单位、监狱企业）的，联合体享受</w:t>
      </w:r>
      <w:r>
        <w:rPr>
          <w:rFonts w:hint="eastAsia" w:ascii="宋体" w:hAnsi="宋体" w:cs="Arial"/>
          <w:color w:val="000000"/>
          <w:sz w:val="24"/>
          <w:szCs w:val="24"/>
          <w:u w:val="single"/>
        </w:rPr>
        <w:t xml:space="preserve">20%</w:t>
      </w:r>
      <w:r>
        <w:rPr>
          <w:rFonts w:hint="eastAsia" w:ascii="宋体" w:hAnsi="宋体" w:cs="Arial"/>
          <w:color w:val="000000"/>
          <w:sz w:val="24"/>
          <w:szCs w:val="24"/>
        </w:rPr>
        <w:t xml:space="preserve">的价格扣除</w:t>
      </w:r>
      <w:r>
        <w:rPr>
          <w:rFonts w:hint="eastAsia" w:ascii="宋体" w:hAnsi="宋体" w:cs="Arial"/>
          <w:color w:val="000000"/>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黑体" w:hAnsi="黑体" w:eastAsia="黑体" w:cs="黑体"/>
          <w:b/>
          <w:i/>
          <w:color w:val="auto"/>
          <w:sz w:val="24"/>
          <w:highlight w:val="none"/>
          <w:u w:val="single"/>
        </w:rPr>
        <w:t xml:space="preserve">如属政府强制采购产品未提供认证证书的或认证证书提供不全的将视为未实质性响应采购要求</w:t>
      </w:r>
      <w:r>
        <w:rPr>
          <w:rFonts w:hint="eastAsia" w:ascii="黑体" w:hAnsi="黑体" w:eastAsia="黑体" w:cs="黑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77"/>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b/>
          <w:color w:val="auto"/>
          <w:lang w:val="en-US" w:eastAsia="zh-CN"/>
        </w:rPr>
        <w:t xml:space="preserve">二、</w:t>
      </w:r>
      <w:r>
        <w:rPr>
          <w:rFonts w:hint="eastAsia" w:ascii="宋体" w:hAnsi="宋体" w:eastAsia="宋体" w:cs="宋体"/>
          <w:b/>
          <w:color w:val="auto"/>
        </w:rPr>
        <w:t xml:space="preserve">评标方法与评标标准</w:t>
      </w:r>
      <w:r/>
    </w:p>
    <w:p>
      <w:pPr>
        <w:pStyle w:val="877"/>
        <w:ind w:left="0"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本项目评分总分值为100分。 </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207"/>
        <w:gridCol w:w="1225"/>
        <w:gridCol w:w="618"/>
        <w:gridCol w:w="6233"/>
      </w:tblGrid>
      <w:tr>
        <w:trPr>
          <w:jc w:val="center"/>
          <w:trHeight w:val="567"/>
          <w:tblHead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pStyle w:val="906"/>
              <w:rPr>
                <w:rFonts w:hint="eastAsia" w:ascii="宋体" w:hAnsi="宋体" w:eastAsia="宋体" w:cs="宋体"/>
                <w:sz w:val="22"/>
                <w:szCs w:val="22"/>
                <w:lang w:val="en-US" w:eastAsia="zh-CN"/>
              </w:rPr>
            </w:pPr>
            <w:r>
              <w:rPr>
                <w:rFonts w:hint="eastAsia" w:ascii="宋体" w:hAnsi="宋体" w:eastAsia="宋体" w:cs="宋体"/>
                <w:sz w:val="22"/>
                <w:szCs w:val="22"/>
              </w:rPr>
              <w:t xml:space="preserve">序</w:t>
            </w:r>
            <w:r>
              <w:rPr>
                <w:rFonts w:hint="eastAsia" w:ascii="宋体" w:hAnsi="宋体" w:eastAsia="宋体" w:cs="宋体"/>
                <w:sz w:val="22"/>
                <w:szCs w:val="22"/>
                <w:lang w:val="en-US" w:eastAsia="zh-CN"/>
              </w:rPr>
              <w:t xml:space="preserve">号</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906"/>
              <w:rPr>
                <w:rFonts w:hint="eastAsia" w:ascii="宋体" w:hAnsi="宋体" w:eastAsia="宋体" w:cs="宋体"/>
                <w:sz w:val="22"/>
                <w:szCs w:val="22"/>
              </w:rPr>
            </w:pPr>
            <w:r>
              <w:rPr>
                <w:rFonts w:hint="eastAsia" w:ascii="宋体" w:hAnsi="宋体" w:eastAsia="宋体" w:cs="宋体"/>
                <w:sz w:val="22"/>
                <w:szCs w:val="22"/>
              </w:rPr>
              <w:t xml:space="preserve">分部内容</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sz w:val="22"/>
                <w:szCs w:val="22"/>
              </w:rPr>
            </w:pPr>
            <w:r>
              <w:rPr>
                <w:rFonts w:hint="eastAsia" w:ascii="宋体" w:hAnsi="宋体" w:eastAsia="宋体" w:cs="宋体"/>
                <w:sz w:val="22"/>
                <w:szCs w:val="22"/>
              </w:rPr>
              <w:t xml:space="preserve">分项内容</w:t>
            </w:r>
            <w:r/>
          </w:p>
        </w:tc>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sz w:val="22"/>
                <w:szCs w:val="22"/>
              </w:rPr>
            </w:pPr>
            <w:r>
              <w:rPr>
                <w:rFonts w:hint="eastAsia" w:ascii="宋体" w:hAnsi="宋体" w:eastAsia="宋体" w:cs="宋体"/>
                <w:sz w:val="22"/>
                <w:szCs w:val="22"/>
              </w:rPr>
              <w:t xml:space="preserve">分值</w:t>
            </w:r>
            <w:r/>
          </w:p>
        </w:tc>
        <w:tc>
          <w:tcPr>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pStyle w:val="906"/>
              <w:rPr>
                <w:rFonts w:hint="eastAsia" w:ascii="宋体" w:hAnsi="宋体" w:eastAsia="宋体" w:cs="宋体"/>
                <w:sz w:val="22"/>
                <w:szCs w:val="22"/>
              </w:rPr>
            </w:pPr>
            <w:r>
              <w:rPr>
                <w:rFonts w:hint="eastAsia" w:ascii="宋体" w:hAnsi="宋体" w:eastAsia="宋体" w:cs="宋体"/>
                <w:sz w:val="22"/>
                <w:szCs w:val="22"/>
              </w:rPr>
              <w:t xml:space="preserve">打分要求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906"/>
              <w:rPr>
                <w:rFonts w:hint="eastAsia" w:ascii="宋体" w:hAnsi="宋体" w:eastAsia="宋体" w:cs="宋体"/>
                <w:color w:val="auto"/>
                <w:sz w:val="22"/>
                <w:szCs w:val="22"/>
              </w:rPr>
            </w:pPr>
            <w:r>
              <w:rPr>
                <w:rFonts w:hint="eastAsia" w:ascii="宋体" w:hAnsi="宋体" w:eastAsia="宋体" w:cs="宋体"/>
                <w:color w:val="auto"/>
                <w:sz w:val="22"/>
                <w:szCs w:val="22"/>
              </w:rPr>
              <w:t xml:space="preserve">价格分</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投标</w:t>
            </w:r>
            <w:r>
              <w:rPr>
                <w:rFonts w:hint="eastAsia" w:ascii="宋体" w:hAnsi="宋体" w:eastAsia="宋体" w:cs="宋体"/>
                <w:color w:val="auto"/>
                <w:sz w:val="22"/>
                <w:szCs w:val="22"/>
              </w:rPr>
              <w:t xml:space="preserve">报价</w:t>
            </w:r>
            <w:r/>
          </w:p>
        </w:tc>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30</w:t>
            </w:r>
            <w:r/>
          </w:p>
        </w:tc>
        <w:tc>
          <w:tcPr>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满足招标文件要求且投标价格最低的投标报价为基准价，其价格分为满分。报价得分=(评标基准价/投标报价)×30。</w:t>
            </w:r>
            <w:r>
              <w:rPr>
                <w:rFonts w:hint="eastAsia" w:ascii="宋体" w:hAnsi="宋体" w:eastAsia="宋体" w:cs="宋体"/>
                <w:color w:val="auto"/>
                <w:sz w:val="22"/>
                <w:szCs w:val="22"/>
                <w:lang w:val="en-US" w:eastAsia="zh-CN"/>
              </w:rPr>
            </w:r>
            <w:r/>
          </w:p>
        </w:tc>
      </w:tr>
      <w:tr>
        <w:trPr>
          <w:jc w:val="center"/>
          <w:trHeight w:val="567"/>
        </w:trPr>
        <w:tc>
          <w:tcPr>
            <w:tcBorders>
              <w:top w:val="single" w:color="auto" w:sz="4" w:space="0"/>
              <w:left w:val="single" w:color="auto" w:sz="4" w:space="0"/>
              <w:right w:val="single" w:color="auto" w:sz="4" w:space="0"/>
            </w:tcBorders>
            <w:tcW w:w="338" w:type="pct"/>
            <w:vAlign w:val="center"/>
            <w:vMerge w:val="restart"/>
            <w:textDirection w:val="lrTb"/>
            <w:noWrap w:val="false"/>
          </w:tcPr>
          <w:p>
            <w:pPr>
              <w:pStyle w:val="906"/>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p>
        </w:tc>
        <w:tc>
          <w:tcPr>
            <w:tcBorders>
              <w:top w:val="single" w:color="auto" w:sz="4" w:space="0"/>
              <w:left w:val="single" w:color="auto" w:sz="4" w:space="0"/>
              <w:right w:val="single" w:color="auto" w:sz="4" w:space="0"/>
            </w:tcBorders>
            <w:tcW w:w="606" w:type="pct"/>
            <w:vAlign w:val="center"/>
            <w:vMerge w:val="restart"/>
            <w:textDirection w:val="lrTb"/>
            <w:noWrap w:val="false"/>
          </w:tcPr>
          <w:p>
            <w:pPr>
              <w:pStyle w:val="90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 xml:space="preserve">技术</w:t>
            </w:r>
            <w:r>
              <w:rPr>
                <w:rFonts w:hint="eastAsia" w:ascii="宋体" w:hAnsi="宋体" w:eastAsia="宋体" w:cs="宋体"/>
                <w:color w:val="000000" w:themeColor="text1"/>
                <w:sz w:val="22"/>
                <w:szCs w:val="22"/>
                <w14:textFill>
                  <w14:solidFill>
                    <w14:schemeClr w14:val="tx1"/>
                  </w14:solidFill>
                </w14:textFill>
              </w:rPr>
              <w:t xml:space="preserve">部分</w:t>
            </w:r>
            <w:r/>
          </w:p>
        </w:tc>
        <w:tc>
          <w:tcPr>
            <w:tcBorders>
              <w:top w:val="single" w:color="auto" w:sz="4" w:space="0"/>
              <w:left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技术响应</w:t>
            </w:r>
            <w:r/>
          </w:p>
        </w:tc>
        <w:tc>
          <w:tcPr>
            <w:tcBorders>
              <w:top w:val="single" w:color="auto" w:sz="4" w:space="0"/>
              <w:left w:val="single" w:color="auto" w:sz="4" w:space="0"/>
              <w:right w:val="single" w:color="auto" w:sz="4" w:space="0"/>
            </w:tcBorders>
            <w:tcW w:w="310" w:type="pct"/>
            <w:vAlign w:val="center"/>
            <w:textDirection w:val="lrTb"/>
            <w:noWrap w:val="false"/>
          </w:tcPr>
          <w:p>
            <w:pPr>
              <w:pStyle w:val="906"/>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29</w:t>
            </w:r>
            <w:r/>
          </w:p>
        </w:tc>
        <w:tc>
          <w:tcPr>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pStyle w:val="906"/>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所投产品完全满足产品技术参数要求的得</w:t>
            </w:r>
            <w:r>
              <w:rPr>
                <w:rFonts w:hint="eastAsia" w:ascii="宋体" w:hAnsi="宋体" w:eastAsia="宋体" w:cs="宋体"/>
                <w:color w:val="000000" w:themeColor="text1"/>
                <w:sz w:val="22"/>
                <w:szCs w:val="22"/>
                <w:lang w:val="en-US" w:eastAsia="zh-CN"/>
                <w14:textFill>
                  <w14:solidFill>
                    <w14:schemeClr w14:val="tx1"/>
                  </w14:solidFill>
                </w14:textFill>
              </w:rPr>
              <w:t xml:space="preserve">29</w:t>
            </w:r>
            <w:r>
              <w:rPr>
                <w:rFonts w:hint="eastAsia" w:ascii="宋体" w:hAnsi="宋体" w:eastAsia="宋体" w:cs="宋体"/>
                <w:color w:val="000000" w:themeColor="text1"/>
                <w:sz w:val="22"/>
                <w:szCs w:val="22"/>
                <w14:textFill>
                  <w14:solidFill>
                    <w14:schemeClr w14:val="tx1"/>
                  </w14:solidFill>
                </w14:textFill>
              </w:rPr>
              <w:t xml:space="preserve">分，标记“▲”的条款每有一项负偏离扣</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分，其它技术参数每有一项负偏离扣</w:t>
            </w:r>
            <w:r>
              <w:rPr>
                <w:rFonts w:hint="eastAsia" w:ascii="宋体" w:hAnsi="宋体" w:eastAsia="宋体" w:cs="宋体"/>
                <w:color w:val="000000" w:themeColor="text1"/>
                <w:sz w:val="22"/>
                <w:szCs w:val="22"/>
                <w:lang w:val="en-US" w:eastAsia="zh-CN"/>
                <w14:textFill>
                  <w14:solidFill>
                    <w14:schemeClr w14:val="tx1"/>
                  </w14:solidFill>
                </w14:textFill>
              </w:rPr>
              <w:t xml:space="preserve">1</w:t>
            </w:r>
            <w:r>
              <w:rPr>
                <w:rFonts w:hint="eastAsia" w:ascii="宋体" w:hAnsi="宋体" w:eastAsia="宋体" w:cs="宋体"/>
                <w:color w:val="000000" w:themeColor="text1"/>
                <w:sz w:val="22"/>
                <w:szCs w:val="22"/>
                <w14:textFill>
                  <w14:solidFill>
                    <w14:schemeClr w14:val="tx1"/>
                  </w14:solidFill>
                </w14:textFill>
              </w:rPr>
              <w:t xml:space="preserve">分，</w:t>
            </w:r>
            <w:r>
              <w:rPr>
                <w:rFonts w:hint="eastAsia" w:ascii="宋体" w:hAnsi="宋体" w:eastAsia="宋体" w:cs="宋体"/>
                <w:color w:val="000000" w:themeColor="text1"/>
                <w:sz w:val="22"/>
                <w:szCs w:val="22"/>
                <w:lang w:val="en-US" w:eastAsia="zh-CN"/>
                <w14:textFill>
                  <w14:solidFill>
                    <w14:schemeClr w14:val="tx1"/>
                  </w14:solidFill>
                </w14:textFill>
              </w:rPr>
              <w:t xml:space="preserve">扣完为止。</w:t>
            </w:r>
            <w:r/>
          </w:p>
          <w:p>
            <w:pPr>
              <w:pStyle w:val="906"/>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注：投标人须逐条响应以上技术参数，提供所投产品的具体参数值，不得简单复制投标文件的技术参数，如实填写技术规格偏离表。</w:t>
            </w:r>
            <w:r/>
          </w:p>
          <w:p>
            <w:pPr>
              <w:pStyle w:val="906"/>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技术参数中带“▲”的条款需要在投标文件内提供技术支持资料(如检测报告等证明材料)以证明技术参数及功能的有效性;如未附有效证明材料或者所附的证明材料由评标委员会认为不能佐证技术指标的有效性的，则同样视为负偏离</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ascii="宋体" w:hAnsi="宋体" w:cs="宋体"/>
                <w:color w:val="000000" w:themeColor="text1"/>
                <w:sz w:val="22"/>
                <w:szCs w:val="22"/>
                <w:lang w:val="en-US" w:eastAsia="zh-CN"/>
                <w14:textFill>
                  <w14:solidFill>
                    <w14:schemeClr w14:val="tx1"/>
                  </w14:solidFill>
                </w14:textFill>
              </w:rPr>
              <w:t xml:space="preserve">其他</w:t>
            </w:r>
            <w:r>
              <w:rPr>
                <w:rFonts w:hint="eastAsia" w:ascii="宋体" w:hAnsi="宋体" w:eastAsia="宋体" w:cs="宋体"/>
                <w:color w:val="000000" w:themeColor="text1"/>
                <w:sz w:val="22"/>
                <w:szCs w:val="22"/>
                <w14:textFill>
                  <w14:solidFill>
                    <w14:schemeClr w14:val="tx1"/>
                  </w14:solidFill>
                </w14:textFill>
              </w:rPr>
              <w:t xml:space="preserve">技术条款以技术参数响应表为准</w:t>
            </w:r>
            <w:r>
              <w:rPr>
                <w:rFonts w:hint="eastAsia" w:ascii="宋体" w:hAnsi="宋体" w:eastAsia="宋体" w:cs="宋体"/>
                <w:color w:val="000000" w:themeColor="text1"/>
                <w:sz w:val="22"/>
                <w:szCs w:val="22"/>
                <w:lang w:eastAsia="zh-CN"/>
                <w14:textFill>
                  <w14:solidFill>
                    <w14:schemeClr w14:val="tx1"/>
                  </w14:solidFill>
                </w14:textFill>
              </w:rPr>
              <w:t xml:space="preserve">。</w:t>
            </w:r>
            <w:r/>
          </w:p>
        </w:tc>
      </w:tr>
      <w:tr>
        <w:trPr>
          <w:jc w:val="center"/>
          <w:trHeight w:val="567"/>
        </w:trPr>
        <w:tc>
          <w:tcPr>
            <w:tcBorders>
              <w:left w:val="single" w:color="auto" w:sz="4" w:space="0"/>
              <w:right w:val="single" w:color="auto" w:sz="4" w:space="0"/>
            </w:tcBorders>
            <w:tcW w:w="338" w:type="pct"/>
            <w:vAlign w:val="center"/>
            <w:vMerge w:val="continue"/>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left w:val="single" w:color="auto" w:sz="4" w:space="0"/>
              <w:right w:val="single" w:color="auto" w:sz="4" w:space="0"/>
            </w:tcBorders>
            <w:tcW w:w="606" w:type="pct"/>
            <w:vAlign w:val="center"/>
            <w:vMerge w:val="continue"/>
            <w:textDirection w:val="lrTb"/>
            <w:noWrap w:val="false"/>
          </w:tcPr>
          <w:p>
            <w:pPr>
              <w:pStyle w:val="906"/>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r>
            <w:r/>
          </w:p>
        </w:tc>
        <w:tc>
          <w:tcPr>
            <w:tcBorders>
              <w:top w:val="single" w:color="auto" w:sz="4" w:space="0"/>
              <w:left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项目实施及运维方案</w:t>
            </w:r>
            <w:r/>
          </w:p>
        </w:tc>
        <w:tc>
          <w:tcPr>
            <w:tcBorders>
              <w:top w:val="single" w:color="auto" w:sz="4" w:space="0"/>
              <w:left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w:t>
            </w:r>
            <w:r/>
          </w:p>
        </w:tc>
        <w:tc>
          <w:tcPr>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针对本项目有全面的项目实施计划和运维方案，内容包括：</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1.项目实施计划方案；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2.组织结构，货物进度跟踪方案；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3.运行维护时备品更换情况、响应时间；</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4.供货具体联系人、联系方式；</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5.运维服务方案详细编制含考核方式、应急方案、服务组织架构及现场运维人员。</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以上内容全部满足的得6分，每缺一项扣1分；每一项内容不完整或针对性不强的得0.5分；每一项有偏差或不符合本项目实际情况的不得分。</w:t>
            </w:r>
            <w:r/>
          </w:p>
        </w:tc>
      </w:tr>
      <w:tr>
        <w:trPr>
          <w:jc w:val="center"/>
          <w:trHeight w:val="567"/>
        </w:trPr>
        <w:tc>
          <w:tcPr>
            <w:tcBorders>
              <w:left w:val="single" w:color="auto" w:sz="4" w:space="0"/>
              <w:right w:val="single" w:color="auto" w:sz="4" w:space="0"/>
            </w:tcBorders>
            <w:tcW w:w="338" w:type="pct"/>
            <w:vAlign w:val="center"/>
            <w:vMerge w:val="continue"/>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left w:val="single" w:color="auto" w:sz="4" w:space="0"/>
              <w:right w:val="single" w:color="auto" w:sz="4" w:space="0"/>
            </w:tcBorders>
            <w:tcW w:w="606" w:type="pct"/>
            <w:vAlign w:val="center"/>
            <w:vMerge w:val="continue"/>
            <w:textDirection w:val="lrTb"/>
            <w:noWrap w:val="false"/>
          </w:tcPr>
          <w:p>
            <w:pPr>
              <w:pStyle w:val="906"/>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r>
            <w:r/>
          </w:p>
        </w:tc>
        <w:tc>
          <w:tcPr>
            <w:tcBorders>
              <w:top w:val="single" w:color="auto" w:sz="4" w:space="0"/>
              <w:left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自动监测质控方案</w:t>
            </w:r>
            <w:r/>
          </w:p>
        </w:tc>
        <w:tc>
          <w:tcPr>
            <w:tcBorders>
              <w:top w:val="single" w:color="auto" w:sz="4" w:space="0"/>
              <w:left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w:t>
            </w:r>
            <w:r/>
          </w:p>
        </w:tc>
        <w:tc>
          <w:tcPr>
            <w:tcBorders>
              <w:top w:val="single" w:color="auto" w:sz="4" w:space="0"/>
              <w:left w:val="single" w:color="auto" w:sz="4" w:space="0"/>
              <w:bottom w:val="single" w:color="auto" w:sz="4" w:space="0"/>
              <w:right w:val="single" w:color="auto" w:sz="4" w:space="0"/>
            </w:tcBorders>
            <w:tcW w:w="3129" w:type="pct"/>
            <w:vAlign w:val="top"/>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投标人提供满足本项目的自动监测质控方案：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1.方案中安排的工作频次及质控措施；</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2.方案程序的设计；</w:t>
            </w:r>
            <w:r>
              <w:rPr>
                <w:rFonts w:hint="eastAsia" w:ascii="宋体" w:hAnsi="宋体" w:eastAsia="宋体" w:cs="宋体"/>
                <w:color w:val="auto"/>
                <w:sz w:val="22"/>
                <w:szCs w:val="22"/>
                <w:lang w:val="en-US" w:eastAsia="zh-CN"/>
              </w:rPr>
              <w:br/>
            </w:r>
            <w:r>
              <w:rPr>
                <w:rFonts w:hint="eastAsia" w:ascii="宋体" w:hAnsi="宋体" w:eastAsia="宋体" w:cs="宋体"/>
                <w:color w:val="auto"/>
                <w:sz w:val="22"/>
                <w:szCs w:val="22"/>
                <w:lang w:val="en-US" w:eastAsia="zh-CN"/>
              </w:rPr>
              <w:t xml:space="preserve">3.编制各项数据的表格信息；</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4.安排人员定期检查仪器参数、校准数据、质控数据等措施安排。</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以上内容全部满足的得6分，每缺一项扣1分；每一项内容不完整或针对性不强的得0.5分；每一项有偏差或不符合本项目实际情况的不得分。</w:t>
            </w:r>
            <w:r/>
          </w:p>
        </w:tc>
      </w:tr>
      <w:tr>
        <w:trPr>
          <w:jc w:val="center"/>
          <w:trHeight w:val="567"/>
        </w:trPr>
        <w:tc>
          <w:tcPr>
            <w:tcBorders>
              <w:left w:val="single" w:color="auto" w:sz="4" w:space="0"/>
              <w:right w:val="single" w:color="auto" w:sz="4" w:space="0"/>
            </w:tcBorders>
            <w:tcW w:w="338" w:type="pct"/>
            <w:vAlign w:val="center"/>
            <w:vMerge w:val="continue"/>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left w:val="single" w:color="auto" w:sz="4" w:space="0"/>
              <w:right w:val="single" w:color="auto" w:sz="4" w:space="0"/>
            </w:tcBorders>
            <w:tcW w:w="606" w:type="pct"/>
            <w:vAlign w:val="center"/>
            <w:vMerge w:val="continue"/>
            <w:textDirection w:val="lrTb"/>
            <w:noWrap w:val="false"/>
          </w:tcPr>
          <w:p>
            <w:pPr>
              <w:pStyle w:val="906"/>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r>
            <w:r/>
          </w:p>
        </w:tc>
        <w:tc>
          <w:tcPr>
            <w:tcBorders>
              <w:top w:val="single" w:color="auto" w:sz="4" w:space="0"/>
              <w:left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安装、调试方案</w:t>
            </w:r>
            <w:r/>
          </w:p>
        </w:tc>
        <w:tc>
          <w:tcPr>
            <w:tcBorders>
              <w:top w:val="single" w:color="auto" w:sz="4" w:space="0"/>
              <w:left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w:t>
            </w:r>
            <w:r/>
          </w:p>
        </w:tc>
        <w:tc>
          <w:tcPr>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投标人提供符合项目需求的安装、调试方案：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1.关键工序的分解；</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2.人员及机具的安排；</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3.设备的安装方案；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4.对于季节性、突发性事件的应急预案。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以上内容全部满足的得6分，每缺一项扣1分；每一项内容不完整或针对性不强的得0.5分；每一项有偏差或不符合本项目实际情况的不得分。</w:t>
            </w:r>
            <w:r/>
          </w:p>
        </w:tc>
      </w:tr>
      <w:tr>
        <w:trPr>
          <w:jc w:val="center"/>
          <w:trHeight w:val="567"/>
        </w:trPr>
        <w:tc>
          <w:tcPr>
            <w:tcBorders>
              <w:left w:val="single" w:color="auto" w:sz="4" w:space="0"/>
              <w:right w:val="single" w:color="auto" w:sz="4" w:space="0"/>
            </w:tcBorders>
            <w:tcW w:w="338" w:type="pct"/>
            <w:vAlign w:val="center"/>
            <w:vMerge w:val="continue"/>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left w:val="single" w:color="auto" w:sz="4" w:space="0"/>
              <w:right w:val="single" w:color="auto" w:sz="4" w:space="0"/>
            </w:tcBorders>
            <w:tcW w:w="606" w:type="pct"/>
            <w:vAlign w:val="center"/>
            <w:vMerge w:val="continue"/>
            <w:textDirection w:val="lrTb"/>
            <w:noWrap w:val="false"/>
          </w:tcPr>
          <w:p>
            <w:pPr>
              <w:pStyle w:val="906"/>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r>
            <w:r/>
          </w:p>
        </w:tc>
        <w:tc>
          <w:tcPr>
            <w:tcBorders>
              <w:top w:val="single" w:color="auto" w:sz="4" w:space="0"/>
              <w:left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产品质量保证措施</w:t>
            </w:r>
            <w:r/>
          </w:p>
        </w:tc>
        <w:tc>
          <w:tcPr>
            <w:tcBorders>
              <w:top w:val="single" w:color="auto" w:sz="4" w:space="0"/>
              <w:left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投标人提供满足本项目技术规格要求、质量合格的货物：</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1.货物符合国家、行业标准等要求；</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2.质量如有问题有详细的赔偿方案；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3.货物运输质量保障措施；</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4.验收过程中的组织配合方案。</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以上内容全部满足的得5分，每缺一项扣1分；每一项内容不完整或针对性不强的得0.5分；每一项有偏差或不符合本项目实际情况的不得分。</w:t>
            </w:r>
            <w:r/>
          </w:p>
        </w:tc>
      </w:tr>
      <w:tr>
        <w:trPr>
          <w:jc w:val="center"/>
          <w:trHeight w:val="567"/>
        </w:trPr>
        <w:tc>
          <w:tcPr>
            <w:tcBorders>
              <w:left w:val="single" w:color="auto" w:sz="4" w:space="0"/>
              <w:right w:val="single" w:color="auto" w:sz="4" w:space="0"/>
            </w:tcBorders>
            <w:tcW w:w="338" w:type="pct"/>
            <w:vAlign w:val="center"/>
            <w:vMerge w:val="continue"/>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left w:val="single" w:color="auto" w:sz="4" w:space="0"/>
              <w:right w:val="single" w:color="auto" w:sz="4" w:space="0"/>
            </w:tcBorders>
            <w:tcW w:w="606" w:type="pct"/>
            <w:vAlign w:val="center"/>
            <w:vMerge w:val="continue"/>
            <w:textDirection w:val="lrTb"/>
            <w:noWrap w:val="false"/>
          </w:tcPr>
          <w:p>
            <w:pPr>
              <w:pStyle w:val="906"/>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售后服务方案</w:t>
            </w:r>
            <w:r/>
          </w:p>
        </w:tc>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Borders>
              <w:top w:val="single" w:color="auto" w:sz="4" w:space="0"/>
              <w:left w:val="single" w:color="auto" w:sz="4" w:space="0"/>
              <w:bottom w:val="single" w:color="auto" w:sz="4" w:space="0"/>
              <w:right w:val="single" w:color="auto" w:sz="4" w:space="0"/>
            </w:tcBorders>
            <w:tcW w:w="3129" w:type="pct"/>
            <w:vAlign w:val="top"/>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对投标人提供的售后服务方案和措施、售后服务机构进行评价：</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1.售后服务方案响应内容及措施；</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2.提供服务体系描述、服务流程及内容；</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3.定期回访服务内容；</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4.维护响应计划，故障响应修复时间方式。</w:t>
            </w:r>
            <w:r/>
          </w:p>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以上内容全部满足的得5分，每缺一项扣1分；每一项内容不完整或针对性不强的得0.5分；每一项有偏差或不符合本项目实际情况的不得分。</w:t>
            </w:r>
            <w:r/>
          </w:p>
        </w:tc>
      </w:tr>
      <w:tr>
        <w:trPr>
          <w:jc w:val="center"/>
          <w:trHeight w:val="567"/>
        </w:trPr>
        <w:tc>
          <w:tcPr>
            <w:tcBorders>
              <w:left w:val="single" w:color="auto" w:sz="4" w:space="0"/>
              <w:right w:val="single" w:color="auto" w:sz="4" w:space="0"/>
            </w:tcBorders>
            <w:tcW w:w="338" w:type="pct"/>
            <w:vAlign w:val="center"/>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w:t>
            </w:r>
            <w:r/>
          </w:p>
        </w:tc>
        <w:tc>
          <w:tcPr>
            <w:tcBorders>
              <w:left w:val="single" w:color="auto" w:sz="4" w:space="0"/>
              <w:right w:val="single" w:color="auto" w:sz="4" w:space="0"/>
            </w:tcBorders>
            <w:tcW w:w="606" w:type="pct"/>
            <w:vAlign w:val="center"/>
            <w:textDirection w:val="lrTb"/>
            <w:noWrap w:val="false"/>
          </w:tcPr>
          <w:p>
            <w:pPr>
              <w:pStyle w:val="906"/>
              <w:jc w:val="lef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产品技术先进性与可靠性</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906"/>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 xml:space="preserve">产品技术先进性与可靠性</w:t>
            </w:r>
            <w:r/>
          </w:p>
        </w:tc>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pStyle w:val="906"/>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3129" w:type="pct"/>
            <w:vAlign w:val="top"/>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为保证后期联动稳定及软件升级要求，红外热成像气体泄漏检测仪须与定量模块为同一品牌。满足此条要求得2分，不满足不得分。</w:t>
            </w:r>
            <w:r/>
          </w:p>
        </w:tc>
      </w:tr>
      <w:tr>
        <w:trPr>
          <w:jc w:val="center"/>
          <w:trHeight w:val="567"/>
        </w:trPr>
        <w:tc>
          <w:tcPr>
            <w:shd w:val="clear" w:color="auto" w:fill="auto"/>
            <w:tcBorders>
              <w:left w:val="single" w:color="auto" w:sz="4" w:space="0"/>
              <w:right w:val="single" w:color="auto" w:sz="4" w:space="0"/>
            </w:tcBorders>
            <w:tcW w:w="338"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4</w:t>
            </w:r>
            <w:r/>
          </w:p>
        </w:tc>
        <w:tc>
          <w:tcPr>
            <w:shd w:val="clear" w:color="auto" w:fill="auto"/>
            <w:tcBorders>
              <w:left w:val="single" w:color="auto" w:sz="4" w:space="0"/>
              <w:right w:val="single" w:color="auto" w:sz="4" w:space="0"/>
            </w:tcBorders>
            <w:tcW w:w="606"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eastAsia="zh-CN"/>
              </w:rPr>
              <w:t xml:space="preserve">履约能力</w:t>
            </w:r>
            <w:r/>
          </w:p>
        </w:tc>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企业实力</w:t>
            </w:r>
            <w:r/>
          </w:p>
        </w:tc>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投标人具有有效的环境管理体系认证证书、质量管理体系认证证书、职业健康安全管理体系认证证书的，每有一个得1分，本项最高得3分。（认证范围与本次采购内容相关，认证机构必须在全国认证认可信息公共服务平台cx.cnca.cn/CertECloud/index/index/page网站可查询）；须提供相关证明材料原件扫描件及网站查询截图。</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注：投标时须提供相关证书原件彩色扫描件并加盖投标人公章，否则不得分。</w:t>
            </w:r>
            <w:r/>
          </w:p>
        </w:tc>
      </w:tr>
      <w:tr>
        <w:trPr>
          <w:jc w:val="center"/>
          <w:trHeight w:val="567"/>
        </w:trPr>
        <w:tc>
          <w:tcPr>
            <w:tcBorders>
              <w:left w:val="single" w:color="auto" w:sz="4" w:space="0"/>
              <w:right w:val="single" w:color="auto" w:sz="4" w:space="0"/>
            </w:tcBorders>
            <w:tcW w:w="338" w:type="pct"/>
            <w:vAlign w:val="center"/>
            <w:vMerge w:val="continue"/>
            <w:textDirection w:val="lrTb"/>
            <w:noWrap w:val="false"/>
          </w:tcPr>
          <w:p>
            <w:pPr>
              <w:pStyle w:val="906"/>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left w:val="single" w:color="auto" w:sz="4" w:space="0"/>
              <w:right w:val="single" w:color="auto" w:sz="4" w:space="0"/>
            </w:tcBorders>
            <w:tcW w:w="606" w:type="pct"/>
            <w:vAlign w:val="center"/>
            <w:vMerge w:val="continue"/>
            <w:textDirection w:val="lrTb"/>
            <w:noWrap w:val="false"/>
          </w:tcPr>
          <w:p>
            <w:pPr>
              <w:pStyle w:val="906"/>
              <w:jc w:val="lef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zh-CN" w:eastAsia="zh-CN"/>
              </w:rPr>
              <w:t xml:space="preserve">项目配备人员</w:t>
            </w:r>
            <w:r/>
          </w:p>
        </w:tc>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1.项目负责人具有中级职称证书（环保类）的，得1分；高级职称证书（环保类）的，得2分；本项最高得2分。</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2.项目组成员（除项目负责人），具有中级职称证书（环保类）的，得1分；具有高级职称证书（环保类）的，得2分；本项最高得2分。</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注：此项最高得4分，须提供相关人员证书原件扫描件及从投标截止之日当月向前1个月均已在本单位缴纳养老保险证明，未提供的或提供不全的不得分，未提供的或提供不全的不得分；（一人多证情形的不重复计算，不接受退休返聘人员），上述证明材料均需加盖投标人公章。）</w:t>
            </w:r>
            <w:r/>
          </w:p>
        </w:tc>
      </w:tr>
      <w:tr>
        <w:trPr>
          <w:jc w:val="center"/>
          <w:trHeight w:val="567"/>
        </w:trPr>
        <w:tc>
          <w:tcPr>
            <w:tcBorders>
              <w:left w:val="single" w:color="auto" w:sz="4" w:space="0"/>
              <w:right w:val="single" w:color="auto" w:sz="4" w:space="0"/>
            </w:tcBorders>
            <w:tcW w:w="338" w:type="pct"/>
            <w:vAlign w:val="center"/>
            <w:vMerge w:val="restart"/>
            <w:textDirection w:val="lrTb"/>
            <w:noWrap w:val="false"/>
          </w:tcPr>
          <w:p>
            <w:pPr>
              <w:pStyle w:val="906"/>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5</w:t>
            </w:r>
            <w:r/>
          </w:p>
        </w:tc>
        <w:tc>
          <w:tcPr>
            <w:tcBorders>
              <w:left w:val="single" w:color="auto" w:sz="4" w:space="0"/>
              <w:right w:val="single" w:color="auto" w:sz="4" w:space="0"/>
            </w:tcBorders>
            <w:tcW w:w="606" w:type="pct"/>
            <w:vAlign w:val="center"/>
            <w:vMerge w:val="restart"/>
            <w:textDirection w:val="lrTb"/>
            <w:noWrap w:val="false"/>
          </w:tcPr>
          <w:p>
            <w:pPr>
              <w:pStyle w:val="906"/>
              <w:ind w:firstLine="220"/>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129" w:type="pct"/>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投标人自2021年12月1日起至今(以合同签订时间为准)，承担过类似项目业绩的，每提供1份得1分，本项最高得 2分（投标时提供合同，未提供不得分）。</w:t>
            </w:r>
            <w:r/>
          </w:p>
        </w:tc>
      </w:tr>
      <w:tr>
        <w:trPr>
          <w:jc w:val="center"/>
          <w:trHeight w:val="567"/>
        </w:trPr>
        <w:tc>
          <w:tcPr>
            <w:tcBorders>
              <w:left w:val="single" w:color="auto" w:sz="4" w:space="0"/>
              <w:right w:val="single" w:color="auto" w:sz="4" w:space="0"/>
            </w:tcBorders>
            <w:tcW w:w="338" w:type="pct"/>
            <w:vAlign w:val="center"/>
            <w:vMerge w:val="continue"/>
            <w:textDirection w:val="lrTb"/>
            <w:noWrap w:val="false"/>
          </w:tcPr>
          <w:p>
            <w:pPr>
              <w:pStyle w:val="906"/>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r>
            <w:r/>
          </w:p>
        </w:tc>
        <w:tc>
          <w:tcPr>
            <w:tcBorders>
              <w:left w:val="single" w:color="auto" w:sz="4" w:space="0"/>
              <w:right w:val="single" w:color="auto" w:sz="4" w:space="0"/>
            </w:tcBorders>
            <w:tcW w:w="606" w:type="pct"/>
            <w:vAlign w:val="center"/>
            <w:vMerge w:val="continue"/>
            <w:textDirection w:val="lrTb"/>
            <w:noWrap w:val="false"/>
          </w:tcPr>
          <w:p>
            <w:pPr>
              <w:pStyle w:val="906"/>
              <w:ind w:firstLine="220"/>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r>
            <w:r/>
          </w:p>
        </w:tc>
        <w:tc>
          <w:tcPr>
            <w:shd w:val="clear" w:color="auto" w:fill="auto"/>
            <w:tcBorders>
              <w:top w:val="single" w:color="auto" w:sz="4" w:space="0"/>
              <w:left w:val="single" w:color="auto" w:sz="4" w:space="0"/>
              <w:right w:val="single" w:color="auto" w:sz="4" w:space="0"/>
            </w:tcBorders>
            <w:tcW w:w="12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节能环保</w:t>
            </w:r>
            <w:r/>
          </w:p>
        </w:tc>
        <w:tc>
          <w:tcPr>
            <w:shd w:val="clear" w:color="auto" w:fill="auto"/>
            <w:tcBorders>
              <w:top w:val="single" w:color="auto" w:sz="4" w:space="0"/>
              <w:left w:val="single" w:color="auto" w:sz="4" w:space="0"/>
              <w:right w:val="single" w:color="auto" w:sz="4" w:space="0"/>
            </w:tcBorders>
            <w:tcW w:w="6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233"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rPr>
          <w:rFonts w:hint="eastAsia"/>
          <w:color w:val="auto"/>
          <w:lang w:val="en-US" w:eastAsia="zh-CN"/>
        </w:rPr>
      </w:pPr>
      <w:r>
        <w:rPr>
          <w:color w:val="auto"/>
        </w:rPr>
        <w:t xml:space="preserve"> </w:t>
      </w:r>
      <w:r>
        <w:rPr>
          <w:rFonts w:hint="eastAsia"/>
          <w:color w:val="auto"/>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color w:val="auto"/>
          <w:lang w:val="en-US" w:eastAsia="zh-CN"/>
        </w:rPr>
      </w:pPr>
      <w:r>
        <w:rPr>
          <w:rFonts w:hint="eastAsia"/>
          <w:color w:val="auto"/>
          <w:lang w:val="en-US" w:eastAsia="zh-CN"/>
        </w:rPr>
        <w:br w:type="page" w:clear="all"/>
      </w:r>
      <w:r/>
    </w:p>
    <w:p>
      <w:pPr>
        <w:jc w:val="center"/>
        <w:rPr>
          <w:rFonts w:hint="eastAsia" w:ascii="黑体" w:hAnsi="黑体" w:eastAsia="黑体" w:cs="黑体"/>
          <w:color w:val="000000"/>
          <w:sz w:val="44"/>
          <w:szCs w:val="44"/>
          <w:lang w:val="en-US" w:eastAsia="zh-CN" w:bidi="ar-SA"/>
        </w:rPr>
      </w:pPr>
      <w:r>
        <w:rPr>
          <w:rFonts w:hint="eastAsia" w:ascii="黑体" w:hAnsi="黑体" w:eastAsia="黑体" w:cs="黑体"/>
          <w:color w:val="000000"/>
          <w:sz w:val="44"/>
          <w:szCs w:val="44"/>
          <w:lang w:val="en-US" w:eastAsia="zh-CN" w:bidi="ar-SA"/>
        </w:rPr>
        <w:t xml:space="preserve">第六章  投标文件格式 </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98"/>
      <w:r/>
      <w:r/>
    </w:p>
    <w:p>
      <w:pPr>
        <w:pStyle w:val="877"/>
        <w:jc w:val="center"/>
        <w:keepNext/>
        <w:spacing w:beforeAutospacing="0" w:afterAutospacing="0"/>
        <w:rPr>
          <w:rFonts w:hint="eastAsia" w:ascii="黑体" w:hAnsi="宋体" w:eastAsia="黑体" w:cs="黑体"/>
          <w:color w:val="auto"/>
          <w:sz w:val="44"/>
          <w:szCs w:val="44"/>
        </w:rPr>
      </w:pPr>
      <w:r/>
      <w:bookmarkStart w:id="199" w:name="_Toc26554094"/>
      <w:r/>
      <w:bookmarkEnd w:id="199"/>
      <w:r/>
      <w:bookmarkStart w:id="200" w:name="_Hlt26955039"/>
      <w:r/>
      <w:bookmarkEnd w:id="200"/>
      <w:r/>
      <w:bookmarkStart w:id="201" w:name="_Hlt26671244"/>
      <w:r/>
      <w:bookmarkEnd w:id="201"/>
      <w:r/>
      <w:r/>
    </w:p>
    <w:p>
      <w:pPr>
        <w:pStyle w:val="877"/>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77"/>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77"/>
        <w:jc w:val="center"/>
        <w:keepNext/>
        <w:spacing w:beforeAutospacing="0" w:afterAutospacing="0"/>
        <w:rPr>
          <w:color w:val="auto"/>
        </w:rPr>
      </w:pPr>
      <w:r>
        <w:rPr>
          <w:rFonts w:hint="eastAsia" w:ascii="黑体" w:hAnsi="宋体" w:eastAsia="黑体" w:cs="黑体"/>
          <w:color w:val="auto"/>
          <w:sz w:val="44"/>
          <w:szCs w:val="44"/>
        </w:rPr>
        <w:t xml:space="preserve"> </w:t>
      </w:r>
      <w:r/>
    </w:p>
    <w:p>
      <w:pPr>
        <w:pStyle w:val="877"/>
        <w:jc w:val="center"/>
        <w:spacing w:beforeAutospacing="0" w:afterAutospacing="0"/>
        <w:rPr>
          <w:color w:val="auto"/>
        </w:rPr>
      </w:pPr>
      <w:r/>
      <w:bookmarkStart w:id="202" w:name="_Toc120614282"/>
      <w:r/>
      <w:bookmarkStart w:id="203" w:name="_Toc49090576"/>
      <w:r>
        <w:rPr>
          <w:rFonts w:hint="eastAsia" w:ascii="宋体" w:hAnsi="宋体" w:eastAsia="宋体" w:cs="宋体"/>
          <w:b/>
          <w:color w:val="auto"/>
          <w:sz w:val="72"/>
          <w:szCs w:val="72"/>
        </w:rPr>
        <w:t xml:space="preserve">投  标  文  件</w:t>
      </w:r>
      <w:r/>
    </w:p>
    <w:p>
      <w:pPr>
        <w:pStyle w:val="877"/>
        <w:jc w:val="center"/>
        <w:spacing w:beforeAutospacing="0" w:afterAutospacing="0"/>
        <w:rPr>
          <w:color w:val="auto"/>
        </w:rPr>
      </w:pPr>
      <w:r>
        <w:rPr>
          <w:color w:val="auto"/>
        </w:rPr>
        <w:t xml:space="preserve"> </w:t>
      </w:r>
      <w:r/>
    </w:p>
    <w:p>
      <w:pPr>
        <w:pStyle w:val="877"/>
        <w:jc w:val="center"/>
        <w:spacing w:beforeAutospacing="0" w:afterAutospacing="0"/>
        <w:rPr>
          <w:color w:val="auto"/>
        </w:rPr>
      </w:pPr>
      <w:r>
        <w:rPr>
          <w:color w:val="auto"/>
        </w:rPr>
        <w:t xml:space="preserve"> </w:t>
      </w:r>
      <w:r/>
    </w:p>
    <w:p>
      <w:pPr>
        <w:pStyle w:val="877"/>
        <w:jc w:val="center"/>
        <w:spacing w:beforeAutospacing="0" w:afterAutospacing="0"/>
        <w:rPr>
          <w:color w:val="auto"/>
        </w:rPr>
      </w:pPr>
      <w:r>
        <w:rPr>
          <w:color w:val="auto"/>
        </w:rPr>
        <w:t xml:space="preserve"> </w:t>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r>
      <w:r/>
    </w:p>
    <w:p>
      <w:pPr>
        <w:pStyle w:val="877"/>
        <w:jc w:val="center"/>
        <w:spacing w:beforeAutospacing="0" w:afterAutospacing="0"/>
        <w:rPr>
          <w:color w:val="auto"/>
        </w:rPr>
      </w:pPr>
      <w:r>
        <w:rPr>
          <w:color w:val="auto"/>
        </w:rPr>
        <w:t xml:space="preserve"> </w:t>
      </w:r>
      <w:r/>
    </w:p>
    <w:p>
      <w:pPr>
        <w:pStyle w:val="877"/>
        <w:jc w:val="center"/>
        <w:spacing w:beforeAutospacing="0" w:afterAutospacing="0"/>
        <w:rPr>
          <w:color w:val="auto"/>
        </w:rPr>
      </w:pPr>
      <w:r>
        <w:rPr>
          <w:color w:val="auto"/>
        </w:rPr>
        <w:t xml:space="preserve"> </w:t>
      </w:r>
      <w:r/>
    </w:p>
    <w:p>
      <w:pPr>
        <w:pStyle w:val="877"/>
        <w:ind w:firstLine="1084"/>
        <w:jc w:val="both"/>
        <w:spacing w:beforeAutospacing="0" w:afterAutospacing="0"/>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877"/>
        <w:ind w:firstLine="1084"/>
        <w:jc w:val="both"/>
        <w:spacing w:beforeAutospacing="0" w:afterAutospacing="0"/>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877"/>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        </w:t>
      </w:r>
      <w:r/>
    </w:p>
    <w:p>
      <w:pPr>
        <w:pStyle w:val="877"/>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877"/>
        <w:jc w:val="center"/>
        <w:spacing w:beforeAutospacing="0" w:afterAutospacing="0" w:line="0" w:lineRule="atLeast"/>
        <w:rPr>
          <w:color w:val="auto"/>
        </w:rPr>
      </w:pPr>
      <w:r>
        <w:rPr>
          <w:color w:val="auto"/>
        </w:rPr>
        <w:t xml:space="preserve">  </w:t>
      </w:r>
      <w:r/>
    </w:p>
    <w:p>
      <w:pPr>
        <w:pStyle w:val="877"/>
        <w:jc w:val="both"/>
        <w:spacing w:beforeAutospacing="0" w:afterAutospacing="0" w:line="0" w:lineRule="atLeast"/>
        <w:rPr>
          <w:color w:val="auto"/>
        </w:rPr>
      </w:pPr>
      <w:r>
        <w:rPr>
          <w:color w:val="auto"/>
        </w:rPr>
        <w:t xml:space="preserve"> </w:t>
      </w:r>
      <w:r/>
    </w:p>
    <w:p>
      <w:pPr>
        <w:shd w:val="nil" w:color="auto"/>
        <w:rPr>
          <w:rFonts w:hint="eastAsia" w:ascii="宋体" w:hAnsi="宋体"/>
          <w:b/>
          <w:bCs/>
          <w:color w:val="auto"/>
          <w:sz w:val="32"/>
          <w:szCs w:val="32"/>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r>
      <w:r/>
    </w:p>
    <w:p>
      <w:pPr>
        <w:ind w:firstLine="0"/>
        <w:jc w:val="center"/>
        <w:spacing w:line="240" w:lineRule="auto"/>
        <w:rPr>
          <w:rFonts w:hint="eastAsia" w:ascii="宋体" w:hAnsi="宋体"/>
          <w:b/>
          <w:bCs/>
          <w:color w:val="auto"/>
          <w:sz w:val="32"/>
          <w:szCs w:val="32"/>
          <w:highlight w:val="none"/>
        </w:rPr>
      </w:pPr>
      <w:r/>
      <w:bookmarkStart w:id="204" w:name="_Toc462564146"/>
      <w:r/>
      <w:bookmarkStart w:id="205" w:name="_Hlt26955070"/>
      <w:r/>
      <w:bookmarkStart w:id="206" w:name="_格式3__银行出具的资信证明"/>
      <w:r/>
      <w:bookmarkStart w:id="207" w:name="_Hlt26671380"/>
      <w:r/>
      <w:bookmarkStart w:id="208" w:name="_格式2__法定代表人授权书"/>
      <w:r/>
      <w:bookmarkStart w:id="209" w:name="_Hlt26671374"/>
      <w:r/>
      <w:bookmarkStart w:id="210" w:name="_Hlt26955066"/>
      <w:r/>
      <w:bookmarkStart w:id="211" w:name="_Hlt26609389"/>
      <w:r/>
      <w:bookmarkStart w:id="212" w:name="_Hlt26955054"/>
      <w:r>
        <w:rPr>
          <w:rFonts w:hint="eastAsia" w:ascii="宋体" w:hAnsi="宋体"/>
          <w:b/>
          <w:bCs/>
          <w:color w:val="auto"/>
          <w:sz w:val="32"/>
          <w:szCs w:val="32"/>
        </w:rPr>
        <w:t xml:space="preserve">投标文件目录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二、资格审查资料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（5）参加政府采购活动前 3 年内在经营活动中没有重大违法记录的书面声明。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三、符合性资料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（1）投标报价明细表；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（2）投标函；</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（3）技术要求响应及偏离表；</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（4）商务要求响应及偏离表；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（5）投标人的服务承诺；</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（6）东台市政府采购事前信用承诺书。</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四、综合评审相关资料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五、价格折扣文件（如有）</w:t>
      </w:r>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bookmarkStart w:id="213" w:name="_Toc120614284"/>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rPr>
      </w:pPr>
      <w:r>
        <w:rPr>
          <w:rFonts w:hint="eastAsia" w:ascii="宋体" w:hAnsi="宋体" w:eastAsia="宋体" w:cs="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t xml:space="preserve">                                     </w:t>
      </w:r>
      <w:r/>
    </w:p>
    <w:p>
      <w:pPr>
        <w:pStyle w:val="868"/>
        <w:ind w:firstLine="0"/>
        <w:rPr>
          <w:rFonts w:hint="eastAsia"/>
          <w:color w:val="auto"/>
        </w:rPr>
      </w:pPr>
      <w:r>
        <w:rPr>
          <w:rFonts w:hint="eastAsia"/>
          <w:color w:val="auto"/>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rPr>
        <w:t xml:space="preserve">________________（被授权人的姓名）为</w:t>
      </w:r>
      <w:r>
        <w:rPr>
          <w:rFonts w:hint="eastAsia" w:ascii="宋体" w:hAnsi="宋体" w:eastAsia="宋体" w:cs="宋体"/>
          <w:color w:val="auto"/>
          <w:sz w:val="24"/>
          <w:szCs w:val="24"/>
          <w:lang w:val="en-US" w:eastAsia="zh-CN"/>
        </w:rPr>
        <w:t xml:space="preserve">我单位</w:t>
      </w:r>
      <w:r>
        <w:rPr>
          <w:rFonts w:hint="eastAsia" w:ascii="宋体" w:hAnsi="宋体" w:eastAsia="宋体" w:cs="宋体"/>
          <w:color w:val="auto"/>
          <w:sz w:val="24"/>
          <w:szCs w:val="24"/>
        </w:rPr>
        <w:t xml:space="preserve">就JSZC-</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号项目的</w:t>
      </w:r>
      <w:r>
        <w:rPr>
          <w:rFonts w:hint="eastAsia" w:ascii="宋体" w:hAnsi="宋体" w:eastAsia="宋体" w:cs="宋体"/>
          <w:color w:val="auto"/>
          <w:sz w:val="24"/>
          <w:szCs w:val="24"/>
          <w:lang w:eastAsia="zh-CN"/>
        </w:rPr>
        <w:t xml:space="preserve">投标文件</w:t>
      </w:r>
      <w:r>
        <w:rPr>
          <w:rFonts w:hint="eastAsia" w:ascii="宋体" w:hAnsi="宋体" w:eastAsia="宋体" w:cs="宋体"/>
          <w:color w:val="auto"/>
          <w:sz w:val="24"/>
          <w:szCs w:val="24"/>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rPr>
        <w:t xml:space="preserve">以本单位名义全权处理一切与该项目采购有关的事务。</w:t>
      </w:r>
      <w:r/>
    </w:p>
    <w:p>
      <w:pPr>
        <w:pStyle w:val="892"/>
        <w:ind w:firstLine="48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892"/>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892"/>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被授权人联系电话：（手机）</w:t>
      </w:r>
      <w:r>
        <w:rPr>
          <w:rFonts w:hint="eastAsia" w:ascii="宋体" w:hAnsi="宋体" w:eastAsia="宋体" w:cs="宋体"/>
          <w:color w:val="auto"/>
          <w:sz w:val="24"/>
          <w:szCs w:val="24"/>
          <w:u w:val="single"/>
        </w:rPr>
        <w:t xml:space="preserve">                          </w:t>
      </w:r>
      <w:r/>
    </w:p>
    <w:p>
      <w:pPr>
        <w:pStyle w:val="892"/>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pStyle w:val="892"/>
        <w:ind w:firstLine="48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单位地址：</w:t>
      </w:r>
      <w:r>
        <w:rPr>
          <w:rFonts w:hint="eastAsia" w:ascii="宋体" w:hAnsi="宋体" w:eastAsia="宋体" w:cs="宋体"/>
          <w:color w:val="auto"/>
          <w:sz w:val="24"/>
          <w:szCs w:val="24"/>
          <w:u w:val="single"/>
        </w:rPr>
        <w:t xml:space="preserve">                                         </w:t>
      </w:r>
      <w:r/>
    </w:p>
    <w:p>
      <w:pPr>
        <w:pStyle w:val="892"/>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u w:val="single"/>
        </w:rPr>
        <w:t xml:space="preserve">（加盖CA电子公章）</w:t>
      </w:r>
      <w:r/>
    </w:p>
    <w:p>
      <w:pPr>
        <w:pStyle w:val="892"/>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868"/>
        <w:spacing w:line="480" w:lineRule="auto"/>
        <w:rPr>
          <w:rFonts w:hint="eastAsia" w:ascii="宋体" w:hAnsi="宋体" w:eastAsia="宋体" w:cs="宋体"/>
          <w:i/>
          <w:color w:val="auto"/>
          <w:sz w:val="24"/>
          <w:szCs w:val="24"/>
          <w:u w:val="single"/>
        </w:rPr>
      </w:pPr>
      <w:r>
        <w:rPr>
          <w:rFonts w:hint="eastAsia" w:ascii="宋体" w:hAnsi="宋体" w:eastAsia="宋体" w:cs="宋体"/>
          <w:i/>
          <w:color w:val="auto"/>
          <w:sz w:val="24"/>
          <w:szCs w:val="24"/>
          <w:u w:val="single"/>
        </w:rPr>
      </w:r>
      <w:r/>
    </w:p>
    <w:p>
      <w:pPr>
        <w:spacing w:line="48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spacing w:line="460" w:lineRule="exact"/>
        <w:rPr>
          <w:rFonts w:hint="eastAsia" w:ascii="宋体" w:hAnsi="宋体"/>
          <w:bCs/>
          <w:color w:val="auto"/>
          <w:sz w:val="24"/>
        </w:rPr>
      </w:pPr>
      <w:r>
        <w:rPr>
          <w:rFonts w:hint="eastAsia" w:ascii="宋体" w:hAnsi="宋体"/>
          <w:bCs/>
          <w:color w:val="auto"/>
          <w:sz w:val="24"/>
        </w:rPr>
      </w:r>
      <w:r/>
    </w:p>
    <w:p>
      <w:pPr>
        <w:pStyle w:val="877"/>
        <w:jc w:val="center"/>
        <w:spacing w:beforeAutospacing="0" w:afterAutospacing="0"/>
      </w:pPr>
      <w:r>
        <w:rPr>
          <w:rFonts w:ascii="宋体" w:hAnsi="宋体"/>
          <w:bCs/>
          <w:color w:val="auto"/>
          <w:sz w:val="24"/>
        </w:rPr>
        <w:br w:type="page" w:clear="all"/>
      </w: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877"/>
        <w:ind w:firstLine="480"/>
        <w:jc w:val="both"/>
        <w:spacing w:beforeAutospacing="0" w:afterAutospacing="0"/>
      </w:pPr>
      <w:r>
        <w:rPr>
          <w:rFonts w:hint="eastAsia" w:ascii="宋体" w:hAnsi="宋体" w:eastAsia="宋体" w:cs="宋体"/>
          <w:color w:val="000000"/>
        </w:rPr>
        <w:t xml:space="preserve">投标人全称（加盖CA电子签章）：</w:t>
      </w:r>
      <w:r/>
    </w:p>
    <w:p>
      <w:pPr>
        <w:pStyle w:val="877"/>
        <w:ind w:firstLine="480"/>
        <w:jc w:val="both"/>
        <w:spacing w:beforeAutospacing="0" w:afterAutospacing="0"/>
      </w:pPr>
      <w:r>
        <w:rPr>
          <w:rFonts w:hint="eastAsia" w:ascii="宋体" w:hAnsi="宋体" w:eastAsia="宋体" w:cs="宋体"/>
          <w:color w:val="000000"/>
        </w:rPr>
        <w:t xml:space="preserve">项目名称：</w:t>
      </w:r>
      <w:r/>
    </w:p>
    <w:p>
      <w:pPr>
        <w:pStyle w:val="877"/>
        <w:ind w:firstLine="480"/>
        <w:jc w:val="left"/>
        <w:spacing w:beforeAutospacing="0" w:afterAutospacing="0"/>
      </w:pPr>
      <w:r>
        <w:rPr>
          <w:rFonts w:hint="eastAsia" w:ascii="宋体" w:hAnsi="宋体" w:eastAsia="宋体" w:cs="宋体"/>
          <w:color w:val="000000"/>
        </w:rPr>
        <w:t xml:space="preserve">招标编号：                    分包号：</w:t>
      </w:r>
      <w:r/>
    </w:p>
    <w:tbl>
      <w:tblPr>
        <w:tblStyle w:val="867"/>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2783"/>
        <w:gridCol w:w="7193"/>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77"/>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77"/>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877"/>
              <w:jc w:val="center"/>
              <w:spacing w:beforeAutospacing="0" w:afterAutospacing="0" w:line="300" w:lineRule="auto"/>
            </w:pPr>
            <w:r>
              <w:rPr>
                <w:rFonts w:hint="eastAsia" w:ascii="宋体" w:hAnsi="宋体" w:eastAsia="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877"/>
              <w:spacing w:beforeAutospacing="0" w:afterAutospacing="0" w:line="0" w:lineRule="atLeast"/>
            </w:pPr>
            <w:r>
              <w:t xml:space="preserve"> </w:t>
            </w:r>
            <w:r/>
          </w:p>
        </w:tc>
      </w:tr>
    </w:tbl>
    <w:p>
      <w:pPr>
        <w:pStyle w:val="877"/>
        <w:jc w:val="both"/>
        <w:spacing w:beforeAutospacing="0" w:afterAutospacing="0"/>
      </w:pPr>
      <w:r>
        <w:t xml:space="preserve"> </w:t>
      </w:r>
      <w:r/>
    </w:p>
    <w:p>
      <w:pPr>
        <w:pStyle w:val="877"/>
        <w:ind w:firstLine="480"/>
        <w:jc w:val="right"/>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color w:val="auto"/>
          <w:sz w:val="32"/>
          <w:szCs w:val="32"/>
          <w:highlight w:val="none"/>
          <w:lang w:val="en-US" w:eastAsia="zh-CN"/>
        </w:rPr>
        <w:t xml:space="preserve">6.投标报价明细表</w:t>
      </w:r>
      <w:r/>
    </w:p>
    <w:tbl>
      <w:tblPr>
        <w:tblStyle w:val="86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327"/>
        <w:gridCol w:w="3210"/>
        <w:gridCol w:w="1030"/>
        <w:gridCol w:w="1136"/>
        <w:gridCol w:w="1313"/>
        <w:gridCol w:w="1305"/>
      </w:tblGrid>
      <w:tr>
        <w:trPr>
          <w:cantSplit/>
          <w:jc w:val="center"/>
        </w:trPr>
        <w:tc>
          <w:tcPr>
            <w:tcW w:w="313" w:type="pct"/>
            <w:vAlign w:val="center"/>
            <w:textDirection w:val="lrTb"/>
            <w:noWrap w:val="false"/>
          </w:tcPr>
          <w:p>
            <w:pPr>
              <w:jc w:val="center"/>
              <w:spacing w:line="560" w:lineRule="exact"/>
              <w:rPr>
                <w:rFonts w:hint="eastAsia" w:ascii="宋体" w:hAnsi="宋体"/>
                <w:sz w:val="24"/>
                <w:szCs w:val="24"/>
              </w:rPr>
            </w:pPr>
            <w:r>
              <w:rPr>
                <w:rFonts w:hint="eastAsia" w:ascii="宋体" w:hAnsi="宋体"/>
                <w:sz w:val="24"/>
                <w:szCs w:val="24"/>
              </w:rPr>
              <w:t xml:space="preserve">序号</w:t>
            </w:r>
            <w:r/>
          </w:p>
        </w:tc>
        <w:tc>
          <w:tcPr>
            <w:tcW w:w="667" w:type="pct"/>
            <w:vAlign w:val="center"/>
            <w:textDirection w:val="lrTb"/>
            <w:noWrap w:val="false"/>
          </w:tcPr>
          <w:p>
            <w:pPr>
              <w:jc w:val="center"/>
              <w:spacing w:line="560" w:lineRule="exact"/>
              <w:rPr>
                <w:rFonts w:hint="eastAsia" w:ascii="宋体" w:hAnsi="宋体"/>
                <w:sz w:val="24"/>
                <w:szCs w:val="24"/>
              </w:rPr>
            </w:pPr>
            <w:r>
              <w:rPr>
                <w:rFonts w:hint="eastAsia" w:ascii="宋体" w:hAnsi="宋体"/>
                <w:sz w:val="24"/>
                <w:szCs w:val="24"/>
              </w:rPr>
              <w:t xml:space="preserve">货物名称</w:t>
            </w:r>
            <w:r/>
          </w:p>
        </w:tc>
        <w:tc>
          <w:tcPr>
            <w:tcW w:w="1614" w:type="pct"/>
            <w:vAlign w:val="center"/>
            <w:textDirection w:val="lrTb"/>
            <w:noWrap w:val="false"/>
          </w:tcPr>
          <w:p>
            <w:pPr>
              <w:jc w:val="center"/>
              <w:spacing w:line="560" w:lineRule="exact"/>
              <w:rPr>
                <w:rFonts w:hint="eastAsia" w:ascii="宋体" w:hAnsi="宋体"/>
                <w:sz w:val="24"/>
                <w:szCs w:val="24"/>
              </w:rPr>
            </w:pPr>
            <w:r>
              <w:rPr>
                <w:rFonts w:hint="eastAsia" w:ascii="宋体" w:hAnsi="宋体"/>
                <w:iCs/>
                <w:sz w:val="24"/>
                <w:szCs w:val="24"/>
              </w:rPr>
              <w:t xml:space="preserve">所投货物品牌</w:t>
            </w:r>
            <w:r>
              <w:rPr>
                <w:rFonts w:hint="eastAsia" w:ascii="宋体" w:hAnsi="宋体"/>
                <w:iCs/>
                <w:sz w:val="24"/>
                <w:szCs w:val="24"/>
                <w:lang w:eastAsia="zh-CN"/>
              </w:rPr>
              <w:t xml:space="preserve">（</w:t>
            </w:r>
            <w:r>
              <w:rPr>
                <w:rFonts w:hint="eastAsia" w:ascii="宋体" w:hAnsi="宋体"/>
                <w:iCs/>
                <w:sz w:val="24"/>
                <w:szCs w:val="24"/>
              </w:rPr>
              <w:t xml:space="preserve">或生产企业</w:t>
            </w:r>
            <w:r>
              <w:rPr>
                <w:rFonts w:hint="eastAsia" w:ascii="宋体" w:hAnsi="宋体"/>
                <w:iCs/>
                <w:sz w:val="24"/>
                <w:szCs w:val="24"/>
                <w:lang w:eastAsia="zh-CN"/>
              </w:rPr>
              <w:t xml:space="preserve">）</w:t>
            </w:r>
            <w:r>
              <w:rPr>
                <w:rFonts w:hint="eastAsia" w:ascii="宋体" w:hAnsi="宋体"/>
                <w:iCs/>
                <w:sz w:val="24"/>
                <w:szCs w:val="24"/>
              </w:rPr>
              <w:t xml:space="preserve">及型号</w:t>
            </w:r>
            <w:r/>
          </w:p>
        </w:tc>
        <w:tc>
          <w:tcPr>
            <w:tcW w:w="518" w:type="pct"/>
            <w:vAlign w:val="center"/>
            <w:textDirection w:val="lrTb"/>
            <w:noWrap w:val="false"/>
          </w:tcPr>
          <w:p>
            <w:pPr>
              <w:jc w:val="center"/>
              <w:spacing w:line="560" w:lineRule="exact"/>
              <w:rPr>
                <w:rFonts w:hint="default" w:ascii="宋体" w:hAnsi="宋体" w:eastAsiaTheme="minorEastAsia"/>
                <w:sz w:val="24"/>
                <w:szCs w:val="24"/>
                <w:lang w:val="en-US" w:eastAsia="zh-CN"/>
              </w:rPr>
            </w:pPr>
            <w:r>
              <w:rPr>
                <w:rFonts w:hint="eastAsia" w:ascii="宋体" w:hAnsi="宋体"/>
                <w:sz w:val="24"/>
                <w:szCs w:val="24"/>
                <w:lang w:val="en-US" w:eastAsia="zh-CN"/>
              </w:rPr>
              <w:t xml:space="preserve">单位</w:t>
            </w:r>
            <w:r/>
          </w:p>
        </w:tc>
        <w:tc>
          <w:tcPr>
            <w:tcW w:w="571" w:type="pct"/>
            <w:vAlign w:val="center"/>
            <w:textDirection w:val="lrTb"/>
            <w:noWrap w:val="false"/>
          </w:tcPr>
          <w:p>
            <w:pPr>
              <w:jc w:val="center"/>
              <w:spacing w:line="560" w:lineRule="exact"/>
              <w:rPr>
                <w:rFonts w:hint="eastAsia" w:ascii="宋体" w:hAnsi="宋体"/>
                <w:sz w:val="24"/>
                <w:szCs w:val="24"/>
              </w:rPr>
            </w:pPr>
            <w:r>
              <w:rPr>
                <w:rFonts w:hint="eastAsia" w:ascii="宋体" w:hAnsi="宋体"/>
                <w:sz w:val="24"/>
                <w:szCs w:val="24"/>
              </w:rPr>
              <w:t xml:space="preserve">数量</w:t>
            </w:r>
            <w:r/>
          </w:p>
        </w:tc>
        <w:tc>
          <w:tcPr>
            <w:tcW w:w="659" w:type="pct"/>
            <w:vAlign w:val="center"/>
            <w:textDirection w:val="lrTb"/>
            <w:noWrap w:val="false"/>
          </w:tcPr>
          <w:p>
            <w:pPr>
              <w:jc w:val="center"/>
              <w:spacing w:line="560" w:lineRule="exact"/>
              <w:rPr>
                <w:rFonts w:ascii="宋体" w:hAnsi="宋体"/>
                <w:sz w:val="24"/>
                <w:szCs w:val="24"/>
              </w:rPr>
            </w:pPr>
            <w:r>
              <w:rPr>
                <w:rFonts w:hint="eastAsia" w:ascii="宋体" w:hAnsi="宋体"/>
                <w:sz w:val="24"/>
                <w:szCs w:val="24"/>
              </w:rPr>
              <w:t xml:space="preserve">单价/元</w:t>
            </w:r>
            <w:r/>
          </w:p>
        </w:tc>
        <w:tc>
          <w:tcPr>
            <w:tcW w:w="656" w:type="pct"/>
            <w:vAlign w:val="center"/>
            <w:textDirection w:val="lrTb"/>
            <w:noWrap w:val="false"/>
          </w:tcPr>
          <w:p>
            <w:pPr>
              <w:jc w:val="center"/>
              <w:spacing w:line="560" w:lineRule="exact"/>
              <w:rPr>
                <w:rFonts w:hint="eastAsia" w:ascii="宋体" w:hAnsi="宋体"/>
                <w:sz w:val="24"/>
                <w:szCs w:val="24"/>
              </w:rPr>
            </w:pPr>
            <w:r>
              <w:rPr>
                <w:rFonts w:hint="eastAsia" w:ascii="宋体" w:hAnsi="宋体"/>
                <w:sz w:val="24"/>
                <w:szCs w:val="24"/>
              </w:rPr>
              <w:t xml:space="preserve">合价/元</w:t>
            </w:r>
            <w:r/>
          </w:p>
        </w:tc>
      </w:tr>
      <w:tr>
        <w:trPr>
          <w:cantSplit/>
          <w:jc w:val="center"/>
          <w:trHeight w:val="980"/>
        </w:trPr>
        <w:tc>
          <w:tcPr>
            <w:tcW w:w="313"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67"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1614"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518"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571"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59"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56"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r>
      <w:tr>
        <w:trPr>
          <w:cantSplit/>
          <w:jc w:val="center"/>
          <w:trHeight w:val="980"/>
        </w:trPr>
        <w:tc>
          <w:tcPr>
            <w:tcW w:w="313"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67"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1614"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518"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571"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59"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56"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r>
      <w:tr>
        <w:trPr>
          <w:cantSplit/>
          <w:jc w:val="center"/>
          <w:trHeight w:val="980"/>
        </w:trPr>
        <w:tc>
          <w:tcPr>
            <w:tcW w:w="313"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67"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1614"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518"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571"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59"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c>
          <w:tcPr>
            <w:tcW w:w="656"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r>
      <w:tr>
        <w:trPr>
          <w:cantSplit/>
          <w:jc w:val="center"/>
          <w:trHeight w:val="615"/>
        </w:trPr>
        <w:tc>
          <w:tcPr>
            <w:gridSpan w:val="6"/>
            <w:tcW w:w="4343" w:type="pct"/>
            <w:vAlign w:val="center"/>
            <w:textDirection w:val="lrTb"/>
            <w:noWrap w:val="false"/>
          </w:tcPr>
          <w:p>
            <w:pPr>
              <w:jc w:val="center"/>
              <w:spacing w:line="560" w:lineRule="exact"/>
              <w:rPr>
                <w:rFonts w:hint="eastAsia" w:ascii="宋体" w:hAnsi="宋体"/>
                <w:sz w:val="24"/>
                <w:szCs w:val="24"/>
              </w:rPr>
            </w:pPr>
            <w:r>
              <w:rPr>
                <w:rFonts w:hint="eastAsia" w:ascii="宋体" w:hAnsi="宋体"/>
                <w:sz w:val="24"/>
                <w:szCs w:val="24"/>
              </w:rPr>
              <w:t xml:space="preserve">总价/元</w:t>
            </w:r>
            <w:r/>
          </w:p>
        </w:tc>
        <w:tc>
          <w:tcPr>
            <w:tcW w:w="656" w:type="pct"/>
            <w:vAlign w:val="center"/>
            <w:textDirection w:val="lrTb"/>
            <w:noWrap w:val="false"/>
          </w:tcPr>
          <w:p>
            <w:pPr>
              <w:spacing w:line="560" w:lineRule="exact"/>
              <w:rPr>
                <w:rFonts w:hint="eastAsia" w:ascii="宋体" w:hAnsi="宋体"/>
                <w:sz w:val="24"/>
                <w:szCs w:val="24"/>
              </w:rPr>
            </w:pPr>
            <w:r>
              <w:rPr>
                <w:rFonts w:hint="eastAsia" w:ascii="宋体" w:hAnsi="宋体"/>
                <w:sz w:val="24"/>
                <w:szCs w:val="24"/>
              </w:rPr>
            </w:r>
            <w:r/>
          </w:p>
        </w:tc>
      </w:tr>
    </w:tbl>
    <w:p>
      <w:pPr>
        <w:ind w:firstLine="420"/>
        <w:spacing w:line="600" w:lineRule="exact"/>
        <w:rPr>
          <w:rFonts w:hint="eastAsia" w:ascii="宋体" w:hAnsi="宋体" w:eastAsia="宋体" w:cs="宋体"/>
          <w:color w:val="auto"/>
          <w:sz w:val="24"/>
          <w:lang w:val="en-US" w:eastAsia="zh-CN"/>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1.投标报价应是招标范围内全部工作内容的价格体现，投标报价明细表中的报价应包括全部工作内容的价格体现，以及为完成上述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20"/>
        <w:spacing w:line="60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此表可以根据需要自行增减行数。</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93"/>
        <w:ind w:firstLine="0"/>
        <w:spacing w:before="0" w:after="0" w:line="420" w:lineRule="exact"/>
        <w:rPr>
          <w:rFonts w:hint="default" w:ascii="宋体" w:hAnsi="宋体" w:eastAsia="宋体"/>
          <w:color w:val="auto"/>
          <w:szCs w:val="21"/>
          <w:u w:val="single"/>
          <w:lang w:val="en-US" w:eastAsia="zh-CN"/>
        </w:rPr>
      </w:pPr>
      <w:r>
        <w:rPr>
          <w:rFonts w:hint="eastAsia" w:ascii="宋体" w:hAnsi="宋体"/>
          <w:color w:val="auto"/>
          <w:szCs w:val="21"/>
        </w:rPr>
        <w:t xml:space="preserve">致：</w:t>
      </w:r>
      <w:r>
        <w:rPr>
          <w:rFonts w:hint="eastAsia" w:ascii="宋体" w:hAnsi="宋体"/>
          <w:color w:val="auto"/>
          <w:szCs w:val="21"/>
          <w:u w:val="single"/>
          <w:lang w:val="en-US" w:eastAsia="zh-CN"/>
        </w:rPr>
        <w:t xml:space="preserve">                </w:t>
      </w:r>
      <w:r/>
    </w:p>
    <w:p>
      <w:pPr>
        <w:pStyle w:val="893"/>
        <w:spacing w:before="0" w:after="0" w:line="420" w:lineRule="exact"/>
        <w:rPr>
          <w:rFonts w:hint="eastAsia" w:ascii="宋体" w:hAnsi="宋体"/>
          <w:color w:val="auto"/>
          <w:szCs w:val="21"/>
        </w:rPr>
      </w:pPr>
      <w:r>
        <w:rPr>
          <w:rFonts w:hint="eastAsia" w:ascii="宋体" w:hAnsi="宋体"/>
          <w:color w:val="auto"/>
          <w:szCs w:val="21"/>
        </w:rPr>
      </w:r>
      <w:r/>
    </w:p>
    <w:p>
      <w:pPr>
        <w:pStyle w:val="893"/>
        <w:spacing w:before="0" w:after="0" w:line="420" w:lineRule="exact"/>
        <w:rPr>
          <w:rFonts w:hint="eastAsia"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320000-***</w:t>
      </w:r>
      <w:r>
        <w:rPr>
          <w:rFonts w:hint="eastAsia" w:ascii="宋体" w:hAnsi="宋体"/>
          <w:color w:val="auto"/>
          <w:szCs w:val="21"/>
        </w:rPr>
        <w:t xml:space="preserve">号招标文件，正式授权下述签字人______(姓名)代表我方______________（投标人的名称），全权处理本次项目投标的有关事宜。</w:t>
      </w:r>
      <w:r/>
    </w:p>
    <w:p>
      <w:pPr>
        <w:pStyle w:val="893"/>
        <w:spacing w:before="0" w:after="0" w:line="420" w:lineRule="exact"/>
        <w:rPr>
          <w:rFonts w:hint="eastAsia" w:ascii="宋体" w:hAnsi="宋体"/>
          <w:color w:val="auto"/>
          <w:szCs w:val="21"/>
        </w:rPr>
      </w:pPr>
      <w:r>
        <w:rPr>
          <w:rFonts w:hint="eastAsia" w:ascii="宋体" w:hAnsi="宋体"/>
          <w:color w:val="auto"/>
          <w:szCs w:val="21"/>
        </w:rPr>
        <w:t xml:space="preserve">据此函，__________签字人兹宣布同意如下：</w:t>
      </w:r>
      <w:r/>
    </w:p>
    <w:p>
      <w:pPr>
        <w:pStyle w:val="893"/>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893"/>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货物</w:t>
      </w:r>
      <w:r>
        <w:rPr>
          <w:rFonts w:hint="eastAsia" w:ascii="宋体" w:hAnsi="宋体"/>
          <w:color w:val="auto"/>
          <w:szCs w:val="21"/>
        </w:rPr>
        <w:t xml:space="preserve">（包含与</w:t>
      </w:r>
      <w:r>
        <w:rPr>
          <w:rFonts w:hint="eastAsia" w:ascii="宋体" w:hAnsi="宋体"/>
          <w:color w:val="auto"/>
          <w:szCs w:val="21"/>
          <w:lang w:val="en-US" w:eastAsia="zh-CN"/>
        </w:rPr>
        <w:t xml:space="preserve">货物</w:t>
      </w:r>
      <w:r>
        <w:rPr>
          <w:rFonts w:hint="eastAsia" w:ascii="宋体" w:hAnsi="宋体"/>
          <w:color w:val="auto"/>
          <w:szCs w:val="21"/>
        </w:rPr>
        <w:t xml:space="preserve">相关的</w:t>
      </w:r>
      <w:r>
        <w:rPr>
          <w:rFonts w:hint="eastAsia" w:ascii="宋体" w:hAnsi="宋体"/>
          <w:color w:val="auto"/>
          <w:szCs w:val="21"/>
          <w:lang w:val="en-US" w:eastAsia="zh-CN"/>
        </w:rPr>
        <w:t xml:space="preserve">服务</w:t>
      </w:r>
      <w:r>
        <w:rPr>
          <w:rFonts w:hint="eastAsia" w:ascii="宋体" w:hAnsi="宋体"/>
          <w:color w:val="auto"/>
          <w:szCs w:val="21"/>
        </w:rPr>
        <w:t xml:space="preserve">）。</w:t>
      </w:r>
      <w:r/>
    </w:p>
    <w:p>
      <w:pPr>
        <w:pStyle w:val="893"/>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2.我们完全理解贵方不一定将合同授予最低报价的投标人。</w:t>
      </w:r>
      <w:r/>
    </w:p>
    <w:p>
      <w:pPr>
        <w:pStyle w:val="893"/>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3.我们已详细审核全部招标文件及其有效补充文件，我们知道必须放弃提出含糊不清或误解问题的权利。</w:t>
      </w:r>
      <w:r/>
    </w:p>
    <w:p>
      <w:pPr>
        <w:pStyle w:val="893"/>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4.我们同意从规定的开标日期起遵循本投标文件，并在规定的投标有效期期满之前均具有约束力。</w:t>
      </w:r>
      <w:r/>
    </w:p>
    <w:p>
      <w:pPr>
        <w:pStyle w:val="893"/>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5.同意向贵方提供贵方可能另外要求的与投标有关的任何证据或资料，并保证我方已提供和将要提供的文件是真实的、准确的。</w:t>
      </w:r>
      <w:r/>
    </w:p>
    <w:p>
      <w:pPr>
        <w:pStyle w:val="893"/>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6.一旦我方中标</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我方将根据招标文件的规定，严格履行合同的责任和义务</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并保证在招标文件规定的时间完成项目，交付买方验收、使用。</w:t>
      </w:r>
      <w:r/>
    </w:p>
    <w:p>
      <w:pPr>
        <w:pStyle w:val="893"/>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8.技术要求响应及偏离表</w:t>
      </w:r>
      <w:r/>
    </w:p>
    <w:tbl>
      <w:tblPr>
        <w:tblStyle w:val="86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8"/>
        <w:gridCol w:w="3543"/>
        <w:gridCol w:w="3053"/>
        <w:gridCol w:w="1458"/>
        <w:gridCol w:w="129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证明</w:t>
            </w:r>
            <w:r/>
          </w:p>
          <w:p>
            <w:pPr>
              <w:pStyle w:val="87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bl>
    <w:p>
      <w:pPr>
        <w:pStyle w:val="877"/>
        <w:jc w:val="both"/>
        <w:spacing w:beforeAutospacing="0" w:afterAutospacing="0"/>
      </w:pPr>
      <w:r>
        <w:rPr>
          <w:rFonts w:hint="eastAsia" w:ascii="宋体" w:hAnsi="宋体" w:eastAsia="宋体" w:cs="宋体"/>
          <w:color w:val="000000"/>
        </w:rPr>
        <w:t xml:space="preserve">注： 行数不够，可自行添加。</w:t>
      </w:r>
      <w:r/>
    </w:p>
    <w:p>
      <w:pPr>
        <w:pStyle w:val="877"/>
        <w:jc w:val="center"/>
        <w:spacing w:beforeAutospacing="0" w:afterAutospacing="0"/>
      </w:pPr>
      <w:r>
        <w:t xml:space="preserve"> </w:t>
      </w:r>
      <w:r/>
    </w:p>
    <w:p>
      <w:pPr>
        <w:pStyle w:val="877"/>
        <w:jc w:val="center"/>
        <w:spacing w:beforeAutospacing="0" w:afterAutospacing="0"/>
      </w:pPr>
      <w:r>
        <w:t xml:space="preserve"> </w:t>
      </w:r>
      <w:r/>
    </w:p>
    <w:p>
      <w:pPr>
        <w:pStyle w:val="877"/>
        <w:jc w:val="center"/>
        <w:spacing w:beforeAutospacing="0" w:afterAutospacing="0"/>
      </w:pPr>
      <w:r>
        <w:t xml:space="preserve"> </w:t>
      </w:r>
      <w:r/>
    </w:p>
    <w:p>
      <w:pPr>
        <w:pStyle w:val="877"/>
        <w:jc w:val="center"/>
        <w:spacing w:beforeAutospacing="0" w:afterAutospacing="0"/>
      </w:pPr>
      <w:r>
        <w:t xml:space="preserve"> </w:t>
      </w:r>
      <w:r/>
    </w:p>
    <w:p>
      <w:pPr>
        <w:pStyle w:val="877"/>
        <w:jc w:val="both"/>
        <w:spacing w:beforeAutospacing="0" w:afterAutospacing="0"/>
      </w:pPr>
      <w:r>
        <w:t xml:space="preserve"> </w:t>
      </w:r>
      <w:r/>
    </w:p>
    <w:p>
      <w:pPr>
        <w:pStyle w:val="877"/>
        <w:jc w:val="both"/>
        <w:spacing w:beforeAutospacing="0" w:afterAutospacing="0"/>
      </w:pPr>
      <w:r>
        <w:t xml:space="preserve"> </w:t>
      </w:r>
      <w:r/>
    </w:p>
    <w:p>
      <w:pPr>
        <w:pStyle w:val="877"/>
        <w:jc w:val="both"/>
        <w:spacing w:beforeAutospacing="0" w:afterAutospacing="0"/>
      </w:pPr>
      <w:r>
        <w:t xml:space="preserve"> </w:t>
      </w:r>
      <w:r/>
    </w:p>
    <w:p>
      <w:pPr>
        <w:pStyle w:val="877"/>
        <w:jc w:val="both"/>
        <w:spacing w:beforeAutospacing="0" w:afterAutospacing="0"/>
      </w:pPr>
      <w:r>
        <w:t xml:space="preserve"> </w:t>
      </w:r>
      <w:r/>
    </w:p>
    <w:p>
      <w:pPr>
        <w:pStyle w:val="877"/>
        <w:jc w:val="both"/>
        <w:spacing w:beforeAutospacing="0" w:afterAutospacing="0"/>
      </w:pPr>
      <w:r>
        <w:t xml:space="preserve"> </w:t>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r/>
    </w:p>
    <w:p>
      <w:pPr>
        <w:pStyle w:val="877"/>
        <w:jc w:val="both"/>
        <w:spacing w:beforeAutospacing="0" w:afterAutospacing="0"/>
      </w:pPr>
      <w:r>
        <w:t xml:space="preserve"> </w:t>
      </w:r>
      <w:r/>
    </w:p>
    <w:p>
      <w:pPr>
        <w:pStyle w:val="877"/>
        <w:jc w:val="both"/>
        <w:spacing w:beforeAutospacing="0" w:afterAutospacing="0"/>
      </w:pPr>
      <w:r>
        <w:t xml:space="preserve"> </w:t>
      </w:r>
      <w:r/>
    </w:p>
    <w:p>
      <w:pPr>
        <w:pStyle w:val="877"/>
        <w:jc w:val="both"/>
        <w:spacing w:beforeAutospacing="0" w:afterAutospacing="0"/>
      </w:pPr>
      <w:r>
        <w:t xml:space="preserve"> </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rPr>
          <w:rFonts w:hint="eastAsia" w:ascii="黑体" w:hAnsi="Times New Roman" w:eastAsia="黑体" w:cs="Times New Roman"/>
          <w:b/>
          <w:bCs/>
          <w:color w:val="auto"/>
          <w:sz w:val="32"/>
          <w:szCs w:val="32"/>
          <w:highlight w:val="none"/>
          <w:lang w:val="en-US" w:eastAsia="zh-CN"/>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rPr>
          <w:rFonts w:hint="eastAsia" w:ascii="黑体" w:hAnsi="Times New Roman" w:eastAsia="黑体" w:cs="Times New Roman"/>
          <w:b/>
          <w:bCs/>
          <w:color w:val="auto"/>
          <w:sz w:val="32"/>
          <w:szCs w:val="32"/>
          <w:highlight w:val="none"/>
          <w:lang w:val="en-US" w:eastAsia="zh-CN"/>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9.商务要求响应及偏离表</w:t>
      </w:r>
      <w:r/>
    </w:p>
    <w:tbl>
      <w:tblPr>
        <w:tblStyle w:val="86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8"/>
        <w:gridCol w:w="3543"/>
        <w:gridCol w:w="3053"/>
        <w:gridCol w:w="1458"/>
        <w:gridCol w:w="129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bookmarkStart w:id="214" w:name="_Hlt26580838"/>
            <w:r/>
            <w:bookmarkStart w:id="215" w:name="_Hlt26671343"/>
            <w:r/>
            <w:bookmarkStart w:id="216" w:name="_Hlt26609391"/>
            <w:r/>
            <w:bookmarkStart w:id="217" w:name="_Hlt26955056"/>
            <w:r/>
            <w:bookmarkStart w:id="218" w:name="_Hlt24879081"/>
            <w:r/>
            <w:bookmarkStart w:id="219" w:name="_Hlt26782999"/>
            <w:r/>
            <w:bookmarkStart w:id="220" w:name="_Hlt26671372"/>
            <w:r/>
            <w:bookmarkStart w:id="221" w:name="_Hlt26955064"/>
            <w:r>
              <w:rPr>
                <w:rFonts w:hint="eastAsia" w:ascii="宋体" w:hAnsi="宋体" w:eastAsia="宋体" w:cs="宋体"/>
                <w:color w:val="000000"/>
              </w:rPr>
              <w:t xml:space="preserve">序号</w:t>
            </w:r>
            <w:bookmarkEnd w:id="214"/>
            <w:r/>
            <w:bookmarkEnd w:id="215"/>
            <w:r/>
            <w:bookmarkEnd w:id="216"/>
            <w:r/>
            <w:bookmarkEnd w:id="217"/>
            <w:r/>
            <w:bookmarkEnd w:id="218"/>
            <w:r/>
            <w:bookmarkEnd w:id="219"/>
            <w:r/>
            <w:bookmarkEnd w:id="220"/>
            <w:r/>
            <w:bookmarkEnd w:id="221"/>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证明</w:t>
            </w:r>
            <w:r/>
          </w:p>
          <w:p>
            <w:pPr>
              <w:pStyle w:val="87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7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77"/>
              <w:jc w:val="center"/>
              <w:spacing w:beforeAutospacing="0" w:afterAutospacing="0"/>
            </w:pPr>
            <w:r>
              <w:t xml:space="preserve"> </w:t>
            </w:r>
            <w:r/>
          </w:p>
        </w:tc>
      </w:tr>
    </w:tbl>
    <w:p>
      <w:pPr>
        <w:pStyle w:val="877"/>
        <w:jc w:val="both"/>
        <w:spacing w:beforeAutospacing="0" w:afterAutospacing="0"/>
      </w:pPr>
      <w:r>
        <w:rPr>
          <w:rFonts w:hint="eastAsia" w:ascii="宋体" w:hAnsi="宋体" w:eastAsia="宋体" w:cs="宋体"/>
          <w:color w:val="000000"/>
        </w:rPr>
        <w:t xml:space="preserve">注： 行数不够，可自行添加。</w:t>
      </w:r>
      <w:r/>
    </w:p>
    <w:p>
      <w:pPr>
        <w:pStyle w:val="877"/>
        <w:jc w:val="both"/>
        <w:spacing w:beforeAutospacing="0" w:afterAutospacing="0" w:line="480" w:lineRule="auto"/>
      </w:pPr>
      <w:r>
        <w:t xml:space="preserve"> </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10.服  务  承  诺</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center"/>
        <w:spacing w:line="460" w:lineRule="exact"/>
        <w:rPr>
          <w:rFonts w:ascii="黑体" w:hAnsi="黑体" w:eastAsia="黑体"/>
          <w:b/>
          <w:color w:val="auto"/>
          <w:sz w:val="32"/>
          <w:szCs w:val="32"/>
        </w:rPr>
      </w:pPr>
      <w:r>
        <w:rPr>
          <w:rFonts w:ascii="黑体" w:hAnsi="黑体" w:eastAsia="黑体"/>
          <w:b/>
          <w:color w:val="auto"/>
          <w:sz w:val="32"/>
          <w:szCs w:val="32"/>
        </w:rPr>
      </w:r>
      <w:r/>
    </w:p>
    <w:p>
      <w:pPr>
        <w:pStyle w:val="877"/>
        <w:ind w:firstLine="321"/>
        <w:jc w:val="center"/>
        <w:spacing w:beforeAutospacing="0" w:afterAutospacing="0" w:line="0" w:lineRule="atLeast"/>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w:t>
      </w:r>
      <w:r>
        <w:rPr>
          <w:rFonts w:hint="eastAsia" w:ascii="黑体" w:hAnsi="宋体" w:eastAsia="黑体" w:cs="黑体"/>
          <w:b/>
          <w:color w:val="000000"/>
          <w:sz w:val="32"/>
          <w:szCs w:val="32"/>
        </w:rPr>
        <w:t xml:space="preserve">小微企业声明函（货物）</w:t>
      </w:r>
      <w:r/>
    </w:p>
    <w:p>
      <w:pPr>
        <w:pStyle w:val="877"/>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77"/>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77"/>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77"/>
        <w:ind w:firstLine="360"/>
        <w:jc w:val="both"/>
        <w:spacing w:beforeAutospacing="0" w:afterAutospacing="0" w:line="0" w:lineRule="atLeast"/>
      </w:pPr>
      <w:r>
        <w:rPr>
          <w:rFonts w:hint="eastAsia" w:ascii="宋体" w:hAnsi="宋体" w:eastAsia="宋体" w:cs="宋体"/>
          <w:color w:val="000000"/>
        </w:rPr>
        <w:t xml:space="preserve">……</w:t>
      </w:r>
      <w:r/>
    </w:p>
    <w:p>
      <w:pPr>
        <w:pStyle w:val="877"/>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77"/>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77"/>
        <w:ind w:right="720"/>
        <w:jc w:val="both"/>
        <w:spacing w:beforeAutospacing="0" w:afterAutospacing="0" w:line="0" w:lineRule="atLeast"/>
      </w:pPr>
      <w:r>
        <w:t xml:space="preserve"> </w:t>
      </w:r>
      <w:r/>
    </w:p>
    <w:p>
      <w:pPr>
        <w:pStyle w:val="877"/>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77"/>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77"/>
        <w:ind w:firstLine="360"/>
        <w:jc w:val="both"/>
        <w:spacing w:beforeAutospacing="0" w:afterAutospacing="0" w:line="0" w:lineRule="atLeast"/>
      </w:pPr>
      <w:r>
        <w:t xml:space="preserve"> </w:t>
      </w:r>
      <w:r/>
    </w:p>
    <w:p>
      <w:pPr>
        <w:pStyle w:val="877"/>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77"/>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jc w:val="left"/>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7"/>
        <w:jc w:val="center"/>
        <w:spacing w:beforeAutospacing="0" w:afterAutospacing="0" w:line="0" w:lineRule="atLeast"/>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12.</w:t>
      </w:r>
      <w:r>
        <w:rPr>
          <w:rFonts w:hint="eastAsia" w:ascii="黑体" w:hAnsi="宋体" w:eastAsia="黑体" w:cs="黑体"/>
          <w:b/>
          <w:color w:val="000000"/>
          <w:sz w:val="32"/>
          <w:szCs w:val="32"/>
        </w:rPr>
        <w:t xml:space="preserve">残疾人福利性单位声明函</w:t>
      </w:r>
      <w:r/>
    </w:p>
    <w:p>
      <w:pPr>
        <w:pStyle w:val="877"/>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77"/>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77"/>
        <w:ind w:firstLine="480"/>
        <w:jc w:val="both"/>
        <w:spacing w:beforeAutospacing="0" w:afterAutospacing="0" w:line="0" w:lineRule="atLeast"/>
      </w:pPr>
      <w:r>
        <w:t xml:space="preserve"> </w:t>
      </w:r>
      <w:r/>
    </w:p>
    <w:p>
      <w:pPr>
        <w:pStyle w:val="877"/>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。2、中标供应商为残疾人福利单位的，此声明函将随中标结果同时公告，接受社会监督</w:t>
      </w:r>
      <w:r/>
    </w:p>
    <w:p>
      <w:pPr>
        <w:pStyle w:val="877"/>
        <w:ind w:firstLine="624"/>
        <w:jc w:val="both"/>
        <w:spacing w:beforeAutospacing="0" w:afterAutospacing="0" w:line="0" w:lineRule="atLeast"/>
      </w:pPr>
      <w:r>
        <w:t xml:space="preserve"> </w:t>
      </w:r>
      <w:r/>
    </w:p>
    <w:p>
      <w:pPr>
        <w:pStyle w:val="877"/>
        <w:ind w:right="1560" w:firstLine="624"/>
        <w:jc w:val="center"/>
        <w:spacing w:beforeAutospacing="0" w:afterAutospacing="0" w:line="0" w:lineRule="atLeast"/>
        <w:tabs>
          <w:tab w:val="left" w:pos="4864" w:leader="none"/>
        </w:tabs>
      </w:pPr>
      <w:r>
        <w:rPr>
          <w:rFonts w:ascii="宋体" w:eastAsia="宋体" w:cs="宋体"/>
          <w:color w:val="000000"/>
          <w:sz w:val="30"/>
          <w:szCs w:val="30"/>
        </w:rPr>
        <w:t xml:space="preserve">             </w:t>
      </w:r>
      <w:r>
        <w:rPr>
          <w:rFonts w:hint="eastAsia" w:ascii="宋体" w:hAnsi="宋体" w:eastAsia="宋体" w:cs="宋体"/>
          <w:color w:val="000000"/>
        </w:rPr>
        <w:t xml:space="preserve">          供应商全称（加盖CA电子公章）：</w:t>
      </w:r>
      <w:r/>
    </w:p>
    <w:p>
      <w:pPr>
        <w:pStyle w:val="877"/>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jc w:val="both"/>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default"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13.</w:t>
      </w:r>
      <w:bookmarkEnd w:id="213"/>
      <w:r>
        <w:rPr>
          <w:rFonts w:hint="eastAsia" w:ascii="黑体" w:hAnsi="Times New Roman" w:eastAsia="黑体" w:cs="Times New Roman"/>
          <w:b/>
          <w:bCs/>
          <w:color w:val="auto"/>
          <w:sz w:val="32"/>
          <w:szCs w:val="32"/>
          <w:highlight w:val="none"/>
          <w:lang w:val="en-US" w:eastAsia="zh-CN"/>
        </w:rPr>
        <w:t xml:space="preserve">东台市政府采购事前信用承诺书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56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法定代表人签名：</w:t>
      </w:r>
      <w:r/>
    </w:p>
    <w:p>
      <w:pPr>
        <w:ind w:right="1560" w:firstLine="480"/>
        <w:jc w:val="center"/>
        <w:spacing w:line="588" w:lineRule="exact"/>
        <w:tabs>
          <w:tab w:val="left" w:pos="4860" w:leader="none"/>
        </w:tabs>
        <w:rPr>
          <w:rFonts w:ascii="宋体" w:hAnsi="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color w:val="auto"/>
          <w:sz w:val="24"/>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日  期：</w:t>
      </w:r>
      <w:r/>
    </w:p>
    <w:p>
      <w:pPr>
        <w:pStyle w:val="877"/>
        <w:jc w:val="center"/>
        <w:spacing w:beforeAutospacing="0" w:afterAutospacing="0"/>
        <w:rPr>
          <w:color w:val="auto"/>
        </w:rPr>
      </w:pPr>
      <w:r>
        <w:rPr>
          <w:color w:val="auto"/>
        </w:rPr>
      </w:r>
      <w:bookmarkEnd w:id="202"/>
      <w:r/>
      <w:bookmarkEnd w:id="203"/>
      <w:r/>
      <w:bookmarkEnd w:id="204"/>
      <w:r/>
      <w:bookmarkEnd w:id="205"/>
      <w:r/>
      <w:bookmarkEnd w:id="206"/>
      <w:r/>
      <w:bookmarkEnd w:id="207"/>
      <w:r/>
      <w:bookmarkEnd w:id="208"/>
      <w:r/>
      <w:bookmarkEnd w:id="209"/>
      <w:r/>
      <w:bookmarkEnd w:id="210"/>
      <w:r/>
      <w:bookmarkEnd w:id="211"/>
      <w:r/>
      <w:bookmarkEnd w:id="212"/>
      <w:r/>
      <w:r/>
    </w:p>
    <w:p>
      <w:pPr>
        <w:rPr>
          <w:color w:val="auto"/>
        </w:rPr>
      </w:pPr>
      <w:r>
        <w:rPr>
          <w:color w:val="auto"/>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877"/>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77"/>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877"/>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877"/>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877"/>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877"/>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877"/>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877"/>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7"/>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877"/>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877"/>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877"/>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877"/>
        <w:ind w:firstLine="42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r/>
      <w:r/>
    </w:p>
    <w:sectPr>
      <w:headerReference w:type="default" r:id="rId9"/>
      <w:footerReference w:type="default" r:id="rId10"/>
      <w:footnotePr/>
      <w:endnotePr/>
      <w:type w:val="nextPage"/>
      <w:pgSz w:w="11906" w:h="16838" w:orient="portrait"/>
      <w:pgMar w:top="1440" w:right="1083" w:bottom="1440" w:left="1083"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仿宋">
    <w:panose1 w:val="02010609060101010101"/>
  </w:font>
  <w:font w:name="Courier New">
    <w:panose1 w:val="02070309020205020404"/>
  </w:font>
  <w:font w:name="Calibri">
    <w:panose1 w:val="020F0502020204030204"/>
  </w:font>
  <w:font w:name="Symbol">
    <w:panose1 w:val="05050102010706020507"/>
  </w:font>
  <w:font w:name="楷体">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lvlOverride w:ilvl="0">
      <w:startOverride w:val="2"/>
    </w:lvlOverride>
  </w:num>
  <w:num w:numId="4">
    <w:abstractNumId w:val="1"/>
    <w:lvlOverride w:ilvl="0">
      <w:startOverride w:val="6"/>
    </w:lvlOverride>
  </w:num>
  <w:num w:numId="5">
    <w:abstractNumId w:val="0"/>
    <w:lvlOverride w:ilvl="0">
      <w:startOverride w:val="16"/>
    </w:lvlOverride>
  </w:num>
  <w:num w:numId="6">
    <w:abstractNumId w:val="3"/>
    <w:lvlOverride w:ilvl="0">
      <w:startOverride w:val="23"/>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2"/>
    <w:next w:val="862"/>
    <w:link w:val="694"/>
    <w:uiPriority w:val="9"/>
    <w:qFormat/>
    <w:pPr>
      <w:keepLines/>
      <w:keepNext/>
      <w:spacing w:before="480" w:after="200"/>
      <w:outlineLvl w:val="0"/>
    </w:pPr>
    <w:rPr>
      <w:rFonts w:ascii="Arial" w:hAnsi="Arial" w:eastAsia="Arial" w:cs="Arial"/>
      <w:sz w:val="40"/>
      <w:szCs w:val="40"/>
    </w:rPr>
  </w:style>
  <w:style w:type="character" w:styleId="694">
    <w:name w:val="Heading 1 Char"/>
    <w:basedOn w:val="866"/>
    <w:link w:val="693"/>
    <w:uiPriority w:val="9"/>
    <w:rPr>
      <w:rFonts w:ascii="Arial" w:hAnsi="Arial" w:eastAsia="Arial" w:cs="Arial"/>
      <w:sz w:val="40"/>
      <w:szCs w:val="40"/>
    </w:rPr>
  </w:style>
  <w:style w:type="character" w:styleId="695">
    <w:name w:val="Heading 2 Char"/>
    <w:basedOn w:val="866"/>
    <w:link w:val="863"/>
    <w:uiPriority w:val="9"/>
    <w:rPr>
      <w:rFonts w:ascii="Arial" w:hAnsi="Arial" w:eastAsia="Arial" w:cs="Arial"/>
      <w:sz w:val="34"/>
    </w:rPr>
  </w:style>
  <w:style w:type="character" w:styleId="696">
    <w:name w:val="Heading 3 Char"/>
    <w:basedOn w:val="866"/>
    <w:link w:val="864"/>
    <w:uiPriority w:val="9"/>
    <w:rPr>
      <w:rFonts w:ascii="Arial" w:hAnsi="Arial" w:eastAsia="Arial" w:cs="Arial"/>
      <w:sz w:val="30"/>
      <w:szCs w:val="30"/>
    </w:rPr>
  </w:style>
  <w:style w:type="character" w:styleId="697">
    <w:name w:val="Heading 4 Char"/>
    <w:basedOn w:val="866"/>
    <w:link w:val="865"/>
    <w:uiPriority w:val="9"/>
    <w:rPr>
      <w:rFonts w:ascii="Arial" w:hAnsi="Arial" w:eastAsia="Arial" w:cs="Arial"/>
      <w:b/>
      <w:bCs/>
      <w:sz w:val="26"/>
      <w:szCs w:val="26"/>
    </w:rPr>
  </w:style>
  <w:style w:type="paragraph" w:styleId="698">
    <w:name w:val="Heading 5"/>
    <w:basedOn w:val="862"/>
    <w:next w:val="862"/>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6"/>
    <w:link w:val="698"/>
    <w:uiPriority w:val="9"/>
    <w:rPr>
      <w:rFonts w:ascii="Arial" w:hAnsi="Arial" w:eastAsia="Arial" w:cs="Arial"/>
      <w:b/>
      <w:bCs/>
      <w:sz w:val="24"/>
      <w:szCs w:val="24"/>
    </w:rPr>
  </w:style>
  <w:style w:type="paragraph" w:styleId="700">
    <w:name w:val="Heading 6"/>
    <w:basedOn w:val="862"/>
    <w:next w:val="862"/>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6"/>
    <w:link w:val="700"/>
    <w:uiPriority w:val="9"/>
    <w:rPr>
      <w:rFonts w:ascii="Arial" w:hAnsi="Arial" w:eastAsia="Arial" w:cs="Arial"/>
      <w:b/>
      <w:bCs/>
      <w:sz w:val="22"/>
      <w:szCs w:val="22"/>
    </w:rPr>
  </w:style>
  <w:style w:type="paragraph" w:styleId="702">
    <w:name w:val="Heading 7"/>
    <w:basedOn w:val="862"/>
    <w:next w:val="862"/>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6"/>
    <w:link w:val="702"/>
    <w:uiPriority w:val="9"/>
    <w:rPr>
      <w:rFonts w:ascii="Arial" w:hAnsi="Arial" w:eastAsia="Arial" w:cs="Arial"/>
      <w:b/>
      <w:bCs/>
      <w:i/>
      <w:iCs/>
      <w:sz w:val="22"/>
      <w:szCs w:val="22"/>
    </w:rPr>
  </w:style>
  <w:style w:type="paragraph" w:styleId="704">
    <w:name w:val="Heading 8"/>
    <w:basedOn w:val="862"/>
    <w:next w:val="862"/>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6"/>
    <w:link w:val="704"/>
    <w:uiPriority w:val="9"/>
    <w:rPr>
      <w:rFonts w:ascii="Arial" w:hAnsi="Arial" w:eastAsia="Arial" w:cs="Arial"/>
      <w:i/>
      <w:iCs/>
      <w:sz w:val="22"/>
      <w:szCs w:val="22"/>
    </w:rPr>
  </w:style>
  <w:style w:type="paragraph" w:styleId="706">
    <w:name w:val="Heading 9"/>
    <w:basedOn w:val="862"/>
    <w:next w:val="862"/>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6"/>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6"/>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6"/>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6"/>
    <w:link w:val="875"/>
    <w:uiPriority w:val="99"/>
  </w:style>
  <w:style w:type="character" w:styleId="718">
    <w:name w:val="Footer Char"/>
    <w:basedOn w:val="866"/>
    <w:link w:val="874"/>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4"/>
    <w:uiPriority w:val="99"/>
  </w:style>
  <w:style w:type="table" w:styleId="721">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7">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8">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9">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0">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1">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2">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3">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4">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5">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6">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7">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0">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1">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2">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3">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4">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3">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4">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5">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6">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7">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8">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0">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1">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2">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3">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4">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5">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6"/>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6"/>
    <w:uiPriority w:val="99"/>
    <w:semiHidden/>
    <w:unhideWhenUsed/>
    <w:rPr>
      <w:vertAlign w:val="superscript"/>
    </w:rPr>
  </w:style>
  <w:style w:type="paragraph" w:styleId="852">
    <w:name w:val="toc 1"/>
    <w:basedOn w:val="862"/>
    <w:next w:val="862"/>
    <w:uiPriority w:val="39"/>
    <w:unhideWhenUsed/>
    <w:pPr>
      <w:ind w:left="0" w:right="0" w:firstLine="0"/>
      <w:spacing w:after="57"/>
    </w:pPr>
  </w:style>
  <w:style w:type="paragraph" w:styleId="853">
    <w:name w:val="toc 2"/>
    <w:basedOn w:val="862"/>
    <w:next w:val="862"/>
    <w:uiPriority w:val="39"/>
    <w:unhideWhenUsed/>
    <w:pPr>
      <w:ind w:left="283" w:right="0" w:firstLine="0"/>
      <w:spacing w:after="57"/>
    </w:pPr>
  </w:style>
  <w:style w:type="paragraph" w:styleId="854">
    <w:name w:val="toc 3"/>
    <w:basedOn w:val="862"/>
    <w:next w:val="862"/>
    <w:uiPriority w:val="39"/>
    <w:unhideWhenUsed/>
    <w:pPr>
      <w:ind w:left="567"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link w:val="88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3">
    <w:name w:val="Heading 2"/>
    <w:basedOn w:val="862"/>
    <w:next w:val="86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64">
    <w:name w:val="Heading 3"/>
    <w:basedOn w:val="862"/>
    <w:next w:val="862"/>
    <w:uiPriority w:val="1"/>
    <w:qFormat/>
    <w:pPr>
      <w:ind w:left="120"/>
      <w:outlineLvl w:val="2"/>
    </w:pPr>
    <w:rPr>
      <w:rFonts w:hint="eastAsia" w:ascii="黑体" w:hAnsi="黑体" w:eastAsia="黑体"/>
      <w:b/>
      <w:sz w:val="32"/>
      <w:szCs w:val="24"/>
    </w:rPr>
  </w:style>
  <w:style w:type="paragraph" w:styleId="865">
    <w:name w:val="Heading 4"/>
    <w:basedOn w:val="862"/>
    <w:uiPriority w:val="1"/>
    <w:qFormat/>
    <w:pPr>
      <w:ind w:left="256"/>
      <w:outlineLvl w:val="3"/>
    </w:pPr>
    <w:rPr>
      <w:rFonts w:hint="eastAsia" w:ascii="黑体" w:hAnsi="黑体" w:eastAsia="黑体"/>
      <w:sz w:val="28"/>
      <w:szCs w:val="24"/>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62"/>
    <w:uiPriority w:val="0"/>
    <w:qFormat/>
    <w:pPr>
      <w:ind w:firstLine="420"/>
    </w:pPr>
  </w:style>
  <w:style w:type="paragraph" w:styleId="869">
    <w:name w:val="Body Text"/>
    <w:basedOn w:val="862"/>
    <w:next w:val="870"/>
    <w:uiPriority w:val="0"/>
    <w:qFormat/>
    <w:rPr>
      <w:rFonts w:ascii="楷体" w:hAnsi="Arial" w:eastAsia="楷体"/>
      <w:sz w:val="28"/>
      <w:szCs w:val="20"/>
    </w:rPr>
  </w:style>
  <w:style w:type="paragraph" w:styleId="870" w:customStyle="1">
    <w:name w:val="Body Text 21"/>
    <w:basedOn w:val="862"/>
    <w:uiPriority w:val="0"/>
    <w:qFormat/>
    <w:rPr>
      <w:rFonts w:ascii="Calibri" w:hAnsi="Calibri"/>
    </w:rPr>
  </w:style>
  <w:style w:type="paragraph" w:styleId="871">
    <w:name w:val="Body Text Indent"/>
    <w:basedOn w:val="862"/>
    <w:next w:val="872"/>
    <w:uiPriority w:val="0"/>
    <w:qFormat/>
    <w:pPr>
      <w:ind w:left="420"/>
      <w:spacing w:after="120"/>
    </w:pPr>
  </w:style>
  <w:style w:type="paragraph" w:styleId="872">
    <w:name w:val="envelope return"/>
    <w:basedOn w:val="862"/>
    <w:uiPriority w:val="0"/>
    <w:qFormat/>
    <w:rPr>
      <w:rFonts w:ascii="Arial" w:hAnsi="Arial"/>
    </w:rPr>
  </w:style>
  <w:style w:type="paragraph" w:styleId="873">
    <w:name w:val="Plain Text"/>
    <w:basedOn w:val="862"/>
    <w:uiPriority w:val="0"/>
    <w:unhideWhenUsed/>
    <w:qFormat/>
    <w:rPr>
      <w:rFonts w:ascii="宋体" w:hAnsi="Courier New" w:cs="Courier New"/>
      <w:szCs w:val="21"/>
    </w:rPr>
  </w:style>
  <w:style w:type="paragraph" w:styleId="874">
    <w:name w:val="Footer"/>
    <w:basedOn w:val="862"/>
    <w:link w:val="885"/>
    <w:uiPriority w:val="0"/>
    <w:qFormat/>
    <w:pPr>
      <w:jc w:val="left"/>
      <w:tabs>
        <w:tab w:val="center" w:pos="4153" w:leader="none"/>
        <w:tab w:val="right" w:pos="8306" w:leader="none"/>
      </w:tabs>
    </w:pPr>
    <w:rPr>
      <w:sz w:val="18"/>
      <w:szCs w:val="18"/>
    </w:rPr>
  </w:style>
  <w:style w:type="paragraph" w:styleId="875">
    <w:name w:val="Header"/>
    <w:basedOn w:val="862"/>
    <w:link w:val="884"/>
    <w:uiPriority w:val="0"/>
    <w:qFormat/>
    <w:pPr>
      <w:jc w:val="center"/>
      <w:tabs>
        <w:tab w:val="center" w:pos="4153" w:leader="none"/>
        <w:tab w:val="right" w:pos="8306" w:leader="none"/>
      </w:tabs>
      <w:pBdr>
        <w:bottom w:val="single" w:color="auto" w:sz="6" w:space="1"/>
      </w:pBdr>
    </w:pPr>
    <w:rPr>
      <w:sz w:val="18"/>
      <w:szCs w:val="18"/>
    </w:rPr>
  </w:style>
  <w:style w:type="paragraph" w:styleId="876">
    <w:name w:val="toc 4"/>
    <w:basedOn w:val="862"/>
    <w:next w:val="862"/>
    <w:uiPriority w:val="0"/>
    <w:qFormat/>
    <w:pPr>
      <w:ind w:left="1260"/>
    </w:pPr>
  </w:style>
  <w:style w:type="paragraph" w:styleId="877">
    <w:name w:val="Normal (Web)"/>
    <w:basedOn w:val="862"/>
    <w:uiPriority w:val="0"/>
    <w:qFormat/>
    <w:pPr>
      <w:jc w:val="left"/>
      <w:spacing w:beforeAutospacing="1" w:afterAutospacing="1"/>
    </w:pPr>
    <w:rPr>
      <w:rFonts w:cs="Times New Roman"/>
      <w:sz w:val="24"/>
    </w:rPr>
  </w:style>
  <w:style w:type="paragraph" w:styleId="878">
    <w:name w:val="Body Text First Indent"/>
    <w:basedOn w:val="869"/>
    <w:uiPriority w:val="0"/>
    <w:qFormat/>
    <w:pPr>
      <w:ind w:firstLine="420"/>
    </w:pPr>
  </w:style>
  <w:style w:type="paragraph" w:styleId="879">
    <w:name w:val="Body Text First Indent 2"/>
    <w:basedOn w:val="871"/>
    <w:next w:val="878"/>
    <w:uiPriority w:val="0"/>
    <w:qFormat/>
    <w:pPr>
      <w:ind w:left="420"/>
      <w:spacing w:before="50" w:after="120" w:line="240" w:lineRule="auto"/>
    </w:pPr>
    <w:rPr>
      <w:rFonts w:ascii="Times New Roman" w:eastAsia="宋体"/>
      <w:spacing w:val="0"/>
      <w:sz w:val="21"/>
      <w:szCs w:val="24"/>
    </w:rPr>
  </w:style>
  <w:style w:type="table" w:styleId="880">
    <w:name w:val="Table Grid"/>
    <w:basedOn w:val="867"/>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FollowedHyperlink"/>
    <w:basedOn w:val="866"/>
    <w:uiPriority w:val="0"/>
    <w:qFormat/>
    <w:rPr>
      <w:color w:val="333333"/>
      <w:u w:val="none"/>
    </w:rPr>
  </w:style>
  <w:style w:type="character" w:styleId="882">
    <w:name w:val="Hyperlink"/>
    <w:basedOn w:val="866"/>
    <w:uiPriority w:val="0"/>
    <w:qFormat/>
    <w:rPr>
      <w:color w:val="333333"/>
      <w:u w:val="none"/>
    </w:rPr>
  </w:style>
  <w:style w:type="paragraph" w:styleId="883" w:customStyle="1">
    <w:name w:val="Default"/>
    <w:uiPriority w:val="99"/>
    <w:unhideWhenUsed/>
    <w:qFormat/>
    <w:pPr>
      <w:widowControl w:val="off"/>
    </w:pPr>
    <w:rPr>
      <w:rFonts w:hint="eastAsia" w:ascii="仿宋" w:hAnsi="仿宋" w:eastAsia="仿宋" w:cs="Times New Roman"/>
      <w:color w:val="000000"/>
      <w:sz w:val="24"/>
      <w:lang w:val="en-US" w:eastAsia="zh-CN" w:bidi="ar-SA"/>
    </w:rPr>
  </w:style>
  <w:style w:type="character" w:styleId="884" w:customStyle="1">
    <w:name w:val="页眉 Char"/>
    <w:basedOn w:val="866"/>
    <w:link w:val="875"/>
    <w:uiPriority w:val="0"/>
    <w:qFormat/>
    <w:rPr>
      <w:rFonts w:asciiTheme="minorHAnsi" w:hAnsiTheme="minorHAnsi" w:eastAsiaTheme="minorEastAsia" w:cstheme="minorBidi"/>
      <w:sz w:val="18"/>
      <w:szCs w:val="18"/>
    </w:rPr>
  </w:style>
  <w:style w:type="character" w:styleId="885" w:customStyle="1">
    <w:name w:val="页脚 Char"/>
    <w:basedOn w:val="866"/>
    <w:link w:val="874"/>
    <w:uiPriority w:val="0"/>
    <w:qFormat/>
    <w:rPr>
      <w:rFonts w:asciiTheme="minorHAnsi" w:hAnsiTheme="minorHAnsi" w:eastAsiaTheme="minorEastAsia" w:cstheme="minorBidi"/>
      <w:sz w:val="18"/>
      <w:szCs w:val="18"/>
    </w:rPr>
  </w:style>
  <w:style w:type="character" w:styleId="886" w:customStyle="1">
    <w:name w:val="NormalCharacter"/>
    <w:link w:val="862"/>
    <w:uiPriority w:val="0"/>
    <w:qFormat/>
    <w:rPr>
      <w:rFonts w:asciiTheme="minorHAnsi" w:hAnsiTheme="minorHAnsi" w:eastAsiaTheme="minorEastAsia" w:cstheme="minorBidi"/>
      <w:sz w:val="21"/>
      <w:szCs w:val="24"/>
      <w:lang w:val="en-US" w:eastAsia="zh-CN" w:bidi="ar-SA"/>
    </w:rPr>
  </w:style>
  <w:style w:type="paragraph" w:styleId="887" w:customStyle="1">
    <w:name w:val="正文首行缩进 21"/>
    <w:basedOn w:val="888"/>
    <w:uiPriority w:val="0"/>
    <w:qFormat/>
    <w:pPr>
      <w:ind w:firstLine="200"/>
    </w:pPr>
    <w:rPr>
      <w:rFonts w:ascii="Times New Roman" w:hAnsi="Times New Roman" w:eastAsia="宋体" w:cs="Times New Roman"/>
    </w:rPr>
  </w:style>
  <w:style w:type="paragraph" w:styleId="888" w:customStyle="1">
    <w:name w:val="正文文本缩进1"/>
    <w:basedOn w:val="862"/>
    <w:uiPriority w:val="0"/>
    <w:qFormat/>
    <w:pPr>
      <w:ind w:left="420"/>
      <w:spacing w:after="120"/>
    </w:pPr>
  </w:style>
  <w:style w:type="paragraph" w:styleId="889" w:customStyle="1">
    <w:name w:val="正文文本缩进 New"/>
    <w:basedOn w:val="890"/>
    <w:next w:val="891"/>
    <w:uiPriority w:val="0"/>
    <w:qFormat/>
    <w:pPr>
      <w:ind w:left="420"/>
      <w:spacing w:after="120"/>
    </w:pPr>
    <w:rPr>
      <w:rFonts w:ascii="Times New Roman" w:hAnsi="Times New Roman" w:eastAsia="宋体" w:cs="Times New Roman"/>
    </w:rPr>
  </w:style>
  <w:style w:type="paragraph" w:styleId="890" w:customStyle="1">
    <w:name w:val="正文 New"/>
    <w:next w:val="887"/>
    <w:uiPriority w:val="0"/>
    <w:qFormat/>
    <w:pPr>
      <w:jc w:val="both"/>
      <w:widowControl w:val="off"/>
    </w:pPr>
    <w:rPr>
      <w:rFonts w:ascii="Times New Roman" w:hAnsi="Times New Roman" w:eastAsia="宋体" w:cs="Times New Roman"/>
      <w:sz w:val="21"/>
      <w:szCs w:val="22"/>
      <w:lang w:val="en-US" w:eastAsia="zh-CN" w:bidi="ar-SA"/>
    </w:rPr>
  </w:style>
  <w:style w:type="paragraph" w:styleId="891" w:customStyle="1">
    <w:name w:val="寄信人地址 New"/>
    <w:basedOn w:val="890"/>
    <w:uiPriority w:val="0"/>
    <w:qFormat/>
    <w:rPr>
      <w:rFonts w:ascii="Arial" w:hAnsi="Arial" w:eastAsia="宋体" w:cs="Times New Roman"/>
    </w:rPr>
  </w:style>
  <w:style w:type="paragraph" w:styleId="892" w:customStyle="1">
    <w:name w:val="Char"/>
    <w:basedOn w:val="862"/>
    <w:uiPriority w:val="0"/>
    <w:qFormat/>
    <w:pPr>
      <w:ind w:firstLine="200"/>
      <w:tabs>
        <w:tab w:val="left" w:pos="360" w:leader="none"/>
      </w:tabs>
    </w:pPr>
    <w:rPr>
      <w:sz w:val="28"/>
      <w:szCs w:val="30"/>
    </w:rPr>
  </w:style>
  <w:style w:type="paragraph" w:styleId="893" w:customStyle="1">
    <w:name w:val="普通正文"/>
    <w:basedOn w:val="862"/>
    <w:uiPriority w:val="0"/>
    <w:qFormat/>
    <w:pPr>
      <w:ind w:firstLine="480"/>
      <w:jc w:val="left"/>
      <w:spacing w:before="120" w:after="120" w:line="360" w:lineRule="auto"/>
    </w:pPr>
    <w:rPr>
      <w:rFonts w:ascii="Arial" w:hAnsi="Arial"/>
      <w:sz w:val="24"/>
      <w:szCs w:val="24"/>
    </w:rPr>
  </w:style>
  <w:style w:type="character" w:styleId="894" w:customStyle="1">
    <w:name w:val="font31"/>
    <w:basedOn w:val="866"/>
    <w:uiPriority w:val="0"/>
    <w:qFormat/>
    <w:rPr>
      <w:rFonts w:hint="default" w:ascii="Times New Roman" w:hAnsi="Times New Roman" w:cs="Times New Roman"/>
      <w:color w:val="000000"/>
      <w:sz w:val="21"/>
      <w:szCs w:val="21"/>
      <w:u w:val="none"/>
    </w:rPr>
  </w:style>
  <w:style w:type="character" w:styleId="895" w:customStyle="1">
    <w:name w:val="font11"/>
    <w:basedOn w:val="866"/>
    <w:uiPriority w:val="0"/>
    <w:qFormat/>
    <w:rPr>
      <w:rFonts w:hint="eastAsia" w:ascii="宋体" w:hAnsi="宋体" w:eastAsia="宋体" w:cs="宋体"/>
      <w:color w:val="000000"/>
      <w:sz w:val="21"/>
      <w:szCs w:val="21"/>
      <w:u w:val="none"/>
    </w:rPr>
  </w:style>
  <w:style w:type="character" w:styleId="896" w:customStyle="1">
    <w:name w:val="font21"/>
    <w:basedOn w:val="866"/>
    <w:uiPriority w:val="0"/>
    <w:qFormat/>
    <w:rPr>
      <w:rFonts w:hint="eastAsia" w:ascii="宋体" w:hAnsi="宋体" w:eastAsia="宋体" w:cs="宋体"/>
      <w:color w:val="000000"/>
      <w:sz w:val="21"/>
      <w:szCs w:val="21"/>
      <w:u w:val="none"/>
    </w:rPr>
  </w:style>
  <w:style w:type="character" w:styleId="897" w:customStyle="1">
    <w:name w:val="font41"/>
    <w:basedOn w:val="866"/>
    <w:uiPriority w:val="0"/>
    <w:qFormat/>
    <w:rPr>
      <w:rFonts w:hint="default" w:ascii="Times New Roman" w:hAnsi="Times New Roman" w:cs="Times New Roman"/>
      <w:color w:val="000000"/>
      <w:sz w:val="21"/>
      <w:szCs w:val="21"/>
      <w:u w:val="none"/>
      <w:vertAlign w:val="subscript"/>
    </w:rPr>
  </w:style>
  <w:style w:type="paragraph" w:styleId="898" w:customStyle="1">
    <w:name w:val="列出段落1"/>
    <w:basedOn w:val="862"/>
    <w:uiPriority w:val="0"/>
    <w:qFormat/>
    <w:pPr>
      <w:ind w:firstLine="420"/>
    </w:pPr>
    <w:rPr>
      <w:rFonts w:ascii="Times New Roman" w:hAnsi="Times New Roman" w:eastAsia="宋体" w:cs="Times New Roman"/>
      <w:sz w:val="28"/>
      <w:szCs w:val="20"/>
    </w:rPr>
  </w:style>
  <w:style w:type="paragraph" w:styleId="899" w:customStyle="1">
    <w:name w:val="样式 宋体 左 行距: 1.5 倍行距"/>
    <w:basedOn w:val="862"/>
    <w:uiPriority w:val="0"/>
    <w:qFormat/>
    <w:pPr>
      <w:jc w:val="left"/>
      <w:spacing w:line="360" w:lineRule="auto"/>
    </w:pPr>
    <w:rPr>
      <w:rFonts w:ascii="宋体" w:hAnsi="宋体" w:eastAsia="宋体" w:cs="宋体"/>
      <w:szCs w:val="20"/>
    </w:rPr>
  </w:style>
  <w:style w:type="paragraph" w:styleId="900" w:customStyle="1">
    <w:name w:val="List Paragraph"/>
    <w:basedOn w:val="862"/>
    <w:uiPriority w:val="0"/>
    <w:qFormat/>
    <w:pPr>
      <w:ind w:firstLine="420"/>
    </w:pPr>
  </w:style>
  <w:style w:type="paragraph" w:styleId="901" w:customStyle="1">
    <w:name w:val="UserStyle_0"/>
    <w:basedOn w:val="862"/>
    <w:uiPriority w:val="0"/>
    <w:qFormat/>
    <w:pPr>
      <w:ind w:firstLine="420"/>
      <w:jc w:val="both"/>
    </w:pPr>
    <w:rPr>
      <w:rFonts w:ascii="Calibri" w:hAnsi="Calibri" w:eastAsia="宋体"/>
      <w:sz w:val="21"/>
      <w:szCs w:val="21"/>
      <w:lang w:val="en-US" w:eastAsia="zh-CN" w:bidi="ar-SA"/>
    </w:rPr>
  </w:style>
  <w:style w:type="paragraph" w:styleId="902" w:customStyle="1">
    <w:name w:val="99-标书-正文"/>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paragraph" w:styleId="90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4" w:customStyle="1">
    <w:name w:val="active16"/>
    <w:basedOn w:val="866"/>
    <w:uiPriority w:val="0"/>
    <w:qFormat/>
    <w:rPr>
      <w:color w:val="ffffff"/>
      <w:shd w:val="clear" w:color="auto" w:fill="0f5bb9"/>
    </w:rPr>
  </w:style>
  <w:style w:type="character" w:styleId="905" w:customStyle="1">
    <w:name w:val="active15"/>
    <w:basedOn w:val="866"/>
    <w:uiPriority w:val="0"/>
    <w:qFormat/>
    <w:rPr>
      <w:color w:val="ffffff"/>
      <w:shd w:val="clear" w:color="auto" w:fill="0f5bb9"/>
    </w:rPr>
  </w:style>
  <w:style w:type="paragraph" w:styleId="906" w:customStyle="1">
    <w:name w:val="表格"/>
    <w:uiPriority w:val="0"/>
    <w:qFormat/>
    <w:pPr>
      <w:jc w:val="center"/>
    </w:pPr>
    <w:rPr>
      <w:rFonts w:ascii="Times New Roman" w:hAnsi="Times New Roman" w:eastAsia="宋体" w:cs="仿宋_GB2312"/>
      <w:sz w:val="24"/>
      <w:szCs w:val="21"/>
      <w:lang w:val="en-US" w:eastAsia="zh-CN" w:bidi="ar-SA"/>
      <w14:ligatures w14:val="standardContextual"/>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274</cp:revision>
  <dcterms:created xsi:type="dcterms:W3CDTF">2014-10-29T12:08:00Z</dcterms:created>
  <dcterms:modified xsi:type="dcterms:W3CDTF">2025-02-24T01:20:11Z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37AA94B1EE204292952CC56B8BE8CE0D_13</vt:lpwstr>
  </property>
  <property fmtid="{D5CDD505-2E9C-101B-9397-08002B2CF9AE}" pid="4" name="KSOTemplateDocerSaveRecord">
    <vt:lpwstr>eyJoZGlkIjoiMzkzOGU5NzBjOGYwNGQ5NTM3OTRkYjk1MzkxZTk1YjkiLCJ1c2VySWQiOiIxMDA3NjMzOSJ9</vt:lpwstr>
  </property>
</Properties>
</file>