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9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94"/>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94"/>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94"/>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9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i w:val="0"/>
          <w:iCs w:val="0"/>
          <w:color w:val="000000"/>
          <w:sz w:val="32"/>
          <w:szCs w:val="32"/>
          <w:highlight w:val="none"/>
          <w:lang w:val="en-US" w:eastAsia="zh-CN"/>
        </w:rPr>
        <w:t xml:space="preserve">       </w:t>
      </w: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连云港市灌云县大气环境监测能力提升项目（专门面向中小企业）</w:t>
      </w:r>
      <w:r/>
    </w:p>
    <w:p>
      <w:pPr>
        <w:pStyle w:val="794"/>
        <w:ind w:firstLine="1280"/>
        <w:jc w:val="both"/>
        <w:keepLines w:val="0"/>
        <w:keepNext w:val="0"/>
        <w:spacing w:before="0" w:beforeAutospacing="0" w:after="0" w:afterAutospacing="0" w:line="240" w:lineRule="auto"/>
        <w:widowControl w:val="off"/>
        <w:rPr>
          <w:rFonts w:hint="default"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项目编号：JSZC-320723-JSYZ-G2024-0010</w:t>
      </w:r>
      <w:r>
        <w:rPr>
          <w:rFonts w:hint="eastAsia" w:ascii="宋体" w:hAnsi="宋体" w:cs="宋体"/>
          <w:b w:val="0"/>
          <w:bCs w:val="0"/>
          <w:i w:val="0"/>
          <w:iCs w:val="0"/>
          <w:color w:val="000000"/>
          <w:sz w:val="32"/>
          <w:szCs w:val="32"/>
          <w:highlight w:val="none"/>
          <w:lang w:val="en-US" w:eastAsia="zh-CN"/>
        </w:rPr>
        <w:t xml:space="preserve">              </w:t>
      </w:r>
      <w:r/>
    </w:p>
    <w:p>
      <w:pPr>
        <w:pStyle w:val="79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pStyle w:val="79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9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cs="宋体"/>
          <w:b w:val="0"/>
          <w:bCs/>
          <w:i w:val="0"/>
          <w:iCs w:val="0"/>
          <w:color w:val="000000"/>
          <w:sz w:val="32"/>
          <w:szCs w:val="24"/>
          <w:highlight w:val="none"/>
          <w:lang w:eastAsia="zh-CN"/>
        </w:rPr>
        <w:t xml:space="preserve">连云港市灌云生态环境局</w:t>
      </w:r>
      <w:r/>
    </w:p>
    <w:p>
      <w:pPr>
        <w:ind w:firstLine="128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eastAsia="宋体" w:cs="宋体"/>
          <w:bCs/>
          <w:color w:val="000000"/>
          <w:sz w:val="32"/>
          <w:szCs w:val="24"/>
          <w:highlight w:val="none"/>
        </w:rPr>
        <w:t xml:space="preserve">采购代理机构：</w:t>
      </w:r>
      <w:r>
        <w:rPr>
          <w:rFonts w:hint="eastAsia" w:ascii="宋体" w:hAnsi="宋体" w:cs="宋体"/>
          <w:bCs/>
          <w:color w:val="000000"/>
          <w:sz w:val="32"/>
          <w:szCs w:val="24"/>
          <w:highlight w:val="none"/>
          <w:lang w:eastAsia="zh-CN"/>
        </w:rPr>
        <w:t xml:space="preserve">江苏易章工程造价咨询有限公司</w:t>
      </w:r>
      <w:bookmarkStart w:id="200" w:name="_GoBack"/>
      <w:r/>
      <w:bookmarkEnd w:id="200"/>
      <w:r>
        <w:rPr>
          <w:rFonts w:hint="eastAsia" w:ascii="宋体" w:hAnsi="宋体" w:cs="宋体"/>
          <w:bCs/>
          <w:color w:val="000000"/>
          <w:sz w:val="32"/>
          <w:szCs w:val="24"/>
          <w:highlight w:val="none"/>
          <w:lang w:eastAsia="zh-CN"/>
        </w:rPr>
        <w:t xml:space="preserve"> </w:t>
      </w:r>
      <w:r/>
    </w:p>
    <w:p>
      <w:pPr>
        <w:pStyle w:val="79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9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2024</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cs="宋体"/>
          <w:b w:val="0"/>
          <w:bCs w:val="0"/>
          <w:i w:val="0"/>
          <w:iCs w:val="0"/>
          <w:color w:val="000000"/>
          <w:sz w:val="32"/>
          <w:szCs w:val="32"/>
          <w:highlight w:val="none"/>
          <w:lang w:val="en-US" w:eastAsia="zh-CN"/>
        </w:rPr>
        <w:t xml:space="preserve">11</w:t>
      </w:r>
      <w:r>
        <w:rPr>
          <w:rFonts w:hint="eastAsia" w:ascii="宋体" w:hAnsi="宋体" w:eastAsia="宋体" w:cs="宋体"/>
          <w:b w:val="0"/>
          <w:bCs w:val="0"/>
          <w:i w:val="0"/>
          <w:iCs w:val="0"/>
          <w:color w:val="000000"/>
          <w:sz w:val="32"/>
          <w:szCs w:val="32"/>
          <w:highlight w:val="none"/>
        </w:rPr>
        <w:t xml:space="preserve">月</w:t>
      </w:r>
      <w:r/>
    </w:p>
    <w:p>
      <w:pPr>
        <w:pStyle w:val="794"/>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宋体" w:hAnsi="宋体" w:eastAsia="宋体" w:cs="宋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Times New Roman" w:hAnsi="Times New Roman"/>
          <w:color w:val="auto"/>
          <w:sz w:val="32"/>
          <w:szCs w:val="32"/>
          <w:highlight w:val="none"/>
        </w:rPr>
      </w:pPr>
      <w:r>
        <w:rPr>
          <w:rFonts w:hint="eastAsia" w:ascii="Times New Roman" w:hAnsi="Times New Roman"/>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highlight w:val="none"/>
        </w:rPr>
      </w:pPr>
      <w:r>
        <w:rPr>
          <w:rFonts w:hint="eastAsia" w:ascii="Times New Roman" w:hAnsi="Times New Roman"/>
          <w:color w:val="auto"/>
          <w:szCs w:val="21"/>
          <w:highlight w:val="none"/>
        </w:rPr>
      </w:r>
      <w:r>
        <w:rPr>
          <w:rFonts w:hint="eastAsia" w:ascii="Times New Roman" w:hAnsi="Times New Roman"/>
          <w:color w:val="auto"/>
          <w:szCs w:val="21"/>
          <w:highlight w:val="none"/>
        </w:rPr>
      </w:r>
    </w:p>
    <w:p>
      <w:pPr>
        <w:rPr>
          <w:rFonts w:hint="eastAsia" w:ascii="Times New Roman" w:hAnsi="Times New Roman"/>
          <w:color w:val="auto"/>
          <w:highlight w:val="none"/>
        </w:rPr>
      </w:pPr>
      <w:r>
        <w:rPr>
          <w:rFonts w:hint="eastAsia" w:ascii="Times New Roman" w:hAnsi="Times New Roman"/>
          <w:color w:val="auto"/>
          <w:highlight w:val="none"/>
        </w:rPr>
      </w:r>
      <w:r>
        <w:rPr>
          <w:rFonts w:hint="eastAsia" w:ascii="Times New Roman" w:hAnsi="Times New Roman"/>
          <w:color w:val="auto"/>
          <w:highlight w:val="none"/>
        </w:rPr>
      </w:r>
    </w:p>
    <w:p>
      <w:pPr>
        <w:rPr>
          <w:rFonts w:hint="eastAsia" w:ascii="Times New Roman" w:hAnsi="Times New Roman"/>
          <w:color w:val="auto"/>
          <w:highlight w:val="none"/>
        </w:rPr>
      </w:pPr>
      <w:r>
        <w:rPr>
          <w:rFonts w:hint="eastAsia" w:ascii="Times New Roman" w:hAnsi="Times New Roman"/>
          <w:color w:val="auto"/>
          <w:szCs w:val="21"/>
          <w:highlight w:val="none"/>
        </w:rPr>
      </w:r>
      <w:bookmarkEnd w:id="0"/>
      <w:r/>
    </w:p>
    <w:p>
      <w:pPr>
        <w:pStyle w:val="794"/>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9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cs="宋体"/>
          <w:b w:val="0"/>
          <w:bCs w:val="0"/>
          <w:i w:val="0"/>
          <w:iCs w:val="0"/>
          <w:color w:val="000000"/>
          <w:sz w:val="24"/>
          <w:szCs w:val="24"/>
          <w:highlight w:val="none"/>
          <w:lang w:eastAsia="zh-CN"/>
        </w:rPr>
        <w:t xml:space="preserve">连云港市灌云生态环境局</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cs="宋体"/>
          <w:b w:val="0"/>
          <w:bCs w:val="0"/>
          <w:i w:val="0"/>
          <w:iCs w:val="0"/>
          <w:color w:val="000000"/>
          <w:sz w:val="24"/>
          <w:szCs w:val="24"/>
          <w:highlight w:val="none"/>
          <w:lang w:eastAsia="zh-CN"/>
        </w:rPr>
        <w:t xml:space="preserve">江苏易章工程造价咨询有限公司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cs="宋体"/>
          <w:b w:val="0"/>
          <w:bCs w:val="0"/>
          <w:i w:val="0"/>
          <w:iCs w:val="0"/>
          <w:color w:val="000000"/>
          <w:sz w:val="24"/>
          <w:szCs w:val="24"/>
          <w:highlight w:val="none"/>
          <w:lang w:eastAsia="zh-CN"/>
        </w:rPr>
        <w:t xml:space="preserve">连云港市灌云县大气环境监测能力提升项目（专门面向中小企业）</w:t>
      </w:r>
      <w:r>
        <w:rPr>
          <w:rFonts w:hint="eastAsia" w:ascii="宋体" w:hAnsi="宋体" w:eastAsia="宋体" w:cs="宋体"/>
          <w:b w:val="0"/>
          <w:bCs w:val="0"/>
          <w:i w:val="0"/>
          <w:iCs w:val="0"/>
          <w:color w:val="000000"/>
          <w:sz w:val="24"/>
          <w:szCs w:val="24"/>
          <w:highlight w:val="none"/>
        </w:rPr>
        <w:t xml:space="preserve">]([</w:t>
      </w:r>
      <w:r>
        <w:rPr>
          <w:rFonts w:hint="eastAsia" w:ascii="宋体" w:hAnsi="宋体" w:cs="宋体"/>
          <w:b w:val="0"/>
          <w:bCs w:val="0"/>
          <w:i w:val="0"/>
          <w:iCs w:val="0"/>
          <w:color w:val="000000"/>
          <w:sz w:val="24"/>
          <w:szCs w:val="24"/>
          <w:highlight w:val="none"/>
          <w:lang w:val="en-US" w:eastAsia="zh-CN"/>
        </w:rPr>
        <w:t xml:space="preserve">JSZC-320723-JSYZ-G2024-0010 </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9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9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cs="宋体"/>
          <w:b w:val="0"/>
          <w:bCs w:val="0"/>
          <w:i w:val="0"/>
          <w:iCs w:val="0"/>
          <w:color w:val="000000"/>
          <w:sz w:val="24"/>
          <w:szCs w:val="24"/>
          <w:highlight w:val="none"/>
          <w:u w:val="single"/>
          <w:lang w:eastAsia="zh-CN"/>
        </w:rPr>
        <w:t xml:space="preserve">连云港市灌云县大气环境监测能力提升项目（专门面向中小企业）</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2024年</w:t>
      </w:r>
      <w:r>
        <w:rPr>
          <w:rFonts w:hint="eastAsia" w:ascii="宋体" w:hAnsi="宋体" w:cs="宋体"/>
          <w:b w:val="0"/>
          <w:bCs w:val="0"/>
          <w:i w:val="0"/>
          <w:iCs w:val="0"/>
          <w:color w:val="000000"/>
          <w:sz w:val="24"/>
          <w:szCs w:val="24"/>
          <w:highlight w:val="none"/>
          <w:u w:val="single"/>
          <w:lang w:val="en-US" w:eastAsia="zh-CN"/>
        </w:rPr>
        <w:t xml:space="preserve">12</w:t>
      </w:r>
      <w:r>
        <w:rPr>
          <w:rFonts w:hint="eastAsia" w:ascii="宋体" w:hAnsi="宋体" w:eastAsia="宋体" w:cs="宋体"/>
          <w:b w:val="0"/>
          <w:bCs w:val="0"/>
          <w:i w:val="0"/>
          <w:iCs w:val="0"/>
          <w:color w:val="000000"/>
          <w:sz w:val="24"/>
          <w:szCs w:val="24"/>
          <w:highlight w:val="none"/>
          <w:u w:val="single"/>
          <w:lang w:val="en-US" w:eastAsia="zh-CN"/>
        </w:rPr>
        <w:t xml:space="preserve">月</w:t>
      </w:r>
      <w:r>
        <w:rPr>
          <w:rFonts w:hint="eastAsia" w:ascii="宋体" w:hAnsi="宋体" w:cs="宋体"/>
          <w:b w:val="0"/>
          <w:bCs w:val="0"/>
          <w:i w:val="0"/>
          <w:iCs w:val="0"/>
          <w:color w:val="000000"/>
          <w:sz w:val="24"/>
          <w:szCs w:val="24"/>
          <w:highlight w:val="none"/>
          <w:u w:val="single"/>
          <w:lang w:val="en-US" w:eastAsia="zh-CN"/>
        </w:rPr>
        <w:t xml:space="preserve">05</w:t>
      </w:r>
      <w:r>
        <w:rPr>
          <w:rFonts w:hint="eastAsia" w:ascii="宋体" w:hAnsi="宋体" w:eastAsia="宋体" w:cs="宋体"/>
          <w:b w:val="0"/>
          <w:bCs w:val="0"/>
          <w:i w:val="0"/>
          <w:iCs w:val="0"/>
          <w:color w:val="000000"/>
          <w:sz w:val="24"/>
          <w:szCs w:val="24"/>
          <w:highlight w:val="none"/>
          <w:u w:val="single"/>
          <w:lang w:val="en-US" w:eastAsia="zh-CN"/>
        </w:rPr>
        <w:t xml:space="preserve">日</w:t>
      </w:r>
      <w:r>
        <w:rPr>
          <w:rFonts w:hint="eastAsia" w:ascii="宋体" w:hAnsi="宋体" w:cs="宋体"/>
          <w:b w:val="0"/>
          <w:bCs w:val="0"/>
          <w:i w:val="0"/>
          <w:iCs w:val="0"/>
          <w:color w:val="000000"/>
          <w:sz w:val="24"/>
          <w:szCs w:val="24"/>
          <w:highlight w:val="none"/>
          <w:u w:val="single"/>
          <w:lang w:val="en-US" w:eastAsia="zh-CN"/>
        </w:rPr>
        <w:t xml:space="preserve">10</w:t>
      </w:r>
      <w:r>
        <w:rPr>
          <w:rFonts w:hint="eastAsia" w:ascii="宋体" w:hAnsi="宋体" w:eastAsia="宋体" w:cs="宋体"/>
          <w:b w:val="0"/>
          <w:bCs w:val="0"/>
          <w:i w:val="0"/>
          <w:iCs w:val="0"/>
          <w:color w:val="000000"/>
          <w:sz w:val="24"/>
          <w:szCs w:val="24"/>
          <w:highlight w:val="none"/>
          <w:u w:val="single"/>
          <w:lang w:val="en-US" w:eastAsia="zh-CN"/>
        </w:rPr>
        <w:t xml:space="preserve">点</w:t>
      </w:r>
      <w:r>
        <w:rPr>
          <w:rFonts w:hint="eastAsia" w:ascii="宋体" w:hAnsi="宋体" w:cs="宋体"/>
          <w:b w:val="0"/>
          <w:bCs w:val="0"/>
          <w:i w:val="0"/>
          <w:iCs w:val="0"/>
          <w:color w:val="000000"/>
          <w:sz w:val="24"/>
          <w:szCs w:val="24"/>
          <w:highlight w:val="none"/>
          <w:u w:val="single"/>
          <w:lang w:val="en-US" w:eastAsia="zh-CN"/>
        </w:rPr>
        <w:t xml:space="preserve"> 00</w:t>
      </w:r>
      <w:r>
        <w:rPr>
          <w:rFonts w:hint="eastAsia" w:ascii="宋体" w:hAnsi="宋体" w:eastAsia="宋体" w:cs="宋体"/>
          <w:b w:val="0"/>
          <w:bCs w:val="0"/>
          <w:i w:val="0"/>
          <w:iCs w:val="0"/>
          <w:color w:val="000000"/>
          <w:sz w:val="24"/>
          <w:szCs w:val="24"/>
          <w:highlight w:val="none"/>
          <w:u w:val="single"/>
          <w:lang w:val="en-US" w:eastAsia="zh-CN"/>
        </w:rPr>
        <w:t xml:space="preserve">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9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：JSZC-320723-JSYZ-G2024-0010</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连云港市灌云县大气环境监测能力提升项目（专门面向中小企业）</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、预算金额：人民币</w:t>
      </w:r>
      <w:r>
        <w:rPr>
          <w:rFonts w:hint="eastAsia" w:ascii="宋体" w:hAnsi="宋体" w:cs="宋体"/>
          <w:sz w:val="24"/>
          <w:highlight w:val="none"/>
          <w:lang w:val="en-US" w:eastAsia="zh-CN"/>
        </w:rPr>
        <w:t xml:space="preserve">480</w:t>
      </w:r>
      <w:r>
        <w:rPr>
          <w:rFonts w:hint="eastAsia" w:ascii="宋体" w:hAnsi="宋体" w:eastAsia="宋体" w:cs="宋体"/>
          <w:sz w:val="24"/>
          <w:highlight w:val="none"/>
          <w:lang w:eastAsia="zh-CN"/>
        </w:rPr>
        <w:t xml:space="preserve">万元</w:t>
      </w:r>
      <w:r>
        <w:rPr>
          <w:rFonts w:hint="eastAsia" w:ascii="宋体" w:hAnsi="宋体" w:cs="宋体"/>
          <w:sz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、最高限价：</w:t>
      </w:r>
      <w:bookmarkStart w:id="6" w:name="OLE_LINK10"/>
      <w:r>
        <w:rPr>
          <w:rFonts w:hint="eastAsia" w:ascii="宋体" w:hAnsi="宋体" w:eastAsia="宋体" w:cs="宋体"/>
          <w:sz w:val="24"/>
          <w:highlight w:val="none"/>
          <w:lang w:eastAsia="zh-CN"/>
        </w:rPr>
        <w:t xml:space="preserve">人民币</w:t>
      </w:r>
      <w:r>
        <w:rPr>
          <w:rFonts w:hint="eastAsia" w:ascii="宋体" w:hAnsi="宋体" w:cs="宋体"/>
          <w:sz w:val="24"/>
          <w:highlight w:val="none"/>
          <w:lang w:val="en-US" w:eastAsia="zh-CN"/>
        </w:rPr>
        <w:t xml:space="preserve">480</w:t>
      </w:r>
      <w:r>
        <w:rPr>
          <w:rFonts w:hint="eastAsia" w:ascii="宋体" w:hAnsi="宋体" w:eastAsia="宋体" w:cs="宋体"/>
          <w:sz w:val="24"/>
          <w:highlight w:val="none"/>
          <w:lang w:eastAsia="zh-CN"/>
        </w:rPr>
        <w:t xml:space="preserve">万元，投标报价超出最高限价的按无效响应处理。</w:t>
      </w:r>
      <w:bookmarkEnd w:id="6"/>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、采购需求</w:t>
      </w:r>
      <w:r>
        <w:rPr>
          <w:rFonts w:hint="eastAsia" w:ascii="宋体" w:hAnsi="宋体" w:eastAsia="宋体" w:cs="宋体"/>
          <w:color w:val="000000"/>
          <w:sz w:val="24"/>
          <w:szCs w:val="24"/>
          <w:highlight w:val="none"/>
        </w:rPr>
        <w:t xml:space="preserve">（简介）</w:t>
      </w:r>
      <w:r>
        <w:rPr>
          <w:rFonts w:hint="eastAsia" w:ascii="宋体" w:hAnsi="宋体" w:eastAsia="宋体" w:cs="宋体"/>
          <w:sz w:val="24"/>
          <w:highlight w:val="none"/>
        </w:rPr>
        <w:t xml:space="preserve">：为进一步科学有效完成大气污染防治和污染溯源工作，提升大气环境监测能力，连云港市灌云生态环境局拟采购大气环境监测设备及相关技术服务</w:t>
      </w:r>
      <w:r>
        <w:rPr>
          <w:rFonts w:hint="eastAsia" w:ascii="宋体" w:hAnsi="宋体" w:cs="宋体"/>
          <w:sz w:val="24"/>
          <w:highlight w:val="none"/>
          <w:lang w:val="en-US" w:eastAsia="zh-CN"/>
        </w:rPr>
        <w:t xml:space="preserve">，大气环境监测设备包含车载挥发性有机物监测系统、便携式常规七参数监测仪、颗粒物激光雷达、道路积尘负荷监测仪；相关技术服务包含走航车辆保障服务、走航技术服务、大气污染物源解析服务。</w:t>
      </w:r>
      <w:r>
        <w:rPr>
          <w:rFonts w:hint="eastAsia" w:ascii="宋体" w:hAnsi="宋体" w:eastAsia="宋体" w:cs="宋体"/>
          <w:color w:val="000000" w:themeColor="text1"/>
          <w:sz w:val="24"/>
          <w:highlight w:val="none"/>
          <w14:textFill>
            <w14:solidFill>
              <w14:schemeClr w14:val="tx1"/>
            </w14:solidFill>
          </w14:textFill>
        </w:rPr>
        <w:t xml:space="preserve">具体详见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文件第四章采购需求。</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7、合同履行期限：</w:t>
      </w:r>
      <w:r>
        <w:rPr>
          <w:rFonts w:hint="eastAsia" w:ascii="Times New Roman" w:hAnsi="Times New Roman" w:eastAsia="宋体"/>
          <w:sz w:val="24"/>
          <w:highlight w:val="none"/>
        </w:rPr>
        <w:t xml:space="preserve">自合同签订之日起90日历天内完成大气环境监测设备供货并通过验收、交付使用。自验收合格之日起提供1年的走航技术服务。根据灌云县大气环境实际情况，按采购人要求提供大气污染物源解析服务。走航车辆保障服务需按采购人要求覆盖整个项目周期，直至</w:t>
      </w:r>
      <w:r>
        <w:rPr>
          <w:rFonts w:hint="eastAsia" w:ascii="Times New Roman" w:hAnsi="Times New Roman"/>
          <w:sz w:val="24"/>
          <w:highlight w:val="none"/>
          <w:lang w:val="en-US" w:eastAsia="zh-CN"/>
        </w:rPr>
        <w:t xml:space="preserve">本</w:t>
      </w:r>
      <w:r>
        <w:rPr>
          <w:rFonts w:hint="eastAsia" w:ascii="Times New Roman" w:hAnsi="Times New Roman" w:eastAsia="宋体"/>
          <w:sz w:val="24"/>
          <w:highlight w:val="none"/>
        </w:rPr>
        <w:t xml:space="preserve">项目走航技术服务期结束。</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8、本项目（是/否）接受联合体：不接受联合体。</w:t>
      </w:r>
      <w:r/>
    </w:p>
    <w:p>
      <w:pPr>
        <w:pStyle w:val="79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9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7" w:name="_Toc28359004"/>
      <w:r/>
      <w:bookmarkStart w:id="8" w:name="_Toc28359081"/>
      <w:r/>
      <w:bookmarkStart w:id="9" w:name="_Toc38985265"/>
      <w:r/>
      <w:bookmarkStart w:id="10" w:name="_Toc35393792"/>
      <w:r/>
      <w:bookmarkStart w:id="11" w:name="_Toc35393623"/>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7"/>
      <w:bookmarkEnd w:id="8"/>
      <w:bookmarkEnd w:id="9"/>
      <w:bookmarkEnd w:id="10"/>
      <w:bookmarkEnd w:id="11"/>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招标文件</w:t>
      </w:r>
      <w:r>
        <w:rPr>
          <w:rFonts w:hint="eastAsia"/>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94"/>
        <w:ind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ascii="宋体" w:hAnsi="宋体" w:eastAsia="宋体" w:cs="宋体"/>
          <w:b w:val="0"/>
          <w:bCs w:val="0"/>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pStyle w:val="79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）本项目的特定资格要求：</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94"/>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w:t>
      </w:r>
      <w:r>
        <w:rPr>
          <w:rFonts w:hint="eastAsia" w:ascii="宋体" w:hAnsi="宋体" w:cs="宋体"/>
          <w:sz w:val="24"/>
          <w:szCs w:val="28"/>
          <w:highlight w:val="none"/>
          <w:lang w:val="en-US" w:eastAsia="zh-CN"/>
        </w:rPr>
        <w:t xml:space="preserve">2</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法律、法规规定的其他条件。</w:t>
      </w:r>
      <w:r/>
    </w:p>
    <w:p>
      <w:pPr>
        <w:pStyle w:val="79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2" w:name="_Toc35393632"/>
      <w:r/>
      <w:bookmarkStart w:id="13" w:name="_Toc28359092"/>
      <w:r/>
      <w:bookmarkStart w:id="14" w:name="_Toc28359015"/>
      <w:r/>
      <w:bookmarkStart w:id="15" w:name="_Toc35393801"/>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日至202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时59分止（北京时间）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在“江苏政府采购网”自行免费下载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ind w:firstLine="321"/>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rPr>
        <w:t xml:space="preserve">四、</w:t>
      </w:r>
      <w:bookmarkEnd w:id="12"/>
      <w:r/>
      <w:bookmarkEnd w:id="13"/>
      <w:r/>
      <w:bookmarkEnd w:id="14"/>
      <w:r/>
      <w:bookmarkEnd w:id="15"/>
      <w:r>
        <w:rPr>
          <w:rFonts w:hint="eastAsia" w:ascii="宋体" w:hAnsi="宋体" w:eastAsia="宋体" w:cs="宋体"/>
          <w:b/>
          <w:bCs/>
          <w:sz w:val="32"/>
          <w:szCs w:val="32"/>
          <w:highlight w:val="none"/>
          <w:lang w:val="en-US" w:eastAsia="zh-CN"/>
        </w:rPr>
        <w:t xml:space="preserve">投标文件提交</w:t>
      </w:r>
      <w:r/>
    </w:p>
    <w:p>
      <w:pPr>
        <w:ind w:firstLine="480"/>
        <w:jc w:val="left"/>
        <w:spacing w:line="360" w:lineRule="auto"/>
        <w:rPr>
          <w:rFonts w:hint="eastAsia" w:ascii="宋体" w:hAnsi="宋体" w:eastAsia="宋体" w:cs="宋体"/>
          <w:sz w:val="24"/>
          <w:szCs w:val="24"/>
          <w:highlight w:val="none"/>
        </w:rPr>
      </w:pPr>
      <w:r/>
      <w:bookmarkStart w:id="16" w:name="_Toc20177"/>
      <w:r/>
      <w:bookmarkStart w:id="17" w:name="_Toc28359017"/>
      <w:r/>
      <w:bookmarkStart w:id="18" w:name="_Toc35393803"/>
      <w:r/>
      <w:bookmarkStart w:id="19" w:name="_Toc35393634"/>
      <w:r/>
      <w:bookmarkStart w:id="20" w:name="_Toc28359094"/>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提交投标文件截止时间</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sz w:val="24"/>
          <w:szCs w:val="24"/>
          <w:highlight w:val="none"/>
        </w:rPr>
        <w:t xml:space="preserve">202</w:t>
      </w:r>
      <w:r>
        <w:rPr>
          <w:rFonts w:hint="eastAsia" w:ascii="宋体" w:hAnsi="宋体" w:eastAsia="宋体" w:cs="宋体"/>
          <w:b w:val="0"/>
          <w:sz w:val="24"/>
          <w:szCs w:val="24"/>
          <w:highlight w:val="none"/>
          <w:lang w:val="en-US" w:eastAsia="zh-CN"/>
        </w:rPr>
        <w:t xml:space="preserve">4</w:t>
      </w:r>
      <w:r>
        <w:rPr>
          <w:rFonts w:hint="eastAsia" w:ascii="宋体" w:hAnsi="宋体" w:eastAsia="宋体" w:cs="宋体"/>
          <w:b w:val="0"/>
          <w:sz w:val="24"/>
          <w:szCs w:val="24"/>
          <w:highlight w:val="none"/>
        </w:rPr>
        <w:t xml:space="preserve">年</w:t>
      </w:r>
      <w:r>
        <w:rPr>
          <w:rFonts w:hint="eastAsia" w:ascii="宋体" w:hAnsi="宋体" w:cs="宋体"/>
          <w:b w:val="0"/>
          <w:sz w:val="24"/>
          <w:szCs w:val="24"/>
          <w:highlight w:val="none"/>
          <w:lang w:val="en-US" w:eastAsia="zh-CN"/>
        </w:rPr>
        <w:t xml:space="preserve">12</w:t>
      </w:r>
      <w:r>
        <w:rPr>
          <w:rFonts w:hint="eastAsia" w:ascii="宋体" w:hAnsi="宋体" w:eastAsia="宋体" w:cs="宋体"/>
          <w:b w:val="0"/>
          <w:sz w:val="24"/>
          <w:szCs w:val="24"/>
          <w:highlight w:val="none"/>
        </w:rPr>
        <w:t xml:space="preserve">月</w:t>
      </w:r>
      <w:r>
        <w:rPr>
          <w:rFonts w:hint="eastAsia" w:ascii="宋体" w:hAnsi="宋体" w:cs="宋体"/>
          <w:b w:val="0"/>
          <w:sz w:val="24"/>
          <w:szCs w:val="24"/>
          <w:highlight w:val="none"/>
          <w:lang w:val="en-US" w:eastAsia="zh-CN"/>
        </w:rPr>
        <w:t xml:space="preserve">05</w:t>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10</w:t>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r>
        <w:rPr>
          <w:rFonts w:hint="eastAsia" w:ascii="宋体" w:hAnsi="宋体" w:eastAsia="宋体" w:cs="宋体"/>
          <w:b w:val="0"/>
          <w:sz w:val="24"/>
          <w:szCs w:val="24"/>
          <w:highlight w:val="none"/>
          <w:lang w:eastAsia="zh-CN"/>
        </w:rPr>
        <w:t xml:space="preserve">。</w:t>
      </w:r>
      <w:bookmarkEnd w:id="16"/>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p>
    <w:p>
      <w:pPr>
        <w:numPr>
          <w:ilvl w:val="0"/>
          <w:numId w:val="0"/>
        </w:numPr>
        <w:ind w:firstLine="321"/>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bidi="ar-SA"/>
        </w:rPr>
        <w:t xml:space="preserve">五、</w:t>
      </w:r>
      <w:r>
        <w:rPr>
          <w:rFonts w:hint="eastAsia" w:ascii="宋体" w:hAnsi="宋体" w:eastAsia="宋体" w:cs="宋体"/>
          <w:b/>
          <w:sz w:val="32"/>
          <w:szCs w:val="32"/>
          <w:highlight w:val="none"/>
          <w:lang w:val="en-US" w:eastAsia="zh-CN"/>
        </w:rPr>
        <w:t xml:space="preserve">开启</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时间：</w:t>
      </w:r>
      <w:r>
        <w:rPr>
          <w:rFonts w:hint="eastAsia" w:ascii="宋体" w:hAnsi="宋体" w:eastAsia="宋体" w:cs="宋体"/>
          <w:b w:val="0"/>
          <w:bCs w:val="0"/>
          <w:i w:val="0"/>
          <w:iCs w:val="0"/>
          <w:color w:val="auto"/>
          <w:sz w:val="24"/>
          <w:szCs w:val="24"/>
          <w:highlight w:val="none"/>
        </w:rPr>
        <w:t xml:space="preserve">202</w:t>
      </w:r>
      <w:r>
        <w:rPr>
          <w:rFonts w:hint="eastAsia" w:ascii="宋体" w:hAnsi="宋体" w:eastAsia="宋体" w:cs="宋体"/>
          <w:b w:val="0"/>
          <w:bCs w:val="0"/>
          <w:i w:val="0"/>
          <w:iCs w:val="0"/>
          <w:color w:val="auto"/>
          <w:sz w:val="24"/>
          <w:szCs w:val="24"/>
          <w:highlight w:val="none"/>
          <w:lang w:val="en-US" w:eastAsia="zh-CN"/>
        </w:rPr>
        <w:t xml:space="preserve">4</w:t>
      </w:r>
      <w:r>
        <w:rPr>
          <w:rFonts w:hint="eastAsia" w:ascii="宋体" w:hAnsi="宋体" w:eastAsia="宋体" w:cs="宋体"/>
          <w:b w:val="0"/>
          <w:bCs w:val="0"/>
          <w:i w:val="0"/>
          <w:iCs w:val="0"/>
          <w:color w:val="auto"/>
          <w:sz w:val="24"/>
          <w:szCs w:val="24"/>
          <w:highlight w:val="none"/>
        </w:rPr>
        <w:t xml:space="preserve">年</w:t>
      </w:r>
      <w:r>
        <w:rPr>
          <w:rFonts w:hint="eastAsia" w:ascii="宋体" w:hAnsi="宋体" w:cs="宋体"/>
          <w:b w:val="0"/>
          <w:bCs w:val="0"/>
          <w:i w:val="0"/>
          <w:iCs w:val="0"/>
          <w:color w:val="auto"/>
          <w:sz w:val="24"/>
          <w:szCs w:val="24"/>
          <w:highlight w:val="none"/>
          <w:lang w:val="en-US" w:eastAsia="zh-CN"/>
        </w:rPr>
        <w:t xml:space="preserve">12</w:t>
      </w:r>
      <w:r>
        <w:rPr>
          <w:rFonts w:hint="eastAsia" w:ascii="宋体" w:hAnsi="宋体" w:eastAsia="宋体" w:cs="宋体"/>
          <w:b w:val="0"/>
          <w:bCs w:val="0"/>
          <w:i w:val="0"/>
          <w:iCs w:val="0"/>
          <w:color w:val="auto"/>
          <w:sz w:val="24"/>
          <w:szCs w:val="24"/>
          <w:highlight w:val="none"/>
        </w:rPr>
        <w:t xml:space="preserve">月</w:t>
      </w:r>
      <w:r>
        <w:rPr>
          <w:rFonts w:hint="eastAsia" w:ascii="宋体" w:hAnsi="宋体" w:cs="宋体"/>
          <w:b w:val="0"/>
          <w:bCs w:val="0"/>
          <w:i w:val="0"/>
          <w:iCs w:val="0"/>
          <w:color w:val="auto"/>
          <w:sz w:val="24"/>
          <w:szCs w:val="24"/>
          <w:highlight w:val="none"/>
          <w:lang w:val="en-US" w:eastAsia="zh-CN"/>
        </w:rPr>
        <w:t xml:space="preserve">05</w:t>
      </w:r>
      <w:r>
        <w:rPr>
          <w:rFonts w:hint="eastAsia" w:ascii="宋体" w:hAnsi="宋体" w:eastAsia="宋体" w:cs="宋体"/>
          <w:b w:val="0"/>
          <w:bCs w:val="0"/>
          <w:i w:val="0"/>
          <w:iCs w:val="0"/>
          <w:color w:val="auto"/>
          <w:sz w:val="24"/>
          <w:szCs w:val="24"/>
          <w:highlight w:val="none"/>
        </w:rPr>
        <w:t xml:space="preserve">日</w:t>
      </w:r>
      <w:r>
        <w:rPr>
          <w:rFonts w:hint="eastAsia" w:ascii="宋体" w:hAnsi="宋体" w:cs="宋体"/>
          <w:b w:val="0"/>
          <w:bCs w:val="0"/>
          <w:i w:val="0"/>
          <w:iCs w:val="0"/>
          <w:color w:val="auto"/>
          <w:sz w:val="24"/>
          <w:szCs w:val="24"/>
          <w:highlight w:val="none"/>
          <w:lang w:val="en-US" w:eastAsia="zh-CN"/>
        </w:rPr>
        <w:t xml:space="preserve">10</w:t>
      </w:r>
      <w:r>
        <w:rPr>
          <w:rFonts w:hint="eastAsia" w:ascii="宋体" w:hAnsi="宋体" w:eastAsia="宋体" w:cs="宋体"/>
          <w:b w:val="0"/>
          <w:bCs w:val="0"/>
          <w:i w:val="0"/>
          <w:iCs w:val="0"/>
          <w:color w:val="auto"/>
          <w:sz w:val="24"/>
          <w:szCs w:val="24"/>
          <w:highlight w:val="none"/>
        </w:rPr>
        <w:t xml:space="preserve">时</w:t>
      </w:r>
      <w:r>
        <w:rPr>
          <w:rFonts w:hint="eastAsia" w:ascii="宋体" w:hAnsi="宋体" w:eastAsia="宋体" w:cs="宋体"/>
          <w:b w:val="0"/>
          <w:bCs w:val="0"/>
          <w:i w:val="0"/>
          <w:iCs w:val="0"/>
          <w:color w:val="auto"/>
          <w:sz w:val="24"/>
          <w:szCs w:val="24"/>
          <w:highlight w:val="none"/>
          <w:lang w:val="en-US" w:eastAsia="zh-CN"/>
        </w:rPr>
        <w:t xml:space="preserve">00</w:t>
      </w:r>
      <w:r>
        <w:rPr>
          <w:rFonts w:hint="eastAsia" w:ascii="宋体" w:hAnsi="宋体" w:eastAsia="宋体" w:cs="宋体"/>
          <w:b w:val="0"/>
          <w:bCs w:val="0"/>
          <w:i w:val="0"/>
          <w:iCs w:val="0"/>
          <w:color w:val="auto"/>
          <w:sz w:val="24"/>
          <w:szCs w:val="24"/>
          <w:highlight w:val="none"/>
        </w:rPr>
        <w:t xml:space="preserve">分（北京时间）</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地点：灌云县公共资源交易中心灌云不见面开标</w:t>
      </w:r>
      <w:r>
        <w:rPr>
          <w:rFonts w:hint="eastAsia" w:ascii="宋体" w:hAnsi="宋体" w:cs="宋体"/>
          <w:b w:val="0"/>
          <w:bCs w:val="0"/>
          <w:i w:val="0"/>
          <w:iCs w:val="0"/>
          <w:color w:val="auto"/>
          <w:sz w:val="24"/>
          <w:szCs w:val="24"/>
          <w:highlight w:val="none"/>
          <w:lang w:val="en-US" w:eastAsia="zh-CN"/>
        </w:rPr>
        <w:t xml:space="preserve">六</w:t>
      </w:r>
      <w:r>
        <w:rPr>
          <w:rFonts w:hint="eastAsia" w:ascii="宋体" w:hAnsi="宋体" w:eastAsia="宋体" w:cs="宋体"/>
          <w:b w:val="0"/>
          <w:bCs w:val="0"/>
          <w:i w:val="0"/>
          <w:iCs w:val="0"/>
          <w:color w:val="auto"/>
          <w:sz w:val="24"/>
          <w:szCs w:val="24"/>
          <w:highlight w:val="none"/>
          <w:lang w:val="en-US" w:eastAsia="zh-CN"/>
        </w:rPr>
        <w:t xml:space="preserve">室</w:t>
      </w:r>
      <w:r/>
    </w:p>
    <w:p>
      <w:pPr>
        <w:pStyle w:val="802"/>
        <w:numPr>
          <w:ilvl w:val="0"/>
          <w:numId w:val="0"/>
        </w:numPr>
        <w:ind w:firstLine="321"/>
        <w:spacing w:line="360" w:lineRule="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六</w:t>
      </w:r>
      <w:r>
        <w:rPr>
          <w:rFonts w:hint="eastAsia" w:ascii="宋体" w:hAnsi="宋体" w:eastAsia="宋体" w:cs="宋体"/>
          <w:b/>
          <w:sz w:val="32"/>
          <w:szCs w:val="32"/>
          <w:highlight w:val="none"/>
        </w:rPr>
        <w:t xml:space="preserve">、</w:t>
      </w:r>
      <w:bookmarkEnd w:id="17"/>
      <w:r/>
      <w:bookmarkEnd w:id="18"/>
      <w:r/>
      <w:bookmarkEnd w:id="19"/>
      <w:r/>
      <w:bookmarkEnd w:id="20"/>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rPr>
          <w:rFonts w:hint="eastAsia" w:ascii="宋体" w:hAnsi="宋体" w:eastAsia="宋体" w:cs="宋体"/>
          <w:color w:val="000000"/>
          <w:sz w:val="24"/>
          <w:szCs w:val="24"/>
          <w:highlight w:val="none"/>
        </w:rPr>
      </w:pPr>
      <w:r/>
      <w:bookmarkStart w:id="21" w:name="_Toc35393626"/>
      <w:r/>
      <w:bookmarkStart w:id="22" w:name="_Toc38985268"/>
      <w:r/>
      <w:bookmarkStart w:id="23" w:name="_Toc35393795"/>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1"/>
      <w:r/>
      <w:bookmarkEnd w:id="22"/>
      <w:r/>
      <w:bookmarkEnd w:id="23"/>
      <w:r/>
      <w:bookmarkStart w:id="24" w:name="_Toc35393635"/>
      <w:r/>
      <w:bookmarkStart w:id="25" w:name="_Toc35393804"/>
      <w:r/>
      <w:r/>
    </w:p>
    <w:p>
      <w:pPr>
        <w:numPr>
          <w:ilvl w:val="0"/>
          <w:numId w:val="0"/>
        </w:numPr>
        <w:ind w:firstLine="321"/>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七、其他补充事宜</w:t>
      </w:r>
      <w:bookmarkEnd w:id="24"/>
      <w:r/>
      <w:bookmarkEnd w:id="25"/>
      <w:r/>
      <w:r/>
    </w:p>
    <w:p>
      <w:pPr>
        <w:ind w:firstLine="480"/>
        <w:jc w:val="left"/>
        <w:spacing w:line="360" w:lineRule="auto"/>
        <w:shd w:val="clear" w:color="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p>
    <w:p>
      <w:pPr>
        <w:pStyle w:val="79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9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rPr>
        <w:t xml:space="preserve">3.无论出于何种原因，采购人在采购活动开始前可对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9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8"/>
          <w:highlight w:val="none"/>
          <w:lang w:val="en-US" w:eastAsia="zh-CN"/>
        </w:rPr>
        <w:t xml:space="preserve">4.特别提醒： </w:t>
      </w:r>
      <w:r/>
    </w:p>
    <w:p>
      <w:pPr>
        <w:pStyle w:val="8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94"/>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6" w:name="_Toc35393805"/>
      <w:r/>
      <w:bookmarkStart w:id="27" w:name="_Toc35393636"/>
      <w:r/>
      <w:bookmarkStart w:id="28" w:name="_Toc28359095"/>
      <w:r/>
      <w:bookmarkStart w:id="29" w:name="_Toc28359018"/>
      <w:r>
        <w:rPr>
          <w:rFonts w:hint="eastAsia" w:ascii="宋体" w:hAnsi="宋体" w:eastAsia="宋体" w:cs="宋体"/>
          <w:b/>
          <w:sz w:val="32"/>
          <w:szCs w:val="32"/>
          <w:highlight w:val="none"/>
          <w:lang w:val="en-US" w:eastAsia="zh-CN"/>
        </w:rPr>
        <w:t xml:space="preserve">八</w:t>
      </w:r>
      <w:r>
        <w:rPr>
          <w:rFonts w:hint="eastAsia" w:ascii="宋体" w:hAnsi="宋体" w:eastAsia="宋体" w:cs="宋体"/>
          <w:b/>
          <w:sz w:val="32"/>
          <w:szCs w:val="32"/>
          <w:highlight w:val="none"/>
        </w:rPr>
        <w:t xml:space="preserve">、</w:t>
      </w:r>
      <w:bookmarkEnd w:id="26"/>
      <w:r/>
      <w:bookmarkEnd w:id="27"/>
      <w:r/>
      <w:bookmarkEnd w:id="28"/>
      <w:r/>
      <w:bookmarkEnd w:id="29"/>
      <w:r>
        <w:rPr>
          <w:rFonts w:hint="eastAsia" w:ascii="宋体" w:hAnsi="宋体" w:eastAsia="宋体" w:cs="宋体"/>
          <w:b/>
          <w:sz w:val="32"/>
          <w:szCs w:val="32"/>
          <w:highlight w:val="none"/>
          <w:lang w:eastAsia="zh-CN"/>
        </w:rPr>
        <w:t xml:space="preserve">凡对本次采购提出询问，请按以下方式联系。</w:t>
      </w:r>
      <w:r/>
    </w:p>
    <w:p>
      <w:pPr>
        <w:ind w:firstLine="480"/>
        <w:jc w:val="left"/>
        <w:spacing w:line="360" w:lineRule="auto"/>
        <w:shd w:val="clear" w:color="auto"/>
        <w:rPr>
          <w:rFonts w:hint="eastAsia" w:ascii="宋体" w:hAnsi="宋体" w:eastAsia="宋体" w:cs="宋体"/>
          <w:sz w:val="24"/>
          <w:szCs w:val="24"/>
          <w:highlight w:val="none"/>
        </w:rPr>
      </w:pPr>
      <w:r/>
      <w:bookmarkStart w:id="30" w:name="_Toc28359096"/>
      <w:r/>
      <w:bookmarkStart w:id="31" w:name="_Toc28359019"/>
      <w:r/>
      <w:bookmarkStart w:id="32" w:name="_Toc35393637"/>
      <w:r/>
      <w:bookmarkStart w:id="33" w:name="_Toc35393806"/>
      <w:r>
        <w:rPr>
          <w:rFonts w:hint="eastAsia" w:ascii="宋体" w:hAnsi="宋体" w:eastAsia="宋体" w:cs="宋体"/>
          <w:sz w:val="24"/>
          <w:szCs w:val="24"/>
          <w:highlight w:val="none"/>
        </w:rPr>
        <w:t xml:space="preserve">1.采购人信息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连云港市灌云生态环境局</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灌云县胜利中路703号</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孙科长</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联系电话：19599952952</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江苏易章工程造价咨询有限公司 </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江苏省连云港市海州区凤凰大道1号港城新世界3号楼第四层401室   </w:t>
      </w:r>
      <w:r/>
    </w:p>
    <w:p>
      <w:pPr>
        <w:ind w:firstLine="480"/>
        <w:jc w:val="left"/>
        <w:spacing w:line="360" w:lineRule="auto"/>
        <w:shd w:val="clear" w:color="auto"/>
        <w:rPr>
          <w:rFonts w:hint="eastAsia" w:ascii="宋体" w:hAnsi="宋体" w:eastAsia="宋体" w:cs="宋体"/>
          <w:sz w:val="24"/>
          <w:szCs w:val="24"/>
          <w:highlight w:val="none"/>
          <w:lang w:val="en-US" w:eastAsia="zh-CN"/>
        </w:rPr>
      </w:pPr>
      <w:r/>
      <w:bookmarkStart w:id="34" w:name="_Toc28359021"/>
      <w:r/>
      <w:bookmarkStart w:id="35" w:name="_Toc35393808"/>
      <w:r/>
      <w:bookmarkStart w:id="36" w:name="_Toc28359098"/>
      <w:r/>
      <w:bookmarkStart w:id="37" w:name="_Toc35393639"/>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吕新茹</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cs="宋体"/>
          <w:sz w:val="24"/>
          <w:szCs w:val="24"/>
          <w:highlight w:val="none"/>
          <w:lang w:val="en-US" w:eastAsia="zh-CN"/>
        </w:rPr>
        <w:t xml:space="preserve">18795507535</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4"/>
      <w:r/>
      <w:bookmarkEnd w:id="35"/>
      <w:r/>
      <w:bookmarkEnd w:id="36"/>
      <w:r/>
      <w:bookmarkEnd w:id="37"/>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孙科长</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19599952952</w:t>
      </w:r>
      <w:bookmarkEnd w:id="30"/>
      <w:bookmarkEnd w:id="31"/>
      <w:bookmarkEnd w:id="32"/>
      <w:bookmarkEnd w:id="33"/>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firstLine="2429"/>
        <w:keepLines/>
        <w:keepNext/>
        <w:spacing w:before="260" w:after="260" w:line="416" w:lineRule="auto"/>
        <w:rPr>
          <w:rFonts w:hint="eastAsia" w:ascii="黑体" w:hAnsi="Arial" w:eastAsia="黑体" w:cs="Arial"/>
          <w:color w:val="auto"/>
          <w:sz w:val="44"/>
          <w:szCs w:val="44"/>
          <w:highlight w:val="none"/>
        </w:rPr>
        <w:outlineLvl w:val="0"/>
      </w:pPr>
      <w:r/>
      <w:bookmarkStart w:id="38" w:name="_Toc120614211"/>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38"/>
      <w:r/>
      <w:bookmarkStart w:id="39" w:name="_Toc120614213"/>
      <w:r/>
      <w:bookmarkStart w:id="40" w:name="_Toc20823274"/>
      <w:r/>
      <w:bookmarkStart w:id="41" w:name="_Toc513029202"/>
      <w:r/>
      <w:bookmarkStart w:id="42" w:name="_Toc16938518"/>
      <w:r>
        <w:rPr>
          <w:rFonts w:hint="eastAsia" w:ascii="黑体" w:hAnsi="Arial" w:eastAsia="黑体" w:cs="Arial"/>
          <w:b/>
          <w:bCs/>
          <w:color w:val="auto"/>
          <w:sz w:val="44"/>
          <w:szCs w:val="44"/>
          <w:highlight w:val="none"/>
        </w:rPr>
        <w:t xml:space="preserve">投标人须知</w:t>
      </w:r>
      <w:bookmarkEnd w:id="39"/>
      <w:r/>
      <w:bookmarkEnd w:id="40"/>
      <w:r/>
      <w:bookmarkEnd w:id="41"/>
      <w:r/>
      <w:bookmarkEnd w:id="42"/>
      <w:r/>
      <w:r/>
    </w:p>
    <w:p>
      <w:pPr>
        <w:keepLines/>
        <w:keepNext/>
        <w:spacing w:line="240" w:lineRule="auto"/>
        <w:rPr>
          <w:rFonts w:hint="eastAsia" w:ascii="宋体" w:hAnsi="宋体" w:eastAsia="宋体" w:cs="宋体"/>
          <w:b/>
          <w:bCs w:val="0"/>
          <w:color w:val="auto"/>
          <w:sz w:val="28"/>
          <w:szCs w:val="28"/>
          <w:highlight w:val="none"/>
        </w:rPr>
        <w:outlineLvl w:val="2"/>
      </w:pPr>
      <w:r/>
      <w:bookmarkStart w:id="43" w:name="_Toc120614214"/>
      <w:r/>
      <w:bookmarkStart w:id="44" w:name="_Toc513029203"/>
      <w:r/>
      <w:bookmarkStart w:id="45" w:name="_Toc20823275"/>
      <w:r/>
      <w:bookmarkStart w:id="46" w:name="_Toc16938519"/>
      <w:r>
        <w:rPr>
          <w:rFonts w:hint="eastAsia" w:ascii="宋体" w:hAnsi="宋体" w:eastAsia="宋体" w:cs="宋体"/>
          <w:b/>
          <w:bCs w:val="0"/>
          <w:color w:val="auto"/>
          <w:sz w:val="28"/>
          <w:szCs w:val="28"/>
          <w:highlight w:val="none"/>
        </w:rPr>
        <w:t xml:space="preserve">一、总则</w:t>
      </w:r>
      <w:bookmarkEnd w:id="43"/>
      <w:r/>
      <w:bookmarkEnd w:id="44"/>
      <w:r/>
      <w:bookmarkEnd w:id="45"/>
      <w:r/>
      <w:bookmarkEnd w:id="46"/>
      <w:r/>
      <w:r/>
    </w:p>
    <w:p>
      <w:pPr>
        <w:keepLines/>
        <w:keepNext/>
        <w:spacing w:line="240" w:lineRule="auto"/>
        <w:rPr>
          <w:rFonts w:hint="eastAsia" w:ascii="宋体" w:hAnsi="宋体" w:eastAsia="宋体" w:cs="宋体"/>
          <w:b/>
          <w:bCs w:val="0"/>
          <w:color w:val="auto"/>
          <w:sz w:val="28"/>
          <w:szCs w:val="28"/>
          <w:highlight w:val="none"/>
        </w:rPr>
        <w:outlineLvl w:val="2"/>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b/>
          <w:bCs w:val="0"/>
          <w:color w:val="auto"/>
          <w:sz w:val="28"/>
          <w:szCs w:val="28"/>
          <w:highlight w:val="none"/>
        </w:rPr>
        <w:t xml:space="preserve">1</w:t>
      </w:r>
      <w:bookmarkEnd w:id="48"/>
      <w:r>
        <w:rPr>
          <w:rFonts w:hint="eastAsia" w:ascii="宋体" w:hAnsi="宋体" w:eastAsia="宋体" w:cs="宋体"/>
          <w:b/>
          <w:bCs w:val="0"/>
          <w:color w:val="auto"/>
          <w:sz w:val="28"/>
          <w:szCs w:val="28"/>
          <w:highlight w:val="none"/>
        </w:rPr>
        <w:t xml:space="preserve">、招标方式</w:t>
      </w:r>
      <w:bookmarkEnd w:id="49"/>
      <w:r/>
      <w:bookmarkEnd w:id="50"/>
      <w:r/>
      <w:bookmarkEnd w:id="51"/>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keepLines/>
        <w:keepNext/>
        <w:spacing w:line="240" w:lineRule="auto"/>
        <w:rPr>
          <w:rFonts w:hint="eastAsia" w:ascii="宋体" w:hAnsi="宋体" w:eastAsia="宋体" w:cs="宋体"/>
          <w:b/>
          <w:bCs w:val="0"/>
          <w:color w:val="auto"/>
          <w:sz w:val="28"/>
          <w:szCs w:val="28"/>
          <w:highlight w:val="none"/>
        </w:rPr>
        <w:outlineLvl w:val="2"/>
      </w:pPr>
      <w:r/>
      <w:bookmarkStart w:id="52" w:name="_Toc20823277"/>
      <w:r/>
      <w:bookmarkStart w:id="53" w:name="_Toc16938521"/>
      <w:r/>
      <w:bookmarkStart w:id="54" w:name="_Toc513029205"/>
      <w:r>
        <w:rPr>
          <w:rFonts w:hint="eastAsia" w:ascii="宋体" w:hAnsi="宋体" w:eastAsia="宋体" w:cs="宋体"/>
          <w:b/>
          <w:bCs w:val="0"/>
          <w:color w:val="auto"/>
          <w:sz w:val="28"/>
          <w:szCs w:val="28"/>
          <w:highlight w:val="none"/>
        </w:rPr>
        <w:t xml:space="preserve">2、合格的投标人</w:t>
      </w:r>
      <w:bookmarkEnd w:id="52"/>
      <w:r/>
      <w:bookmarkEnd w:id="53"/>
      <w:r/>
      <w:bookmarkEnd w:id="54"/>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keepLines/>
        <w:keepNext/>
        <w:spacing w:line="240" w:lineRule="auto"/>
        <w:rPr>
          <w:rFonts w:hint="eastAsia" w:ascii="宋体" w:hAnsi="宋体" w:eastAsia="宋体" w:cs="宋体"/>
          <w:b/>
          <w:bCs w:val="0"/>
          <w:color w:val="auto"/>
          <w:sz w:val="28"/>
          <w:szCs w:val="28"/>
          <w:highlight w:val="none"/>
        </w:rPr>
        <w:outlineLvl w:val="2"/>
      </w:pPr>
      <w:r/>
      <w:bookmarkStart w:id="55" w:name="_Toc513029206"/>
      <w:r/>
      <w:bookmarkStart w:id="56" w:name="_Toc16938522"/>
      <w:r/>
      <w:bookmarkStart w:id="57" w:name="_Toc20823278"/>
      <w:r>
        <w:rPr>
          <w:rFonts w:hint="eastAsia" w:ascii="宋体" w:hAnsi="宋体" w:eastAsia="宋体" w:cs="宋体"/>
          <w:b/>
          <w:bCs w:val="0"/>
          <w:color w:val="auto"/>
          <w:sz w:val="28"/>
          <w:szCs w:val="28"/>
          <w:highlight w:val="none"/>
        </w:rPr>
        <w:t xml:space="preserve">3、适用法律</w:t>
      </w:r>
      <w:bookmarkEnd w:id="55"/>
      <w:r/>
      <w:bookmarkEnd w:id="56"/>
      <w:r/>
      <w:bookmarkEnd w:id="57"/>
      <w:r/>
      <w:r/>
    </w:p>
    <w:p>
      <w:pPr>
        <w:ind w:firstLine="42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keepLines/>
        <w:keepNext/>
        <w:spacing w:line="240" w:lineRule="auto"/>
        <w:rPr>
          <w:rFonts w:hint="eastAsia" w:ascii="宋体" w:hAnsi="宋体" w:eastAsia="宋体" w:cs="宋体"/>
          <w:b/>
          <w:bCs w:val="0"/>
          <w:color w:val="auto"/>
          <w:sz w:val="28"/>
          <w:szCs w:val="28"/>
          <w:highlight w:val="none"/>
        </w:rPr>
        <w:outlineLvl w:val="2"/>
      </w:pPr>
      <w:r/>
      <w:bookmarkStart w:id="58" w:name="_Toc20823279"/>
      <w:r/>
      <w:bookmarkStart w:id="59" w:name="_Toc513029207"/>
      <w:r/>
      <w:bookmarkStart w:id="60" w:name="_Toc16938523"/>
      <w:r/>
      <w:bookmarkStart w:id="61" w:name="_Toc462564067"/>
      <w:r>
        <w:rPr>
          <w:rFonts w:hint="eastAsia" w:ascii="宋体" w:hAnsi="宋体" w:eastAsia="宋体" w:cs="宋体"/>
          <w:b/>
          <w:bCs w:val="0"/>
          <w:color w:val="auto"/>
          <w:sz w:val="28"/>
          <w:szCs w:val="28"/>
          <w:highlight w:val="none"/>
        </w:rPr>
        <w:t xml:space="preserve">4、投标费用</w:t>
      </w:r>
      <w:bookmarkEnd w:id="58"/>
      <w:r/>
      <w:bookmarkEnd w:id="59"/>
      <w:r/>
      <w:bookmarkEnd w:id="60"/>
      <w:r/>
      <w:bookmarkEnd w:id="61"/>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keepLines/>
        <w:keepNext/>
        <w:spacing w:line="240" w:lineRule="auto"/>
        <w:rPr>
          <w:rFonts w:hint="eastAsia" w:ascii="宋体" w:hAnsi="宋体" w:eastAsia="宋体" w:cs="宋体"/>
          <w:b/>
          <w:bCs w:val="0"/>
          <w:color w:val="auto"/>
          <w:sz w:val="28"/>
          <w:szCs w:val="28"/>
          <w:highlight w:val="none"/>
        </w:rPr>
        <w:outlineLvl w:val="2"/>
      </w:pPr>
      <w:r/>
      <w:bookmarkStart w:id="62" w:name="_Toc16938525"/>
      <w:r/>
      <w:bookmarkStart w:id="63" w:name="_Toc513029209"/>
      <w:r/>
      <w:bookmarkStart w:id="64" w:name="_Toc120614215"/>
      <w:r/>
      <w:bookmarkStart w:id="65" w:name="_Toc20823281"/>
      <w:r>
        <w:rPr>
          <w:rFonts w:hint="eastAsia" w:ascii="宋体" w:hAnsi="宋体" w:eastAsia="宋体" w:cs="宋体"/>
          <w:b/>
          <w:bCs w:val="0"/>
          <w:color w:val="auto"/>
          <w:sz w:val="28"/>
          <w:szCs w:val="28"/>
          <w:highlight w:val="none"/>
        </w:rPr>
        <w:t xml:space="preserve">二、招标文件</w:t>
      </w:r>
      <w:bookmarkEnd w:id="62"/>
      <w:r/>
      <w:bookmarkEnd w:id="63"/>
      <w:r/>
      <w:bookmarkEnd w:id="64"/>
      <w:r/>
      <w:bookmarkEnd w:id="65"/>
      <w:r/>
      <w:bookmarkStart w:id="66" w:name="_Toc16938526"/>
      <w:r/>
      <w:bookmarkStart w:id="67" w:name="_Toc513029210"/>
      <w:r/>
      <w:bookmarkStart w:id="68" w:name="_Toc20823282"/>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6"/>
      <w:r/>
      <w:bookmarkEnd w:id="67"/>
      <w:r/>
      <w:bookmarkEnd w:id="68"/>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360" w:lineRule="auto"/>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240" w:lineRule="auto"/>
        <w:rPr>
          <w:rFonts w:hint="eastAsia" w:ascii="宋体" w:hAnsi="宋体" w:eastAsia="宋体" w:cs="宋体"/>
          <w:b/>
          <w:bCs w:val="0"/>
          <w:color w:val="auto"/>
          <w:sz w:val="28"/>
          <w:szCs w:val="28"/>
          <w:highlight w:val="none"/>
        </w:rPr>
        <w:outlineLvl w:val="2"/>
      </w:pPr>
      <w:r/>
      <w:bookmarkStart w:id="69" w:name="_Toc16938527"/>
      <w:r/>
      <w:bookmarkStart w:id="70" w:name="_Toc513029211"/>
      <w:r/>
      <w:bookmarkStart w:id="71" w:name="_Toc20823283"/>
      <w:r/>
      <w:bookmarkStart w:id="72" w:name="_Toc462564070"/>
      <w:r>
        <w:rPr>
          <w:rFonts w:hint="eastAsia" w:ascii="宋体" w:hAnsi="宋体" w:eastAsia="宋体" w:cs="宋体"/>
          <w:b/>
          <w:bCs w:val="0"/>
          <w:color w:val="auto"/>
          <w:sz w:val="28"/>
          <w:szCs w:val="28"/>
          <w:highlight w:val="none"/>
        </w:rPr>
        <w:t xml:space="preserve">7、招标文件的澄清</w:t>
      </w:r>
      <w:bookmarkEnd w:id="69"/>
      <w:r/>
      <w:bookmarkEnd w:id="70"/>
      <w:r/>
      <w:bookmarkEnd w:id="71"/>
      <w:r/>
      <w:bookmarkEnd w:id="72"/>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按招标公告中的通讯地址，以书面形式通知采购代理机构。</w:t>
      </w:r>
      <w:r/>
    </w:p>
    <w:p>
      <w:pPr>
        <w:keepLines/>
        <w:keepNext/>
        <w:spacing w:line="240" w:lineRule="auto"/>
        <w:rPr>
          <w:rFonts w:hint="eastAsia" w:ascii="宋体" w:hAnsi="宋体" w:eastAsia="宋体" w:cs="宋体"/>
          <w:b/>
          <w:bCs w:val="0"/>
          <w:color w:val="auto"/>
          <w:sz w:val="28"/>
          <w:szCs w:val="28"/>
          <w:highlight w:val="none"/>
        </w:rPr>
        <w:outlineLvl w:val="2"/>
      </w:pPr>
      <w:r/>
      <w:bookmarkStart w:id="73" w:name="_Toc513029212"/>
      <w:r/>
      <w:bookmarkStart w:id="74" w:name="_Toc16938528"/>
      <w:r/>
      <w:bookmarkStart w:id="75" w:name="_Toc462564071"/>
      <w:r/>
      <w:bookmarkStart w:id="76" w:name="_Toc20823284"/>
      <w:r>
        <w:rPr>
          <w:rFonts w:hint="eastAsia" w:ascii="宋体" w:hAnsi="宋体" w:eastAsia="宋体" w:cs="宋体"/>
          <w:b/>
          <w:bCs w:val="0"/>
          <w:color w:val="auto"/>
          <w:sz w:val="28"/>
          <w:szCs w:val="28"/>
          <w:highlight w:val="none"/>
        </w:rPr>
        <w:t xml:space="preserve">8、招标文件的修改</w:t>
      </w:r>
      <w:bookmarkEnd w:id="73"/>
      <w:r/>
      <w:bookmarkEnd w:id="74"/>
      <w:r/>
      <w:bookmarkEnd w:id="75"/>
      <w:r/>
      <w:bookmarkEnd w:id="76"/>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，采购代理机构可以对招标文件进行修改。</w:t>
      </w:r>
      <w:r/>
    </w:p>
    <w:p>
      <w:pPr>
        <w:ind w:firstLine="480"/>
        <w:spacing w:line="500" w:lineRule="exact"/>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keepLines/>
        <w:keepNext/>
        <w:spacing w:line="240" w:lineRule="auto"/>
        <w:rPr>
          <w:rFonts w:hint="eastAsia" w:ascii="宋体" w:hAnsi="宋体" w:eastAsia="宋体" w:cs="宋体"/>
          <w:b/>
          <w:bCs w:val="0"/>
          <w:color w:val="auto"/>
          <w:sz w:val="28"/>
          <w:szCs w:val="28"/>
          <w:highlight w:val="none"/>
        </w:rPr>
        <w:outlineLvl w:val="2"/>
      </w:pPr>
      <w:r/>
      <w:bookmarkStart w:id="77" w:name="_Toc20823285"/>
      <w:r/>
      <w:bookmarkStart w:id="78" w:name="_Toc462564072"/>
      <w:r/>
      <w:bookmarkStart w:id="79" w:name="_Toc16938529"/>
      <w:r/>
      <w:bookmarkStart w:id="80" w:name="_Toc513029213"/>
      <w:r/>
      <w:bookmarkStart w:id="81" w:name="_Toc120614216"/>
      <w:r>
        <w:rPr>
          <w:rFonts w:hint="eastAsia" w:ascii="宋体" w:hAnsi="宋体" w:eastAsia="宋体" w:cs="宋体"/>
          <w:b/>
          <w:bCs w:val="0"/>
          <w:color w:val="auto"/>
          <w:sz w:val="28"/>
          <w:szCs w:val="28"/>
          <w:highlight w:val="none"/>
        </w:rPr>
        <w:t xml:space="preserve">三、投标文件的编制</w:t>
      </w:r>
      <w:bookmarkEnd w:id="77"/>
      <w:r/>
      <w:bookmarkEnd w:id="78"/>
      <w:r/>
      <w:bookmarkEnd w:id="79"/>
      <w:r/>
      <w:bookmarkEnd w:id="80"/>
      <w:r/>
      <w:bookmarkEnd w:id="81"/>
      <w:r/>
      <w:r/>
    </w:p>
    <w:p>
      <w:pPr>
        <w:keepLines/>
        <w:keepNext/>
        <w:spacing w:line="240" w:lineRule="auto"/>
        <w:rPr>
          <w:rFonts w:hint="eastAsia" w:ascii="宋体" w:hAnsi="宋体" w:eastAsia="宋体" w:cs="宋体"/>
          <w:b/>
          <w:bCs w:val="0"/>
          <w:color w:val="auto"/>
          <w:sz w:val="28"/>
          <w:szCs w:val="28"/>
          <w:highlight w:val="none"/>
        </w:rPr>
        <w:outlineLvl w:val="2"/>
      </w:pPr>
      <w:r/>
      <w:bookmarkStart w:id="82" w:name="_Toc16938530"/>
      <w:r/>
      <w:bookmarkStart w:id="83" w:name="_Toc513029214"/>
      <w:r/>
      <w:bookmarkStart w:id="84" w:name="_Toc462564073"/>
      <w:r/>
      <w:bookmarkStart w:id="85" w:name="_Toc20823286"/>
      <w:r>
        <w:rPr>
          <w:rFonts w:hint="eastAsia" w:ascii="宋体" w:hAnsi="宋体" w:eastAsia="宋体" w:cs="宋体"/>
          <w:b/>
          <w:bCs w:val="0"/>
          <w:color w:val="auto"/>
          <w:sz w:val="28"/>
          <w:szCs w:val="28"/>
          <w:highlight w:val="none"/>
        </w:rPr>
        <w:t xml:space="preserve">9、投标文件的语言及度量衡单位</w:t>
      </w:r>
      <w:bookmarkEnd w:id="82"/>
      <w:r/>
      <w:bookmarkEnd w:id="83"/>
      <w:r/>
      <w:bookmarkEnd w:id="84"/>
      <w:r/>
      <w:bookmarkEnd w:id="85"/>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keepLines/>
        <w:keepNext/>
        <w:spacing w:line="240" w:lineRule="auto"/>
        <w:rPr>
          <w:rFonts w:hint="eastAsia" w:ascii="宋体" w:hAnsi="宋体" w:eastAsia="宋体" w:cs="宋体"/>
          <w:b/>
          <w:bCs w:val="0"/>
          <w:color w:val="auto"/>
          <w:sz w:val="28"/>
          <w:szCs w:val="28"/>
          <w:highlight w:val="none"/>
        </w:rPr>
        <w:outlineLvl w:val="2"/>
      </w:pPr>
      <w:r/>
      <w:bookmarkStart w:id="86" w:name="_Toc513029215"/>
      <w:r/>
      <w:bookmarkStart w:id="87" w:name="_Toc462564074"/>
      <w:r/>
      <w:bookmarkStart w:id="88" w:name="_Toc20823287"/>
      <w:r/>
      <w:bookmarkStart w:id="89" w:name="_Toc16938531"/>
      <w:r>
        <w:rPr>
          <w:rFonts w:hint="eastAsia" w:ascii="宋体" w:hAnsi="宋体" w:eastAsia="宋体" w:cs="宋体"/>
          <w:b/>
          <w:bCs w:val="0"/>
          <w:color w:val="auto"/>
          <w:sz w:val="28"/>
          <w:szCs w:val="28"/>
          <w:highlight w:val="none"/>
        </w:rPr>
        <w:t xml:space="preserve">10、投标文件构成</w:t>
      </w:r>
      <w:bookmarkEnd w:id="86"/>
      <w:r/>
      <w:bookmarkEnd w:id="87"/>
      <w:r/>
      <w:bookmarkEnd w:id="88"/>
      <w:r/>
      <w:bookmarkEnd w:id="89"/>
      <w:r/>
      <w:r/>
    </w:p>
    <w:p>
      <w:pPr>
        <w:ind w:firstLine="480"/>
        <w:spacing w:line="44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w:t>
      </w:r>
      <w:r>
        <w:rPr>
          <w:rFonts w:hint="eastAsia" w:ascii="宋体" w:hAnsi="宋体"/>
          <w:color w:val="auto"/>
          <w:sz w:val="24"/>
          <w:szCs w:val="21"/>
          <w:highlight w:val="none"/>
          <w:lang w:eastAsia="zh-CN"/>
        </w:rPr>
        <w:t xml:space="preserve">投标产品配置及分项报价表</w:t>
      </w:r>
      <w:r>
        <w:rPr>
          <w:rFonts w:hint="eastAsia" w:ascii="宋体" w:hAnsi="宋体"/>
          <w:color w:val="auto"/>
          <w:sz w:val="24"/>
          <w:szCs w:val="21"/>
          <w:highlight w:val="none"/>
        </w:rPr>
        <w:t xml:space="preserve">、技术要求响应及偏离表、商务要求响应及偏离表、其他证明文件、投标函、开标一览表等部分。</w:t>
      </w:r>
      <w:r/>
    </w:p>
    <w:p>
      <w:pPr>
        <w:ind w:firstLine="480"/>
        <w:spacing w:line="440" w:lineRule="exact"/>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10.2 如标书制作工具中格式和内容与“江苏政府采购网”发布的招标文件不一致，请以“江苏政府采购网”发布的招标文件为准。</w:t>
      </w:r>
      <w:r/>
    </w:p>
    <w:p>
      <w:pPr>
        <w:keepLines/>
        <w:keepNext/>
        <w:spacing w:line="240" w:lineRule="auto"/>
        <w:rPr>
          <w:rFonts w:hint="eastAsia" w:ascii="宋体" w:hAnsi="宋体" w:eastAsia="宋体" w:cs="宋体"/>
          <w:b/>
          <w:bCs w:val="0"/>
          <w:color w:val="auto"/>
          <w:sz w:val="28"/>
          <w:szCs w:val="28"/>
          <w:highlight w:val="none"/>
        </w:rPr>
        <w:outlineLvl w:val="2"/>
      </w:pPr>
      <w:r/>
      <w:bookmarkStart w:id="90" w:name="_Hlt26670360"/>
      <w:r/>
      <w:bookmarkEnd w:id="90"/>
      <w:r/>
      <w:bookmarkStart w:id="91" w:name="_Hlt26954838"/>
      <w:r/>
      <w:bookmarkEnd w:id="91"/>
      <w:r/>
      <w:bookmarkStart w:id="92" w:name="_Hlt26668975"/>
      <w:r/>
      <w:bookmarkEnd w:id="92"/>
      <w:r/>
      <w:bookmarkStart w:id="93" w:name="_Toc14577357"/>
      <w:r/>
      <w:bookmarkStart w:id="94" w:name="_Toc49090509"/>
      <w:r/>
      <w:bookmarkStart w:id="95" w:name="_Toc513029219"/>
      <w:r/>
      <w:bookmarkStart w:id="96" w:name="_Toc49090507"/>
      <w:r/>
      <w:bookmarkStart w:id="97" w:name="_Toc14577354"/>
      <w:r/>
      <w:bookmarkStart w:id="98" w:name="_Toc513029216"/>
      <w:r/>
      <w:bookmarkStart w:id="99" w:name="_Toc14577355"/>
      <w:r/>
      <w:bookmarkStart w:id="100" w:name="_Toc49090508"/>
      <w:r>
        <w:rPr>
          <w:rFonts w:hint="eastAsia" w:ascii="宋体" w:hAnsi="宋体" w:eastAsia="宋体" w:cs="宋体"/>
          <w:b/>
          <w:bCs w:val="0"/>
          <w:color w:val="auto"/>
          <w:sz w:val="28"/>
          <w:szCs w:val="28"/>
          <w:highlight w:val="none"/>
        </w:rPr>
        <w:t xml:space="preserve">11、证明投标人及投标标的符合招标文件规定的文件</w:t>
      </w:r>
      <w:bookmarkEnd w:id="93"/>
      <w:r/>
      <w:bookmarkEnd w:id="94"/>
      <w:r/>
      <w:bookmarkEnd w:id="95"/>
      <w:r/>
      <w:bookmarkEnd w:id="96"/>
      <w:bookmarkEnd w:id="97"/>
      <w:bookmarkEnd w:id="98"/>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11.1 投标人应按照招标文件要求提交证明文件，证明其及投标标的符合招标文件规定。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99"/>
      <w:bookmarkEnd w:id="100"/>
      <w:r/>
    </w:p>
    <w:p>
      <w:pPr>
        <w:keepLines/>
        <w:keepNext/>
        <w:spacing w:line="240" w:lineRule="auto"/>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cs="宋体"/>
          <w:b/>
          <w:bCs w:val="0"/>
          <w:color w:val="auto"/>
          <w:sz w:val="28"/>
          <w:szCs w:val="28"/>
          <w:highlight w:val="none"/>
          <w:lang w:eastAsia="zh-CN"/>
        </w:rPr>
        <w:t xml:space="preserve">投标产品配置及分项报价表</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w:t>
      </w:r>
      <w:r>
        <w:rPr>
          <w:rFonts w:hint="eastAsia" w:ascii="宋体" w:hAnsi="宋体"/>
          <w:color w:val="auto"/>
          <w:sz w:val="24"/>
          <w:szCs w:val="21"/>
          <w:highlight w:val="none"/>
          <w:lang w:eastAsia="zh-CN"/>
        </w:rPr>
        <w:t xml:space="preserve">投标产品配置及分项报价表</w:t>
      </w:r>
      <w:r>
        <w:rPr>
          <w:rFonts w:hint="eastAsia" w:ascii="宋体" w:hAnsi="宋体"/>
          <w:color w:val="auto"/>
          <w:sz w:val="24"/>
          <w:szCs w:val="21"/>
          <w:highlight w:val="none"/>
        </w:rPr>
        <w:t xml:space="preserve">。</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keepLines/>
        <w:keepNext/>
        <w:spacing w:line="240" w:lineRule="auto"/>
        <w:rPr>
          <w:rFonts w:hint="eastAsia" w:ascii="宋体" w:hAnsi="宋体" w:eastAsia="宋体" w:cs="宋体"/>
          <w:b/>
          <w:bCs w:val="0"/>
          <w:color w:val="auto"/>
          <w:sz w:val="28"/>
          <w:szCs w:val="28"/>
          <w:highlight w:val="none"/>
        </w:rPr>
        <w:outlineLvl w:val="2"/>
      </w:pPr>
      <w:r/>
      <w:bookmarkStart w:id="101" w:name="_Hlt26954731"/>
      <w:r/>
      <w:bookmarkEnd w:id="101"/>
      <w:r/>
      <w:bookmarkStart w:id="102" w:name="_Hlt26954846"/>
      <w:r/>
      <w:bookmarkEnd w:id="102"/>
      <w:r/>
      <w:bookmarkStart w:id="103" w:name="_Hlt26954848"/>
      <w:r/>
      <w:bookmarkEnd w:id="103"/>
      <w:r/>
      <w:bookmarkStart w:id="104" w:name="_Hlt26670482"/>
      <w:r/>
      <w:bookmarkEnd w:id="104"/>
      <w:r/>
      <w:bookmarkStart w:id="105" w:name="_Hlt26670486"/>
      <w:r/>
      <w:bookmarkEnd w:id="105"/>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spacing w:line="500" w:lineRule="exact"/>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13.2投标人可在投标文件中提供认为需要的其他技术文件或说明。</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14、服务承诺、培训计划、人员安排及其他</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14.2投标人需根据招标文件要求提供培训计划。</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keepLines/>
        <w:keepNext/>
        <w:spacing w:line="240" w:lineRule="auto"/>
        <w:rPr>
          <w:rFonts w:hint="eastAsia" w:ascii="宋体" w:hAnsi="宋体" w:eastAsia="宋体" w:cs="宋体"/>
          <w:b/>
          <w:bCs w:val="0"/>
          <w:color w:val="auto"/>
          <w:sz w:val="28"/>
          <w:szCs w:val="28"/>
          <w:highlight w:val="none"/>
        </w:rPr>
        <w:outlineLvl w:val="2"/>
      </w:pPr>
      <w:r/>
      <w:bookmarkStart w:id="106" w:name="_Toc49090510"/>
      <w:r/>
      <w:bookmarkStart w:id="107" w:name="_Toc14577359"/>
      <w:r>
        <w:rPr>
          <w:rFonts w:hint="eastAsia" w:ascii="宋体" w:hAnsi="宋体" w:eastAsia="宋体" w:cs="宋体"/>
          <w:b/>
          <w:bCs w:val="0"/>
          <w:color w:val="auto"/>
          <w:sz w:val="28"/>
          <w:szCs w:val="28"/>
          <w:highlight w:val="none"/>
        </w:rPr>
        <w:t xml:space="preserve">15、投标函和开标一览表</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w:t>
      </w:r>
      <w:r>
        <w:rPr>
          <w:rFonts w:hint="eastAsia" w:ascii="宋体" w:hAnsi="宋体"/>
          <w:color w:val="auto"/>
          <w:sz w:val="24"/>
          <w:szCs w:val="21"/>
          <w:highlight w:val="none"/>
          <w:lang w:eastAsia="zh-CN"/>
        </w:rPr>
        <w:t xml:space="preserve">投标产品配置及分项报价表</w:t>
      </w:r>
      <w:r>
        <w:rPr>
          <w:rFonts w:hint="eastAsia" w:ascii="宋体" w:hAnsi="宋体"/>
          <w:color w:val="auto"/>
          <w:sz w:val="24"/>
          <w:szCs w:val="21"/>
          <w:highlight w:val="none"/>
        </w:rPr>
        <w:t xml:space="preserve">中的投标总报价一致，如不一致，不作为无效投标处理，但评标时按开标一览表中价格为准。</w:t>
      </w:r>
      <w:bookmarkEnd w:id="106"/>
      <w:bookmarkEnd w:id="107"/>
      <w:r/>
    </w:p>
    <w:p>
      <w:pPr>
        <w:keepLines/>
        <w:keepNext/>
        <w:spacing w:line="240" w:lineRule="auto"/>
        <w:rPr>
          <w:rFonts w:hint="eastAsia" w:ascii="宋体" w:hAnsi="宋体" w:eastAsia="宋体" w:cs="宋体"/>
          <w:b/>
          <w:bCs w:val="0"/>
          <w:color w:val="auto"/>
          <w:sz w:val="28"/>
          <w:szCs w:val="28"/>
          <w:highlight w:val="none"/>
        </w:rPr>
        <w:outlineLvl w:val="2"/>
      </w:pPr>
      <w:r/>
      <w:bookmarkStart w:id="108" w:name="_Toc49090511"/>
      <w:r/>
      <w:bookmarkStart w:id="109" w:name="_Toc14577360"/>
      <w:r>
        <w:rPr>
          <w:rFonts w:hint="eastAsia" w:ascii="宋体" w:hAnsi="宋体" w:eastAsia="宋体" w:cs="宋体"/>
          <w:b/>
          <w:bCs w:val="0"/>
          <w:color w:val="auto"/>
          <w:sz w:val="28"/>
          <w:szCs w:val="28"/>
          <w:highlight w:val="none"/>
        </w:rPr>
        <w:t xml:space="preserve">16、投标有效期</w:t>
      </w:r>
      <w:bookmarkEnd w:id="108"/>
      <w:r/>
      <w:bookmarkEnd w:id="109"/>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16.1投标有效期为采购代理机构规定的开标之日后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17、投标有效期的延长</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keepLines/>
        <w:keepNext/>
        <w:spacing w:line="240" w:lineRule="auto"/>
        <w:rPr>
          <w:rFonts w:hint="eastAsia" w:ascii="宋体" w:hAnsi="宋体" w:eastAsia="宋体" w:cs="宋体"/>
          <w:b/>
          <w:bCs w:val="0"/>
          <w:color w:val="auto"/>
          <w:sz w:val="28"/>
          <w:szCs w:val="28"/>
          <w:highlight w:val="none"/>
        </w:rPr>
        <w:outlineLvl w:val="2"/>
      </w:pPr>
      <w:r/>
      <w:bookmarkStart w:id="110" w:name="_Hlt26954852"/>
      <w:r/>
      <w:bookmarkEnd w:id="110"/>
      <w:r/>
      <w:bookmarkStart w:id="111" w:name="_Hlt26954739"/>
      <w:r/>
      <w:bookmarkEnd w:id="111"/>
      <w:r/>
      <w:bookmarkStart w:id="112" w:name="_Toc513029224"/>
      <w:r/>
      <w:bookmarkStart w:id="113" w:name="_Toc16938540"/>
      <w:r/>
      <w:bookmarkStart w:id="114" w:name="_Toc120614217"/>
      <w:r/>
      <w:bookmarkStart w:id="115" w:name="_Toc20823296"/>
      <w:r>
        <w:rPr>
          <w:rFonts w:hint="eastAsia" w:ascii="宋体" w:hAnsi="宋体" w:eastAsia="宋体" w:cs="宋体"/>
          <w:b/>
          <w:bCs w:val="0"/>
          <w:color w:val="auto"/>
          <w:sz w:val="28"/>
          <w:szCs w:val="28"/>
          <w:highlight w:val="none"/>
        </w:rPr>
        <w:t xml:space="preserve">四、投标文件的递交</w:t>
      </w:r>
      <w:bookmarkEnd w:id="112"/>
      <w:r/>
      <w:bookmarkEnd w:id="113"/>
      <w:r/>
      <w:bookmarkEnd w:id="114"/>
      <w:r/>
      <w:bookmarkEnd w:id="115"/>
      <w:r/>
      <w:r/>
    </w:p>
    <w:p>
      <w:pPr>
        <w:keepLines/>
        <w:keepNext/>
        <w:spacing w:line="240" w:lineRule="auto"/>
        <w:rPr>
          <w:rFonts w:hint="eastAsia" w:ascii="宋体" w:hAnsi="宋体" w:eastAsia="宋体" w:cs="宋体"/>
          <w:b/>
          <w:bCs w:val="0"/>
          <w:color w:val="auto"/>
          <w:sz w:val="28"/>
          <w:szCs w:val="28"/>
          <w:highlight w:val="none"/>
        </w:rPr>
        <w:outlineLvl w:val="2"/>
      </w:pPr>
      <w:r/>
      <w:bookmarkStart w:id="116" w:name="_Toc20823297"/>
      <w:r/>
      <w:bookmarkStart w:id="117" w:name="_Toc16938541"/>
      <w:r/>
      <w:bookmarkStart w:id="118" w:name="_Toc462564084"/>
      <w:r/>
      <w:bookmarkStart w:id="119" w:name="_Toc513029225"/>
      <w:r>
        <w:rPr>
          <w:rFonts w:hint="eastAsia" w:ascii="宋体" w:hAnsi="宋体" w:eastAsia="宋体" w:cs="宋体"/>
          <w:b/>
          <w:bCs w:val="0"/>
          <w:color w:val="auto"/>
          <w:sz w:val="28"/>
          <w:szCs w:val="28"/>
          <w:highlight w:val="none"/>
        </w:rPr>
        <w:t xml:space="preserve">18、电子投标文件</w:t>
      </w:r>
      <w:bookmarkEnd w:id="116"/>
      <w:r/>
      <w:bookmarkEnd w:id="117"/>
      <w:r/>
      <w:bookmarkEnd w:id="118"/>
      <w:r/>
      <w:bookmarkEnd w:id="119"/>
      <w:r>
        <w:rPr>
          <w:rFonts w:hint="eastAsia" w:ascii="宋体" w:hAnsi="宋体" w:eastAsia="宋体" w:cs="宋体"/>
          <w:b/>
          <w:bCs w:val="0"/>
          <w:color w:val="auto"/>
          <w:sz w:val="28"/>
          <w:szCs w:val="28"/>
          <w:highlight w:val="none"/>
        </w:rPr>
        <w:t xml:space="preserve">的递交</w:t>
      </w:r>
      <w:r/>
    </w:p>
    <w:p>
      <w:pPr>
        <w:ind w:left="525"/>
        <w:rPr>
          <w:rFonts w:hint="eastAsia"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20" w:name="_Toc16938542"/>
      <w:r/>
      <w:bookmarkStart w:id="121" w:name="_Toc20823298"/>
      <w:r/>
      <w:bookmarkStart w:id="122" w:name="_Toc513029226"/>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19、投标截止日期</w:t>
      </w:r>
      <w:bookmarkEnd w:id="120"/>
      <w:r/>
      <w:bookmarkEnd w:id="121"/>
      <w:r/>
      <w:bookmarkEnd w:id="122"/>
      <w:r/>
      <w:r/>
    </w:p>
    <w:p>
      <w:pPr>
        <w:ind w:firstLine="480"/>
        <w:spacing w:line="500" w:lineRule="exact"/>
        <w:rPr>
          <w:rFonts w:hint="eastAsia" w:ascii="宋体" w:hAnsi="宋体"/>
          <w:bCs/>
          <w:i/>
          <w:color w:val="auto"/>
          <w:sz w:val="24"/>
          <w:szCs w:val="21"/>
          <w:highlight w:val="none"/>
          <w:u w:val="single"/>
        </w:rPr>
      </w:pPr>
      <w:r>
        <w:rPr>
          <w:rFonts w:ascii="宋体" w:hAnsi="宋体"/>
          <w:i/>
          <w:color w:val="auto"/>
          <w:sz w:val="24"/>
          <w:szCs w:val="21"/>
          <w:highlight w:val="none"/>
          <w:u w:val="single"/>
        </w:rPr>
        <w:t xml:space="preserve">19</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p>
    <w:p>
      <w:pPr>
        <w:keepLines/>
        <w:keepNext/>
        <w:spacing w:line="240" w:lineRule="auto"/>
        <w:rPr>
          <w:rFonts w:hint="eastAsia" w:ascii="宋体" w:hAnsi="宋体" w:eastAsia="宋体" w:cs="宋体"/>
          <w:b/>
          <w:bCs w:val="0"/>
          <w:color w:val="auto"/>
          <w:sz w:val="28"/>
          <w:szCs w:val="28"/>
          <w:highlight w:val="none"/>
        </w:rPr>
        <w:outlineLvl w:val="2"/>
      </w:pPr>
      <w:r/>
      <w:bookmarkStart w:id="123" w:name="_Toc513029227"/>
      <w:r/>
      <w:bookmarkStart w:id="124" w:name="_Toc16938543"/>
      <w:r/>
      <w:bookmarkStart w:id="125" w:name="_Toc20823299"/>
      <w:r>
        <w:rPr>
          <w:rFonts w:hint="eastAsia" w:ascii="宋体" w:hAnsi="宋体" w:eastAsia="宋体" w:cs="宋体"/>
          <w:b/>
          <w:bCs w:val="0"/>
          <w:color w:val="auto"/>
          <w:sz w:val="28"/>
          <w:szCs w:val="28"/>
          <w:highlight w:val="none"/>
        </w:rPr>
        <w:t xml:space="preserve">20、投标文件</w:t>
      </w:r>
      <w:bookmarkEnd w:id="123"/>
      <w:r/>
      <w:bookmarkEnd w:id="124"/>
      <w:r/>
      <w:bookmarkEnd w:id="125"/>
      <w:r>
        <w:rPr>
          <w:rFonts w:hint="eastAsia" w:ascii="宋体" w:hAnsi="宋体" w:eastAsia="宋体" w:cs="宋体"/>
          <w:b/>
          <w:bCs w:val="0"/>
          <w:color w:val="auto"/>
          <w:sz w:val="28"/>
          <w:szCs w:val="28"/>
          <w:highlight w:val="none"/>
        </w:rPr>
        <w:t xml:space="preserve">的拒收</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采购代理机构拒绝接收在其规定的投标截止时间后上传的任何投标文件。</w:t>
      </w:r>
      <w:r/>
    </w:p>
    <w:p>
      <w:pPr>
        <w:keepLines/>
        <w:keepNext/>
        <w:spacing w:line="240" w:lineRule="auto"/>
        <w:rPr>
          <w:rFonts w:hint="eastAsia" w:ascii="宋体" w:hAnsi="宋体" w:eastAsia="宋体" w:cs="宋体"/>
          <w:b/>
          <w:bCs w:val="0"/>
          <w:color w:val="auto"/>
          <w:sz w:val="28"/>
          <w:szCs w:val="28"/>
          <w:highlight w:val="none"/>
        </w:rPr>
        <w:outlineLvl w:val="2"/>
      </w:pPr>
      <w:r/>
      <w:bookmarkStart w:id="126" w:name="_Toc20823300"/>
      <w:r/>
      <w:bookmarkStart w:id="127" w:name="_Toc16938544"/>
      <w:r/>
      <w:bookmarkStart w:id="128" w:name="_Toc513029228"/>
      <w:r>
        <w:rPr>
          <w:rFonts w:hint="eastAsia" w:ascii="宋体" w:hAnsi="宋体" w:eastAsia="宋体" w:cs="宋体"/>
          <w:b/>
          <w:bCs w:val="0"/>
          <w:color w:val="auto"/>
          <w:sz w:val="28"/>
          <w:szCs w:val="28"/>
          <w:highlight w:val="none"/>
        </w:rPr>
        <w:t xml:space="preserve">21、投标文件的撤回和修改</w:t>
      </w:r>
      <w:bookmarkEnd w:id="126"/>
      <w:r/>
      <w:bookmarkEnd w:id="127"/>
      <w:r/>
      <w:bookmarkEnd w:id="128"/>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firstLine="480"/>
        <w:spacing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keepLines/>
        <w:keepNext/>
        <w:spacing w:line="240" w:lineRule="auto"/>
        <w:rPr>
          <w:rFonts w:hint="eastAsia" w:ascii="宋体" w:hAnsi="宋体" w:eastAsia="宋体" w:cs="宋体"/>
          <w:b/>
          <w:bCs w:val="0"/>
          <w:color w:val="auto"/>
          <w:sz w:val="28"/>
          <w:szCs w:val="28"/>
          <w:highlight w:val="none"/>
        </w:rPr>
        <w:outlineLvl w:val="2"/>
      </w:pPr>
      <w:r/>
      <w:bookmarkStart w:id="129" w:name="_Toc20823301"/>
      <w:r/>
      <w:bookmarkStart w:id="130" w:name="_Toc513029229"/>
      <w:r/>
      <w:bookmarkStart w:id="131" w:name="_Toc120614218"/>
      <w:r/>
      <w:bookmarkStart w:id="132" w:name="_Toc16938545"/>
      <w:r>
        <w:rPr>
          <w:rFonts w:hint="eastAsia" w:ascii="宋体" w:hAnsi="宋体" w:eastAsia="宋体" w:cs="宋体"/>
          <w:b/>
          <w:bCs w:val="0"/>
          <w:color w:val="auto"/>
          <w:sz w:val="28"/>
          <w:szCs w:val="28"/>
          <w:highlight w:val="none"/>
        </w:rPr>
        <w:t xml:space="preserve">五、开标与评标</w:t>
      </w:r>
      <w:bookmarkEnd w:id="129"/>
      <w:r/>
      <w:bookmarkEnd w:id="130"/>
      <w:r/>
      <w:bookmarkEnd w:id="131"/>
      <w:r/>
      <w:bookmarkEnd w:id="132"/>
      <w:r/>
      <w:r/>
    </w:p>
    <w:p>
      <w:pPr>
        <w:keepLines/>
        <w:keepNext/>
        <w:spacing w:line="240" w:lineRule="auto"/>
        <w:rPr>
          <w:rFonts w:hint="eastAsia" w:ascii="宋体" w:hAnsi="宋体" w:eastAsia="宋体" w:cs="宋体"/>
          <w:b/>
          <w:bCs w:val="0"/>
          <w:color w:val="auto"/>
          <w:sz w:val="28"/>
          <w:szCs w:val="28"/>
          <w:highlight w:val="none"/>
        </w:rPr>
        <w:outlineLvl w:val="2"/>
      </w:pPr>
      <w:r/>
      <w:bookmarkStart w:id="133" w:name="_Toc16938546"/>
      <w:r/>
      <w:bookmarkStart w:id="134" w:name="_Toc20823302"/>
      <w:r/>
      <w:bookmarkStart w:id="135" w:name="_Toc513029230"/>
      <w:r>
        <w:rPr>
          <w:rFonts w:hint="eastAsia" w:ascii="宋体" w:hAnsi="宋体" w:eastAsia="宋体" w:cs="宋体"/>
          <w:b/>
          <w:bCs w:val="0"/>
          <w:color w:val="auto"/>
          <w:sz w:val="28"/>
          <w:szCs w:val="28"/>
          <w:highlight w:val="none"/>
        </w:rPr>
        <w:t xml:space="preserve">22、开标</w:t>
      </w:r>
      <w:bookmarkEnd w:id="133"/>
      <w:r/>
      <w:bookmarkEnd w:id="134"/>
      <w:r/>
      <w:bookmarkEnd w:id="135"/>
      <w:r/>
      <w:r/>
    </w:p>
    <w:p>
      <w:pPr>
        <w:ind w:firstLine="360"/>
        <w:keepLines w:val="0"/>
        <w:keepNext w:val="0"/>
        <w:pageBreakBefore w:val="0"/>
        <w:spacing w:line="360" w:lineRule="auto"/>
        <w:widowControl w:val="off"/>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spacing w:line="240" w:lineRule="auto"/>
        <w:rPr>
          <w:rFonts w:hint="eastAsia" w:ascii="宋体" w:hAnsi="宋体" w:eastAsia="宋体" w:cs="宋体"/>
          <w:b/>
          <w:bCs w:val="0"/>
          <w:color w:val="auto"/>
          <w:sz w:val="28"/>
          <w:szCs w:val="28"/>
          <w:highlight w:val="none"/>
        </w:rPr>
        <w:outlineLvl w:val="2"/>
      </w:pPr>
      <w:r/>
      <w:bookmarkStart w:id="136" w:name="_Toc20823303"/>
      <w:r/>
      <w:bookmarkStart w:id="137" w:name="_Toc16938547"/>
      <w:r/>
      <w:bookmarkStart w:id="138" w:name="_Toc513029231"/>
      <w:r>
        <w:rPr>
          <w:rFonts w:hint="eastAsia" w:ascii="宋体" w:hAnsi="宋体" w:eastAsia="宋体" w:cs="宋体"/>
          <w:b/>
          <w:bCs w:val="0"/>
          <w:color w:val="auto"/>
          <w:sz w:val="28"/>
          <w:szCs w:val="28"/>
          <w:highlight w:val="none"/>
        </w:rPr>
        <w:t xml:space="preserve">23、评标委员会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开标后，采购代理机构将立即组织评标委员会（以下简称评委会）进行评标。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.3评委会独立工作，负责评审所有投标文件并确定中标侯选人。</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24</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6"/>
      <w:bookmarkEnd w:id="137"/>
      <w:bookmarkEnd w:id="138"/>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keepLines/>
        <w:keepNext/>
        <w:spacing w:line="240" w:lineRule="auto"/>
        <w:rPr>
          <w:rFonts w:hint="eastAsia" w:ascii="宋体" w:hAnsi="宋体" w:eastAsia="宋体" w:cs="宋体"/>
          <w:b/>
          <w:bCs w:val="0"/>
          <w:color w:val="auto"/>
          <w:sz w:val="28"/>
          <w:szCs w:val="28"/>
          <w:highlight w:val="none"/>
        </w:rPr>
        <w:outlineLvl w:val="2"/>
      </w:pPr>
      <w:r/>
      <w:bookmarkStart w:id="139" w:name="_Toc16938548"/>
      <w:r/>
      <w:bookmarkStart w:id="140" w:name="_Toc513029232"/>
      <w:r/>
      <w:bookmarkStart w:id="141" w:name="_Toc20823304"/>
      <w:r>
        <w:rPr>
          <w:rFonts w:hint="eastAsia" w:ascii="宋体" w:hAnsi="宋体" w:eastAsia="宋体" w:cs="宋体"/>
          <w:b/>
          <w:bCs w:val="0"/>
          <w:color w:val="auto"/>
          <w:sz w:val="28"/>
          <w:szCs w:val="28"/>
          <w:highlight w:val="none"/>
        </w:rPr>
        <w:t xml:space="preserve">25</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9"/>
      <w:r/>
      <w:bookmarkEnd w:id="140"/>
      <w:r/>
      <w:bookmarkEnd w:id="141"/>
      <w:r/>
      <w:r/>
    </w:p>
    <w:p>
      <w:pPr>
        <w:ind w:firstLine="480"/>
        <w:spacing w:line="480" w:lineRule="exact"/>
        <w:rPr>
          <w:rFonts w:ascii="宋体" w:hAnsi="宋体"/>
          <w:color w:val="auto"/>
          <w:sz w:val="24"/>
          <w:szCs w:val="24"/>
          <w:highlight w:val="none"/>
        </w:rPr>
      </w:pPr>
      <w:r/>
      <w:bookmarkStart w:id="142" w:name="_Toc513029233"/>
      <w:r/>
      <w:bookmarkStart w:id="143" w:name="_Toc20823305"/>
      <w:r/>
      <w:bookmarkStart w:id="144" w:name="_Toc16938549"/>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26</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2"/>
      <w:r/>
      <w:bookmarkEnd w:id="143"/>
      <w:r/>
      <w:bookmarkEnd w:id="144"/>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ff0000"/>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ff0000"/>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460" w:lineRule="exact"/>
        <w:rPr>
          <w:rFonts w:ascii="宋体" w:hAnsi="宋体"/>
          <w:color w:val="auto"/>
          <w:sz w:val="24"/>
          <w:szCs w:val="21"/>
          <w:highlight w:val="none"/>
        </w:rPr>
      </w:pPr>
      <w:r/>
      <w:bookmarkStart w:id="145" w:name="_Toc16938550"/>
      <w:r/>
      <w:bookmarkStart w:id="146" w:name="_Toc20823306"/>
      <w:r/>
      <w:bookmarkStart w:id="147"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46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46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并安排专人与采购代理机构及评标委员会联系。</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27、</w:t>
      </w:r>
      <w:bookmarkEnd w:id="145"/>
      <w:r/>
      <w:bookmarkEnd w:id="146"/>
      <w:r/>
      <w:bookmarkEnd w:id="147"/>
      <w:r>
        <w:rPr>
          <w:rFonts w:hint="eastAsia" w:ascii="宋体" w:hAnsi="宋体" w:eastAsia="宋体" w:cs="宋体"/>
          <w:b/>
          <w:bCs w:val="0"/>
          <w:color w:val="auto"/>
          <w:sz w:val="28"/>
          <w:szCs w:val="28"/>
          <w:highlight w:val="none"/>
        </w:rPr>
        <w:t xml:space="preserve">无效投标条款和废标条款</w:t>
      </w:r>
      <w:r/>
    </w:p>
    <w:p>
      <w:pPr>
        <w:ind w:left="479"/>
        <w:spacing w:line="440" w:lineRule="exact"/>
        <w:rPr>
          <w:rFonts w:hint="eastAsia" w:ascii="宋体" w:hAnsi="宋体"/>
          <w:b/>
          <w:bCs w:val="0"/>
          <w:color w:val="auto"/>
          <w:sz w:val="24"/>
          <w:szCs w:val="21"/>
          <w:highlight w:val="none"/>
        </w:rPr>
      </w:pPr>
      <w:r/>
      <w:bookmarkStart w:id="148" w:name="_Toc20823307"/>
      <w:r/>
      <w:bookmarkStart w:id="149" w:name="_Toc513029235"/>
      <w:r/>
      <w:bookmarkStart w:id="150" w:name="_Toc16938551"/>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.1无效投标条款</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.1.1 投标人在</w:t>
      </w:r>
      <w:r>
        <w:rPr>
          <w:rFonts w:hint="eastAsia" w:ascii="宋体" w:hAnsi="宋体"/>
          <w:b/>
          <w:bCs w:val="0"/>
          <w:color w:val="ff0000"/>
          <w:sz w:val="24"/>
          <w:szCs w:val="24"/>
          <w:highlight w:val="none"/>
        </w:rPr>
        <w:t xml:space="preserve">苏采云系统</w:t>
      </w:r>
      <w:r>
        <w:rPr>
          <w:rFonts w:hint="eastAsia" w:ascii="宋体" w:hAnsi="宋体"/>
          <w:b/>
          <w:bCs w:val="0"/>
          <w:color w:val="auto"/>
          <w:sz w:val="24"/>
          <w:szCs w:val="21"/>
          <w:highlight w:val="none"/>
        </w:rPr>
        <w:t xml:space="preserve">规定的时间内未成功解密电子投标文件的。</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2</w:t>
      </w:r>
      <w:r>
        <w:rPr>
          <w:rFonts w:hint="eastAsia" w:ascii="宋体" w:hAnsi="宋体"/>
          <w:b/>
          <w:bCs w:val="0"/>
          <w:color w:val="auto"/>
          <w:sz w:val="24"/>
          <w:szCs w:val="21"/>
          <w:highlight w:val="none"/>
        </w:rPr>
        <w:t xml:space="preserve"> 投标人未按照招标文件要求上传电子投标文件的。</w:t>
      </w:r>
      <w:r/>
    </w:p>
    <w:p>
      <w:pPr>
        <w:ind w:left="479"/>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3</w:t>
      </w:r>
      <w:r>
        <w:rPr>
          <w:rFonts w:hint="eastAsia" w:ascii="宋体" w:hAnsi="宋体"/>
          <w:b/>
          <w:bCs w:val="0"/>
          <w:color w:val="auto"/>
          <w:sz w:val="24"/>
          <w:szCs w:val="21"/>
          <w:highlight w:val="none"/>
        </w:rPr>
        <w:t xml:space="preserve">同一投标人提交两个</w:t>
      </w:r>
      <w:r>
        <w:rPr>
          <w:rFonts w:ascii="宋体" w:hAnsi="宋体"/>
          <w:b/>
          <w:bCs w:val="0"/>
          <w:color w:val="auto"/>
          <w:sz w:val="24"/>
          <w:szCs w:val="21"/>
          <w:highlight w:val="none"/>
        </w:rPr>
        <w:t xml:space="preserve">（</w:t>
      </w:r>
      <w:r>
        <w:rPr>
          <w:rFonts w:hint="eastAsia" w:ascii="宋体" w:hAnsi="宋体"/>
          <w:b/>
          <w:bCs w:val="0"/>
          <w:color w:val="auto"/>
          <w:sz w:val="24"/>
          <w:szCs w:val="21"/>
          <w:highlight w:val="none"/>
        </w:rPr>
        <w:t xml:space="preserve">含</w:t>
      </w:r>
      <w:r>
        <w:rPr>
          <w:rFonts w:ascii="宋体" w:hAnsi="宋体"/>
          <w:b/>
          <w:bCs w:val="0"/>
          <w:color w:val="auto"/>
          <w:sz w:val="24"/>
          <w:szCs w:val="21"/>
          <w:highlight w:val="none"/>
        </w:rPr>
        <w:t xml:space="preserve">两个）</w:t>
      </w:r>
      <w:r>
        <w:rPr>
          <w:rFonts w:hint="eastAsia" w:ascii="宋体" w:hAnsi="宋体"/>
          <w:b/>
          <w:bCs w:val="0"/>
          <w:color w:val="auto"/>
          <w:sz w:val="24"/>
          <w:szCs w:val="21"/>
          <w:highlight w:val="none"/>
        </w:rPr>
        <w:t xml:space="preserve">以上不同的</w:t>
      </w:r>
      <w:r>
        <w:rPr>
          <w:rFonts w:ascii="宋体" w:hAnsi="宋体"/>
          <w:b/>
          <w:bCs w:val="0"/>
          <w:color w:val="auto"/>
          <w:sz w:val="24"/>
          <w:szCs w:val="21"/>
          <w:highlight w:val="none"/>
        </w:rPr>
        <w:t xml:space="preserve">投标报价的。</w:t>
      </w:r>
      <w:r/>
    </w:p>
    <w:p>
      <w:pPr>
        <w:ind w:left="479"/>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4</w:t>
      </w:r>
      <w:r>
        <w:rPr>
          <w:rFonts w:hint="eastAsia" w:ascii="宋体" w:hAnsi="宋体"/>
          <w:b/>
          <w:bCs w:val="0"/>
          <w:color w:val="auto"/>
          <w:sz w:val="24"/>
          <w:szCs w:val="21"/>
          <w:highlight w:val="none"/>
        </w:rPr>
        <w:t xml:space="preserve">投标人不具备招标文件中规定资格要求的。</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5</w:t>
      </w:r>
      <w:r>
        <w:rPr>
          <w:rFonts w:hint="eastAsia" w:ascii="宋体" w:hAnsi="宋体"/>
          <w:b/>
          <w:bCs w:val="0"/>
          <w:color w:val="auto"/>
          <w:sz w:val="24"/>
          <w:szCs w:val="21"/>
          <w:highlight w:val="none"/>
        </w:rPr>
        <w:t xml:space="preserve">投标人的报价超过了采购预算或最高限价的。</w:t>
      </w:r>
      <w:r/>
    </w:p>
    <w:p>
      <w:pPr>
        <w:ind w:firstLine="480"/>
        <w:spacing w:line="440" w:lineRule="exact"/>
        <w:rPr>
          <w:rFonts w:hint="eastAsia" w:ascii="宋体" w:hAnsi="宋体"/>
          <w:b/>
          <w:bCs w:val="0"/>
          <w:i/>
          <w:color w:val="auto"/>
          <w:sz w:val="24"/>
          <w:szCs w:val="21"/>
          <w:highlight w:val="none"/>
          <w:u w:val="singl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6</w:t>
      </w:r>
      <w:r>
        <w:rPr>
          <w:rFonts w:hint="eastAsia" w:ascii="宋体" w:hAnsi="宋体"/>
          <w:b/>
          <w:bCs w:val="0"/>
          <w:color w:val="auto"/>
          <w:sz w:val="24"/>
          <w:szCs w:val="21"/>
          <w:highlight w:val="none"/>
        </w:rPr>
        <w:t xml:space="preserve">未通过符合性审查的。</w:t>
      </w:r>
      <w:r/>
    </w:p>
    <w:p>
      <w:pPr>
        <w:ind w:firstLine="360"/>
        <w:spacing w:line="440" w:lineRule="exact"/>
        <w:rPr>
          <w:rFonts w:hint="eastAsia" w:ascii="宋体" w:hAnsi="宋体"/>
          <w:b/>
          <w:bCs w:val="0"/>
          <w:i/>
          <w:color w:val="auto"/>
          <w:sz w:val="24"/>
          <w:szCs w:val="21"/>
          <w:highlight w:val="none"/>
          <w:u w:val="single"/>
        </w:rPr>
      </w:pPr>
      <w:r>
        <w:rPr>
          <w:rFonts w:hint="eastAsia" w:ascii="宋体" w:hAnsi="宋体"/>
          <w:b/>
          <w:bCs w:val="0"/>
          <w:color w:val="auto"/>
          <w:sz w:val="24"/>
          <w:szCs w:val="21"/>
          <w:highlight w:val="none"/>
        </w:rPr>
        <w:t xml:space="preserve"> 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不符合招标文件中规定的实质性要求和条件的（</w:t>
      </w:r>
      <w:r>
        <w:rPr>
          <w:rFonts w:hint="eastAsia" w:ascii="宋体" w:hAnsi="宋体"/>
          <w:b/>
          <w:bCs w:val="0"/>
          <w:i/>
          <w:color w:val="auto"/>
          <w:sz w:val="24"/>
          <w:szCs w:val="21"/>
          <w:highlight w:val="none"/>
          <w:u w:val="single"/>
        </w:rPr>
        <w:t xml:space="preserve">本招标文件中斜体且有下划线部分为实质性要求和条件）。</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8</w:t>
      </w:r>
      <w:r>
        <w:rPr>
          <w:rFonts w:hint="eastAsia" w:ascii="宋体" w:hAnsi="宋体"/>
          <w:b/>
          <w:bCs w:val="0"/>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9</w:t>
      </w:r>
      <w:r>
        <w:rPr>
          <w:rFonts w:hint="eastAsia" w:ascii="宋体" w:hAnsi="宋体"/>
          <w:b/>
          <w:bCs w:val="0"/>
          <w:color w:val="auto"/>
          <w:sz w:val="24"/>
          <w:szCs w:val="21"/>
          <w:highlight w:val="none"/>
        </w:rPr>
        <w:t xml:space="preserve">  投标文件含有采购人不能接受的附加条件的。</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10</w:t>
      </w:r>
      <w:r>
        <w:rPr>
          <w:rFonts w:hint="eastAsia" w:ascii="宋体" w:hAnsi="宋体"/>
          <w:b/>
          <w:bCs w:val="0"/>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b/>
          <w:bCs w:val="0"/>
          <w:color w:val="auto"/>
          <w:sz w:val="24"/>
          <w:szCs w:val="24"/>
          <w:highlight w:val="none"/>
        </w:rPr>
        <w:t xml:space="preserve">苏采云系统</w:t>
      </w:r>
      <w:r>
        <w:rPr>
          <w:rFonts w:hint="eastAsia" w:ascii="宋体" w:hAnsi="宋体"/>
          <w:b/>
          <w:bCs w:val="0"/>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1</w:t>
      </w:r>
      <w:r>
        <w:rPr>
          <w:rFonts w:hint="eastAsia" w:ascii="宋体" w:hAnsi="宋体"/>
          <w:b/>
          <w:bCs w:val="0"/>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2</w:t>
      </w:r>
      <w:r>
        <w:rPr>
          <w:rFonts w:hint="eastAsia" w:ascii="宋体" w:hAnsi="宋体"/>
          <w:b/>
          <w:bCs w:val="0"/>
          <w:color w:val="auto"/>
          <w:sz w:val="24"/>
          <w:szCs w:val="21"/>
          <w:highlight w:val="none"/>
        </w:rPr>
        <w:t xml:space="preserve"> 投标文件未按照招标文件要求加盖CA电子公章的。</w:t>
      </w:r>
      <w:r/>
    </w:p>
    <w:p>
      <w:pPr>
        <w:ind w:firstLine="480"/>
        <w:spacing w:line="440" w:lineRule="exact"/>
        <w:rPr>
          <w:rFonts w:hint="eastAsia" w:ascii="宋体" w:hAnsi="宋体"/>
          <w:bCs/>
          <w:color w:val="auto"/>
          <w:sz w:val="24"/>
          <w:szCs w:val="21"/>
          <w:highlight w:val="none"/>
        </w:rPr>
      </w:pPr>
      <w:r>
        <w:rPr>
          <w:rFonts w:hint="eastAsia" w:ascii="宋体" w:hAnsi="宋体"/>
          <w:b/>
          <w:bCs w:val="0"/>
          <w:color w:val="auto"/>
          <w:sz w:val="24"/>
          <w:szCs w:val="21"/>
          <w:highlight w:val="none"/>
        </w:rPr>
        <w:t xml:space="preserve">2</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3</w:t>
      </w:r>
      <w:r>
        <w:rPr>
          <w:rFonts w:hint="eastAsia" w:ascii="宋体" w:hAnsi="宋体"/>
          <w:b/>
          <w:bCs w:val="0"/>
          <w:color w:val="auto"/>
          <w:sz w:val="24"/>
          <w:szCs w:val="21"/>
          <w:highlight w:val="none"/>
        </w:rPr>
        <w:t xml:space="preserve">其他法律、法规及本招标文件规定的属无效投标的情形。</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left="479"/>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spacing w:line="240" w:lineRule="auto"/>
        <w:rPr>
          <w:rFonts w:hint="eastAsia" w:ascii="宋体" w:hAnsi="宋体" w:eastAsia="宋体" w:cs="宋体"/>
          <w:b/>
          <w:bCs w:val="0"/>
          <w:color w:val="auto"/>
          <w:sz w:val="28"/>
          <w:szCs w:val="28"/>
          <w:highlight w:val="none"/>
        </w:rPr>
        <w:outlineLvl w:val="2"/>
      </w:pPr>
      <w:r/>
      <w:bookmarkStart w:id="151" w:name="_Toc120614219"/>
      <w:r>
        <w:rPr>
          <w:rFonts w:hint="eastAsia" w:ascii="宋体" w:hAnsi="宋体" w:eastAsia="宋体" w:cs="宋体"/>
          <w:b/>
          <w:bCs w:val="0"/>
          <w:color w:val="auto"/>
          <w:sz w:val="28"/>
          <w:szCs w:val="28"/>
          <w:highlight w:val="none"/>
        </w:rPr>
        <w:t xml:space="preserve">六、</w:t>
      </w:r>
      <w:bookmarkEnd w:id="148"/>
      <w:r/>
      <w:bookmarkEnd w:id="149"/>
      <w:r/>
      <w:bookmarkEnd w:id="150"/>
      <w:r>
        <w:rPr>
          <w:rFonts w:hint="eastAsia" w:ascii="宋体" w:hAnsi="宋体" w:eastAsia="宋体" w:cs="宋体"/>
          <w:b/>
          <w:bCs w:val="0"/>
          <w:color w:val="auto"/>
          <w:sz w:val="28"/>
          <w:szCs w:val="28"/>
          <w:highlight w:val="none"/>
        </w:rPr>
        <w:t xml:space="preserve">定标</w:t>
      </w:r>
      <w:bookmarkEnd w:id="151"/>
      <w:r/>
      <w:r/>
    </w:p>
    <w:p>
      <w:pPr>
        <w:keepLines/>
        <w:keepNext/>
        <w:spacing w:line="240" w:lineRule="auto"/>
        <w:rPr>
          <w:rFonts w:hint="eastAsia" w:ascii="宋体" w:hAnsi="宋体" w:eastAsia="宋体" w:cs="宋体"/>
          <w:b/>
          <w:bCs w:val="0"/>
          <w:color w:val="auto"/>
          <w:sz w:val="28"/>
          <w:szCs w:val="28"/>
          <w:highlight w:val="none"/>
        </w:rPr>
        <w:outlineLvl w:val="2"/>
      </w:pPr>
      <w:r/>
      <w:bookmarkStart w:id="152" w:name="_Toc513029238"/>
      <w:r/>
      <w:bookmarkStart w:id="153" w:name="_Toc20823310"/>
      <w:r/>
      <w:bookmarkStart w:id="154" w:name="_Toc16938554"/>
      <w:r>
        <w:rPr>
          <w:rFonts w:hint="eastAsia" w:ascii="宋体" w:hAnsi="宋体" w:eastAsia="宋体" w:cs="宋体"/>
          <w:b/>
          <w:bCs w:val="0"/>
          <w:color w:val="auto"/>
          <w:sz w:val="28"/>
          <w:szCs w:val="28"/>
          <w:highlight w:val="none"/>
        </w:rPr>
        <w:t xml:space="preserve">28、</w:t>
      </w:r>
      <w:bookmarkEnd w:id="152"/>
      <w:r>
        <w:rPr>
          <w:rFonts w:hint="eastAsia" w:ascii="宋体" w:hAnsi="宋体" w:eastAsia="宋体" w:cs="宋体"/>
          <w:b/>
          <w:bCs w:val="0"/>
          <w:color w:val="auto"/>
          <w:sz w:val="28"/>
          <w:szCs w:val="28"/>
          <w:highlight w:val="none"/>
        </w:rPr>
        <w:t xml:space="preserve">确定</w:t>
      </w:r>
      <w:bookmarkEnd w:id="153"/>
      <w:r/>
      <w:bookmarkEnd w:id="154"/>
      <w:r>
        <w:rPr>
          <w:rFonts w:hint="eastAsia" w:ascii="宋体" w:hAnsi="宋体" w:eastAsia="宋体" w:cs="宋体"/>
          <w:b/>
          <w:bCs w:val="0"/>
          <w:color w:val="auto"/>
          <w:sz w:val="28"/>
          <w:szCs w:val="28"/>
          <w:highlight w:val="none"/>
        </w:rPr>
        <w:t xml:space="preserve">中标单位</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中标候选人的选取原则和数量见招标文件第五章规定。 </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.2采购人应根据评委会推荐的中标候选人确定中标人。</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.4.2向采购人、采购代理机构行贿或者提供其他不正当利益的。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.4.5采取不正当手段诋毁、排挤其他供应商的。</w:t>
      </w:r>
      <w:r/>
    </w:p>
    <w:p>
      <w:pPr>
        <w:ind w:firstLine="480"/>
        <w:spacing w:line="480" w:lineRule="exact"/>
        <w:rPr>
          <w:rFonts w:ascii="宋体" w:hAnsi="宋体"/>
          <w:color w:val="auto"/>
          <w:sz w:val="24"/>
          <w:szCs w:val="24"/>
          <w:highlight w:val="none"/>
        </w:rPr>
      </w:pPr>
      <w:r/>
      <w:bookmarkStart w:id="155"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.5.1不同投标人的投标文件由同一单位或者个人编制；</w:t>
      </w:r>
      <w:r/>
    </w:p>
    <w:p>
      <w:pPr>
        <w:ind w:firstLine="480"/>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28.5.2不同投标人从同一个投标单位或者同一个自然人的互联网协议地址下载招标文件、上传投标文件；</w:t>
      </w:r>
      <w:r/>
    </w:p>
    <w:p>
      <w:pPr>
        <w:ind w:firstLine="480"/>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28.5.3不同投标人的电子投标文件由同一台电子设备编制、打包、加密或者上传；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不同投标人的投标文件异常一致或者投标报价呈规律性差异；</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29、质疑处理</w:t>
      </w:r>
      <w:bookmarkEnd w:id="155"/>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.1提出质疑的供应商应当是参与所质疑项目采购活动的供应商。</w:t>
      </w:r>
      <w:r>
        <w:rPr>
          <w:rFonts w:hint="eastAsia" w:ascii="宋体" w:hAnsi="宋体"/>
          <w:color w:val="auto"/>
          <w:sz w:val="24"/>
          <w:szCs w:val="24"/>
          <w:highlight w:val="none"/>
          <w:lang w:eastAsia="zh-CN"/>
        </w:rPr>
        <w:t xml:space="preserve">潜在投标人</w:t>
      </w:r>
      <w:r>
        <w:rPr>
          <w:rFonts w:hint="eastAsia" w:ascii="宋体" w:hAnsi="宋体"/>
          <w:color w:val="auto"/>
          <w:sz w:val="24"/>
          <w:szCs w:val="24"/>
          <w:highlight w:val="none"/>
        </w:rPr>
        <w:t xml:space="preserve">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采购人提出质疑。上述应知其权益受到损害之日，是指：</w:t>
      </w:r>
      <w:r/>
    </w:p>
    <w:p>
      <w:pPr>
        <w:ind w:firstLine="480"/>
        <w:spacing w:line="480" w:lineRule="exact"/>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p>
    <w:p>
      <w:pPr>
        <w:ind w:firstLine="480"/>
        <w:spacing w:line="48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80" w:lineRule="exact"/>
        <w:rPr>
          <w:rFonts w:hint="eastAsia"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w:t>
      </w:r>
      <w:r>
        <w:rPr>
          <w:rFonts w:hint="eastAsia" w:ascii="宋体" w:hAnsi="宋体"/>
          <w:color w:val="ff0000"/>
          <w:sz w:val="24"/>
          <w:szCs w:val="24"/>
          <w:highlight w:val="none"/>
        </w:rPr>
        <w:t xml:space="preserve">含</w:t>
      </w:r>
      <w:r>
        <w:rPr>
          <w:rFonts w:hint="eastAsia" w:ascii="宋体" w:hAnsi="宋体"/>
          <w:color w:val="ff0000"/>
          <w:sz w:val="24"/>
          <w:szCs w:val="24"/>
          <w:highlight w:val="none"/>
          <w:lang w:eastAsia="zh-CN"/>
        </w:rPr>
        <w:t xml:space="preserve">潜在投标人</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提出，由</w:t>
      </w:r>
      <w:r>
        <w:rPr>
          <w:rFonts w:hint="eastAsia" w:ascii="宋体" w:hAnsi="宋体"/>
          <w:color w:val="auto"/>
          <w:sz w:val="24"/>
          <w:szCs w:val="24"/>
          <w:highlight w:val="none"/>
        </w:rPr>
        <w:t xml:space="preserve">采购代理机构负责</w:t>
      </w:r>
      <w:r>
        <w:rPr>
          <w:rFonts w:ascii="宋体" w:hAnsi="宋体"/>
          <w:color w:val="auto"/>
          <w:sz w:val="24"/>
          <w:szCs w:val="24"/>
          <w:highlight w:val="none"/>
        </w:rPr>
        <w:t xml:space="preserve">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质疑接收人及联系方式见招标文件第一章。</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.5.2超出政府采购法定期限的质疑。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.5.3以传真、电子邮件等方式递交的非原件形式的质疑。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30、中标通知书</w:t>
      </w:r>
      <w:r/>
    </w:p>
    <w:p>
      <w:pPr>
        <w:ind w:firstLine="600"/>
        <w:spacing w:line="480" w:lineRule="exact"/>
        <w:rPr>
          <w:rFonts w:hint="eastAsia" w:ascii="宋体" w:hAnsi="宋体"/>
          <w:color w:val="auto"/>
          <w:sz w:val="24"/>
          <w:szCs w:val="24"/>
          <w:highlight w:val="none"/>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240" w:lineRule="auto"/>
        <w:rPr>
          <w:rFonts w:hint="eastAsia" w:ascii="宋体" w:hAnsi="宋体" w:eastAsia="宋体" w:cs="宋体"/>
          <w:b/>
          <w:bCs w:val="0"/>
          <w:color w:val="auto"/>
          <w:sz w:val="28"/>
          <w:szCs w:val="28"/>
          <w:highlight w:val="none"/>
        </w:rPr>
        <w:outlineLvl w:val="2"/>
      </w:pPr>
      <w:r/>
      <w:bookmarkStart w:id="156" w:name="_Toc120614220"/>
      <w:r/>
      <w:bookmarkStart w:id="157" w:name="_Toc20823308"/>
      <w:r/>
      <w:bookmarkStart w:id="158" w:name="_Toc513029236"/>
      <w:r/>
      <w:bookmarkStart w:id="159" w:name="_Toc16938552"/>
      <w:r>
        <w:rPr>
          <w:rFonts w:hint="eastAsia" w:ascii="宋体" w:hAnsi="宋体" w:eastAsia="宋体" w:cs="宋体"/>
          <w:b/>
          <w:bCs w:val="0"/>
          <w:color w:val="auto"/>
          <w:sz w:val="28"/>
          <w:szCs w:val="28"/>
          <w:highlight w:val="none"/>
        </w:rPr>
        <w:t xml:space="preserve">七、授予合同</w:t>
      </w:r>
      <w:bookmarkEnd w:id="156"/>
      <w:r>
        <w:rPr>
          <w:rFonts w:hint="eastAsia" w:ascii="宋体" w:hAnsi="宋体" w:eastAsia="宋体" w:cs="宋体"/>
          <w:b/>
          <w:bCs w:val="0"/>
          <w:color w:val="auto"/>
          <w:sz w:val="28"/>
          <w:szCs w:val="28"/>
          <w:highlight w:val="none"/>
        </w:rPr>
        <w:t xml:space="preserve">与履约验收</w:t>
      </w:r>
      <w:bookmarkEnd w:id="157"/>
      <w:bookmarkEnd w:id="158"/>
      <w:bookmarkEnd w:id="159"/>
      <w:r/>
    </w:p>
    <w:p>
      <w:pPr>
        <w:keepLines/>
        <w:keepNext/>
        <w:spacing w:line="240" w:lineRule="auto"/>
        <w:rPr>
          <w:rFonts w:hint="eastAsia" w:ascii="宋体" w:hAnsi="宋体" w:eastAsia="宋体" w:cs="宋体"/>
          <w:b/>
          <w:bCs w:val="0"/>
          <w:color w:val="auto"/>
          <w:sz w:val="28"/>
          <w:szCs w:val="28"/>
          <w:highlight w:val="none"/>
        </w:rPr>
        <w:outlineLvl w:val="2"/>
      </w:pPr>
      <w:r/>
      <w:bookmarkStart w:id="160" w:name="_Toc513029237"/>
      <w:r/>
      <w:bookmarkStart w:id="161" w:name="_Toc16938553"/>
      <w:r/>
      <w:bookmarkStart w:id="162" w:name="_Toc20823309"/>
      <w:r>
        <w:rPr>
          <w:rFonts w:hint="eastAsia" w:ascii="宋体" w:hAnsi="宋体" w:eastAsia="宋体" w:cs="宋体"/>
          <w:b/>
          <w:bCs w:val="0"/>
          <w:color w:val="auto"/>
          <w:sz w:val="28"/>
          <w:szCs w:val="28"/>
          <w:highlight w:val="none"/>
        </w:rPr>
        <w:t xml:space="preserve">31.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32、履约验收</w:t>
      </w:r>
      <w:r/>
    </w:p>
    <w:p>
      <w:pPr>
        <w:ind w:firstLine="480"/>
        <w:keepLines/>
        <w:keepNext/>
        <w:spacing w:line="360"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32.1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794"/>
        <w:ind w:left="0" w:right="0" w:firstLine="600"/>
        <w:jc w:val="both"/>
        <w:keepLines w:val="0"/>
        <w:keepNext w:val="0"/>
        <w:pageBreakBefore w:val="0"/>
        <w:spacing w:before="0" w:beforeAutospacing="0" w:after="0" w:afterAutospacing="0" w:line="360" w:lineRule="auto"/>
        <w:widowControl w:val="off"/>
        <w:rPr>
          <w:rFonts w:hint="eastAsia" w:ascii="宋体" w:hAnsi="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color w:val="auto"/>
          <w:sz w:val="24"/>
          <w:szCs w:val="24"/>
          <w:highlight w:val="none"/>
        </w:rPr>
        <w:t xml:space="preserve">32.3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33</w:t>
      </w:r>
      <w:r>
        <w:rPr>
          <w:rFonts w:hint="eastAsia" w:ascii="宋体" w:hAnsi="宋体" w:eastAsia="宋体" w:cs="宋体"/>
          <w:b/>
          <w:bCs w:val="0"/>
          <w:color w:val="auto"/>
          <w:sz w:val="28"/>
          <w:szCs w:val="28"/>
          <w:highlight w:val="none"/>
        </w:rPr>
        <w:t xml:space="preserve">、履约保证金</w:t>
      </w:r>
      <w:r/>
    </w:p>
    <w:p>
      <w:pPr>
        <w:pStyle w:val="79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79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79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p>
    <w:p>
      <w:pPr>
        <w:pStyle w:val="79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lang w:val="en-US" w:eastAsia="zh-CN"/>
        </w:rPr>
        <w:t xml:space="preserve">.4 逾期退还履约保证金的采购人承担违约责任，按照中国人民银行同期贷款基准利率向成交供应商支付超期资金占用费。</w:t>
      </w:r>
      <w:r/>
    </w:p>
    <w:p>
      <w:pPr>
        <w:pStyle w:val="794"/>
        <w:ind w:left="0" w:right="0" w:firstLine="600"/>
        <w:jc w:val="both"/>
        <w:keepLines w:val="0"/>
        <w:keepNext w:val="0"/>
        <w:pageBreakBefore w:val="0"/>
        <w:spacing w:before="0" w:beforeAutospacing="0" w:after="0" w:afterAutospacing="0" w:line="360" w:lineRule="auto"/>
        <w:widowControl w:val="off"/>
        <w:rPr>
          <w:rFonts w:ascii="宋体" w:hAnsi="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lang w:val="en-US" w:eastAsia="zh-CN"/>
        </w:rPr>
        <w:t xml:space="preserve">.5 本项目履约保证金要求详见第四章 采购需求。</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0"/>
      <w:bookmarkEnd w:id="161"/>
      <w:bookmarkEnd w:id="162"/>
      <w:r/>
    </w:p>
    <w:p>
      <w:pPr>
        <w:keepLines/>
        <w:keepNext/>
        <w:spacing w:line="240" w:lineRule="auto"/>
        <w:rPr>
          <w:rFonts w:hint="eastAsia" w:ascii="宋体" w:hAnsi="宋体" w:eastAsia="宋体" w:cs="宋体"/>
          <w:b/>
          <w:bCs w:val="0"/>
          <w:color w:val="auto"/>
          <w:sz w:val="28"/>
          <w:szCs w:val="28"/>
          <w:highlight w:val="none"/>
        </w:rPr>
        <w:outlineLvl w:val="2"/>
      </w:pPr>
      <w:r/>
      <w:bookmarkStart w:id="163" w:name="_Toc479757207"/>
      <w:r/>
      <w:bookmarkStart w:id="164" w:name="_Toc20823314"/>
      <w:r/>
      <w:bookmarkStart w:id="165" w:name="_Toc513029242"/>
      <w:r/>
      <w:bookmarkStart w:id="166" w:name="_Toc120614221"/>
      <w:r/>
      <w:bookmarkStart w:id="167" w:name="_Toc16938558"/>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、政府采购履约资金扶持政策</w:t>
      </w:r>
      <w:r/>
    </w:p>
    <w:p>
      <w:pPr>
        <w:pStyle w:val="794"/>
        <w:ind w:left="0" w:firstLine="555"/>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35.1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pStyle w:val="794"/>
        <w:ind w:left="0" w:firstLine="555"/>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、政策功能</w:t>
      </w:r>
      <w:r/>
    </w:p>
    <w:p>
      <w:pPr>
        <w:ind w:firstLine="482"/>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、支持中小企业发展</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w:t>
      </w:r>
      <w:r>
        <w:rPr>
          <w:rFonts w:hint="eastAsia" w:ascii="宋体" w:hAnsi="宋体" w:eastAsia="宋体" w:cs="宋体"/>
          <w:color w:val="000000"/>
          <w:sz w:val="24"/>
          <w:highlight w:val="none"/>
        </w:rPr>
        <w:t xml:space="preserve">准确定的中型企业、小型企业、微型企业，但与大企业的负责人为同一人，或者与大企业存在直接控股、管理关系的除外。符合中小企业划分标准的个体工商户，在政府采购活动中视同中小企业。在货物采购项目中，货物由中小企业制造，即货物由中小企业生产且使用该中小企业商号或者注册商标;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shd w:val="clear" w:color="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3</w:t>
      </w:r>
      <w:r>
        <w:rPr>
          <w:rFonts w:hint="eastAsia" w:ascii="宋体" w:hAnsi="宋体"/>
          <w:b/>
          <w:bCs/>
          <w:color w:val="000000"/>
          <w:sz w:val="24"/>
          <w:highlight w:val="none"/>
          <w:lang w:val="en-US"/>
        </w:rPr>
        <w:t xml:space="preserve">本项目专门面向中小企业采购，参加本项目政府采购活动的供应商应当提供的材料：</w:t>
      </w:r>
      <w:r/>
    </w:p>
    <w:p>
      <w:pPr>
        <w:ind w:firstLine="482"/>
        <w:jc w:val="left"/>
        <w:pageBreakBefore w:val="0"/>
        <w:spacing w:line="360" w:lineRule="auto"/>
        <w:shd w:val="clear" w:color="auto"/>
        <w:rPr>
          <w:rFonts w:hint="eastAsia" w:ascii="宋体" w:hAnsi="宋体" w:eastAsia="宋体" w:cs="宋体"/>
          <w:b/>
          <w:bCs/>
          <w:color w:val="000000"/>
          <w:sz w:val="24"/>
          <w:highlight w:val="none"/>
          <w:lang w:val="en-US"/>
        </w:rPr>
        <w:outlineLvl w:val="9"/>
      </w:pPr>
      <w:r>
        <w:rPr>
          <w:rFonts w:hint="eastAsia" w:ascii="宋体" w:hAnsi="宋体" w:eastAsia="宋体" w:cs="宋体"/>
          <w:b/>
          <w:bCs/>
          <w:color w:val="000000"/>
          <w:sz w:val="24"/>
          <w:highlight w:val="none"/>
          <w:lang w:val="en-US"/>
        </w:rPr>
        <w:t xml:space="preserve">1、供应商为</w:t>
      </w:r>
      <w:r>
        <w:rPr>
          <w:rFonts w:hint="eastAsia" w:ascii="宋体" w:hAnsi="宋体" w:eastAsia="宋体" w:cs="宋体"/>
          <w:b/>
          <w:bCs/>
          <w:color w:val="000000"/>
          <w:sz w:val="24"/>
          <w:highlight w:val="none"/>
          <w:lang w:val="en-US" w:eastAsia="zh-CN"/>
        </w:rPr>
        <w:t xml:space="preserve">中型企业、</w:t>
      </w:r>
      <w:r>
        <w:rPr>
          <w:rFonts w:hint="eastAsia" w:ascii="宋体" w:hAnsi="宋体" w:eastAsia="宋体" w:cs="宋体"/>
          <w:b/>
          <w:bCs/>
          <w:color w:val="000000"/>
          <w:sz w:val="24"/>
          <w:highlight w:val="none"/>
          <w:lang w:val="en-US"/>
        </w:rPr>
        <w:t xml:space="preserve">小型企业、微型企业的，提供《</w:t>
      </w:r>
      <w:r>
        <w:rPr>
          <w:rFonts w:hint="eastAsia" w:ascii="宋体" w:hAnsi="宋体" w:eastAsia="宋体" w:cs="宋体"/>
          <w:b/>
          <w:bCs/>
          <w:color w:val="000000"/>
          <w:sz w:val="24"/>
          <w:highlight w:val="none"/>
          <w:lang w:val="en-US" w:eastAsia="zh-CN"/>
        </w:rPr>
        <w:t xml:space="preserve">中小微企业声明函</w:t>
      </w:r>
      <w:r>
        <w:rPr>
          <w:rFonts w:hint="eastAsia" w:ascii="宋体" w:hAnsi="宋体" w:eastAsia="宋体" w:cs="宋体"/>
          <w:b/>
          <w:bCs/>
          <w:color w:val="000000"/>
          <w:sz w:val="24"/>
          <w:highlight w:val="none"/>
          <w:lang w:val="en-US"/>
        </w:rPr>
        <w:t xml:space="preserve">》（第六</w:t>
      </w:r>
      <w:r>
        <w:rPr>
          <w:rFonts w:hint="eastAsia" w:ascii="宋体" w:hAnsi="宋体" w:eastAsia="宋体" w:cs="宋体"/>
          <w:b/>
          <w:bCs/>
          <w:color w:val="000000"/>
          <w:sz w:val="24"/>
          <w:highlight w:val="none"/>
          <w:lang w:val="en-US" w:eastAsia="zh-CN"/>
        </w:rPr>
        <w:t xml:space="preserve">章</w:t>
      </w:r>
      <w:r>
        <w:rPr>
          <w:rFonts w:hint="eastAsia" w:ascii="宋体" w:hAnsi="宋体" w:eastAsia="宋体" w:cs="宋体"/>
          <w:b/>
          <w:bCs/>
          <w:color w:val="000000"/>
          <w:sz w:val="24"/>
          <w:highlight w:val="none"/>
          <w:lang w:val="en-US"/>
        </w:rPr>
        <w:t xml:space="preserve"> </w:t>
      </w:r>
      <w:r>
        <w:rPr>
          <w:rFonts w:hint="eastAsia" w:ascii="宋体" w:hAnsi="宋体" w:eastAsia="宋体" w:cs="宋体"/>
          <w:b/>
          <w:bCs/>
          <w:color w:val="000000"/>
          <w:sz w:val="24"/>
          <w:highlight w:val="none"/>
          <w:lang w:val="en-US" w:eastAsia="zh-CN"/>
        </w:rPr>
        <w:t xml:space="preserve">投标文件格式</w:t>
      </w:r>
      <w:r>
        <w:rPr>
          <w:rFonts w:hint="eastAsia" w:ascii="宋体" w:hAnsi="宋体" w:eastAsia="宋体" w:cs="宋体"/>
          <w:b/>
          <w:bCs/>
          <w:color w:val="000000"/>
          <w:sz w:val="24"/>
          <w:highlight w:val="none"/>
          <w:lang w:val="en-US"/>
        </w:rPr>
        <w:t xml:space="preserve">）。</w:t>
      </w:r>
      <w:r/>
    </w:p>
    <w:p>
      <w:pPr>
        <w:ind w:firstLine="482"/>
        <w:jc w:val="left"/>
        <w:pageBreakBefore w:val="0"/>
        <w:spacing w:line="360" w:lineRule="auto"/>
        <w:shd w:val="clear" w:color="auto"/>
        <w:rPr>
          <w:rFonts w:hint="eastAsia" w:ascii="宋体" w:hAnsi="宋体" w:eastAsia="宋体" w:cs="宋体"/>
          <w:b/>
          <w:bCs/>
          <w:color w:val="000000"/>
          <w:sz w:val="24"/>
          <w:highlight w:val="none"/>
          <w:lang w:val="en-US"/>
        </w:rPr>
        <w:outlineLvl w:val="9"/>
      </w:pPr>
      <w:r>
        <w:rPr>
          <w:rFonts w:hint="eastAsia" w:ascii="宋体" w:hAnsi="宋体" w:eastAsia="宋体" w:cs="宋体"/>
          <w:b/>
          <w:bCs/>
          <w:color w:val="000000"/>
          <w:sz w:val="24"/>
          <w:highlight w:val="none"/>
          <w:lang w:val="en-US"/>
        </w:rPr>
        <w:t xml:space="preserve">2、残疾人福利性单位视同小型、微型企业，提供《残疾人福利性单位声明函》（第六章 </w:t>
      </w:r>
      <w:r>
        <w:rPr>
          <w:rFonts w:hint="eastAsia" w:ascii="宋体" w:hAnsi="宋体" w:eastAsia="宋体" w:cs="宋体"/>
          <w:b/>
          <w:bCs/>
          <w:color w:val="000000"/>
          <w:sz w:val="24"/>
          <w:highlight w:val="none"/>
          <w:lang w:val="en-US" w:eastAsia="zh-CN"/>
        </w:rPr>
        <w:t xml:space="preserve">投标文件格式</w:t>
      </w:r>
      <w:r>
        <w:rPr>
          <w:rFonts w:hint="eastAsia" w:ascii="宋体" w:hAnsi="宋体" w:eastAsia="宋体" w:cs="宋体"/>
          <w:b/>
          <w:bCs/>
          <w:color w:val="000000"/>
          <w:sz w:val="24"/>
          <w:highlight w:val="none"/>
          <w:lang w:val="en-US"/>
        </w:rPr>
        <w:t xml:space="preserve">）。</w:t>
      </w:r>
      <w:r/>
    </w:p>
    <w:p>
      <w:pPr>
        <w:ind w:firstLine="482"/>
        <w:jc w:val="left"/>
        <w:pageBreakBefore w:val="0"/>
        <w:spacing w:line="360" w:lineRule="auto"/>
        <w:shd w:val="clear" w:color="auto"/>
        <w:rPr>
          <w:rFonts w:hint="eastAsia" w:ascii="宋体" w:hAnsi="宋体" w:eastAsia="宋体" w:cs="宋体"/>
          <w:b/>
          <w:bCs/>
          <w:color w:val="000000"/>
          <w:sz w:val="24"/>
          <w:highlight w:val="none"/>
          <w:lang w:val="en-US"/>
        </w:rPr>
        <w:outlineLvl w:val="9"/>
      </w:pPr>
      <w:r>
        <w:rPr>
          <w:rFonts w:hint="eastAsia" w:ascii="宋体" w:hAnsi="宋体" w:eastAsia="宋体" w:cs="宋体"/>
          <w:b/>
          <w:bCs/>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rPr>
          <w:rFonts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bCs/>
          <w:color w:val="000000"/>
          <w:sz w:val="24"/>
          <w:highlight w:val="none"/>
        </w:rPr>
        <w:t xml:space="preserve">。</w:t>
      </w:r>
      <w:r/>
    </w:p>
    <w:p>
      <w:pPr>
        <w:keepLines/>
        <w:keepNext/>
        <w:spacing w:line="240" w:lineRule="auto"/>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lang w:val="en-US" w:eastAsia="zh-CN"/>
        </w:rPr>
        <w:t xml:space="preserve">、绿色发展</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.3落实挥发性有机化合物（VOCs）治理要求，政府采购项目中涉及涂料、胶黏剂、</w:t>
      </w:r>
      <w:r/>
    </w:p>
    <w:p>
      <w:pP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spacing w:line="240" w:lineRule="auto"/>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、政府采购需求标准</w:t>
      </w:r>
      <w:r/>
    </w:p>
    <w:p>
      <w:pPr>
        <w:ind w:firstLine="480"/>
        <w:jc w:val="left"/>
        <w:spacing w:line="360" w:lineRule="auto"/>
        <w:rPr>
          <w:rFonts w:hint="eastAsia" w:ascii="宋体" w:hAnsi="宋体" w:eastAsia="宋体" w:cs="宋体"/>
          <w:b/>
          <w:bCs/>
          <w:color w:val="000000"/>
          <w:sz w:val="24"/>
          <w:highlight w:val="none"/>
        </w:rPr>
      </w:pPr>
      <w:r>
        <w:rPr>
          <w:rFonts w:hint="eastAsia" w:ascii="宋体" w:hAnsi="宋体" w:cs="宋体"/>
          <w:sz w:val="24"/>
          <w:szCs w:val="24"/>
          <w:highlight w:val="none"/>
          <w:lang w:val="en-US" w:eastAsia="zh-CN"/>
        </w:rPr>
        <w:t xml:space="preserve">38</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line="240" w:lineRule="auto"/>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9</w:t>
      </w:r>
      <w:r>
        <w:rPr>
          <w:rFonts w:hint="eastAsia" w:ascii="宋体" w:hAnsi="宋体" w:eastAsia="宋体" w:cs="宋体"/>
          <w:b/>
          <w:bCs w:val="0"/>
          <w:color w:val="auto"/>
          <w:sz w:val="28"/>
          <w:szCs w:val="28"/>
          <w:highlight w:val="none"/>
          <w:lang w:val="en-US" w:eastAsia="zh-CN"/>
        </w:rPr>
        <w:t xml:space="preserve">、其它事项</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.1代理服务费：按江苏省招标投标协会苏招协【2022】002号文，关于印发《江苏省招标代理服务收费的指导意见》的通知”规定</w:t>
      </w:r>
      <w:r>
        <w:rPr>
          <w:rFonts w:hint="eastAsia" w:ascii="宋体" w:hAnsi="宋体" w:eastAsia="宋体" w:cs="宋体"/>
          <w:color w:val="000000"/>
          <w:sz w:val="24"/>
          <w:highlight w:val="none"/>
          <w:lang w:val="en-US" w:eastAsia="zh-CN"/>
        </w:rPr>
        <w:t xml:space="preserve">货物</w:t>
      </w:r>
      <w:r>
        <w:rPr>
          <w:rFonts w:hint="eastAsia" w:ascii="宋体" w:hAnsi="宋体" w:eastAsia="宋体" w:cs="宋体"/>
          <w:color w:val="000000"/>
          <w:sz w:val="24"/>
          <w:highlight w:val="none"/>
        </w:rPr>
        <w:t xml:space="preserve">类标准的</w:t>
      </w:r>
      <w:r>
        <w:rPr>
          <w:rFonts w:hint="eastAsia" w:ascii="宋体" w:hAnsi="宋体" w:cs="宋体"/>
          <w:color w:val="000000"/>
          <w:sz w:val="24"/>
          <w:highlight w:val="none"/>
          <w:lang w:val="en-US" w:eastAsia="zh-CN"/>
        </w:rPr>
        <w:t xml:space="preserve">70</w:t>
      </w:r>
      <w:r>
        <w:rPr>
          <w:rFonts w:hint="eastAsia" w:ascii="宋体" w:hAnsi="宋体" w:eastAsia="宋体" w:cs="宋体"/>
          <w:color w:val="000000"/>
          <w:sz w:val="24"/>
          <w:highlight w:val="none"/>
        </w:rPr>
        <w:t xml:space="preserve">%计取，上述费用由供应商综合考虑在投标报价中，由成交供应商领取成交通知书时一次性支付，专家评审费由</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支付。</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.2解释权</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p>
    <w:p>
      <w:pP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pStyle w:val="79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pStyle w:val="79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9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地址：邮编： </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联系人：联系电话：</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授权代表：联系电话：</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地址：邮编：</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9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质疑项目的名称：质疑项目的编号：</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采购人名称：采购文件获取日期：</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 </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9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p>
    <w:p>
      <w:pPr>
        <w:pStyle w:val="794"/>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w:t>
      </w:r>
      <w:r/>
    </w:p>
    <w:p>
      <w:pPr>
        <w:pStyle w:val="79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公章： </w:t>
      </w:r>
      <w:r/>
    </w:p>
    <w:p>
      <w:pPr>
        <w:pStyle w:val="794"/>
        <w:jc w:val="both"/>
        <w:spacing w:beforeAutospacing="0" w:afterAutospacing="0"/>
        <w:rPr>
          <w:rFonts w:ascii="宋体" w:hAnsi="宋体" w:eastAsia="宋体" w:cs="宋体"/>
          <w:b/>
          <w:bCs/>
          <w:color w:val="000000"/>
          <w:highlight w:val="none"/>
        </w:rPr>
      </w:pPr>
      <w:r>
        <w:rPr>
          <w:rFonts w:hint="eastAsia" w:ascii="宋体" w:hAnsi="宋体" w:eastAsia="宋体" w:cs="宋体"/>
          <w:color w:val="000000"/>
          <w:highlight w:val="none"/>
        </w:rPr>
        <w:t xml:space="preserve">日期：</w:t>
      </w:r>
      <w:r/>
    </w:p>
    <w:p>
      <w:pPr>
        <w:pStyle w:val="794"/>
        <w:jc w:val="both"/>
        <w:spacing w:beforeAutospacing="0" w:afterAutospacing="0" w:line="0" w:lineRule="atLeast"/>
        <w:rPr>
          <w:rFonts w:ascii="宋体" w:hAnsi="宋体" w:eastAsia="宋体" w:cs="宋体"/>
          <w:highlight w:val="none"/>
        </w:rPr>
      </w:pPr>
      <w:r>
        <w:rPr>
          <w:rFonts w:hint="eastAsia" w:ascii="宋体" w:hAnsi="宋体" w:eastAsia="宋体" w:cs="宋体"/>
          <w:b/>
          <w:bCs/>
          <w:color w:val="000000"/>
          <w:highlight w:val="none"/>
        </w:rPr>
        <w:t xml:space="preserve">质疑函制作说明：</w:t>
      </w:r>
      <w:r/>
    </w:p>
    <w:p>
      <w:pPr>
        <w:pStyle w:val="79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9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9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9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94"/>
        <w:ind w:firstLine="480"/>
        <w:spacing w:beforeAutospacing="0" w:afterAutospacing="0" w:line="0" w:lineRule="atLeast"/>
        <w:widowControl/>
        <w:rPr>
          <w:rFonts w:hint="eastAsia"/>
          <w:color w:val="auto"/>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163"/>
      <w:bookmarkEnd w:id="164"/>
      <w:bookmarkEnd w:id="165"/>
      <w:bookmarkEnd w:id="166"/>
      <w:bookmarkEnd w:id="167"/>
      <w:r/>
    </w:p>
    <w:p>
      <w:pPr>
        <w:pStyle w:val="776"/>
        <w:jc w:val="center"/>
        <w:spacing w:after="0"/>
        <w:rPr>
          <w:rFonts w:hint="eastAsia" w:ascii="宋体" w:hAnsi="宋体" w:cs="宋体"/>
          <w:b/>
          <w:bCs/>
          <w:spacing w:val="-20"/>
          <w:sz w:val="48"/>
          <w:szCs w:val="48"/>
          <w:highlight w:val="none"/>
        </w:rPr>
      </w:pPr>
      <w:r/>
      <w:bookmarkStart w:id="168" w:name="_Hlt16619350"/>
      <w:r/>
      <w:bookmarkStart w:id="169" w:name="_Toc16938590"/>
      <w:r/>
      <w:bookmarkStart w:id="170" w:name="_Toc120614244"/>
      <w:r/>
      <w:bookmarkStart w:id="171" w:name="_Toc20823346"/>
      <w:r/>
      <w:bookmarkStart w:id="172" w:name="_Toc479757211"/>
      <w:r/>
      <w:bookmarkStart w:id="173" w:name="_Toc462564139"/>
      <w:r/>
      <w:r/>
    </w:p>
    <w:p>
      <w:pPr>
        <w:jc w:val="center"/>
        <w:keepLines/>
        <w:keepNext/>
        <w:spacing w:before="260" w:after="260" w:line="416" w:lineRule="auto"/>
        <w:rPr>
          <w:rFonts w:hint="eastAsia" w:ascii="黑体" w:hAnsi="Arial" w:eastAsia="黑体" w:cs="Arial"/>
          <w:b/>
          <w:bCs/>
          <w:color w:val="auto"/>
          <w:sz w:val="44"/>
          <w:szCs w:val="44"/>
          <w:highlight w:val="none"/>
        </w:rPr>
        <w:outlineLvl w:val="9"/>
      </w:pPr>
      <w:r>
        <w:rPr>
          <w:rFonts w:hint="eastAsia" w:ascii="黑体" w:hAnsi="Arial" w:eastAsia="黑体" w:cs="Arial"/>
          <w:b/>
          <w:bCs/>
          <w:color w:val="auto"/>
          <w:sz w:val="44"/>
          <w:szCs w:val="44"/>
          <w:highlight w:val="none"/>
        </w:rPr>
      </w:r>
      <w:r/>
    </w:p>
    <w:p>
      <w:pPr>
        <w:jc w:val="center"/>
        <w:keepLines/>
        <w:keepNext/>
        <w:spacing w:before="260" w:after="260" w:line="416" w:lineRule="auto"/>
        <w:rPr>
          <w:rFonts w:hint="eastAsia" w:ascii="黑体" w:hAnsi="Arial" w:eastAsia="黑体" w:cs="Arial"/>
          <w:color w:val="auto"/>
          <w:sz w:val="44"/>
          <w:szCs w:val="44"/>
          <w:highlight w:val="none"/>
          <w:lang w:eastAsia="zh-CN"/>
        </w:rPr>
        <w:outlineLvl w:val="1"/>
      </w:pPr>
      <w:r>
        <w:rPr>
          <w:rFonts w:hint="eastAsia" w:ascii="黑体" w:hAnsi="Arial" w:eastAsia="黑体" w:cs="Arial"/>
          <w:b/>
          <w:bCs/>
          <w:color w:val="auto"/>
          <w:sz w:val="44"/>
          <w:szCs w:val="44"/>
          <w:highlight w:val="none"/>
        </w:rPr>
        <w:t xml:space="preserve">第</w:t>
      </w:r>
      <w:r>
        <w:rPr>
          <w:rFonts w:hint="eastAsia" w:ascii="黑体" w:hAnsi="Arial" w:eastAsia="黑体" w:cs="Arial"/>
          <w:b/>
          <w:bCs/>
          <w:color w:val="auto"/>
          <w:sz w:val="44"/>
          <w:szCs w:val="44"/>
          <w:highlight w:val="none"/>
          <w:lang w:val="en-US" w:eastAsia="zh-CN"/>
        </w:rPr>
        <w:t xml:space="preserve">三</w:t>
      </w:r>
      <w:r>
        <w:rPr>
          <w:rFonts w:hint="eastAsia" w:ascii="黑体" w:hAnsi="Arial" w:eastAsia="黑体" w:cs="Arial"/>
          <w:b/>
          <w:bCs/>
          <w:color w:val="auto"/>
          <w:sz w:val="44"/>
          <w:szCs w:val="44"/>
          <w:highlight w:val="none"/>
        </w:rPr>
        <w:t xml:space="preserve">章  </w:t>
      </w:r>
      <w:r>
        <w:rPr>
          <w:rFonts w:hint="eastAsia" w:ascii="黑体" w:hAnsi="Arial" w:eastAsia="黑体" w:cs="Arial"/>
          <w:b/>
          <w:bCs/>
          <w:color w:val="auto"/>
          <w:sz w:val="44"/>
          <w:szCs w:val="44"/>
          <w:highlight w:val="none"/>
          <w:lang w:val="en-US" w:eastAsia="zh-CN"/>
        </w:rPr>
        <w:t xml:space="preserve">合同文本</w:t>
      </w:r>
      <w:r/>
    </w:p>
    <w:p>
      <w:pPr>
        <w:pStyle w:val="776"/>
        <w:jc w:val="center"/>
        <w:spacing w:after="0"/>
        <w:rPr>
          <w:rFonts w:hint="eastAsia" w:ascii="宋体" w:hAnsi="宋体" w:cs="宋体"/>
          <w:b/>
          <w:bCs/>
          <w:spacing w:val="-20"/>
          <w:sz w:val="30"/>
          <w:szCs w:val="30"/>
          <w:highlight w:val="none"/>
        </w:rPr>
      </w:pPr>
      <w:r>
        <w:rPr>
          <w:rFonts w:hint="eastAsia" w:ascii="宋体" w:hAnsi="宋体" w:cs="宋体"/>
          <w:b/>
          <w:bCs/>
          <w:spacing w:val="-20"/>
          <w:sz w:val="30"/>
          <w:szCs w:val="30"/>
          <w:highlight w:val="none"/>
        </w:rPr>
      </w:r>
      <w:r/>
    </w:p>
    <w:p>
      <w:pPr>
        <w:pStyle w:val="776"/>
        <w:jc w:val="center"/>
        <w:spacing w:after="0"/>
        <w:rPr>
          <w:rFonts w:hint="eastAsia" w:ascii="宋体" w:hAnsi="宋体" w:cs="宋体"/>
          <w:b/>
          <w:bCs/>
          <w:spacing w:val="-20"/>
          <w:sz w:val="36"/>
          <w:szCs w:val="36"/>
          <w:highlight w:val="none"/>
        </w:rPr>
      </w:pPr>
      <w:r>
        <w:rPr>
          <w:rFonts w:hint="eastAsia" w:ascii="宋体" w:hAnsi="宋体" w:cs="宋体"/>
          <w:b/>
          <w:bCs/>
          <w:spacing w:val="-20"/>
          <w:sz w:val="36"/>
          <w:szCs w:val="36"/>
          <w:highlight w:val="none"/>
        </w:rPr>
      </w:r>
      <w:r/>
    </w:p>
    <w:p>
      <w:pPr>
        <w:pStyle w:val="776"/>
        <w:jc w:val="center"/>
        <w:spacing w:after="0"/>
        <w:rPr>
          <w:rFonts w:hint="eastAsia" w:ascii="宋体" w:hAnsi="宋体" w:cs="宋体"/>
          <w:b/>
          <w:bCs/>
          <w:spacing w:val="-20"/>
          <w:sz w:val="36"/>
          <w:szCs w:val="36"/>
          <w:highlight w:val="none"/>
        </w:rPr>
      </w:pPr>
      <w:r>
        <w:rPr>
          <w:rFonts w:hint="eastAsia" w:ascii="宋体" w:hAnsi="宋体" w:cs="宋体"/>
          <w:b/>
          <w:bCs/>
          <w:spacing w:val="-20"/>
          <w:sz w:val="36"/>
          <w:szCs w:val="36"/>
          <w:highlight w:val="none"/>
        </w:rPr>
        <w:t xml:space="preserve">政府采购</w:t>
      </w:r>
      <w:r>
        <w:rPr>
          <w:rFonts w:hint="eastAsia" w:ascii="宋体" w:hAnsi="宋体" w:cs="宋体"/>
          <w:b/>
          <w:bCs/>
          <w:spacing w:val="-20"/>
          <w:sz w:val="36"/>
          <w:szCs w:val="36"/>
          <w:highlight w:val="none"/>
          <w:lang w:eastAsia="zh-CN"/>
        </w:rPr>
        <w:t xml:space="preserve">货物买卖</w:t>
      </w:r>
      <w:r>
        <w:rPr>
          <w:rFonts w:hint="eastAsia" w:ascii="宋体" w:hAnsi="宋体" w:cs="宋体"/>
          <w:b/>
          <w:bCs/>
          <w:spacing w:val="-20"/>
          <w:sz w:val="36"/>
          <w:szCs w:val="36"/>
          <w:highlight w:val="none"/>
        </w:rPr>
        <w:t xml:space="preserve">合同</w:t>
      </w:r>
      <w:r/>
    </w:p>
    <w:p>
      <w:pPr>
        <w:rPr>
          <w:rFonts w:ascii="宋体" w:hAnsi="宋体" w:cs="宋体"/>
          <w:b/>
          <w:bCs/>
          <w:spacing w:val="-20"/>
          <w:sz w:val="30"/>
          <w:szCs w:val="30"/>
          <w:highlight w:val="none"/>
        </w:rPr>
      </w:pPr>
      <w:r>
        <w:rPr>
          <w:rFonts w:ascii="宋体" w:hAnsi="宋体" w:cs="宋体"/>
          <w:b/>
          <w:bCs/>
          <w:spacing w:val="-20"/>
          <w:sz w:val="30"/>
          <w:szCs w:val="30"/>
          <w:highlight w:val="none"/>
        </w:rPr>
      </w:r>
      <w:r/>
    </w:p>
    <w:p>
      <w:pPr>
        <w:rPr>
          <w:rFonts w:ascii="宋体" w:hAnsi="宋体" w:cs="宋体"/>
          <w:b/>
          <w:bCs/>
          <w:spacing w:val="-20"/>
          <w:sz w:val="30"/>
          <w:szCs w:val="30"/>
          <w:highlight w:val="none"/>
        </w:rPr>
      </w:pPr>
      <w:r>
        <w:rPr>
          <w:rFonts w:ascii="宋体" w:hAnsi="宋体" w:cs="宋体"/>
          <w:b/>
          <w:bCs/>
          <w:spacing w:val="-20"/>
          <w:sz w:val="30"/>
          <w:szCs w:val="30"/>
          <w:highlight w:val="none"/>
        </w:rPr>
      </w:r>
      <w:r/>
    </w:p>
    <w:p>
      <w:pPr>
        <w:rPr>
          <w:rFonts w:ascii="宋体" w:hAnsi="宋体" w:cs="宋体"/>
          <w:b/>
          <w:bCs/>
          <w:spacing w:val="-20"/>
          <w:sz w:val="30"/>
          <w:szCs w:val="30"/>
          <w:highlight w:val="none"/>
        </w:rPr>
      </w:pPr>
      <w:r>
        <w:rPr>
          <w:rFonts w:ascii="宋体" w:hAnsi="宋体" w:cs="宋体"/>
          <w:b/>
          <w:bCs/>
          <w:spacing w:val="-20"/>
          <w:sz w:val="30"/>
          <w:szCs w:val="30"/>
          <w:highlight w:val="none"/>
        </w:rPr>
      </w:r>
      <w:r/>
    </w:p>
    <w:p>
      <w:pPr>
        <w:ind w:left="420"/>
        <w:spacing w:line="360" w:lineRule="auto"/>
        <w:rPr>
          <w:sz w:val="30"/>
          <w:szCs w:val="30"/>
          <w:highlight w:val="none"/>
        </w:rPr>
      </w:pPr>
      <w:r>
        <w:rPr>
          <w:rFonts w:hint="eastAsia" w:ascii="宋体" w:hAnsi="宋体" w:cs="宋体"/>
          <w:sz w:val="30"/>
          <w:szCs w:val="30"/>
          <w:highlight w:val="none"/>
        </w:rPr>
        <w:t xml:space="preserve">项目名称：</w:t>
      </w:r>
      <w:r>
        <w:rPr>
          <w:rFonts w:hint="eastAsia"/>
          <w:sz w:val="30"/>
          <w:szCs w:val="30"/>
          <w:highlight w:val="none"/>
          <w:u w:val="single"/>
        </w:rPr>
        <w:t xml:space="preserve">                             </w:t>
      </w:r>
      <w:r/>
    </w:p>
    <w:p>
      <w:pPr>
        <w:ind w:left="420"/>
        <w:spacing w:line="360" w:lineRule="auto"/>
        <w:rPr>
          <w:sz w:val="30"/>
          <w:szCs w:val="30"/>
          <w:highlight w:val="none"/>
          <w:u w:val="single"/>
        </w:rPr>
      </w:pPr>
      <w:r>
        <w:rPr>
          <w:rFonts w:hint="eastAsia"/>
          <w:sz w:val="30"/>
          <w:szCs w:val="30"/>
          <w:highlight w:val="none"/>
        </w:rPr>
        <w:t xml:space="preserve">合同编号：</w:t>
      </w:r>
      <w:r>
        <w:rPr>
          <w:rFonts w:hint="eastAsia"/>
          <w:sz w:val="30"/>
          <w:szCs w:val="30"/>
          <w:highlight w:val="none"/>
          <w:u w:val="single"/>
        </w:rPr>
        <w:t xml:space="preserve">                             </w:t>
      </w:r>
      <w:r/>
    </w:p>
    <w:p>
      <w:pPr>
        <w:ind w:left="420"/>
        <w:spacing w:line="360" w:lineRule="auto"/>
        <w:rPr>
          <w:sz w:val="30"/>
          <w:szCs w:val="30"/>
          <w:highlight w:val="none"/>
        </w:rPr>
      </w:pPr>
      <w:r>
        <w:rPr>
          <w:rFonts w:hint="eastAsia"/>
          <w:sz w:val="30"/>
          <w:szCs w:val="30"/>
          <w:highlight w:val="none"/>
        </w:rPr>
        <w:t xml:space="preserve">甲    方：</w:t>
      </w:r>
      <w:r>
        <w:rPr>
          <w:rFonts w:hint="eastAsia"/>
          <w:sz w:val="30"/>
          <w:szCs w:val="30"/>
          <w:highlight w:val="none"/>
          <w:u w:val="single"/>
        </w:rPr>
        <w:t xml:space="preserve">                             </w:t>
      </w:r>
      <w:r/>
    </w:p>
    <w:p>
      <w:pPr>
        <w:ind w:left="420"/>
        <w:spacing w:line="360" w:lineRule="auto"/>
        <w:rPr>
          <w:sz w:val="30"/>
          <w:szCs w:val="30"/>
          <w:highlight w:val="none"/>
          <w:u w:val="single"/>
        </w:rPr>
      </w:pPr>
      <w:r>
        <w:rPr>
          <w:rFonts w:hint="eastAsia"/>
          <w:sz w:val="30"/>
          <w:szCs w:val="30"/>
          <w:highlight w:val="none"/>
        </w:rPr>
        <w:t xml:space="preserve">乙    方：</w:t>
      </w:r>
      <w:r>
        <w:rPr>
          <w:rFonts w:hint="eastAsia"/>
          <w:sz w:val="30"/>
          <w:szCs w:val="30"/>
          <w:highlight w:val="none"/>
          <w:u w:val="single"/>
        </w:rPr>
        <w:t xml:space="preserve">                             </w:t>
      </w:r>
      <w:r/>
    </w:p>
    <w:p>
      <w:pPr>
        <w:ind w:left="420"/>
        <w:spacing w:line="360" w:lineRule="auto"/>
        <w:rPr>
          <w:sz w:val="30"/>
          <w:szCs w:val="30"/>
          <w:highlight w:val="none"/>
        </w:rPr>
      </w:pPr>
      <w:r>
        <w:rPr>
          <w:rFonts w:hint="eastAsia"/>
          <w:sz w:val="30"/>
          <w:szCs w:val="30"/>
          <w:highlight w:val="none"/>
        </w:rPr>
        <w:t xml:space="preserve">签订时间：</w:t>
      </w:r>
      <w:r>
        <w:rPr>
          <w:rFonts w:hint="eastAsia"/>
          <w:sz w:val="30"/>
          <w:szCs w:val="30"/>
          <w:highlight w:val="none"/>
          <w:u w:val="single"/>
        </w:rPr>
        <w:t xml:space="preserve">      </w:t>
      </w:r>
      <w:r>
        <w:rPr>
          <w:sz w:val="30"/>
          <w:szCs w:val="30"/>
          <w:highlight w:val="none"/>
          <w:u w:val="single"/>
        </w:rPr>
        <w:t xml:space="preserve">           </w:t>
      </w:r>
      <w:r>
        <w:rPr>
          <w:rFonts w:hint="eastAsia"/>
          <w:sz w:val="30"/>
          <w:szCs w:val="30"/>
          <w:highlight w:val="none"/>
          <w:u w:val="single"/>
        </w:rPr>
        <w:t xml:space="preserve">            </w:t>
      </w:r>
      <w:r/>
    </w:p>
    <w:p>
      <w:pPr>
        <w:rPr>
          <w:sz w:val="30"/>
          <w:szCs w:val="30"/>
          <w:highlight w:val="none"/>
        </w:rPr>
      </w:pPr>
      <w:r>
        <w:rPr>
          <w:sz w:val="30"/>
          <w:szCs w:val="30"/>
          <w:highlight w:val="none"/>
        </w:rPr>
      </w:r>
      <w:r/>
    </w:p>
    <w:p>
      <w:pPr>
        <w:rPr>
          <w:rFonts w:eastAsia="黑体"/>
          <w:sz w:val="30"/>
          <w:szCs w:val="30"/>
          <w:highlight w:val="none"/>
        </w:rPr>
      </w:pPr>
      <w:r>
        <w:rPr>
          <w:rFonts w:eastAsia="黑体"/>
          <w:sz w:val="30"/>
          <w:szCs w:val="30"/>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highlight w:val="none"/>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pStyle w:val="762"/>
        <w:jc w:val="center"/>
        <w:spacing w:line="400" w:lineRule="exact"/>
        <w:rPr>
          <w:rFonts w:hint="eastAsia" w:ascii="宋体" w:hAnsi="宋体" w:eastAsia="宋体" w:cs="宋体"/>
          <w:b w:val="0"/>
          <w:bCs w:val="0"/>
          <w:sz w:val="32"/>
          <w:szCs w:val="32"/>
          <w:highlight w:val="none"/>
        </w:rPr>
      </w:pPr>
      <w:r/>
      <w:bookmarkStart w:id="174" w:name="_Toc22209"/>
      <w:r>
        <w:rPr>
          <w:rFonts w:hint="eastAsia" w:ascii="宋体" w:hAnsi="宋体" w:eastAsia="宋体" w:cs="宋体"/>
          <w:b w:val="0"/>
          <w:bCs w:val="0"/>
          <w:sz w:val="32"/>
          <w:szCs w:val="32"/>
          <w:highlight w:val="none"/>
        </w:rPr>
        <w:t xml:space="preserve">第一节 政府采购合同协议书</w:t>
      </w:r>
      <w:bookmarkEnd w:id="174"/>
      <w:r/>
      <w:r/>
    </w:p>
    <w:p>
      <w:pPr>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甲方（全称）：</w:t>
      </w:r>
      <w:r>
        <w:rPr>
          <w:rFonts w:hint="eastAsia" w:ascii="宋体" w:hAnsi="宋体" w:eastAsia="宋体" w:cs="宋体"/>
          <w:sz w:val="24"/>
          <w:szCs w:val="24"/>
          <w:highlight w:val="none"/>
          <w:u w:val="single"/>
        </w:rPr>
        <w:t xml:space="preserve">                        </w:t>
      </w:r>
      <w:r/>
    </w:p>
    <w:p>
      <w:pPr>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（全称）：</w:t>
      </w:r>
      <w:r>
        <w:rPr>
          <w:rFonts w:hint="eastAsia" w:ascii="宋体" w:hAnsi="宋体" w:eastAsia="宋体" w:cs="宋体"/>
          <w:sz w:val="24"/>
          <w:szCs w:val="24"/>
          <w:highlight w:val="none"/>
          <w:u w:val="single"/>
        </w:rPr>
        <w:t xml:space="preserve">                       </w:t>
      </w:r>
      <w:r/>
    </w:p>
    <w:p>
      <w:pPr>
        <w:pStyle w:val="777"/>
        <w:ind w:left="0" w:firstLine="480"/>
        <w:spacing w:before="0"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《中华人民共和国政府采购法》等有关的法律法规，以及</w:t>
      </w:r>
      <w:r>
        <w:rPr>
          <w:rFonts w:hint="eastAsia" w:ascii="宋体" w:hAnsi="宋体" w:eastAsia="宋体" w:cs="宋体"/>
          <w:i w:val="0"/>
          <w:iCs w:val="0"/>
          <w:sz w:val="24"/>
          <w:szCs w:val="24"/>
          <w:highlight w:val="none"/>
          <w:u w:val="none"/>
          <w:lang w:eastAsia="zh-CN"/>
        </w:rPr>
        <w:t xml:space="preserve">本采购项目</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lang w:val="en-US" w:eastAsia="zh-CN"/>
        </w:rPr>
        <w:t xml:space="preserve">/谈判</w:t>
      </w:r>
      <w:r>
        <w:rPr>
          <w:rFonts w:hint="eastAsia" w:ascii="宋体" w:hAnsi="宋体" w:eastAsia="宋体" w:cs="宋体"/>
          <w:sz w:val="24"/>
          <w:szCs w:val="24"/>
          <w:highlight w:val="none"/>
          <w:lang w:eastAsia="zh-CN"/>
        </w:rPr>
        <w:t xml:space="preserve">文件等</w:t>
      </w:r>
      <w:r>
        <w:rPr>
          <w:rFonts w:hint="eastAsia" w:ascii="宋体" w:hAnsi="宋体" w:eastAsia="宋体" w:cs="宋体"/>
          <w:sz w:val="24"/>
          <w:szCs w:val="24"/>
          <w:highlight w:val="none"/>
        </w:rPr>
        <w:t xml:space="preserve">采购文件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乙方的《投标（响应）文件》及《中标（成交）通知书》，甲乙双方同意签订本合同。具体情况及要求如下：     </w:t>
      </w:r>
      <w:r/>
    </w:p>
    <w:p>
      <w:pPr>
        <w:numPr>
          <w:ilvl w:val="0"/>
          <w:numId w:val="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pStyle w:val="777"/>
        <w:numPr>
          <w:ilvl w:val="0"/>
          <w:numId w:val="6"/>
        </w:numPr>
        <w:ind w:left="0" w:firstLine="480"/>
        <w:spacing w:before="0" w:after="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u w:val="single"/>
        </w:rPr>
        <w:t xml:space="preserve">                                          </w:t>
      </w:r>
      <w:r/>
    </w:p>
    <w:p>
      <w:pPr>
        <w:pStyle w:val="777"/>
        <w:numPr>
          <w:ilvl w:val="-1"/>
          <w:numId w:val="0"/>
        </w:numPr>
        <w:ind w:left="0" w:firstLine="0"/>
        <w:spacing w:before="0" w:after="0" w:line="400" w:lineRule="exact"/>
        <w:tabs>
          <w:tab w:val="left" w:pos="999" w:leader="none"/>
        </w:tabs>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         采购项目编号：</w:t>
      </w:r>
      <w:r>
        <w:rPr>
          <w:rFonts w:hint="eastAsia" w:ascii="宋体" w:hAnsi="宋体" w:eastAsia="宋体" w:cs="宋体"/>
          <w:sz w:val="24"/>
          <w:szCs w:val="24"/>
          <w:highlight w:val="none"/>
          <w:u w:val="single"/>
        </w:rPr>
        <w:t xml:space="preserve">                                          </w:t>
      </w:r>
      <w:r/>
    </w:p>
    <w:p>
      <w:pPr>
        <w:pStyle w:val="777"/>
        <w:ind w:left="0" w:firstLine="480"/>
        <w:spacing w:before="0"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firstLine="48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采购标的及数量</w:t>
      </w:r>
      <w:r>
        <w:rPr>
          <w:rFonts w:hint="eastAsia" w:ascii="宋体" w:hAnsi="宋体" w:eastAsia="宋体" w:cs="宋体"/>
          <w:sz w:val="24"/>
          <w:szCs w:val="24"/>
          <w:highlight w:val="none"/>
          <w:lang w:val="en-US" w:eastAsia="zh-CN"/>
        </w:rPr>
        <w:t xml:space="preserve">（台/套</w:t>
      </w:r>
      <w:r>
        <w:rPr>
          <w:rFonts w:hint="eastAsia" w:ascii="宋体" w:hAnsi="宋体" w:eastAsia="宋体" w:cs="宋体"/>
          <w:sz w:val="24"/>
          <w:szCs w:val="24"/>
          <w:highlight w:val="none"/>
          <w:lang w:val="en" w:eastAsia="zh-CN"/>
        </w:rPr>
        <w:t xml:space="preserve">/个/架/组等</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p>
    <w:p>
      <w:pPr>
        <w:numPr>
          <w:ilvl w:val="-1"/>
          <w:numId w:val="0"/>
        </w:numPr>
        <w:ind w:firstLine="480"/>
        <w:spacing w:before="0" w:line="400" w:lineRule="exact"/>
        <w:rPr>
          <w:rFonts w:hint="eastAsia" w:ascii="宋体" w:hAnsi="宋体" w:eastAsia="宋体" w:cs="宋体"/>
          <w:sz w:val="24"/>
          <w:szCs w:val="24"/>
          <w:highlight w:val="none"/>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 w:eastAsia="zh-CN"/>
        </w:rPr>
        <w:t xml:space="preserve">     </w:t>
      </w:r>
      <w:r>
        <w:rPr>
          <w:rFonts w:hint="eastAsia" w:ascii="宋体" w:hAnsi="宋体" w:eastAsia="宋体" w:cs="宋体"/>
          <w:sz w:val="24"/>
          <w:szCs w:val="24"/>
          <w:highlight w:val="none"/>
          <w:lang w:val="en-US" w:eastAsia="zh-CN"/>
        </w:rPr>
        <w:t xml:space="preserve">规格型号：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p>
    <w:p>
      <w:pPr>
        <w:ind w:firstLine="10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1"/>
          <w:numId w:val="0"/>
        </w:numPr>
        <w:ind w:firstLine="108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①涉及信息类产品，请填写该产品关键部件的品牌、型号：</w:t>
      </w:r>
      <w:r/>
    </w:p>
    <w:p>
      <w:pPr>
        <w:numPr>
          <w:ilvl w:val="-1"/>
          <w:numId w:val="0"/>
        </w:numPr>
        <w:ind w:firstLine="480"/>
        <w:spacing w:before="0" w:line="40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     标的名称：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 w:eastAsia="zh-CN"/>
        </w:rPr>
        <w:t xml:space="preserve">               </w:t>
      </w:r>
      <w:r>
        <w:rPr>
          <w:rFonts w:hint="eastAsia" w:ascii="宋体" w:hAnsi="宋体" w:eastAsia="宋体" w:cs="宋体"/>
          <w:sz w:val="24"/>
          <w:szCs w:val="24"/>
          <w:highlight w:val="none"/>
          <w:u w:val="single"/>
          <w:lang w:val="en-US" w:eastAsia="zh-CN"/>
        </w:rPr>
        <w:t xml:space="preserve">    </w:t>
      </w:r>
      <w:r/>
    </w:p>
    <w:p>
      <w:pPr>
        <w:numPr>
          <w:ilvl w:val="-1"/>
          <w:numId w:val="0"/>
        </w:numPr>
        <w:ind w:firstLine="48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关键部件：</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108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关键部件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108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关键部件：</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型号：</w:t>
      </w:r>
      <w:r>
        <w:rPr>
          <w:rFonts w:hint="eastAsia" w:ascii="宋体" w:hAnsi="宋体" w:eastAsia="宋体" w:cs="宋体"/>
          <w:sz w:val="24"/>
          <w:szCs w:val="24"/>
          <w:highlight w:val="none"/>
          <w:u w:val="single"/>
          <w:lang w:val="en-US" w:eastAsia="zh-CN"/>
        </w:rPr>
        <w:t xml:space="preserve">       </w:t>
      </w:r>
      <w:r/>
    </w:p>
    <w:p>
      <w:pPr>
        <w:pStyle w:val="1082"/>
        <w:numPr>
          <w:ilvl w:val="-1"/>
          <w:numId w:val="0"/>
        </w:numPr>
        <w:ind w:firstLine="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82"/>
        <w:numPr>
          <w:ilvl w:val="-1"/>
          <w:numId w:val="0"/>
        </w:numPr>
        <w:ind w:firstLine="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②涉及车辆采购，请填写是否属于新能源汽车：</w:t>
      </w:r>
      <w:r/>
    </w:p>
    <w:p>
      <w:pPr>
        <w:pStyle w:val="1082"/>
        <w:numPr>
          <w:ilvl w:val="-1"/>
          <w:numId w:val="0"/>
        </w:numPr>
        <w:ind w:firstLine="0"/>
        <w:spacing w:before="0" w:line="400" w:lineRule="exact"/>
        <w:rPr>
          <w:rFonts w:hint="eastAsia" w:ascii="宋体" w:hAnsi="宋体" w:eastAsia="宋体" w:cs="宋体"/>
          <w:iCs w:val="0"/>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，《政府采购品目分类目录》底级品目名称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数量：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金额：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val="0"/>
          <w:sz w:val="24"/>
          <w:szCs w:val="24"/>
          <w:highlight w:val="none"/>
          <w:lang w:val="en-US" w:eastAsia="zh-CN"/>
        </w:rPr>
        <w:t xml:space="preserve"> </w:t>
      </w:r>
      <w:r/>
    </w:p>
    <w:p>
      <w:pPr>
        <w:pStyle w:val="1082"/>
        <w:numPr>
          <w:ilvl w:val="-1"/>
          <w:numId w:val="0"/>
        </w:numPr>
        <w:ind w:firstLine="0"/>
        <w:spacing w:before="0" w:line="400" w:lineRule="exact"/>
        <w:rPr>
          <w:rFonts w:hint="eastAsia" w:ascii="宋体" w:hAnsi="宋体" w:eastAsia="宋体" w:cs="宋体"/>
          <w:iCs w:val="0"/>
          <w:sz w:val="24"/>
          <w:szCs w:val="24"/>
          <w:highlight w:val="none"/>
          <w:lang w:eastAsia="zh-CN"/>
        </w:rPr>
      </w:pP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否</w:t>
      </w:r>
      <w:r/>
    </w:p>
    <w:p>
      <w:pPr>
        <w:pStyle w:val="1082"/>
        <w:numPr>
          <w:ilvl w:val="-1"/>
          <w:numId w:val="0"/>
        </w:numPr>
        <w:ind w:left="0" w:firstLine="0"/>
        <w:spacing w:before="0" w:line="400" w:lineRule="exact"/>
        <w:rPr>
          <w:rFonts w:hint="eastAsia" w:ascii="宋体" w:hAnsi="宋体" w:eastAsia="宋体" w:cs="宋体"/>
          <w:iCs w:val="0"/>
          <w:sz w:val="24"/>
          <w:szCs w:val="24"/>
          <w:highlight w:val="none"/>
          <w:lang w:val="en-US" w:eastAsia="zh-CN"/>
        </w:rPr>
      </w:pPr>
      <w:r>
        <w:rPr>
          <w:rFonts w:hint="eastAsia" w:ascii="宋体" w:hAnsi="宋体" w:eastAsia="宋体" w:cs="宋体"/>
          <w:iCs w:val="0"/>
          <w:sz w:val="24"/>
          <w:szCs w:val="24"/>
          <w:highlight w:val="none"/>
          <w:lang w:val="en-US" w:eastAsia="zh-CN"/>
        </w:rPr>
        <w:t xml:space="preserve">    （</w:t>
      </w:r>
      <w:r>
        <w:rPr>
          <w:rFonts w:hint="eastAsia" w:ascii="宋体" w:hAnsi="宋体" w:eastAsia="宋体" w:cs="宋体"/>
          <w:iCs w:val="0"/>
          <w:sz w:val="24"/>
          <w:szCs w:val="24"/>
          <w:highlight w:val="none"/>
          <w:lang w:val="en" w:eastAsia="zh-CN"/>
        </w:rPr>
        <w:t xml:space="preserve">4</w:t>
      </w:r>
      <w:r>
        <w:rPr>
          <w:rFonts w:hint="eastAsia" w:ascii="宋体" w:hAnsi="宋体" w:eastAsia="宋体" w:cs="宋体"/>
          <w:iCs w:val="0"/>
          <w:sz w:val="24"/>
          <w:szCs w:val="24"/>
          <w:highlight w:val="none"/>
          <w:lang w:val="en-US" w:eastAsia="zh-CN"/>
        </w:rPr>
        <w:t xml:space="preserve">）政府采购组织形式：</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政府集中采购</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val="en-US" w:eastAsia="zh-CN"/>
        </w:rPr>
        <w:t xml:space="preserve">部门集中采购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val="en-US" w:eastAsia="zh-CN"/>
        </w:rPr>
        <w:t xml:space="preserve">分散采购</w:t>
      </w:r>
      <w:r/>
    </w:p>
    <w:p>
      <w:pPr>
        <w:pStyle w:val="1082"/>
        <w:numPr>
          <w:ilvl w:val="-1"/>
          <w:numId w:val="0"/>
        </w:numPr>
        <w:ind w:left="0" w:firstLine="420"/>
        <w:spacing w:before="0" w:line="400" w:lineRule="exact"/>
        <w:rPr>
          <w:rFonts w:hint="eastAsia" w:ascii="宋体" w:hAnsi="宋体" w:eastAsia="宋体" w:cs="宋体"/>
          <w:iCs w:val="0"/>
          <w:sz w:val="24"/>
          <w:szCs w:val="24"/>
          <w:highlight w:val="none"/>
          <w:lang w:eastAsia="zh-CN"/>
        </w:rPr>
      </w:pPr>
      <w:r>
        <w:rPr>
          <w:rFonts w:hint="eastAsia" w:ascii="宋体" w:hAnsi="宋体" w:eastAsia="宋体" w:cs="宋体"/>
          <w:iCs w:val="0"/>
          <w:sz w:val="24"/>
          <w:szCs w:val="24"/>
          <w:highlight w:val="none"/>
          <w:lang w:val="en-US" w:eastAsia="zh-CN"/>
        </w:rPr>
        <w:t xml:space="preserve">（</w:t>
      </w:r>
      <w:r>
        <w:rPr>
          <w:rFonts w:hint="eastAsia" w:ascii="宋体" w:hAnsi="宋体" w:eastAsia="宋体" w:cs="宋体"/>
          <w:iCs w:val="0"/>
          <w:sz w:val="24"/>
          <w:szCs w:val="24"/>
          <w:highlight w:val="none"/>
          <w:lang w:val="en" w:eastAsia="zh-CN"/>
        </w:rPr>
        <w:t xml:space="preserve">5</w:t>
      </w:r>
      <w:r>
        <w:rPr>
          <w:rFonts w:hint="eastAsia" w:ascii="宋体" w:hAnsi="宋体" w:eastAsia="宋体" w:cs="宋体"/>
          <w:iCs w:val="0"/>
          <w:sz w:val="24"/>
          <w:szCs w:val="24"/>
          <w:highlight w:val="none"/>
          <w:lang w:val="en-US" w:eastAsia="zh-CN"/>
        </w:rPr>
        <w:t xml:space="preserve">）政府采购方式：</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公开招标</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邀请招标</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竞争性谈判</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竞争性磋商</w:t>
      </w:r>
      <w:r/>
    </w:p>
    <w:p>
      <w:pPr>
        <w:pStyle w:val="1082"/>
        <w:numPr>
          <w:ilvl w:val="-1"/>
          <w:numId w:val="0"/>
        </w:numPr>
        <w:ind w:left="0" w:firstLine="420"/>
        <w:spacing w:before="0" w:line="400" w:lineRule="exact"/>
        <w:rPr>
          <w:rFonts w:hint="eastAsia" w:ascii="宋体" w:hAnsi="宋体" w:eastAsia="宋体" w:cs="宋体"/>
          <w:iCs w:val="0"/>
          <w:sz w:val="24"/>
          <w:szCs w:val="24"/>
          <w:highlight w:val="none"/>
          <w:u w:val="single"/>
          <w:lang w:val="en-US" w:eastAsia="zh-CN"/>
        </w:rPr>
      </w:pPr>
      <w:r>
        <w:rPr>
          <w:rFonts w:hint="eastAsia" w:ascii="宋体" w:hAnsi="宋体" w:eastAsia="宋体" w:cs="宋体"/>
          <w:sz w:val="24"/>
          <w:szCs w:val="24"/>
          <w:highlight w:val="none"/>
          <w:u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询价</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单一来源</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框架协议</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其他：</w:t>
      </w:r>
      <w:r>
        <w:rPr>
          <w:rFonts w:hint="eastAsia" w:ascii="宋体" w:hAnsi="宋体" w:eastAsia="宋体" w:cs="宋体"/>
          <w:iCs w:val="0"/>
          <w:sz w:val="24"/>
          <w:szCs w:val="24"/>
          <w:highlight w:val="none"/>
          <w:u w:val="single"/>
          <w:lang w:val="en-US" w:eastAsia="zh-CN"/>
        </w:rPr>
        <w:t xml:space="preserve">          </w:t>
      </w:r>
      <w:r/>
    </w:p>
    <w:p>
      <w:pPr>
        <w:pStyle w:val="1082"/>
        <w:numPr>
          <w:ilvl w:val="-1"/>
          <w:numId w:val="0"/>
        </w:numPr>
        <w:ind w:firstLine="240"/>
        <w:spacing w:before="0"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中标（成交）采购标的制造商是否为中小企业：</w:t>
      </w:r>
      <w:r>
        <w:rPr>
          <w:rFonts w:ascii="Wingdings" w:hAnsi="Wingdings" w:eastAsia="Wingdings" w:cs="Wingding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      </w:t>
      </w:r>
      <w:r>
        <w:rPr>
          <w:rFonts w:ascii="Wingdings" w:hAnsi="Wingdings" w:eastAsia="Wingdings" w:cs="Wingding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p>
    <w:p>
      <w:pPr>
        <w:numPr>
          <w:ilvl w:val="-1"/>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lang w:val="en-US" w:eastAsia="zh-CN"/>
        </w:rPr>
        <w:t xml:space="preserve">         本合同</w:t>
      </w:r>
      <w:r>
        <w:rPr>
          <w:rFonts w:hint="eastAsia" w:ascii="宋体" w:hAnsi="宋体" w:eastAsia="宋体" w:cs="宋体"/>
          <w:sz w:val="24"/>
          <w:szCs w:val="24"/>
          <w:highlight w:val="none"/>
        </w:rPr>
        <w:t xml:space="preserve">是否</w:t>
      </w:r>
      <w:r>
        <w:rPr>
          <w:rFonts w:hint="eastAsia" w:ascii="宋体" w:hAnsi="宋体" w:eastAsia="宋体" w:cs="宋体"/>
          <w:sz w:val="24"/>
          <w:szCs w:val="24"/>
          <w:highlight w:val="none"/>
          <w:lang w:eastAsia="zh-CN"/>
        </w:rPr>
        <w:t xml:space="preserve">为专门面向</w:t>
      </w:r>
      <w:r>
        <w:rPr>
          <w:rFonts w:hint="eastAsia" w:ascii="宋体" w:hAnsi="宋体" w:eastAsia="宋体" w:cs="宋体"/>
          <w:sz w:val="24"/>
          <w:szCs w:val="24"/>
          <w:highlight w:val="none"/>
        </w:rPr>
        <w:t xml:space="preserve">中小企业</w:t>
      </w:r>
      <w:r>
        <w:rPr>
          <w:rFonts w:hint="eastAsia" w:ascii="宋体" w:hAnsi="宋体" w:eastAsia="宋体" w:cs="宋体"/>
          <w:sz w:val="24"/>
          <w:szCs w:val="24"/>
          <w:highlight w:val="none"/>
          <w:lang w:eastAsia="zh-CN"/>
        </w:rPr>
        <w:t xml:space="preserve">的采</w:t>
      </w:r>
      <w:r>
        <w:rPr>
          <w:rFonts w:hint="eastAsia" w:ascii="宋体" w:hAnsi="宋体" w:eastAsia="宋体" w:cs="宋体"/>
          <w:sz w:val="24"/>
          <w:szCs w:val="24"/>
          <w:highlight w:val="none"/>
          <w:shd w:val="clear" w:color="auto"/>
          <w:lang w:eastAsia="zh-CN"/>
        </w:rPr>
        <w:t xml:space="preserve">购</w:t>
      </w:r>
      <w:r>
        <w:rPr>
          <w:rFonts w:hint="eastAsia" w:ascii="宋体" w:hAnsi="宋体" w:eastAsia="宋体" w:cs="宋体"/>
          <w:sz w:val="24"/>
          <w:szCs w:val="24"/>
          <w:highlight w:val="none"/>
          <w:shd w:val="clear" w:color="auto"/>
        </w:rPr>
        <w:t xml:space="preserve">合同</w:t>
      </w:r>
      <w:r>
        <w:rPr>
          <w:rFonts w:hint="eastAsia" w:ascii="宋体" w:hAnsi="宋体" w:eastAsia="宋体" w:cs="宋体"/>
          <w:sz w:val="24"/>
          <w:szCs w:val="24"/>
          <w:highlight w:val="none"/>
          <w:shd w:val="clear" w:color="auto"/>
          <w:lang w:eastAsia="zh-CN"/>
        </w:rPr>
        <w:t xml:space="preserve">（中小企业预留合同）</w:t>
      </w:r>
      <w:r>
        <w:rPr>
          <w:rFonts w:hint="eastAsia" w:ascii="宋体" w:hAnsi="宋体" w:eastAsia="宋体" w:cs="宋体"/>
          <w:sz w:val="24"/>
          <w:szCs w:val="24"/>
          <w:highlight w:val="none"/>
          <w:shd w:val="clear" w:color="auto"/>
        </w:rPr>
        <w:t xml:space="preserve">：</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lang w:val="en-US" w:eastAsia="zh-CN"/>
        </w:rPr>
        <w:t xml:space="preserve">  </w:t>
      </w:r>
      <w:r>
        <w:rPr>
          <w:rFonts w:hint="eastAsia" w:ascii="宋体" w:hAnsi="宋体" w:eastAsia="宋体" w:cs="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1"/>
          <w:numId w:val="0"/>
        </w:numPr>
        <w:ind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lang w:val="en-US" w:eastAsia="zh-CN"/>
        </w:rPr>
        <w:t xml:space="preserve">         若本项目不专门面向中小企业采购，是否给予小微企业评审优惠：</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1"/>
          <w:numId w:val="0"/>
        </w:numPr>
        <w:ind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lang w:val="en-US" w:eastAsia="zh-CN"/>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0"/>
          <w:numId w:val="0"/>
        </w:numPr>
        <w:ind w:firstLine="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中标（成交）采购标的制造商是否为监狱企业：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 w:eastAsia="zh-CN"/>
        </w:rPr>
        <w:t xml:space="preserve">7</w:t>
      </w:r>
      <w:r>
        <w:rPr>
          <w:rFonts w:hint="eastAsia" w:ascii="宋体" w:hAnsi="宋体" w:eastAsia="宋体" w:cs="宋体"/>
          <w:sz w:val="24"/>
          <w:szCs w:val="24"/>
          <w:highlight w:val="none"/>
        </w:rPr>
        <w:t xml:space="preserve">）合同是否分包：</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分包主要内容：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highlight w:val="none"/>
        </w:rPr>
        <w:t xml:space="preserve">：</w:t>
      </w:r>
      <w:r/>
    </w:p>
    <w:p>
      <w:pPr>
        <w:ind w:firstLine="960"/>
        <w:spacing w:line="400" w:lineRule="exact"/>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w:t>
      </w:r>
      <w:r>
        <w:rPr>
          <w:rFonts w:hint="eastAsia" w:ascii="宋体" w:hAnsi="宋体" w:eastAsia="宋体" w:cs="宋体"/>
          <w:iCs/>
          <w:sz w:val="24"/>
          <w:szCs w:val="24"/>
          <w:highlight w:val="none"/>
          <w:lang w:val="en-US" w:eastAsia="zh-CN"/>
        </w:rPr>
        <w:t xml:space="preserve">  </w:t>
      </w:r>
      <w:r/>
    </w:p>
    <w:p>
      <w:pPr>
        <w:ind w:firstLine="960"/>
        <w:spacing w:line="400" w:lineRule="exact"/>
        <w:rPr>
          <w:rFonts w:hint="eastAsia" w:ascii="宋体" w:hAnsi="宋体" w:eastAsia="宋体" w:cs="宋体"/>
          <w:sz w:val="24"/>
          <w:szCs w:val="24"/>
          <w:highlight w:val="none"/>
          <w:u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残疾人福利性单位</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监狱</w:t>
      </w:r>
      <w:r>
        <w:rPr>
          <w:rFonts w:hint="eastAsia" w:ascii="宋体" w:hAnsi="宋体" w:eastAsia="宋体" w:cs="宋体"/>
          <w:iCs/>
          <w:sz w:val="24"/>
          <w:szCs w:val="24"/>
          <w:highlight w:val="none"/>
        </w:rPr>
        <w:t xml:space="preserve">企业</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其他</w:t>
      </w:r>
      <w:r/>
    </w:p>
    <w:p>
      <w:pPr>
        <w:numPr>
          <w:ilvl w:val="-1"/>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1082"/>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1"/>
          <w:numId w:val="0"/>
        </w:numPr>
        <w:ind w:firstLine="480"/>
        <w:spacing w:before="0" w:line="400" w:lineRule="exact"/>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 w:eastAsia="zh-CN"/>
        </w:rPr>
        <w:t xml:space="preserve">9</w:t>
      </w:r>
      <w:r>
        <w:rPr>
          <w:rFonts w:hint="eastAsia" w:ascii="宋体" w:hAnsi="宋体" w:eastAsia="宋体" w:cs="宋体"/>
          <w:b w:val="0"/>
          <w:bCs w:val="0"/>
          <w:sz w:val="24"/>
          <w:szCs w:val="24"/>
          <w:highlight w:val="none"/>
          <w:u w:val="none"/>
          <w:lang w:val="en-US" w:eastAsia="zh-CN"/>
        </w:rPr>
        <w:t xml:space="preserve">）是否涉及进口产品：</w:t>
      </w:r>
      <w:r/>
    </w:p>
    <w:p>
      <w:pPr>
        <w:numPr>
          <w:ilvl w:val="-1"/>
          <w:numId w:val="0"/>
        </w:numPr>
        <w:ind w:firstLine="960"/>
        <w:spacing w:before="0" w:line="400" w:lineRule="exact"/>
        <w:rPr>
          <w:rFonts w:hint="eastAsia" w:ascii="宋体" w:hAnsi="宋体" w:eastAsia="宋体" w:cs="宋体"/>
          <w:sz w:val="24"/>
          <w:szCs w:val="24"/>
          <w:highlight w:val="none"/>
          <w:u w:val="single"/>
          <w:lang w:val="en-US" w:eastAsia="zh-CN"/>
        </w:rPr>
      </w:pP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，《政府采购品目分类目录》底级品目名称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金额：</w:t>
      </w:r>
      <w:r>
        <w:rPr>
          <w:rFonts w:hint="eastAsia" w:ascii="宋体" w:hAnsi="宋体" w:eastAsia="宋体" w:cs="宋体"/>
          <w:sz w:val="24"/>
          <w:szCs w:val="24"/>
          <w:highlight w:val="none"/>
          <w:u w:val="single"/>
          <w:lang w:val="en-US" w:eastAsia="zh-CN"/>
        </w:rPr>
        <w:t xml:space="preserve">        </w:t>
      </w:r>
      <w:r/>
    </w:p>
    <w:p>
      <w:pPr>
        <w:numPr>
          <w:ilvl w:val="-1"/>
          <w:numId w:val="0"/>
        </w:numPr>
        <w:ind w:firstLine="960"/>
        <w:spacing w:before="0" w:line="400" w:lineRule="exact"/>
        <w:rPr>
          <w:rFonts w:hint="eastAsia" w:ascii="宋体" w:hAnsi="宋体" w:eastAsia="宋体" w:cs="宋体"/>
          <w:iCs w:val="0"/>
          <w:sz w:val="24"/>
          <w:szCs w:val="24"/>
          <w:highlight w:val="none"/>
        </w:rPr>
      </w:pPr>
      <w:r>
        <w:rPr>
          <w:rFonts w:hint="eastAsia" w:ascii="宋体" w:hAnsi="宋体" w:eastAsia="宋体" w:cs="宋体"/>
          <w:sz w:val="24"/>
          <w:szCs w:val="24"/>
          <w:highlight w:val="none"/>
          <w:lang w:val="en-US" w:eastAsia="zh-CN"/>
        </w:rPr>
        <w:t xml:space="preserve">        国别：</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品牌：</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规格型号：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val="0"/>
          <w:sz w:val="24"/>
          <w:szCs w:val="24"/>
          <w:highlight w:val="none"/>
        </w:rPr>
        <w:t xml:space="preserve">      </w:t>
      </w:r>
      <w:r/>
    </w:p>
    <w:p>
      <w:pPr>
        <w:ind w:firstLine="960"/>
        <w:spacing w:before="0" w:line="400" w:lineRule="exact"/>
        <w:rPr>
          <w:rFonts w:hint="eastAsia" w:ascii="宋体" w:hAnsi="宋体" w:eastAsia="宋体" w:cs="宋体"/>
          <w:sz w:val="24"/>
          <w:szCs w:val="24"/>
          <w:highlight w:val="none"/>
          <w:u w:val="none"/>
          <w:lang w:val="en-US" w:eastAsia="zh-CN"/>
        </w:rPr>
      </w:pP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   （1</w:t>
      </w:r>
      <w:r>
        <w:rPr>
          <w:rFonts w:hint="eastAsia" w:ascii="宋体" w:hAnsi="宋体" w:eastAsia="宋体" w:cs="宋体"/>
          <w:b w:val="0"/>
          <w:bCs w:val="0"/>
          <w:sz w:val="24"/>
          <w:szCs w:val="24"/>
          <w:highlight w:val="none"/>
          <w:u w:val="none"/>
          <w:lang w:val="en" w:eastAsia="zh-CN"/>
        </w:rPr>
        <w:t xml:space="preserve">0</w:t>
      </w:r>
      <w:r>
        <w:rPr>
          <w:rFonts w:hint="eastAsia" w:ascii="宋体" w:hAnsi="宋体" w:eastAsia="宋体" w:cs="宋体"/>
          <w:b w:val="0"/>
          <w:bCs w:val="0"/>
          <w:sz w:val="24"/>
          <w:szCs w:val="24"/>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b w:val="0"/>
          <w:bCs w:val="0"/>
          <w:sz w:val="24"/>
          <w:szCs w:val="24"/>
          <w:highlight w:val="none"/>
          <w:u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，《节能产品政府采购品目清单》的底级品目名称：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强制采购</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优先采购</w:t>
      </w:r>
      <w:r>
        <w:rPr>
          <w:rFonts w:hint="eastAsia" w:ascii="宋体" w:hAnsi="宋体" w:eastAsia="宋体" w:cs="宋体"/>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val="0"/>
          <w:sz w:val="24"/>
          <w:szCs w:val="24"/>
          <w:highlight w:val="none"/>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   （11）是否涉及环境标志产品：</w:t>
      </w:r>
      <w:r/>
    </w:p>
    <w:p>
      <w:pPr>
        <w:numPr>
          <w:ilvl w:val="-1"/>
          <w:numId w:val="0"/>
        </w:numPr>
        <w:ind w:firstLine="0"/>
        <w:spacing w:before="0" w:line="400" w:lineRule="exact"/>
        <w:tabs>
          <w:tab w:val="left" w:pos="740" w:leader="none"/>
        </w:tabs>
        <w:rPr>
          <w:rFonts w:hint="eastAsia" w:ascii="宋体" w:hAnsi="宋体" w:eastAsia="宋体" w:cs="宋体"/>
          <w:iCs w:val="0"/>
          <w:sz w:val="24"/>
          <w:szCs w:val="24"/>
          <w:highlight w:val="none"/>
          <w:lang w:eastAsia="zh-CN"/>
        </w:rPr>
      </w:pPr>
      <w:r>
        <w:rPr>
          <w:rFonts w:hint="eastAsia" w:ascii="宋体" w:hAnsi="宋体" w:eastAsia="宋体" w:cs="宋体"/>
          <w:b w:val="0"/>
          <w:bCs w:val="0"/>
          <w:sz w:val="24"/>
          <w:szCs w:val="24"/>
          <w:highlight w:val="none"/>
          <w:u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w:t>
      </w:r>
      <w:r>
        <w:rPr>
          <w:rFonts w:hint="eastAsia" w:ascii="宋体" w:hAnsi="宋体" w:eastAsia="宋体" w:cs="宋体"/>
          <w:iCs w:val="0"/>
          <w:sz w:val="24"/>
          <w:szCs w:val="24"/>
          <w:highlight w:val="none"/>
          <w:lang w:eastAsia="zh-CN"/>
        </w:rPr>
        <w:t xml:space="preserve">，《环境标志产品政府采购品目清单》的底级品目名称：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强制采购</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优先采购</w:t>
      </w:r>
      <w:r>
        <w:rPr>
          <w:rFonts w:hint="eastAsia" w:ascii="宋体" w:hAnsi="宋体" w:eastAsia="宋体" w:cs="宋体"/>
          <w:iCs/>
          <w:sz w:val="24"/>
          <w:szCs w:val="24"/>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b w:val="0"/>
          <w:bCs w:val="0"/>
          <w:sz w:val="24"/>
          <w:szCs w:val="24"/>
          <w:highlight w:val="none"/>
          <w:u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否</w:t>
      </w:r>
      <w:r/>
    </w:p>
    <w:p>
      <w:pPr>
        <w:pStyle w:val="1082"/>
        <w:numPr>
          <w:ilvl w:val="-1"/>
          <w:numId w:val="0"/>
        </w:numPr>
        <w:ind w:firstLine="0"/>
        <w:spacing w:before="0" w:line="400" w:lineRule="exact"/>
        <w:rPr>
          <w:rFonts w:hint="eastAsia" w:ascii="宋体" w:hAnsi="宋体" w:eastAsia="宋体" w:cs="宋体"/>
          <w:i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   （12）</w:t>
      </w:r>
      <w:r>
        <w:rPr>
          <w:rFonts w:hint="eastAsia" w:ascii="宋体" w:hAnsi="宋体" w:eastAsia="宋体" w:cs="宋体"/>
          <w:b w:val="0"/>
          <w:bCs w:val="0"/>
          <w:sz w:val="24"/>
          <w:szCs w:val="24"/>
          <w:highlight w:val="none"/>
          <w:u w:val="none"/>
          <w:lang w:val="en-US" w:eastAsia="zh-CN"/>
        </w:rPr>
        <w:t xml:space="preserve">是否涉及绿色产品：</w:t>
      </w:r>
      <w:r>
        <w:rPr>
          <w:rFonts w:hint="eastAsia" w:ascii="宋体" w:hAnsi="宋体" w:eastAsia="宋体" w:cs="宋体"/>
          <w:iCs w:val="0"/>
          <w:sz w:val="24"/>
          <w:szCs w:val="24"/>
          <w:highlight w:val="none"/>
          <w:u w:val="none"/>
          <w:lang w:val="en-US" w:eastAsia="zh-CN"/>
        </w:rPr>
        <w:t xml:space="preserve"> </w:t>
      </w:r>
      <w:r/>
    </w:p>
    <w:p>
      <w:pPr>
        <w:pStyle w:val="1082"/>
        <w:ind w:firstLine="420"/>
        <w:rPr>
          <w:rFonts w:hint="eastAsia" w:ascii="宋体" w:hAnsi="宋体" w:eastAsia="宋体" w:cs="宋体"/>
          <w:sz w:val="24"/>
          <w:szCs w:val="24"/>
          <w:highlight w:val="none"/>
          <w:u w:val="single"/>
          <w:lang w:val="en-US" w:eastAsia="zh-CN"/>
        </w:rPr>
      </w:pPr>
      <w:r>
        <w:rPr>
          <w:rFonts w:hint="eastAsia" w:ascii="宋体" w:hAnsi="宋体" w:eastAsia="宋体" w:cs="宋体"/>
          <w:iCs w:val="0"/>
          <w:sz w:val="24"/>
          <w:szCs w:val="24"/>
          <w:highlight w:val="none"/>
          <w:u w:val="none"/>
          <w:lang w:val="en-US" w:eastAsia="zh-CN"/>
        </w:rPr>
        <w:t xml:space="preserve">     </w:t>
      </w:r>
      <w:r>
        <w:rPr>
          <w:rFonts w:ascii="Wingdings" w:hAnsi="Wingdings" w:eastAsia="Wingdings" w:cs="Wingdings"/>
          <w:iCs w:val="0"/>
          <w:sz w:val="24"/>
          <w:szCs w:val="24"/>
          <w:highlight w:val="none"/>
          <w:u w:val="none"/>
        </w:rPr>
        <w:t xml:space="preserve">¨</w:t>
      </w:r>
      <w:r>
        <w:rPr>
          <w:rFonts w:hint="eastAsia" w:ascii="宋体" w:hAnsi="宋体" w:eastAsia="宋体" w:cs="宋体"/>
          <w:iCs w:val="0"/>
          <w:sz w:val="24"/>
          <w:szCs w:val="24"/>
          <w:highlight w:val="none"/>
          <w:u w:val="none"/>
        </w:rPr>
        <w:t xml:space="preserve">是</w:t>
      </w:r>
      <w:r>
        <w:rPr>
          <w:rFonts w:hint="eastAsia" w:ascii="宋体" w:hAnsi="宋体" w:eastAsia="宋体" w:cs="宋体"/>
          <w:iCs w:val="0"/>
          <w:sz w:val="24"/>
          <w:szCs w:val="24"/>
          <w:highlight w:val="none"/>
          <w:u w:val="none"/>
          <w:lang w:eastAsia="zh-CN"/>
        </w:rPr>
        <w:t xml:space="preserve">，绿色产品政府采购相关政策确定的底级品目名称：</w:t>
      </w:r>
      <w:r>
        <w:rPr>
          <w:rFonts w:hint="eastAsia" w:ascii="宋体" w:hAnsi="宋体" w:eastAsia="宋体" w:cs="宋体"/>
          <w:sz w:val="24"/>
          <w:szCs w:val="24"/>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 w:val="24"/>
          <w:szCs w:val="24"/>
          <w:highlight w:val="none"/>
          <w:lang w:val="en-US"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强制采购</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优先采购</w:t>
      </w:r>
      <w:r>
        <w:rPr>
          <w:rFonts w:hint="eastAsia" w:ascii="宋体" w:hAnsi="宋体" w:eastAsia="宋体" w:cs="宋体"/>
          <w:iCs/>
          <w:sz w:val="24"/>
          <w:szCs w:val="24"/>
          <w:highlight w:val="none"/>
          <w:lang w:val="en-US" w:eastAsia="zh-CN"/>
        </w:rPr>
        <w:t xml:space="preserve">    </w:t>
      </w:r>
      <w:r/>
    </w:p>
    <w:p>
      <w:pPr>
        <w:pStyle w:val="1082"/>
        <w:ind w:firstLine="420"/>
        <w:rPr>
          <w:rFonts w:hint="eastAsia" w:ascii="宋体" w:hAnsi="宋体" w:eastAsia="宋体" w:cs="宋体"/>
          <w:b w:val="0"/>
          <w:bCs w:val="0"/>
          <w:sz w:val="24"/>
          <w:szCs w:val="24"/>
          <w:highlight w:val="none"/>
          <w:u w:val="none"/>
          <w:lang w:val="en-US" w:eastAsia="zh-CN"/>
        </w:rPr>
      </w:pPr>
      <w:r>
        <w:rPr>
          <w:rFonts w:hint="eastAsia" w:ascii="宋体" w:hAnsi="宋体" w:eastAsia="宋体" w:cs="宋体"/>
          <w:iCs w:val="0"/>
          <w:sz w:val="24"/>
          <w:szCs w:val="24"/>
          <w:highlight w:val="none"/>
          <w:u w:val="none"/>
          <w:lang w:val="en-US" w:eastAsia="zh-CN"/>
        </w:rPr>
        <w:t xml:space="preserve">     </w:t>
      </w:r>
      <w:r>
        <w:rPr>
          <w:rFonts w:ascii="Wingdings" w:hAnsi="Wingdings" w:eastAsia="Wingdings" w:cs="Wingdings"/>
          <w:iCs w:val="0"/>
          <w:sz w:val="24"/>
          <w:szCs w:val="24"/>
          <w:highlight w:val="none"/>
          <w:u w:val="none"/>
        </w:rPr>
        <w:t xml:space="preserve">¨</w:t>
      </w:r>
      <w:r>
        <w:rPr>
          <w:rFonts w:hint="eastAsia" w:ascii="宋体" w:hAnsi="宋体" w:eastAsia="宋体" w:cs="宋体"/>
          <w:iCs w:val="0"/>
          <w:sz w:val="24"/>
          <w:szCs w:val="24"/>
          <w:highlight w:val="none"/>
          <w:u w:val="none"/>
        </w:rPr>
        <w:t xml:space="preserve">否</w:t>
      </w:r>
      <w:r/>
    </w:p>
    <w:p>
      <w:pPr>
        <w:numPr>
          <w:ilvl w:val="-1"/>
          <w:numId w:val="0"/>
        </w:numPr>
        <w:ind w:firstLine="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（13）涉及商品包装和快递包装的，是否参考</w:t>
      </w:r>
      <w:r>
        <w:rPr>
          <w:rFonts w:hint="eastAsia" w:ascii="宋体" w:hAnsi="宋体" w:eastAsia="宋体" w:cs="宋体"/>
          <w:sz w:val="24"/>
          <w:szCs w:val="24"/>
          <w:highlight w:val="none"/>
        </w:rPr>
        <w:t xml:space="preserve">《商品包装政府采购需求标准（试行）》、《快递包装政府采购需求标准（试行）》</w:t>
      </w:r>
      <w:r>
        <w:rPr>
          <w:rFonts w:hint="eastAsia" w:ascii="宋体" w:hAnsi="宋体" w:eastAsia="宋体" w:cs="宋体"/>
          <w:sz w:val="24"/>
          <w:szCs w:val="24"/>
          <w:highlight w:val="none"/>
          <w:lang w:eastAsia="zh-CN"/>
        </w:rPr>
        <w:t xml:space="preserve">明确产品及相关快递服务的具体包装要求：</w:t>
      </w:r>
      <w:r/>
    </w:p>
    <w:p>
      <w:pPr>
        <w:numPr>
          <w:ilvl w:val="-1"/>
          <w:numId w:val="0"/>
        </w:numPr>
        <w:ind w:firstLine="960"/>
        <w:spacing w:before="0" w:line="400" w:lineRule="exact"/>
        <w:rPr>
          <w:rFonts w:hint="eastAsia" w:ascii="宋体" w:hAnsi="宋体" w:eastAsia="宋体" w:cs="宋体"/>
          <w:iCs w:val="0"/>
          <w:sz w:val="24"/>
          <w:szCs w:val="24"/>
          <w:highlight w:val="none"/>
          <w:lang w:val="en-US" w:eastAsia="zh-CN"/>
        </w:rPr>
      </w:pP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是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rPr>
        <w:t xml:space="preserve">否</w:t>
      </w:r>
      <w:r>
        <w:rPr>
          <w:rFonts w:hint="eastAsia" w:ascii="宋体" w:hAnsi="宋体" w:eastAsia="宋体" w:cs="宋体"/>
          <w:iCs w:val="0"/>
          <w:sz w:val="24"/>
          <w:szCs w:val="24"/>
          <w:highlight w:val="none"/>
          <w:lang w:val="en-US" w:eastAsia="zh-CN"/>
        </w:rPr>
        <w:t xml:space="preserve">      </w:t>
      </w:r>
      <w:r>
        <w:rPr>
          <w:rFonts w:ascii="Wingdings" w:hAnsi="Wingdings" w:eastAsia="Wingdings" w:cs="Wingdings"/>
          <w:iCs w:val="0"/>
          <w:sz w:val="24"/>
          <w:szCs w:val="24"/>
          <w:highlight w:val="none"/>
        </w:rPr>
        <w:t xml:space="preserve">¨</w:t>
      </w:r>
      <w:r>
        <w:rPr>
          <w:rFonts w:hint="eastAsia" w:ascii="宋体" w:hAnsi="宋体" w:eastAsia="宋体" w:cs="宋体"/>
          <w:iCs w:val="0"/>
          <w:sz w:val="24"/>
          <w:szCs w:val="24"/>
          <w:highlight w:val="none"/>
          <w:lang w:eastAsia="zh-CN"/>
        </w:rPr>
        <w:t xml:space="preserve">不涉及</w:t>
      </w:r>
      <w:r/>
    </w:p>
    <w:p>
      <w:pPr>
        <w:numPr>
          <w:ilvl w:val="0"/>
          <w:numId w:val="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left="0" w:firstLine="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分包金额</w:t>
      </w:r>
      <w:r>
        <w:rPr>
          <w:rFonts w:hint="eastAsia" w:ascii="宋体" w:hAnsi="宋体" w:eastAsia="宋体" w:cs="宋体"/>
          <w:sz w:val="24"/>
          <w:szCs w:val="24"/>
          <w:highlight w:val="none"/>
          <w:lang w:eastAsia="zh-CN"/>
        </w:rPr>
        <w:t xml:space="preserve">（如有）</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p>
    <w:p>
      <w:pPr>
        <w:ind w:firstLine="0"/>
        <w:spacing w:before="0"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numPr>
          <w:ilvl w:val="-1"/>
          <w:numId w:val="0"/>
        </w:numPr>
        <w:ind w:firstLine="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合同定价方式</w:t>
      </w:r>
      <w:r>
        <w:rPr>
          <w:rFonts w:hint="eastAsia" w:ascii="宋体" w:hAnsi="宋体" w:eastAsia="宋体" w:cs="宋体"/>
          <w:sz w:val="24"/>
          <w:szCs w:val="24"/>
          <w:highlight w:val="none"/>
          <w:lang w:eastAsia="zh-CN"/>
        </w:rPr>
        <w:t xml:space="preserve">（采用组合定价方式的，可以勾选多项）</w:t>
      </w:r>
      <w:r>
        <w:rPr>
          <w:rFonts w:hint="eastAsia" w:ascii="宋体" w:hAnsi="宋体" w:eastAsia="宋体" w:cs="宋体"/>
          <w:sz w:val="24"/>
          <w:szCs w:val="24"/>
          <w:highlight w:val="none"/>
        </w:rPr>
        <w:t xml:space="preserve">：</w:t>
      </w:r>
      <w:r/>
    </w:p>
    <w:p>
      <w:pPr>
        <w:ind w:firstLine="480"/>
        <w:spacing w:before="0" w:line="400" w:lineRule="exact"/>
        <w:rPr>
          <w:rFonts w:hint="eastAsia" w:ascii="宋体" w:hAnsi="宋体" w:eastAsia="宋体" w:cs="宋体"/>
          <w:sz w:val="24"/>
          <w:szCs w:val="24"/>
          <w:highlight w:val="none"/>
          <w:lang w:eastAsia="zh-CN"/>
        </w:rPr>
      </w:pP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固定总价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固定单价</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固定费率</w:t>
      </w:r>
      <w:r>
        <w:rPr>
          <w:rFonts w:hint="eastAsia" w:ascii="宋体" w:hAnsi="宋体" w:eastAsia="宋体" w:cs="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成本补偿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绩效激励</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eastAsia="zh-CN"/>
        </w:rPr>
        <w:t xml:space="preserve">其他</w:t>
      </w:r>
      <w:r>
        <w:rPr>
          <w:rFonts w:hint="eastAsia" w:ascii="宋体" w:hAnsi="宋体" w:eastAsia="宋体" w:cs="宋体"/>
          <w:sz w:val="24"/>
          <w:szCs w:val="24"/>
          <w:highlight w:val="none"/>
          <w:u w:val="single"/>
        </w:rPr>
        <w:t xml:space="preserve">       </w:t>
      </w:r>
      <w:r/>
    </w:p>
    <w:p>
      <w:pPr>
        <w:pStyle w:val="98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）付款方式（按项目实际勾选填写）：</w:t>
      </w:r>
      <w:r/>
    </w:p>
    <w:p>
      <w:pPr>
        <w:ind w:firstLine="720"/>
        <w:spacing w:before="0" w:line="400" w:lineRule="exact"/>
        <w:rPr>
          <w:rFonts w:hint="eastAsia" w:ascii="宋体" w:hAnsi="宋体" w:eastAsia="宋体" w:cs="宋体"/>
          <w:sz w:val="24"/>
          <w:szCs w:val="24"/>
          <w:highlight w:val="none"/>
          <w:u w:val="singl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全额付款：</w:t>
      </w:r>
      <w:r>
        <w:rPr>
          <w:rFonts w:hint="eastAsia" w:ascii="宋体" w:hAnsi="宋体" w:eastAsia="宋体" w:cs="宋体"/>
          <w:sz w:val="24"/>
          <w:szCs w:val="24"/>
          <w:highlight w:val="none"/>
          <w:u w:val="single"/>
        </w:rPr>
        <w:t xml:space="preserve">     （应</w:t>
      </w:r>
      <w:r>
        <w:rPr>
          <w:rFonts w:hint="eastAsia" w:ascii="宋体" w:hAnsi="宋体" w:eastAsia="宋体" w:cs="宋体"/>
          <w:sz w:val="24"/>
          <w:szCs w:val="24"/>
          <w:highlight w:val="none"/>
          <w:u w:val="single"/>
          <w:lang w:eastAsia="zh-CN"/>
        </w:rPr>
        <w:t xml:space="preserve">明确</w:t>
      </w:r>
      <w:r>
        <w:rPr>
          <w:rFonts w:hint="eastAsia" w:ascii="宋体" w:hAnsi="宋体" w:eastAsia="宋体" w:cs="宋体"/>
          <w:sz w:val="24"/>
          <w:szCs w:val="24"/>
          <w:highlight w:val="none"/>
          <w:u w:val="single"/>
        </w:rPr>
        <w:t xml:space="preserve">一次性支付合同款项</w:t>
      </w:r>
      <w:r>
        <w:rPr>
          <w:rFonts w:hint="eastAsia" w:ascii="宋体" w:hAnsi="宋体" w:eastAsia="宋体" w:cs="宋体"/>
          <w:sz w:val="24"/>
          <w:szCs w:val="24"/>
          <w:highlight w:val="none"/>
          <w:u w:val="single"/>
          <w:lang w:eastAsia="zh-CN"/>
        </w:rPr>
        <w:t xml:space="preserve">的条件</w:t>
      </w:r>
      <w:r>
        <w:rPr>
          <w:rFonts w:hint="eastAsia" w:ascii="宋体" w:hAnsi="宋体" w:eastAsia="宋体" w:cs="宋体"/>
          <w:sz w:val="24"/>
          <w:szCs w:val="24"/>
          <w:highlight w:val="none"/>
          <w:u w:val="single"/>
        </w:rPr>
        <w:t xml:space="preserve">）                    </w:t>
      </w:r>
      <w:r/>
    </w:p>
    <w:p>
      <w:pPr>
        <w:ind w:firstLine="720"/>
        <w:spacing w:line="400" w:lineRule="exact"/>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分期付款：</w:t>
      </w:r>
      <w:r>
        <w:rPr>
          <w:rFonts w:hint="eastAsia" w:ascii="宋体" w:hAnsi="宋体" w:eastAsia="宋体" w:cs="宋体"/>
          <w:sz w:val="24"/>
          <w:szCs w:val="24"/>
          <w:highlight w:val="none"/>
          <w:u w:val="single"/>
        </w:rPr>
        <w:t xml:space="preserve">  （应明确分期支付合同款项的各期比例和支付条件</w:t>
      </w:r>
      <w:r>
        <w:rPr>
          <w:rFonts w:hint="eastAsia" w:ascii="宋体" w:hAnsi="宋体" w:eastAsia="宋体" w:cs="宋体"/>
          <w:sz w:val="24"/>
          <w:szCs w:val="24"/>
          <w:highlight w:val="none"/>
          <w:u w:val="single"/>
          <w:lang w:eastAsia="zh-CN"/>
        </w:rPr>
        <w:t xml:space="preserve">，各期支付条件应与分期履约验收情况挂钩</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lang w:eastAsia="zh-CN"/>
        </w:rPr>
        <w:t xml:space="preserve">其中涉及预付款的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（应明确预付款的支付比例和支付条件） </w:t>
      </w:r>
      <w:r/>
    </w:p>
    <w:p>
      <w:pPr>
        <w:ind w:firstLine="720"/>
        <w:spacing w:before="0" w:line="400" w:lineRule="exact"/>
        <w:rPr>
          <w:rFonts w:hint="eastAsia" w:ascii="宋体" w:hAnsi="宋体" w:eastAsia="宋体" w:cs="宋体"/>
          <w:sz w:val="24"/>
          <w:szCs w:val="24"/>
          <w:highlight w:val="none"/>
          <w:u w:val="singl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成本补偿：</w:t>
      </w:r>
      <w:r>
        <w:rPr>
          <w:rFonts w:hint="eastAsia" w:ascii="宋体" w:hAnsi="宋体" w:eastAsia="宋体" w:cs="宋体"/>
          <w:sz w:val="24"/>
          <w:szCs w:val="24"/>
          <w:highlight w:val="none"/>
          <w:u w:val="single"/>
        </w:rPr>
        <w:t xml:space="preserve">      （应明确按照成本补偿方式的支付方式和支付条件）   </w:t>
      </w:r>
      <w:r/>
    </w:p>
    <w:p>
      <w:pPr>
        <w:ind w:firstLine="720"/>
        <w:spacing w:before="0" w:line="400" w:lineRule="exact"/>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绩效激励：</w:t>
      </w:r>
      <w:r>
        <w:rPr>
          <w:rFonts w:hint="eastAsia" w:ascii="宋体" w:hAnsi="宋体" w:eastAsia="宋体" w:cs="宋体"/>
          <w:sz w:val="24"/>
          <w:szCs w:val="24"/>
          <w:highlight w:val="none"/>
          <w:u w:val="single"/>
        </w:rPr>
        <w:t xml:space="preserve">      （应明确按照绩效激励方式的支付方式和支付条件）   </w:t>
      </w:r>
      <w:r/>
    </w:p>
    <w:p>
      <w:pPr>
        <w:numPr>
          <w:ilvl w:val="0"/>
          <w:numId w:val="5"/>
        </w:numPr>
        <w:ind w:firstLine="482"/>
        <w:spacing w:before="0" w:line="400" w:lineRule="exact"/>
        <w:rPr>
          <w:rFonts w:hint="eastAsia" w:ascii="宋体" w:hAnsi="宋体" w:eastAsia="宋体" w:cs="宋体"/>
          <w:b/>
          <w:bCs w:val="0"/>
          <w:sz w:val="24"/>
          <w:szCs w:val="24"/>
          <w:highlight w:val="none"/>
          <w:u w:val="single"/>
        </w:rPr>
      </w:pPr>
      <w:r>
        <w:rPr>
          <w:rFonts w:hint="eastAsia" w:ascii="宋体" w:hAnsi="宋体" w:eastAsia="宋体" w:cs="宋体"/>
          <w:b/>
          <w:bCs w:val="0"/>
          <w:sz w:val="24"/>
          <w:szCs w:val="24"/>
          <w:highlight w:val="none"/>
        </w:rPr>
        <w:t xml:space="preserve">合同履行</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履约</w:t>
      </w:r>
      <w:r>
        <w:rPr>
          <w:rFonts w:hint="eastAsia" w:ascii="宋体" w:hAnsi="宋体" w:eastAsia="宋体" w:cs="宋体"/>
          <w:sz w:val="24"/>
          <w:szCs w:val="24"/>
          <w:highlight w:val="none"/>
        </w:rPr>
        <w:t xml:space="preserve">地点</w:t>
      </w:r>
      <w:r>
        <w:rPr>
          <w:rFonts w:hint="eastAsia" w:ascii="宋体" w:hAnsi="宋体" w:eastAsia="宋体" w:cs="宋体"/>
          <w:b w:val="0"/>
          <w:bCs/>
          <w:sz w:val="24"/>
          <w:szCs w:val="24"/>
          <w:highlight w:val="none"/>
        </w:rPr>
        <w:t xml:space="preserve">：</w:t>
      </w:r>
      <w:r>
        <w:rPr>
          <w:rFonts w:hint="eastAsia" w:ascii="宋体" w:hAnsi="宋体" w:eastAsia="宋体" w:cs="宋体"/>
          <w:sz w:val="24"/>
          <w:szCs w:val="24"/>
          <w:highlight w:val="none"/>
          <w:u w:val="single"/>
        </w:rPr>
        <w:t xml:space="preserve">                             </w:t>
      </w:r>
      <w:r/>
    </w:p>
    <w:p>
      <w:pPr>
        <w:ind w:firstLine="480"/>
        <w:spacing w:before="0" w:line="400" w:lineRule="exact"/>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（3）履约担保：</w:t>
      </w:r>
      <w:r>
        <w:rPr>
          <w:rFonts w:hint="eastAsia" w:ascii="宋体" w:hAnsi="宋体" w:eastAsia="宋体" w:cs="宋体"/>
          <w:sz w:val="24"/>
          <w:szCs w:val="24"/>
          <w:highlight w:val="none"/>
          <w:lang w:val="en-US" w:eastAsia="zh-CN"/>
        </w:rPr>
        <w:t xml:space="preserve">是否收取履约保证金：</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lang w:eastAsia="zh-CN"/>
        </w:rPr>
        <w:t xml:space="preserve">是</w:t>
      </w:r>
      <w:r>
        <w:rPr>
          <w:rFonts w:hint="eastAsia" w:ascii="宋体" w:hAnsi="宋体" w:eastAsia="宋体" w:cs="宋体"/>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lang w:eastAsia="zh-CN"/>
        </w:rPr>
        <w:t xml:space="preserve">否</w:t>
      </w:r>
      <w:r/>
    </w:p>
    <w:p>
      <w:pPr>
        <w:pStyle w:val="1082"/>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  收取履约保证金形式：</w:t>
      </w:r>
      <w:r>
        <w:rPr>
          <w:rFonts w:hint="eastAsia" w:ascii="宋体" w:hAnsi="宋体" w:eastAsia="宋体" w:cs="宋体"/>
          <w:bCs/>
          <w:sz w:val="24"/>
          <w:szCs w:val="24"/>
          <w:highlight w:val="none"/>
          <w:u w:val="single"/>
        </w:rPr>
        <w:t xml:space="preserve">                            </w:t>
      </w:r>
      <w:r/>
    </w:p>
    <w:p>
      <w:pPr>
        <w:pStyle w:val="108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收取履约保证金金额：</w:t>
      </w:r>
      <w:r>
        <w:rPr>
          <w:rFonts w:hint="eastAsia" w:ascii="宋体" w:hAnsi="宋体" w:eastAsia="宋体" w:cs="宋体"/>
          <w:bCs/>
          <w:sz w:val="24"/>
          <w:szCs w:val="24"/>
          <w:highlight w:val="none"/>
          <w:u w:val="single"/>
        </w:rPr>
        <w:t xml:space="preserve">                            </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u w:val="none"/>
          <w:lang w:val="en-US" w:eastAsia="zh-CN"/>
        </w:rPr>
        <w:t xml:space="preserve">    履约担保期限</w:t>
      </w: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p>
    <w:p>
      <w:pPr>
        <w:ind w:firstLine="48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（4）分期履行要求：</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p>
    <w:p>
      <w:pPr>
        <w:ind w:firstLine="480"/>
        <w:spacing w:before="0" w:line="400" w:lineRule="exact"/>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eastAsia="zh-CN"/>
        </w:rPr>
        <w:t xml:space="preserve">风险处置措施和替代方案</w:t>
      </w:r>
      <w:r>
        <w:rPr>
          <w:rFonts w:hint="eastAsia" w:ascii="宋体" w:hAnsi="宋体" w:eastAsia="宋体" w:cs="宋体"/>
          <w:bCs/>
          <w:sz w:val="24"/>
          <w:szCs w:val="24"/>
          <w:highlight w:val="none"/>
        </w:rPr>
        <w:t xml:space="preserve">：</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sz w:val="24"/>
          <w:szCs w:val="24"/>
          <w:highlight w:val="none"/>
          <w:u w:val="single"/>
        </w:rPr>
        <w:t xml:space="preserve">                                                </w:t>
      </w:r>
      <w:r/>
    </w:p>
    <w:p>
      <w:pPr>
        <w:numPr>
          <w:ilvl w:val="0"/>
          <w:numId w:val="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7"/>
        </w:numPr>
        <w:ind w:firstLine="48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自行组织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委托第三方组织</w:t>
      </w:r>
      <w:r/>
    </w:p>
    <w:p>
      <w:pPr>
        <w:numPr>
          <w:ilvl w:val="0"/>
          <w:numId w:val="0"/>
        </w:numPr>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验收主体：</w:t>
      </w:r>
      <w:r>
        <w:rPr>
          <w:rFonts w:hint="eastAsia" w:ascii="宋体" w:hAnsi="宋体" w:eastAsia="宋体" w:cs="宋体"/>
          <w:bCs/>
          <w:sz w:val="24"/>
          <w:szCs w:val="24"/>
          <w:highlight w:val="none"/>
          <w:u w:val="single"/>
        </w:rPr>
        <w:t xml:space="preserve">                  </w:t>
      </w:r>
      <w:r/>
    </w:p>
    <w:p>
      <w:pPr>
        <w:ind w:firstLine="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是否邀请本项目的其他供应商</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w:t>
      </w:r>
      <w:r>
        <w:rPr>
          <w:rFonts w:hint="eastAsia" w:ascii="宋体" w:hAnsi="宋体" w:eastAsia="宋体" w:cs="宋体"/>
          <w:bCs/>
          <w:sz w:val="24"/>
          <w:szCs w:val="24"/>
          <w:highlight w:val="none"/>
          <w:lang w:eastAsia="zh-CN"/>
        </w:rPr>
        <w:t xml:space="preserve">参加验收</w:t>
      </w:r>
      <w:r>
        <w:rPr>
          <w:rFonts w:hint="eastAsia" w:ascii="宋体" w:hAnsi="宋体" w:eastAsia="宋体" w:cs="宋体"/>
          <w:bCs/>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是否进行抽查检测：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lang w:eastAsia="zh-CN"/>
        </w:rPr>
        <w:t xml:space="preserve">，抽查比例：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spacing w:before="0" w:line="400" w:lineRule="exact"/>
        <w:rPr>
          <w:rFonts w:hint="eastAsia" w:ascii="宋体" w:hAnsi="宋体" w:eastAsia="宋体" w:cs="宋体"/>
          <w:bCs/>
          <w:sz w:val="24"/>
          <w:szCs w:val="24"/>
          <w:highlight w:val="none"/>
          <w:u w:val="single"/>
          <w:lang w:eastAsia="zh-CN"/>
        </w:rPr>
      </w:pPr>
      <w:r>
        <w:rPr>
          <w:rFonts w:hint="eastAsia" w:ascii="宋体" w:hAnsi="宋体" w:eastAsia="宋体" w:cs="宋体"/>
          <w:bCs/>
          <w:sz w:val="24"/>
          <w:szCs w:val="24"/>
          <w:highlight w:val="none"/>
          <w:lang w:val="en-US" w:eastAsia="zh-CN"/>
        </w:rPr>
        <w:t xml:space="preserve">是否存在破坏性检测：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u w:val="single"/>
          <w:lang w:eastAsia="zh-CN"/>
        </w:rPr>
        <w:t xml:space="preserve">（应明确对被破坏的检测产品的处理方式）</w:t>
      </w:r>
      <w:r/>
    </w:p>
    <w:p>
      <w:pPr>
        <w:ind w:firstLine="960"/>
        <w:spacing w:before="0" w:line="40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spacing w:before="0"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验收组织的其他事项：</w:t>
      </w:r>
      <w:r>
        <w:rPr>
          <w:rFonts w:hint="eastAsia" w:ascii="宋体" w:hAnsi="宋体" w:eastAsia="宋体" w:cs="宋体"/>
          <w:bCs/>
          <w:sz w:val="24"/>
          <w:szCs w:val="24"/>
          <w:highlight w:val="none"/>
          <w:u w:val="single"/>
        </w:rPr>
        <w:t xml:space="preserve">                </w:t>
      </w:r>
      <w:r/>
    </w:p>
    <w:p>
      <w:pPr>
        <w:ind w:firstLine="480"/>
        <w:spacing w:before="0"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   日内组织验收）</w:t>
      </w:r>
      <w:r>
        <w:rPr>
          <w:rFonts w:hint="eastAsia" w:ascii="宋体" w:hAnsi="宋体" w:eastAsia="宋体" w:cs="宋体"/>
          <w:bCs/>
          <w:sz w:val="24"/>
          <w:szCs w:val="24"/>
          <w:highlight w:val="none"/>
          <w:u w:val="single"/>
          <w:lang w:val="en-US" w:eastAsia="zh-CN"/>
        </w:rPr>
        <w:t xml:space="preserve"> </w:t>
      </w:r>
      <w:r/>
    </w:p>
    <w:p>
      <w:pPr>
        <w:ind w:firstLine="48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ind w:firstLine="0"/>
        <w:spacing w:before="0"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eastAsia="zh-CN"/>
        </w:rPr>
        <w:t xml:space="preserve">（应明确分期</w:t>
      </w:r>
      <w:r>
        <w:rPr>
          <w:rFonts w:hint="eastAsia" w:ascii="宋体" w:hAnsi="宋体" w:eastAsia="宋体" w:cs="宋体"/>
          <w:bCs/>
          <w:sz w:val="24"/>
          <w:szCs w:val="24"/>
          <w:highlight w:val="none"/>
          <w:u w:val="single"/>
          <w:lang w:val="en" w:eastAsia="zh-CN"/>
        </w:rPr>
        <w:t xml:space="preserve">/分项验收的工作安排</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p>
    <w:p>
      <w:pPr>
        <w:ind w:firstLine="480"/>
        <w:spacing w:before="0"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（4）履约验收程序：</w:t>
      </w:r>
      <w:r>
        <w:rPr>
          <w:rFonts w:hint="eastAsia" w:ascii="宋体" w:hAnsi="宋体" w:eastAsia="宋体" w:cs="宋体"/>
          <w:bCs/>
          <w:sz w:val="24"/>
          <w:szCs w:val="24"/>
          <w:highlight w:val="none"/>
          <w:u w:val="single"/>
        </w:rPr>
        <w:t xml:space="preserve">                                         </w:t>
      </w:r>
      <w:r/>
    </w:p>
    <w:p>
      <w:pPr>
        <w:ind w:firstLine="480"/>
        <w:spacing w:before="0"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highlight w:val="none"/>
          <w:u w:val="single"/>
        </w:rPr>
        <w:t xml:space="preserve">                                      </w:t>
      </w:r>
      <w:r/>
    </w:p>
    <w:p>
      <w:pPr>
        <w:ind w:firstLine="480"/>
        <w:spacing w:before="0"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（6）履约验收标准：</w:t>
      </w:r>
      <w:r>
        <w:rPr>
          <w:rFonts w:hint="eastAsia" w:ascii="宋体" w:hAnsi="宋体" w:eastAsia="宋体" w:cs="宋体"/>
          <w:bCs/>
          <w:sz w:val="24"/>
          <w:szCs w:val="24"/>
          <w:highlight w:val="none"/>
          <w:u w:val="single"/>
        </w:rPr>
        <w:t xml:space="preserve">                                         </w:t>
      </w:r>
      <w:r/>
    </w:p>
    <w:p>
      <w:pPr>
        <w:pStyle w:val="1082"/>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u w:val="none"/>
          <w:lang w:eastAsia="zh-CN"/>
        </w:rPr>
        <w:t xml:space="preserve">（</w:t>
      </w:r>
      <w:r>
        <w:rPr>
          <w:rFonts w:hint="eastAsia" w:ascii="宋体" w:hAnsi="宋体" w:eastAsia="宋体" w:cs="宋体"/>
          <w:bCs/>
          <w:sz w:val="24"/>
          <w:szCs w:val="24"/>
          <w:highlight w:val="none"/>
          <w:u w:val="none"/>
          <w:lang w:val="en-US" w:eastAsia="zh-CN"/>
        </w:rPr>
        <w:t xml:space="preserve">7</w:t>
      </w:r>
      <w:r>
        <w:rPr>
          <w:rFonts w:hint="eastAsia" w:ascii="宋体" w:hAnsi="宋体" w:eastAsia="宋体" w:cs="宋体"/>
          <w:bCs/>
          <w:sz w:val="24"/>
          <w:szCs w:val="24"/>
          <w:highlight w:val="none"/>
          <w:u w:val="none"/>
          <w:lang w:eastAsia="zh-CN"/>
        </w:rPr>
        <w:t xml:space="preserve">）是否以采购活动中供应商提供的样品作为参考：</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480"/>
        <w:spacing w:before="0"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      </w:t>
      </w:r>
      <w:r>
        <w:rPr>
          <w:rFonts w:hint="eastAsia" w:ascii="宋体" w:hAnsi="宋体" w:eastAsia="宋体" w:cs="宋体"/>
          <w:bCs/>
          <w:i w:val="0"/>
          <w:iCs w:val="0"/>
          <w:sz w:val="24"/>
          <w:szCs w:val="24"/>
          <w:highlight w:val="none"/>
          <w:u w:val="single"/>
        </w:rPr>
        <w:t xml:space="preserve">（产权过户登记等）</w:t>
      </w:r>
      <w:r>
        <w:rPr>
          <w:rFonts w:hint="eastAsia" w:ascii="宋体" w:hAnsi="宋体" w:eastAsia="宋体" w:cs="宋体"/>
          <w:bCs/>
          <w:sz w:val="24"/>
          <w:szCs w:val="24"/>
          <w:highlight w:val="none"/>
          <w:u w:val="single"/>
        </w:rPr>
        <w:t xml:space="preserve">          </w:t>
      </w:r>
      <w:r/>
    </w:p>
    <w:p>
      <w:pPr>
        <w:numPr>
          <w:ilvl w:val="0"/>
          <w:numId w:val="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）政府采购合同专用条款</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）政府采购合同通用条款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）投标（响应）文件</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（7）有关技术文件，图纸</w:t>
      </w:r>
      <w:r/>
    </w:p>
    <w:p>
      <w:pPr>
        <w:pStyle w:val="108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合同生效</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生效。</w:t>
      </w:r>
      <w:r/>
    </w:p>
    <w:p>
      <w:pPr>
        <w:numPr>
          <w:ilvl w:val="0"/>
          <w:numId w:val="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合同份数</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份，均具有同等法律效力。</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合同订立地点：</w:t>
      </w:r>
      <w:r>
        <w:rPr>
          <w:rFonts w:hint="eastAsia" w:ascii="宋体" w:hAnsi="宋体" w:eastAsia="宋体" w:cs="宋体"/>
          <w:sz w:val="24"/>
          <w:szCs w:val="24"/>
          <w:highlight w:val="none"/>
          <w:u w:val="single"/>
        </w:rPr>
        <w:t xml:space="preserve">                           </w:t>
      </w:r>
      <w:r/>
    </w:p>
    <w:p>
      <w:pPr>
        <w:ind w:firstLine="48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附件：具体标</w:t>
      </w:r>
      <w:r>
        <w:rPr>
          <w:rFonts w:hint="eastAsia" w:ascii="宋体" w:hAnsi="宋体" w:eastAsia="宋体" w:cs="宋体"/>
          <w:sz w:val="24"/>
          <w:szCs w:val="24"/>
          <w:highlight w:val="none"/>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highlight w:val="none"/>
        </w:rPr>
        <w:t xml:space="preserve">、联合协议、分包</w:t>
      </w:r>
      <w:r>
        <w:rPr>
          <w:rFonts w:hint="eastAsia" w:ascii="宋体" w:hAnsi="宋体" w:eastAsia="宋体" w:cs="宋体"/>
          <w:sz w:val="24"/>
          <w:szCs w:val="24"/>
          <w:highlight w:val="none"/>
          <w:lang w:eastAsia="zh-CN"/>
        </w:rPr>
        <w:t xml:space="preserve">意向</w:t>
      </w:r>
      <w:r>
        <w:rPr>
          <w:rFonts w:hint="eastAsia" w:ascii="宋体" w:hAnsi="宋体" w:eastAsia="宋体" w:cs="宋体"/>
          <w:sz w:val="24"/>
          <w:szCs w:val="24"/>
          <w:highlight w:val="none"/>
        </w:rPr>
        <w:t xml:space="preserve">协议等。</w:t>
      </w:r>
      <w:r/>
    </w:p>
    <w:p>
      <w:pPr>
        <w:pStyle w:val="983"/>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sz w:val="24"/>
          <w:szCs w:val="24"/>
          <w:highlight w:val="none"/>
          <w:lang w:val="e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983"/>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7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3293"/>
        <w:gridCol w:w="1918"/>
        <w:gridCol w:w="2759"/>
      </w:tblGrid>
      <w:tr>
        <w:trPr>
          <w:trHeight w:val="490"/>
        </w:trPr>
        <w:tc>
          <w:tcPr>
            <w:gridSpan w:val="2"/>
            <w:tcBorders>
              <w:bottom w:val="single" w:color="auto" w:sz="2" w:space="0"/>
              <w:right w:val="single" w:color="auto" w:sz="2" w:space="0"/>
            </w:tcBorders>
            <w:tcW w:w="2618"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w:t>
            </w:r>
            <w:r>
              <w:rPr>
                <w:rFonts w:hint="eastAsia" w:ascii="宋体" w:hAnsi="宋体" w:eastAsia="宋体" w:cs="宋体"/>
                <w:sz w:val="24"/>
                <w:szCs w:val="24"/>
                <w:highlight w:val="none"/>
                <w:lang w:eastAsia="zh-CN"/>
              </w:rPr>
              <w:t xml:space="preserve">、受采购人委托签订合同的单位</w:t>
            </w:r>
            <w:r>
              <w:rPr>
                <w:rFonts w:hint="eastAsia" w:ascii="宋体" w:hAnsi="宋体" w:eastAsia="宋体" w:cs="宋体"/>
                <w:sz w:val="24"/>
                <w:szCs w:val="24"/>
                <w:highlight w:val="none"/>
              </w:rPr>
              <w:t xml:space="preserve">或采购文件约定的合同甲方）</w:t>
            </w:r>
            <w:r/>
          </w:p>
        </w:tc>
        <w:tc>
          <w:tcPr>
            <w:gridSpan w:val="2"/>
            <w:tcBorders>
              <w:left w:val="single" w:color="auto" w:sz="2" w:space="0"/>
              <w:bottom w:val="single" w:color="auto" w:sz="2" w:space="0"/>
            </w:tcBorders>
            <w:tcW w:w="238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1995"/>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w:t>
            </w:r>
            <w:r>
              <w:rPr>
                <w:rFonts w:hint="eastAsia" w:ascii="宋体" w:hAnsi="宋体" w:eastAsia="宋体" w:cs="宋体"/>
                <w:sz w:val="24"/>
                <w:szCs w:val="24"/>
                <w:highlight w:val="none"/>
                <w:lang w:eastAsia="zh-CN"/>
              </w:rPr>
              <w:t xml:space="preserve">或合同章</w:t>
            </w:r>
            <w:r>
              <w:rPr>
                <w:rFonts w:hint="eastAsia" w:ascii="宋体" w:hAnsi="宋体" w:eastAsia="宋体" w:cs="宋体"/>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w:t>
            </w:r>
            <w:r>
              <w:rPr>
                <w:rFonts w:hint="eastAsia" w:ascii="宋体" w:hAnsi="宋体" w:eastAsia="宋体" w:cs="宋体"/>
                <w:sz w:val="24"/>
                <w:szCs w:val="24"/>
                <w:highlight w:val="none"/>
                <w:lang w:eastAsia="zh-CN"/>
              </w:rPr>
              <w:t xml:space="preserve">或合同章</w:t>
            </w:r>
            <w:r>
              <w:rPr>
                <w:rFonts w:hint="eastAsia" w:ascii="宋体" w:hAnsi="宋体" w:eastAsia="宋体" w:cs="宋体"/>
                <w:sz w:val="24"/>
                <w:szCs w:val="24"/>
                <w:highlight w:val="none"/>
              </w:rPr>
              <w:t xml:space="preserve">）</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1171"/>
        </w:trPr>
        <w:tc>
          <w:tcPr>
            <w:tcBorders>
              <w:top w:val="single" w:color="auto" w:sz="2" w:space="0"/>
              <w:right w:val="single" w:color="auto" w:sz="2" w:space="0"/>
            </w:tcBorders>
            <w:tcW w:w="941" w:type="pct"/>
            <w:vAlign w:val="center"/>
            <w:vMerge w:val="restart"/>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auto" w:sz="2" w:space="0"/>
              <w:left w:val="single" w:color="auto" w:sz="2" w:space="0"/>
              <w:right w:val="single" w:color="auto" w:sz="2" w:space="0"/>
            </w:tcBorders>
            <w:tcW w:w="1677" w:type="pct"/>
            <w:vAlign w:val="center"/>
            <w:vMerge w:val="restart"/>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83"/>
        </w:trPr>
        <w:tc>
          <w:tcPr>
            <w:tcBorders>
              <w:bottom w:val="single" w:color="auto" w:sz="2" w:space="0"/>
              <w:right w:val="single" w:color="auto" w:sz="2" w:space="0"/>
            </w:tcBorders>
            <w:tcW w:w="941" w:type="pct"/>
            <w:vAlign w:val="center"/>
            <w:vMerge w:val="continue"/>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2" w:space="0"/>
              <w:bottom w:val="single" w:color="auto" w:sz="2" w:space="0"/>
              <w:right w:val="single" w:color="auto" w:sz="2" w:space="0"/>
            </w:tcBorders>
            <w:tcW w:w="1677" w:type="pct"/>
            <w:vAlign w:val="center"/>
            <w:vMerge w:val="continue"/>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住</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住</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所</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941"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16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977" w:type="pct"/>
            <w:vAlign w:val="center"/>
            <w:textDirection w:val="lrTb"/>
            <w:noWrap w:val="false"/>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auto" w:sz="2" w:space="0"/>
              <w:left w:val="single" w:color="auto" w:sz="2" w:space="0"/>
              <w:bottom w:val="single" w:color="auto" w:sz="2" w:space="0"/>
            </w:tcBorders>
            <w:tcW w:w="1403" w:type="pct"/>
            <w:vAlign w:val="center"/>
            <w:textDirection w:val="lrTb"/>
            <w:noWrap w:val="false"/>
          </w:tcPr>
          <w:p>
            <w:pPr>
              <w:jc w:val="center"/>
              <w:spacing w:line="30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77"/>
              <w:ind w:left="0"/>
              <w:jc w:val="left"/>
              <w:spacing w:before="156" w:after="0" w:line="360" w:lineRule="auto"/>
              <w:rPr>
                <w:rFonts w:hint="eastAsia"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pStyle w:val="762"/>
        <w:jc w:val="center"/>
        <w:spacing w:before="156"/>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br w:type="page" w:clear="all"/>
      </w:r>
      <w:bookmarkStart w:id="175" w:name="_Toc27624"/>
      <w:r>
        <w:rPr>
          <w:rFonts w:hint="eastAsia" w:ascii="宋体" w:hAnsi="宋体" w:eastAsia="宋体" w:cs="宋体"/>
          <w:b w:val="0"/>
          <w:bCs w:val="0"/>
          <w:sz w:val="24"/>
          <w:szCs w:val="24"/>
          <w:highlight w:val="none"/>
        </w:rPr>
        <w:t xml:space="preserve">第二节 政府采购合同通用条款</w:t>
      </w:r>
      <w:bookmarkEnd w:id="175"/>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bCs/>
          <w:sz w:val="24"/>
          <w:szCs w:val="24"/>
          <w:highlight w:val="none"/>
        </w:rPr>
        <w:t xml:space="preserve">定义</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sz w:val="24"/>
          <w:szCs w:val="24"/>
          <w:highlight w:val="none"/>
        </w:rPr>
        <w:t xml:space="preserve">政府采购合同专用条款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政府采购合同通用条款</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投标（响应）文件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有关技术文件</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rPr>
        <w:t xml:space="preserve">图纸</w:t>
      </w:r>
      <w:r>
        <w:rPr>
          <w:rFonts w:hint="eastAsia" w:ascii="宋体" w:hAnsi="宋体" w:eastAsia="宋体" w:cs="宋体"/>
          <w:sz w:val="24"/>
          <w:szCs w:val="24"/>
          <w:highlight w:val="none"/>
          <w:lang w:eastAsia="zh-CN"/>
        </w:rPr>
        <w:t xml:space="preserve">，以及</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before="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4"/>
          <w:szCs w:val="24"/>
          <w:highlight w:val="none"/>
          <w14:textFill>
            <w14:solidFill>
              <w14:schemeClr w14:val="tx1"/>
            </w14:solidFill>
          </w14:textFill>
        </w:rPr>
        <w:t xml:space="preserve">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4"/>
          <w:szCs w:val="24"/>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spacing w:before="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“联合体”系指</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两个以上的自然人、法人或者</w:t>
      </w:r>
      <w:r>
        <w:rPr>
          <w:rFonts w:hint="eastAsia" w:ascii="宋体" w:hAnsi="宋体" w:eastAsia="宋体" w:cs="宋体"/>
          <w:sz w:val="24"/>
          <w:szCs w:val="24"/>
          <w:highlight w:val="none"/>
          <w:lang w:val="en-US" w:eastAsia="zh-CN"/>
        </w:rPr>
        <w:t xml:space="preserve">非法人</w:t>
      </w:r>
      <w:r>
        <w:rPr>
          <w:rFonts w:hint="eastAsia" w:ascii="宋体" w:hAnsi="宋体" w:eastAsia="宋体" w:cs="宋体"/>
          <w:sz w:val="24"/>
          <w:szCs w:val="24"/>
          <w:highlight w:val="none"/>
        </w:rPr>
        <w:t xml:space="preserve">组织组成，</w:t>
      </w:r>
      <w:r>
        <w:rPr>
          <w:rFonts w:hint="eastAsia" w:ascii="宋体" w:hAnsi="宋体" w:eastAsia="宋体" w:cs="宋体"/>
          <w:sz w:val="24"/>
          <w:szCs w:val="24"/>
          <w:highlight w:val="none"/>
          <w:lang w:eastAsia="zh-CN"/>
        </w:rPr>
        <w:t xml:space="preserve">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8"/>
        </w:num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spacing w:before="0" w:line="40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价款</w:t>
      </w:r>
      <w:r>
        <w:rPr>
          <w:rFonts w:hint="eastAsia" w:ascii="宋体" w:hAnsi="宋体" w:eastAsia="宋体" w:cs="宋体"/>
          <w:color w:val="000000" w:themeColor="text1"/>
          <w:sz w:val="24"/>
          <w:szCs w:val="24"/>
          <w:highlight w:val="none"/>
          <w14:textFill>
            <w14:solidFill>
              <w14:schemeClr w14:val="tx1"/>
            </w14:solidFill>
          </w14:textFill>
        </w:rPr>
        <w:t xml:space="preserve">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履行合同的时间、地点和方式</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sz w:val="24"/>
          <w:szCs w:val="24"/>
          <w:highlight w:val="none"/>
        </w:rPr>
        <w:t xml:space="preserve">乙方应当在约定的时间、地点</w:t>
      </w:r>
      <w:r>
        <w:rPr>
          <w:rFonts w:hint="eastAsia" w:ascii="宋体" w:hAnsi="宋体" w:eastAsia="宋体" w:cs="宋体"/>
          <w:sz w:val="24"/>
          <w:szCs w:val="24"/>
          <w:highlight w:val="none"/>
          <w:lang w:eastAsia="zh-CN"/>
        </w:rPr>
        <w:t xml:space="preserve">，按照约定</w:t>
      </w:r>
      <w:r>
        <w:rPr>
          <w:rFonts w:hint="eastAsia" w:ascii="宋体" w:hAnsi="宋体" w:eastAsia="宋体" w:cs="宋体"/>
          <w:sz w:val="24"/>
          <w:szCs w:val="24"/>
          <w:highlight w:val="none"/>
        </w:rPr>
        <w:t xml:space="preserve">方式履行合同。</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甲方的权利和义务</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 甲方有权要求乙方对缺陷部分予以修复，并按合同约定享有货物保修及其他合同约定的权利。</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 w:val="24"/>
          <w:szCs w:val="24"/>
          <w:highlight w:val="none"/>
          <w:lang w:eastAsia="zh-CN"/>
        </w:rPr>
        <w:t xml:space="preserve">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视为验收通过。</w:t>
      </w:r>
      <w:r/>
    </w:p>
    <w:p>
      <w:pPr>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乙方的权利和义务</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 xml:space="preserve">，负责与本合同有关的事务。</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w:t>
      </w:r>
      <w:r>
        <w:rPr>
          <w:rFonts w:hint="eastAsia" w:ascii="宋体" w:hAnsi="宋体" w:eastAsia="宋体" w:cs="宋体"/>
          <w:color w:val="000000" w:themeColor="text1"/>
          <w:sz w:val="24"/>
          <w:szCs w:val="24"/>
          <w:highlight w:val="none"/>
          <w14:textFill>
            <w14:solidFill>
              <w14:schemeClr w14:val="tx1"/>
            </w14:solidFill>
          </w14:textFill>
        </w:rPr>
        <w:t xml:space="preserve">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w:t>
      </w:r>
      <w:r>
        <w:rPr>
          <w:rFonts w:hint="eastAsia" w:ascii="宋体" w:hAnsi="宋体" w:eastAsia="宋体" w:cs="宋体"/>
          <w:color w:val="000000" w:themeColor="text1"/>
          <w:sz w:val="24"/>
          <w:szCs w:val="24"/>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及验收</w:t>
      </w:r>
      <w:r>
        <w:rPr>
          <w:rFonts w:hint="eastAsia" w:ascii="宋体" w:hAnsi="宋体" w:eastAsia="宋体" w:cs="宋体"/>
          <w:color w:val="000000" w:themeColor="text1"/>
          <w:sz w:val="24"/>
          <w:szCs w:val="24"/>
          <w:highlight w:val="none"/>
          <w14:textFill>
            <w14:solidFill>
              <w14:schemeClr w14:val="tx1"/>
            </w14:solidFill>
          </w14:textFill>
        </w:rPr>
        <w:t xml:space="preserve">，并负责项目实施过程中的所有协调工作。</w:t>
      </w:r>
      <w:r/>
    </w:p>
    <w:p>
      <w:pPr>
        <w:pStyle w:val="776"/>
        <w:ind w:firstLine="422"/>
        <w:spacing w:after="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合同价款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6"/>
        <w:ind w:firstLine="422"/>
        <w:spacing w:after="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9"/>
        </w:num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行</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spacing w:before="0" w:line="40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szCs w:val="24"/>
          <w:highlight w:val="none"/>
          <w14:textFill>
            <w14:solidFill>
              <w14:schemeClr w14:val="tx1"/>
            </w14:solidFill>
          </w14:textFill>
        </w:rPr>
        <w:t xml:space="preserve">要求</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 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约</w:t>
      </w:r>
      <w:r>
        <w:rPr>
          <w:rFonts w:hint="eastAsia" w:ascii="宋体" w:hAnsi="宋体" w:eastAsia="宋体" w:cs="宋体"/>
          <w:bCs/>
          <w:color w:val="000000" w:themeColor="text1"/>
          <w:sz w:val="24"/>
          <w:szCs w:val="24"/>
          <w:highlight w:val="none"/>
          <w14:textFill>
            <w14:solidFill>
              <w14:schemeClr w14:val="tx1"/>
            </w14:solidFill>
          </w14:textFill>
        </w:rPr>
        <w:t xml:space="preserve">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 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约</w:t>
      </w:r>
      <w:r>
        <w:rPr>
          <w:rFonts w:hint="eastAsia" w:ascii="宋体" w:hAnsi="宋体" w:eastAsia="宋体" w:cs="宋体"/>
          <w:bCs/>
          <w:color w:val="000000" w:themeColor="text1"/>
          <w:sz w:val="24"/>
          <w:szCs w:val="24"/>
          <w:highlight w:val="none"/>
          <w14:textFill>
            <w14:solidFill>
              <w14:schemeClr w14:val="tx1"/>
            </w14:solidFill>
          </w14:textFill>
        </w:rPr>
        <w:t xml:space="preserve">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 w:val="24"/>
          <w:szCs w:val="24"/>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w:t>
      </w:r>
      <w:r>
        <w:rPr>
          <w:rFonts w:hint="eastAsia" w:ascii="宋体" w:hAnsi="宋体" w:eastAsia="宋体" w:cs="宋体"/>
          <w:color w:val="000000" w:themeColor="text1"/>
          <w:sz w:val="24"/>
          <w:szCs w:val="24"/>
          <w:highlight w:val="none"/>
          <w14:textFill>
            <w14:solidFill>
              <w14:schemeClr w14:val="tx1"/>
            </w14:solidFill>
          </w14:textFill>
        </w:rPr>
        <w:t xml:space="preserve">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价款</w:t>
      </w:r>
      <w:r>
        <w:rPr>
          <w:rFonts w:hint="eastAsia" w:ascii="宋体" w:hAnsi="宋体" w:eastAsia="宋体" w:cs="宋体"/>
          <w:color w:val="000000" w:themeColor="text1"/>
          <w:sz w:val="24"/>
          <w:szCs w:val="24"/>
          <w:highlight w:val="none"/>
          <w14:textFill>
            <w14:solidFill>
              <w14:schemeClr w14:val="tx1"/>
            </w14:solidFill>
          </w14:textFill>
        </w:rPr>
        <w:t xml:space="preserve">中。</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 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 w:val="24"/>
          <w:szCs w:val="24"/>
          <w:highlight w:val="none"/>
          <w14:textFill>
            <w14:solidFill>
              <w14:schemeClr w14:val="tx1"/>
            </w14:solidFill>
          </w14:textFill>
        </w:rPr>
        <w:t xml:space="preserve">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 w:val="24"/>
          <w:szCs w:val="24"/>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 w:val="24"/>
          <w:szCs w:val="24"/>
          <w:highlight w:val="none"/>
          <w14:textFill>
            <w14:solidFill>
              <w14:schemeClr w14:val="tx1"/>
            </w14:solidFill>
          </w14:textFill>
        </w:rPr>
        <w:t xml:space="preserve">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sz w:val="24"/>
          <w:szCs w:val="24"/>
          <w:highlight w:val="none"/>
        </w:rPr>
        <w:t xml:space="preserve">乙方在运输到达之前</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提前通知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，并提示货物运输装卸的注意事项</w:t>
      </w:r>
      <w:r>
        <w:rPr>
          <w:rFonts w:hint="eastAsia" w:ascii="宋体" w:hAnsi="宋体" w:eastAsia="宋体" w:cs="宋体"/>
          <w:color w:val="000000"/>
          <w:sz w:val="24"/>
          <w:szCs w:val="24"/>
          <w:highlight w:val="none"/>
          <w:lang w:eastAsia="zh-CN"/>
        </w:rPr>
        <w:t xml:space="preserve">，甲方配合乙方做好货物的接收工作。</w:t>
      </w:r>
      <w:r/>
    </w:p>
    <w:p>
      <w:pPr>
        <w:pStyle w:val="1082"/>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sz w:val="24"/>
          <w:szCs w:val="24"/>
          <w:highlight w:val="none"/>
        </w:rPr>
        <w:t xml:space="preserve">如因包装</w:t>
      </w:r>
      <w:r>
        <w:rPr>
          <w:rFonts w:hint="eastAsia" w:ascii="宋体" w:hAnsi="宋体" w:eastAsia="宋体" w:cs="宋体"/>
          <w:color w:val="000000"/>
          <w:sz w:val="24"/>
          <w:szCs w:val="24"/>
          <w:highlight w:val="none"/>
          <w:lang w:eastAsia="zh-CN"/>
        </w:rPr>
        <w:t xml:space="preserve">、运输</w:t>
      </w:r>
      <w:r>
        <w:rPr>
          <w:rFonts w:hint="eastAsia" w:ascii="宋体" w:hAnsi="宋体" w:eastAsia="宋体" w:cs="宋体"/>
          <w:color w:val="000000"/>
          <w:sz w:val="24"/>
          <w:szCs w:val="24"/>
          <w:highlight w:val="none"/>
        </w:rPr>
        <w:t xml:space="preserve">问题导致货物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有权要求降价、换货、拒收部分或整批货物，由此</w:t>
      </w:r>
      <w:r>
        <w:rPr>
          <w:rFonts w:hint="eastAsia" w:ascii="宋体" w:hAnsi="宋体" w:eastAsia="宋体" w:cs="宋体"/>
          <w:color w:val="000000"/>
          <w:sz w:val="24"/>
          <w:szCs w:val="24"/>
          <w:highlight w:val="none"/>
          <w:lang w:eastAsia="zh-CN"/>
        </w:rPr>
        <w:t xml:space="preserve">产生</w:t>
      </w:r>
      <w:r>
        <w:rPr>
          <w:rFonts w:hint="eastAsia" w:ascii="宋体" w:hAnsi="宋体" w:eastAsia="宋体" w:cs="宋体"/>
          <w:color w:val="000000"/>
          <w:sz w:val="24"/>
          <w:szCs w:val="24"/>
          <w:highlight w:val="none"/>
        </w:rPr>
        <w:t xml:space="preserve">的费用和损失，均由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auto"/>
          <w:sz w:val="24"/>
          <w:szCs w:val="24"/>
          <w:highlight w:val="none"/>
        </w:rPr>
        <w:t xml:space="preserve">质量标准和保证</w:t>
      </w:r>
      <w:r/>
    </w:p>
    <w:p>
      <w:pPr>
        <w:pStyle w:val="780"/>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 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rPr>
        <w:t xml:space="preserve">定的</w:t>
      </w:r>
      <w:r>
        <w:rPr>
          <w:rFonts w:hint="eastAsia" w:ascii="宋体" w:hAnsi="宋体" w:eastAsia="宋体" w:cs="宋体"/>
          <w:sz w:val="24"/>
          <w:szCs w:val="24"/>
          <w:highlight w:val="none"/>
        </w:rPr>
        <w:t xml:space="preserve">品牌、规格型号、技术性能、配置、质量、数量等要求。</w:t>
      </w:r>
      <w:r>
        <w:rPr>
          <w:rFonts w:hint="eastAsia" w:ascii="宋体" w:hAnsi="宋体" w:eastAsia="宋体" w:cs="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780"/>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 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highlight w:val="none"/>
        </w:rPr>
        <w:t xml:space="preserve">在其使用寿命期内具</w:t>
      </w:r>
      <w:r>
        <w:rPr>
          <w:rFonts w:hint="eastAsia" w:ascii="宋体" w:hAnsi="宋体" w:eastAsia="宋体" w:cs="宋体"/>
          <w:sz w:val="24"/>
          <w:szCs w:val="24"/>
          <w:highlight w:val="none"/>
          <w:lang w:eastAsia="zh-CN"/>
        </w:rPr>
        <w:t xml:space="preserve">备合同约定</w:t>
      </w:r>
      <w:r>
        <w:rPr>
          <w:rFonts w:hint="eastAsia" w:ascii="宋体" w:hAnsi="宋体" w:eastAsia="宋体" w:cs="宋体"/>
          <w:sz w:val="24"/>
          <w:szCs w:val="24"/>
          <w:highlight w:val="none"/>
        </w:rPr>
        <w:t xml:space="preserve">的性能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 乙方保证对其出售的货物享有合法的权利。</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sz w:val="24"/>
          <w:szCs w:val="24"/>
          <w:highlight w:val="none"/>
        </w:rPr>
        <w:t xml:space="preserve">乙方保证在交付的货物上不存在抵押权等担保物权。</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w:t>
      </w:r>
      <w:r>
        <w:rPr>
          <w:rFonts w:hint="eastAsia" w:ascii="宋体" w:hAnsi="宋体" w:eastAsia="宋体" w:cs="宋体"/>
          <w:color w:val="000000" w:themeColor="text1"/>
          <w:sz w:val="24"/>
          <w:szCs w:val="24"/>
          <w:highlight w:val="none"/>
          <w14:textFill>
            <w14:solidFill>
              <w14:schemeClr w14:val="tx1"/>
            </w14:solidFill>
          </w14:textFill>
        </w:rPr>
        <w:t xml:space="preserve">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 w:val="24"/>
          <w:szCs w:val="24"/>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 w:val="24"/>
          <w:szCs w:val="24"/>
          <w:highlight w:val="none"/>
        </w:rPr>
        <w:t xml:space="preserve">何第三人的知识产权等权利。</w:t>
      </w:r>
      <w:bookmarkStart w:id="176"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6"/>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11.1 </w:t>
      </w:r>
      <w:r>
        <w:rPr>
          <w:rFonts w:hint="eastAsia" w:ascii="宋体" w:hAnsi="宋体" w:eastAsia="宋体" w:cs="宋体"/>
          <w:sz w:val="24"/>
          <w:szCs w:val="24"/>
          <w:highlight w:val="none"/>
        </w:rPr>
        <w:t xml:space="preserve">甲、乙双方</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采购和合同履行过程中所获悉的</w:t>
      </w:r>
      <w:r>
        <w:rPr>
          <w:rFonts w:hint="eastAsia" w:ascii="宋体" w:hAnsi="宋体" w:eastAsia="宋体" w:cs="宋体"/>
          <w:sz w:val="24"/>
          <w:szCs w:val="24"/>
          <w:highlight w:val="none"/>
          <w:lang w:eastAsia="zh-CN"/>
        </w:rPr>
        <w:t xml:space="preserve">国家秘密、工作秘密、</w:t>
      </w:r>
      <w:r>
        <w:rPr>
          <w:rFonts w:hint="eastAsia" w:ascii="宋体" w:hAnsi="宋体" w:eastAsia="宋体" w:cs="宋体"/>
          <w:sz w:val="24"/>
          <w:szCs w:val="24"/>
          <w:highlight w:val="none"/>
        </w:rPr>
        <w:t xml:space="preserve">商业秘密或者其他应当保密的信息，均有保密义务</w:t>
      </w:r>
      <w:r>
        <w:rPr>
          <w:rFonts w:hint="eastAsia" w:ascii="宋体" w:hAnsi="宋体" w:eastAsia="宋体" w:cs="宋体"/>
          <w:sz w:val="24"/>
          <w:szCs w:val="24"/>
          <w:highlight w:val="none"/>
          <w:lang w:eastAsia="zh-CN"/>
        </w:rPr>
        <w:t xml:space="preserve">且不受合同有效期所限，直至该信息成为公开信息</w:t>
      </w:r>
      <w:r>
        <w:rPr>
          <w:rFonts w:hint="eastAsia" w:ascii="宋体" w:hAnsi="宋体" w:eastAsia="宋体" w:cs="宋体"/>
          <w:sz w:val="24"/>
          <w:szCs w:val="24"/>
          <w:highlight w:val="none"/>
        </w:rPr>
        <w:t xml:space="preserve">。泄露、不正当地使用</w:t>
      </w:r>
      <w:r>
        <w:rPr>
          <w:rFonts w:hint="eastAsia" w:ascii="宋体" w:hAnsi="宋体" w:eastAsia="宋体" w:cs="宋体"/>
          <w:sz w:val="24"/>
          <w:szCs w:val="24"/>
          <w:highlight w:val="none"/>
          <w:lang w:eastAsia="zh-CN"/>
        </w:rPr>
        <w:t xml:space="preserve">国家秘密、工作秘密、</w:t>
      </w:r>
      <w:r>
        <w:rPr>
          <w:rFonts w:hint="eastAsia" w:ascii="宋体" w:hAnsi="宋体" w:eastAsia="宋体" w:cs="宋体"/>
          <w:sz w:val="24"/>
          <w:szCs w:val="24"/>
          <w:highlight w:val="none"/>
        </w:rPr>
        <w:t xml:space="preserve">商业秘密或者</w:t>
      </w:r>
      <w:r>
        <w:rPr>
          <w:rFonts w:hint="eastAsia" w:ascii="宋体" w:hAnsi="宋体" w:eastAsia="宋体" w:cs="宋体"/>
          <w:sz w:val="24"/>
          <w:szCs w:val="24"/>
          <w:highlight w:val="none"/>
          <w:lang w:eastAsia="zh-CN"/>
        </w:rPr>
        <w:t xml:space="preserve">其他应当保密的</w:t>
      </w:r>
      <w:r>
        <w:rPr>
          <w:rFonts w:hint="eastAsia" w:ascii="宋体" w:hAnsi="宋体" w:eastAsia="宋体" w:cs="宋体"/>
          <w:sz w:val="24"/>
          <w:szCs w:val="24"/>
          <w:highlight w:val="none"/>
        </w:rPr>
        <w:t xml:space="preserve">信息，应当承担</w:t>
      </w:r>
      <w:r>
        <w:rPr>
          <w:rFonts w:hint="eastAsia" w:ascii="宋体" w:hAnsi="宋体" w:eastAsia="宋体" w:cs="宋体"/>
          <w:sz w:val="24"/>
          <w:szCs w:val="24"/>
          <w:highlight w:val="none"/>
          <w:lang w:eastAsia="zh-CN"/>
        </w:rPr>
        <w:t xml:space="preserve">相应</w:t>
      </w:r>
      <w:r>
        <w:rPr>
          <w:rFonts w:hint="eastAsia" w:ascii="宋体" w:hAnsi="宋体" w:eastAsia="宋体" w:cs="宋体"/>
          <w:sz w:val="24"/>
          <w:szCs w:val="24"/>
          <w:highlight w:val="none"/>
        </w:rPr>
        <w:t xml:space="preserve">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sz w:val="24"/>
          <w:szCs w:val="24"/>
          <w:highlight w:val="none"/>
        </w:rPr>
        <w:t xml:space="preserve">对于满足合同约定支付条件的，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宋体" w:hAnsi="宋体" w:eastAsia="宋体" w:cs="宋体"/>
          <w:b w:val="0"/>
          <w:bCs w:val="0"/>
          <w:color w:val="auto"/>
          <w:sz w:val="24"/>
          <w:szCs w:val="24"/>
          <w:highlight w:val="none"/>
        </w:rPr>
        <w:t xml:space="preserve">将资金支付到合同约定的</w:t>
      </w:r>
      <w:r>
        <w:rPr>
          <w:rFonts w:hint="eastAsia" w:ascii="宋体" w:hAnsi="宋体" w:eastAsia="宋体" w:cs="宋体"/>
          <w:b w:val="0"/>
          <w:bCs w:val="0"/>
          <w:color w:val="auto"/>
          <w:sz w:val="24"/>
          <w:szCs w:val="24"/>
          <w:highlight w:val="none"/>
          <w:lang w:eastAsia="zh-CN"/>
        </w:rPr>
        <w:t xml:space="preserve">乙方</w:t>
      </w:r>
      <w:r>
        <w:rPr>
          <w:rFonts w:hint="eastAsia" w:ascii="宋体" w:hAnsi="宋体" w:eastAsia="宋体" w:cs="宋体"/>
          <w:b w:val="0"/>
          <w:bCs w:val="0"/>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rPr>
        <w:t xml:space="preserve">】中</w:t>
      </w:r>
      <w:r>
        <w:rPr>
          <w:rFonts w:hint="eastAsia" w:ascii="宋体" w:hAnsi="宋体" w:eastAsia="宋体" w:cs="宋体"/>
          <w:b w:val="0"/>
          <w:bCs w:val="0"/>
          <w:color w:val="auto"/>
          <w:sz w:val="24"/>
          <w:szCs w:val="24"/>
          <w:highlight w:val="none"/>
          <w:lang w:eastAsia="zh-CN"/>
        </w:rPr>
        <w:t xml:space="preserve">约</w:t>
      </w:r>
      <w:r>
        <w:rPr>
          <w:rFonts w:hint="eastAsia" w:ascii="宋体" w:hAnsi="宋体" w:eastAsia="宋体" w:cs="宋体"/>
          <w:b w:val="0"/>
          <w:bCs w:val="0"/>
          <w:color w:val="auto"/>
          <w:sz w:val="24"/>
          <w:szCs w:val="24"/>
          <w:highlight w:val="none"/>
        </w:rPr>
        <w:t xml:space="preserve">定。</w:t>
      </w:r>
      <w:r/>
    </w:p>
    <w:p>
      <w:pPr>
        <w:pStyle w:val="776"/>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sz w:val="24"/>
          <w:szCs w:val="24"/>
          <w:highlight w:val="none"/>
        </w:rPr>
        <w:t xml:space="preserve">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 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 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sz w:val="24"/>
          <w:szCs w:val="24"/>
          <w:highlight w:val="none"/>
          <w:lang w:eastAsia="zh-CN"/>
        </w:rPr>
        <w:t xml:space="preserve">；</w:t>
      </w:r>
      <w:r/>
    </w:p>
    <w:p>
      <w:pPr>
        <w:pStyle w:val="10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 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 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1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w:t>
      </w:r>
      <w:r>
        <w:rPr>
          <w:rFonts w:hint="eastAsia" w:ascii="宋体" w:hAnsi="宋体" w:eastAsia="宋体" w:cs="宋体"/>
          <w:sz w:val="24"/>
          <w:szCs w:val="24"/>
          <w:highlight w:val="none"/>
          <w:lang w:eastAsia="zh-CN"/>
        </w:rPr>
        <w:t xml:space="preserve">及时告知</w:t>
      </w:r>
      <w:r>
        <w:rPr>
          <w:rFonts w:hint="eastAsia" w:ascii="宋体" w:hAnsi="宋体" w:eastAsia="宋体" w:cs="宋体"/>
          <w:sz w:val="24"/>
          <w:szCs w:val="24"/>
          <w:highlight w:val="none"/>
        </w:rPr>
        <w:t xml:space="preserve">甲方，致使</w:t>
      </w:r>
      <w:r>
        <w:rPr>
          <w:rFonts w:hint="eastAsia" w:ascii="宋体" w:hAnsi="宋体" w:eastAsia="宋体" w:cs="宋体"/>
          <w:sz w:val="24"/>
          <w:szCs w:val="24"/>
          <w:highlight w:val="none"/>
          <w:lang w:eastAsia="zh-CN"/>
        </w:rPr>
        <w:t xml:space="preserve">合同</w:t>
      </w:r>
      <w:r>
        <w:rPr>
          <w:rFonts w:hint="eastAsia" w:ascii="宋体" w:hAnsi="宋体" w:eastAsia="宋体" w:cs="宋体"/>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并追究乙方的违约责</w:t>
      </w:r>
      <w:r>
        <w:rPr>
          <w:rFonts w:hint="eastAsia" w:ascii="宋体" w:hAnsi="宋体" w:eastAsia="宋体" w:cs="宋体"/>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10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sz w:val="24"/>
          <w:szCs w:val="24"/>
          <w:highlight w:val="none"/>
          <w:lang w:val="en-US" w:eastAsia="zh-CN"/>
        </w:rPr>
        <w:t xml:space="preserve">涉及国家利益、社会公共利益的情形</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highlight w:val="none"/>
        </w:rPr>
        <w:t xml:space="preserve">中止</w:t>
      </w:r>
      <w:r>
        <w:rPr>
          <w:rFonts w:hint="eastAsia" w:ascii="宋体" w:hAnsi="宋体" w:eastAsia="宋体" w:cs="宋体"/>
          <w:sz w:val="24"/>
          <w:szCs w:val="24"/>
          <w:highlight w:val="none"/>
          <w:lang w:eastAsia="zh-CN"/>
        </w:rPr>
        <w:t xml:space="preserve">或者终止</w:t>
      </w:r>
      <w:r>
        <w:rPr>
          <w:rFonts w:hint="eastAsia" w:ascii="宋体" w:hAnsi="宋体" w:eastAsia="宋体" w:cs="宋体"/>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解决争议的方法</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.1 因本合同及合同有关事项发生的争议，由</w:t>
      </w:r>
      <w:r>
        <w:rPr>
          <w:rFonts w:hint="eastAsia" w:ascii="宋体" w:hAnsi="宋体" w:eastAsia="宋体" w:cs="宋体"/>
          <w:sz w:val="24"/>
          <w:szCs w:val="24"/>
          <w:highlight w:val="none"/>
          <w:lang w:eastAsia="zh-CN"/>
        </w:rPr>
        <w:t xml:space="preserve">甲乙双</w:t>
      </w:r>
      <w:r>
        <w:rPr>
          <w:rFonts w:hint="eastAsia" w:ascii="宋体" w:hAnsi="宋体" w:eastAsia="宋体" w:cs="宋体"/>
          <w:sz w:val="24"/>
          <w:szCs w:val="24"/>
          <w:highlight w:val="none"/>
        </w:rPr>
        <w:t xml:space="preserve">方友好协商解决。协商不成时，可以</w:t>
      </w:r>
      <w:r>
        <w:rPr>
          <w:rFonts w:hint="eastAsia" w:ascii="宋体" w:hAnsi="宋体" w:eastAsia="宋体" w:cs="宋体"/>
          <w:sz w:val="24"/>
          <w:szCs w:val="24"/>
          <w:highlight w:val="none"/>
          <w:lang w:eastAsia="zh-CN"/>
        </w:rPr>
        <w:t xml:space="preserve">向有关组织申请</w:t>
      </w:r>
      <w:r>
        <w:rPr>
          <w:rFonts w:hint="eastAsia" w:ascii="宋体" w:hAnsi="宋体" w:eastAsia="宋体" w:cs="宋体"/>
          <w:sz w:val="24"/>
          <w:szCs w:val="24"/>
          <w:highlight w:val="none"/>
        </w:rPr>
        <w:t xml:space="preserve">调解。合同一方或</w:t>
      </w:r>
      <w:r>
        <w:rPr>
          <w:rFonts w:hint="eastAsia" w:ascii="宋体" w:hAnsi="宋体" w:eastAsia="宋体" w:cs="宋体"/>
          <w:sz w:val="24"/>
          <w:szCs w:val="24"/>
          <w:highlight w:val="none"/>
          <w:lang w:eastAsia="zh-CN"/>
        </w:rPr>
        <w:t xml:space="preserve">双</w:t>
      </w:r>
      <w:r>
        <w:rPr>
          <w:rFonts w:hint="eastAsia" w:ascii="宋体" w:hAnsi="宋体" w:eastAsia="宋体" w:cs="宋体"/>
          <w:sz w:val="24"/>
          <w:szCs w:val="24"/>
          <w:highlight w:val="none"/>
        </w:rPr>
        <w:t xml:space="preserve">方不愿调解或调解不成的，可以通过仲裁或诉讼的方式解决争议。</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.3 如</w:t>
      </w:r>
      <w:r>
        <w:rPr>
          <w:rFonts w:hint="eastAsia" w:ascii="宋体" w:hAnsi="宋体" w:eastAsia="宋体" w:cs="宋体"/>
          <w:sz w:val="24"/>
          <w:szCs w:val="24"/>
          <w:highlight w:val="none"/>
          <w:lang w:eastAsia="zh-CN"/>
        </w:rPr>
        <w:t xml:space="preserve">甲乙双方</w:t>
      </w:r>
      <w:r>
        <w:rPr>
          <w:rFonts w:hint="eastAsia" w:ascii="宋体" w:hAnsi="宋体" w:eastAsia="宋体" w:cs="宋体"/>
          <w:sz w:val="24"/>
          <w:szCs w:val="24"/>
          <w:highlight w:val="none"/>
        </w:rPr>
        <w:t xml:space="preserve">有争议的事项不影响合同其他部分的履行，在争议解决期间，合同其他部分应</w:t>
      </w:r>
      <w:r>
        <w:rPr>
          <w:rFonts w:hint="eastAsia" w:ascii="宋体" w:hAnsi="宋体" w:eastAsia="宋体" w:cs="宋体"/>
          <w:sz w:val="24"/>
          <w:szCs w:val="24"/>
          <w:highlight w:val="none"/>
          <w:lang w:eastAsia="zh-CN"/>
        </w:rPr>
        <w:t xml:space="preserve">当</w:t>
      </w:r>
      <w:r>
        <w:rPr>
          <w:rFonts w:hint="eastAsia" w:ascii="宋体" w:hAnsi="宋体" w:eastAsia="宋体" w:cs="宋体"/>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highlight w:val="none"/>
          <w:lang w:eastAsia="zh-CN"/>
        </w:rPr>
        <w:t xml:space="preserve">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76"/>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法律适用</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 本合同的订立、生效、解释、履行及与本合同有关的争议解决，均适用法律、行政法规。</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 xml:space="preserve">通知</w:t>
      </w:r>
      <w:r/>
    </w:p>
    <w:p>
      <w:pPr>
        <w:pStyle w:val="108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1082"/>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一方当事人变更名称、</w:t>
      </w:r>
      <w:r>
        <w:rPr>
          <w:rFonts w:hint="eastAsia" w:ascii="宋体" w:hAnsi="宋体" w:eastAsia="宋体" w:cs="宋体"/>
          <w:sz w:val="24"/>
          <w:szCs w:val="24"/>
          <w:highlight w:val="none"/>
          <w:lang w:eastAsia="zh-CN"/>
        </w:rPr>
        <w:t xml:space="preserve">住所</w:t>
      </w:r>
      <w:r>
        <w:rPr>
          <w:rFonts w:hint="eastAsia" w:ascii="宋体" w:hAnsi="宋体" w:eastAsia="宋体" w:cs="宋体"/>
          <w:sz w:val="24"/>
          <w:szCs w:val="24"/>
          <w:highlight w:val="none"/>
        </w:rPr>
        <w:t xml:space="preserve">、联系人、联系电话或电子邮箱</w:t>
      </w:r>
      <w:r>
        <w:rPr>
          <w:rFonts w:hint="eastAsia" w:ascii="宋体" w:hAnsi="宋体" w:eastAsia="宋体" w:cs="宋体"/>
          <w:sz w:val="24"/>
          <w:szCs w:val="24"/>
          <w:highlight w:val="none"/>
          <w:lang w:eastAsia="zh-CN"/>
        </w:rPr>
        <w:t xml:space="preserve">等信息</w:t>
      </w:r>
      <w:r>
        <w:rPr>
          <w:rFonts w:hint="eastAsia" w:ascii="宋体" w:hAnsi="宋体" w:eastAsia="宋体" w:cs="宋体"/>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11"/>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177" w:name="_Toc20313"/>
      <w:r/>
      <w:r/>
    </w:p>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br w:type="page" w:clear="all"/>
      </w:r>
      <w:r/>
    </w:p>
    <w:p>
      <w:pPr>
        <w:pStyle w:val="762"/>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第三节 政府采购合同专用条款</w:t>
      </w:r>
      <w:bookmarkEnd w:id="177"/>
      <w:r/>
      <w:r/>
    </w:p>
    <w:tbl>
      <w:tblPr>
        <w:tblStyle w:val="771"/>
        <w:tblW w:w="972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379"/>
      </w:tblGrid>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联合体具体要求</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4"/>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第1.2（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w:t>
            </w:r>
            <w:r/>
          </w:p>
        </w:tc>
        <w:tc>
          <w:tcPr>
            <w:tcW w:w="1742"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其他术语解释</w:t>
            </w:r>
            <w:r/>
          </w:p>
        </w:tc>
        <w:tc>
          <w:tcPr>
            <w:tcW w:w="637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4.4款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履约验收中甲方提出异议或作出说明的期限</w:t>
            </w:r>
            <w:r/>
          </w:p>
        </w:tc>
        <w:tc>
          <w:tcPr>
            <w:tcW w:w="637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4.6款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约定甲方承担的其他义务和责任</w:t>
            </w:r>
            <w:r/>
          </w:p>
        </w:tc>
        <w:tc>
          <w:tcPr>
            <w:tcW w:w="637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第二节</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5.4款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约定乙方承担的其他义务和责任</w:t>
            </w:r>
            <w:r/>
          </w:p>
        </w:tc>
        <w:tc>
          <w:tcPr>
            <w:tcW w:w="637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第二节</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6.1款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履行合同义务的顺序</w:t>
            </w:r>
            <w:r/>
          </w:p>
        </w:tc>
        <w:tc>
          <w:tcPr>
            <w:tcW w:w="6379"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包装</w:t>
            </w:r>
            <w:r>
              <w:rPr>
                <w:rFonts w:hint="eastAsia" w:ascii="宋体" w:hAnsi="宋体" w:eastAsia="宋体" w:cs="宋体"/>
                <w:sz w:val="24"/>
                <w:szCs w:val="24"/>
                <w:highlight w:val="none"/>
                <w:lang w:eastAsia="zh-CN"/>
              </w:rPr>
              <w:t xml:space="preserve">特殊要求</w:t>
            </w:r>
            <w:r/>
          </w:p>
        </w:tc>
        <w:tc>
          <w:tcPr>
            <w:tcW w:w="63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指定现场</w:t>
            </w:r>
            <w:r/>
          </w:p>
        </w:tc>
        <w:tc>
          <w:tcPr>
            <w:tcW w:w="63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2"/>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运输特殊要求</w:t>
            </w:r>
            <w:r/>
          </w:p>
        </w:tc>
        <w:tc>
          <w:tcPr>
            <w:tcW w:w="63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7"/>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保险要求</w:t>
            </w:r>
            <w:r/>
          </w:p>
        </w:tc>
        <w:tc>
          <w:tcPr>
            <w:tcW w:w="63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.2（1）项</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6379" w:type="dxa"/>
            <w:vAlign w:val="center"/>
            <w:textDirection w:val="lrTb"/>
            <w:noWrap w:val="false"/>
          </w:tcPr>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.2（3）项</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货物质量缺陷</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响应时间</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第二节</w:t>
            </w:r>
            <w:r/>
          </w:p>
          <w:p>
            <w:pPr>
              <w:pStyle w:val="1082"/>
              <w:ind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第11.1款</w:t>
            </w:r>
            <w:r/>
          </w:p>
        </w:tc>
        <w:tc>
          <w:tcPr>
            <w:tcW w:w="1742" w:type="dxa"/>
            <w:vAlign w:val="center"/>
            <w:textDirection w:val="lrTb"/>
            <w:noWrap w:val="false"/>
          </w:tcPr>
          <w:p>
            <w:p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其他应当保密的信息</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7"/>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.2款</w:t>
            </w:r>
            <w:r/>
          </w:p>
        </w:tc>
        <w:tc>
          <w:tcPr>
            <w:tcW w:w="174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合同价款支付</w:t>
            </w:r>
            <w:r>
              <w:rPr>
                <w:rFonts w:hint="eastAsia" w:ascii="宋体" w:hAnsi="宋体" w:eastAsia="宋体" w:cs="宋体"/>
                <w:sz w:val="24"/>
                <w:szCs w:val="24"/>
                <w:highlight w:val="none"/>
                <w:lang w:eastAsia="zh-CN"/>
              </w:rPr>
              <w:t xml:space="preserve">时间</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7"/>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13.2</w:t>
            </w:r>
            <w:r>
              <w:rPr>
                <w:rFonts w:hint="eastAsia" w:ascii="宋体" w:hAnsi="宋体" w:eastAsia="宋体" w:cs="宋体"/>
                <w:sz w:val="24"/>
                <w:szCs w:val="24"/>
                <w:highlight w:val="none"/>
              </w:rPr>
              <w:t xml:space="preserve">款</w:t>
            </w:r>
            <w:r/>
          </w:p>
        </w:tc>
        <w:tc>
          <w:tcPr>
            <w:tcW w:w="1742"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履约保证金不予退还的情形</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13.3</w:t>
            </w:r>
            <w:r>
              <w:rPr>
                <w:rFonts w:hint="eastAsia" w:ascii="宋体" w:hAnsi="宋体" w:eastAsia="宋体" w:cs="宋体"/>
                <w:sz w:val="24"/>
                <w:szCs w:val="24"/>
                <w:highlight w:val="none"/>
              </w:rPr>
              <w:t xml:space="preserve">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履约保证金退还时间及</w:t>
            </w:r>
            <w:r>
              <w:rPr>
                <w:rFonts w:hint="eastAsia" w:ascii="宋体" w:hAnsi="宋体" w:eastAsia="宋体" w:cs="宋体"/>
                <w:sz w:val="24"/>
                <w:szCs w:val="24"/>
                <w:highlight w:val="none"/>
                <w:lang w:eastAsia="zh-CN"/>
              </w:rPr>
              <w:t xml:space="preserve">逾期退还的</w:t>
            </w:r>
            <w:r>
              <w:rPr>
                <w:rFonts w:hint="eastAsia" w:ascii="宋体" w:hAnsi="宋体" w:eastAsia="宋体" w:cs="宋体"/>
                <w:sz w:val="24"/>
                <w:szCs w:val="24"/>
                <w:highlight w:val="none"/>
              </w:rPr>
              <w:t xml:space="preserve">违约金</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4"/>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w:t>
            </w:r>
            <w:r/>
          </w:p>
        </w:tc>
        <w:tc>
          <w:tcPr>
            <w:tcW w:w="1742"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运行监督、维修期限</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4"/>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）项</w:t>
            </w:r>
            <w:r/>
          </w:p>
        </w:tc>
        <w:tc>
          <w:tcPr>
            <w:tcW w:w="1742"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货物回收的约定</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乙方提供的其他服务</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修理、重作、更换相关具体规定</w:t>
            </w:r>
            <w:r/>
          </w:p>
        </w:tc>
        <w:tc>
          <w:tcPr>
            <w:tcW w:w="637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.2（2）项</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迟延交货赔偿费</w:t>
            </w:r>
            <w:r/>
          </w:p>
        </w:tc>
        <w:tc>
          <w:tcPr>
            <w:tcW w:w="6379" w:type="dxa"/>
            <w:vAlign w:val="center"/>
            <w:textDirection w:val="lrTb"/>
            <w:noWrap w:val="false"/>
          </w:tcPr>
          <w:p>
            <w:pPr>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逾期付款利息</w:t>
            </w:r>
            <w:r/>
          </w:p>
        </w:tc>
        <w:tc>
          <w:tcPr>
            <w:tcW w:w="6379" w:type="dxa"/>
            <w:vAlign w:val="center"/>
            <w:textDirection w:val="lrTb"/>
            <w:noWrap w:val="false"/>
          </w:tcPr>
          <w:p>
            <w:pPr>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其他违约责任</w:t>
            </w:r>
            <w:r/>
          </w:p>
        </w:tc>
        <w:tc>
          <w:tcPr>
            <w:tcBorders>
              <w:left w:val="single" w:color="auto" w:sz="2" w:space="0"/>
              <w:bottom w:val="single" w:color="auto" w:sz="2" w:space="0"/>
            </w:tcBorders>
            <w:tcW w:w="6379" w:type="dxa"/>
            <w:vAlign w:val="center"/>
            <w:textDirection w:val="lrTb"/>
            <w:noWrap w:val="false"/>
          </w:tcPr>
          <w:p>
            <w:pPr>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解决争议的方法</w:t>
            </w:r>
            <w:r/>
          </w:p>
        </w:tc>
        <w:tc>
          <w:tcPr>
            <w:tcBorders>
              <w:top w:val="single" w:color="auto" w:sz="2" w:space="0"/>
              <w:left w:val="single" w:color="auto" w:sz="2" w:space="0"/>
            </w:tcBorders>
            <w:tcW w:w="6379" w:type="dxa"/>
            <w:vAlign w:val="center"/>
            <w:textDirection w:val="lrTb"/>
            <w:noWrap w:val="false"/>
          </w:tcPr>
          <w:p>
            <w:pPr>
              <w:jc w:val="left"/>
              <w:spacing w:line="400" w:lineRule="exact"/>
              <w:rPr>
                <w:rFonts w:hint="eastAsia" w:ascii="宋体" w:hAnsi="宋体" w:eastAsia="宋体" w:cs="宋体"/>
                <w:b w:val="0"/>
                <w:bCs w:val="0"/>
                <w:iCs/>
                <w:sz w:val="24"/>
                <w:szCs w:val="24"/>
                <w:highlight w:val="none"/>
              </w:rPr>
            </w:pPr>
            <w:r>
              <w:rPr>
                <w:rFonts w:hint="eastAsia" w:ascii="宋体" w:hAnsi="宋体" w:eastAsia="宋体" w:cs="宋体"/>
                <w:b w:val="0"/>
                <w:bCs w:val="0"/>
                <w:iCs/>
                <w:sz w:val="24"/>
                <w:szCs w:val="24"/>
                <w:highlight w:val="none"/>
              </w:rPr>
              <w:t xml:space="preserve">因本合同及合同有关事项发生的争议，按下列第</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种方式解决：</w:t>
            </w:r>
            <w:r/>
          </w:p>
          <w:p>
            <w:pPr>
              <w:jc w:val="left"/>
              <w:spacing w:line="400" w:lineRule="exact"/>
              <w:rPr>
                <w:rFonts w:hint="eastAsia" w:ascii="宋体" w:hAnsi="宋体" w:eastAsia="宋体" w:cs="宋体"/>
                <w:b w:val="0"/>
                <w:bCs w:val="0"/>
                <w:iCs/>
                <w:sz w:val="24"/>
                <w:szCs w:val="24"/>
                <w:highlight w:val="none"/>
              </w:rPr>
            </w:pPr>
            <w:r>
              <w:rPr>
                <w:rFonts w:hint="eastAsia" w:ascii="宋体" w:hAnsi="宋体" w:eastAsia="宋体" w:cs="宋体"/>
                <w:b w:val="0"/>
                <w:bCs w:val="0"/>
                <w:iCs/>
                <w:sz w:val="24"/>
                <w:szCs w:val="24"/>
                <w:highlight w:val="none"/>
              </w:rPr>
              <w:t xml:space="preserve">（1）向</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仲裁委员会申请仲裁，仲裁地点为</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w:t>
            </w:r>
            <w:r/>
          </w:p>
          <w:p>
            <w:pPr>
              <w:ind w:firstLine="0"/>
              <w:jc w:val="left"/>
              <w:rPr>
                <w:rFonts w:hint="eastAsia" w:ascii="宋体" w:hAnsi="宋体" w:eastAsia="宋体" w:cs="宋体"/>
                <w:sz w:val="24"/>
                <w:szCs w:val="24"/>
                <w:highlight w:val="none"/>
                <w:u w:val="single"/>
              </w:rPr>
            </w:pPr>
            <w:r>
              <w:rPr>
                <w:rFonts w:hint="eastAsia" w:ascii="宋体" w:hAnsi="宋体" w:eastAsia="宋体" w:cs="宋体"/>
                <w:b w:val="0"/>
                <w:bCs w:val="0"/>
                <w:iCs/>
                <w:sz w:val="24"/>
                <w:szCs w:val="24"/>
                <w:highlight w:val="none"/>
              </w:rPr>
              <w:t xml:space="preserve">（2）向</w:t>
            </w:r>
            <w:r>
              <w:rPr>
                <w:rFonts w:hint="eastAsia" w:ascii="宋体" w:hAnsi="宋体" w:eastAsia="宋体" w:cs="宋体"/>
                <w:b w:val="0"/>
                <w:bCs w:val="0"/>
                <w:iCs/>
                <w:sz w:val="24"/>
                <w:szCs w:val="24"/>
                <w:highlight w:val="none"/>
                <w:u w:val="single"/>
              </w:rPr>
              <w:t xml:space="preserve">                    </w:t>
            </w:r>
            <w:r>
              <w:rPr>
                <w:rFonts w:hint="eastAsia" w:ascii="宋体" w:hAnsi="宋体" w:eastAsia="宋体" w:cs="宋体"/>
                <w:b w:val="0"/>
                <w:bCs w:val="0"/>
                <w:iCs/>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w:t>
            </w: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lang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6379"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6"/>
        <w:ind w:firstLine="0"/>
        <w:jc w:val="left"/>
        <w:spacing w:line="240" w:lineRule="auto"/>
        <w:rPr>
          <w:rFonts w:hint="eastAsia" w:hAnsi="宋体"/>
          <w:color w:val="auto"/>
          <w:sz w:val="24"/>
          <w:szCs w:val="24"/>
          <w:highlight w:val="none"/>
        </w:rPr>
      </w:pPr>
      <w:r>
        <w:rPr>
          <w:rFonts w:hint="eastAsia" w:hAnsi="宋体"/>
          <w:color w:val="auto"/>
          <w:sz w:val="24"/>
          <w:szCs w:val="24"/>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9"/>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9"/>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9"/>
      </w:pPr>
      <w:r>
        <w:rPr>
          <w:rFonts w:hint="eastAsia" w:ascii="黑体" w:hAnsi="Courier New" w:eastAsia="黑体" w:cs="Courier New"/>
          <w:bCs/>
          <w:color w:val="auto"/>
          <w:sz w:val="44"/>
          <w:szCs w:val="21"/>
          <w:highlight w:val="none"/>
        </w:rPr>
      </w:r>
      <w:r/>
    </w:p>
    <w:p>
      <w:pPr>
        <w:jc w:val="both"/>
        <w:spacing w:before="120" w:after="120" w:line="0" w:lineRule="atLeast"/>
        <w:rPr>
          <w:rFonts w:hint="eastAsia" w:ascii="黑体" w:hAnsi="Courier New" w:eastAsia="黑体" w:cs="Courier New"/>
          <w:bCs/>
          <w:color w:val="auto"/>
          <w:sz w:val="44"/>
          <w:szCs w:val="21"/>
          <w:highlight w:val="none"/>
        </w:rPr>
        <w:outlineLvl w:val="9"/>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宋体" w:hAnsi="宋体" w:cs="Courier New"/>
          <w:color w:val="auto"/>
          <w:sz w:val="24"/>
          <w:szCs w:val="24"/>
          <w:highlight w:val="none"/>
        </w:rPr>
        <w:outlineLvl w:val="0"/>
      </w:pPr>
      <w:r>
        <w:rPr>
          <w:rFonts w:hint="eastAsia" w:ascii="黑体" w:hAnsi="Courier New" w:eastAsia="黑体" w:cs="Courier New"/>
          <w:bCs/>
          <w:color w:val="auto"/>
          <w:sz w:val="44"/>
          <w:szCs w:val="21"/>
          <w:highlight w:val="none"/>
        </w:rPr>
        <w:t xml:space="preserve">第</w:t>
      </w:r>
      <w:bookmarkEnd w:id="168"/>
      <w:r>
        <w:rPr>
          <w:rFonts w:hint="eastAsia" w:ascii="黑体" w:hAnsi="Courier New" w:eastAsia="黑体" w:cs="Courier New"/>
          <w:bCs/>
          <w:color w:val="auto"/>
          <w:sz w:val="44"/>
          <w:szCs w:val="21"/>
          <w:highlight w:val="none"/>
        </w:rPr>
        <w:t xml:space="preserve">四章 采购需求</w:t>
      </w:r>
      <w:bookmarkEnd w:id="169"/>
      <w:r/>
      <w:bookmarkEnd w:id="170"/>
      <w:r/>
      <w:bookmarkEnd w:id="171"/>
      <w:r/>
      <w:r/>
    </w:p>
    <w:p>
      <w:pPr>
        <w:ind w:firstLine="482"/>
        <w:jc w:val="left"/>
        <w:spacing w:line="360" w:lineRule="auto"/>
        <w:rPr>
          <w:b/>
          <w:sz w:val="24"/>
          <w:szCs w:val="24"/>
          <w:highlight w:val="none"/>
        </w:rPr>
      </w:pPr>
      <w:r/>
      <w:bookmarkStart w:id="178" w:name="_Toc26554093"/>
      <w:r/>
      <w:bookmarkStart w:id="179" w:name="_Toc49090575"/>
      <w:r>
        <w:rPr>
          <w:rFonts w:hint="eastAsia"/>
          <w:b/>
          <w:sz w:val="24"/>
          <w:szCs w:val="24"/>
          <w:highlight w:val="none"/>
          <w:lang w:val="en-US" w:eastAsia="zh-CN"/>
        </w:rPr>
        <w:t xml:space="preserve">一、</w:t>
      </w:r>
      <w:r>
        <w:rPr>
          <w:rFonts w:hint="eastAsia"/>
          <w:b/>
          <w:sz w:val="24"/>
          <w:szCs w:val="24"/>
          <w:highlight w:val="none"/>
        </w:rPr>
        <w:t xml:space="preserve">说明：本项目属性为</w:t>
      </w:r>
      <w:r>
        <w:rPr>
          <w:rFonts w:hint="eastAsia"/>
          <w:b/>
          <w:sz w:val="24"/>
          <w:szCs w:val="24"/>
          <w:highlight w:val="none"/>
          <w:u w:val="single"/>
        </w:rPr>
        <w:t xml:space="preserve">货物</w:t>
      </w:r>
      <w:r>
        <w:rPr>
          <w:rFonts w:hint="eastAsia"/>
          <w:b/>
          <w:sz w:val="24"/>
          <w:szCs w:val="24"/>
          <w:highlight w:val="none"/>
        </w:rPr>
        <w:t xml:space="preserve">，采购标的对应的中小企业划分标准所属行业详见</w:t>
      </w:r>
      <w:r>
        <w:rPr>
          <w:rFonts w:hint="eastAsia"/>
          <w:b/>
          <w:sz w:val="24"/>
          <w:szCs w:val="24"/>
          <w:highlight w:val="none"/>
          <w:u w:val="single"/>
        </w:rPr>
        <w:t xml:space="preserve">货物（标的）采购清单</w:t>
      </w:r>
      <w:r>
        <w:rPr>
          <w:rFonts w:hint="eastAsia"/>
          <w:b/>
          <w:sz w:val="24"/>
          <w:szCs w:val="24"/>
          <w:highlight w:val="none"/>
        </w:rPr>
        <w:t xml:space="preserve">。</w:t>
      </w:r>
      <w:r/>
    </w:p>
    <w:p>
      <w:pPr>
        <w:ind w:firstLine="480"/>
        <w:jc w:val="left"/>
        <w:spacing w:line="360" w:lineRule="auto"/>
        <w:rPr>
          <w:rFonts w:hint="eastAsia" w:eastAsia="宋体"/>
          <w:sz w:val="24"/>
          <w:szCs w:val="24"/>
          <w:highlight w:val="none"/>
          <w:u w:val="single"/>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根据《关于印发中小企业划型标准规定的通知》(工信部联企业(2011)300号)规定</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sz w:val="24"/>
          <w:szCs w:val="24"/>
          <w:highlight w:val="none"/>
          <w:u w:val="single"/>
        </w:rPr>
        <w:t xml:space="preserve">工业</w:t>
      </w:r>
      <w:r>
        <w:rPr>
          <w:rFonts w:hint="eastAsia" w:ascii="宋体" w:hAnsi="宋体" w:eastAsia="宋体" w:cs="Times New Roman"/>
          <w:color w:val="000000"/>
          <w:sz w:val="24"/>
          <w:szCs w:val="24"/>
          <w:highlight w:val="none"/>
        </w:rPr>
        <w:t xml:space="preserve">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u w:val="single"/>
        </w:rPr>
        <w:t xml:space="preserve">其他未列明</w:t>
      </w:r>
      <w:r>
        <w:rPr>
          <w:rFonts w:hint="eastAsia" w:asciiTheme="minorEastAsia" w:hAnsiTheme="minorEastAsia"/>
          <w:sz w:val="24"/>
          <w:szCs w:val="24"/>
          <w:highlight w:val="none"/>
          <w:u w:val="none"/>
        </w:rPr>
        <w:t xml:space="preserve">行业划型标准</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360" w:lineRule="auto"/>
        <w:rPr>
          <w:rFonts w:hint="eastAsia"/>
          <w:sz w:val="24"/>
          <w:szCs w:val="24"/>
          <w:highlight w:val="none"/>
        </w:rPr>
      </w:pPr>
      <w:r>
        <w:rPr>
          <w:rFonts w:hint="eastAsia"/>
          <w:sz w:val="24"/>
          <w:szCs w:val="24"/>
          <w:highlight w:val="none"/>
        </w:rPr>
        <w:t xml:space="preserve">2、</w:t>
      </w:r>
      <w:r>
        <w:rPr>
          <w:rFonts w:hint="eastAsia"/>
          <w:b/>
          <w:sz w:val="24"/>
          <w:szCs w:val="24"/>
          <w:highlight w:val="none"/>
        </w:rPr>
        <w:t xml:space="preserve">本</w:t>
      </w:r>
      <w:r>
        <w:rPr>
          <w:rFonts w:hint="eastAsia"/>
          <w:b/>
          <w:color w:val="auto"/>
          <w:sz w:val="24"/>
          <w:szCs w:val="24"/>
          <w:highlight w:val="none"/>
        </w:rPr>
        <w:t xml:space="preserve">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w:t>
      </w:r>
      <w:r>
        <w:rPr>
          <w:rFonts w:hint="eastAsia"/>
          <w:sz w:val="24"/>
          <w:szCs w:val="24"/>
          <w:highlight w:val="none"/>
        </w:rPr>
        <w:t xml:space="preserve">要求和条件的响应，否则将按无效响应处理。</w:t>
      </w:r>
      <w:r/>
    </w:p>
    <w:tbl>
      <w:tblPr>
        <w:tblStyle w:val="1063"/>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sz w:val="24"/>
                <w:szCs w:val="24"/>
                <w:highlight w:val="none"/>
              </w:rPr>
              <w:suppressLineNumbers w:val="0"/>
            </w:pPr>
            <w:r>
              <w:rPr>
                <w:rFonts w:ascii="黑体" w:hAnsi="黑体" w:eastAsia="黑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01</w:t>
            </w:r>
            <w:r/>
          </w:p>
        </w:tc>
        <w:tc>
          <w:tcPr>
            <w:tcW w:w="9337" w:type="dxa"/>
            <w:vAlign w:val="top"/>
            <w:textDirection w:val="lrTb"/>
            <w:noWrap w:val="false"/>
          </w:tcPr>
          <w:p>
            <w:pPr>
              <w:ind w:firstLine="562"/>
              <w:jc w:val="left"/>
              <w:spacing w:line="360" w:lineRule="auto"/>
              <w:rPr>
                <w:rFonts w:ascii="Times New Roman" w:hAnsi="Times New Roman" w:eastAsia="宋体" w:cs="Times New Roman"/>
                <w:b/>
                <w:i/>
                <w:iCs/>
                <w:color w:val="auto"/>
                <w:sz w:val="28"/>
                <w:szCs w:val="28"/>
                <w:highlight w:val="none"/>
                <w:u w:val="single"/>
              </w:rPr>
            </w:pPr>
            <w:r>
              <w:rPr>
                <w:rFonts w:hint="eastAsia" w:ascii="Times New Roman" w:hAnsi="Times New Roman" w:cs="Times New Roman"/>
                <w:b/>
                <w:i/>
                <w:iCs/>
                <w:color w:val="auto"/>
                <w:sz w:val="28"/>
                <w:szCs w:val="28"/>
                <w:highlight w:val="none"/>
                <w:u w:val="single"/>
                <w:lang w:val="en-US" w:eastAsia="zh-CN"/>
              </w:rPr>
              <w:t xml:space="preserve">九</w:t>
            </w:r>
            <w:r>
              <w:rPr>
                <w:rFonts w:hint="eastAsia" w:ascii="Times New Roman" w:hAnsi="Times New Roman" w:eastAsia="宋体" w:cs="Times New Roman"/>
                <w:b/>
                <w:i/>
                <w:iCs/>
                <w:color w:val="auto"/>
                <w:sz w:val="28"/>
                <w:szCs w:val="28"/>
                <w:highlight w:val="none"/>
                <w:u w:val="single"/>
              </w:rPr>
              <w:t xml:space="preserve">、投标报价要求</w:t>
            </w:r>
            <w:r/>
          </w:p>
          <w:p>
            <w:pPr>
              <w:ind w:firstLine="480"/>
              <w:spacing w:line="360" w:lineRule="auto"/>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w:t>
            </w:r>
            <w:r>
              <w:rPr>
                <w:rFonts w:hint="eastAsia" w:ascii="宋体" w:hAnsi="宋体" w:eastAsia="宋体" w:cs="宋体"/>
                <w:bCs/>
                <w:i/>
                <w:iCs/>
                <w:color w:val="auto"/>
                <w:sz w:val="24"/>
                <w:highlight w:val="none"/>
                <w:u w:val="single"/>
                <w:lang w:val="en-US" w:eastAsia="zh-CN"/>
              </w:rPr>
              <w:t xml:space="preserve">1</w:t>
            </w:r>
            <w:r>
              <w:rPr>
                <w:rFonts w:hint="eastAsia" w:ascii="宋体" w:hAnsi="宋体" w:eastAsia="宋体" w:cs="宋体"/>
                <w:bCs/>
                <w:i/>
                <w:iCs/>
                <w:color w:val="auto"/>
                <w:sz w:val="24"/>
                <w:highlight w:val="none"/>
                <w:u w:val="single"/>
              </w:rPr>
              <w:t xml:space="preserve">）本次投标报价为</w:t>
            </w:r>
            <w:r>
              <w:rPr>
                <w:rFonts w:hint="eastAsia" w:ascii="宋体" w:hAnsi="宋体" w:eastAsia="宋体" w:cs="宋体"/>
                <w:bCs/>
                <w:i/>
                <w:iCs/>
                <w:color w:val="auto"/>
                <w:sz w:val="24"/>
                <w:highlight w:val="none"/>
                <w:u w:val="single"/>
                <w:lang w:val="en-US" w:eastAsia="zh-CN"/>
              </w:rPr>
              <w:t xml:space="preserve">总价</w:t>
            </w:r>
            <w:r>
              <w:rPr>
                <w:rFonts w:hint="eastAsia" w:ascii="宋体" w:hAnsi="宋体" w:eastAsia="宋体" w:cs="宋体"/>
                <w:bCs/>
                <w:i/>
                <w:iCs/>
                <w:color w:val="auto"/>
                <w:sz w:val="24"/>
                <w:highlight w:val="none"/>
                <w:u w:val="single"/>
              </w:rPr>
              <w:t xml:space="preserve">包干制，中标后不再进行任何调整。</w:t>
            </w:r>
            <w:r/>
          </w:p>
          <w:p>
            <w:pPr>
              <w:ind w:firstLine="480"/>
              <w:spacing w:line="360" w:lineRule="auto"/>
              <w:rPr>
                <w:i/>
                <w:iCs/>
                <w:sz w:val="24"/>
                <w:szCs w:val="24"/>
                <w:highlight w:val="none"/>
                <w:u w:val="single"/>
              </w:rPr>
            </w:pPr>
            <w:r>
              <w:rPr>
                <w:rFonts w:hint="eastAsia" w:ascii="宋体" w:hAnsi="宋体" w:eastAsia="宋体" w:cs="宋体"/>
                <w:bCs/>
                <w:i/>
                <w:iCs/>
                <w:color w:val="auto"/>
                <w:sz w:val="24"/>
                <w:highlight w:val="none"/>
                <w:u w:val="single"/>
                <w:lang w:eastAsia="zh-CN"/>
              </w:rPr>
              <w:t xml:space="preserve">（</w:t>
            </w:r>
            <w:r>
              <w:rPr>
                <w:rFonts w:hint="eastAsia" w:ascii="宋体" w:hAnsi="宋体" w:eastAsia="宋体" w:cs="宋体"/>
                <w:bCs/>
                <w:i/>
                <w:iCs/>
                <w:color w:val="auto"/>
                <w:sz w:val="24"/>
                <w:highlight w:val="none"/>
                <w:u w:val="single"/>
                <w:lang w:val="en-US" w:eastAsia="zh-CN"/>
              </w:rPr>
              <w:t xml:space="preserve">2</w:t>
            </w:r>
            <w:r>
              <w:rPr>
                <w:rFonts w:hint="eastAsia" w:ascii="宋体" w:hAnsi="宋体" w:eastAsia="宋体" w:cs="宋体"/>
                <w:bCs/>
                <w:i/>
                <w:iCs/>
                <w:color w:val="auto"/>
                <w:sz w:val="24"/>
                <w:highlight w:val="none"/>
                <w:u w:val="single"/>
                <w:lang w:eastAsia="zh-CN"/>
              </w:rPr>
              <w:t xml:space="preserve">）供应商须以人民币报价，</w:t>
            </w:r>
            <w:r>
              <w:rPr>
                <w:rFonts w:hint="eastAsia" w:ascii="宋体" w:hAnsi="宋体" w:eastAsia="宋体" w:cs="宋体"/>
                <w:bCs/>
                <w:i/>
                <w:iCs/>
                <w:color w:val="auto"/>
                <w:sz w:val="24"/>
                <w:highlight w:val="none"/>
                <w:u w:val="single"/>
              </w:rPr>
              <w:t xml:space="preserve">投标总报价包括满足本项目要求的所有产品及其配件、包装、运杂、安装调试及售后服务</w:t>
            </w:r>
            <w:r>
              <w:rPr>
                <w:rFonts w:hint="eastAsia" w:ascii="宋体" w:hAnsi="宋体" w:eastAsia="宋体" w:cs="宋体"/>
                <w:bCs/>
                <w:i/>
                <w:iCs/>
                <w:color w:val="auto"/>
                <w:sz w:val="24"/>
                <w:highlight w:val="none"/>
                <w:u w:val="single"/>
                <w:lang w:val="en-US" w:eastAsia="zh-CN"/>
              </w:rPr>
              <w:t xml:space="preserve">;</w:t>
            </w:r>
            <w:r>
              <w:rPr>
                <w:rFonts w:hint="eastAsia" w:ascii="宋体" w:hAnsi="宋体" w:eastAsia="宋体" w:cs="宋体"/>
                <w:bCs/>
                <w:i/>
                <w:iCs/>
                <w:sz w:val="24"/>
                <w:szCs w:val="24"/>
                <w:highlight w:val="none"/>
                <w:u w:val="single"/>
              </w:rPr>
              <w:t xml:space="preserve">人员费用：包括但不限于人员工资、住宿费、差旅费、加班费等；车辆费用：包括但不限于加油费、过桥过路费、维修保养费、</w:t>
            </w:r>
            <w:r>
              <w:rPr>
                <w:rFonts w:hint="eastAsia" w:ascii="宋体" w:hAnsi="宋体" w:cs="宋体"/>
                <w:bCs/>
                <w:i/>
                <w:iCs/>
                <w:sz w:val="24"/>
                <w:szCs w:val="24"/>
                <w:highlight w:val="none"/>
                <w:u w:val="single"/>
                <w:lang w:val="en-US" w:eastAsia="zh-CN"/>
              </w:rPr>
              <w:t xml:space="preserve">改装费、</w:t>
            </w:r>
            <w:r>
              <w:rPr>
                <w:rFonts w:hint="eastAsia" w:ascii="宋体" w:hAnsi="宋体" w:eastAsia="宋体" w:cs="宋体"/>
                <w:bCs/>
                <w:i/>
                <w:iCs/>
                <w:sz w:val="24"/>
                <w:szCs w:val="24"/>
                <w:highlight w:val="none"/>
                <w:u w:val="single"/>
              </w:rPr>
              <w:t xml:space="preserve">停车费等；包括所有监测设备的</w:t>
            </w:r>
            <w:r>
              <w:rPr>
                <w:rFonts w:hint="eastAsia" w:ascii="宋体" w:hAnsi="宋体" w:eastAsia="宋体" w:cs="宋体"/>
                <w:bCs/>
                <w:i/>
                <w:iCs/>
                <w:sz w:val="24"/>
                <w:szCs w:val="24"/>
                <w:highlight w:val="none"/>
                <w:u w:val="single"/>
                <w:lang w:val="en-US" w:eastAsia="zh-CN"/>
              </w:rPr>
              <w:t xml:space="preserve">运营</w:t>
            </w:r>
            <w:r>
              <w:rPr>
                <w:rFonts w:hint="eastAsia" w:ascii="宋体" w:hAnsi="宋体" w:eastAsia="宋体" w:cs="宋体"/>
                <w:bCs/>
                <w:i/>
                <w:iCs/>
                <w:sz w:val="24"/>
                <w:szCs w:val="24"/>
                <w:highlight w:val="none"/>
                <w:u w:val="single"/>
              </w:rPr>
              <w:t xml:space="preserve">维护费用，包括但不限于备件耗材费、网络费等</w:t>
            </w:r>
            <w:r>
              <w:rPr>
                <w:rFonts w:hint="eastAsia" w:ascii="宋体" w:hAnsi="宋体" w:eastAsia="宋体" w:cs="宋体"/>
                <w:bCs/>
                <w:i/>
                <w:iCs/>
                <w:color w:val="auto"/>
                <w:sz w:val="24"/>
                <w:highlight w:val="none"/>
                <w:u w:val="single"/>
              </w:rPr>
              <w:t xml:space="preserve">从项目中标</w:t>
            </w:r>
            <w:r>
              <w:rPr>
                <w:rFonts w:hint="eastAsia" w:ascii="宋体" w:hAnsi="宋体" w:eastAsia="宋体" w:cs="宋体"/>
                <w:bCs/>
                <w:i/>
                <w:iCs/>
                <w:color w:val="auto"/>
                <w:sz w:val="24"/>
                <w:highlight w:val="none"/>
                <w:u w:val="single"/>
                <w:lang w:val="en-US" w:eastAsia="zh-CN"/>
              </w:rPr>
              <w:t xml:space="preserve">成交</w:t>
            </w:r>
            <w:r>
              <w:rPr>
                <w:rFonts w:hint="eastAsia" w:ascii="宋体" w:hAnsi="宋体" w:eastAsia="宋体" w:cs="宋体"/>
                <w:bCs/>
                <w:i/>
                <w:iCs/>
                <w:color w:val="auto"/>
                <w:sz w:val="24"/>
                <w:highlight w:val="none"/>
                <w:u w:val="single"/>
              </w:rPr>
              <w:t xml:space="preserve">起到项目正式交付以及质保期内所发生的一切费用。</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02</w:t>
            </w:r>
            <w:r/>
          </w:p>
        </w:tc>
        <w:tc>
          <w:tcPr>
            <w:tcW w:w="9337" w:type="dxa"/>
            <w:vAlign w:val="top"/>
            <w:textDirection w:val="lrTb"/>
            <w:noWrap w:val="false"/>
          </w:tcPr>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十</w:t>
            </w:r>
            <w:r>
              <w:rPr>
                <w:rFonts w:hint="eastAsia" w:ascii="Times New Roman" w:hAnsi="Times New Roman" w:eastAsia="宋体" w:cs="Times New Roman"/>
                <w:b/>
                <w:color w:val="auto"/>
                <w:sz w:val="28"/>
                <w:szCs w:val="28"/>
                <w:highlight w:val="none"/>
              </w:rPr>
              <w:t xml:space="preserve">、付款方式与履约保证金</w:t>
            </w:r>
            <w:r/>
          </w:p>
          <w:p>
            <w:pPr>
              <w:ind w:firstLine="480"/>
              <w:jc w:val="left"/>
              <w:spacing w:line="360" w:lineRule="auto"/>
              <w:rPr>
                <w:i w:val="0"/>
                <w:iCs w:val="0"/>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合同款项的支付方式及进度安排</w:t>
            </w:r>
            <w:r/>
          </w:p>
          <w:p>
            <w:pPr>
              <w:pStyle w:val="794"/>
              <w:ind w:firstLine="480"/>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1.1 预付款支付时间：</w:t>
            </w:r>
            <w:r>
              <w:rPr>
                <w:rFonts w:ascii="Times New Roman" w:hAnsi="Times New Roman" w:eastAsia="宋体" w:cs="Times New Roman"/>
                <w:i/>
                <w:iCs/>
                <w:sz w:val="24"/>
                <w:szCs w:val="24"/>
                <w:highlight w:val="none"/>
                <w:u w:val="single"/>
              </w:rPr>
              <w:t xml:space="preserve">双方</w:t>
            </w:r>
            <w:r>
              <w:rPr>
                <w:rFonts w:hint="eastAsia" w:ascii="宋体" w:hAnsi="宋体" w:eastAsia="宋体" w:cs="宋体"/>
                <w:i/>
                <w:iCs/>
                <w:color w:val="000000"/>
                <w:sz w:val="24"/>
                <w:szCs w:val="24"/>
                <w:highlight w:val="none"/>
                <w:u w:val="single"/>
              </w:rPr>
              <w:t xml:space="preserve">合同签订后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中标人按采购人要求提供正规发票，采购人收到发票后10个工作日内一次性支付合同金额的10%作为项目预付款。</w:t>
            </w:r>
            <w:r>
              <w:rPr>
                <w:rFonts w:hint="eastAsia" w:ascii="宋体" w:hAnsi="宋体" w:eastAsia="宋体" w:cs="宋体"/>
                <w:color w:val="000000"/>
                <w:sz w:val="24"/>
                <w:szCs w:val="24"/>
                <w:highlight w:val="none"/>
              </w:rPr>
              <w:t xml:space="preserve">预付款支付比例：</w:t>
            </w:r>
            <w:r>
              <w:rPr>
                <w:rFonts w:hint="eastAsia" w:ascii="宋体" w:hAnsi="宋体" w:eastAsia="宋体" w:cs="宋体"/>
                <w:i/>
                <w:iCs/>
                <w:color w:val="000000"/>
                <w:sz w:val="24"/>
                <w:szCs w:val="24"/>
                <w:highlight w:val="none"/>
                <w:u w:val="single"/>
              </w:rPr>
              <w:t xml:space="preserve">合同金额的</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w:t>
            </w:r>
            <w:r/>
          </w:p>
          <w:p>
            <w:pPr>
              <w:pStyle w:val="794"/>
              <w:ind w:firstLine="480"/>
              <w:jc w:val="both"/>
              <w:keepLines w:val="0"/>
              <w:keepNext w:val="0"/>
              <w:spacing w:before="120" w:beforeAutospacing="0" w:after="120" w:afterAutospacing="0" w:line="360" w:lineRule="auto"/>
              <w:widowControl w:val="off"/>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1.2进度款支付时间：</w:t>
            </w:r>
            <w:r>
              <w:rPr>
                <w:rFonts w:hint="eastAsia" w:ascii="宋体" w:hAnsi="宋体" w:eastAsia="宋体" w:cs="宋体"/>
                <w:i/>
                <w:iCs/>
                <w:color w:val="000000"/>
                <w:sz w:val="24"/>
                <w:szCs w:val="24"/>
                <w:highlight w:val="none"/>
                <w:u w:val="single"/>
                <w:lang w:val="en-US" w:eastAsia="zh-CN"/>
              </w:rPr>
              <w:t xml:space="preserve">大气环境监测所有设备交付于采购人且设备安装调试完成并整体验收合格后，中标人按采购人要求提供正规发票</w:t>
            </w:r>
            <w:r>
              <w:rPr>
                <w:rFonts w:hint="eastAsia" w:ascii="宋体" w:hAnsi="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lang w:val="en-US" w:eastAsia="zh-CN"/>
              </w:rPr>
              <w:t xml:space="preserve">采购人收到发票后10个工作日内一次性支付合同额的50%作为</w:t>
            </w:r>
            <w:r>
              <w:rPr>
                <w:rFonts w:hint="eastAsia" w:ascii="宋体" w:hAnsi="宋体" w:cs="宋体"/>
                <w:i/>
                <w:iCs/>
                <w:color w:val="000000"/>
                <w:sz w:val="24"/>
                <w:szCs w:val="24"/>
                <w:highlight w:val="none"/>
                <w:u w:val="single"/>
                <w:lang w:val="en-US" w:eastAsia="zh-CN"/>
              </w:rPr>
              <w:t xml:space="preserve">项目</w:t>
            </w:r>
            <w:r>
              <w:rPr>
                <w:rFonts w:hint="eastAsia" w:ascii="宋体" w:hAnsi="宋体" w:eastAsia="宋体" w:cs="宋体"/>
                <w:i/>
                <w:iCs/>
                <w:color w:val="000000"/>
                <w:sz w:val="24"/>
                <w:szCs w:val="24"/>
                <w:highlight w:val="none"/>
                <w:u w:val="single"/>
                <w:lang w:val="en-US" w:eastAsia="zh-CN"/>
              </w:rPr>
              <w:t xml:space="preserve">进度款。</w:t>
            </w:r>
            <w:r>
              <w:rPr>
                <w:rFonts w:hint="eastAsia" w:ascii="宋体" w:hAnsi="宋体" w:eastAsia="宋体" w:cs="宋体"/>
                <w:i w:val="0"/>
                <w:iCs w:val="0"/>
                <w:color w:val="000000"/>
                <w:sz w:val="24"/>
                <w:szCs w:val="24"/>
                <w:highlight w:val="none"/>
                <w:u w:val="none"/>
                <w:lang w:val="en-US" w:eastAsia="zh-CN"/>
              </w:rPr>
              <w:t xml:space="preserve">进度款支付比例：</w:t>
            </w:r>
            <w:r>
              <w:rPr>
                <w:rFonts w:hint="eastAsia" w:ascii="宋体" w:hAnsi="宋体" w:eastAsia="宋体" w:cs="宋体"/>
                <w:i/>
                <w:iCs/>
                <w:color w:val="000000"/>
                <w:sz w:val="24"/>
                <w:szCs w:val="24"/>
                <w:highlight w:val="none"/>
                <w:u w:val="single"/>
              </w:rPr>
              <w:t xml:space="preserve">合同金额的</w:t>
            </w:r>
            <w:r>
              <w:rPr>
                <w:rFonts w:hint="eastAsia" w:ascii="宋体" w:hAnsi="宋体" w:eastAsia="宋体" w:cs="宋体"/>
                <w:i/>
                <w:iCs/>
                <w:color w:val="000000"/>
                <w:sz w:val="24"/>
                <w:szCs w:val="24"/>
                <w:highlight w:val="none"/>
                <w:u w:val="single"/>
                <w:lang w:val="en-US" w:eastAsia="zh-CN"/>
              </w:rPr>
              <w:t xml:space="preserve">50</w:t>
            </w:r>
            <w:r>
              <w:rPr>
                <w:rFonts w:hint="eastAsia" w:ascii="宋体" w:hAnsi="宋体" w:eastAsia="宋体" w:cs="宋体"/>
                <w:i/>
                <w:iCs/>
                <w:color w:val="000000"/>
                <w:sz w:val="24"/>
                <w:szCs w:val="24"/>
                <w:highlight w:val="none"/>
                <w:u w:val="single"/>
              </w:rPr>
              <w:t xml:space="preserve">%。</w:t>
            </w:r>
            <w:r/>
          </w:p>
          <w:p>
            <w:pPr>
              <w:pStyle w:val="794"/>
              <w:ind w:firstLine="480"/>
              <w:jc w:val="both"/>
              <w:keepLines w:val="0"/>
              <w:keepNext w:val="0"/>
              <w:spacing w:before="120" w:beforeAutospacing="0" w:after="120" w:afterAutospacing="0" w:line="360" w:lineRule="auto"/>
              <w:widowControl w:val="off"/>
              <w:rPr>
                <w:rFonts w:hint="eastAsia" w:ascii="宋体" w:hAnsi="宋体" w:eastAsia="宋体" w:cs="宋体"/>
                <w:bCs/>
                <w:i/>
                <w:iCs/>
                <w:color w:val="auto"/>
                <w:sz w:val="24"/>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尾款支付时间：</w:t>
            </w:r>
            <w:r>
              <w:rPr>
                <w:rFonts w:ascii="Times New Roman" w:hAnsi="Times New Roman" w:eastAsia="宋体" w:cs="Times New Roman"/>
                <w:i/>
                <w:iCs/>
                <w:sz w:val="24"/>
                <w:szCs w:val="24"/>
                <w:highlight w:val="none"/>
                <w:u w:val="single"/>
              </w:rPr>
              <w:t xml:space="preserve">走航技术服务期满后，</w:t>
            </w:r>
            <w:r>
              <w:rPr>
                <w:rFonts w:hint="eastAsia" w:ascii="Times New Roman" w:hAnsi="Times New Roman" w:cs="Times New Roman"/>
                <w:i/>
                <w:iCs/>
                <w:sz w:val="24"/>
                <w:szCs w:val="24"/>
                <w:highlight w:val="none"/>
                <w:u w:val="single"/>
                <w:lang w:val="en-US" w:eastAsia="zh-CN"/>
              </w:rPr>
              <w:t xml:space="preserve">中标人</w:t>
            </w:r>
            <w:r>
              <w:rPr>
                <w:rFonts w:ascii="Times New Roman" w:hAnsi="Times New Roman" w:eastAsia="宋体" w:cs="Times New Roman"/>
                <w:i/>
                <w:iCs/>
                <w:sz w:val="24"/>
                <w:szCs w:val="24"/>
                <w:highlight w:val="none"/>
                <w:u w:val="single"/>
              </w:rPr>
              <w:t xml:space="preserve">按照</w:t>
            </w:r>
            <w:r>
              <w:rPr>
                <w:rFonts w:hint="eastAsia" w:ascii="Times New Roman" w:hAnsi="Times New Roman" w:cs="Times New Roman"/>
                <w:i/>
                <w:iCs/>
                <w:sz w:val="24"/>
                <w:szCs w:val="24"/>
                <w:highlight w:val="none"/>
                <w:u w:val="single"/>
                <w:lang w:val="en-US" w:eastAsia="zh-CN"/>
              </w:rPr>
              <w:t xml:space="preserve">采购人</w:t>
            </w:r>
            <w:r>
              <w:rPr>
                <w:rFonts w:ascii="Times New Roman" w:hAnsi="Times New Roman" w:eastAsia="宋体" w:cs="Times New Roman"/>
                <w:i/>
                <w:iCs/>
                <w:sz w:val="24"/>
                <w:szCs w:val="24"/>
                <w:highlight w:val="none"/>
                <w:u w:val="single"/>
              </w:rPr>
              <w:t xml:space="preserve">要求提供项目所需相关材料，材料确认无误后，</w:t>
            </w:r>
            <w:r>
              <w:rPr>
                <w:rFonts w:hint="eastAsia" w:ascii="Times New Roman" w:hAnsi="Times New Roman" w:cs="Times New Roman"/>
                <w:i/>
                <w:iCs/>
                <w:sz w:val="24"/>
                <w:szCs w:val="24"/>
                <w:highlight w:val="none"/>
                <w:u w:val="single"/>
                <w:lang w:val="en-US" w:eastAsia="zh-CN"/>
              </w:rPr>
              <w:t xml:space="preserve">中标人按采购人要求提供正规发票</w:t>
            </w:r>
            <w:r>
              <w:rPr>
                <w:rFonts w:ascii="Times New Roman" w:hAnsi="Times New Roman" w:eastAsia="宋体" w:cs="Times New Roman"/>
                <w:i/>
                <w:iCs/>
                <w:sz w:val="24"/>
                <w:szCs w:val="24"/>
                <w:highlight w:val="none"/>
                <w:u w:val="single"/>
              </w:rPr>
              <w:t xml:space="preserve">，</w:t>
            </w:r>
            <w:r>
              <w:rPr>
                <w:rFonts w:hint="eastAsia" w:ascii="Times New Roman" w:hAnsi="Times New Roman" w:eastAsia="宋体" w:cs="Times New Roman"/>
                <w:i/>
                <w:iCs/>
                <w:sz w:val="24"/>
                <w:szCs w:val="24"/>
                <w:highlight w:val="none"/>
                <w:u w:val="single"/>
              </w:rPr>
              <w:t xml:space="preserve">采购人收到发票后10个工作日内</w:t>
            </w:r>
            <w:r>
              <w:rPr>
                <w:rFonts w:ascii="Times New Roman" w:hAnsi="Times New Roman" w:eastAsia="宋体" w:cs="Times New Roman"/>
                <w:i/>
                <w:iCs/>
                <w:sz w:val="24"/>
                <w:szCs w:val="24"/>
                <w:highlight w:val="none"/>
                <w:u w:val="single"/>
              </w:rPr>
              <w:t xml:space="preserve">一次性支付合同额的40%</w:t>
            </w:r>
            <w:r>
              <w:rPr>
                <w:rFonts w:hint="eastAsia" w:ascii="宋体" w:hAnsi="宋体" w:eastAsia="宋体" w:cs="宋体"/>
                <w:i/>
                <w:iCs/>
                <w:color w:val="000000"/>
                <w:sz w:val="24"/>
                <w:szCs w:val="24"/>
                <w:highlight w:val="none"/>
                <w:u w:val="single"/>
                <w:lang w:val="en-US" w:eastAsia="zh-CN"/>
              </w:rPr>
              <w:t xml:space="preserve">为</w:t>
            </w:r>
            <w:r>
              <w:rPr>
                <w:rFonts w:hint="eastAsia" w:ascii="宋体" w:hAnsi="宋体" w:cs="宋体"/>
                <w:i/>
                <w:iCs/>
                <w:color w:val="000000"/>
                <w:sz w:val="24"/>
                <w:szCs w:val="24"/>
                <w:highlight w:val="none"/>
                <w:u w:val="single"/>
                <w:lang w:val="en-US" w:eastAsia="zh-CN"/>
              </w:rPr>
              <w:t xml:space="preserve">项目尾款</w:t>
            </w:r>
            <w:r>
              <w:rPr>
                <w:rFonts w:hint="eastAsia" w:ascii="宋体" w:hAnsi="宋体" w:cs="宋体"/>
                <w:i/>
                <w:iCs/>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尾款支付比例：</w:t>
            </w:r>
            <w:r>
              <w:rPr>
                <w:rFonts w:hint="eastAsia" w:ascii="宋体" w:hAnsi="宋体" w:eastAsia="宋体" w:cs="宋体"/>
                <w:i/>
                <w:iCs/>
                <w:color w:val="000000"/>
                <w:sz w:val="24"/>
                <w:szCs w:val="24"/>
                <w:highlight w:val="none"/>
                <w:u w:val="single"/>
              </w:rPr>
              <w:t xml:space="preserve">合同金额的</w:t>
            </w:r>
            <w:r>
              <w:rPr>
                <w:rFonts w:hint="eastAsia" w:ascii="宋体" w:hAnsi="宋体" w:eastAsia="宋体" w:cs="宋体"/>
                <w:i/>
                <w:iCs/>
                <w:color w:val="000000"/>
                <w:sz w:val="24"/>
                <w:szCs w:val="24"/>
                <w:highlight w:val="none"/>
                <w:u w:val="single"/>
                <w:lang w:val="en-US" w:eastAsia="zh-CN"/>
              </w:rPr>
              <w:t xml:space="preserve">40</w:t>
            </w:r>
            <w:r>
              <w:rPr>
                <w:rFonts w:hint="eastAsia" w:ascii="宋体" w:hAnsi="宋体" w:eastAsia="宋体" w:cs="宋体"/>
                <w:i/>
                <w:iCs/>
                <w:color w:val="000000"/>
                <w:sz w:val="24"/>
                <w:szCs w:val="24"/>
                <w:highlight w:val="none"/>
                <w:u w:val="single"/>
              </w:rPr>
              <w:t xml:space="preserve">%。</w:t>
            </w:r>
            <w:r/>
          </w:p>
        </w:tc>
      </w:tr>
    </w:tbl>
    <w:p>
      <w:pPr>
        <w:ind w:firstLine="480"/>
        <w:jc w:val="left"/>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ind w:left="0" w:firstLine="241"/>
        <w:jc w:val="left"/>
        <w:spacing w:line="360" w:lineRule="auto"/>
        <w:widowControl/>
        <w:rPr>
          <w:rFonts w:ascii="MS Mincho" w:hAnsi="Calibri" w:eastAsia="宋体" w:cs="Times New Roman"/>
          <w:color w:val="000000"/>
          <w:szCs w:val="24"/>
          <w:highlight w:val="none"/>
        </w:rPr>
      </w:pPr>
      <w:r>
        <w:rPr>
          <w:rFonts w:hint="eastAsia" w:asciiTheme="minorEastAsia" w:hAnsiTheme="minorEastAsia"/>
          <w:b/>
          <w:sz w:val="24"/>
          <w:szCs w:val="24"/>
          <w:highlight w:val="none"/>
        </w:rPr>
        <w:t xml:space="preserve">本项目核心产品为：</w:t>
      </w:r>
      <w:r>
        <w:rPr>
          <w:rFonts w:hint="eastAsia" w:ascii="宋体" w:hAnsi="宋体" w:eastAsia="宋体" w:cs="宋体"/>
          <w:b/>
          <w:bCs/>
          <w:color w:val="000000"/>
          <w:sz w:val="24"/>
          <w:szCs w:val="24"/>
          <w:highlight w:val="none"/>
          <w:u w:val="single"/>
          <w:lang w:val="en-US" w:eastAsia="zh-CN"/>
        </w:rPr>
        <w:t xml:space="preserve"> 车载挥发性有机物监测系统</w:t>
      </w:r>
      <w:r>
        <w:rPr>
          <w:rFonts w:hint="eastAsia" w:asciiTheme="minorEastAsia" w:hAnsiTheme="minorEastAsia"/>
          <w:b/>
          <w:sz w:val="24"/>
          <w:szCs w:val="24"/>
          <w:highlight w:val="none"/>
        </w:rPr>
        <w:t xml:space="preserve">。</w:t>
      </w:r>
      <w:r/>
    </w:p>
    <w:p>
      <w:pPr>
        <w:numPr>
          <w:ilvl w:val="0"/>
          <w:numId w:val="0"/>
        </w:numPr>
        <w:ind w:firstLine="0"/>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lang w:val="en-US" w:eastAsia="zh-CN" w:bidi="ar-SA"/>
        </w:rPr>
        <w:t xml:space="preserve">一、</w:t>
      </w:r>
      <w:r>
        <w:rPr>
          <w:rFonts w:hint="eastAsia" w:ascii="Times New Roman" w:hAnsi="Times New Roman" w:eastAsia="宋体" w:cs="Times New Roman"/>
          <w:b/>
          <w:color w:val="auto"/>
          <w:sz w:val="28"/>
          <w:szCs w:val="28"/>
          <w:highlight w:val="none"/>
        </w:rPr>
        <w:t xml:space="preserve">项目背景</w:t>
      </w:r>
      <w:r/>
    </w:p>
    <w:p>
      <w:pPr>
        <w:ind w:firstLine="480"/>
        <w:spacing w:line="360" w:lineRule="auto"/>
        <w:rPr>
          <w:rFonts w:hint="eastAsia"/>
          <w:highlight w:val="none"/>
        </w:rPr>
      </w:pPr>
      <w:r>
        <w:rPr>
          <w:rFonts w:ascii="Times New Roman" w:hAnsi="Times New Roman" w:eastAsia="宋体" w:cs="Times New Roman"/>
          <w:sz w:val="24"/>
          <w:szCs w:val="24"/>
          <w:highlight w:val="none"/>
        </w:rPr>
        <w:t xml:space="preserve">为进一步科学有效完成大气污染防治和污染溯源工作，提升大气环境监测能力，连云港市灌云生态环境局拟采购</w:t>
      </w:r>
      <w:bookmarkStart w:id="180" w:name="_Hlk137040879"/>
      <w:r>
        <w:rPr>
          <w:rFonts w:ascii="Times New Roman" w:hAnsi="Times New Roman" w:eastAsia="宋体" w:cs="Times New Roman"/>
          <w:sz w:val="24"/>
          <w:szCs w:val="24"/>
          <w:highlight w:val="none"/>
        </w:rPr>
        <w:t xml:space="preserve">大气</w:t>
      </w:r>
      <w:bookmarkEnd w:id="180"/>
      <w:r>
        <w:rPr>
          <w:rFonts w:ascii="Times New Roman" w:hAnsi="Times New Roman" w:eastAsia="宋体" w:cs="Times New Roman"/>
          <w:sz w:val="24"/>
          <w:szCs w:val="24"/>
          <w:highlight w:val="none"/>
        </w:rPr>
        <w:t xml:space="preserve">环境监测设备及相关技术服务，大气环境监测设备包含车载挥发性有机物监测系统、便携式常规七参数监测仪、颗粒物激光雷达、道路积尘负荷监测仪；相关技术服务包含走航车辆保障服务、走航技术服务、大气污染物源解析服务。</w:t>
      </w:r>
      <w:r/>
    </w:p>
    <w:p>
      <w:pPr>
        <w:numPr>
          <w:ilvl w:val="0"/>
          <w:numId w:val="12"/>
        </w:numPr>
        <w:ind w:firstLine="0"/>
        <w:jc w:val="left"/>
        <w:spacing w:line="24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货物（标的）采购清单</w:t>
      </w:r>
      <w:bookmarkStart w:id="181" w:name="_Toc139966432"/>
      <w:r/>
      <w:bookmarkStart w:id="182" w:name="_Toc139967216"/>
      <w:r/>
      <w:r/>
    </w:p>
    <w:p>
      <w:pPr>
        <w:pStyle w:val="802"/>
        <w:numPr>
          <w:ilvl w:val="0"/>
          <w:numId w:val="0"/>
        </w:numPr>
        <w:rPr>
          <w:rFonts w:hint="eastAsia"/>
          <w:highlight w:val="none"/>
        </w:rPr>
      </w:pPr>
      <w:r>
        <w:rPr>
          <w:rFonts w:hint="eastAsia"/>
          <w:highlight w:val="none"/>
        </w:rPr>
      </w:r>
      <w:r/>
    </w:p>
    <w:tbl>
      <w:tblPr>
        <w:tblStyle w:val="771"/>
        <w:tblW w:w="4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2228"/>
        <w:gridCol w:w="3265"/>
        <w:gridCol w:w="694"/>
        <w:gridCol w:w="770"/>
        <w:gridCol w:w="2052"/>
      </w:tblGrid>
      <w:tr>
        <w:trPr>
          <w:cantSplit/>
          <w:jc w:val="center"/>
          <w:trHeight w:val="485"/>
        </w:trPr>
        <w:tc>
          <w:tcPr>
            <w:tcBorders>
              <w:top w:val="single" w:color="auto" w:sz="4" w:space="0"/>
              <w:left w:val="single" w:color="auto" w:sz="4" w:space="0"/>
              <w:bottom w:val="single" w:color="auto" w:sz="4" w:space="0"/>
              <w:right w:val="single" w:color="auto" w:sz="4" w:space="0"/>
            </w:tcBorders>
            <w:tcW w:w="339" w:type="pct"/>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pStyle w:val="1083"/>
              <w:contextualSpacing/>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color w:val="000000"/>
                <w:sz w:val="24"/>
              </w:rPr>
              <w:t xml:space="preserve">产品、服务（标的）名称</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具体内容</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中小企业划分标准所属行业</w:t>
            </w:r>
            <w:r/>
          </w:p>
        </w:tc>
      </w:tr>
      <w:tr>
        <w:trPr>
          <w:cantSplit/>
          <w:jc w:val="center"/>
          <w:trHeight w:val="110"/>
        </w:trPr>
        <w:tc>
          <w:tcPr>
            <w:tcBorders>
              <w:top w:val="single" w:color="auto" w:sz="4" w:space="0"/>
              <w:left w:val="single" w:color="auto" w:sz="4" w:space="0"/>
              <w:right w:val="single" w:color="auto" w:sz="4" w:space="0"/>
            </w:tcBorders>
            <w:tcW w:w="339" w:type="pct"/>
            <w:vAlign w:val="center"/>
            <w:vMerge w:val="restart"/>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right w:val="single" w:color="auto" w:sz="4" w:space="0"/>
            </w:tcBorders>
            <w:tcW w:w="1152" w:type="pct"/>
            <w:vAlign w:val="center"/>
            <w:vMerge w:val="restart"/>
            <w:textDirection w:val="lrTb"/>
            <w:noWrap w:val="false"/>
          </w:tcPr>
          <w:p>
            <w:pPr>
              <w:pStyle w:val="1083"/>
              <w:contextualSpacing/>
              <w:spacing w:line="360" w:lineRule="auto"/>
              <w:widowControl/>
              <w:rPr>
                <w:rFonts w:hint="eastAsia" w:ascii="宋体" w:hAnsi="宋体" w:eastAsia="宋体" w:cs="宋体"/>
                <w:sz w:val="24"/>
                <w:szCs w:val="24"/>
                <w:highlight w:val="none"/>
              </w:rPr>
            </w:pPr>
            <w:r/>
            <w:bookmarkStart w:id="183" w:name="_Hlk169187161"/>
            <w:r>
              <w:rPr>
                <w:rFonts w:hint="eastAsia" w:ascii="宋体" w:hAnsi="宋体" w:eastAsia="宋体" w:cs="宋体"/>
                <w:sz w:val="24"/>
                <w:szCs w:val="24"/>
                <w:highlight w:val="none"/>
              </w:rPr>
              <w:t xml:space="preserve">大气环境</w:t>
            </w:r>
            <w:bookmarkEnd w:id="183"/>
            <w:r>
              <w:rPr>
                <w:rFonts w:hint="eastAsia" w:ascii="宋体" w:hAnsi="宋体" w:eastAsia="宋体" w:cs="宋体"/>
                <w:sz w:val="24"/>
                <w:szCs w:val="24"/>
                <w:highlight w:val="none"/>
              </w:rPr>
              <w:t xml:space="preserve">监测设备</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b/>
                <w:bCs/>
                <w:sz w:val="24"/>
                <w:szCs w:val="24"/>
                <w:highlight w:val="none"/>
              </w:rPr>
            </w:pPr>
            <w:r/>
            <w:bookmarkStart w:id="184" w:name="_Hlk169250765"/>
            <w:r>
              <w:rPr>
                <w:rFonts w:hint="eastAsia" w:ascii="宋体" w:hAnsi="宋体" w:eastAsia="宋体" w:cs="宋体"/>
                <w:b/>
                <w:bCs/>
                <w:sz w:val="24"/>
                <w:szCs w:val="24"/>
                <w:highlight w:val="none"/>
              </w:rPr>
              <w:t xml:space="preserve">车载挥发性有机物监测系统（</w:t>
            </w:r>
            <w:bookmarkEnd w:id="184"/>
            <w:r>
              <w:rPr>
                <w:rFonts w:hint="eastAsia" w:ascii="宋体" w:hAnsi="宋体" w:eastAsia="宋体" w:cs="宋体"/>
                <w:b/>
                <w:bCs/>
                <w:sz w:val="24"/>
                <w:szCs w:val="24"/>
                <w:highlight w:val="none"/>
              </w:rPr>
              <w:t xml:space="preserve">核心产品）</w:t>
            </w:r>
            <w:r/>
          </w:p>
        </w:tc>
        <w:tc>
          <w:tcPr>
            <w:tcBorders>
              <w:top w:val="single" w:color="auto" w:sz="4" w:space="0"/>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auto" w:sz="4" w:space="0"/>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工业</w:t>
            </w:r>
            <w:r/>
          </w:p>
        </w:tc>
      </w:tr>
      <w:tr>
        <w:trPr>
          <w:cantSplit/>
          <w:jc w:val="center"/>
          <w:trHeight w:val="107"/>
        </w:trPr>
        <w:tc>
          <w:tcPr>
            <w:tcBorders>
              <w:left w:val="single" w:color="auto" w:sz="4" w:space="0"/>
              <w:right w:val="single" w:color="auto" w:sz="4" w:space="0"/>
            </w:tcBorders>
            <w:tcW w:w="339" w:type="pct"/>
            <w:vAlign w:val="center"/>
            <w:vMerge w:val="continue"/>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1152" w:type="pct"/>
            <w:vAlign w:val="center"/>
            <w:vMerge w:val="continue"/>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bookmarkStart w:id="185" w:name="_Hlk169189433"/>
            <w:r>
              <w:rPr>
                <w:rFonts w:hint="eastAsia" w:ascii="宋体" w:hAnsi="宋体" w:eastAsia="宋体" w:cs="宋体"/>
                <w:sz w:val="24"/>
                <w:szCs w:val="24"/>
                <w:highlight w:val="none"/>
              </w:rPr>
              <w:t xml:space="preserve">便携式常规七参数监测仪</w:t>
            </w:r>
            <w:bookmarkEnd w:id="185"/>
            <w:r/>
            <w:r/>
          </w:p>
        </w:tc>
        <w:tc>
          <w:tcPr>
            <w:tcBorders>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台</w:t>
            </w:r>
            <w:r/>
          </w:p>
        </w:tc>
        <w:tc>
          <w:tcPr>
            <w:tcBorders>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工业</w:t>
            </w:r>
            <w:r/>
          </w:p>
        </w:tc>
      </w:tr>
      <w:tr>
        <w:trPr>
          <w:cantSplit/>
          <w:jc w:val="center"/>
          <w:trHeight w:val="107"/>
        </w:trPr>
        <w:tc>
          <w:tcPr>
            <w:tcBorders>
              <w:left w:val="single" w:color="auto" w:sz="4" w:space="0"/>
              <w:right w:val="single" w:color="auto" w:sz="4" w:space="0"/>
            </w:tcBorders>
            <w:tcW w:w="339" w:type="pct"/>
            <w:vAlign w:val="center"/>
            <w:vMerge w:val="continue"/>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1152" w:type="pct"/>
            <w:vAlign w:val="center"/>
            <w:vMerge w:val="continue"/>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bookmarkStart w:id="186" w:name="_Hlk169187837"/>
            <w:r>
              <w:rPr>
                <w:rFonts w:hint="eastAsia" w:ascii="宋体" w:hAnsi="宋体" w:eastAsia="宋体" w:cs="宋体"/>
                <w:sz w:val="24"/>
                <w:szCs w:val="24"/>
                <w:highlight w:val="none"/>
              </w:rPr>
              <w:t xml:space="preserve">颗粒物激光雷达</w:t>
            </w:r>
            <w:bookmarkEnd w:id="186"/>
            <w:r/>
            <w:r/>
          </w:p>
        </w:tc>
        <w:tc>
          <w:tcPr>
            <w:tcBorders>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套</w:t>
            </w:r>
            <w:r/>
          </w:p>
        </w:tc>
        <w:tc>
          <w:tcPr>
            <w:tcBorders>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工业</w:t>
            </w:r>
            <w:r/>
          </w:p>
        </w:tc>
      </w:tr>
      <w:tr>
        <w:trPr>
          <w:cantSplit/>
          <w:jc w:val="center"/>
          <w:trHeight w:val="107"/>
        </w:trPr>
        <w:tc>
          <w:tcPr>
            <w:tcBorders>
              <w:left w:val="single" w:color="auto" w:sz="4" w:space="0"/>
              <w:right w:val="single" w:color="auto" w:sz="4" w:space="0"/>
            </w:tcBorders>
            <w:tcW w:w="339" w:type="pct"/>
            <w:vAlign w:val="center"/>
            <w:vMerge w:val="continue"/>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1152" w:type="pct"/>
            <w:vAlign w:val="center"/>
            <w:vMerge w:val="continue"/>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道路积尘负荷监测仪</w:t>
            </w:r>
            <w:r/>
          </w:p>
        </w:tc>
        <w:tc>
          <w:tcPr>
            <w:tcBorders>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套</w:t>
            </w:r>
            <w:r/>
          </w:p>
        </w:tc>
        <w:tc>
          <w:tcPr>
            <w:tcBorders>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工业</w:t>
            </w:r>
            <w:r/>
          </w:p>
        </w:tc>
      </w:tr>
      <w:tr>
        <w:trPr>
          <w:cantSplit/>
          <w:jc w:val="center"/>
          <w:trHeight w:val="107"/>
        </w:trPr>
        <w:tc>
          <w:tcPr>
            <w:tcBorders>
              <w:left w:val="single" w:color="auto" w:sz="4" w:space="0"/>
              <w:right w:val="single" w:color="auto" w:sz="4" w:space="0"/>
            </w:tcBorders>
            <w:tcW w:w="33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auto" w:sz="4" w:space="0"/>
              <w:right w:val="single" w:color="auto" w:sz="4" w:space="0"/>
            </w:tcBorders>
            <w:tcW w:w="1152" w:type="pct"/>
            <w:vAlign w:val="center"/>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走航车辆保障服务</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bookmarkStart w:id="187" w:name="_Hlk173752466"/>
            <w:r>
              <w:rPr>
                <w:rFonts w:hint="eastAsia" w:ascii="宋体" w:hAnsi="宋体" w:eastAsia="宋体" w:cs="宋体"/>
                <w:sz w:val="24"/>
                <w:szCs w:val="24"/>
                <w:highlight w:val="none"/>
              </w:rPr>
              <w:t xml:space="preserve">走航车辆保障服务</w:t>
            </w:r>
            <w:bookmarkEnd w:id="187"/>
            <w:r/>
            <w:r/>
          </w:p>
        </w:tc>
        <w:tc>
          <w:tcPr>
            <w:tcBorders>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w:t>
            </w:r>
            <w:r/>
          </w:p>
        </w:tc>
        <w:tc>
          <w:tcPr>
            <w:tcBorders>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其他未列明行业</w:t>
            </w:r>
            <w:r/>
          </w:p>
        </w:tc>
      </w:tr>
      <w:tr>
        <w:trPr>
          <w:cantSplit/>
          <w:jc w:val="center"/>
          <w:trHeight w:val="619"/>
        </w:trPr>
        <w:tc>
          <w:tcPr>
            <w:tcBorders>
              <w:left w:val="single" w:color="auto" w:sz="4" w:space="0"/>
              <w:right w:val="single" w:color="auto" w:sz="4" w:space="0"/>
            </w:tcBorders>
            <w:tcW w:w="33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left w:val="single" w:color="auto" w:sz="4" w:space="0"/>
              <w:right w:val="single" w:color="auto" w:sz="4" w:space="0"/>
            </w:tcBorders>
            <w:tcW w:w="1152" w:type="pct"/>
            <w:vAlign w:val="center"/>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走航技术服务</w:t>
            </w:r>
            <w:r/>
          </w:p>
        </w:tc>
        <w:tc>
          <w:tcPr>
            <w:tcBorders>
              <w:top w:val="single" w:color="auto" w:sz="4" w:space="0"/>
              <w:left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走航技术服务</w:t>
            </w:r>
            <w:r/>
          </w:p>
        </w:tc>
        <w:tc>
          <w:tcPr>
            <w:tcBorders>
              <w:top w:val="single" w:color="auto" w:sz="4" w:space="0"/>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w:t>
            </w:r>
            <w:r/>
          </w:p>
        </w:tc>
        <w:tc>
          <w:tcPr>
            <w:tcBorders>
              <w:top w:val="single" w:color="auto" w:sz="4" w:space="0"/>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其他未列明行业</w:t>
            </w:r>
            <w:r/>
          </w:p>
        </w:tc>
      </w:tr>
      <w:tr>
        <w:trPr>
          <w:cantSplit/>
          <w:jc w:val="center"/>
          <w:trHeight w:val="619"/>
        </w:trPr>
        <w:tc>
          <w:tcPr>
            <w:tcBorders>
              <w:left w:val="single" w:color="auto" w:sz="4" w:space="0"/>
              <w:right w:val="single" w:color="auto" w:sz="4" w:space="0"/>
            </w:tcBorders>
            <w:tcW w:w="339" w:type="pct"/>
            <w:vAlign w:val="center"/>
            <w:vMerge w:val="restart"/>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left w:val="single" w:color="auto" w:sz="4" w:space="0"/>
              <w:right w:val="single" w:color="auto" w:sz="4" w:space="0"/>
            </w:tcBorders>
            <w:tcW w:w="1152" w:type="pct"/>
            <w:vAlign w:val="center"/>
            <w:vMerge w:val="restart"/>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大气污染物源解析服务</w:t>
            </w:r>
            <w:r/>
          </w:p>
        </w:tc>
        <w:tc>
          <w:tcPr>
            <w:tcBorders>
              <w:top w:val="single" w:color="auto" w:sz="4" w:space="0"/>
              <w:left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颗粒物在线源解析</w:t>
            </w:r>
            <w:r/>
          </w:p>
        </w:tc>
        <w:tc>
          <w:tcPr>
            <w:tcBorders>
              <w:top w:val="single" w:color="auto" w:sz="4" w:space="0"/>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w:t>
            </w:r>
            <w:r/>
          </w:p>
        </w:tc>
        <w:tc>
          <w:tcPr>
            <w:tcBorders>
              <w:top w:val="single" w:color="auto" w:sz="4" w:space="0"/>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其他未列明行业</w:t>
            </w:r>
            <w:r/>
          </w:p>
        </w:tc>
      </w:tr>
      <w:tr>
        <w:trPr>
          <w:cantSplit/>
          <w:jc w:val="center"/>
          <w:trHeight w:val="73"/>
        </w:trPr>
        <w:tc>
          <w:tcPr>
            <w:tcBorders>
              <w:left w:val="single" w:color="auto" w:sz="4" w:space="0"/>
              <w:right w:val="single" w:color="auto" w:sz="4" w:space="0"/>
            </w:tcBorders>
            <w:tcW w:w="339" w:type="pct"/>
            <w:vAlign w:val="center"/>
            <w:vMerge w:val="continue"/>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1152" w:type="pct"/>
            <w:vAlign w:val="center"/>
            <w:vMerge w:val="continue"/>
            <w:textDirection w:val="lrTb"/>
            <w:noWrap w:val="false"/>
          </w:tcPr>
          <w:p>
            <w:pPr>
              <w:pStyle w:val="1083"/>
              <w:contextualSpacing/>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1688"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VOCs源解析</w:t>
            </w:r>
            <w:r/>
          </w:p>
        </w:tc>
        <w:tc>
          <w:tcPr>
            <w:tcBorders>
              <w:top w:val="single" w:color="auto" w:sz="4" w:space="0"/>
              <w:left w:val="single" w:color="auto" w:sz="4" w:space="0"/>
              <w:right w:val="single" w:color="auto" w:sz="4" w:space="0"/>
            </w:tcBorders>
            <w:tcW w:w="359" w:type="pct"/>
            <w:vAlign w:val="center"/>
            <w:textDirection w:val="lrTb"/>
            <w:noWrap w:val="false"/>
          </w:tcPr>
          <w:p>
            <w:pPr>
              <w:pStyle w:val="1083"/>
              <w:contextualSpacing/>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right w:val="single" w:color="auto" w:sz="4" w:space="0"/>
            </w:tcBorders>
            <w:tcW w:w="398"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w:t>
            </w:r>
            <w:r/>
          </w:p>
        </w:tc>
        <w:tc>
          <w:tcPr>
            <w:tcBorders>
              <w:top w:val="single" w:color="auto" w:sz="4" w:space="0"/>
              <w:left w:val="single" w:color="auto" w:sz="4" w:space="0"/>
              <w:right w:val="single" w:color="auto" w:sz="4" w:space="0"/>
            </w:tcBorders>
            <w:tcW w:w="1061" w:type="pct"/>
            <w:vAlign w:val="center"/>
            <w:textDirection w:val="lrTb"/>
            <w:noWrap w:val="false"/>
          </w:tcPr>
          <w:p>
            <w:pPr>
              <w:pStyle w:val="1083"/>
              <w:contextualSpacing/>
              <w:jc w:val="center"/>
              <w:spacing w:line="360" w:lineRule="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rPr>
              <w:t xml:space="preserve">其他未列明行业</w:t>
            </w:r>
            <w:r/>
          </w:p>
        </w:tc>
      </w:tr>
    </w:tbl>
    <w:p>
      <w:pPr>
        <w:numPr>
          <w:ilvl w:val="0"/>
          <w:numId w:val="0"/>
        </w:numPr>
        <w:ind w:firstLine="0"/>
        <w:jc w:val="left"/>
        <w:spacing w:line="240" w:lineRule="auto"/>
        <w:rPr>
          <w:rFonts w:hint="eastAsia" w:ascii="Times New Roman" w:hAnsi="Times New Roman" w:eastAsia="宋体" w:cs="Times New Roman"/>
          <w:b/>
          <w:color w:val="auto"/>
          <w:sz w:val="28"/>
          <w:szCs w:val="28"/>
          <w:highlight w:val="none"/>
          <w:lang w:val="en-US" w:eastAsia="zh-CN"/>
        </w:rPr>
        <w:outlineLvl w:val="1"/>
      </w:pPr>
      <w:r>
        <w:rPr>
          <w:rFonts w:hint="eastAsia" w:ascii="Times New Roman" w:hAnsi="Times New Roman" w:eastAsia="宋体" w:cs="Times New Roman"/>
          <w:b/>
          <w:color w:val="auto"/>
          <w:sz w:val="28"/>
          <w:szCs w:val="28"/>
          <w:highlight w:val="none"/>
          <w:lang w:val="en-US" w:eastAsia="zh-CN"/>
        </w:rPr>
      </w:r>
      <w:r/>
    </w:p>
    <w:p>
      <w:pPr>
        <w:numPr>
          <w:ilvl w:val="0"/>
          <w:numId w:val="0"/>
        </w:numPr>
        <w:ind w:firstLine="0"/>
        <w:jc w:val="left"/>
        <w:spacing w:line="240" w:lineRule="auto"/>
        <w:rPr>
          <w:rFonts w:hint="eastAsia" w:ascii="宋体" w:hAnsi="宋体" w:eastAsia="宋体" w:cs="Helvetica"/>
          <w:color w:val="auto"/>
          <w:sz w:val="21"/>
          <w:szCs w:val="21"/>
          <w:highlight w:val="none"/>
        </w:rPr>
        <w:outlineLvl w:val="1"/>
      </w:pPr>
      <w:r>
        <w:rPr>
          <w:rFonts w:hint="eastAsia" w:ascii="Times New Roman" w:hAnsi="Times New Roman" w:eastAsia="宋体"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货物（标的）技术参数及功能指标</w:t>
      </w:r>
      <w:r/>
    </w:p>
    <w:p>
      <w:pPr>
        <w:pStyle w:val="762"/>
        <w:numPr>
          <w:ilvl w:val="1"/>
          <w:numId w:val="0"/>
        </w:numPr>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sz w:val="24"/>
          <w:szCs w:val="24"/>
          <w:highlight w:val="none"/>
        </w:rPr>
        <w:t xml:space="preserve">大气环境监测设备技术参数及功能指标</w:t>
      </w:r>
      <w:bookmarkStart w:id="188" w:name="_Hlk137050610"/>
      <w:r/>
      <w:r/>
    </w:p>
    <w:p>
      <w:pPr>
        <w:pStyle w:val="762"/>
        <w:numPr>
          <w:ilvl w:val="1"/>
          <w:numId w:val="0"/>
        </w:numPr>
        <w:keepLines/>
        <w:keepNext/>
        <w:pageBreakBefore w:val="0"/>
        <w:spacing w:line="1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车载挥发性有机物监测系统</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系统基本要求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（1）系统具备环境空气、污染源监测及污染物实时走航边走边测等功能模式。环境空气监测、污染源监测要求系统具备现场准确定性和定量能力，数据准确可靠。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（2）设备分析方法满足生态环境部《环境空气挥发性有机物的应急测定便携式气相色谱-质谱法》的要求。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▲（3）可实现对 TO-15、PAMS、醛酮类等117种组分的挥发性有机物的监测，同时可监测N-甲基甲酰胺、N,N-二甲基甲酰胺、丙二醇单甲醚、丙二醇单甲醚乙酸酯、桉叶油醇、甲基庚烯酮等挥发性有机化合物，能够使用标准气体使仪器增加其它非极性挥发性有机物监测的能力。</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▲（4）为满足分析需求，系统可具备或集成单质谱快速分析和色谱质谱联用分析模块，两套质谱模块使用相同的离子源及质量分析器，且各自具备独立的质量分析器和真空系统，保证两套模块可同时监测。</w:t>
      </w:r>
      <w:r>
        <w:rPr>
          <w:rFonts w:hint="eastAsia" w:ascii="宋体" w:hAnsi="宋体" w:cs="宋体"/>
          <w:b/>
          <w:bCs/>
          <w:color w:val="000000" w:themeColor="text1"/>
          <w:sz w:val="24"/>
          <w:szCs w:val="24"/>
          <w:highlight w:val="none"/>
          <w14:textFill>
            <w14:solidFill>
              <w14:schemeClr w14:val="tx1"/>
            </w14:solidFill>
          </w14:textFill>
        </w:rPr>
        <w:t xml:space="preserve">（须</w:t>
      </w:r>
      <w:r>
        <w:rPr>
          <w:rFonts w:hint="eastAsia" w:ascii="宋体" w:hAnsi="宋体" w:eastAsia="宋体" w:cs="宋体"/>
          <w:b/>
          <w:bCs/>
          <w:sz w:val="24"/>
          <w:szCs w:val="24"/>
          <w:highlight w:val="none"/>
          <w:lang w:val="en-US" w:eastAsia="zh-CN" w:bidi="ar-SA"/>
        </w:rPr>
        <w:t xml:space="preserve">提供</w:t>
      </w:r>
      <w:r>
        <w:rPr>
          <w:rFonts w:hint="eastAsia" w:ascii="宋体" w:hAnsi="宋体" w:cs="宋体"/>
          <w:b/>
          <w:bCs/>
          <w:sz w:val="24"/>
          <w:szCs w:val="24"/>
          <w:highlight w:val="none"/>
          <w:lang w:val="en-US" w:eastAsia="zh-CN" w:bidi="ar-SA"/>
        </w:rPr>
        <w:t xml:space="preserve">实物图片及</w:t>
      </w:r>
      <w:r>
        <w:rPr>
          <w:rFonts w:hint="eastAsia" w:ascii="宋体" w:hAnsi="宋体" w:eastAsia="宋体" w:cs="宋体"/>
          <w:b/>
          <w:bCs/>
          <w:sz w:val="24"/>
          <w:szCs w:val="24"/>
          <w:highlight w:val="none"/>
          <w:lang w:val="en-US" w:eastAsia="zh-CN" w:bidi="ar-SA"/>
        </w:rPr>
        <w:t xml:space="preserve">彩页证明</w:t>
      </w:r>
      <w:r>
        <w:rPr>
          <w:rFonts w:hint="eastAsia" w:ascii="宋体" w:hAnsi="宋体" w:cs="宋体"/>
          <w:b/>
          <w:bCs/>
          <w:sz w:val="24"/>
          <w:szCs w:val="24"/>
          <w:highlight w:val="none"/>
          <w:lang w:val="en-US" w:eastAsia="zh-CN" w:bidi="ar-SA"/>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2.挥发性有机物质谱分析仪性能要求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（1）应采用实验室设备相同电离模式 70eV EI，可与NIST谱库进行匹配。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▲（2）内置多级差分真空系统，由机械泵和涡轮分子泵提供系统真空，质谱腔工作真空压力＜5×10</w:t>
      </w:r>
      <w:r>
        <w:rPr>
          <w:rFonts w:hint="eastAsia" w:ascii="宋体" w:hAnsi="宋体" w:cs="宋体"/>
          <w:color w:val="000000" w:themeColor="text1"/>
          <w:sz w:val="24"/>
          <w:szCs w:val="24"/>
          <w:highlight w:val="none"/>
          <w:vertAlign w:val="superscript"/>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Pa。（须提供省级或省级以上检定机构出具的检测报告）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（3）温度可编程GC柱，建议长度≤10米；温度设置范围：45℃至260℃；升温速率：≥100℃/分钟。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（4）内置碳分子筛或TENAX吸附剂的富集管及惰性化定量环。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（5）快速筛查模式下可实现秒级响应，响应时间≤1s；全分析准确判定模式下，样品分析时间应</w:t>
      </w:r>
      <w:r>
        <w:rPr>
          <w:rFonts w:hint="eastAsia"/>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7分钟。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（6）配置CBM实现VOCs、无机因子（如CO、SO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x</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）、气象五参数等仪表转接集成，利用TCP通讯方式将系统监测数据进行输入和输出。</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3.挥发性有机物质谱分析仪技术指标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（1）进样方式：具备膜进样方法、定量环进样方法、富集管进样方法；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（2）具有采样预抽和管路清洗反吹功能；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▲（3）分析周期：≤5min（对氮中43组分VOCs混合气体标准物质进行检测），且苯乙烯与1,2-二甲苯分离度＞1.0；（须提供总离子流分析色谱图并标注各物质定性结果）</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▲（4）检测限：≤0.05nmol/mol（甲苯）；</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▲（5）响应范围：0.05nmol/mol-500 μmol/mol；</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▲（6）重复性≤3%；</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4.数据分析软件</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质谱控制软件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（1）具有自动维护功能，可进行色谱柱维护、色谱柱老化、吸附管维护、质量分析器烘烤功能；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（2）具备仪器状态（伴热管线温度、过滤器温度、气质接口温度）、质谱参数（真空度、分子泵电流、转速及温度、灯丝电流及使用寿命等）、系统参数显示功能；</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▲（3）具备AEC全自动电路控制功能(启动关闭仪器，真空压力显示、电参数读取与控制、故障判别及故障信息查询等)。</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（4）应用软件可检索标准质谱图和采购人自己建立的质谱图库，操作人员可设计、改进和储存自己的分析方法。</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1.1.5</w:t>
      </w:r>
      <w:r>
        <w:rPr>
          <w:rFonts w:hint="eastAsia" w:ascii="宋体" w:hAnsi="宋体" w:eastAsia="宋体" w:cs="宋体"/>
          <w:b/>
          <w:bCs/>
          <w:color w:val="000000" w:themeColor="text1"/>
          <w:sz w:val="24"/>
          <w:szCs w:val="24"/>
          <w:highlight w:val="none"/>
          <w14:textFill>
            <w14:solidFill>
              <w14:schemeClr w14:val="tx1"/>
            </w14:solidFill>
          </w14:textFill>
        </w:rPr>
        <w:t xml:space="preserve">走航分析软件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（1）自动记录GPS信息、气象参数、监测因子信息及浓度结果，以3D-GIS实时显示VOCs浓度变化，可给出任意点位的VOCs总量及主要物质浓度值；</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（2）软件应具有对历史数据导出导入功能，并支持原始监测数据以XLS、TXT、JPG、PNG等多种格式导出；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（3）软件具有组分监测数据展示和环境情况实时记录功能；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（4）软件应具备对相关监测因子（CO、SO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x</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等）绘制走航图，同时也能以折线图和列表形式展示，可对因子进行编辑、添加、删除；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（5）软件应具备历史数据查询功能，并能通过柱状图、饼图等方式展示监测数据。</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1.1.6</w:t>
      </w:r>
      <w:r>
        <w:rPr>
          <w:rFonts w:hint="eastAsia" w:ascii="宋体" w:hAnsi="宋体" w:eastAsia="宋体" w:cs="宋体"/>
          <w:b/>
          <w:bCs/>
          <w:color w:val="000000" w:themeColor="text1"/>
          <w:sz w:val="24"/>
          <w:szCs w:val="24"/>
          <w:highlight w:val="none"/>
          <w14:textFill>
            <w14:solidFill>
              <w14:schemeClr w14:val="tx1"/>
            </w14:solidFill>
          </w14:textFill>
        </w:rPr>
        <w:t xml:space="preserve">辅助分析和管理决策的数据库配置要求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（1）仪器具有标准谱库的检索功能，支持自建谱库；</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▲（2）质谱仪标准谱库包括：NIST标准质谱数据库、自动质谱图解卷积和鉴定系统（AMDIS）、环境样品专用谱库（＞1000种）、中文版化学品安全指导数据库（SIC）、环境标准参考数据库；</w:t>
      </w:r>
      <w:r>
        <w:rPr>
          <w:rFonts w:hint="eastAsia" w:ascii="宋体" w:hAnsi="宋体" w:cs="宋体"/>
          <w:b/>
          <w:bCs/>
          <w:color w:val="000000" w:themeColor="text1"/>
          <w:sz w:val="24"/>
          <w:szCs w:val="24"/>
          <w:highlight w:val="none"/>
          <w14:textFill>
            <w14:solidFill>
              <w14:schemeClr w14:val="tx1"/>
            </w14:solidFill>
          </w14:textFill>
        </w:rPr>
        <w:t xml:space="preserve">（须提供产品软件截图）</w:t>
      </w:r>
      <w:r/>
    </w:p>
    <w:p>
      <w:pPr>
        <w:ind w:firstLine="241"/>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车载式大气采样系统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（1）采样头：防止雨水和粗大的颗粒物落入总管，同时避免小动物和大型昆虫进入总管。采样头的设计应保证采样气流不受风向影响，稳定进入总管；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（2）采样总管：采样总管内的气流应保持层流状态，采样气体在总管内的滞留时间应</w:t>
      </w:r>
      <w:r>
        <w:rPr>
          <w:rFonts w:hint="eastAsia" w:ascii="宋体" w:hAnsi="宋体" w:cs="宋体"/>
          <w:color w:val="ff0000"/>
          <w:sz w:val="24"/>
          <w:szCs w:val="24"/>
          <w:highlight w:val="none"/>
        </w:rPr>
        <w:t xml:space="preserve">＜</w:t>
      </w:r>
      <w:r>
        <w:rPr>
          <w:rFonts w:hint="eastAsia" w:ascii="宋体" w:hAnsi="宋体" w:cs="宋体"/>
          <w:color w:val="000000" w:themeColor="text1"/>
          <w:sz w:val="24"/>
          <w:szCs w:val="24"/>
          <w:highlight w:val="none"/>
          <w14:textFill>
            <w14:solidFill>
              <w14:schemeClr w14:val="tx1"/>
            </w14:solidFill>
          </w14:textFill>
        </w:rPr>
        <w:t xml:space="preserve">10s</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（3）制作材料：不锈钢或聚四氟乙烯；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（4）工作环境温度：-20-45℃；</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（5）样品相对湿度：≤80%；</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（6）电源电压：24V。</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车载式五参数气象站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（1）风速：测量范围：0～60m/s；分辨率：≤0.1m/s；</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（2）风向：测量范围：0～360°；分辨率：≤0.1°；</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（3）空气温度：测量范围：-40℃～+85℃；分辨率：≤0.1℃；</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（4）环境湿度：测量范围：10%RH～95%RH；分辨率：≤0.1%RH；</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（5）大气压力：测量范围：300mbar～1100mbar；精度：±1mbar；</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 </w:t>
      </w:r>
      <w:r>
        <w:rPr>
          <w:rFonts w:hint="eastAsia" w:ascii="宋体" w:hAnsi="宋体" w:eastAsia="宋体" w:cs="宋体"/>
          <w:b/>
          <w:bCs/>
          <w:color w:val="000000" w:themeColor="text1"/>
          <w:sz w:val="24"/>
          <w:szCs w:val="24"/>
          <w:highlight w:val="none"/>
          <w14:textFill>
            <w14:solidFill>
              <w14:schemeClr w14:val="tx1"/>
            </w14:solidFill>
          </w14:textFill>
        </w:rPr>
        <w:t xml:space="preserve">VOCs分析专用动态校准仪</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（1）气体混合区域恒压，采用电子压力控制，控制压力范围：0~300kPa，精度＜±0.2 kPa；</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（2）具有温控功能，混合区域温度可0~50℃设置，控制精度±1℃；质量流量传感器阀座温度可0~45℃温度设置，控制精度±1℃；</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（3）具有远程遥控或序列编辑功能；具有多点自动序列配气功能，具有单点或多点自动校准功能；</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（4）稀释比率：1/10～1/5000；</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（5）流量测量精度：±1%满刻度；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（6）流量控制重复性：±0.2%满刻度；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（7）流量控制线性度：±0.5%满刻度；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（8）具有6英寸以上高清屏显示，实时显示采购人软件界面、系统设置/故障/报警信息等。</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1.1.</w:t>
      </w:r>
      <w:r>
        <w:rPr>
          <w:rFonts w:hint="eastAsia" w:ascii="宋体" w:hAnsi="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标气与减压阀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需随机配备1瓶TO-15标气及1瓶甲苯标气；标气瓶容积≥4L，带不锈钢减压阀。</w:t>
      </w:r>
      <w:bookmarkEnd w:id="188"/>
      <w:r/>
      <w:r/>
    </w:p>
    <w:p>
      <w:pP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便携式常规七参数监测仪技术参数及功能指标</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1.仪器配置：</w:t>
      </w:r>
      <w:r/>
    </w:p>
    <w:p>
      <w:pPr>
        <w:pStyle w:val="822"/>
        <w:numPr>
          <w:ilvl w:val="0"/>
          <w:numId w:val="0"/>
        </w:numPr>
        <w:ind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检测项目：检测项目包含PM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、CO、NO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、TVOC多种气体，并能同步显示温度、湿度；</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配备有气密性的气室：通过主动进气孔和尾部风扇主动通气到密闭气室，气室中上下排列气体传感器的探头；</w:t>
      </w:r>
      <w:r/>
    </w:p>
    <w:p>
      <w:pPr>
        <w:pStyle w:val="822"/>
        <w:ind w:left="188" w:firstLine="44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14:textFill>
            <w14:solidFill>
              <w14:schemeClr w14:val="tx1"/>
            </w14:solidFill>
          </w14:textFill>
        </w:rPr>
        <w:t xml:space="preserve">（3）</w:t>
      </w:r>
      <w:r>
        <w:rPr>
          <w:rFonts w:hint="eastAsia" w:ascii="Times New Roman" w:hAnsi="Times New Roman" w:cs="宋体"/>
          <w:color w:val="000000" w:themeColor="text1"/>
          <w:sz w:val="24"/>
          <w:szCs w:val="24"/>
          <w:highlight w:val="none"/>
          <w14:textFill>
            <w14:solidFill>
              <w14:schemeClr w14:val="tx1"/>
            </w14:solidFill>
          </w14:textFill>
        </w:rPr>
        <w:tab/>
      </w:r>
      <w:r>
        <w:rPr>
          <w:rFonts w:hint="eastAsia" w:ascii="Times New Roman" w:hAnsi="Times New Roman" w:cs="宋体"/>
          <w:color w:val="000000" w:themeColor="text1"/>
          <w:sz w:val="24"/>
          <w:szCs w:val="24"/>
          <w:highlight w:val="none"/>
          <w14:textFill>
            <w14:solidFill>
              <w14:schemeClr w14:val="tx1"/>
            </w14:solidFill>
          </w14:textFill>
        </w:rPr>
        <w:t xml:space="preserve">供电方式：支持USB Typc-C接口，或XT30接口电源输入；</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具备高亮浓度警示灯提示功能：颜色和报警值可自定义，可设置为自动跟随气体浓度变化；</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具备独立的移动通信模块，无传输距离限制，污染物浓度数据回传或记录速率不低于1Hz，且数据支持断点续传；</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具备加密数据输出接口（USB Type-C），可以选择不使用内置移动通信模块，而使用专有设备进行加密通信。</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支持组网作业：一台或多台</w:t>
      </w:r>
      <w:r>
        <w:rPr>
          <w:rFonts w:hint="eastAsia" w:ascii="宋体" w:hAnsi="宋体" w:cs="宋体"/>
          <w:sz w:val="24"/>
          <w:szCs w:val="24"/>
          <w:highlight w:val="none"/>
          <w:lang w:val="en-US" w:eastAsia="zh-CN"/>
        </w:rPr>
        <w:t xml:space="preserve">设备</w:t>
      </w:r>
      <w:r>
        <w:rPr>
          <w:rFonts w:hint="eastAsia" w:ascii="宋体" w:hAnsi="宋体" w:eastAsia="宋体" w:cs="宋体"/>
          <w:sz w:val="24"/>
          <w:szCs w:val="24"/>
          <w:highlight w:val="none"/>
        </w:rPr>
        <w:t xml:space="preserve">的数据可以在一台或多台可视化终端展示；</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支持与多种车型高度集成进行走航监测，无需对车辆打孔、接线，即装即用，拆下即复原，15s可完成无损急速安装；</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2.各检测模块参数详情：</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具备可吸入颗粒物检测模块，检测方式：激光散射/光散射，检测PM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三种数值，量程：0~1000ug/m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，检出限：1ug/m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，重复性＜2%，理论分辨率：1ug/m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，具备湿度校正算法，可在宽湿度范围提供较为准确的测量值；</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具备CO监测模块，检测方式：电化学，可用量程：0~10ppm，检出限：10ppb，重复性：&lt;4%，理论分辨率：&lt;0.6ppb；</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具备NO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监测模块，检测方式：电化学，可用量程：0~10ppm，检出限：5ppb，重复性：&lt;4%，理论分辨率：&lt;1.1ppb；</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具备SO</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监测模块，检测方式：电化学，可用量程：0~15ppm，检出限：5ppb，重复性：&lt;4%，理论分辨率：&lt;0.8ppb；</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具备O</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监测模块，检测方式：电化学，可用量程：0~10ppm，检出限：5ppb，重复性：&lt;4%，理论分辨率：&lt;1ppb；</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具备TVOC监测模块，检测方式：光离子化检测（PID），可用量程：0~50ppm（异丁烯）；检出限：1ppb，重复性：&lt;4%，理论分辨率：3.8ppb。</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3.软件要求：</w:t>
      </w:r>
      <w:r/>
    </w:p>
    <w:p>
      <w:pPr>
        <w:pStyle w:val="822"/>
        <w:numPr>
          <w:ilvl w:val="0"/>
          <w:numId w:val="0"/>
        </w:numPr>
        <w:ind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实时显示气体检测仪的工作状态，包括卫星数据、待传数据量、相对高度、设备昵称，并且控制设备的高亮警示灯、采气泵等功能；</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具备数据断点续传功能，通信中断时采集到的任务数据不会丢失，且会在连接重新建立后自动追回，并显示待传数据量；</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每个检测项目需要具备独立的温度、湿度与压力传感器，并能在专用调参与校准软件中独立显示；同时支持质量浓度、体积浓度两种单位，</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可自由切换；</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实时显示空气污染物浓度时间变化曲线图；实时生成二维网格空气污染分布热力图，且网格大小实时可调；且实时生成二维等值线空气污染分布热力图；</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实时生成三维点云污染物浓度分布热力图，且视角可调，可点击精确显示采样点的经纬度与相对高度；</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污染物浓度的可视化颜色关系支持实时在软件中手动或自动调节；</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浓度分布热力图在地图中对应显示，地图模式可选卫星图与街道图；</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支持导入一个或多个历史数据任务，并可与当前任务数据同时显示；</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支持导入高清正射影像图（.tif格式，国际通用WGS-84坐标系），导入后会自动覆盖相应区域的地图；</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支持一键式导出任务报告及表格，多种数据呈现方式进行事后分析；</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支持将气体分布网格图与等值线图输出为带有地理信息的正射图（GeoTiff）；</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（12）</w:t>
      </w:r>
      <w:r>
        <w:rPr>
          <w:rFonts w:hint="eastAsia" w:ascii="宋体" w:hAnsi="宋体" w:eastAsia="宋体" w:cs="宋体"/>
          <w:sz w:val="24"/>
          <w:szCs w:val="24"/>
          <w:highlight w:val="none"/>
        </w:rPr>
        <w:t xml:space="preserve">支持导入带有地理信息标记的图片并在地图对应位置显示；</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（13）</w:t>
      </w:r>
      <w:r>
        <w:rPr>
          <w:rFonts w:hint="eastAsia" w:ascii="宋体" w:hAnsi="宋体" w:eastAsia="宋体" w:cs="宋体"/>
          <w:sz w:val="24"/>
          <w:szCs w:val="24"/>
          <w:highlight w:val="none"/>
        </w:rPr>
        <w:t xml:space="preserve">支持在同一个软件界面中实时展示多台设备回传的数据，并可选择任意一台进行跟踪，且软件安装台数不受限制，支持软件自动更新；</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（14）</w:t>
      </w:r>
      <w:r>
        <w:rPr>
          <w:rFonts w:hint="eastAsia" w:ascii="宋体" w:hAnsi="宋体" w:eastAsia="宋体" w:cs="宋体"/>
          <w:sz w:val="24"/>
          <w:szCs w:val="24"/>
          <w:highlight w:val="none"/>
        </w:rPr>
        <w:t xml:space="preserve">具备调参校准功能，可远程对气体检测模块进行调参校准，可调整的参数包括每个检测项目的敏感度斜率和零点；</w:t>
      </w:r>
      <w:r/>
    </w:p>
    <w:p>
      <w:pPr>
        <w:pStyle w:val="822"/>
        <w:numPr>
          <w:ilvl w:val="0"/>
          <w:numId w:val="0"/>
        </w:numPr>
        <w:ind w:left="188"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（15）</w:t>
      </w:r>
      <w:r>
        <w:rPr>
          <w:rFonts w:hint="eastAsia" w:ascii="宋体" w:hAnsi="宋体" w:eastAsia="宋体" w:cs="宋体"/>
          <w:sz w:val="24"/>
          <w:szCs w:val="24"/>
          <w:highlight w:val="none"/>
        </w:rPr>
        <w:t xml:space="preserve">支持将接收到的加密数据解析为明文数据，并通过UDP输出，方便</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进行二次开发。</w:t>
      </w:r>
      <w:r/>
    </w:p>
    <w:p>
      <w:pPr>
        <w:pStyle w:val="822"/>
        <w:numPr>
          <w:ilvl w:val="0"/>
          <w:numId w:val="0"/>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颗粒物激光雷达技术参数及功能指标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可监测颗粒物污染空间分布信息，实现污染溯源工作，支持走航监测、水平扫描监测和</w:t>
      </w:r>
      <w:r>
        <w:rPr>
          <w:rFonts w:hint="eastAsia" w:ascii="宋体" w:hAnsi="宋体" w:cs="宋体"/>
          <w:color w:val="000000" w:themeColor="text1"/>
          <w:sz w:val="24"/>
          <w:szCs w:val="24"/>
          <w:highlight w:val="none"/>
          <w14:textFill>
            <w14:solidFill>
              <w14:schemeClr w14:val="tx1"/>
            </w14:solidFill>
          </w14:textFill>
        </w:rPr>
        <w:t xml:space="preserve">垂直监测，可有力支撑颗粒物大气污染防治工作。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▲（1）时间分辨率：1s及其倍数可调。</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▲（2）空间分辨率：3m及其倍数可调。</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（3）探测盲区：≤30m。</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（4）探测距离：≥15km。</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（5）脉冲能量：≥500μJ。</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（6）光源重复频率：2kHz-7kHz可调。</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▲（7）空间模式：TEM00，M</w:t>
      </w:r>
      <w:r>
        <w:rPr>
          <w:rFonts w:hint="eastAsia" w:ascii="宋体" w:hAnsi="宋体" w:cs="宋体"/>
          <w:color w:val="000000" w:themeColor="text1"/>
          <w:sz w:val="24"/>
          <w:szCs w:val="24"/>
          <w:highlight w:val="none"/>
          <w:vertAlign w:val="superscript"/>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（8）光斑直径：≥10mm。</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（9）发散角：≤0.2mrad。</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（10）脉冲宽度：≤13ns。</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（11）光束指向性：≤50urad。</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（12）重频率稳定性：＜3%。</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（13）功率稳定性：RMS≤1%@8h。</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（14）光束中心高偏差：±0.5mm。</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（15）光束指向垂直度：＜1mrad。</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（16）采样频率：50MHZ。</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（17）扫描周期：扫描一周在采集360条数据且每条数据不少于5000个脉冲，时间为6min。</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（18）摄像功能：具备摄像功能，可实时查看窗口外的视频情况,摄像功能系统与雷达主机一体化设计。</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（19）电快速瞬变脉冲群抗扰度：在供电电源端口，保护接地（PE)施加重复频率5kHz抗扰度电压峰值2kV的电压信号，性能正常。</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（20）浪涌（冲击）抗扰度：开路试验电压2kV，性能正常。</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（21）静电放电抗扰度：接触放电，试验电压抗扰度6kV，空气放电，试验电压8kV，性能正常。</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auto"/>
          <w:sz w:val="24"/>
          <w:szCs w:val="24"/>
          <w:highlight w:val="none"/>
        </w:rPr>
      </w:pPr>
      <w:r>
        <w:rPr>
          <w:rFonts w:hint="eastAsia" w:ascii="宋体" w:hAnsi="宋体" w:cs="宋体"/>
          <w:sz w:val="24"/>
          <w:szCs w:val="24"/>
          <w:highlight w:val="none"/>
        </w:rPr>
        <w:t xml:space="preserve">（22）电压暂降、短时中断和电压变化:电压暂降试验试验等级为40%持续时间为10周期，性能正常；短时中断试验等级为0%持续时间为250周期，性</w:t>
      </w:r>
      <w:r>
        <w:rPr>
          <w:rFonts w:hint="eastAsia" w:ascii="宋体" w:hAnsi="宋体" w:cs="宋体"/>
          <w:color w:val="auto"/>
          <w:sz w:val="24"/>
          <w:szCs w:val="24"/>
          <w:highlight w:val="none"/>
        </w:rPr>
        <w:t xml:space="preserve">能正常。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（23）绝缘电阻：激光雷达输入端与机壳金属部分间的绝缘电阻≥20MΩ。</w:t>
      </w:r>
      <w:r>
        <w:rPr>
          <w:rFonts w:hint="eastAsia" w:ascii="宋体" w:hAnsi="宋体" w:cs="宋体"/>
          <w:b/>
          <w:bCs/>
          <w:color w:val="auto"/>
          <w:sz w:val="24"/>
          <w:szCs w:val="24"/>
          <w:highlight w:val="none"/>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（24）绝缘强度：激光雷达电源插头与壳体之间施加50Hz、1500V正弦波交流电压,持续1min试验,应无击穿或闪络现象。</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（25）采集软件：软件可以进行相关设置，包括：模式切换、激光器关闭和启动、云台上下电、水平增益设置、垂直增益设置、开光、关光、LD电流设置、激光器错误复位、指令下发、数据上传启停。</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▲（26）分析软件：软件支持消光、退偏、PM</w:t>
      </w:r>
      <w:r>
        <w:rPr>
          <w:rFonts w:hint="eastAsia" w:ascii="宋体" w:hAnsi="宋体" w:cs="宋体"/>
          <w:color w:val="000000" w:themeColor="text1"/>
          <w:sz w:val="24"/>
          <w:szCs w:val="24"/>
          <w:highlight w:val="none"/>
          <w:vertAlign w:val="subscript"/>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、PM</w:t>
      </w:r>
      <w:r>
        <w:rPr>
          <w:rFonts w:hint="eastAsia" w:ascii="宋体" w:hAnsi="宋体" w:cs="宋体"/>
          <w:color w:val="000000" w:themeColor="text1"/>
          <w:sz w:val="24"/>
          <w:szCs w:val="24"/>
          <w:highlight w:val="none"/>
          <w:vertAlign w:val="subscript"/>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、边界层、能见度、光学厚度、云信息等数据的展示。通过鼠标点击能够实时显示具体高度、时间、数值、当前地理位置信息。</w:t>
      </w:r>
      <w:r>
        <w:rPr>
          <w:rFonts w:hint="eastAsia" w:ascii="宋体" w:hAnsi="宋体" w:cs="宋体"/>
          <w:b/>
          <w:bCs/>
          <w:color w:val="000000" w:themeColor="text1"/>
          <w:sz w:val="24"/>
          <w:szCs w:val="24"/>
          <w:highlight w:val="none"/>
          <w14:textFill>
            <w14:solidFill>
              <w14:schemeClr w14:val="tx1"/>
            </w14:solidFill>
          </w14:textFill>
        </w:rPr>
        <w:t xml:space="preserve">（须提供省级或省级以上检定机构出具的检测报告）</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道路积尘负荷监测仪技术参数及功能指标</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14:textFill>
            <w14:solidFill>
              <w14:schemeClr w14:val="tx1"/>
            </w14:solidFill>
          </w14:textFill>
        </w:rPr>
        <w:t xml:space="preserve">1.主机部分技术参数：</w:t>
      </w:r>
      <w:r/>
    </w:p>
    <w:p>
      <w:pPr>
        <w:pStyle w:val="822"/>
        <w:numPr>
          <w:ilvl w:val="0"/>
          <w:numId w:val="0"/>
        </w:numPr>
        <w:ind w:left="0" w:firstLine="44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采样泵的工作流量为：（80～120）L/min；</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流量控制器：量程范围：（0.2～30）m/s，精度≥2.5%；</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设备TSP监测浓度范围：（0～20）mg/m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，检出限：1μg/m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积尘负荷测量范围：0～30g/m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；检出限：≤0.05 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；分辨率：≤0.01 g/m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；响应时间：≤5s；</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监测频次：≤2s；</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车辆行驶速度范围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（30～70）km/h</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设备应具备数字通讯接口，可实现无线或有线通讯；</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车辆配有双系统协同定位功能，实时记录经纬度、速度等信息，定位精度≤15m；</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设备配有外置式可充电电源，供电单元；</w:t>
      </w:r>
      <w:r/>
    </w:p>
    <w:p>
      <w:pPr>
        <w:pStyle w:val="822"/>
        <w:numPr>
          <w:ilvl w:val="0"/>
          <w:numId w:val="0"/>
        </w:numPr>
        <w:ind w:left="0" w:firstLine="44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Times New Roman"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电源持续</w:t>
      </w:r>
      <w:r>
        <w:rPr>
          <w:rFonts w:hint="eastAsia" w:ascii="宋体" w:hAnsi="宋体" w:eastAsia="宋体" w:cs="宋体"/>
          <w:color w:val="000000" w:themeColor="text1"/>
          <w:sz w:val="24"/>
          <w:szCs w:val="24"/>
          <w:highlight w:val="none"/>
          <w14:textFill>
            <w14:solidFill>
              <w14:schemeClr w14:val="tx1"/>
            </w14:solidFill>
          </w14:textFill>
        </w:rPr>
        <w:t xml:space="preserve">供电能力</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5h；</w:t>
      </w:r>
      <w:r/>
    </w:p>
    <w:p>
      <w:pPr>
        <w:pStyle w:val="822"/>
        <w:numPr>
          <w:ilvl w:val="0"/>
          <w:numId w:val="0"/>
        </w:numPr>
        <w:ind w:left="0" w:firstLine="44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具有断电数据保存功能。</w:t>
      </w:r>
      <w:r/>
    </w:p>
    <w:p>
      <w:pPr>
        <w:pStyle w:val="822"/>
        <w:numPr>
          <w:ilvl w:val="0"/>
          <w:numId w:val="0"/>
        </w:numPr>
        <w:ind w:left="0" w:firstLine="44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Times New Roman" w:eastAsia="宋体" w:cs="宋体"/>
          <w:sz w:val="24"/>
          <w:szCs w:val="24"/>
          <w:highlight w:val="none"/>
          <w:lang w:val="en-US" w:eastAsia="zh-CN" w:bidi="ar-SA"/>
        </w:rPr>
        <w:t xml:space="preserve">（12）</w:t>
      </w:r>
      <w:r>
        <w:rPr>
          <w:rFonts w:hint="eastAsia" w:ascii="宋体" w:hAnsi="宋体" w:eastAsia="宋体" w:cs="宋体"/>
          <w:sz w:val="24"/>
          <w:szCs w:val="24"/>
          <w:highlight w:val="none"/>
        </w:rPr>
        <w:t xml:space="preserve">主机尺寸长度≤600mm、宽度≤330mm、高度≤570mm，保证安装在紧凑型SUV车辆，且不影</w:t>
      </w:r>
      <w:r>
        <w:rPr>
          <w:rFonts w:hint="eastAsia" w:ascii="宋体" w:hAnsi="宋体" w:eastAsia="宋体" w:cs="宋体"/>
          <w:color w:val="000000" w:themeColor="text1"/>
          <w:sz w:val="24"/>
          <w:szCs w:val="24"/>
          <w:highlight w:val="none"/>
          <w14:textFill>
            <w14:solidFill>
              <w14:schemeClr w14:val="tx1"/>
            </w14:solidFill>
          </w14:textFill>
        </w:rPr>
        <w:t xml:space="preserve">响后排座椅。</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b/>
          <w:bCs/>
          <w:color w:val="000000" w:themeColor="text1"/>
          <w:sz w:val="24"/>
          <w:szCs w:val="24"/>
          <w:highlight w:val="none"/>
          <w14:textFill>
            <w14:solidFill>
              <w14:schemeClr w14:val="tx1"/>
            </w14:solidFill>
          </w14:textFill>
        </w:rPr>
        <w:t xml:space="preserve">须提供省级或以上机构出具的满足</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道路尘负荷车载移动监测与评价技术规范</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颗粒物单元要求的检测报告，报告须体现依据该标准测试。</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14:textFill>
            <w14:solidFill>
              <w14:schemeClr w14:val="tx1"/>
            </w14:solidFill>
          </w14:textFill>
        </w:rPr>
        <w:t xml:space="preserve">2.平台部分技术参数</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车载终端可显示实时数据；</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平台可根据标准分级以不同颜色显示，生成道路尘负荷或扬尘浓度监测轨迹图；</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数据存储大于3个月，可通过省、市、县区、街道或任意时间查询；</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数据须包含市、县区、街道、路名、测速、积尘负荷浓度、扬尘浓度、经纬度等信息，并可以Excel格式导出；</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可实现自动识别省、市、区县、街道行政边界分类；</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一键自动生成word图文分析报告，快速规范；</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报告内容需包含行政区域内各级别道路长度占比饼状图等内容；</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平台可根据起点、终点提前做路径规划；</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通过定位坐标或中文具体位置信息都可实现位置查询功能；</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可显示历史走航轨迹；</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平台可对两点进行直线测距和轨迹测距；</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（12）</w:t>
      </w:r>
      <w:r>
        <w:rPr>
          <w:rFonts w:hint="eastAsia" w:ascii="宋体" w:hAnsi="宋体" w:eastAsia="宋体" w:cs="宋体"/>
          <w:sz w:val="24"/>
          <w:szCs w:val="24"/>
          <w:highlight w:val="none"/>
        </w:rPr>
        <w:t xml:space="preserve">可查看所有在线采样车辆的位置信息及实时测量数据；</w:t>
      </w:r>
      <w:r/>
    </w:p>
    <w:p>
      <w:pPr>
        <w:pStyle w:val="822"/>
        <w:numPr>
          <w:ilvl w:val="0"/>
          <w:numId w:val="0"/>
        </w:numPr>
        <w:ind w:left="0" w:firstLine="442"/>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（13）</w:t>
      </w:r>
      <w:r>
        <w:rPr>
          <w:rFonts w:hint="eastAsia" w:ascii="宋体" w:hAnsi="宋体" w:eastAsia="宋体" w:cs="宋体"/>
          <w:sz w:val="24"/>
          <w:szCs w:val="24"/>
          <w:highlight w:val="none"/>
        </w:rPr>
        <w:t xml:space="preserve">具备多端远程控制功能，方便多台设备统一管理。</w:t>
      </w:r>
      <w:bookmarkStart w:id="189" w:name="_Hlk173848789"/>
      <w:r/>
      <w:bookmarkStart w:id="190" w:name="_Toc15284"/>
      <w:r/>
      <w:r/>
    </w:p>
    <w:p>
      <w:pPr>
        <w:pStyle w:val="822"/>
        <w:numPr>
          <w:ilvl w:val="0"/>
          <w:numId w:val="0"/>
        </w:num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走航车辆保障服务技术参数及功能指标</w:t>
      </w:r>
      <w:r/>
    </w:p>
    <w:p>
      <w:pPr>
        <w:pStyle w:val="772"/>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为整个项目周期提供走航车辆服务，确保本项目所有设备顺利安装在走航车上，具备正常走航功能。走航车辆应具备下述功能。</w:t>
      </w:r>
      <w:r/>
    </w:p>
    <w:p>
      <w:pPr>
        <w:pStyle w:val="77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2.1走航车辆总体要求</w:t>
      </w:r>
      <w:r/>
    </w:p>
    <w:p>
      <w:pPr>
        <w:pStyle w:val="772"/>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▲（1）投标人需自有VOCs走航监测车辆并提供车辆购买合同，保障服务中出现车辆问题能及时解决。</w:t>
      </w:r>
      <w:r/>
    </w:p>
    <w:p>
      <w:pPr>
        <w:pStyle w:val="1084"/>
        <w:numPr>
          <w:ilvl w:val="0"/>
          <w:numId w:val="0"/>
        </w:numPr>
        <w:ind w:left="0"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投标人提供的走航车辆已由适合的车辆底盘改装并完成特种车上牌（国Ⅵ，蓝牌），可正常行驶。</w:t>
      </w:r>
      <w:r/>
    </w:p>
    <w:p>
      <w:pPr>
        <w:pStyle w:val="1084"/>
        <w:numPr>
          <w:ilvl w:val="0"/>
          <w:numId w:val="0"/>
        </w:numPr>
        <w:ind w:left="0"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投标人提供的走航车辆行驶里程不得超过3万公里。</w:t>
      </w:r>
      <w:r/>
    </w:p>
    <w:p>
      <w:pPr>
        <w:pStyle w:val="1084"/>
        <w:numPr>
          <w:ilvl w:val="0"/>
          <w:numId w:val="0"/>
        </w:numPr>
        <w:ind w:left="0"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投标人需提供车辆改装后的平面设计图和电路原理图。</w:t>
      </w:r>
      <w:r/>
    </w:p>
    <w:p>
      <w:pPr>
        <w:pStyle w:val="1084"/>
        <w:numPr>
          <w:ilvl w:val="0"/>
          <w:numId w:val="0"/>
        </w:numPr>
        <w:ind w:left="0"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投标人需提供车辆改装后的三维效果图或实物参考图。</w:t>
      </w:r>
      <w:r/>
    </w:p>
    <w:p>
      <w:pPr>
        <w:pStyle w:val="1084"/>
        <w:numPr>
          <w:ilvl w:val="0"/>
          <w:numId w:val="0"/>
        </w:numPr>
        <w:ind w:left="0" w:firstLine="480"/>
        <w:jc w:val="left"/>
        <w:spacing w:line="360" w:lineRule="auto"/>
        <w:rPr>
          <w:rFonts w:hint="eastAsia" w:ascii="宋体" w:hAnsi="宋体" w:cs="宋体"/>
          <w:sz w:val="24"/>
          <w:highlight w:val="none"/>
        </w:rPr>
      </w:pPr>
      <w:r>
        <w:rPr>
          <w:rFonts w:hint="default"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投标人提供</w:t>
      </w:r>
      <w:r>
        <w:rPr>
          <w:rFonts w:hint="eastAsia" w:ascii="宋体" w:hAnsi="宋体" w:cs="宋体"/>
          <w:sz w:val="24"/>
          <w:highlight w:val="none"/>
        </w:rPr>
        <w:t xml:space="preserve">的走航车辆车体标识可以按照采购人的要求设计修改。</w:t>
      </w:r>
      <w:r/>
    </w:p>
    <w:p>
      <w:pPr>
        <w:pStyle w:val="763"/>
        <w:numPr>
          <w:ilvl w:val="2"/>
          <w:numId w:val="0"/>
        </w:numPr>
        <w:spacing w:before="0"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2.2走航车辆功能要求</w:t>
      </w:r>
      <w:r/>
    </w:p>
    <w:p>
      <w:pPr>
        <w:pStyle w:val="763"/>
        <w:numPr>
          <w:ilvl w:val="2"/>
          <w:numId w:val="0"/>
        </w:numPr>
        <w:spacing w:before="0"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2.2.1</w:t>
      </w:r>
      <w:r>
        <w:rPr>
          <w:rFonts w:hint="eastAsia" w:ascii="宋体" w:hAnsi="宋体" w:eastAsia="宋体" w:cs="宋体"/>
          <w:b/>
          <w:bCs/>
          <w:sz w:val="24"/>
          <w:szCs w:val="24"/>
          <w:highlight w:val="none"/>
        </w:rPr>
        <w:t xml:space="preserve">所提供走航车辆应具备以下功能：</w:t>
      </w:r>
      <w:r/>
    </w:p>
    <w:p>
      <w:pPr>
        <w:pStyle w:val="1085"/>
        <w:ind w:left="0" w:right="0" w:firstLine="0"/>
        <w:spacing w:before="0" w:beforeAutospacing="0" w:after="0" w:afterAutospacing="0" w:line="360" w:lineRule="auto"/>
        <w:rPr>
          <w:rFonts w:hint="eastAsia" w:ascii="宋体" w:hAnsi="宋体" w:eastAsia="宋体" w:cs="宋体"/>
          <w:b/>
          <w:bCs/>
          <w:sz w:val="24"/>
          <w:szCs w:val="24"/>
          <w:highlight w:val="none"/>
        </w:rPr>
      </w:pPr>
      <w:r>
        <w:rPr>
          <w:rFonts w:hint="eastAsia"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1、车体基础改造</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车辆分区</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提供车辆车内需分为驾驶乘坐区、实验分析区、工具区。实验分析区具备安装车载挥发性有机物检测系统、颗粒物激光雷达、道路积尘负荷监测仪、便携式常规七参数监测仪等设备空间及位置，确保设备可以正常安装，并预留足够的空间，确保走航工程师实现设备走航功能。</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车辆开门</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后开门采用后双开门原车车身形式，车辆侧门应配有侧向拉门，用于人员和仪器的进出，侧门底部设置电动踏板。</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车辆窗户</w:t>
      </w:r>
      <w:r/>
    </w:p>
    <w:p>
      <w:pPr>
        <w:pStyle w:val="108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实验区窗户采用原厂车辆窗户，窗户进行贴膜保温处理，工具区窗户和尾门窗户改装成盲窗，增强保温效果</w:t>
      </w:r>
      <w:r>
        <w:rPr>
          <w:rFonts w:hint="eastAsia" w:ascii="宋体" w:hAnsi="宋体" w:eastAsia="宋体" w:cs="宋体"/>
          <w:sz w:val="24"/>
          <w:szCs w:val="24"/>
          <w:highlight w:val="none"/>
        </w:rPr>
        <w:t xml:space="preserve">。</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车身加固</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车身内部需要承重的区域进行加固处理，内部进行保温处理</w:t>
      </w:r>
      <w:r>
        <w:rPr>
          <w:rFonts w:hint="eastAsia" w:ascii="宋体" w:hAnsi="宋体" w:eastAsia="宋体" w:cs="宋体"/>
          <w:sz w:val="24"/>
          <w:szCs w:val="24"/>
          <w:highlight w:val="none"/>
        </w:rPr>
        <w:t xml:space="preserve">。</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车顶平台</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车顶设置有车顶平台，并加设不锈钢护栏，加强工作人员登顶工作的安全性</w:t>
      </w:r>
      <w:r>
        <w:rPr>
          <w:rFonts w:hint="eastAsia" w:ascii="宋体" w:hAnsi="宋体" w:eastAsia="宋体" w:cs="宋体"/>
          <w:bCs/>
          <w:sz w:val="24"/>
          <w:szCs w:val="24"/>
          <w:highlight w:val="none"/>
        </w:rPr>
        <w:t xml:space="preserve">。</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后爬梯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尾部设置一个爬梯，爬梯各梯步采取防滑措施处理。</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车外照明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车顶平台两侧应安装有车载场地灯，满足现场夜晚照明需求。</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车辆地板</w:t>
      </w:r>
      <w:r/>
    </w:p>
    <w:p>
      <w:pPr>
        <w:pStyle w:val="776"/>
        <w:ind w:firstLine="480"/>
        <w:jc w:val="lef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实验区地板采用防腐车辆专用地板，工具区铺设防滑压花铝板。</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防雷系统</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车身有良好的接地处理，可有效防止雷击及触电，在电源引入口安装电源防雷避雷器</w:t>
      </w:r>
      <w:r>
        <w:rPr>
          <w:rFonts w:hint="eastAsia" w:ascii="宋体" w:hAnsi="宋体" w:eastAsia="宋体" w:cs="宋体"/>
          <w:sz w:val="24"/>
          <w:szCs w:val="24"/>
          <w:highlight w:val="none"/>
        </w:rPr>
        <w:t xml:space="preserve">。</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防静电</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整车加装静电拖，防止车辆静电引起仪器损坏</w:t>
      </w:r>
      <w:r>
        <w:rPr>
          <w:rFonts w:hint="eastAsia" w:ascii="宋体" w:hAnsi="宋体" w:eastAsia="宋体" w:cs="宋体"/>
          <w:sz w:val="24"/>
          <w:szCs w:val="24"/>
          <w:highlight w:val="none"/>
        </w:rPr>
        <w:t xml:space="preserve">。</w:t>
      </w:r>
      <w:r/>
    </w:p>
    <w:p>
      <w:pPr>
        <w:pStyle w:val="1085"/>
        <w:ind w:left="0" w:right="0" w:firstLine="0"/>
        <w:spacing w:before="0" w:beforeAutospacing="0" w:after="0" w:afterAutospacing="0" w:line="360" w:lineRule="auto"/>
        <w:rPr>
          <w:rFonts w:hint="eastAsia" w:ascii="宋体" w:hAnsi="宋体" w:eastAsia="宋体" w:cs="宋体"/>
          <w:b/>
          <w:bCs/>
          <w:sz w:val="24"/>
          <w:szCs w:val="24"/>
          <w:highlight w:val="none"/>
        </w:rPr>
      </w:pPr>
      <w:r>
        <w:rPr>
          <w:rFonts w:hint="eastAsia"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2、车内改装</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设备机柜</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定制设备机柜，满足仪器安装要求；柜体下部、上部和左右侧分别装有减震装置。</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工作台面</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在实验区前方应设置有工作台面用于现场办公使用，隔断侧面应设置220V电源插座和多媒体插座。</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车内座椅</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驾驶区保持原车状态，可乘坐2~3人（包括驾驶员），实验区内放置座椅，座椅可以根据实验需要进行局部调整，可满足走航工程师正常工作。</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车内照明</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应符合移动实验室亮度要求，采用照明灯具，所有灯具可以单独控制。</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内饰软包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车辆内饰整体采用 PU 皮革面料进行软包处理。</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安防附件</w:t>
      </w:r>
      <w:r/>
    </w:p>
    <w:p>
      <w:pPr>
        <w:pStyle w:val="776"/>
        <w:ind w:firstLine="480"/>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实验区应配备车用小型灭火器、自动灭火贴、温湿度计、烟雾报警器、应急医疗箱等安全防护物品。</w:t>
      </w:r>
      <w:r/>
    </w:p>
    <w:p>
      <w:pPr>
        <w:pStyle w:val="1085"/>
        <w:ind w:left="0" w:right="0" w:firstLine="0"/>
        <w:spacing w:before="0" w:beforeAutospacing="0" w:after="0" w:afterAutospacing="0" w:line="360" w:lineRule="auto"/>
        <w:rPr>
          <w:rFonts w:hint="eastAsia" w:ascii="宋体" w:hAnsi="宋体" w:eastAsia="宋体" w:cs="宋体"/>
          <w:b/>
          <w:bCs/>
          <w:sz w:val="24"/>
          <w:szCs w:val="24"/>
          <w:highlight w:val="none"/>
        </w:rPr>
      </w:pPr>
      <w:r>
        <w:rPr>
          <w:rFonts w:hint="eastAsia" w:cs="宋体"/>
          <w:b/>
          <w:bCs/>
          <w:sz w:val="24"/>
          <w:szCs w:val="24"/>
          <w:highlight w:val="none"/>
          <w:lang w:val="en-US" w:eastAsia="zh-CN"/>
        </w:rPr>
        <w:t xml:space="preserve">2.2.3、</w:t>
      </w:r>
      <w:r>
        <w:rPr>
          <w:rFonts w:hint="eastAsia" w:ascii="宋体" w:hAnsi="宋体" w:eastAsia="宋体" w:cs="宋体"/>
          <w:b/>
          <w:bCs/>
          <w:sz w:val="24"/>
          <w:szCs w:val="24"/>
          <w:highlight w:val="none"/>
        </w:rPr>
        <w:t xml:space="preserve">供电系统</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Times New Roman" w:hAnsi="Times New Roman" w:cs="宋体"/>
          <w:sz w:val="24"/>
          <w:szCs w:val="24"/>
          <w:highlight w:val="none"/>
          <w:lang w:val="en-US" w:eastAsia="zh-CN" w:bidi="ar-SA"/>
        </w:rPr>
        <w:t xml:space="preserve">）</w:t>
      </w:r>
      <w:r>
        <w:rPr>
          <w:rFonts w:hint="eastAsia" w:ascii="宋体" w:hAnsi="宋体" w:eastAsia="宋体" w:cs="宋体"/>
          <w:sz w:val="24"/>
          <w:szCs w:val="24"/>
          <w:highlight w:val="none"/>
        </w:rPr>
        <w:t xml:space="preserve">所有用电器具根据</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需求，配置有市电供电系统、走航供电系统；</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车辆电路接口进行防水处理，保证充电，电源接口采用防误插设计，拥有良好的电气绝缘性能、优良的抗冲击性能和防尘、防潮及防腐蚀的性能；</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线缆盘：</w:t>
      </w:r>
      <w:r>
        <w:rPr>
          <w:rFonts w:hint="eastAsia" w:ascii="宋体" w:hAnsi="宋体" w:eastAsia="宋体" w:cs="宋体"/>
          <w:sz w:val="24"/>
          <w:szCs w:val="24"/>
          <w:highlight w:val="none"/>
        </w:rPr>
        <w:t xml:space="preserve">监测车配置长度</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30</w:t>
      </w:r>
      <w:r>
        <w:rPr>
          <w:rFonts w:hint="eastAsia" w:ascii="宋体" w:hAnsi="宋体" w:eastAsia="宋体" w:cs="宋体"/>
          <w:sz w:val="24"/>
          <w:szCs w:val="24"/>
          <w:highlight w:val="none"/>
        </w:rPr>
        <w:t xml:space="preserve">米的线缆盘，</w:t>
      </w:r>
      <w:r>
        <w:rPr>
          <w:rFonts w:hint="eastAsia" w:ascii="宋体" w:hAnsi="宋体" w:eastAsia="宋体" w:cs="宋体"/>
          <w:sz w:val="24"/>
          <w:szCs w:val="24"/>
          <w:highlight w:val="none"/>
        </w:rPr>
        <w:t xml:space="preserve">线缆盘配漏电保护开关，保护用电安全，带电源指示灯，配户外专用电缆线，耐折弯，耐磨损，耐高低温；</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采用车辆专用走航逆变充电系统，功率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5KVA，满足车辆仪表的使用和设备的需求，</w:t>
      </w:r>
      <w:r>
        <w:rPr>
          <w:rFonts w:hint="eastAsia" w:ascii="宋体" w:hAnsi="宋体" w:eastAsia="宋体" w:cs="宋体"/>
          <w:bCs/>
          <w:sz w:val="24"/>
          <w:szCs w:val="24"/>
          <w:highlight w:val="none"/>
        </w:rPr>
        <w:t xml:space="preserve">能够实现边走边测边充电</w:t>
      </w:r>
      <w:r>
        <w:rPr>
          <w:rFonts w:hint="eastAsia" w:ascii="宋体" w:hAnsi="宋体" w:eastAsia="宋体" w:cs="宋体"/>
          <w:sz w:val="24"/>
          <w:szCs w:val="24"/>
          <w:highlight w:val="none"/>
        </w:rPr>
        <w:t xml:space="preserve">。车辆熄火状态下，其自带的电池系统，能够维持总功率1KW左右的仪器设备工作</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10小时</w:t>
      </w:r>
      <w:r>
        <w:rPr>
          <w:rFonts w:hint="eastAsia" w:ascii="宋体" w:hAnsi="宋体" w:eastAsia="宋体" w:cs="宋体"/>
          <w:sz w:val="24"/>
          <w:szCs w:val="24"/>
          <w:highlight w:val="none"/>
        </w:rPr>
        <w:t xml:space="preserve">；</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电池监控：电池实时状态应通过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5英寸的外置触摸显示屏查看，同时也可以通过手机APP查看电压、电流、功率、剩余续航时间等。</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温度监测：应具备电池温度和实时监测功能，保障电控系统安全；</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工作环境：供电系统可以在-20℃至60℃工作；</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保护功能：具备过压、低压、过温、过载、交流短路保护功能；</w:t>
      </w:r>
      <w:r/>
    </w:p>
    <w:p>
      <w:pPr>
        <w:pStyle w:val="1085"/>
        <w:ind w:left="0" w:right="0" w:firstLine="0"/>
        <w:spacing w:before="0" w:beforeAutospacing="0" w:after="0" w:afterAutospacing="0" w:line="360" w:lineRule="auto"/>
        <w:rPr>
          <w:rFonts w:hint="eastAsia" w:ascii="宋体" w:hAnsi="宋体" w:eastAsia="宋体" w:cs="宋体"/>
          <w:b/>
          <w:bCs/>
          <w:sz w:val="24"/>
          <w:szCs w:val="24"/>
          <w:highlight w:val="none"/>
        </w:rPr>
      </w:pPr>
      <w:r>
        <w:rPr>
          <w:rFonts w:hint="eastAsia"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4、空调和通风系统</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应合理计算空调制冷量，选用底盘自带后舱空调或者顶置空调；</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为加强仪器散热功效，应在机柜上安装散热设备，应在车身合适位置加装散热结构</w:t>
      </w:r>
      <w:r>
        <w:rPr>
          <w:rFonts w:hint="eastAsia" w:ascii="宋体" w:hAnsi="宋体" w:eastAsia="宋体" w:cs="宋体"/>
          <w:sz w:val="24"/>
          <w:szCs w:val="24"/>
          <w:highlight w:val="none"/>
        </w:rPr>
        <w:t xml:space="preserve">。</w:t>
      </w:r>
      <w:r/>
    </w:p>
    <w:p>
      <w:pPr>
        <w:pStyle w:val="1085"/>
        <w:ind w:left="0" w:right="0" w:firstLine="0"/>
        <w:spacing w:before="0" w:beforeAutospacing="0" w:after="0" w:afterAutospacing="0" w:line="360" w:lineRule="auto"/>
        <w:rPr>
          <w:rFonts w:hint="eastAsia" w:ascii="宋体" w:hAnsi="宋体" w:eastAsia="宋体" w:cs="宋体"/>
          <w:b/>
          <w:bCs/>
          <w:sz w:val="24"/>
          <w:szCs w:val="24"/>
          <w:highlight w:val="none"/>
        </w:rPr>
      </w:pPr>
      <w:r>
        <w:rPr>
          <w:rFonts w:hint="eastAsia"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5、视频监控系统</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车内监控系统：在车内安装</w:t>
      </w:r>
      <w:r>
        <w:rPr>
          <w:rFonts w:hint="eastAsia" w:ascii="宋体" w:hAnsi="宋体" w:cs="宋体"/>
          <w:sz w:val="24"/>
          <w:szCs w:val="24"/>
          <w:highlight w:val="none"/>
          <w:lang w:val="en-US" w:eastAsia="zh-CN"/>
        </w:rPr>
        <w:t xml:space="preserve">两台</w:t>
      </w:r>
      <w:r>
        <w:rPr>
          <w:rFonts w:hint="eastAsia" w:ascii="宋体" w:hAnsi="宋体" w:eastAsia="宋体" w:cs="宋体"/>
          <w:sz w:val="24"/>
          <w:szCs w:val="24"/>
          <w:highlight w:val="none"/>
        </w:rPr>
        <w:t xml:space="preserve">摄像机，可监控实验区和工具区的情况；</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车外监控系统：应在车尾和车头两个方向安装摄像头，对周边情况进行监控；车头使用360度云台摄像机；</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显示器：在车内配备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40英寸的4K显示器，用于视频监控和仪器数据展示；</w:t>
      </w:r>
      <w:r/>
    </w:p>
    <w:p>
      <w:pPr>
        <w:pStyle w:val="1084"/>
        <w:numPr>
          <w:ilvl w:val="0"/>
          <w:numId w:val="0"/>
        </w:numPr>
        <w:ind w:left="0" w:firstLine="480"/>
        <w:jc w:val="left"/>
        <w:spacing w:line="360" w:lineRule="auto"/>
        <w:rPr>
          <w:rFonts w:hint="eastAsia" w:ascii="宋体" w:hAnsi="宋体" w:eastAsia="宋体" w:cs="宋体"/>
          <w:sz w:val="24"/>
          <w:szCs w:val="24"/>
          <w:highlight w:val="none"/>
        </w:rPr>
      </w:pPr>
      <w:r>
        <w:rPr>
          <w:rFonts w:hint="default" w:ascii="Times New Roman" w:hAnsi="Times New Roman"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其他影音配置：车辆驾驶区应设置车载导航系统、倒车影像系统和行车记录仪。</w:t>
      </w:r>
      <w:r/>
    </w:p>
    <w:p>
      <w:pPr>
        <w:pStyle w:val="1085"/>
        <w:ind w:left="0" w:right="0" w:firstLine="0"/>
        <w:spacing w:before="0" w:beforeAutospacing="0" w:after="0" w:afterAutospacing="0" w:line="360" w:lineRule="auto"/>
        <w:rPr>
          <w:rFonts w:hint="eastAsia" w:ascii="宋体" w:hAnsi="宋体" w:eastAsia="宋体" w:cs="宋体"/>
          <w:b/>
          <w:bCs/>
          <w:sz w:val="24"/>
          <w:szCs w:val="24"/>
          <w:highlight w:val="none"/>
        </w:rPr>
      </w:pPr>
      <w:r>
        <w:rPr>
          <w:rFonts w:hint="eastAsia"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6、其他要求</w:t>
      </w:r>
      <w:r/>
    </w:p>
    <w:p>
      <w:pPr>
        <w:pStyle w:val="1085"/>
        <w:numPr>
          <w:ilvl w:val="0"/>
          <w:numId w:val="0"/>
        </w:numPr>
        <w:ind w:left="0" w:right="0" w:firstLine="442"/>
        <w:jc w:val="left"/>
        <w:spacing w:before="0" w:beforeAutospacing="0" w:after="0" w:afterAutospacing="0" w:line="360" w:lineRule="auto"/>
        <w:rPr>
          <w:rFonts w:hint="eastAsia" w:ascii="宋体" w:hAnsi="宋体" w:eastAsia="宋体" w:cs="宋体"/>
          <w:sz w:val="24"/>
          <w:szCs w:val="24"/>
          <w:highlight w:val="none"/>
        </w:rPr>
      </w:pPr>
      <w:r>
        <w:rPr>
          <w:rFonts w:hint="eastAsia" w:ascii="Times New Roman" w:hAnsi="Times New Roman" w:cs="宋体"/>
          <w:sz w:val="24"/>
          <w:szCs w:val="24"/>
          <w:highlight w:val="none"/>
          <w:lang w:val="en-US" w:eastAsia="zh-CN" w:bidi="ar-SA"/>
        </w:rPr>
        <w:t xml:space="preserve">1、中标人</w:t>
      </w:r>
      <w:r>
        <w:rPr>
          <w:rFonts w:hint="eastAsia" w:ascii="宋体" w:hAnsi="宋体" w:eastAsia="宋体" w:cs="宋体"/>
          <w:sz w:val="24"/>
          <w:szCs w:val="24"/>
          <w:highlight w:val="none"/>
        </w:rPr>
        <w:t xml:space="preserve">需负责将本项目所有设备安装到所供车辆上</w:t>
      </w:r>
      <w:bookmarkEnd w:id="189"/>
      <w:r/>
      <w:r/>
    </w:p>
    <w:p>
      <w:pPr>
        <w:pStyle w:val="1085"/>
        <w:numPr>
          <w:ilvl w:val="0"/>
          <w:numId w:val="0"/>
        </w:numPr>
        <w:ind w:right="0"/>
        <w:jc w:val="left"/>
        <w:spacing w:before="0" w:beforeAutospacing="0" w:after="0" w:afterAutospacing="0" w:line="360" w:lineRule="auto"/>
        <w:rPr>
          <w:rFonts w:hint="eastAsia" w:ascii="宋体" w:hAnsi="宋体" w:eastAsia="宋体" w:cs="宋体"/>
          <w:b/>
          <w:bCs w:val="0"/>
          <w:sz w:val="24"/>
          <w:szCs w:val="24"/>
          <w:highlight w:val="none"/>
        </w:rPr>
      </w:pPr>
      <w:r>
        <w:rPr>
          <w:rFonts w:hint="eastAsia"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走航技术服务要求</w:t>
      </w:r>
      <w:bookmarkEnd w:id="190"/>
      <w:r>
        <w:rPr>
          <w:rFonts w:hint="eastAsia" w:ascii="宋体" w:hAnsi="宋体" w:eastAsia="宋体" w:cs="宋体"/>
          <w:b/>
          <w:bCs w:val="0"/>
          <w:sz w:val="24"/>
          <w:szCs w:val="24"/>
          <w:highlight w:val="none"/>
        </w:rPr>
        <w:t xml:space="preserve">技术参数及功能指标</w:t>
      </w:r>
      <w:r/>
    </w:p>
    <w:p>
      <w:pPr>
        <w:pStyle w:val="1085"/>
        <w:ind w:right="0" w:firstLine="0"/>
        <w:jc w:val="left"/>
        <w:spacing w:before="0" w:beforeAutospacing="0" w:after="0" w:afterAutospacing="0" w:line="360" w:lineRule="auto"/>
        <w:rPr>
          <w:rFonts w:hint="eastAsia" w:cs="宋体"/>
          <w:b/>
          <w:bCs/>
          <w:color w:val="auto"/>
          <w:sz w:val="24"/>
          <w:szCs w:val="24"/>
        </w:rPr>
      </w:pPr>
      <w:r>
        <w:rPr>
          <w:rFonts w:hint="eastAsia" w:cs="宋体"/>
          <w:b/>
          <w:bCs/>
          <w:color w:val="auto"/>
          <w:sz w:val="24"/>
          <w:szCs w:val="24"/>
        </w:rPr>
        <w:t xml:space="preserve">3.1.人员要求</w:t>
      </w:r>
      <w:r/>
    </w:p>
    <w:p>
      <w:pPr>
        <w:pStyle w:val="1085"/>
        <w:ind w:right="0" w:firstLine="0"/>
        <w:jc w:val="left"/>
        <w:spacing w:before="0" w:beforeAutospacing="0" w:after="0" w:afterAutospacing="0" w:line="360" w:lineRule="auto"/>
        <w:rPr>
          <w:rFonts w:hint="eastAsia" w:cs="宋体"/>
          <w:b/>
          <w:color w:val="auto"/>
          <w:sz w:val="24"/>
          <w:szCs w:val="24"/>
        </w:rPr>
      </w:pPr>
      <w:r>
        <w:rPr>
          <w:rFonts w:hint="eastAsia" w:cs="宋体"/>
          <w:b/>
          <w:color w:val="auto"/>
          <w:sz w:val="24"/>
          <w:szCs w:val="24"/>
        </w:rPr>
        <w:t xml:space="preserve">3.1.1走航工程师</w:t>
      </w:r>
      <w:r/>
    </w:p>
    <w:p>
      <w:pPr>
        <w:ind w:firstLine="482"/>
        <w:spacing w:line="360" w:lineRule="auto"/>
        <w:rPr>
          <w:rFonts w:hint="eastAsia" w:ascii="宋体" w:hAnsi="宋体" w:cs="宋体"/>
          <w:color w:val="auto"/>
          <w:sz w:val="24"/>
          <w:szCs w:val="24"/>
        </w:rPr>
      </w:pPr>
      <w:r>
        <w:rPr>
          <w:rFonts w:hint="eastAsia" w:ascii="宋体" w:hAnsi="宋体" w:cs="宋体"/>
          <w:b/>
          <w:color w:val="auto"/>
          <w:sz w:val="24"/>
          <w:szCs w:val="24"/>
        </w:rPr>
        <w:t xml:space="preserve">1.工作经验要求：</w:t>
      </w:r>
      <w:r>
        <w:rPr>
          <w:rFonts w:hint="eastAsia" w:ascii="宋体" w:hAnsi="宋体" w:cs="宋体"/>
          <w:bCs/>
          <w:color w:val="auto"/>
          <w:sz w:val="24"/>
          <w:szCs w:val="24"/>
        </w:rPr>
        <w:t xml:space="preserve">具有走航监测、报告编制从业经验。</w:t>
      </w:r>
      <w:r/>
    </w:p>
    <w:p>
      <w:pPr>
        <w:ind w:firstLine="480"/>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2.工作内容：</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（1）根据每日走航任务安排，开展走航监测工作并编制走航监测报告，若临时于计划外开展走航监测工作，须在收到任务后一小时内响应；</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（2）对污染高值区域进行排查，锁定污染高值区域，并实时记录并汇报相关污染信息；</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根据采购人要求，协助开展现场执法检查、精准溯源等工作。开展污染源摸排，对重点区域、工地等污染源进行巡查，全面掌握并及时上报扬尘源、移动源、社会生活源等关键污染源存在问题。定期对发现的问题进行回头看，确保整改措施落地。</w:t>
      </w:r>
      <w:r/>
    </w:p>
    <w:p>
      <w:pPr>
        <w:ind w:firstLine="480"/>
        <w:spacing w:line="360"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（4）负责车内监测设备的运行维护，故障报修等工作</w:t>
      </w:r>
      <w:r>
        <w:rPr>
          <w:rFonts w:hint="eastAsia" w:ascii="宋体" w:hAnsi="宋体" w:cs="宋体"/>
          <w:bCs/>
          <w:color w:val="auto"/>
          <w:sz w:val="24"/>
          <w:szCs w:val="24"/>
          <w:lang w:eastAsia="zh-CN"/>
        </w:rPr>
        <w:t xml:space="preserve">。</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（5）做好走航监测传帮带工作，协助采购人全方位掌握走航监测仪器设备使用；</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（6）提前做好每日走航路线规划，依据污染变化情况及采购人近期工作重点拟定各工作阶段走航方案；</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（7）负责每日走航监测的审核及发布工作，按时将前一日走航监测报告发送至采购人指定联络人；</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（8）负责编制技术分析报告，对历史走航监测数据开展成因分析、区域污染变化分析，结合气象条件、污染源分布情况、改善情况，协助采购人开展阶段性空气质量形势综合分析研判；</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3.1.2走航车运维人员</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工作内容：辅助走航工程师及驻场工程师开展相关走航及数据工作。负责走航车辆驾驶、运行维护等工作。具体工作内容见走航运维要求。</w:t>
      </w:r>
      <w:r/>
    </w:p>
    <w:p>
      <w:pPr>
        <w:pStyle w:val="763"/>
        <w:numPr>
          <w:ilvl w:val="2"/>
          <w:numId w:val="0"/>
        </w:numPr>
        <w:spacing w:before="0"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3.2.车辆运维要求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（1）保证车辆的安全性，及时上报和处理违章及交通事故。</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（2）定期进行车辆的日常清洁，保持车辆外观、内部整洁。</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（3）定期进行车辆维护、保养工作，保持车况良好，留存保养记录单。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（4）坚持行车安全检查，每次行车前检查车辆，发现问题及时排除，确保车辆运行。</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（5）每次出车任务返回，需形成行车记录，简要汇报出车情况。</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3.3、监测设备运维要求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（1）负责车载走航系统维护，主要工作须包括仪器的日常维护与运营日志记录等，保证走航观测系统的正常运行，在设备发生严重故障时及时赶赴现场进行维修；</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车载走航系统的日常保养。定期查看仪器的运行状况，及时汇报重大事故或仪器严重故障的情况。定期巡检与日常维护内容主要包括仪器校准、车辆运行状况检查、标气等耗材检查、GPS导航天线检查、UPS锂电池或取力发电机检查、车内运行温度检查、停车地点选择与人员防护注意事项等；</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（3）维护内容。提供非人为原因造成的故障部件的更换，常用备件耗材的更换，软件升级，仪器的清洁、调整、润滑、检验和测试等检修保养服务，以保证仪器的正常运行。</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（4）车载挥发性有机物监测系统具体服务内容如下：</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1次/天进行仪器电路及其通讯口连接检查（包括检查通讯口连接是否牢固、连接是否通畅等）；</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1次/天查看仪器采集软件、分析软件运行是否正常。检查仪器是否有异常报警，数据传输是否正常；</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1次/周标准气瓶、减压阀及其气路连接漏气检查（包括检查标准气瓶是否过期、减压阀是否正常等）；</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1次/月采样管路检查（包括气密性、管路是否污染、是否结露、采样泵工作是否正常等）；</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1次/月清洁采样管路，反吹维护；</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1次/月仪器校准（标准曲线制作，质控样标定等），每周对设备进行一次单点校准，每月对设备进行一次多点校准，使用标准物质为：PAMS、TO14、苯、有机硫，标准物质应符合相关规范要求；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1次/季度仪器性能检查（包括仪器采样流量、仪器数据准确度、灵敏度，稳定性，仪器内部温度、电源电压；系统光路光斑、激光能量检查等）；</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1次/半年进样膜、紫外灯离子源组件检查，不满足工作状态需要定期更换；</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1次/年预防性维护，对系统进行检查与清洁，更换必要的耗材与配件，真空期清洗维护。</w:t>
      </w:r>
      <w:r/>
    </w:p>
    <w:p>
      <w:pPr>
        <w:pStyle w:val="784"/>
        <w:ind w:firstLine="480"/>
        <w:spacing w:line="360" w:lineRule="auto"/>
        <w:tabs>
          <w:tab w:val="center" w:pos="4153" w:leader="none"/>
          <w:tab w:val="clear" w:pos="7143" w:leader="none"/>
          <w:tab w:val="right" w:pos="8306" w:leader="none"/>
          <w:tab w:val="clear" w:pos="14287" w:leader="none"/>
        </w:tabs>
        <w:rPr>
          <w:rFonts w:hint="eastAsia" w:ascii="宋体" w:hAnsi="宋体" w:cs="宋体"/>
          <w:bCs/>
          <w:color w:val="auto"/>
          <w:sz w:val="24"/>
          <w:szCs w:val="24"/>
        </w:rPr>
      </w:pPr>
      <w:r>
        <w:rPr>
          <w:rFonts w:hint="eastAsia" w:ascii="宋体" w:hAnsi="宋体" w:cs="宋体"/>
          <w:bCs/>
          <w:color w:val="auto"/>
          <w:sz w:val="24"/>
          <w:szCs w:val="24"/>
        </w:rPr>
        <w:t xml:space="preserve">（5）颗粒物激光雷达具体服务内容如下：</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次/天远程查看仪器性能状态，确保仪器正常运行时间；现场查看监测车内外环境检查（包括清洁监测车内外环境、监测车是否安全牢固、是否漏水等）；现场查看监测车供电电源检查（包括总电源开关、电表、供电电压、防感应雷部件等）；现场查看仪器电路及其通讯口连接检查（包括检查通讯口连接是否牢固、连接是否通畅等）、查看仪器采集软件、分析软件运行是否正常、检查仪器GPS信号、数据传输是否正常；</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1次/周检查设备固定是否牢靠，检查激光光路，确保设备不出现偏光现象；</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1次/月对仪器进行维护校准，包括粒径校准及质量校准，保证仪器准确运行，并提交仪器校准报告；</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1次/季度进行仪器维护、检测，按照《日常维护检查项目》表进行维护检测，并填写仪器日常维护巡检表；提交一次维护报告，包含远程查看、例行检查、质控检查、例行维护记录和维修情况（如有）等。</w:t>
      </w:r>
      <w:r/>
    </w:p>
    <w:p>
      <w:pPr>
        <w:pStyle w:val="784"/>
        <w:ind w:firstLine="480"/>
        <w:spacing w:line="360" w:lineRule="auto"/>
        <w:tabs>
          <w:tab w:val="center" w:pos="4153" w:leader="none"/>
          <w:tab w:val="clear" w:pos="7143" w:leader="none"/>
          <w:tab w:val="right" w:pos="8306" w:leader="none"/>
          <w:tab w:val="clear" w:pos="14287" w:leader="none"/>
        </w:tabs>
        <w:rPr>
          <w:rFonts w:hint="eastAsia" w:ascii="宋体" w:hAnsi="宋体" w:cs="宋体"/>
          <w:bCs/>
          <w:color w:val="auto"/>
          <w:sz w:val="24"/>
          <w:szCs w:val="24"/>
        </w:rPr>
      </w:pPr>
      <w:r>
        <w:rPr>
          <w:rFonts w:hint="eastAsia" w:ascii="宋体" w:hAnsi="宋体" w:cs="宋体"/>
          <w:bCs/>
          <w:color w:val="auto"/>
          <w:sz w:val="24"/>
          <w:szCs w:val="24"/>
        </w:rPr>
        <w:t xml:space="preserve">（6）道路积尘负荷监测仪具体服务内容如下：</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日常维护项目要求：每次采样前检查</w:t>
      </w:r>
      <w:r>
        <w:rPr>
          <w:rFonts w:hint="eastAsia" w:ascii="宋体" w:hAnsi="宋体" w:cs="宋体"/>
          <w:color w:val="auto"/>
          <w:sz w:val="24"/>
          <w:szCs w:val="24"/>
        </w:rPr>
        <w:t xml:space="preserve">仪器电路及其通讯口连接检查，提前一天充满电</w:t>
      </w:r>
      <w:r>
        <w:rPr>
          <w:rFonts w:hint="eastAsia" w:ascii="宋体" w:hAnsi="宋体" w:cs="宋体"/>
          <w:bCs/>
          <w:color w:val="auto"/>
          <w:sz w:val="24"/>
          <w:szCs w:val="24"/>
        </w:rPr>
        <w:t xml:space="preserve">；采样时</w:t>
      </w:r>
      <w:r>
        <w:rPr>
          <w:rFonts w:hint="eastAsia" w:ascii="宋体" w:hAnsi="宋体" w:cs="宋体"/>
          <w:color w:val="auto"/>
          <w:sz w:val="24"/>
          <w:szCs w:val="24"/>
        </w:rPr>
        <w:t xml:space="preserve">遇到有水路面，切勿运行设备；遇到减速带、低洼地带，谨慎通过，避免损伤进气组件；采样后将本底采样装置放回车内，避免进水；</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1次/周清理进气管路、清理过滤组件、清理缓冲仓组件、清理缓冲仓内积尘；</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异常数据的审核与检验要求：对监测数据异常值进行分析，查明原因，如属于数据正常或仪器故障，并以表格或者纸质打印格式处理并上报；</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质量控制资料整理要求：各种技术与质量文件均保持现行有效，可根据管理需要进行调整或修订，巡检记录、维修记录、日常检查等质量保证与质量控制记录按要求进行填写，每季度进行整理归档，更换下来的耗材与备件保留备查。</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（7）便携式常规七参数监测仪具体服务内容如下：</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每次开机前须进行校准；每年定期返厂检查维修，并做好相关的维修记录。</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8）备品备件、耗材、标气。要求投标人提供走航车及配套仪器的备品备件，至少包含如下内容：挥发性有机物监测仪：紫外灯、PDMS膜、微通道板、金属过滤器组件等；颗粒物激光雷达：微孔光阑、OLED液晶屏单元等；耗材须至少包括：标气、特氟龙进样滤膜（直径 5 微米）；</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9）车载走航系统的运行日志。建立车载走航系统使用与维护保养记录，检查记录系统各部件的运行情况，发生故障提供分析报告。运行日志的内容包括飞行时间质谱仪的运行状态、工作环境、异常情况、记录时间、记录人和负责人等；</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（10）供应商须提供 7*24小时故障受理服务。在接到申告电话后，保证在1小时内对采购人所提出的维修要求做出实质性反应，及时解决系统运行中的问题，保证在24个小时内予以解决；</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（11）当故障处理完毕后，供应商须做详细故障记录，并在三个工作日内向采购人提供书面故障报告。</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3.4.走航工作要求</w:t>
      </w:r>
      <w:r/>
    </w:p>
    <w:p>
      <w:pPr>
        <w:ind w:firstLine="480"/>
        <w:spacing w:line="360" w:lineRule="auto"/>
        <w:rPr>
          <w:rFonts w:hint="eastAsia" w:ascii="宋体" w:hAnsi="宋体" w:cs="宋体"/>
          <w:b/>
          <w:color w:val="auto"/>
          <w:sz w:val="24"/>
          <w:szCs w:val="24"/>
        </w:rPr>
      </w:pPr>
      <w:r>
        <w:rPr>
          <w:rFonts w:hint="eastAsia" w:ascii="宋体" w:hAnsi="宋体" w:cs="宋体"/>
          <w:bCs/>
          <w:color w:val="auto"/>
          <w:sz w:val="24"/>
          <w:szCs w:val="24"/>
        </w:rPr>
        <w:t xml:space="preserve">（1</w:t>
      </w:r>
      <w:r>
        <w:rPr>
          <w:rFonts w:hint="eastAsia" w:ascii="宋体" w:hAnsi="宋体" w:cs="宋体"/>
          <w:color w:val="auto"/>
          <w:sz w:val="24"/>
          <w:szCs w:val="24"/>
        </w:rPr>
        <w:t xml:space="preserve">）走航频次：按照采购人要求开展走航监测。</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根据驻场工程师安排的工作计划，开展走航监测工作。每天走航高值第一时间传递给采购人，内容包括：针对走航监测系统获得的异常报警信息，结合风向信息，开展疑似污染源绕厂走航监测，并协助执法人员进一步溯源。走航工程师对报警点位周边进行现场排查，并将现场照片及巡检结果及时上报采购人，督促相关部门及责任人及时对现场情况进行处理，降低其对周边环境的影响。对排查出的问题点位进行复查，复查情况及时上报采购人。</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3.5.走航报告要求</w:t>
      </w:r>
      <w:r/>
    </w:p>
    <w:p>
      <w:pPr>
        <w:ind w:firstLine="480"/>
        <w:spacing w:line="360" w:lineRule="auto"/>
        <w:rPr>
          <w:rFonts w:hint="eastAsia" w:ascii="宋体" w:hAnsi="宋体" w:cs="宋体"/>
          <w:bCs/>
          <w:color w:val="auto"/>
          <w:sz w:val="24"/>
          <w:szCs w:val="24"/>
        </w:rPr>
      </w:pPr>
      <w:r>
        <w:rPr>
          <w:rFonts w:hint="eastAsia" w:ascii="宋体" w:hAnsi="宋体" w:cs="宋体"/>
          <w:b/>
          <w:bCs/>
          <w:color w:val="auto"/>
          <w:sz w:val="24"/>
          <w:szCs w:val="24"/>
        </w:rPr>
        <w:t xml:space="preserve">（1）报告时效性</w:t>
      </w:r>
      <w:r>
        <w:rPr>
          <w:rFonts w:hint="eastAsia" w:ascii="宋体" w:hAnsi="宋体" w:cs="宋体"/>
          <w:color w:val="auto"/>
          <w:sz w:val="24"/>
          <w:szCs w:val="24"/>
        </w:rPr>
        <w:t xml:space="preserve">：</w:t>
      </w:r>
      <w:r>
        <w:rPr>
          <w:rFonts w:hint="eastAsia" w:ascii="宋体" w:hAnsi="宋体" w:cs="宋体"/>
          <w:bCs/>
          <w:color w:val="auto"/>
          <w:sz w:val="24"/>
          <w:szCs w:val="24"/>
        </w:rPr>
        <w:t xml:space="preserve">按时将前一日报告发送至采购人项目负责人，应急走航监测根据采购人需求，供应商须在走航结束后2小时内出具走航监测简报；</w:t>
      </w:r>
      <w:r/>
    </w:p>
    <w:p>
      <w:pPr>
        <w:ind w:firstLine="480"/>
        <w:spacing w:line="360" w:lineRule="auto"/>
        <w:rPr>
          <w:rFonts w:hint="eastAsia" w:ascii="宋体" w:hAnsi="宋体" w:cs="宋体"/>
          <w:bCs/>
          <w:color w:val="auto"/>
          <w:sz w:val="24"/>
          <w:szCs w:val="24"/>
        </w:rPr>
      </w:pPr>
      <w:r>
        <w:rPr>
          <w:rFonts w:hint="eastAsia" w:ascii="宋体" w:hAnsi="宋体" w:cs="宋体"/>
          <w:b/>
          <w:bCs/>
          <w:color w:val="auto"/>
          <w:sz w:val="24"/>
          <w:szCs w:val="24"/>
        </w:rPr>
        <w:t xml:space="preserve">（2）VOCs走航监测报告：</w:t>
      </w:r>
      <w:r>
        <w:rPr>
          <w:rFonts w:hint="eastAsia" w:ascii="宋体" w:hAnsi="宋体" w:cs="宋体"/>
          <w:color w:val="auto"/>
          <w:sz w:val="24"/>
          <w:szCs w:val="24"/>
        </w:rPr>
        <w:t xml:space="preserve">内容须包含走航概况分析、TVOC空间分布分析、特征污染物种分析、异常高值分析</w:t>
      </w:r>
      <w:r>
        <w:rPr>
          <w:rFonts w:hint="eastAsia" w:ascii="宋体" w:hAnsi="宋体" w:cs="宋体"/>
          <w:bCs/>
          <w:color w:val="auto"/>
          <w:sz w:val="24"/>
          <w:szCs w:val="24"/>
        </w:rPr>
        <w:t xml:space="preserve">等。</w:t>
      </w:r>
      <w:r>
        <w:rPr>
          <w:rFonts w:hint="eastAsia" w:ascii="宋体" w:hAnsi="宋体" w:cs="宋体"/>
          <w:color w:val="auto"/>
          <w:sz w:val="24"/>
          <w:szCs w:val="24"/>
        </w:rPr>
        <w:t xml:space="preserve">内容须至少包含如下部分：</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1.VOCs走航概括分析：包括走航时间、地点、气象情况、整体浓度水平、峰值浓度水平、区域内主要污染因子；</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2.TVOC空间分布：包括各区域内VOCs浓度水平分析；</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3.特征污染物种分析</w:t>
      </w:r>
      <w:r>
        <w:rPr>
          <w:rFonts w:hint="eastAsia" w:ascii="宋体" w:hAnsi="宋体" w:cs="宋体"/>
          <w:bCs/>
          <w:color w:val="auto"/>
          <w:sz w:val="24"/>
          <w:szCs w:val="24"/>
        </w:rPr>
        <w:t xml:space="preserve">：结合各类型类源占比情况，说清区域内特征污染物对应污染源类型，初步判断污染原因；</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4.异常高值分析：针对发现的异常高值点位</w:t>
      </w:r>
      <w:r>
        <w:rPr>
          <w:rFonts w:hint="eastAsia" w:ascii="宋体" w:hAnsi="宋体" w:cs="宋体"/>
          <w:bCs/>
          <w:color w:val="auto"/>
          <w:sz w:val="24"/>
          <w:szCs w:val="24"/>
        </w:rPr>
        <w:t xml:space="preserve">，结合现场排查的企业污染信息，锁定污染源头，并对污染源的污染时间、污染因子、污染区域开展重点分析；</w:t>
      </w:r>
      <w:r/>
    </w:p>
    <w:p>
      <w:pPr>
        <w:ind w:firstLine="48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（3）颗粒物走航监测报告：</w:t>
      </w:r>
      <w:r>
        <w:rPr>
          <w:rFonts w:hint="eastAsia" w:ascii="宋体" w:hAnsi="宋体" w:cs="宋体"/>
          <w:color w:val="auto"/>
          <w:sz w:val="24"/>
          <w:szCs w:val="24"/>
        </w:rPr>
        <w:t xml:space="preserve">内容须包含颗粒物走航概况分析、颗粒物空间分布分析、雷达监测结果分析、异常高值分析</w:t>
      </w:r>
      <w:r>
        <w:rPr>
          <w:rFonts w:hint="eastAsia" w:ascii="宋体" w:hAnsi="宋体" w:cs="宋体"/>
          <w:bCs/>
          <w:color w:val="auto"/>
          <w:sz w:val="24"/>
          <w:szCs w:val="24"/>
        </w:rPr>
        <w:t xml:space="preserve">等</w:t>
      </w:r>
      <w:r>
        <w:rPr>
          <w:rFonts w:hint="eastAsia" w:ascii="宋体" w:hAnsi="宋体" w:cs="宋体"/>
          <w:color w:val="auto"/>
          <w:sz w:val="24"/>
          <w:szCs w:val="24"/>
        </w:rPr>
        <w:t xml:space="preserve">。内容须至少包含如下部分：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1.颗粒物走航概括分析：包括走航时间、地点、气象情况、整体浓度水平、峰值浓度水平；</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2.颗粒物空间分布：对监测点位周边颗粒物分布情况作简要分析；</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3.雷达监测结果分析：包含消光、退偏比等分析；</w:t>
      </w: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4.异常高值分析：针对发现的异常高值点位</w:t>
      </w:r>
      <w:r>
        <w:rPr>
          <w:rFonts w:hint="eastAsia" w:ascii="宋体" w:hAnsi="宋体" w:cs="宋体"/>
          <w:bCs/>
          <w:color w:val="auto"/>
          <w:sz w:val="24"/>
          <w:szCs w:val="24"/>
        </w:rPr>
        <w:t xml:space="preserve">，结合现场排查的企业污染信息，锁定污染源头，并对污染源的污染时间、污染因子、污染区域开展重点分析；</w:t>
      </w:r>
      <w:r/>
    </w:p>
    <w:p>
      <w:pPr>
        <w:ind w:firstLine="48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（4）便携式常规七参数监测仪监测报告：</w:t>
      </w:r>
      <w:r>
        <w:rPr>
          <w:rFonts w:hint="eastAsia" w:ascii="宋体" w:hAnsi="宋体" w:cs="宋体"/>
          <w:color w:val="auto"/>
          <w:sz w:val="24"/>
          <w:szCs w:val="24"/>
        </w:rPr>
        <w:t xml:space="preserve">内容须包含七参数走航概况分析、污染物空间分布分析、异常高值分析</w:t>
      </w:r>
      <w:r>
        <w:rPr>
          <w:rFonts w:hint="eastAsia" w:ascii="宋体" w:hAnsi="宋体" w:cs="宋体"/>
          <w:bCs/>
          <w:color w:val="auto"/>
          <w:sz w:val="24"/>
          <w:szCs w:val="24"/>
        </w:rPr>
        <w:t xml:space="preserve">等</w:t>
      </w:r>
      <w:r>
        <w:rPr>
          <w:rFonts w:hint="eastAsia" w:ascii="宋体" w:hAnsi="宋体" w:cs="宋体"/>
          <w:color w:val="auto"/>
          <w:sz w:val="24"/>
          <w:szCs w:val="24"/>
        </w:rPr>
        <w:t xml:space="preserve">。内容须至少包含如下部分：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1.七参数走航概括分析：包括走航时间、地点、气象情况、各项参数整体浓度水平、峰值浓度水平；</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2.污染物空间分布：对区域内各项大气六参数空间分布情况进行分析，结合气象信息及周边大气标准站监测信息，判断传输方向；</w:t>
      </w:r>
      <w:r/>
    </w:p>
    <w:p>
      <w:pPr>
        <w:ind w:firstLine="48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（5）道路积尘负荷分析：</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1.对监测数据异常值进行分析，查明原因，如属于数据异常或仪器故障，并以表格或者纸质打印格式处理并上报。</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2.负责提供道路积尘监测数据次、月、季度、半年、年度数据分析报告；</w:t>
      </w:r>
      <w:r/>
    </w:p>
    <w:p>
      <w:pPr>
        <w:ind w:firstLine="48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（6）结合走航监测数据，协助采购人开展各类型专项分析工作；</w:t>
      </w:r>
      <w:r/>
    </w:p>
    <w:p>
      <w:pPr>
        <w:ind w:firstLine="480"/>
        <w:spacing w:line="360" w:lineRule="auto"/>
        <w:rPr>
          <w:rFonts w:hint="eastAsia" w:ascii="宋体" w:hAnsi="宋体" w:cs="宋体"/>
          <w:bCs/>
          <w:color w:val="auto"/>
          <w:sz w:val="24"/>
          <w:szCs w:val="24"/>
        </w:rPr>
      </w:pPr>
      <w:r>
        <w:rPr>
          <w:rFonts w:hint="eastAsia" w:ascii="宋体" w:hAnsi="宋体" w:cs="宋体"/>
          <w:b/>
          <w:bCs/>
          <w:color w:val="auto"/>
          <w:sz w:val="24"/>
          <w:szCs w:val="24"/>
        </w:rPr>
        <w:t xml:space="preserve">（7）</w:t>
      </w:r>
      <w:r>
        <w:rPr>
          <w:rFonts w:hint="eastAsia" w:ascii="宋体" w:hAnsi="宋体" w:cs="宋体"/>
          <w:bCs/>
          <w:color w:val="auto"/>
          <w:sz w:val="24"/>
          <w:szCs w:val="24"/>
        </w:rPr>
        <w:t xml:space="preserve">采购人若对走航报告存有疑问，须第一时间核实问题并将结果反馈至采购人，并根据采购人要求修改、完善走航报告。</w:t>
      </w:r>
      <w:r/>
    </w:p>
    <w:p>
      <w:pPr>
        <w:spacing w:line="360" w:lineRule="auto"/>
        <w:rPr>
          <w:rFonts w:hint="eastAsia" w:ascii="宋体" w:hAnsi="宋体" w:cs="宋体"/>
          <w:bCs/>
          <w:color w:val="auto"/>
          <w:sz w:val="24"/>
          <w:szCs w:val="24"/>
        </w:rPr>
      </w:pPr>
      <w:r>
        <w:rPr>
          <w:rFonts w:hint="eastAsia" w:ascii="宋体" w:hAnsi="宋体" w:cs="宋体"/>
          <w:b/>
          <w:color w:val="auto"/>
          <w:sz w:val="24"/>
          <w:szCs w:val="24"/>
        </w:rPr>
        <w:t xml:space="preserve">3.6、</w:t>
      </w:r>
      <w:r>
        <w:rPr>
          <w:rFonts w:hint="eastAsia" w:ascii="宋体" w:hAnsi="宋体" w:cs="宋体"/>
          <w:bCs/>
          <w:color w:val="auto"/>
          <w:sz w:val="24"/>
          <w:szCs w:val="24"/>
        </w:rPr>
        <w:t xml:space="preserve">其他要求：对于走航设备无法监测到的特殊挥发性有机物，中标人需使用苏码罐采集，送至实验室检测分析。确保走航服务正常运行。</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4、驻场数据分析工程师服务要求</w:t>
      </w:r>
      <w:r/>
    </w:p>
    <w:p>
      <w:pPr>
        <w:ind w:firstLine="482"/>
        <w:spacing w:line="360" w:lineRule="auto"/>
        <w:rPr>
          <w:rFonts w:hint="eastAsia" w:ascii="宋体" w:hAnsi="宋体" w:cs="宋体"/>
          <w:b/>
          <w:bCs/>
          <w:color w:val="auto"/>
          <w:sz w:val="24"/>
          <w:szCs w:val="24"/>
        </w:rPr>
      </w:pPr>
      <w:r>
        <w:rPr>
          <w:rFonts w:hint="eastAsia" w:ascii="宋体" w:hAnsi="宋体" w:cs="宋体"/>
          <w:b/>
          <w:color w:val="auto"/>
          <w:sz w:val="24"/>
          <w:szCs w:val="24"/>
        </w:rPr>
        <w:t xml:space="preserve">1.工作经验要求：</w:t>
      </w:r>
      <w:r>
        <w:rPr>
          <w:rFonts w:hint="eastAsia" w:ascii="宋体" w:hAnsi="宋体" w:cs="宋体"/>
          <w:bCs/>
          <w:color w:val="auto"/>
          <w:sz w:val="24"/>
          <w:szCs w:val="24"/>
        </w:rPr>
        <w:t xml:space="preserve">具有预报预测、报告编制从业经验。</w:t>
      </w:r>
      <w:r/>
    </w:p>
    <w:p>
      <w:pPr>
        <w:ind w:firstLine="482"/>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2.工作内容：</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（1）开展预报预警和分析会商。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每周提供未来一周空气质量预报，针对预报可能到来的污染，提前发布预警信息。污染过程中，加密开展临近预报预测，结合省控站、乡镇站、污染源在线监测数据、气象数据，滚动更新临近预报，研判污染态势，并提出管控建议意见。</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（2）实时监控数据，做好高值播报和简析</w:t>
      </w:r>
      <w:r/>
    </w:p>
    <w:p>
      <w:pPr>
        <w:ind w:firstLine="480"/>
        <w:spacing w:line="360" w:lineRule="auto"/>
        <w:rPr>
          <w:rFonts w:hint="eastAsia" w:ascii="宋体" w:hAnsi="宋体" w:cs="宋体"/>
          <w:bCs/>
          <w:color w:val="auto"/>
          <w:sz w:val="24"/>
          <w:szCs w:val="24"/>
        </w:rPr>
      </w:pPr>
      <w:r>
        <w:rPr>
          <w:rFonts w:ascii="宋体" w:hAnsi="宋体" w:cs="宋体"/>
          <w:bCs/>
          <w:color w:val="auto"/>
          <w:sz w:val="24"/>
          <w:szCs w:val="24"/>
        </w:rPr>
        <w:t xml:space="preserve">基于</w:t>
      </w:r>
      <w:r>
        <w:rPr>
          <w:rFonts w:hint="eastAsia" w:ascii="宋体" w:hAnsi="宋体" w:cs="宋体"/>
          <w:bCs/>
          <w:color w:val="auto"/>
          <w:sz w:val="24"/>
          <w:szCs w:val="24"/>
        </w:rPr>
        <w:t xml:space="preserve">本地</w:t>
      </w:r>
      <w:r>
        <w:rPr>
          <w:rFonts w:ascii="宋体" w:hAnsi="宋体" w:cs="宋体"/>
          <w:bCs/>
          <w:color w:val="auto"/>
          <w:sz w:val="24"/>
          <w:szCs w:val="24"/>
        </w:rPr>
        <w:t xml:space="preserve">空气质量</w:t>
      </w:r>
      <w:r>
        <w:rPr>
          <w:rFonts w:hint="eastAsia" w:ascii="宋体" w:hAnsi="宋体" w:cs="宋体"/>
          <w:bCs/>
          <w:color w:val="auto"/>
          <w:sz w:val="24"/>
          <w:szCs w:val="24"/>
        </w:rPr>
        <w:t xml:space="preserve">考核</w:t>
      </w:r>
      <w:r>
        <w:rPr>
          <w:rFonts w:ascii="宋体" w:hAnsi="宋体" w:cs="宋体"/>
          <w:bCs/>
          <w:color w:val="auto"/>
          <w:sz w:val="24"/>
          <w:szCs w:val="24"/>
        </w:rPr>
        <w:t xml:space="preserve">监测数据信息，对当日空气质量情况、污染物浓度、</w:t>
      </w:r>
      <w:r>
        <w:rPr>
          <w:rFonts w:hint="eastAsia" w:ascii="宋体" w:hAnsi="宋体" w:cs="宋体"/>
          <w:bCs/>
          <w:color w:val="auto"/>
          <w:sz w:val="24"/>
          <w:szCs w:val="24"/>
        </w:rPr>
        <w:t xml:space="preserve">目标余量</w:t>
      </w:r>
      <w:r>
        <w:rPr>
          <w:rFonts w:ascii="宋体" w:hAnsi="宋体" w:cs="宋体"/>
          <w:bCs/>
          <w:color w:val="auto"/>
          <w:sz w:val="24"/>
          <w:szCs w:val="24"/>
        </w:rPr>
        <w:t xml:space="preserve">等内容进行推送</w:t>
      </w:r>
      <w:r>
        <w:rPr>
          <w:rFonts w:hint="eastAsia" w:ascii="宋体" w:hAnsi="宋体" w:cs="宋体"/>
          <w:bCs/>
          <w:color w:val="auto"/>
          <w:sz w:val="24"/>
          <w:szCs w:val="24"/>
        </w:rPr>
        <w:t xml:space="preserve">。对空气质量监测数据进行监控、分析，结合现有的网格化数据、乡镇站、省控点数据进行综合分析研判，及时发现点位数据缺数、突高情况，快速分析各污染物时间和空间分布特点，掌握各污染物的变化规律，快速、准确的分析污染状况及分布特点。</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（3）开展污染成因综合分析</w:t>
      </w:r>
      <w:r>
        <w:rPr>
          <w:rFonts w:ascii="宋体" w:hAnsi="宋体" w:cs="宋体"/>
          <w:bCs/>
          <w:color w:val="auto"/>
          <w:sz w:val="24"/>
          <w:szCs w:val="24"/>
        </w:rPr>
        <w:t xml:space="preserve"> </w:t>
      </w:r>
      <w:r/>
    </w:p>
    <w:p>
      <w:pPr>
        <w:ind w:firstLine="480"/>
        <w:spacing w:line="360" w:lineRule="auto"/>
        <w:rPr>
          <w:rFonts w:hint="eastAsia" w:ascii="宋体" w:hAnsi="宋体" w:cs="宋体"/>
          <w:bCs/>
          <w:color w:val="auto"/>
          <w:sz w:val="24"/>
          <w:szCs w:val="24"/>
        </w:rPr>
      </w:pPr>
      <w:r>
        <w:rPr>
          <w:rFonts w:ascii="宋体" w:hAnsi="宋体" w:cs="宋体"/>
          <w:bCs/>
          <w:color w:val="auto"/>
          <w:sz w:val="24"/>
          <w:szCs w:val="24"/>
        </w:rPr>
        <w:t xml:space="preserve">在大气污染过程应对期间</w:t>
      </w:r>
      <w:r>
        <w:rPr>
          <w:rFonts w:hint="eastAsia" w:ascii="宋体" w:hAnsi="宋体" w:cs="宋体"/>
          <w:bCs/>
          <w:color w:val="auto"/>
          <w:sz w:val="24"/>
          <w:szCs w:val="24"/>
        </w:rPr>
        <w:t xml:space="preserve">结合监测数据、微站数据等已有监测体系对城市空气质量进行分析和研判</w:t>
      </w:r>
      <w:r>
        <w:rPr>
          <w:rFonts w:ascii="宋体" w:hAnsi="宋体" w:cs="宋体"/>
          <w:bCs/>
          <w:color w:val="auto"/>
          <w:sz w:val="24"/>
          <w:szCs w:val="24"/>
        </w:rPr>
        <w:t xml:space="preserve">，跟踪解读污染过程，分析导致污染的成因，提出针对性管控建议，包括重点源、重点区域、重点方向，及时开展研判和应急排查，为实现精细化管理提供技术支撑。</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数据分析报告</w:t>
      </w:r>
      <w:r/>
    </w:p>
    <w:p>
      <w:pPr>
        <w:ind w:firstLine="480"/>
        <w:spacing w:line="360" w:lineRule="auto"/>
        <w:rPr>
          <w:rFonts w:hint="eastAsia" w:ascii="宋体" w:hAnsi="宋体"/>
          <w:color w:val="auto"/>
          <w:sz w:val="24"/>
          <w:szCs w:val="24"/>
        </w:rPr>
      </w:pPr>
      <w:r>
        <w:rPr>
          <w:rFonts w:ascii="宋体" w:hAnsi="宋体"/>
          <w:color w:val="auto"/>
          <w:sz w:val="24"/>
          <w:szCs w:val="24"/>
        </w:rPr>
        <w:t xml:space="preserve">提供空气质量月报、总结分析报告以及污染专项分析报告撰写。通过对前一月、污染过程以及近期存在的典型问题进行及时的分析和总结，并结合现场巡查情况，</w:t>
      </w:r>
      <w:r>
        <w:rPr>
          <w:rFonts w:hint="eastAsia" w:ascii="宋体" w:hAnsi="宋体"/>
          <w:color w:val="auto"/>
          <w:sz w:val="24"/>
          <w:szCs w:val="24"/>
        </w:rPr>
        <w:t xml:space="preserve">找到关键问题</w:t>
      </w:r>
      <w:r>
        <w:rPr>
          <w:rFonts w:ascii="宋体" w:hAnsi="宋体"/>
          <w:color w:val="auto"/>
          <w:sz w:val="24"/>
          <w:szCs w:val="24"/>
        </w:rPr>
        <w:t xml:space="preserve">，提出科学性、可行性强的管控建议。通过对历史数据分析、区域排名变化分析，结合气象条件、污染源分布情况，对阶段性空气质量形势开展综合分析，</w:t>
      </w:r>
      <w:r>
        <w:rPr>
          <w:rFonts w:hint="eastAsia" w:ascii="宋体" w:hAnsi="宋体"/>
          <w:color w:val="auto"/>
          <w:sz w:val="24"/>
          <w:szCs w:val="24"/>
        </w:rPr>
        <w:t xml:space="preserve">提供专业化</w:t>
      </w:r>
      <w:r>
        <w:rPr>
          <w:rFonts w:ascii="宋体" w:hAnsi="宋体"/>
          <w:color w:val="auto"/>
          <w:sz w:val="24"/>
          <w:szCs w:val="24"/>
        </w:rPr>
        <w:t xml:space="preserve">空气质量月报和专项分析</w:t>
      </w:r>
      <w:r>
        <w:rPr>
          <w:rFonts w:hint="eastAsia" w:ascii="宋体" w:hAnsi="宋体"/>
          <w:color w:val="auto"/>
          <w:sz w:val="24"/>
          <w:szCs w:val="24"/>
        </w:rPr>
        <w:t xml:space="preserve">报告等</w:t>
      </w:r>
      <w:r>
        <w:rPr>
          <w:rFonts w:ascii="宋体" w:hAnsi="宋体"/>
          <w:color w:val="auto"/>
          <w:sz w:val="24"/>
          <w:szCs w:val="24"/>
        </w:rPr>
        <w:t xml:space="preserve">。</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5、</w:t>
      </w:r>
      <w:r>
        <w:rPr>
          <w:rFonts w:hint="eastAsia" w:ascii="宋体" w:hAnsi="宋体" w:cs="宋体"/>
          <w:b/>
          <w:color w:val="auto"/>
          <w:sz w:val="24"/>
          <w:szCs w:val="24"/>
        </w:rPr>
        <w:t xml:space="preserve">大气污染物源解析服务技术参数及功能指标</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获得细颗粒物（PM</w:t>
      </w:r>
      <w:r>
        <w:rPr>
          <w:rFonts w:hint="eastAsia" w:ascii="宋体" w:hAnsi="宋体" w:cs="宋体"/>
          <w:bCs/>
          <w:color w:val="auto"/>
          <w:sz w:val="24"/>
          <w:szCs w:val="24"/>
          <w:vertAlign w:val="subscript"/>
        </w:rPr>
        <w:t xml:space="preserve">2.5</w:t>
      </w:r>
      <w:r>
        <w:rPr>
          <w:rFonts w:hint="eastAsia" w:ascii="宋体" w:hAnsi="宋体" w:cs="宋体"/>
          <w:bCs/>
          <w:color w:val="auto"/>
          <w:sz w:val="24"/>
          <w:szCs w:val="24"/>
        </w:rPr>
        <w:t xml:space="preserve">）污染和臭氧污染来源解析饼图和各污染源占比随时间变化趋势。跟踪识别主要组分及变化特征、主要污染物来源，行业占比，为大气污染防控提供溯源支撑。颗粒物和VOCs累计观测天数各10天。</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5.1颗粒物在线源解析</w:t>
      </w:r>
      <w:r/>
    </w:p>
    <w:p>
      <w:pPr>
        <w:ind w:firstLine="480"/>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（1）总体要求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针对颗粒物开展专项解析研究，明确灌云颗粒物主要来源，重点需围绕以下开展工作，针对1个颗粒物高值站点开展1次颗粒物组分源解析，理清治理方向。在线观测时间不少于10天(自动采样设备24小时在线)，结束后于10个工作日内提交报告。</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使用智能电镜方法，根据颗粒物形貌特征及元素构成，掌握出现污染时颗粒物组分中主要组分类型及占比结构变化。对颗粒物污染现状和特征开展深入研究，弄清灌云颗粒物污染的关键成因，并提出颗粒物污染治理政策建议，为研究灌云颗粒物污染防治工作提供参考依据。</w:t>
      </w:r>
      <w:r/>
    </w:p>
    <w:p>
      <w:pPr>
        <w:ind w:firstLine="48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（2）监测系统的技术参数</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1.组分站在线监测（离子色谱、碳分析仪、无机元素分析仪）：通过自动进样，离子色谱、碳分析仪、无机元素分析仪每小时分析出大气中颗粒物主要成分；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2.颗粒物组分：碳组分（OC、EC）、水溶性离子（F</w:t>
      </w:r>
      <w:r>
        <w:rPr>
          <w:rFonts w:hint="eastAsia" w:ascii="宋体" w:hAnsi="宋体" w:cs="宋体"/>
          <w:color w:val="auto"/>
          <w:sz w:val="24"/>
          <w:szCs w:val="24"/>
          <w:vertAlign w:val="superscript"/>
        </w:rPr>
        <w:t xml:space="preserve">-</w:t>
      </w:r>
      <w:r>
        <w:rPr>
          <w:rFonts w:hint="eastAsia" w:ascii="宋体" w:hAnsi="宋体" w:cs="宋体"/>
          <w:color w:val="auto"/>
          <w:sz w:val="24"/>
          <w:szCs w:val="24"/>
        </w:rPr>
        <w:t xml:space="preserve">、Cl</w:t>
      </w:r>
      <w:r>
        <w:rPr>
          <w:rFonts w:hint="eastAsia" w:ascii="宋体" w:hAnsi="宋体" w:cs="宋体"/>
          <w:color w:val="auto"/>
          <w:sz w:val="24"/>
          <w:szCs w:val="24"/>
          <w:vertAlign w:val="superscript"/>
        </w:rPr>
        <w:t xml:space="preserve">-</w:t>
      </w:r>
      <w:r>
        <w:rPr>
          <w:rFonts w:hint="eastAsia" w:ascii="宋体" w:hAnsi="宋体" w:cs="宋体"/>
          <w:color w:val="auto"/>
          <w:sz w:val="24"/>
          <w:szCs w:val="24"/>
        </w:rPr>
        <w:t xml:space="preserve">、SO</w:t>
      </w:r>
      <w:r>
        <w:rPr>
          <w:rFonts w:hint="eastAsia" w:ascii="宋体" w:hAnsi="宋体" w:cs="宋体"/>
          <w:color w:val="auto"/>
          <w:sz w:val="24"/>
          <w:szCs w:val="24"/>
          <w:vertAlign w:val="subscript"/>
        </w:rPr>
        <w:t xml:space="preserve">4</w:t>
      </w:r>
      <w:r>
        <w:rPr>
          <w:rFonts w:hint="eastAsia" w:ascii="宋体" w:hAnsi="宋体" w:cs="宋体"/>
          <w:color w:val="auto"/>
          <w:sz w:val="24"/>
          <w:szCs w:val="24"/>
          <w:vertAlign w:val="superscript"/>
        </w:rPr>
        <w:t xml:space="preserve">2-</w:t>
      </w:r>
      <w:r>
        <w:rPr>
          <w:rFonts w:hint="eastAsia" w:ascii="宋体" w:hAnsi="宋体" w:cs="宋体"/>
          <w:color w:val="auto"/>
          <w:sz w:val="24"/>
          <w:szCs w:val="24"/>
        </w:rPr>
        <w:t xml:space="preserve">、NO</w:t>
      </w:r>
      <w:r>
        <w:rPr>
          <w:rFonts w:hint="eastAsia" w:ascii="宋体" w:hAnsi="宋体" w:cs="宋体"/>
          <w:color w:val="auto"/>
          <w:sz w:val="24"/>
          <w:szCs w:val="24"/>
          <w:vertAlign w:val="subscript"/>
        </w:rPr>
        <w:t xml:space="preserve">3</w:t>
      </w:r>
      <w:r>
        <w:rPr>
          <w:rFonts w:hint="eastAsia" w:ascii="宋体" w:hAnsi="宋体" w:cs="宋体"/>
          <w:color w:val="auto"/>
          <w:sz w:val="24"/>
          <w:szCs w:val="24"/>
          <w:vertAlign w:val="superscript"/>
        </w:rPr>
        <w:t xml:space="preserve">-</w:t>
      </w:r>
      <w:r>
        <w:rPr>
          <w:rFonts w:hint="eastAsia" w:ascii="宋体" w:hAnsi="宋体" w:cs="宋体"/>
          <w:color w:val="auto"/>
          <w:sz w:val="24"/>
          <w:szCs w:val="24"/>
        </w:rPr>
        <w:t xml:space="preserve">、Na</w:t>
      </w:r>
      <w:r>
        <w:rPr>
          <w:rFonts w:hint="eastAsia" w:ascii="宋体" w:hAnsi="宋体" w:cs="宋体"/>
          <w:color w:val="auto"/>
          <w:sz w:val="24"/>
          <w:szCs w:val="24"/>
          <w:vertAlign w:val="superscript"/>
        </w:rPr>
        <w:t xml:space="preserve">+</w:t>
      </w:r>
      <w:r>
        <w:rPr>
          <w:rFonts w:hint="eastAsia" w:ascii="宋体" w:hAnsi="宋体" w:cs="宋体"/>
          <w:color w:val="auto"/>
          <w:sz w:val="24"/>
          <w:szCs w:val="24"/>
        </w:rPr>
        <w:t xml:space="preserve">、NH</w:t>
      </w:r>
      <w:r>
        <w:rPr>
          <w:rFonts w:hint="eastAsia" w:ascii="宋体" w:hAnsi="宋体" w:cs="宋体"/>
          <w:color w:val="auto"/>
          <w:sz w:val="24"/>
          <w:szCs w:val="24"/>
          <w:vertAlign w:val="subscript"/>
        </w:rPr>
        <w:t xml:space="preserve">4</w:t>
      </w:r>
      <w:r>
        <w:rPr>
          <w:rFonts w:hint="eastAsia" w:ascii="宋体" w:hAnsi="宋体" w:cs="宋体"/>
          <w:color w:val="auto"/>
          <w:sz w:val="24"/>
          <w:szCs w:val="24"/>
          <w:vertAlign w:val="superscript"/>
        </w:rPr>
        <w:t xml:space="preserve">+</w:t>
      </w:r>
      <w:r>
        <w:rPr>
          <w:rFonts w:hint="eastAsia" w:ascii="宋体" w:hAnsi="宋体" w:cs="宋体"/>
          <w:color w:val="auto"/>
          <w:sz w:val="24"/>
          <w:szCs w:val="24"/>
        </w:rPr>
        <w:t xml:space="preserve">、K</w:t>
      </w:r>
      <w:r>
        <w:rPr>
          <w:rFonts w:hint="eastAsia" w:ascii="宋体" w:hAnsi="宋体" w:cs="宋体"/>
          <w:color w:val="auto"/>
          <w:sz w:val="24"/>
          <w:szCs w:val="24"/>
          <w:vertAlign w:val="superscript"/>
        </w:rPr>
        <w:t xml:space="preserve">+</w:t>
      </w:r>
      <w:r>
        <w:rPr>
          <w:rFonts w:hint="eastAsia" w:ascii="宋体" w:hAnsi="宋体" w:cs="宋体"/>
          <w:color w:val="auto"/>
          <w:sz w:val="24"/>
          <w:szCs w:val="24"/>
        </w:rPr>
        <w:t xml:space="preserve">、Mg</w:t>
      </w:r>
      <w:r>
        <w:rPr>
          <w:rFonts w:hint="eastAsia" w:ascii="宋体" w:hAnsi="宋体" w:cs="宋体"/>
          <w:color w:val="auto"/>
          <w:sz w:val="24"/>
          <w:szCs w:val="24"/>
          <w:vertAlign w:val="superscript"/>
        </w:rPr>
        <w:t xml:space="preserve">2+</w:t>
      </w:r>
      <w:r>
        <w:rPr>
          <w:rFonts w:hint="eastAsia" w:ascii="宋体" w:hAnsi="宋体" w:cs="宋体"/>
          <w:color w:val="auto"/>
          <w:sz w:val="24"/>
          <w:szCs w:val="24"/>
        </w:rPr>
        <w:t xml:space="preserve">、Ca</w:t>
      </w:r>
      <w:r>
        <w:rPr>
          <w:rFonts w:hint="eastAsia" w:ascii="宋体" w:hAnsi="宋体" w:cs="宋体"/>
          <w:color w:val="auto"/>
          <w:sz w:val="24"/>
          <w:szCs w:val="24"/>
          <w:vertAlign w:val="superscript"/>
        </w:rPr>
        <w:t xml:space="preserve">2+</w:t>
      </w:r>
      <w:r>
        <w:rPr>
          <w:rFonts w:hint="eastAsia" w:ascii="宋体" w:hAnsi="宋体" w:cs="宋体"/>
          <w:color w:val="auto"/>
          <w:sz w:val="24"/>
          <w:szCs w:val="24"/>
        </w:rPr>
        <w:t xml:space="preserve">）、无机元素（Na、K、Mg、Ca、Ba、Cd、Sn、Ti、V、Cr、Mn、Fe、Co、Ni、Cu、Zn、As、Se、Pb、Al、S、Cl、Sb、Si）等；</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3.重金属测量范围：0-100μg/m</w:t>
      </w:r>
      <w:r>
        <w:rPr>
          <w:rFonts w:hint="eastAsia" w:ascii="宋体" w:hAnsi="宋体" w:cs="宋体"/>
          <w:color w:val="auto"/>
          <w:sz w:val="24"/>
          <w:szCs w:val="24"/>
          <w:vertAlign w:val="superscript"/>
        </w:rPr>
        <w:t xml:space="preserve">3</w:t>
      </w: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4.重金属检出限：0.01-10 ng/m</w:t>
      </w:r>
      <w:r>
        <w:rPr>
          <w:rFonts w:hint="eastAsia" w:ascii="宋体" w:hAnsi="宋体" w:cs="宋体"/>
          <w:color w:val="auto"/>
          <w:sz w:val="24"/>
          <w:szCs w:val="24"/>
          <w:vertAlign w:val="superscript"/>
        </w:rPr>
        <w:t xml:space="preserve">3</w:t>
      </w:r>
      <w:r>
        <w:rPr>
          <w:rFonts w:hint="eastAsia" w:ascii="宋体" w:hAnsi="宋体" w:cs="宋体"/>
          <w:color w:val="auto"/>
          <w:sz w:val="24"/>
          <w:szCs w:val="24"/>
        </w:rPr>
        <w:t xml:space="preserve">量级；颗粒物检出限：5μg/m</w:t>
      </w:r>
      <w:r>
        <w:rPr>
          <w:rFonts w:hint="eastAsia" w:ascii="宋体" w:hAnsi="宋体" w:cs="宋体"/>
          <w:color w:val="auto"/>
          <w:sz w:val="24"/>
          <w:szCs w:val="24"/>
          <w:vertAlign w:val="superscript"/>
        </w:rPr>
        <w:t xml:space="preserve">3</w:t>
      </w: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5.重金属元素重复性：＜1.5%,颗粒物监测重复性：校准膜重现性＜2%；</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5.2 VOCs源解析</w:t>
      </w:r>
      <w:r/>
    </w:p>
    <w:p>
      <w:pPr>
        <w:pStyle w:val="763"/>
        <w:numPr>
          <w:ilvl w:val="2"/>
          <w:numId w:val="0"/>
        </w:numPr>
        <w:spacing w:before="0" w:after="0"/>
        <w:rPr>
          <w:rFonts w:hint="eastAsia" w:ascii="宋体" w:hAnsi="宋体" w:eastAsia="宋体" w:cs="宋体"/>
          <w:b/>
          <w:color w:val="auto"/>
          <w:sz w:val="24"/>
          <w:szCs w:val="24"/>
        </w:rPr>
      </w:pPr>
      <w:r>
        <w:rPr>
          <w:rFonts w:hint="eastAsia" w:ascii="宋体" w:hAnsi="宋体" w:cs="宋体"/>
          <w:b/>
          <w:color w:val="auto"/>
          <w:sz w:val="24"/>
          <w:szCs w:val="24"/>
        </w:rPr>
        <w:t xml:space="preserve">（1）</w:t>
      </w:r>
      <w:r>
        <w:rPr>
          <w:rFonts w:hint="eastAsia" w:ascii="宋体" w:hAnsi="宋体" w:eastAsia="宋体" w:cs="宋体"/>
          <w:b/>
          <w:color w:val="auto"/>
          <w:sz w:val="24"/>
          <w:szCs w:val="24"/>
        </w:rPr>
        <w:t xml:space="preserve">总体要求</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使用多种模型来判断主要污染来源以及各污染源对大气VOCs污染的相对贡献；分析VOCs物种的活性，计算各物种对臭氧生成的贡献，为精细化VOCs管控提供参考。</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针对1个臭氧高值站点共开展1次VOCs在线组分源解析。观测时间10天</w:t>
      </w:r>
      <w:r>
        <w:rPr>
          <w:rFonts w:hint="eastAsia" w:ascii="宋体" w:hAnsi="宋体" w:cs="宋体"/>
          <w:color w:val="auto"/>
          <w:sz w:val="24"/>
          <w:szCs w:val="24"/>
        </w:rPr>
        <w:t xml:space="preserve">(自动采样设备24小时在线)</w:t>
      </w:r>
      <w:r>
        <w:rPr>
          <w:rFonts w:hint="eastAsia" w:ascii="宋体" w:hAnsi="宋体" w:cs="宋体"/>
          <w:bCs/>
          <w:color w:val="auto"/>
          <w:sz w:val="24"/>
          <w:szCs w:val="24"/>
        </w:rPr>
        <w:t xml:space="preserve">，结束后于10个工作日内提交报告。</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对O</w:t>
      </w:r>
      <w:r>
        <w:rPr>
          <w:rFonts w:hint="eastAsia" w:ascii="宋体" w:hAnsi="宋体" w:cs="宋体"/>
          <w:bCs/>
          <w:color w:val="auto"/>
          <w:sz w:val="24"/>
          <w:szCs w:val="24"/>
          <w:vertAlign w:val="subscript"/>
        </w:rPr>
        <w:t xml:space="preserve">3</w:t>
      </w:r>
      <w:r>
        <w:rPr>
          <w:rFonts w:hint="eastAsia" w:ascii="宋体" w:hAnsi="宋体" w:cs="宋体"/>
          <w:bCs/>
          <w:color w:val="auto"/>
          <w:sz w:val="24"/>
          <w:szCs w:val="24"/>
        </w:rPr>
        <w:t xml:space="preserve">污染现状和特征开展深入研究，弄清灌云O</w:t>
      </w:r>
      <w:r>
        <w:rPr>
          <w:rFonts w:hint="eastAsia" w:ascii="宋体" w:hAnsi="宋体" w:cs="宋体"/>
          <w:bCs/>
          <w:color w:val="auto"/>
          <w:sz w:val="24"/>
          <w:szCs w:val="24"/>
          <w:vertAlign w:val="subscript"/>
        </w:rPr>
        <w:t xml:space="preserve">3</w:t>
      </w:r>
      <w:r>
        <w:rPr>
          <w:rFonts w:hint="eastAsia" w:ascii="宋体" w:hAnsi="宋体" w:cs="宋体"/>
          <w:bCs/>
          <w:color w:val="auto"/>
          <w:sz w:val="24"/>
          <w:szCs w:val="24"/>
        </w:rPr>
        <w:t xml:space="preserve">污染的关键成因，并提出O</w:t>
      </w:r>
      <w:r>
        <w:rPr>
          <w:rFonts w:hint="eastAsia" w:ascii="宋体" w:hAnsi="宋体" w:cs="宋体"/>
          <w:bCs/>
          <w:color w:val="auto"/>
          <w:sz w:val="24"/>
          <w:szCs w:val="24"/>
          <w:vertAlign w:val="subscript"/>
        </w:rPr>
        <w:t xml:space="preserve">3</w:t>
      </w:r>
      <w:r>
        <w:rPr>
          <w:rFonts w:hint="eastAsia" w:ascii="宋体" w:hAnsi="宋体" w:cs="宋体"/>
          <w:bCs/>
          <w:color w:val="auto"/>
          <w:sz w:val="24"/>
          <w:szCs w:val="24"/>
        </w:rPr>
        <w:t xml:space="preserve">污染治理政策建议，为研究灌云O</w:t>
      </w:r>
      <w:r>
        <w:rPr>
          <w:rFonts w:hint="eastAsia" w:ascii="宋体" w:hAnsi="宋体" w:cs="宋体"/>
          <w:bCs/>
          <w:color w:val="auto"/>
          <w:sz w:val="24"/>
          <w:szCs w:val="24"/>
          <w:vertAlign w:val="subscript"/>
        </w:rPr>
        <w:t xml:space="preserve">3</w:t>
      </w:r>
      <w:r>
        <w:rPr>
          <w:rFonts w:hint="eastAsia" w:ascii="宋体" w:hAnsi="宋体" w:cs="宋体"/>
          <w:bCs/>
          <w:color w:val="auto"/>
          <w:sz w:val="24"/>
          <w:szCs w:val="24"/>
        </w:rPr>
        <w:t xml:space="preserve">污染防治工作提供参考依据。</w:t>
      </w:r>
      <w:r/>
    </w:p>
    <w:p>
      <w:pPr>
        <w:spacing w:line="360" w:lineRule="auto"/>
        <w:rPr>
          <w:rFonts w:hint="eastAsia" w:ascii="宋体" w:hAnsi="宋体" w:cs="Helvetica"/>
          <w:color w:val="auto"/>
          <w:szCs w:val="21"/>
        </w:rPr>
      </w:pPr>
      <w:r>
        <w:rPr>
          <w:rFonts w:hint="eastAsia" w:ascii="宋体" w:hAnsi="宋体" w:cs="宋体"/>
          <w:b/>
          <w:color w:val="auto"/>
          <w:sz w:val="24"/>
          <w:szCs w:val="24"/>
        </w:rPr>
        <w:t xml:space="preserve">（2）监测系统的技术参数</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1.VOC</w:t>
      </w:r>
      <w:r>
        <w:rPr>
          <w:rFonts w:hint="eastAsia" w:ascii="宋体" w:hAnsi="宋体" w:cs="宋体"/>
          <w:bCs/>
          <w:color w:val="auto"/>
          <w:sz w:val="24"/>
          <w:szCs w:val="24"/>
          <w:vertAlign w:val="subscript"/>
        </w:rPr>
        <w:t xml:space="preserve">S</w:t>
      </w:r>
      <w:r>
        <w:rPr>
          <w:rFonts w:hint="eastAsia" w:ascii="宋体" w:hAnsi="宋体" w:cs="宋体"/>
          <w:bCs/>
          <w:color w:val="auto"/>
          <w:sz w:val="24"/>
          <w:szCs w:val="24"/>
        </w:rPr>
        <w:t xml:space="preserve">在线组分：57种PAMS、TO15、13种醛酮物质以及NMHC；</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异常值识别与替换：小时组分数据缺失值数量计算，识别每个小时组分数据缺失数量；缺失值替换，如果该组份前后连续缺失数据在3个小时以内，以线性填充的方式填充数据，如果该组份前后连续缺失数据在3个小时以上，以该时段内的组分浓度均值代替.</w:t>
      </w:r>
      <w:r/>
    </w:p>
    <w:p>
      <w:pPr>
        <w:ind w:firstLine="480"/>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以下组分数据缺失数量不能超过5个，否则小时数据剔除。（乙烷、丙烷、异丁烷、正丁烷、异戊烷、正戊烷、乙烯、丙烯、异戊二烯、乙炔、苯、甲苯、乙苯、间、对-二甲苯、邻二甲苯）。</w:t>
      </w:r>
      <w:r/>
    </w:p>
    <w:p>
      <w:pPr>
        <w:jc w:val="left"/>
        <w:spacing w:line="360" w:lineRule="auto"/>
        <w:rPr>
          <w:rFonts w:ascii="宋体" w:hAnsi="宋体" w:eastAsia="宋体" w:cs="Times New Roman"/>
          <w:color w:val="auto"/>
          <w:sz w:val="24"/>
          <w:szCs w:val="24"/>
          <w:highlight w:val="none"/>
        </w:rPr>
        <w:outlineLvl w:val="1"/>
      </w:pPr>
      <w:r>
        <w:rPr>
          <w:rFonts w:hint="eastAsia" w:ascii="Times New Roman" w:hAnsi="Times New Roman" w:cs="Times New Roman"/>
          <w:b/>
          <w:color w:val="auto"/>
          <w:sz w:val="28"/>
          <w:szCs w:val="28"/>
          <w:highlight w:val="none"/>
          <w:lang w:val="en-US" w:eastAsia="zh-CN"/>
        </w:rPr>
        <w:t xml:space="preserve">三</w:t>
      </w:r>
      <w:r>
        <w:rPr>
          <w:rFonts w:ascii="Times New Roman" w:hAnsi="Times New Roman" w:eastAsia="宋体" w:cs="Times New Roman"/>
          <w:b/>
          <w:color w:val="auto"/>
          <w:sz w:val="28"/>
          <w:szCs w:val="28"/>
          <w:highlight w:val="none"/>
        </w:rPr>
        <w:t xml:space="preserve">、供货要求</w:t>
      </w:r>
      <w:r/>
    </w:p>
    <w:p>
      <w:pPr>
        <w:pStyle w:val="772"/>
        <w:spacing w:line="360" w:lineRule="auto"/>
        <w:rPr>
          <w:rFonts w:ascii="Times New Roman" w:hAnsi="Times New Roman" w:eastAsia="宋体"/>
          <w:sz w:val="24"/>
          <w:szCs w:val="24"/>
          <w:highlight w:val="none"/>
        </w:rPr>
      </w:pPr>
      <w:r>
        <w:rPr>
          <w:rFonts w:hint="eastAsia" w:ascii="Times New Roman" w:hAnsi="Times New Roman"/>
          <w:sz w:val="24"/>
          <w:szCs w:val="24"/>
          <w:highlight w:val="none"/>
          <w:lang w:val="en-US" w:eastAsia="zh-CN"/>
        </w:rPr>
        <w:t xml:space="preserve">合同履行期限</w:t>
      </w:r>
      <w:r>
        <w:rPr>
          <w:rFonts w:ascii="Times New Roman" w:hAnsi="Times New Roman" w:eastAsia="宋体"/>
          <w:sz w:val="24"/>
          <w:szCs w:val="24"/>
          <w:highlight w:val="none"/>
        </w:rPr>
        <w:t xml:space="preserve">：</w:t>
      </w:r>
      <w:r>
        <w:rPr>
          <w:rFonts w:hint="eastAsia" w:ascii="Times New Roman" w:hAnsi="Times New Roman" w:eastAsia="宋体"/>
          <w:sz w:val="24"/>
          <w:highlight w:val="none"/>
        </w:rPr>
        <w:t xml:space="preserve">自合同签订之日起90日历天内完成大气环境监测设备供货并通过验收、交付使用。自验收合格之日起提供1年的走航技术服务。根据灌云县大气环境实际情况，按采购人要求提供大气污染物源解析服务。走航车辆保障服务需按采购人要求覆盖整个项目周期，直至</w:t>
      </w:r>
      <w:r>
        <w:rPr>
          <w:rFonts w:hint="eastAsia" w:ascii="Times New Roman" w:hAnsi="Times New Roman"/>
          <w:sz w:val="24"/>
          <w:highlight w:val="none"/>
          <w:lang w:val="en-US" w:eastAsia="zh-CN"/>
        </w:rPr>
        <w:t xml:space="preserve">本</w:t>
      </w:r>
      <w:r>
        <w:rPr>
          <w:rFonts w:hint="eastAsia" w:ascii="Times New Roman" w:hAnsi="Times New Roman" w:eastAsia="宋体"/>
          <w:sz w:val="24"/>
          <w:highlight w:val="none"/>
        </w:rPr>
        <w:t xml:space="preserve">项目走航技术服务期结束。</w:t>
      </w:r>
      <w:r/>
    </w:p>
    <w:p>
      <w:pPr>
        <w:pStyle w:val="772"/>
        <w:ind w:left="0" w:firstLine="480"/>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交货方式：采购人指定方式。</w:t>
      </w:r>
      <w:r/>
    </w:p>
    <w:p>
      <w:pPr>
        <w:pStyle w:val="772"/>
        <w:ind w:left="0" w:firstLine="480"/>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交货地点：采购人指定地点。</w:t>
      </w:r>
      <w:r/>
    </w:p>
    <w:p>
      <w:pPr>
        <w:pStyle w:val="772"/>
        <w:ind w:left="0"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走航技术服务</w:t>
      </w:r>
      <w:r>
        <w:rPr>
          <w:rFonts w:ascii="Times New Roman" w:hAnsi="Times New Roman" w:eastAsia="宋体"/>
          <w:sz w:val="24"/>
          <w:szCs w:val="24"/>
          <w:highlight w:val="none"/>
        </w:rPr>
        <w:t xml:space="preserve">：自项目验收合格之日起算 1 年。</w:t>
      </w:r>
      <w:r/>
    </w:p>
    <w:p>
      <w:pPr>
        <w:pStyle w:val="772"/>
        <w:ind w:left="0" w:firstLine="480"/>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质保期：自项目验收合格之日起算 1 年。</w:t>
      </w:r>
      <w:r/>
    </w:p>
    <w:p>
      <w:pPr>
        <w:pStyle w:val="772"/>
        <w:ind w:left="0" w:firstLine="0"/>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cs="Times New Roman"/>
          <w:b/>
          <w:color w:val="auto"/>
          <w:sz w:val="28"/>
          <w:szCs w:val="28"/>
          <w:highlight w:val="none"/>
          <w:lang w:val="en-US" w:eastAsia="zh-CN"/>
        </w:rPr>
        <w:t xml:space="preserve">四</w:t>
      </w:r>
      <w:r>
        <w:rPr>
          <w:rFonts w:ascii="Times New Roman" w:hAnsi="Times New Roman" w:eastAsia="宋体" w:cs="Times New Roman"/>
          <w:b/>
          <w:color w:val="auto"/>
          <w:sz w:val="28"/>
          <w:szCs w:val="28"/>
          <w:highlight w:val="none"/>
        </w:rPr>
        <w:t xml:space="preserve">、</w:t>
      </w:r>
      <w:r>
        <w:rPr>
          <w:rFonts w:hint="eastAsia" w:ascii="Times New Roman" w:hAnsi="Times New Roman" w:cs="Times New Roman"/>
          <w:b/>
          <w:color w:val="auto"/>
          <w:sz w:val="28"/>
          <w:szCs w:val="28"/>
          <w:highlight w:val="none"/>
          <w:lang w:val="en-US" w:eastAsia="zh-CN"/>
        </w:rPr>
        <w:t xml:space="preserve">人员配备</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1、项目负责人：需为本项目配备项目负责人1名（统筹项目建设，按需前往现场指导工作）。</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2、技术人员配备（不含项目负责人）：</w:t>
      </w:r>
      <w:r>
        <w:rPr>
          <w:rFonts w:hint="eastAsia" w:ascii="宋体" w:hAnsi="宋体" w:cs="宋体"/>
          <w:color w:val="auto"/>
          <w:sz w:val="24"/>
          <w:szCs w:val="24"/>
        </w:rPr>
        <w:t xml:space="preserve">走航技术服务</w:t>
      </w:r>
      <w:r>
        <w:rPr>
          <w:rFonts w:hint="eastAsia" w:ascii="宋体" w:hAnsi="宋体" w:cs="宋体"/>
          <w:bCs/>
          <w:color w:val="auto"/>
          <w:sz w:val="24"/>
          <w:szCs w:val="24"/>
        </w:rPr>
        <w:t xml:space="preserve">配备3名技术人员，分别为走航工程师、走航车运维人员、驻场数据分析工程师。</w:t>
      </w:r>
      <w:r/>
    </w:p>
    <w:p>
      <w:pPr>
        <w:ind w:firstLine="480"/>
        <w:spacing w:line="360" w:lineRule="auto"/>
        <w:rPr>
          <w:rFonts w:hint="eastAsia" w:ascii="Times New Roman" w:hAnsi="Times New Roman"/>
          <w:b/>
          <w:color w:val="auto"/>
          <w:sz w:val="28"/>
          <w:szCs w:val="28"/>
        </w:rPr>
      </w:pPr>
      <w:r>
        <w:rPr>
          <w:rFonts w:hint="eastAsia" w:ascii="宋体" w:hAnsi="宋体" w:cs="宋体"/>
          <w:bCs/>
          <w:color w:val="auto"/>
          <w:sz w:val="24"/>
          <w:szCs w:val="24"/>
        </w:rPr>
        <w:t xml:space="preserve">3、须对走航监测车开展整体运营维护服务，服务期限一年。包括车辆清洁和维修保养，所有车载监测设备的使用和运营维护，根据采购人要求开展走航监测服务并出具相关监测报告、分析报告。</w:t>
      </w:r>
      <w:r/>
    </w:p>
    <w:p>
      <w:pPr>
        <w:pStyle w:val="772"/>
        <w:ind w:left="0" w:firstLine="0"/>
        <w:spacing w:line="360" w:lineRule="auto"/>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cs="Times New Roman"/>
          <w:b/>
          <w:color w:val="auto"/>
          <w:sz w:val="28"/>
          <w:szCs w:val="28"/>
          <w:highlight w:val="none"/>
          <w:lang w:val="en-US" w:eastAsia="zh-CN"/>
        </w:rPr>
        <w:t xml:space="preserve">五、</w:t>
      </w:r>
      <w:r>
        <w:rPr>
          <w:rFonts w:ascii="Times New Roman" w:hAnsi="Times New Roman" w:eastAsia="宋体" w:cs="Times New Roman"/>
          <w:b/>
          <w:color w:val="auto"/>
          <w:sz w:val="28"/>
          <w:szCs w:val="28"/>
          <w:highlight w:val="none"/>
        </w:rPr>
        <w:t xml:space="preserve">安装调试要求</w:t>
      </w:r>
      <w:r>
        <w:rPr>
          <w:rFonts w:hint="eastAsia" w:ascii="Times New Roman" w:hAnsi="Times New Roman" w:cs="Times New Roman"/>
          <w:b/>
          <w:color w:val="auto"/>
          <w:sz w:val="28"/>
          <w:szCs w:val="28"/>
          <w:highlight w:val="none"/>
          <w:lang w:val="en-US" w:eastAsia="zh-CN"/>
        </w:rPr>
        <w:t xml:space="preserve">及技术培训要求</w:t>
      </w:r>
      <w:r/>
    </w:p>
    <w:p>
      <w:pPr>
        <w:pStyle w:val="1085"/>
        <w:ind w:left="0" w:right="0" w:firstLine="48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人需保证所供货物为最新型号的全新产品，不得以次充好，不得提供老旧翻新产品。货物到达安装现场后，中标人应提供详细装货清单。如果货物质量或技术规格与合同不符或货物有明显损坏，采购人有权提出退换货。</w:t>
      </w:r>
      <w:r/>
    </w:p>
    <w:p>
      <w:pPr>
        <w:pStyle w:val="1085"/>
        <w:ind w:right="0" w:firstLine="48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、中标人必须严格按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指定的位置安装，未经采购人同意不得更改安装位置。所有设备均须由中标人送货上门，并由</w:t>
      </w:r>
      <w:r>
        <w:rPr>
          <w:rFonts w:hint="eastAsia" w:ascii="宋体" w:hAnsi="宋体" w:eastAsia="宋体" w:cs="宋体"/>
          <w:sz w:val="24"/>
          <w:szCs w:val="24"/>
          <w:highlight w:val="none"/>
          <w:lang w:val="en-US" w:eastAsia="zh-CN"/>
        </w:rPr>
        <w:t xml:space="preserve">相关有经验的</w:t>
      </w:r>
      <w:r>
        <w:rPr>
          <w:rFonts w:hint="eastAsia" w:ascii="宋体" w:hAnsi="宋体" w:eastAsia="宋体" w:cs="宋体"/>
          <w:sz w:val="24"/>
          <w:szCs w:val="24"/>
          <w:highlight w:val="none"/>
        </w:rPr>
        <w:t xml:space="preserve">工程师负责安装调试，采购人不再支付任何费用。</w:t>
      </w:r>
      <w:r/>
    </w:p>
    <w:p>
      <w:pPr>
        <w:pStyle w:val="1085"/>
        <w:ind w:left="0" w:right="0" w:firstLine="480"/>
        <w:spacing w:before="0" w:beforeAutospacing="0" w:after="0" w:afterAutospacing="0" w:line="360" w:lineRule="auto"/>
        <w:rPr>
          <w:rFonts w:ascii="Times New Roman" w:hAnsi="Times New Roman" w:eastAsia="宋体"/>
          <w:i w:val="0"/>
          <w:iCs w:val="0"/>
          <w:sz w:val="24"/>
          <w:szCs w:val="24"/>
          <w:highlight w:val="none"/>
          <w:u w:val="none"/>
        </w:rPr>
      </w:pPr>
      <w:r>
        <w:rPr>
          <w:rFonts w:hint="eastAsia" w:ascii="Times New Roman" w:hAnsi="Times New Roman" w:eastAsia="宋体"/>
          <w:i w:val="0"/>
          <w:iCs w:val="0"/>
          <w:sz w:val="24"/>
          <w:szCs w:val="24"/>
          <w:highlight w:val="none"/>
          <w:u w:val="none"/>
          <w:lang w:val="en-US" w:eastAsia="zh-CN"/>
        </w:rPr>
        <w:t xml:space="preserve">3</w:t>
      </w:r>
      <w:r>
        <w:rPr>
          <w:rFonts w:ascii="Times New Roman" w:hAnsi="Times New Roman" w:eastAsia="宋体"/>
          <w:i w:val="0"/>
          <w:iCs w:val="0"/>
          <w:sz w:val="24"/>
          <w:szCs w:val="24"/>
          <w:highlight w:val="none"/>
          <w:u w:val="none"/>
        </w:rPr>
        <w:t xml:space="preserve">、中标人按时提供以上货物并完成安装调试。若安装调试过程对原建筑或原设备产生破坏，中标人要负责修补复原</w:t>
      </w:r>
      <w:r>
        <w:rPr>
          <w:rFonts w:hint="eastAsia" w:ascii="Times New Roman" w:hAnsi="Times New Roman" w:eastAsia="宋体"/>
          <w:i w:val="0"/>
          <w:iCs w:val="0"/>
          <w:sz w:val="24"/>
          <w:szCs w:val="24"/>
          <w:highlight w:val="none"/>
          <w:u w:val="none"/>
          <w:lang w:eastAsia="zh-CN"/>
        </w:rPr>
        <w:t xml:space="preserve">；</w:t>
      </w:r>
      <w:r>
        <w:rPr>
          <w:rFonts w:ascii="Times New Roman" w:hAnsi="Times New Roman" w:eastAsia="宋体"/>
          <w:i w:val="0"/>
          <w:iCs w:val="0"/>
          <w:sz w:val="24"/>
          <w:szCs w:val="24"/>
          <w:highlight w:val="none"/>
          <w:u w:val="none"/>
        </w:rPr>
        <w:t xml:space="preserve">安装期间出现的各种事故造成的损失及人员伤亡均由中标人负责。</w:t>
      </w:r>
      <w:r/>
    </w:p>
    <w:p>
      <w:pPr>
        <w:pStyle w:val="1085"/>
        <w:ind w:right="0" w:firstLine="480"/>
        <w:spacing w:before="0" w:beforeAutospacing="0" w:after="0" w:afterAutospacing="0"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lang w:val="en-US" w:eastAsia="zh-CN"/>
        </w:rPr>
        <w:t xml:space="preserve">4、</w:t>
      </w:r>
      <w:r>
        <w:rPr>
          <w:rFonts w:ascii="Times New Roman" w:hAnsi="Times New Roman" w:eastAsia="宋体"/>
          <w:sz w:val="24"/>
          <w:szCs w:val="24"/>
          <w:highlight w:val="none"/>
        </w:rPr>
        <w:t xml:space="preserve">中标人如有违反操作规程及粗制滥造现象，采购人有权加以制止，直至下令停工，其经济损失全部由中标人负责，合同期不得顺延。</w:t>
      </w:r>
      <w:r/>
    </w:p>
    <w:p>
      <w:pPr>
        <w:pStyle w:val="1085"/>
        <w:ind w:right="0" w:firstLine="480"/>
        <w:spacing w:before="0" w:beforeAutospacing="0" w:after="0" w:afterAutospacing="0" w:line="360" w:lineRule="auto"/>
        <w:rPr>
          <w:rFonts w:hint="eastAsia" w:ascii="Times New Roman" w:hAnsi="Times New Roman" w:eastAsia="宋体"/>
          <w:sz w:val="24"/>
          <w:szCs w:val="24"/>
          <w:highlight w:val="none"/>
          <w:lang w:eastAsia="zh-CN"/>
        </w:rPr>
      </w:pPr>
      <w:r>
        <w:rPr>
          <w:rFonts w:hint="eastAsia" w:ascii="Times New Roman" w:hAnsi="Times New Roman" w:eastAsia="宋体"/>
          <w:sz w:val="24"/>
          <w:szCs w:val="24"/>
          <w:highlight w:val="none"/>
          <w:lang w:val="en-US" w:eastAsia="zh-CN"/>
        </w:rPr>
        <w:t xml:space="preserve">5、</w:t>
      </w:r>
      <w:r>
        <w:rPr>
          <w:rFonts w:ascii="Times New Roman" w:hAnsi="Times New Roman" w:eastAsia="宋体"/>
          <w:sz w:val="24"/>
          <w:szCs w:val="24"/>
          <w:highlight w:val="none"/>
        </w:rPr>
        <w:t xml:space="preserve">自设备安装工作开始，中标人应</w:t>
      </w:r>
      <w:r>
        <w:rPr>
          <w:rFonts w:hint="eastAsia" w:ascii="Times New Roman" w:hAnsi="Times New Roman" w:eastAsia="宋体"/>
          <w:sz w:val="24"/>
          <w:szCs w:val="24"/>
          <w:highlight w:val="none"/>
          <w:lang w:val="en-US" w:eastAsia="zh-CN"/>
        </w:rPr>
        <w:t xml:space="preserve">通知</w:t>
      </w:r>
      <w:r>
        <w:rPr>
          <w:rFonts w:ascii="Times New Roman" w:hAnsi="Times New Roman" w:eastAsia="宋体"/>
          <w:sz w:val="24"/>
          <w:szCs w:val="24"/>
          <w:highlight w:val="none"/>
        </w:rPr>
        <w:t xml:space="preserve">采购</w:t>
      </w:r>
      <w:r>
        <w:rPr>
          <w:rFonts w:hint="eastAsia" w:ascii="Times New Roman" w:hAnsi="Times New Roman" w:eastAsia="宋体"/>
          <w:sz w:val="24"/>
          <w:szCs w:val="24"/>
          <w:highlight w:val="none"/>
          <w:lang w:val="en-US" w:eastAsia="zh-CN"/>
        </w:rPr>
        <w:t xml:space="preserve">人</w:t>
      </w:r>
      <w:r>
        <w:rPr>
          <w:rFonts w:ascii="Times New Roman" w:hAnsi="Times New Roman" w:eastAsia="宋体"/>
          <w:sz w:val="24"/>
          <w:szCs w:val="24"/>
          <w:highlight w:val="none"/>
        </w:rPr>
        <w:t xml:space="preserve">的工作人员一起参与现场的系统安装、测试、诊断及解决遇到的问题等各项工作，并对采购</w:t>
      </w:r>
      <w:r>
        <w:rPr>
          <w:rFonts w:hint="eastAsia" w:ascii="Times New Roman" w:hAnsi="Times New Roman" w:eastAsia="宋体"/>
          <w:sz w:val="24"/>
          <w:szCs w:val="24"/>
          <w:highlight w:val="none"/>
          <w:lang w:val="en-US" w:eastAsia="zh-CN"/>
        </w:rPr>
        <w:t xml:space="preserve">人</w:t>
      </w:r>
      <w:r>
        <w:rPr>
          <w:rFonts w:ascii="Times New Roman" w:hAnsi="Times New Roman" w:eastAsia="宋体"/>
          <w:sz w:val="24"/>
          <w:szCs w:val="24"/>
          <w:highlight w:val="none"/>
        </w:rPr>
        <w:t xml:space="preserve">的工作人员进行现场培训</w:t>
      </w:r>
      <w:r>
        <w:rPr>
          <w:rFonts w:hint="eastAsia" w:ascii="Times New Roman" w:hAnsi="Times New Roman" w:eastAsia="宋体"/>
          <w:sz w:val="24"/>
          <w:szCs w:val="24"/>
          <w:highlight w:val="none"/>
          <w:lang w:eastAsia="zh-CN"/>
        </w:rPr>
        <w:t xml:space="preserve">。</w:t>
      </w:r>
      <w:r>
        <w:rPr>
          <w:rFonts w:ascii="Times New Roman" w:hAnsi="Times New Roman" w:eastAsia="宋体"/>
          <w:sz w:val="24"/>
          <w:szCs w:val="24"/>
          <w:highlight w:val="none"/>
        </w:rPr>
        <w:t xml:space="preserve">中标人应结合系统安装、调试、试运行、正式验收等各阶段，同步地对</w:t>
      </w:r>
      <w:r>
        <w:rPr>
          <w:rFonts w:hint="eastAsia" w:ascii="Times New Roman" w:hAnsi="Times New Roman" w:eastAsia="宋体"/>
          <w:sz w:val="24"/>
          <w:szCs w:val="24"/>
          <w:highlight w:val="none"/>
          <w:lang w:val="en-US" w:eastAsia="zh-CN"/>
        </w:rPr>
        <w:t xml:space="preserve">采购人</w:t>
      </w:r>
      <w:r>
        <w:rPr>
          <w:rFonts w:ascii="Times New Roman" w:hAnsi="Times New Roman" w:eastAsia="宋体"/>
          <w:sz w:val="24"/>
          <w:szCs w:val="24"/>
          <w:highlight w:val="none"/>
        </w:rPr>
        <w:t xml:space="preserve">的系统操作员和系统维护人员就有关系统安装、维护、操作使用等方面进行技术培训，主要培训内容为货物的基本结构、性能、主要部件的构造及处理，日常使用操作、保养与管理、常见故障的排除、紧急情况的处理等</w:t>
      </w:r>
      <w:r/>
    </w:p>
    <w:p>
      <w:pPr>
        <w:jc w:val="left"/>
        <w:spacing w:line="360" w:lineRule="auto"/>
        <w:rPr>
          <w:rFonts w:hint="eastAsia" w:ascii="宋体" w:hAnsi="宋体" w:eastAsia="宋体" w:cs="宋体"/>
          <w:color w:val="auto"/>
          <w:sz w:val="24"/>
          <w:szCs w:val="24"/>
          <w:highlight w:val="none"/>
        </w:rPr>
        <w:outlineLvl w:val="1"/>
      </w:pPr>
      <w:r>
        <w:rPr>
          <w:rFonts w:hint="eastAsia" w:ascii="Times New Roman" w:hAnsi="Times New Roman" w:cs="Times New Roman"/>
          <w:b/>
          <w:color w:val="auto"/>
          <w:sz w:val="28"/>
          <w:szCs w:val="28"/>
          <w:highlight w:val="none"/>
          <w:lang w:val="en-US" w:eastAsia="zh-CN"/>
        </w:rPr>
        <w:t xml:space="preserve">六</w:t>
      </w:r>
      <w:r>
        <w:rPr>
          <w:rFonts w:hint="eastAsia" w:ascii="Times New Roman" w:hAnsi="Times New Roman" w:eastAsia="宋体" w:cs="Times New Roman"/>
          <w:b/>
          <w:color w:val="auto"/>
          <w:sz w:val="28"/>
          <w:szCs w:val="28"/>
          <w:highlight w:val="none"/>
        </w:rPr>
        <w:t xml:space="preserve">、国家或行业相关规范标准</w:t>
      </w:r>
      <w:r/>
    </w:p>
    <w:p>
      <w:pPr>
        <w:pStyle w:val="772"/>
        <w:ind w:left="0" w:firstLine="480"/>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（1）车辆外廓尺寸等限值需符合我国机动车的相关法规《汽车、挂车及汽车列车外廓尺寸、 轴荷及质量限值》（GB1589-2016）；运行安全技术条件要需符合我国机动车的相关法规《机动车运行安全技术条件》（GB7258-2017）；尾气排放需符合我国排放机动车标准《重型柴油车污染物排放限值及测量方法》（GB17691—2018）。</w:t>
      </w:r>
      <w:r/>
    </w:p>
    <w:p>
      <w:pPr>
        <w:pStyle w:val="772"/>
        <w:ind w:left="0" w:firstLine="480"/>
        <w:spacing w:line="360" w:lineRule="auto"/>
        <w:rPr>
          <w:rFonts w:hint="eastAsia" w:hAnsi="Times New Roman" w:eastAsia="宋体" w:cs="Times New Roman"/>
          <w:b w:val="0"/>
          <w:bCs/>
          <w:color w:val="auto"/>
          <w:sz w:val="24"/>
          <w:highlight w:val="none"/>
          <w:lang w:val="en-US" w:eastAsia="zh-CN"/>
        </w:rPr>
      </w:pPr>
      <w:r>
        <w:rPr>
          <w:rFonts w:hint="eastAsia" w:hAnsi="Times New Roman" w:cs="Times New Roman"/>
          <w:b w:val="0"/>
          <w:bCs/>
          <w:color w:val="auto"/>
          <w:sz w:val="24"/>
          <w:highlight w:val="none"/>
          <w:lang w:val="en-US" w:eastAsia="zh-CN"/>
        </w:rPr>
        <w:t xml:space="preserve">以上</w:t>
      </w:r>
      <w:r>
        <w:rPr>
          <w:rFonts w:hint="eastAsia" w:hAnsi="Times New Roman" w:eastAsia="宋体" w:cs="Times New Roman"/>
          <w:b w:val="0"/>
          <w:bCs/>
          <w:color w:val="auto"/>
          <w:sz w:val="24"/>
          <w:highlight w:val="none"/>
          <w:lang w:val="en-US" w:eastAsia="zh-CN"/>
        </w:rPr>
        <w:t xml:space="preserve">所涉及到的相关国家或行业标准为本项目要求的最低要求，如与现行最新标准有所冲突按现行最新标准执行。</w:t>
      </w:r>
      <w:r/>
    </w:p>
    <w:p>
      <w:pPr>
        <w:spacing w:line="360" w:lineRule="auto"/>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lang w:val="en-US" w:eastAsia="zh-CN"/>
        </w:rPr>
        <w:t xml:space="preserve">、履约验收要求</w:t>
      </w:r>
      <w:r/>
    </w:p>
    <w:p>
      <w:pPr>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1、采购人</w:t>
      </w:r>
      <w:r>
        <w:rPr>
          <w:rFonts w:hint="eastAsia" w:ascii="Times New Roman" w:hAnsi="Times New Roman" w:eastAsia="宋体" w:cs="Times New Roman"/>
          <w:color w:val="000000"/>
          <w:sz w:val="24"/>
          <w:highlight w:val="none"/>
        </w:rPr>
        <w:t xml:space="preserve">对</w:t>
      </w:r>
      <w:r>
        <w:rPr>
          <w:rFonts w:hint="eastAsia" w:ascii="Times New Roman" w:hAnsi="Times New Roman" w:eastAsia="宋体" w:cs="Times New Roman"/>
          <w:color w:val="000000"/>
          <w:sz w:val="24"/>
          <w:highlight w:val="none"/>
          <w:lang w:val="en-US" w:eastAsia="zh-CN"/>
        </w:rPr>
        <w:t xml:space="preserve">中标人</w:t>
      </w:r>
      <w:r>
        <w:rPr>
          <w:rFonts w:hint="eastAsia" w:ascii="Times New Roman" w:hAnsi="Times New Roman" w:eastAsia="宋体" w:cs="Times New Roman"/>
          <w:color w:val="000000"/>
          <w:sz w:val="24"/>
          <w:highlight w:val="none"/>
        </w:rPr>
        <w:t xml:space="preserve">提交的货物依据</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rPr>
        <w:t xml:space="preserve">招标文件的技术规格要求和国家有关质量标准进行现场初步验收，符合招标文件技术要求的，给予签收</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初步验收不合格的不予签收并可立即要求退换。货到后，中标人在接到</w:t>
      </w:r>
      <w:r>
        <w:rPr>
          <w:rFonts w:hint="eastAsia" w:ascii="Times New Roman" w:hAnsi="Times New Roman" w:eastAsia="宋体" w:cs="Times New Roman"/>
          <w:color w:val="000000"/>
          <w:sz w:val="24"/>
          <w:highlight w:val="none"/>
          <w:lang w:eastAsia="zh-CN"/>
        </w:rPr>
        <w:t xml:space="preserve">采购人</w:t>
      </w:r>
      <w:r>
        <w:rPr>
          <w:rFonts w:hint="eastAsia" w:ascii="Times New Roman" w:hAnsi="Times New Roman" w:eastAsia="宋体" w:cs="Times New Roman"/>
          <w:color w:val="000000"/>
          <w:sz w:val="24"/>
          <w:highlight w:val="none"/>
        </w:rPr>
        <w:t xml:space="preserve">安装调试要求后</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个工作日内免费派技术人员到现场安装、调试至合格。</w:t>
      </w:r>
      <w:r/>
    </w:p>
    <w:p>
      <w:pPr>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设备安装、调试结束后，中标人需和</w:t>
      </w:r>
      <w:r>
        <w:rPr>
          <w:rFonts w:hint="eastAsia" w:ascii="Times New Roman" w:hAnsi="Times New Roman" w:eastAsia="宋体" w:cs="Times New Roman"/>
          <w:color w:val="000000"/>
          <w:sz w:val="24"/>
          <w:highlight w:val="none"/>
          <w:lang w:eastAsia="zh-CN"/>
        </w:rPr>
        <w:t xml:space="preserve">采购人</w:t>
      </w:r>
      <w:r>
        <w:rPr>
          <w:rFonts w:hint="eastAsia" w:ascii="Times New Roman" w:hAnsi="Times New Roman" w:eastAsia="宋体" w:cs="Times New Roman"/>
          <w:color w:val="000000"/>
          <w:sz w:val="24"/>
          <w:highlight w:val="none"/>
        </w:rPr>
        <w:t xml:space="preserve">商定具体验收时间，根据</w:t>
      </w:r>
      <w:r>
        <w:rPr>
          <w:rFonts w:hint="eastAsia" w:ascii="Times New Roman" w:hAnsi="Times New Roman" w:eastAsia="宋体" w:cs="Times New Roman"/>
          <w:color w:val="000000"/>
          <w:sz w:val="24"/>
          <w:highlight w:val="none"/>
          <w:lang w:val="en-US" w:eastAsia="zh-CN"/>
        </w:rPr>
        <w:t xml:space="preserve">中标人所投设备</w:t>
      </w:r>
      <w:r>
        <w:rPr>
          <w:rFonts w:hint="eastAsia" w:ascii="Times New Roman" w:hAnsi="Times New Roman" w:eastAsia="宋体" w:cs="Times New Roman"/>
          <w:color w:val="000000"/>
          <w:sz w:val="24"/>
          <w:highlight w:val="none"/>
        </w:rPr>
        <w:t xml:space="preserve">技术指标以及</w:t>
      </w:r>
      <w:r>
        <w:rPr>
          <w:rFonts w:hint="eastAsia" w:ascii="Times New Roman" w:hAnsi="Times New Roman" w:eastAsia="宋体" w:cs="Times New Roman"/>
          <w:color w:val="000000"/>
          <w:sz w:val="24"/>
          <w:highlight w:val="none"/>
          <w:lang w:val="en-US" w:eastAsia="zh-CN"/>
        </w:rPr>
        <w:t xml:space="preserve">采购</w:t>
      </w:r>
      <w:r>
        <w:rPr>
          <w:rFonts w:hint="eastAsia" w:ascii="Times New Roman" w:hAnsi="Times New Roman" w:eastAsia="宋体" w:cs="Times New Roman"/>
          <w:color w:val="000000"/>
          <w:sz w:val="24"/>
          <w:highlight w:val="none"/>
        </w:rPr>
        <w:t xml:space="preserve">文件的要求作验收试验，直至</w:t>
      </w:r>
      <w:r>
        <w:rPr>
          <w:rFonts w:hint="eastAsia" w:ascii="Times New Roman" w:hAnsi="Times New Roman" w:eastAsia="宋体" w:cs="Times New Roman"/>
          <w:color w:val="000000"/>
          <w:sz w:val="24"/>
          <w:highlight w:val="none"/>
          <w:lang w:val="en-US" w:eastAsia="zh-CN"/>
        </w:rPr>
        <w:t xml:space="preserve">采购人</w:t>
      </w:r>
      <w:r>
        <w:rPr>
          <w:rFonts w:hint="eastAsia" w:ascii="Times New Roman" w:hAnsi="Times New Roman" w:eastAsia="宋体" w:cs="Times New Roman"/>
          <w:color w:val="000000"/>
          <w:sz w:val="24"/>
          <w:highlight w:val="none"/>
        </w:rPr>
        <w:t xml:space="preserve">认可仪器无偏离技术性能为止。如不能通过验收，</w:t>
      </w:r>
      <w:r>
        <w:rPr>
          <w:rFonts w:hint="eastAsia" w:ascii="Times New Roman" w:hAnsi="Times New Roman" w:eastAsia="宋体" w:cs="Times New Roman"/>
          <w:color w:val="000000"/>
          <w:sz w:val="24"/>
          <w:highlight w:val="none"/>
          <w:lang w:val="en-US" w:eastAsia="zh-CN"/>
        </w:rPr>
        <w:t xml:space="preserve">采购人</w:t>
      </w:r>
      <w:r>
        <w:rPr>
          <w:rFonts w:hint="eastAsia" w:ascii="Times New Roman" w:hAnsi="Times New Roman" w:eastAsia="宋体" w:cs="Times New Roman"/>
          <w:color w:val="000000"/>
          <w:sz w:val="24"/>
          <w:highlight w:val="none"/>
        </w:rPr>
        <w:t xml:space="preserve">有权拒绝验收要求退还货物并追究中标人的法律责任。</w:t>
      </w:r>
      <w:r/>
    </w:p>
    <w:p>
      <w:pPr>
        <w:ind w:firstLine="480"/>
        <w:spacing w:line="360" w:lineRule="auto"/>
        <w:rPr>
          <w:rFonts w:hint="default" w:ascii="Times New Roman" w:hAnsi="Times New Roman" w:eastAsia="宋体" w:cs="Times New Roman"/>
          <w:color w:val="000000"/>
          <w:sz w:val="24"/>
          <w:highlight w:val="none"/>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项目验收材料</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提供完整、真实</w:t>
      </w:r>
      <w:r>
        <w:rPr>
          <w:rFonts w:hint="eastAsia" w:ascii="Times New Roman" w:hAnsi="Times New Roman" w:eastAsia="宋体" w:cs="Times New Roman"/>
          <w:sz w:val="24"/>
          <w:szCs w:val="24"/>
          <w:highlight w:val="none"/>
          <w:lang w:val="en-US" w:eastAsia="zh-CN"/>
        </w:rPr>
        <w:t xml:space="preserve">的</w:t>
      </w:r>
      <w:r>
        <w:rPr>
          <w:rFonts w:ascii="Times New Roman" w:hAnsi="Times New Roman" w:eastAsia="宋体" w:cs="Times New Roman"/>
          <w:sz w:val="24"/>
          <w:szCs w:val="24"/>
          <w:highlight w:val="none"/>
        </w:rPr>
        <w:t xml:space="preserve">货物交接单、设备合格证、</w:t>
      </w:r>
      <w:r>
        <w:rPr>
          <w:rFonts w:hint="eastAsia" w:ascii="Times New Roman" w:hAnsi="Times New Roman" w:cs="Times New Roman"/>
          <w:sz w:val="24"/>
          <w:szCs w:val="24"/>
          <w:highlight w:val="none"/>
          <w:lang w:eastAsia="zh-CN"/>
        </w:rPr>
        <w:t xml:space="preserve">采购人</w:t>
      </w:r>
      <w:r>
        <w:rPr>
          <w:rFonts w:ascii="Times New Roman" w:hAnsi="Times New Roman" w:eastAsia="宋体" w:cs="Times New Roman"/>
          <w:sz w:val="24"/>
          <w:szCs w:val="24"/>
          <w:highlight w:val="none"/>
        </w:rPr>
        <w:t xml:space="preserve">手册、设备相关测试报告，项目总结报告等</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中标人汇报项目整体建造情况，主要包括：大气环境监测设备安装、调试、性能测试结果等。</w:t>
      </w:r>
      <w:r/>
    </w:p>
    <w:p>
      <w:pPr>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cs="Times New Roman"/>
          <w:b/>
          <w:color w:val="auto"/>
          <w:sz w:val="28"/>
          <w:szCs w:val="28"/>
          <w:highlight w:val="none"/>
          <w:lang w:val="en-US" w:eastAsia="zh-CN"/>
        </w:rPr>
        <w:t xml:space="preserve">八</w:t>
      </w:r>
      <w:r>
        <w:rPr>
          <w:rFonts w:hint="eastAsia" w:ascii="Times New Roman" w:hAnsi="Times New Roman" w:eastAsia="宋体" w:cs="Times New Roman"/>
          <w:b/>
          <w:color w:val="auto"/>
          <w:sz w:val="28"/>
          <w:szCs w:val="28"/>
          <w:highlight w:val="none"/>
        </w:rPr>
        <w:t xml:space="preserve">、售后服务要求</w:t>
      </w:r>
      <w:r/>
    </w:p>
    <w:p>
      <w:pPr>
        <w:pStyle w:val="1085"/>
        <w:ind w:right="0" w:firstLine="480"/>
        <w:spacing w:before="0" w:beforeAutospacing="0" w:after="0" w:afterAutospacing="0"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1、所有产品质保期1年，质保期从大气环境监测设备交付于采购人并验收合格之日起算。</w:t>
      </w:r>
      <w:r/>
    </w:p>
    <w:p>
      <w:pPr>
        <w:pStyle w:val="1085"/>
        <w:ind w:right="0" w:firstLine="48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2、在设备的设计使用寿命周期内，中标人应能保证</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更换到原厂正宗的零部件，确保设备的正常使用。在使用过程若需要调换配件，在保修期内凡人为引起的，一切费用由中标人承担。如人为造成或保修期外需维修的中标人可收取维修材料费。质保期内同一产品、同一质量问题连续两次维修仍无法正常使用的，须更换同品牌、同样式新产品，并对产品质量</w:t>
      </w:r>
      <w:r>
        <w:rPr>
          <w:rFonts w:hint="eastAsia" w:ascii="宋体" w:hAnsi="宋体" w:eastAsia="宋体" w:cs="宋体"/>
          <w:color w:val="000000" w:themeColor="text1"/>
          <w:sz w:val="24"/>
          <w:szCs w:val="24"/>
          <w:highlight w:val="none"/>
          <w14:textFill>
            <w14:solidFill>
              <w14:schemeClr w14:val="tx1"/>
            </w14:solidFill>
          </w14:textFill>
        </w:rPr>
        <w:t xml:space="preserve">实行“三包”服务。</w:t>
      </w:r>
      <w:r/>
    </w:p>
    <w:p>
      <w:pPr>
        <w:pStyle w:val="1085"/>
        <w:ind w:right="0" w:firstLine="480"/>
        <w:spacing w:before="0" w:beforeAutospacing="0" w:after="0" w:afterAutospacing="0" w:line="36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3、技术支持：保修期届满后，对设备进行必要的维护或修理，随时解答采购人各类技术问题，向采购人提供技术支援。</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4、安全要求：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（1）由于产品质量问题导致使用者产生的一切人身安全事故由中标人负全责。</w:t>
      </w:r>
      <w:r/>
    </w:p>
    <w:p>
      <w:pPr>
        <w:pStyle w:val="1085"/>
        <w:ind w:right="0" w:firstLine="48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（2）中标人对（除采购人原因之外）所有的运输、安装、施工、人员等项目实施过程的安全负全责。</w:t>
      </w:r>
      <w:r/>
    </w:p>
    <w:p>
      <w:pPr>
        <w:pStyle w:val="1085"/>
        <w:ind w:right="0" w:firstLine="48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定期维修保养、</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技术保障等。</w:t>
      </w:r>
      <w:r/>
    </w:p>
    <w:p>
      <w:pPr>
        <w:pStyle w:val="1085"/>
        <w:ind w:right="0" w:firstLine="48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提供7天×24小时服务电话，每次出现故障时2h响应，24h内提供解决方案，若远程解决不了，则48h内工程师上门维修。如工程师上门维修无法解决故障，需上备机。如投标人非制造商，需提供投标主要产品制造商针对本项目的售后服务方案。</w:t>
      </w:r>
      <w:r/>
    </w:p>
    <w:p>
      <w:pPr>
        <w:ind w:firstLine="562"/>
        <w:jc w:val="left"/>
        <w:spacing w:line="360" w:lineRule="auto"/>
        <w:rPr>
          <w:rFonts w:ascii="Times New Roman" w:hAnsi="Times New Roman" w:eastAsia="宋体" w:cs="Times New Roman"/>
          <w:b/>
          <w:i/>
          <w:iCs/>
          <w:color w:val="auto"/>
          <w:sz w:val="28"/>
          <w:szCs w:val="28"/>
          <w:highlight w:val="none"/>
          <w:u w:val="single"/>
        </w:rPr>
      </w:pPr>
      <w:r>
        <w:rPr>
          <w:rFonts w:hint="eastAsia" w:ascii="Times New Roman" w:hAnsi="Times New Roman" w:cs="Times New Roman"/>
          <w:b/>
          <w:i/>
          <w:iCs/>
          <w:color w:val="auto"/>
          <w:sz w:val="28"/>
          <w:szCs w:val="28"/>
          <w:highlight w:val="none"/>
          <w:u w:val="single"/>
          <w:lang w:val="en-US" w:eastAsia="zh-CN"/>
        </w:rPr>
        <w:t xml:space="preserve">九</w:t>
      </w:r>
      <w:r>
        <w:rPr>
          <w:rFonts w:hint="eastAsia" w:ascii="Times New Roman" w:hAnsi="Times New Roman" w:eastAsia="宋体" w:cs="Times New Roman"/>
          <w:b/>
          <w:i/>
          <w:iCs/>
          <w:color w:val="auto"/>
          <w:sz w:val="28"/>
          <w:szCs w:val="28"/>
          <w:highlight w:val="none"/>
          <w:u w:val="single"/>
        </w:rPr>
        <w:t xml:space="preserve">、投标报价要求</w:t>
      </w:r>
      <w:r/>
    </w:p>
    <w:p>
      <w:pPr>
        <w:ind w:firstLine="480"/>
        <w:spacing w:line="360" w:lineRule="auto"/>
        <w:rPr>
          <w:rFonts w:hint="eastAsia" w:ascii="宋体" w:hAnsi="宋体" w:eastAsia="宋体" w:cs="宋体"/>
          <w:bCs/>
          <w:i/>
          <w:iCs/>
          <w:color w:val="auto"/>
          <w:sz w:val="24"/>
          <w:highlight w:val="none"/>
          <w:u w:val="single"/>
        </w:rPr>
      </w:pPr>
      <w:r>
        <w:rPr>
          <w:rFonts w:hint="eastAsia" w:ascii="宋体" w:hAnsi="宋体" w:eastAsia="宋体" w:cs="宋体"/>
          <w:bCs/>
          <w:i/>
          <w:iCs/>
          <w:color w:val="auto"/>
          <w:sz w:val="24"/>
          <w:highlight w:val="none"/>
          <w:u w:val="single"/>
        </w:rPr>
        <w:t xml:space="preserve">（</w:t>
      </w:r>
      <w:r>
        <w:rPr>
          <w:rFonts w:hint="eastAsia" w:ascii="宋体" w:hAnsi="宋体" w:eastAsia="宋体" w:cs="宋体"/>
          <w:bCs/>
          <w:i/>
          <w:iCs/>
          <w:color w:val="auto"/>
          <w:sz w:val="24"/>
          <w:highlight w:val="none"/>
          <w:u w:val="single"/>
          <w:lang w:val="en-US" w:eastAsia="zh-CN"/>
        </w:rPr>
        <w:t xml:space="preserve">1</w:t>
      </w:r>
      <w:r>
        <w:rPr>
          <w:rFonts w:hint="eastAsia" w:ascii="宋体" w:hAnsi="宋体" w:eastAsia="宋体" w:cs="宋体"/>
          <w:bCs/>
          <w:i/>
          <w:iCs/>
          <w:color w:val="auto"/>
          <w:sz w:val="24"/>
          <w:highlight w:val="none"/>
          <w:u w:val="single"/>
        </w:rPr>
        <w:t xml:space="preserve">）本次投标报价为</w:t>
      </w:r>
      <w:r>
        <w:rPr>
          <w:rFonts w:hint="eastAsia" w:ascii="宋体" w:hAnsi="宋体" w:eastAsia="宋体" w:cs="宋体"/>
          <w:bCs/>
          <w:i/>
          <w:iCs/>
          <w:color w:val="auto"/>
          <w:sz w:val="24"/>
          <w:highlight w:val="none"/>
          <w:u w:val="single"/>
          <w:lang w:val="en-US" w:eastAsia="zh-CN"/>
        </w:rPr>
        <w:t xml:space="preserve">总价</w:t>
      </w:r>
      <w:r>
        <w:rPr>
          <w:rFonts w:hint="eastAsia" w:ascii="宋体" w:hAnsi="宋体" w:eastAsia="宋体" w:cs="宋体"/>
          <w:bCs/>
          <w:i/>
          <w:iCs/>
          <w:color w:val="auto"/>
          <w:sz w:val="24"/>
          <w:highlight w:val="none"/>
          <w:u w:val="single"/>
        </w:rPr>
        <w:t xml:space="preserve">包干制，中标后不再进行任何调整。</w:t>
      </w:r>
      <w:r/>
    </w:p>
    <w:p>
      <w:pPr>
        <w:ind w:firstLine="480"/>
        <w:spacing w:line="360" w:lineRule="auto"/>
        <w:rPr>
          <w:rFonts w:hint="eastAsia" w:hAnsi="Times New Roman"/>
          <w:bCs/>
          <w:color w:val="auto"/>
          <w:sz w:val="24"/>
          <w:highlight w:val="none"/>
        </w:rPr>
      </w:pPr>
      <w:r>
        <w:rPr>
          <w:rFonts w:hint="eastAsia" w:ascii="宋体" w:hAnsi="宋体" w:eastAsia="宋体" w:cs="宋体"/>
          <w:bCs/>
          <w:i/>
          <w:iCs/>
          <w:color w:val="auto"/>
          <w:sz w:val="24"/>
          <w:highlight w:val="none"/>
          <w:u w:val="single"/>
          <w:lang w:eastAsia="zh-CN"/>
        </w:rPr>
        <w:t xml:space="preserve">（</w:t>
      </w:r>
      <w:r>
        <w:rPr>
          <w:rFonts w:hint="eastAsia" w:ascii="宋体" w:hAnsi="宋体" w:eastAsia="宋体" w:cs="宋体"/>
          <w:bCs/>
          <w:i/>
          <w:iCs/>
          <w:color w:val="auto"/>
          <w:sz w:val="24"/>
          <w:highlight w:val="none"/>
          <w:u w:val="single"/>
          <w:lang w:val="en-US" w:eastAsia="zh-CN"/>
        </w:rPr>
        <w:t xml:space="preserve">2</w:t>
      </w:r>
      <w:r>
        <w:rPr>
          <w:rFonts w:hint="eastAsia" w:ascii="宋体" w:hAnsi="宋体" w:eastAsia="宋体" w:cs="宋体"/>
          <w:bCs/>
          <w:i/>
          <w:iCs/>
          <w:color w:val="auto"/>
          <w:sz w:val="24"/>
          <w:highlight w:val="none"/>
          <w:u w:val="single"/>
          <w:lang w:eastAsia="zh-CN"/>
        </w:rPr>
        <w:t xml:space="preserve">）供应商须以人民币报价，</w:t>
      </w:r>
      <w:r>
        <w:rPr>
          <w:rFonts w:hint="eastAsia" w:ascii="宋体" w:hAnsi="宋体" w:eastAsia="宋体" w:cs="宋体"/>
          <w:bCs/>
          <w:i/>
          <w:iCs/>
          <w:color w:val="auto"/>
          <w:sz w:val="24"/>
          <w:highlight w:val="none"/>
          <w:u w:val="single"/>
        </w:rPr>
        <w:t xml:space="preserve">投标总报价包括满足本项目要求的所有产品及其配件、包装、运杂、安装调试及售后服务</w:t>
      </w:r>
      <w:r>
        <w:rPr>
          <w:rFonts w:hint="eastAsia" w:ascii="宋体" w:hAnsi="宋体" w:eastAsia="宋体" w:cs="宋体"/>
          <w:bCs/>
          <w:i/>
          <w:iCs/>
          <w:color w:val="auto"/>
          <w:sz w:val="24"/>
          <w:highlight w:val="none"/>
          <w:u w:val="single"/>
          <w:lang w:val="en-US" w:eastAsia="zh-CN"/>
        </w:rPr>
        <w:t xml:space="preserve">;</w:t>
      </w:r>
      <w:r>
        <w:rPr>
          <w:rFonts w:hint="eastAsia" w:ascii="宋体" w:hAnsi="宋体" w:eastAsia="宋体" w:cs="宋体"/>
          <w:bCs/>
          <w:i/>
          <w:iCs/>
          <w:sz w:val="24"/>
          <w:szCs w:val="24"/>
          <w:highlight w:val="none"/>
          <w:u w:val="single"/>
        </w:rPr>
        <w:t xml:space="preserve">人员费用：包括但不限于人员工资、住宿费、差旅费、加班费等；车辆费用：包括但不限于加油费、过桥过路费、维修保养费、</w:t>
      </w:r>
      <w:r>
        <w:rPr>
          <w:rFonts w:hint="eastAsia" w:ascii="宋体" w:hAnsi="宋体" w:cs="宋体"/>
          <w:bCs/>
          <w:i/>
          <w:iCs/>
          <w:sz w:val="24"/>
          <w:szCs w:val="24"/>
          <w:highlight w:val="none"/>
          <w:u w:val="single"/>
          <w:lang w:val="en-US" w:eastAsia="zh-CN"/>
        </w:rPr>
        <w:t xml:space="preserve">改装费、</w:t>
      </w:r>
      <w:r>
        <w:rPr>
          <w:rFonts w:hint="eastAsia" w:ascii="宋体" w:hAnsi="宋体" w:eastAsia="宋体" w:cs="宋体"/>
          <w:bCs/>
          <w:i/>
          <w:iCs/>
          <w:sz w:val="24"/>
          <w:szCs w:val="24"/>
          <w:highlight w:val="none"/>
          <w:u w:val="single"/>
        </w:rPr>
        <w:t xml:space="preserve">停车费等；包括所有监测设备的</w:t>
      </w:r>
      <w:r>
        <w:rPr>
          <w:rFonts w:hint="eastAsia" w:ascii="宋体" w:hAnsi="宋体" w:eastAsia="宋体" w:cs="宋体"/>
          <w:bCs/>
          <w:i/>
          <w:iCs/>
          <w:sz w:val="24"/>
          <w:szCs w:val="24"/>
          <w:highlight w:val="none"/>
          <w:u w:val="single"/>
          <w:lang w:val="en-US" w:eastAsia="zh-CN"/>
        </w:rPr>
        <w:t xml:space="preserve">运营</w:t>
      </w:r>
      <w:r>
        <w:rPr>
          <w:rFonts w:hint="eastAsia" w:ascii="宋体" w:hAnsi="宋体" w:eastAsia="宋体" w:cs="宋体"/>
          <w:bCs/>
          <w:i/>
          <w:iCs/>
          <w:sz w:val="24"/>
          <w:szCs w:val="24"/>
          <w:highlight w:val="none"/>
          <w:u w:val="single"/>
        </w:rPr>
        <w:t xml:space="preserve">维护费用，包括但不限于备件耗材费、网络费等</w:t>
      </w:r>
      <w:r>
        <w:rPr>
          <w:rFonts w:hint="eastAsia" w:ascii="宋体" w:hAnsi="宋体" w:eastAsia="宋体" w:cs="宋体"/>
          <w:bCs/>
          <w:i/>
          <w:iCs/>
          <w:color w:val="auto"/>
          <w:sz w:val="24"/>
          <w:highlight w:val="none"/>
          <w:u w:val="single"/>
        </w:rPr>
        <w:t xml:space="preserve">从项目中标</w:t>
      </w:r>
      <w:r>
        <w:rPr>
          <w:rFonts w:hint="eastAsia" w:ascii="宋体" w:hAnsi="宋体" w:eastAsia="宋体" w:cs="宋体"/>
          <w:bCs/>
          <w:i/>
          <w:iCs/>
          <w:color w:val="auto"/>
          <w:sz w:val="24"/>
          <w:highlight w:val="none"/>
          <w:u w:val="single"/>
          <w:lang w:val="en-US" w:eastAsia="zh-CN"/>
        </w:rPr>
        <w:t xml:space="preserve">成交</w:t>
      </w:r>
      <w:r>
        <w:rPr>
          <w:rFonts w:hint="eastAsia" w:ascii="宋体" w:hAnsi="宋体" w:eastAsia="宋体" w:cs="宋体"/>
          <w:bCs/>
          <w:i/>
          <w:iCs/>
          <w:color w:val="auto"/>
          <w:sz w:val="24"/>
          <w:highlight w:val="none"/>
          <w:u w:val="single"/>
        </w:rPr>
        <w:t xml:space="preserve">起到项目正式交付以及质保期内所发生的一切费用。</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十</w:t>
      </w:r>
      <w:r>
        <w:rPr>
          <w:rFonts w:hint="eastAsia" w:ascii="Times New Roman" w:hAnsi="Times New Roman" w:eastAsia="宋体" w:cs="Times New Roman"/>
          <w:b/>
          <w:color w:val="auto"/>
          <w:sz w:val="28"/>
          <w:szCs w:val="28"/>
          <w:highlight w:val="none"/>
        </w:rPr>
        <w:t xml:space="preserve">、付款方式与履约保证金</w:t>
      </w:r>
      <w:r/>
    </w:p>
    <w:p>
      <w:pPr>
        <w:ind w:firstLine="480"/>
        <w:jc w:val="left"/>
        <w:spacing w:line="360" w:lineRule="auto"/>
        <w:rPr>
          <w:i w:val="0"/>
          <w:iCs w:val="0"/>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合同款项的支付方式及进度安排</w:t>
      </w:r>
      <w:r/>
    </w:p>
    <w:p>
      <w:pPr>
        <w:pStyle w:val="794"/>
        <w:ind w:firstLine="480"/>
        <w:jc w:val="both"/>
        <w:keepLines w:val="0"/>
        <w:keepNext w:val="0"/>
        <w:spacing w:before="120" w:beforeAutospacing="0" w:after="12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1.1 预付款支付时间：</w:t>
      </w:r>
      <w:r>
        <w:rPr>
          <w:rFonts w:ascii="Times New Roman" w:hAnsi="Times New Roman" w:eastAsia="宋体" w:cs="Times New Roman"/>
          <w:i/>
          <w:iCs/>
          <w:sz w:val="24"/>
          <w:szCs w:val="24"/>
          <w:highlight w:val="none"/>
          <w:u w:val="single"/>
        </w:rPr>
        <w:t xml:space="preserve">双方</w:t>
      </w:r>
      <w:r>
        <w:rPr>
          <w:rFonts w:hint="eastAsia" w:ascii="宋体" w:hAnsi="宋体" w:eastAsia="宋体" w:cs="宋体"/>
          <w:i/>
          <w:iCs/>
          <w:color w:val="000000"/>
          <w:sz w:val="24"/>
          <w:szCs w:val="24"/>
          <w:highlight w:val="none"/>
          <w:u w:val="single"/>
        </w:rPr>
        <w:t xml:space="preserve">合同签订后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中标人按采购人要求提供正规发票，采购人收到发票后10个工作日内一次性支付合同金额的10%作为项目预付款。</w:t>
      </w:r>
      <w:r>
        <w:rPr>
          <w:rFonts w:hint="eastAsia" w:ascii="宋体" w:hAnsi="宋体" w:eastAsia="宋体" w:cs="宋体"/>
          <w:color w:val="000000"/>
          <w:sz w:val="24"/>
          <w:szCs w:val="24"/>
          <w:highlight w:val="none"/>
        </w:rPr>
        <w:t xml:space="preserve">预付款支付比例：</w:t>
      </w:r>
      <w:r>
        <w:rPr>
          <w:rFonts w:hint="eastAsia" w:ascii="宋体" w:hAnsi="宋体" w:eastAsia="宋体" w:cs="宋体"/>
          <w:i/>
          <w:iCs/>
          <w:color w:val="000000"/>
          <w:sz w:val="24"/>
          <w:szCs w:val="24"/>
          <w:highlight w:val="none"/>
          <w:u w:val="single"/>
        </w:rPr>
        <w:t xml:space="preserve">合同金额的</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w:t>
      </w:r>
      <w:r/>
    </w:p>
    <w:p>
      <w:pPr>
        <w:pStyle w:val="794"/>
        <w:ind w:firstLine="480"/>
        <w:jc w:val="both"/>
        <w:keepLines w:val="0"/>
        <w:keepNext w:val="0"/>
        <w:spacing w:before="120" w:beforeAutospacing="0" w:after="120" w:afterAutospacing="0" w:line="360" w:lineRule="auto"/>
        <w:widowControl w:val="off"/>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1.2进度款支付时间：</w:t>
      </w:r>
      <w:r>
        <w:rPr>
          <w:rFonts w:hint="eastAsia" w:ascii="宋体" w:hAnsi="宋体" w:eastAsia="宋体" w:cs="宋体"/>
          <w:i/>
          <w:iCs/>
          <w:color w:val="000000"/>
          <w:sz w:val="24"/>
          <w:szCs w:val="24"/>
          <w:highlight w:val="none"/>
          <w:u w:val="single"/>
          <w:lang w:val="en-US" w:eastAsia="zh-CN"/>
        </w:rPr>
        <w:t xml:space="preserve">大气环境监测所有设备交付于采购人且设备安装调试完成并整体验收合格后，中标人按采购人要求提供正规发票</w:t>
      </w:r>
      <w:r>
        <w:rPr>
          <w:rFonts w:hint="eastAsia" w:ascii="宋体" w:hAnsi="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lang w:val="en-US" w:eastAsia="zh-CN"/>
        </w:rPr>
        <w:t xml:space="preserve">采购人收到发票后10个工作日内一次性支付合同额的50%作为</w:t>
      </w:r>
      <w:r>
        <w:rPr>
          <w:rFonts w:hint="eastAsia" w:ascii="宋体" w:hAnsi="宋体" w:cs="宋体"/>
          <w:i/>
          <w:iCs/>
          <w:color w:val="000000"/>
          <w:sz w:val="24"/>
          <w:szCs w:val="24"/>
          <w:highlight w:val="none"/>
          <w:u w:val="single"/>
          <w:lang w:val="en-US" w:eastAsia="zh-CN"/>
        </w:rPr>
        <w:t xml:space="preserve">项目</w:t>
      </w:r>
      <w:r>
        <w:rPr>
          <w:rFonts w:hint="eastAsia" w:ascii="宋体" w:hAnsi="宋体" w:eastAsia="宋体" w:cs="宋体"/>
          <w:i/>
          <w:iCs/>
          <w:color w:val="000000"/>
          <w:sz w:val="24"/>
          <w:szCs w:val="24"/>
          <w:highlight w:val="none"/>
          <w:u w:val="single"/>
          <w:lang w:val="en-US" w:eastAsia="zh-CN"/>
        </w:rPr>
        <w:t xml:space="preserve">进度款。</w:t>
      </w:r>
      <w:r>
        <w:rPr>
          <w:rFonts w:hint="eastAsia" w:ascii="宋体" w:hAnsi="宋体" w:eastAsia="宋体" w:cs="宋体"/>
          <w:i w:val="0"/>
          <w:iCs w:val="0"/>
          <w:color w:val="000000"/>
          <w:sz w:val="24"/>
          <w:szCs w:val="24"/>
          <w:highlight w:val="none"/>
          <w:u w:val="none"/>
          <w:lang w:val="en-US" w:eastAsia="zh-CN"/>
        </w:rPr>
        <w:t xml:space="preserve">进度款支付比例：</w:t>
      </w:r>
      <w:r>
        <w:rPr>
          <w:rFonts w:hint="eastAsia" w:ascii="宋体" w:hAnsi="宋体" w:eastAsia="宋体" w:cs="宋体"/>
          <w:i/>
          <w:iCs/>
          <w:color w:val="000000"/>
          <w:sz w:val="24"/>
          <w:szCs w:val="24"/>
          <w:highlight w:val="none"/>
          <w:u w:val="single"/>
        </w:rPr>
        <w:t xml:space="preserve">合同金额的</w:t>
      </w:r>
      <w:r>
        <w:rPr>
          <w:rFonts w:hint="eastAsia" w:ascii="宋体" w:hAnsi="宋体" w:eastAsia="宋体" w:cs="宋体"/>
          <w:i/>
          <w:iCs/>
          <w:color w:val="000000"/>
          <w:sz w:val="24"/>
          <w:szCs w:val="24"/>
          <w:highlight w:val="none"/>
          <w:u w:val="single"/>
          <w:lang w:val="en-US" w:eastAsia="zh-CN"/>
        </w:rPr>
        <w:t xml:space="preserve">50</w:t>
      </w:r>
      <w:r>
        <w:rPr>
          <w:rFonts w:hint="eastAsia" w:ascii="宋体" w:hAnsi="宋体" w:eastAsia="宋体" w:cs="宋体"/>
          <w:i/>
          <w:iCs/>
          <w:color w:val="000000"/>
          <w:sz w:val="24"/>
          <w:szCs w:val="24"/>
          <w:highlight w:val="none"/>
          <w:u w:val="single"/>
        </w:rPr>
        <w:t xml:space="preserve">%。</w:t>
      </w:r>
      <w:r/>
    </w:p>
    <w:p>
      <w:pPr>
        <w:pStyle w:val="794"/>
        <w:ind w:firstLine="480"/>
        <w:jc w:val="both"/>
        <w:keepLines w:val="0"/>
        <w:keepNext w:val="0"/>
        <w:spacing w:before="120" w:beforeAutospacing="0" w:after="120" w:afterAutospacing="0" w:line="360" w:lineRule="auto"/>
        <w:widowControl w:val="off"/>
        <w:rPr>
          <w:rFonts w:ascii="Times New Roman" w:hAnsi="Times New Roman" w:eastAsia="宋体" w:cs="Times New Roman"/>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尾款支付时间：</w:t>
      </w:r>
      <w:r>
        <w:rPr>
          <w:rFonts w:ascii="Times New Roman" w:hAnsi="Times New Roman" w:eastAsia="宋体" w:cs="Times New Roman"/>
          <w:i/>
          <w:iCs/>
          <w:sz w:val="24"/>
          <w:szCs w:val="24"/>
          <w:highlight w:val="none"/>
          <w:u w:val="single"/>
        </w:rPr>
        <w:t xml:space="preserve">走航技术服务期满后，</w:t>
      </w:r>
      <w:r>
        <w:rPr>
          <w:rFonts w:hint="eastAsia" w:ascii="Times New Roman" w:hAnsi="Times New Roman" w:cs="Times New Roman"/>
          <w:i/>
          <w:iCs/>
          <w:sz w:val="24"/>
          <w:szCs w:val="24"/>
          <w:highlight w:val="none"/>
          <w:u w:val="single"/>
          <w:lang w:val="en-US" w:eastAsia="zh-CN"/>
        </w:rPr>
        <w:t xml:space="preserve">中标人</w:t>
      </w:r>
      <w:r>
        <w:rPr>
          <w:rFonts w:ascii="Times New Roman" w:hAnsi="Times New Roman" w:eastAsia="宋体" w:cs="Times New Roman"/>
          <w:i/>
          <w:iCs/>
          <w:sz w:val="24"/>
          <w:szCs w:val="24"/>
          <w:highlight w:val="none"/>
          <w:u w:val="single"/>
        </w:rPr>
        <w:t xml:space="preserve">按照</w:t>
      </w:r>
      <w:r>
        <w:rPr>
          <w:rFonts w:hint="eastAsia" w:ascii="Times New Roman" w:hAnsi="Times New Roman" w:cs="Times New Roman"/>
          <w:i/>
          <w:iCs/>
          <w:sz w:val="24"/>
          <w:szCs w:val="24"/>
          <w:highlight w:val="none"/>
          <w:u w:val="single"/>
          <w:lang w:val="en-US" w:eastAsia="zh-CN"/>
        </w:rPr>
        <w:t xml:space="preserve">采购人</w:t>
      </w:r>
      <w:r>
        <w:rPr>
          <w:rFonts w:ascii="Times New Roman" w:hAnsi="Times New Roman" w:eastAsia="宋体" w:cs="Times New Roman"/>
          <w:i/>
          <w:iCs/>
          <w:sz w:val="24"/>
          <w:szCs w:val="24"/>
          <w:highlight w:val="none"/>
          <w:u w:val="single"/>
        </w:rPr>
        <w:t xml:space="preserve">要求提供项目所需相关材料，材料确认无误后，</w:t>
      </w:r>
      <w:r>
        <w:rPr>
          <w:rFonts w:hint="eastAsia" w:ascii="Times New Roman" w:hAnsi="Times New Roman" w:cs="Times New Roman"/>
          <w:i/>
          <w:iCs/>
          <w:sz w:val="24"/>
          <w:szCs w:val="24"/>
          <w:highlight w:val="none"/>
          <w:u w:val="single"/>
          <w:lang w:val="en-US" w:eastAsia="zh-CN"/>
        </w:rPr>
        <w:t xml:space="preserve">中标人按采购人要求提供正规发票</w:t>
      </w:r>
      <w:r>
        <w:rPr>
          <w:rFonts w:ascii="Times New Roman" w:hAnsi="Times New Roman" w:eastAsia="宋体" w:cs="Times New Roman"/>
          <w:i/>
          <w:iCs/>
          <w:sz w:val="24"/>
          <w:szCs w:val="24"/>
          <w:highlight w:val="none"/>
          <w:u w:val="single"/>
        </w:rPr>
        <w:t xml:space="preserve">，</w:t>
      </w:r>
      <w:r>
        <w:rPr>
          <w:rFonts w:hint="eastAsia" w:ascii="Times New Roman" w:hAnsi="Times New Roman" w:eastAsia="宋体" w:cs="Times New Roman"/>
          <w:i/>
          <w:iCs/>
          <w:sz w:val="24"/>
          <w:szCs w:val="24"/>
          <w:highlight w:val="none"/>
          <w:u w:val="single"/>
        </w:rPr>
        <w:t xml:space="preserve">采购人收到发票后10个工作日内</w:t>
      </w:r>
      <w:r>
        <w:rPr>
          <w:rFonts w:ascii="Times New Roman" w:hAnsi="Times New Roman" w:eastAsia="宋体" w:cs="Times New Roman"/>
          <w:i/>
          <w:iCs/>
          <w:sz w:val="24"/>
          <w:szCs w:val="24"/>
          <w:highlight w:val="none"/>
          <w:u w:val="single"/>
        </w:rPr>
        <w:t xml:space="preserve">一次性支付合同额的40%</w:t>
      </w:r>
      <w:r>
        <w:rPr>
          <w:rFonts w:hint="eastAsia" w:ascii="宋体" w:hAnsi="宋体" w:eastAsia="宋体" w:cs="宋体"/>
          <w:i/>
          <w:iCs/>
          <w:color w:val="000000"/>
          <w:sz w:val="24"/>
          <w:szCs w:val="24"/>
          <w:highlight w:val="none"/>
          <w:u w:val="single"/>
          <w:lang w:val="en-US" w:eastAsia="zh-CN"/>
        </w:rPr>
        <w:t xml:space="preserve">为</w:t>
      </w:r>
      <w:r>
        <w:rPr>
          <w:rFonts w:hint="eastAsia" w:ascii="宋体" w:hAnsi="宋体" w:cs="宋体"/>
          <w:i/>
          <w:iCs/>
          <w:color w:val="000000"/>
          <w:sz w:val="24"/>
          <w:szCs w:val="24"/>
          <w:highlight w:val="none"/>
          <w:u w:val="single"/>
          <w:lang w:val="en-US" w:eastAsia="zh-CN"/>
        </w:rPr>
        <w:t xml:space="preserve">项目尾款</w:t>
      </w:r>
      <w:r>
        <w:rPr>
          <w:rFonts w:hint="eastAsia" w:ascii="宋体" w:hAnsi="宋体" w:cs="宋体"/>
          <w:i/>
          <w:iCs/>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尾款支付比例：</w:t>
      </w:r>
      <w:r>
        <w:rPr>
          <w:rFonts w:hint="eastAsia" w:ascii="宋体" w:hAnsi="宋体" w:eastAsia="宋体" w:cs="宋体"/>
          <w:i/>
          <w:iCs/>
          <w:color w:val="000000"/>
          <w:sz w:val="24"/>
          <w:szCs w:val="24"/>
          <w:highlight w:val="none"/>
          <w:u w:val="single"/>
        </w:rPr>
        <w:t xml:space="preserve">合同金额的</w:t>
      </w:r>
      <w:r>
        <w:rPr>
          <w:rFonts w:hint="eastAsia" w:ascii="宋体" w:hAnsi="宋体" w:eastAsia="宋体" w:cs="宋体"/>
          <w:i/>
          <w:iCs/>
          <w:color w:val="000000"/>
          <w:sz w:val="24"/>
          <w:szCs w:val="24"/>
          <w:highlight w:val="none"/>
          <w:u w:val="single"/>
          <w:lang w:val="en-US" w:eastAsia="zh-CN"/>
        </w:rPr>
        <w:t xml:space="preserve">40</w:t>
      </w:r>
      <w:r>
        <w:rPr>
          <w:rFonts w:hint="eastAsia" w:ascii="宋体" w:hAnsi="宋体" w:eastAsia="宋体" w:cs="宋体"/>
          <w:i/>
          <w:iCs/>
          <w:color w:val="000000"/>
          <w:sz w:val="24"/>
          <w:szCs w:val="24"/>
          <w:highlight w:val="none"/>
          <w:u w:val="single"/>
        </w:rPr>
        <w:t xml:space="preserve">%。</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2、履约保证金</w:t>
      </w:r>
      <w:r/>
    </w:p>
    <w:p>
      <w:pPr>
        <w:ind w:firstLine="480"/>
        <w:jc w:val="left"/>
        <w:spacing w:line="360" w:lineRule="auto"/>
        <w:rPr>
          <w:rFonts w:ascii="Times New Roman" w:hAnsi="Times New Roman" w:eastAsia="宋体" w:cs="Times New Roman"/>
          <w:i w:val="0"/>
          <w:iCs w:val="0"/>
          <w:color w:val="auto"/>
          <w:szCs w:val="24"/>
          <w:highlight w:val="none"/>
          <w:u w:val="none"/>
        </w:rPr>
      </w:pPr>
      <w:r>
        <w:rPr>
          <w:rFonts w:hint="eastAsia" w:cs="Times New Roman" w:asciiTheme="minorEastAsia" w:hAnsiTheme="minorEastAsia"/>
          <w:i w:val="0"/>
          <w:iCs w:val="0"/>
          <w:color w:val="auto"/>
          <w:sz w:val="24"/>
          <w:szCs w:val="24"/>
          <w:highlight w:val="none"/>
          <w:u w:val="none"/>
        </w:rPr>
        <w:t xml:space="preserve">本项目不收取履约保证金。</w:t>
      </w:r>
      <w:r/>
    </w:p>
    <w:p>
      <w:pPr>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、其他</w:t>
      </w:r>
      <w:bookmarkEnd w:id="181"/>
      <w:r/>
      <w:bookmarkEnd w:id="182"/>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numPr>
          <w:ilvl w:val="0"/>
          <w:numId w:val="0"/>
        </w:numPr>
        <w:jc w:val="both"/>
        <w:spacing w:line="360" w:lineRule="auto"/>
        <w:widowControl w:val="off"/>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r>
      <w:r/>
    </w:p>
    <w:p>
      <w:pPr>
        <w:ind w:firstLine="56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color w:val="auto"/>
          <w:highlight w:val="none"/>
        </w:rPr>
      </w:pPr>
      <w:r/>
      <w:bookmarkStart w:id="191" w:name="_Toc120614281"/>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both"/>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pStyle w:val="802"/>
        <w:rPr>
          <w:rFonts w:hint="eastAsia"/>
          <w:highlight w:val="none"/>
        </w:rPr>
        <w:outlineLvl w:val="9"/>
      </w:pPr>
      <w:r>
        <w:rPr>
          <w:rFonts w:hint="eastAsia"/>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1002"/>
        <w:ind w:left="0" w:firstLine="0"/>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（四）中标标准：采用综合评分法的，评标结果按评审后得分</w:t>
      </w:r>
      <w:bookmarkStart w:id="192" w:name="OLE_LINK1"/>
      <w:r>
        <w:rPr>
          <w:rFonts w:hint="eastAsia" w:ascii="宋体" w:hAnsi="宋体" w:eastAsia="宋体" w:cs="宋体"/>
          <w:color w:val="000000"/>
          <w:sz w:val="24"/>
          <w:szCs w:val="24"/>
          <w:highlight w:val="none"/>
        </w:rPr>
        <w:t xml:space="preserve">由高到低</w:t>
      </w:r>
      <w:bookmarkEnd w:id="192"/>
      <w:r>
        <w:rPr>
          <w:rFonts w:hint="eastAsia" w:ascii="宋体" w:hAnsi="宋体" w:eastAsia="宋体" w:cs="宋体"/>
          <w:color w:val="000000"/>
          <w:sz w:val="24"/>
          <w:szCs w:val="24"/>
          <w:highlight w:val="none"/>
        </w:rPr>
        <w:t xml:space="preserve">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93" w:name="OLE_LINK2"/>
      <w:r>
        <w:rPr>
          <w:rFonts w:hint="eastAsia" w:ascii="宋体" w:hAnsi="宋体" w:eastAsia="宋体" w:cs="宋体"/>
          <w:color w:val="000000"/>
          <w:sz w:val="24"/>
          <w:szCs w:val="24"/>
          <w:highlight w:val="none"/>
        </w:rPr>
        <w:t xml:space="preserve">排名第一的</w:t>
      </w:r>
      <w:bookmarkEnd w:id="193"/>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p>
    <w:p>
      <w:pPr>
        <w:pStyle w:val="1067"/>
        <w:ind w:left="734" w:hanging="343"/>
        <w:jc w:val="center"/>
        <w:spacing w:line="360" w:lineRule="auto"/>
        <w:tabs>
          <w:tab w:val="left" w:pos="720" w:leader="none"/>
        </w:tabs>
        <w:rPr>
          <w:rFonts w:hint="eastAsia"/>
          <w:b/>
          <w:color w:val="auto"/>
          <w:sz w:val="28"/>
          <w:szCs w:val="28"/>
          <w:highlight w:val="none"/>
        </w:rPr>
      </w:pPr>
      <w:r>
        <w:rPr>
          <w:rFonts w:hint="eastAsia"/>
          <w:b/>
          <w:color w:val="auto"/>
          <w:sz w:val="28"/>
          <w:szCs w:val="28"/>
          <w:highlight w:val="none"/>
        </w:rPr>
        <w:t xml:space="preserve">综合评分法</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1.价格分：30分</w:t>
      </w:r>
      <w:r/>
    </w:p>
    <w:p>
      <w:pPr>
        <w:ind w:firstLine="440"/>
        <w:spacing w:line="400" w:lineRule="exact"/>
        <w:rPr>
          <w:rFonts w:hint="eastAsia" w:ascii="宋体"/>
          <w:color w:val="auto"/>
          <w:sz w:val="24"/>
          <w:szCs w:val="24"/>
          <w:highlight w:val="none"/>
        </w:rPr>
      </w:pPr>
      <w:r>
        <w:rPr>
          <w:rFonts w:hint="eastAsia" w:ascii="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400" w:lineRule="exact"/>
        <w:rPr>
          <w:rFonts w:hint="eastAsia" w:ascii="宋体"/>
          <w:color w:val="auto"/>
          <w:sz w:val="24"/>
          <w:szCs w:val="24"/>
          <w:highlight w:val="none"/>
        </w:rPr>
      </w:pPr>
      <w:r>
        <w:rPr>
          <w:rFonts w:hint="eastAsia" w:ascii="宋体"/>
          <w:color w:val="auto"/>
          <w:sz w:val="24"/>
          <w:szCs w:val="24"/>
          <w:highlight w:val="none"/>
        </w:rPr>
        <w:t xml:space="preserve">投标报价得分=（评标基准价/投标报价）× 30分。</w:t>
      </w:r>
      <w:r/>
    </w:p>
    <w:p>
      <w:pPr>
        <w:ind w:firstLine="440"/>
        <w:spacing w:line="400" w:lineRule="exact"/>
        <w:rPr>
          <w:rFonts w:hint="eastAsia" w:ascii="宋体" w:hAnsi="Times New Roman"/>
          <w:color w:val="auto"/>
          <w:sz w:val="24"/>
          <w:szCs w:val="24"/>
          <w:highlight w:val="none"/>
        </w:rPr>
      </w:pPr>
      <w:r>
        <w:rPr>
          <w:rFonts w:hint="eastAsia" w:ascii="宋体" w:hAnsi="Times New Roman"/>
          <w:color w:val="auto"/>
          <w:sz w:val="24"/>
          <w:szCs w:val="24"/>
          <w:highlight w:val="none"/>
        </w:rPr>
        <w:t xml:space="preserve">评标过程中，不得去掉报价中的最高报价和最低报价。</w:t>
      </w:r>
      <w:r/>
    </w:p>
    <w:p>
      <w:pPr>
        <w:spacing w:line="400" w:lineRule="exact"/>
        <w:rPr>
          <w:rFonts w:hint="eastAsia"/>
          <w:b/>
          <w:bCs/>
          <w:color w:val="auto"/>
          <w:sz w:val="24"/>
          <w:szCs w:val="24"/>
          <w:highlight w:val="none"/>
        </w:rPr>
      </w:pPr>
      <w:r>
        <w:rPr>
          <w:rFonts w:hint="eastAsia" w:cs="Times New Roman"/>
          <w:b/>
          <w:bCs/>
          <w:color w:val="auto"/>
          <w:sz w:val="24"/>
          <w:szCs w:val="24"/>
          <w:lang w:val="en-US" w:eastAsia="zh-CN" w:bidi="ar-SA"/>
        </w:rPr>
        <w:t xml:space="preserve">2.</w:t>
      </w:r>
      <w:r>
        <w:rPr>
          <w:rFonts w:hint="eastAsia"/>
          <w:b/>
          <w:bCs/>
          <w:color w:val="auto"/>
          <w:sz w:val="24"/>
          <w:szCs w:val="24"/>
          <w:highlight w:val="none"/>
        </w:rPr>
        <w:t xml:space="preserve">商务</w:t>
      </w:r>
      <w:r>
        <w:rPr>
          <w:rFonts w:hint="eastAsia"/>
          <w:b/>
          <w:bCs/>
          <w:color w:val="auto"/>
          <w:sz w:val="24"/>
          <w:szCs w:val="24"/>
          <w:highlight w:val="none"/>
          <w:lang w:val="en-US" w:eastAsia="zh-CN"/>
        </w:rPr>
        <w:t xml:space="preserve">技术</w:t>
      </w:r>
      <w:r>
        <w:rPr>
          <w:rFonts w:hint="eastAsia"/>
          <w:b/>
          <w:bCs/>
          <w:color w:val="auto"/>
          <w:sz w:val="24"/>
          <w:szCs w:val="24"/>
          <w:highlight w:val="none"/>
        </w:rPr>
        <w:t xml:space="preserve">分（</w:t>
      </w:r>
      <w:r>
        <w:rPr>
          <w:rFonts w:hint="eastAsia"/>
          <w:b/>
          <w:bCs/>
          <w:color w:val="auto"/>
          <w:sz w:val="24"/>
          <w:szCs w:val="24"/>
          <w:highlight w:val="none"/>
          <w:lang w:val="en-US" w:eastAsia="zh-CN"/>
        </w:rPr>
        <w:t xml:space="preserve">70</w:t>
      </w:r>
      <w:r>
        <w:rPr>
          <w:rFonts w:hint="eastAsia"/>
          <w:b/>
          <w:bCs/>
          <w:color w:val="auto"/>
          <w:sz w:val="24"/>
          <w:szCs w:val="24"/>
          <w:highlight w:val="none"/>
        </w:rPr>
        <w:t xml:space="preserve">分）</w:t>
      </w:r>
      <w:r/>
    </w:p>
    <w:tbl>
      <w:tblPr>
        <w:tblStyle w:val="771"/>
        <w:tblW w:w="9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2"/>
        <w:gridCol w:w="8351"/>
      </w:tblGrid>
      <w:tr>
        <w:trPr>
          <w:jc w:val="center"/>
          <w:trHeight w:val="621"/>
        </w:trPr>
        <w:tc>
          <w:tcPr>
            <w:tcW w:w="163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835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1403"/>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体系认证</w:t>
            </w:r>
            <w:r/>
          </w:p>
          <w:p>
            <w:pPr>
              <w:pStyle w:val="802"/>
              <w:jc w:val="center"/>
              <w:rPr>
                <w:rFonts w:hint="eastAsia"/>
                <w:highlight w:val="none"/>
                <w:lang w:val="en-US" w:eastAsia="zh-CN"/>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（4分）</w:t>
            </w:r>
            <w:r/>
          </w:p>
        </w:tc>
        <w:tc>
          <w:tcPr>
            <w:tcW w:w="8351" w:type="dxa"/>
            <w:vAlign w:val="center"/>
            <w:textDirection w:val="lrTb"/>
            <w:noWrap w:val="false"/>
          </w:tcPr>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1、投标人具有质量管理体系认证证书得1分；</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2、投标人具有环境管理体系认证证书得1分；</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3、投标人具有职业健康安全管理体系认证证书得1分；</w:t>
            </w:r>
            <w:r/>
          </w:p>
          <w:p>
            <w:pPr>
              <w:pStyle w:val="802"/>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4、投标人具有信息技术服务管理认证证书得1分，</w:t>
            </w:r>
            <w:r/>
          </w:p>
          <w:p>
            <w:pPr>
              <w:spacing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本项最高得4分。</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注：投标文件中提供证书扫描件及国家认证认可监督管理委员会网站（http://www.cnca.gov.cn/）查询截图。</w:t>
            </w:r>
            <w:r/>
          </w:p>
        </w:tc>
      </w:tr>
      <w:tr>
        <w:trPr>
          <w:jc w:val="center"/>
          <w:trHeight w:val="1403"/>
        </w:trPr>
        <w:tc>
          <w:tcPr>
            <w:tcW w:w="1632"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企业实力</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tc>
        <w:tc>
          <w:tcPr>
            <w:tcW w:w="8351" w:type="dxa"/>
            <w:vAlign w:val="center"/>
            <w:textDirection w:val="lrTb"/>
            <w:noWrap w:val="false"/>
          </w:tcPr>
          <w:p>
            <w:pPr>
              <w:ind w:firstLine="480"/>
              <w:spacing w:line="360" w:lineRule="auto"/>
              <w:widowControl/>
              <w:rPr>
                <w:rFonts w:hint="eastAsia"/>
                <w:color w:val="auto"/>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所承担过的</w:t>
            </w:r>
            <w:r>
              <w:rPr>
                <w:rFonts w:hint="eastAsia" w:ascii="宋体" w:hAnsi="宋体" w:eastAsia="宋体" w:cs="宋体"/>
                <w:color w:val="auto"/>
                <w:sz w:val="24"/>
                <w:szCs w:val="24"/>
                <w:highlight w:val="none"/>
              </w:rPr>
              <w:t xml:space="preserve">环保类项目入选国家级或省级智慧类“重点工程名单”或“标志性工程名单”的每有1次得2分，本项最高得4分。（须提供相关证明性文件扫描件上传，不提供不得分。）</w:t>
            </w:r>
            <w:r/>
          </w:p>
        </w:tc>
      </w:tr>
      <w:tr>
        <w:trPr>
          <w:jc w:val="center"/>
          <w:trHeight w:val="3232"/>
        </w:trPr>
        <w:tc>
          <w:tcPr>
            <w:tcW w:w="1632" w:type="dxa"/>
            <w:vAlign w:val="center"/>
            <w:vMerge w:val="restart"/>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业绩</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Borders>
              <w:bottom w:val="single" w:color="auto" w:sz="4" w:space="0"/>
            </w:tcBorders>
            <w:tcW w:w="8351" w:type="dxa"/>
            <w:vAlign w:val="center"/>
            <w:textDirection w:val="lrTb"/>
            <w:noWrap w:val="false"/>
          </w:tcPr>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1.投标人自2021年1月1日以来，具有大气环境监测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设备采购</w:t>
            </w:r>
            <w:r>
              <w:rPr>
                <w:rFonts w:hint="eastAsia" w:ascii="宋体" w:hAnsi="宋体" w:eastAsia="宋体" w:cs="宋体"/>
                <w:color w:val="000000" w:themeColor="text1"/>
                <w:sz w:val="24"/>
                <w:szCs w:val="24"/>
                <w:highlight w:val="none"/>
                <w14:textFill>
                  <w14:solidFill>
                    <w14:schemeClr w14:val="tx1"/>
                  </w14:solidFill>
                </w14:textFill>
              </w:rPr>
              <w:t xml:space="preserve">类似业绩，每有一个业绩得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auto"/>
              <w:shd w:val="clear" w:color="auto"/>
              <w:rPr>
                <w:rFonts w:hint="eastAsia" w:ascii="宋体" w:hAnsi="宋体" w:eastAsia="宋体"/>
                <w:b/>
                <w:bCs/>
                <w:color w:val="000000"/>
                <w:sz w:val="24"/>
                <w:highlight w:val="none"/>
                <w:lang w:val="en-US" w:eastAsia="zh-CN"/>
              </w:rPr>
            </w:pPr>
            <w:r>
              <w:rPr>
                <w:rFonts w:hint="default" w:ascii="宋体" w:hAnsi="宋体" w:eastAsia="宋体"/>
                <w:b/>
                <w:bCs/>
                <w:color w:val="000000"/>
                <w:sz w:val="24"/>
                <w:highlight w:val="none"/>
                <w:lang w:val="en-US" w:eastAsia="zh-CN"/>
              </w:rPr>
              <w:t xml:space="preserve">注：①业绩</w:t>
            </w:r>
            <w:r>
              <w:rPr>
                <w:rFonts w:hint="eastAsia" w:ascii="宋体" w:hAnsi="宋体" w:eastAsia="宋体"/>
                <w:b/>
                <w:bCs/>
                <w:color w:val="000000"/>
                <w:sz w:val="24"/>
                <w:highlight w:val="none"/>
                <w:lang w:val="en-US" w:eastAsia="zh-CN"/>
              </w:rPr>
              <w:t xml:space="preserve">认定</w:t>
            </w:r>
            <w:r>
              <w:rPr>
                <w:rFonts w:hint="default" w:ascii="宋体" w:hAnsi="宋体" w:eastAsia="宋体"/>
                <w:b/>
                <w:bCs/>
                <w:color w:val="000000"/>
                <w:sz w:val="24"/>
                <w:highlight w:val="none"/>
                <w:lang w:val="en-US" w:eastAsia="zh-CN"/>
              </w:rPr>
              <w:t xml:space="preserve">时间</w:t>
            </w:r>
            <w:r>
              <w:rPr>
                <w:rFonts w:hint="eastAsia" w:ascii="宋体" w:hAnsi="宋体" w:eastAsia="宋体" w:cs="宋体"/>
                <w:b/>
                <w:bCs/>
                <w:color w:val="000000" w:themeColor="text1"/>
                <w:sz w:val="24"/>
                <w:szCs w:val="24"/>
                <w:highlight w:val="none"/>
                <w14:textFill>
                  <w14:solidFill>
                    <w14:schemeClr w14:val="tx1"/>
                  </w14:solidFill>
                </w14:textFill>
              </w:rPr>
              <w:t xml:space="preserve">以合同签订时间为准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cs="宋体"/>
                <w:color w:val="auto"/>
                <w:sz w:val="24"/>
                <w:szCs w:val="24"/>
                <w:highlight w:val="none"/>
              </w:rPr>
            </w:pPr>
            <w:r>
              <w:rPr>
                <w:rFonts w:hint="default" w:ascii="宋体" w:hAnsi="宋体" w:eastAsia="宋体"/>
                <w:b/>
                <w:bCs/>
                <w:color w:val="000000"/>
                <w:sz w:val="24"/>
                <w:highlight w:val="none"/>
                <w:lang w:val="en-US" w:eastAsia="zh-CN"/>
              </w:rPr>
              <w:t xml:space="preserve">②以上证明材料需提供项目合同，证明材料需能清晰反映投标人名称、项目内容等主要信息，若提供的证明材料没有明确、含糊不清的造成无法确定的或不能明示相关信息，则需同时提供</w:t>
            </w:r>
            <w:r>
              <w:rPr>
                <w:rFonts w:hint="eastAsia" w:ascii="宋体" w:hAnsi="宋体" w:eastAsia="宋体"/>
                <w:b/>
                <w:bCs/>
                <w:color w:val="000000"/>
                <w:sz w:val="24"/>
                <w:highlight w:val="none"/>
                <w:lang w:val="en-US" w:eastAsia="zh-CN"/>
              </w:rPr>
              <w:t xml:space="preserve">项目采购单位</w:t>
            </w:r>
            <w:r>
              <w:rPr>
                <w:rFonts w:hint="default" w:ascii="宋体" w:hAnsi="宋体" w:eastAsia="宋体"/>
                <w:b/>
                <w:bCs/>
                <w:color w:val="000000"/>
                <w:sz w:val="24"/>
                <w:highlight w:val="none"/>
                <w:lang w:val="en-US" w:eastAsia="zh-CN"/>
              </w:rPr>
              <w:t xml:space="preserve">书面证明文件并加盖</w:t>
            </w:r>
            <w:r>
              <w:rPr>
                <w:rFonts w:hint="eastAsia" w:ascii="宋体" w:hAnsi="宋体" w:eastAsia="宋体"/>
                <w:b/>
                <w:bCs/>
                <w:color w:val="000000"/>
                <w:sz w:val="24"/>
                <w:highlight w:val="none"/>
                <w:lang w:val="en-US" w:eastAsia="zh-CN"/>
              </w:rPr>
              <w:t xml:space="preserve">项目采购单位</w:t>
            </w:r>
            <w:r>
              <w:rPr>
                <w:rFonts w:hint="default" w:ascii="宋体" w:hAnsi="宋体" w:eastAsia="宋体"/>
                <w:b/>
                <w:bCs/>
                <w:color w:val="000000"/>
                <w:sz w:val="24"/>
                <w:highlight w:val="none"/>
                <w:lang w:val="en-US" w:eastAsia="zh-CN"/>
              </w:rPr>
              <w:t xml:space="preserve">公章，否则不予认可。</w:t>
            </w:r>
            <w:r/>
          </w:p>
        </w:tc>
      </w:tr>
      <w:tr>
        <w:trPr>
          <w:jc w:val="center"/>
          <w:trHeight w:val="381"/>
        </w:trPr>
        <w:tc>
          <w:tcPr>
            <w:tcW w:w="1632" w:type="dxa"/>
            <w:vAlign w:val="center"/>
            <w:vMerge w:val="continue"/>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tcBorders>
            <w:tcW w:w="8351" w:type="dxa"/>
            <w:vAlign w:val="center"/>
            <w:textDirection w:val="lrTb"/>
            <w:noWrap w:val="false"/>
          </w:tcPr>
          <w:p>
            <w:pPr>
              <w:jc w:val="left"/>
              <w:spacing w:line="360" w:lineRule="auto"/>
              <w:shd w:val="clear" w:color="auto"/>
              <w:rPr>
                <w:rFonts w:hint="eastAsia" w:ascii="宋体" w:hAnsi="宋体" w:eastAsia="宋体"/>
                <w:color w:val="000000"/>
                <w:sz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2.投标人自2021年1月1日以来，具有类似走航监测服务业绩，每有一个业绩得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default" w:ascii="宋体" w:hAnsi="宋体" w:eastAsia="宋体"/>
                <w:color w:val="000000"/>
                <w:sz w:val="24"/>
                <w:highlight w:val="none"/>
                <w:lang w:val="en-US" w:eastAsia="zh-CN"/>
              </w:rPr>
              <w:t xml:space="preserve">注：①业绩</w:t>
            </w:r>
            <w:r>
              <w:rPr>
                <w:rFonts w:hint="eastAsia" w:ascii="宋体" w:hAnsi="宋体" w:eastAsia="宋体"/>
                <w:color w:val="000000"/>
                <w:sz w:val="24"/>
                <w:highlight w:val="none"/>
                <w:lang w:val="en-US" w:eastAsia="zh-CN"/>
              </w:rPr>
              <w:t xml:space="preserve">认定</w:t>
            </w:r>
            <w:r>
              <w:rPr>
                <w:rFonts w:hint="default" w:ascii="宋体" w:hAnsi="宋体" w:eastAsia="宋体"/>
                <w:color w:val="000000"/>
                <w:sz w:val="24"/>
                <w:highlight w:val="none"/>
                <w:lang w:val="en-US" w:eastAsia="zh-CN"/>
              </w:rPr>
              <w:t xml:space="preserve">时间</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olor w:val="000000"/>
                <w:sz w:val="24"/>
                <w:highlight w:val="none"/>
                <w:lang w:val="en-US" w:eastAsia="zh-CN"/>
              </w:rPr>
              <w:t xml:space="preserve">②以上证明材料需提供项目合同</w:t>
            </w:r>
            <w:r>
              <w:rPr>
                <w:rFonts w:hint="eastAsia" w:ascii="宋体" w:hAnsi="宋体" w:eastAsia="宋体"/>
                <w:color w:val="000000"/>
                <w:sz w:val="24"/>
                <w:highlight w:val="none"/>
                <w:lang w:val="en-US" w:eastAsia="zh-CN"/>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走航监测报告</w:t>
            </w:r>
            <w:r>
              <w:rPr>
                <w:rFonts w:hint="default" w:ascii="宋体" w:hAnsi="宋体" w:eastAsia="宋体"/>
                <w:color w:val="000000"/>
                <w:sz w:val="24"/>
                <w:highlight w:val="none"/>
                <w:lang w:val="en-US" w:eastAsia="zh-CN"/>
              </w:rPr>
              <w:t xml:space="preserve">，证明材料需能清晰反映投标人名称、项目内容等主要信息，若提供的证明材料没有明确、含糊不清的造成无法确定的或不能明示相关信息，则需同时提供</w:t>
            </w:r>
            <w:r>
              <w:rPr>
                <w:rFonts w:hint="eastAsia" w:ascii="宋体" w:hAnsi="宋体" w:eastAsia="宋体"/>
                <w:color w:val="000000"/>
                <w:sz w:val="24"/>
                <w:highlight w:val="none"/>
                <w:lang w:val="en-US" w:eastAsia="zh-CN"/>
              </w:rPr>
              <w:t xml:space="preserve">项目采购单位</w:t>
            </w:r>
            <w:r>
              <w:rPr>
                <w:rFonts w:hint="default" w:ascii="宋体" w:hAnsi="宋体" w:eastAsia="宋体"/>
                <w:color w:val="000000"/>
                <w:sz w:val="24"/>
                <w:highlight w:val="none"/>
                <w:lang w:val="en-US" w:eastAsia="zh-CN"/>
              </w:rPr>
              <w:t xml:space="preserve">书面证明文件并加盖</w:t>
            </w:r>
            <w:r>
              <w:rPr>
                <w:rFonts w:hint="eastAsia" w:ascii="宋体" w:hAnsi="宋体" w:eastAsia="宋体"/>
                <w:color w:val="000000"/>
                <w:sz w:val="24"/>
                <w:highlight w:val="none"/>
                <w:lang w:val="en-US" w:eastAsia="zh-CN"/>
              </w:rPr>
              <w:t xml:space="preserve">项目采购单位</w:t>
            </w:r>
            <w:r>
              <w:rPr>
                <w:rFonts w:hint="default" w:ascii="宋体" w:hAnsi="宋体" w:eastAsia="宋体"/>
                <w:color w:val="000000"/>
                <w:sz w:val="24"/>
                <w:highlight w:val="none"/>
                <w:lang w:val="en-US" w:eastAsia="zh-CN"/>
              </w:rPr>
              <w:t xml:space="preserve">公章，否则不予认可。</w:t>
            </w:r>
            <w:r/>
          </w:p>
        </w:tc>
      </w:tr>
      <w:tr>
        <w:trPr>
          <w:jc w:val="center"/>
          <w:trHeight w:val="621"/>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项目团队</w:t>
            </w:r>
            <w:r/>
          </w:p>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spacing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为本项目配置的项目负责人</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为本项目配置的项目负责人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博士</w:t>
            </w:r>
            <w:r>
              <w:rPr>
                <w:rFonts w:hint="eastAsia" w:ascii="宋体" w:hAnsi="宋体" w:eastAsia="宋体" w:cs="宋体"/>
                <w:color w:val="000000" w:themeColor="text1"/>
                <w:sz w:val="24"/>
                <w:szCs w:val="24"/>
                <w:highlight w:val="none"/>
                <w14:textFill>
                  <w14:solidFill>
                    <w14:schemeClr w14:val="tx1"/>
                  </w14:solidFill>
                </w14:textFill>
              </w:rPr>
              <w:t xml:space="preserve">学位且具有环保类专业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szCs w:val="24"/>
                <w:highlight w:val="none"/>
                <w14:textFill>
                  <w14:solidFill>
                    <w14:schemeClr w14:val="tx1"/>
                  </w14:solidFill>
                </w14:textFill>
              </w:rPr>
              <w:t xml:space="preserve">级及以上职称的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14:textFill>
                  <w14:solidFill>
                    <w14:schemeClr w14:val="tx1"/>
                  </w14:solidFill>
                </w14:textFill>
              </w:rPr>
              <w:t xml:space="preserve">为本项目配置的项目负责人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硕士</w:t>
            </w:r>
            <w:r>
              <w:rPr>
                <w:rFonts w:hint="eastAsia" w:ascii="宋体" w:hAnsi="宋体" w:eastAsia="宋体" w:cs="宋体"/>
                <w:color w:val="000000" w:themeColor="text1"/>
                <w:sz w:val="24"/>
                <w:szCs w:val="24"/>
                <w:highlight w:val="none"/>
                <w14:textFill>
                  <w14:solidFill>
                    <w14:schemeClr w14:val="tx1"/>
                  </w14:solidFill>
                </w14:textFill>
              </w:rPr>
              <w:t xml:space="preserve">学位且具有环保类专业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szCs w:val="24"/>
                <w:highlight w:val="none"/>
                <w14:textFill>
                  <w14:solidFill>
                    <w14:schemeClr w14:val="tx1"/>
                  </w14:solidFill>
                </w14:textFill>
              </w:rPr>
              <w:t xml:space="preserve">级</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职称的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得1.5分；本项最高得3分。</w:t>
            </w:r>
            <w:r/>
          </w:p>
          <w:p>
            <w:pPr>
              <w:pStyle w:val="802"/>
              <w:numPr>
                <w:ilvl w:val="0"/>
                <w:numId w:val="0"/>
              </w:numPr>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为本项目配置的技术人员（不含项目负责人）</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为本项目配置的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技术人员（不含项目负责人）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硕士</w:t>
            </w:r>
            <w:r>
              <w:rPr>
                <w:rFonts w:hint="eastAsia" w:ascii="宋体" w:hAnsi="宋体" w:eastAsia="宋体" w:cs="宋体"/>
                <w:color w:val="000000" w:themeColor="text1"/>
                <w:sz w:val="24"/>
                <w:szCs w:val="24"/>
                <w:highlight w:val="none"/>
                <w14:textFill>
                  <w14:solidFill>
                    <w14:schemeClr w14:val="tx1"/>
                  </w14:solidFill>
                </w14:textFill>
              </w:rPr>
              <w:t xml:space="preserve">学位且具有环保类专业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szCs w:val="24"/>
                <w:highlight w:val="none"/>
                <w14:textFill>
                  <w14:solidFill>
                    <w14:schemeClr w14:val="tx1"/>
                  </w14:solidFill>
                </w14:textFill>
              </w:rPr>
              <w:t xml:space="preserve">级及以上职称的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每提供1人得2分，</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学士</w:t>
            </w:r>
            <w:r>
              <w:rPr>
                <w:rFonts w:hint="eastAsia" w:ascii="宋体" w:hAnsi="宋体" w:eastAsia="宋体" w:cs="宋体"/>
                <w:color w:val="000000" w:themeColor="text1"/>
                <w:sz w:val="24"/>
                <w:szCs w:val="24"/>
                <w:highlight w:val="none"/>
                <w14:textFill>
                  <w14:solidFill>
                    <w14:schemeClr w14:val="tx1"/>
                  </w14:solidFill>
                </w14:textFill>
              </w:rPr>
              <w:t xml:space="preserve">学位且具有环保类专业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szCs w:val="24"/>
                <w:highlight w:val="none"/>
                <w14:textFill>
                  <w14:solidFill>
                    <w14:schemeClr w14:val="tx1"/>
                  </w14:solidFill>
                </w14:textFill>
              </w:rPr>
              <w:t xml:space="preserve">级及以上职称的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得1分；本项最高得6分。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2、为本项目配置的技术人员（不含项目负责人）：</w:t>
            </w:r>
            <w:r>
              <w:rPr>
                <w:rFonts w:hint="eastAsia" w:ascii="宋体" w:hAnsi="宋体" w:eastAsia="宋体" w:cs="宋体"/>
                <w:color w:val="000000" w:themeColor="text1"/>
                <w:sz w:val="24"/>
                <w:szCs w:val="24"/>
                <w:highlight w:val="none"/>
                <w14:textFill>
                  <w14:solidFill>
                    <w14:schemeClr w14:val="tx1"/>
                  </w14:solidFill>
                </w14:textFill>
              </w:rPr>
              <w:t xml:space="preserve">本项目涉及走航运维技术服务，所配置技术人员持有中国环境监测总站颁发的环境空气质量自动监测运维与质控技术培训证书，有1人得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投标文件中提供以上人员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证书扫描件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投标人投入该项目的项目团队必须为本单位正式职工，提供投标人为其缴纳近一个月由社保机构出具的社保缴纳证明（加盖社保中心章或社保中心参保缴费证明电子专用章）等证明材料；已退休仍在执业有效期内的必须提供退休证明及聘用合同。</w:t>
            </w:r>
            <w:r/>
          </w:p>
        </w:tc>
      </w:tr>
      <w:tr>
        <w:trPr>
          <w:jc w:val="center"/>
          <w:trHeight w:val="621"/>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质量控制</w:t>
            </w:r>
            <w:r/>
          </w:p>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自设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检测实验室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实验分析中心且具有</w:t>
            </w:r>
            <w:r>
              <w:rPr>
                <w:rFonts w:ascii="Times New Roman" w:hAnsi="Times New Roman"/>
                <w:color w:val="000000" w:themeColor="text1"/>
                <w:sz w:val="24"/>
                <w:szCs w:val="24"/>
                <w:highlight w:val="none"/>
                <w14:textFill>
                  <w14:solidFill>
                    <w14:schemeClr w14:val="tx1"/>
                  </w14:solidFill>
                </w14:textFill>
              </w:rPr>
              <w:t xml:space="preserve">CMA或CNAS</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资质认定</w:t>
            </w:r>
            <w:r>
              <w:rPr>
                <w:rFonts w:hint="eastAsia" w:ascii="宋体" w:hAnsi="宋体" w:eastAsia="宋体" w:cs="宋体"/>
                <w:color w:val="000000" w:themeColor="text1"/>
                <w:sz w:val="24"/>
                <w:szCs w:val="24"/>
                <w:highlight w:val="none"/>
                <w14:textFill>
                  <w14:solidFill>
                    <w14:schemeClr w14:val="tx1"/>
                  </w14:solidFill>
                </w14:textFill>
              </w:rPr>
              <w:t xml:space="preserve">证书</w:t>
            </w:r>
            <w:r>
              <w:rPr>
                <w:rFonts w:ascii="Times New Roman" w:hAnsi="Times New Roman"/>
                <w:color w:val="000000" w:themeColor="text1"/>
                <w:sz w:val="24"/>
                <w:szCs w:val="24"/>
                <w:highlight w:val="none"/>
                <w14:textFill>
                  <w14:solidFill>
                    <w14:schemeClr w14:val="tx1"/>
                  </w14:solidFill>
                </w14:textFill>
              </w:rPr>
              <w:t xml:space="preserve">（认证范围包含环境空气中挥发性有机物、PM</w:t>
            </w:r>
            <w:r>
              <w:rPr>
                <w:rFonts w:ascii="Times New Roman" w:hAnsi="Times New Roman"/>
                <w:color w:val="000000" w:themeColor="text1"/>
                <w:sz w:val="24"/>
                <w:szCs w:val="24"/>
                <w:highlight w:val="none"/>
                <w:vertAlign w:val="subscript"/>
                <w14:textFill>
                  <w14:solidFill>
                    <w14:schemeClr w14:val="tx1"/>
                  </w14:solidFill>
                </w14:textFill>
              </w:rPr>
              <w:t xml:space="preserve">2.5</w:t>
            </w:r>
            <w:r>
              <w:rPr>
                <w:rFonts w:ascii="Times New Roman" w:hAnsi="Times New Roman"/>
                <w:color w:val="000000" w:themeColor="text1"/>
                <w:sz w:val="24"/>
                <w:szCs w:val="24"/>
                <w:highlight w:val="none"/>
                <w14:textFill>
                  <w14:solidFill>
                    <w14:schemeClr w14:val="tx1"/>
                  </w14:solidFill>
                </w14:textFill>
              </w:rPr>
              <w:t xml:space="preserve">、PM</w:t>
            </w:r>
            <w:r>
              <w:rPr>
                <w:rFonts w:ascii="Times New Roman" w:hAnsi="Times New Roman"/>
                <w:color w:val="000000" w:themeColor="text1"/>
                <w:sz w:val="24"/>
                <w:szCs w:val="24"/>
                <w:highlight w:val="none"/>
                <w:vertAlign w:val="subscript"/>
                <w14:textFill>
                  <w14:solidFill>
                    <w14:schemeClr w14:val="tx1"/>
                  </w14:solidFill>
                </w14:textFill>
              </w:rPr>
              <w:t xml:space="preserve">10</w:t>
            </w:r>
            <w:r>
              <w:rPr>
                <w:rFonts w:ascii="Times New Roman" w:hAnsi="Times New Roman"/>
                <w:color w:val="000000" w:themeColor="text1"/>
                <w:sz w:val="24"/>
                <w:szCs w:val="24"/>
                <w:highlight w:val="none"/>
                <w14:textFill>
                  <w14:solidFill>
                    <w14:schemeClr w14:val="tx1"/>
                  </w14:solidFill>
                </w14:textFill>
              </w:rPr>
              <w:t xml:space="preserve">、SO</w:t>
            </w:r>
            <w:r>
              <w:rPr>
                <w:rFonts w:ascii="Times New Roman" w:hAnsi="Times New Roman"/>
                <w:color w:val="000000" w:themeColor="text1"/>
                <w:sz w:val="24"/>
                <w:szCs w:val="24"/>
                <w:highlight w:val="none"/>
                <w:vertAlign w:val="subscript"/>
                <w14:textFill>
                  <w14:solidFill>
                    <w14:schemeClr w14:val="tx1"/>
                  </w14:solidFill>
                </w14:textFill>
              </w:rPr>
              <w:t xml:space="preserve">2</w:t>
            </w:r>
            <w:r>
              <w:rPr>
                <w:rFonts w:ascii="Times New Roman" w:hAnsi="Times New Roman"/>
                <w:color w:val="000000" w:themeColor="text1"/>
                <w:sz w:val="24"/>
                <w:szCs w:val="24"/>
                <w:highlight w:val="none"/>
                <w14:textFill>
                  <w14:solidFill>
                    <w14:schemeClr w14:val="tx1"/>
                  </w14:solidFill>
                </w14:textFill>
              </w:rPr>
              <w:t xml:space="preserve">、CO、NO</w:t>
            </w:r>
            <w:r>
              <w:rPr>
                <w:rFonts w:ascii="Times New Roman" w:hAnsi="Times New Roman"/>
                <w:color w:val="000000" w:themeColor="text1"/>
                <w:sz w:val="24"/>
                <w:szCs w:val="24"/>
                <w:highlight w:val="none"/>
                <w:vertAlign w:val="subscript"/>
                <w14:textFill>
                  <w14:solidFill>
                    <w14:schemeClr w14:val="tx1"/>
                  </w14:solidFill>
                </w14:textFill>
              </w:rPr>
              <w:t xml:space="preserve">2</w:t>
            </w:r>
            <w:r>
              <w:rPr>
                <w:rFonts w:ascii="Times New Roman" w:hAnsi="Times New Roman"/>
                <w:color w:val="000000" w:themeColor="text1"/>
                <w:sz w:val="24"/>
                <w:szCs w:val="24"/>
                <w:highlight w:val="none"/>
                <w14:textFill>
                  <w14:solidFill>
                    <w14:schemeClr w14:val="tx1"/>
                  </w14:solidFill>
                </w14:textFill>
              </w:rPr>
              <w:t xml:space="preserve">、O</w:t>
            </w:r>
            <w:r>
              <w:rPr>
                <w:rFonts w:ascii="Times New Roman" w:hAnsi="Times New Roman"/>
                <w:color w:val="000000" w:themeColor="text1"/>
                <w:sz w:val="24"/>
                <w:szCs w:val="24"/>
                <w:highlight w:val="none"/>
                <w:vertAlign w:val="subscript"/>
                <w14:textFill>
                  <w14:solidFill>
                    <w14:schemeClr w14:val="tx1"/>
                  </w14:solidFill>
                </w14:textFill>
              </w:rPr>
              <w:t xml:space="preserve">3</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投标人委托的</w:t>
            </w:r>
            <w:r>
              <w:rPr>
                <w:rFonts w:hint="eastAsia" w:ascii="宋体" w:hAnsi="宋体" w:eastAsia="宋体" w:cs="宋体"/>
                <w:color w:val="000000" w:themeColor="text1"/>
                <w:sz w:val="24"/>
                <w:szCs w:val="24"/>
                <w:highlight w:val="none"/>
                <w14:textFill>
                  <w14:solidFill>
                    <w14:schemeClr w14:val="tx1"/>
                  </w14:solidFill>
                </w14:textFill>
              </w:rPr>
              <w:t xml:space="preserve">检测实验室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实验分析中心且具有</w:t>
            </w:r>
            <w:r>
              <w:rPr>
                <w:rFonts w:ascii="Times New Roman" w:hAnsi="Times New Roman"/>
                <w:color w:val="000000" w:themeColor="text1"/>
                <w:sz w:val="24"/>
                <w:szCs w:val="24"/>
                <w:highlight w:val="none"/>
                <w14:textFill>
                  <w14:solidFill>
                    <w14:schemeClr w14:val="tx1"/>
                  </w14:solidFill>
                </w14:textFill>
              </w:rPr>
              <w:t xml:space="preserve">CMA或CNAS</w:t>
            </w:r>
            <w:r>
              <w:rPr>
                <w:rFonts w:hint="eastAsia" w:ascii="宋体" w:hAnsi="宋体" w:eastAsia="宋体" w:cs="宋体"/>
                <w:color w:val="000000" w:themeColor="text1"/>
                <w:sz w:val="24"/>
                <w:szCs w:val="24"/>
                <w:highlight w:val="none"/>
                <w14:textFill>
                  <w14:solidFill>
                    <w14:schemeClr w14:val="tx1"/>
                  </w14:solidFill>
                </w14:textFill>
              </w:rPr>
              <w:t xml:space="preserve">资质证书</w:t>
            </w:r>
            <w:r>
              <w:rPr>
                <w:rFonts w:ascii="Times New Roman" w:hAnsi="Times New Roman"/>
                <w:color w:val="000000" w:themeColor="text1"/>
                <w:sz w:val="24"/>
                <w:szCs w:val="24"/>
                <w:highlight w:val="none"/>
                <w14:textFill>
                  <w14:solidFill>
                    <w14:schemeClr w14:val="tx1"/>
                  </w14:solidFill>
                </w14:textFill>
              </w:rPr>
              <w:t xml:space="preserve">（认证范围包含环境空气中挥发性有机物、PM</w:t>
            </w:r>
            <w:r>
              <w:rPr>
                <w:rFonts w:ascii="Times New Roman" w:hAnsi="Times New Roman"/>
                <w:color w:val="000000" w:themeColor="text1"/>
                <w:sz w:val="24"/>
                <w:szCs w:val="24"/>
                <w:highlight w:val="none"/>
                <w:vertAlign w:val="subscript"/>
                <w14:textFill>
                  <w14:solidFill>
                    <w14:schemeClr w14:val="tx1"/>
                  </w14:solidFill>
                </w14:textFill>
              </w:rPr>
              <w:t xml:space="preserve">2.5</w:t>
            </w:r>
            <w:r>
              <w:rPr>
                <w:rFonts w:ascii="Times New Roman" w:hAnsi="Times New Roman"/>
                <w:color w:val="000000" w:themeColor="text1"/>
                <w:sz w:val="24"/>
                <w:szCs w:val="24"/>
                <w:highlight w:val="none"/>
                <w14:textFill>
                  <w14:solidFill>
                    <w14:schemeClr w14:val="tx1"/>
                  </w14:solidFill>
                </w14:textFill>
              </w:rPr>
              <w:t xml:space="preserve">、PM</w:t>
            </w:r>
            <w:r>
              <w:rPr>
                <w:rFonts w:ascii="Times New Roman" w:hAnsi="Times New Roman"/>
                <w:color w:val="000000" w:themeColor="text1"/>
                <w:sz w:val="24"/>
                <w:szCs w:val="24"/>
                <w:highlight w:val="none"/>
                <w:vertAlign w:val="subscript"/>
                <w14:textFill>
                  <w14:solidFill>
                    <w14:schemeClr w14:val="tx1"/>
                  </w14:solidFill>
                </w14:textFill>
              </w:rPr>
              <w:t xml:space="preserve">10</w:t>
            </w:r>
            <w:r>
              <w:rPr>
                <w:rFonts w:ascii="Times New Roman" w:hAnsi="Times New Roman"/>
                <w:color w:val="000000" w:themeColor="text1"/>
                <w:sz w:val="24"/>
                <w:szCs w:val="24"/>
                <w:highlight w:val="none"/>
                <w14:textFill>
                  <w14:solidFill>
                    <w14:schemeClr w14:val="tx1"/>
                  </w14:solidFill>
                </w14:textFill>
              </w:rPr>
              <w:t xml:space="preserve">、SO</w:t>
            </w:r>
            <w:r>
              <w:rPr>
                <w:rFonts w:ascii="Times New Roman" w:hAnsi="Times New Roman"/>
                <w:color w:val="000000" w:themeColor="text1"/>
                <w:sz w:val="24"/>
                <w:szCs w:val="24"/>
                <w:highlight w:val="none"/>
                <w:vertAlign w:val="subscript"/>
                <w14:textFill>
                  <w14:solidFill>
                    <w14:schemeClr w14:val="tx1"/>
                  </w14:solidFill>
                </w14:textFill>
              </w:rPr>
              <w:t xml:space="preserve">2</w:t>
            </w:r>
            <w:r>
              <w:rPr>
                <w:rFonts w:ascii="Times New Roman" w:hAnsi="Times New Roman"/>
                <w:color w:val="000000" w:themeColor="text1"/>
                <w:sz w:val="24"/>
                <w:szCs w:val="24"/>
                <w:highlight w:val="none"/>
                <w14:textFill>
                  <w14:solidFill>
                    <w14:schemeClr w14:val="tx1"/>
                  </w14:solidFill>
                </w14:textFill>
              </w:rPr>
              <w:t xml:space="preserve">、CO、NO</w:t>
            </w:r>
            <w:r>
              <w:rPr>
                <w:rFonts w:ascii="Times New Roman" w:hAnsi="Times New Roman"/>
                <w:color w:val="000000" w:themeColor="text1"/>
                <w:sz w:val="24"/>
                <w:szCs w:val="24"/>
                <w:highlight w:val="none"/>
                <w:vertAlign w:val="subscript"/>
                <w14:textFill>
                  <w14:solidFill>
                    <w14:schemeClr w14:val="tx1"/>
                  </w14:solidFill>
                </w14:textFill>
              </w:rPr>
              <w:t xml:space="preserve">2</w:t>
            </w:r>
            <w:r>
              <w:rPr>
                <w:rFonts w:ascii="Times New Roman" w:hAnsi="Times New Roman"/>
                <w:color w:val="000000" w:themeColor="text1"/>
                <w:sz w:val="24"/>
                <w:szCs w:val="24"/>
                <w:highlight w:val="none"/>
                <w14:textFill>
                  <w14:solidFill>
                    <w14:schemeClr w14:val="tx1"/>
                  </w14:solidFill>
                </w14:textFill>
              </w:rPr>
              <w:t xml:space="preserve">、O</w:t>
            </w:r>
            <w:r>
              <w:rPr>
                <w:rFonts w:ascii="Times New Roman" w:hAnsi="Times New Roman"/>
                <w:color w:val="000000" w:themeColor="text1"/>
                <w:sz w:val="24"/>
                <w:szCs w:val="24"/>
                <w:highlight w:val="none"/>
                <w:vertAlign w:val="subscript"/>
                <w14:textFill>
                  <w14:solidFill>
                    <w14:schemeClr w14:val="tx1"/>
                  </w14:solidFill>
                </w14:textFill>
              </w:rPr>
              <w:t xml:space="preserve">3</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本项最高得2分</w:t>
            </w:r>
            <w:r/>
          </w:p>
          <w:p>
            <w:pPr>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注：1、投标人自设</w:t>
            </w:r>
            <w:r>
              <w:rPr>
                <w:rFonts w:hint="eastAsia" w:ascii="宋体" w:hAnsi="宋体" w:eastAsia="宋体" w:cs="宋体"/>
                <w:color w:val="000000" w:themeColor="text1"/>
                <w:sz w:val="24"/>
                <w:szCs w:val="24"/>
                <w:highlight w:val="none"/>
                <w14:textFill>
                  <w14:solidFill>
                    <w14:schemeClr w14:val="tx1"/>
                  </w14:solidFill>
                </w14:textFill>
              </w:rPr>
              <w:t xml:space="preserve">检测实验室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实验分析中心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的，提供带有CMA或CNAS标志的认定证书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及认定证书附表。</w:t>
            </w:r>
            <w:r/>
          </w:p>
          <w:p>
            <w:pP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投标人委托的</w:t>
            </w:r>
            <w:r>
              <w:rPr>
                <w:rFonts w:hint="eastAsia" w:ascii="宋体" w:hAnsi="宋体" w:eastAsia="宋体" w:cs="宋体"/>
                <w:color w:val="000000" w:themeColor="text1"/>
                <w:sz w:val="24"/>
                <w:szCs w:val="24"/>
                <w:highlight w:val="none"/>
                <w14:textFill>
                  <w14:solidFill>
                    <w14:schemeClr w14:val="tx1"/>
                  </w14:solidFill>
                </w14:textFill>
              </w:rPr>
              <w:t xml:space="preserve">检测实验室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实验分析中心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须提供带有CMA或CNAS标志的认定证书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及认定证书附表，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同时应提供委托合同，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委托合同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的委托期限须满足招标文件合同履行期限所需时间，若委托期限不满足招标文件合同履行期限所需时间，则须提供承诺，承诺委托合同到期后将重新签订委托合同并满足招标文件合同履行期限所需时间）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jc w:val="center"/>
          <w:trHeight w:val="621"/>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技术性能</w:t>
            </w:r>
            <w:r/>
          </w:p>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评标委员会根据招标文件第四章采购需求中货物（标的）技术参数及功能指标响应情况进行评分。</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完全满足或高于招标文件第四章采购需求中货物（标的）技术参数及功能指标的，得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sz w:val="24"/>
                <w:szCs w:val="24"/>
                <w:highlight w:val="none"/>
              </w:rPr>
              <w:t xml:space="preserve">不响应</w:t>
            </w:r>
            <w:r>
              <w:rPr>
                <w:rFonts w:hint="eastAsia" w:ascii="宋体" w:hAnsi="宋体" w:eastAsia="宋体" w:cs="宋体"/>
                <w:color w:val="auto"/>
                <w:sz w:val="24"/>
                <w:szCs w:val="24"/>
                <w:highlight w:val="none"/>
                <w:lang w:val="en-US" w:eastAsia="zh-CN"/>
              </w:rPr>
              <w:t xml:space="preserve">招标文件第四章采购需求</w:t>
            </w:r>
            <w:r>
              <w:rPr>
                <w:rFonts w:hint="eastAsia" w:ascii="宋体" w:hAnsi="宋体" w:eastAsia="宋体" w:cs="宋体"/>
                <w:sz w:val="24"/>
                <w:szCs w:val="24"/>
                <w:highlight w:val="none"/>
              </w:rPr>
              <w:t xml:space="preserve">的扣分：</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lang w:val="en-US" w:eastAsia="zh-CN"/>
              </w:rPr>
              <w:t xml:space="preserve">“▲”项每有一项负偏离扣1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分，其他条款有一项负偏离扣0.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分，扣完为止。投标人需对所响应技术参数做详细说明，招标文件如要求提供相对应佐证材料（如检测报告</w:t>
            </w:r>
            <w:r>
              <w:rPr>
                <w:rFonts w:hint="eastAsia" w:ascii="宋体" w:hAnsi="宋体" w:cs="宋体"/>
                <w:color w:val="auto"/>
                <w:sz w:val="24"/>
                <w:szCs w:val="24"/>
                <w:highlight w:val="none"/>
                <w:lang w:val="en-US" w:eastAsia="zh-CN"/>
              </w:rPr>
              <w:t xml:space="preserve">或其他</w:t>
            </w:r>
            <w:r>
              <w:rPr>
                <w:rFonts w:hint="eastAsia" w:ascii="宋体" w:hAnsi="宋体" w:eastAsia="宋体" w:cs="宋体"/>
                <w:color w:val="auto"/>
                <w:sz w:val="24"/>
                <w:szCs w:val="24"/>
                <w:highlight w:val="none"/>
                <w:lang w:val="en-US" w:eastAsia="zh-CN"/>
              </w:rPr>
              <w:t xml:space="preserve">相关证明材料等）按要求提供并扫描上传，否则对应技术条款将视为不满足。</w:t>
            </w:r>
            <w:r/>
          </w:p>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若发现提供虚假的证明材料或虚假应答技术偏离表的，均视为无效投标，并追究相关责任。</w:t>
            </w:r>
            <w:r/>
          </w:p>
        </w:tc>
      </w:tr>
      <w:tr>
        <w:trPr>
          <w:jc w:val="center"/>
          <w:trHeight w:val="621"/>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实施方案</w:t>
            </w:r>
            <w:r/>
          </w:p>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spacing w:line="360" w:lineRule="auto"/>
              <w:widowControl/>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根据招标文件项目需求，项目组织实施方案内容包括但不限于：项目实施计划，设备安装、调试、验收方案，质量保证与质量控制等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评标委员会</w:t>
            </w:r>
            <w:r>
              <w:rPr>
                <w:rFonts w:hint="eastAsia" w:ascii="宋体" w:hAnsi="宋体" w:cs="宋体"/>
                <w:color w:val="000000" w:themeColor="text1"/>
                <w:sz w:val="24"/>
                <w:szCs w:val="24"/>
                <w:highlight w:val="none"/>
                <w:lang w:val="en-US"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投标方案响应情况进行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横向</w:t>
            </w:r>
            <w:r>
              <w:rPr>
                <w:rFonts w:hint="eastAsia" w:ascii="宋体" w:hAnsi="宋体" w:eastAsia="宋体" w:cs="宋体"/>
                <w:color w:val="000000" w:themeColor="text1"/>
                <w:sz w:val="24"/>
                <w:szCs w:val="24"/>
                <w:highlight w:val="none"/>
                <w14:textFill>
                  <w14:solidFill>
                    <w14:schemeClr w14:val="tx1"/>
                  </w14:solidFill>
                </w14:textFill>
              </w:rPr>
              <w:t xml:space="preserve">评审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实施方案科学、严密、合理，描述详细且具有针对性的得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严密、</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详细且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欠缺</w:t>
            </w:r>
            <w:r>
              <w:rPr>
                <w:rFonts w:hint="eastAsia" w:ascii="宋体" w:hAnsi="宋体" w:eastAsia="宋体" w:cs="宋体"/>
                <w:color w:val="000000" w:themeColor="text1"/>
                <w:sz w:val="24"/>
                <w:szCs w:val="24"/>
                <w:highlight w:val="none"/>
                <w14:textFill>
                  <w14:solidFill>
                    <w14:schemeClr w14:val="tx1"/>
                  </w14:solidFill>
                </w14:textFill>
              </w:rPr>
              <w:t xml:space="preserve">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不具</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未提供相关说明不得分。</w:t>
            </w:r>
            <w:r/>
          </w:p>
        </w:tc>
      </w:tr>
      <w:tr>
        <w:trPr>
          <w:jc w:val="center"/>
          <w:trHeight w:val="621"/>
        </w:trPr>
        <w:tc>
          <w:tcPr>
            <w:shd w:val="clear" w:color="auto" w:fill="auto"/>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技术服务方案</w:t>
            </w:r>
            <w:r/>
          </w:p>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根据招标文件项目需求中“走航运维及走航服务及大气源解析服务”要求，对灌云县大气环境现状描述分析，提供相应技术服务方案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评标委员会对照投标方案响应情况进行横向评审。</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技术服务方案科学、严密、合理，描述详细且具有针对性的得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技术服务方案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严密、</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详细且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技术服务方案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欠缺</w:t>
            </w:r>
            <w:r>
              <w:rPr>
                <w:rFonts w:hint="eastAsia" w:ascii="宋体" w:hAnsi="宋体" w:eastAsia="宋体" w:cs="宋体"/>
                <w:color w:val="000000" w:themeColor="text1"/>
                <w:sz w:val="24"/>
                <w:szCs w:val="24"/>
                <w:highlight w:val="none"/>
                <w14:textFill>
                  <w14:solidFill>
                    <w14:schemeClr w14:val="tx1"/>
                  </w14:solidFill>
                </w14:textFill>
              </w:rPr>
              <w:t xml:space="preserve">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不具</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未提供相关说明不得分。</w:t>
            </w:r>
            <w:r/>
          </w:p>
        </w:tc>
      </w:tr>
      <w:tr>
        <w:trPr>
          <w:jc w:val="center"/>
          <w:trHeight w:val="621"/>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售后服务方案</w:t>
            </w:r>
            <w:r/>
          </w:p>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根据招标文件项目需求，售后服务方案包括但不限于：售后服务内容、故障处理办法及响应时间等）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评标委员会对照投标方案响应情况进行横向评审。</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售后服务方案科学、严密、合理，描述详细且具有针对性的得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售后服务方案较</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严密、</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详细且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售后服务方案基本</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欠缺</w:t>
            </w:r>
            <w:r>
              <w:rPr>
                <w:rFonts w:hint="eastAsia" w:ascii="宋体" w:hAnsi="宋体" w:eastAsia="宋体" w:cs="宋体"/>
                <w:color w:val="000000" w:themeColor="text1"/>
                <w:sz w:val="24"/>
                <w:szCs w:val="24"/>
                <w:highlight w:val="none"/>
                <w14:textFill>
                  <w14:solidFill>
                    <w14:schemeClr w14:val="tx1"/>
                  </w14:solidFill>
                </w14:textFill>
              </w:rPr>
              <w:t xml:space="preserve">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不具</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未提供相关说明不得分。</w:t>
            </w:r>
            <w:r/>
          </w:p>
        </w:tc>
      </w:tr>
      <w:tr>
        <w:trPr>
          <w:jc w:val="center"/>
          <w:trHeight w:val="621"/>
        </w:trPr>
        <w:tc>
          <w:tcPr>
            <w:tcW w:w="1632" w:type="dxa"/>
            <w:vAlign w:val="center"/>
            <w:textDirection w:val="lrTb"/>
            <w:noWrap w:val="false"/>
          </w:tcPr>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培训方案</w:t>
            </w:r>
            <w:r/>
          </w:p>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c>
        <w:tc>
          <w:tcPr>
            <w:tcW w:w="8351" w:type="dxa"/>
            <w:vAlign w:val="center"/>
            <w:textDirection w:val="lrTb"/>
            <w:noWrap w:val="false"/>
          </w:tcPr>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根据招标文件项目实施要求，培训方案包括但不限于：培训内容、培训计划及培训方式等，评标委员会对照投标方案响应情况进行横向评审。</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培训方案科学、严密、合理，描述详细且具有针对性的得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严密、</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详细且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科学、</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欠缺</w:t>
            </w:r>
            <w:r>
              <w:rPr>
                <w:rFonts w:hint="eastAsia" w:ascii="宋体" w:hAnsi="宋体" w:eastAsia="宋体" w:cs="宋体"/>
                <w:color w:val="000000" w:themeColor="text1"/>
                <w:sz w:val="24"/>
                <w:szCs w:val="24"/>
                <w:highlight w:val="none"/>
                <w14:textFill>
                  <w14:solidFill>
                    <w14:schemeClr w14:val="tx1"/>
                  </w14:solidFill>
                </w14:textFill>
              </w:rPr>
              <w:t xml:space="preserve">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不具</w:t>
            </w:r>
            <w:r>
              <w:rPr>
                <w:rFonts w:hint="eastAsia" w:ascii="宋体" w:hAnsi="宋体" w:eastAsia="宋体" w:cs="宋体"/>
                <w:color w:val="000000" w:themeColor="text1"/>
                <w:sz w:val="24"/>
                <w:szCs w:val="24"/>
                <w:highlight w:val="none"/>
                <w14:textFill>
                  <w14:solidFill>
                    <w14:schemeClr w14:val="tx1"/>
                  </w14:solidFill>
                </w14:textFill>
              </w:rPr>
              <w:t xml:space="preserve">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未提供相关说明不得分。</w:t>
            </w:r>
            <w:r/>
          </w:p>
        </w:tc>
      </w:tr>
    </w:tbl>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02"/>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w:t>
      </w:r>
      <w:bookmarkEnd w:id="178"/>
      <w:r/>
      <w:bookmarkEnd w:id="179"/>
      <w:r/>
      <w:bookmarkEnd w:id="191"/>
      <w:r>
        <w:rPr>
          <w:rFonts w:hint="eastAsia" w:ascii="黑体" w:hAnsi="Times New Roman" w:eastAsia="黑体"/>
          <w:bCs/>
          <w:color w:val="auto"/>
          <w:sz w:val="44"/>
          <w:szCs w:val="28"/>
          <w:highlight w:val="none"/>
        </w:rPr>
        <w:t xml:space="preserve">文件格式 </w:t>
      </w:r>
      <w:r/>
    </w:p>
    <w:p>
      <w:pPr>
        <w:jc w:val="center"/>
        <w:rPr>
          <w:rFonts w:hint="eastAsia" w:ascii="宋体" w:hAnsi="宋体"/>
          <w:b/>
          <w:color w:val="auto"/>
          <w:sz w:val="72"/>
          <w:szCs w:val="21"/>
          <w:highlight w:val="none"/>
        </w:rPr>
      </w:pPr>
      <w:r/>
      <w:bookmarkStart w:id="194" w:name="_Hlt26955039"/>
      <w:r/>
      <w:bookmarkEnd w:id="194"/>
      <w:r/>
      <w:bookmarkStart w:id="195" w:name="_Hlt26671244"/>
      <w:r/>
      <w:bookmarkEnd w:id="195"/>
      <w:r/>
      <w:bookmarkStart w:id="196" w:name="_Toc49090576"/>
      <w:r/>
      <w:bookmarkStart w:id="197" w:name="_Toc26554094"/>
      <w:r/>
      <w:bookmarkStart w:id="198"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一、法人或者其他组织的营业执照等证明文件，自然人的身份证明</w:t>
      </w:r>
      <w:r/>
    </w:p>
    <w:p>
      <w:pPr>
        <w:pStyle w:val="794"/>
        <w:ind w:left="480"/>
        <w:jc w:val="both"/>
        <w:keepLines w:val="0"/>
        <w:keepNext w:val="0"/>
        <w:spacing w:before="0" w:beforeAutospacing="0" w:after="0" w:afterAutospacing="0" w:line="360" w:lineRule="auto"/>
        <w:widowControl w:val="off"/>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i/>
          <w:iCs/>
          <w:color w:val="000000"/>
          <w:sz w:val="24"/>
          <w:szCs w:val="24"/>
          <w:highlight w:val="none"/>
          <w:u w:val="single"/>
        </w:rPr>
        <w:t xml:space="preserve">二、上一年度的财务状况报告（</w:t>
      </w:r>
      <w:r>
        <w:rPr>
          <w:rFonts w:hint="eastAsia" w:ascii="宋体" w:hAnsi="宋体" w:eastAsia="宋体" w:cs="宋体"/>
          <w:i/>
          <w:iCs/>
          <w:color w:val="000000"/>
          <w:sz w:val="24"/>
          <w:szCs w:val="24"/>
          <w:highlight w:val="none"/>
          <w:u w:val="single"/>
          <w:lang w:eastAsia="zh-CN"/>
        </w:rPr>
        <w:t xml:space="preserve">供应商</w:t>
      </w:r>
      <w:r>
        <w:rPr>
          <w:rFonts w:hint="eastAsia" w:ascii="宋体" w:hAnsi="宋体" w:eastAsia="宋体" w:cs="宋体"/>
          <w:i/>
          <w:iCs/>
          <w:color w:val="000000"/>
          <w:sz w:val="24"/>
          <w:szCs w:val="24"/>
          <w:highlight w:val="none"/>
          <w:u w:val="single"/>
        </w:rPr>
        <w:t xml:space="preserve">成立不满一年无需提供）</w:t>
      </w:r>
      <w:r>
        <w:rPr>
          <w:rFonts w:hint="eastAsia" w:ascii="宋体" w:hAnsi="宋体" w:eastAsia="宋体" w:cs="宋体"/>
          <w:i/>
          <w:iCs/>
          <w:color w:val="000000"/>
          <w:sz w:val="24"/>
          <w:szCs w:val="24"/>
          <w:highlight w:val="none"/>
          <w:u w:val="single"/>
          <w:lang w:val="en-US" w:eastAsia="zh-CN"/>
        </w:rPr>
        <w:t xml:space="preserve">或承诺函</w:t>
      </w:r>
      <w:r/>
    </w:p>
    <w:p>
      <w:pPr>
        <w:pStyle w:val="794"/>
        <w:ind w:left="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i/>
          <w:iCs/>
          <w:color w:val="000000"/>
          <w:sz w:val="24"/>
          <w:szCs w:val="24"/>
          <w:highlight w:val="none"/>
          <w:u w:val="single"/>
        </w:rPr>
        <w:t xml:space="preserve">三、依法缴纳税收和社会保障资金的相关材料</w:t>
      </w:r>
      <w:r>
        <w:rPr>
          <w:rFonts w:hint="eastAsia" w:ascii="宋体" w:hAnsi="宋体" w:eastAsia="宋体" w:cs="宋体"/>
          <w:i/>
          <w:iCs/>
          <w:color w:val="000000"/>
          <w:sz w:val="24"/>
          <w:szCs w:val="24"/>
          <w:highlight w:val="none"/>
          <w:u w:val="single"/>
          <w:lang w:val="en-US" w:eastAsia="zh-CN"/>
        </w:rPr>
        <w:t xml:space="preserve">或承诺</w:t>
      </w:r>
      <w:r>
        <w:rPr>
          <w:rFonts w:hint="eastAsia" w:ascii="宋体" w:hAnsi="宋体" w:eastAsia="宋体" w:cs="宋体"/>
          <w:i/>
          <w:iCs/>
          <w:color w:val="000000"/>
          <w:sz w:val="24"/>
          <w:szCs w:val="24"/>
          <w:highlight w:val="none"/>
          <w:u w:val="single"/>
        </w:rPr>
        <w:t xml:space="preserve">（提供提交投标文件截止时间前一年内至少一个月依法缴纳税收及缴纳社会保障资金的证明材料。</w:t>
      </w:r>
      <w:r>
        <w:rPr>
          <w:rFonts w:hint="eastAsia" w:ascii="宋体" w:hAnsi="宋体" w:eastAsia="宋体" w:cs="宋体"/>
          <w:i/>
          <w:iCs/>
          <w:color w:val="000000"/>
          <w:sz w:val="24"/>
          <w:szCs w:val="24"/>
          <w:highlight w:val="none"/>
          <w:u w:val="single"/>
          <w:lang w:eastAsia="zh-CN"/>
        </w:rPr>
        <w:t xml:space="preserve">供应商</w:t>
      </w:r>
      <w:r>
        <w:rPr>
          <w:rFonts w:hint="eastAsia" w:ascii="宋体" w:hAnsi="宋体" w:eastAsia="宋体" w:cs="宋体"/>
          <w:i/>
          <w:iCs/>
          <w:color w:val="000000"/>
          <w:sz w:val="24"/>
          <w:szCs w:val="24"/>
          <w:highlight w:val="none"/>
          <w:u w:val="single"/>
        </w:rPr>
        <w:t xml:space="preserve">依法享受缓缴、免缴税收、社会保障资金的提供证明材料。）</w:t>
      </w:r>
      <w:r/>
    </w:p>
    <w:p>
      <w:pPr>
        <w:ind w:left="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四、具备履行合同所必需的设备和专业技术能力的书面声明</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五、参加政府采购活动前 3 年内在经营活动中没有重大违法记录的书面声明</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六、特定资格要求的证明文件（如果本项目设置特定资格要求，则需要提供）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七、法人授权书</w:t>
      </w:r>
      <w:r/>
    </w:p>
    <w:p>
      <w:pPr>
        <w:ind w:firstLine="480"/>
        <w:keepLines w:val="0"/>
        <w:keepNext w:val="0"/>
        <w:pageBreakBefore w:val="0"/>
        <w:spacing w:line="360" w:lineRule="auto"/>
        <w:widowControl w:val="off"/>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八、投标函</w:t>
      </w:r>
      <w:r/>
    </w:p>
    <w:p>
      <w:pPr>
        <w:ind w:firstLine="480"/>
        <w:spacing w:line="440" w:lineRule="exact"/>
        <w:rPr>
          <w:rFonts w:hint="eastAsia" w:ascii="宋体" w:hAnsi="宋体"/>
          <w:i/>
          <w:iCs/>
          <w:color w:val="auto"/>
          <w:sz w:val="24"/>
          <w:szCs w:val="21"/>
          <w:highlight w:val="none"/>
          <w:u w:val="single"/>
        </w:rPr>
      </w:pPr>
      <w:r>
        <w:rPr>
          <w:rFonts w:hint="eastAsia" w:ascii="宋体" w:hAnsi="宋体"/>
          <w:i/>
          <w:iCs/>
          <w:color w:val="auto"/>
          <w:sz w:val="24"/>
          <w:szCs w:val="21"/>
          <w:highlight w:val="none"/>
          <w:u w:val="single"/>
        </w:rPr>
        <w:t xml:space="preserve">九、</w:t>
      </w:r>
      <w:r>
        <w:rPr>
          <w:rFonts w:hint="eastAsia" w:ascii="宋体" w:hAnsi="宋体"/>
          <w:i/>
          <w:iCs/>
          <w:color w:val="auto"/>
          <w:sz w:val="24"/>
          <w:highlight w:val="none"/>
          <w:u w:val="single"/>
        </w:rPr>
        <w:t xml:space="preserve">中小微企业声明函</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十、残疾人福利性单位声明函</w:t>
      </w:r>
      <w:r/>
    </w:p>
    <w:p>
      <w:pPr>
        <w:ind w:firstLine="480"/>
        <w:spacing w:line="44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十一、</w:t>
      </w:r>
      <w:r>
        <w:rPr>
          <w:rFonts w:hint="eastAsia" w:ascii="宋体" w:hAnsi="宋体"/>
          <w:color w:val="auto"/>
          <w:sz w:val="24"/>
          <w:szCs w:val="21"/>
          <w:highlight w:val="none"/>
          <w:lang w:eastAsia="zh-CN"/>
        </w:rPr>
        <w:t xml:space="preserve">投标产品配置及分项报价表</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十二、技术要求响应及偏离表</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十三、商务要求响应及偏离表</w:t>
      </w:r>
      <w:r/>
    </w:p>
    <w:p>
      <w:pPr>
        <w:ind w:firstLine="480"/>
        <w:spacing w:line="440" w:lineRule="exact"/>
        <w:rPr>
          <w:rFonts w:hint="eastAsia" w:ascii="宋体" w:hAnsi="宋体"/>
          <w:i w:val="0"/>
          <w:iCs/>
          <w:color w:val="auto"/>
          <w:sz w:val="24"/>
          <w:szCs w:val="21"/>
          <w:highlight w:val="none"/>
          <w:u w:val="none"/>
        </w:rPr>
      </w:pPr>
      <w:r>
        <w:rPr>
          <w:rFonts w:hint="eastAsia" w:ascii="宋体" w:hAnsi="宋体"/>
          <w:i w:val="0"/>
          <w:iCs/>
          <w:color w:val="auto"/>
          <w:sz w:val="24"/>
          <w:szCs w:val="21"/>
          <w:highlight w:val="none"/>
          <w:u w:val="none"/>
        </w:rPr>
        <w:t xml:space="preserve">十四、类似项目业绩一览表</w:t>
      </w:r>
      <w:r/>
    </w:p>
    <w:p>
      <w:pPr>
        <w:ind w:firstLine="480"/>
        <w:spacing w:line="440" w:lineRule="exact"/>
        <w:rPr>
          <w:rFonts w:hint="eastAsia" w:ascii="宋体" w:hAnsi="宋体"/>
          <w:i/>
          <w:color w:val="auto"/>
          <w:sz w:val="24"/>
          <w:szCs w:val="21"/>
          <w:highlight w:val="none"/>
          <w:u w:val="single"/>
        </w:rPr>
      </w:pPr>
      <w:r>
        <w:rPr>
          <w:rFonts w:hint="eastAsia" w:ascii="宋体" w:hAnsi="宋体"/>
          <w:i w:val="0"/>
          <w:iCs/>
          <w:color w:val="auto"/>
          <w:sz w:val="24"/>
          <w:szCs w:val="21"/>
          <w:highlight w:val="none"/>
          <w:u w:val="none"/>
        </w:rPr>
        <w:t xml:space="preserve">十</w:t>
      </w:r>
      <w:r>
        <w:rPr>
          <w:rFonts w:hint="eastAsia" w:ascii="宋体" w:hAnsi="宋体"/>
          <w:i w:val="0"/>
          <w:iCs/>
          <w:color w:val="auto"/>
          <w:sz w:val="24"/>
          <w:szCs w:val="21"/>
          <w:highlight w:val="none"/>
          <w:u w:val="none"/>
          <w:lang w:val="en-US" w:eastAsia="zh-CN"/>
        </w:rPr>
        <w:t xml:space="preserve">五</w:t>
      </w:r>
      <w:r>
        <w:rPr>
          <w:rFonts w:hint="eastAsia" w:ascii="宋体" w:hAnsi="宋体"/>
          <w:i w:val="0"/>
          <w:iCs/>
          <w:color w:val="auto"/>
          <w:sz w:val="24"/>
          <w:szCs w:val="21"/>
          <w:highlight w:val="none"/>
          <w:u w:val="none"/>
        </w:rPr>
        <w:t xml:space="preserve">、项目团队人员一览表</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十</w:t>
      </w:r>
      <w:r>
        <w:rPr>
          <w:rFonts w:hint="eastAsia" w:ascii="宋体" w:hAnsi="宋体"/>
          <w:i/>
          <w:color w:val="auto"/>
          <w:sz w:val="24"/>
          <w:szCs w:val="21"/>
          <w:highlight w:val="none"/>
          <w:u w:val="single"/>
          <w:lang w:val="en-US" w:eastAsia="zh-CN"/>
        </w:rPr>
        <w:t xml:space="preserve">六</w:t>
      </w:r>
      <w:r>
        <w:rPr>
          <w:rFonts w:hint="eastAsia" w:ascii="宋体" w:hAnsi="宋体"/>
          <w:i/>
          <w:color w:val="auto"/>
          <w:sz w:val="24"/>
          <w:szCs w:val="21"/>
          <w:highlight w:val="none"/>
          <w:u w:val="single"/>
        </w:rPr>
        <w:t xml:space="preserve">、开标一览表</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十</w:t>
      </w:r>
      <w:r>
        <w:rPr>
          <w:rFonts w:hint="eastAsia" w:ascii="宋体" w:hAnsi="宋体"/>
          <w:color w:val="auto"/>
          <w:sz w:val="24"/>
          <w:szCs w:val="21"/>
          <w:highlight w:val="none"/>
          <w:lang w:val="en-US" w:eastAsia="zh-CN"/>
        </w:rPr>
        <w:t xml:space="preserve">七</w:t>
      </w:r>
      <w:r>
        <w:rPr>
          <w:rFonts w:hint="eastAsia" w:ascii="宋体" w:hAnsi="宋体"/>
          <w:color w:val="auto"/>
          <w:sz w:val="24"/>
          <w:szCs w:val="21"/>
          <w:highlight w:val="none"/>
        </w:rPr>
        <w:t xml:space="preserve">、其它材料</w:t>
      </w:r>
      <w:r/>
    </w:p>
    <w:p>
      <w:pPr>
        <w:rPr>
          <w:color w:val="auto"/>
          <w:highlight w:val="none"/>
        </w:rPr>
      </w:pPr>
      <w:r>
        <w:rPr>
          <w:color w:val="auto"/>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bookmarkEnd w:id="196"/>
      <w:bookmarkEnd w:id="197"/>
      <w:bookmarkEnd w:id="198"/>
      <w:r/>
    </w:p>
    <w:p>
      <w:pPr>
        <w:pStyle w:val="794"/>
        <w:jc w:val="both"/>
        <w:keepLines w:val="0"/>
        <w:keepNext w:val="0"/>
        <w:spacing w:before="0" w:beforeAutospacing="0" w:after="0" w:afterAutospacing="0"/>
        <w:widowControl w:val="off"/>
        <w:rPr>
          <w:rFonts w:hint="eastAsia" w:ascii="宋体" w:hAnsi="宋体" w:eastAsia="宋体" w:cs="宋体"/>
          <w:b w:val="0"/>
          <w:bCs w:val="0"/>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99" w:name="_Toc120614284"/>
      <w:r>
        <w:rPr>
          <w:rFonts w:hint="eastAsia" w:ascii="宋体" w:hAnsi="宋体" w:eastAsia="宋体" w:cs="宋体"/>
          <w:b w:val="0"/>
          <w:bCs w:val="0"/>
          <w:i/>
          <w:iCs/>
          <w:color w:val="000000"/>
          <w:sz w:val="32"/>
          <w:szCs w:val="32"/>
          <w:highlight w:val="none"/>
          <w:u w:val="single"/>
        </w:rPr>
        <w:t xml:space="preserve">一、法人或者其他组织的营业执照等证明文件，自然人的身份证明</w:t>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7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794"/>
        <w:numPr>
          <w:ilvl w:val="0"/>
          <w:numId w:val="0"/>
        </w:numPr>
        <w:ind w:firstLine="0"/>
        <w:jc w:val="center"/>
        <w:rPr>
          <w:rFonts w:hint="eastAsia" w:ascii="宋体" w:hAnsi="宋体" w:eastAsia="宋体" w:cs="宋体"/>
          <w:i/>
          <w:iCs/>
          <w:color w:val="00000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1"/>
      </w:pPr>
      <w:r>
        <w:rPr>
          <w:rFonts w:hint="eastAsia" w:ascii="宋体" w:hAnsi="宋体" w:eastAsia="宋体" w:cs="宋体"/>
          <w:i/>
          <w:iCs/>
          <w:color w:val="000000"/>
          <w:sz w:val="32"/>
          <w:szCs w:val="32"/>
          <w:highlight w:val="none"/>
          <w:u w:val="single"/>
        </w:rPr>
        <w:t xml:space="preserve">二、上一年度的财务状况报告</w:t>
      </w:r>
      <w:r/>
    </w:p>
    <w:p>
      <w:pPr>
        <w:pStyle w:val="794"/>
        <w:ind w:firstLine="480"/>
        <w:jc w:val="both"/>
        <w:spacing w:beforeAutospacing="0" w:afterAutospacing="0" w:line="0" w:lineRule="atLeast"/>
        <w:rPr>
          <w:rFonts w:hint="eastAsia" w:ascii="宋体" w:hAnsi="宋体" w:eastAsia="宋体" w:cs="宋体"/>
          <w:i/>
          <w:iCs/>
          <w:color w:val="000000"/>
          <w:sz w:val="32"/>
          <w:szCs w:val="32"/>
          <w:highlight w:val="none"/>
          <w:u w:val="single"/>
          <w:lang w:eastAsia="zh-CN"/>
        </w:rPr>
        <w:pBdr>
          <w:top w:val="none" w:color="auto" w:sz="0" w:space="0"/>
          <w:left w:val="none" w:color="auto" w:sz="0" w:space="0"/>
          <w:bottom w:val="none" w:color="auto" w:sz="0" w:space="0"/>
          <w:right w:val="none" w:color="auto" w:sz="0" w:space="0"/>
          <w:between w:val="none" w:color="auto" w:sz="0" w:space="0"/>
        </w:pBdr>
        <w:outlineLvl w:val="1"/>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成立不满一年无需提供</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794"/>
        <w:jc w:val="center"/>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i/>
          <w:iCs/>
          <w:color w:val="000000"/>
          <w:sz w:val="32"/>
          <w:szCs w:val="32"/>
          <w:highlight w:val="none"/>
          <w:u w:val="single"/>
        </w:rPr>
        <w:t xml:space="preserve">三、依法缴纳税收和社会保障资金的相关材料</w:t>
      </w:r>
      <w:r/>
    </w:p>
    <w:p>
      <w:pPr>
        <w:pStyle w:val="794"/>
        <w:ind w:firstLine="480"/>
        <w:rPr>
          <w:rFonts w:hint="eastAsia" w:ascii="宋体" w:hAnsi="宋体" w:eastAsia="宋体" w:cs="宋体"/>
          <w:bCs/>
          <w:sz w:val="36"/>
          <w:szCs w:val="28"/>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auto"/>
          <w:sz w:val="24"/>
          <w:highlight w:val="none"/>
        </w:rPr>
        <w:t xml:space="preserve">日期：</w:t>
      </w:r>
      <w:r>
        <w:rPr>
          <w:rFonts w:hint="eastAsia" w:ascii="宋体" w:hAnsi="宋体" w:eastAsia="宋体" w:cs="宋体"/>
          <w:sz w:val="24"/>
          <w:highlight w:val="none"/>
        </w:rPr>
        <w:t xml:space="preserve">    年     月     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57"/>
        <w:ind w:firstLine="0"/>
        <w:rPr>
          <w:rFonts w:hint="eastAsia"/>
          <w:color w:val="auto"/>
          <w:highlight w:val="none"/>
        </w:rPr>
      </w:pPr>
      <w:r>
        <w:rPr>
          <w:rFonts w:hint="eastAsia"/>
          <w:color w:val="auto"/>
          <w:highlight w:val="none"/>
        </w:rPr>
      </w:r>
      <w:r/>
    </w:p>
    <w:p>
      <w:pPr>
        <w:jc w:val="center"/>
        <w:rPr>
          <w:rFonts w:hint="eastAsia" w:ascii="黑体" w:hAnsi="黑体" w:eastAsia="黑体"/>
          <w:i/>
          <w:color w:val="auto"/>
          <w:sz w:val="32"/>
          <w:szCs w:val="32"/>
          <w:highlight w:val="none"/>
          <w:u w:val="single"/>
        </w:rPr>
        <w:outlineLvl w:val="1"/>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81"/>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供应商（公章）：          </w:t>
      </w:r>
      <w:r/>
    </w:p>
    <w:p>
      <w:pPr>
        <w:spacing w:line="360" w:lineRule="auto"/>
        <w:rPr>
          <w:rFonts w:hint="eastAsia"/>
          <w:color w:val="auto"/>
          <w:sz w:val="24"/>
          <w:szCs w:val="24"/>
          <w:highlight w:val="none"/>
        </w:rPr>
      </w:pPr>
      <w:r>
        <w:rPr>
          <w:rFonts w:hint="eastAsia"/>
          <w:color w:val="auto"/>
          <w:sz w:val="24"/>
          <w:szCs w:val="24"/>
          <w:highlight w:val="none"/>
        </w:rPr>
        <w:t xml:space="preserve"> </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法定代表人或其委托代理人（签名或签章）：</w:t>
      </w:r>
      <w:r/>
    </w:p>
    <w:p>
      <w:pPr>
        <w:spacing w:line="360" w:lineRule="auto"/>
        <w:rPr>
          <w:rFonts w:hint="eastAsia"/>
          <w:color w:val="auto"/>
          <w:sz w:val="24"/>
          <w:szCs w:val="24"/>
          <w:highlight w:val="none"/>
        </w:rPr>
      </w:pPr>
      <w:r>
        <w:rPr>
          <w:rFonts w:hint="eastAsia"/>
          <w:color w:val="auto"/>
          <w:sz w:val="24"/>
          <w:szCs w:val="24"/>
          <w:highlight w:val="none"/>
        </w:rPr>
        <w:t xml:space="preserve">   </w:t>
      </w:r>
      <w:r/>
    </w:p>
    <w:p>
      <w:pPr>
        <w:ind w:firstLine="480"/>
        <w:spacing w:line="360" w:lineRule="auto"/>
        <w:rPr>
          <w:rFonts w:hint="eastAsia" w:eastAsia="宋体"/>
          <w:color w:val="auto"/>
          <w:sz w:val="24"/>
          <w:szCs w:val="24"/>
          <w:highlight w:val="none"/>
          <w:lang w:val="en-US" w:eastAsia="zh-CN"/>
        </w:rPr>
      </w:pPr>
      <w:r>
        <w:rPr>
          <w:rFonts w:hint="eastAsia"/>
          <w:color w:val="auto"/>
          <w:sz w:val="24"/>
          <w:szCs w:val="24"/>
          <w:highlight w:val="none"/>
        </w:rPr>
        <w:t xml:space="preserve">日期：</w:t>
      </w:r>
      <w:r>
        <w:rPr>
          <w:rFonts w:hint="eastAsia"/>
          <w:color w:val="auto"/>
          <w:sz w:val="24"/>
          <w:szCs w:val="24"/>
          <w:highlight w:val="none"/>
          <w:lang w:val="en-US" w:eastAsia="zh-CN"/>
        </w:rPr>
        <w:t xml:space="preserve">    年     月     日</w:t>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ind w:firstLine="480"/>
        <w:spacing w:line="440" w:lineRule="exact"/>
        <w:rPr>
          <w:rFonts w:hint="eastAsia" w:ascii="宋体" w:hAnsi="宋体" w:eastAsia="宋体" w:cs="宋体"/>
          <w:i/>
          <w:color w:val="000000"/>
          <w:sz w:val="24"/>
          <w:szCs w:val="21"/>
          <w:highlight w:val="none"/>
          <w:u w:val="single"/>
          <w:lang w:val="en-US" w:eastAsia="zh-CN"/>
        </w:rPr>
      </w:pPr>
      <w:r>
        <w:rPr>
          <w:rFonts w:hint="eastAsia" w:ascii="宋体" w:hAnsi="宋体" w:eastAsia="宋体" w:cs="宋体"/>
          <w:i/>
          <w:color w:val="000000"/>
          <w:sz w:val="24"/>
          <w:szCs w:val="21"/>
          <w:highlight w:val="none"/>
          <w:u w:val="single"/>
          <w:lang w:val="en-US" w:eastAsia="zh-CN"/>
        </w:rPr>
      </w:r>
      <w:r/>
    </w:p>
    <w:p>
      <w:pPr>
        <w:numPr>
          <w:ilvl w:val="0"/>
          <w:numId w:val="0"/>
        </w:numPr>
        <w:ind w:left="0" w:firstLine="0"/>
        <w:spacing w:line="460" w:lineRule="exact"/>
        <w:rPr>
          <w:rFonts w:hint="eastAsia" w:ascii="宋体" w:hAnsi="宋体" w:eastAsia="宋体" w:cs="宋体"/>
          <w:i/>
          <w:sz w:val="32"/>
          <w:szCs w:val="32"/>
          <w:highlight w:val="none"/>
          <w:u w:val="single"/>
          <w:lang w:val="en-US" w:eastAsia="zh-CN"/>
        </w:rPr>
        <w:outlineLvl w:val="1"/>
      </w:pPr>
      <w:r>
        <w:rPr>
          <w:rFonts w:hint="eastAsia" w:ascii="宋体" w:hAnsi="宋体" w:eastAsia="宋体" w:cs="宋体"/>
          <w:i/>
          <w:sz w:val="32"/>
          <w:szCs w:val="32"/>
          <w:highlight w:val="none"/>
          <w:u w:val="single"/>
          <w:lang w:val="en-US" w:eastAsia="zh-CN"/>
        </w:rPr>
        <w:t xml:space="preserve">六、特定资格要求的证明文件（如果本项目设置特定资格要求，则需要提供）</w:t>
      </w:r>
      <w:r/>
    </w:p>
    <w:p>
      <w:pPr>
        <w:ind w:firstLine="480"/>
        <w:spacing w:line="440" w:lineRule="exact"/>
        <w:rPr>
          <w:rFonts w:hint="eastAsia" w:ascii="宋体" w:hAnsi="宋体" w:eastAsia="宋体" w:cs="宋体"/>
          <w:i/>
          <w:color w:val="000000"/>
          <w:sz w:val="24"/>
          <w:szCs w:val="21"/>
          <w:highlight w:val="none"/>
          <w:u w:val="single"/>
          <w:lang w:val="en-US" w:eastAsia="zh-CN"/>
        </w:rPr>
      </w:pPr>
      <w:r>
        <w:rPr>
          <w:rFonts w:hint="eastAsia" w:ascii="宋体" w:hAnsi="宋体" w:eastAsia="宋体" w:cs="宋体"/>
          <w:i/>
          <w:color w:val="000000"/>
          <w:sz w:val="24"/>
          <w:szCs w:val="21"/>
          <w:highlight w:val="none"/>
          <w:u w:val="single"/>
          <w:lang w:val="en-US" w:eastAsia="zh-CN"/>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numPr>
          <w:ilvl w:val="0"/>
          <w:numId w:val="0"/>
        </w:numPr>
        <w:jc w:val="center"/>
        <w:spacing w:line="360" w:lineRule="auto"/>
        <w:rPr>
          <w:rFonts w:hint="eastAsia" w:ascii="宋体" w:hAnsi="宋体" w:eastAsia="宋体" w:cs="宋体"/>
          <w:i/>
          <w:sz w:val="32"/>
          <w:szCs w:val="32"/>
          <w:highlight w:val="none"/>
          <w:u w:val="single"/>
          <w:lang w:val="en-US" w:eastAsia="zh-CN"/>
        </w:rPr>
        <w:outlineLvl w:val="1"/>
      </w:pPr>
      <w:r>
        <w:rPr>
          <w:rFonts w:hint="eastAsia" w:ascii="宋体" w:hAnsi="宋体" w:eastAsia="宋体" w:cs="宋体"/>
          <w:i/>
          <w:sz w:val="32"/>
          <w:szCs w:val="32"/>
          <w:highlight w:val="none"/>
          <w:u w:val="single"/>
          <w:lang w:val="en-US" w:eastAsia="zh-CN"/>
        </w:rPr>
        <w:t xml:space="preserve">七、法人授权书</w:t>
      </w:r>
      <w:r/>
    </w:p>
    <w:p>
      <w:pPr>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94"/>
        <w:jc w:val="both"/>
        <w:keepLines w:val="0"/>
        <w:keepNext w:val="0"/>
        <w:spacing w:before="0" w:beforeAutospacing="0" w:after="0" w:afterAutospacing="0"/>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t xml:space="preserve"> </w:t>
      </w:r>
      <w:r/>
    </w:p>
    <w:p>
      <w:pPr>
        <w:pStyle w:val="794"/>
        <w:jc w:val="both"/>
        <w:keepLines w:val="0"/>
        <w:keepNext w:val="0"/>
        <w:spacing w:before="0" w:beforeAutospacing="0" w:after="0" w:afterAutospacing="0" w:line="0" w:lineRule="atLeast"/>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r>
      <w:r/>
    </w:p>
    <w:p>
      <w:pPr>
        <w:pStyle w:val="794"/>
        <w:jc w:val="both"/>
        <w:keepLines w:val="0"/>
        <w:keepNext w:val="0"/>
        <w:spacing w:before="0" w:beforeAutospacing="0" w:after="0" w:afterAutospacing="0" w:line="0" w:lineRule="atLeast"/>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56"/>
        <w:jc w:val="center"/>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 xml:space="preserve">八、</w:t>
      </w:r>
      <w:r>
        <w:rPr>
          <w:rFonts w:hint="eastAsia" w:ascii="黑体" w:hAnsi="黑体" w:eastAsia="黑体" w:cs="Times New Roman"/>
          <w:bCs w:val="0"/>
          <w:i/>
          <w:color w:val="auto"/>
          <w:sz w:val="32"/>
          <w:szCs w:val="32"/>
          <w:highlight w:val="none"/>
          <w:u w:val="single"/>
        </w:rPr>
        <w:t xml:space="preserve">投标函</w:t>
      </w:r>
      <w:r/>
    </w:p>
    <w:p>
      <w:pPr>
        <w:pStyle w:val="1002"/>
        <w:ind w:firstLine="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pStyle w:val="794"/>
        <w:ind w:firstLine="480"/>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号招标文件，正式授权下述签字人______________(姓名)代表我方______________（</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的名称），全权处理本次项目投标的有关事宜。</w:t>
      </w:r>
      <w:r/>
    </w:p>
    <w:p>
      <w:pPr>
        <w:pStyle w:val="794"/>
        <w:ind w:left="0" w:firstLine="480"/>
        <w:keepLines w:val="0"/>
        <w:keepNext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100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auto"/>
          <w:sz w:val="24"/>
          <w:szCs w:val="24"/>
          <w:highlight w:val="none"/>
        </w:rPr>
        <w:t xml:space="preserve">.按招标文件规定的各项要求，向买方提供所需货物（包含与货物相关的服务）。</w:t>
      </w:r>
      <w:r/>
    </w:p>
    <w:p>
      <w:pPr>
        <w:pStyle w:val="100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100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100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100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100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1002"/>
        <w:ind w:left="42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10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九、</w:t>
      </w:r>
      <w:r>
        <w:rPr>
          <w:rFonts w:hint="eastAsia" w:ascii="黑体" w:hAnsi="黑体" w:eastAsia="黑体"/>
          <w:b/>
          <w:color w:val="auto"/>
          <w:sz w:val="32"/>
          <w:szCs w:val="32"/>
          <w:highlight w:val="none"/>
          <w:lang w:val="en-US" w:eastAsia="zh-CN"/>
        </w:rPr>
        <w:t xml:space="preserve">中</w:t>
      </w:r>
      <w:r>
        <w:rPr>
          <w:rFonts w:hint="eastAsia" w:ascii="黑体" w:hAnsi="黑体" w:eastAsia="黑体"/>
          <w:b/>
          <w:color w:val="auto"/>
          <w:sz w:val="32"/>
          <w:szCs w:val="32"/>
          <w:highlight w:val="none"/>
        </w:rPr>
        <w:t xml:space="preserve">小微企业声明函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的采购活动，提供的货物</w:t>
      </w:r>
      <w:r>
        <w:rPr>
          <w:rFonts w:hint="eastAsia" w:ascii="宋体" w:hAnsi="宋体"/>
          <w:color w:val="auto"/>
          <w:sz w:val="24"/>
          <w:szCs w:val="24"/>
          <w:highlight w:val="none"/>
          <w:lang w:val="en-US" w:eastAsia="zh-CN"/>
        </w:rPr>
        <w:t xml:space="preserve">以及与货物有关的服务</w:t>
      </w:r>
      <w:r>
        <w:rPr>
          <w:rFonts w:hint="eastAsia" w:ascii="宋体" w:hAnsi="宋体"/>
          <w:color w:val="auto"/>
          <w:sz w:val="24"/>
          <w:szCs w:val="24"/>
          <w:highlight w:val="none"/>
        </w:rPr>
        <w:t xml:space="preserve">全部由符合政策要求的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小微企业制造。根据《工业和信息化部、国家统计局、国家发展和改革委员会、财政部关于印发中小企业划型标准规定的通知》(工信部联企业[2011]300号)的规定，相关企业的具体情况如下：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360"/>
        <w:spacing w:line="560" w:lineRule="exact"/>
        <w:rPr>
          <w:rFonts w:hint="eastAsia" w:ascii="华文新魏" w:hAnsi="宋体" w:eastAsia="华文新魏"/>
          <w:color w:val="auto"/>
          <w:sz w:val="24"/>
          <w:szCs w:val="24"/>
          <w:highlight w:val="none"/>
        </w:rPr>
      </w:pPr>
      <w:r>
        <w:rPr>
          <w:rFonts w:hint="eastAsia" w:ascii="华文新魏" w:hAnsi="宋体" w:eastAsia="华文新魏"/>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w:t>
      </w:r>
      <w:r>
        <w:rPr>
          <w:rFonts w:hint="eastAsia" w:ascii="宋体" w:hAnsi="宋体" w:cs="Times New Roman"/>
          <w:color w:val="auto"/>
          <w:sz w:val="24"/>
          <w:szCs w:val="24"/>
          <w:highlight w:val="none"/>
          <w:lang w:eastAsia="zh-CN"/>
        </w:rPr>
        <w:t xml:space="preserve">投标产品配置及分项报价表</w:t>
      </w:r>
      <w:r>
        <w:rPr>
          <w:rFonts w:hint="eastAsia" w:ascii="宋体" w:hAnsi="宋体" w:eastAsia="宋体" w:cs="Times New Roman"/>
          <w:color w:val="auto"/>
          <w:sz w:val="24"/>
          <w:szCs w:val="24"/>
          <w:highlight w:val="none"/>
        </w:rPr>
        <w:t xml:space="preserve">一致，如填写不完整或不一致或填写有误，将不享受扶持政策。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jc w:val="center"/>
        <w:spacing w:line="360" w:lineRule="auto"/>
        <w:rPr>
          <w:rFonts w:hint="eastAsia" w:ascii="黑体" w:hAnsi="黑体" w:eastAsia="黑体"/>
          <w:b/>
          <w:color w:val="auto"/>
          <w:sz w:val="32"/>
          <w:szCs w:val="32"/>
          <w:highlight w:val="none"/>
        </w:rPr>
        <w:outlineLvl w:val="1"/>
      </w:pPr>
      <w:r>
        <w:rPr>
          <w:rFonts w:ascii="黑体" w:hAnsi="黑体" w:eastAsia="黑体"/>
          <w:b/>
          <w:color w:val="auto"/>
          <w:sz w:val="24"/>
          <w:szCs w:val="24"/>
          <w:highlight w:val="none"/>
        </w:rPr>
        <w:br w:type="page" w:clear="all"/>
      </w:r>
      <w:r>
        <w:rPr>
          <w:rFonts w:hint="eastAsia" w:ascii="黑体" w:hAnsi="黑体" w:eastAsia="黑体"/>
          <w:b/>
          <w:color w:val="auto"/>
          <w:sz w:val="32"/>
          <w:szCs w:val="32"/>
          <w:highlight w:val="none"/>
        </w:rPr>
        <w:t xml:space="preserve">十、残疾人福利性单位声明函</w:t>
      </w:r>
      <w:r/>
    </w:p>
    <w:p>
      <w:pPr>
        <w:pStyle w:val="79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单位的采购文件编号为______的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项目采购活动由本单位提供服务</w:t>
      </w:r>
      <w:r/>
    </w:p>
    <w:p>
      <w:pPr>
        <w:pStyle w:val="794"/>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94"/>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rPr>
        <w:t xml:space="preserve"> </w:t>
      </w:r>
      <w:r/>
    </w:p>
    <w:p>
      <w:pPr>
        <w:pStyle w:val="794"/>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填报说明：</w:t>
      </w:r>
      <w:r/>
    </w:p>
    <w:p>
      <w:pPr>
        <w:pStyle w:val="794"/>
        <w:ind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如不提供此声明函，价格将不做相应扣除。</w:t>
      </w:r>
      <w:r/>
    </w:p>
    <w:p>
      <w:pPr>
        <w:ind w:firstLine="1440"/>
        <w:spacing w:line="360" w:lineRule="auto"/>
        <w:rPr>
          <w:rFonts w:hint="eastAsia" w:ascii="宋体" w:hAnsi="宋体" w:eastAsia="宋体" w:cs="宋体"/>
          <w:b/>
          <w:sz w:val="22"/>
          <w:szCs w:val="21"/>
          <w:highlight w:val="none"/>
        </w:rPr>
      </w:pPr>
      <w:r>
        <w:rPr>
          <w:rFonts w:hint="eastAsia" w:ascii="宋体" w:hAnsi="宋体" w:eastAsia="宋体" w:cs="宋体"/>
          <w:bCs/>
          <w:sz w:val="24"/>
          <w:szCs w:val="24"/>
          <w:highlight w:val="none"/>
        </w:rPr>
        <w:t xml:space="preserve">2、成交供应商的《残疾人福利性单位声明函》随成交结果公开。</w:t>
      </w:r>
      <w:r/>
    </w:p>
    <w:p>
      <w:pPr>
        <w:pStyle w:val="794"/>
        <w:ind w:left="0" w:firstLine="624"/>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rPr>
        <w:t xml:space="preserve"> </w:t>
      </w:r>
      <w:r/>
    </w:p>
    <w:p>
      <w:pPr>
        <w:pStyle w:val="794"/>
        <w:ind w:left="0" w:right="0" w:firstLine="0"/>
        <w:jc w:val="center"/>
        <w:keepLines w:val="0"/>
        <w:keepNext w:val="0"/>
        <w:spacing w:before="0" w:beforeAutospacing="0" w:after="0" w:afterAutospacing="0" w:line="360" w:lineRule="auto"/>
        <w:widowControl w:val="off"/>
        <w:tabs>
          <w:tab w:val="left" w:pos="4864"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供应商全称（加盖C</w:t>
      </w:r>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电子公章）：</w:t>
      </w:r>
      <w:r/>
    </w:p>
    <w:p>
      <w:pPr>
        <w:ind w:right="480"/>
        <w:jc w:val="right"/>
        <w:spacing w:line="560" w:lineRule="exact"/>
        <w:rPr>
          <w:rFonts w:hint="eastAsia" w:ascii="宋体" w:hAnsi="宋体"/>
          <w:color w:val="auto"/>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olor w:val="auto"/>
          <w:sz w:val="24"/>
          <w:szCs w:val="24"/>
          <w:highlight w:val="none"/>
        </w:rPr>
        <w:t xml:space="preserve">日  期：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年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月    日</w:t>
      </w:r>
      <w:r/>
    </w:p>
    <w:p>
      <w:pPr>
        <w:pStyle w:val="794"/>
        <w:ind w:left="0" w:right="1560" w:firstLine="480"/>
        <w:jc w:val="center"/>
        <w:keepLines w:val="0"/>
        <w:keepNext w:val="0"/>
        <w:spacing w:before="0" w:beforeAutospacing="0" w:after="0" w:afterAutospacing="0" w:line="360" w:lineRule="auto"/>
        <w:widowControl w:val="off"/>
        <w:tabs>
          <w:tab w:val="left" w:pos="4864"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rPr>
      </w:pPr>
      <w:r>
        <w:rPr>
          <w:rFonts w:hint="eastAsia"/>
          <w:color w:val="auto"/>
          <w:highlight w:val="none"/>
        </w:rPr>
      </w:r>
      <w:r/>
    </w:p>
    <w:p>
      <w:pPr>
        <w:numPr>
          <w:ilvl w:val="0"/>
          <w:numId w:val="13"/>
        </w:numPr>
        <w:jc w:val="center"/>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lang w:eastAsia="zh-CN"/>
        </w:rPr>
        <w:t xml:space="preserve">投标产品配置及分项报价表</w:t>
      </w:r>
      <w:r/>
    </w:p>
    <w:p>
      <w:pPr>
        <w:jc w:val="center"/>
        <w:spacing w:line="360" w:lineRule="auto"/>
        <w:tabs>
          <w:tab w:val="left" w:pos="360" w:leader="none"/>
        </w:tabs>
        <w:rPr>
          <w:rFonts w:hint="eastAsia" w:ascii="黑体" w:hAnsi="黑体" w:eastAsia="黑体" w:cs="宋体"/>
          <w:bCs/>
          <w:iCs/>
          <w:sz w:val="36"/>
          <w:szCs w:val="28"/>
          <w:highlight w:val="none"/>
          <w:lang w:eastAsia="zh-CN"/>
        </w:rPr>
      </w:pPr>
      <w:r>
        <w:rPr>
          <w:rFonts w:hint="eastAsia" w:ascii="黑体" w:hAnsi="黑体" w:eastAsia="黑体" w:cs="宋体"/>
          <w:bCs/>
          <w:iCs/>
          <w:sz w:val="36"/>
          <w:szCs w:val="28"/>
          <w:highlight w:val="none"/>
          <w:lang w:eastAsia="zh-CN"/>
        </w:rPr>
        <w:t xml:space="preserve">投标产品配置及分项报价表</w:t>
      </w:r>
      <w:r/>
    </w:p>
    <w:p>
      <w:pPr>
        <w:ind w:firstLine="480"/>
        <w:jc w:val="left"/>
        <w:spacing w:line="360" w:lineRule="auto"/>
        <w:rPr>
          <w:rFonts w:ascii="宋体" w:hAnsi="宋体" w:eastAsia="宋体" w:cs="Times New Roman"/>
          <w:bCs/>
          <w:iCs/>
          <w:color w:val="000000"/>
          <w:sz w:val="24"/>
          <w:szCs w:val="24"/>
          <w:highlight w:val="none"/>
        </w:rPr>
      </w:pPr>
      <w:r>
        <w:rPr>
          <w:rFonts w:hint="eastAsia" w:ascii="宋体" w:hAnsi="宋体" w:eastAsia="宋体" w:cs="方正仿宋_GBK"/>
          <w:iCs/>
          <w:color w:val="000000"/>
          <w:sz w:val="24"/>
          <w:szCs w:val="24"/>
          <w:highlight w:val="none"/>
        </w:rPr>
        <w:t xml:space="preserve">项目名称：      项目编号：     </w:t>
      </w:r>
      <w:r/>
    </w:p>
    <w:p>
      <w:pPr>
        <w:jc w:val="righ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单位：元</w:t>
      </w:r>
      <w:r/>
    </w:p>
    <w:tbl>
      <w:tblPr>
        <w:tblStyle w:val="771"/>
        <w:tblW w:w="10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827"/>
        <w:gridCol w:w="913"/>
        <w:gridCol w:w="1229"/>
        <w:gridCol w:w="1196"/>
        <w:gridCol w:w="1225"/>
        <w:gridCol w:w="800"/>
        <w:gridCol w:w="775"/>
        <w:gridCol w:w="700"/>
        <w:gridCol w:w="101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序号</w:t>
            </w:r>
            <w:r/>
          </w:p>
        </w:tc>
        <w:tc>
          <w:tcPr>
            <w:tcW w:w="1827"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color w:val="000000"/>
                <w:sz w:val="24"/>
              </w:rPr>
              <w:t xml:space="preserve">产品、服务（标的）名称</w:t>
            </w:r>
            <w:r/>
          </w:p>
        </w:tc>
        <w:tc>
          <w:tcPr>
            <w:tcW w:w="913"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品牌</w:t>
            </w:r>
            <w:r/>
          </w:p>
        </w:tc>
        <w:tc>
          <w:tcPr>
            <w:tcW w:w="1229"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规格型号</w:t>
            </w:r>
            <w:r/>
          </w:p>
        </w:tc>
        <w:tc>
          <w:tcPr>
            <w:tcW w:w="1196"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制造商</w:t>
            </w:r>
            <w:r/>
          </w:p>
        </w:tc>
        <w:tc>
          <w:tcPr>
            <w:tcW w:w="1225"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制造商企业类型</w:t>
            </w:r>
            <w:r/>
          </w:p>
        </w:tc>
        <w:tc>
          <w:tcPr>
            <w:tcW w:w="800"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单价</w:t>
            </w:r>
            <w:r/>
          </w:p>
        </w:tc>
        <w:tc>
          <w:tcPr>
            <w:tcW w:w="775"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数量</w:t>
            </w:r>
            <w:r/>
          </w:p>
        </w:tc>
        <w:tc>
          <w:tcPr>
            <w:tcW w:w="700"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计量单位</w:t>
            </w:r>
            <w:r/>
          </w:p>
        </w:tc>
        <w:tc>
          <w:tcPr>
            <w:tcW w:w="1010" w:type="dxa"/>
            <w:vAlign w:val="center"/>
            <w:textDirection w:val="lrTb"/>
            <w:noWrap w:val="false"/>
          </w:tcPr>
          <w:p>
            <w:pPr>
              <w:jc w:val="center"/>
              <w:spacing w:line="360" w:lineRule="auto"/>
              <w:widowControl/>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w:t>
            </w:r>
            <w:r/>
          </w:p>
        </w:tc>
        <w:tc>
          <w:tcPr>
            <w:tcW w:w="1827"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913"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9"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196"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800" w:type="dxa"/>
            <w:vAlign w:val="center"/>
            <w:textDirection w:val="lrTb"/>
            <w:noWrap w:val="false"/>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7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0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01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2</w:t>
            </w:r>
            <w:r/>
          </w:p>
        </w:tc>
        <w:tc>
          <w:tcPr>
            <w:tcW w:w="1827"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913"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9"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196"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800" w:type="dxa"/>
            <w:vAlign w:val="center"/>
            <w:textDirection w:val="lrTb"/>
            <w:noWrap w:val="false"/>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7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0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01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3</w:t>
            </w:r>
            <w:r/>
          </w:p>
        </w:tc>
        <w:tc>
          <w:tcPr>
            <w:tcW w:w="1827"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913"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9"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196"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800" w:type="dxa"/>
            <w:vAlign w:val="center"/>
            <w:textDirection w:val="lrTb"/>
            <w:noWrap w:val="false"/>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7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0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01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w:t>
            </w:r>
            <w:r/>
          </w:p>
        </w:tc>
        <w:tc>
          <w:tcPr>
            <w:tcW w:w="1827"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913"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9"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196"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22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80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75"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70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c>
          <w:tcPr>
            <w:tcW w:w="1010" w:type="dxa"/>
            <w:vAlign w:val="center"/>
            <w:textDirection w:val="lrTb"/>
            <w:noWrap/>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r>
      <w:tr>
        <w:trPr>
          <w:jc w:val="center"/>
          <w:trHeight w:val="567"/>
        </w:trPr>
        <w:tc>
          <w:tcPr>
            <w:gridSpan w:val="4"/>
            <w:tcW w:w="4490" w:type="dxa"/>
            <w:vAlign w:val="center"/>
            <w:textDirection w:val="lrTb"/>
            <w:noWrap/>
          </w:tcPr>
          <w:p>
            <w:pPr>
              <w:jc w:val="cente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总计（元）</w:t>
            </w:r>
            <w:r/>
          </w:p>
        </w:tc>
        <w:tc>
          <w:tcPr>
            <w:gridSpan w:val="6"/>
            <w:tcW w:w="5706" w:type="dxa"/>
            <w:vAlign w:val="center"/>
            <w:textDirection w:val="lrTb"/>
            <w:noWrap w:val="false"/>
          </w:tcPr>
          <w:p>
            <w:pPr>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tc>
      </w:tr>
    </w:tbl>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投标人（盖章）：</w:t>
      </w:r>
      <w:r/>
    </w:p>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法定代表人或委托代理人（签字或盖章）：</w:t>
      </w:r>
      <w:r/>
    </w:p>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日期：    年     月     日</w:t>
      </w:r>
      <w:r/>
    </w:p>
    <w:p>
      <w:pPr>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p>
      <w:pPr>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填报说明：</w:t>
      </w:r>
      <w:r/>
    </w:p>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1、“制造商企业类型”栏填写内容为“大型”“中型”“小型”“微型”“监狱企业”或“残疾人福利性单位”。</w:t>
      </w:r>
      <w:r/>
    </w:p>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2、以上报价包含货物费用、运杂费、安装施工费、集成费、税金和其他费用。</w:t>
      </w:r>
      <w:r/>
    </w:p>
    <w:p>
      <w:pPr>
        <w:ind w:firstLine="420"/>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4、行数或事项不够，可自行增加。</w:t>
      </w:r>
      <w:r/>
    </w:p>
    <w:p>
      <w:pPr>
        <w:rPr>
          <w:iCs/>
          <w:highlight w:val="none"/>
        </w:rPr>
      </w:pPr>
      <w:r>
        <w:rPr>
          <w:iCs/>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pStyle w:val="802"/>
        <w:rPr>
          <w:rFonts w:hint="eastAsia" w:ascii="宋体" w:hAnsi="宋体"/>
          <w:bCs/>
          <w:color w:val="auto"/>
          <w:sz w:val="24"/>
          <w:highlight w:val="none"/>
        </w:rPr>
      </w:pPr>
      <w:r>
        <w:rPr>
          <w:rFonts w:hint="eastAsia" w:ascii="宋体" w:hAnsi="宋体"/>
          <w:bCs/>
          <w:color w:val="auto"/>
          <w:sz w:val="24"/>
          <w:highlight w:val="none"/>
        </w:rPr>
      </w:r>
      <w:r/>
    </w:p>
    <w:p>
      <w:pPr>
        <w:pStyle w:val="802"/>
        <w:rPr>
          <w:rFonts w:hint="eastAsia" w:ascii="宋体" w:hAnsi="宋体"/>
          <w:bCs/>
          <w:color w:val="auto"/>
          <w:sz w:val="24"/>
          <w:highlight w:val="none"/>
        </w:rPr>
      </w:pPr>
      <w:r>
        <w:rPr>
          <w:rFonts w:hint="eastAsia" w:ascii="宋体" w:hAnsi="宋体"/>
          <w:bCs/>
          <w:color w:val="auto"/>
          <w:sz w:val="24"/>
          <w:highlight w:val="none"/>
        </w:rPr>
      </w:r>
      <w:r/>
    </w:p>
    <w:p>
      <w:pPr>
        <w:pStyle w:val="802"/>
        <w:rPr>
          <w:rFonts w:hint="eastAsia" w:ascii="宋体" w:hAnsi="宋体"/>
          <w:bCs/>
          <w:color w:val="auto"/>
          <w:sz w:val="24"/>
          <w:highlight w:val="none"/>
        </w:rPr>
      </w:pPr>
      <w:r>
        <w:rPr>
          <w:rFonts w:hint="eastAsia" w:ascii="宋体" w:hAnsi="宋体"/>
          <w:bCs/>
          <w:color w:val="auto"/>
          <w:sz w:val="24"/>
          <w:highlight w:val="none"/>
        </w:rPr>
      </w:r>
      <w:r/>
    </w:p>
    <w:p>
      <w:pPr>
        <w:pStyle w:val="802"/>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十二、技术要求响应及偏离表</w:t>
      </w:r>
      <w:r/>
    </w:p>
    <w:tbl>
      <w:tblPr>
        <w:tblStyle w:val="7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w:t>
      </w:r>
      <w:r>
        <w:rPr>
          <w:rFonts w:hint="eastAsia" w:ascii="宋体" w:hAnsi="宋体" w:cs="Times New Roman"/>
          <w:sz w:val="24"/>
          <w:szCs w:val="24"/>
          <w:highlight w:val="none"/>
          <w:lang w:eastAsia="zh-CN"/>
        </w:rPr>
        <w:t xml:space="preserve">投标产品配置及分项报价表</w:t>
      </w:r>
      <w:r>
        <w:rPr>
          <w:rFonts w:hint="eastAsia" w:ascii="宋体" w:hAnsi="宋体" w:eastAsia="宋体" w:cs="Times New Roman"/>
          <w:sz w:val="24"/>
          <w:szCs w:val="24"/>
          <w:highlight w:val="none"/>
        </w:rPr>
        <w:t xml:space="preserve">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spacing w:line="360" w:lineRule="auto"/>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十三、商务要求响应及偏离表</w:t>
      </w:r>
      <w:r/>
    </w:p>
    <w:tbl>
      <w:tblPr>
        <w:tblStyle w:val="7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仿宋_GB2312" w:hAnsi="Arial"/>
          <w:color w:val="auto"/>
          <w:sz w:val="30"/>
          <w:highlight w:val="none"/>
        </w:rPr>
      </w:pPr>
      <w:r>
        <w:rPr>
          <w:rFonts w:hint="eastAsia" w:ascii="仿宋_GB2312" w:hAnsi="Arial"/>
          <w:color w:val="auto"/>
          <w:sz w:val="30"/>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pStyle w:val="957"/>
        <w:ind w:firstLine="0"/>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eastAsia="zh-CN"/>
        </w:rPr>
        <w:t xml:space="preserve">四</w:t>
      </w:r>
      <w:r>
        <w:rPr>
          <w:rFonts w:hint="eastAsia" w:ascii="黑体" w:hAnsi="黑体" w:eastAsia="黑体"/>
          <w:b/>
          <w:color w:val="auto"/>
          <w:sz w:val="32"/>
          <w:szCs w:val="32"/>
          <w:highlight w:val="none"/>
        </w:rPr>
        <w:t xml:space="preserve">、类似项目业绩一览表</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48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p>
    <w:tbl>
      <w:tblPr>
        <w:tblStyle w:val="77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iCs/>
          <w:color w:val="auto"/>
          <w:sz w:val="32"/>
          <w:szCs w:val="32"/>
          <w:highlight w:val="none"/>
        </w:rPr>
        <w:outlineLvl w:val="1"/>
      </w:pPr>
      <w:r>
        <w:rPr>
          <w:rFonts w:hint="eastAsia" w:ascii="黑体" w:hAnsi="黑体" w:eastAsia="黑体"/>
          <w:b/>
          <w:iCs/>
          <w:color w:val="auto"/>
          <w:sz w:val="32"/>
          <w:szCs w:val="32"/>
          <w:highlight w:val="none"/>
        </w:rPr>
        <w:t xml:space="preserve">十</w:t>
      </w:r>
      <w:r>
        <w:rPr>
          <w:rFonts w:hint="eastAsia" w:ascii="黑体" w:hAnsi="黑体" w:eastAsia="黑体"/>
          <w:b/>
          <w:iCs/>
          <w:color w:val="auto"/>
          <w:sz w:val="32"/>
          <w:szCs w:val="32"/>
          <w:highlight w:val="none"/>
          <w:lang w:val="en-US" w:eastAsia="zh-CN"/>
        </w:rPr>
        <w:t xml:space="preserve">五</w:t>
      </w:r>
      <w:r>
        <w:rPr>
          <w:rFonts w:hint="eastAsia" w:ascii="黑体" w:hAnsi="黑体" w:eastAsia="黑体"/>
          <w:b/>
          <w:iCs/>
          <w:color w:val="auto"/>
          <w:sz w:val="32"/>
          <w:szCs w:val="32"/>
          <w:highlight w:val="none"/>
        </w:rPr>
        <w:t xml:space="preserve">、项目团队人员一览表</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72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p>
    <w:tbl>
      <w:tblPr>
        <w:tblStyle w:val="77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02"/>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rPr>
        <w:t xml:space="preserve">十</w:t>
      </w:r>
      <w:r>
        <w:rPr>
          <w:rFonts w:hint="eastAsia" w:ascii="黑体" w:hAnsi="黑体" w:eastAsia="黑体"/>
          <w:b/>
          <w:i/>
          <w:color w:val="auto"/>
          <w:sz w:val="32"/>
          <w:szCs w:val="32"/>
          <w:highlight w:val="none"/>
          <w:u w:val="single"/>
          <w:lang w:val="en-US" w:eastAsia="zh-CN"/>
        </w:rPr>
        <w:t xml:space="preserve">六</w:t>
      </w:r>
      <w:r>
        <w:rPr>
          <w:rFonts w:hint="eastAsia" w:ascii="黑体" w:hAnsi="黑体" w:eastAsia="黑体"/>
          <w:b/>
          <w:i/>
          <w:color w:val="auto"/>
          <w:sz w:val="32"/>
          <w:szCs w:val="32"/>
          <w:highlight w:val="none"/>
          <w:u w:val="singl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招标编号：                                  </w:t>
      </w:r>
      <w:r/>
    </w:p>
    <w:tbl>
      <w:tblPr>
        <w:tblStyle w:val="7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bookmarkEnd w:id="172"/>
      <w:bookmarkEnd w:id="173"/>
      <w:bookmarkEnd w:id="199"/>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rPr>
          <w:rFonts w:hint="eastAsia" w:ascii="黑体" w:hAnsi="黑体" w:eastAsia="黑体"/>
          <w:b/>
          <w:iCs/>
          <w:color w:val="auto"/>
          <w:sz w:val="32"/>
          <w:szCs w:val="32"/>
          <w:highlight w:val="none"/>
        </w:rPr>
        <w:outlineLvl w:val="1"/>
      </w:pPr>
      <w:r>
        <w:rPr>
          <w:rFonts w:hint="eastAsia" w:ascii="黑体" w:hAnsi="黑体" w:eastAsia="黑体"/>
          <w:b/>
          <w:iCs/>
          <w:color w:val="auto"/>
          <w:sz w:val="32"/>
          <w:szCs w:val="32"/>
          <w:highlight w:val="none"/>
        </w:rPr>
        <w:t xml:space="preserve">十</w:t>
      </w:r>
      <w:r>
        <w:rPr>
          <w:rFonts w:hint="eastAsia" w:ascii="黑体" w:hAnsi="黑体" w:eastAsia="黑体"/>
          <w:b/>
          <w:iCs/>
          <w:color w:val="auto"/>
          <w:sz w:val="32"/>
          <w:szCs w:val="32"/>
          <w:highlight w:val="none"/>
          <w:lang w:val="en-US" w:eastAsia="zh-CN"/>
        </w:rPr>
        <w:t xml:space="preserve">七</w:t>
      </w:r>
      <w:r>
        <w:rPr>
          <w:rFonts w:hint="eastAsia" w:ascii="黑体" w:hAnsi="黑体" w:eastAsia="黑体"/>
          <w:b/>
          <w:iCs/>
          <w:color w:val="auto"/>
          <w:sz w:val="32"/>
          <w:szCs w:val="32"/>
          <w:highlight w:val="none"/>
        </w:rPr>
        <w:t xml:space="preserve">、其它材料</w:t>
      </w:r>
      <w:r/>
    </w:p>
    <w:p>
      <w:pPr>
        <w:jc w:val="center"/>
        <w:spacing w:line="52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ind w:firstLine="420"/>
        <w:spacing w:line="520" w:lineRule="exact"/>
        <w:rPr>
          <w:rFonts w:hint="eastAsia" w:ascii="宋体" w:hAnsi="宋体"/>
          <w:color w:val="auto"/>
          <w:sz w:val="28"/>
          <w:highlight w:val="none"/>
        </w:rPr>
      </w:pPr>
      <w:r>
        <w:rPr>
          <w:rFonts w:hint="eastAsia" w:ascii="宋体" w:hAnsi="宋体"/>
          <w:color w:val="auto"/>
          <w:sz w:val="28"/>
          <w:highlight w:val="none"/>
        </w:rPr>
      </w:r>
      <w:r/>
    </w:p>
    <w:p>
      <w:pPr>
        <w:ind w:firstLine="315"/>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 供应商认为有必要提供的材料或评分标准中需要提供的材料。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sectPr>
      <w:headerReference w:type="default" r:id="rId10"/>
      <w:footerReference w:type="default" r:id="rId13"/>
      <w:footerReference w:type="first" r:id="rId14"/>
      <w:footnotePr/>
      <w:endnotePr/>
      <w:type w:val="nextPage"/>
      <w:pgSz w:w="11906" w:h="16838" w:orient="portrait"/>
      <w:pgMar w:top="1440" w:right="1080" w:bottom="1440" w:left="1080"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Helvetica">
    <w:panose1 w:val="020B0604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ahoma">
    <w:panose1 w:val="020B0604030504040204"/>
  </w:font>
  <w:font w:name="MS Mincho">
    <w:panose1 w:val="020206030504050903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3"/>
                            <w:rPr>
                              <w:rStyle w:val="821"/>
                              <w:rFonts w:ascii="宋体" w:hAnsi="宋体"/>
                            </w:rPr>
                          </w:pPr>
                          <w:r>
                            <w:rPr>
                              <w:rFonts w:ascii="宋体" w:hAnsi="宋体"/>
                            </w:rPr>
                            <w:fldChar w:fldCharType="begin"/>
                          </w:r>
                          <w:r>
                            <w:rPr>
                              <w:rStyle w:val="821"/>
                              <w:rFonts w:ascii="宋体" w:hAnsi="宋体"/>
                            </w:rPr>
                            <w:instrText xml:space="preserve">PAGE  </w:instrText>
                          </w:r>
                          <w:r>
                            <w:rPr>
                              <w:rFonts w:ascii="宋体" w:hAnsi="宋体"/>
                            </w:rPr>
                            <w:fldChar w:fldCharType="separate"/>
                          </w:r>
                          <w:r>
                            <w:rPr>
                              <w:rStyle w:val="821"/>
                              <w:rFonts w:ascii="宋体" w:hAnsi="宋体"/>
                            </w:rPr>
                            <w:t xml:space="preserve">４２</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3"/>
                      <w:rPr>
                        <w:rStyle w:val="821"/>
                        <w:rFonts w:ascii="宋体" w:hAnsi="宋体"/>
                      </w:rPr>
                    </w:pPr>
                    <w:r>
                      <w:rPr>
                        <w:rFonts w:ascii="宋体" w:hAnsi="宋体"/>
                      </w:rPr>
                      <w:fldChar w:fldCharType="begin"/>
                    </w:r>
                    <w:r>
                      <w:rPr>
                        <w:rStyle w:val="821"/>
                        <w:rFonts w:ascii="宋体" w:hAnsi="宋体"/>
                      </w:rPr>
                      <w:instrText xml:space="preserve">PAGE  </w:instrText>
                    </w:r>
                    <w:r>
                      <w:rPr>
                        <w:rFonts w:ascii="宋体" w:hAnsi="宋体"/>
                      </w:rPr>
                      <w:fldChar w:fldCharType="separate"/>
                    </w:r>
                    <w:r>
                      <w:rPr>
                        <w:rStyle w:val="821"/>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8"/>
      <w:isLgl w:val="false"/>
      <w:suff w:val="nothing"/>
      <w:lvlText w:val=""/>
      <w:lvlJc w:val="left"/>
      <w:pPr>
        <w:ind w:left="0" w:firstLine="0"/>
      </w:pPr>
      <w:rPr>
        <w:rFonts w:hint="eastAsia"/>
      </w:rPr>
    </w:lvl>
    <w:lvl w:ilvl="7">
      <w:start w:val="1"/>
      <w:numFmt w:val="decimal"/>
      <w:pStyle w:val="970"/>
      <w:isLgl w:val="false"/>
      <w:suff w:val="nothing"/>
      <w:lvlText w:val=""/>
      <w:lvlJc w:val="left"/>
      <w:pPr>
        <w:ind w:left="0" w:firstLine="0"/>
      </w:pPr>
      <w:rPr>
        <w:rFonts w:hint="eastAsia"/>
      </w:rPr>
    </w:lvl>
    <w:lvl w:ilvl="8">
      <w:start w:val="1"/>
      <w:numFmt w:val="decimal"/>
      <w:pStyle w:val="972"/>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0"/>
  </w:num>
  <w:num w:numId="4">
    <w:abstractNumId w:val="0"/>
  </w:num>
  <w:num w:numId="5">
    <w:abstractNumId w:val="12"/>
  </w:num>
  <w:num w:numId="6">
    <w:abstractNumId w:val="3"/>
  </w:num>
  <w:num w:numId="7">
    <w:abstractNumId w:val="7"/>
  </w:num>
  <w:num w:numId="8">
    <w:abstractNumId w:val="5"/>
  </w:num>
  <w:num w:numId="9">
    <w:abstractNumId w:val="4"/>
  </w:num>
  <w:num w:numId="10">
    <w:abstractNumId w:val="1"/>
  </w:num>
  <w:num w:numId="11">
    <w:abstractNumId w:val="6"/>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0"/>
    <w:link w:val="761"/>
    <w:uiPriority w:val="9"/>
    <w:rPr>
      <w:rFonts w:ascii="Arial" w:hAnsi="Arial" w:eastAsia="Arial" w:cs="Arial"/>
      <w:sz w:val="40"/>
      <w:szCs w:val="40"/>
    </w:rPr>
  </w:style>
  <w:style w:type="character" w:styleId="15">
    <w:name w:val="Heading 2 Char"/>
    <w:basedOn w:val="770"/>
    <w:link w:val="762"/>
    <w:uiPriority w:val="9"/>
    <w:rPr>
      <w:rFonts w:ascii="Arial" w:hAnsi="Arial" w:eastAsia="Arial" w:cs="Arial"/>
      <w:sz w:val="34"/>
    </w:rPr>
  </w:style>
  <w:style w:type="character" w:styleId="17">
    <w:name w:val="Heading 3 Char"/>
    <w:basedOn w:val="770"/>
    <w:link w:val="763"/>
    <w:uiPriority w:val="9"/>
    <w:rPr>
      <w:rFonts w:ascii="Arial" w:hAnsi="Arial" w:eastAsia="Arial" w:cs="Arial"/>
      <w:sz w:val="30"/>
      <w:szCs w:val="30"/>
    </w:rPr>
  </w:style>
  <w:style w:type="character" w:styleId="19">
    <w:name w:val="Heading 4 Char"/>
    <w:basedOn w:val="770"/>
    <w:link w:val="764"/>
    <w:uiPriority w:val="9"/>
    <w:rPr>
      <w:rFonts w:ascii="Arial" w:hAnsi="Arial" w:eastAsia="Arial" w:cs="Arial"/>
      <w:b/>
      <w:bCs/>
      <w:sz w:val="26"/>
      <w:szCs w:val="26"/>
    </w:rPr>
  </w:style>
  <w:style w:type="character" w:styleId="21">
    <w:name w:val="Heading 5 Char"/>
    <w:basedOn w:val="770"/>
    <w:link w:val="765"/>
    <w:uiPriority w:val="9"/>
    <w:rPr>
      <w:rFonts w:ascii="Arial" w:hAnsi="Arial" w:eastAsia="Arial" w:cs="Arial"/>
      <w:b/>
      <w:bCs/>
      <w:sz w:val="24"/>
      <w:szCs w:val="24"/>
    </w:rPr>
  </w:style>
  <w:style w:type="character" w:styleId="23">
    <w:name w:val="Heading 6 Char"/>
    <w:basedOn w:val="770"/>
    <w:link w:val="766"/>
    <w:uiPriority w:val="9"/>
    <w:rPr>
      <w:rFonts w:ascii="Arial" w:hAnsi="Arial" w:eastAsia="Arial" w:cs="Arial"/>
      <w:b/>
      <w:bCs/>
      <w:sz w:val="22"/>
      <w:szCs w:val="22"/>
    </w:rPr>
  </w:style>
  <w:style w:type="character" w:styleId="25">
    <w:name w:val="Heading 7 Char"/>
    <w:basedOn w:val="770"/>
    <w:link w:val="767"/>
    <w:uiPriority w:val="9"/>
    <w:rPr>
      <w:rFonts w:ascii="Arial" w:hAnsi="Arial" w:eastAsia="Arial" w:cs="Arial"/>
      <w:b/>
      <w:bCs/>
      <w:i/>
      <w:iCs/>
      <w:sz w:val="22"/>
      <w:szCs w:val="22"/>
    </w:rPr>
  </w:style>
  <w:style w:type="character" w:styleId="27">
    <w:name w:val="Heading 8 Char"/>
    <w:basedOn w:val="770"/>
    <w:link w:val="768"/>
    <w:uiPriority w:val="9"/>
    <w:rPr>
      <w:rFonts w:ascii="Arial" w:hAnsi="Arial" w:eastAsia="Arial" w:cs="Arial"/>
      <w:i/>
      <w:iCs/>
      <w:sz w:val="22"/>
      <w:szCs w:val="22"/>
    </w:rPr>
  </w:style>
  <w:style w:type="character" w:styleId="29">
    <w:name w:val="Heading 9 Char"/>
    <w:basedOn w:val="770"/>
    <w:link w:val="769"/>
    <w:uiPriority w:val="9"/>
    <w:rPr>
      <w:rFonts w:ascii="Arial" w:hAnsi="Arial" w:eastAsia="Arial" w:cs="Arial"/>
      <w:i/>
      <w:iCs/>
      <w:sz w:val="21"/>
      <w:szCs w:val="21"/>
    </w:rPr>
  </w:style>
  <w:style w:type="character" w:styleId="34">
    <w:name w:val="Title Char"/>
    <w:basedOn w:val="770"/>
    <w:link w:val="795"/>
    <w:uiPriority w:val="10"/>
    <w:rPr>
      <w:sz w:val="48"/>
      <w:szCs w:val="48"/>
    </w:rPr>
  </w:style>
  <w:style w:type="character" w:styleId="36">
    <w:name w:val="Subtitle Char"/>
    <w:basedOn w:val="770"/>
    <w:link w:val="788"/>
    <w:uiPriority w:val="11"/>
    <w:rPr>
      <w:sz w:val="24"/>
      <w:szCs w:val="24"/>
    </w:rPr>
  </w:style>
  <w:style w:type="character" w:styleId="38">
    <w:name w:val="Quote Char"/>
    <w:link w:val="824"/>
    <w:uiPriority w:val="29"/>
    <w:rPr>
      <w:i/>
    </w:rPr>
  </w:style>
  <w:style w:type="character" w:styleId="40">
    <w:name w:val="Intense Quote Char"/>
    <w:link w:val="826"/>
    <w:uiPriority w:val="30"/>
    <w:rPr>
      <w:i/>
    </w:rPr>
  </w:style>
  <w:style w:type="character" w:styleId="42">
    <w:name w:val="Header Char"/>
    <w:basedOn w:val="770"/>
    <w:link w:val="785"/>
    <w:uiPriority w:val="99"/>
  </w:style>
  <w:style w:type="character" w:styleId="44">
    <w:name w:val="Footer Char"/>
    <w:basedOn w:val="770"/>
    <w:link w:val="784"/>
    <w:uiPriority w:val="99"/>
  </w:style>
  <w:style w:type="character" w:styleId="46">
    <w:name w:val="Caption Char"/>
    <w:basedOn w:val="774"/>
    <w:link w:val="784"/>
    <w:uiPriority w:val="99"/>
  </w:style>
  <w:style w:type="character" w:styleId="175">
    <w:name w:val="Footnote Text Char"/>
    <w:link w:val="789"/>
    <w:uiPriority w:val="99"/>
    <w:rPr>
      <w:sz w:val="18"/>
    </w:rPr>
  </w:style>
  <w:style w:type="character" w:styleId="178">
    <w:name w:val="Endnote Text Char"/>
    <w:link w:val="782"/>
    <w:uiPriority w:val="99"/>
    <w:rPr>
      <w:sz w:val="20"/>
    </w:rPr>
  </w:style>
  <w:style w:type="paragraph" w:styleId="76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1">
    <w:name w:val="Heading 1"/>
    <w:basedOn w:val="760"/>
    <w:next w:val="760"/>
    <w:link w:val="803"/>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2"/>
    <w:link w:val="804"/>
    <w:uiPriority w:val="9"/>
    <w:qFormat/>
    <w:pPr>
      <w:keepLines/>
      <w:keepNext/>
      <w:spacing w:before="360" w:after="200"/>
      <w:outlineLvl w:val="1"/>
    </w:pPr>
    <w:rPr>
      <w:rFonts w:ascii="Arial" w:hAnsi="Arial" w:eastAsia="Arial" w:cs="Arial"/>
      <w:sz w:val="34"/>
    </w:rPr>
  </w:style>
  <w:style w:type="paragraph" w:styleId="763">
    <w:name w:val="Heading 3"/>
    <w:basedOn w:val="760"/>
    <w:next w:val="760"/>
    <w:link w:val="805"/>
    <w:uiPriority w:val="9"/>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6"/>
    <w:uiPriority w:val="9"/>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7"/>
    <w:uiPriority w:val="9"/>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8"/>
    <w:uiPriority w:val="9"/>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9"/>
    <w:uiPriority w:val="9"/>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0"/>
    <w:uiPriority w:val="9"/>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1"/>
    <w:uiPriority w:val="9"/>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unhideWhenUsed/>
    <w:qFormat/>
  </w:style>
  <w:style w:type="table" w:styleId="771" w:default="1">
    <w:name w:val="Normal Table"/>
    <w:uiPriority w:val="99"/>
    <w:unhideWhenUsed/>
    <w:qFormat/>
    <w:tblPr>
      <w:tblCellMar>
        <w:left w:w="108" w:type="dxa"/>
        <w:top w:w="0" w:type="dxa"/>
        <w:right w:w="108" w:type="dxa"/>
        <w:bottom w:w="0" w:type="dxa"/>
      </w:tblCellMar>
    </w:tblPr>
  </w:style>
  <w:style w:type="paragraph" w:styleId="772">
    <w:name w:val="Normal Indent"/>
    <w:basedOn w:val="760"/>
    <w:link w:val="812"/>
    <w:uiPriority w:val="0"/>
    <w:qFormat/>
    <w:pPr>
      <w:ind w:firstLine="420"/>
    </w:pPr>
    <w:rPr>
      <w:szCs w:val="20"/>
    </w:r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qFormat/>
    <w:pPr>
      <w:spacing w:line="276" w:lineRule="auto"/>
    </w:pPr>
    <w:rPr>
      <w:b/>
      <w:bCs/>
      <w:color w:val="4f81bd"/>
      <w:sz w:val="18"/>
      <w:szCs w:val="18"/>
    </w:rPr>
  </w:style>
  <w:style w:type="paragraph" w:styleId="775">
    <w:name w:val="annotation text"/>
    <w:basedOn w:val="760"/>
    <w:uiPriority w:val="99"/>
    <w:unhideWhenUsed/>
    <w:qFormat/>
    <w:pPr>
      <w:jc w:val="left"/>
    </w:pPr>
  </w:style>
  <w:style w:type="paragraph" w:styleId="776">
    <w:name w:val="Body Text"/>
    <w:basedOn w:val="760"/>
    <w:uiPriority w:val="99"/>
    <w:unhideWhenUsed/>
    <w:qFormat/>
    <w:pPr>
      <w:spacing w:after="120"/>
    </w:pPr>
  </w:style>
  <w:style w:type="paragraph" w:styleId="777">
    <w:name w:val="Body Text Indent"/>
    <w:basedOn w:val="760"/>
    <w:uiPriority w:val="0"/>
    <w:qFormat/>
    <w:pPr>
      <w:ind w:left="420"/>
      <w:spacing w:after="120"/>
    </w:p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Plain Text"/>
    <w:basedOn w:val="760"/>
    <w:uiPriority w:val="0"/>
    <w:qFormat/>
    <w:rPr>
      <w:rFonts w:ascii="宋体" w:hAnsi="Courier New"/>
      <w:szCs w:val="20"/>
    </w:rPr>
  </w:style>
  <w:style w:type="paragraph" w:styleId="781">
    <w:name w:val="toc 8"/>
    <w:basedOn w:val="760"/>
    <w:next w:val="760"/>
    <w:uiPriority w:val="39"/>
    <w:unhideWhenUsed/>
    <w:qFormat/>
    <w:pPr>
      <w:ind w:left="1984" w:right="0" w:firstLine="0"/>
      <w:spacing w:after="57"/>
    </w:pPr>
  </w:style>
  <w:style w:type="paragraph" w:styleId="782">
    <w:name w:val="endnote text"/>
    <w:basedOn w:val="760"/>
    <w:link w:val="813"/>
    <w:uiPriority w:val="99"/>
    <w:unhideWhenUsed/>
    <w:qFormat/>
    <w:pPr>
      <w:spacing w:after="0" w:line="240" w:lineRule="auto"/>
    </w:pPr>
    <w:rPr>
      <w:sz w:val="20"/>
    </w:rPr>
  </w:style>
  <w:style w:type="paragraph" w:styleId="783">
    <w:name w:val="Balloon Text"/>
    <w:basedOn w:val="760"/>
    <w:link w:val="814"/>
    <w:uiPriority w:val="0"/>
    <w:qFormat/>
    <w:pPr>
      <w:jc w:val="left"/>
      <w:widowControl/>
    </w:pPr>
    <w:rPr>
      <w:rFonts w:ascii="Tahoma" w:hAnsi="Tahoma" w:eastAsia="微软雅黑"/>
      <w:sz w:val="18"/>
      <w:szCs w:val="18"/>
    </w:rPr>
  </w:style>
  <w:style w:type="paragraph" w:styleId="784">
    <w:name w:val="Footer"/>
    <w:basedOn w:val="760"/>
    <w:link w:val="820"/>
    <w:uiPriority w:val="0"/>
    <w:unhideWhenUsed/>
    <w:qFormat/>
    <w:pPr>
      <w:spacing w:after="0" w:line="240" w:lineRule="auto"/>
      <w:tabs>
        <w:tab w:val="center" w:pos="7143" w:leader="none"/>
        <w:tab w:val="right" w:pos="14287" w:leader="none"/>
      </w:tabs>
    </w:pPr>
  </w:style>
  <w:style w:type="paragraph" w:styleId="785">
    <w:name w:val="Header"/>
    <w:basedOn w:val="760"/>
    <w:link w:val="816"/>
    <w:uiPriority w:val="0"/>
    <w:unhideWhenUsed/>
    <w:qFormat/>
    <w:pPr>
      <w:spacing w:after="0" w:line="240" w:lineRule="auto"/>
      <w:tabs>
        <w:tab w:val="center" w:pos="7143" w:leader="none"/>
        <w:tab w:val="right" w:pos="14287" w:leader="none"/>
      </w:tabs>
    </w:pPr>
  </w:style>
  <w:style w:type="paragraph" w:styleId="786">
    <w:name w:val="toc 1"/>
    <w:basedOn w:val="760"/>
    <w:next w:val="760"/>
    <w:uiPriority w:val="39"/>
    <w:unhideWhenUsed/>
    <w:qFormat/>
    <w:pPr>
      <w:ind w:left="0" w:right="0" w:firstLine="0"/>
      <w:spacing w:after="57"/>
    </w:pPr>
  </w:style>
  <w:style w:type="paragraph" w:styleId="787">
    <w:name w:val="toc 4"/>
    <w:basedOn w:val="760"/>
    <w:next w:val="760"/>
    <w:uiPriority w:val="39"/>
    <w:unhideWhenUsed/>
    <w:qFormat/>
    <w:pPr>
      <w:ind w:left="850" w:right="0" w:firstLine="0"/>
      <w:spacing w:after="57"/>
    </w:pPr>
  </w:style>
  <w:style w:type="paragraph" w:styleId="788">
    <w:name w:val="Subtitle"/>
    <w:basedOn w:val="760"/>
    <w:next w:val="760"/>
    <w:link w:val="817"/>
    <w:uiPriority w:val="11"/>
    <w:qFormat/>
    <w:pPr>
      <w:spacing w:before="200" w:after="200"/>
    </w:pPr>
    <w:rPr>
      <w:sz w:val="24"/>
      <w:szCs w:val="24"/>
    </w:rPr>
  </w:style>
  <w:style w:type="paragraph" w:styleId="789">
    <w:name w:val="footnote text"/>
    <w:basedOn w:val="760"/>
    <w:link w:val="818"/>
    <w:uiPriority w:val="99"/>
    <w:unhideWhenUsed/>
    <w:qFormat/>
    <w:pPr>
      <w:spacing w:after="40" w:line="240" w:lineRule="auto"/>
    </w:pPr>
    <w:rPr>
      <w:sz w:val="18"/>
    </w:rPr>
  </w:style>
  <w:style w:type="paragraph" w:styleId="790">
    <w:name w:val="toc 6"/>
    <w:basedOn w:val="760"/>
    <w:next w:val="760"/>
    <w:uiPriority w:val="39"/>
    <w:unhideWhenUsed/>
    <w:qFormat/>
    <w:pPr>
      <w:ind w:left="1417" w:right="0" w:firstLine="0"/>
      <w:spacing w:after="57"/>
    </w:pPr>
  </w:style>
  <w:style w:type="paragraph" w:styleId="791">
    <w:name w:val="table of figures"/>
    <w:basedOn w:val="760"/>
    <w:next w:val="760"/>
    <w:uiPriority w:val="99"/>
    <w:unhideWhenUsed/>
    <w:qFormat/>
    <w:pPr>
      <w:spacing w:after="0" w:afterAutospacing="0"/>
    </w:pPr>
  </w:style>
  <w:style w:type="paragraph" w:styleId="792">
    <w:name w:val="toc 2"/>
    <w:basedOn w:val="760"/>
    <w:next w:val="760"/>
    <w:uiPriority w:val="39"/>
    <w:unhideWhenUsed/>
    <w:qFormat/>
    <w:pPr>
      <w:ind w:left="283" w:right="0" w:firstLine="0"/>
      <w:spacing w:after="57"/>
    </w:pPr>
  </w:style>
  <w:style w:type="paragraph" w:styleId="793">
    <w:name w:val="toc 9"/>
    <w:basedOn w:val="760"/>
    <w:next w:val="760"/>
    <w:uiPriority w:val="39"/>
    <w:unhideWhenUsed/>
    <w:qFormat/>
    <w:pPr>
      <w:ind w:left="2268" w:right="0" w:firstLine="0"/>
      <w:spacing w:after="57"/>
    </w:pPr>
  </w:style>
  <w:style w:type="paragraph" w:styleId="794">
    <w:name w:val="Normal (Web)"/>
    <w:basedOn w:val="760"/>
    <w:uiPriority w:val="0"/>
    <w:qFormat/>
    <w:pPr>
      <w:ind w:left="0" w:right="0"/>
      <w:jc w:val="left"/>
      <w:spacing w:before="0" w:beforeAutospacing="1" w:after="0" w:afterAutospacing="1"/>
    </w:pPr>
    <w:rPr>
      <w:sz w:val="24"/>
      <w:lang w:val="en-US" w:eastAsia="zh-CN" w:bidi="ar"/>
    </w:rPr>
  </w:style>
  <w:style w:type="paragraph" w:styleId="795">
    <w:name w:val="Title"/>
    <w:basedOn w:val="760"/>
    <w:next w:val="760"/>
    <w:link w:val="819"/>
    <w:uiPriority w:val="10"/>
    <w:qFormat/>
    <w:pPr>
      <w:contextualSpacing/>
      <w:spacing w:before="300" w:after="200"/>
    </w:pPr>
    <w:rPr>
      <w:sz w:val="48"/>
      <w:szCs w:val="48"/>
    </w:rPr>
  </w:style>
  <w:style w:type="paragraph" w:styleId="796">
    <w:name w:val="Body Text First Indent"/>
    <w:basedOn w:val="776"/>
    <w:uiPriority w:val="0"/>
    <w:unhideWhenUsed/>
    <w:qFormat/>
    <w:pPr>
      <w:ind w:firstLine="420"/>
    </w:pPr>
  </w:style>
  <w:style w:type="table" w:styleId="797">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unhideWhenUsed/>
    <w:qFormat/>
    <w:rPr>
      <w:vertAlign w:val="superscript"/>
    </w:rPr>
  </w:style>
  <w:style w:type="character" w:styleId="799">
    <w:name w:val="FollowedHyperlink"/>
    <w:uiPriority w:val="0"/>
    <w:qFormat/>
    <w:rPr>
      <w:color w:val="800080"/>
      <w:u w:val="single"/>
    </w:rPr>
  </w:style>
  <w:style w:type="character" w:styleId="800">
    <w:name w:val="Hyperlink"/>
    <w:uiPriority w:val="99"/>
    <w:unhideWhenUsed/>
    <w:qFormat/>
    <w:rPr>
      <w:color w:val="0000ff"/>
      <w:u w:val="single"/>
    </w:rPr>
  </w:style>
  <w:style w:type="character" w:styleId="801">
    <w:name w:val="footnote reference"/>
    <w:uiPriority w:val="99"/>
    <w:unhideWhenUsed/>
    <w:qFormat/>
    <w:rPr>
      <w:vertAlign w:val="superscript"/>
    </w:rPr>
  </w:style>
  <w:style w:type="paragraph" w:styleId="802"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03" w:customStyle="1">
    <w:name w:val="标题 1 字符"/>
    <w:link w:val="761"/>
    <w:uiPriority w:val="9"/>
    <w:qFormat/>
    <w:rPr>
      <w:rFonts w:ascii="Arial" w:hAnsi="Arial" w:eastAsia="Arial" w:cs="Arial"/>
      <w:sz w:val="40"/>
      <w:szCs w:val="40"/>
    </w:rPr>
  </w:style>
  <w:style w:type="character" w:styleId="804" w:customStyle="1">
    <w:name w:val="标题 2 字符"/>
    <w:link w:val="762"/>
    <w:uiPriority w:val="9"/>
    <w:qFormat/>
    <w:rPr>
      <w:rFonts w:ascii="Arial" w:hAnsi="Arial" w:eastAsia="Arial" w:cs="Arial"/>
      <w:sz w:val="34"/>
    </w:rPr>
  </w:style>
  <w:style w:type="character" w:styleId="805" w:customStyle="1">
    <w:name w:val="标题 3 字符"/>
    <w:link w:val="763"/>
    <w:uiPriority w:val="9"/>
    <w:qFormat/>
    <w:rPr>
      <w:rFonts w:ascii="Arial" w:hAnsi="Arial" w:eastAsia="Arial" w:cs="Arial"/>
      <w:sz w:val="30"/>
      <w:szCs w:val="30"/>
    </w:rPr>
  </w:style>
  <w:style w:type="character" w:styleId="806" w:customStyle="1">
    <w:name w:val="标题 4 字符"/>
    <w:link w:val="764"/>
    <w:uiPriority w:val="9"/>
    <w:qFormat/>
    <w:rPr>
      <w:rFonts w:ascii="Arial" w:hAnsi="Arial" w:eastAsia="Arial" w:cs="Arial"/>
      <w:b/>
      <w:bCs/>
      <w:sz w:val="26"/>
      <w:szCs w:val="26"/>
    </w:rPr>
  </w:style>
  <w:style w:type="character" w:styleId="807" w:customStyle="1">
    <w:name w:val="标题 5 字符"/>
    <w:link w:val="765"/>
    <w:uiPriority w:val="9"/>
    <w:qFormat/>
    <w:rPr>
      <w:rFonts w:ascii="Arial" w:hAnsi="Arial" w:eastAsia="Arial" w:cs="Arial"/>
      <w:b/>
      <w:bCs/>
      <w:sz w:val="24"/>
      <w:szCs w:val="24"/>
    </w:rPr>
  </w:style>
  <w:style w:type="character" w:styleId="808" w:customStyle="1">
    <w:name w:val="标题 6 字符"/>
    <w:link w:val="766"/>
    <w:uiPriority w:val="9"/>
    <w:qFormat/>
    <w:rPr>
      <w:rFonts w:ascii="Arial" w:hAnsi="Arial" w:eastAsia="Arial" w:cs="Arial"/>
      <w:b/>
      <w:bCs/>
      <w:sz w:val="22"/>
      <w:szCs w:val="22"/>
    </w:rPr>
  </w:style>
  <w:style w:type="character" w:styleId="809" w:customStyle="1">
    <w:name w:val="标题 7 字符"/>
    <w:link w:val="767"/>
    <w:uiPriority w:val="9"/>
    <w:qFormat/>
    <w:rPr>
      <w:rFonts w:ascii="Arial" w:hAnsi="Arial" w:eastAsia="Arial" w:cs="Arial"/>
      <w:b/>
      <w:bCs/>
      <w:i/>
      <w:iCs/>
      <w:sz w:val="22"/>
      <w:szCs w:val="22"/>
    </w:rPr>
  </w:style>
  <w:style w:type="character" w:styleId="810" w:customStyle="1">
    <w:name w:val="标题 8 字符"/>
    <w:link w:val="768"/>
    <w:uiPriority w:val="9"/>
    <w:qFormat/>
    <w:rPr>
      <w:rFonts w:ascii="Arial" w:hAnsi="Arial" w:eastAsia="Arial" w:cs="Arial"/>
      <w:i/>
      <w:iCs/>
      <w:sz w:val="22"/>
      <w:szCs w:val="22"/>
    </w:rPr>
  </w:style>
  <w:style w:type="character" w:styleId="811" w:customStyle="1">
    <w:name w:val="标题 9 字符"/>
    <w:link w:val="769"/>
    <w:uiPriority w:val="9"/>
    <w:qFormat/>
    <w:rPr>
      <w:rFonts w:ascii="Arial" w:hAnsi="Arial" w:eastAsia="Arial" w:cs="Arial"/>
      <w:i/>
      <w:iCs/>
      <w:sz w:val="21"/>
      <w:szCs w:val="21"/>
    </w:rPr>
  </w:style>
  <w:style w:type="character" w:styleId="812" w:customStyle="1">
    <w:name w:val="正文缩进 字符"/>
    <w:link w:val="772"/>
    <w:uiPriority w:val="0"/>
    <w:qFormat/>
    <w:rPr>
      <w:rFonts w:ascii="Calibri" w:hAnsi="Calibri"/>
      <w:sz w:val="21"/>
    </w:rPr>
  </w:style>
  <w:style w:type="character" w:styleId="813" w:customStyle="1">
    <w:name w:val="尾注文本 字符"/>
    <w:link w:val="782"/>
    <w:uiPriority w:val="99"/>
    <w:qFormat/>
    <w:rPr>
      <w:sz w:val="20"/>
    </w:rPr>
  </w:style>
  <w:style w:type="character" w:styleId="814" w:customStyle="1">
    <w:name w:val="批注框文本 字符"/>
    <w:link w:val="783"/>
    <w:uiPriority w:val="0"/>
    <w:qFormat/>
    <w:rPr>
      <w:rFonts w:ascii="Tahoma" w:hAnsi="Tahoma" w:eastAsia="微软雅黑"/>
      <w:sz w:val="18"/>
      <w:szCs w:val="18"/>
    </w:rPr>
  </w:style>
  <w:style w:type="character" w:styleId="815" w:customStyle="1">
    <w:name w:val="页脚 字符"/>
    <w:link w:val="784"/>
    <w:uiPriority w:val="0"/>
    <w:qFormat/>
  </w:style>
  <w:style w:type="character" w:styleId="816" w:customStyle="1">
    <w:name w:val="页眉 字符"/>
    <w:link w:val="785"/>
    <w:uiPriority w:val="0"/>
    <w:qFormat/>
  </w:style>
  <w:style w:type="character" w:styleId="817" w:customStyle="1">
    <w:name w:val="副标题 字符"/>
    <w:link w:val="788"/>
    <w:uiPriority w:val="11"/>
    <w:qFormat/>
    <w:rPr>
      <w:sz w:val="24"/>
      <w:szCs w:val="24"/>
    </w:rPr>
  </w:style>
  <w:style w:type="character" w:styleId="818" w:customStyle="1">
    <w:name w:val="脚注文本 字符"/>
    <w:link w:val="789"/>
    <w:uiPriority w:val="99"/>
    <w:qFormat/>
    <w:rPr>
      <w:sz w:val="18"/>
    </w:rPr>
  </w:style>
  <w:style w:type="character" w:styleId="819" w:customStyle="1">
    <w:name w:val="标题 字符"/>
    <w:link w:val="795"/>
    <w:uiPriority w:val="10"/>
    <w:qFormat/>
    <w:rPr>
      <w:sz w:val="48"/>
      <w:szCs w:val="48"/>
    </w:rPr>
  </w:style>
  <w:style w:type="character" w:styleId="820" w:customStyle="1">
    <w:name w:val="页脚 字符1"/>
    <w:link w:val="784"/>
    <w:uiPriority w:val="99"/>
    <w:qFormat/>
  </w:style>
  <w:style w:type="character" w:styleId="821" w:customStyle="1">
    <w:name w:val="页码1"/>
    <w:uiPriority w:val="0"/>
    <w:qFormat/>
  </w:style>
  <w:style w:type="paragraph" w:styleId="822">
    <w:name w:val="List Paragraph"/>
    <w:basedOn w:val="760"/>
    <w:uiPriority w:val="34"/>
    <w:qFormat/>
    <w:pPr>
      <w:contextualSpacing/>
      <w:ind w:left="720"/>
    </w:pPr>
  </w:style>
  <w:style w:type="paragraph" w:styleId="823">
    <w:name w:val="No Spacing"/>
    <w:uiPriority w:val="1"/>
    <w:qFormat/>
    <w:rPr>
      <w:rFonts w:ascii="Calibri" w:hAnsi="Calibri" w:eastAsia="宋体" w:cs="Times New Roman"/>
      <w:lang w:val="en-US" w:eastAsia="zh-CN" w:bidi="ar-SA"/>
    </w:rPr>
  </w:style>
  <w:style w:type="paragraph" w:styleId="824">
    <w:name w:val="Quote"/>
    <w:basedOn w:val="760"/>
    <w:next w:val="760"/>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60"/>
    <w:next w:val="76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table" w:styleId="828"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9"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0"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1" w:customStyle="1">
    <w:name w:val="Plain Table 3"/>
    <w:uiPriority w:val="99"/>
    <w:qFormat/>
    <w:rPr>
      <w:lang w:val="en-US" w:eastAsia="zh-CN" w:bidi="ar-SA"/>
    </w:rPr>
    <w:tblPr/>
  </w:style>
  <w:style w:type="table" w:styleId="832" w:customStyle="1">
    <w:name w:val="Plain Table 4"/>
    <w:uiPriority w:val="99"/>
    <w:qFormat/>
    <w:rPr>
      <w:lang w:val="en-US" w:eastAsia="zh-CN" w:bidi="ar-SA"/>
    </w:rPr>
    <w:tblPr/>
  </w:style>
  <w:style w:type="table" w:styleId="833" w:customStyle="1">
    <w:name w:val="Plain Table 5"/>
    <w:uiPriority w:val="99"/>
    <w:qFormat/>
    <w:rPr>
      <w:lang w:val="en-US" w:eastAsia="zh-CN" w:bidi="ar-SA"/>
    </w:rPr>
    <w:tblPr/>
  </w:style>
  <w:style w:type="table" w:styleId="834"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835"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36"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37"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38"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39"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40"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841"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42"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43"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44"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45"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46"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47"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48"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849"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850"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851"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852"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853"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854"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855"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856"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857"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858"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59"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60"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61"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62"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63"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64"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65"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66"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67"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68"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69"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70"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71"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72"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73"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74"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75"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76"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77"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78"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79"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80"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81"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82"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83" w:customStyle="1">
    <w:name w:val="List Table 1 Light"/>
    <w:uiPriority w:val="99"/>
    <w:qFormat/>
    <w:rPr>
      <w:lang w:val="en-US" w:eastAsia="zh-CN" w:bidi="ar-SA"/>
    </w:rPr>
    <w:tblPr/>
  </w:style>
  <w:style w:type="table" w:styleId="884" w:customStyle="1">
    <w:name w:val="List Table 1 Light - Accent 1"/>
    <w:uiPriority w:val="99"/>
    <w:qFormat/>
    <w:rPr>
      <w:lang w:val="en-US" w:eastAsia="zh-CN" w:bidi="ar-SA"/>
    </w:rPr>
    <w:tblPr/>
  </w:style>
  <w:style w:type="table" w:styleId="885" w:customStyle="1">
    <w:name w:val="List Table 1 Light - Accent 2"/>
    <w:uiPriority w:val="99"/>
    <w:qFormat/>
    <w:rPr>
      <w:lang w:val="en-US" w:eastAsia="zh-CN" w:bidi="ar-SA"/>
    </w:rPr>
    <w:tblPr/>
  </w:style>
  <w:style w:type="table" w:styleId="886" w:customStyle="1">
    <w:name w:val="List Table 1 Light - Accent 3"/>
    <w:uiPriority w:val="99"/>
    <w:qFormat/>
    <w:rPr>
      <w:lang w:val="en-US" w:eastAsia="zh-CN" w:bidi="ar-SA"/>
    </w:rPr>
    <w:tblPr/>
  </w:style>
  <w:style w:type="table" w:styleId="887" w:customStyle="1">
    <w:name w:val="List Table 1 Light - Accent 4"/>
    <w:uiPriority w:val="99"/>
    <w:qFormat/>
    <w:rPr>
      <w:lang w:val="en-US" w:eastAsia="zh-CN" w:bidi="ar-SA"/>
    </w:rPr>
    <w:tblPr/>
  </w:style>
  <w:style w:type="table" w:styleId="888" w:customStyle="1">
    <w:name w:val="List Table 1 Light - Accent 5"/>
    <w:uiPriority w:val="99"/>
    <w:qFormat/>
    <w:rPr>
      <w:lang w:val="en-US" w:eastAsia="zh-CN" w:bidi="ar-SA"/>
    </w:rPr>
    <w:tblPr/>
  </w:style>
  <w:style w:type="table" w:styleId="889" w:customStyle="1">
    <w:name w:val="List Table 1 Light - Accent 6"/>
    <w:uiPriority w:val="99"/>
    <w:qFormat/>
    <w:rPr>
      <w:lang w:val="en-US" w:eastAsia="zh-CN" w:bidi="ar-SA"/>
    </w:rPr>
    <w:tblPr/>
  </w:style>
  <w:style w:type="table" w:styleId="890"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91"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92"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93"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94"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95"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96"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97"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8"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99"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900"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901"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902"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903"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904"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05"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906"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907"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908"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909"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910"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911"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912"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913"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914"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915"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916"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917"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918"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919"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920"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921"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922"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923"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924"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925" w:customStyle="1">
    <w:name w:val="List Table 7 Colorful"/>
    <w:uiPriority w:val="99"/>
    <w:qFormat/>
    <w:rPr>
      <w:lang w:val="en-US" w:eastAsia="zh-CN" w:bidi="ar-SA"/>
    </w:rPr>
    <w:tblPr>
      <w:tblBorders>
        <w:right w:val="single" w:color="7E7E7E" w:sz="4" w:space="0"/>
      </w:tblBorders>
    </w:tblPr>
  </w:style>
  <w:style w:type="table" w:styleId="926" w:customStyle="1">
    <w:name w:val="List Table 7 Colorful - Accent 1"/>
    <w:uiPriority w:val="99"/>
    <w:qFormat/>
    <w:rPr>
      <w:lang w:val="en-US" w:eastAsia="zh-CN" w:bidi="ar-SA"/>
    </w:rPr>
    <w:tblPr>
      <w:tblBorders>
        <w:right w:val="single" w:color="4F81BD" w:sz="4" w:space="0"/>
      </w:tblBorders>
    </w:tblPr>
  </w:style>
  <w:style w:type="table" w:styleId="927" w:customStyle="1">
    <w:name w:val="List Table 7 Colorful - Accent 2"/>
    <w:uiPriority w:val="99"/>
    <w:qFormat/>
    <w:rPr>
      <w:lang w:val="en-US" w:eastAsia="zh-CN" w:bidi="ar-SA"/>
    </w:rPr>
    <w:tblPr>
      <w:tblBorders>
        <w:right w:val="single" w:color="D99795" w:sz="4" w:space="0"/>
      </w:tblBorders>
    </w:tblPr>
  </w:style>
  <w:style w:type="table" w:styleId="928" w:customStyle="1">
    <w:name w:val="List Table 7 Colorful - Accent 3"/>
    <w:uiPriority w:val="99"/>
    <w:qFormat/>
    <w:rPr>
      <w:lang w:val="en-US" w:eastAsia="zh-CN" w:bidi="ar-SA"/>
    </w:rPr>
    <w:tblPr>
      <w:tblBorders>
        <w:right w:val="single" w:color="C3D69C" w:sz="4" w:space="0"/>
      </w:tblBorders>
    </w:tblPr>
  </w:style>
  <w:style w:type="table" w:styleId="929" w:customStyle="1">
    <w:name w:val="List Table 7 Colorful - Accent 4"/>
    <w:uiPriority w:val="99"/>
    <w:qFormat/>
    <w:rPr>
      <w:lang w:val="en-US" w:eastAsia="zh-CN" w:bidi="ar-SA"/>
    </w:rPr>
    <w:tblPr>
      <w:tblBorders>
        <w:right w:val="single" w:color="B2A1C6" w:sz="4" w:space="0"/>
      </w:tblBorders>
    </w:tblPr>
  </w:style>
  <w:style w:type="table" w:styleId="930" w:customStyle="1">
    <w:name w:val="List Table 7 Colorful - Accent 5"/>
    <w:uiPriority w:val="99"/>
    <w:qFormat/>
    <w:rPr>
      <w:lang w:val="en-US" w:eastAsia="zh-CN" w:bidi="ar-SA"/>
    </w:rPr>
    <w:tblPr>
      <w:tblBorders>
        <w:right w:val="single" w:color="92CCDC" w:sz="4" w:space="0"/>
      </w:tblBorders>
    </w:tblPr>
  </w:style>
  <w:style w:type="table" w:styleId="931" w:customStyle="1">
    <w:name w:val="List Table 7 Colorful - Accent 6"/>
    <w:uiPriority w:val="99"/>
    <w:qFormat/>
    <w:rPr>
      <w:lang w:val="en-US" w:eastAsia="zh-CN" w:bidi="ar-SA"/>
    </w:rPr>
    <w:tblPr>
      <w:tblBorders>
        <w:right w:val="single" w:color="FAC090" w:sz="4" w:space="0"/>
      </w:tblBorders>
    </w:tblPr>
  </w:style>
  <w:style w:type="table" w:styleId="932" w:customStyle="1">
    <w:name w:val="Lined - Accent"/>
    <w:uiPriority w:val="99"/>
    <w:qFormat/>
    <w:rPr>
      <w:color w:val="404040"/>
      <w:lang w:val="en-US" w:eastAsia="zh-CN" w:bidi="ar-SA"/>
    </w:rPr>
    <w:tblPr/>
  </w:style>
  <w:style w:type="table" w:styleId="933" w:customStyle="1">
    <w:name w:val="Lined - Accent 1"/>
    <w:uiPriority w:val="99"/>
    <w:qFormat/>
    <w:rPr>
      <w:color w:val="404040"/>
      <w:lang w:val="en-US" w:eastAsia="zh-CN" w:bidi="ar-SA"/>
    </w:rPr>
    <w:tblPr/>
  </w:style>
  <w:style w:type="table" w:styleId="934" w:customStyle="1">
    <w:name w:val="Lined - Accent 2"/>
    <w:uiPriority w:val="99"/>
    <w:qFormat/>
    <w:rPr>
      <w:color w:val="404040"/>
      <w:lang w:val="en-US" w:eastAsia="zh-CN" w:bidi="ar-SA"/>
    </w:rPr>
    <w:tblPr/>
  </w:style>
  <w:style w:type="table" w:styleId="935" w:customStyle="1">
    <w:name w:val="Lined - Accent 3"/>
    <w:uiPriority w:val="99"/>
    <w:qFormat/>
    <w:rPr>
      <w:color w:val="404040"/>
      <w:lang w:val="en-US" w:eastAsia="zh-CN" w:bidi="ar-SA"/>
    </w:rPr>
    <w:tblPr/>
  </w:style>
  <w:style w:type="table" w:styleId="936" w:customStyle="1">
    <w:name w:val="Lined - Accent 4"/>
    <w:uiPriority w:val="99"/>
    <w:qFormat/>
    <w:rPr>
      <w:color w:val="404040"/>
      <w:lang w:val="en-US" w:eastAsia="zh-CN" w:bidi="ar-SA"/>
    </w:rPr>
    <w:tblPr/>
  </w:style>
  <w:style w:type="table" w:styleId="937" w:customStyle="1">
    <w:name w:val="Lined - Accent 5"/>
    <w:uiPriority w:val="99"/>
    <w:qFormat/>
    <w:rPr>
      <w:color w:val="404040"/>
      <w:lang w:val="en-US" w:eastAsia="zh-CN" w:bidi="ar-SA"/>
    </w:rPr>
    <w:tblPr/>
  </w:style>
  <w:style w:type="table" w:styleId="938" w:customStyle="1">
    <w:name w:val="Lined - Accent 6"/>
    <w:uiPriority w:val="99"/>
    <w:qFormat/>
    <w:rPr>
      <w:color w:val="404040"/>
      <w:lang w:val="en-US" w:eastAsia="zh-CN" w:bidi="ar-SA"/>
    </w:rPr>
    <w:tblPr/>
  </w:style>
  <w:style w:type="table" w:styleId="939"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940"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941"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942"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943"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944"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945"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946"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947"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948"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949"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950"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951"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952"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953" w:customStyle="1">
    <w:name w:val="TOC Heading"/>
    <w:uiPriority w:val="39"/>
    <w:unhideWhenUsed/>
    <w:qFormat/>
    <w:rPr>
      <w:rFonts w:ascii="Calibri" w:hAnsi="Calibri" w:eastAsia="宋体" w:cs="Times New Roman"/>
      <w:lang w:val="en-US" w:eastAsia="zh-CN" w:bidi="ar-SA"/>
    </w:rPr>
  </w:style>
  <w:style w:type="paragraph" w:styleId="954" w:customStyle="1">
    <w:name w:val="标题 11"/>
    <w:basedOn w:val="760"/>
    <w:next w:val="760"/>
    <w:link w:val="955"/>
    <w:uiPriority w:val="0"/>
    <w:qFormat/>
    <w:pPr>
      <w:jc w:val="center"/>
      <w:keepNext/>
      <w:outlineLvl w:val="0"/>
    </w:pPr>
    <w:rPr>
      <w:rFonts w:ascii="楷体_GB2312" w:hAnsi="Times New Roman" w:eastAsia="楷体_GB2312" w:cs="Times New Roman"/>
      <w:sz w:val="28"/>
      <w:szCs w:val="28"/>
    </w:rPr>
  </w:style>
  <w:style w:type="character" w:styleId="955" w:customStyle="1">
    <w:name w:val="标题 1 Char"/>
    <w:link w:val="954"/>
    <w:uiPriority w:val="0"/>
    <w:qFormat/>
    <w:rPr>
      <w:rFonts w:ascii="楷体_GB2312" w:hAnsi="Times New Roman" w:eastAsia="楷体_GB2312" w:cs="Times New Roman"/>
      <w:sz w:val="28"/>
      <w:szCs w:val="28"/>
    </w:rPr>
  </w:style>
  <w:style w:type="paragraph" w:styleId="956" w:customStyle="1">
    <w:name w:val="标题 21"/>
    <w:basedOn w:val="760"/>
    <w:next w:val="957"/>
    <w:link w:val="9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
    <w:basedOn w:val="760"/>
    <w:link w:val="959"/>
    <w:uiPriority w:val="0"/>
    <w:qFormat/>
    <w:pPr>
      <w:ind w:firstLine="420"/>
    </w:pPr>
    <w:rPr>
      <w:szCs w:val="21"/>
    </w:rPr>
  </w:style>
  <w:style w:type="character" w:styleId="958" w:customStyle="1">
    <w:name w:val="标题 2 Char"/>
    <w:link w:val="956"/>
    <w:uiPriority w:val="0"/>
    <w:qFormat/>
    <w:rPr>
      <w:rFonts w:ascii="Arial" w:hAnsi="Arial" w:eastAsia="幼圆" w:cs="Arial"/>
      <w:b/>
      <w:bCs/>
      <w:sz w:val="44"/>
      <w:szCs w:val="44"/>
    </w:rPr>
  </w:style>
  <w:style w:type="character" w:styleId="959" w:customStyle="1">
    <w:name w:val="正文缩进 Char"/>
    <w:link w:val="957"/>
    <w:uiPriority w:val="0"/>
    <w:qFormat/>
    <w:rPr>
      <w:szCs w:val="21"/>
    </w:rPr>
  </w:style>
  <w:style w:type="paragraph" w:styleId="960" w:customStyle="1">
    <w:name w:val="标题 31"/>
    <w:basedOn w:val="760"/>
    <w:next w:val="957"/>
    <w:link w:val="9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61" w:customStyle="1">
    <w:name w:val="标题 3 Char"/>
    <w:link w:val="960"/>
    <w:uiPriority w:val="0"/>
    <w:qFormat/>
    <w:rPr>
      <w:rFonts w:ascii="Times New Roman" w:hAnsi="Times New Roman" w:eastAsia="宋体" w:cs="Times New Roman"/>
      <w:b/>
      <w:bCs/>
      <w:sz w:val="32"/>
      <w:szCs w:val="32"/>
    </w:rPr>
  </w:style>
  <w:style w:type="paragraph" w:styleId="962" w:customStyle="1">
    <w:name w:val="标题 41"/>
    <w:basedOn w:val="760"/>
    <w:next w:val="957"/>
    <w:link w:val="963"/>
    <w:uiPriority w:val="0"/>
    <w:qFormat/>
    <w:pPr>
      <w:keepLines/>
      <w:keepNext/>
      <w:spacing w:before="280" w:after="290" w:line="376" w:lineRule="auto"/>
      <w:outlineLvl w:val="3"/>
    </w:pPr>
    <w:rPr>
      <w:rFonts w:ascii="Arial" w:hAnsi="Arial" w:eastAsia="黑体" w:cs="Arial"/>
      <w:b/>
      <w:bCs/>
      <w:sz w:val="28"/>
      <w:szCs w:val="28"/>
    </w:rPr>
  </w:style>
  <w:style w:type="character" w:styleId="963" w:customStyle="1">
    <w:name w:val="标题 4 Char"/>
    <w:link w:val="962"/>
    <w:uiPriority w:val="0"/>
    <w:qFormat/>
    <w:rPr>
      <w:rFonts w:ascii="Arial" w:hAnsi="Arial" w:eastAsia="黑体" w:cs="Arial"/>
      <w:b/>
      <w:bCs/>
      <w:sz w:val="28"/>
      <w:szCs w:val="28"/>
    </w:rPr>
  </w:style>
  <w:style w:type="paragraph" w:styleId="964" w:customStyle="1">
    <w:name w:val="标题 51"/>
    <w:basedOn w:val="760"/>
    <w:next w:val="957"/>
    <w:link w:val="965"/>
    <w:uiPriority w:val="0"/>
    <w:qFormat/>
    <w:pPr>
      <w:keepNext/>
      <w:outlineLvl w:val="4"/>
    </w:pPr>
    <w:rPr>
      <w:rFonts w:ascii="宋体" w:hAnsi="Times New Roman" w:eastAsia="宋体" w:cs="Times New Roman"/>
      <w:color w:val="000000"/>
      <w:sz w:val="28"/>
      <w:szCs w:val="28"/>
    </w:rPr>
  </w:style>
  <w:style w:type="character" w:styleId="965" w:customStyle="1">
    <w:name w:val="标题 5 Char"/>
    <w:link w:val="964"/>
    <w:uiPriority w:val="0"/>
    <w:qFormat/>
    <w:rPr>
      <w:rFonts w:ascii="宋体" w:hAnsi="Times New Roman" w:eastAsia="宋体" w:cs="Times New Roman"/>
      <w:color w:val="000000"/>
      <w:sz w:val="28"/>
      <w:szCs w:val="28"/>
    </w:rPr>
  </w:style>
  <w:style w:type="paragraph" w:styleId="966" w:customStyle="1">
    <w:name w:val="标题 61"/>
    <w:basedOn w:val="760"/>
    <w:next w:val="760"/>
    <w:link w:val="96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67" w:customStyle="1">
    <w:name w:val="标题 6 Char"/>
    <w:link w:val="966"/>
    <w:uiPriority w:val="0"/>
    <w:qFormat/>
    <w:rPr>
      <w:rFonts w:ascii="Arial" w:hAnsi="Arial" w:eastAsia="黑体" w:cs="Times New Roman"/>
      <w:b/>
      <w:bCs/>
      <w:sz w:val="24"/>
      <w:szCs w:val="24"/>
    </w:rPr>
  </w:style>
  <w:style w:type="paragraph" w:styleId="968" w:customStyle="1">
    <w:name w:val="标题 71"/>
    <w:basedOn w:val="760"/>
    <w:next w:val="760"/>
    <w:link w:val="96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69" w:customStyle="1">
    <w:name w:val="标题 7 Char"/>
    <w:link w:val="968"/>
    <w:uiPriority w:val="0"/>
    <w:qFormat/>
    <w:rPr>
      <w:rFonts w:ascii="Times New Roman" w:hAnsi="Times New Roman" w:eastAsia="宋体" w:cs="Times New Roman"/>
      <w:b/>
      <w:bCs/>
      <w:sz w:val="24"/>
      <w:szCs w:val="24"/>
    </w:rPr>
  </w:style>
  <w:style w:type="paragraph" w:styleId="970" w:customStyle="1">
    <w:name w:val="标题 81"/>
    <w:basedOn w:val="760"/>
    <w:next w:val="760"/>
    <w:link w:val="97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71" w:customStyle="1">
    <w:name w:val="标题 8 Char"/>
    <w:link w:val="970"/>
    <w:uiPriority w:val="0"/>
    <w:qFormat/>
    <w:rPr>
      <w:rFonts w:ascii="Arial" w:hAnsi="Arial" w:eastAsia="黑体" w:cs="Times New Roman"/>
      <w:sz w:val="24"/>
      <w:szCs w:val="24"/>
    </w:rPr>
  </w:style>
  <w:style w:type="paragraph" w:styleId="972" w:customStyle="1">
    <w:name w:val="标题 91"/>
    <w:basedOn w:val="760"/>
    <w:next w:val="760"/>
    <w:link w:val="97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73" w:customStyle="1">
    <w:name w:val="标题 9 Char"/>
    <w:link w:val="972"/>
    <w:uiPriority w:val="0"/>
    <w:qFormat/>
    <w:rPr>
      <w:rFonts w:ascii="Arial" w:hAnsi="Arial" w:eastAsia="黑体" w:cs="Times New Roman"/>
      <w:szCs w:val="21"/>
    </w:rPr>
  </w:style>
  <w:style w:type="character" w:styleId="974" w:customStyle="1">
    <w:name w:val="默认段落字体1"/>
    <w:uiPriority w:val="1"/>
    <w:unhideWhenUsed/>
    <w:qFormat/>
  </w:style>
  <w:style w:type="table" w:styleId="975" w:customStyle="1">
    <w:name w:val="普通表格1"/>
    <w:uiPriority w:val="99"/>
    <w:unhideWhenUsed/>
    <w:qFormat/>
    <w:rPr>
      <w:lang w:val="en-US" w:eastAsia="zh-CN" w:bidi="ar-SA"/>
    </w:rPr>
    <w:tblPr/>
  </w:style>
  <w:style w:type="character" w:styleId="976" w:customStyle="1">
    <w:name w:val="font5 Char"/>
    <w:uiPriority w:val="0"/>
    <w:qFormat/>
    <w:rPr>
      <w:rFonts w:ascii="宋体" w:hAnsi="宋体" w:eastAsia="宋体"/>
      <w:sz w:val="28"/>
      <w:szCs w:val="28"/>
      <w:lang w:val="en-US" w:eastAsia="zh-CN" w:bidi="ar-SA"/>
    </w:rPr>
  </w:style>
  <w:style w:type="character" w:styleId="977" w:customStyle="1">
    <w:name w:val="批注引用1"/>
    <w:uiPriority w:val="0"/>
    <w:semiHidden/>
    <w:qFormat/>
    <w:rPr>
      <w:sz w:val="21"/>
      <w:szCs w:val="21"/>
    </w:rPr>
  </w:style>
  <w:style w:type="character" w:styleId="978" w:customStyle="1">
    <w:name w:val="要点1"/>
    <w:uiPriority w:val="0"/>
    <w:qFormat/>
    <w:rPr>
      <w:b/>
      <w:bCs/>
    </w:rPr>
  </w:style>
  <w:style w:type="character" w:styleId="979" w:customStyle="1">
    <w:name w:val="超链接1"/>
    <w:uiPriority w:val="0"/>
    <w:qFormat/>
    <w:rPr>
      <w:color w:val="0000ff"/>
      <w:u w:val="single"/>
    </w:rPr>
  </w:style>
  <w:style w:type="character" w:styleId="980" w:customStyle="1">
    <w:name w:val="二级目录 Char"/>
    <w:link w:val="981"/>
    <w:uiPriority w:val="0"/>
    <w:qFormat/>
    <w:rPr>
      <w:b/>
      <w:sz w:val="30"/>
      <w:szCs w:val="28"/>
    </w:rPr>
  </w:style>
  <w:style w:type="paragraph" w:styleId="981" w:customStyle="1">
    <w:name w:val="二级目录"/>
    <w:next w:val="760"/>
    <w:link w:val="980"/>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60"/>
    <w:link w:val="982"/>
    <w:uiPriority w:val="34"/>
    <w:qFormat/>
    <w:pPr>
      <w:contextualSpacing/>
      <w:ind w:left="720"/>
      <w:jc w:val="left"/>
      <w:widowControl/>
    </w:pPr>
    <w:rPr>
      <w:rFonts w:ascii="Calibri" w:hAnsi="Calibri"/>
      <w:sz w:val="24"/>
      <w:szCs w:val="24"/>
      <w:lang w:eastAsia="en-US" w:bidi="en-US"/>
    </w:rPr>
  </w:style>
  <w:style w:type="paragraph" w:styleId="984" w:customStyle="1">
    <w:name w:val="Body Text(ch)"/>
    <w:basedOn w:val="760"/>
    <w:next w:val="985"/>
    <w:uiPriority w:val="0"/>
    <w:qFormat/>
    <w:pPr>
      <w:spacing w:after="120"/>
    </w:pPr>
    <w:rPr>
      <w:rFonts w:ascii="宋体" w:hAnsi="Arial" w:eastAsia="宋体" w:cs="Times New Roman"/>
      <w:bCs/>
      <w:iCs/>
      <w:szCs w:val="24"/>
    </w:rPr>
  </w:style>
  <w:style w:type="paragraph" w:styleId="985" w:customStyle="1">
    <w:name w:val="正文文本1"/>
    <w:basedOn w:val="760"/>
    <w:link w:val="986"/>
    <w:uiPriority w:val="0"/>
    <w:qFormat/>
    <w:rPr>
      <w:rFonts w:ascii="楷体_GB2312" w:hAnsi="Arial" w:eastAsia="楷体_GB2312" w:cs="Times New Roman"/>
      <w:sz w:val="28"/>
      <w:szCs w:val="28"/>
    </w:rPr>
  </w:style>
  <w:style w:type="character" w:styleId="986" w:customStyle="1">
    <w:name w:val="正文文本 Char"/>
    <w:link w:val="985"/>
    <w:uiPriority w:val="0"/>
    <w:qFormat/>
    <w:rPr>
      <w:rFonts w:ascii="楷体_GB2312" w:hAnsi="Arial" w:eastAsia="楷体_GB2312" w:cs="Times New Roman"/>
      <w:sz w:val="28"/>
      <w:szCs w:val="28"/>
    </w:rPr>
  </w:style>
  <w:style w:type="paragraph" w:styleId="987" w:customStyle="1">
    <w:name w:val="目录 91"/>
    <w:basedOn w:val="760"/>
    <w:next w:val="760"/>
    <w:uiPriority w:val="0"/>
    <w:semiHidden/>
    <w:qFormat/>
    <w:pPr>
      <w:ind w:left="1680"/>
      <w:jc w:val="left"/>
    </w:pPr>
    <w:rPr>
      <w:rFonts w:ascii="Times New Roman" w:hAnsi="Times New Roman" w:eastAsia="宋体" w:cs="Times New Roman"/>
      <w:szCs w:val="21"/>
    </w:rPr>
  </w:style>
  <w:style w:type="paragraph" w:styleId="988" w:customStyle="1">
    <w:name w:val="xl27"/>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正文文本缩进 21"/>
    <w:basedOn w:val="760"/>
    <w:link w:val="990"/>
    <w:uiPriority w:val="0"/>
    <w:qFormat/>
    <w:pPr>
      <w:ind w:left="630" w:firstLine="645"/>
    </w:pPr>
    <w:rPr>
      <w:rFonts w:ascii="Arial" w:hAnsi="Arial" w:eastAsia="仿宋_GB2312" w:cs="Arial"/>
      <w:sz w:val="32"/>
      <w:szCs w:val="32"/>
    </w:rPr>
  </w:style>
  <w:style w:type="character" w:styleId="990" w:customStyle="1">
    <w:name w:val="正文文本缩进 2 Char"/>
    <w:link w:val="989"/>
    <w:uiPriority w:val="0"/>
    <w:qFormat/>
    <w:rPr>
      <w:rFonts w:ascii="Arial" w:hAnsi="Arial" w:eastAsia="仿宋_GB2312" w:cs="Arial"/>
      <w:sz w:val="32"/>
      <w:szCs w:val="32"/>
    </w:rPr>
  </w:style>
  <w:style w:type="paragraph" w:styleId="991" w:customStyle="1">
    <w:name w:val="图表目录1"/>
    <w:basedOn w:val="760"/>
    <w:next w:val="760"/>
    <w:uiPriority w:val="0"/>
    <w:semiHidden/>
    <w:qFormat/>
    <w:pPr>
      <w:ind w:left="840" w:hanging="420"/>
    </w:pPr>
    <w:rPr>
      <w:rFonts w:ascii="Times New Roman" w:hAnsi="Times New Roman" w:eastAsia="宋体" w:cs="Times New Roman"/>
      <w:szCs w:val="21"/>
    </w:rPr>
  </w:style>
  <w:style w:type="paragraph" w:styleId="992"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customStyle="1">
    <w:name w:val="Char"/>
    <w:basedOn w:val="760"/>
    <w:uiPriority w:val="0"/>
    <w:qFormat/>
    <w:pPr>
      <w:ind w:firstLine="200"/>
      <w:tabs>
        <w:tab w:val="left" w:pos="360" w:leader="none"/>
      </w:tabs>
    </w:pPr>
    <w:rPr>
      <w:rFonts w:ascii="Times New Roman" w:hAnsi="Times New Roman" w:eastAsia="宋体" w:cs="Times New Roman"/>
      <w:sz w:val="28"/>
      <w:szCs w:val="30"/>
    </w:rPr>
  </w:style>
  <w:style w:type="paragraph" w:styleId="994" w:customStyle="1">
    <w:name w:val=" Char"/>
    <w:basedOn w:val="995"/>
    <w:uiPriority w:val="0"/>
    <w:qFormat/>
    <w:rPr>
      <w:rFonts w:ascii="Tahoma" w:hAnsi="Tahoma"/>
      <w:sz w:val="24"/>
      <w:szCs w:val="24"/>
    </w:rPr>
  </w:style>
  <w:style w:type="paragraph" w:styleId="995" w:customStyle="1">
    <w:name w:val="文档结构图1"/>
    <w:basedOn w:val="760"/>
    <w:link w:val="996"/>
    <w:uiPriority w:val="0"/>
    <w:semiHidden/>
    <w:qFormat/>
    <w:pPr>
      <w:shd w:val="clear" w:color="auto" w:fill="000080"/>
    </w:pPr>
    <w:rPr>
      <w:rFonts w:ascii="Times New Roman" w:hAnsi="Times New Roman" w:eastAsia="宋体" w:cs="Times New Roman"/>
      <w:szCs w:val="21"/>
    </w:rPr>
  </w:style>
  <w:style w:type="character" w:styleId="996" w:customStyle="1">
    <w:name w:val="文档结构图 Char"/>
    <w:link w:val="995"/>
    <w:uiPriority w:val="0"/>
    <w:semiHidden/>
    <w:qFormat/>
    <w:rPr>
      <w:rFonts w:ascii="Times New Roman" w:hAnsi="Times New Roman" w:eastAsia="宋体" w:cs="Times New Roman"/>
      <w:szCs w:val="21"/>
      <w:shd w:val="clear" w:color="auto" w:fill="000080"/>
    </w:rPr>
  </w:style>
  <w:style w:type="paragraph" w:styleId="997" w:customStyle="1">
    <w:name w:val="批注文字1"/>
    <w:basedOn w:val="760"/>
    <w:link w:val="998"/>
    <w:uiPriority w:val="0"/>
    <w:unhideWhenUsed/>
    <w:qFormat/>
    <w:pPr>
      <w:jc w:val="left"/>
    </w:pPr>
  </w:style>
  <w:style w:type="character" w:styleId="998" w:customStyle="1">
    <w:name w:val="批注文字 Char"/>
    <w:link w:val="997"/>
    <w:uiPriority w:val="99"/>
    <w:semiHidden/>
    <w:qFormat/>
  </w:style>
  <w:style w:type="paragraph" w:styleId="999" w:customStyle="1">
    <w:name w:val="批注主题1"/>
    <w:basedOn w:val="997"/>
    <w:next w:val="997"/>
    <w:link w:val="1000"/>
    <w:uiPriority w:val="0"/>
    <w:semiHidden/>
    <w:qFormat/>
    <w:rPr>
      <w:rFonts w:ascii="Times New Roman" w:hAnsi="Times New Roman" w:eastAsia="宋体" w:cs="Times New Roman"/>
      <w:b/>
      <w:bCs/>
      <w:szCs w:val="21"/>
    </w:rPr>
  </w:style>
  <w:style w:type="character" w:styleId="1000" w:customStyle="1">
    <w:name w:val="批注主题 Char"/>
    <w:link w:val="999"/>
    <w:uiPriority w:val="0"/>
    <w:semiHidden/>
    <w:qFormat/>
    <w:rPr>
      <w:rFonts w:ascii="Times New Roman" w:hAnsi="Times New Roman" w:eastAsia="宋体" w:cs="Times New Roman"/>
      <w:b/>
      <w:bCs/>
      <w:szCs w:val="21"/>
    </w:rPr>
  </w:style>
  <w:style w:type="paragraph" w:styleId="1001" w:customStyle="1">
    <w:name w:val="索引 11"/>
    <w:basedOn w:val="760"/>
    <w:next w:val="760"/>
    <w:uiPriority w:val="0"/>
    <w:semiHidden/>
    <w:qFormat/>
    <w:pPr>
      <w:spacing w:line="240" w:lineRule="atLeast"/>
    </w:pPr>
    <w:rPr>
      <w:rFonts w:ascii="Times New Roman" w:hAnsi="Times New Roman" w:eastAsia="宋体" w:cs="Times New Roman"/>
      <w:b/>
      <w:bCs/>
      <w:szCs w:val="21"/>
    </w:rPr>
  </w:style>
  <w:style w:type="paragraph" w:styleId="1002" w:customStyle="1">
    <w:name w:val="普通正文"/>
    <w:basedOn w:val="760"/>
    <w:uiPriority w:val="0"/>
    <w:qFormat/>
    <w:pPr>
      <w:ind w:firstLine="480"/>
      <w:jc w:val="left"/>
      <w:spacing w:before="120" w:after="120" w:line="360" w:lineRule="auto"/>
    </w:pPr>
    <w:rPr>
      <w:rFonts w:ascii="Arial" w:hAnsi="Arial" w:eastAsia="宋体" w:cs="Times New Roman"/>
      <w:sz w:val="24"/>
      <w:szCs w:val="24"/>
    </w:rPr>
  </w:style>
  <w:style w:type="paragraph" w:styleId="1003" w:customStyle="1">
    <w:name w:val="table_lines"/>
    <w:basedOn w:val="760"/>
    <w:uiPriority w:val="0"/>
    <w:qFormat/>
    <w:pPr>
      <w:jc w:val="left"/>
      <w:widowControl/>
    </w:pPr>
    <w:rPr>
      <w:rFonts w:ascii="Times New Roman" w:hAnsi="Times New Roman" w:eastAsia="宋体" w:cs="Times New Roman"/>
      <w:sz w:val="20"/>
      <w:szCs w:val="20"/>
      <w:lang w:val="de-DE" w:eastAsia="de-DE"/>
    </w:rPr>
  </w:style>
  <w:style w:type="paragraph" w:styleId="100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5" w:customStyle="1">
    <w:name w:val="目录 31"/>
    <w:basedOn w:val="760"/>
    <w:next w:val="760"/>
    <w:uiPriority w:val="0"/>
    <w:semiHidden/>
    <w:qFormat/>
    <w:pPr>
      <w:ind w:left="420"/>
      <w:jc w:val="left"/>
    </w:pPr>
    <w:rPr>
      <w:rFonts w:ascii="Times New Roman" w:hAnsi="Times New Roman" w:eastAsia="宋体" w:cs="Times New Roman"/>
      <w:i/>
      <w:iCs/>
      <w:szCs w:val="24"/>
    </w:rPr>
  </w:style>
  <w:style w:type="paragraph" w:styleId="1006" w:customStyle="1">
    <w:name w:val="正文文本缩进1"/>
    <w:basedOn w:val="760"/>
    <w:link w:val="1007"/>
    <w:uiPriority w:val="0"/>
    <w:unhideWhenUsed/>
    <w:qFormat/>
    <w:pPr>
      <w:ind w:left="420"/>
      <w:spacing w:after="120"/>
    </w:pPr>
  </w:style>
  <w:style w:type="character" w:styleId="1007" w:customStyle="1">
    <w:name w:val="正文文本缩进 Char"/>
    <w:link w:val="1006"/>
    <w:uiPriority w:val="99"/>
    <w:semiHidden/>
    <w:qFormat/>
  </w:style>
  <w:style w:type="paragraph" w:styleId="1008" w:customStyle="1">
    <w:name w:val="正文首行缩进 21"/>
    <w:basedOn w:val="1006"/>
    <w:link w:val="1009"/>
    <w:uiPriority w:val="0"/>
    <w:qFormat/>
    <w:pPr>
      <w:ind w:left="0" w:firstLine="420"/>
      <w:spacing w:after="0" w:line="360" w:lineRule="auto"/>
    </w:pPr>
    <w:rPr>
      <w:rFonts w:ascii="宋体" w:hAnsi="宋体" w:eastAsia="宋体" w:cs="Times New Roman"/>
      <w:szCs w:val="20"/>
    </w:rPr>
  </w:style>
  <w:style w:type="character" w:styleId="1009" w:customStyle="1">
    <w:name w:val="正文首行缩进 2 Char"/>
    <w:link w:val="1008"/>
    <w:uiPriority w:val="0"/>
    <w:qFormat/>
    <w:rPr>
      <w:rFonts w:ascii="宋体" w:hAnsi="宋体" w:eastAsia="宋体" w:cs="Times New Roman"/>
      <w:szCs w:val="20"/>
    </w:rPr>
  </w:style>
  <w:style w:type="paragraph" w:styleId="1010" w:customStyle="1">
    <w:name w:val="正文文本缩进 31"/>
    <w:basedOn w:val="760"/>
    <w:link w:val="1011"/>
    <w:uiPriority w:val="0"/>
    <w:qFormat/>
    <w:pPr>
      <w:ind w:left="645" w:firstLine="645"/>
    </w:pPr>
    <w:rPr>
      <w:rFonts w:ascii="Arial" w:hAnsi="Arial" w:eastAsia="仿宋_GB2312" w:cs="Arial"/>
      <w:color w:val="ffff00"/>
      <w:sz w:val="32"/>
      <w:szCs w:val="32"/>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目录 61"/>
    <w:basedOn w:val="760"/>
    <w:next w:val="760"/>
    <w:uiPriority w:val="0"/>
    <w:semiHidden/>
    <w:qFormat/>
    <w:pPr>
      <w:ind w:left="1050"/>
      <w:jc w:val="left"/>
    </w:pPr>
    <w:rPr>
      <w:rFonts w:ascii="Times New Roman" w:hAnsi="Times New Roman" w:eastAsia="宋体" w:cs="Times New Roman"/>
      <w:szCs w:val="21"/>
    </w:rPr>
  </w:style>
  <w:style w:type="paragraph" w:styleId="1013" w:customStyle="1">
    <w:name w:val="font7"/>
    <w:basedOn w:val="76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4" w:customStyle="1">
    <w:name w:val=" Char Char Char Char"/>
    <w:basedOn w:val="995"/>
    <w:uiPriority w:val="0"/>
    <w:qFormat/>
    <w:pPr>
      <w:spacing w:line="360" w:lineRule="auto"/>
    </w:pPr>
    <w:rPr>
      <w:rFonts w:ascii="Tahoma" w:hAnsi="Tahoma"/>
      <w:sz w:val="24"/>
      <w:szCs w:val="24"/>
    </w:rPr>
  </w:style>
  <w:style w:type="paragraph" w:styleId="1015" w:customStyle="1">
    <w:name w:val="正文文本 31"/>
    <w:basedOn w:val="760"/>
    <w:link w:val="1016"/>
    <w:uiPriority w:val="0"/>
    <w:qFormat/>
    <w:rPr>
      <w:rFonts w:ascii="仿宋_GB2312" w:hAnsi="Arial" w:eastAsia="仿宋_GB2312" w:cs="Times New Roman"/>
      <w:sz w:val="32"/>
      <w:szCs w:val="32"/>
    </w:rPr>
  </w:style>
  <w:style w:type="character" w:styleId="1016" w:customStyle="1">
    <w:name w:val="正文文本 3 Char"/>
    <w:link w:val="1015"/>
    <w:uiPriority w:val="0"/>
    <w:qFormat/>
    <w:rPr>
      <w:rFonts w:ascii="仿宋_GB2312" w:hAnsi="Arial" w:eastAsia="仿宋_GB2312" w:cs="Times New Roman"/>
      <w:sz w:val="32"/>
      <w:szCs w:val="32"/>
    </w:rPr>
  </w:style>
  <w:style w:type="paragraph" w:styleId="1017" w:customStyle="1">
    <w:name w:val="普通(网站)1"/>
    <w:basedOn w:val="760"/>
    <w:uiPriority w:val="99"/>
    <w:qFormat/>
    <w:pPr>
      <w:jc w:val="left"/>
      <w:spacing w:before="100" w:beforeAutospacing="1" w:after="100" w:afterAutospacing="1"/>
      <w:widowControl/>
    </w:pPr>
    <w:rPr>
      <w:rFonts w:ascii="宋体" w:hAnsi="宋体" w:eastAsia="宋体" w:cs="宋体"/>
      <w:sz w:val="24"/>
      <w:szCs w:val="24"/>
    </w:rPr>
  </w:style>
  <w:style w:type="paragraph" w:styleId="1018" w:customStyle="1">
    <w:name w:val="目录 41"/>
    <w:basedOn w:val="760"/>
    <w:next w:val="760"/>
    <w:uiPriority w:val="0"/>
    <w:semiHidden/>
    <w:qFormat/>
    <w:pPr>
      <w:ind w:left="630"/>
      <w:jc w:val="left"/>
    </w:pPr>
    <w:rPr>
      <w:rFonts w:ascii="Times New Roman" w:hAnsi="Times New Roman" w:eastAsia="宋体" w:cs="Times New Roman"/>
      <w:szCs w:val="21"/>
    </w:rPr>
  </w:style>
  <w:style w:type="paragraph" w:styleId="1019" w:customStyle="1">
    <w:name w:val="列出段落"/>
    <w:basedOn w:val="760"/>
    <w:uiPriority w:val="0"/>
    <w:qFormat/>
    <w:pPr>
      <w:contextualSpacing/>
      <w:ind w:left="720"/>
      <w:jc w:val="left"/>
      <w:widowControl/>
    </w:pPr>
    <w:rPr>
      <w:rFonts w:ascii="Calibri" w:hAnsi="Calibri" w:eastAsia="宋体" w:cs="Times New Roman"/>
      <w:sz w:val="24"/>
      <w:szCs w:val="24"/>
      <w:lang w:eastAsia="en-US" w:bidi="en-US"/>
    </w:rPr>
  </w:style>
  <w:style w:type="paragraph" w:styleId="1020" w:customStyle="1">
    <w:name w:val="4"/>
    <w:basedOn w:val="760"/>
    <w:next w:val="1010"/>
    <w:uiPriority w:val="0"/>
    <w:qFormat/>
    <w:pPr>
      <w:ind w:firstLine="420"/>
      <w:spacing w:line="360" w:lineRule="auto"/>
    </w:pPr>
    <w:rPr>
      <w:rFonts w:ascii="Times New Roman" w:hAnsi="Times New Roman" w:eastAsia="宋体" w:cs="Times New Roman"/>
      <w:color w:val="ff0000"/>
      <w:sz w:val="24"/>
      <w:szCs w:val="24"/>
    </w:rPr>
  </w:style>
  <w:style w:type="paragraph" w:styleId="1021" w:customStyle="1">
    <w:name w:val="普通 (Web)"/>
    <w:basedOn w:val="760"/>
    <w:uiPriority w:val="0"/>
    <w:qFormat/>
    <w:pPr>
      <w:jc w:val="left"/>
      <w:spacing w:before="100" w:beforeAutospacing="1" w:after="100" w:afterAutospacing="1"/>
      <w:widowControl/>
    </w:pPr>
    <w:rPr>
      <w:rFonts w:ascii="宋体" w:hAnsi="宋体" w:eastAsia="宋体" w:cs="Times New Roman"/>
      <w:sz w:val="24"/>
      <w:szCs w:val="24"/>
    </w:rPr>
  </w:style>
  <w:style w:type="paragraph" w:styleId="1022" w:customStyle="1">
    <w:name w:val=" Char Char Char Char Char Char Char Char Char Char"/>
    <w:basedOn w:val="760"/>
    <w:uiPriority w:val="0"/>
    <w:qFormat/>
    <w:pPr>
      <w:spacing w:line="360" w:lineRule="auto"/>
    </w:pPr>
    <w:rPr>
      <w:rFonts w:ascii="Times New Roman" w:hAnsi="Times New Roman" w:eastAsia="宋体" w:cs="Times New Roman"/>
      <w:sz w:val="24"/>
      <w:szCs w:val="20"/>
    </w:rPr>
  </w:style>
  <w:style w:type="paragraph" w:styleId="1023" w:customStyle="1">
    <w:name w:val="列表 21"/>
    <w:basedOn w:val="760"/>
    <w:uiPriority w:val="0"/>
    <w:qFormat/>
    <w:pPr>
      <w:ind w:left="100" w:hanging="200"/>
    </w:pPr>
    <w:rPr>
      <w:rFonts w:ascii="Times New Roman" w:hAnsi="Times New Roman" w:eastAsia="宋体" w:cs="Times New Roman"/>
      <w:szCs w:val="21"/>
    </w:rPr>
  </w:style>
  <w:style w:type="paragraph" w:styleId="1024" w:customStyle="1">
    <w:name w:val="正文首行缩进1"/>
    <w:basedOn w:val="1025"/>
    <w:link w:val="1027"/>
    <w:uiPriority w:val="0"/>
    <w:qFormat/>
    <w:pPr>
      <w:ind w:firstLine="200"/>
      <w:spacing w:line="360" w:lineRule="auto"/>
    </w:pPr>
    <w:rPr>
      <w:rFonts w:ascii="仿宋_GB2312" w:hAnsi="Times New Roman" w:eastAsia="仿宋_GB2312" w:cs="Times New Roman"/>
      <w:sz w:val="30"/>
      <w:szCs w:val="30"/>
    </w:rPr>
  </w:style>
  <w:style w:type="paragraph" w:styleId="1025" w:customStyle="1">
    <w:name w:val="正文文本11"/>
    <w:basedOn w:val="760"/>
    <w:next w:val="1026"/>
    <w:uiPriority w:val="0"/>
    <w:qFormat/>
    <w:rPr>
      <w:rFonts w:eastAsia="楷体_GB2312"/>
      <w:b/>
      <w:bCs/>
      <w:color w:val="ff0000"/>
      <w:sz w:val="32"/>
      <w:szCs w:val="32"/>
      <w:lang w:val="zh-CN"/>
    </w:rPr>
  </w:style>
  <w:style w:type="paragraph" w:styleId="1026" w:customStyle="1">
    <w:name w:val="列表11"/>
    <w:basedOn w:val="760"/>
    <w:uiPriority w:val="0"/>
    <w:qFormat/>
    <w:pPr>
      <w:ind w:left="420" w:hanging="420"/>
      <w:spacing w:after="20" w:line="288" w:lineRule="auto"/>
      <w:tabs>
        <w:tab w:val="left" w:pos="420" w:leader="none"/>
      </w:tabs>
    </w:pPr>
    <w:rPr>
      <w:szCs w:val="20"/>
      <w:lang w:val="en-GB"/>
    </w:rPr>
  </w:style>
  <w:style w:type="character" w:styleId="1027" w:customStyle="1">
    <w:name w:val="正文首行缩进 Char"/>
    <w:link w:val="1024"/>
    <w:uiPriority w:val="0"/>
    <w:qFormat/>
    <w:rPr>
      <w:rFonts w:ascii="仿宋_GB2312" w:hAnsi="Times New Roman" w:eastAsia="仿宋_GB2312" w:cs="Times New Roman"/>
      <w:sz w:val="30"/>
      <w:szCs w:val="30"/>
    </w:rPr>
  </w:style>
  <w:style w:type="paragraph" w:styleId="1028" w:customStyle="1">
    <w:name w:val="样式1"/>
    <w:basedOn w:val="760"/>
    <w:uiPriority w:val="0"/>
    <w:qFormat/>
    <w:pPr>
      <w:numPr>
        <w:ilvl w:val="0"/>
        <w:numId w:val="3"/>
      </w:numPr>
    </w:pPr>
    <w:rPr>
      <w:rFonts w:ascii="宋体" w:hAnsi="宋体" w:eastAsia="宋体" w:cs="Times New Roman"/>
      <w:szCs w:val="21"/>
    </w:rPr>
  </w:style>
  <w:style w:type="paragraph" w:styleId="1029" w:customStyle="1">
    <w:name w:val="font6"/>
    <w:basedOn w:val="76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customStyle="1">
    <w:name w:val="目录 51"/>
    <w:basedOn w:val="760"/>
    <w:next w:val="760"/>
    <w:uiPriority w:val="0"/>
    <w:semiHidden/>
    <w:qFormat/>
    <w:pPr>
      <w:ind w:left="840"/>
      <w:jc w:val="left"/>
    </w:pPr>
    <w:rPr>
      <w:rFonts w:ascii="Times New Roman" w:hAnsi="Times New Roman" w:eastAsia="宋体" w:cs="Times New Roman"/>
      <w:szCs w:val="21"/>
    </w:rPr>
  </w:style>
  <w:style w:type="paragraph" w:styleId="1031" w:customStyle="1">
    <w:name w:val="目录 11"/>
    <w:basedOn w:val="760"/>
    <w:next w:val="76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32" w:customStyle="1">
    <w:name w:val="纯文本1"/>
    <w:basedOn w:val="760"/>
    <w:link w:val="1033"/>
    <w:uiPriority w:val="0"/>
    <w:qFormat/>
    <w:rPr>
      <w:rFonts w:ascii="宋体" w:hAnsi="Courier New" w:eastAsia="宋体" w:cs="Courier New"/>
      <w:szCs w:val="21"/>
    </w:rPr>
  </w:style>
  <w:style w:type="character" w:styleId="1033" w:customStyle="1">
    <w:name w:val="纯文本 Char"/>
    <w:link w:val="1032"/>
    <w:uiPriority w:val="0"/>
    <w:qFormat/>
    <w:rPr>
      <w:rFonts w:ascii="宋体" w:hAnsi="Courier New" w:eastAsia="宋体" w:cs="Courier New"/>
      <w:szCs w:val="21"/>
    </w:rPr>
  </w:style>
  <w:style w:type="paragraph" w:styleId="1034" w:customStyle="1">
    <w:name w:val="批注框文本1"/>
    <w:basedOn w:val="760"/>
    <w:link w:val="1035"/>
    <w:uiPriority w:val="0"/>
    <w:semiHidden/>
    <w:qFormat/>
    <w:rPr>
      <w:rFonts w:ascii="Times New Roman" w:hAnsi="Times New Roman" w:eastAsia="宋体" w:cs="Times New Roman"/>
      <w:sz w:val="18"/>
      <w:szCs w:val="18"/>
    </w:rPr>
  </w:style>
  <w:style w:type="character" w:styleId="1035" w:customStyle="1">
    <w:name w:val="批注框文本 Char"/>
    <w:link w:val="1034"/>
    <w:uiPriority w:val="0"/>
    <w:semiHidden/>
    <w:qFormat/>
    <w:rPr>
      <w:rFonts w:ascii="Times New Roman" w:hAnsi="Times New Roman" w:eastAsia="宋体" w:cs="Times New Roman"/>
      <w:sz w:val="18"/>
      <w:szCs w:val="18"/>
    </w:rPr>
  </w:style>
  <w:style w:type="paragraph" w:styleId="1036" w:customStyle="1">
    <w:name w:val="xl25"/>
    <w:basedOn w:val="7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列表1"/>
    <w:basedOn w:val="760"/>
    <w:uiPriority w:val="0"/>
    <w:qFormat/>
    <w:pPr>
      <w:ind w:left="200" w:hanging="200"/>
    </w:pPr>
    <w:rPr>
      <w:rFonts w:ascii="Times New Roman" w:hAnsi="Times New Roman" w:eastAsia="宋体" w:cs="Times New Roman"/>
      <w:szCs w:val="21"/>
    </w:rPr>
  </w:style>
  <w:style w:type="paragraph" w:styleId="1038"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customStyle="1">
    <w:name w:val="日期1"/>
    <w:basedOn w:val="760"/>
    <w:next w:val="760"/>
    <w:link w:val="1040"/>
    <w:uiPriority w:val="0"/>
    <w:qFormat/>
    <w:rPr>
      <w:rFonts w:ascii="Times New Roman" w:hAnsi="Times New Roman" w:eastAsia="宋体" w:cs="Times New Roman"/>
      <w:sz w:val="24"/>
      <w:szCs w:val="24"/>
    </w:rPr>
  </w:style>
  <w:style w:type="character" w:styleId="1040" w:customStyle="1">
    <w:name w:val="日期 Char"/>
    <w:link w:val="1039"/>
    <w:uiPriority w:val="0"/>
    <w:qFormat/>
    <w:rPr>
      <w:rFonts w:ascii="Times New Roman" w:hAnsi="Times New Roman" w:eastAsia="宋体" w:cs="Times New Roman"/>
      <w:sz w:val="24"/>
      <w:szCs w:val="24"/>
    </w:rPr>
  </w:style>
  <w:style w:type="paragraph" w:styleId="1041" w:customStyle="1">
    <w:name w:val="标题3"/>
    <w:basedOn w:val="760"/>
    <w:next w:val="760"/>
    <w:uiPriority w:val="0"/>
    <w:qFormat/>
    <w:pPr>
      <w:ind w:firstLine="624"/>
      <w:spacing w:line="590" w:lineRule="atLeast"/>
    </w:pPr>
    <w:rPr>
      <w:rFonts w:ascii="方正黑体_GBK" w:hAnsi="Times New Roman" w:eastAsia="方正黑体_GBK" w:cs="Times New Roman"/>
      <w:sz w:val="32"/>
      <w:szCs w:val="32"/>
    </w:rPr>
  </w:style>
  <w:style w:type="paragraph" w:styleId="1042" w:customStyle="1">
    <w:name w:val="xl24"/>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customStyle="1">
    <w:name w:val="xl29"/>
    <w:basedOn w:val="76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4" w:customStyle="1">
    <w:name w:val="Char Char Char Char Char Char Char Char"/>
    <w:basedOn w:val="760"/>
    <w:uiPriority w:val="0"/>
    <w:qFormat/>
    <w:pPr>
      <w:jc w:val="left"/>
      <w:spacing w:after="160" w:line="240" w:lineRule="exact"/>
      <w:widowControl/>
    </w:pPr>
    <w:rPr>
      <w:rFonts w:ascii="Verdana" w:hAnsi="Verdana" w:eastAsia="宋体" w:cs="Times New Roman"/>
      <w:sz w:val="20"/>
      <w:szCs w:val="20"/>
      <w:lang w:eastAsia="en-US"/>
    </w:rPr>
  </w:style>
  <w:style w:type="paragraph" w:styleId="1045" w:customStyle="1">
    <w:name w:val="正文文本 21"/>
    <w:basedOn w:val="760"/>
    <w:link w:val="1046"/>
    <w:uiPriority w:val="0"/>
    <w:qFormat/>
    <w:pPr>
      <w:jc w:val="center"/>
      <w:widowControl/>
    </w:pPr>
    <w:rPr>
      <w:rFonts w:ascii="楷体_GB2312" w:hAnsi="Times New Roman" w:eastAsia="楷体_GB2312" w:cs="Times New Roman"/>
      <w:sz w:val="28"/>
      <w:szCs w:val="28"/>
    </w:rPr>
  </w:style>
  <w:style w:type="character" w:styleId="1046" w:customStyle="1">
    <w:name w:val="正文文本 2 Char"/>
    <w:link w:val="1045"/>
    <w:uiPriority w:val="0"/>
    <w:qFormat/>
    <w:rPr>
      <w:rFonts w:ascii="楷体_GB2312" w:hAnsi="Times New Roman" w:eastAsia="楷体_GB2312" w:cs="Times New Roman"/>
      <w:sz w:val="28"/>
      <w:szCs w:val="28"/>
    </w:rPr>
  </w:style>
  <w:style w:type="paragraph" w:styleId="1047" w:customStyle="1">
    <w:name w:val="列表 31"/>
    <w:basedOn w:val="760"/>
    <w:uiPriority w:val="0"/>
    <w:qFormat/>
    <w:pPr>
      <w:ind w:left="100" w:hanging="200"/>
    </w:pPr>
    <w:rPr>
      <w:rFonts w:ascii="Times New Roman" w:hAnsi="Times New Roman" w:eastAsia="宋体" w:cs="Times New Roman"/>
      <w:szCs w:val="21"/>
    </w:rPr>
  </w:style>
  <w:style w:type="paragraph" w:styleId="1048" w:customStyle="1">
    <w:name w:val="目录 71"/>
    <w:basedOn w:val="760"/>
    <w:next w:val="760"/>
    <w:uiPriority w:val="0"/>
    <w:semiHidden/>
    <w:qFormat/>
    <w:pPr>
      <w:ind w:left="1260"/>
      <w:jc w:val="left"/>
    </w:pPr>
    <w:rPr>
      <w:rFonts w:ascii="Times New Roman" w:hAnsi="Times New Roman" w:eastAsia="宋体" w:cs="Times New Roman"/>
      <w:szCs w:val="21"/>
    </w:rPr>
  </w:style>
  <w:style w:type="paragraph" w:styleId="1049" w:customStyle="1">
    <w:name w:val="目录 21"/>
    <w:basedOn w:val="760"/>
    <w:next w:val="760"/>
    <w:uiPriority w:val="0"/>
    <w:semiHidden/>
    <w:qFormat/>
    <w:pPr>
      <w:ind w:left="210"/>
      <w:jc w:val="left"/>
    </w:pPr>
    <w:rPr>
      <w:rFonts w:ascii="Times New Roman" w:hAnsi="Times New Roman" w:eastAsia="宋体" w:cs="Times New Roman"/>
      <w:smallCaps/>
      <w:szCs w:val="24"/>
    </w:rPr>
  </w:style>
  <w:style w:type="paragraph" w:styleId="1050"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1" w:customStyle="1">
    <w:name w:val="页眉1"/>
    <w:basedOn w:val="760"/>
    <w:link w:val="105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2" w:customStyle="1">
    <w:name w:val="页眉 Char"/>
    <w:link w:val="1051"/>
    <w:uiPriority w:val="0"/>
    <w:qFormat/>
    <w:rPr>
      <w:rFonts w:ascii="Times New Roman" w:hAnsi="Times New Roman" w:eastAsia="宋体" w:cs="Times New Roman"/>
      <w:sz w:val="18"/>
      <w:szCs w:val="18"/>
    </w:rPr>
  </w:style>
  <w:style w:type="paragraph" w:styleId="1053" w:customStyle="1">
    <w:name w:val="页脚1"/>
    <w:basedOn w:val="760"/>
    <w:link w:val="105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54" w:customStyle="1">
    <w:name w:val="页脚 Char"/>
    <w:link w:val="1053"/>
    <w:uiPriority w:val="0"/>
    <w:qFormat/>
    <w:rPr>
      <w:rFonts w:ascii="Times New Roman" w:hAnsi="Times New Roman" w:eastAsia="宋体" w:cs="Times New Roman"/>
      <w:sz w:val="18"/>
      <w:szCs w:val="18"/>
    </w:rPr>
  </w:style>
  <w:style w:type="paragraph" w:styleId="1055" w:customStyle="1">
    <w:name w:val=" Char Char Char Char Char Char Char Char"/>
    <w:basedOn w:val="760"/>
    <w:uiPriority w:val="0"/>
    <w:qFormat/>
    <w:pPr>
      <w:jc w:val="left"/>
      <w:spacing w:after="160" w:line="240" w:lineRule="exact"/>
      <w:widowControl/>
    </w:pPr>
    <w:rPr>
      <w:rFonts w:ascii="Verdana" w:hAnsi="Verdana" w:eastAsia="宋体" w:cs="Times New Roman"/>
      <w:sz w:val="20"/>
      <w:szCs w:val="20"/>
      <w:lang w:eastAsia="en-US"/>
    </w:rPr>
  </w:style>
  <w:style w:type="paragraph" w:styleId="1056" w:customStyle="1">
    <w:name w:val="目录 81"/>
    <w:basedOn w:val="760"/>
    <w:next w:val="760"/>
    <w:uiPriority w:val="0"/>
    <w:semiHidden/>
    <w:qFormat/>
    <w:pPr>
      <w:ind w:left="1470"/>
      <w:jc w:val="left"/>
    </w:pPr>
    <w:rPr>
      <w:rFonts w:ascii="Times New Roman" w:hAnsi="Times New Roman" w:eastAsia="宋体" w:cs="Times New Roman"/>
      <w:szCs w:val="21"/>
    </w:rPr>
  </w:style>
  <w:style w:type="paragraph" w:styleId="1057" w:customStyle="1">
    <w:name w:val="xl30"/>
    <w:basedOn w:val="76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8" w:customStyle="1">
    <w:name w:val="Char Char Char Char"/>
    <w:basedOn w:val="995"/>
    <w:uiPriority w:val="0"/>
    <w:qFormat/>
    <w:pPr>
      <w:spacing w:line="360" w:lineRule="auto"/>
    </w:pPr>
    <w:rPr>
      <w:rFonts w:ascii="Tahoma" w:hAnsi="Tahoma"/>
      <w:sz w:val="24"/>
      <w:szCs w:val="24"/>
    </w:rPr>
  </w:style>
  <w:style w:type="paragraph" w:styleId="1059" w:customStyle="1">
    <w:name w:val="table_1stline"/>
    <w:basedOn w:val="76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0" w:customStyle="1">
    <w:name w:val="font5"/>
    <w:basedOn w:val="76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1" w:customStyle="1">
    <w:name w:val="标题1"/>
    <w:basedOn w:val="760"/>
    <w:next w:val="7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2" w:customStyle="1">
    <w:name w:val="_Style 299"/>
    <w:uiPriority w:val="99"/>
    <w:semiHidden/>
    <w:qFormat/>
    <w:rPr>
      <w:rFonts w:ascii="Times New Roman" w:hAnsi="Times New Roman" w:eastAsia="宋体" w:cs="Times New Roman"/>
      <w:sz w:val="21"/>
      <w:szCs w:val="21"/>
      <w:lang w:val="en-US" w:eastAsia="zh-CN" w:bidi="ar-SA"/>
    </w:rPr>
  </w:style>
  <w:style w:type="table" w:styleId="1063" w:customStyle="1">
    <w:name w:val="网格型1"/>
    <w:basedOn w:val="975"/>
    <w:uiPriority w:val="0"/>
    <w:qFormat/>
    <w:pPr>
      <w:jc w:val="both"/>
      <w:widowControl w:val="off"/>
    </w:pPr>
    <w:rPr>
      <w:rFonts w:ascii="Times New Roman" w:hAnsi="Times New Roman" w:eastAsia="宋体" w:cs="Times New Roman"/>
      <w:sz w:val="20"/>
      <w:szCs w:val="20"/>
    </w:rPr>
    <w:tblPr/>
  </w:style>
  <w:style w:type="paragraph" w:styleId="106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5" w:customStyle="1">
    <w:name w:val="正文1"/>
    <w:next w:val="760"/>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66" w:customStyle="1">
    <w:name w:val="纯文本11"/>
    <w:basedOn w:val="760"/>
    <w:uiPriority w:val="0"/>
    <w:qFormat/>
    <w:rPr>
      <w:rFonts w:ascii="宋体" w:hAnsi="Courier New"/>
      <w:szCs w:val="20"/>
    </w:rPr>
  </w:style>
  <w:style w:type="paragraph" w:styleId="1067" w:customStyle="1">
    <w:name w:val="HTML 预设格式1"/>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8" w:customStyle="1">
    <w:name w:val="15"/>
    <w:uiPriority w:val="0"/>
    <w:qFormat/>
    <w:rPr>
      <w:rFonts w:hint="default" w:ascii="Times New Roman" w:hAnsi="Times New Roman" w:eastAsia="宋体" w:cs="Times New Roman"/>
      <w:sz w:val="21"/>
      <w:szCs w:val="21"/>
      <w:lang w:val="en-US" w:eastAsia="zh-CN" w:bidi="ar-SA"/>
    </w:rPr>
  </w:style>
  <w:style w:type="character" w:styleId="1069" w:customStyle="1">
    <w:name w:val="页眉 字符1"/>
    <w:uiPriority w:val="0"/>
    <w:qFormat/>
    <w:rPr>
      <w:rFonts w:ascii="Tahoma" w:hAnsi="Tahoma" w:eastAsia="微软雅黑" w:cs="Times New Roman"/>
      <w:sz w:val="18"/>
      <w:szCs w:val="18"/>
    </w:rPr>
  </w:style>
  <w:style w:type="paragraph" w:styleId="1070" w:customStyle="1">
    <w:name w:val="样式 加粗 段前: 7.8 磅 段后: 7.8 磅 行距: 固定值 20 磅"/>
    <w:basedOn w:val="760"/>
    <w:uiPriority w:val="0"/>
    <w:qFormat/>
    <w:pPr>
      <w:spacing w:before="60" w:after="60" w:line="360" w:lineRule="exact"/>
    </w:pPr>
    <w:rPr>
      <w:rFonts w:ascii="Times New Roman" w:hAnsi="Times New Roman" w:cs="宋体"/>
      <w:b/>
      <w:bCs/>
      <w:spacing w:val="-2"/>
      <w:sz w:val="24"/>
      <w:szCs w:val="20"/>
    </w:rPr>
  </w:style>
  <w:style w:type="paragraph" w:styleId="1071" w:customStyle="1">
    <w:name w:val="Table Paragraph"/>
    <w:basedOn w:val="760"/>
    <w:uiPriority w:val="1"/>
    <w:qFormat/>
    <w:rPr>
      <w:szCs w:val="24"/>
    </w:rPr>
  </w:style>
  <w:style w:type="paragraph" w:styleId="1072" w:customStyle="1">
    <w:name w:val="首行缩进"/>
    <w:basedOn w:val="760"/>
    <w:uiPriority w:val="0"/>
    <w:qFormat/>
    <w:pPr>
      <w:ind w:firstLine="480"/>
      <w:jc w:val="left"/>
      <w:spacing w:line="360" w:lineRule="auto"/>
    </w:pPr>
    <w:rPr>
      <w:rFonts w:ascii="宋体" w:hAnsi="宋体"/>
      <w:sz w:val="24"/>
      <w:szCs w:val="24"/>
    </w:rPr>
  </w:style>
  <w:style w:type="character" w:styleId="1073" w:customStyle="1">
    <w:name w:val="font11"/>
    <w:basedOn w:val="770"/>
    <w:uiPriority w:val="0"/>
    <w:qFormat/>
    <w:rPr>
      <w:rFonts w:hint="eastAsia" w:ascii="宋体" w:hAnsi="宋体" w:eastAsia="宋体" w:cs="宋体"/>
      <w:color w:val="000000"/>
      <w:sz w:val="18"/>
      <w:szCs w:val="18"/>
      <w:u w:val="none"/>
    </w:rPr>
  </w:style>
  <w:style w:type="character" w:styleId="1074" w:customStyle="1">
    <w:name w:val="font71"/>
    <w:basedOn w:val="770"/>
    <w:uiPriority w:val="0"/>
    <w:qFormat/>
    <w:rPr>
      <w:rFonts w:hint="eastAsia" w:ascii="宋体" w:hAnsi="宋体" w:eastAsia="宋体" w:cs="宋体"/>
      <w:color w:val="000000"/>
      <w:sz w:val="18"/>
      <w:szCs w:val="18"/>
      <w:u w:val="none"/>
    </w:rPr>
  </w:style>
  <w:style w:type="character" w:styleId="1075" w:customStyle="1">
    <w:name w:val="font151"/>
    <w:basedOn w:val="770"/>
    <w:uiPriority w:val="0"/>
    <w:qFormat/>
    <w:rPr>
      <w:rFonts w:hint="eastAsia" w:ascii="宋体" w:hAnsi="宋体" w:eastAsia="宋体" w:cs="宋体"/>
      <w:color w:val="ff0000"/>
      <w:sz w:val="18"/>
      <w:szCs w:val="18"/>
      <w:u w:val="none"/>
    </w:rPr>
  </w:style>
  <w:style w:type="paragraph" w:styleId="1076" w:customStyle="1">
    <w:name w:val="正文首行缩进11"/>
    <w:basedOn w:val="1025"/>
    <w:uiPriority w:val="99"/>
    <w:unhideWhenUsed/>
    <w:qFormat/>
    <w:pPr>
      <w:ind w:firstLine="420"/>
    </w:pPr>
    <w:rPr>
      <w:szCs w:val="24"/>
    </w:rPr>
  </w:style>
  <w:style w:type="paragraph" w:styleId="1077" w:customStyle="1">
    <w:name w:val="正文文本111"/>
    <w:basedOn w:val="760"/>
    <w:next w:val="760"/>
    <w:uiPriority w:val="0"/>
    <w:qFormat/>
    <w:rPr>
      <w:rFonts w:eastAsia="楷体_GB2312"/>
      <w:b/>
      <w:bCs/>
      <w:color w:val="ff0000"/>
      <w:sz w:val="32"/>
      <w:szCs w:val="32"/>
      <w:lang w:val="zh-CN"/>
    </w:rPr>
  </w:style>
  <w:style w:type="character" w:styleId="1078" w:customStyle="1">
    <w:name w:val="font21"/>
    <w:basedOn w:val="770"/>
    <w:uiPriority w:val="0"/>
    <w:qFormat/>
    <w:rPr>
      <w:rFonts w:hint="eastAsia" w:ascii="宋体" w:hAnsi="宋体" w:eastAsia="宋体" w:cs="宋体"/>
      <w:color w:val="ff0000"/>
      <w:sz w:val="20"/>
      <w:szCs w:val="20"/>
      <w:u w:val="none"/>
    </w:rPr>
  </w:style>
  <w:style w:type="character" w:styleId="1079" w:customStyle="1">
    <w:name w:val="font31"/>
    <w:basedOn w:val="770"/>
    <w:uiPriority w:val="0"/>
    <w:qFormat/>
    <w:rPr>
      <w:rFonts w:hint="eastAsia" w:ascii="宋体" w:hAnsi="宋体" w:eastAsia="宋体" w:cs="宋体"/>
      <w:color w:val="000000"/>
      <w:sz w:val="20"/>
      <w:szCs w:val="20"/>
      <w:u w:val="none"/>
    </w:rPr>
  </w:style>
  <w:style w:type="character" w:styleId="1080" w:customStyle="1">
    <w:name w:val="font51"/>
    <w:basedOn w:val="770"/>
    <w:uiPriority w:val="0"/>
    <w:qFormat/>
    <w:rPr>
      <w:rFonts w:hint="eastAsia" w:ascii="宋体" w:hAnsi="宋体" w:eastAsia="宋体" w:cs="宋体"/>
      <w:color w:val="000000"/>
      <w:sz w:val="18"/>
      <w:szCs w:val="18"/>
      <w:u w:val="none"/>
    </w:rPr>
  </w:style>
  <w:style w:type="paragraph" w:styleId="1081" w:customStyle="1">
    <w:name w:val="索引 411"/>
    <w:basedOn w:val="760"/>
    <w:next w:val="760"/>
    <w:uiPriority w:val="99"/>
    <w:qFormat/>
    <w:pPr>
      <w:ind w:left="600"/>
    </w:pPr>
    <w:rPr>
      <w:szCs w:val="24"/>
    </w:rPr>
  </w:style>
  <w:style w:type="paragraph" w:styleId="10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3"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列出段落3"/>
    <w:basedOn w:val="760"/>
    <w:uiPriority w:val="0"/>
    <w:semiHidden/>
    <w:qFormat/>
    <w:pPr>
      <w:ind w:firstLine="420"/>
    </w:pPr>
    <w:rPr>
      <w:rFonts w:ascii="Calibri" w:hAnsi="Calibri" w:eastAsia="宋体" w:cs="Times New Roman"/>
      <w:szCs w:val="24"/>
    </w:rPr>
  </w:style>
  <w:style w:type="paragraph" w:styleId="1085" w:customStyle="1">
    <w:name w:val="！正文"/>
    <w:basedOn w:val="760"/>
    <w:uiPriority w:val="0"/>
    <w:qFormat/>
    <w:pPr>
      <w:ind w:right="130" w:firstLine="420"/>
      <w:spacing w:before="100" w:beforeAutospacing="1" w:after="100" w:afterAutospacing="1"/>
    </w:pPr>
    <w:rPr>
      <w:rFonts w:ascii="宋体" w:hAnsi="宋体" w:cs="Times New Roman"/>
      <w:sz w:val="22"/>
    </w:rPr>
  </w:style>
  <w:style w:type="table" w:styleId="1086" w:customStyle="1">
    <w:name w:val="网格型6"/>
    <w:basedOn w:val="7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7" w:customStyle="1">
    <w:name w:val="网格型5"/>
    <w:basedOn w:val="7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江苏易章连云港</cp:lastModifiedBy>
  <cp:revision>4</cp:revision>
  <dcterms:created xsi:type="dcterms:W3CDTF">2024-01-09T08:03:00Z</dcterms:created>
  <dcterms:modified xsi:type="dcterms:W3CDTF">2024-11-14T03:57:11Z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B2FC1E7BC7DE4724A10CE1B8C5A8309F_13</vt:lpwstr>
  </property>
</Properties>
</file>