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3"/>
        <w:jc w:val="center"/>
        <w:keepLines w:val="0"/>
        <w:keepNext w:val="0"/>
        <w:pageBreakBefore w:val="0"/>
        <w:spacing w:before="240" w:after="240"/>
        <w:widowControl w:val="off"/>
        <w:rPr>
          <w:rFonts w:hint="eastAsia" w:ascii="宋体" w:hAnsi="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cs="宋体"/>
          <w:b/>
          <w:color w:val="000000"/>
          <w:sz w:val="84"/>
        </w:rPr>
        <w:t xml:space="preserve">招　标　文　件</w:t>
      </w:r>
      <w:r>
        <w:rPr>
          <w:rFonts w:hint="eastAsia" w:ascii="宋体" w:hAnsi="宋体" w:cs="宋体"/>
        </w:rPr>
      </w:r>
      <w:r/>
    </w:p>
    <w:p>
      <w:pPr>
        <w:pStyle w:val="893"/>
        <w:keepLines w:val="0"/>
        <w:keepNext w:val="0"/>
        <w:pageBreakBefore w:val="0"/>
        <w:spacing w:before="240" w:after="240"/>
        <w:widowControl w:val="off"/>
        <w:rPr>
          <w:rFonts w:hint="eastAsia" w:ascii="宋体" w:hAnsi="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cs="宋体"/>
          <w:b/>
          <w:color w:val="000000"/>
          <w:sz w:val="32"/>
        </w:rPr>
        <w:t xml:space="preserve"> </w:t>
      </w:r>
      <w:r>
        <w:rPr>
          <w:rFonts w:hint="eastAsia" w:ascii="宋体" w:hAnsi="宋体" w:cs="宋体"/>
        </w:rPr>
      </w:r>
      <w:r/>
    </w:p>
    <w:p>
      <w:pPr>
        <w:pStyle w:val="893"/>
        <w:keepLines w:val="0"/>
        <w:keepNext w:val="0"/>
        <w:pageBreakBefore w:val="0"/>
        <w:spacing w:before="240" w:after="240"/>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outlineLvl w:val="0"/>
      </w:pPr>
      <w:r/>
      <w:bookmarkStart w:id="0" w:name="_Toc12347"/>
      <w:r/>
      <w:bookmarkStart w:id="1" w:name="_Toc5803"/>
      <w:r/>
      <w:bookmarkStart w:id="2" w:name="_Toc21223"/>
      <w:r>
        <w:rPr>
          <w:rFonts w:hint="eastAsia" w:ascii="宋体" w:hAnsi="宋体" w:cs="宋体"/>
          <w:b/>
          <w:color w:val="000000"/>
          <w:sz w:val="32"/>
        </w:rPr>
        <w:t xml:space="preserve">项目名称：</w:t>
      </w:r>
      <w:bookmarkEnd w:id="0"/>
      <w:r/>
      <w:bookmarkEnd w:id="1"/>
      <w:r/>
      <w:bookmarkEnd w:id="2"/>
      <w:r>
        <w:rPr>
          <w:rFonts w:hint="eastAsia" w:ascii="宋体" w:hAnsi="宋体" w:cs="宋体"/>
          <w:b/>
          <w:color w:val="000000"/>
          <w:sz w:val="32"/>
          <w:lang w:eastAsia="zh-CN"/>
        </w:rPr>
        <w:t xml:space="preserve">宿迁市智慧城市科技馆运营服务项目</w:t>
      </w:r>
      <w:r>
        <w:rPr>
          <w:rFonts w:hint="eastAsia" w:ascii="宋体" w:hAnsi="宋体" w:eastAsia="宋体" w:cs="宋体"/>
          <w:lang w:eastAsia="zh-CN"/>
        </w:rPr>
      </w:r>
      <w:r/>
    </w:p>
    <w:p>
      <w:pPr>
        <w:pStyle w:val="893"/>
        <w:keepLines w:val="0"/>
        <w:keepNext w:val="0"/>
        <w:pageBreakBefore w:val="0"/>
        <w:spacing w:before="240" w:after="240"/>
        <w:widowControl w:val="off"/>
        <w:rPr>
          <w:rFonts w:hint="eastAsia" w:ascii="宋体" w:hAnsi="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cs="宋体"/>
          <w:b/>
          <w:color w:val="000000"/>
          <w:sz w:val="32"/>
        </w:rPr>
        <w:t xml:space="preserve">项目编号：</w:t>
      </w:r>
      <w:r>
        <w:rPr>
          <w:rFonts w:hint="eastAsia" w:ascii="宋体" w:hAnsi="宋体" w:cs="宋体"/>
          <w:b/>
          <w:color w:val="000000"/>
          <w:sz w:val="32"/>
          <w:lang w:eastAsia="zh-CN"/>
        </w:rPr>
        <w:t xml:space="preserve">JSZC-321300-ZCZX-G2024-0050</w:t>
      </w:r>
      <w:r>
        <w:rPr>
          <w:rFonts w:hint="eastAsia" w:ascii="宋体" w:hAnsi="宋体" w:cs="宋体"/>
          <w:color w:val="000000"/>
          <w:sz w:val="24"/>
        </w:rPr>
        <w:t xml:space="preserve">     </w:t>
      </w:r>
      <w:r>
        <w:rPr>
          <w:rFonts w:hint="eastAsia" w:ascii="宋体" w:hAnsi="宋体" w:cs="宋体"/>
          <w:b/>
          <w:color w:val="000000"/>
          <w:sz w:val="30"/>
        </w:rPr>
        <w:t xml:space="preserve">   </w:t>
      </w:r>
      <w:r>
        <w:rPr>
          <w:rFonts w:hint="eastAsia" w:ascii="宋体" w:hAnsi="宋体" w:cs="宋体"/>
          <w:color w:val="000000"/>
          <w:sz w:val="24"/>
        </w:rPr>
        <w:t xml:space="preserve">  </w:t>
      </w:r>
      <w:r>
        <w:rPr>
          <w:rFonts w:hint="eastAsia" w:ascii="宋体" w:hAnsi="宋体" w:cs="宋体"/>
          <w:b/>
          <w:color w:val="000000"/>
          <w:sz w:val="30"/>
        </w:rPr>
        <w:t xml:space="preserve"> </w:t>
      </w:r>
      <w:r>
        <w:rPr>
          <w:rFonts w:hint="eastAsia" w:ascii="宋体" w:hAnsi="宋体" w:cs="宋体"/>
        </w:rPr>
      </w:r>
      <w:r/>
    </w:p>
    <w:p>
      <w:pPr>
        <w:pStyle w:val="893"/>
        <w:ind w:left="2100"/>
        <w:keepLines w:val="0"/>
        <w:keepNext w:val="0"/>
        <w:pageBreakBefore w:val="0"/>
        <w:widowControl w:val="off"/>
        <w:rPr>
          <w:rFonts w:hint="eastAsia" w:ascii="宋体" w:hAnsi="宋体" w:cs="宋体"/>
          <w:b/>
          <w:color w:val="000000"/>
          <w:sz w:val="30"/>
        </w:rPr>
        <w:pBdr>
          <w:top w:val="none" w:color="000000" w:sz="0" w:space="0"/>
          <w:left w:val="none" w:color="000000" w:sz="0" w:space="0"/>
          <w:bottom w:val="none" w:color="000000" w:sz="0" w:space="0"/>
          <w:right w:val="none" w:color="000000" w:sz="0" w:space="0"/>
        </w:pBdr>
        <w:outlineLvl w:val="0"/>
      </w:pPr>
      <w:r/>
      <w:bookmarkStart w:id="3" w:name="_Toc21774"/>
      <w:r/>
      <w:bookmarkStart w:id="4" w:name="_Toc2816"/>
      <w:r/>
      <w:bookmarkStart w:id="5" w:name="_Toc25921"/>
      <w:r>
        <w:rPr>
          <w:rFonts w:hint="eastAsia" w:ascii="宋体" w:hAnsi="宋体" w:cs="宋体"/>
          <w:b/>
          <w:color w:val="000000"/>
          <w:sz w:val="30"/>
        </w:rPr>
        <w:t xml:space="preserve">（服务类项目，</w:t>
      </w:r>
      <w:r>
        <w:rPr>
          <w:rFonts w:hint="eastAsia" w:ascii="宋体" w:hAnsi="宋体" w:cs="宋体"/>
          <w:b/>
          <w:color w:val="000000"/>
          <w:sz w:val="30"/>
          <w:u w:val="single"/>
        </w:rPr>
        <w:t xml:space="preserve">不</w:t>
      </w:r>
      <w:r>
        <w:rPr>
          <w:rFonts w:hint="eastAsia" w:ascii="宋体" w:hAnsi="宋体" w:cs="宋体"/>
          <w:b/>
          <w:color w:val="000000"/>
          <w:sz w:val="30"/>
        </w:rPr>
        <w:t xml:space="preserve">专门面向中小企业）</w:t>
      </w:r>
      <w:bookmarkEnd w:id="3"/>
      <w:r/>
      <w:bookmarkEnd w:id="4"/>
      <w:r/>
      <w:bookmarkEnd w:id="5"/>
      <w:r>
        <w:rPr>
          <w:rFonts w:hint="eastAsia" w:ascii="宋体" w:hAnsi="宋体" w:cs="宋体"/>
          <w:b/>
          <w:color w:val="000000"/>
          <w:sz w:val="30"/>
        </w:rPr>
      </w:r>
      <w:r/>
    </w:p>
    <w:p>
      <w:pPr>
        <w:pStyle w:val="893"/>
        <w:ind w:left="2100"/>
        <w:keepLines w:val="0"/>
        <w:keepNext w:val="0"/>
        <w:pageBreakBefore w:val="0"/>
        <w:widowControl w:val="off"/>
        <w:rPr>
          <w:rFonts w:hint="eastAsia" w:ascii="宋体" w:hAnsi="宋体" w:cs="宋体"/>
          <w:b/>
          <w:color w:val="000000"/>
          <w:sz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rPr>
      </w:r>
      <w:r/>
    </w:p>
    <w:p>
      <w:pPr>
        <w:pStyle w:val="893"/>
        <w:ind w:left="2100"/>
        <w:keepLines w:val="0"/>
        <w:keepNext w:val="0"/>
        <w:pageBreakBefore w:val="0"/>
        <w:widowControl w:val="off"/>
        <w:rPr>
          <w:rFonts w:hint="eastAsia" w:ascii="宋体" w:hAnsi="宋体" w:cs="宋体"/>
          <w:b/>
          <w:color w:val="000000"/>
          <w:sz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rPr>
      </w:r>
      <w:r/>
    </w:p>
    <w:p>
      <w:pPr>
        <w:pStyle w:val="893"/>
        <w:ind w:left="2100"/>
        <w:keepLines w:val="0"/>
        <w:keepNext w:val="0"/>
        <w:pageBreakBefore w:val="0"/>
        <w:widowControl w:val="off"/>
        <w:rPr>
          <w:rFonts w:hint="eastAsia" w:ascii="宋体" w:hAnsi="宋体" w:cs="宋体"/>
          <w:b/>
          <w:color w:val="000000"/>
          <w:sz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rPr>
      </w:r>
      <w:r/>
    </w:p>
    <w:p>
      <w:pPr>
        <w:pStyle w:val="893"/>
        <w:ind w:left="2100"/>
        <w:keepLines w:val="0"/>
        <w:keepNext w:val="0"/>
        <w:pageBreakBefore w:val="0"/>
        <w:widowControl w:val="off"/>
        <w:rPr>
          <w:rFonts w:hint="eastAsia" w:ascii="宋体" w:hAnsi="宋体" w:cs="宋体"/>
          <w:b/>
          <w:color w:val="000000"/>
          <w:sz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rPr>
      </w:r>
      <w:r/>
    </w:p>
    <w:p>
      <w:pPr>
        <w:pStyle w:val="986"/>
        <w:ind w:firstLine="0"/>
        <w:spacing w:before="0" w:after="0"/>
        <w:rPr>
          <w:rFonts w:hint="eastAsia" w:ascii="宋体" w:hAnsi="宋体" w:cs="宋体"/>
        </w:rPr>
      </w:pPr>
      <w:r>
        <w:rPr>
          <w:rFonts w:hint="eastAsia" w:ascii="宋体" w:hAnsi="宋体" w:cs="宋体"/>
        </w:rPr>
      </w:r>
      <w:r/>
    </w:p>
    <w:p>
      <w:pPr>
        <w:pStyle w:val="986"/>
        <w:jc w:val="both"/>
        <w:rPr>
          <w:rFonts w:hint="eastAsia" w:ascii="宋体" w:hAnsi="宋体" w:cs="宋体"/>
          <w:b/>
          <w:bCs/>
          <w:sz w:val="32"/>
          <w:u w:val="single"/>
        </w:rPr>
      </w:pPr>
      <w:r>
        <w:rPr>
          <w:rFonts w:hint="eastAsia" w:ascii="宋体" w:hAnsi="宋体" w:cs="宋体"/>
          <w:b/>
          <w:bCs/>
          <w:sz w:val="32"/>
        </w:rPr>
        <w:t xml:space="preserve">采购人：</w:t>
      </w:r>
      <w:r>
        <w:rPr>
          <w:rFonts w:hint="eastAsia" w:ascii="宋体" w:hAnsi="宋体" w:cs="宋体"/>
          <w:b/>
          <w:bCs/>
          <w:sz w:val="32"/>
          <w:u w:val="single"/>
        </w:rPr>
        <w:t xml:space="preserve">宿迁市数字化城市管理监督指挥中心</w:t>
      </w:r>
      <w:r>
        <w:rPr>
          <w:rFonts w:hint="eastAsia" w:ascii="宋体" w:hAnsi="宋体" w:cs="宋体"/>
          <w:b/>
          <w:bCs/>
          <w:sz w:val="32"/>
          <w:u w:val="single"/>
        </w:rPr>
      </w:r>
      <w:r/>
    </w:p>
    <w:p>
      <w:pPr>
        <w:pStyle w:val="986"/>
        <w:jc w:val="both"/>
        <w:rPr>
          <w:rFonts w:hint="eastAsia" w:ascii="宋体" w:hAnsi="宋体" w:cs="宋体"/>
          <w:b/>
          <w:bCs/>
          <w:sz w:val="32"/>
          <w:u w:val="single"/>
        </w:rPr>
      </w:pPr>
      <w:r>
        <w:rPr>
          <w:rFonts w:hint="eastAsia" w:ascii="宋体" w:hAnsi="宋体" w:cs="宋体"/>
          <w:b/>
          <w:bCs/>
          <w:sz w:val="32"/>
        </w:rPr>
        <w:t xml:space="preserve">采购代理机构：</w:t>
      </w:r>
      <w:r>
        <w:rPr>
          <w:rFonts w:hint="eastAsia" w:ascii="宋体" w:hAnsi="宋体" w:cs="宋体"/>
          <w:b/>
          <w:bCs/>
          <w:sz w:val="32"/>
          <w:u w:val="single"/>
        </w:rPr>
        <w:t xml:space="preserve">中诚智信工程咨询集团股份有限公司</w:t>
      </w:r>
      <w:r>
        <w:rPr>
          <w:rFonts w:hint="eastAsia" w:ascii="宋体" w:hAnsi="宋体" w:cs="宋体"/>
          <w:b/>
          <w:bCs/>
          <w:sz w:val="32"/>
          <w:u w:val="single"/>
        </w:rPr>
      </w:r>
      <w:r/>
    </w:p>
    <w:p>
      <w:pPr>
        <w:pStyle w:val="986"/>
        <w:jc w:val="both"/>
        <w:rPr>
          <w:rFonts w:hint="eastAsia" w:ascii="宋体" w:hAnsi="宋体" w:cs="宋体"/>
          <w:b/>
          <w:bCs/>
          <w:sz w:val="32"/>
        </w:rPr>
      </w:pPr>
      <w:r>
        <w:rPr>
          <w:rFonts w:hint="eastAsia" w:ascii="宋体" w:hAnsi="宋体" w:cs="宋体"/>
          <w:b/>
          <w:bCs/>
          <w:sz w:val="32"/>
        </w:rPr>
        <w:t xml:space="preserve">日期：2024年</w:t>
      </w:r>
      <w:r>
        <w:rPr>
          <w:rFonts w:hint="eastAsia" w:ascii="宋体" w:hAnsi="宋体" w:cs="宋体"/>
          <w:b/>
          <w:bCs/>
          <w:sz w:val="32"/>
          <w:lang w:val="en-US" w:eastAsia="zh-CN"/>
        </w:rPr>
        <w:t xml:space="preserve">06</w:t>
      </w:r>
      <w:r>
        <w:rPr>
          <w:rFonts w:hint="eastAsia" w:ascii="宋体" w:hAnsi="宋体" w:cs="宋体"/>
          <w:b/>
          <w:bCs/>
          <w:sz w:val="32"/>
        </w:rPr>
        <w:t xml:space="preserve">月</w:t>
      </w:r>
      <w:r>
        <w:rPr>
          <w:rFonts w:hint="eastAsia" w:ascii="宋体" w:hAnsi="宋体" w:cs="宋体"/>
          <w:b/>
          <w:bCs/>
          <w:sz w:val="32"/>
          <w:lang w:val="en-US" w:eastAsia="zh-CN"/>
        </w:rPr>
        <w:t xml:space="preserve">14</w:t>
      </w:r>
      <w:r>
        <w:rPr>
          <w:rFonts w:hint="eastAsia" w:ascii="宋体" w:hAnsi="宋体" w:cs="宋体"/>
          <w:b/>
          <w:bCs/>
          <w:sz w:val="32"/>
        </w:rPr>
        <w:t xml:space="preserve">日</w:t>
      </w:r>
      <w:r>
        <w:rPr>
          <w:rFonts w:hint="eastAsia" w:ascii="宋体" w:hAnsi="宋体" w:cs="宋体"/>
          <w:b/>
          <w:bCs/>
          <w:sz w:val="32"/>
        </w:rPr>
      </w:r>
      <w:r/>
    </w:p>
    <w:p>
      <w:pPr>
        <w:pStyle w:val="893"/>
        <w:ind w:left="2100"/>
        <w:keepLines w:val="0"/>
        <w:keepNext w:val="0"/>
        <w:pageBreakBefore w:val="0"/>
        <w:widowControl w:val="off"/>
        <w:rPr>
          <w:rFonts w:hint="eastAsia" w:ascii="宋体" w:hAnsi="宋体" w:cs="宋体"/>
          <w:b/>
          <w:color w:val="000000"/>
          <w:sz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rPr>
      </w:r>
      <w:r/>
    </w:p>
    <w:p>
      <w:pPr>
        <w:pStyle w:val="893"/>
        <w:keepLines w:val="0"/>
        <w:keepNext w:val="0"/>
        <w:pageBreakBefore w:val="0"/>
        <w:widowControl w:val="off"/>
        <w:rPr>
          <w:rFonts w:hint="eastAsia" w:ascii="宋体" w:hAnsi="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rPr>
        <w:t xml:space="preserve"> </w:t>
      </w:r>
      <w:r>
        <w:rPr>
          <w:rFonts w:hint="eastAsia" w:ascii="宋体" w:hAnsi="宋体" w:cs="宋体"/>
        </w:rPr>
      </w:r>
      <w:r/>
    </w:p>
    <w:p>
      <w:pPr>
        <w:pStyle w:val="893"/>
        <w:keepLines w:val="0"/>
        <w:keepNext w:val="0"/>
        <w:pageBreakBefore w:val="0"/>
        <w:widowControl w:val="off"/>
        <w:rPr>
          <w:rFonts w:hint="eastAsia" w:ascii="宋体" w:hAnsi="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rPr>
        <w:t xml:space="preserve"> </w:t>
      </w:r>
      <w:r>
        <w:rPr>
          <w:rFonts w:hint="eastAsia" w:ascii="宋体" w:hAnsi="宋体" w:cs="宋体"/>
        </w:rPr>
      </w:r>
      <w:r/>
    </w:p>
    <w:p>
      <w:pPr>
        <w:pStyle w:val="893"/>
        <w:keepLines w:val="0"/>
        <w:keepNext w:val="0"/>
        <w:pageBreakBefore w:val="0"/>
        <w:widowControl w:val="off"/>
        <w:rPr>
          <w:rFonts w:hint="eastAsia" w:ascii="宋体" w:hAnsi="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rPr>
        <w:t xml:space="preserve"> </w:t>
      </w:r>
      <w:r>
        <w:rPr>
          <w:rFonts w:hint="eastAsia" w:ascii="宋体" w:hAnsi="宋体" w:cs="宋体"/>
        </w:rPr>
      </w:r>
      <w:r/>
    </w:p>
    <w:p>
      <w:pPr>
        <w:pStyle w:val="893"/>
        <w:keepLines w:val="0"/>
        <w:keepNext w:val="0"/>
        <w:pageBreakBefore w:val="0"/>
        <w:widowControl w:val="off"/>
        <w:rPr>
          <w:rFonts w:hint="eastAsia" w:ascii="宋体" w:hAnsi="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rPr>
        <w:t xml:space="preserve"> </w:t>
      </w:r>
      <w:r>
        <w:rPr>
          <w:rFonts w:hint="eastAsia" w:ascii="宋体" w:hAnsi="宋体" w:cs="宋体"/>
        </w:rPr>
      </w:r>
      <w:r/>
    </w:p>
    <w:p>
      <w:pPr>
        <w:pStyle w:val="893"/>
        <w:keepLines w:val="0"/>
        <w:keepNext w:val="0"/>
        <w:pageBreakBefore w:val="0"/>
        <w:widowControl w:val="off"/>
        <w:rPr>
          <w:rFonts w:hint="eastAsia" w:ascii="宋体" w:hAnsi="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rPr>
        <w:t xml:space="preserve"> </w:t>
      </w:r>
      <w:r>
        <w:rPr>
          <w:rFonts w:hint="eastAsia" w:ascii="宋体" w:hAnsi="宋体" w:cs="宋体"/>
        </w:rPr>
      </w:r>
      <w:r/>
    </w:p>
    <w:p>
      <w:pPr>
        <w:pStyle w:val="893"/>
        <w:keepLines w:val="0"/>
        <w:keepNext w:val="0"/>
        <w:pageBreakBefore w:val="0"/>
        <w:widowControl w:val="off"/>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rPr>
        <w:t xml:space="preserve"> </w:t>
      </w:r>
      <w:r>
        <w:rPr>
          <w:rFonts w:hint="eastAsia" w:ascii="宋体" w:hAnsi="宋体" w:cs="宋体"/>
        </w:rPr>
      </w:r>
      <w:r/>
    </w:p>
    <w:p>
      <w:pPr>
        <w:keepLines w:val="0"/>
        <w:keepNext w:val="0"/>
        <w:pageBreakBefore w:val="0"/>
        <w:widowControl w:val="off"/>
        <w:rPr>
          <w:rFonts w:hint="eastAsia" w:ascii="宋体" w:hAnsi="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cs="宋体"/>
        </w:rPr>
      </w:r>
      <w:r>
        <w:rPr>
          <w:rFonts w:hint="eastAsia" w:ascii="宋体" w:hAnsi="宋体" w:cs="宋体"/>
        </w:rPr>
      </w:r>
      <w:r/>
    </w:p>
    <w:p>
      <w:pPr>
        <w:keepLines w:val="0"/>
        <w:keepNext w:val="0"/>
        <w:pageBreakBefore w:val="0"/>
        <w:widowControl w:val="off"/>
        <w:rPr>
          <w:rFonts w:hint="eastAsia" w:ascii="宋体" w:hAnsi="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cs="宋体"/>
        </w:rPr>
      </w:r>
      <w:r>
        <w:rPr>
          <w:rFonts w:hint="eastAsia" w:ascii="宋体" w:hAnsi="宋体" w:cs="宋体"/>
        </w:rPr>
      </w:r>
      <w:r/>
    </w:p>
    <w:p>
      <w:pPr>
        <w:keepLines w:val="0"/>
        <w:keepNext w:val="0"/>
        <w:pageBreakBefore w:val="0"/>
        <w:widowControl w:val="off"/>
        <w:rPr>
          <w:rFonts w:hint="eastAsia" w:ascii="宋体" w:hAnsi="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cs="宋体"/>
        </w:rPr>
      </w:r>
      <w:r>
        <w:rPr>
          <w:rFonts w:hint="eastAsia" w:ascii="宋体" w:hAnsi="宋体" w:cs="宋体"/>
        </w:rPr>
      </w:r>
      <w:r/>
    </w:p>
    <w:p>
      <w:pPr>
        <w:keepLines w:val="0"/>
        <w:keepNext w:val="0"/>
        <w:pageBreakBefore w:val="0"/>
        <w:widowControl w:val="off"/>
        <w:rPr>
          <w:rFonts w:hint="eastAsia" w:ascii="宋体" w:hAnsi="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cs="宋体"/>
        </w:rPr>
      </w:r>
      <w:r>
        <w:rPr>
          <w:rFonts w:hint="eastAsia" w:ascii="宋体" w:hAnsi="宋体" w:cs="宋体"/>
        </w:rPr>
      </w:r>
      <w:r/>
    </w:p>
    <w:p>
      <w:pPr>
        <w:keepLines w:val="0"/>
        <w:keepNext w:val="0"/>
        <w:pageBreakBefore w:val="0"/>
        <w:widowControl w:val="off"/>
        <w:rPr>
          <w:rFonts w:hint="eastAsia" w:ascii="宋体" w:hAnsi="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cs="宋体"/>
        </w:rPr>
      </w:r>
      <w:r>
        <w:rPr>
          <w:rFonts w:hint="eastAsia" w:ascii="宋体" w:hAnsi="宋体" w:cs="宋体"/>
        </w:rPr>
      </w:r>
      <w:r/>
    </w:p>
    <w:p>
      <w:pPr>
        <w:keepLines w:val="0"/>
        <w:keepNext w:val="0"/>
        <w:pageBreakBefore w:val="0"/>
        <w:widowControl w:val="off"/>
        <w:rPr>
          <w:rFonts w:hint="eastAsia" w:ascii="宋体" w:hAnsi="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cs="宋体"/>
        </w:rPr>
      </w:r>
      <w:r>
        <w:rPr>
          <w:rFonts w:hint="eastAsia" w:ascii="宋体" w:hAnsi="宋体" w:cs="宋体"/>
        </w:rPr>
      </w:r>
      <w:r/>
    </w:p>
    <w:p>
      <w:pPr>
        <w:keepLines w:val="0"/>
        <w:keepNext w:val="0"/>
        <w:pageBreakBefore w:val="0"/>
        <w:widowControl w:val="off"/>
        <w:rPr>
          <w:rFonts w:hint="eastAsia" w:ascii="宋体" w:hAnsi="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cs="宋体"/>
        </w:rPr>
      </w:r>
      <w:r>
        <w:rPr>
          <w:rFonts w:hint="eastAsia" w:ascii="宋体" w:hAnsi="宋体" w:cs="宋体"/>
        </w:rPr>
      </w:r>
      <w:r/>
    </w:p>
    <w:p>
      <w:pPr>
        <w:keepLines w:val="0"/>
        <w:keepNext w:val="0"/>
        <w:pageBreakBefore w:val="0"/>
        <w:widowControl w:val="off"/>
        <w:rPr>
          <w:rFonts w:hint="eastAsia" w:ascii="宋体" w:hAnsi="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cs="宋体"/>
        </w:rPr>
      </w:r>
      <w:r>
        <w:rPr>
          <w:rFonts w:hint="eastAsia" w:ascii="宋体" w:hAnsi="宋体" w:cs="宋体"/>
        </w:rPr>
      </w:r>
      <w:r/>
    </w:p>
    <w:p>
      <w:pPr>
        <w:keepLines w:val="0"/>
        <w:keepNext w:val="0"/>
        <w:pageBreakBefore w:val="0"/>
        <w:widowControl w:val="off"/>
        <w:rPr>
          <w:rFonts w:hint="eastAsia" w:ascii="宋体" w:hAnsi="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cs="宋体"/>
        </w:rPr>
      </w:r>
      <w:r>
        <w:rPr>
          <w:rFonts w:hint="eastAsia" w:ascii="宋体" w:hAnsi="宋体" w:cs="宋体"/>
        </w:rPr>
      </w:r>
      <w:r/>
    </w:p>
    <w:p>
      <w:pPr>
        <w:keepLines w:val="0"/>
        <w:keepNext w:val="0"/>
        <w:pageBreakBefore w:val="0"/>
        <w:widowControl w:val="off"/>
        <w:rPr>
          <w:rFonts w:hint="eastAsia" w:ascii="宋体" w:hAnsi="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cs="宋体"/>
        </w:rPr>
      </w:r>
      <w:r>
        <w:rPr>
          <w:rFonts w:hint="eastAsia" w:ascii="宋体" w:hAnsi="宋体" w:cs="宋体"/>
        </w:rPr>
      </w:r>
      <w:r/>
    </w:p>
    <w:p>
      <w:pPr>
        <w:keepLines w:val="0"/>
        <w:keepNext w:val="0"/>
        <w:pageBreakBefore w:val="0"/>
        <w:widowControl w:val="off"/>
        <w:rPr>
          <w:rFonts w:hint="eastAsia" w:ascii="宋体" w:hAnsi="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cs="宋体"/>
        </w:rPr>
      </w:r>
      <w:r>
        <w:rPr>
          <w:rFonts w:hint="eastAsia" w:ascii="宋体" w:hAnsi="宋体" w:cs="宋体"/>
        </w:rPr>
      </w:r>
      <w:r/>
    </w:p>
    <w:p>
      <w:pPr>
        <w:keepLines w:val="0"/>
        <w:keepNext w:val="0"/>
        <w:pageBreakBefore w:val="0"/>
        <w:widowControl w:val="off"/>
        <w:rPr>
          <w:rFonts w:hint="eastAsia" w:ascii="宋体" w:hAnsi="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cs="宋体"/>
        </w:rPr>
      </w:r>
      <w:r>
        <w:rPr>
          <w:rFonts w:hint="eastAsia" w:ascii="宋体" w:hAnsi="宋体" w:cs="宋体"/>
        </w:rPr>
      </w:r>
      <w:r/>
    </w:p>
    <w:p>
      <w:pPr>
        <w:keepLines w:val="0"/>
        <w:keepNext w:val="0"/>
        <w:pageBreakBefore w:val="0"/>
        <w:widowControl w:val="off"/>
        <w:rPr>
          <w:rFonts w:hint="eastAsia" w:ascii="宋体" w:hAnsi="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cs="宋体"/>
          <w:highlight w:val="none"/>
        </w:rPr>
      </w:r>
      <w:r>
        <w:rPr>
          <w:rFonts w:hint="eastAsia" w:ascii="宋体" w:hAnsi="宋体" w:cs="宋体"/>
          <w:highlight w:val="none"/>
        </w:rPr>
      </w:r>
      <w:r/>
    </w:p>
    <w:p>
      <w:pPr>
        <w:pStyle w:val="893"/>
        <w:ind w:left="0" w:right="0" w:firstLine="0"/>
        <w:jc w:val="center"/>
        <w:spacing w:before="0" w:after="0" w:line="240" w:lineRule="auto"/>
        <w:rPr>
          <w:sz w:val="32"/>
          <w:szCs w:val="32"/>
        </w:rPr>
      </w:pPr>
      <w:r/>
      <w:bookmarkStart w:id="6" w:name="_Toc17558"/>
      <w:r/>
      <w:bookmarkStart w:id="7" w:name="_Toc31894"/>
      <w:r>
        <w:rPr>
          <w:rFonts w:ascii="宋体" w:hAnsi="宋体" w:eastAsia="宋体"/>
          <w:sz w:val="32"/>
          <w:szCs w:val="32"/>
        </w:rPr>
        <w:t xml:space="preserve">目</w:t>
      </w:r>
      <w:r>
        <w:rPr>
          <w:rFonts w:hint="eastAsia" w:ascii="宋体" w:hAnsi="宋体" w:eastAsia="宋体"/>
          <w:sz w:val="32"/>
          <w:szCs w:val="32"/>
          <w:lang w:val="en-US" w:eastAsia="zh-CN"/>
        </w:rPr>
        <w:t xml:space="preserve"> </w:t>
      </w:r>
      <w:r>
        <w:rPr>
          <w:rFonts w:ascii="宋体" w:hAnsi="宋体" w:eastAsia="宋体"/>
          <w:sz w:val="32"/>
          <w:szCs w:val="32"/>
        </w:rPr>
        <w:t xml:space="preserve">录</w:t>
      </w:r>
      <w:r>
        <w:rPr>
          <w:sz w:val="32"/>
          <w:szCs w:val="32"/>
        </w:rPr>
      </w:r>
      <w:r/>
    </w:p>
    <w:p>
      <w:pPr>
        <w:pStyle w:val="1030"/>
        <w:tabs>
          <w:tab w:val="right" w:pos="8953" w:leader="dot"/>
        </w:tabs>
        <w:rPr>
          <w:b/>
        </w:rPr>
      </w:pPr>
      <w:r>
        <w:fldChar w:fldCharType="begin"/>
      </w:r>
      <w:r>
        <w:instrText xml:space="preserve">TOC \o "1-2" \h \u </w:instrText>
      </w:r>
      <w:r>
        <w:fldChar w:fldCharType="separate"/>
      </w:r>
      <w:r>
        <w:rPr>
          <w:b/>
        </w:rPr>
      </w:r>
      <w:r/>
    </w:p>
    <w:p>
      <w:pPr>
        <w:pStyle w:val="1030"/>
        <w:keepLines/>
        <w:keepNext/>
        <w:pageBreakBefore w:val="0"/>
        <w:spacing w:line="240" w:lineRule="auto"/>
        <w:widowControl/>
        <w:tabs>
          <w:tab w:val="right" w:pos="8953" w:leader="dot"/>
        </w:tabs>
        <w:rPr>
          <w:b/>
        </w:rPr>
      </w:pPr>
      <w:r>
        <w:rPr>
          <w:b/>
        </w:rPr>
        <w:fldChar w:fldCharType="begin"/>
      </w:r>
      <w:r>
        <w:rPr>
          <w:b/>
        </w:rPr>
        <w:instrText xml:space="preserve"> HYPERLINK \l _Toc18869 </w:instrText>
      </w:r>
      <w:r>
        <w:rPr>
          <w:b/>
        </w:rPr>
        <w:fldChar w:fldCharType="separate"/>
      </w:r>
      <w:r>
        <w:rPr>
          <w:rFonts w:hint="eastAsia" w:ascii="宋体" w:hAnsi="宋体" w:eastAsia="宋体" w:cs="宋体"/>
          <w:b/>
        </w:rPr>
        <w:t xml:space="preserve">第一章</w:t>
      </w:r>
      <w:r>
        <w:rPr>
          <w:rFonts w:hint="eastAsia" w:ascii="宋体" w:hAnsi="宋体" w:eastAsia="宋体" w:cs="宋体"/>
          <w:b/>
          <w:lang w:val="en-US" w:eastAsia="zh-CN"/>
        </w:rPr>
        <w:t xml:space="preserve"> </w:t>
      </w:r>
      <w:r>
        <w:rPr>
          <w:rFonts w:hint="eastAsia" w:ascii="宋体" w:hAnsi="宋体" w:eastAsia="宋体" w:cs="宋体"/>
          <w:b/>
        </w:rPr>
        <w:t xml:space="preserve">投标邀请</w:t>
      </w:r>
      <w:r>
        <w:rPr>
          <w:b/>
        </w:rPr>
        <w:tab/>
      </w:r>
      <w:r>
        <w:rPr>
          <w:b/>
        </w:rPr>
        <w:fldChar w:fldCharType="begin"/>
      </w:r>
      <w:r>
        <w:rPr>
          <w:b/>
        </w:rPr>
        <w:instrText xml:space="preserve"> PAGEREF _Toc18869 \h </w:instrText>
      </w:r>
      <w:r>
        <w:rPr>
          <w:b/>
        </w:rPr>
        <w:fldChar w:fldCharType="separate"/>
      </w:r>
      <w:r>
        <w:rPr>
          <w:b/>
        </w:rPr>
        <w:t xml:space="preserve">１</w:t>
      </w:r>
      <w:r>
        <w:rPr>
          <w:b/>
        </w:rPr>
        <w:fldChar w:fldCharType="end"/>
      </w:r>
      <w:r>
        <w:rPr>
          <w:b/>
        </w:rPr>
        <w:fldChar w:fldCharType="end"/>
      </w:r>
      <w:r>
        <w:rPr>
          <w:b/>
        </w:rPr>
      </w:r>
      <w:r/>
    </w:p>
    <w:p>
      <w:pPr>
        <w:pStyle w:val="1031"/>
        <w:keepLines/>
        <w:keepNext/>
        <w:pageBreakBefore w:val="0"/>
        <w:spacing w:line="240" w:lineRule="auto"/>
        <w:widowControl/>
        <w:tabs>
          <w:tab w:val="right" w:pos="8953" w:leader="dot"/>
        </w:tabs>
      </w:pPr>
      <w:r>
        <w:fldChar w:fldCharType="begin"/>
      </w:r>
      <w:r>
        <w:instrText xml:space="preserve"> HYPERLINK \l _Toc8899 </w:instrText>
      </w:r>
      <w:r>
        <w:fldChar w:fldCharType="separate"/>
      </w:r>
      <w:r>
        <w:rPr>
          <w:rFonts w:hint="eastAsia" w:ascii="宋体" w:hAnsi="宋体" w:cs="宋体"/>
        </w:rPr>
        <w:t xml:space="preserve">一、项目基本情况</w:t>
      </w:r>
      <w:r>
        <w:tab/>
      </w:r>
      <w:r>
        <w:fldChar w:fldCharType="begin"/>
      </w:r>
      <w:r>
        <w:instrText xml:space="preserve"> PAGEREF _Toc8899 \h </w:instrText>
      </w:r>
      <w:r>
        <w:fldChar w:fldCharType="separate"/>
      </w:r>
      <w:r>
        <w:t xml:space="preserve">１</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_Toc14728 </w:instrText>
      </w:r>
      <w:r>
        <w:fldChar w:fldCharType="separate"/>
      </w:r>
      <w:r>
        <w:rPr>
          <w:rFonts w:hint="eastAsia" w:ascii="宋体" w:hAnsi="宋体" w:cs="宋体"/>
        </w:rPr>
        <w:t xml:space="preserve">二、申请人的资格要求：</w:t>
      </w:r>
      <w:r>
        <w:tab/>
      </w:r>
      <w:r>
        <w:fldChar w:fldCharType="begin"/>
      </w:r>
      <w:r>
        <w:instrText xml:space="preserve"> PAGEREF _Toc14728 \h </w:instrText>
      </w:r>
      <w:r>
        <w:fldChar w:fldCharType="separate"/>
      </w:r>
      <w:r>
        <w:t xml:space="preserve">１</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_Toc12257 </w:instrText>
      </w:r>
      <w:r>
        <w:fldChar w:fldCharType="separate"/>
      </w:r>
      <w:r>
        <w:rPr>
          <w:rFonts w:hint="eastAsia" w:ascii="宋体" w:hAnsi="宋体" w:cs="宋体"/>
        </w:rPr>
        <w:t xml:space="preserve">三、获取招标文件</w:t>
      </w:r>
      <w:r>
        <w:tab/>
      </w:r>
      <w:r>
        <w:fldChar w:fldCharType="begin"/>
      </w:r>
      <w:r>
        <w:instrText xml:space="preserve"> PAGEREF _Toc12257 \h </w:instrText>
      </w:r>
      <w:r>
        <w:fldChar w:fldCharType="separate"/>
      </w:r>
      <w:r>
        <w:t xml:space="preserve">２</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_Toc31629 </w:instrText>
      </w:r>
      <w:r>
        <w:fldChar w:fldCharType="separate"/>
      </w:r>
      <w:r>
        <w:rPr>
          <w:rFonts w:hint="eastAsia" w:ascii="宋体" w:hAnsi="宋体" w:cs="宋体"/>
        </w:rPr>
        <w:t xml:space="preserve">四、提交投标文件截止时间、开标时间和地点</w:t>
      </w:r>
      <w:r>
        <w:tab/>
      </w:r>
      <w:r>
        <w:fldChar w:fldCharType="begin"/>
      </w:r>
      <w:r>
        <w:instrText xml:space="preserve"> PAGEREF _Toc31629 \h </w:instrText>
      </w:r>
      <w:r>
        <w:fldChar w:fldCharType="separate"/>
      </w:r>
      <w:r>
        <w:t xml:space="preserve">２</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_Toc12369 </w:instrText>
      </w:r>
      <w:r>
        <w:fldChar w:fldCharType="separate"/>
      </w:r>
      <w:r>
        <w:rPr>
          <w:rFonts w:hint="eastAsia" w:ascii="宋体" w:hAnsi="宋体" w:cs="宋体"/>
        </w:rPr>
        <w:t xml:space="preserve">五、公告期限</w:t>
      </w:r>
      <w:r>
        <w:tab/>
      </w:r>
      <w:r>
        <w:fldChar w:fldCharType="begin"/>
      </w:r>
      <w:r>
        <w:instrText xml:space="preserve"> PAGEREF _Toc12369 \h </w:instrText>
      </w:r>
      <w:r>
        <w:fldChar w:fldCharType="separate"/>
      </w:r>
      <w:r>
        <w:t xml:space="preserve">２</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_Toc7903 </w:instrText>
      </w:r>
      <w:r>
        <w:fldChar w:fldCharType="separate"/>
      </w:r>
      <w:r>
        <w:rPr>
          <w:rFonts w:hint="eastAsia" w:ascii="宋体" w:hAnsi="宋体" w:cs="宋体"/>
        </w:rPr>
        <w:t xml:space="preserve">六、其他补充事宜</w:t>
      </w:r>
      <w:r>
        <w:tab/>
      </w:r>
      <w:r>
        <w:fldChar w:fldCharType="begin"/>
      </w:r>
      <w:r>
        <w:instrText xml:space="preserve"> PAGEREF _Toc7903 \h </w:instrText>
      </w:r>
      <w:r>
        <w:fldChar w:fldCharType="separate"/>
      </w:r>
      <w:r>
        <w:t xml:space="preserve">２</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_Toc28693 </w:instrText>
      </w:r>
      <w:r>
        <w:fldChar w:fldCharType="separate"/>
      </w:r>
      <w:r>
        <w:rPr>
          <w:rFonts w:hint="eastAsia" w:ascii="宋体" w:hAnsi="宋体" w:cs="宋体"/>
        </w:rPr>
        <w:t xml:space="preserve">七、本次招标联系方式</w:t>
      </w:r>
      <w:r>
        <w:tab/>
      </w:r>
      <w:r>
        <w:fldChar w:fldCharType="begin"/>
      </w:r>
      <w:r>
        <w:instrText xml:space="preserve"> PAGEREF _Toc28693 \h </w:instrText>
      </w:r>
      <w:r>
        <w:fldChar w:fldCharType="separate"/>
      </w:r>
      <w:r>
        <w:t xml:space="preserve">３</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_Toc7038 </w:instrText>
      </w:r>
      <w:r>
        <w:fldChar w:fldCharType="separate"/>
      </w:r>
      <w:r>
        <w:rPr>
          <w:rFonts w:hint="eastAsia" w:ascii="宋体" w:hAnsi="宋体" w:cs="宋体"/>
        </w:rPr>
        <w:t xml:space="preserve">八、其他</w:t>
      </w:r>
      <w:r>
        <w:tab/>
      </w:r>
      <w:r>
        <w:fldChar w:fldCharType="begin"/>
      </w:r>
      <w:r>
        <w:instrText xml:space="preserve"> PAGEREF _Toc7038 \h </w:instrText>
      </w:r>
      <w:r>
        <w:fldChar w:fldCharType="separate"/>
      </w:r>
      <w:r>
        <w:t xml:space="preserve">３</w:t>
      </w:r>
      <w:r>
        <w:fldChar w:fldCharType="end"/>
      </w:r>
      <w:r>
        <w:fldChar w:fldCharType="end"/>
      </w:r>
      <w:r/>
    </w:p>
    <w:p>
      <w:pPr>
        <w:pStyle w:val="1030"/>
        <w:keepLines/>
        <w:keepNext/>
        <w:pageBreakBefore w:val="0"/>
        <w:spacing w:line="240" w:lineRule="auto"/>
        <w:widowControl/>
        <w:tabs>
          <w:tab w:val="right" w:pos="8953" w:leader="dot"/>
        </w:tabs>
        <w:rPr>
          <w:b/>
        </w:rPr>
      </w:pPr>
      <w:r>
        <w:rPr>
          <w:b/>
        </w:rPr>
        <w:fldChar w:fldCharType="begin"/>
      </w:r>
      <w:r>
        <w:rPr>
          <w:b/>
        </w:rPr>
        <w:instrText xml:space="preserve"> HYPERLINK \l _Toc6930 </w:instrText>
      </w:r>
      <w:r>
        <w:rPr>
          <w:b/>
        </w:rPr>
        <w:fldChar w:fldCharType="separate"/>
      </w:r>
      <w:r>
        <w:rPr>
          <w:rFonts w:hint="eastAsia" w:ascii="宋体" w:hAnsi="宋体" w:eastAsia="宋体" w:cs="宋体"/>
          <w:b/>
        </w:rPr>
        <w:t xml:space="preserve">第二章投标人须知</w:t>
      </w:r>
      <w:r>
        <w:rPr>
          <w:b/>
        </w:rPr>
        <w:tab/>
      </w:r>
      <w:r>
        <w:rPr>
          <w:b/>
        </w:rPr>
        <w:fldChar w:fldCharType="begin"/>
      </w:r>
      <w:r>
        <w:rPr>
          <w:b/>
        </w:rPr>
        <w:instrText xml:space="preserve"> PAGEREF _Toc6930 \h </w:instrText>
      </w:r>
      <w:r>
        <w:rPr>
          <w:b/>
        </w:rPr>
        <w:fldChar w:fldCharType="separate"/>
      </w:r>
      <w:r>
        <w:rPr>
          <w:b/>
        </w:rPr>
        <w:t xml:space="preserve">４</w:t>
      </w:r>
      <w:r>
        <w:rPr>
          <w:b/>
        </w:rPr>
        <w:fldChar w:fldCharType="end"/>
      </w:r>
      <w:r>
        <w:rPr>
          <w:b/>
        </w:rPr>
        <w:fldChar w:fldCharType="end"/>
      </w:r>
      <w:r>
        <w:rPr>
          <w:b/>
        </w:rPr>
      </w:r>
      <w:r/>
    </w:p>
    <w:p>
      <w:pPr>
        <w:pStyle w:val="1031"/>
        <w:keepLines/>
        <w:keepNext/>
        <w:pageBreakBefore w:val="0"/>
        <w:spacing w:line="240" w:lineRule="auto"/>
        <w:widowControl/>
        <w:tabs>
          <w:tab w:val="right" w:pos="8953" w:leader="dot"/>
        </w:tabs>
      </w:pPr>
      <w:r>
        <w:fldChar w:fldCharType="begin"/>
      </w:r>
      <w:r>
        <w:instrText xml:space="preserve"> HYPERLINK \l _Toc14874 </w:instrText>
      </w:r>
      <w:r>
        <w:fldChar w:fldCharType="separate"/>
      </w:r>
      <w:r>
        <w:rPr>
          <w:rFonts w:hint="eastAsia" w:ascii="宋体" w:hAnsi="宋体" w:cs="宋体"/>
        </w:rPr>
        <w:t xml:space="preserve">一、总则</w:t>
      </w:r>
      <w:r>
        <w:tab/>
      </w:r>
      <w:r>
        <w:fldChar w:fldCharType="begin"/>
      </w:r>
      <w:r>
        <w:instrText xml:space="preserve"> PAGEREF _Toc14874 \h </w:instrText>
      </w:r>
      <w:r>
        <w:fldChar w:fldCharType="separate"/>
      </w:r>
      <w:r>
        <w:t xml:space="preserve">４</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_Toc23080 </w:instrText>
      </w:r>
      <w:r>
        <w:fldChar w:fldCharType="separate"/>
      </w:r>
      <w:r>
        <w:rPr>
          <w:rFonts w:hint="eastAsia" w:ascii="宋体" w:hAnsi="宋体" w:cs="宋体"/>
        </w:rPr>
        <w:t xml:space="preserve">二、招标文件</w:t>
      </w:r>
      <w:r>
        <w:tab/>
      </w:r>
      <w:r>
        <w:fldChar w:fldCharType="begin"/>
      </w:r>
      <w:r>
        <w:instrText xml:space="preserve"> PAGEREF _Toc23080 \h </w:instrText>
      </w:r>
      <w:r>
        <w:fldChar w:fldCharType="separate"/>
      </w:r>
      <w:r>
        <w:t xml:space="preserve">４</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_Toc16184 </w:instrText>
      </w:r>
      <w:r>
        <w:fldChar w:fldCharType="separate"/>
      </w:r>
      <w:r>
        <w:rPr>
          <w:rFonts w:hint="eastAsia" w:ascii="宋体" w:hAnsi="宋体" w:cs="宋体"/>
        </w:rPr>
        <w:t xml:space="preserve">三、投标文件的编制</w:t>
      </w:r>
      <w:r>
        <w:tab/>
      </w:r>
      <w:r>
        <w:fldChar w:fldCharType="begin"/>
      </w:r>
      <w:r>
        <w:instrText xml:space="preserve"> PAGEREF _Toc16184 \h </w:instrText>
      </w:r>
      <w:r>
        <w:fldChar w:fldCharType="separate"/>
      </w:r>
      <w:r>
        <w:t xml:space="preserve">５</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_Toc19021 </w:instrText>
      </w:r>
      <w:r>
        <w:fldChar w:fldCharType="separate"/>
      </w:r>
      <w:r>
        <w:rPr>
          <w:rFonts w:hint="eastAsia" w:ascii="宋体" w:hAnsi="宋体" w:cs="宋体"/>
        </w:rPr>
        <w:t xml:space="preserve">四、投标文件的递交</w:t>
      </w:r>
      <w:r>
        <w:tab/>
      </w:r>
      <w:r>
        <w:fldChar w:fldCharType="begin"/>
      </w:r>
      <w:r>
        <w:instrText xml:space="preserve"> PAGEREF _Toc19021 \h </w:instrText>
      </w:r>
      <w:r>
        <w:fldChar w:fldCharType="separate"/>
      </w:r>
      <w:r>
        <w:t xml:space="preserve">８</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_Toc7285 </w:instrText>
      </w:r>
      <w:r>
        <w:fldChar w:fldCharType="separate"/>
      </w:r>
      <w:r>
        <w:rPr>
          <w:rFonts w:hint="eastAsia" w:ascii="宋体" w:hAnsi="宋体" w:cs="宋体"/>
        </w:rPr>
        <w:t xml:space="preserve">五、开标与评标</w:t>
      </w:r>
      <w:r>
        <w:tab/>
      </w:r>
      <w:r>
        <w:fldChar w:fldCharType="begin"/>
      </w:r>
      <w:r>
        <w:instrText xml:space="preserve"> PAGEREF _Toc7285 \h </w:instrText>
      </w:r>
      <w:r>
        <w:fldChar w:fldCharType="separate"/>
      </w:r>
      <w:r>
        <w:t xml:space="preserve">９</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_Toc9525 </w:instrText>
      </w:r>
      <w:r>
        <w:fldChar w:fldCharType="separate"/>
      </w:r>
      <w:r>
        <w:rPr>
          <w:rFonts w:hint="eastAsia" w:ascii="宋体" w:hAnsi="宋体" w:cs="宋体"/>
        </w:rPr>
        <w:t xml:space="preserve">六、定标</w:t>
      </w:r>
      <w:r>
        <w:tab/>
      </w:r>
      <w:r>
        <w:fldChar w:fldCharType="begin"/>
      </w:r>
      <w:r>
        <w:instrText xml:space="preserve"> PAGEREF _Toc9525 \h </w:instrText>
      </w:r>
      <w:r>
        <w:fldChar w:fldCharType="separate"/>
      </w:r>
      <w:r>
        <w:t xml:space="preserve">１２</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_Toc16633 </w:instrText>
      </w:r>
      <w:r>
        <w:fldChar w:fldCharType="separate"/>
      </w:r>
      <w:r>
        <w:rPr>
          <w:rFonts w:hint="eastAsia" w:ascii="宋体" w:hAnsi="宋体" w:cs="宋体"/>
        </w:rPr>
        <w:t xml:space="preserve">七、授予合同</w:t>
      </w:r>
      <w:r>
        <w:tab/>
      </w:r>
      <w:r>
        <w:fldChar w:fldCharType="begin"/>
      </w:r>
      <w:r>
        <w:instrText xml:space="preserve"> PAGEREF _Toc16633 \h </w:instrText>
      </w:r>
      <w:r>
        <w:fldChar w:fldCharType="separate"/>
      </w:r>
      <w:r>
        <w:t xml:space="preserve">１５</w:t>
      </w:r>
      <w:r>
        <w:fldChar w:fldCharType="end"/>
      </w:r>
      <w:r>
        <w:fldChar w:fldCharType="end"/>
      </w:r>
      <w:r/>
    </w:p>
    <w:p>
      <w:pPr>
        <w:pStyle w:val="1030"/>
        <w:keepLines/>
        <w:keepNext/>
        <w:pageBreakBefore w:val="0"/>
        <w:spacing w:line="240" w:lineRule="auto"/>
        <w:widowControl/>
        <w:tabs>
          <w:tab w:val="right" w:pos="8953" w:leader="dot"/>
        </w:tabs>
        <w:rPr>
          <w:b/>
        </w:rPr>
      </w:pPr>
      <w:r>
        <w:rPr>
          <w:b/>
        </w:rPr>
        <w:fldChar w:fldCharType="begin"/>
      </w:r>
      <w:r>
        <w:rPr>
          <w:b/>
        </w:rPr>
        <w:instrText xml:space="preserve"> HYPERLINK \l _Toc28817 </w:instrText>
      </w:r>
      <w:r>
        <w:rPr>
          <w:b/>
        </w:rPr>
        <w:fldChar w:fldCharType="separate"/>
      </w:r>
      <w:r>
        <w:rPr>
          <w:rFonts w:hint="eastAsia" w:ascii="宋体" w:hAnsi="宋体" w:eastAsia="宋体" w:cs="宋体"/>
          <w:b/>
        </w:rPr>
        <w:t xml:space="preserve">第三章合同文本</w:t>
      </w:r>
      <w:r>
        <w:rPr>
          <w:b/>
        </w:rPr>
        <w:tab/>
      </w:r>
      <w:r>
        <w:rPr>
          <w:b/>
        </w:rPr>
        <w:fldChar w:fldCharType="begin"/>
      </w:r>
      <w:r>
        <w:rPr>
          <w:b/>
        </w:rPr>
        <w:instrText xml:space="preserve"> PAGEREF _Toc28817 \h </w:instrText>
      </w:r>
      <w:r>
        <w:rPr>
          <w:b/>
        </w:rPr>
        <w:fldChar w:fldCharType="separate"/>
      </w:r>
      <w:r>
        <w:rPr>
          <w:b/>
        </w:rPr>
        <w:t xml:space="preserve">１８</w:t>
      </w:r>
      <w:r>
        <w:rPr>
          <w:b/>
        </w:rPr>
        <w:fldChar w:fldCharType="end"/>
      </w:r>
      <w:r>
        <w:rPr>
          <w:b/>
        </w:rPr>
        <w:fldChar w:fldCharType="end"/>
      </w:r>
      <w:r>
        <w:rPr>
          <w:b/>
        </w:rPr>
      </w:r>
      <w:r/>
    </w:p>
    <w:p>
      <w:pPr>
        <w:pStyle w:val="1031"/>
        <w:keepLines/>
        <w:keepNext/>
        <w:pageBreakBefore w:val="0"/>
        <w:spacing w:line="240" w:lineRule="auto"/>
        <w:widowControl/>
        <w:tabs>
          <w:tab w:val="right" w:pos="8953" w:leader="dot"/>
        </w:tabs>
      </w:pPr>
      <w:r>
        <w:fldChar w:fldCharType="begin"/>
      </w:r>
      <w:r>
        <w:instrText xml:space="preserve"> HYPERLINK \l _Toc10832 </w:instrText>
      </w:r>
      <w:r>
        <w:fldChar w:fldCharType="separate"/>
      </w:r>
      <w:r>
        <w:rPr>
          <w:rFonts w:hint="eastAsia" w:ascii="宋体" w:hAnsi="宋体" w:cs="宋体"/>
          <w:szCs w:val="21"/>
          <w:highlight w:val="white"/>
        </w:rPr>
        <w:t xml:space="preserve">一、合作宗旨</w:t>
      </w:r>
      <w:r>
        <w:tab/>
      </w:r>
      <w:r>
        <w:fldChar w:fldCharType="begin"/>
      </w:r>
      <w:r>
        <w:instrText xml:space="preserve"> PAGEREF _Toc10832 \h </w:instrText>
      </w:r>
      <w:r>
        <w:fldChar w:fldCharType="separate"/>
      </w:r>
      <w:r>
        <w:t xml:space="preserve">１８</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_Toc28650 </w:instrText>
      </w:r>
      <w:r>
        <w:fldChar w:fldCharType="separate"/>
      </w:r>
      <w:r>
        <w:rPr>
          <w:rFonts w:hint="eastAsia" w:ascii="宋体" w:hAnsi="宋体" w:cs="宋体"/>
          <w:szCs w:val="21"/>
          <w:highlight w:val="white"/>
        </w:rPr>
        <w:t xml:space="preserve">二、项目名称</w:t>
      </w:r>
      <w:r>
        <w:tab/>
      </w:r>
      <w:r>
        <w:fldChar w:fldCharType="begin"/>
      </w:r>
      <w:r>
        <w:instrText xml:space="preserve"> PAGEREF _Toc28650 \h </w:instrText>
      </w:r>
      <w:r>
        <w:fldChar w:fldCharType="separate"/>
      </w:r>
      <w:r>
        <w:t xml:space="preserve">１８</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_Toc8520 </w:instrText>
      </w:r>
      <w:r>
        <w:fldChar w:fldCharType="separate"/>
      </w:r>
      <w:r>
        <w:rPr>
          <w:rFonts w:hint="eastAsia" w:ascii="宋体" w:hAnsi="宋体" w:cs="宋体"/>
          <w:szCs w:val="21"/>
          <w:highlight w:val="white"/>
        </w:rPr>
        <w:t xml:space="preserve">三、项目选址及面积</w:t>
      </w:r>
      <w:r>
        <w:tab/>
      </w:r>
      <w:r>
        <w:fldChar w:fldCharType="begin"/>
      </w:r>
      <w:r>
        <w:instrText xml:space="preserve"> PAGEREF _Toc8520 \h </w:instrText>
      </w:r>
      <w:r>
        <w:fldChar w:fldCharType="separate"/>
      </w:r>
      <w:r>
        <w:t xml:space="preserve">１８</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_Toc13980 </w:instrText>
      </w:r>
      <w:r>
        <w:fldChar w:fldCharType="separate"/>
      </w:r>
      <w:r>
        <w:rPr>
          <w:rFonts w:hint="eastAsia" w:ascii="宋体" w:hAnsi="宋体" w:cs="宋体"/>
          <w:szCs w:val="21"/>
          <w:highlight w:val="white"/>
        </w:rPr>
        <w:t xml:space="preserve">六、费用结算</w:t>
      </w:r>
      <w:r>
        <w:tab/>
      </w:r>
      <w:r>
        <w:fldChar w:fldCharType="begin"/>
      </w:r>
      <w:r>
        <w:instrText xml:space="preserve"> PAGEREF _Toc13980 \h </w:instrText>
      </w:r>
      <w:r>
        <w:fldChar w:fldCharType="separate"/>
      </w:r>
      <w:r>
        <w:t xml:space="preserve">１８</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_Toc10885 </w:instrText>
      </w:r>
      <w:r>
        <w:fldChar w:fldCharType="separate"/>
      </w:r>
      <w:r>
        <w:rPr>
          <w:rFonts w:hint="eastAsia" w:ascii="宋体" w:hAnsi="宋体" w:cs="宋体"/>
          <w:szCs w:val="21"/>
          <w:highlight w:val="white"/>
        </w:rPr>
        <w:t xml:space="preserve">七、服务内容</w:t>
      </w:r>
      <w:r>
        <w:tab/>
      </w:r>
      <w:r>
        <w:fldChar w:fldCharType="begin"/>
      </w:r>
      <w:r>
        <w:instrText xml:space="preserve"> PAGEREF _Toc10885 \h </w:instrText>
      </w:r>
      <w:r>
        <w:fldChar w:fldCharType="separate"/>
      </w:r>
      <w:r>
        <w:t xml:space="preserve">１８</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_Toc25227 </w:instrText>
      </w:r>
      <w:r>
        <w:fldChar w:fldCharType="separate"/>
      </w:r>
      <w:r>
        <w:rPr>
          <w:rFonts w:hint="eastAsia" w:ascii="宋体" w:hAnsi="宋体" w:cs="宋体"/>
          <w:szCs w:val="21"/>
          <w:highlight w:val="white"/>
        </w:rPr>
        <w:t xml:space="preserve">八、服务要求</w:t>
      </w:r>
      <w:r>
        <w:tab/>
      </w:r>
      <w:r>
        <w:fldChar w:fldCharType="begin"/>
      </w:r>
      <w:r>
        <w:instrText xml:space="preserve"> PAGEREF _Toc25227 \h </w:instrText>
      </w:r>
      <w:r>
        <w:fldChar w:fldCharType="separate"/>
      </w:r>
      <w:r>
        <w:t xml:space="preserve">２０</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_Toc12518 </w:instrText>
      </w:r>
      <w:r>
        <w:fldChar w:fldCharType="separate"/>
      </w:r>
      <w:r>
        <w:rPr>
          <w:rFonts w:hint="eastAsia" w:ascii="宋体" w:hAnsi="宋体" w:cs="宋体"/>
          <w:szCs w:val="21"/>
          <w:highlight w:val="white"/>
        </w:rPr>
        <w:t xml:space="preserve">九、权利与义务</w:t>
      </w:r>
      <w:r>
        <w:tab/>
      </w:r>
      <w:r>
        <w:fldChar w:fldCharType="begin"/>
      </w:r>
      <w:r>
        <w:instrText xml:space="preserve"> PAGEREF _Toc12518 \h </w:instrText>
      </w:r>
      <w:r>
        <w:fldChar w:fldCharType="separate"/>
      </w:r>
      <w:r>
        <w:t xml:space="preserve">２１</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_Toc3452 </w:instrText>
      </w:r>
      <w:r>
        <w:fldChar w:fldCharType="separate"/>
      </w:r>
      <w:r>
        <w:rPr>
          <w:rFonts w:hint="eastAsia" w:ascii="宋体" w:hAnsi="宋体" w:cs="宋体"/>
          <w:szCs w:val="21"/>
        </w:rPr>
        <w:t xml:space="preserve">十、验收</w:t>
      </w:r>
      <w:r>
        <w:tab/>
      </w:r>
      <w:r>
        <w:fldChar w:fldCharType="begin"/>
      </w:r>
      <w:r>
        <w:instrText xml:space="preserve"> PAGEREF _Toc3452 \h </w:instrText>
      </w:r>
      <w:r>
        <w:fldChar w:fldCharType="separate"/>
      </w:r>
      <w:r>
        <w:t xml:space="preserve">２２</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_Toc24568 </w:instrText>
      </w:r>
      <w:r>
        <w:fldChar w:fldCharType="separate"/>
      </w:r>
      <w:r>
        <w:rPr>
          <w:rFonts w:hint="eastAsia" w:ascii="宋体" w:hAnsi="宋体" w:cs="宋体"/>
          <w:szCs w:val="21"/>
          <w:highlight w:val="white"/>
        </w:rPr>
        <w:t xml:space="preserve">十一、违约责任</w:t>
      </w:r>
      <w:r>
        <w:tab/>
      </w:r>
      <w:r>
        <w:fldChar w:fldCharType="begin"/>
      </w:r>
      <w:r>
        <w:instrText xml:space="preserve"> PAGEREF _Toc24568 \h </w:instrText>
      </w:r>
      <w:r>
        <w:fldChar w:fldCharType="separate"/>
      </w:r>
      <w:r>
        <w:t xml:space="preserve">２２</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_Toc12858 </w:instrText>
      </w:r>
      <w:r>
        <w:fldChar w:fldCharType="separate"/>
      </w:r>
      <w:r>
        <w:rPr>
          <w:rFonts w:hint="eastAsia" w:ascii="宋体" w:hAnsi="宋体" w:cs="宋体"/>
          <w:szCs w:val="21"/>
          <w:highlight w:val="none"/>
        </w:rPr>
        <w:t xml:space="preserve">十二、不可抗力事件处理</w:t>
      </w:r>
      <w:r>
        <w:tab/>
      </w:r>
      <w:r>
        <w:fldChar w:fldCharType="begin"/>
      </w:r>
      <w:r>
        <w:instrText xml:space="preserve"> PAGEREF _Toc12858 \h </w:instrText>
      </w:r>
      <w:r>
        <w:fldChar w:fldCharType="separate"/>
      </w:r>
      <w:r>
        <w:t xml:space="preserve">２２</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_Toc5890 </w:instrText>
      </w:r>
      <w:r>
        <w:fldChar w:fldCharType="separate"/>
      </w:r>
      <w:r>
        <w:rPr>
          <w:rFonts w:hint="eastAsia" w:ascii="宋体" w:hAnsi="宋体" w:cs="宋体"/>
          <w:szCs w:val="21"/>
          <w:highlight w:val="white"/>
        </w:rPr>
        <w:t xml:space="preserve">十三、合同修改</w:t>
      </w:r>
      <w:r>
        <w:tab/>
      </w:r>
      <w:r>
        <w:fldChar w:fldCharType="begin"/>
      </w:r>
      <w:r>
        <w:instrText xml:space="preserve"> PAGEREF _Toc5890 \h </w:instrText>
      </w:r>
      <w:r>
        <w:fldChar w:fldCharType="separate"/>
      </w:r>
      <w:r>
        <w:t xml:space="preserve">２２</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_Toc27636 </w:instrText>
      </w:r>
      <w:r>
        <w:fldChar w:fldCharType="separate"/>
      </w:r>
      <w:r>
        <w:rPr>
          <w:rFonts w:hint="eastAsia" w:ascii="宋体" w:hAnsi="宋体" w:cs="宋体"/>
          <w:szCs w:val="21"/>
        </w:rPr>
        <w:t xml:space="preserve">十四、合同的解除和转让</w:t>
      </w:r>
      <w:r>
        <w:tab/>
      </w:r>
      <w:r>
        <w:fldChar w:fldCharType="begin"/>
      </w:r>
      <w:r>
        <w:instrText xml:space="preserve"> PAGEREF _Toc27636 \h </w:instrText>
      </w:r>
      <w:r>
        <w:fldChar w:fldCharType="separate"/>
      </w:r>
      <w:r>
        <w:t xml:space="preserve">２２</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_Toc24944 </w:instrText>
      </w:r>
      <w:r>
        <w:fldChar w:fldCharType="separate"/>
      </w:r>
      <w:r>
        <w:rPr>
          <w:rFonts w:hint="eastAsia" w:ascii="宋体" w:hAnsi="宋体" w:cs="宋体"/>
          <w:szCs w:val="21"/>
          <w:highlight w:val="white"/>
        </w:rPr>
        <w:t xml:space="preserve">十五、争议解决办法</w:t>
      </w:r>
      <w:r>
        <w:tab/>
      </w:r>
      <w:r>
        <w:fldChar w:fldCharType="begin"/>
      </w:r>
      <w:r>
        <w:instrText xml:space="preserve"> PAGEREF _Toc24944 \h </w:instrText>
      </w:r>
      <w:r>
        <w:fldChar w:fldCharType="separate"/>
      </w:r>
      <w:r>
        <w:t xml:space="preserve">２３</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_Toc26997 </w:instrText>
      </w:r>
      <w:r>
        <w:fldChar w:fldCharType="separate"/>
      </w:r>
      <w:r>
        <w:rPr>
          <w:rFonts w:hint="eastAsia" w:ascii="宋体" w:hAnsi="宋体" w:cs="宋体"/>
          <w:szCs w:val="21"/>
          <w:highlight w:val="white"/>
        </w:rPr>
        <w:t xml:space="preserve">十六、其他事项</w:t>
      </w:r>
      <w:r>
        <w:tab/>
      </w:r>
      <w:r>
        <w:fldChar w:fldCharType="begin"/>
      </w:r>
      <w:r>
        <w:instrText xml:space="preserve"> PAGEREF _Toc26997 \h </w:instrText>
      </w:r>
      <w:r>
        <w:fldChar w:fldCharType="separate"/>
      </w:r>
      <w:r>
        <w:t xml:space="preserve">２３</w:t>
      </w:r>
      <w:r>
        <w:fldChar w:fldCharType="end"/>
      </w:r>
      <w:r>
        <w:fldChar w:fldCharType="end"/>
      </w:r>
      <w:r/>
    </w:p>
    <w:p>
      <w:pPr>
        <w:pStyle w:val="1030"/>
        <w:keepLines/>
        <w:keepNext/>
        <w:pageBreakBefore w:val="0"/>
        <w:spacing w:line="240" w:lineRule="auto"/>
        <w:widowControl/>
        <w:tabs>
          <w:tab w:val="right" w:pos="8953" w:leader="dot"/>
        </w:tabs>
        <w:rPr>
          <w:b/>
        </w:rPr>
      </w:pPr>
      <w:r>
        <w:rPr>
          <w:b/>
        </w:rPr>
        <w:fldChar w:fldCharType="begin"/>
      </w:r>
      <w:r>
        <w:rPr>
          <w:b/>
        </w:rPr>
        <w:instrText xml:space="preserve"> HYPERLINK \l _Toc16012 </w:instrText>
      </w:r>
      <w:r>
        <w:rPr>
          <w:b/>
        </w:rPr>
        <w:fldChar w:fldCharType="separate"/>
      </w:r>
      <w:r>
        <w:rPr>
          <w:rFonts w:hint="eastAsia" w:ascii="宋体" w:hAnsi="宋体" w:eastAsia="宋体" w:cs="宋体"/>
          <w:b/>
        </w:rPr>
        <w:t xml:space="preserve">第四章 采购需求</w:t>
      </w:r>
      <w:r>
        <w:rPr>
          <w:b/>
        </w:rPr>
        <w:tab/>
      </w:r>
      <w:r>
        <w:rPr>
          <w:b/>
        </w:rPr>
        <w:fldChar w:fldCharType="begin"/>
      </w:r>
      <w:r>
        <w:rPr>
          <w:b/>
        </w:rPr>
        <w:instrText xml:space="preserve"> PAGEREF _Toc16012 \h </w:instrText>
      </w:r>
      <w:r>
        <w:rPr>
          <w:b/>
        </w:rPr>
        <w:fldChar w:fldCharType="separate"/>
      </w:r>
      <w:r>
        <w:rPr>
          <w:b/>
        </w:rPr>
        <w:t xml:space="preserve">２７</w:t>
      </w:r>
      <w:r>
        <w:rPr>
          <w:b/>
        </w:rPr>
        <w:fldChar w:fldCharType="end"/>
      </w:r>
      <w:r>
        <w:rPr>
          <w:b/>
        </w:rPr>
        <w:fldChar w:fldCharType="end"/>
      </w:r>
      <w:r>
        <w:rPr>
          <w:b/>
        </w:rPr>
      </w:r>
      <w:r/>
    </w:p>
    <w:p>
      <w:pPr>
        <w:pStyle w:val="1031"/>
        <w:keepLines/>
        <w:keepNext/>
        <w:pageBreakBefore w:val="0"/>
        <w:spacing w:line="240" w:lineRule="auto"/>
        <w:widowControl/>
        <w:tabs>
          <w:tab w:val="right" w:pos="8953" w:leader="dot"/>
        </w:tabs>
      </w:pPr>
      <w:r>
        <w:fldChar w:fldCharType="begin"/>
      </w:r>
      <w:r>
        <w:instrText xml:space="preserve"> HYPERLINK \l _Toc30301 </w:instrText>
      </w:r>
      <w:r>
        <w:fldChar w:fldCharType="separate"/>
      </w:r>
      <w:r>
        <w:rPr>
          <w:rFonts w:hint="eastAsia" w:ascii="宋体" w:hAnsi="宋体" w:cs="宋体"/>
          <w:bCs/>
          <w:szCs w:val="21"/>
        </w:rPr>
        <w:t xml:space="preserve">一、项目背景</w:t>
      </w:r>
      <w:r>
        <w:tab/>
      </w:r>
      <w:r>
        <w:fldChar w:fldCharType="begin"/>
      </w:r>
      <w:r>
        <w:instrText xml:space="preserve"> PAGEREF _Toc30301 \h </w:instrText>
      </w:r>
      <w:r>
        <w:fldChar w:fldCharType="separate"/>
      </w:r>
      <w:r>
        <w:t xml:space="preserve">２７</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_Toc27034 </w:instrText>
      </w:r>
      <w:r>
        <w:fldChar w:fldCharType="separate"/>
      </w:r>
      <w:r>
        <w:rPr>
          <w:rFonts w:hint="eastAsia" w:ascii="宋体" w:hAnsi="宋体" w:cs="宋体"/>
          <w:bCs/>
          <w:szCs w:val="21"/>
        </w:rPr>
        <w:t xml:space="preserve">二、服务期限</w:t>
      </w:r>
      <w:r>
        <w:tab/>
      </w:r>
      <w:r>
        <w:fldChar w:fldCharType="begin"/>
      </w:r>
      <w:r>
        <w:instrText xml:space="preserve"> PAGEREF _Toc27034 \h </w:instrText>
      </w:r>
      <w:r>
        <w:fldChar w:fldCharType="separate"/>
      </w:r>
      <w:r>
        <w:t xml:space="preserve">２８</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_Toc23365 </w:instrText>
      </w:r>
      <w:r>
        <w:fldChar w:fldCharType="separate"/>
      </w:r>
      <w:r>
        <w:rPr>
          <w:rFonts w:hint="eastAsia" w:ascii="宋体" w:hAnsi="宋体" w:cs="宋体"/>
          <w:bCs/>
          <w:szCs w:val="21"/>
        </w:rPr>
        <w:t xml:space="preserve">三、付款方式</w:t>
      </w:r>
      <w:r>
        <w:tab/>
      </w:r>
      <w:r>
        <w:fldChar w:fldCharType="begin"/>
      </w:r>
      <w:r>
        <w:instrText xml:space="preserve"> PAGEREF _Toc23365 \h </w:instrText>
      </w:r>
      <w:r>
        <w:fldChar w:fldCharType="separate"/>
      </w:r>
      <w:r>
        <w:t xml:space="preserve">２８</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_Toc4564 </w:instrText>
      </w:r>
      <w:r>
        <w:fldChar w:fldCharType="separate"/>
      </w:r>
      <w:r>
        <w:rPr>
          <w:rFonts w:hint="eastAsia" w:ascii="宋体" w:hAnsi="宋体" w:cs="宋体"/>
          <w:bCs/>
          <w:szCs w:val="21"/>
        </w:rPr>
        <w:t xml:space="preserve">四、人员配置及要求</w:t>
      </w:r>
      <w:r>
        <w:tab/>
      </w:r>
      <w:r>
        <w:fldChar w:fldCharType="begin"/>
      </w:r>
      <w:r>
        <w:instrText xml:space="preserve"> PAGEREF _Toc4564 \h </w:instrText>
      </w:r>
      <w:r>
        <w:fldChar w:fldCharType="separate"/>
      </w:r>
      <w:r>
        <w:t xml:space="preserve">２８</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_Toc16996 </w:instrText>
      </w:r>
      <w:r>
        <w:fldChar w:fldCharType="separate"/>
      </w:r>
      <w:r>
        <w:rPr>
          <w:rFonts w:hint="eastAsia" w:ascii="宋体" w:hAnsi="宋体" w:cs="宋体"/>
          <w:bCs/>
          <w:szCs w:val="21"/>
        </w:rPr>
        <w:t xml:space="preserve">五、运营服务内容</w:t>
      </w:r>
      <w:r>
        <w:tab/>
      </w:r>
      <w:r>
        <w:fldChar w:fldCharType="begin"/>
      </w:r>
      <w:r>
        <w:instrText xml:space="preserve"> PAGEREF _Toc16996 \h </w:instrText>
      </w:r>
      <w:r>
        <w:fldChar w:fldCharType="separate"/>
      </w:r>
      <w:r>
        <w:t xml:space="preserve">２９</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_Toc3884 </w:instrText>
      </w:r>
      <w:r>
        <w:fldChar w:fldCharType="separate"/>
      </w:r>
      <w:r>
        <w:rPr>
          <w:rFonts w:hint="eastAsia" w:ascii="宋体" w:hAnsi="宋体" w:cs="宋体"/>
          <w:bCs/>
          <w:szCs w:val="21"/>
        </w:rPr>
        <w:t xml:space="preserve">六、场馆内办公用品</w:t>
      </w:r>
      <w:r>
        <w:tab/>
      </w:r>
      <w:r>
        <w:fldChar w:fldCharType="begin"/>
      </w:r>
      <w:r>
        <w:instrText xml:space="preserve"> PAGEREF _Toc3884 \h </w:instrText>
      </w:r>
      <w:r>
        <w:fldChar w:fldCharType="separate"/>
      </w:r>
      <w:r>
        <w:t xml:space="preserve">３１</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_Toc15321 </w:instrText>
      </w:r>
      <w:r>
        <w:fldChar w:fldCharType="separate"/>
      </w:r>
      <w:r>
        <w:rPr>
          <w:rFonts w:hint="eastAsia" w:ascii="宋体" w:hAnsi="宋体" w:cs="宋体"/>
          <w:bCs/>
          <w:szCs w:val="21"/>
        </w:rPr>
        <w:t xml:space="preserve">七、服务管理及考核细则</w:t>
      </w:r>
      <w:r>
        <w:tab/>
      </w:r>
      <w:r>
        <w:fldChar w:fldCharType="begin"/>
      </w:r>
      <w:r>
        <w:instrText xml:space="preserve"> PAGEREF _Toc15321 \h </w:instrText>
      </w:r>
      <w:r>
        <w:fldChar w:fldCharType="separate"/>
      </w:r>
      <w:r>
        <w:t xml:space="preserve">３３</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_Toc10105 </w:instrText>
      </w:r>
      <w:r>
        <w:fldChar w:fldCharType="separate"/>
      </w:r>
      <w:r>
        <w:rPr>
          <w:rFonts w:hint="eastAsia" w:ascii="宋体" w:hAnsi="宋体" w:cs="宋体"/>
          <w:bCs/>
          <w:szCs w:val="21"/>
        </w:rPr>
        <w:t xml:space="preserve">八、验收</w:t>
      </w:r>
      <w:r>
        <w:tab/>
      </w:r>
      <w:r>
        <w:fldChar w:fldCharType="begin"/>
      </w:r>
      <w:r>
        <w:instrText xml:space="preserve"> PAGEREF _Toc10105 \h </w:instrText>
      </w:r>
      <w:r>
        <w:fldChar w:fldCharType="separate"/>
      </w:r>
      <w:r>
        <w:t xml:space="preserve">４５</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_Toc11978 </w:instrText>
      </w:r>
      <w:r>
        <w:fldChar w:fldCharType="separate"/>
      </w:r>
      <w:r>
        <w:rPr>
          <w:rFonts w:hint="eastAsia" w:ascii="宋体" w:hAnsi="宋体" w:eastAsia="宋体" w:cs="宋体"/>
          <w:bCs/>
          <w:szCs w:val="21"/>
          <w:lang w:val="en-US" w:eastAsia="zh-CN"/>
        </w:rPr>
        <w:t xml:space="preserve">九、项目实施要求</w:t>
      </w:r>
      <w:r>
        <w:tab/>
      </w:r>
      <w:r>
        <w:fldChar w:fldCharType="begin"/>
      </w:r>
      <w:r>
        <w:instrText xml:space="preserve"> PAGEREF _Toc11978 \h </w:instrText>
      </w:r>
      <w:r>
        <w:fldChar w:fldCharType="separate"/>
      </w:r>
      <w:r>
        <w:t xml:space="preserve">４５</w:t>
      </w:r>
      <w:r>
        <w:fldChar w:fldCharType="end"/>
      </w:r>
      <w:r>
        <w:fldChar w:fldCharType="end"/>
      </w:r>
      <w:r/>
    </w:p>
    <w:p>
      <w:pPr>
        <w:pStyle w:val="1030"/>
        <w:keepLines/>
        <w:keepNext/>
        <w:pageBreakBefore w:val="0"/>
        <w:spacing w:line="240" w:lineRule="auto"/>
        <w:widowControl/>
        <w:tabs>
          <w:tab w:val="right" w:pos="8953" w:leader="dot"/>
        </w:tabs>
        <w:rPr>
          <w:b/>
        </w:rPr>
      </w:pPr>
      <w:r>
        <w:rPr>
          <w:b/>
        </w:rPr>
        <w:fldChar w:fldCharType="begin"/>
      </w:r>
      <w:r>
        <w:rPr>
          <w:b/>
        </w:rPr>
        <w:instrText xml:space="preserve"> HYPERLINK \l _Toc17982 </w:instrText>
      </w:r>
      <w:r>
        <w:rPr>
          <w:b/>
        </w:rPr>
        <w:fldChar w:fldCharType="separate"/>
      </w:r>
      <w:r>
        <w:rPr>
          <w:rFonts w:hint="eastAsia" w:ascii="宋体" w:hAnsi="宋体" w:eastAsia="宋体" w:cs="宋体"/>
          <w:b/>
        </w:rPr>
        <w:t xml:space="preserve">第五章 评标方法与评标标准</w:t>
      </w:r>
      <w:r>
        <w:rPr>
          <w:b/>
        </w:rPr>
        <w:tab/>
      </w:r>
      <w:r>
        <w:rPr>
          <w:b/>
        </w:rPr>
        <w:fldChar w:fldCharType="begin"/>
      </w:r>
      <w:r>
        <w:rPr>
          <w:b/>
        </w:rPr>
        <w:instrText xml:space="preserve"> PAGEREF _Toc17982 \h </w:instrText>
      </w:r>
      <w:r>
        <w:rPr>
          <w:b/>
        </w:rPr>
        <w:fldChar w:fldCharType="separate"/>
      </w:r>
      <w:r>
        <w:rPr>
          <w:b/>
        </w:rPr>
        <w:t xml:space="preserve">４６</w:t>
      </w:r>
      <w:r>
        <w:rPr>
          <w:b/>
        </w:rPr>
        <w:fldChar w:fldCharType="end"/>
      </w:r>
      <w:r>
        <w:rPr>
          <w:b/>
        </w:rPr>
        <w:fldChar w:fldCharType="end"/>
      </w:r>
      <w:r>
        <w:rPr>
          <w:b/>
        </w:rPr>
      </w:r>
      <w:r/>
    </w:p>
    <w:p>
      <w:pPr>
        <w:pStyle w:val="1031"/>
        <w:keepLines/>
        <w:keepNext/>
        <w:pageBreakBefore w:val="0"/>
        <w:spacing w:line="240" w:lineRule="auto"/>
        <w:widowControl/>
        <w:tabs>
          <w:tab w:val="right" w:pos="8953" w:leader="dot"/>
        </w:tabs>
      </w:pPr>
      <w:r>
        <w:fldChar w:fldCharType="begin"/>
      </w:r>
      <w:r>
        <w:instrText xml:space="preserve"> HYPERLINK \l _Toc5401 </w:instrText>
      </w:r>
      <w:r>
        <w:fldChar w:fldCharType="separate"/>
      </w:r>
      <w:r>
        <w:rPr>
          <w:rFonts w:hint="eastAsia" w:ascii="宋体" w:hAnsi="宋体" w:cs="宋体"/>
        </w:rPr>
        <w:t xml:space="preserve">一、资格审查</w:t>
      </w:r>
      <w:r>
        <w:tab/>
      </w:r>
      <w:r>
        <w:fldChar w:fldCharType="begin"/>
      </w:r>
      <w:r>
        <w:instrText xml:space="preserve"> PAGEREF _Toc5401 \h </w:instrText>
      </w:r>
      <w:r>
        <w:fldChar w:fldCharType="separate"/>
      </w:r>
      <w:r>
        <w:t xml:space="preserve">４６</w:t>
      </w:r>
      <w:r>
        <w:fldChar w:fldCharType="end"/>
      </w:r>
      <w:r>
        <w:fldChar w:fldCharType="end"/>
      </w:r>
      <w:r/>
    </w:p>
    <w:p>
      <w:pPr>
        <w:pStyle w:val="1031"/>
        <w:keepLines/>
        <w:keepNext/>
        <w:pageBreakBefore w:val="0"/>
        <w:spacing w:line="240" w:lineRule="auto"/>
        <w:widowControl/>
        <w:tabs>
          <w:tab w:val="right" w:pos="8953" w:leader="dot"/>
        </w:tabs>
        <w:sectPr>
          <w:headerReference w:type="default" r:id="rId9"/>
          <w:footerReference w:type="default" r:id="rId10"/>
          <w:footnotePr/>
          <w:endnotePr/>
          <w:type w:val="nextPage"/>
          <w:pgSz w:w="11906" w:h="16838" w:orient="portrait"/>
          <w:pgMar w:top="1418" w:right="1588" w:bottom="1418" w:left="1365" w:header="851" w:footer="907" w:gutter="0"/>
          <w:pgNumType w:start="1"/>
          <w:cols w:num="1" w:sep="0" w:space="1701" w:equalWidth="1"/>
          <w:docGrid w:linePitch="360"/>
        </w:sectPr>
      </w:pPr>
      <w:r/>
      <w:r/>
    </w:p>
    <w:p>
      <w:pPr>
        <w:pStyle w:val="1031"/>
        <w:keepLines/>
        <w:keepNext/>
        <w:pageBreakBefore w:val="0"/>
        <w:spacing w:line="240" w:lineRule="auto"/>
        <w:widowControl/>
        <w:tabs>
          <w:tab w:val="right" w:pos="8953" w:leader="dot"/>
        </w:tabs>
      </w:pPr>
      <w:r>
        <w:fldChar w:fldCharType="begin"/>
      </w:r>
      <w:r>
        <w:instrText xml:space="preserve"> HYPERLINK \l _Toc20629 </w:instrText>
      </w:r>
      <w:r>
        <w:fldChar w:fldCharType="separate"/>
      </w:r>
      <w:r>
        <w:rPr>
          <w:rFonts w:hint="eastAsia" w:ascii="宋体" w:hAnsi="宋体" w:cs="宋体"/>
        </w:rPr>
        <w:t xml:space="preserve">二、评分办法—综合评分法</w:t>
      </w:r>
      <w:r>
        <w:tab/>
      </w:r>
      <w:r>
        <w:fldChar w:fldCharType="begin"/>
      </w:r>
      <w:r>
        <w:instrText xml:space="preserve"> PAGEREF _Toc20629 \h </w:instrText>
      </w:r>
      <w:r>
        <w:fldChar w:fldCharType="separate"/>
      </w:r>
      <w:r>
        <w:t xml:space="preserve">４６</w:t>
      </w:r>
      <w:r>
        <w:fldChar w:fldCharType="end"/>
      </w:r>
      <w:r>
        <w:fldChar w:fldCharType="end"/>
      </w:r>
      <w:r/>
    </w:p>
    <w:p>
      <w:pPr>
        <w:pStyle w:val="1030"/>
        <w:keepLines/>
        <w:keepNext/>
        <w:pageBreakBefore w:val="0"/>
        <w:spacing w:line="240" w:lineRule="auto"/>
        <w:widowControl/>
        <w:tabs>
          <w:tab w:val="right" w:pos="8953" w:leader="dot"/>
        </w:tabs>
      </w:pPr>
      <w:r>
        <w:rPr>
          <w:b/>
        </w:rPr>
        <w:fldChar w:fldCharType="begin"/>
      </w:r>
      <w:r>
        <w:rPr>
          <w:b/>
        </w:rPr>
        <w:instrText xml:space="preserve"> HYPERLINK \l _Toc12009 </w:instrText>
      </w:r>
      <w:r>
        <w:rPr>
          <w:b/>
        </w:rPr>
        <w:fldChar w:fldCharType="separate"/>
      </w:r>
      <w:r>
        <w:rPr>
          <w:rFonts w:hint="eastAsia" w:ascii="宋体" w:hAnsi="宋体" w:eastAsia="宋体" w:cs="宋体"/>
          <w:b/>
        </w:rPr>
        <w:t xml:space="preserve">第六章投标文件格式 </w:t>
      </w:r>
      <w:r>
        <w:rPr>
          <w:b/>
        </w:rPr>
        <w:tab/>
      </w:r>
      <w:r>
        <w:rPr>
          <w:b/>
        </w:rPr>
        <w:fldChar w:fldCharType="begin"/>
      </w:r>
      <w:r>
        <w:rPr>
          <w:b/>
        </w:rPr>
        <w:instrText xml:space="preserve"> PAGEREF _Toc12009 \h </w:instrText>
      </w:r>
      <w:r>
        <w:rPr>
          <w:b/>
        </w:rPr>
        <w:fldChar w:fldCharType="separate"/>
      </w:r>
      <w:r>
        <w:rPr>
          <w:b/>
        </w:rPr>
        <w:t xml:space="preserve">５１</w:t>
      </w:r>
      <w:r>
        <w:rPr>
          <w:b/>
        </w:rPr>
        <w:fldChar w:fldCharType="end"/>
      </w:r>
      <w:r>
        <w:rPr>
          <w:b/>
        </w:rP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_Toc30488 </w:instrText>
      </w:r>
      <w:r>
        <w:fldChar w:fldCharType="separate"/>
      </w:r>
      <w:r>
        <w:rPr>
          <w:rFonts w:hint="eastAsia" w:ascii="宋体" w:hAnsi="宋体" w:eastAsia="宋体" w:cs="宋体"/>
        </w:rPr>
        <w:t xml:space="preserve">一、投标声明及承诺函</w:t>
      </w:r>
      <w:r>
        <w:tab/>
      </w:r>
      <w:r>
        <w:fldChar w:fldCharType="begin"/>
      </w:r>
      <w:r>
        <w:instrText xml:space="preserve"> PAGEREF _Toc30488 \h </w:instrText>
      </w:r>
      <w:r>
        <w:fldChar w:fldCharType="separate"/>
      </w:r>
      <w:r>
        <w:t xml:space="preserve">５４</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_Toc3362 </w:instrText>
      </w:r>
      <w:r>
        <w:fldChar w:fldCharType="separate"/>
      </w:r>
      <w:r>
        <w:rPr>
          <w:rFonts w:hint="eastAsia" w:ascii="宋体" w:hAnsi="宋体" w:cs="宋体"/>
        </w:rPr>
        <w:t xml:space="preserve">六、我方同意采购人、采购代理机构将本声明及承诺函上网公开。</w:t>
      </w:r>
      <w:r>
        <w:tab/>
      </w:r>
      <w:r>
        <w:fldChar w:fldCharType="begin"/>
      </w:r>
      <w:r>
        <w:instrText xml:space="preserve"> PAGEREF _Toc3362 \h </w:instrText>
      </w:r>
      <w:r>
        <w:fldChar w:fldCharType="separate"/>
      </w:r>
      <w:r>
        <w:t xml:space="preserve">５４</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_Toc27109 </w:instrText>
      </w:r>
      <w:r>
        <w:fldChar w:fldCharType="separate"/>
      </w:r>
      <w:r>
        <w:rPr>
          <w:rFonts w:hint="eastAsia" w:ascii="宋体" w:hAnsi="宋体" w:cs="宋体"/>
        </w:rPr>
        <w:t xml:space="preserve">二、投标人基本情况</w:t>
      </w:r>
      <w:r>
        <w:tab/>
      </w:r>
      <w:r>
        <w:fldChar w:fldCharType="begin"/>
      </w:r>
      <w:r>
        <w:instrText xml:space="preserve"> PAGEREF _Toc27109 \h </w:instrText>
      </w:r>
      <w:r>
        <w:fldChar w:fldCharType="separate"/>
      </w:r>
      <w:r>
        <w:t xml:space="preserve">５５</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_Toc15139 </w:instrText>
      </w:r>
      <w:r>
        <w:fldChar w:fldCharType="separate"/>
      </w:r>
      <w:r>
        <w:rPr>
          <w:rFonts w:hint="eastAsia" w:ascii="宋体" w:hAnsi="宋体" w:cs="宋体"/>
        </w:rPr>
        <w:t xml:space="preserve">三、特定资格要求的证明文件</w:t>
      </w:r>
      <w:r>
        <w:tab/>
      </w:r>
      <w:r>
        <w:fldChar w:fldCharType="begin"/>
      </w:r>
      <w:r>
        <w:instrText xml:space="preserve"> PAGEREF _Toc15139 \h </w:instrText>
      </w:r>
      <w:r>
        <w:fldChar w:fldCharType="separate"/>
      </w:r>
      <w:r>
        <w:t xml:space="preserve">５６</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_Toc1094 </w:instrText>
      </w:r>
      <w:r>
        <w:fldChar w:fldCharType="separate"/>
      </w:r>
      <w:r>
        <w:rPr>
          <w:rFonts w:hint="eastAsia" w:ascii="宋体" w:hAnsi="宋体" w:cs="宋体"/>
        </w:rPr>
        <w:t xml:space="preserve">四、法人授权书</w:t>
      </w:r>
      <w:r>
        <w:tab/>
      </w:r>
      <w:r>
        <w:fldChar w:fldCharType="begin"/>
      </w:r>
      <w:r>
        <w:instrText xml:space="preserve"> PAGEREF _Toc1094 \h </w:instrText>
      </w:r>
      <w:r>
        <w:fldChar w:fldCharType="separate"/>
      </w:r>
      <w:r>
        <w:t xml:space="preserve">５６</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_Toc22517 </w:instrText>
      </w:r>
      <w:r>
        <w:fldChar w:fldCharType="separate"/>
      </w:r>
      <w:r>
        <w:rPr>
          <w:rFonts w:hint="eastAsia" w:ascii="宋体" w:hAnsi="宋体" w:cs="宋体"/>
        </w:rPr>
        <w:t xml:space="preserve">五、开标一览表</w:t>
      </w:r>
      <w:r>
        <w:tab/>
      </w:r>
      <w:r>
        <w:fldChar w:fldCharType="begin"/>
      </w:r>
      <w:r>
        <w:instrText xml:space="preserve"> PAGEREF _Toc22517 \h </w:instrText>
      </w:r>
      <w:r>
        <w:fldChar w:fldCharType="separate"/>
      </w:r>
      <w:r>
        <w:t xml:space="preserve">５７</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_Toc24210 </w:instrText>
      </w:r>
      <w:r>
        <w:fldChar w:fldCharType="separate"/>
      </w:r>
      <w:r>
        <w:rPr>
          <w:rFonts w:hint="eastAsia" w:ascii="宋体" w:hAnsi="宋体" w:cs="宋体"/>
          <w:lang w:eastAsia="zh-CN"/>
        </w:rPr>
        <w:t xml:space="preserve">六</w:t>
      </w:r>
      <w:r>
        <w:rPr>
          <w:rFonts w:hint="eastAsia" w:ascii="宋体" w:hAnsi="宋体" w:cs="宋体"/>
        </w:rPr>
        <w:t xml:space="preserve">、投标报价明细表</w:t>
      </w:r>
      <w:r>
        <w:tab/>
      </w:r>
      <w:r>
        <w:fldChar w:fldCharType="begin"/>
      </w:r>
      <w:r>
        <w:instrText xml:space="preserve"> PAGEREF _Toc24210 \h </w:instrText>
      </w:r>
      <w:r>
        <w:fldChar w:fldCharType="separate"/>
      </w:r>
      <w:r>
        <w:t xml:space="preserve">５８</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_Toc22763 </w:instrText>
      </w:r>
      <w:r>
        <w:fldChar w:fldCharType="separate"/>
      </w:r>
      <w:r>
        <w:rPr>
          <w:rFonts w:hint="eastAsia" w:ascii="宋体" w:hAnsi="宋体" w:eastAsia="宋体" w:cs="宋体"/>
          <w:lang w:eastAsia="zh-CN"/>
        </w:rPr>
        <w:t xml:space="preserve">七</w:t>
      </w:r>
      <w:r>
        <w:rPr>
          <w:rFonts w:hint="eastAsia" w:ascii="宋体" w:hAnsi="宋体" w:eastAsia="宋体" w:cs="宋体"/>
        </w:rPr>
        <w:t xml:space="preserve">、中小企业声明函（服务）（分包号：**）</w:t>
      </w:r>
      <w:r>
        <w:tab/>
      </w:r>
      <w:r>
        <w:fldChar w:fldCharType="begin"/>
      </w:r>
      <w:r>
        <w:instrText xml:space="preserve"> PAGEREF _Toc22763 \h </w:instrText>
      </w:r>
      <w:r>
        <w:fldChar w:fldCharType="separate"/>
      </w:r>
      <w:r>
        <w:t xml:space="preserve">５９</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_Toc17860 </w:instrText>
      </w:r>
      <w:r>
        <w:fldChar w:fldCharType="separate"/>
      </w:r>
      <w:r>
        <w:rPr>
          <w:rFonts w:hint="eastAsia" w:ascii="宋体" w:hAnsi="宋体" w:cs="宋体"/>
          <w:lang w:eastAsia="zh-CN"/>
        </w:rPr>
        <w:t xml:space="preserve">八</w:t>
      </w:r>
      <w:r>
        <w:rPr>
          <w:rFonts w:hint="eastAsia" w:ascii="宋体" w:hAnsi="宋体" w:cs="宋体"/>
        </w:rPr>
        <w:t xml:space="preserve">、技术要求响应及偏离表（分包号：**）</w:t>
      </w:r>
      <w:r>
        <w:tab/>
      </w:r>
      <w:r>
        <w:fldChar w:fldCharType="begin"/>
      </w:r>
      <w:r>
        <w:instrText xml:space="preserve"> PAGEREF _Toc17860 \h </w:instrText>
      </w:r>
      <w:r>
        <w:fldChar w:fldCharType="separate"/>
      </w:r>
      <w:r>
        <w:t xml:space="preserve">６１</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_Toc6207 </w:instrText>
      </w:r>
      <w:r>
        <w:fldChar w:fldCharType="separate"/>
      </w:r>
      <w:r>
        <w:rPr>
          <w:rFonts w:hint="eastAsia" w:ascii="宋体" w:hAnsi="宋体" w:cs="宋体"/>
          <w:lang w:eastAsia="zh-CN"/>
        </w:rPr>
        <w:t xml:space="preserve">九</w:t>
      </w:r>
      <w:r>
        <w:rPr>
          <w:rFonts w:hint="eastAsia" w:ascii="宋体" w:hAnsi="宋体" w:cs="宋体"/>
        </w:rPr>
        <w:t xml:space="preserve">、项目组人员</w:t>
      </w:r>
      <w:r>
        <w:tab/>
      </w:r>
      <w:r>
        <w:fldChar w:fldCharType="begin"/>
      </w:r>
      <w:r>
        <w:instrText xml:space="preserve"> PAGEREF _Toc6207 \h </w:instrText>
      </w:r>
      <w:r>
        <w:fldChar w:fldCharType="separate"/>
      </w:r>
      <w:r>
        <w:t xml:space="preserve">６２</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_Toc28411 </w:instrText>
      </w:r>
      <w:r>
        <w:fldChar w:fldCharType="separate"/>
      </w:r>
      <w:r>
        <w:rPr>
          <w:rFonts w:hint="eastAsia" w:ascii="宋体" w:hAnsi="宋体" w:cs="宋体"/>
        </w:rPr>
        <w:t xml:space="preserve">十、企业业绩</w:t>
      </w:r>
      <w:r>
        <w:tab/>
      </w:r>
      <w:r>
        <w:fldChar w:fldCharType="begin"/>
      </w:r>
      <w:r>
        <w:instrText xml:space="preserve"> PAGEREF _Toc28411 \h </w:instrText>
      </w:r>
      <w:r>
        <w:fldChar w:fldCharType="separate"/>
      </w:r>
      <w:r>
        <w:t xml:space="preserve">６３</w:t>
      </w:r>
      <w:r>
        <w:fldChar w:fldCharType="end"/>
      </w:r>
      <w:r>
        <w:fldChar w:fldCharType="end"/>
      </w:r>
      <w:r/>
    </w:p>
    <w:p>
      <w:pPr>
        <w:pStyle w:val="1031"/>
        <w:keepLines/>
        <w:keepNext/>
        <w:pageBreakBefore w:val="0"/>
        <w:spacing w:line="240" w:lineRule="auto"/>
        <w:widowControl/>
        <w:tabs>
          <w:tab w:val="right" w:pos="8953" w:leader="dot"/>
        </w:tabs>
      </w:pPr>
      <w:r>
        <w:fldChar w:fldCharType="begin"/>
      </w:r>
      <w:r>
        <w:instrText xml:space="preserve"> HYPERLINK \l _Toc2495 </w:instrText>
      </w:r>
      <w:r>
        <w:fldChar w:fldCharType="separate"/>
      </w:r>
      <w:r>
        <w:rPr>
          <w:rFonts w:hint="eastAsia" w:ascii="宋体" w:hAnsi="宋体" w:cs="宋体"/>
        </w:rPr>
        <w:t xml:space="preserve">十</w:t>
      </w:r>
      <w:r>
        <w:rPr>
          <w:rFonts w:hint="eastAsia" w:ascii="宋体" w:hAnsi="宋体" w:cs="宋体"/>
          <w:lang w:eastAsia="zh-CN"/>
        </w:rPr>
        <w:t xml:space="preserve">一</w:t>
      </w:r>
      <w:r>
        <w:rPr>
          <w:rFonts w:hint="eastAsia" w:ascii="宋体" w:hAnsi="宋体" w:cs="宋体"/>
        </w:rPr>
        <w:t xml:space="preserve">、投标所需其他材料</w:t>
      </w:r>
      <w:r>
        <w:tab/>
      </w:r>
      <w:r>
        <w:fldChar w:fldCharType="begin"/>
      </w:r>
      <w:r>
        <w:instrText xml:space="preserve"> PAGEREF _Toc2495 \h </w:instrText>
      </w:r>
      <w:r>
        <w:fldChar w:fldCharType="separate"/>
      </w:r>
      <w:r>
        <w:t xml:space="preserve">６４</w:t>
      </w:r>
      <w:r>
        <w:fldChar w:fldCharType="end"/>
      </w:r>
      <w:r>
        <w:fldChar w:fldCharType="end"/>
      </w:r>
      <w:r/>
    </w:p>
    <w:p>
      <w:pPr>
        <w:pStyle w:val="893"/>
      </w:pPr>
      <w:r>
        <w:rPr>
          <w:b/>
        </w:rPr>
        <w:fldChar w:fldCharType="end"/>
      </w:r>
      <w:r/>
    </w:p>
    <w:p>
      <w:pPr>
        <w:pStyle w:val="894"/>
        <w:keepLines/>
        <w:keepNext/>
        <w:pageBreakBefore w:val="0"/>
        <w:widowControl w:val="off"/>
        <w:rPr>
          <w:rFonts w:hint="eastAsia" w:ascii="宋体" w:hAnsi="宋体" w:eastAsia="宋体" w:cs="宋体"/>
          <w:b/>
          <w:color w:val="000000"/>
          <w:sz w:val="44"/>
        </w:rPr>
        <w:pBdr>
          <w:top w:val="none" w:color="000000" w:sz="0" w:space="0"/>
          <w:left w:val="none" w:color="000000" w:sz="0" w:space="0"/>
          <w:bottom w:val="none" w:color="000000" w:sz="0" w:space="0"/>
          <w:right w:val="none" w:color="000000" w:sz="0" w:space="0"/>
        </w:pBdr>
      </w:pPr>
      <w:r/>
      <w:bookmarkStart w:id="8" w:name="_Toc18869"/>
      <w:r>
        <w:rPr>
          <w:rFonts w:hint="eastAsia" w:ascii="宋体" w:hAnsi="宋体" w:eastAsia="宋体" w:cs="宋体"/>
          <w:b/>
          <w:color w:val="000000"/>
          <w:sz w:val="44"/>
        </w:rPr>
      </w:r>
      <w:r/>
    </w:p>
    <w:p>
      <w:pPr>
        <w:pStyle w:val="894"/>
        <w:keepLines/>
        <w:keepNext/>
        <w:pageBreakBefore w:val="0"/>
        <w:widowControl w:val="off"/>
        <w:rPr>
          <w:rFonts w:hint="eastAsia"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r>
      <w:r/>
    </w:p>
    <w:p>
      <w:pPr>
        <w:pStyle w:val="894"/>
        <w:keepLines/>
        <w:keepNext/>
        <w:pageBreakBefore w:val="0"/>
        <w:widowControl/>
        <w:rPr>
          <w:rFonts w:hint="eastAsia"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r>
      <w:r/>
    </w:p>
    <w:p>
      <w:pPr>
        <w:pStyle w:val="893"/>
        <w:rPr>
          <w:rFonts w:hint="eastAsia" w:ascii="宋体" w:hAnsi="宋体" w:eastAsia="宋体" w:cs="宋体"/>
          <w:b/>
          <w:color w:val="000000"/>
          <w:sz w:val="44"/>
        </w:rPr>
      </w:pPr>
      <w:r>
        <w:rPr>
          <w:rFonts w:hint="eastAsia" w:ascii="宋体" w:hAnsi="宋体" w:eastAsia="宋体" w:cs="宋体"/>
          <w:b/>
          <w:color w:val="000000"/>
          <w:sz w:val="44"/>
        </w:rPr>
      </w:r>
      <w:r/>
    </w:p>
    <w:p>
      <w:pPr>
        <w:pStyle w:val="893"/>
        <w:rPr>
          <w:rFonts w:hint="eastAsia" w:ascii="宋体" w:hAnsi="宋体" w:eastAsia="宋体" w:cs="宋体"/>
          <w:b/>
          <w:color w:val="000000"/>
          <w:sz w:val="44"/>
        </w:rPr>
      </w:pPr>
      <w:r>
        <w:rPr>
          <w:rFonts w:hint="eastAsia" w:ascii="宋体" w:hAnsi="宋体" w:eastAsia="宋体" w:cs="宋体"/>
          <w:b/>
          <w:color w:val="000000"/>
          <w:sz w:val="44"/>
        </w:rPr>
      </w:r>
      <w:r/>
    </w:p>
    <w:p>
      <w:pPr>
        <w:pStyle w:val="893"/>
        <w:rPr>
          <w:rFonts w:hint="eastAsia" w:ascii="宋体" w:hAnsi="宋体" w:eastAsia="宋体" w:cs="宋体"/>
          <w:b/>
          <w:color w:val="000000"/>
          <w:sz w:val="44"/>
        </w:rPr>
      </w:pPr>
      <w:r>
        <w:rPr>
          <w:rFonts w:hint="eastAsia" w:ascii="宋体" w:hAnsi="宋体" w:eastAsia="宋体" w:cs="宋体"/>
          <w:b/>
          <w:color w:val="000000"/>
          <w:sz w:val="44"/>
        </w:rPr>
      </w:r>
      <w:r/>
    </w:p>
    <w:p>
      <w:pPr>
        <w:pStyle w:val="893"/>
        <w:rPr>
          <w:rFonts w:hint="eastAsia" w:ascii="宋体" w:hAnsi="宋体" w:eastAsia="宋体" w:cs="宋体"/>
          <w:b/>
          <w:color w:val="000000"/>
          <w:sz w:val="44"/>
        </w:rPr>
      </w:pPr>
      <w:r>
        <w:rPr>
          <w:rFonts w:hint="eastAsia" w:ascii="宋体" w:hAnsi="宋体" w:eastAsia="宋体" w:cs="宋体"/>
          <w:b/>
          <w:color w:val="000000"/>
          <w:sz w:val="44"/>
        </w:rPr>
      </w:r>
      <w:r/>
    </w:p>
    <w:p>
      <w:pPr>
        <w:pStyle w:val="893"/>
        <w:rPr>
          <w:rFonts w:hint="eastAsia" w:ascii="宋体" w:hAnsi="宋体" w:eastAsia="宋体" w:cs="宋体"/>
          <w:b/>
          <w:color w:val="000000"/>
          <w:sz w:val="44"/>
        </w:rPr>
      </w:pPr>
      <w:r>
        <w:rPr>
          <w:rFonts w:hint="eastAsia" w:ascii="宋体" w:hAnsi="宋体" w:eastAsia="宋体" w:cs="宋体"/>
          <w:b/>
          <w:color w:val="000000"/>
          <w:sz w:val="44"/>
        </w:rPr>
      </w:r>
      <w:r/>
    </w:p>
    <w:p>
      <w:pPr>
        <w:pStyle w:val="893"/>
        <w:rPr>
          <w:rFonts w:hint="eastAsia" w:ascii="宋体" w:hAnsi="宋体" w:eastAsia="宋体" w:cs="宋体"/>
          <w:b/>
          <w:color w:val="000000"/>
          <w:sz w:val="44"/>
        </w:rPr>
      </w:pPr>
      <w:r>
        <w:rPr>
          <w:rFonts w:hint="eastAsia" w:ascii="宋体" w:hAnsi="宋体" w:eastAsia="宋体" w:cs="宋体"/>
          <w:b/>
          <w:color w:val="000000"/>
          <w:sz w:val="44"/>
        </w:rPr>
      </w:r>
      <w:r/>
    </w:p>
    <w:p>
      <w:pPr>
        <w:pStyle w:val="893"/>
        <w:rPr>
          <w:rFonts w:hint="eastAsia" w:ascii="宋体" w:hAnsi="宋体" w:eastAsia="宋体" w:cs="宋体"/>
          <w:b/>
          <w:color w:val="000000"/>
          <w:sz w:val="44"/>
        </w:rPr>
      </w:pPr>
      <w:r>
        <w:rPr>
          <w:rFonts w:hint="eastAsia" w:ascii="宋体" w:hAnsi="宋体" w:eastAsia="宋体" w:cs="宋体"/>
          <w:b/>
          <w:color w:val="000000"/>
          <w:sz w:val="44"/>
        </w:rPr>
      </w:r>
      <w:r/>
    </w:p>
    <w:p>
      <w:pPr>
        <w:pStyle w:val="893"/>
        <w:rPr>
          <w:rFonts w:hint="eastAsia" w:ascii="宋体" w:hAnsi="宋体" w:eastAsia="宋体" w:cs="宋体"/>
          <w:b/>
          <w:color w:val="000000"/>
          <w:sz w:val="44"/>
        </w:rPr>
      </w:pPr>
      <w:r>
        <w:rPr>
          <w:rFonts w:hint="eastAsia" w:ascii="宋体" w:hAnsi="宋体" w:eastAsia="宋体" w:cs="宋体"/>
          <w:b/>
          <w:color w:val="000000"/>
          <w:sz w:val="44"/>
        </w:rPr>
      </w:r>
      <w:r/>
    </w:p>
    <w:p>
      <w:pPr>
        <w:pStyle w:val="893"/>
        <w:rPr>
          <w:rFonts w:hint="eastAsia" w:ascii="宋体" w:hAnsi="宋体" w:eastAsia="宋体" w:cs="宋体"/>
          <w:b/>
          <w:color w:val="000000"/>
          <w:sz w:val="44"/>
        </w:rPr>
      </w:pPr>
      <w:r>
        <w:rPr>
          <w:rFonts w:hint="eastAsia" w:ascii="宋体" w:hAnsi="宋体" w:eastAsia="宋体" w:cs="宋体"/>
          <w:b/>
          <w:color w:val="000000"/>
          <w:sz w:val="44"/>
        </w:rPr>
      </w:r>
      <w:r/>
    </w:p>
    <w:p>
      <w:pPr>
        <w:pStyle w:val="893"/>
        <w:rPr>
          <w:rFonts w:hint="eastAsia" w:ascii="宋体" w:hAnsi="宋体" w:eastAsia="宋体" w:cs="宋体"/>
          <w:b/>
          <w:color w:val="000000"/>
          <w:sz w:val="44"/>
        </w:rPr>
      </w:pPr>
      <w:r>
        <w:rPr>
          <w:rFonts w:hint="eastAsia" w:ascii="宋体" w:hAnsi="宋体" w:eastAsia="宋体" w:cs="宋体"/>
          <w:b/>
          <w:color w:val="000000"/>
          <w:sz w:val="44"/>
        </w:rPr>
      </w:r>
      <w:r/>
    </w:p>
    <w:p>
      <w:pPr>
        <w:pStyle w:val="893"/>
        <w:rPr>
          <w:rFonts w:hint="eastAsia" w:ascii="宋体" w:hAnsi="宋体" w:eastAsia="宋体" w:cs="宋体"/>
          <w:b/>
          <w:color w:val="000000"/>
          <w:sz w:val="44"/>
        </w:rPr>
      </w:pPr>
      <w:r>
        <w:rPr>
          <w:rFonts w:hint="eastAsia" w:ascii="宋体" w:hAnsi="宋体" w:eastAsia="宋体" w:cs="宋体"/>
          <w:b/>
          <w:color w:val="000000"/>
          <w:sz w:val="44"/>
        </w:rPr>
      </w:r>
      <w:r/>
    </w:p>
    <w:p>
      <w:pPr>
        <w:pStyle w:val="893"/>
        <w:rPr>
          <w:rFonts w:hint="eastAsia" w:ascii="宋体" w:hAnsi="宋体" w:eastAsia="宋体" w:cs="宋体"/>
          <w:b/>
          <w:color w:val="000000"/>
          <w:sz w:val="44"/>
        </w:rPr>
      </w:pPr>
      <w:r>
        <w:rPr>
          <w:rFonts w:hint="eastAsia" w:ascii="宋体" w:hAnsi="宋体" w:eastAsia="宋体" w:cs="宋体"/>
          <w:b/>
          <w:color w:val="000000"/>
          <w:sz w:val="44"/>
        </w:rPr>
      </w:r>
      <w:r/>
    </w:p>
    <w:p>
      <w:pPr>
        <w:pStyle w:val="894"/>
        <w:keepLines/>
        <w:keepNext/>
        <w:pageBreakBefore w:val="0"/>
        <w:widowControl w:val="off"/>
        <w:rPr>
          <w:rFonts w:hint="eastAsia" w:ascii="宋体" w:hAnsi="宋体" w:eastAsia="宋体" w:cs="宋体"/>
          <w:b/>
          <w:color w:val="000000"/>
          <w:sz w:val="44"/>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18" w:right="1588" w:bottom="1418" w:left="1365" w:header="851" w:footer="907" w:gutter="0"/>
          <w:pgNumType w:start="1"/>
          <w:cols w:num="1" w:sep="0" w:space="1701" w:equalWidth="1"/>
          <w:docGrid w:linePitch="360"/>
        </w:sectPr>
      </w:pPr>
      <w:r>
        <w:rPr>
          <w:rFonts w:hint="eastAsia" w:ascii="宋体" w:hAnsi="宋体" w:eastAsia="宋体" w:cs="宋体"/>
          <w:b/>
          <w:color w:val="000000"/>
          <w:sz w:val="44"/>
        </w:rPr>
      </w:r>
      <w:r/>
    </w:p>
    <w:p>
      <w:pPr>
        <w:pStyle w:val="894"/>
        <w:keepLines/>
        <w:keepNext/>
        <w:pageBreakBefore w:val="0"/>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t xml:space="preserve">第一章</w:t>
      </w:r>
      <w:r>
        <w:rPr>
          <w:rFonts w:hint="eastAsia" w:ascii="宋体" w:hAnsi="宋体" w:eastAsia="宋体" w:cs="宋体"/>
          <w:b/>
          <w:color w:val="000000"/>
          <w:sz w:val="44"/>
          <w:lang w:val="en-US" w:eastAsia="zh-CN"/>
        </w:rPr>
        <w:t xml:space="preserve"> </w:t>
      </w:r>
      <w:r>
        <w:rPr>
          <w:rFonts w:hint="eastAsia" w:ascii="宋体" w:hAnsi="宋体" w:eastAsia="宋体" w:cs="宋体"/>
          <w:b/>
          <w:color w:val="000000"/>
          <w:sz w:val="44"/>
        </w:rPr>
        <w:t xml:space="preserve">投标邀请</w:t>
      </w:r>
      <w:bookmarkEnd w:id="6"/>
      <w:r/>
      <w:bookmarkEnd w:id="7"/>
      <w:r/>
      <w:bookmarkEnd w:id="8"/>
      <w:r>
        <w:rPr>
          <w:rFonts w:hint="eastAsia" w:ascii="宋体" w:hAnsi="宋体" w:eastAsia="宋体" w:cs="宋体"/>
        </w:rPr>
      </w:r>
      <w:r/>
    </w:p>
    <w:p>
      <w:pPr>
        <w:pStyle w:val="893"/>
        <w:ind w:firstLine="42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受</w:t>
      </w:r>
      <w:r>
        <w:rPr>
          <w:rFonts w:hint="eastAsia" w:ascii="宋体" w:hAnsi="宋体" w:cs="宋体"/>
          <w:color w:val="000000"/>
          <w:sz w:val="22"/>
          <w:u w:val="single"/>
        </w:rPr>
        <w:t xml:space="preserve">[宿迁市数字化城市管理监督指挥中心]</w:t>
      </w:r>
      <w:r>
        <w:rPr>
          <w:rFonts w:hint="eastAsia" w:ascii="宋体" w:hAnsi="宋体" w:cs="宋体"/>
          <w:color w:val="000000"/>
          <w:sz w:val="22"/>
        </w:rPr>
        <w:t xml:space="preserve">的委托，</w:t>
      </w:r>
      <w:r>
        <w:rPr>
          <w:rFonts w:hint="eastAsia" w:ascii="宋体" w:hAnsi="宋体" w:cs="宋体"/>
          <w:color w:val="000000"/>
          <w:sz w:val="22"/>
          <w:u w:val="single"/>
        </w:rPr>
        <w:t xml:space="preserve">[中诚智信工程咨询集团股份有限公司]</w:t>
      </w:r>
      <w:r>
        <w:rPr>
          <w:rFonts w:hint="eastAsia" w:ascii="宋体" w:hAnsi="宋体" w:cs="宋体"/>
          <w:color w:val="000000"/>
          <w:sz w:val="22"/>
        </w:rPr>
        <w:t xml:space="preserve">就</w:t>
      </w:r>
      <w:r>
        <w:rPr>
          <w:rFonts w:hint="eastAsia" w:ascii="宋体" w:hAnsi="宋体" w:cs="宋体"/>
          <w:color w:val="000000"/>
          <w:sz w:val="22"/>
          <w:u w:val="single"/>
        </w:rPr>
        <w:t xml:space="preserve">[</w:t>
      </w:r>
      <w:r>
        <w:rPr>
          <w:rFonts w:hint="eastAsia" w:ascii="宋体" w:hAnsi="宋体" w:cs="宋体"/>
          <w:color w:val="000000"/>
          <w:sz w:val="22"/>
          <w:u w:val="single"/>
          <w:lang w:eastAsia="zh-CN"/>
        </w:rPr>
        <w:t xml:space="preserve">宿迁市智慧城市科技馆运营服务项目</w:t>
      </w:r>
      <w:r>
        <w:rPr>
          <w:rFonts w:hint="eastAsia" w:ascii="宋体" w:hAnsi="宋体" w:cs="宋体"/>
          <w:color w:val="000000"/>
          <w:sz w:val="22"/>
          <w:u w:val="single"/>
        </w:rPr>
        <w:t xml:space="preserve">]([JSZC-321391-ZCZX-G2024-0006])</w:t>
      </w:r>
      <w:r>
        <w:rPr>
          <w:rFonts w:hint="eastAsia" w:ascii="宋体" w:hAnsi="宋体" w:cs="宋体"/>
          <w:color w:val="000000"/>
          <w:sz w:val="22"/>
        </w:rPr>
        <w:t xml:space="preserve">项目进行公开招标采购，欢迎符合条件的投标人投标。</w:t>
      </w:r>
      <w:r>
        <w:rPr>
          <w:rFonts w:hint="eastAsia" w:ascii="宋体" w:hAnsi="宋体" w:cs="宋体"/>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69"/>
      </w:tblGrid>
      <w:tr>
        <w:trPr/>
        <w:tc>
          <w:tcPr>
            <w:tcMar>
              <w:left w:w="108" w:type="dxa"/>
              <w:top w:w="0" w:type="dxa"/>
              <w:right w:w="108" w:type="dxa"/>
              <w:bottom w:w="0" w:type="dxa"/>
            </w:tcMar>
            <w:tcW w:w="9169" w:type="dxa"/>
            <w:vAlign w:val="top"/>
            <w:textDirection w:val="lrTb"/>
            <w:noWrap w:val="false"/>
          </w:tcPr>
          <w:p>
            <w:pPr>
              <w:pStyle w:val="893"/>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项目概况</w:t>
            </w:r>
            <w:r>
              <w:rPr>
                <w:rFonts w:hint="eastAsia" w:ascii="宋体" w:hAnsi="宋体" w:cs="宋体"/>
              </w:rPr>
            </w:r>
            <w:r/>
          </w:p>
          <w:p>
            <w:pPr>
              <w:pStyle w:val="893"/>
              <w:ind w:firstLine="42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eastAsia="zh-CN"/>
              </w:rPr>
              <w:t xml:space="preserve">宿迁市智慧城市科技馆运营服务项目</w:t>
            </w:r>
            <w:r>
              <w:rPr>
                <w:rFonts w:hint="eastAsia" w:ascii="宋体" w:hAnsi="宋体" w:cs="宋体"/>
                <w:color w:val="000000"/>
                <w:sz w:val="22"/>
              </w:rPr>
              <w:t xml:space="preserve">的潜在投标人可在“宿迁市政府采购网”自行免费下载招标文件，并于2024年</w:t>
            </w:r>
            <w:r>
              <w:rPr>
                <w:rFonts w:hint="eastAsia" w:ascii="宋体" w:hAnsi="宋体" w:cs="宋体"/>
                <w:color w:val="000000"/>
                <w:sz w:val="22"/>
                <w:lang w:val="en-US" w:eastAsia="zh-CN"/>
              </w:rPr>
              <w:t xml:space="preserve">07</w:t>
            </w:r>
            <w:r>
              <w:rPr>
                <w:rFonts w:hint="eastAsia" w:ascii="宋体" w:hAnsi="宋体" w:cs="宋体"/>
                <w:color w:val="000000"/>
                <w:sz w:val="22"/>
              </w:rPr>
              <w:t xml:space="preserve">月</w:t>
            </w:r>
            <w:r>
              <w:rPr>
                <w:rFonts w:hint="eastAsia" w:ascii="宋体" w:hAnsi="宋体" w:cs="宋体"/>
                <w:color w:val="000000"/>
                <w:sz w:val="22"/>
                <w:lang w:val="en-US" w:eastAsia="zh-CN"/>
              </w:rPr>
              <w:t xml:space="preserve">05</w:t>
            </w:r>
            <w:r>
              <w:rPr>
                <w:rFonts w:hint="eastAsia" w:ascii="宋体" w:hAnsi="宋体" w:cs="宋体"/>
                <w:color w:val="000000"/>
                <w:sz w:val="22"/>
              </w:rPr>
              <w:t xml:space="preserve">日</w:t>
            </w:r>
            <w:r>
              <w:rPr>
                <w:rFonts w:hint="eastAsia" w:ascii="宋体" w:hAnsi="宋体" w:cs="宋体"/>
                <w:color w:val="000000"/>
                <w:sz w:val="22"/>
                <w:lang w:val="en-US" w:eastAsia="zh-CN"/>
              </w:rPr>
              <w:t xml:space="preserve">09</w:t>
            </w:r>
            <w:r>
              <w:rPr>
                <w:rFonts w:hint="eastAsia" w:ascii="宋体" w:hAnsi="宋体" w:cs="宋体"/>
                <w:color w:val="000000"/>
                <w:sz w:val="22"/>
              </w:rPr>
              <w:t xml:space="preserve">点</w:t>
            </w:r>
            <w:r>
              <w:rPr>
                <w:rFonts w:hint="eastAsia" w:ascii="宋体" w:hAnsi="宋体" w:cs="宋体"/>
                <w:color w:val="000000"/>
                <w:sz w:val="22"/>
                <w:lang w:val="en-US" w:eastAsia="zh-CN"/>
              </w:rPr>
              <w:t xml:space="preserve">30</w:t>
            </w:r>
            <w:r>
              <w:rPr>
                <w:rFonts w:hint="eastAsia" w:ascii="宋体" w:hAnsi="宋体" w:cs="宋体"/>
                <w:color w:val="000000"/>
                <w:sz w:val="22"/>
              </w:rPr>
              <w:t xml:space="preserve">分（北京时间）前递交投标文件。</w:t>
            </w:r>
            <w:r>
              <w:rPr>
                <w:rFonts w:hint="eastAsia" w:ascii="宋体" w:hAnsi="宋体" w:cs="宋体"/>
              </w:rPr>
            </w:r>
            <w:r/>
          </w:p>
        </w:tc>
      </w:tr>
    </w:tbl>
    <w:p>
      <w:pPr>
        <w:pStyle w:val="896"/>
        <w:ind w:firstLine="327"/>
        <w:spacing w:before="0" w:after="0" w:line="559" w:lineRule="atLeast"/>
        <w:rPr>
          <w:rFonts w:hint="eastAsia" w:ascii="宋体" w:hAnsi="宋体" w:cs="宋体"/>
        </w:rPr>
        <w:pBdr>
          <w:top w:val="none" w:color="000000" w:sz="0" w:space="0"/>
          <w:left w:val="none" w:color="000000" w:sz="0" w:space="0"/>
          <w:bottom w:val="none" w:color="000000" w:sz="0" w:space="0"/>
          <w:right w:val="none" w:color="000000" w:sz="0" w:space="0"/>
        </w:pBdr>
        <w:outlineLvl w:val="1"/>
      </w:pPr>
      <w:r/>
      <w:bookmarkStart w:id="9" w:name="_Toc1523"/>
      <w:r/>
      <w:bookmarkStart w:id="10" w:name="_Toc8899"/>
      <w:r>
        <w:rPr>
          <w:rFonts w:hint="eastAsia" w:ascii="宋体" w:hAnsi="宋体" w:cs="宋体"/>
          <w:color w:val="000000"/>
          <w:sz w:val="22"/>
        </w:rPr>
        <w:t xml:space="preserve">一、项目基本情况</w:t>
      </w:r>
      <w:bookmarkEnd w:id="9"/>
      <w:r/>
      <w:bookmarkEnd w:id="10"/>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1.项目编号：JSZC-321391-ZCZX-G2024-0006</w:t>
      </w:r>
      <w:r>
        <w:rPr>
          <w:rFonts w:hint="eastAsia" w:ascii="宋体" w:hAnsi="宋体" w:cs="宋体"/>
        </w:rPr>
      </w:r>
      <w:r/>
    </w:p>
    <w:p>
      <w:pPr>
        <w:pStyle w:val="893"/>
        <w:ind w:firstLine="420"/>
        <w:spacing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2.项目名称：</w:t>
      </w:r>
      <w:r>
        <w:rPr>
          <w:rFonts w:hint="eastAsia" w:ascii="宋体" w:hAnsi="宋体" w:cs="宋体"/>
          <w:color w:val="000000"/>
          <w:sz w:val="22"/>
          <w:lang w:eastAsia="zh-CN"/>
        </w:rPr>
        <w:t xml:space="preserve">宿迁市智慧城市科技馆运营服务项目</w:t>
      </w:r>
      <w:r>
        <w:rPr>
          <w:rFonts w:hint="eastAsia" w:ascii="宋体" w:hAnsi="宋体" w:eastAsia="宋体" w:cs="宋体"/>
          <w:lang w:eastAsia="zh-CN"/>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3.预算金额：360万元</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4.本项目设定最高限价，最高限价为360万元。</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5.采购需求（简介）：为宿迁市智慧城市科技馆提供讲解接待、活动策划、会议会务、运维服务等运营服务，具体内容详见采购需求。</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6.合同履行期限：2年。 </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7.本项</w:t>
      </w:r>
      <w:r>
        <w:rPr>
          <w:rFonts w:hint="eastAsia" w:ascii="宋体" w:hAnsi="宋体" w:eastAsia="宋体" w:cs="宋体"/>
          <w:color w:val="000000"/>
          <w:sz w:val="22"/>
        </w:rPr>
        <w:t xml:space="preserve">目不</w:t>
      </w:r>
      <w:r>
        <w:rPr>
          <w:rFonts w:hint="eastAsia" w:ascii="宋体" w:hAnsi="宋体" w:eastAsia="宋体" w:cs="宋体"/>
          <w:color w:val="000000"/>
          <w:sz w:val="22"/>
          <w:lang w:val="en-US" w:eastAsia="zh-CN"/>
        </w:rPr>
        <w:t xml:space="preserve">接受</w:t>
      </w:r>
      <w:r>
        <w:rPr>
          <w:rFonts w:hint="eastAsia" w:ascii="宋体" w:hAnsi="宋体" w:eastAsia="宋体" w:cs="宋体"/>
          <w:color w:val="000000"/>
          <w:sz w:val="22"/>
        </w:rPr>
        <w:t xml:space="preserve">联合体投标。</w:t>
      </w:r>
      <w:r>
        <w:rPr>
          <w:rFonts w:hint="eastAsia" w:ascii="宋体" w:hAnsi="宋体" w:cs="宋体"/>
        </w:rPr>
      </w:r>
      <w:r/>
    </w:p>
    <w:p>
      <w:pPr>
        <w:pStyle w:val="896"/>
        <w:ind w:firstLine="327"/>
        <w:spacing w:before="0" w:after="0" w:line="559" w:lineRule="atLeast"/>
        <w:rPr>
          <w:rFonts w:hint="eastAsia" w:ascii="宋体" w:hAnsi="宋体" w:cs="宋体"/>
        </w:rPr>
        <w:pBdr>
          <w:top w:val="none" w:color="000000" w:sz="0" w:space="0"/>
          <w:left w:val="none" w:color="000000" w:sz="0" w:space="0"/>
          <w:bottom w:val="none" w:color="000000" w:sz="0" w:space="0"/>
          <w:right w:val="none" w:color="000000" w:sz="0" w:space="0"/>
        </w:pBdr>
        <w:outlineLvl w:val="1"/>
      </w:pPr>
      <w:r/>
      <w:bookmarkStart w:id="11" w:name="_Toc30429"/>
      <w:r/>
      <w:bookmarkStart w:id="12" w:name="_Toc14728"/>
      <w:r>
        <w:rPr>
          <w:rFonts w:hint="eastAsia" w:ascii="宋体" w:hAnsi="宋体" w:cs="宋体"/>
          <w:color w:val="000000"/>
          <w:sz w:val="22"/>
        </w:rPr>
        <w:t xml:space="preserve">二、申请人的资格要求：</w:t>
      </w:r>
      <w:bookmarkEnd w:id="11"/>
      <w:r/>
      <w:bookmarkEnd w:id="12"/>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（一）通用资格要求</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1.具备《中华人民共和国政府采购法》第二十二条第一款规定的6项条件（按要求提供投标声明及承诺函）。</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2.信用信息。信用信息查询渠道：“信用中国”网（www.creditchina.gov.cn）、“中国政府采购”网（www.ccgp.gov.cn）、江苏政府采购网（www.ccgp-jiangsu.gov.cn）。    </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3.落实政府采购政策需满足的资格要求：无。</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（二）本项目的特定资格要求：无。</w:t>
      </w:r>
      <w:r>
        <w:rPr>
          <w:rFonts w:hint="eastAsia" w:ascii="宋体" w:hAnsi="宋体" w:cs="宋体"/>
        </w:rPr>
      </w:r>
      <w:r/>
    </w:p>
    <w:p>
      <w:pPr>
        <w:pStyle w:val="896"/>
        <w:ind w:firstLine="327"/>
        <w:spacing w:before="0" w:after="0" w:line="559" w:lineRule="atLeast"/>
        <w:rPr>
          <w:rFonts w:hint="eastAsia" w:ascii="宋体" w:hAnsi="宋体" w:cs="宋体"/>
        </w:rPr>
        <w:pBdr>
          <w:top w:val="none" w:color="000000" w:sz="0" w:space="0"/>
          <w:left w:val="none" w:color="000000" w:sz="0" w:space="0"/>
          <w:bottom w:val="none" w:color="000000" w:sz="0" w:space="0"/>
          <w:right w:val="none" w:color="000000" w:sz="0" w:space="0"/>
        </w:pBdr>
        <w:outlineLvl w:val="1"/>
      </w:pPr>
      <w:r/>
      <w:bookmarkStart w:id="13" w:name="_Toc13324"/>
      <w:r/>
      <w:bookmarkStart w:id="14" w:name="_Toc12257"/>
      <w:r>
        <w:rPr>
          <w:rFonts w:hint="eastAsia" w:ascii="宋体" w:hAnsi="宋体" w:cs="宋体"/>
          <w:color w:val="000000"/>
          <w:sz w:val="22"/>
        </w:rPr>
        <w:t xml:space="preserve">三、获取招标文件</w:t>
      </w:r>
      <w:bookmarkEnd w:id="13"/>
      <w:r/>
      <w:bookmarkEnd w:id="14"/>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1.时间：2024年</w:t>
      </w:r>
      <w:r>
        <w:rPr>
          <w:rFonts w:hint="eastAsia" w:ascii="宋体" w:hAnsi="宋体" w:cs="宋体"/>
          <w:color w:val="000000"/>
          <w:sz w:val="22"/>
          <w:lang w:val="en-US" w:eastAsia="zh-CN"/>
        </w:rPr>
        <w:t xml:space="preserve">06</w:t>
      </w:r>
      <w:r>
        <w:rPr>
          <w:rFonts w:hint="eastAsia" w:ascii="宋体" w:hAnsi="宋体" w:cs="宋体"/>
          <w:color w:val="000000"/>
          <w:sz w:val="22"/>
        </w:rPr>
        <w:t xml:space="preserve">月</w:t>
      </w:r>
      <w:r>
        <w:rPr>
          <w:rFonts w:hint="eastAsia" w:ascii="宋体" w:hAnsi="宋体" w:cs="宋体"/>
          <w:color w:val="000000"/>
          <w:sz w:val="22"/>
          <w:lang w:val="en-US" w:eastAsia="zh-CN"/>
        </w:rPr>
        <w:t xml:space="preserve">17</w:t>
      </w:r>
      <w:r>
        <w:rPr>
          <w:rFonts w:hint="eastAsia" w:ascii="宋体" w:hAnsi="宋体" w:cs="宋体"/>
          <w:color w:val="000000"/>
          <w:sz w:val="22"/>
        </w:rPr>
        <w:t xml:space="preserve">日9:00至2024年</w:t>
      </w:r>
      <w:r>
        <w:rPr>
          <w:rFonts w:hint="eastAsia" w:ascii="宋体" w:hAnsi="宋体" w:cs="宋体"/>
          <w:color w:val="000000"/>
          <w:sz w:val="22"/>
          <w:lang w:val="en-US" w:eastAsia="zh-CN"/>
        </w:rPr>
        <w:t xml:space="preserve">06</w:t>
      </w:r>
      <w:r>
        <w:rPr>
          <w:rFonts w:hint="eastAsia" w:ascii="宋体" w:hAnsi="宋体" w:cs="宋体"/>
          <w:color w:val="000000"/>
          <w:sz w:val="22"/>
        </w:rPr>
        <w:t xml:space="preserve">月</w:t>
      </w:r>
      <w:r>
        <w:rPr>
          <w:rFonts w:hint="eastAsia" w:ascii="宋体" w:hAnsi="宋体" w:cs="宋体"/>
          <w:color w:val="000000"/>
          <w:sz w:val="22"/>
          <w:lang w:val="en-US" w:eastAsia="zh-CN"/>
        </w:rPr>
        <w:t xml:space="preserve">21</w:t>
      </w:r>
      <w:r>
        <w:rPr>
          <w:rFonts w:hint="eastAsia" w:ascii="宋体" w:hAnsi="宋体" w:cs="宋体"/>
          <w:color w:val="000000"/>
          <w:sz w:val="22"/>
        </w:rPr>
        <w:t xml:space="preserve">日17:30。</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3.本项目共分一个包。投标人参与多个包投标的，应按包分别获取招标文件。投标人未按要求获取招标文件导致无法投标的，后果自负（其投标文件不予接受）。</w:t>
      </w:r>
      <w:r>
        <w:rPr>
          <w:rFonts w:hint="eastAsia" w:ascii="宋体" w:hAnsi="宋体" w:cs="宋体"/>
        </w:rPr>
      </w:r>
      <w:r/>
    </w:p>
    <w:p>
      <w:pPr>
        <w:pStyle w:val="896"/>
        <w:ind w:firstLine="327"/>
        <w:spacing w:before="0" w:after="0" w:line="559" w:lineRule="atLeast"/>
        <w:rPr>
          <w:rFonts w:hint="eastAsia" w:ascii="宋体" w:hAnsi="宋体" w:cs="宋体"/>
        </w:rPr>
        <w:pBdr>
          <w:top w:val="none" w:color="000000" w:sz="0" w:space="0"/>
          <w:left w:val="none" w:color="000000" w:sz="0" w:space="0"/>
          <w:bottom w:val="none" w:color="000000" w:sz="0" w:space="0"/>
          <w:right w:val="none" w:color="000000" w:sz="0" w:space="0"/>
        </w:pBdr>
        <w:outlineLvl w:val="1"/>
      </w:pPr>
      <w:r/>
      <w:bookmarkStart w:id="15" w:name="_Toc26601"/>
      <w:r/>
      <w:bookmarkStart w:id="16" w:name="_Toc31629"/>
      <w:r>
        <w:rPr>
          <w:rFonts w:hint="eastAsia" w:ascii="宋体" w:hAnsi="宋体" w:cs="宋体"/>
          <w:color w:val="000000"/>
          <w:sz w:val="22"/>
        </w:rPr>
        <w:t xml:space="preserve">四、提交投标文件截止时间、开标时间和地点</w:t>
      </w:r>
      <w:bookmarkEnd w:id="15"/>
      <w:r/>
      <w:bookmarkEnd w:id="16"/>
      <w:r>
        <w:rPr>
          <w:rFonts w:hint="eastAsia" w:ascii="宋体" w:hAnsi="宋体" w:cs="宋体"/>
        </w:rPr>
      </w:r>
      <w:r/>
    </w:p>
    <w:p>
      <w:pPr>
        <w:pStyle w:val="893"/>
        <w:ind w:firstLine="420"/>
        <w:spacing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1.提交投标文件截止时间、开标时间：2024年</w:t>
      </w:r>
      <w:r>
        <w:rPr>
          <w:rFonts w:hint="eastAsia" w:ascii="宋体" w:hAnsi="宋体" w:cs="宋体"/>
          <w:color w:val="000000"/>
          <w:sz w:val="22"/>
          <w:lang w:val="en-US" w:eastAsia="zh-CN"/>
        </w:rPr>
        <w:t xml:space="preserve">07</w:t>
      </w:r>
      <w:r>
        <w:rPr>
          <w:rFonts w:hint="eastAsia" w:ascii="宋体" w:hAnsi="宋体" w:cs="宋体"/>
          <w:color w:val="000000"/>
          <w:sz w:val="22"/>
        </w:rPr>
        <w:t xml:space="preserve">月</w:t>
      </w:r>
      <w:r>
        <w:rPr>
          <w:rFonts w:hint="eastAsia" w:ascii="宋体" w:hAnsi="宋体" w:cs="宋体"/>
          <w:color w:val="000000"/>
          <w:sz w:val="22"/>
          <w:lang w:val="en-US" w:eastAsia="zh-CN"/>
        </w:rPr>
        <w:t xml:space="preserve">05</w:t>
      </w:r>
      <w:r>
        <w:rPr>
          <w:rFonts w:hint="eastAsia" w:ascii="宋体" w:hAnsi="宋体" w:cs="宋体"/>
          <w:color w:val="000000"/>
          <w:sz w:val="22"/>
        </w:rPr>
        <w:t xml:space="preserve">日</w:t>
      </w:r>
      <w:r>
        <w:rPr>
          <w:rFonts w:hint="eastAsia" w:ascii="宋体" w:hAnsi="宋体" w:cs="宋体"/>
          <w:color w:val="000000"/>
          <w:sz w:val="22"/>
          <w:lang w:val="en-US" w:eastAsia="zh-CN"/>
        </w:rPr>
        <w:t xml:space="preserve">09</w:t>
      </w:r>
      <w:r>
        <w:rPr>
          <w:rFonts w:hint="eastAsia" w:ascii="宋体" w:hAnsi="宋体" w:cs="宋体"/>
          <w:color w:val="000000"/>
          <w:sz w:val="22"/>
        </w:rPr>
        <w:t xml:space="preserve">点</w:t>
      </w:r>
      <w:r>
        <w:rPr>
          <w:rFonts w:hint="eastAsia" w:ascii="宋体" w:hAnsi="宋体" w:cs="宋体"/>
          <w:color w:val="000000"/>
          <w:sz w:val="22"/>
          <w:lang w:val="en-US" w:eastAsia="zh-CN"/>
        </w:rPr>
        <w:t xml:space="preserve">30</w:t>
      </w:r>
      <w:r>
        <w:rPr>
          <w:rFonts w:hint="eastAsia" w:ascii="宋体" w:hAnsi="宋体" w:cs="宋体"/>
          <w:color w:val="000000"/>
          <w:sz w:val="22"/>
        </w:rPr>
        <w:t xml:space="preserve">分（北京时间）</w:t>
      </w:r>
      <w:r>
        <w:rPr>
          <w:rFonts w:hint="eastAsia" w:ascii="宋体" w:hAnsi="宋体" w:cs="宋体"/>
        </w:rPr>
      </w:r>
      <w:r/>
    </w:p>
    <w:p>
      <w:pPr>
        <w:pStyle w:val="893"/>
        <w:ind w:firstLine="420"/>
        <w:spacing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2.地点：“苏采云”政府采购交易系统网上开标大厅。</w:t>
      </w:r>
      <w:r>
        <w:rPr>
          <w:rFonts w:hint="eastAsia" w:ascii="宋体" w:hAnsi="宋体" w:cs="宋体"/>
        </w:rPr>
      </w:r>
      <w:r/>
    </w:p>
    <w:p>
      <w:pPr>
        <w:pStyle w:val="896"/>
        <w:ind w:firstLine="327"/>
        <w:spacing w:before="0" w:after="0" w:line="559" w:lineRule="atLeast"/>
        <w:rPr>
          <w:rFonts w:hint="eastAsia" w:ascii="宋体" w:hAnsi="宋体" w:cs="宋体"/>
        </w:rPr>
        <w:pBdr>
          <w:top w:val="none" w:color="000000" w:sz="0" w:space="0"/>
          <w:left w:val="none" w:color="000000" w:sz="0" w:space="0"/>
          <w:bottom w:val="none" w:color="000000" w:sz="0" w:space="0"/>
          <w:right w:val="none" w:color="000000" w:sz="0" w:space="0"/>
        </w:pBdr>
        <w:outlineLvl w:val="1"/>
      </w:pPr>
      <w:r/>
      <w:bookmarkStart w:id="17" w:name="_Toc30856"/>
      <w:r/>
      <w:bookmarkStart w:id="18" w:name="_Toc12369"/>
      <w:r>
        <w:rPr>
          <w:rFonts w:hint="eastAsia" w:ascii="宋体" w:hAnsi="宋体" w:cs="宋体"/>
          <w:color w:val="000000"/>
          <w:sz w:val="22"/>
        </w:rPr>
        <w:t xml:space="preserve">五、公告期限</w:t>
      </w:r>
      <w:bookmarkEnd w:id="17"/>
      <w:r/>
      <w:bookmarkEnd w:id="18"/>
      <w:r>
        <w:rPr>
          <w:rFonts w:hint="eastAsia" w:ascii="宋体" w:hAnsi="宋体" w:cs="宋体"/>
        </w:rPr>
      </w:r>
      <w:r/>
    </w:p>
    <w:p>
      <w:pPr>
        <w:pStyle w:val="893"/>
        <w:ind w:firstLine="482"/>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招标公告及招标文件公告期限为自本公告发布之日起5个工作日。招标公告发布媒体：宿迁市政府采购网、宿迁市公共资源交易平台、江苏省财政部门指定的媒体。</w:t>
      </w:r>
      <w:r>
        <w:rPr>
          <w:rFonts w:hint="eastAsia" w:ascii="宋体" w:hAnsi="宋体" w:cs="宋体"/>
        </w:rPr>
      </w:r>
      <w:r/>
    </w:p>
    <w:p>
      <w:pPr>
        <w:pStyle w:val="896"/>
        <w:ind w:firstLine="327"/>
        <w:spacing w:before="0" w:after="0" w:line="559" w:lineRule="atLeast"/>
        <w:rPr>
          <w:rFonts w:hint="eastAsia" w:ascii="宋体" w:hAnsi="宋体" w:cs="宋体"/>
        </w:rPr>
        <w:pBdr>
          <w:top w:val="none" w:color="000000" w:sz="0" w:space="0"/>
          <w:left w:val="none" w:color="000000" w:sz="0" w:space="0"/>
          <w:bottom w:val="none" w:color="000000" w:sz="0" w:space="0"/>
          <w:right w:val="none" w:color="000000" w:sz="0" w:space="0"/>
        </w:pBdr>
        <w:outlineLvl w:val="1"/>
      </w:pPr>
      <w:r/>
      <w:bookmarkStart w:id="19" w:name="_Toc14011"/>
      <w:r/>
      <w:bookmarkStart w:id="20" w:name="_Toc7903"/>
      <w:r>
        <w:rPr>
          <w:rFonts w:hint="eastAsia" w:ascii="宋体" w:hAnsi="宋体" w:cs="宋体"/>
          <w:color w:val="000000"/>
          <w:sz w:val="22"/>
        </w:rPr>
        <w:t xml:space="preserve">六、其他补充事宜</w:t>
      </w:r>
      <w:bookmarkEnd w:id="19"/>
      <w:r/>
      <w:bookmarkEnd w:id="20"/>
      <w:r>
        <w:rPr>
          <w:rFonts w:hint="eastAsia" w:ascii="宋体" w:hAnsi="宋体" w:cs="宋体"/>
        </w:rPr>
      </w:r>
      <w:r/>
    </w:p>
    <w:p>
      <w:pPr>
        <w:pStyle w:val="893"/>
        <w:ind w:firstLine="48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1.财政部门监督电话：0527-84363063。</w:t>
      </w:r>
      <w:r>
        <w:rPr>
          <w:rFonts w:hint="eastAsia" w:ascii="宋体" w:hAnsi="宋体" w:cs="宋体"/>
        </w:rPr>
      </w:r>
      <w:r/>
    </w:p>
    <w:p>
      <w:pPr>
        <w:pStyle w:val="893"/>
        <w:ind w:firstLine="48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2.“CA”数字证书办理：“苏采云”系统目前仅支持“苏采云”系统下的意源CA。省内各地区办理的“苏采云”系统下的意源CA全省通用。宿迁地区CA数字证书办理联系方式：18762803891。</w:t>
      </w:r>
      <w:r>
        <w:rPr>
          <w:rFonts w:hint="eastAsia" w:ascii="宋体" w:hAnsi="宋体" w:cs="宋体"/>
        </w:rPr>
      </w:r>
      <w:r/>
    </w:p>
    <w:p>
      <w:pPr>
        <w:pStyle w:val="893"/>
        <w:ind w:firstLine="420"/>
        <w:spacing w:before="240" w:after="240"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3.宿迁地区“苏采云”技术支持客服电话：0527-84225125、0519-86722806。</w:t>
      </w:r>
      <w:r>
        <w:rPr>
          <w:rFonts w:hint="eastAsia" w:ascii="宋体" w:hAnsi="宋体" w:cs="宋体"/>
        </w:rPr>
      </w:r>
      <w:r/>
    </w:p>
    <w:p>
      <w:pPr>
        <w:pStyle w:val="893"/>
        <w:ind w:firstLine="420"/>
        <w:spacing w:before="240" w:after="240"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4.如果投标人通过苏采云系统参与政府采购项目，相关操作手册详见链接：</w:t>
      </w:r>
      <w:r>
        <w:rPr>
          <w:rFonts w:hint="eastAsia" w:ascii="宋体" w:hAnsi="宋体" w:cs="宋体"/>
          <w:color w:val="000000"/>
          <w:spacing w:val="-6"/>
          <w:sz w:val="22"/>
        </w:rPr>
        <w:t xml:space="preserve">http://www.ccgp-jiangsu.gov.cn/jiangsu/zlxz/ee/ee3a4bc5a3454aa2b0d9312230633ce9.html。</w:t>
      </w:r>
      <w:r>
        <w:rPr>
          <w:rFonts w:hint="eastAsia" w:ascii="宋体" w:hAnsi="宋体" w:cs="宋体"/>
        </w:rPr>
      </w:r>
      <w:r/>
    </w:p>
    <w:p>
      <w:pPr>
        <w:pStyle w:val="893"/>
        <w:ind w:firstLine="48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5.现场勘察及答疑：本项目不组织集中勘察及答疑，投标人如对采购需求有疑问，请咨询采购单位联系人。</w:t>
      </w:r>
      <w:r>
        <w:rPr>
          <w:rFonts w:hint="eastAsia" w:ascii="宋体" w:hAnsi="宋体" w:cs="宋体"/>
          <w:color w:val="000000"/>
        </w:rPr>
        <w:t xml:space="preserve"> </w:t>
      </w:r>
      <w:r>
        <w:rPr>
          <w:rFonts w:hint="eastAsia" w:ascii="宋体" w:hAnsi="宋体" w:cs="宋体"/>
        </w:rPr>
      </w:r>
      <w:r/>
    </w:p>
    <w:p>
      <w:pPr>
        <w:pStyle w:val="896"/>
        <w:ind w:firstLine="327"/>
        <w:spacing w:before="0" w:after="0" w:line="559" w:lineRule="atLeast"/>
        <w:rPr>
          <w:rFonts w:hint="eastAsia" w:ascii="宋体" w:hAnsi="宋体" w:cs="宋体"/>
        </w:rPr>
        <w:pBdr>
          <w:top w:val="none" w:color="000000" w:sz="0" w:space="0"/>
          <w:left w:val="none" w:color="000000" w:sz="0" w:space="0"/>
          <w:bottom w:val="none" w:color="000000" w:sz="0" w:space="0"/>
          <w:right w:val="none" w:color="000000" w:sz="0" w:space="0"/>
        </w:pBdr>
        <w:outlineLvl w:val="1"/>
      </w:pPr>
      <w:r/>
      <w:bookmarkStart w:id="21" w:name="_Toc28693"/>
      <w:r/>
      <w:bookmarkStart w:id="22" w:name="_Toc3554"/>
      <w:r>
        <w:rPr>
          <w:rFonts w:hint="eastAsia" w:ascii="宋体" w:hAnsi="宋体" w:cs="宋体"/>
          <w:color w:val="000000"/>
          <w:sz w:val="22"/>
        </w:rPr>
        <w:t xml:space="preserve">七、本次招标联系方式</w:t>
      </w:r>
      <w:bookmarkEnd w:id="21"/>
      <w:r/>
      <w:bookmarkEnd w:id="22"/>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1.采购人信息</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名称：宿迁市数字化城市管理监督指挥中心</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地址：宿迁市宿豫区三峰路宿迁国际体育会展中心宿迁智慧城市科技馆</w:t>
      </w:r>
      <w:r>
        <w:rPr>
          <w:rFonts w:hint="eastAsia" w:ascii="宋体" w:hAnsi="宋体" w:cs="宋体"/>
          <w:color w:val="000000"/>
        </w:rPr>
        <w:t xml:space="preserve"> </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联系方式：孙林</w:t>
      </w:r>
      <w:r>
        <w:rPr>
          <w:rFonts w:hint="eastAsia" w:ascii="宋体" w:hAnsi="宋体" w:cs="宋体"/>
          <w:color w:val="000000"/>
        </w:rPr>
        <w:t xml:space="preserve"> </w:t>
      </w:r>
      <w:r>
        <w:rPr>
          <w:rFonts w:hint="eastAsia" w:ascii="宋体" w:hAnsi="宋体" w:cs="宋体"/>
          <w:color w:val="000000"/>
          <w:sz w:val="22"/>
        </w:rPr>
        <w:t xml:space="preserve">0527-80908311</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2.采购代理机构信息</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名称：中诚智信工程咨询集团股份有限公司</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地址：苏宿工业园区生产力中心7-105室（苏州银行取款机隔壁）</w:t>
      </w:r>
      <w:r>
        <w:rPr>
          <w:rFonts w:hint="eastAsia" w:ascii="宋体" w:hAnsi="宋体" w:cs="宋体"/>
        </w:rPr>
      </w:r>
      <w:r/>
    </w:p>
    <w:p>
      <w:pPr>
        <w:pStyle w:val="893"/>
        <w:ind w:firstLine="420"/>
        <w:spacing w:line="499" w:lineRule="atLeas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联系方式：张苏云</w:t>
      </w:r>
      <w:r>
        <w:rPr>
          <w:rFonts w:hint="eastAsia" w:ascii="宋体" w:hAnsi="宋体" w:cs="宋体"/>
          <w:color w:val="000000"/>
        </w:rPr>
        <w:t xml:space="preserve"> </w:t>
      </w:r>
      <w:r>
        <w:rPr>
          <w:rFonts w:hint="eastAsia" w:ascii="宋体" w:hAnsi="宋体" w:cs="宋体"/>
          <w:color w:val="000000"/>
          <w:sz w:val="22"/>
        </w:rPr>
        <w:t xml:space="preserve">18351066083</w:t>
      </w:r>
      <w:r>
        <w:rPr>
          <w:rFonts w:hint="eastAsia" w:ascii="宋体" w:hAnsi="宋体" w:cs="宋体"/>
          <w:color w:val="000000"/>
          <w:sz w:val="22"/>
        </w:rPr>
      </w:r>
      <w:r/>
    </w:p>
    <w:p>
      <w:pPr>
        <w:pStyle w:val="896"/>
        <w:ind w:firstLine="327"/>
        <w:spacing w:before="0" w:after="0" w:line="559" w:lineRule="atLeast"/>
        <w:rPr>
          <w:rFonts w:hint="eastAsia" w:ascii="宋体" w:hAnsi="宋体" w:cs="宋体"/>
        </w:rPr>
        <w:pBdr>
          <w:top w:val="none" w:color="000000" w:sz="0" w:space="0"/>
          <w:left w:val="none" w:color="000000" w:sz="0" w:space="0"/>
          <w:bottom w:val="none" w:color="000000" w:sz="0" w:space="0"/>
          <w:right w:val="none" w:color="000000" w:sz="0" w:space="0"/>
        </w:pBdr>
        <w:outlineLvl w:val="1"/>
      </w:pPr>
      <w:r/>
      <w:bookmarkStart w:id="23" w:name="_Toc7038"/>
      <w:r/>
      <w:bookmarkStart w:id="24" w:name="_Toc27993"/>
      <w:r>
        <w:rPr>
          <w:rFonts w:hint="eastAsia" w:ascii="宋体" w:hAnsi="宋体" w:cs="宋体"/>
          <w:color w:val="000000"/>
          <w:sz w:val="22"/>
        </w:rPr>
        <w:t xml:space="preserve">八、其他</w:t>
      </w:r>
      <w:bookmarkEnd w:id="23"/>
      <w:r/>
      <w:bookmarkEnd w:id="24"/>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1、有关本次招标的事项若存在变动或修改，敬请及时关注“宿迁市政府采购网”等平台更正公告。</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2、本次招标不收取投标保证金。</w:t>
      </w:r>
      <w:r>
        <w:rPr>
          <w:rFonts w:hint="eastAsia" w:ascii="宋体" w:hAnsi="宋体" w:cs="宋体"/>
        </w:rPr>
      </w:r>
      <w:r/>
    </w:p>
    <w:p>
      <w:pPr>
        <w:pStyle w:val="895"/>
        <w:spacing w:line="761"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rPr>
        <w:br w:type="page" w:clear="all"/>
      </w:r>
      <w:bookmarkStart w:id="25" w:name="_Toc4509"/>
      <w:r/>
      <w:bookmarkStart w:id="26" w:name="_Toc2966"/>
      <w:r/>
      <w:bookmarkStart w:id="27" w:name="_Toc6930"/>
      <w:r>
        <w:rPr>
          <w:rFonts w:hint="eastAsia" w:ascii="宋体" w:hAnsi="宋体" w:eastAsia="宋体" w:cs="宋体"/>
          <w:color w:val="000000"/>
          <w:sz w:val="30"/>
        </w:rPr>
        <w:t xml:space="preserve">第二章投标人须知</w:t>
      </w:r>
      <w:bookmarkEnd w:id="25"/>
      <w:r/>
      <w:bookmarkEnd w:id="26"/>
      <w:r/>
      <w:bookmarkEnd w:id="27"/>
      <w:r>
        <w:rPr>
          <w:rFonts w:hint="eastAsia" w:ascii="宋体" w:hAnsi="宋体" w:eastAsia="宋体" w:cs="宋体"/>
        </w:rPr>
      </w:r>
      <w:r/>
    </w:p>
    <w:p>
      <w:pPr>
        <w:pStyle w:val="896"/>
        <w:ind w:firstLine="327"/>
        <w:spacing w:before="0" w:after="0" w:line="559" w:lineRule="atLeast"/>
        <w:rPr>
          <w:rFonts w:hint="eastAsia" w:ascii="宋体" w:hAnsi="宋体" w:cs="宋体"/>
        </w:rPr>
        <w:pBdr>
          <w:top w:val="none" w:color="000000" w:sz="0" w:space="0"/>
          <w:left w:val="none" w:color="000000" w:sz="0" w:space="0"/>
          <w:bottom w:val="none" w:color="000000" w:sz="0" w:space="0"/>
          <w:right w:val="none" w:color="000000" w:sz="0" w:space="0"/>
        </w:pBdr>
        <w:outlineLvl w:val="1"/>
      </w:pPr>
      <w:r/>
      <w:bookmarkStart w:id="28" w:name="_Toc18571"/>
      <w:r/>
      <w:bookmarkStart w:id="29" w:name="_Toc14874"/>
      <w:r>
        <w:rPr>
          <w:rFonts w:hint="eastAsia" w:ascii="宋体" w:hAnsi="宋体" w:cs="宋体"/>
          <w:color w:val="000000"/>
          <w:sz w:val="22"/>
        </w:rPr>
        <w:t xml:space="preserve">一、总则</w:t>
      </w:r>
      <w:bookmarkEnd w:id="28"/>
      <w:r/>
      <w:bookmarkEnd w:id="29"/>
      <w:r>
        <w:rPr>
          <w:rFonts w:hint="eastAsia" w:ascii="宋体" w:hAnsi="宋体" w:cs="宋体"/>
        </w:rPr>
      </w:r>
      <w:r/>
    </w:p>
    <w:p>
      <w:pPr>
        <w:pStyle w:val="897"/>
        <w:ind w:firstLine="420"/>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1、招标方式</w:t>
      </w:r>
      <w:r>
        <w:rPr>
          <w:rFonts w:hint="eastAsia" w:ascii="宋体" w:hAnsi="宋体" w:eastAsia="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1.1 本次招标采取公开招标方式，本招标文件仅适用于招标公告中所述项目。</w:t>
      </w:r>
      <w:r>
        <w:rPr>
          <w:rFonts w:hint="eastAsia" w:ascii="宋体" w:hAnsi="宋体" w:cs="宋体"/>
        </w:rPr>
      </w:r>
      <w:r/>
    </w:p>
    <w:p>
      <w:pPr>
        <w:pStyle w:val="897"/>
        <w:ind w:firstLine="420"/>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2、合格的投标人</w:t>
      </w:r>
      <w:r>
        <w:rPr>
          <w:rFonts w:hint="eastAsia" w:ascii="宋体" w:hAnsi="宋体" w:eastAsia="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2.1满足招标公告中投标人的资格要求的规定。</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2.2 满足本文件实质性要求和条件的规定。</w:t>
      </w:r>
      <w:r>
        <w:rPr>
          <w:rFonts w:hint="eastAsia" w:ascii="宋体" w:hAnsi="宋体" w:cs="宋体"/>
        </w:rPr>
      </w:r>
      <w:r/>
    </w:p>
    <w:p>
      <w:pPr>
        <w:pStyle w:val="897"/>
        <w:ind w:firstLine="420"/>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3、适用法律</w:t>
      </w:r>
      <w:r>
        <w:rPr>
          <w:rFonts w:hint="eastAsia" w:ascii="宋体" w:hAnsi="宋体" w:eastAsia="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3.1 本次招标及由此产生的合同受中华人民共和国有关的法律法规制约和保护。</w:t>
      </w:r>
      <w:r>
        <w:rPr>
          <w:rFonts w:hint="eastAsia" w:ascii="宋体" w:hAnsi="宋体" w:cs="宋体"/>
        </w:rPr>
      </w:r>
      <w:r/>
    </w:p>
    <w:p>
      <w:pPr>
        <w:pStyle w:val="897"/>
        <w:ind w:firstLine="420"/>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4、投标费用</w:t>
      </w:r>
      <w:r>
        <w:rPr>
          <w:rFonts w:hint="eastAsia" w:ascii="宋体" w:hAnsi="宋体" w:eastAsia="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4.1 投标人应自行承担所有与参加投标有关的费用，无论投标过程中的做法和结果如何，</w:t>
      </w:r>
      <w:r>
        <w:rPr>
          <w:rFonts w:hint="eastAsia" w:ascii="宋体" w:hAnsi="宋体" w:cs="宋体"/>
          <w:color w:val="000000"/>
          <w:sz w:val="22"/>
          <w:u w:val="single"/>
        </w:rPr>
        <w:t xml:space="preserve">中诚智信工程咨询集团股份有限公司</w:t>
      </w:r>
      <w:r>
        <w:rPr>
          <w:rFonts w:hint="eastAsia" w:ascii="宋体" w:hAnsi="宋体" w:cs="宋体"/>
          <w:color w:val="000000"/>
          <w:sz w:val="22"/>
        </w:rPr>
        <w:t xml:space="preserve">（以下简称采购代理机构）在任何情况下均无义务和责任承担这些费用。</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4.2代理费用收取方式及标准：按以下第</w:t>
      </w:r>
      <w:r>
        <w:rPr>
          <w:rFonts w:hint="eastAsia" w:ascii="宋体" w:hAnsi="宋体" w:cs="宋体"/>
          <w:color w:val="000000"/>
          <w:sz w:val="22"/>
          <w:u w:val="single"/>
        </w:rPr>
        <w:t xml:space="preserve">（2）</w:t>
      </w:r>
      <w:r>
        <w:rPr>
          <w:rFonts w:hint="eastAsia" w:ascii="宋体" w:hAnsi="宋体" w:cs="宋体"/>
          <w:color w:val="000000"/>
          <w:sz w:val="22"/>
        </w:rPr>
        <w:t xml:space="preserve">种方式执行：</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（1）无需支付；</w:t>
      </w:r>
      <w:r>
        <w:rPr>
          <w:rFonts w:hint="eastAsia" w:ascii="宋体" w:hAnsi="宋体" w:cs="宋体"/>
        </w:rPr>
      </w:r>
      <w:r/>
    </w:p>
    <w:p>
      <w:pPr>
        <w:pStyle w:val="893"/>
        <w:ind w:firstLine="420"/>
        <w:spacing w:before="240" w:after="240"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（2）采购人支付，具体方式及标准为：</w:t>
      </w:r>
      <w:r>
        <w:rPr>
          <w:rFonts w:hint="eastAsia" w:ascii="宋体" w:hAnsi="宋体" w:cs="宋体"/>
          <w:color w:val="000000"/>
          <w:sz w:val="22"/>
          <w:u w:val="single"/>
        </w:rPr>
        <w:t xml:space="preserve">按国家计委计价格[2002]1980号文件收费标准50%支付。支付方式可以通过转账或数字人民币等方式。</w:t>
      </w:r>
      <w:r>
        <w:rPr>
          <w:rFonts w:hint="eastAsia" w:ascii="宋体" w:hAnsi="宋体" w:cs="宋体"/>
        </w:rPr>
      </w:r>
      <w:r/>
    </w:p>
    <w:p>
      <w:pPr>
        <w:pStyle w:val="897"/>
        <w:ind w:firstLine="422"/>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5、招标文件的约束力</w:t>
      </w:r>
      <w:r>
        <w:rPr>
          <w:rFonts w:hint="eastAsia" w:ascii="宋体" w:hAnsi="宋体" w:eastAsia="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5.1</w:t>
      </w:r>
      <w:r>
        <w:rPr>
          <w:rFonts w:hint="eastAsia" w:ascii="宋体" w:hAnsi="宋体" w:cs="宋体"/>
          <w:color w:val="000000"/>
        </w:rPr>
        <w:t xml:space="preserve"> </w:t>
      </w:r>
      <w:r>
        <w:rPr>
          <w:rFonts w:hint="eastAsia" w:ascii="宋体" w:hAnsi="宋体" w:cs="宋体"/>
          <w:color w:val="000000"/>
          <w:sz w:val="22"/>
        </w:rPr>
        <w:t xml:space="preserve">投标人一旦参加本项目采购活动，即被认为接受了本招标文件的规定和约束。</w:t>
      </w:r>
      <w:r>
        <w:rPr>
          <w:rFonts w:hint="eastAsia" w:ascii="宋体" w:hAnsi="宋体" w:cs="宋体"/>
        </w:rPr>
      </w:r>
      <w:r/>
    </w:p>
    <w:p>
      <w:pPr>
        <w:pStyle w:val="896"/>
        <w:ind w:firstLine="211"/>
        <w:spacing w:before="0" w:after="0" w:line="559" w:lineRule="atLeast"/>
        <w:rPr>
          <w:rFonts w:hint="eastAsia" w:ascii="宋体" w:hAnsi="宋体" w:cs="宋体"/>
        </w:rPr>
        <w:pBdr>
          <w:top w:val="none" w:color="000000" w:sz="0" w:space="0"/>
          <w:left w:val="none" w:color="000000" w:sz="0" w:space="0"/>
          <w:bottom w:val="none" w:color="000000" w:sz="0" w:space="0"/>
          <w:right w:val="none" w:color="000000" w:sz="0" w:space="0"/>
        </w:pBdr>
        <w:outlineLvl w:val="1"/>
      </w:pPr>
      <w:r/>
      <w:bookmarkStart w:id="30" w:name="_Toc13699"/>
      <w:r/>
      <w:bookmarkStart w:id="31" w:name="_Toc23080"/>
      <w:r>
        <w:rPr>
          <w:rFonts w:hint="eastAsia" w:ascii="宋体" w:hAnsi="宋体" w:cs="宋体"/>
          <w:color w:val="000000"/>
          <w:sz w:val="22"/>
        </w:rPr>
        <w:t xml:space="preserve">二、招标文件</w:t>
      </w:r>
      <w:bookmarkEnd w:id="30"/>
      <w:r/>
      <w:bookmarkEnd w:id="31"/>
      <w:r>
        <w:rPr>
          <w:rFonts w:hint="eastAsia" w:ascii="宋体" w:hAnsi="宋体" w:cs="宋体"/>
        </w:rPr>
      </w:r>
      <w:r/>
    </w:p>
    <w:p>
      <w:pPr>
        <w:pStyle w:val="897"/>
        <w:ind w:firstLine="420"/>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6、招标文件构成</w:t>
      </w:r>
      <w:r>
        <w:rPr>
          <w:rFonts w:hint="eastAsia" w:ascii="宋体" w:hAnsi="宋体" w:eastAsia="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6.1</w:t>
      </w:r>
      <w:r>
        <w:rPr>
          <w:rFonts w:hint="eastAsia" w:ascii="宋体" w:hAnsi="宋体" w:cs="宋体"/>
          <w:color w:val="000000"/>
        </w:rPr>
        <w:t xml:space="preserve"> </w:t>
      </w:r>
      <w:r>
        <w:rPr>
          <w:rFonts w:hint="eastAsia" w:ascii="宋体" w:hAnsi="宋体" w:cs="宋体"/>
          <w:color w:val="000000"/>
          <w:sz w:val="22"/>
        </w:rPr>
        <w:t xml:space="preserve">招标文件由以下部分组成：</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（1）投标邀请</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（2）投标人须知</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（3）合同文本</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（4）采购需求</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（5）评标方法与评标标准</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（6）投标文件格式</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请仔细检查招标文件是否齐全，如有缺漏请立即与采购代理机构联系解决。</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6.2</w:t>
      </w:r>
      <w:r>
        <w:rPr>
          <w:rFonts w:hint="eastAsia" w:ascii="宋体" w:hAnsi="宋体" w:cs="宋体"/>
          <w:color w:val="000000"/>
        </w:rPr>
        <w:t xml:space="preserve"> </w:t>
      </w:r>
      <w:r>
        <w:rPr>
          <w:rFonts w:hint="eastAsia" w:ascii="宋体" w:hAnsi="宋体" w:cs="宋体"/>
          <w:color w:val="000000"/>
          <w:sz w:val="22"/>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rPr>
      </w:r>
      <w:r/>
    </w:p>
    <w:p>
      <w:pPr>
        <w:pStyle w:val="897"/>
        <w:ind w:firstLine="420"/>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7、招标文件的澄清</w:t>
      </w:r>
      <w:r>
        <w:rPr>
          <w:rFonts w:hint="eastAsia" w:ascii="宋体" w:hAnsi="宋体" w:eastAsia="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7.1</w:t>
      </w:r>
      <w:r>
        <w:rPr>
          <w:rFonts w:hint="eastAsia" w:ascii="宋体" w:hAnsi="宋体" w:cs="宋体"/>
          <w:color w:val="000000"/>
        </w:rPr>
        <w:t xml:space="preserve"> </w:t>
      </w:r>
      <w:r>
        <w:rPr>
          <w:rFonts w:hint="eastAsia" w:ascii="宋体" w:hAnsi="宋体" w:cs="宋体"/>
          <w:color w:val="000000"/>
          <w:sz w:val="22"/>
        </w:rPr>
        <w:t xml:space="preserve">任何要求对招标文件进行澄清的投标人，应在投标截止期</w:t>
      </w:r>
      <w:r>
        <w:rPr>
          <w:rFonts w:hint="eastAsia" w:ascii="宋体" w:hAnsi="宋体" w:cs="宋体"/>
          <w:b/>
          <w:color w:val="000000"/>
          <w:sz w:val="22"/>
        </w:rPr>
        <w:t xml:space="preserve">十日</w:t>
      </w:r>
      <w:r>
        <w:rPr>
          <w:rFonts w:hint="eastAsia" w:ascii="宋体" w:hAnsi="宋体" w:cs="宋体"/>
          <w:color w:val="000000"/>
          <w:sz w:val="22"/>
        </w:rPr>
        <w:t xml:space="preserve">前按招标公告中的通讯地址，以书面形式通知采购代理机构。</w:t>
      </w:r>
      <w:r>
        <w:rPr>
          <w:rFonts w:hint="eastAsia" w:ascii="宋体" w:hAnsi="宋体" w:cs="宋体"/>
        </w:rPr>
      </w:r>
      <w:r/>
    </w:p>
    <w:p>
      <w:pPr>
        <w:pStyle w:val="897"/>
        <w:ind w:firstLine="420"/>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8、招标文件的修改</w:t>
      </w:r>
      <w:r>
        <w:rPr>
          <w:rFonts w:hint="eastAsia" w:ascii="宋体" w:hAnsi="宋体" w:eastAsia="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8.2</w:t>
      </w:r>
      <w:r>
        <w:rPr>
          <w:rFonts w:hint="eastAsia" w:ascii="宋体" w:hAnsi="宋体" w:cs="宋体"/>
          <w:color w:val="000000"/>
        </w:rPr>
        <w:t xml:space="preserve"> </w:t>
      </w:r>
      <w:r>
        <w:rPr>
          <w:rFonts w:hint="eastAsia" w:ascii="宋体" w:hAnsi="宋体" w:cs="宋体"/>
          <w:color w:val="000000"/>
          <w:sz w:val="22"/>
        </w:rPr>
        <w:t xml:space="preserve">在投标截止时间前，采购代理机构可以对招标文件进行修改。</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8.3</w:t>
      </w:r>
      <w:r>
        <w:rPr>
          <w:rFonts w:hint="eastAsia" w:ascii="宋体" w:hAnsi="宋体" w:cs="宋体"/>
          <w:color w:val="000000"/>
        </w:rPr>
        <w:t xml:space="preserve"> </w:t>
      </w:r>
      <w:r>
        <w:rPr>
          <w:rFonts w:hint="eastAsia" w:ascii="宋体" w:hAnsi="宋体" w:cs="宋体"/>
          <w:color w:val="000000"/>
          <w:sz w:val="22"/>
        </w:rPr>
        <w:t xml:space="preserve">采购代理机构有权按照法定的要求推迟投标截止日期和开标日期。</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8.4招标文件的修改将在原公告媒体上发布更正公告，补充文件将作为招标文件的组成部分，并对投标人具有约束力。</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8.5投标人应及时登录“苏采云”系统获取澄清答疑文件（修改后招标文件），如因投标人原因未能及时下载澄清和修改后的招标文件，由此造成的相关责任，由投标人承担。 </w:t>
      </w:r>
      <w:r>
        <w:rPr>
          <w:rFonts w:hint="eastAsia" w:ascii="宋体" w:hAnsi="宋体" w:cs="宋体"/>
        </w:rPr>
      </w:r>
      <w:r/>
    </w:p>
    <w:p>
      <w:pPr>
        <w:pStyle w:val="896"/>
        <w:ind w:firstLine="316"/>
        <w:spacing w:before="0" w:after="0" w:line="559" w:lineRule="atLeast"/>
        <w:rPr>
          <w:rFonts w:hint="eastAsia" w:ascii="宋体" w:hAnsi="宋体" w:cs="宋体"/>
        </w:rPr>
        <w:pBdr>
          <w:top w:val="none" w:color="000000" w:sz="0" w:space="0"/>
          <w:left w:val="none" w:color="000000" w:sz="0" w:space="0"/>
          <w:bottom w:val="none" w:color="000000" w:sz="0" w:space="0"/>
          <w:right w:val="none" w:color="000000" w:sz="0" w:space="0"/>
        </w:pBdr>
        <w:outlineLvl w:val="1"/>
      </w:pPr>
      <w:r/>
      <w:bookmarkStart w:id="32" w:name="_Toc16184"/>
      <w:r/>
      <w:bookmarkStart w:id="33" w:name="_Toc649"/>
      <w:r>
        <w:rPr>
          <w:rFonts w:hint="eastAsia" w:ascii="宋体" w:hAnsi="宋体" w:cs="宋体"/>
          <w:color w:val="000000"/>
          <w:sz w:val="22"/>
        </w:rPr>
        <w:t xml:space="preserve">三、投标文件的编制</w:t>
      </w:r>
      <w:bookmarkEnd w:id="32"/>
      <w:r/>
      <w:bookmarkEnd w:id="33"/>
      <w:r>
        <w:rPr>
          <w:rFonts w:hint="eastAsia" w:ascii="宋体" w:hAnsi="宋体" w:cs="宋体"/>
        </w:rPr>
      </w:r>
      <w:r/>
    </w:p>
    <w:p>
      <w:pPr>
        <w:pStyle w:val="897"/>
        <w:ind w:firstLine="420"/>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9、投标文件的语言及度量衡单位</w:t>
      </w:r>
      <w:r>
        <w:rPr>
          <w:rFonts w:hint="eastAsia" w:ascii="宋体" w:hAnsi="宋体" w:eastAsia="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9.1</w:t>
      </w:r>
      <w:r>
        <w:rPr>
          <w:rFonts w:hint="eastAsia" w:ascii="宋体" w:hAnsi="宋体" w:cs="宋体"/>
          <w:color w:val="000000"/>
        </w:rPr>
        <w:t xml:space="preserve"> </w:t>
      </w:r>
      <w:r>
        <w:rPr>
          <w:rFonts w:hint="eastAsia" w:ascii="宋体" w:hAnsi="宋体" w:cs="宋体"/>
          <w:color w:val="000000"/>
          <w:sz w:val="22"/>
        </w:rPr>
        <w:t xml:space="preserve">投标人提交的投标文件以及投标人与采购代理机构就有关投标的所有来往通知、函件和文件均应使用</w:t>
      </w:r>
      <w:r>
        <w:rPr>
          <w:rFonts w:hint="eastAsia" w:ascii="宋体" w:hAnsi="宋体" w:cs="宋体"/>
          <w:b/>
          <w:color w:val="000000"/>
          <w:sz w:val="22"/>
        </w:rPr>
        <w:t xml:space="preserve">简体中文</w:t>
      </w:r>
      <w:r>
        <w:rPr>
          <w:rFonts w:hint="eastAsia" w:ascii="宋体" w:hAnsi="宋体" w:cs="宋体"/>
          <w:color w:val="000000"/>
          <w:sz w:val="22"/>
        </w:rPr>
        <w:t xml:space="preserve">。</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9.2</w:t>
      </w:r>
      <w:r>
        <w:rPr>
          <w:rFonts w:hint="eastAsia" w:ascii="宋体" w:hAnsi="宋体" w:cs="宋体"/>
          <w:color w:val="000000"/>
        </w:rPr>
        <w:t xml:space="preserve"> </w:t>
      </w:r>
      <w:r>
        <w:rPr>
          <w:rFonts w:hint="eastAsia" w:ascii="宋体" w:hAnsi="宋体" w:cs="宋体"/>
          <w:color w:val="000000"/>
          <w:sz w:val="22"/>
        </w:rPr>
        <w:t xml:space="preserve">除技术性能另有规定外，投标文件所使用的度量衡单位，均须采用国家法定计量单位。</w:t>
      </w:r>
      <w:r>
        <w:rPr>
          <w:rFonts w:hint="eastAsia" w:ascii="宋体" w:hAnsi="宋体" w:cs="宋体"/>
        </w:rPr>
      </w:r>
      <w:r/>
    </w:p>
    <w:p>
      <w:pPr>
        <w:pStyle w:val="897"/>
        <w:ind w:firstLine="420"/>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10、投标文件构成</w:t>
      </w:r>
      <w:r>
        <w:rPr>
          <w:rFonts w:hint="eastAsia" w:ascii="宋体" w:hAnsi="宋体" w:eastAsia="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各投标人在编制投标文件时请按照招标文件第六章规定的格式进行，混乱的编排导致投标文件被误读或评委会查找不到有效文件是投标人的风险。</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10.2</w:t>
      </w:r>
      <w:r>
        <w:rPr>
          <w:rFonts w:hint="eastAsia" w:ascii="宋体" w:hAnsi="宋体" w:cs="宋体"/>
          <w:color w:val="000000"/>
        </w:rPr>
        <w:t xml:space="preserve"> </w:t>
      </w:r>
      <w:r>
        <w:rPr>
          <w:rFonts w:hint="eastAsia" w:ascii="宋体" w:hAnsi="宋体" w:cs="宋体"/>
          <w:color w:val="000000"/>
          <w:sz w:val="22"/>
        </w:rPr>
        <w:t xml:space="preserve">投标人编写的投标文件应包括资格证明文件、符合性证明文件、投标分项报价表、响应及偏离表、其他证明文件、投标函、开标一览表等部分。</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10.2 如标书制作工具中格式和内容与“宿迁市政府采购网”发布的招标文件不一致，请以“宿迁市政府采购网”发布的招标文件为准。</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10.6中标后按相关要求提供与电子投标文件一致的纸质打印投标文件2份。 </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r>
        <w:rPr>
          <w:rFonts w:hint="eastAsia" w:ascii="宋体" w:hAnsi="宋体" w:cs="宋体"/>
        </w:rPr>
      </w:r>
      <w:r/>
    </w:p>
    <w:p>
      <w:pPr>
        <w:pStyle w:val="897"/>
        <w:ind w:firstLine="420"/>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11、证明投标人及投标标的符合招标文件规定的文件</w:t>
      </w:r>
      <w:r>
        <w:rPr>
          <w:rFonts w:hint="eastAsia" w:ascii="宋体" w:hAnsi="宋体" w:eastAsia="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11.1 投标人应按照法律、法规、规章和规范性文件以及招标文件要求提交证明文件，证明其及投标标的符合招标文件规定。</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11.2招标文件对证明文件无明确形式要求的，证明文件可以以文字资料、图纸和数据等形式提交。</w:t>
      </w:r>
      <w:r>
        <w:rPr>
          <w:rFonts w:hint="eastAsia" w:ascii="宋体" w:hAnsi="宋体" w:cs="宋体"/>
        </w:rPr>
      </w:r>
      <w:r/>
    </w:p>
    <w:p>
      <w:pPr>
        <w:pStyle w:val="897"/>
        <w:ind w:firstLine="420"/>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12、投标分项报价表</w:t>
      </w:r>
      <w:r>
        <w:rPr>
          <w:rFonts w:hint="eastAsia" w:ascii="宋体" w:hAnsi="宋体" w:eastAsia="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12.1</w:t>
      </w:r>
      <w:r>
        <w:rPr>
          <w:rFonts w:hint="eastAsia" w:ascii="宋体" w:hAnsi="宋体" w:cs="宋体"/>
          <w:color w:val="000000"/>
        </w:rPr>
        <w:t xml:space="preserve"> </w:t>
      </w:r>
      <w:r>
        <w:rPr>
          <w:rFonts w:hint="eastAsia" w:ascii="宋体" w:hAnsi="宋体" w:cs="宋体"/>
          <w:color w:val="000000"/>
          <w:sz w:val="22"/>
        </w:rPr>
        <w:t xml:space="preserve">投标人应按照招标文件规定格式填报投标分项报价表。</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12.2投标货币。投标文件中的单价和总价无特殊规定的采用人民币报价，以元为单位标注。招标文件中另有规定的按规定执行。</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12.3本项目不接受备选的投标方案或有选择的报价，只允许有一个报价。投标报价内容包括</w:t>
      </w:r>
      <w:r>
        <w:rPr>
          <w:rFonts w:hint="eastAsia" w:ascii="宋体" w:hAnsi="宋体" w:cs="宋体"/>
          <w:color w:val="000000"/>
          <w:sz w:val="22"/>
          <w:highlight w:val="none"/>
        </w:rPr>
        <w:t xml:space="preserve">：税金、场馆内运营服务、维护服务、人员工资、设备维护等以及交付使用过程中涉及到的其他一切费用。</w:t>
      </w:r>
      <w:r>
        <w:rPr>
          <w:rFonts w:hint="eastAsia" w:ascii="宋体" w:hAnsi="宋体" w:cs="宋体"/>
        </w:rPr>
      </w:r>
      <w:r/>
    </w:p>
    <w:p>
      <w:pPr>
        <w:pStyle w:val="897"/>
        <w:ind w:firstLine="420"/>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13、技术要求响应及偏离表、商务要求响应及偏离表</w:t>
      </w:r>
      <w:r>
        <w:rPr>
          <w:rFonts w:hint="eastAsia" w:ascii="宋体" w:hAnsi="宋体" w:eastAsia="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13.1</w:t>
      </w:r>
      <w:r>
        <w:rPr>
          <w:rFonts w:hint="eastAsia" w:ascii="宋体" w:hAnsi="宋体" w:cs="宋体"/>
          <w:color w:val="000000"/>
        </w:rPr>
        <w:t xml:space="preserve"> </w:t>
      </w:r>
      <w:r>
        <w:rPr>
          <w:rFonts w:hint="eastAsia" w:ascii="宋体" w:hAnsi="宋体" w:cs="宋体"/>
          <w:color w:val="000000"/>
          <w:sz w:val="22"/>
        </w:rPr>
        <w:t xml:space="preserve">投标人需对招标文件中的技术要求与商务要求逐项作出响应或偏离，并说明原因。</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13.2 投标人可在投标文件中提供认为需要的其他技术文件或说明。</w:t>
      </w:r>
      <w:r>
        <w:rPr>
          <w:rFonts w:hint="eastAsia" w:ascii="宋体" w:hAnsi="宋体" w:cs="宋体"/>
        </w:rPr>
      </w:r>
      <w:r/>
    </w:p>
    <w:p>
      <w:pPr>
        <w:pStyle w:val="897"/>
        <w:ind w:firstLine="420"/>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14、投标声明及承诺函和开标一览表</w:t>
      </w:r>
      <w:r>
        <w:rPr>
          <w:rFonts w:hint="eastAsia" w:ascii="宋体" w:hAnsi="宋体" w:eastAsia="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14.1</w:t>
      </w:r>
      <w:r>
        <w:rPr>
          <w:rFonts w:hint="eastAsia" w:ascii="宋体" w:hAnsi="宋体" w:cs="宋体"/>
          <w:color w:val="000000"/>
        </w:rPr>
        <w:t xml:space="preserve"> </w:t>
      </w:r>
      <w:r>
        <w:rPr>
          <w:rFonts w:hint="eastAsia" w:ascii="宋体" w:hAnsi="宋体" w:cs="宋体"/>
          <w:color w:val="000000"/>
          <w:sz w:val="22"/>
        </w:rPr>
        <w:t xml:space="preserve">投标人应按照招标文件中提供的格式完整、正确填写投标声明及承诺函、开标一览表。</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14.2</w:t>
      </w:r>
      <w:r>
        <w:rPr>
          <w:rFonts w:hint="eastAsia" w:ascii="宋体" w:hAnsi="宋体" w:cs="宋体"/>
          <w:color w:val="000000"/>
        </w:rPr>
        <w:t xml:space="preserve"> </w:t>
      </w:r>
      <w:r>
        <w:rPr>
          <w:rFonts w:hint="eastAsia" w:ascii="宋体" w:hAnsi="宋体" w:cs="宋体"/>
          <w:color w:val="000000"/>
          <w:sz w:val="22"/>
        </w:rPr>
        <w:t xml:space="preserve">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b/>
          <w:color w:val="000000"/>
          <w:sz w:val="22"/>
        </w:rPr>
        <w:t xml:space="preserve">。</w:t>
      </w:r>
      <w:r>
        <w:rPr>
          <w:rFonts w:hint="eastAsia" w:ascii="宋体" w:hAnsi="宋体" w:cs="宋体"/>
        </w:rPr>
      </w:r>
      <w:r/>
    </w:p>
    <w:p>
      <w:pPr>
        <w:pStyle w:val="897"/>
        <w:ind w:firstLine="420"/>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15、投标有效期</w:t>
      </w:r>
      <w:r>
        <w:rPr>
          <w:rFonts w:hint="eastAsia" w:ascii="宋体" w:hAnsi="宋体" w:eastAsia="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15.1</w:t>
      </w:r>
      <w:r>
        <w:rPr>
          <w:rFonts w:hint="eastAsia" w:ascii="宋体" w:hAnsi="宋体" w:cs="宋体"/>
          <w:color w:val="000000"/>
        </w:rPr>
        <w:t xml:space="preserve"> </w:t>
      </w:r>
      <w:r>
        <w:rPr>
          <w:rFonts w:hint="eastAsia" w:ascii="宋体" w:hAnsi="宋体" w:cs="宋体"/>
          <w:color w:val="000000"/>
          <w:sz w:val="22"/>
        </w:rPr>
        <w:t xml:space="preserve">投标有效期为开标之日后</w:t>
      </w:r>
      <w:r>
        <w:rPr>
          <w:rFonts w:hint="eastAsia" w:ascii="宋体" w:hAnsi="宋体" w:cs="宋体"/>
          <w:b/>
          <w:color w:val="000000"/>
          <w:sz w:val="22"/>
          <w:u w:val="single"/>
        </w:rPr>
        <w:t xml:space="preserve">六十（60）天</w:t>
      </w:r>
      <w:r>
        <w:rPr>
          <w:rFonts w:hint="eastAsia" w:ascii="宋体" w:hAnsi="宋体" w:cs="宋体"/>
          <w:color w:val="000000"/>
          <w:sz w:val="22"/>
        </w:rPr>
        <w:t xml:space="preserve">。投标有效期比规定短的将被视为未实质性响应招标文件而予以拒绝。</w:t>
      </w:r>
      <w:r>
        <w:rPr>
          <w:rFonts w:hint="eastAsia" w:ascii="宋体" w:hAnsi="宋体" w:cs="宋体"/>
        </w:rPr>
      </w:r>
      <w:r/>
    </w:p>
    <w:p>
      <w:pPr>
        <w:pStyle w:val="897"/>
        <w:ind w:firstLine="420"/>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16、投标有效期的延长</w:t>
      </w:r>
      <w:r>
        <w:rPr>
          <w:rFonts w:hint="eastAsia" w:ascii="宋体" w:hAnsi="宋体" w:eastAsia="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16.1</w:t>
      </w:r>
      <w:r>
        <w:rPr>
          <w:rFonts w:hint="eastAsia" w:ascii="宋体" w:hAnsi="宋体" w:cs="宋体"/>
          <w:color w:val="000000"/>
        </w:rPr>
        <w:t xml:space="preserve"> </w:t>
      </w:r>
      <w:r>
        <w:rPr>
          <w:rFonts w:hint="eastAsia" w:ascii="宋体" w:hAnsi="宋体" w:cs="宋体"/>
          <w:color w:val="000000"/>
          <w:sz w:val="22"/>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16.2中标人的投标文件作为项目服务合同的附件，其有效期至中标人全部合同义务履行完毕为止。 </w:t>
      </w:r>
      <w:r>
        <w:rPr>
          <w:rFonts w:hint="eastAsia" w:ascii="宋体" w:hAnsi="宋体" w:cs="宋体"/>
        </w:rPr>
      </w:r>
      <w:r/>
    </w:p>
    <w:p>
      <w:pPr>
        <w:pStyle w:val="896"/>
        <w:ind w:firstLine="316"/>
        <w:spacing w:before="0" w:after="0" w:line="559" w:lineRule="atLeast"/>
        <w:rPr>
          <w:rFonts w:hint="eastAsia" w:ascii="宋体" w:hAnsi="宋体" w:cs="宋体"/>
        </w:rPr>
        <w:pBdr>
          <w:top w:val="none" w:color="000000" w:sz="0" w:space="0"/>
          <w:left w:val="none" w:color="000000" w:sz="0" w:space="0"/>
          <w:bottom w:val="none" w:color="000000" w:sz="0" w:space="0"/>
          <w:right w:val="none" w:color="000000" w:sz="0" w:space="0"/>
        </w:pBdr>
        <w:outlineLvl w:val="1"/>
      </w:pPr>
      <w:r/>
      <w:bookmarkStart w:id="34" w:name="_Toc17435"/>
      <w:r/>
      <w:bookmarkStart w:id="35" w:name="_Toc19021"/>
      <w:r>
        <w:rPr>
          <w:rFonts w:hint="eastAsia" w:ascii="宋体" w:hAnsi="宋体" w:cs="宋体"/>
          <w:color w:val="000000"/>
          <w:sz w:val="22"/>
        </w:rPr>
        <w:t xml:space="preserve">四、投标文件的递交</w:t>
      </w:r>
      <w:bookmarkEnd w:id="34"/>
      <w:r/>
      <w:bookmarkEnd w:id="35"/>
      <w:r>
        <w:rPr>
          <w:rFonts w:hint="eastAsia" w:ascii="宋体" w:hAnsi="宋体" w:cs="宋体"/>
        </w:rPr>
      </w:r>
      <w:r/>
    </w:p>
    <w:p>
      <w:pPr>
        <w:pStyle w:val="897"/>
        <w:ind w:firstLine="420"/>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17、投标文件的递交</w:t>
      </w:r>
      <w:r>
        <w:rPr>
          <w:rFonts w:hint="eastAsia" w:ascii="宋体" w:hAnsi="宋体" w:eastAsia="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17.1投标人应当按照《操作手册》规定，在投标截止时间前制作并上传电子投标文件。</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17.2投标人通过“苏采云”系统不见面开标大厅在线参与开标活动。（具体操作详见《“苏采云”系统投标人操作手册》，网址链接http://www.ccgp-jiangsu.gov.cn//webfile/jiangsu/202311/1699268553318052447.pdf）</w:t>
      </w:r>
      <w:r>
        <w:rPr>
          <w:rFonts w:hint="eastAsia" w:ascii="宋体" w:hAnsi="宋体" w:cs="宋体"/>
        </w:rPr>
      </w:r>
      <w:r/>
    </w:p>
    <w:p>
      <w:pPr>
        <w:pStyle w:val="897"/>
        <w:ind w:firstLine="420"/>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18、投标截止时间</w:t>
      </w:r>
      <w:r>
        <w:rPr>
          <w:rFonts w:hint="eastAsia" w:ascii="宋体" w:hAnsi="宋体" w:eastAsia="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18.1</w:t>
      </w:r>
      <w:r>
        <w:rPr>
          <w:rFonts w:hint="eastAsia" w:ascii="宋体" w:hAnsi="宋体" w:cs="宋体"/>
          <w:color w:val="000000"/>
        </w:rPr>
        <w:t xml:space="preserve"> </w:t>
      </w:r>
      <w:r>
        <w:rPr>
          <w:rFonts w:hint="eastAsia" w:ascii="宋体" w:hAnsi="宋体" w:cs="宋体"/>
          <w:color w:val="000000"/>
          <w:sz w:val="22"/>
        </w:rPr>
        <w:t xml:space="preserve">投标人上传电子投标文件的时间不得迟于招标公告中规定的投标截止时间。</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18.2</w:t>
      </w:r>
      <w:r>
        <w:rPr>
          <w:rFonts w:hint="eastAsia" w:ascii="宋体" w:hAnsi="宋体" w:cs="宋体"/>
          <w:color w:val="000000"/>
        </w:rPr>
        <w:t xml:space="preserve"> </w:t>
      </w:r>
      <w:r>
        <w:rPr>
          <w:rFonts w:hint="eastAsia" w:ascii="宋体" w:hAnsi="宋体" w:cs="宋体"/>
          <w:color w:val="000000"/>
          <w:sz w:val="22"/>
        </w:rPr>
        <w:t xml:space="preserve">采购代理机构可以按照规定，通过修改招标文件酌情延长投标截止时间，在此情况下，投标人的所有权利和义务以及投标人受制的截止时间均应以延长后新的截止时间为准。</w:t>
      </w:r>
      <w:r>
        <w:rPr>
          <w:rFonts w:hint="eastAsia" w:ascii="宋体" w:hAnsi="宋体" w:cs="宋体"/>
        </w:rPr>
      </w:r>
      <w:r/>
    </w:p>
    <w:p>
      <w:pPr>
        <w:pStyle w:val="897"/>
        <w:ind w:firstLine="420"/>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19、投标文件的拒收</w:t>
      </w:r>
      <w:r>
        <w:rPr>
          <w:rFonts w:hint="eastAsia" w:ascii="宋体" w:hAnsi="宋体" w:eastAsia="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19.1采购代理机构拒绝接收在其规定的投标截止时间后上传的任何投标文件。</w:t>
      </w:r>
      <w:r>
        <w:rPr>
          <w:rFonts w:hint="eastAsia" w:ascii="宋体" w:hAnsi="宋体" w:cs="宋体"/>
        </w:rPr>
      </w:r>
      <w:r/>
    </w:p>
    <w:p>
      <w:pPr>
        <w:pStyle w:val="897"/>
        <w:ind w:firstLine="420"/>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20、投标文件的撤回和修改</w:t>
      </w:r>
      <w:r>
        <w:rPr>
          <w:rFonts w:hint="eastAsia" w:ascii="宋体" w:hAnsi="宋体" w:eastAsia="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20.1 投标文件的撤回</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20.1.1 电子投标文件的撤回</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投标人可在投标截止时间前，撤回其电子投标文件，具体操作方法见《操作手册》。</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20.1.2 投标人撤回电子投标文件，则认为其不再参与本项目投标活动。</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20.2 投标文件的修改</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20.2.1投标人可在投标截止时间前，对其电子投标文件进行修改，具体操作方法见《操作手册》。</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20.2.2</w:t>
      </w:r>
      <w:r>
        <w:rPr>
          <w:rFonts w:hint="eastAsia" w:ascii="宋体" w:hAnsi="宋体" w:cs="宋体"/>
          <w:color w:val="000000"/>
        </w:rPr>
        <w:t xml:space="preserve"> </w:t>
      </w:r>
      <w:r>
        <w:rPr>
          <w:rFonts w:hint="eastAsia" w:ascii="宋体" w:hAnsi="宋体" w:cs="宋体"/>
          <w:color w:val="000000"/>
          <w:sz w:val="22"/>
        </w:rPr>
        <w:t xml:space="preserve">在投标截止时间之后，投标人不得对其电子投标文件作任何修改。</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20.3</w:t>
      </w:r>
      <w:r>
        <w:rPr>
          <w:rFonts w:hint="eastAsia" w:ascii="宋体" w:hAnsi="宋体" w:cs="宋体"/>
          <w:color w:val="000000"/>
        </w:rPr>
        <w:t xml:space="preserve"> </w:t>
      </w:r>
      <w:r>
        <w:rPr>
          <w:rFonts w:hint="eastAsia" w:ascii="宋体" w:hAnsi="宋体" w:cs="宋体"/>
          <w:color w:val="000000"/>
          <w:sz w:val="22"/>
        </w:rPr>
        <w:t xml:space="preserve">在投标截止时间至招标文件中规定的投标有效期满之间的这段时间内，投标人不得撤回其投标。</w:t>
      </w:r>
      <w:r>
        <w:rPr>
          <w:rFonts w:hint="eastAsia" w:ascii="宋体" w:hAnsi="宋体" w:cs="宋体"/>
        </w:rPr>
      </w:r>
      <w:r/>
    </w:p>
    <w:p>
      <w:pPr>
        <w:pStyle w:val="896"/>
        <w:ind w:firstLine="316"/>
        <w:spacing w:before="0" w:after="0" w:line="559" w:lineRule="atLeast"/>
        <w:rPr>
          <w:rFonts w:hint="eastAsia" w:ascii="宋体" w:hAnsi="宋体" w:cs="宋体"/>
        </w:rPr>
        <w:pBdr>
          <w:top w:val="none" w:color="000000" w:sz="0" w:space="0"/>
          <w:left w:val="none" w:color="000000" w:sz="0" w:space="0"/>
          <w:bottom w:val="none" w:color="000000" w:sz="0" w:space="0"/>
          <w:right w:val="none" w:color="000000" w:sz="0" w:space="0"/>
        </w:pBdr>
        <w:outlineLvl w:val="1"/>
      </w:pPr>
      <w:r/>
      <w:bookmarkStart w:id="36" w:name="_Toc7285"/>
      <w:r/>
      <w:bookmarkStart w:id="37" w:name="_Toc6181"/>
      <w:r>
        <w:rPr>
          <w:rFonts w:hint="eastAsia" w:ascii="宋体" w:hAnsi="宋体" w:cs="宋体"/>
          <w:color w:val="000000"/>
          <w:sz w:val="22"/>
        </w:rPr>
        <w:t xml:space="preserve">五、开标与评标</w:t>
      </w:r>
      <w:bookmarkEnd w:id="36"/>
      <w:r/>
      <w:bookmarkEnd w:id="37"/>
      <w:r>
        <w:rPr>
          <w:rFonts w:hint="eastAsia" w:ascii="宋体" w:hAnsi="宋体" w:cs="宋体"/>
        </w:rPr>
      </w:r>
      <w:r/>
    </w:p>
    <w:p>
      <w:pPr>
        <w:pStyle w:val="897"/>
        <w:ind w:firstLine="420"/>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21、开标</w:t>
      </w:r>
      <w:r>
        <w:rPr>
          <w:rFonts w:hint="eastAsia" w:ascii="宋体" w:hAnsi="宋体" w:eastAsia="宋体" w:cs="宋体"/>
        </w:rPr>
      </w:r>
      <w:r/>
    </w:p>
    <w:p>
      <w:pPr>
        <w:pStyle w:val="893"/>
        <w:ind w:firstLine="420"/>
        <w:spacing w:before="240" w:after="240"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21.1</w:t>
      </w:r>
      <w:r>
        <w:rPr>
          <w:rFonts w:hint="eastAsia" w:ascii="宋体" w:hAnsi="宋体" w:cs="宋体"/>
          <w:color w:val="000000"/>
        </w:rPr>
        <w:t xml:space="preserve"> </w:t>
      </w:r>
      <w:r>
        <w:rPr>
          <w:rFonts w:hint="eastAsia" w:ascii="宋体" w:hAnsi="宋体" w:cs="宋体"/>
          <w:color w:val="000000"/>
          <w:sz w:val="22"/>
        </w:rPr>
        <w:t xml:space="preserve">采购代理机构将在招标公告中规定的时间和地点组织公开开标。投标人应当按照《“苏采云”系统供应商操作手册》规定，参加开标活动和在“苏采云”系统规定的时间内对投标文件进行解密。</w:t>
      </w:r>
      <w:r>
        <w:rPr>
          <w:rFonts w:hint="eastAsia" w:ascii="宋体" w:hAnsi="宋体" w:cs="宋体"/>
        </w:rPr>
      </w:r>
      <w:r/>
    </w:p>
    <w:p>
      <w:pPr>
        <w:pStyle w:val="893"/>
        <w:ind w:firstLine="420"/>
        <w:spacing w:before="240" w:after="240"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21.3投标人在开标过程中涉及到的投标文件解密、开标结果确认等工作，应按照《操作手册》规定执行。</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21.4投标人如果对开标过程和开标记录有疑义，应当根据《操作手册》规定提出，如 “苏采云”系统中《开标记录表》宣布后5分钟内未提出的，视同认可开标结果。</w:t>
      </w:r>
      <w:r>
        <w:rPr>
          <w:rFonts w:hint="eastAsia" w:ascii="宋体" w:hAnsi="宋体" w:cs="宋体"/>
        </w:rPr>
      </w:r>
      <w:r/>
    </w:p>
    <w:p>
      <w:pPr>
        <w:pStyle w:val="897"/>
        <w:ind w:firstLine="420"/>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22、评委会</w:t>
      </w:r>
      <w:r>
        <w:rPr>
          <w:rFonts w:hint="eastAsia" w:ascii="宋体" w:hAnsi="宋体" w:eastAsia="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22.1</w:t>
      </w:r>
      <w:r>
        <w:rPr>
          <w:rFonts w:hint="eastAsia" w:ascii="宋体" w:hAnsi="宋体" w:cs="宋体"/>
          <w:b/>
          <w:color w:val="000000"/>
        </w:rPr>
        <w:t xml:space="preserve"> </w:t>
      </w:r>
      <w:r>
        <w:rPr>
          <w:rFonts w:hint="eastAsia" w:ascii="宋体" w:hAnsi="宋体" w:cs="宋体"/>
          <w:color w:val="000000"/>
          <w:sz w:val="22"/>
        </w:rPr>
        <w:t xml:space="preserve">开标后，采购代理机构将立即组织评委会（以下简称评委会）进行评标。</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22.2 评委会由采购人代表和有关技术、经济等方面的专家组成，且人员构成符合政府采购有关规定。</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22.3评委会独立工作，负责评审所有投标文件并确定中标侯选人。</w:t>
      </w:r>
      <w:r>
        <w:rPr>
          <w:rFonts w:hint="eastAsia" w:ascii="宋体" w:hAnsi="宋体" w:cs="宋体"/>
        </w:rPr>
      </w:r>
      <w:r/>
    </w:p>
    <w:p>
      <w:pPr>
        <w:pStyle w:val="897"/>
        <w:ind w:firstLine="420"/>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23、评标过程的保密与公正</w:t>
      </w:r>
      <w:r>
        <w:rPr>
          <w:rFonts w:hint="eastAsia" w:ascii="宋体" w:hAnsi="宋体" w:eastAsia="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23.1凡是与审查、澄清、评价和比较投标的有关资料以及授标建议等，采购人、评委、采购代理机构均不得向投标人或与评标无关的其他人员透露。</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23.2在评标过程中，投标人不得以任何行为影响评标过程，否则其投标文件将被作为无效投标文件。</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23.3 采购代理机构和评委会不向未中标的投标人解释未中标原因，也不公布评标过程中的相关细节。</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23.4 采用综合评分法的项目，未中标的投标人可于中标结果公告期限届满之日起通过“苏采云”系统查看自己的评审得分及排序情况。</w:t>
      </w:r>
      <w:r>
        <w:rPr>
          <w:rFonts w:hint="eastAsia" w:ascii="宋体" w:hAnsi="宋体" w:cs="宋体"/>
        </w:rPr>
      </w:r>
      <w:r/>
    </w:p>
    <w:p>
      <w:pPr>
        <w:pStyle w:val="897"/>
        <w:ind w:firstLine="420"/>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24、投标文件的澄清</w:t>
      </w:r>
      <w:r>
        <w:rPr>
          <w:rFonts w:hint="eastAsia" w:ascii="宋体" w:hAnsi="宋体" w:eastAsia="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24.1评标期间，评委会对投标文件中含义不明确、同类问题表述不一致或者有明显文字和计算错误的内容 ，有权要求投标人作出必要的澄清、说明或者补正。</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投标人的澄清、说明或者补正不得超出投标文件的范围或者改变投标文件的实质性内容。</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评委会并非对每个投标人都做澄清要求。</w:t>
      </w:r>
      <w:r>
        <w:rPr>
          <w:rFonts w:hint="eastAsia" w:ascii="宋体" w:hAnsi="宋体" w:cs="宋体"/>
        </w:rPr>
      </w:r>
      <w:r/>
    </w:p>
    <w:p>
      <w:pPr>
        <w:pStyle w:val="893"/>
        <w:ind w:firstLine="420"/>
        <w:spacing w:before="240" w:after="240"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24.2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24.3 接到评委会澄清、说明和补正要求的投标人如未按规定做出澄清、说明和补正，其风险由投标人自行承担。</w:t>
      </w:r>
      <w:r>
        <w:rPr>
          <w:rFonts w:hint="eastAsia" w:ascii="宋体" w:hAnsi="宋体" w:cs="宋体"/>
        </w:rPr>
      </w:r>
      <w:r/>
    </w:p>
    <w:p>
      <w:pPr>
        <w:pStyle w:val="897"/>
        <w:ind w:firstLine="420"/>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25、对投标文件的初审</w:t>
      </w:r>
      <w:r>
        <w:rPr>
          <w:rFonts w:hint="eastAsia" w:ascii="宋体" w:hAnsi="宋体" w:eastAsia="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25.1投标文件初审分为资格审查和符合性审查。</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25.1.1 资格审查：依据法律法规和招标文件的规定，由采购人或其委托的代理机构对投标文件中的资格证明文件进行审查，以确定投标人是否具备投标资格。</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采购人在进行资格性审查的同时，将在“信用中国”网站（www.creditchina.gov.cn）查询投标人的信用记录，以确定投标人是否具备投标资格,查询结果留存并归档。</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接受联合体的项目，两个以上的自然人、法人或者其他组织组成一个联合体，以一个投标人的身份共同参加政府采购活动的,联合体成员存在不良信用记录的，视同联合体存在不良应用记录。</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25.1.3对各投标人符合性审查过程中，对初步被认定为无效投标者，由评委会组长或采购人代表将集体意见通过“苏采云”系统中告知未通过符合性审查的原因，评标结束后，将不再告知未通过符合性审查的原因。</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25.4评委会将对确定为实质性响应的投标进行进一步审核，确定其是否有计算上或累加上的算术错误，修正错误的原则如下：</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（1）投标文件中开标一览表内容与投标文件中相应内容不一致的，以开标一览表为准。</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（2）大写金额和小写金额不一致的，以大写金额为准。</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（3）单价金额小数点或者百分比有明显错位的，以开标一览表的总价为准，并修改单价。</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（4）总价金额与按单价汇总金额不一致的，以单价金额计算结果为准。</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同时出现两种以上错误的，按照前款规定的顺序修正。</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25.5 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25.6投标人在开、评标全过程中应应随时保持系统在线，及时在“苏采云”系统查阅、答复相关信息。</w:t>
      </w:r>
      <w:r>
        <w:rPr>
          <w:rFonts w:hint="eastAsia" w:ascii="宋体" w:hAnsi="宋体" w:cs="宋体"/>
        </w:rPr>
      </w:r>
      <w:r/>
    </w:p>
    <w:p>
      <w:pPr>
        <w:pStyle w:val="897"/>
        <w:ind w:firstLine="420"/>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26、无效投标条款和废标条款</w:t>
      </w:r>
      <w:r>
        <w:rPr>
          <w:rFonts w:hint="eastAsia" w:ascii="宋体" w:hAnsi="宋体" w:eastAsia="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26.1无效投标条款</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26.1.1 投标人在“苏采云”系统规定的时间内未成功解密电子投标文件的。</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26.1.2 投标人未按照招标文件要求上传电子投标文件的。</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26.1.3同一投标人提交两个（含两个）以上不同的投标报价的。</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26.1.4投标人不具备招标文件中规定资格要求的。</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26.1.5投标人的报价超过了采购预算或最高限价的。</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26.1.6未通过符合性审查的。</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 </w:t>
      </w:r>
      <w:r>
        <w:rPr>
          <w:rFonts w:hint="eastAsia" w:ascii="宋体" w:hAnsi="宋体" w:cs="宋体"/>
          <w:color w:val="000000"/>
          <w:sz w:val="22"/>
        </w:rPr>
        <w:t xml:space="preserve">26.1.7不符合招标文件中规定的实质性要求和条件的</w:t>
      </w:r>
      <w:r>
        <w:rPr>
          <w:rFonts w:hint="eastAsia" w:ascii="宋体" w:hAnsi="宋体" w:cs="宋体"/>
          <w:b/>
          <w:color w:val="000000"/>
          <w:sz w:val="22"/>
        </w:rPr>
        <w:t xml:space="preserve">（</w:t>
      </w:r>
      <w:r>
        <w:rPr>
          <w:rFonts w:hint="eastAsia" w:ascii="宋体" w:hAnsi="宋体" w:cs="宋体"/>
          <w:b/>
          <w:color w:val="000000"/>
          <w:sz w:val="22"/>
          <w:u w:val="single"/>
        </w:rPr>
        <w:t xml:space="preserve">加斜体下划线内容或打“★”内容为实质性要求和条件）。</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26.1.9 投标文件含有采购人不能接受的附加条件的。</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26.1.10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26.1.11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26.1.12</w:t>
      </w:r>
      <w:r>
        <w:rPr>
          <w:rFonts w:hint="eastAsia" w:ascii="宋体" w:hAnsi="宋体" w:cs="宋体"/>
          <w:color w:val="000000"/>
        </w:rPr>
        <w:t xml:space="preserve"> </w:t>
      </w:r>
      <w:r>
        <w:rPr>
          <w:rFonts w:hint="eastAsia" w:ascii="宋体" w:hAnsi="宋体" w:cs="宋体"/>
          <w:color w:val="000000"/>
          <w:sz w:val="22"/>
        </w:rPr>
        <w:t xml:space="preserve">投标文件未按照招标文件要求加盖CA电子公章的。</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26.1.13其他法律、法规及本招标文件规定的属无效投标的情形。</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26.2废标条款</w:t>
      </w:r>
      <w:r>
        <w:rPr>
          <w:rFonts w:hint="eastAsia" w:ascii="宋体" w:hAnsi="宋体" w:cs="宋体"/>
        </w:rPr>
      </w:r>
      <w:r/>
    </w:p>
    <w:p>
      <w:pPr>
        <w:pStyle w:val="893"/>
        <w:ind w:left="479"/>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26.2.1符合专业条件的投标人或者对招标文件作实质响应的投标人不足三家的。26.2.2出现影响采购公正的违法、违规行为的。</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26.2.3因重大变故，采购任务取消的。</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26.2.4评委会认定招标文件存在歧义、重大缺陷导致评审工作无法进行。</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26.2.5 因“苏采云”系统系统故障原因造成开标不成功的。</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26.3 投标截止时间结束后参加投标的投标人不足三家的处理：</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26.3.1如出现投标截止时间结束后参加投标的投标人或者在评标期间对招标文件做出实质响应的投标人不足三家情况，按政府采购相关规定执行。</w:t>
      </w:r>
      <w:r>
        <w:rPr>
          <w:rFonts w:hint="eastAsia" w:ascii="宋体" w:hAnsi="宋体" w:cs="宋体"/>
        </w:rPr>
      </w:r>
      <w:r/>
    </w:p>
    <w:p>
      <w:pPr>
        <w:pStyle w:val="896"/>
        <w:ind w:firstLine="316"/>
        <w:spacing w:before="0" w:after="0" w:line="559" w:lineRule="atLeast"/>
        <w:rPr>
          <w:rFonts w:hint="eastAsia" w:ascii="宋体" w:hAnsi="宋体" w:cs="宋体"/>
        </w:rPr>
        <w:pBdr>
          <w:top w:val="none" w:color="000000" w:sz="0" w:space="0"/>
          <w:left w:val="none" w:color="000000" w:sz="0" w:space="0"/>
          <w:bottom w:val="none" w:color="000000" w:sz="0" w:space="0"/>
          <w:right w:val="none" w:color="000000" w:sz="0" w:space="0"/>
        </w:pBdr>
        <w:outlineLvl w:val="1"/>
      </w:pPr>
      <w:r/>
      <w:bookmarkStart w:id="38" w:name="_Toc9525"/>
      <w:r/>
      <w:bookmarkStart w:id="39" w:name="_Toc22963"/>
      <w:r>
        <w:rPr>
          <w:rFonts w:hint="eastAsia" w:ascii="宋体" w:hAnsi="宋体" w:cs="宋体"/>
          <w:color w:val="000000"/>
          <w:sz w:val="22"/>
        </w:rPr>
        <w:t xml:space="preserve">六、定标</w:t>
      </w:r>
      <w:bookmarkEnd w:id="38"/>
      <w:r/>
      <w:bookmarkEnd w:id="39"/>
      <w:r>
        <w:rPr>
          <w:rFonts w:hint="eastAsia" w:ascii="宋体" w:hAnsi="宋体" w:cs="宋体"/>
        </w:rPr>
      </w:r>
      <w:r/>
    </w:p>
    <w:p>
      <w:pPr>
        <w:pStyle w:val="897"/>
        <w:ind w:firstLine="420"/>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27、确定中标单位</w:t>
      </w:r>
      <w:r>
        <w:rPr>
          <w:rFonts w:hint="eastAsia" w:ascii="宋体" w:hAnsi="宋体" w:eastAsia="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27.1中标候选人的选取原则和数量见招标文件第五章规定。 </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27.2 按以下第</w:t>
      </w:r>
      <w:r>
        <w:rPr>
          <w:rFonts w:hint="eastAsia" w:ascii="宋体" w:hAnsi="宋体" w:cs="宋体"/>
          <w:color w:val="000000"/>
          <w:sz w:val="22"/>
          <w:u w:val="single"/>
        </w:rPr>
        <w:t xml:space="preserve">（2）</w:t>
      </w:r>
      <w:r>
        <w:rPr>
          <w:rFonts w:hint="eastAsia" w:ascii="宋体" w:hAnsi="宋体" w:cs="宋体"/>
          <w:color w:val="000000"/>
          <w:sz w:val="22"/>
        </w:rPr>
        <w:t xml:space="preserve">种方式确定中标人</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（1）评委会直接确定排名第一的中标候选人为中标人；</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（2）采购人在评委会推荐的中标候选人中按顺序确定中标人。</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按第2种方式确定中标人的，采购代理机构自评审结束之日起两个工作日内将评审报告送交采购人，采购人自收到评审报告之日起五个工作日内在评审报告推荐的中标候选人中按顺序确定中标人。</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27.3 采购代理机构将在“宿迁市政府采购网”发布中标公告，公告期限为1个工作日。</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27.4  若有充分证据证明，中标人出现下列情况之一的，一经查实，将被取消中标资格：</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27.4.1提供虚假材料谋取中标的。</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27.4.2向采购人、采购代理机构行贿或者提供其他不正当利益的。</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27.4.3属于本文件规定的无效条件，但在评标过程中又未被评委会发现的。</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27.4.4与采购人或者其他投标人恶意串通的。</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27.4.5采取不正当手段诋毁、排挤其他投标人的。</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27.5 有下列情形之一的，视为投标人串通投标，投标无效：</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27.5.1不同投标人的投标文件由同一单位或者个人编制。</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27.5.2不同投标人委托同一单位或者个人办理投标事宜。</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27.5.3 不同投标人的投标文件载明的项目管理成员或者联系人员为同一人。</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27.5.4不同投标人的投标文件异常一致或者投标报价呈规律性差异。</w:t>
      </w:r>
      <w:r>
        <w:rPr>
          <w:rFonts w:hint="eastAsia" w:ascii="宋体" w:hAnsi="宋体" w:cs="宋体"/>
        </w:rPr>
      </w:r>
      <w:r/>
    </w:p>
    <w:p>
      <w:pPr>
        <w:pStyle w:val="897"/>
        <w:ind w:firstLine="420"/>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28、质疑处理</w:t>
      </w:r>
      <w:r>
        <w:rPr>
          <w:rFonts w:hint="eastAsia" w:ascii="宋体" w:hAnsi="宋体" w:eastAsia="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28.1 提出质疑的投标人应当是参与所质疑项目采购活动的投标人。潜在投标人依法获取其可质疑的采购文件的，可以对采购文件提出质疑。</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28.2.1对可以质疑的采购文件提出质疑的，为收到采购文件之日或者采购文件公告期限届满之日；</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28.2.2对采购过程提出质疑的，为各采购程序环节结束之日；</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28.2.3对中标或者成交结果提出质疑的，为中标或者成交结果公告期限届满之日。</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投标人应当在法定质疑期内一次性提出针对同一采购程序环节的质疑。投标人如在法定期限内对同一采购程序环节提出多次质疑的，采购代理机构、采购人将只对投标人第一次质疑作出答复。</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28.3质疑函必须按照本招标文件中《质疑函范本》要求的格式和内容进行填写。投标人如组成联合体参加投标，则《质疑函范本》中要求签字、盖章、加盖公章之处，联合体各方均须按要求签字、盖章、加盖公章。</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28.4 投标人应以书面形式向采购人或者其委托的采购代理机构提出质疑。质疑超出采购机构代理范围的，投标人应当向采购人提出。</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接收质疑函的方式：现场接收或邮寄接收。</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联系部门：宿迁市数字化城市管理监督指挥中心、中诚智信工程咨询集团股份有限公司</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联系电话：18351066083</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通讯地址：宿迁市宿豫区三峰路宿迁国际体育会展中心宿迁智慧城市科技馆、苏宿工业园区生产力中心7-105室（苏州银行取款机隔壁）</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28.5 以下情形的质疑不予受理</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28.5.1 内容不符合《政府采购质疑和投诉办法》第十二条规定的质疑。</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28.5.2 超出政府采购法定期限的质疑。</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28.5.3 以传真、电子邮件等方式递交的非原件形式的质疑。</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28.5.4 未参加投标活动的投标人或在投标活动中自身权益未受到损害的投标人所提出的质疑。</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28.5.5投标人组成联合体参加投标，联合体中任何一方或多方未按要求签字、盖章、加盖公章的质疑。</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28.7质疑供应商对采购人、采购代理机构的答复不满意，或者采购人、采购代理机构未在规定时间内作出答复的，可以在答复期满后15个工作日内向同级财政部门提起投诉。</w:t>
      </w:r>
      <w:r>
        <w:rPr>
          <w:rFonts w:hint="eastAsia" w:ascii="宋体" w:hAnsi="宋体" w:cs="宋体"/>
        </w:rPr>
      </w:r>
      <w:r/>
    </w:p>
    <w:p>
      <w:pPr>
        <w:pStyle w:val="897"/>
        <w:ind w:firstLine="420"/>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29、中标通知书</w:t>
      </w:r>
      <w:r>
        <w:rPr>
          <w:rFonts w:hint="eastAsia" w:ascii="宋体" w:hAnsi="宋体" w:eastAsia="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29.l</w:t>
      </w:r>
      <w:r>
        <w:rPr>
          <w:rFonts w:hint="eastAsia" w:ascii="宋体" w:hAnsi="宋体" w:cs="宋体"/>
          <w:b/>
          <w:color w:val="000000"/>
        </w:rPr>
        <w:t xml:space="preserve"> </w:t>
      </w:r>
      <w:r>
        <w:rPr>
          <w:rFonts w:hint="eastAsia" w:ascii="宋体" w:hAnsi="宋体" w:cs="宋体"/>
          <w:color w:val="000000"/>
          <w:sz w:val="22"/>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rPr>
      </w:r>
      <w:r/>
    </w:p>
    <w:p>
      <w:pPr>
        <w:pStyle w:val="896"/>
        <w:spacing w:before="0" w:after="0" w:line="559" w:lineRule="atLeast"/>
        <w:rPr>
          <w:rFonts w:hint="eastAsia" w:ascii="宋体" w:hAnsi="宋体" w:cs="宋体"/>
        </w:rPr>
        <w:pBdr>
          <w:top w:val="none" w:color="000000" w:sz="0" w:space="0"/>
          <w:left w:val="none" w:color="000000" w:sz="0" w:space="0"/>
          <w:bottom w:val="none" w:color="000000" w:sz="0" w:space="0"/>
          <w:right w:val="none" w:color="000000" w:sz="0" w:space="0"/>
        </w:pBdr>
        <w:outlineLvl w:val="1"/>
      </w:pPr>
      <w:r/>
      <w:bookmarkStart w:id="40" w:name="_Toc1076"/>
      <w:r/>
      <w:bookmarkStart w:id="41" w:name="_Toc16633"/>
      <w:r>
        <w:rPr>
          <w:rFonts w:hint="eastAsia" w:ascii="宋体" w:hAnsi="宋体" w:cs="宋体"/>
          <w:color w:val="000000"/>
          <w:sz w:val="22"/>
        </w:rPr>
        <w:t xml:space="preserve">七、授予合同</w:t>
      </w:r>
      <w:bookmarkEnd w:id="40"/>
      <w:r/>
      <w:bookmarkEnd w:id="41"/>
      <w:r>
        <w:rPr>
          <w:rFonts w:hint="eastAsia" w:ascii="宋体" w:hAnsi="宋体" w:cs="宋体"/>
        </w:rPr>
      </w:r>
      <w:r/>
    </w:p>
    <w:p>
      <w:pPr>
        <w:pStyle w:val="897"/>
        <w:ind w:firstLine="420"/>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30. 签订合同</w:t>
      </w:r>
      <w:r>
        <w:rPr>
          <w:rFonts w:hint="eastAsia" w:ascii="宋体" w:hAnsi="宋体" w:eastAsia="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30.l中标人应当在中标通知书发出之日起15日内，按照招标文件确定的事项与采购人签订政府采购合同。并在签订之日起2个工作日内将政府采购合同在指定的媒体上公告，但政府采购合同中涉及国家秘密、商业秘密的内容除外。</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30.2</w:t>
      </w:r>
      <w:r>
        <w:rPr>
          <w:rFonts w:hint="eastAsia" w:ascii="宋体" w:hAnsi="宋体" w:cs="宋体"/>
          <w:b/>
          <w:color w:val="000000"/>
        </w:rPr>
        <w:t xml:space="preserve"> </w:t>
      </w:r>
      <w:r>
        <w:rPr>
          <w:rFonts w:hint="eastAsia" w:ascii="宋体" w:hAnsi="宋体" w:cs="宋体"/>
          <w:color w:val="000000"/>
          <w:sz w:val="22"/>
        </w:rPr>
        <w:t xml:space="preserve">招标文件、中标人的投标文件及招标过程中有关澄清、承诺文件均应作为合同附件。</w:t>
      </w:r>
      <w:r>
        <w:rPr>
          <w:rFonts w:hint="eastAsia" w:ascii="宋体" w:hAnsi="宋体" w:cs="宋体"/>
        </w:rPr>
      </w:r>
      <w:r/>
    </w:p>
    <w:p>
      <w:pPr>
        <w:pStyle w:val="893"/>
        <w:ind w:firstLine="420"/>
        <w:spacing w:line="49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30.3 签订合同后，中标人不得将合同标的进行转包。未经采购人同意，中标人也不得采用分包的形式履行合同，否则采购人有权终止合同。转包或分包造成采购人损失的，中标人应</w:t>
      </w:r>
      <w:r>
        <w:rPr>
          <w:rFonts w:hint="eastAsia" w:ascii="宋体" w:hAnsi="宋体" w:cs="宋体"/>
          <w:color w:val="000000"/>
          <w:sz w:val="22"/>
          <w:highlight w:val="none"/>
        </w:rPr>
        <w:t xml:space="preserve">承担相应赔偿责任。</w:t>
      </w:r>
      <w:r>
        <w:rPr>
          <w:rFonts w:hint="eastAsia" w:ascii="宋体" w:hAnsi="宋体" w:cs="宋体"/>
          <w:highlight w:val="none"/>
        </w:rPr>
      </w:r>
      <w:r/>
    </w:p>
    <w:p>
      <w:pPr>
        <w:pStyle w:val="893"/>
        <w:ind w:firstLine="420"/>
        <w:spacing w:line="49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30.4本项目的非主体、非关键性工作是否允许分包按以下第</w:t>
      </w:r>
      <w:r>
        <w:rPr>
          <w:rFonts w:hint="eastAsia" w:ascii="宋体" w:hAnsi="宋体" w:cs="宋体"/>
          <w:color w:val="000000"/>
          <w:sz w:val="22"/>
          <w:highlight w:val="none"/>
          <w:u w:val="single"/>
        </w:rPr>
        <w:t xml:space="preserve">（</w:t>
      </w:r>
      <w:r>
        <w:rPr>
          <w:rFonts w:hint="eastAsia" w:ascii="宋体" w:hAnsi="宋体" w:cs="宋体"/>
          <w:color w:val="000000"/>
          <w:sz w:val="22"/>
          <w:highlight w:val="none"/>
          <w:u w:val="single"/>
          <w:lang w:val="en-US" w:eastAsia="zh-CN"/>
        </w:rPr>
        <w:t xml:space="preserve">2</w:t>
      </w:r>
      <w:r>
        <w:rPr>
          <w:rFonts w:hint="eastAsia" w:ascii="宋体" w:hAnsi="宋体" w:cs="宋体"/>
          <w:color w:val="000000"/>
          <w:sz w:val="22"/>
          <w:highlight w:val="none"/>
          <w:u w:val="single"/>
        </w:rPr>
        <w:t xml:space="preserve">）</w:t>
      </w:r>
      <w:r>
        <w:rPr>
          <w:rFonts w:hint="eastAsia" w:ascii="宋体" w:hAnsi="宋体" w:cs="宋体"/>
          <w:color w:val="000000"/>
          <w:sz w:val="22"/>
          <w:highlight w:val="none"/>
        </w:rPr>
        <w:t xml:space="preserve">种方式确定：</w:t>
      </w:r>
      <w:r>
        <w:rPr>
          <w:rFonts w:hint="eastAsia" w:ascii="宋体" w:hAnsi="宋体" w:cs="宋体"/>
          <w:highlight w:val="none"/>
        </w:rPr>
      </w:r>
      <w:r/>
    </w:p>
    <w:p>
      <w:pPr>
        <w:pStyle w:val="893"/>
        <w:ind w:firstLine="420"/>
        <w:spacing w:line="49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1.允许分包，允许大中型企业向一家或者多家小微企业分包，分包具体内容、金额或比例：</w:t>
      </w:r>
      <w:r>
        <w:rPr>
          <w:rFonts w:hint="eastAsia" w:ascii="宋体" w:hAnsi="宋体" w:cs="宋体"/>
          <w:color w:val="000000"/>
          <w:sz w:val="22"/>
          <w:highlight w:val="none"/>
          <w:u w:val="single"/>
        </w:rPr>
        <w:t xml:space="preserve">/</w:t>
      </w:r>
      <w:r>
        <w:rPr>
          <w:rFonts w:hint="eastAsia" w:ascii="宋体" w:hAnsi="宋体" w:cs="宋体"/>
          <w:color w:val="000000"/>
          <w:sz w:val="22"/>
          <w:highlight w:val="none"/>
        </w:rPr>
        <w:t xml:space="preserve">；</w:t>
      </w:r>
      <w:r>
        <w:rPr>
          <w:rFonts w:hint="eastAsia" w:ascii="宋体" w:hAnsi="宋体" w:cs="宋体"/>
          <w:highlight w:val="none"/>
        </w:rPr>
      </w:r>
      <w:r/>
    </w:p>
    <w:p>
      <w:pPr>
        <w:pStyle w:val="893"/>
        <w:ind w:firstLine="420"/>
        <w:spacing w:line="49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sz w:val="22"/>
          <w:highlight w:val="none"/>
        </w:rPr>
        <w:t xml:space="preserve">2.不允许分包。未经采购人同意，中标人也不得采用分包形式履行合同,否则采购人有权终止合同。转包或分包造成采购人损失的，中标人应承担相应赔偿责任。</w:t>
      </w:r>
      <w:r>
        <w:rPr>
          <w:rFonts w:hint="eastAsia" w:ascii="宋体" w:hAnsi="宋体" w:cs="宋体"/>
          <w:highlight w:val="none"/>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30.4履约保证金</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按照以下第</w:t>
      </w:r>
      <w:r>
        <w:rPr>
          <w:rFonts w:hint="eastAsia" w:ascii="宋体" w:hAnsi="宋体" w:cs="宋体"/>
          <w:color w:val="000000"/>
          <w:sz w:val="22"/>
          <w:u w:val="single"/>
        </w:rPr>
        <w:t xml:space="preserve">（1）</w:t>
      </w:r>
      <w:r>
        <w:rPr>
          <w:rFonts w:hint="eastAsia" w:ascii="宋体" w:hAnsi="宋体" w:cs="宋体"/>
          <w:color w:val="000000"/>
          <w:sz w:val="22"/>
        </w:rPr>
        <w:t xml:space="preserve">方式确定履约保证收取方式。</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(1)不收取履约保证金。</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(2)履约保证金应在采购合同签订前提交，履约保证金的金额：</w:t>
      </w:r>
      <w:r>
        <w:rPr>
          <w:rFonts w:hint="eastAsia" w:ascii="宋体" w:hAnsi="宋体" w:cs="宋体"/>
          <w:color w:val="000000"/>
          <w:u w:val="single"/>
        </w:rPr>
        <w:t xml:space="preserve"> </w:t>
      </w:r>
      <w:r>
        <w:rPr>
          <w:rFonts w:hint="eastAsia" w:ascii="宋体" w:hAnsi="宋体" w:cs="宋体"/>
          <w:color w:val="000000"/>
          <w:sz w:val="22"/>
          <w:u w:val="single"/>
        </w:rPr>
        <w:t xml:space="preserve">/</w:t>
      </w:r>
      <w:r>
        <w:rPr>
          <w:rFonts w:hint="eastAsia" w:ascii="宋体" w:hAnsi="宋体" w:cs="宋体"/>
          <w:color w:val="000000"/>
          <w:u w:val="single"/>
        </w:rPr>
        <w:t xml:space="preserve"> </w:t>
      </w:r>
      <w:r>
        <w:rPr>
          <w:rFonts w:hint="eastAsia" w:ascii="宋体" w:hAnsi="宋体" w:cs="宋体"/>
          <w:color w:val="000000"/>
          <w:sz w:val="22"/>
          <w:u w:val="single"/>
        </w:rPr>
        <w:t xml:space="preserve">，</w:t>
      </w:r>
      <w:r>
        <w:rPr>
          <w:rFonts w:hint="eastAsia" w:ascii="宋体" w:hAnsi="宋体" w:cs="宋体"/>
          <w:color w:val="000000"/>
          <w:sz w:val="22"/>
        </w:rPr>
        <w:t xml:space="preserve">按采购合同总价的</w:t>
      </w:r>
      <w:r>
        <w:rPr>
          <w:rFonts w:hint="eastAsia" w:ascii="宋体" w:hAnsi="宋体" w:cs="宋体"/>
          <w:color w:val="000000"/>
          <w:sz w:val="22"/>
          <w:u w:val="single"/>
        </w:rPr>
        <w:t xml:space="preserve">/</w:t>
      </w:r>
      <w:r>
        <w:rPr>
          <w:rFonts w:hint="eastAsia" w:ascii="宋体" w:hAnsi="宋体" w:cs="宋体"/>
          <w:color w:val="000000"/>
          <w:sz w:val="22"/>
        </w:rPr>
        <w:t xml:space="preserve">%计取。除银行电汇、网上银行、数字人民币外，投标人还可选用银行保函、担保公司的保证担保或保险公司的保证保险、等多种形式向采购人缴纳；</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履约保证金退还的条件：按以下方式实行：</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服务类项目，项目履约期满评价合格，出具验收报告（履约评价报告）及履约保证金收据申请退付；</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履约保证金退还时间：采购单位收到投标人退付申请后5个工作日内退还；</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逾期退还履约保证金的违约责任：除应当退还履约保证金外，还应当按中国人民银行同期贷款基准利率上浮</w:t>
      </w:r>
      <w:r>
        <w:rPr>
          <w:rFonts w:hint="eastAsia" w:ascii="宋体" w:hAnsi="宋体" w:cs="宋体"/>
          <w:color w:val="000000"/>
        </w:rPr>
        <w:t xml:space="preserve"> </w:t>
      </w:r>
      <w:r>
        <w:rPr>
          <w:rFonts w:hint="eastAsia" w:ascii="宋体" w:hAnsi="宋体" w:cs="宋体"/>
          <w:color w:val="000000"/>
          <w:sz w:val="22"/>
        </w:rPr>
        <w:t xml:space="preserve">20％后的利率支付超期资金占用费，但因投标人自身原因导致无法及时退还的除外。</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cs="宋体"/>
        </w:rPr>
      </w:r>
      <w:r/>
    </w:p>
    <w:p>
      <w:pPr>
        <w:pStyle w:val="897"/>
        <w:ind w:firstLine="420"/>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31、服务（包含与服务相关的货物）的追加</w:t>
      </w:r>
      <w:r>
        <w:rPr>
          <w:rFonts w:hint="eastAsia" w:ascii="宋体" w:hAnsi="宋体" w:eastAsia="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s="宋体"/>
        </w:rPr>
      </w:r>
      <w:r/>
    </w:p>
    <w:p>
      <w:pPr>
        <w:pStyle w:val="897"/>
        <w:ind w:firstLine="420"/>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32、政府采购履约资金扶持政策</w:t>
      </w:r>
      <w:r>
        <w:rPr>
          <w:rFonts w:hint="eastAsia" w:ascii="宋体" w:hAnsi="宋体" w:eastAsia="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32.1依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宋体" w:hAnsi="宋体" w:cs="宋体"/>
        </w:rPr>
      </w:r>
      <w:r/>
    </w:p>
    <w:p>
      <w:pPr>
        <w:pStyle w:val="897"/>
        <w:ind w:firstLine="422"/>
        <w:spacing w:before="0"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33、验收及付款</w:t>
      </w:r>
      <w:r>
        <w:rPr>
          <w:rFonts w:hint="eastAsia" w:ascii="宋体" w:hAnsi="宋体" w:eastAsia="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33.2采购人可以邀请参加本项目的其他投标人或者第三方机构参与验收。参与验收的投标人或者第三方机构的意见作为验收书的参考资料一并存档。</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宋体" w:hAnsi="宋体" w:cs="宋体"/>
        </w:rPr>
      </w:r>
      <w:r/>
    </w:p>
    <w:p>
      <w:pPr>
        <w:pStyle w:val="893"/>
        <w:ind w:firstLine="422"/>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rPr>
        <w:t xml:space="preserve">34、付款</w:t>
      </w:r>
      <w:r>
        <w:rPr>
          <w:rFonts w:hint="eastAsia" w:ascii="宋体" w:hAnsi="宋体" w:cs="宋体"/>
        </w:rPr>
      </w:r>
      <w:r/>
    </w:p>
    <w:p>
      <w:pPr>
        <w:pStyle w:val="893"/>
        <w:ind w:firstLine="420"/>
        <w:spacing w:line="49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 </w:t>
      </w:r>
      <w:r>
        <w:rPr>
          <w:rFonts w:hint="eastAsia" w:ascii="宋体" w:hAnsi="宋体" w:cs="宋体"/>
          <w:color w:val="000000"/>
          <w:sz w:val="22"/>
        </w:rPr>
        <w:t xml:space="preserve">按照以下确定的付款方式，采购人及时办理付款手续。对于满足合同约定支付条件的，</w:t>
      </w:r>
      <w:r>
        <w:rPr>
          <w:rFonts w:hint="eastAsia" w:ascii="宋体" w:hAnsi="宋体" w:cs="宋体"/>
          <w:color w:val="000000"/>
          <w:sz w:val="22"/>
          <w:highlight w:val="none"/>
        </w:rPr>
        <w:t xml:space="preserve">自收到发票后10个工作日内将资金支付到合同约定的供应商账户或供应商数字人民币账户。</w:t>
      </w:r>
      <w:r>
        <w:rPr>
          <w:rFonts w:hint="eastAsia" w:ascii="宋体" w:hAnsi="宋体" w:cs="宋体"/>
          <w:highlight w:val="none"/>
        </w:rPr>
      </w:r>
      <w:r/>
    </w:p>
    <w:p>
      <w:pPr>
        <w:pStyle w:val="893"/>
        <w:ind w:firstLine="420"/>
        <w:spacing w:line="49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预付款：合同金额的</w:t>
      </w:r>
      <w:r>
        <w:rPr>
          <w:rFonts w:hint="eastAsia" w:ascii="宋体" w:hAnsi="宋体" w:cs="宋体"/>
          <w:color w:val="000000"/>
          <w:sz w:val="22"/>
          <w:highlight w:val="none"/>
          <w:u w:val="single"/>
        </w:rPr>
        <w:t xml:space="preserve">10</w:t>
      </w:r>
      <w:r>
        <w:rPr>
          <w:rFonts w:hint="eastAsia" w:ascii="宋体" w:hAnsi="宋体" w:cs="宋体"/>
          <w:color w:val="000000"/>
          <w:sz w:val="22"/>
          <w:highlight w:val="none"/>
        </w:rPr>
        <w:t xml:space="preserve">%，合同签订后按规定支付；</w:t>
      </w:r>
      <w:r>
        <w:rPr>
          <w:rFonts w:hint="eastAsia" w:ascii="宋体" w:hAnsi="宋体" w:cs="宋体"/>
          <w:color w:val="000000"/>
          <w:highlight w:val="none"/>
        </w:rPr>
        <w:t xml:space="preserve"> </w:t>
      </w:r>
      <w:r>
        <w:rPr>
          <w:rFonts w:hint="eastAsia" w:ascii="宋体" w:hAnsi="宋体" w:cs="宋体"/>
          <w:highlight w:val="none"/>
        </w:rPr>
      </w:r>
      <w:r/>
    </w:p>
    <w:p>
      <w:pPr>
        <w:pStyle w:val="893"/>
        <w:ind w:firstLine="420"/>
        <w:spacing w:line="49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年度进度款：剩余服务费采用按月考核按月拨付的方式，甲方按照文件服务内容要求和乙方响应文件中承诺的服务事项制定宿迁智慧城市科技馆运营管理绩效考核制度，乙方应无条件接受，服务期内，甲方每月按照绩效考核制度支付款项，且当月付款最高额度不得超过年度服务费金额的7.5%，剩余年度服务费的10%，根据当年度绩效考核得分及验收情况进行支付。</w:t>
      </w:r>
      <w:r>
        <w:rPr>
          <w:rFonts w:hint="eastAsia" w:ascii="宋体" w:hAnsi="宋体" w:cs="宋体"/>
          <w:highlight w:val="none"/>
        </w:rPr>
      </w:r>
      <w:r/>
    </w:p>
    <w:p>
      <w:pPr>
        <w:pStyle w:val="893"/>
        <w:ind w:firstLine="420"/>
        <w:spacing w:line="49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注：在签订合同时，中标人明确表示无需预付款或者主动要求降低预付款比例的金额，采购人可不适用预付款规定。</w:t>
      </w:r>
      <w:r>
        <w:rPr>
          <w:rFonts w:hint="eastAsia" w:ascii="宋体" w:hAnsi="宋体" w:cs="宋体"/>
          <w:highlight w:val="none"/>
        </w:rPr>
      </w:r>
      <w:r/>
    </w:p>
    <w:p>
      <w:pPr>
        <w:pStyle w:val="894"/>
        <w:rPr>
          <w:rFonts w:hint="eastAsia" w:ascii="宋体" w:hAnsi="宋体" w:eastAsia="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rPr>
        <w:br w:type="page" w:clear="all"/>
      </w:r>
      <w:r>
        <w:rPr>
          <w:rFonts w:hint="eastAsia" w:ascii="宋体" w:hAnsi="宋体" w:eastAsia="宋体" w:cs="宋体"/>
        </w:rPr>
      </w:r>
      <w:r/>
    </w:p>
    <w:p>
      <w:pPr>
        <w:pStyle w:val="894"/>
        <w:rPr>
          <w:rFonts w:hint="eastAsia" w:ascii="宋体" w:hAnsi="宋体" w:eastAsia="宋体" w:cs="宋体"/>
        </w:rPr>
        <w:pBdr>
          <w:top w:val="none" w:color="000000" w:sz="0" w:space="0"/>
          <w:left w:val="none" w:color="000000" w:sz="0" w:space="0"/>
          <w:bottom w:val="none" w:color="000000" w:sz="0" w:space="0"/>
          <w:right w:val="none" w:color="000000" w:sz="0" w:space="0"/>
        </w:pBdr>
      </w:pPr>
      <w:r/>
      <w:bookmarkStart w:id="42" w:name="_Toc28817"/>
      <w:r/>
      <w:bookmarkStart w:id="43" w:name="_Toc32417"/>
      <w:r/>
      <w:bookmarkStart w:id="44" w:name="_Toc2369"/>
      <w:r>
        <w:rPr>
          <w:rFonts w:hint="eastAsia" w:ascii="宋体" w:hAnsi="宋体" w:eastAsia="宋体" w:cs="宋体"/>
          <w:b/>
          <w:color w:val="000000"/>
          <w:sz w:val="44"/>
        </w:rPr>
        <w:t xml:space="preserve">第三章合同文本</w:t>
      </w:r>
      <w:bookmarkEnd w:id="42"/>
      <w:r/>
      <w:bookmarkEnd w:id="43"/>
      <w:r/>
      <w:bookmarkEnd w:id="44"/>
      <w:r>
        <w:rPr>
          <w:rFonts w:hint="eastAsia" w:ascii="宋体" w:hAnsi="宋体" w:eastAsia="宋体" w:cs="宋体"/>
        </w:rPr>
      </w:r>
      <w:r/>
    </w:p>
    <w:p>
      <w:pPr>
        <w:pStyle w:val="919"/>
        <w:ind w:firstLine="420"/>
        <w:spacing w:line="360" w:lineRule="auto"/>
        <w:rPr>
          <w:rFonts w:hint="eastAsia" w:ascii="宋体" w:hAnsi="宋体" w:cs="宋体"/>
          <w:color w:val="000000"/>
          <w:sz w:val="21"/>
          <w:szCs w:val="21"/>
          <w:highlight w:val="white"/>
        </w:rPr>
        <w:outlineLvl w:val="1"/>
      </w:pPr>
      <w:r/>
      <w:bookmarkStart w:id="45" w:name="_Toc10832"/>
      <w:r/>
      <w:bookmarkStart w:id="46" w:name="_Toc29869"/>
      <w:r>
        <w:rPr>
          <w:rFonts w:hint="eastAsia" w:ascii="宋体" w:hAnsi="宋体" w:cs="宋体"/>
          <w:color w:val="000000"/>
          <w:sz w:val="21"/>
          <w:szCs w:val="21"/>
          <w:highlight w:val="white"/>
        </w:rPr>
        <w:t xml:space="preserve">一、合作宗旨</w:t>
      </w:r>
      <w:bookmarkEnd w:id="45"/>
      <w:r/>
      <w:bookmarkEnd w:id="46"/>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根据智慧城市科技馆设计规划，以打造科普展示中心、科技研发中心、运营管理中心为运营管理目标，以市数字化城市管理监督指挥中心为管理主体，以政府购买服务方式，吸引优秀企业建立专业化管理团队进行日常运营，将智慧城市科技馆打造成为智慧城市应用管理、智慧科普基地、城市形象窗口，集中展示宿迁智慧城市的整体形象及实力，实现加快城市治理体系和治理能力现代化。</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outlineLvl w:val="1"/>
      </w:pPr>
      <w:r/>
      <w:bookmarkStart w:id="47" w:name="_Toc28650"/>
      <w:r/>
      <w:bookmarkStart w:id="48" w:name="_Toc16833"/>
      <w:r>
        <w:rPr>
          <w:rFonts w:hint="eastAsia" w:ascii="宋体" w:hAnsi="宋体" w:cs="宋体"/>
          <w:color w:val="000000"/>
          <w:sz w:val="21"/>
          <w:szCs w:val="21"/>
          <w:highlight w:val="white"/>
        </w:rPr>
        <w:t xml:space="preserve">二、项目名称</w:t>
      </w:r>
      <w:bookmarkEnd w:id="47"/>
      <w:r/>
      <w:bookmarkEnd w:id="48"/>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宿迁智慧城市科技馆运营项目。</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outlineLvl w:val="1"/>
      </w:pPr>
      <w:r/>
      <w:bookmarkStart w:id="49" w:name="_Toc8520"/>
      <w:r/>
      <w:bookmarkStart w:id="50" w:name="_Toc22729"/>
      <w:r>
        <w:rPr>
          <w:rFonts w:hint="eastAsia" w:ascii="宋体" w:hAnsi="宋体" w:cs="宋体"/>
          <w:color w:val="000000"/>
          <w:sz w:val="21"/>
          <w:szCs w:val="21"/>
          <w:highlight w:val="white"/>
        </w:rPr>
        <w:t xml:space="preserve">三、项目选址及面积</w:t>
      </w:r>
      <w:bookmarkEnd w:id="49"/>
      <w:r/>
      <w:bookmarkEnd w:id="50"/>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宿迁市智慧城市科技馆内，共计15302平方米。</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四、服务期限：</w:t>
      </w:r>
      <w:r>
        <w:rPr>
          <w:rFonts w:hint="eastAsia" w:ascii="宋体" w:hAnsi="宋体" w:cs="宋体"/>
          <w:color w:val="000000"/>
          <w:sz w:val="21"/>
          <w:szCs w:val="21"/>
          <w:highlight w:val="white"/>
          <w:u w:val="single"/>
        </w:rPr>
        <w:t xml:space="preserve">合同签订生效</w:t>
      </w:r>
      <w:r>
        <w:rPr>
          <w:rFonts w:hint="eastAsia" w:ascii="宋体" w:hAnsi="宋体" w:cs="宋体"/>
          <w:color w:val="000000"/>
          <w:sz w:val="21"/>
          <w:szCs w:val="21"/>
          <w:highlight w:val="white"/>
          <w:u w:val="single"/>
          <w:lang w:val="en-US" w:eastAsia="zh-CN"/>
        </w:rPr>
        <w:t xml:space="preserve">之日起</w:t>
      </w:r>
      <w:r>
        <w:rPr>
          <w:rFonts w:hint="eastAsia" w:ascii="宋体" w:hAnsi="宋体" w:cs="宋体"/>
          <w:color w:val="000000"/>
          <w:sz w:val="21"/>
          <w:szCs w:val="21"/>
          <w:highlight w:val="white"/>
          <w:u w:val="single"/>
        </w:rPr>
        <w:t xml:space="preserve">2年。</w:t>
      </w:r>
      <w:r>
        <w:rPr>
          <w:rFonts w:hint="eastAsia" w:ascii="宋体" w:hAnsi="宋体" w:cs="宋体"/>
          <w:color w:val="000000"/>
          <w:sz w:val="21"/>
          <w:szCs w:val="21"/>
          <w:highlight w:val="white"/>
        </w:rPr>
        <w:t xml:space="preserve"> </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五、合同金额</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合同总金额为人民币（大写）：</w:t>
      </w:r>
      <w:r>
        <w:rPr>
          <w:rFonts w:hint="eastAsia" w:ascii="宋体" w:hAnsi="宋体" w:cs="宋体"/>
          <w:color w:val="000000"/>
          <w:sz w:val="21"/>
          <w:szCs w:val="21"/>
          <w:highlight w:val="white"/>
          <w:u w:val="single"/>
        </w:rPr>
        <w:t xml:space="preserve">           元</w:t>
      </w:r>
      <w:r>
        <w:rPr>
          <w:rFonts w:hint="eastAsia" w:ascii="宋体" w:hAnsi="宋体" w:cs="宋体"/>
          <w:color w:val="000000"/>
          <w:sz w:val="21"/>
          <w:szCs w:val="21"/>
          <w:highlight w:val="white"/>
        </w:rPr>
        <w:t xml:space="preserve">(￥ </w:t>
      </w:r>
      <w:r>
        <w:rPr>
          <w:rFonts w:hint="eastAsia" w:ascii="宋体" w:hAnsi="宋体" w:cs="宋体"/>
          <w:color w:val="000000"/>
          <w:sz w:val="21"/>
          <w:szCs w:val="21"/>
          <w:highlight w:val="white"/>
          <w:u w:val="single"/>
        </w:rPr>
        <w:t xml:space="preserve">           </w:t>
      </w:r>
      <w:r>
        <w:rPr>
          <w:rFonts w:hint="eastAsia" w:ascii="宋体" w:hAnsi="宋体" w:cs="宋体"/>
          <w:color w:val="000000"/>
          <w:sz w:val="21"/>
          <w:szCs w:val="21"/>
          <w:highlight w:val="white"/>
        </w:rPr>
        <w:t xml:space="preserve">元）。 </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以上价格包含税金、场馆内运营服务、维护服务、人员工资、设备维护等乙方为履行本合同约定义务所需的全部费用，不包含电费，电费由甲方支付。</w:t>
      </w:r>
      <w:r>
        <w:rPr>
          <w:rFonts w:hint="eastAsia" w:ascii="宋体" w:hAnsi="宋体" w:cs="宋体"/>
          <w:color w:val="000000"/>
          <w:sz w:val="21"/>
          <w:szCs w:val="21"/>
        </w:rPr>
      </w:r>
      <w:r/>
    </w:p>
    <w:p>
      <w:pPr>
        <w:pStyle w:val="919"/>
        <w:ind w:firstLine="420"/>
        <w:spacing w:line="360" w:lineRule="auto"/>
        <w:rPr>
          <w:rFonts w:hint="eastAsia" w:ascii="宋体" w:hAnsi="宋体" w:cs="宋体"/>
          <w:color w:val="000000"/>
          <w:sz w:val="21"/>
          <w:szCs w:val="21"/>
          <w:highlight w:val="none"/>
        </w:rPr>
        <w:outlineLvl w:val="1"/>
      </w:pPr>
      <w:r/>
      <w:bookmarkStart w:id="51" w:name="_Toc13980"/>
      <w:r/>
      <w:bookmarkStart w:id="52" w:name="_Toc2451"/>
      <w:r>
        <w:rPr>
          <w:rFonts w:hint="eastAsia" w:ascii="宋体" w:hAnsi="宋体" w:cs="宋体"/>
          <w:color w:val="000000"/>
          <w:sz w:val="21"/>
          <w:szCs w:val="21"/>
          <w:highlight w:val="none"/>
        </w:rPr>
        <w:t xml:space="preserve">六、费用结算</w:t>
      </w:r>
      <w:bookmarkEnd w:id="51"/>
      <w:r/>
      <w:bookmarkEnd w:id="52"/>
      <w:r>
        <w:rPr>
          <w:rFonts w:hint="eastAsia" w:ascii="宋体" w:hAnsi="宋体" w:cs="宋体"/>
          <w:color w:val="000000"/>
          <w:sz w:val="21"/>
          <w:szCs w:val="21"/>
          <w:highlight w:val="none"/>
        </w:rPr>
      </w:r>
      <w:r/>
    </w:p>
    <w:p>
      <w:pPr>
        <w:pStyle w:val="893"/>
        <w:ind w:firstLine="420"/>
        <w:spacing w:line="440" w:lineRule="exact"/>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预付款：合同金额的10%，合同签订后按规定支付； </w:t>
      </w:r>
      <w:r>
        <w:rPr>
          <w:rFonts w:hint="eastAsia" w:ascii="宋体" w:hAnsi="宋体" w:cs="宋体"/>
          <w:color w:val="000000"/>
          <w:sz w:val="21"/>
          <w:szCs w:val="21"/>
          <w:highlight w:val="none"/>
        </w:rPr>
      </w:r>
      <w:r/>
    </w:p>
    <w:p>
      <w:pPr>
        <w:pStyle w:val="919"/>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年度进度款：剩余服务费采用按月考核按月拨付的方式，甲方按照</w:t>
      </w:r>
      <w:r>
        <w:rPr>
          <w:rFonts w:hint="eastAsia" w:ascii="宋体" w:hAnsi="宋体" w:cs="宋体"/>
          <w:color w:val="000000"/>
          <w:sz w:val="21"/>
          <w:szCs w:val="21"/>
          <w:highlight w:val="none"/>
          <w:lang w:val="en-US" w:eastAsia="zh-CN"/>
        </w:rPr>
        <w:t xml:space="preserve">招标</w:t>
      </w:r>
      <w:r>
        <w:rPr>
          <w:rFonts w:hint="eastAsia" w:ascii="宋体" w:hAnsi="宋体" w:cs="宋体"/>
          <w:color w:val="000000"/>
          <w:sz w:val="21"/>
          <w:szCs w:val="21"/>
          <w:highlight w:val="none"/>
        </w:rPr>
        <w:t xml:space="preserve">文件服务内容要求和乙方响应文件中承诺的服务事项制定宿迁智慧城市科技馆运营管理绩效考核制度，乙方应无条件接受，服务期内，甲方每月按照绩效考核制度支付款项，且当月付款最高额度不得超过年度服务费金额的7.5%，剩余年度服务费的10%，根据当年度绩效考核得分及验收情况进行支付。</w:t>
      </w:r>
      <w:r>
        <w:rPr>
          <w:rFonts w:hint="eastAsia" w:ascii="宋体" w:hAnsi="宋体" w:cs="宋体"/>
          <w:color w:val="000000"/>
          <w:sz w:val="21"/>
          <w:szCs w:val="21"/>
          <w:highlight w:val="none"/>
        </w:rPr>
      </w:r>
      <w:r/>
    </w:p>
    <w:p>
      <w:pPr>
        <w:pStyle w:val="919"/>
        <w:ind w:firstLine="420"/>
        <w:spacing w:line="440" w:lineRule="exact"/>
        <w:rPr>
          <w:rFonts w:hint="eastAsia" w:ascii="宋体" w:hAnsi="宋体" w:cs="宋体"/>
          <w:color w:val="000000"/>
          <w:sz w:val="21"/>
          <w:szCs w:val="21"/>
          <w:highlight w:val="white"/>
        </w:rPr>
      </w:pPr>
      <w:r>
        <w:rPr>
          <w:rFonts w:hint="eastAsia" w:ascii="宋体" w:hAnsi="宋体" w:cs="宋体"/>
          <w:color w:val="000000"/>
          <w:sz w:val="21"/>
          <w:szCs w:val="21"/>
          <w:highlight w:val="none"/>
        </w:rPr>
        <w:t xml:space="preserve">（注：在签订合同时，乙方明确表示无需预付款或者主动要求降低预付款比例的额度，甲</w:t>
      </w:r>
      <w:r>
        <w:rPr>
          <w:rFonts w:hint="eastAsia" w:ascii="宋体" w:hAnsi="宋体" w:cs="宋体"/>
          <w:color w:val="000000"/>
          <w:sz w:val="21"/>
          <w:szCs w:val="21"/>
          <w:highlight w:val="white"/>
        </w:rPr>
        <w:t xml:space="preserve">方可不适用前述预付款规定。）</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甲方付款前，乙方应按要求提供相应发票，否则甲方有权拒绝付款且不视为违约。甲方有权从应付款项中直接扣除乙方应承担的违约金及其他费用。</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outlineLvl w:val="1"/>
      </w:pPr>
      <w:r/>
      <w:bookmarkStart w:id="53" w:name="_Toc10885"/>
      <w:r/>
      <w:bookmarkStart w:id="54" w:name="_Toc893"/>
      <w:r>
        <w:rPr>
          <w:rFonts w:hint="eastAsia" w:ascii="宋体" w:hAnsi="宋体" w:cs="宋体"/>
          <w:color w:val="000000"/>
          <w:sz w:val="21"/>
          <w:szCs w:val="21"/>
          <w:highlight w:val="white"/>
        </w:rPr>
        <w:t xml:space="preserve">七、服务内容</w:t>
      </w:r>
      <w:bookmarkEnd w:id="53"/>
      <w:r/>
      <w:bookmarkEnd w:id="54"/>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负责宿迁智慧城市科技馆包括但不限于一楼序厅、展示区、互动娱乐区、多媒体报告厅、无人超市，二楼运营管理中心、产业展示区、临展区、5D影院、食堂、休闲餐吧、书吧，科技馆各类应用的运营管理与技术维护工作，严格对照宿迁智慧城市科技馆建设内容及后续更新的展示展项提供优良的运营服务，体现智慧城市科技馆建设内涵，逐步提升场馆活力。</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其中，针对一楼序厅、展示区、互动娱乐区、二楼运营管理中心、5D影院、馆内各类应用建设内容需要保持良好的正常对外开馆状态，做好相关硬件设施的维护维修，按要求保障各类展项正常开放使用，根据采购人运营需要及时做好讲解内容的提升与更新工作；持续保持吸引社会各界来访参观的良性状态；针对二楼产业展示区、临展区，须在按照上述服务要求的前提下，配</w:t>
      </w:r>
      <w:r>
        <w:rPr>
          <w:rFonts w:hint="eastAsia" w:ascii="宋体" w:hAnsi="宋体" w:cs="宋体"/>
          <w:color w:val="000000"/>
          <w:sz w:val="21"/>
          <w:szCs w:val="21"/>
          <w:highlight w:val="white"/>
        </w:rPr>
        <w:t xml:space="preserve">合采购人通过各类渠道吸引企业、单位入驻展示，推动良性运转；针对休闲餐吧、书吧、无人超市，投标人须通过合作或自建形式完成相关硬件设施设备配套建设，并负责积极利用各类渠道吸引经营者入驻为科技馆提供相应服务。开展好各类宣传推广和人员培训，配齐配全相关设施设备和耗材物料，并做好统一安全保障管理；在各项管理中都须利用信息化、智慧化技术提升运营效率；拟派驻的运营人员须保证良好的形象和文明素质，确保科技馆对外良好展示形象；遇各节假日、重大活动，须做好各类氛围营造工作。各项运营工作须配合主管部门监督管理，实行绩效考核制度。</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7.1接待讲解</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根据不同的讲解对象、设置不同的参观路线，并做好相应的接待方案，给来宾良好的参观体验。</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7.1.1上级领导、中外客商、重要来宾。根据主管部门通知或预约渠道信息，提前一天规划好参观引导路线。同时，根据所参观来宾的性质作出相对应的应急方案和对口需求。确保来宾良好的参观体验。</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7.1.2市民。运营组需要根据普通市民设置适合对方参观的路线。同时运营组需引导或指导市民公众在接待处登记领取语音导览设备后，可自行入馆按照指定路线参观，同时安排定时或不定时的讲解服务，重大节假日、寒暑期间需按照采购人的要求增设或招募运营人员。运营组需告知参观民众2楼产业展示区、运营管理中心及3、4楼办公区不对公众开放，并做好相关防护措施，部分互动展项在运营组指导下操作体验，5D影院等集中服务项目有效组织秩序并负责安全保障工作。</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7.1.3团体接待。运营团队负责预约接待、讲解、引导和技术服务工作，保证团队活动有序开展，按优质服务水平完成接待任务。</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7.2宣传推广</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围绕全年工作目标，制定展馆全年宣传计划，每年至少组织策划一场展馆宣传的主题活动，积极邀请省市和各类媒体单位采访报道渲染造势，扩大影响，同时，做好公众号等新媒体采编维护工作，做好展馆宣传策划。</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7.3活动策划</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7.3.1每年度提供不少于6场的各类活动策划：</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7.3.1.1针对政府及行业客户， 每个季度开展一次专项活动， 邀请行业相关的兄弟单位或者相关产业政府领导进行活动， 对宿迁的产业发展提供良好的思路及建议，做好主题活动的策划。</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7.3.1.2每年暑期7月至8月，每月开展一次针对青少年学生科普主题活动，活动内容由项目负责人策划，并进行相应宣传，达到良好的宣传效应，每年策划的青少年科普主题活动不应少于2次；</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7.3.2展期内，根据科技馆需求，项目负责人进行相应的活动策划，策划内容包含：活动目的、活动策略、操作流程、执行手册等内容。撰写方案，科技馆确认方案后，方可执行。 项目负责人牵头负责活动宣传策划，在讲解、维护员中选出有策划能力的人员协助方案策划工作。活动执行期间，根据活动方案统筹实施。如遇重大接待活动或大型专题活动。项目负责人需牵头负责制定接待方案、安排参观路线、讲解引导和宣传工作，并确保活动安全秩序和卫生保洁工作；</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7.3.3活动开始前20天活动组进行场地勘察，与主管部门确认场地内可用空间，以及互动状态。活动确认后，进行物料准备，预留充分时间进行物料制作。小件物料限时5天内完成，大制作限时15天内完成。活动开始前2天活动物料进入展馆，由活动负责人进行彩排。活动开始，严格按照确认方案进行现场执行，现场所有工作人员全部配合。</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7.4运营维护</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7.4.1设备运行检查</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运维人员开启展馆设备，包括：电源、设备、照明、网络。并检查设备运行状态，确保设备正常运行。展期中，运维人员每30分钟例行检查设备，保证设备正常运营。闭馆后，运维人员对设备进行设备检查，确认没有故障后安全关闭，并断电。由运营组负责人核查后签字。发现设备出现故障后，由保安将设备所在区域进行格挡，并由讲解员以及保安维护现场秩序。设备如无法立即修复，由运营组负责人下达指令将设备关闭，待每日闭馆后进行修复。如设备无法彻底修复，运维人员联系设备厂家进行维护。运维人员每周一对设备系统进行例行更新维护，故障排查。</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7.4.2设备故障处理</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设备故障运维人员响应时间5分钟以内，维修时间10分钟以内。暂停设备对外运营，在设备周边2米位置进行格挡，检查问题来源，并尝试修复。运维人员修复期间，讲解员协助维持秩序并指引用户体验其他项目。运维人员快速处理修复设备，修复完成后，撤离格挡，讲解员回到岗位。如不能快速修复，运维人员关闭设备，并由讲解员在旁辅助引导。闭馆后由运维人员进行修复。</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7.5考核培训</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负责每季度对运营团队进行包括但不限于现场演练、现场授课、远程讲解、异地培训、内容更新等方面的业务培训， 项目负责人负责对团队成员工作完成情况、培训情况、综合表现进行考核，并且制定相应考核绩效，主管部门根据关键绩效指标负责对项目负责人进行考核，落实绩效。</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outlineLvl w:val="1"/>
      </w:pPr>
      <w:r/>
      <w:bookmarkStart w:id="55" w:name="_Toc26392"/>
      <w:r/>
      <w:bookmarkStart w:id="56" w:name="_Toc25227"/>
      <w:r>
        <w:rPr>
          <w:rFonts w:hint="eastAsia" w:ascii="宋体" w:hAnsi="宋体" w:cs="宋体"/>
          <w:color w:val="000000"/>
          <w:sz w:val="21"/>
          <w:szCs w:val="21"/>
          <w:highlight w:val="white"/>
        </w:rPr>
        <w:t xml:space="preserve">八、服务要求</w:t>
      </w:r>
      <w:bookmarkEnd w:id="55"/>
      <w:r/>
      <w:bookmarkEnd w:id="56"/>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8.1人员配置要求</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本项目总人数不少于13人，含项目负责人1人，讲解员4人，维护员4人，食堂运营4人。具体要求如下：</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8.1.1项目负责人要求（1人）</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负责运营管理团队管理工作，具有相关工作经验以及具备一定的策划策展能力，年龄40周岁以下。</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8.1.2运营维护组人员要求</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8.1.2.1讲解员（不少于4人）</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负责宿迁智慧城市科技馆接待讲解工作。年龄35周岁以下，具有类似规模科技馆、博物馆、景区、展览馆讲解接待工作经验，形象气质佳。女性不少于3人。</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8.1.2.2技术维护员（不少于4人）</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负责展厅网络、硬件、系统、展项设备的日常维护与操作，管理好智能楼宇系统，承担场馆内日常巡检， 问题发现和处置，做好参观保障工作，24小时服务响应，具有全日制专科或以上学历，具有从事智能化项目建设经验或信息化展厅维护工作经验。年龄35周岁以下。</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8.1.2.3食堂服务员（不少于4人）</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负责宿迁智慧城市科技馆的食堂日常工作，做好场馆内工作人员就餐时的打餐、餐后刷洗、食堂清洁等工作。年龄45周岁以下。</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8.2其他要求</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8.2.1乙方在成交后2个工作日内，将所有人员资料（近2个月的健康证及体检报告和文化程度证明材料等）交甲方审核，以上人员经甲方审核同意后3个工作日内上岗，开启场馆日常运行维护管理，保证设备正常运转，接待讲解内容同步进行，满足业主方对于政府领导接待的任务。如不能满足以上条件，业主有权要求乙方及时采取相应措施，若乙方不采取措施致合同无法继续履行，报请监管部门按相关规定处理，并由乙方负责相关连带损失以及扣除费用。</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8.2.2人员工资</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为保证服务队伍的整体素质和相对稳定性，供应商应充分考虑管理和服务人员的工资待遇。供应商要综合考虑宿迁劳动市场因素，对人工费用进行合理报价。人员工资不得低于宿迁市现行的最低工资标准，否则按无效标处理。合同期内如遇相关政策调整，乙方自行承担所需费用。</w:t>
      </w:r>
      <w:r>
        <w:rPr>
          <w:rFonts w:hint="eastAsia" w:ascii="宋体" w:hAnsi="宋体" w:cs="宋体"/>
          <w:color w:val="000000"/>
          <w:sz w:val="21"/>
          <w:szCs w:val="21"/>
          <w:highlight w:val="white"/>
        </w:rPr>
      </w:r>
      <w:r/>
    </w:p>
    <w:p>
      <w:pPr>
        <w:pStyle w:val="919"/>
        <w:ind w:firstLine="420"/>
        <w:spacing w:line="360" w:lineRule="auto"/>
        <w:rPr>
          <w:rFonts w:ascii="宋体" w:hAnsi="宋体" w:cs="宋体"/>
          <w:color w:val="000000"/>
          <w:sz w:val="21"/>
          <w:szCs w:val="21"/>
          <w:highlight w:val="white"/>
        </w:rPr>
      </w:pPr>
      <w:r>
        <w:rPr>
          <w:rFonts w:hint="eastAsia" w:ascii="宋体" w:hAnsi="宋体" w:cs="宋体"/>
          <w:color w:val="000000"/>
          <w:sz w:val="21"/>
          <w:szCs w:val="21"/>
          <w:highlight w:val="white"/>
        </w:rPr>
        <w:t xml:space="preserve">8.2.3履约期间，如发生乙方的工作人员工伤或人身伤亡事故，均由乙方承担，与甲方无关。</w:t>
      </w:r>
      <w:r>
        <w:rPr>
          <w:rFonts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8.3服务管理要求及考核细则详见招标文件“采购需求”部分。</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outlineLvl w:val="1"/>
      </w:pPr>
      <w:r/>
      <w:bookmarkStart w:id="57" w:name="_Toc12518"/>
      <w:r/>
      <w:bookmarkStart w:id="58" w:name="_Toc9646"/>
      <w:r>
        <w:rPr>
          <w:rFonts w:hint="eastAsia" w:ascii="宋体" w:hAnsi="宋体" w:cs="宋体"/>
          <w:color w:val="000000"/>
          <w:sz w:val="21"/>
          <w:szCs w:val="21"/>
          <w:highlight w:val="white"/>
        </w:rPr>
        <w:t xml:space="preserve">九、权利与义务</w:t>
      </w:r>
      <w:bookmarkEnd w:id="57"/>
      <w:r/>
      <w:bookmarkEnd w:id="58"/>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9.1甲方权利与义务</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9.1.1甲方有权对乙方的项目实施内容、项目服务质量和项目财务状况进行监督、指导和评估。</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9.1.2甲方有权建议乙方更换甲方认为不适合继续担任派驻任务的乙方员工。</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9.1.3甲方根据项目开展情况，向乙方提供必要的办公活动场所和设施。</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9.1.4甲方根据项目活动需求，配合乙方做好有关政府部门的协调工作。</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9.1.5甲方应按合同约定向乙方支付项目费用。</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9.2乙方的权利与义务</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9.2.1乙方派驻由</w:t>
      </w:r>
      <w:r>
        <w:rPr>
          <w:rFonts w:hint="eastAsia" w:ascii="宋体" w:hAnsi="宋体" w:cs="宋体"/>
          <w:color w:val="000000"/>
          <w:sz w:val="21"/>
          <w:szCs w:val="21"/>
          <w:highlight w:val="white"/>
          <w:u w:val="single"/>
        </w:rPr>
        <w:t xml:space="preserve">     </w:t>
      </w:r>
      <w:r>
        <w:rPr>
          <w:rFonts w:hint="eastAsia" w:ascii="宋体" w:hAnsi="宋体" w:cs="宋体"/>
          <w:color w:val="000000"/>
          <w:sz w:val="21"/>
          <w:szCs w:val="21"/>
          <w:highlight w:val="white"/>
        </w:rPr>
        <w:t xml:space="preserve">名以上全职人员组成的项目团队，全面实施标准化运营管理，开展宿迁智慧城市科技馆招募筛选、日常管理、监督考核等工作,保障宿迁智慧城市科技馆的良性运转。因乙方派驻人员无法履约，被甲方要求更换驻场人员，乙方应无条件配合，并配备不低于原有要求的岗位人员，人员名单另附。</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9.2.2乙方负责运营管理工作</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乙方根据招标文件基本条款以及投标文件中承诺事项和内容进行履约。甲方根据乙方履约服务质量进行绩效考核。</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乙方须加强提供的服务人员的安全管理，在履约期内，须给予所有服务人员足额缴纳相应的人身意外伤害保险或其他人身保障保险。履约期间如若发生工作人员工伤或遇工作人员人身伤亡事故，均由乙方负责，与甲方无关。 </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rPr>
      </w:pPr>
      <w:r>
        <w:rPr>
          <w:rFonts w:hint="eastAsia" w:ascii="宋体" w:hAnsi="宋体" w:cs="宋体"/>
          <w:color w:val="000000"/>
          <w:sz w:val="21"/>
          <w:szCs w:val="21"/>
          <w:highlight w:val="white"/>
        </w:rPr>
        <w:t xml:space="preserve">9.2.</w:t>
      </w:r>
      <w:r>
        <w:rPr>
          <w:rFonts w:hint="eastAsia" w:ascii="宋体" w:hAnsi="宋体" w:cs="宋体"/>
          <w:color w:val="000000"/>
          <w:sz w:val="21"/>
          <w:szCs w:val="21"/>
        </w:rPr>
        <w:t xml:space="preserve">3履约期内，乙方应自行提供办公用品（详见采购需求部分“场馆内办公用品需求明细”，费用包含在合同价中）。同时，乙方还应充分考虑在服务过程中，可能出现其他跟服务有关的办公用品增添事项，并将费用包含在合同价中。</w:t>
      </w:r>
      <w:r>
        <w:rPr>
          <w:rFonts w:hint="eastAsia" w:ascii="宋体" w:hAnsi="宋体" w:cs="宋体"/>
          <w:color w:val="000000"/>
          <w:sz w:val="21"/>
          <w:szCs w:val="21"/>
        </w:rPr>
      </w:r>
      <w:r/>
    </w:p>
    <w:p>
      <w:pPr>
        <w:pStyle w:val="919"/>
        <w:ind w:firstLine="420"/>
        <w:spacing w:line="360" w:lineRule="auto"/>
        <w:rPr>
          <w:rFonts w:hint="eastAsia" w:ascii="宋体" w:hAnsi="宋体" w:cs="宋体"/>
          <w:color w:val="000000"/>
          <w:sz w:val="21"/>
          <w:szCs w:val="21"/>
        </w:rPr>
        <w:outlineLvl w:val="1"/>
      </w:pPr>
      <w:r/>
      <w:bookmarkStart w:id="59" w:name="_Toc3452"/>
      <w:r/>
      <w:bookmarkStart w:id="60" w:name="_Toc21867"/>
      <w:r>
        <w:rPr>
          <w:rFonts w:hint="eastAsia" w:ascii="宋体" w:hAnsi="宋体" w:cs="宋体"/>
          <w:color w:val="000000"/>
          <w:sz w:val="21"/>
          <w:szCs w:val="21"/>
        </w:rPr>
        <w:t xml:space="preserve">十、验收</w:t>
      </w:r>
      <w:bookmarkEnd w:id="59"/>
      <w:r/>
      <w:bookmarkEnd w:id="60"/>
      <w:r>
        <w:rPr>
          <w:rFonts w:hint="eastAsia" w:ascii="宋体" w:hAnsi="宋体" w:cs="宋体"/>
          <w:color w:val="000000"/>
          <w:sz w:val="21"/>
          <w:szCs w:val="21"/>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rPr>
        <w:t xml:space="preserve">甲方在当年度服务期满前30天内，组织专家组考评小组，按照采购合同的约定对乙方履约情况进行验收，按照全年度服务考核考评结果出具当年度服务验收报告并支付当年度剩余款项。</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outlineLvl w:val="1"/>
      </w:pPr>
      <w:r/>
      <w:bookmarkStart w:id="61" w:name="_Toc24568"/>
      <w:r/>
      <w:bookmarkStart w:id="62" w:name="_Toc19627"/>
      <w:r>
        <w:rPr>
          <w:rFonts w:hint="eastAsia" w:ascii="宋体" w:hAnsi="宋体" w:cs="宋体"/>
          <w:color w:val="000000"/>
          <w:sz w:val="21"/>
          <w:szCs w:val="21"/>
          <w:highlight w:val="white"/>
        </w:rPr>
        <w:t xml:space="preserve">十一、违约责任</w:t>
      </w:r>
      <w:bookmarkEnd w:id="61"/>
      <w:r/>
      <w:bookmarkEnd w:id="62"/>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11.1合同履行期内，甲方有权对乙方履约状况进行监督，对于不符合合同约定或甲方要求事项，乙方应立即无条件整改，所需费用自行承担，相关情况每发生一次，乙方应支付合同总价5%的违约金。</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11.2除考核制度另有约定外，非因甲方原因乙方未全面履行本合同其他约定或其他义务之一的，甲方有权要求其继续履行或解除合同，甲方要求继续履行的，乙方应支付合同总价10%的违约金；甲方要求解除合同的或乙方仍未全面履行的，甲方均有权解除合同，对于乙方已完成工作不予付款，乙方还应支付合同总价30%的违约金，不足弥补甲方损失的仍需赔偿。</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11.3</w:t>
      </w:r>
      <w:r>
        <w:rPr>
          <w:rFonts w:hint="eastAsia" w:ascii="宋体" w:hAnsi="宋体" w:cs="宋体"/>
          <w:bCs/>
          <w:color w:val="000000"/>
          <w:sz w:val="21"/>
          <w:szCs w:val="21"/>
          <w:highlight w:val="white"/>
        </w:rPr>
        <w:t xml:space="preserve">本项目不得转让、转包、分包，如有发生，甲方有权解除合同，</w:t>
      </w:r>
      <w:r>
        <w:rPr>
          <w:rFonts w:hint="eastAsia" w:ascii="宋体" w:hAnsi="宋体" w:cs="宋体"/>
          <w:color w:val="000000"/>
          <w:sz w:val="21"/>
          <w:szCs w:val="21"/>
          <w:highlight w:val="white"/>
        </w:rPr>
        <w:t xml:space="preserve">对于乙方已完成工作不予付款</w:t>
      </w:r>
      <w:r>
        <w:rPr>
          <w:rFonts w:hint="eastAsia" w:ascii="宋体" w:hAnsi="宋体" w:cs="宋体"/>
          <w:bCs/>
          <w:color w:val="000000"/>
          <w:sz w:val="21"/>
          <w:szCs w:val="21"/>
          <w:highlight w:val="white"/>
        </w:rPr>
        <w:t xml:space="preserve">，乙方还应支付合同总价30%的违约金</w:t>
      </w:r>
      <w:r>
        <w:rPr>
          <w:rFonts w:hint="eastAsia" w:ascii="宋体" w:hAnsi="宋体" w:cs="宋体"/>
          <w:color w:val="000000"/>
          <w:sz w:val="21"/>
          <w:szCs w:val="21"/>
          <w:highlight w:val="white"/>
        </w:rPr>
        <w:t xml:space="preserve">，不足弥补甲方损失的仍需赔偿</w:t>
      </w:r>
      <w:r>
        <w:rPr>
          <w:rFonts w:hint="eastAsia" w:ascii="宋体" w:hAnsi="宋体" w:cs="宋体"/>
          <w:bCs/>
          <w:color w:val="000000"/>
          <w:sz w:val="21"/>
          <w:szCs w:val="21"/>
          <w:highlight w:val="white"/>
        </w:rPr>
        <w:t xml:space="preserve">。</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bCs/>
          <w:color w:val="000000"/>
          <w:sz w:val="21"/>
          <w:szCs w:val="21"/>
          <w:highlight w:val="white"/>
        </w:rPr>
      </w:pPr>
      <w:r>
        <w:rPr>
          <w:rFonts w:hint="eastAsia" w:ascii="宋体" w:hAnsi="宋体" w:cs="宋体"/>
          <w:color w:val="000000"/>
          <w:sz w:val="21"/>
          <w:szCs w:val="21"/>
          <w:highlight w:val="white"/>
        </w:rPr>
        <w:t xml:space="preserve">11.4</w:t>
      </w:r>
      <w:r>
        <w:rPr>
          <w:rFonts w:hint="eastAsia" w:ascii="宋体" w:hAnsi="宋体" w:cs="宋体"/>
          <w:bCs/>
          <w:color w:val="000000"/>
          <w:sz w:val="21"/>
          <w:szCs w:val="21"/>
          <w:highlight w:val="white"/>
        </w:rPr>
        <w:t xml:space="preserve">违约方还应承担守约方为主张权益支付的律师费、诉讼费、保全费、保全保险费等费用。</w:t>
      </w:r>
      <w:r>
        <w:rPr>
          <w:rFonts w:hint="eastAsia" w:ascii="宋体" w:hAnsi="宋体" w:cs="宋体"/>
          <w:bCs/>
          <w:color w:val="000000"/>
          <w:sz w:val="21"/>
          <w:szCs w:val="21"/>
          <w:highlight w:val="white"/>
        </w:rPr>
      </w:r>
      <w:r/>
    </w:p>
    <w:p>
      <w:pPr>
        <w:pStyle w:val="919"/>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11.5除不可抗力外，如果甲方没有按照本合同约定的付款方式付款，那么乙方可要求甲方支付违约金，每迟延付款一日，应支付相当于欠付款项总金额1‰的违约金，最高限额为本合同总价的3‰；</w:t>
      </w:r>
      <w:r>
        <w:rPr>
          <w:rFonts w:hint="eastAsia" w:ascii="宋体" w:hAnsi="宋体" w:cs="宋体"/>
          <w:bCs/>
          <w:color w:val="000000"/>
          <w:sz w:val="21"/>
          <w:szCs w:val="21"/>
          <w:highlight w:val="none"/>
        </w:rPr>
      </w:r>
      <w:r/>
    </w:p>
    <w:p>
      <w:pPr>
        <w:pStyle w:val="893"/>
        <w:ind w:firstLine="420"/>
        <w:spacing w:line="360" w:lineRule="auto"/>
        <w:rPr>
          <w:rFonts w:hint="eastAsia" w:ascii="宋体" w:hAnsi="宋体" w:cs="宋体"/>
          <w:color w:val="000000"/>
          <w:sz w:val="21"/>
          <w:szCs w:val="21"/>
          <w:highlight w:val="none"/>
        </w:rPr>
        <w:outlineLvl w:val="1"/>
      </w:pPr>
      <w:r/>
      <w:bookmarkStart w:id="63" w:name="_Toc12858"/>
      <w:r/>
      <w:bookmarkStart w:id="64" w:name="_Toc14517"/>
      <w:r>
        <w:rPr>
          <w:rFonts w:hint="eastAsia" w:ascii="宋体" w:hAnsi="宋体" w:cs="宋体"/>
          <w:color w:val="000000"/>
          <w:sz w:val="21"/>
          <w:szCs w:val="21"/>
          <w:highlight w:val="none"/>
        </w:rPr>
        <w:t xml:space="preserve">十二、不可抗力事件处理</w:t>
      </w:r>
      <w:bookmarkEnd w:id="63"/>
      <w:r/>
      <w:bookmarkEnd w:id="64"/>
      <w:r>
        <w:rPr>
          <w:rFonts w:hint="eastAsia" w:ascii="宋体" w:hAnsi="宋体" w:cs="宋体"/>
          <w:color w:val="000000"/>
          <w:sz w:val="21"/>
          <w:szCs w:val="21"/>
          <w:highlight w:val="none"/>
        </w:rPr>
      </w:r>
      <w:r/>
    </w:p>
    <w:p>
      <w:pPr>
        <w:pStyle w:val="893"/>
        <w:ind w:firstLine="420"/>
        <w:jc w:val="lef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12.1 在合同有效期内，任何一方因不可抗力事件导致不能履行合同的，则合同履行期可延长，其延长期由双方协商确定。</w:t>
      </w:r>
      <w:r>
        <w:rPr>
          <w:rFonts w:hint="eastAsia" w:ascii="宋体" w:hAnsi="宋体" w:cs="宋体"/>
          <w:color w:val="000000"/>
          <w:sz w:val="21"/>
          <w:szCs w:val="21"/>
          <w:highlight w:val="none"/>
        </w:rPr>
      </w:r>
      <w:r/>
    </w:p>
    <w:p>
      <w:pPr>
        <w:pStyle w:val="893"/>
        <w:ind w:firstLine="420"/>
        <w:jc w:val="lef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12.2 不可抗力事件发生后，应立即通知对方，并寄送有关权威机构出具的证明。</w:t>
      </w:r>
      <w:r>
        <w:rPr>
          <w:rFonts w:hint="eastAsia" w:ascii="宋体" w:hAnsi="宋体" w:cs="宋体"/>
          <w:color w:val="000000"/>
          <w:sz w:val="21"/>
          <w:szCs w:val="21"/>
          <w:highlight w:val="none"/>
        </w:rPr>
      </w:r>
      <w:r/>
    </w:p>
    <w:p>
      <w:pPr>
        <w:pStyle w:val="893"/>
        <w:ind w:firstLine="420"/>
        <w:jc w:val="lef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12.3 不可抗力事件延续30天以上，双方应通过友好协商，确定是否继续履行合同。</w:t>
      </w:r>
      <w:r>
        <w:rPr>
          <w:rFonts w:hint="eastAsia" w:ascii="宋体" w:hAnsi="宋体" w:cs="宋体"/>
          <w:color w:val="000000"/>
          <w:sz w:val="21"/>
          <w:szCs w:val="21"/>
          <w:highlight w:val="none"/>
        </w:rPr>
      </w:r>
      <w:r/>
    </w:p>
    <w:p>
      <w:pPr>
        <w:pStyle w:val="893"/>
        <w:ind w:firstLine="420"/>
        <w:jc w:val="lef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12.4 合法权益补偿救济机制。在履约过程因政策变化、规划调整而无法履行合同约定</w:t>
      </w:r>
      <w:r>
        <w:rPr>
          <w:rFonts w:hint="eastAsia" w:ascii="宋体" w:hAnsi="宋体" w:cs="宋体"/>
          <w:color w:val="000000"/>
          <w:sz w:val="21"/>
          <w:szCs w:val="21"/>
          <w:highlight w:val="none"/>
          <w:lang w:val="en-US" w:eastAsia="zh-CN"/>
        </w:rPr>
        <w:t xml:space="preserve">或合同终止履行</w:t>
      </w:r>
      <w:r>
        <w:rPr>
          <w:rFonts w:hint="eastAsia" w:ascii="宋体" w:hAnsi="宋体" w:cs="宋体"/>
          <w:color w:val="000000"/>
          <w:sz w:val="21"/>
          <w:szCs w:val="21"/>
          <w:highlight w:val="none"/>
        </w:rPr>
        <w:t xml:space="preserve">，造成企业合法权益受损的，甲方依据实际情况对供应商进行补偿救济。</w:t>
      </w:r>
      <w:r>
        <w:rPr>
          <w:rFonts w:hint="eastAsia" w:ascii="宋体" w:hAnsi="宋体" w:cs="宋体"/>
          <w:color w:val="000000"/>
          <w:sz w:val="21"/>
          <w:szCs w:val="21"/>
          <w:highlight w:val="none"/>
        </w:rPr>
      </w:r>
      <w:r/>
    </w:p>
    <w:p>
      <w:pPr>
        <w:pStyle w:val="919"/>
        <w:ind w:firstLine="420"/>
        <w:spacing w:line="360" w:lineRule="auto"/>
        <w:rPr>
          <w:rFonts w:hint="eastAsia" w:ascii="宋体" w:hAnsi="宋体" w:cs="宋体"/>
          <w:color w:val="000000"/>
          <w:sz w:val="21"/>
          <w:szCs w:val="21"/>
          <w:highlight w:val="none"/>
        </w:rPr>
        <w:outlineLvl w:val="1"/>
      </w:pPr>
      <w:r/>
      <w:bookmarkStart w:id="65" w:name="_Toc5890"/>
      <w:r/>
      <w:bookmarkStart w:id="66" w:name="_Toc4011"/>
      <w:r>
        <w:rPr>
          <w:rFonts w:hint="eastAsia" w:ascii="宋体" w:hAnsi="宋体" w:cs="宋体"/>
          <w:color w:val="000000"/>
          <w:sz w:val="21"/>
          <w:szCs w:val="21"/>
          <w:highlight w:val="none"/>
        </w:rPr>
        <w:t xml:space="preserve">十三、合同修改</w:t>
      </w:r>
      <w:bookmarkEnd w:id="65"/>
      <w:r/>
      <w:bookmarkEnd w:id="66"/>
      <w:r>
        <w:rPr>
          <w:rFonts w:hint="eastAsia" w:ascii="宋体" w:hAnsi="宋体" w:cs="宋体"/>
          <w:color w:val="000000"/>
          <w:sz w:val="21"/>
          <w:szCs w:val="21"/>
          <w:highlight w:val="none"/>
        </w:rPr>
      </w:r>
      <w:r/>
    </w:p>
    <w:p>
      <w:pPr>
        <w:pStyle w:val="919"/>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对本协议的任何修改或补充必须经双方授权代表书面签字认可方能生效。</w:t>
      </w:r>
      <w:r>
        <w:rPr>
          <w:rFonts w:hint="eastAsia" w:ascii="宋体" w:hAnsi="宋体" w:cs="宋体"/>
          <w:color w:val="000000"/>
          <w:sz w:val="21"/>
          <w:szCs w:val="21"/>
          <w:highlight w:val="none"/>
        </w:rPr>
      </w:r>
      <w:r/>
    </w:p>
    <w:p>
      <w:pPr>
        <w:pStyle w:val="919"/>
        <w:ind w:firstLine="420"/>
        <w:spacing w:line="360" w:lineRule="auto"/>
        <w:rPr>
          <w:rFonts w:hint="eastAsia" w:ascii="宋体" w:hAnsi="宋体" w:cs="宋体"/>
          <w:color w:val="000000"/>
          <w:sz w:val="21"/>
          <w:szCs w:val="21"/>
          <w:highlight w:val="none"/>
        </w:rPr>
        <w:outlineLvl w:val="1"/>
      </w:pPr>
      <w:r/>
      <w:bookmarkStart w:id="67" w:name="_Toc27636"/>
      <w:r/>
      <w:bookmarkStart w:id="68" w:name="_Toc18493"/>
      <w:r>
        <w:rPr>
          <w:rFonts w:hint="eastAsia" w:ascii="宋体" w:hAnsi="宋体" w:cs="宋体"/>
          <w:color w:val="000000"/>
          <w:sz w:val="21"/>
          <w:szCs w:val="21"/>
          <w:highlight w:val="none"/>
        </w:rPr>
        <w:t xml:space="preserve">十四、合同的解除和转让</w:t>
      </w:r>
      <w:bookmarkEnd w:id="67"/>
      <w:r/>
      <w:bookmarkEnd w:id="68"/>
      <w:r>
        <w:rPr>
          <w:rFonts w:hint="eastAsia" w:ascii="宋体" w:hAnsi="宋体" w:cs="宋体"/>
          <w:color w:val="000000"/>
          <w:sz w:val="21"/>
          <w:szCs w:val="21"/>
          <w:highlight w:val="none"/>
        </w:rPr>
      </w:r>
      <w:r/>
    </w:p>
    <w:p>
      <w:pPr>
        <w:pStyle w:val="91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（一）合同的解除</w:t>
      </w:r>
      <w:r>
        <w:rPr>
          <w:rFonts w:hint="eastAsia" w:ascii="宋体" w:hAnsi="宋体" w:cs="宋体"/>
          <w:color w:val="000000"/>
          <w:sz w:val="21"/>
          <w:szCs w:val="21"/>
        </w:rPr>
      </w:r>
      <w:r/>
    </w:p>
    <w:p>
      <w:pPr>
        <w:pStyle w:val="91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14.1有下列情形之一的，合同一方可以解除合同：</w:t>
      </w:r>
      <w:r>
        <w:rPr>
          <w:rFonts w:hint="eastAsia" w:ascii="宋体" w:hAnsi="宋体" w:cs="宋体"/>
          <w:color w:val="000000"/>
          <w:sz w:val="21"/>
          <w:szCs w:val="21"/>
        </w:rPr>
      </w:r>
      <w:r/>
    </w:p>
    <w:p>
      <w:pPr>
        <w:pStyle w:val="91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14.1.1因不可抗力致使不能实现合同目的，未受不可抗力影响的一方有权解除合同；</w:t>
      </w:r>
      <w:r>
        <w:rPr>
          <w:rFonts w:hint="eastAsia" w:ascii="宋体" w:hAnsi="宋体" w:cs="宋体"/>
          <w:color w:val="000000"/>
          <w:sz w:val="21"/>
          <w:szCs w:val="21"/>
        </w:rPr>
      </w:r>
      <w:r/>
    </w:p>
    <w:p>
      <w:pPr>
        <w:pStyle w:val="91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14.1.2因合同一方违约导致合同不能履行，另一方有权解除合同。</w:t>
      </w:r>
      <w:r>
        <w:rPr>
          <w:rFonts w:hint="eastAsia" w:ascii="宋体" w:hAnsi="宋体" w:cs="宋体"/>
          <w:color w:val="000000"/>
          <w:sz w:val="21"/>
          <w:szCs w:val="21"/>
        </w:rPr>
      </w:r>
      <w:r/>
    </w:p>
    <w:p>
      <w:pPr>
        <w:pStyle w:val="91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14.1.3在项目实施过程中，如发现乙方提供虚假重要资料或信息，甲方有权解除合同。</w:t>
      </w:r>
      <w:r>
        <w:rPr>
          <w:rFonts w:hint="eastAsia" w:ascii="宋体" w:hAnsi="宋体" w:cs="宋体"/>
          <w:color w:val="000000"/>
          <w:sz w:val="21"/>
          <w:szCs w:val="21"/>
        </w:rPr>
      </w:r>
      <w:r/>
    </w:p>
    <w:p>
      <w:pPr>
        <w:pStyle w:val="91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14.2合同的转让</w:t>
      </w:r>
      <w:r>
        <w:rPr>
          <w:rFonts w:hint="eastAsia" w:ascii="宋体" w:hAnsi="宋体" w:cs="宋体"/>
          <w:color w:val="000000"/>
          <w:sz w:val="21"/>
          <w:szCs w:val="21"/>
        </w:rPr>
      </w:r>
      <w:r/>
    </w:p>
    <w:p>
      <w:pPr>
        <w:pStyle w:val="91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本合同权利和义务全部不得转让。</w:t>
      </w:r>
      <w:r>
        <w:rPr>
          <w:rFonts w:hint="eastAsia" w:ascii="宋体" w:hAnsi="宋体" w:cs="宋体"/>
          <w:color w:val="000000"/>
          <w:sz w:val="21"/>
          <w:szCs w:val="21"/>
        </w:rPr>
      </w:r>
      <w:r/>
    </w:p>
    <w:p>
      <w:pPr>
        <w:pStyle w:val="919"/>
        <w:ind w:firstLine="420"/>
        <w:spacing w:line="360" w:lineRule="auto"/>
        <w:rPr>
          <w:rFonts w:hint="eastAsia" w:ascii="宋体" w:hAnsi="宋体" w:cs="宋体"/>
          <w:color w:val="000000"/>
          <w:sz w:val="21"/>
          <w:szCs w:val="21"/>
          <w:highlight w:val="white"/>
        </w:rPr>
        <w:outlineLvl w:val="1"/>
      </w:pPr>
      <w:r/>
      <w:bookmarkStart w:id="69" w:name="_Toc24944"/>
      <w:r/>
      <w:bookmarkStart w:id="70" w:name="_Toc31257"/>
      <w:r>
        <w:rPr>
          <w:rFonts w:hint="eastAsia" w:ascii="宋体" w:hAnsi="宋体" w:cs="宋体"/>
          <w:color w:val="000000"/>
          <w:sz w:val="21"/>
          <w:szCs w:val="21"/>
          <w:highlight w:val="white"/>
        </w:rPr>
        <w:t xml:space="preserve">十五、争议解决办法</w:t>
      </w:r>
      <w:bookmarkEnd w:id="69"/>
      <w:r/>
      <w:bookmarkEnd w:id="70"/>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双方在履行本协议期间如发生争议，首先由双方通过友好协商解决，协商未能解决，可向甲方所在地有管辖权的人民法院起诉。</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outlineLvl w:val="1"/>
      </w:pPr>
      <w:r/>
      <w:bookmarkStart w:id="71" w:name="_Toc22010"/>
      <w:r/>
      <w:bookmarkStart w:id="72" w:name="_Toc26997"/>
      <w:r>
        <w:rPr>
          <w:rFonts w:hint="eastAsia" w:ascii="宋体" w:hAnsi="宋体" w:cs="宋体"/>
          <w:color w:val="000000"/>
          <w:sz w:val="21"/>
          <w:szCs w:val="21"/>
          <w:highlight w:val="white"/>
        </w:rPr>
        <w:t xml:space="preserve">十六、其他事项</w:t>
      </w:r>
      <w:bookmarkEnd w:id="71"/>
      <w:r/>
      <w:bookmarkEnd w:id="72"/>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本协议未尽事宜，双方协商或签订补充协议解决。</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本协议一式</w:t>
      </w:r>
      <w:r>
        <w:rPr>
          <w:rFonts w:hint="eastAsia" w:ascii="宋体" w:hAnsi="宋体" w:cs="宋体"/>
          <w:color w:val="000000"/>
          <w:sz w:val="21"/>
          <w:szCs w:val="21"/>
          <w:highlight w:val="white"/>
          <w:u w:val="single"/>
        </w:rPr>
        <w:t xml:space="preserve">陆</w:t>
      </w:r>
      <w:r>
        <w:rPr>
          <w:rFonts w:hint="eastAsia" w:ascii="宋体" w:hAnsi="宋体" w:cs="宋体"/>
          <w:color w:val="000000"/>
          <w:sz w:val="21"/>
          <w:szCs w:val="21"/>
          <w:highlight w:val="white"/>
        </w:rPr>
        <w:t xml:space="preserve">份，双方各保留</w:t>
      </w:r>
      <w:r>
        <w:rPr>
          <w:rFonts w:hint="eastAsia" w:ascii="宋体" w:hAnsi="宋体" w:cs="宋体"/>
          <w:color w:val="000000"/>
          <w:sz w:val="21"/>
          <w:szCs w:val="21"/>
          <w:highlight w:val="white"/>
          <w:u w:val="single"/>
        </w:rPr>
        <w:t xml:space="preserve">叁</w:t>
      </w:r>
      <w:r>
        <w:rPr>
          <w:rFonts w:hint="eastAsia" w:ascii="宋体" w:hAnsi="宋体" w:cs="宋体"/>
          <w:color w:val="000000"/>
          <w:sz w:val="21"/>
          <w:szCs w:val="21"/>
          <w:highlight w:val="white"/>
        </w:rPr>
        <w:t xml:space="preserve">份，由双方法人代表或授权代表正式签署并盖章后生效。</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在合同签订后2个工作日内，由甲方按规定进行合同公告工作。</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本合同所载明的各方地址作为双方法律文书（含通知、诉讼材料、传票等）送达地址，如有变更需提前以书面形式通知对方，否则向该地址送达文书出现拒收、地址不祥或被退回均视为送达成功，所产生法律后果由该方承担。</w:t>
      </w:r>
      <w:r>
        <w:rPr>
          <w:rFonts w:hint="eastAsia" w:ascii="宋体" w:hAnsi="宋体" w:cs="宋体"/>
          <w:color w:val="000000"/>
          <w:sz w:val="21"/>
          <w:szCs w:val="21"/>
          <w:highlight w:val="white"/>
        </w:rPr>
      </w:r>
      <w:r/>
    </w:p>
    <w:p>
      <w:pPr>
        <w:pStyle w:val="918"/>
        <w:rPr>
          <w:rFonts w:hint="eastAsia" w:ascii="宋体" w:hAnsi="宋体" w:cs="宋体"/>
          <w:color w:val="000000"/>
          <w:sz w:val="21"/>
          <w:szCs w:val="21"/>
          <w:highlight w:val="white"/>
        </w:rPr>
      </w:pP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甲方：（盖章）                     乙方：（盖章） </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法人代表/授权代表：                法人代表/授权代表： </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地址：                             地址：</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联系人：                           联系人：</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联系方式：                         联系方式：</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t xml:space="preserve">签订时间：                         签订时间：</w:t>
      </w: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r>
      <w:r/>
    </w:p>
    <w:p>
      <w:pPr>
        <w:pStyle w:val="919"/>
        <w:ind w:firstLine="420"/>
        <w:spacing w:line="360" w:lineRule="auto"/>
        <w:rPr>
          <w:rFonts w:hint="eastAsia" w:ascii="宋体" w:hAnsi="宋体" w:cs="宋体"/>
          <w:color w:val="000000"/>
          <w:sz w:val="21"/>
          <w:szCs w:val="21"/>
          <w:highlight w:val="white"/>
        </w:rPr>
      </w:pPr>
      <w:r>
        <w:rPr>
          <w:rFonts w:hint="eastAsia" w:ascii="宋体" w:hAnsi="宋体" w:cs="宋体"/>
          <w:color w:val="000000"/>
          <w:sz w:val="21"/>
          <w:szCs w:val="21"/>
          <w:highlight w:val="white"/>
        </w:rPr>
      </w:r>
      <w:r/>
    </w:p>
    <w:p>
      <w:pPr>
        <w:pStyle w:val="893"/>
        <w:jc w:val="left"/>
        <w:keepLines w:val="0"/>
        <w:keepNext w:val="0"/>
        <w:pageBreakBefore w:val="0"/>
        <w:spacing w:after="0" w:line="560" w:lineRule="exact"/>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t xml:space="preserve">附件  宿迁智能城市科技馆运营考核办法（暂行）</w:t>
      </w:r>
      <w:r>
        <w:rPr>
          <w:rFonts w:hint="eastAsia" w:ascii="宋体" w:hAnsi="宋体" w:eastAsia="宋体" w:cs="宋体"/>
          <w:b/>
          <w:bCs/>
          <w:color w:val="000000"/>
          <w:sz w:val="30"/>
          <w:szCs w:val="30"/>
          <w:lang w:val="en-US" w:eastAsia="zh-CN" w:bidi="ar-SA"/>
        </w:rPr>
      </w:r>
      <w:r/>
    </w:p>
    <w:p>
      <w:pPr>
        <w:pStyle w:val="893"/>
        <w:ind w:firstLine="420"/>
        <w:keepLines w:val="0"/>
        <w:keepNext w:val="0"/>
        <w:pageBreakBefore w:val="0"/>
        <w:spacing w:after="0" w:line="44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为了建立健全宿迁智能城市科技馆（以下简称科技馆）考核机制，完善科技馆管理运营体系，宿迁市数字化城市管理监督指挥中心根据《宿迁智能城市科技馆政府采购合同》和《宿迁市智能城市科技馆年度运营服务项目响应文件》中绩效指标每月对科技馆运营的各项工作进行考核并落实绩效，以此来调动运营管理人员的工作积极性，改进科技馆运营管理水平，打造优质化的服务。</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widowControl/>
        <w:rPr>
          <w:rFonts w:hint="eastAsia" w:ascii="宋体" w:hAnsi="宋体" w:eastAsia="宋体" w:cs="宋体"/>
          <w:color w:val="000000"/>
          <w:sz w:val="21"/>
          <w:szCs w:val="21"/>
          <w:lang w:val="en-US" w:eastAsia="zh-CN" w:bidi="ar-SA"/>
        </w:rPr>
        <w:outlineLvl w:val="1"/>
      </w:pPr>
      <w:r/>
      <w:bookmarkStart w:id="73" w:name="_Toc8549"/>
      <w:r/>
      <w:bookmarkStart w:id="74" w:name="_Toc1964"/>
      <w:r>
        <w:rPr>
          <w:rFonts w:hint="eastAsia" w:ascii="宋体" w:hAnsi="宋体" w:eastAsia="宋体" w:cs="宋体"/>
          <w:color w:val="000000"/>
          <w:sz w:val="21"/>
          <w:szCs w:val="21"/>
          <w:lang w:val="en-US" w:eastAsia="zh-CN" w:bidi="ar-SA"/>
        </w:rPr>
        <w:t xml:space="preserve">一、考核对象</w:t>
      </w:r>
      <w:bookmarkEnd w:id="73"/>
      <w:r/>
      <w:bookmarkEnd w:id="74"/>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宿迁智能城市科技馆运营服务团队</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widowControl/>
        <w:rPr>
          <w:rFonts w:hint="eastAsia" w:ascii="宋体" w:hAnsi="宋体" w:eastAsia="宋体" w:cs="宋体"/>
          <w:color w:val="000000"/>
          <w:sz w:val="21"/>
          <w:szCs w:val="21"/>
          <w:lang w:val="en-US" w:eastAsia="zh-CN" w:bidi="ar-SA"/>
        </w:rPr>
        <w:outlineLvl w:val="1"/>
      </w:pPr>
      <w:r/>
      <w:bookmarkStart w:id="75" w:name="_Toc18349"/>
      <w:r/>
      <w:bookmarkStart w:id="76" w:name="_Toc31521"/>
      <w:r>
        <w:rPr>
          <w:rFonts w:hint="eastAsia" w:ascii="宋体" w:hAnsi="宋体" w:eastAsia="宋体" w:cs="宋体"/>
          <w:color w:val="000000"/>
          <w:sz w:val="21"/>
          <w:szCs w:val="21"/>
          <w:lang w:val="en-US" w:eastAsia="zh-CN" w:bidi="ar-SA"/>
        </w:rPr>
        <w:t xml:space="preserve">二、考核组织</w:t>
      </w:r>
      <w:bookmarkEnd w:id="75"/>
      <w:r/>
      <w:bookmarkEnd w:id="76"/>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考核组织由中心领导组总牵头，各处室参与综合考核打分，每月汇总，年度总评。</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（一）领导组</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组　长：综合考评处负责人</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副组长：指挥派遣处、监督管理处、技术保障处负责人。</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组　员：各处室考评工作具体责任人。</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outlineLvl w:val="1"/>
      </w:pPr>
      <w:r/>
      <w:bookmarkStart w:id="77" w:name="_Toc2606"/>
      <w:r/>
      <w:bookmarkStart w:id="78" w:name="_Toc9125"/>
      <w:r>
        <w:rPr>
          <w:rFonts w:hint="eastAsia" w:ascii="宋体" w:hAnsi="宋体" w:eastAsia="宋体" w:cs="宋体"/>
          <w:color w:val="000000"/>
          <w:sz w:val="21"/>
          <w:szCs w:val="21"/>
          <w:lang w:val="en-US" w:eastAsia="zh-CN" w:bidi="ar-SA"/>
        </w:rPr>
        <w:t xml:space="preserve">三、考核方式</w:t>
      </w:r>
      <w:bookmarkEnd w:id="77"/>
      <w:r/>
      <w:bookmarkEnd w:id="78"/>
      <w:r>
        <w:rPr>
          <w:rFonts w:hint="eastAsia" w:ascii="宋体" w:hAnsi="宋体" w:eastAsia="宋体" w:cs="宋体"/>
          <w:color w:val="000000"/>
          <w:sz w:val="21"/>
          <w:szCs w:val="21"/>
          <w:lang w:val="en-US" w:eastAsia="zh-CN" w:bidi="ar-SA"/>
        </w:rPr>
      </w:r>
      <w:r/>
    </w:p>
    <w:p>
      <w:pPr>
        <w:pStyle w:val="893"/>
        <w:ind w:firstLine="420"/>
        <w:keepLines w:val="0"/>
        <w:keepNext w:val="0"/>
        <w:pageBreakBefore w:val="0"/>
        <w:spacing w:line="440" w:lineRule="exact"/>
        <w:shd w:val="clear" w:color="auto" w:fill="ffff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实行百分制考核。考核分为月度考核与年度考核。针对科技馆的六项评价指标进行考核，分别为参观安全、服务管理水平、每日开闭馆工作、宣传推广、外部评价、年度考核指标等进行考核打分，按考核周期汇总考核分数，形成科技馆运营团队整体得分，依照得分情况兑现绩效考核。年度考核服务费基数为年度服务费的10%。月度考核服务基数为年度服务费的7.5%。</w:t>
      </w:r>
      <w:r>
        <w:rPr>
          <w:rFonts w:hint="eastAsia" w:ascii="宋体" w:hAnsi="宋体" w:eastAsia="宋体" w:cs="宋体"/>
          <w:color w:val="000000"/>
          <w:sz w:val="21"/>
          <w:szCs w:val="21"/>
          <w:lang w:val="en-US" w:eastAsia="zh-CN" w:bidi="ar-SA"/>
        </w:rPr>
      </w:r>
      <w:r/>
    </w:p>
    <w:p>
      <w:pPr>
        <w:pStyle w:val="893"/>
        <w:ind w:firstLine="420"/>
        <w:keepLines w:val="0"/>
        <w:keepNext w:val="0"/>
        <w:pageBreakBefore w:val="0"/>
        <w:spacing w:line="440" w:lineRule="exact"/>
        <w:shd w:val="clear" w:color="auto" w:fill="ffff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（一）月度考核</w:t>
      </w:r>
      <w:r>
        <w:rPr>
          <w:rFonts w:hint="eastAsia" w:ascii="宋体" w:hAnsi="宋体" w:eastAsia="宋体" w:cs="宋体"/>
          <w:color w:val="000000"/>
          <w:sz w:val="21"/>
          <w:szCs w:val="21"/>
          <w:lang w:val="en-US" w:eastAsia="zh-CN" w:bidi="ar-SA"/>
        </w:rPr>
      </w:r>
      <w:r/>
    </w:p>
    <w:p>
      <w:pPr>
        <w:pStyle w:val="1041"/>
        <w:ind w:firstLine="420"/>
        <w:jc w:val="both"/>
        <w:keepLines w:val="0"/>
        <w:keepNext w:val="0"/>
        <w:pageBreakBefore w:val="0"/>
        <w:spacing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月度绩效考核满分为100分，服务期内考核小组每月组织月度服务质量评价会，以月度服务费基数对照得分情况按比例支付，分数≥95，按照100%支付；90≤分数＜95，按照98%支付；80≤分数＜90，按照95%支付，70≤分数＜80，按照90%支付，60≤分数＜70，按照80%支付，分数＜60，按照70%支付。</w:t>
      </w:r>
      <w:r>
        <w:rPr>
          <w:rFonts w:hint="eastAsia" w:ascii="宋体" w:hAnsi="宋体" w:eastAsia="宋体" w:cs="宋体"/>
          <w:color w:val="000000"/>
          <w:sz w:val="21"/>
          <w:szCs w:val="21"/>
          <w:lang w:val="en-US" w:eastAsia="zh-CN" w:bidi="ar-SA"/>
        </w:rPr>
      </w:r>
      <w:r/>
    </w:p>
    <w:p>
      <w:pPr>
        <w:pStyle w:val="1041"/>
        <w:ind w:firstLine="420"/>
        <w:jc w:val="both"/>
        <w:keepLines w:val="0"/>
        <w:keepNext w:val="0"/>
        <w:pageBreakBefore w:val="0"/>
        <w:spacing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月度考核周期结束十日内向考核对象公示考评结果。</w:t>
      </w:r>
      <w:r>
        <w:rPr>
          <w:rFonts w:hint="eastAsia" w:ascii="宋体" w:hAnsi="宋体" w:eastAsia="宋体" w:cs="宋体"/>
          <w:color w:val="000000"/>
          <w:sz w:val="21"/>
          <w:szCs w:val="21"/>
          <w:lang w:val="en-US" w:eastAsia="zh-CN" w:bidi="ar-SA"/>
        </w:rPr>
      </w:r>
      <w:r/>
    </w:p>
    <w:p>
      <w:pPr>
        <w:pStyle w:val="1041"/>
        <w:ind w:firstLine="420"/>
        <w:jc w:val="both"/>
        <w:keepLines w:val="0"/>
        <w:keepNext w:val="0"/>
        <w:pageBreakBefore w:val="0"/>
        <w:spacing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（二）年度考核</w:t>
      </w:r>
      <w:r>
        <w:rPr>
          <w:rFonts w:hint="eastAsia" w:ascii="宋体" w:hAnsi="宋体" w:eastAsia="宋体" w:cs="宋体"/>
          <w:color w:val="000000"/>
          <w:sz w:val="21"/>
          <w:szCs w:val="21"/>
          <w:lang w:val="en-US" w:eastAsia="zh-CN" w:bidi="ar-SA"/>
        </w:rPr>
      </w:r>
      <w:r/>
    </w:p>
    <w:p>
      <w:pPr>
        <w:pStyle w:val="1041"/>
        <w:ind w:firstLine="420"/>
        <w:jc w:val="both"/>
        <w:keepLines w:val="0"/>
        <w:keepNext w:val="0"/>
        <w:pageBreakBefore w:val="0"/>
        <w:spacing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年度绩效考核满分100分，以年度考核服务费基数对照得分情况按月度考核打分比例支付。</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outlineLvl w:val="1"/>
      </w:pPr>
      <w:r/>
      <w:bookmarkStart w:id="79" w:name="_Toc6624"/>
      <w:r/>
      <w:bookmarkStart w:id="80" w:name="_Toc30154"/>
      <w:r>
        <w:rPr>
          <w:rFonts w:hint="eastAsia" w:ascii="宋体" w:hAnsi="宋体" w:eastAsia="宋体" w:cs="宋体"/>
          <w:color w:val="000000"/>
          <w:sz w:val="21"/>
          <w:szCs w:val="21"/>
          <w:lang w:val="en-US" w:eastAsia="zh-CN" w:bidi="ar-SA"/>
        </w:rPr>
        <w:t xml:space="preserve">四、月度考核细则</w:t>
      </w:r>
      <w:bookmarkEnd w:id="79"/>
      <w:r/>
      <w:bookmarkEnd w:id="80"/>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（一）参观安全</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安全是参观者参观展览的最基本的需求，科技馆有责任保障参观者的参观安全。在科技馆运行或教育活动的实施中，必须将安全作为第一考量的原则，避免危险事件的发生。</w:t>
      </w:r>
      <w:r>
        <w:rPr>
          <w:rFonts w:hint="eastAsia" w:ascii="宋体" w:hAnsi="宋体" w:eastAsia="宋体" w:cs="宋体"/>
          <w:color w:val="000000"/>
          <w:sz w:val="21"/>
          <w:szCs w:val="21"/>
          <w:lang w:val="en-US" w:eastAsia="zh-CN" w:bidi="ar-SA"/>
        </w:rPr>
      </w:r>
      <w:r/>
    </w:p>
    <w:p>
      <w:pPr>
        <w:pStyle w:val="1041"/>
        <w:ind w:firstLine="420"/>
        <w:jc w:val="both"/>
        <w:keepLines w:val="0"/>
        <w:keepNext w:val="0"/>
        <w:pageBreakBefore w:val="0"/>
        <w:spacing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根据观众参观流量和实际运行中出现的问题，合理设置、调配一定数量的工作人员进行看护，协助参观者体验展项，防止意外事故出现。老年人、儿童、孕妇、残疾人等特殊群体观众，须由成人全程监护陪同参观，并谨慎选择适合自己的参观项目。有1项工作未达要求的，扣1分。</w:t>
      </w:r>
      <w:r>
        <w:rPr>
          <w:rFonts w:hint="eastAsia" w:ascii="宋体" w:hAnsi="宋体" w:eastAsia="宋体" w:cs="宋体"/>
          <w:color w:val="000000"/>
          <w:sz w:val="21"/>
          <w:szCs w:val="21"/>
          <w:lang w:val="en-US" w:eastAsia="zh-CN" w:bidi="ar-SA"/>
        </w:rPr>
      </w:r>
      <w:r/>
    </w:p>
    <w:p>
      <w:pPr>
        <w:pStyle w:val="1041"/>
        <w:ind w:firstLine="420"/>
        <w:jc w:val="both"/>
        <w:keepLines w:val="0"/>
        <w:keepNext w:val="0"/>
        <w:pageBreakBefore w:val="0"/>
        <w:spacing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（二）服务管理水平 </w:t>
      </w:r>
      <w:r>
        <w:rPr>
          <w:rFonts w:hint="eastAsia" w:ascii="宋体" w:hAnsi="宋体" w:eastAsia="宋体" w:cs="宋体"/>
          <w:color w:val="000000"/>
          <w:sz w:val="21"/>
          <w:szCs w:val="21"/>
          <w:lang w:val="en-US" w:eastAsia="zh-CN" w:bidi="ar-SA"/>
        </w:rPr>
      </w:r>
      <w:r/>
    </w:p>
    <w:p>
      <w:pPr>
        <w:pStyle w:val="1041"/>
        <w:ind w:firstLine="420"/>
        <w:jc w:val="both"/>
        <w:keepLines w:val="0"/>
        <w:keepNext w:val="0"/>
        <w:pageBreakBefore w:val="0"/>
        <w:spacing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科技馆要把参观者的体验与需求放在第一位，提供必要的服务，确保展览展品的安全稳定运行，保障观众良好的参观秩序和参观环境。</w:t>
      </w:r>
      <w:r>
        <w:rPr>
          <w:rFonts w:hint="eastAsia" w:ascii="宋体" w:hAnsi="宋体" w:eastAsia="宋体" w:cs="宋体"/>
          <w:color w:val="000000"/>
          <w:sz w:val="21"/>
          <w:szCs w:val="21"/>
          <w:lang w:val="en-US" w:eastAsia="zh-CN" w:bidi="ar-SA"/>
        </w:rPr>
      </w:r>
      <w:r/>
    </w:p>
    <w:p>
      <w:pPr>
        <w:pStyle w:val="1041"/>
        <w:ind w:firstLine="420"/>
        <w:jc w:val="both"/>
        <w:keepLines w:val="0"/>
        <w:keepNext w:val="0"/>
        <w:pageBreakBefore w:val="0"/>
        <w:spacing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1.展览教育服务</w:t>
      </w:r>
      <w:r>
        <w:rPr>
          <w:rFonts w:hint="eastAsia" w:ascii="宋体" w:hAnsi="宋体" w:eastAsia="宋体" w:cs="宋体"/>
          <w:color w:val="000000"/>
          <w:sz w:val="21"/>
          <w:szCs w:val="21"/>
          <w:lang w:val="en-US" w:eastAsia="zh-CN" w:bidi="ar-SA"/>
        </w:rPr>
      </w:r>
      <w:r/>
    </w:p>
    <w:p>
      <w:pPr>
        <w:pStyle w:val="893"/>
        <w:ind w:firstLine="420"/>
        <w:keepLines w:val="0"/>
        <w:keepNext w:val="0"/>
        <w:pageBreakBefore w:val="0"/>
        <w:spacing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科技馆的主要教育形式为展览教育，通过科学性、知识性、趣味性相结合的展览内容和参与互动的形式，反映科学原理及技术应用，鼓励公众动手探索实践，工作人员应该协助和保障参观者与展项进行安全、有效的互动。有1项工作未达要求的，扣2分。</w:t>
      </w:r>
      <w:r>
        <w:rPr>
          <w:rFonts w:hint="eastAsia" w:ascii="宋体" w:hAnsi="宋体" w:eastAsia="宋体" w:cs="宋体"/>
          <w:color w:val="000000"/>
          <w:sz w:val="21"/>
          <w:szCs w:val="21"/>
          <w:lang w:val="en-US" w:eastAsia="zh-CN" w:bidi="ar-SA"/>
        </w:rPr>
      </w:r>
      <w:r/>
    </w:p>
    <w:p>
      <w:pPr>
        <w:pStyle w:val="1041"/>
        <w:ind w:firstLine="420"/>
        <w:jc w:val="both"/>
        <w:keepLines w:val="0"/>
        <w:keepNext w:val="0"/>
        <w:pageBreakBefore w:val="0"/>
        <w:spacing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2.各岗位工作职责</w:t>
      </w:r>
      <w:r>
        <w:rPr>
          <w:rFonts w:hint="eastAsia" w:ascii="宋体" w:hAnsi="宋体" w:eastAsia="宋体" w:cs="宋体"/>
          <w:color w:val="000000"/>
          <w:sz w:val="21"/>
          <w:szCs w:val="21"/>
          <w:lang w:val="en-US" w:eastAsia="zh-CN" w:bidi="ar-SA"/>
        </w:rPr>
      </w:r>
      <w:r/>
    </w:p>
    <w:p>
      <w:pPr>
        <w:pStyle w:val="1041"/>
        <w:ind w:firstLine="420"/>
        <w:jc w:val="both"/>
        <w:keepLines w:val="0"/>
        <w:keepNext w:val="0"/>
        <w:pageBreakBefore w:val="0"/>
        <w:spacing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（1）馆长工作职责</w:t>
      </w:r>
      <w:r>
        <w:rPr>
          <w:rFonts w:hint="eastAsia" w:ascii="宋体" w:hAnsi="宋体" w:eastAsia="宋体" w:cs="宋体"/>
          <w:color w:val="000000"/>
          <w:sz w:val="21"/>
          <w:szCs w:val="21"/>
          <w:lang w:val="en-US" w:eastAsia="zh-CN" w:bidi="ar-SA"/>
        </w:rPr>
      </w:r>
      <w:r/>
    </w:p>
    <w:p>
      <w:pPr>
        <w:pStyle w:val="1041"/>
        <w:ind w:firstLine="420"/>
        <w:jc w:val="both"/>
        <w:keepLines w:val="0"/>
        <w:keepNext w:val="0"/>
        <w:pageBreakBefore w:val="0"/>
        <w:spacing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①负责科技</w:t>
      </w:r>
      <w:r>
        <w:rPr>
          <w:rFonts w:hint="eastAsia" w:ascii="宋体" w:hAnsi="宋体" w:eastAsia="宋体" w:cs="宋体"/>
          <w:color w:val="000000"/>
          <w:sz w:val="21"/>
          <w:szCs w:val="21"/>
          <w:lang w:val="en-US" w:eastAsia="zh-CN" w:bidi="ar-SA"/>
        </w:rPr>
        <w:t xml:space="preserve">馆运营运维制度和原则的制定，负责制定科技馆运营运维成本、预算。②负责科技馆的统筹安排和管理，人员管理和绩效考核，讲解员和运维人员的培训。③负责审核参观申请并决定接待等级，审核临时重要参观的绿色通道申请。④负责科技馆日常事务的综合协调工作，包括参观接待方案制定，讲解人员、运维人员日常排班，安全管理、固定资产管理等相关工作。⑤负责科技馆月度和全年活动策划、组织及相关物料的采购和布置，以及活动的宣传推广。⑥做好每日参观接待人数统计与累计人数汇总。⑦负责每月参观情况的汇总；参观来宾的资料统计汇总，形成月度参观总结。</w:t>
      </w:r>
      <w:r>
        <w:rPr>
          <w:rFonts w:hint="eastAsia" w:ascii="宋体" w:hAnsi="宋体" w:eastAsia="宋体" w:cs="宋体"/>
          <w:color w:val="000000"/>
          <w:sz w:val="21"/>
          <w:szCs w:val="21"/>
          <w:lang w:val="en-US" w:eastAsia="zh-CN" w:bidi="ar-SA"/>
        </w:rPr>
      </w:r>
      <w:r/>
    </w:p>
    <w:p>
      <w:pPr>
        <w:pStyle w:val="893"/>
        <w:ind w:firstLine="420"/>
        <w:keepLines w:val="0"/>
        <w:keepNext w:val="0"/>
        <w:pageBreakBefore w:val="0"/>
        <w:spacing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上述有1项工作未达要求的，扣1分。</w:t>
      </w:r>
      <w:r>
        <w:rPr>
          <w:rFonts w:hint="eastAsia" w:ascii="宋体" w:hAnsi="宋体" w:eastAsia="宋体" w:cs="宋体"/>
          <w:color w:val="000000"/>
          <w:sz w:val="21"/>
          <w:szCs w:val="21"/>
          <w:lang w:val="en-US" w:eastAsia="zh-CN" w:bidi="ar-SA"/>
        </w:rPr>
      </w:r>
      <w:r/>
    </w:p>
    <w:p>
      <w:pPr>
        <w:pStyle w:val="1041"/>
        <w:ind w:firstLine="420"/>
        <w:jc w:val="both"/>
        <w:keepLines w:val="0"/>
        <w:keepNext w:val="0"/>
        <w:pageBreakBefore w:val="0"/>
        <w:spacing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（2）讲解员职责</w:t>
      </w:r>
      <w:r>
        <w:rPr>
          <w:rFonts w:hint="eastAsia" w:ascii="宋体" w:hAnsi="宋体" w:eastAsia="宋体" w:cs="宋体"/>
          <w:color w:val="000000"/>
          <w:sz w:val="21"/>
          <w:szCs w:val="21"/>
          <w:lang w:val="en-US" w:eastAsia="zh-CN" w:bidi="ar-SA"/>
        </w:rPr>
      </w:r>
      <w:r/>
    </w:p>
    <w:p>
      <w:pPr>
        <w:pStyle w:val="1041"/>
        <w:ind w:firstLine="420"/>
        <w:jc w:val="both"/>
        <w:keepLines w:val="0"/>
        <w:keepNext w:val="0"/>
        <w:pageBreakBefore w:val="0"/>
        <w:spacing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①根据馆长制定的排班表开展参观接待任务，提前与预约人沟通，了解参观要求，根据客户属性、要求等对参观路</w:t>
      </w:r>
      <w:r>
        <w:rPr>
          <w:rFonts w:hint="eastAsia" w:ascii="宋体" w:hAnsi="宋体" w:eastAsia="宋体" w:cs="宋体"/>
          <w:color w:val="000000"/>
          <w:sz w:val="21"/>
          <w:szCs w:val="21"/>
          <w:lang w:val="en-US" w:eastAsia="zh-CN" w:bidi="ar-SA"/>
        </w:rPr>
        <w:t xml:space="preserve">线和参观时长进行规划，做好参观讲解接待工作。②讲解熟练、不卡顿，及时回答访客问题，解释准确、思路清晰。③在参观前一个小时与运维人员检查参观演示设备的运行状态，保证参观者参观感知良好。④工作期间按规定着装，女讲解员按要求盘发，佩戴得体饰物。提前半小时整理好仪容仪表，于展馆入口处迎接参观者，没有接到参观取消的通知前不得擅自离开。⑤遇重要参观，配备两名讲解员，分为主讲解员、辅助讲解员，主讲负责全场讲解，辅助全场配合主讲进行设备演示、引导、拍照。⑥服务台值班员有事需离开时，由值班讲解员负责服务台工作，严禁出现空岗。</w:t>
      </w:r>
      <w:r>
        <w:rPr>
          <w:rFonts w:hint="eastAsia" w:ascii="宋体" w:hAnsi="宋体" w:eastAsia="宋体" w:cs="宋体"/>
          <w:color w:val="000000"/>
          <w:sz w:val="21"/>
          <w:szCs w:val="21"/>
          <w:lang w:val="en-US" w:eastAsia="zh-CN" w:bidi="ar-SA"/>
        </w:rPr>
      </w:r>
      <w:r/>
    </w:p>
    <w:p>
      <w:pPr>
        <w:pStyle w:val="1041"/>
        <w:ind w:firstLine="420"/>
        <w:jc w:val="both"/>
        <w:keepLines w:val="0"/>
        <w:keepNext w:val="0"/>
        <w:pageBreakBefore w:val="0"/>
        <w:spacing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上述有1项工作未达要求的，扣0.3分。  </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（3）运维人员工作</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①负责科技馆硬件设备、网络及控制系统的日常管理和维护，每日例行巡检，填写</w:t>
      </w:r>
      <w:r>
        <w:rPr>
          <w:rFonts w:hint="eastAsia" w:ascii="宋体" w:hAnsi="宋体" w:eastAsia="宋体" w:cs="宋体"/>
          <w:color w:val="000000"/>
          <w:sz w:val="21"/>
          <w:szCs w:val="21"/>
          <w:lang w:val="en-US" w:eastAsia="zh-CN" w:bidi="ar-SA"/>
        </w:rPr>
        <w:t xml:space="preserve">每日巡检表。②接待前配合讲解员做展前准备，进行设备的启动、调试、运行与系统登录等。③负责各终端和硬件体验设备的摆放，闭馆后的入库保存及保养，定期为各类终端维护，确保参观前的设备电量保证在90%以上。④熟悉场馆内各类设施、展品、硬件的维修方法，出现简单故障可以迅速维修，响应时间5分钟以内，维修时间10分钟以内，保证参观流程。⑤负责展厅固定资产的登记造册与盘点，并建立台账，记录故障处理情况。科技馆所需物料，在仓库指定位置由库管进行保存摆放。如需使用，需进行登记，经库管确认方可使用；使用完毕归还原位，并登记在案。</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上述未按规定执行发现一次扣0.3分。</w:t>
      </w:r>
      <w:r>
        <w:rPr>
          <w:rFonts w:hint="eastAsia" w:ascii="宋体" w:hAnsi="宋体" w:eastAsia="宋体" w:cs="宋体"/>
          <w:color w:val="000000"/>
          <w:sz w:val="21"/>
          <w:szCs w:val="21"/>
          <w:lang w:val="en-US" w:eastAsia="zh-CN" w:bidi="ar-SA"/>
        </w:rPr>
      </w:r>
      <w:r/>
    </w:p>
    <w:p>
      <w:pPr>
        <w:pStyle w:val="1041"/>
        <w:ind w:firstLine="420"/>
        <w:jc w:val="both"/>
        <w:keepLines w:val="0"/>
        <w:keepNext w:val="0"/>
        <w:pageBreakBefore w:val="0"/>
        <w:spacing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 重大接待任务</w:t>
      </w:r>
      <w:r>
        <w:rPr>
          <w:rFonts w:hint="eastAsia" w:ascii="宋体" w:hAnsi="宋体" w:eastAsia="宋体" w:cs="宋体"/>
          <w:color w:val="000000"/>
          <w:sz w:val="21"/>
          <w:szCs w:val="21"/>
          <w:lang w:val="en-US" w:eastAsia="zh-CN" w:bidi="ar-SA"/>
        </w:rPr>
      </w:r>
      <w:r/>
    </w:p>
    <w:p>
      <w:pPr>
        <w:pStyle w:val="1041"/>
        <w:ind w:firstLine="420"/>
        <w:jc w:val="both"/>
        <w:keepLines w:val="0"/>
        <w:keepNext w:val="0"/>
        <w:pageBreakBefore w:val="0"/>
        <w:spacing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重要接待任务要提前部署，制定应急预案。对照科技馆重大活动保障方案，落实对出入口管控、人员参观保障、交通秩序维护、停车服务保障等责任，确保活动顺利进行。有1项工作未达要求的，扣1分。</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（三）每日开闭馆工作</w:t>
      </w:r>
      <w:r>
        <w:rPr>
          <w:rFonts w:hint="eastAsia" w:ascii="宋体" w:hAnsi="宋体" w:eastAsia="宋体" w:cs="宋体"/>
          <w:color w:val="000000"/>
          <w:sz w:val="21"/>
          <w:szCs w:val="21"/>
          <w:lang w:val="en-US" w:eastAsia="zh-CN" w:bidi="ar-SA"/>
        </w:rPr>
      </w:r>
      <w:r/>
    </w:p>
    <w:p>
      <w:pPr>
        <w:pStyle w:val="1041"/>
        <w:ind w:firstLine="420"/>
        <w:jc w:val="both"/>
        <w:keepLines w:val="0"/>
        <w:keepNext w:val="0"/>
        <w:pageBreakBefore w:val="0"/>
        <w:spacing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1.人</w:t>
      </w:r>
      <w:r>
        <w:rPr>
          <w:rFonts w:hint="eastAsia" w:ascii="宋体" w:hAnsi="宋体" w:eastAsia="宋体" w:cs="宋体"/>
          <w:color w:val="000000"/>
          <w:sz w:val="21"/>
          <w:szCs w:val="21"/>
          <w:lang w:val="en-US" w:eastAsia="zh-CN" w:bidi="ar-SA"/>
        </w:rPr>
        <w:t xml:space="preserve">员到岗时间：8:30入场，9:25准备就绪，9:30开馆。2.接待员岗位检查。接待员在所在区域进行准备，开机、测试、卫生检查后，标准站姿迎接游客。3.开馆设备设施检查。运维人员开启展馆设备设施，检查运行状态，确保设备设施正常运行。4.开馆安全检查。运维人员及安保人员对展馆内外进行安全检查。5.闭馆人员岗位检查。闭馆前10分钟，各工作人员对展馆内游客进行清场通知。6.闭馆设备设施检查。运维人员检查设备运行状态，保证正常运行，及时更新升级，闭馆后关闭所有展项电源。如遇设备故障，需要修复处理，及时汇报运维负责人。</w:t>
      </w:r>
      <w:r>
        <w:rPr>
          <w:rFonts w:hint="eastAsia" w:ascii="宋体" w:hAnsi="宋体" w:eastAsia="宋体" w:cs="宋体"/>
          <w:color w:val="000000"/>
          <w:sz w:val="21"/>
          <w:szCs w:val="21"/>
          <w:lang w:val="en-US" w:eastAsia="zh-CN" w:bidi="ar-SA"/>
        </w:rPr>
      </w:r>
      <w:r/>
    </w:p>
    <w:p>
      <w:pPr>
        <w:pStyle w:val="1041"/>
        <w:ind w:firstLine="420"/>
        <w:jc w:val="both"/>
        <w:keepLines w:val="0"/>
        <w:keepNext w:val="0"/>
        <w:pageBreakBefore w:val="0"/>
        <w:spacing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上述未按照要求执行，扣除0.3分/次。</w:t>
      </w:r>
      <w:r>
        <w:rPr>
          <w:rFonts w:hint="eastAsia" w:ascii="宋体" w:hAnsi="宋体" w:eastAsia="宋体" w:cs="宋体"/>
          <w:color w:val="000000"/>
          <w:sz w:val="21"/>
          <w:szCs w:val="21"/>
          <w:lang w:val="en-US" w:eastAsia="zh-CN" w:bidi="ar-SA"/>
        </w:rPr>
      </w:r>
      <w:r/>
    </w:p>
    <w:p>
      <w:pPr>
        <w:pStyle w:val="1041"/>
        <w:ind w:firstLine="420"/>
        <w:jc w:val="both"/>
        <w:keepLines w:val="0"/>
        <w:keepNext w:val="0"/>
        <w:pageBreakBefore w:val="0"/>
        <w:spacing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（四）宣传推广</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1.暑期科普主题活动。每年7月至8月，每月开展一次针对青少年学生的科普主题活动，达到良好的宣传效应，每年策划的青少年科普主题活动不应少于2次，每少一次扣1分。</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2.主题策划活动。围绕全年工作目标，制定年度活动计划，每年组织策划展馆宣传主题活动4次以上，积极邀请省市和各类媒体单位采访报道渲染造势，扩大影响，做好展馆宣传策划。主题活动每少一次扣2分。</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3.活动策划运营宣传</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提供科技馆运营有关的宣传，包括宣传片、宣传册、展牌、礼品袋、纸杯等内容，具体内容按实际要求进行配置、采购。</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（五）外部评价</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1.领导交办问题。对领导发现的问题或提出批评意见每次扣1分。2.参观者反馈意见。科技馆工作人员不得与参观者发生争执，若发生被投诉情况，核实后追究当事人及负责人的责任。每出现1次扣1分。</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（六）年度考核指标</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1.成功开展全年各类活动，得到社会各界好评，每次活动均有媒体报道，参加人员数量大，可加10分。</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 全年各项宣传活动方案详尽，覆盖面广，阅读量和转发量大，助力科技馆推广和引流，可加10分。</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3.每年对运营团队进行业务技能培训至少2次，每一次扣10分。</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44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894"/>
        <w:numPr>
          <w:ilvl w:val="0"/>
          <w:numId w:val="4"/>
        </w:numPr>
        <w:rPr>
          <w:rFonts w:hint="eastAsia"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t xml:space="preserve"> </w:t>
      </w:r>
      <w:bookmarkStart w:id="81" w:name="_Toc7788"/>
      <w:r/>
      <w:bookmarkStart w:id="82" w:name="_Toc24587"/>
      <w:r/>
      <w:bookmarkStart w:id="83" w:name="_Toc16012"/>
      <w:r>
        <w:rPr>
          <w:rFonts w:hint="eastAsia" w:ascii="宋体" w:hAnsi="宋体" w:eastAsia="宋体" w:cs="宋体"/>
          <w:b/>
          <w:color w:val="000000"/>
          <w:sz w:val="44"/>
        </w:rPr>
        <w:t xml:space="preserve">采购需求</w:t>
      </w:r>
      <w:bookmarkEnd w:id="81"/>
      <w:r/>
      <w:bookmarkEnd w:id="82"/>
      <w:r/>
      <w:bookmarkEnd w:id="83"/>
      <w:r>
        <w:rPr>
          <w:rFonts w:hint="eastAsia" w:ascii="宋体" w:hAnsi="宋体" w:eastAsia="宋体" w:cs="宋体"/>
          <w:b/>
          <w:color w:val="000000"/>
          <w:sz w:val="44"/>
        </w:rPr>
      </w:r>
      <w:r/>
    </w:p>
    <w:p>
      <w:pPr>
        <w:pStyle w:val="893"/>
        <w:rPr>
          <w:rFonts w:hint="eastAsia" w:ascii="宋体" w:hAnsi="宋体" w:cs="宋体"/>
        </w:rPr>
      </w:pPr>
      <w:r>
        <w:rPr>
          <w:rFonts w:hint="eastAsia" w:ascii="宋体" w:hAnsi="宋体" w:cs="宋体"/>
        </w:rPr>
      </w:r>
      <w:r/>
    </w:p>
    <w:p>
      <w:pPr>
        <w:pStyle w:val="1039"/>
        <w:ind w:right="-10" w:firstLine="422"/>
        <w:spacing w:line="360" w:lineRule="auto"/>
        <w:rPr>
          <w:rFonts w:hint="eastAsia" w:ascii="宋体" w:hAnsi="宋体" w:cs="宋体"/>
          <w:b/>
          <w:bCs/>
          <w:color w:val="000000"/>
          <w:sz w:val="21"/>
          <w:szCs w:val="21"/>
        </w:rPr>
        <w:outlineLvl w:val="1"/>
      </w:pPr>
      <w:r/>
      <w:bookmarkStart w:id="84" w:name="_Toc1725"/>
      <w:r/>
      <w:bookmarkStart w:id="85" w:name="_Toc30301"/>
      <w:r>
        <w:rPr>
          <w:rFonts w:hint="eastAsia" w:ascii="宋体" w:hAnsi="宋体" w:cs="宋体"/>
          <w:b/>
          <w:bCs/>
          <w:color w:val="000000"/>
          <w:sz w:val="21"/>
          <w:szCs w:val="21"/>
        </w:rPr>
        <w:t xml:space="preserve">一、项目背景</w:t>
      </w:r>
      <w:bookmarkEnd w:id="84"/>
      <w:r/>
      <w:bookmarkEnd w:id="85"/>
      <w:r>
        <w:rPr>
          <w:rFonts w:hint="eastAsia" w:ascii="宋体" w:hAnsi="宋体" w:cs="宋体"/>
          <w:b/>
          <w:bCs/>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宿迁智慧城市科技馆于2019年建成并运营，根据《关于宿迁智能城市科技馆（市数字城管监督指挥中心）建设工作的会议纪要》（市长办公会议纪要2019年第20号）精神，明确市数字化城管监督指挥中心负责科技馆建成后的运营管理，目前已成功运营4年，鉴于运营项目合同到期，结合前期运营经验，经研究提出以公开招投标方式，进行市场化运营。</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（一）总体思路</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根据智慧城市科技馆设计规划，以打造科普展示中心、科技研发中心、运营管理中心为运营管理目标，以市数字化城市管理监督指挥中心为管理主体，以政府购买服务方式， 吸引优秀企业建立专业化管理团队进行日常运营，将智慧城市科技馆打造成为智慧城市应用管理、智慧科普基地、城市形象窗口，集中展示宿迁智慧城市的整体形象及实力，实现加快城市治理体系和治理能力现代化。</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（二）运营目标</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强化智慧应用整合管理。结合现有的智慧城市8大板块，积极配合市数字化城管监督指挥中心做好各类项目的提升，协调好各类信息化系统的整合应用，充分利用移动互联网、高分辨率大屏幕等手段，向市政府、各部门提供多维度可视化展现渠道，充分发挥城市大数据有效价值。</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打造智慧科普基地。面向社会公众提供智慧科技在社会、民生方面的互动体验，普及人工智能知识，激励公众崇尚科学、投身科学。在现有的各类创建品牌的基础上，积极做好各类基地的申请创建工作，推动经济社会各领域从数字化、信息化向智慧化加速跃升。</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发挥城市形象窗口作用。以打造城市新名片、赋能城市综合治理、展望智慧未来为引导，结合智慧城市科技馆设计理念，高标准做好广大市民公众和社会团体的参观引导服务，以及上级领导、中外客商、重要来宾调研学习等接待工作，将智慧城市科技馆塑造成展现宿迁形象的新窗口、新名片。</w:t>
      </w:r>
      <w:r>
        <w:rPr>
          <w:rFonts w:hint="eastAsia" w:ascii="宋体" w:hAnsi="宋体" w:cs="宋体"/>
          <w:color w:val="000000"/>
          <w:sz w:val="21"/>
          <w:szCs w:val="21"/>
        </w:rPr>
      </w:r>
      <w:r/>
    </w:p>
    <w:p>
      <w:pPr>
        <w:pStyle w:val="1039"/>
        <w:ind w:right="-10" w:firstLine="422"/>
        <w:spacing w:line="360" w:lineRule="auto"/>
        <w:rPr>
          <w:rFonts w:hint="eastAsia" w:ascii="宋体" w:hAnsi="宋体" w:cs="宋体"/>
          <w:b/>
          <w:bCs/>
          <w:color w:val="000000"/>
          <w:sz w:val="21"/>
          <w:szCs w:val="21"/>
        </w:rPr>
        <w:outlineLvl w:val="1"/>
      </w:pPr>
      <w:r/>
      <w:bookmarkStart w:id="86" w:name="_Toc27034"/>
      <w:r/>
      <w:bookmarkStart w:id="87" w:name="_Toc23604"/>
      <w:r>
        <w:rPr>
          <w:rFonts w:hint="eastAsia" w:ascii="宋体" w:hAnsi="宋体" w:cs="宋体"/>
          <w:b/>
          <w:bCs/>
          <w:color w:val="000000"/>
          <w:sz w:val="21"/>
          <w:szCs w:val="21"/>
        </w:rPr>
        <w:t xml:space="preserve">二、服务期限</w:t>
      </w:r>
      <w:bookmarkEnd w:id="86"/>
      <w:r/>
      <w:bookmarkEnd w:id="87"/>
      <w:r>
        <w:rPr>
          <w:rFonts w:hint="eastAsia" w:ascii="宋体" w:hAnsi="宋体" w:cs="宋体"/>
          <w:b/>
          <w:bCs/>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服务期：合同签订生效</w:t>
      </w:r>
      <w:r>
        <w:rPr>
          <w:rFonts w:hint="eastAsia" w:ascii="宋体" w:hAnsi="宋体" w:cs="宋体"/>
          <w:color w:val="000000"/>
          <w:sz w:val="21"/>
          <w:szCs w:val="21"/>
          <w:lang w:val="en-US" w:eastAsia="zh-CN"/>
        </w:rPr>
        <w:t xml:space="preserve">之日起</w:t>
      </w:r>
      <w:r>
        <w:rPr>
          <w:rFonts w:hint="eastAsia" w:ascii="宋体" w:hAnsi="宋体" w:cs="宋体"/>
          <w:color w:val="000000"/>
          <w:sz w:val="21"/>
          <w:szCs w:val="21"/>
        </w:rPr>
        <w:t xml:space="preserve">2年。</w:t>
      </w:r>
      <w:r>
        <w:rPr>
          <w:rFonts w:hint="eastAsia" w:ascii="宋体" w:hAnsi="宋体" w:cs="宋体"/>
          <w:color w:val="000000"/>
          <w:sz w:val="21"/>
          <w:szCs w:val="21"/>
        </w:rPr>
      </w:r>
      <w:r/>
    </w:p>
    <w:p>
      <w:pPr>
        <w:pStyle w:val="1039"/>
        <w:ind w:right="-10" w:firstLine="422"/>
        <w:spacing w:line="360" w:lineRule="auto"/>
        <w:rPr>
          <w:rFonts w:hint="eastAsia" w:ascii="宋体" w:hAnsi="宋体" w:cs="宋体"/>
          <w:b/>
          <w:bCs/>
          <w:color w:val="000000"/>
          <w:sz w:val="21"/>
          <w:szCs w:val="21"/>
        </w:rPr>
        <w:outlineLvl w:val="1"/>
      </w:pPr>
      <w:r/>
      <w:bookmarkStart w:id="88" w:name="_Toc23365"/>
      <w:r/>
      <w:bookmarkStart w:id="89" w:name="_Toc20819"/>
      <w:r>
        <w:rPr>
          <w:rFonts w:hint="eastAsia" w:ascii="宋体" w:hAnsi="宋体" w:cs="宋体"/>
          <w:b/>
          <w:bCs/>
          <w:color w:val="000000"/>
          <w:sz w:val="21"/>
          <w:szCs w:val="21"/>
        </w:rPr>
        <w:t xml:space="preserve">三、付款方式</w:t>
      </w:r>
      <w:bookmarkEnd w:id="88"/>
      <w:r/>
      <w:bookmarkEnd w:id="89"/>
      <w:r>
        <w:rPr>
          <w:rFonts w:hint="eastAsia" w:ascii="宋体" w:hAnsi="宋体" w:cs="宋体"/>
          <w:b/>
          <w:bCs/>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合同签订后，甲方支付年度服务费的10%作为预付款；剩余服务费采用按月考核按月拨付的方式，甲方按照文件服务内容要求和乙方响应文件中承诺的服务事项制定宿迁智慧城市科技馆运营管理绩效考核制度，乙方应无条件接受，服务期内，甲方每月按照绩效考核制度支付款项，且当月付款最高额度不得超过年度服务费金额的7.5%，剩余年度服务费的10%，根据当年度绩效考核得分及验收情况进行支付。</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（注：在签订合同时，中标人明确表示无需预付款或者主动要求降低预付款比例的额度，采购人可不适用前述预付款规定。）</w:t>
      </w:r>
      <w:r>
        <w:rPr>
          <w:rFonts w:hint="eastAsia" w:ascii="宋体" w:hAnsi="宋体" w:cs="宋体"/>
          <w:color w:val="000000"/>
          <w:sz w:val="21"/>
          <w:szCs w:val="21"/>
        </w:rPr>
      </w:r>
      <w:r/>
    </w:p>
    <w:p>
      <w:pPr>
        <w:pStyle w:val="1039"/>
        <w:ind w:right="-10" w:firstLine="422"/>
        <w:spacing w:line="360" w:lineRule="auto"/>
        <w:rPr>
          <w:rFonts w:hint="eastAsia" w:ascii="宋体" w:hAnsi="宋体" w:cs="宋体"/>
          <w:b/>
          <w:bCs/>
          <w:i/>
          <w:iCs/>
          <w:color w:val="000000"/>
          <w:sz w:val="21"/>
          <w:szCs w:val="21"/>
          <w:highlight w:val="none"/>
        </w:rPr>
      </w:pPr>
      <w:r>
        <w:rPr>
          <w:rFonts w:hint="eastAsia" w:ascii="宋体" w:hAnsi="宋体" w:cs="宋体"/>
          <w:b/>
          <w:bCs/>
          <w:i/>
          <w:iCs/>
          <w:color w:val="000000"/>
          <w:sz w:val="21"/>
          <w:szCs w:val="21"/>
          <w:highlight w:val="none"/>
        </w:rPr>
        <w:t xml:space="preserve">以下采购需求为最低要求，不接受负偏离，文件中提供响应全部要求的承诺函电子件（加盖公章，承诺函格式自拟），否则按无效标处理。 </w:t>
      </w:r>
      <w:r>
        <w:rPr>
          <w:rFonts w:hint="eastAsia" w:ascii="宋体" w:hAnsi="宋体" w:cs="宋体"/>
          <w:b/>
          <w:bCs/>
          <w:i/>
          <w:iCs/>
          <w:color w:val="000000"/>
          <w:sz w:val="21"/>
          <w:szCs w:val="21"/>
          <w:highlight w:val="none"/>
        </w:rPr>
      </w:r>
      <w:r/>
    </w:p>
    <w:p>
      <w:pPr>
        <w:pStyle w:val="1039"/>
        <w:ind w:right="-10" w:firstLine="422"/>
        <w:spacing w:line="360" w:lineRule="auto"/>
        <w:rPr>
          <w:rFonts w:hint="eastAsia" w:ascii="宋体" w:hAnsi="宋体" w:cs="宋体"/>
          <w:b/>
          <w:bCs/>
          <w:color w:val="000000"/>
          <w:sz w:val="21"/>
          <w:szCs w:val="21"/>
        </w:rPr>
        <w:outlineLvl w:val="1"/>
      </w:pPr>
      <w:r/>
      <w:bookmarkStart w:id="90" w:name="_Toc4564"/>
      <w:r/>
      <w:bookmarkStart w:id="91" w:name="_Toc23260"/>
      <w:r>
        <w:rPr>
          <w:rFonts w:hint="eastAsia" w:ascii="宋体" w:hAnsi="宋体" w:cs="宋体"/>
          <w:b/>
          <w:bCs/>
          <w:color w:val="000000"/>
          <w:sz w:val="21"/>
          <w:szCs w:val="21"/>
        </w:rPr>
        <w:t xml:space="preserve">四、人员配置及要求</w:t>
      </w:r>
      <w:bookmarkEnd w:id="90"/>
      <w:r/>
      <w:bookmarkEnd w:id="91"/>
      <w:r>
        <w:rPr>
          <w:rFonts w:hint="eastAsia" w:ascii="宋体" w:hAnsi="宋体" w:cs="宋体"/>
          <w:b/>
          <w:bCs/>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本项目总人数不少于13人，含项目负责人1人，讲解员4人，维护员4人，食堂运营4人。具体要求如下：</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（一）项目负责人要求（1人）</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负责运营管理团队管理工作，具有相关工作经验以及具备一定的策划策展能力，年龄40周岁以下。</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（二）运营维护组人员要求</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1.讲解员（不少于4人）</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负责宿迁智慧城市科技馆接待讲解工作。年龄35周岁以下，具有类似规模科技馆、博物馆、景区、展览馆讲解接待工作经验，形象气质佳。女性不少于3人。</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2.技术维护员（不少于4人）</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负责展厅网络、硬件、系统、展项设备的日常维护与操作，管理好智能楼宇系统，承担场馆内日常巡检， 问题发现和处置，做好参观保障工作，24小时服务响应，具有全日制专科或以上学历，具有从事智能化项目建设经验或信息化展厅维护工作经验。年龄35周岁以下。</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3.食堂服务员（不少于4人）</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负责宿迁智慧城市科技馆的食堂日常工作，做好场馆内工作人员就餐时的打餐、餐后刷洗、食堂清洁等工作。年龄45周岁以下。</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注： 以上人员有年龄要求的，以本项目响应文件接收截止时间为止时间。</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（四）其他要求</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成交供应商在成交后2个工作日内，将所有人员资料（近2个月的健康证及体检报告和文化程度证明材料等）交采购人审核，以上人员经采购人审核同意后3个工作日内上岗，开启场馆日常运行维护管理，保证设备正常运转，接待讲解内容同步进行，满足业主方对于政府领导接待的任务。如不能满足以上条件，业主有权要求成交人及时采取相应措施，若成交人不采取措施致合同无法继续履行，报请监管部门按相关规定处理，并由成交人负责相关连带损失以及扣除费用。</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2.人员工资</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为保证服务队伍的整体素质和相对稳定性，供应商应充分考虑管理和服务人员的工资待遇。供应商要综合考虑宿迁劳动市场因素，对人工费用进行合理报价。人员工资不得低于宿迁市现行的最低工资标准，否则按无效标处理。合同期内如遇相关政策调整，成交人自行承担所需费用。</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3.履约期间，如发生成交单位的工作人员工伤或人身伤亡事故，均由成交人承担，与采购单位无关。 </w:t>
      </w:r>
      <w:r>
        <w:rPr>
          <w:rFonts w:hint="eastAsia" w:ascii="宋体" w:hAnsi="宋体" w:cs="宋体"/>
          <w:color w:val="000000"/>
          <w:sz w:val="21"/>
          <w:szCs w:val="21"/>
        </w:rPr>
      </w:r>
      <w:r/>
    </w:p>
    <w:p>
      <w:pPr>
        <w:pStyle w:val="1039"/>
        <w:ind w:right="-10" w:firstLine="422"/>
        <w:spacing w:line="360" w:lineRule="auto"/>
        <w:rPr>
          <w:rFonts w:hint="eastAsia" w:ascii="宋体" w:hAnsi="宋体" w:cs="宋体"/>
          <w:b/>
          <w:bCs/>
          <w:color w:val="000000"/>
          <w:sz w:val="21"/>
          <w:szCs w:val="21"/>
        </w:rPr>
        <w:outlineLvl w:val="1"/>
      </w:pPr>
      <w:r/>
      <w:bookmarkStart w:id="92" w:name="_Toc16996"/>
      <w:r/>
      <w:bookmarkStart w:id="93" w:name="_Toc26434"/>
      <w:r>
        <w:rPr>
          <w:rFonts w:hint="eastAsia" w:ascii="宋体" w:hAnsi="宋体" w:cs="宋体"/>
          <w:b/>
          <w:bCs/>
          <w:color w:val="000000"/>
          <w:sz w:val="21"/>
          <w:szCs w:val="21"/>
        </w:rPr>
        <w:t xml:space="preserve">五、运营服务内容</w:t>
      </w:r>
      <w:bookmarkEnd w:id="92"/>
      <w:r/>
      <w:bookmarkEnd w:id="93"/>
      <w:r>
        <w:rPr>
          <w:rFonts w:hint="eastAsia" w:ascii="宋体" w:hAnsi="宋体" w:cs="宋体"/>
          <w:b/>
          <w:bCs/>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负责宿迁智慧城市科技馆包括但不限于一楼序厅、展示区、互动娱乐区、多媒体报告厅、无人超市，二楼运营管理中心、产业展示区、临展区、5D影院、食堂、休闲餐吧、书吧，科技馆各类应用的运营管理与技术维护工作，严格对照宿迁智慧城市科技馆建设内容及后续更新的展示展项提供优良的运营服务，体现智慧城市科技馆建设内涵，逐步提升场馆活力。</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其中，针对一楼序厅、展示区、互动娱乐区、二楼运营管理中心、5D影院、馆内各类应用建设内容需要保持良好的正常对外开馆状态，做好相关硬件设施的维护维修，按要求保障各类展项正常开放使用，根据采购人运营需要及时做好讲解内容的提升与更新工作；持续保持吸引社会各界来访参观的良性状态；针对二楼产业展示区、临展区，须在按照上述服务要求的前提下，配</w:t>
      </w:r>
      <w:r>
        <w:rPr>
          <w:rFonts w:hint="eastAsia" w:ascii="宋体" w:hAnsi="宋体" w:cs="宋体"/>
          <w:color w:val="000000"/>
          <w:sz w:val="21"/>
          <w:szCs w:val="21"/>
        </w:rPr>
        <w:t xml:space="preserve">合采购人通过各类渠道吸引企业、单位入驻展示，推动良性运转；针对休闲餐吧、书吧、无人超市，投标人须通过合作或自建形式完成相关硬件设施设备配套建设，并负责积极利用各类渠道吸引经营者入驻为科技馆提供相应服务。开展好各类宣传推广和人员培训，配齐配全相关设施设备和耗材物料，并做好统一安全保障管理；在各项管理中都须利用信息化、智慧化技术提升运营效率；拟派驻的运营人员须保证良好的形象和文明素质，确保科技馆对外良好展示形象；遇各节假日、重大活动，须做好各类氛围营造工作。各项运营工作须配合主管部门监督管理，实行绩效考核制度。</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（一）接待讲解</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根据不同的讲解对象、设置不同的参观路线，并做好相应的接待方案，给来宾良好的参观体验。</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1.上级领导、中外客商、重要来宾。根据主管部门通知或预约渠道信息，提前一天规划好参观引导路线。同时，根据所参观来宾的性质作出相对应的应急方案和对口需求。确保来宾良好的参观体验。</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市民。运营组需要根据普通市民设置适合对方参观的路线。同时运营组需引导或指导市民公众在接待处登记领取语音导览设备后，可自行入馆按照指定路线参观，同时安排定时或不定时的讲解服务，重大节假日、寒暑期间需按照采购人的要求增设或招募运营人员。运营组需告知参观民众2楼产业展示区、运营管理中心及3、4楼办公区不对公众开放，并做好相关防护措施，部分互动展项在运营组指导下操作体验，5D影院等集中服务项目有效组织秩序并负责安全保障工作。</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3.团体接待。运营团队负责预约接待、讲解、引导和技术服务工作，保证团队活动有序开展，按优质服务水平完成接待任务。</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（二）宣传推广</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围绕全年工作目标，制定展馆全年宣传计划，每年至少组织策划一场展馆宣传的主题活动，积极邀请省市和各类媒体单位采访报道渲染造势，扩大影响，同时，做好公众号等新媒体采编维护工作，做好展馆宣传策划。</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（三）活动策划</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1.每年度提供不少于6场的各类活动策划：</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1.1针对政府及行业客户， 每个季度开展一次专项活动， 邀请行业相关的兄弟单位或者相关产业政府领导进行活动， 对宿迁的产业发展提供良好的思路及建议，做好主题活动的策划。</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1.2每年暑期7月至8月，每月开展一次针对青少年学生科普主题活动，活动内容由项目负责人策划，并进行相应宣传，达到良好的宣传效应，每年策划的青少年科普主题活动不应少于2次；</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2.展期内，根据科技馆需求，项目负责人进行相应的活动策划，策划内容包含：活动目的、活动策略、操作流程、执行手册等内容。撰写方案，科技馆确认方案后，方可执行。 项目负责人牵头负责活动宣传策划，在讲解、维护员中选出有策划能力的人员协助方案策划工作。活动执行期间，根据活动方案统筹实施。如遇重大接待活动或大型专题活动。项目负责人需牵头负责制定接待方案、安排参观路线、讲解引导和宣传工作，并确保活动安全秩序和卫生保洁工作；</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活动开始前20天活动组进行场地勘察，与主管部门确认场地内可用空间，以及互动状态。活动确认后，进行物料准备，预留充分时间进行物料制作。小件物料限时5天内完成，大制作限时15天内完成。活动开始前2天活动物料进入展馆，由活动负责人进行彩排。活动开始，严格按照确认方案进行现场执行，现场所有工作人员全部配合。</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（四）运营维护</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1、设备运行检查</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运维人员开启展馆设备，包括：电源、设备、照明、网络。并检查设备运行状态，确保设备正常运行。展期中，运维人员每30分钟例行检查设备，保证设备正常运营。闭馆后，运维人员对设备进行设备检查，确认没有故障后安全关闭，并断电。由运营组负责人核查后签字。发现设备出现故障后，由保安将设备所在区域进行格挡，并由讲解员以及保安维护现场秩序。设备如无法立即修复，由运营组负责人下达指令将设备关闭，待每日闭馆后进行修复。如设备无法彻底修复，运维人员联系设备厂家进行维护。运维人员每周一对设备系统进行例行更新维护，故障排查。</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2、设备故障处理</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设备故障运维人员响应时间5分钟以内，维修时间10分钟以内。暂停设备对外运营，在设备周边2米位置进行格挡，检查问题来源，并尝试修复。运维人员修复期间，讲解员协助维持秩序并指引用户体验其他项目。运维人员快速处理修复设备，修复完成后，撤离格挡，讲解员回到岗位。如不能快速修复，运维人员关闭设备，并由讲解员在旁辅助引导。闭馆后由运维人员进行修复。</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（五）考核培训</w:t>
      </w: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负责每季度对运营团队进行包括但不限于现场演练、现场授课、远程讲解、异地培训、内容更新等方面的业务培训， 项目负责人负责对团队成员工作完成情况、培训情况、综合表现进行考核，并且制定相应考核绩效，主管部门根据关键绩效指标负责对项目负责人进行考核，落实绩效。</w:t>
      </w:r>
      <w:r>
        <w:rPr>
          <w:rFonts w:hint="eastAsia" w:ascii="宋体" w:hAnsi="宋体" w:cs="宋体"/>
          <w:color w:val="000000"/>
          <w:sz w:val="21"/>
          <w:szCs w:val="21"/>
        </w:rPr>
      </w:r>
      <w:r/>
    </w:p>
    <w:p>
      <w:pPr>
        <w:pStyle w:val="1039"/>
        <w:ind w:right="-10" w:firstLine="422"/>
        <w:spacing w:line="360" w:lineRule="auto"/>
        <w:rPr>
          <w:rFonts w:hint="eastAsia" w:ascii="宋体" w:hAnsi="宋体" w:cs="宋体"/>
          <w:b/>
          <w:bCs/>
          <w:color w:val="000000"/>
          <w:sz w:val="21"/>
          <w:szCs w:val="21"/>
        </w:rPr>
        <w:outlineLvl w:val="1"/>
      </w:pPr>
      <w:r/>
      <w:bookmarkStart w:id="94" w:name="_Toc3884"/>
      <w:r/>
      <w:bookmarkStart w:id="95" w:name="_Toc23551"/>
      <w:r>
        <w:rPr>
          <w:rFonts w:hint="eastAsia" w:ascii="宋体" w:hAnsi="宋体" w:cs="宋体"/>
          <w:b/>
          <w:bCs/>
          <w:color w:val="000000"/>
          <w:sz w:val="21"/>
          <w:szCs w:val="21"/>
        </w:rPr>
        <w:t xml:space="preserve">六、场馆内办公用品</w:t>
      </w:r>
      <w:bookmarkEnd w:id="94"/>
      <w:r/>
      <w:bookmarkEnd w:id="95"/>
      <w:r>
        <w:rPr>
          <w:rFonts w:hint="eastAsia" w:ascii="宋体" w:hAnsi="宋体" w:cs="宋体"/>
          <w:b/>
          <w:bCs/>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履约期内，供应商应自行提供包括但不限于如下的办公用品（详见明细，费用包含在本次报价中）。同时，供应商还应充分考虑在服务过程中，可能出现其他跟服务有关的办公用品增添事项，并将费用包含在本次报价中。</w:t>
      </w:r>
      <w:r>
        <w:rPr>
          <w:rFonts w:hint="eastAsia" w:ascii="宋体" w:hAnsi="宋体" w:cs="宋体"/>
          <w:color w:val="000000"/>
          <w:sz w:val="21"/>
          <w:szCs w:val="21"/>
        </w:rPr>
      </w:r>
      <w:r/>
    </w:p>
    <w:p>
      <w:pPr>
        <w:pStyle w:val="1039"/>
        <w:jc w:val="center"/>
        <w:spacing w:line="236" w:lineRule="auto"/>
        <w:rPr>
          <w:rFonts w:hint="eastAsia" w:ascii="宋体" w:hAnsi="宋体" w:cs="宋体"/>
          <w:color w:val="000000"/>
          <w:sz w:val="21"/>
          <w:szCs w:val="21"/>
        </w:rPr>
      </w:pPr>
      <w:r>
        <w:rPr>
          <w:rFonts w:hint="eastAsia" w:ascii="宋体" w:hAnsi="宋体" w:cs="宋体"/>
          <w:color w:val="000000"/>
          <w:spacing w:val="-1"/>
          <w:sz w:val="21"/>
          <w:szCs w:val="21"/>
        </w:rPr>
        <w:t xml:space="preserve">场馆内办公用品需求明细</w:t>
      </w:r>
      <w:r>
        <w:rPr>
          <w:rFonts w:hint="eastAsia" w:ascii="宋体" w:hAnsi="宋体" w:cs="宋体"/>
          <w:color w:val="000000"/>
          <w:sz w:val="21"/>
          <w:szCs w:val="21"/>
        </w:rPr>
      </w:r>
      <w:r/>
    </w:p>
    <w:p>
      <w:pPr>
        <w:pStyle w:val="1039"/>
        <w:spacing w:line="38" w:lineRule="exact"/>
        <w:rPr>
          <w:rFonts w:hint="eastAsia" w:ascii="宋体" w:hAnsi="宋体" w:cs="宋体"/>
          <w:color w:val="000000"/>
          <w:sz w:val="21"/>
          <w:szCs w:val="21"/>
        </w:rPr>
      </w:pPr>
      <w:r>
        <w:rPr>
          <w:rFonts w:hint="eastAsia" w:ascii="宋体" w:hAnsi="宋体" w:cs="宋体"/>
          <w:color w:val="000000"/>
          <w:sz w:val="21"/>
          <w:szCs w:val="21"/>
        </w:rPr>
      </w:r>
      <w:r/>
    </w:p>
    <w:tbl>
      <w:tblPr>
        <w:tblW w:w="9718" w:type="dxa"/>
        <w:jc w:val="center"/>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9"/>
        <w:gridCol w:w="704"/>
        <w:gridCol w:w="1944"/>
        <w:gridCol w:w="641"/>
        <w:gridCol w:w="682"/>
        <w:gridCol w:w="5038"/>
      </w:tblGrid>
      <w:tr>
        <w:trPr>
          <w:trHeight w:val="447"/>
        </w:trPr>
        <w:tc>
          <w:tcPr>
            <w:tcW w:w="709"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r>
            <w:r/>
          </w:p>
        </w:tc>
        <w:tc>
          <w:tcPr>
            <w:tcW w:w="70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序号</w:t>
            </w:r>
            <w:r>
              <w:rPr>
                <w:rFonts w:hint="eastAsia" w:ascii="宋体" w:hAnsi="宋体" w:cs="宋体"/>
                <w:color w:val="000000"/>
                <w:sz w:val="21"/>
                <w:szCs w:val="21"/>
              </w:rPr>
            </w:r>
            <w:r/>
          </w:p>
        </w:tc>
        <w:tc>
          <w:tcPr>
            <w:tcW w:w="194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文具</w:t>
            </w:r>
            <w:r>
              <w:rPr>
                <w:rFonts w:hint="eastAsia" w:ascii="宋体" w:hAnsi="宋体" w:cs="宋体"/>
                <w:color w:val="000000"/>
                <w:sz w:val="21"/>
                <w:szCs w:val="21"/>
              </w:rPr>
            </w:r>
            <w:r/>
          </w:p>
        </w:tc>
        <w:tc>
          <w:tcPr>
            <w:tcW w:w="641"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数量</w:t>
            </w:r>
            <w:r>
              <w:rPr>
                <w:rFonts w:hint="eastAsia" w:ascii="宋体" w:hAnsi="宋体" w:cs="宋体"/>
                <w:color w:val="000000"/>
                <w:sz w:val="21"/>
                <w:szCs w:val="21"/>
              </w:rPr>
            </w:r>
            <w:r/>
          </w:p>
        </w:tc>
        <w:tc>
          <w:tcPr>
            <w:tcW w:w="682"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单位</w:t>
            </w:r>
            <w:r>
              <w:rPr>
                <w:rFonts w:hint="eastAsia" w:ascii="宋体" w:hAnsi="宋体" w:cs="宋体"/>
                <w:color w:val="000000"/>
                <w:sz w:val="21"/>
                <w:szCs w:val="21"/>
              </w:rPr>
            </w:r>
            <w:r/>
          </w:p>
        </w:tc>
        <w:tc>
          <w:tcPr>
            <w:tcW w:w="5038"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备注</w:t>
            </w:r>
            <w:r>
              <w:rPr>
                <w:rFonts w:hint="eastAsia" w:ascii="宋体" w:hAnsi="宋体" w:cs="宋体"/>
                <w:color w:val="000000"/>
                <w:sz w:val="21"/>
                <w:szCs w:val="21"/>
              </w:rPr>
            </w:r>
            <w:r/>
          </w:p>
        </w:tc>
      </w:tr>
      <w:tr>
        <w:trPr>
          <w:trHeight w:val="669"/>
        </w:trPr>
        <w:tc>
          <w:tcPr>
            <w:tcW w:w="709" w:type="dxa"/>
            <w:vAlign w:val="center"/>
            <w:vMerge w:val="restart"/>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办公</w:t>
            </w:r>
            <w:r>
              <w:rPr>
                <w:rFonts w:hint="eastAsia" w:ascii="宋体" w:hAnsi="宋体" w:cs="宋体"/>
                <w:color w:val="000000"/>
                <w:sz w:val="21"/>
                <w:szCs w:val="21"/>
              </w:rPr>
            </w:r>
            <w:r/>
          </w:p>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用品</w:t>
            </w:r>
            <w:r>
              <w:rPr>
                <w:rFonts w:hint="eastAsia" w:ascii="宋体" w:hAnsi="宋体" w:cs="宋体"/>
                <w:color w:val="000000"/>
                <w:sz w:val="21"/>
                <w:szCs w:val="21"/>
              </w:rPr>
            </w:r>
            <w:r/>
          </w:p>
        </w:tc>
        <w:tc>
          <w:tcPr>
            <w:tcW w:w="70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194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办公桌、休息桌</w:t>
            </w:r>
            <w:r>
              <w:rPr>
                <w:rFonts w:hint="eastAsia" w:ascii="宋体" w:hAnsi="宋体" w:cs="宋体"/>
                <w:color w:val="000000"/>
                <w:sz w:val="21"/>
                <w:szCs w:val="21"/>
              </w:rPr>
            </w:r>
            <w:r/>
          </w:p>
        </w:tc>
        <w:tc>
          <w:tcPr>
            <w:tcW w:w="641"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12</w:t>
            </w:r>
            <w:r>
              <w:rPr>
                <w:rFonts w:hint="eastAsia" w:ascii="宋体" w:hAnsi="宋体" w:cs="宋体"/>
                <w:color w:val="000000"/>
                <w:sz w:val="21"/>
                <w:szCs w:val="21"/>
              </w:rPr>
            </w:r>
            <w:r/>
          </w:p>
        </w:tc>
        <w:tc>
          <w:tcPr>
            <w:tcW w:w="682"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张</w:t>
            </w:r>
            <w:r>
              <w:rPr>
                <w:rFonts w:hint="eastAsia" w:ascii="宋体" w:hAnsi="宋体" w:cs="宋体"/>
                <w:color w:val="000000"/>
                <w:sz w:val="21"/>
                <w:szCs w:val="21"/>
              </w:rPr>
            </w:r>
            <w:r/>
          </w:p>
        </w:tc>
        <w:tc>
          <w:tcPr>
            <w:tcW w:w="5038" w:type="dxa"/>
            <w:vAlign w:val="center"/>
            <w:textDirection w:val="lrTb"/>
            <w:noWrap w:val="false"/>
          </w:tcPr>
          <w:p>
            <w:pPr>
              <w:pStyle w:val="1039"/>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60S 天然木皮贴面，E0级刨花板，甲醛释放量≤ 5mg/100g，采用环保油漆，封闭式涂装。</w:t>
            </w:r>
            <w:r>
              <w:rPr>
                <w:rFonts w:hint="eastAsia" w:ascii="宋体" w:hAnsi="宋体" w:cs="宋体"/>
                <w:color w:val="000000"/>
                <w:sz w:val="21"/>
                <w:szCs w:val="21"/>
              </w:rPr>
            </w:r>
            <w:r/>
          </w:p>
        </w:tc>
      </w:tr>
      <w:tr>
        <w:trPr>
          <w:trHeight w:val="1280"/>
        </w:trPr>
        <w:tc>
          <w:tcPr>
            <w:tcW w:w="709" w:type="dxa"/>
            <w:vAlign w:val="center"/>
            <w:vMerge w:val="continue"/>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r>
            <w:r/>
          </w:p>
        </w:tc>
        <w:tc>
          <w:tcPr>
            <w:tcW w:w="70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W w:w="194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办公椅、休息椅</w:t>
            </w:r>
            <w:r>
              <w:rPr>
                <w:rFonts w:hint="eastAsia" w:ascii="宋体" w:hAnsi="宋体" w:cs="宋体"/>
                <w:color w:val="000000"/>
                <w:sz w:val="21"/>
                <w:szCs w:val="21"/>
              </w:rPr>
            </w:r>
            <w:r/>
          </w:p>
        </w:tc>
        <w:tc>
          <w:tcPr>
            <w:tcW w:w="641"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12</w:t>
            </w:r>
            <w:r>
              <w:rPr>
                <w:rFonts w:hint="eastAsia" w:ascii="宋体" w:hAnsi="宋体" w:cs="宋体"/>
                <w:color w:val="000000"/>
                <w:sz w:val="21"/>
                <w:szCs w:val="21"/>
              </w:rPr>
            </w:r>
            <w:r/>
          </w:p>
        </w:tc>
        <w:tc>
          <w:tcPr>
            <w:tcW w:w="682"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张</w:t>
            </w:r>
            <w:r>
              <w:rPr>
                <w:rFonts w:hint="eastAsia" w:ascii="宋体" w:hAnsi="宋体" w:cs="宋体"/>
                <w:color w:val="000000"/>
                <w:sz w:val="21"/>
                <w:szCs w:val="21"/>
              </w:rPr>
            </w:r>
            <w:r/>
          </w:p>
        </w:tc>
        <w:tc>
          <w:tcPr>
            <w:tcW w:w="5038" w:type="dxa"/>
            <w:vAlign w:val="center"/>
            <w:textDirection w:val="lrTb"/>
            <w:noWrap w:val="false"/>
          </w:tcPr>
          <w:p>
            <w:pPr>
              <w:pStyle w:val="1039"/>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优质面料（人体接触部位），防火海绵，座绵密度≥25kg/m3，其他部位密度≥18kg/m3,12mm 外板/6mm内板，E1级优质曲木板,弓形脚壁厚 2.0mm 钢管折弯而成，表面电镀。</w:t>
            </w:r>
            <w:r>
              <w:rPr>
                <w:rFonts w:hint="eastAsia" w:ascii="宋体" w:hAnsi="宋体" w:cs="宋体"/>
                <w:color w:val="000000"/>
                <w:sz w:val="21"/>
                <w:szCs w:val="21"/>
              </w:rPr>
            </w:r>
            <w:r/>
          </w:p>
        </w:tc>
      </w:tr>
      <w:tr>
        <w:trPr>
          <w:trHeight w:val="489"/>
        </w:trPr>
        <w:tc>
          <w:tcPr>
            <w:tcW w:w="709" w:type="dxa"/>
            <w:vAlign w:val="center"/>
            <w:vMerge w:val="continue"/>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r>
            <w:r/>
          </w:p>
        </w:tc>
        <w:tc>
          <w:tcPr>
            <w:tcW w:w="70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tcW w:w="194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办公电脑</w:t>
            </w:r>
            <w:r>
              <w:rPr>
                <w:rFonts w:hint="eastAsia" w:ascii="宋体" w:hAnsi="宋体" w:cs="宋体"/>
                <w:color w:val="000000"/>
                <w:sz w:val="21"/>
                <w:szCs w:val="21"/>
              </w:rPr>
            </w:r>
            <w:r/>
          </w:p>
        </w:tc>
        <w:tc>
          <w:tcPr>
            <w:tcW w:w="641"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8</w:t>
            </w:r>
            <w:r>
              <w:rPr>
                <w:rFonts w:hint="eastAsia" w:ascii="宋体" w:hAnsi="宋体" w:cs="宋体"/>
                <w:color w:val="000000"/>
                <w:sz w:val="21"/>
                <w:szCs w:val="21"/>
              </w:rPr>
            </w:r>
            <w:r/>
          </w:p>
        </w:tc>
        <w:tc>
          <w:tcPr>
            <w:tcW w:w="682"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台</w:t>
            </w:r>
            <w:r>
              <w:rPr>
                <w:rFonts w:hint="eastAsia" w:ascii="宋体" w:hAnsi="宋体" w:cs="宋体"/>
                <w:color w:val="000000"/>
                <w:sz w:val="21"/>
                <w:szCs w:val="21"/>
              </w:rPr>
            </w:r>
            <w:r/>
          </w:p>
        </w:tc>
        <w:tc>
          <w:tcPr>
            <w:tcW w:w="5038" w:type="dxa"/>
            <w:vAlign w:val="center"/>
            <w:textDirection w:val="lrTb"/>
            <w:noWrap w:val="false"/>
          </w:tcPr>
          <w:p>
            <w:pPr>
              <w:pStyle w:val="1039"/>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满足场馆运营办公需求。</w:t>
            </w:r>
            <w:r>
              <w:rPr>
                <w:rFonts w:hint="eastAsia" w:ascii="宋体" w:hAnsi="宋体" w:cs="宋体"/>
                <w:color w:val="000000"/>
                <w:sz w:val="21"/>
                <w:szCs w:val="21"/>
              </w:rPr>
            </w:r>
            <w:r/>
          </w:p>
        </w:tc>
      </w:tr>
      <w:tr>
        <w:trPr>
          <w:trHeight w:val="489"/>
        </w:trPr>
        <w:tc>
          <w:tcPr>
            <w:tcW w:w="709" w:type="dxa"/>
            <w:vAlign w:val="center"/>
            <w:vMerge w:val="continue"/>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r>
            <w:r/>
          </w:p>
        </w:tc>
        <w:tc>
          <w:tcPr>
            <w:tcW w:w="70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r>
            <w:r/>
          </w:p>
        </w:tc>
        <w:tc>
          <w:tcPr>
            <w:tcW w:w="194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打印机</w:t>
            </w:r>
            <w:r>
              <w:rPr>
                <w:rFonts w:hint="eastAsia" w:ascii="宋体" w:hAnsi="宋体" w:cs="宋体"/>
                <w:color w:val="000000"/>
                <w:sz w:val="21"/>
                <w:szCs w:val="21"/>
              </w:rPr>
            </w:r>
            <w:r/>
          </w:p>
        </w:tc>
        <w:tc>
          <w:tcPr>
            <w:tcW w:w="641"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W w:w="682"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台</w:t>
            </w:r>
            <w:r>
              <w:rPr>
                <w:rFonts w:hint="eastAsia" w:ascii="宋体" w:hAnsi="宋体" w:cs="宋体"/>
                <w:color w:val="000000"/>
                <w:sz w:val="21"/>
                <w:szCs w:val="21"/>
              </w:rPr>
            </w:r>
            <w:r/>
          </w:p>
        </w:tc>
        <w:tc>
          <w:tcPr>
            <w:tcW w:w="5038" w:type="dxa"/>
            <w:vAlign w:val="center"/>
            <w:textDirection w:val="lrTb"/>
            <w:noWrap w:val="false"/>
          </w:tcPr>
          <w:p>
            <w:pPr>
              <w:pStyle w:val="1039"/>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品牌打印机，支持彩色打印及A3规格。</w:t>
            </w:r>
            <w:r>
              <w:rPr>
                <w:rFonts w:hint="eastAsia" w:ascii="宋体" w:hAnsi="宋体" w:cs="宋体"/>
                <w:color w:val="000000"/>
                <w:sz w:val="21"/>
                <w:szCs w:val="21"/>
              </w:rPr>
            </w:r>
            <w:r/>
          </w:p>
        </w:tc>
      </w:tr>
      <w:tr>
        <w:trPr>
          <w:trHeight w:val="681"/>
        </w:trPr>
        <w:tc>
          <w:tcPr>
            <w:tcW w:w="709" w:type="dxa"/>
            <w:vAlign w:val="center"/>
            <w:vMerge w:val="continue"/>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r>
            <w:r/>
          </w:p>
        </w:tc>
        <w:tc>
          <w:tcPr>
            <w:tcW w:w="70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tcW w:w="194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对讲机</w:t>
            </w:r>
            <w:r>
              <w:rPr>
                <w:rFonts w:hint="eastAsia" w:ascii="宋体" w:hAnsi="宋体" w:cs="宋体"/>
                <w:color w:val="000000"/>
                <w:sz w:val="21"/>
                <w:szCs w:val="21"/>
              </w:rPr>
            </w:r>
            <w:r/>
          </w:p>
        </w:tc>
        <w:tc>
          <w:tcPr>
            <w:tcW w:w="641"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10</w:t>
            </w:r>
            <w:r>
              <w:rPr>
                <w:rFonts w:hint="eastAsia" w:ascii="宋体" w:hAnsi="宋体" w:cs="宋体"/>
                <w:color w:val="000000"/>
                <w:sz w:val="21"/>
                <w:szCs w:val="21"/>
              </w:rPr>
            </w:r>
            <w:r/>
          </w:p>
        </w:tc>
        <w:tc>
          <w:tcPr>
            <w:tcW w:w="682"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台</w:t>
            </w:r>
            <w:r>
              <w:rPr>
                <w:rFonts w:hint="eastAsia" w:ascii="宋体" w:hAnsi="宋体" w:cs="宋体"/>
                <w:color w:val="000000"/>
                <w:sz w:val="21"/>
                <w:szCs w:val="21"/>
              </w:rPr>
            </w:r>
            <w:r/>
          </w:p>
        </w:tc>
        <w:tc>
          <w:tcPr>
            <w:tcW w:w="5038" w:type="dxa"/>
            <w:vAlign w:val="center"/>
            <w:textDirection w:val="lrTb"/>
            <w:noWrap w:val="false"/>
          </w:tcPr>
          <w:p>
            <w:pPr>
              <w:pStyle w:val="1039"/>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品牌对讲机，功率10W，重量168g，电池容量 7800MAH，5-7天待机时间。</w:t>
            </w:r>
            <w:r>
              <w:rPr>
                <w:rFonts w:hint="eastAsia" w:ascii="宋体" w:hAnsi="宋体" w:cs="宋体"/>
                <w:color w:val="000000"/>
                <w:sz w:val="21"/>
                <w:szCs w:val="21"/>
              </w:rPr>
            </w:r>
            <w:r/>
          </w:p>
        </w:tc>
      </w:tr>
      <w:tr>
        <w:trPr>
          <w:trHeight w:val="645"/>
        </w:trPr>
        <w:tc>
          <w:tcPr>
            <w:tcW w:w="709" w:type="dxa"/>
            <w:vAlign w:val="center"/>
            <w:vMerge w:val="continue"/>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r>
            <w:r/>
          </w:p>
        </w:tc>
        <w:tc>
          <w:tcPr>
            <w:tcW w:w="70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6</w:t>
            </w:r>
            <w:r>
              <w:rPr>
                <w:rFonts w:hint="eastAsia" w:ascii="宋体" w:hAnsi="宋体" w:cs="宋体"/>
                <w:color w:val="000000"/>
                <w:sz w:val="21"/>
                <w:szCs w:val="21"/>
              </w:rPr>
            </w:r>
            <w:r/>
          </w:p>
        </w:tc>
        <w:tc>
          <w:tcPr>
            <w:tcW w:w="194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小蜜蜂扩音器</w:t>
            </w:r>
            <w:r>
              <w:rPr>
                <w:rFonts w:hint="eastAsia" w:ascii="宋体" w:hAnsi="宋体" w:cs="宋体"/>
                <w:color w:val="000000"/>
                <w:sz w:val="21"/>
                <w:szCs w:val="21"/>
              </w:rPr>
            </w:r>
            <w:r/>
          </w:p>
        </w:tc>
        <w:tc>
          <w:tcPr>
            <w:tcW w:w="641"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6</w:t>
            </w:r>
            <w:r>
              <w:rPr>
                <w:rFonts w:hint="eastAsia" w:ascii="宋体" w:hAnsi="宋体" w:cs="宋体"/>
                <w:color w:val="000000"/>
                <w:sz w:val="21"/>
                <w:szCs w:val="21"/>
              </w:rPr>
            </w:r>
            <w:r/>
          </w:p>
        </w:tc>
        <w:tc>
          <w:tcPr>
            <w:tcW w:w="682"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套</w:t>
            </w:r>
            <w:r>
              <w:rPr>
                <w:rFonts w:hint="eastAsia" w:ascii="宋体" w:hAnsi="宋体" w:cs="宋体"/>
                <w:color w:val="000000"/>
                <w:sz w:val="21"/>
                <w:szCs w:val="21"/>
              </w:rPr>
            </w:r>
            <w:r/>
          </w:p>
        </w:tc>
        <w:tc>
          <w:tcPr>
            <w:tcW w:w="5038" w:type="dxa"/>
            <w:vAlign w:val="center"/>
            <w:textDirection w:val="lrTb"/>
            <w:noWrap w:val="false"/>
          </w:tcPr>
          <w:p>
            <w:pPr>
              <w:pStyle w:val="1039"/>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品牌机器，电池容量1000MAH，发音清晰，自动降噪。</w:t>
            </w:r>
            <w:r>
              <w:rPr>
                <w:rFonts w:hint="eastAsia" w:ascii="宋体" w:hAnsi="宋体" w:cs="宋体"/>
                <w:color w:val="000000"/>
                <w:sz w:val="21"/>
                <w:szCs w:val="21"/>
              </w:rPr>
            </w:r>
            <w:r/>
          </w:p>
        </w:tc>
      </w:tr>
      <w:tr>
        <w:trPr>
          <w:trHeight w:val="437"/>
        </w:trPr>
        <w:tc>
          <w:tcPr>
            <w:tcW w:w="709" w:type="dxa"/>
            <w:vAlign w:val="center"/>
            <w:vMerge w:val="continue"/>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r>
            <w:r/>
          </w:p>
        </w:tc>
        <w:tc>
          <w:tcPr>
            <w:tcW w:w="70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7</w:t>
            </w:r>
            <w:r>
              <w:rPr>
                <w:rFonts w:hint="eastAsia" w:ascii="宋体" w:hAnsi="宋体" w:cs="宋体"/>
                <w:color w:val="000000"/>
                <w:sz w:val="21"/>
                <w:szCs w:val="21"/>
              </w:rPr>
            </w:r>
            <w:r/>
          </w:p>
        </w:tc>
        <w:tc>
          <w:tcPr>
            <w:tcW w:w="194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其他工具、小设备</w:t>
            </w:r>
            <w:r>
              <w:rPr>
                <w:rFonts w:hint="eastAsia" w:ascii="宋体" w:hAnsi="宋体" w:cs="宋体"/>
                <w:color w:val="000000"/>
                <w:sz w:val="21"/>
                <w:szCs w:val="21"/>
              </w:rPr>
            </w:r>
            <w:r/>
          </w:p>
        </w:tc>
        <w:tc>
          <w:tcPr>
            <w:tcW w:w="641"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682"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项</w:t>
            </w:r>
            <w:r>
              <w:rPr>
                <w:rFonts w:hint="eastAsia" w:ascii="宋体" w:hAnsi="宋体" w:cs="宋体"/>
                <w:color w:val="000000"/>
                <w:sz w:val="21"/>
                <w:szCs w:val="21"/>
              </w:rPr>
            </w:r>
            <w:r/>
          </w:p>
        </w:tc>
        <w:tc>
          <w:tcPr>
            <w:tcW w:w="5038" w:type="dxa"/>
            <w:vAlign w:val="center"/>
            <w:textDirection w:val="lrTb"/>
            <w:noWrap w:val="false"/>
          </w:tcPr>
          <w:p>
            <w:pPr>
              <w:pStyle w:val="1039"/>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包含运维人员常用</w:t>
            </w:r>
            <w:r>
              <w:rPr>
                <w:rFonts w:hint="eastAsia" w:ascii="宋体" w:hAnsi="宋体" w:cs="宋体"/>
                <w:color w:val="000000"/>
                <w:sz w:val="21"/>
                <w:szCs w:val="21"/>
                <w:lang w:val="en-US" w:eastAsia="zh-CN"/>
              </w:rPr>
              <w:t xml:space="preserve">录音笔、激光笔、</w:t>
            </w:r>
            <w:r>
              <w:rPr>
                <w:rFonts w:hint="eastAsia" w:ascii="宋体" w:hAnsi="宋体" w:cs="宋体"/>
                <w:color w:val="000000"/>
                <w:sz w:val="21"/>
                <w:szCs w:val="21"/>
              </w:rPr>
              <w:t xml:space="preserve">工具、螺丝刀、卡钳等。</w:t>
            </w:r>
            <w:r>
              <w:rPr>
                <w:rFonts w:hint="eastAsia" w:ascii="宋体" w:hAnsi="宋体" w:cs="宋体"/>
                <w:color w:val="000000"/>
                <w:sz w:val="21"/>
                <w:szCs w:val="21"/>
              </w:rPr>
            </w:r>
            <w:r/>
          </w:p>
        </w:tc>
      </w:tr>
      <w:tr>
        <w:trPr>
          <w:trHeight w:val="437"/>
        </w:trPr>
        <w:tc>
          <w:tcPr>
            <w:tcW w:w="709" w:type="dxa"/>
            <w:vAlign w:val="center"/>
            <w:vMerge w:val="continue"/>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r>
            <w:r/>
          </w:p>
        </w:tc>
        <w:tc>
          <w:tcPr>
            <w:tcW w:w="704" w:type="dxa"/>
            <w:vAlign w:val="center"/>
            <w:textDirection w:val="lrTb"/>
            <w:noWrap w:val="false"/>
          </w:tcPr>
          <w:p>
            <w:pPr>
              <w:pStyle w:val="1039"/>
              <w:jc w:val="center"/>
              <w:spacing w:line="300" w:lineRule="exact"/>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8</w:t>
            </w:r>
            <w:r>
              <w:rPr>
                <w:rFonts w:hint="eastAsia" w:ascii="宋体" w:hAnsi="宋体" w:eastAsia="宋体" w:cs="宋体"/>
                <w:color w:val="000000"/>
                <w:sz w:val="21"/>
                <w:szCs w:val="21"/>
                <w:lang w:val="en-US" w:eastAsia="zh-CN"/>
              </w:rPr>
            </w:r>
            <w:r/>
          </w:p>
        </w:tc>
        <w:tc>
          <w:tcPr>
            <w:tcW w:w="1944" w:type="dxa"/>
            <w:vAlign w:val="center"/>
            <w:textDirection w:val="lrTb"/>
            <w:noWrap w:val="false"/>
          </w:tcPr>
          <w:p>
            <w:pPr>
              <w:pStyle w:val="1039"/>
              <w:jc w:val="center"/>
              <w:spacing w:line="300" w:lineRule="exact"/>
              <w:rPr>
                <w:rFonts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便携式音响</w:t>
            </w:r>
            <w:r>
              <w:rPr>
                <w:rFonts w:ascii="宋体" w:hAnsi="宋体" w:eastAsia="宋体" w:cs="宋体"/>
                <w:color w:val="000000"/>
                <w:sz w:val="21"/>
                <w:szCs w:val="21"/>
                <w:lang w:val="en-US" w:eastAsia="zh-CN"/>
              </w:rPr>
            </w:r>
            <w:r/>
          </w:p>
        </w:tc>
        <w:tc>
          <w:tcPr>
            <w:tcW w:w="641" w:type="dxa"/>
            <w:vAlign w:val="center"/>
            <w:textDirection w:val="lrTb"/>
            <w:noWrap w:val="false"/>
          </w:tcPr>
          <w:p>
            <w:pPr>
              <w:pStyle w:val="1039"/>
              <w:jc w:val="center"/>
              <w:spacing w:line="300" w:lineRule="exact"/>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val="en-US" w:eastAsia="zh-CN"/>
              </w:rPr>
            </w:r>
            <w:r/>
          </w:p>
        </w:tc>
        <w:tc>
          <w:tcPr>
            <w:tcW w:w="682" w:type="dxa"/>
            <w:vAlign w:val="center"/>
            <w:textDirection w:val="lrTb"/>
            <w:noWrap w:val="false"/>
          </w:tcPr>
          <w:p>
            <w:pPr>
              <w:pStyle w:val="1039"/>
              <w:jc w:val="center"/>
              <w:spacing w:line="300" w:lineRule="exact"/>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台</w:t>
            </w:r>
            <w:r>
              <w:rPr>
                <w:rFonts w:hint="eastAsia" w:ascii="宋体" w:hAnsi="宋体" w:eastAsia="宋体" w:cs="宋体"/>
                <w:color w:val="000000"/>
                <w:sz w:val="21"/>
                <w:szCs w:val="21"/>
                <w:lang w:val="en-US" w:eastAsia="zh-CN"/>
              </w:rPr>
            </w:r>
            <w:r/>
          </w:p>
        </w:tc>
        <w:tc>
          <w:tcPr>
            <w:tcW w:w="5038" w:type="dxa"/>
            <w:vAlign w:val="center"/>
            <w:textDirection w:val="lrTb"/>
            <w:noWrap w:val="false"/>
          </w:tcPr>
          <w:p>
            <w:pPr>
              <w:pStyle w:val="1039"/>
              <w:spacing w:line="300" w:lineRule="exact"/>
              <w:rPr>
                <w:rFonts w:ascii="宋体" w:hAnsi="宋体" w:eastAsia="宋体" w:cs="宋体"/>
                <w:color w:val="000000"/>
                <w:sz w:val="21"/>
                <w:szCs w:val="21"/>
                <w:lang w:val="en-US" w:eastAsia="zh-CN"/>
              </w:rPr>
            </w:pPr>
            <w:r>
              <w:rPr>
                <w:rFonts w:hint="eastAsia" w:ascii="宋体" w:hAnsi="宋体" w:cs="宋体"/>
                <w:color w:val="000000"/>
                <w:sz w:val="21"/>
                <w:szCs w:val="21"/>
              </w:rPr>
              <w:t xml:space="preserve">品牌机器</w:t>
            </w: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大功率。</w:t>
            </w:r>
            <w:r>
              <w:rPr>
                <w:rFonts w:ascii="宋体" w:hAnsi="宋体" w:eastAsia="宋体" w:cs="宋体"/>
                <w:color w:val="000000"/>
                <w:sz w:val="21"/>
                <w:szCs w:val="21"/>
                <w:lang w:val="en-US" w:eastAsia="zh-CN"/>
              </w:rPr>
            </w:r>
            <w:r/>
          </w:p>
        </w:tc>
      </w:tr>
      <w:tr>
        <w:trPr>
          <w:trHeight w:val="654"/>
        </w:trPr>
        <w:tc>
          <w:tcPr>
            <w:tcW w:w="709" w:type="dxa"/>
            <w:vAlign w:val="center"/>
            <w:vMerge w:val="restart"/>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服装</w:t>
            </w:r>
            <w:r>
              <w:rPr>
                <w:rFonts w:hint="eastAsia" w:ascii="宋体" w:hAnsi="宋体" w:cs="宋体"/>
                <w:color w:val="000000"/>
                <w:sz w:val="21"/>
                <w:szCs w:val="21"/>
              </w:rPr>
            </w:r>
            <w:r/>
          </w:p>
        </w:tc>
        <w:tc>
          <w:tcPr>
            <w:tcW w:w="70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194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运营团队春装</w:t>
            </w:r>
            <w:r>
              <w:rPr>
                <w:rFonts w:hint="eastAsia" w:ascii="宋体" w:hAnsi="宋体" w:cs="宋体"/>
                <w:color w:val="000000"/>
                <w:sz w:val="21"/>
                <w:szCs w:val="21"/>
              </w:rPr>
            </w:r>
            <w:r/>
          </w:p>
        </w:tc>
        <w:tc>
          <w:tcPr>
            <w:tcW w:w="641" w:type="dxa"/>
            <w:vAlign w:val="center"/>
            <w:textDirection w:val="lrTb"/>
            <w:noWrap w:val="false"/>
          </w:tcPr>
          <w:p>
            <w:pPr>
              <w:pStyle w:val="1039"/>
              <w:jc w:val="center"/>
              <w:spacing w:line="300" w:lineRule="exact"/>
              <w:rPr>
                <w:rFonts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9</w:t>
            </w:r>
            <w:r>
              <w:rPr>
                <w:rFonts w:ascii="宋体" w:hAnsi="宋体" w:eastAsia="宋体" w:cs="宋体"/>
                <w:color w:val="000000"/>
                <w:sz w:val="21"/>
                <w:szCs w:val="21"/>
                <w:lang w:val="en-US" w:eastAsia="zh-CN"/>
              </w:rPr>
            </w:r>
            <w:r/>
          </w:p>
        </w:tc>
        <w:tc>
          <w:tcPr>
            <w:tcW w:w="682"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套</w:t>
            </w:r>
            <w:r>
              <w:rPr>
                <w:rFonts w:hint="eastAsia" w:ascii="宋体" w:hAnsi="宋体" w:cs="宋体"/>
                <w:color w:val="000000"/>
                <w:sz w:val="21"/>
                <w:szCs w:val="21"/>
              </w:rPr>
            </w:r>
            <w:r/>
          </w:p>
        </w:tc>
        <w:tc>
          <w:tcPr>
            <w:tcW w:w="5038" w:type="dxa"/>
            <w:vAlign w:val="center"/>
            <w:textDirection w:val="lrTb"/>
            <w:noWrap w:val="false"/>
          </w:tcPr>
          <w:p>
            <w:pPr>
              <w:pStyle w:val="1039"/>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每年一人一套品牌服饰，包含上衣、裤子裤子（裙 子）、领结等全套。</w:t>
            </w:r>
            <w:r>
              <w:rPr>
                <w:rFonts w:hint="eastAsia" w:ascii="宋体" w:hAnsi="宋体" w:cs="宋体"/>
                <w:color w:val="000000"/>
                <w:sz w:val="21"/>
                <w:szCs w:val="21"/>
              </w:rPr>
            </w:r>
            <w:r/>
          </w:p>
        </w:tc>
      </w:tr>
      <w:tr>
        <w:trPr>
          <w:trHeight w:val="682"/>
        </w:trPr>
        <w:tc>
          <w:tcPr>
            <w:tcW w:w="709" w:type="dxa"/>
            <w:vAlign w:val="center"/>
            <w:vMerge w:val="continue"/>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r>
            <w:r/>
          </w:p>
        </w:tc>
        <w:tc>
          <w:tcPr>
            <w:tcW w:w="70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W w:w="194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运营团队夏装</w:t>
            </w:r>
            <w:r>
              <w:rPr>
                <w:rFonts w:hint="eastAsia" w:ascii="宋体" w:hAnsi="宋体" w:cs="宋体"/>
                <w:color w:val="000000"/>
                <w:sz w:val="21"/>
                <w:szCs w:val="21"/>
              </w:rPr>
            </w:r>
            <w:r/>
          </w:p>
        </w:tc>
        <w:tc>
          <w:tcPr>
            <w:tcW w:w="641" w:type="dxa"/>
            <w:vAlign w:val="center"/>
            <w:textDirection w:val="lrTb"/>
            <w:noWrap w:val="false"/>
          </w:tcPr>
          <w:p>
            <w:pPr>
              <w:pStyle w:val="1039"/>
              <w:jc w:val="center"/>
              <w:spacing w:line="300" w:lineRule="exact"/>
              <w:rPr>
                <w:rFonts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18</w:t>
            </w:r>
            <w:r>
              <w:rPr>
                <w:rFonts w:ascii="宋体" w:hAnsi="宋体" w:eastAsia="宋体" w:cs="宋体"/>
                <w:color w:val="000000"/>
                <w:sz w:val="21"/>
                <w:szCs w:val="21"/>
                <w:lang w:val="en-US" w:eastAsia="zh-CN"/>
              </w:rPr>
            </w:r>
            <w:r/>
          </w:p>
        </w:tc>
        <w:tc>
          <w:tcPr>
            <w:tcW w:w="682"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套</w:t>
            </w:r>
            <w:r>
              <w:rPr>
                <w:rFonts w:hint="eastAsia" w:ascii="宋体" w:hAnsi="宋体" w:cs="宋体"/>
                <w:color w:val="000000"/>
                <w:sz w:val="21"/>
                <w:szCs w:val="21"/>
              </w:rPr>
            </w:r>
            <w:r/>
          </w:p>
        </w:tc>
        <w:tc>
          <w:tcPr>
            <w:tcW w:w="5038" w:type="dxa"/>
            <w:vAlign w:val="center"/>
            <w:textDirection w:val="lrTb"/>
            <w:noWrap w:val="false"/>
          </w:tcPr>
          <w:p>
            <w:pPr>
              <w:pStyle w:val="1039"/>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每年一人一套品牌服饰，包含上衣、裤子（裙子）、领结等全套。</w:t>
            </w:r>
            <w:r>
              <w:rPr>
                <w:rFonts w:hint="eastAsia" w:ascii="宋体" w:hAnsi="宋体" w:cs="宋体"/>
                <w:color w:val="000000"/>
                <w:sz w:val="21"/>
                <w:szCs w:val="21"/>
              </w:rPr>
            </w:r>
            <w:r/>
          </w:p>
        </w:tc>
      </w:tr>
      <w:tr>
        <w:trPr>
          <w:trHeight w:val="654"/>
        </w:trPr>
        <w:tc>
          <w:tcPr>
            <w:tcW w:w="709" w:type="dxa"/>
            <w:vAlign w:val="center"/>
            <w:vMerge w:val="continue"/>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r>
            <w:r/>
          </w:p>
        </w:tc>
        <w:tc>
          <w:tcPr>
            <w:tcW w:w="70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tcW w:w="194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运营团队秋装</w:t>
            </w:r>
            <w:r>
              <w:rPr>
                <w:rFonts w:hint="eastAsia" w:ascii="宋体" w:hAnsi="宋体" w:cs="宋体"/>
                <w:color w:val="000000"/>
                <w:sz w:val="21"/>
                <w:szCs w:val="21"/>
              </w:rPr>
            </w:r>
            <w:r/>
          </w:p>
        </w:tc>
        <w:tc>
          <w:tcPr>
            <w:tcW w:w="641" w:type="dxa"/>
            <w:vAlign w:val="center"/>
            <w:textDirection w:val="lrTb"/>
            <w:noWrap w:val="false"/>
          </w:tcPr>
          <w:p>
            <w:pPr>
              <w:pStyle w:val="1039"/>
              <w:jc w:val="center"/>
              <w:spacing w:line="300" w:lineRule="exact"/>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9</w:t>
            </w:r>
            <w:r>
              <w:rPr>
                <w:rFonts w:hint="eastAsia" w:ascii="宋体" w:hAnsi="宋体" w:eastAsia="宋体" w:cs="宋体"/>
                <w:color w:val="000000"/>
                <w:sz w:val="21"/>
                <w:szCs w:val="21"/>
                <w:lang w:eastAsia="zh-CN"/>
              </w:rPr>
            </w:r>
            <w:r/>
          </w:p>
        </w:tc>
        <w:tc>
          <w:tcPr>
            <w:tcW w:w="682"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套</w:t>
            </w:r>
            <w:r>
              <w:rPr>
                <w:rFonts w:hint="eastAsia" w:ascii="宋体" w:hAnsi="宋体" w:cs="宋体"/>
                <w:color w:val="000000"/>
                <w:sz w:val="21"/>
                <w:szCs w:val="21"/>
              </w:rPr>
            </w:r>
            <w:r/>
          </w:p>
        </w:tc>
        <w:tc>
          <w:tcPr>
            <w:tcW w:w="5038" w:type="dxa"/>
            <w:vAlign w:val="center"/>
            <w:textDirection w:val="lrTb"/>
            <w:noWrap w:val="false"/>
          </w:tcPr>
          <w:p>
            <w:pPr>
              <w:pStyle w:val="1039"/>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每年一人一套品牌服饰，包含上衣、裤子（裙子）、领结等全套。</w:t>
            </w:r>
            <w:r>
              <w:rPr>
                <w:rFonts w:hint="eastAsia" w:ascii="宋体" w:hAnsi="宋体" w:cs="宋体"/>
                <w:color w:val="000000"/>
                <w:sz w:val="21"/>
                <w:szCs w:val="21"/>
              </w:rPr>
            </w:r>
            <w:r/>
          </w:p>
        </w:tc>
      </w:tr>
      <w:tr>
        <w:trPr>
          <w:trHeight w:val="550"/>
        </w:trPr>
        <w:tc>
          <w:tcPr>
            <w:tcW w:w="709" w:type="dxa"/>
            <w:vAlign w:val="center"/>
            <w:vMerge w:val="continue"/>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r>
            <w:r/>
          </w:p>
        </w:tc>
        <w:tc>
          <w:tcPr>
            <w:tcW w:w="70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r>
            <w:r/>
          </w:p>
        </w:tc>
        <w:tc>
          <w:tcPr>
            <w:tcW w:w="194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运营团队冬装</w:t>
            </w:r>
            <w:r>
              <w:rPr>
                <w:rFonts w:hint="eastAsia" w:ascii="宋体" w:hAnsi="宋体" w:cs="宋体"/>
                <w:color w:val="000000"/>
                <w:sz w:val="21"/>
                <w:szCs w:val="21"/>
              </w:rPr>
            </w:r>
            <w:r/>
          </w:p>
        </w:tc>
        <w:tc>
          <w:tcPr>
            <w:tcW w:w="641" w:type="dxa"/>
            <w:vAlign w:val="center"/>
            <w:textDirection w:val="lrTb"/>
            <w:noWrap w:val="false"/>
          </w:tcPr>
          <w:p>
            <w:pPr>
              <w:pStyle w:val="1039"/>
              <w:jc w:val="center"/>
              <w:spacing w:line="300" w:lineRule="exact"/>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9</w:t>
            </w:r>
            <w:r>
              <w:rPr>
                <w:rFonts w:hint="eastAsia" w:ascii="宋体" w:hAnsi="宋体" w:eastAsia="宋体" w:cs="宋体"/>
                <w:color w:val="000000"/>
                <w:sz w:val="21"/>
                <w:szCs w:val="21"/>
                <w:lang w:eastAsia="zh-CN"/>
              </w:rPr>
            </w:r>
            <w:r/>
          </w:p>
        </w:tc>
        <w:tc>
          <w:tcPr>
            <w:tcW w:w="682"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套</w:t>
            </w:r>
            <w:r>
              <w:rPr>
                <w:rFonts w:hint="eastAsia" w:ascii="宋体" w:hAnsi="宋体" w:cs="宋体"/>
                <w:color w:val="000000"/>
                <w:sz w:val="21"/>
                <w:szCs w:val="21"/>
              </w:rPr>
            </w:r>
            <w:r/>
          </w:p>
        </w:tc>
        <w:tc>
          <w:tcPr>
            <w:tcW w:w="5038" w:type="dxa"/>
            <w:vAlign w:val="center"/>
            <w:textDirection w:val="lrTb"/>
            <w:noWrap w:val="false"/>
          </w:tcPr>
          <w:p>
            <w:pPr>
              <w:pStyle w:val="1039"/>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每年一人一套品牌服饰，包含上衣、裤子（裙子）、领结等全套。</w:t>
            </w:r>
            <w:r>
              <w:rPr>
                <w:rFonts w:hint="eastAsia" w:ascii="宋体" w:hAnsi="宋体" w:cs="宋体"/>
                <w:color w:val="000000"/>
                <w:sz w:val="21"/>
                <w:szCs w:val="21"/>
              </w:rPr>
            </w:r>
            <w:r/>
          </w:p>
        </w:tc>
      </w:tr>
      <w:tr>
        <w:trPr>
          <w:trHeight w:val="877"/>
        </w:trPr>
        <w:tc>
          <w:tcPr>
            <w:tcW w:w="709"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行政</w:t>
            </w:r>
            <w:r>
              <w:rPr>
                <w:rFonts w:hint="eastAsia" w:ascii="宋体" w:hAnsi="宋体" w:cs="宋体"/>
                <w:color w:val="000000"/>
                <w:sz w:val="21"/>
                <w:szCs w:val="21"/>
              </w:rPr>
            </w:r>
            <w:r/>
          </w:p>
        </w:tc>
        <w:tc>
          <w:tcPr>
            <w:tcW w:w="70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194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财务、人事、行政人员办事</w:t>
            </w:r>
            <w:r>
              <w:rPr>
                <w:rFonts w:hint="eastAsia" w:ascii="宋体" w:hAnsi="宋体" w:cs="宋体"/>
                <w:color w:val="000000"/>
                <w:sz w:val="21"/>
                <w:szCs w:val="21"/>
              </w:rPr>
            </w:r>
            <w:r/>
          </w:p>
        </w:tc>
        <w:tc>
          <w:tcPr>
            <w:tcW w:w="641"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682"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项</w:t>
            </w:r>
            <w:r>
              <w:rPr>
                <w:rFonts w:hint="eastAsia" w:ascii="宋体" w:hAnsi="宋体" w:cs="宋体"/>
                <w:color w:val="000000"/>
                <w:sz w:val="21"/>
                <w:szCs w:val="21"/>
              </w:rPr>
            </w:r>
            <w:r/>
          </w:p>
        </w:tc>
        <w:tc>
          <w:tcPr>
            <w:tcW w:w="5038" w:type="dxa"/>
            <w:vAlign w:val="center"/>
            <w:textDirection w:val="lrTb"/>
            <w:noWrap w:val="false"/>
          </w:tcPr>
          <w:p>
            <w:pPr>
              <w:pStyle w:val="1039"/>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服务期内，采用外协灵活就业人员，对于场馆内财务、人事、行政等职能进行管理，不再另行招聘全职人员。</w:t>
            </w:r>
            <w:r>
              <w:rPr>
                <w:rFonts w:hint="eastAsia" w:ascii="宋体" w:hAnsi="宋体" w:cs="宋体"/>
                <w:color w:val="000000"/>
                <w:sz w:val="21"/>
                <w:szCs w:val="21"/>
              </w:rPr>
            </w:r>
            <w:r/>
          </w:p>
        </w:tc>
      </w:tr>
      <w:tr>
        <w:trPr>
          <w:trHeight w:val="90"/>
        </w:trPr>
        <w:tc>
          <w:tcPr>
            <w:tcW w:w="709" w:type="dxa"/>
            <w:vAlign w:val="center"/>
            <w:vMerge w:val="restart"/>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耗材</w:t>
            </w:r>
            <w:r>
              <w:rPr>
                <w:rFonts w:hint="eastAsia" w:ascii="宋体" w:hAnsi="宋体" w:cs="宋体"/>
                <w:color w:val="000000"/>
                <w:sz w:val="21"/>
                <w:szCs w:val="21"/>
              </w:rPr>
            </w:r>
            <w:r/>
          </w:p>
        </w:tc>
        <w:tc>
          <w:tcPr>
            <w:tcW w:w="70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194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氛围营造</w:t>
            </w:r>
            <w:r>
              <w:rPr>
                <w:rFonts w:hint="eastAsia" w:ascii="宋体" w:hAnsi="宋体" w:cs="宋体"/>
                <w:color w:val="000000"/>
                <w:sz w:val="21"/>
                <w:szCs w:val="21"/>
              </w:rPr>
            </w:r>
            <w:r/>
          </w:p>
        </w:tc>
        <w:tc>
          <w:tcPr>
            <w:tcW w:w="641"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682"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项</w:t>
            </w:r>
            <w:r>
              <w:rPr>
                <w:rFonts w:hint="eastAsia" w:ascii="宋体" w:hAnsi="宋体" w:cs="宋体"/>
                <w:color w:val="000000"/>
                <w:sz w:val="21"/>
                <w:szCs w:val="21"/>
              </w:rPr>
            </w:r>
            <w:r/>
          </w:p>
        </w:tc>
        <w:tc>
          <w:tcPr>
            <w:tcW w:w="5038" w:type="dxa"/>
            <w:vAlign w:val="center"/>
            <w:textDirection w:val="lrTb"/>
            <w:noWrap w:val="false"/>
          </w:tcPr>
          <w:p>
            <w:pPr>
              <w:pStyle w:val="1039"/>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服务期内，满足整个场馆内重要节日氛围需 求，包括但不限于：春节、中秋、端午、圣诞、寒暑假，以及重点活动等，具体分为营造需求须按照采购人要求执行。</w:t>
            </w:r>
            <w:r>
              <w:rPr>
                <w:rFonts w:hint="eastAsia" w:ascii="宋体" w:hAnsi="宋体" w:cs="宋体"/>
                <w:color w:val="000000"/>
                <w:sz w:val="21"/>
                <w:szCs w:val="21"/>
              </w:rPr>
            </w:r>
            <w:r/>
          </w:p>
        </w:tc>
      </w:tr>
      <w:tr>
        <w:trPr>
          <w:trHeight w:val="1675"/>
        </w:trPr>
        <w:tc>
          <w:tcPr>
            <w:tcW w:w="709" w:type="dxa"/>
            <w:vAlign w:val="center"/>
            <w:vMerge w:val="continue"/>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r>
            <w:r/>
          </w:p>
        </w:tc>
        <w:tc>
          <w:tcPr>
            <w:tcW w:w="70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W w:w="194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常绿植物</w:t>
            </w:r>
            <w:r>
              <w:rPr>
                <w:rFonts w:hint="eastAsia" w:ascii="宋体" w:hAnsi="宋体" w:cs="宋体"/>
                <w:color w:val="000000"/>
                <w:sz w:val="21"/>
                <w:szCs w:val="21"/>
              </w:rPr>
            </w:r>
            <w:r/>
          </w:p>
        </w:tc>
        <w:tc>
          <w:tcPr>
            <w:tcW w:w="641"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300</w:t>
            </w:r>
            <w:r>
              <w:rPr>
                <w:rFonts w:hint="eastAsia" w:ascii="宋体" w:hAnsi="宋体" w:cs="宋体"/>
                <w:color w:val="000000"/>
                <w:sz w:val="21"/>
                <w:szCs w:val="21"/>
              </w:rPr>
            </w:r>
            <w:r/>
          </w:p>
        </w:tc>
        <w:tc>
          <w:tcPr>
            <w:tcW w:w="682"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点位</w:t>
            </w:r>
            <w:r>
              <w:rPr>
                <w:rFonts w:hint="eastAsia" w:ascii="宋体" w:hAnsi="宋体" w:cs="宋体"/>
                <w:color w:val="000000"/>
                <w:sz w:val="21"/>
                <w:szCs w:val="21"/>
              </w:rPr>
            </w:r>
            <w:r/>
          </w:p>
        </w:tc>
        <w:tc>
          <w:tcPr>
            <w:tcW w:w="5038" w:type="dxa"/>
            <w:vAlign w:val="center"/>
            <w:textDirection w:val="lrTb"/>
            <w:noWrap w:val="false"/>
          </w:tcPr>
          <w:p>
            <w:pPr>
              <w:pStyle w:val="1039"/>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服务期内覆盖全场，不得少于200处绿植，保证一年四季均为常绿性植物，可委托专业绿植维护公司，每5天浇水一次，每周进行一次绿植维护，对干枯坏死植物及时进行更换处理。常绿植物数量不得少于200盆，高度不得低于1.2 米。</w:t>
            </w:r>
            <w:r>
              <w:rPr>
                <w:rFonts w:hint="eastAsia" w:ascii="宋体" w:hAnsi="宋体" w:cs="宋体"/>
                <w:color w:val="000000"/>
                <w:sz w:val="21"/>
                <w:szCs w:val="21"/>
              </w:rPr>
            </w:r>
            <w:r/>
          </w:p>
        </w:tc>
      </w:tr>
      <w:tr>
        <w:trPr>
          <w:trHeight w:val="1306"/>
        </w:trPr>
        <w:tc>
          <w:tcPr>
            <w:tcW w:w="709" w:type="dxa"/>
            <w:vAlign w:val="center"/>
            <w:vMerge w:val="continue"/>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r>
            <w:r/>
          </w:p>
        </w:tc>
        <w:tc>
          <w:tcPr>
            <w:tcW w:w="70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tcW w:w="194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日常消耗性耗材</w:t>
            </w:r>
            <w:r>
              <w:rPr>
                <w:rFonts w:hint="eastAsia" w:ascii="宋体" w:hAnsi="宋体" w:cs="宋体"/>
                <w:color w:val="000000"/>
                <w:sz w:val="21"/>
                <w:szCs w:val="21"/>
              </w:rPr>
            </w:r>
            <w:r/>
          </w:p>
        </w:tc>
        <w:tc>
          <w:tcPr>
            <w:tcW w:w="641"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682"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项</w:t>
            </w:r>
            <w:r>
              <w:rPr>
                <w:rFonts w:hint="eastAsia" w:ascii="宋体" w:hAnsi="宋体" w:cs="宋体"/>
                <w:color w:val="000000"/>
                <w:sz w:val="21"/>
                <w:szCs w:val="21"/>
              </w:rPr>
            </w:r>
            <w:r/>
          </w:p>
        </w:tc>
        <w:tc>
          <w:tcPr>
            <w:tcW w:w="5038" w:type="dxa"/>
            <w:vAlign w:val="center"/>
            <w:textDirection w:val="lrTb"/>
            <w:noWrap w:val="false"/>
          </w:tcPr>
          <w:p>
            <w:pPr>
              <w:pStyle w:val="1039"/>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服务期内对于场馆公共区域内的耗材更换， 包括灯泡、线路及易损坏耗材的的修理、更换，卫生间内垃圾袋、纸巾、消毒液等日常消耗品的维护与保证。</w:t>
            </w:r>
            <w:r>
              <w:rPr>
                <w:rFonts w:hint="eastAsia" w:ascii="宋体" w:hAnsi="宋体" w:cs="宋体"/>
                <w:color w:val="000000"/>
                <w:sz w:val="21"/>
                <w:szCs w:val="21"/>
              </w:rPr>
            </w:r>
            <w:r/>
          </w:p>
        </w:tc>
      </w:tr>
      <w:tr>
        <w:trPr>
          <w:trHeight w:val="542"/>
        </w:trPr>
        <w:tc>
          <w:tcPr>
            <w:tcW w:w="709" w:type="dxa"/>
            <w:vAlign w:val="center"/>
            <w:vMerge w:val="continue"/>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r>
            <w:r/>
          </w:p>
        </w:tc>
        <w:tc>
          <w:tcPr>
            <w:tcW w:w="70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r>
            <w:r/>
          </w:p>
        </w:tc>
        <w:tc>
          <w:tcPr>
            <w:tcW w:w="194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办公区域导视系统</w:t>
            </w:r>
            <w:r>
              <w:rPr>
                <w:rFonts w:hint="eastAsia" w:ascii="宋体" w:hAnsi="宋体" w:cs="宋体"/>
                <w:color w:val="000000"/>
                <w:sz w:val="21"/>
                <w:szCs w:val="21"/>
              </w:rPr>
            </w:r>
            <w:r/>
          </w:p>
        </w:tc>
        <w:tc>
          <w:tcPr>
            <w:tcW w:w="641"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682"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项</w:t>
            </w:r>
            <w:r>
              <w:rPr>
                <w:rFonts w:hint="eastAsia" w:ascii="宋体" w:hAnsi="宋体" w:cs="宋体"/>
                <w:color w:val="000000"/>
                <w:sz w:val="21"/>
                <w:szCs w:val="21"/>
              </w:rPr>
            </w:r>
            <w:r/>
          </w:p>
        </w:tc>
        <w:tc>
          <w:tcPr>
            <w:tcW w:w="5038" w:type="dxa"/>
            <w:vAlign w:val="center"/>
            <w:textDirection w:val="lrTb"/>
            <w:noWrap w:val="false"/>
          </w:tcPr>
          <w:p>
            <w:pPr>
              <w:pStyle w:val="1039"/>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包含办公区域的标志标牌、工牌、视觉导视等。</w:t>
            </w:r>
            <w:r>
              <w:rPr>
                <w:rFonts w:hint="eastAsia" w:ascii="宋体" w:hAnsi="宋体" w:cs="宋体"/>
                <w:color w:val="000000"/>
                <w:sz w:val="21"/>
                <w:szCs w:val="21"/>
              </w:rPr>
            </w:r>
            <w:r/>
          </w:p>
        </w:tc>
      </w:tr>
      <w:tr>
        <w:trPr>
          <w:trHeight w:val="957"/>
        </w:trPr>
        <w:tc>
          <w:tcPr>
            <w:tcW w:w="709" w:type="dxa"/>
            <w:vAlign w:val="center"/>
            <w:vMerge w:val="continue"/>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r>
            <w:r/>
          </w:p>
        </w:tc>
        <w:tc>
          <w:tcPr>
            <w:tcW w:w="70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tcW w:w="194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应急医疗箱</w:t>
            </w:r>
            <w:r>
              <w:rPr>
                <w:rFonts w:hint="eastAsia" w:ascii="宋体" w:hAnsi="宋体" w:cs="宋体"/>
                <w:color w:val="000000"/>
                <w:sz w:val="21"/>
                <w:szCs w:val="21"/>
              </w:rPr>
            </w:r>
            <w:r/>
          </w:p>
        </w:tc>
        <w:tc>
          <w:tcPr>
            <w:tcW w:w="641"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r>
            <w:r/>
          </w:p>
        </w:tc>
        <w:tc>
          <w:tcPr>
            <w:tcW w:w="682"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处</w:t>
            </w:r>
            <w:r>
              <w:rPr>
                <w:rFonts w:hint="eastAsia" w:ascii="宋体" w:hAnsi="宋体" w:cs="宋体"/>
                <w:color w:val="000000"/>
                <w:sz w:val="21"/>
                <w:szCs w:val="21"/>
              </w:rPr>
            </w:r>
            <w:r/>
          </w:p>
        </w:tc>
        <w:tc>
          <w:tcPr>
            <w:tcW w:w="5038" w:type="dxa"/>
            <w:vAlign w:val="center"/>
            <w:textDirection w:val="lrTb"/>
            <w:noWrap w:val="false"/>
          </w:tcPr>
          <w:p>
            <w:pPr>
              <w:pStyle w:val="1039"/>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场馆提供不得少于4处的应急医疗点，医疗箱内包含驱蚊水、花露水、速效救心丸、六味地黄丸 等常备常用药物。</w:t>
            </w:r>
            <w:r>
              <w:rPr>
                <w:rFonts w:hint="eastAsia" w:ascii="宋体" w:hAnsi="宋体" w:cs="宋体"/>
                <w:color w:val="000000"/>
                <w:sz w:val="21"/>
                <w:szCs w:val="21"/>
              </w:rPr>
            </w:r>
            <w:r/>
          </w:p>
        </w:tc>
      </w:tr>
      <w:tr>
        <w:trPr>
          <w:trHeight w:val="437"/>
        </w:trPr>
        <w:tc>
          <w:tcPr>
            <w:tcW w:w="709" w:type="dxa"/>
            <w:vAlign w:val="center"/>
            <w:vMerge w:val="restart"/>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印刷品</w:t>
            </w:r>
            <w:r>
              <w:rPr>
                <w:rFonts w:hint="eastAsia" w:ascii="宋体" w:hAnsi="宋体" w:cs="宋体"/>
                <w:color w:val="000000"/>
                <w:sz w:val="21"/>
                <w:szCs w:val="21"/>
              </w:rPr>
            </w:r>
            <w:r/>
          </w:p>
        </w:tc>
        <w:tc>
          <w:tcPr>
            <w:tcW w:w="70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194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宣传册</w:t>
            </w:r>
            <w:r>
              <w:rPr>
                <w:rFonts w:hint="eastAsia" w:ascii="宋体" w:hAnsi="宋体" w:cs="宋体"/>
                <w:color w:val="000000"/>
                <w:sz w:val="21"/>
                <w:szCs w:val="21"/>
              </w:rPr>
            </w:r>
            <w:r/>
          </w:p>
        </w:tc>
        <w:tc>
          <w:tcPr>
            <w:tcW w:w="641" w:type="dxa"/>
            <w:vAlign w:val="center"/>
            <w:textDirection w:val="lrTb"/>
            <w:noWrap w:val="false"/>
          </w:tcPr>
          <w:p>
            <w:pPr>
              <w:pStyle w:val="1039"/>
              <w:jc w:val="center"/>
              <w:spacing w:line="300" w:lineRule="exact"/>
              <w:rPr>
                <w:rFonts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6000</w:t>
            </w:r>
            <w:r>
              <w:rPr>
                <w:rFonts w:ascii="宋体" w:hAnsi="宋体" w:eastAsia="宋体" w:cs="宋体"/>
                <w:color w:val="000000"/>
                <w:sz w:val="21"/>
                <w:szCs w:val="21"/>
                <w:lang w:val="en-US" w:eastAsia="zh-CN"/>
              </w:rPr>
            </w:r>
            <w:r/>
          </w:p>
        </w:tc>
        <w:tc>
          <w:tcPr>
            <w:tcW w:w="682"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份</w:t>
            </w:r>
            <w:r>
              <w:rPr>
                <w:rFonts w:hint="eastAsia" w:ascii="宋体" w:hAnsi="宋体" w:cs="宋体"/>
                <w:color w:val="000000"/>
                <w:sz w:val="21"/>
                <w:szCs w:val="21"/>
              </w:rPr>
            </w:r>
            <w:r/>
          </w:p>
        </w:tc>
        <w:tc>
          <w:tcPr>
            <w:tcW w:w="5038" w:type="dxa"/>
            <w:vAlign w:val="center"/>
            <w:textDirection w:val="lrTb"/>
            <w:noWrap w:val="false"/>
          </w:tcPr>
          <w:p>
            <w:pPr>
              <w:pStyle w:val="1039"/>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印有场馆内部简介的彩色宣传册等。</w:t>
            </w:r>
            <w:r>
              <w:rPr>
                <w:rFonts w:hint="eastAsia" w:ascii="宋体" w:hAnsi="宋体" w:cs="宋体"/>
                <w:color w:val="000000"/>
                <w:sz w:val="21"/>
                <w:szCs w:val="21"/>
              </w:rPr>
            </w:r>
            <w:r/>
          </w:p>
        </w:tc>
      </w:tr>
      <w:tr>
        <w:trPr>
          <w:trHeight w:val="427"/>
        </w:trPr>
        <w:tc>
          <w:tcPr>
            <w:tcW w:w="709" w:type="dxa"/>
            <w:vAlign w:val="center"/>
            <w:vMerge w:val="continue"/>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r>
            <w:r/>
          </w:p>
        </w:tc>
        <w:tc>
          <w:tcPr>
            <w:tcW w:w="70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W w:w="194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礼品袋</w:t>
            </w:r>
            <w:r>
              <w:rPr>
                <w:rFonts w:hint="eastAsia" w:ascii="宋体" w:hAnsi="宋体" w:cs="宋体"/>
                <w:color w:val="000000"/>
                <w:sz w:val="21"/>
                <w:szCs w:val="21"/>
              </w:rPr>
            </w:r>
            <w:r/>
          </w:p>
        </w:tc>
        <w:tc>
          <w:tcPr>
            <w:tcW w:w="641" w:type="dxa"/>
            <w:vAlign w:val="center"/>
            <w:textDirection w:val="lrTb"/>
            <w:noWrap w:val="false"/>
          </w:tcPr>
          <w:p>
            <w:pPr>
              <w:pStyle w:val="1039"/>
              <w:jc w:val="center"/>
              <w:spacing w:line="300" w:lineRule="exact"/>
              <w:rPr>
                <w:rFonts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3000</w:t>
            </w:r>
            <w:r>
              <w:rPr>
                <w:rFonts w:ascii="宋体" w:hAnsi="宋体" w:eastAsia="宋体" w:cs="宋体"/>
                <w:color w:val="000000"/>
                <w:sz w:val="21"/>
                <w:szCs w:val="21"/>
                <w:lang w:val="en-US" w:eastAsia="zh-CN"/>
              </w:rPr>
            </w:r>
            <w:r/>
          </w:p>
        </w:tc>
        <w:tc>
          <w:tcPr>
            <w:tcW w:w="682"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个</w:t>
            </w:r>
            <w:r>
              <w:rPr>
                <w:rFonts w:hint="eastAsia" w:ascii="宋体" w:hAnsi="宋体" w:cs="宋体"/>
                <w:color w:val="000000"/>
                <w:sz w:val="21"/>
                <w:szCs w:val="21"/>
              </w:rPr>
            </w:r>
            <w:r/>
          </w:p>
        </w:tc>
        <w:tc>
          <w:tcPr>
            <w:tcW w:w="5038" w:type="dxa"/>
            <w:vAlign w:val="center"/>
            <w:textDirection w:val="lrTb"/>
            <w:noWrap w:val="false"/>
          </w:tcPr>
          <w:p>
            <w:pPr>
              <w:pStyle w:val="1039"/>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印有场馆 LOGO 礼品纸袋。</w:t>
            </w:r>
            <w:r>
              <w:rPr>
                <w:rFonts w:hint="eastAsia" w:ascii="宋体" w:hAnsi="宋体" w:cs="宋体"/>
                <w:color w:val="000000"/>
                <w:sz w:val="21"/>
                <w:szCs w:val="21"/>
              </w:rPr>
            </w:r>
            <w:r/>
          </w:p>
        </w:tc>
      </w:tr>
      <w:tr>
        <w:trPr>
          <w:trHeight w:val="359"/>
        </w:trPr>
        <w:tc>
          <w:tcPr>
            <w:tcW w:w="709" w:type="dxa"/>
            <w:vAlign w:val="center"/>
            <w:vMerge w:val="continue"/>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r>
            <w:r/>
          </w:p>
        </w:tc>
        <w:tc>
          <w:tcPr>
            <w:tcW w:w="70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tcW w:w="194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纸杯</w:t>
            </w:r>
            <w:r>
              <w:rPr>
                <w:rFonts w:hint="eastAsia" w:ascii="宋体" w:hAnsi="宋体" w:cs="宋体"/>
                <w:color w:val="000000"/>
                <w:sz w:val="21"/>
                <w:szCs w:val="21"/>
              </w:rPr>
            </w:r>
            <w:r/>
          </w:p>
        </w:tc>
        <w:tc>
          <w:tcPr>
            <w:tcW w:w="641" w:type="dxa"/>
            <w:vAlign w:val="center"/>
            <w:textDirection w:val="lrTb"/>
            <w:noWrap w:val="false"/>
          </w:tcPr>
          <w:p>
            <w:pPr>
              <w:pStyle w:val="1039"/>
              <w:jc w:val="center"/>
              <w:spacing w:line="300" w:lineRule="exact"/>
              <w:rPr>
                <w:rFonts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6000</w:t>
            </w:r>
            <w:r>
              <w:rPr>
                <w:rFonts w:ascii="宋体" w:hAnsi="宋体" w:eastAsia="宋体" w:cs="宋体"/>
                <w:color w:val="000000"/>
                <w:sz w:val="21"/>
                <w:szCs w:val="21"/>
                <w:lang w:val="en-US" w:eastAsia="zh-CN"/>
              </w:rPr>
            </w:r>
            <w:r/>
          </w:p>
        </w:tc>
        <w:tc>
          <w:tcPr>
            <w:tcW w:w="682"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个</w:t>
            </w:r>
            <w:r>
              <w:rPr>
                <w:rFonts w:hint="eastAsia" w:ascii="宋体" w:hAnsi="宋体" w:cs="宋体"/>
                <w:color w:val="000000"/>
                <w:sz w:val="21"/>
                <w:szCs w:val="21"/>
              </w:rPr>
            </w:r>
            <w:r/>
          </w:p>
        </w:tc>
        <w:tc>
          <w:tcPr>
            <w:tcW w:w="5038" w:type="dxa"/>
            <w:vAlign w:val="center"/>
            <w:textDirection w:val="lrTb"/>
            <w:noWrap w:val="false"/>
          </w:tcPr>
          <w:p>
            <w:pPr>
              <w:pStyle w:val="1039"/>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包含印有场馆 LOGO 纸杯等。</w:t>
            </w:r>
            <w:r>
              <w:rPr>
                <w:rFonts w:hint="eastAsia" w:ascii="宋体" w:hAnsi="宋体" w:cs="宋体"/>
                <w:color w:val="000000"/>
                <w:sz w:val="21"/>
                <w:szCs w:val="21"/>
              </w:rPr>
            </w:r>
            <w:r/>
          </w:p>
        </w:tc>
      </w:tr>
      <w:tr>
        <w:trPr>
          <w:trHeight w:val="904"/>
        </w:trPr>
        <w:tc>
          <w:tcPr>
            <w:tcW w:w="709" w:type="dxa"/>
            <w:vAlign w:val="center"/>
            <w:vMerge w:val="continue"/>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r>
            <w:r/>
          </w:p>
        </w:tc>
        <w:tc>
          <w:tcPr>
            <w:tcW w:w="70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r>
            <w:r/>
          </w:p>
        </w:tc>
        <w:tc>
          <w:tcPr>
            <w:tcW w:w="194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宣传</w:t>
            </w:r>
            <w:r>
              <w:rPr>
                <w:rFonts w:hint="eastAsia" w:ascii="宋体" w:hAnsi="宋体" w:cs="宋体"/>
                <w:color w:val="000000"/>
                <w:sz w:val="21"/>
                <w:szCs w:val="21"/>
              </w:rPr>
            </w:r>
            <w:r/>
          </w:p>
        </w:tc>
        <w:tc>
          <w:tcPr>
            <w:tcW w:w="641"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r>
            <w:r/>
          </w:p>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682"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r>
            <w:r/>
          </w:p>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项</w:t>
            </w:r>
            <w:r>
              <w:rPr>
                <w:rFonts w:hint="eastAsia" w:ascii="宋体" w:hAnsi="宋体" w:cs="宋体"/>
                <w:color w:val="000000"/>
                <w:sz w:val="21"/>
                <w:szCs w:val="21"/>
              </w:rPr>
            </w:r>
            <w:r/>
          </w:p>
        </w:tc>
        <w:tc>
          <w:tcPr>
            <w:tcW w:w="5038" w:type="dxa"/>
            <w:vAlign w:val="center"/>
            <w:textDirection w:val="lrTb"/>
            <w:noWrap w:val="false"/>
          </w:tcPr>
          <w:p>
            <w:pPr>
              <w:pStyle w:val="1039"/>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服务期内须提供与场馆运营有关的宣传，包括但  不限于宣传片、展牌、移动H5 页面等内容，具体内容按采购人要求进行配置和采购。</w:t>
            </w:r>
            <w:r>
              <w:rPr>
                <w:rFonts w:hint="eastAsia" w:ascii="宋体" w:hAnsi="宋体" w:cs="宋体"/>
                <w:color w:val="000000"/>
                <w:sz w:val="21"/>
                <w:szCs w:val="21"/>
              </w:rPr>
            </w:r>
            <w:r/>
          </w:p>
        </w:tc>
      </w:tr>
      <w:tr>
        <w:trPr>
          <w:trHeight w:val="839"/>
        </w:trPr>
        <w:tc>
          <w:tcPr>
            <w:tcW w:w="709"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纪念品</w:t>
            </w:r>
            <w:r>
              <w:rPr>
                <w:rFonts w:hint="eastAsia" w:ascii="宋体" w:hAnsi="宋体" w:cs="宋体"/>
                <w:color w:val="000000"/>
                <w:sz w:val="21"/>
                <w:szCs w:val="21"/>
              </w:rPr>
            </w:r>
            <w:r/>
          </w:p>
        </w:tc>
        <w:tc>
          <w:tcPr>
            <w:tcW w:w="70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194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纪念品</w:t>
            </w:r>
            <w:r>
              <w:rPr>
                <w:rFonts w:hint="eastAsia" w:ascii="宋体" w:hAnsi="宋体" w:cs="宋体"/>
                <w:color w:val="000000"/>
                <w:sz w:val="21"/>
                <w:szCs w:val="21"/>
              </w:rPr>
            </w:r>
            <w:r/>
          </w:p>
        </w:tc>
        <w:tc>
          <w:tcPr>
            <w:tcW w:w="641" w:type="dxa"/>
            <w:vAlign w:val="center"/>
            <w:textDirection w:val="lrTb"/>
            <w:noWrap w:val="false"/>
          </w:tcPr>
          <w:p>
            <w:pPr>
              <w:pStyle w:val="1039"/>
              <w:jc w:val="center"/>
              <w:spacing w:line="300" w:lineRule="exact"/>
              <w:rPr>
                <w:rFonts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3000</w:t>
            </w:r>
            <w:r>
              <w:rPr>
                <w:rFonts w:ascii="宋体" w:hAnsi="宋体" w:eastAsia="宋体" w:cs="宋体"/>
                <w:color w:val="000000"/>
                <w:sz w:val="21"/>
                <w:szCs w:val="21"/>
                <w:lang w:val="en-US" w:eastAsia="zh-CN"/>
              </w:rPr>
            </w:r>
            <w:r/>
          </w:p>
        </w:tc>
        <w:tc>
          <w:tcPr>
            <w:tcW w:w="682"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个</w:t>
            </w:r>
            <w:r>
              <w:rPr>
                <w:rFonts w:hint="eastAsia" w:ascii="宋体" w:hAnsi="宋体" w:cs="宋体"/>
                <w:color w:val="000000"/>
                <w:sz w:val="21"/>
                <w:szCs w:val="21"/>
              </w:rPr>
            </w:r>
            <w:r/>
          </w:p>
        </w:tc>
        <w:tc>
          <w:tcPr>
            <w:tcW w:w="5038" w:type="dxa"/>
            <w:vAlign w:val="center"/>
            <w:textDirection w:val="lrTb"/>
            <w:noWrap w:val="false"/>
          </w:tcPr>
          <w:p>
            <w:pPr>
              <w:pStyle w:val="1039"/>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根据采购人要求，定制具有场馆特色及明显标识 的各类纪念品，包括但不限于冰箱贴、模型、帽子、茶杯、玩具等。</w:t>
            </w:r>
            <w:r>
              <w:rPr>
                <w:rFonts w:hint="eastAsia" w:ascii="宋体" w:hAnsi="宋体" w:cs="宋体"/>
                <w:color w:val="000000"/>
                <w:sz w:val="21"/>
                <w:szCs w:val="21"/>
              </w:rPr>
            </w:r>
            <w:r/>
          </w:p>
        </w:tc>
      </w:tr>
      <w:tr>
        <w:trPr>
          <w:trHeight w:val="750"/>
        </w:trPr>
        <w:tc>
          <w:tcPr>
            <w:tcW w:w="709"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其他</w:t>
            </w:r>
            <w:r>
              <w:rPr>
                <w:rFonts w:hint="eastAsia" w:ascii="宋体" w:hAnsi="宋体" w:cs="宋体"/>
                <w:color w:val="000000"/>
                <w:sz w:val="21"/>
                <w:szCs w:val="21"/>
              </w:rPr>
            </w:r>
            <w:r/>
          </w:p>
        </w:tc>
        <w:tc>
          <w:tcPr>
            <w:tcW w:w="70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1944" w:type="dxa"/>
            <w:vAlign w:val="center"/>
            <w:textDirection w:val="lrTb"/>
            <w:noWrap w:val="false"/>
          </w:tcPr>
          <w:p>
            <w:pPr>
              <w:pStyle w:val="1039"/>
              <w:jc w:val="cente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其他办公用品</w:t>
            </w:r>
            <w:r>
              <w:rPr>
                <w:rFonts w:hint="eastAsia" w:ascii="宋体" w:hAnsi="宋体" w:cs="宋体"/>
                <w:color w:val="000000"/>
                <w:sz w:val="21"/>
                <w:szCs w:val="21"/>
              </w:rPr>
            </w:r>
            <w:r/>
          </w:p>
        </w:tc>
        <w:tc>
          <w:tcPr>
            <w:gridSpan w:val="3"/>
            <w:tcW w:w="6361" w:type="dxa"/>
            <w:vAlign w:val="center"/>
            <w:textDirection w:val="lrTb"/>
            <w:noWrap w:val="false"/>
          </w:tcPr>
          <w:p>
            <w:pPr>
              <w:pStyle w:val="1039"/>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服务期内根据采购人需求，提供与服务相关的其他办公用品或设施设 备和外包服务。</w:t>
            </w:r>
            <w:r>
              <w:rPr>
                <w:rFonts w:hint="eastAsia" w:ascii="宋体" w:hAnsi="宋体" w:cs="宋体"/>
                <w:color w:val="000000"/>
                <w:sz w:val="21"/>
                <w:szCs w:val="21"/>
              </w:rPr>
            </w:r>
            <w:r/>
          </w:p>
        </w:tc>
      </w:tr>
    </w:tbl>
    <w:p>
      <w:pPr>
        <w:pStyle w:val="1039"/>
        <w:spacing w:line="96" w:lineRule="auto"/>
        <w:rPr>
          <w:rFonts w:hint="eastAsia" w:ascii="宋体" w:hAnsi="宋体" w:cs="宋体"/>
          <w:color w:val="000000"/>
          <w:sz w:val="21"/>
          <w:szCs w:val="21"/>
        </w:rPr>
      </w:pPr>
      <w:r>
        <w:rPr>
          <w:rFonts w:hint="eastAsia" w:ascii="宋体" w:hAnsi="宋体" w:cs="宋体"/>
          <w:color w:val="000000"/>
          <w:sz w:val="21"/>
          <w:szCs w:val="21"/>
        </w:rPr>
      </w:r>
      <w:r/>
    </w:p>
    <w:p>
      <w:pPr>
        <w:pStyle w:val="1039"/>
        <w:ind w:right="-10" w:firstLine="422"/>
        <w:spacing w:line="360" w:lineRule="auto"/>
        <w:rPr>
          <w:rFonts w:hint="eastAsia" w:ascii="宋体" w:hAnsi="宋体" w:cs="宋体"/>
          <w:b/>
          <w:bCs/>
          <w:color w:val="000000"/>
          <w:sz w:val="21"/>
          <w:szCs w:val="21"/>
        </w:rPr>
        <w:outlineLvl w:val="1"/>
      </w:pPr>
      <w:r/>
      <w:bookmarkStart w:id="96" w:name="_Toc15321"/>
      <w:r/>
      <w:bookmarkStart w:id="97" w:name="_Toc12587"/>
      <w:r>
        <w:rPr>
          <w:rFonts w:hint="eastAsia" w:ascii="宋体" w:hAnsi="宋体" w:cs="宋体"/>
          <w:b/>
          <w:bCs/>
          <w:color w:val="000000"/>
          <w:sz w:val="21"/>
          <w:szCs w:val="21"/>
        </w:rPr>
        <w:t xml:space="preserve">七、服务管理及考核细则</w:t>
      </w:r>
      <w:bookmarkEnd w:id="96"/>
      <w:r/>
      <w:bookmarkEnd w:id="97"/>
      <w:r>
        <w:rPr>
          <w:rFonts w:hint="eastAsia" w:ascii="宋体" w:hAnsi="宋体" w:cs="宋体"/>
          <w:b/>
          <w:bCs/>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供应商需按照如下服务管理细则提供管理服务，并根据管理要求接</w:t>
      </w:r>
      <w:r>
        <w:rPr>
          <w:rFonts w:hint="eastAsia" w:ascii="宋体" w:hAnsi="宋体" w:cs="宋体"/>
          <w:color w:val="000000"/>
          <w:sz w:val="21"/>
          <w:szCs w:val="21"/>
          <w:lang w:val="en-US" w:eastAsia="zh-CN"/>
        </w:rPr>
        <w:t xml:space="preserve">受</w:t>
      </w:r>
      <w:r>
        <w:rPr>
          <w:rFonts w:hint="eastAsia" w:ascii="宋体" w:hAnsi="宋体" w:cs="宋体"/>
          <w:color w:val="000000"/>
          <w:sz w:val="21"/>
          <w:szCs w:val="21"/>
        </w:rPr>
        <w:t xml:space="preserve">采购人的绩效考核，依照绩效考评合同条款履行付款。成交人擅自更换项目运营团队人员的（对照响应文件中项目团队人员清单）从项目费用中扣除每人次2万元</w:t>
      </w: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同时应负责整改为符合甲方要求的人员</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如有必要，且经采购人同意或要求更换的运营团队人员，须是成交人正式员工，且不低于被更换人同等资质条件。</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讲解接待工作要求</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宿迁智慧城市科技馆是我市智慧产业发展成果汇报以及产业招商合作接待的重要场所，是展现宿迁市智慧城市形象的重要窗口。讲解接待工作是科技馆的一项主要任务，是直接面向来宾的重要岗位。为激励讲解人员不断提高业务水平，增强宣传效果，提升智慧城市科技馆的形象。服务期内，讲解接待工作要求包含但不限于如下内容：</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outlineLvl w:val="1"/>
      </w:pPr>
      <w:r/>
      <w:bookmarkStart w:id="98" w:name="_Toc12659"/>
      <w:r/>
      <w:bookmarkStart w:id="99" w:name="_Toc21482"/>
      <w:r>
        <w:rPr>
          <w:rFonts w:hint="eastAsia" w:ascii="宋体" w:hAnsi="宋体" w:cs="宋体"/>
          <w:color w:val="000000"/>
          <w:sz w:val="21"/>
          <w:szCs w:val="21"/>
        </w:rPr>
        <w:t xml:space="preserve">一、岗位职责</w:t>
      </w:r>
      <w:bookmarkEnd w:id="98"/>
      <w:r/>
      <w:bookmarkEnd w:id="99"/>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1、综合服务职责</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（1）来客登记、方位引导、解答咨询、领导签名、留言、打印照片以及整体协调。</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（2）馆内设备开关，包括序厅、沉浸式体验空间、运营指挥中心及各展示互动区域的多媒体及互动展项设备，有问题及时向设备管理人员反馈报修。</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（3）检查各展示区域的通风情况，到岗后及时将服务台物品擦干净并摆放整齐。</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（4）序厅滑轨多媒体、沉浸式体验空间影片以及5D电影是否随讲解播放。</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（5）收到接待任务后第一时间通知保安人员及时打开需参观展馆的前、后门，重要接待通知保洁人员做好馆内外卫生保洁工作。</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2、讲解职责</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（1）在没有重大接待任务的情况下，讲解顺序按照班表进行，讲解员提前10分钟到达指定地点等候，没有得到接待取消的通知前不得擅自离开。</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（2）讲解员上岗前要佩戴好讲解器材（中控PAD终端、扩音设备等），对讲解器材要提前进行调试，保证可用性。</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（3）讲解员言语规范、动作得体，不得讲解规范文本之外的内容，遇到特殊情况灵活应对，避免小动作和个人不规范的口头用语。</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4）服务台值班员和当班第一讲讲解员在服务台工作，第一讲讲解员前往指定地点接团的同时，第二讲讲解员补充到服务台值班，依此类推（接待两个以上团体时，有接待任务的讲解员同时到服务台待命），其他人员在休息室等候，并注意保持服务</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台及休息室的卫生，工作时间不得在休息室床上躺卧。</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（5）服务台值班员有事需离开时，由值班讲解员负责服务台工作，严禁出现空岗。</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（6）不得与观众发生争执，若发生被投诉情况，经核实后确定责任在我馆工作人员的，追究当事人及部门负责人的责任。</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outlineLvl w:val="1"/>
      </w:pPr>
      <w:r/>
      <w:bookmarkStart w:id="100" w:name="_Toc3989"/>
      <w:r/>
      <w:bookmarkStart w:id="101" w:name="_Toc32694"/>
      <w:r>
        <w:rPr>
          <w:rFonts w:hint="eastAsia" w:ascii="宋体" w:hAnsi="宋体" w:cs="宋体"/>
          <w:color w:val="000000"/>
          <w:sz w:val="21"/>
          <w:szCs w:val="21"/>
        </w:rPr>
        <w:t xml:space="preserve">二、讲解接待登记</w:t>
      </w:r>
      <w:bookmarkEnd w:id="100"/>
      <w:r/>
      <w:bookmarkEnd w:id="101"/>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1、凡提供讲解服务，一律填写《宿迁智慧城市科技馆参观接待登记表》，服务台值班人员负责登记。</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2、对于参观者提出的意见建议，当班讲解结束后要会同服务台值班人员及时进行记录，每周汇总一次，以便进一步提高讲解水准。</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3、讲解场次以《参观接待登记表》数量作为统计依据。</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4、《参观接待登记表》每天由服务台值班人员核对，每周汇总后交部门负责人，每月进行一次统计交办公室备案，统计结果由办公室报馆领导。</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outlineLvl w:val="1"/>
      </w:pPr>
      <w:r/>
      <w:bookmarkStart w:id="102" w:name="_Toc4304"/>
      <w:r/>
      <w:bookmarkStart w:id="103" w:name="_Toc25067"/>
      <w:r>
        <w:rPr>
          <w:rFonts w:hint="eastAsia" w:ascii="宋体" w:hAnsi="宋体" w:cs="宋体"/>
          <w:color w:val="000000"/>
          <w:sz w:val="21"/>
          <w:szCs w:val="21"/>
        </w:rPr>
        <w:t xml:space="preserve">三、仪容、仪表</w:t>
      </w:r>
      <w:bookmarkEnd w:id="102"/>
      <w:r/>
      <w:bookmarkEnd w:id="103"/>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1、礼貌服务，言语和蔼，热情大方，端庄稳重，讲标准普通话。</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2、上班后及时更换统一的讲解服装，整洁得体，佩戴胸牌。</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3、穿黑色皮鞋，工作时间不允许穿拖鞋、旅游鞋、球鞋、雨鞋、布鞋、5分以上高跟鞋等。</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4、发饰整洁，长发束起，不得散发，不准梳披肩发。</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5、工作时间化淡妆，不准化浓妆。</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6、装饰品佩戴得体大方，不得戴颜色、形状夸张的耳环、手镯、项链、眼镜等装饰品。</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outlineLvl w:val="1"/>
      </w:pPr>
      <w:r/>
      <w:bookmarkStart w:id="104" w:name="_Toc20639"/>
      <w:r/>
      <w:bookmarkStart w:id="105" w:name="_Toc1473"/>
      <w:r>
        <w:rPr>
          <w:rFonts w:hint="eastAsia" w:ascii="宋体" w:hAnsi="宋体" w:cs="宋体"/>
          <w:color w:val="000000"/>
          <w:sz w:val="21"/>
          <w:szCs w:val="21"/>
        </w:rPr>
        <w:t xml:space="preserve">四、考勤制度</w:t>
      </w:r>
      <w:bookmarkEnd w:id="104"/>
      <w:r/>
      <w:bookmarkEnd w:id="105"/>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1、在岗时间规定：机关工作日上班时间，特殊情况服从馆领导及部门负责人的安排调遣。</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2、严格遵守上下班时间，不得迟到、早退以及擅自脱岗。</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3、上下班在服务台打卡签到，每周五下午统一时间到办公楼会议室业务学习。</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4、遇特殊情况需在值班表基础上换班的人员，要提前1天进行申请，经部门负责人批准后方可调换，并报馆领导备案。</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5、因病或因事请假需提前一天填写《宿迁智慧城市科技馆请（销）假报告表》，经由部门负责人签字，报馆领导审批后方可请假，离开岗位前要交接好当日工作，并将《报告表》交办公室备案，休假结束后要及时销假。</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6、遇紧急情况不能及时履行请假手续的，通过电话履行请假手续，上班后要补填《请（销）假报告表》。</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outlineLvl w:val="1"/>
      </w:pPr>
      <w:r/>
      <w:bookmarkStart w:id="106" w:name="_Toc26252"/>
      <w:r/>
      <w:bookmarkStart w:id="107" w:name="_Toc26142"/>
      <w:r>
        <w:rPr>
          <w:rFonts w:hint="eastAsia" w:ascii="宋体" w:hAnsi="宋体" w:cs="宋体"/>
          <w:color w:val="000000"/>
          <w:sz w:val="21"/>
          <w:szCs w:val="21"/>
        </w:rPr>
        <w:t xml:space="preserve">五、业务素质</w:t>
      </w:r>
      <w:bookmarkEnd w:id="106"/>
      <w:r/>
      <w:bookmarkEnd w:id="107"/>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1、每周一统一组织业务学习，要及时做好学习笔记，参加随机考核。</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2、注意收集讲解过程中领导和观众提出的问题，及时查找资料，补充知识储备。</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outlineLvl w:val="1"/>
      </w:pPr>
      <w:r/>
      <w:bookmarkStart w:id="108" w:name="_Toc2186"/>
      <w:r/>
      <w:bookmarkStart w:id="109" w:name="_Toc7228"/>
      <w:r>
        <w:rPr>
          <w:rFonts w:hint="eastAsia" w:ascii="宋体" w:hAnsi="宋体" w:cs="宋体"/>
          <w:color w:val="000000"/>
          <w:sz w:val="21"/>
          <w:szCs w:val="21"/>
        </w:rPr>
        <w:t xml:space="preserve">六、路线规划</w:t>
      </w:r>
      <w:bookmarkEnd w:id="108"/>
      <w:r/>
      <w:bookmarkEnd w:id="109"/>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根据科技馆建设方案， 根据时间不同设计3条参观线路， 分别为20、30、60分钟，根据实际参观需求，针对不同对象按需引导参观。</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 20分钟参观线路，针对时间较短、针对性较强的专业客户设计。</w:t>
      </w:r>
      <w:r>
        <w:rPr>
          <w:rFonts w:hint="eastAsia" w:ascii="宋体" w:hAnsi="宋体" w:cs="宋体"/>
          <w:color w:val="000000"/>
          <w:sz w:val="21"/>
          <w:szCs w:val="21"/>
        </w:rPr>
      </w:r>
      <w:r/>
    </w:p>
    <w:p>
      <w:pPr>
        <w:pStyle w:val="1040"/>
        <w:rPr>
          <w:rFonts w:hint="eastAsia" w:ascii="宋体" w:hAnsi="宋体" w:cs="宋体"/>
          <w:color w:val="000000"/>
          <w:position w:val="-93"/>
        </w:rPr>
      </w:pPr>
      <w:r>
        <w:rPr>
          <w:rFonts w:hint="eastAsia" w:ascii="宋体" w:hAnsi="宋体" w:cs="宋体"/>
          <w:color w:val="000000"/>
          <w:position w:val="-93"/>
        </w:rPr>
        <mc:AlternateContent>
          <mc:Choice Requires="wpg">
            <w:drawing>
              <wp:inline xmlns:wp="http://schemas.openxmlformats.org/drawingml/2006/wordprocessingDrawing" distT="0" distB="0" distL="0" distR="0">
                <wp:extent cx="5613654" cy="2955722"/>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613654" cy="29557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42.0pt;height:232.7pt;mso-wrap-distance-left:0.0pt;mso-wrap-distance-top:0.0pt;mso-wrap-distance-right:0.0pt;mso-wrap-distance-bottom:0.0pt;" stroked="f">
                <v:path textboxrect="0,0,0,0"/>
                <v:imagedata r:id="rId13" o:title=""/>
              </v:shape>
            </w:pict>
          </mc:Fallback>
        </mc:AlternateContent>
      </w:r>
      <w:r>
        <w:rPr>
          <w:rFonts w:hint="eastAsia" w:ascii="宋体" w:hAnsi="宋体" w:cs="宋体"/>
          <w:color w:val="000000"/>
          <w:position w:val="-93"/>
        </w:rPr>
      </w:r>
      <w:r/>
    </w:p>
    <w:p>
      <w:pPr>
        <w:pStyle w:val="1039"/>
        <w:ind w:firstLine="480"/>
        <w:spacing w:line="360" w:lineRule="auto"/>
        <w:rPr>
          <w:rFonts w:hint="eastAsia" w:ascii="宋体" w:hAnsi="宋体" w:cs="宋体"/>
          <w:color w:val="000000"/>
          <w:sz w:val="24"/>
        </w:rPr>
      </w:pPr>
      <w:r>
        <w:rPr>
          <w:rFonts w:hint="eastAsia" w:ascii="宋体" w:hAnsi="宋体" w:cs="宋体"/>
          <w:color w:val="000000"/>
          <w:sz w:val="24"/>
        </w:rPr>
        <w:t xml:space="preserve">2.30分钟参观线路，主要针对智慧城市、智慧城市企业及有需求的部门进行引导参观。</w:t>
      </w:r>
      <w:r>
        <w:rPr>
          <w:rFonts w:hint="eastAsia" w:ascii="宋体" w:hAnsi="宋体" w:cs="宋体"/>
          <w:color w:val="000000"/>
          <w:sz w:val="24"/>
        </w:rPr>
      </w:r>
      <w:r/>
    </w:p>
    <w:p>
      <w:pPr>
        <w:pStyle w:val="1039"/>
        <w:rPr>
          <w:rFonts w:hint="eastAsia" w:ascii="宋体" w:hAnsi="宋体" w:cs="宋体"/>
          <w:color w:val="000000"/>
        </w:rPr>
      </w:pPr>
      <w:r>
        <w:rPr>
          <w:rFonts w:hint="eastAsia" w:ascii="宋体" w:hAnsi="宋体" w:cs="宋体"/>
          <w:color w:val="000000"/>
          <w:position w:val="-98"/>
        </w:rPr>
        <mc:AlternateContent>
          <mc:Choice Requires="wpg">
            <w:drawing>
              <wp:inline xmlns:wp="http://schemas.openxmlformats.org/drawingml/2006/wordprocessingDrawing" distT="0" distB="0" distL="0" distR="0">
                <wp:extent cx="5604789" cy="3135757"/>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604789" cy="31357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41.3pt;height:246.9pt;mso-wrap-distance-left:0.0pt;mso-wrap-distance-top:0.0pt;mso-wrap-distance-right:0.0pt;mso-wrap-distance-bottom:0.0pt;" stroked="f">
                <v:path textboxrect="0,0,0,0"/>
                <v:imagedata r:id="rId14" o:title=""/>
              </v:shape>
            </w:pict>
          </mc:Fallback>
        </mc:AlternateContent>
      </w:r>
      <w:r>
        <w:rPr>
          <w:rFonts w:hint="eastAsia" w:ascii="宋体" w:hAnsi="宋体" w:cs="宋体"/>
          <w:color w:val="000000"/>
        </w:rPr>
      </w:r>
      <w:r/>
    </w:p>
    <w:p>
      <w:pPr>
        <w:pStyle w:val="1039"/>
        <w:ind w:firstLine="480"/>
        <w:spacing w:line="360" w:lineRule="auto"/>
        <w:rPr>
          <w:rFonts w:hint="eastAsia" w:ascii="宋体" w:hAnsi="宋体" w:cs="宋体"/>
          <w:color w:val="000000"/>
          <w:sz w:val="24"/>
        </w:rPr>
      </w:pPr>
      <w:r>
        <w:rPr>
          <w:rFonts w:hint="eastAsia" w:ascii="宋体" w:hAnsi="宋体" w:cs="宋体"/>
          <w:color w:val="000000"/>
          <w:sz w:val="24"/>
        </w:rPr>
        <w:t xml:space="preserve">3. 60分钟参观线路，全部游览所有科技馆展项内容，逐一讲解，观看全部影片。</w:t>
      </w:r>
      <w:r>
        <w:rPr>
          <w:rFonts w:hint="eastAsia" w:ascii="宋体" w:hAnsi="宋体" w:cs="宋体"/>
          <w:color w:val="000000"/>
          <w:sz w:val="24"/>
        </w:rPr>
      </w:r>
      <w:r/>
    </w:p>
    <w:p>
      <w:pPr>
        <w:pStyle w:val="1040"/>
        <w:rPr>
          <w:rFonts w:hint="eastAsia" w:ascii="宋体" w:hAnsi="宋体" w:cs="宋体"/>
          <w:color w:val="000000"/>
          <w:position w:val="-95"/>
        </w:rPr>
      </w:pPr>
      <w:r>
        <w:rPr>
          <w:rFonts w:hint="eastAsia" w:ascii="宋体" w:hAnsi="宋体" w:cs="宋体"/>
          <w:color w:val="000000"/>
          <w:position w:val="-95"/>
        </w:rPr>
        <mc:AlternateContent>
          <mc:Choice Requires="wpg">
            <w:drawing>
              <wp:inline xmlns:wp="http://schemas.openxmlformats.org/drawingml/2006/wordprocessingDrawing" distT="0" distB="0" distL="0" distR="0">
                <wp:extent cx="5845366" cy="3017469"/>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845366" cy="3017469"/>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60.3pt;height:237.6pt;mso-wrap-distance-left:0.0pt;mso-wrap-distance-top:0.0pt;mso-wrap-distance-right:0.0pt;mso-wrap-distance-bottom:0.0pt;" stroked="f">
                <v:path textboxrect="0,0,0,0"/>
                <v:imagedata r:id="rId15" o:title=""/>
              </v:shape>
            </w:pict>
          </mc:Fallback>
        </mc:AlternateContent>
      </w:r>
      <w:r>
        <w:rPr>
          <w:rFonts w:hint="eastAsia" w:ascii="宋体" w:hAnsi="宋体" w:cs="宋体"/>
          <w:color w:val="000000"/>
          <w:position w:val="-95"/>
        </w:rPr>
      </w:r>
      <w:r/>
    </w:p>
    <w:p>
      <w:pPr>
        <w:pStyle w:val="1039"/>
        <w:rPr>
          <w:rFonts w:hint="eastAsia" w:ascii="宋体" w:hAnsi="宋体" w:cs="宋体"/>
          <w:color w:val="000000"/>
        </w:rPr>
      </w:pPr>
      <w:r>
        <w:rPr>
          <w:rFonts w:hint="eastAsia" w:ascii="宋体" w:hAnsi="宋体" w:cs="宋体"/>
          <w:color w:val="000000"/>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1039"/>
        <w:ind w:right="-10"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运营维护要求</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日常运维管理包含但不限于如下内容：</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outlineLvl w:val="1"/>
      </w:pPr>
      <w:r/>
      <w:bookmarkStart w:id="110" w:name="_Toc4985"/>
      <w:r/>
      <w:bookmarkStart w:id="111" w:name="_Toc31786"/>
      <w:r>
        <w:rPr>
          <w:rFonts w:hint="eastAsia" w:ascii="宋体" w:hAnsi="宋体" w:cs="宋体"/>
          <w:color w:val="000000"/>
          <w:sz w:val="21"/>
          <w:szCs w:val="21"/>
        </w:rPr>
        <w:t xml:space="preserve">一、日常管理</w:t>
      </w:r>
      <w:bookmarkEnd w:id="110"/>
      <w:r/>
      <w:bookmarkEnd w:id="111"/>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（一）开馆前工作内容</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人员到岗检查、仪容仪表检查、服装整洁检查</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由接待组、运维组、卫生组各负责人分别对其组员进行检查， 汇报至运营组负责人。最后由运营组负责人检查，并确认签字。</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1.到岗时间：</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8:30入场，9:25准备就绪，9:30开馆。</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如发生延迟开馆或人员不到岗情况，扣除500元/次。</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2.接待员岗位检查</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接待员在所在区域进行准备，开机、测试、卫生检查后，标准站姿迎接游客。由接待负责人对签字确认状态后，汇报至运营组负责人。</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如发生接待人员不到岗或服务未达到要求的情况，扣除500元/次。</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3.设备设施检查</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运维人员开启展馆设备， 包括： 开门、电源、设备、照明、网络、展项。并检查设备运行状态，确保设备正常运行。</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如发生设备运行不正常，且无运维人员及时修护情况，扣除500元/次。</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4.展馆安全检查</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运维人员及安保人员对展馆内外进行安全检查。排队通道、展馆连接通道检查。</w:t>
      </w:r>
      <w:r>
        <w:rPr>
          <w:rFonts w:hint="eastAsia" w:ascii="宋体" w:hAnsi="宋体" w:cs="宋体"/>
          <w:color w:val="000000"/>
          <w:sz w:val="21"/>
          <w:szCs w:val="21"/>
        </w:rPr>
      </w:r>
      <w:r/>
    </w:p>
    <w:p>
      <w:pPr>
        <w:pStyle w:val="1039"/>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由安全负责人检查后签字。</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如发现负责人未签字情况，扣除500元/处。</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5.确认开馆</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运营组负责人确认所有小组工作后，签字确认。每日9:30由运营组负责人，通知各部门准备就绪，正式开馆。</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如发现开馆未按照时间及相关人员未准备就绪情况，扣除500元/次。</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（二）日常运营</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 人员岗位检查</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各小组负责人，每30分钟对工作人员进行岗位巡查，检查工作人员状态。确认在岗签字确认后，汇报运营组负责人。</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如发现小组负责人未进行岗位巡查，导致人员缺岗情况，扣除1000元/次。</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 接待参观</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接待组接待公众客户，负责各展项接待、讲解、协助操作等供公众客户体验。认真解答公众客户提问。</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如发现接待公众客户不认真，态度敷衍，扣除1000元/次，发生公众客户投诉的, 扣除1000元/次。</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 设备设施检查</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运维人员每30分钟对设备设施进行检查，并记录运行状态。运维负责人核验后，汇报至运营组负责人。如遇设备故障，无法正常运行及时进行修理，不能及时保证正常运营的，放置设备故障牌。</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如发生设备故障超过30分钟无人处理的情况，扣除500元/次。</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4.展馆安全检查</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运维人员：每30分钟检查展馆安全隐患，确保没有安全隐患后汇报安全负责人进行核查。核查后签字。汇报至运营组负责人。</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如发生安全隐患超过30分钟无人处理的情况，扣除1000元/次。</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5.食堂运营</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负责智慧城市科技馆的食堂日常工作，做好场馆内工作人员就餐时的打餐、餐后刷洗、食堂清洁等工作。</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如发生食品卫生安全问题或严重投诉事件，扣除1000元/次。</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6.突发情况应急处理</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如遇场内外突发状况，发现人第一时间通知现场总控，参考《突发事件应急预案》，对事件进行处理。</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如应对方式不合理且造成更大损失的情况，扣除5000元/次。</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（三）闭馆前工作内容</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1.人员岗位检查</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各组负责人对工作人员进行清点，闭馆前10分钟，各工作人员对展馆内游客进行清场通知。闭馆后，各工作人员对所在区域卫生进行清洁。</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如发现滞留游客，扣除扣除500元/人。</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2.展馆安全检查</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保安门前管理，只出不进。待游客离开，关门整理。出入口围栏回收，安全清场。安全负责人检查场内外安全隐患，门窗锁闭状况。</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如发现负责人未签字情况，扣除500元/处。</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3.展馆卫生检查</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保洁清理内场卫生清洁，清理完成将垃圾投放指定地点。卫生负责人进行确认检查。</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如发现场地有明显不洁部位或负责人未签字情况，扣除500元/处。</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4.设备设施检查</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运维人员检查设备运行状态， 保证正常运行， 及时更新升级， 闭馆后关闭所有展项电源。如遇设备故障，需要修复处理，及时汇报运维负责人。</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如发生设备运行不正常，且无运维人员及时修护情况，扣除500元/次。</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5.总结会议</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各区域各小组负责人组织工作人员进行各岗位每日工作，归纳总结问题经验。</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确认所有人员清场， 展项关闭，场馆断电后，由安保人员锁闭大门。</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如发现总结会未按时召开，扣除500元/次。</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如发现场馆未及时断电，扣除500元/次。</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outlineLvl w:val="1"/>
      </w:pPr>
      <w:r/>
      <w:bookmarkStart w:id="112" w:name="_Toc2888"/>
      <w:r/>
      <w:bookmarkStart w:id="113" w:name="_Toc32212"/>
      <w:r>
        <w:rPr>
          <w:rFonts w:hint="eastAsia" w:ascii="宋体" w:hAnsi="宋体" w:cs="宋体"/>
          <w:color w:val="000000"/>
          <w:sz w:val="21"/>
          <w:szCs w:val="21"/>
        </w:rPr>
        <w:t xml:space="preserve">二、设备管理</w:t>
      </w:r>
      <w:bookmarkEnd w:id="112"/>
      <w:r/>
      <w:bookmarkEnd w:id="113"/>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（一）设备运行检查</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运维人员开启展馆设备，包括：电源、设备、照明、网络。并检查设备运行状态，确保设备正常运行。</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展期中，运维人员每30分钟例行检查设备，保证设备正常运营。闭馆后，运维人员对设备进行设备检查，确认没有故障后安全关闭，并断电。由运营组负责人核查后签字。发现设备出现故障后，由保安将设备所在区域进行格挡，并由讲解员以及保安维护现场秩序。设备如无法立即修复，由运营组负责人下达指令将设备关闭，待每日闭馆后进行修复。如设备无法彻底修复，运维人员联系设备厂家进行维护。运维人员每周一对设备系统进行例行更新维护，故障排查。</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（二）设备故障处理</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设备故障运维人员响应时间5分钟以内，维修时间10分钟以内。暂停设备对外运营，在设备周边2米位置进行格挡，检查问题来源，并尝试修复。运维人员修复期间，讲解员协助维持秩序并指引用户体验其他项目。</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运维人员快速处理修复设备，修复完成后，撤离格挡，讲解员回到岗位。如不能快速修复，运维人员关闭设备，并由讲解员在旁辅助引导。闭馆后由运维人员进行修复。</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outlineLvl w:val="1"/>
      </w:pPr>
      <w:r/>
      <w:bookmarkStart w:id="114" w:name="_Toc19581"/>
      <w:r/>
      <w:bookmarkStart w:id="115" w:name="_Toc26406"/>
      <w:r>
        <w:rPr>
          <w:rFonts w:hint="eastAsia" w:ascii="宋体" w:hAnsi="宋体" w:cs="宋体"/>
          <w:color w:val="000000"/>
          <w:sz w:val="21"/>
          <w:szCs w:val="21"/>
        </w:rPr>
        <w:t xml:space="preserve">三、安全保障</w:t>
      </w:r>
      <w:bookmarkEnd w:id="114"/>
      <w:r/>
      <w:bookmarkEnd w:id="115"/>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展期内，发生展馆内游客、工作人员突发情况，保安30秒内到达现场，并通知城管局负责人；保安每30分钟进行巡场一周，巡视场馆内以及场馆周边。确保没有可疑人员及物品；发生其他突发情况，保安根据应急预案进行相应行动。工作人员发现现场存在安全问题，第一时间通知保安，并汇报保安负责人，由保安负责人联络主管部门，处理问题。</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outlineLvl w:val="1"/>
      </w:pPr>
      <w:r/>
      <w:bookmarkStart w:id="116" w:name="_Toc30630"/>
      <w:r/>
      <w:bookmarkStart w:id="117" w:name="_Toc10285"/>
      <w:r>
        <w:rPr>
          <w:rFonts w:hint="eastAsia" w:ascii="宋体" w:hAnsi="宋体" w:cs="宋体"/>
          <w:color w:val="000000"/>
          <w:sz w:val="21"/>
          <w:szCs w:val="21"/>
        </w:rPr>
        <w:t xml:space="preserve">四、物料管理</w:t>
      </w:r>
      <w:bookmarkEnd w:id="116"/>
      <w:r/>
      <w:bookmarkEnd w:id="117"/>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展馆内所需物料，在仓库指定位置由库管进行保存摆放。所有物料如需使用，需由库管进行确认后，方可使用。消耗品使用规则：科技馆展馆相关工作人员使用物料需进行登记，并预估使用数量，由库管进行记录。消耗殆尽需汇报，由库管向运营组负责人申请补充。</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重复利用品使用规则：使用人员需进行登记，使用后归还至原位置，并登记归还。</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outlineLvl w:val="1"/>
      </w:pPr>
      <w:r/>
      <w:bookmarkStart w:id="118" w:name="_Toc12225"/>
      <w:r/>
      <w:bookmarkStart w:id="119" w:name="_Toc22098"/>
      <w:r>
        <w:rPr>
          <w:rFonts w:hint="eastAsia" w:ascii="宋体" w:hAnsi="宋体" w:cs="宋体"/>
          <w:color w:val="000000"/>
          <w:sz w:val="21"/>
          <w:szCs w:val="21"/>
        </w:rPr>
        <w:t xml:space="preserve">六、活动管理</w:t>
      </w:r>
      <w:bookmarkEnd w:id="118"/>
      <w:r/>
      <w:bookmarkEnd w:id="119"/>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展期内，根据科技馆需求，由项目负责人进行相应的活动策划，策划内容包含：活动目的、活动策略、操作流程、执行手册等内容。撰写方案，科技馆确认方案后，方可执行。</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活动开始前20天活动组进行场地勘察，与主管部门确认场地内可用空间，以及互动状态。活动确认后，进行物料准备，预留充分时间进行物料制作。小件物料限时5天内完成，大制作限时15天内完成。活动开始前2天活动物料进入展馆，由活动负责人进行彩排。</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活动开始，严格按照确认方案进行现场执行，现场所有工作人员全部配合。</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outlineLvl w:val="1"/>
      </w:pPr>
      <w:r/>
      <w:bookmarkStart w:id="120" w:name="_Toc2271"/>
      <w:r/>
      <w:bookmarkStart w:id="121" w:name="_Toc32675"/>
      <w:r>
        <w:rPr>
          <w:rFonts w:hint="eastAsia" w:ascii="宋体" w:hAnsi="宋体" w:cs="宋体"/>
          <w:color w:val="000000"/>
          <w:sz w:val="21"/>
          <w:szCs w:val="21"/>
        </w:rPr>
        <w:t xml:space="preserve">七、宣传管理</w:t>
      </w:r>
      <w:bookmarkEnd w:id="120"/>
      <w:r/>
      <w:bookmarkEnd w:id="121"/>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根据时间节点，宣传负责人每30天制定宣传规划，并与科技馆确认。主管部门确认后，宣传负责人根据展馆内热点新闻，进行增加新闻稿内容。做到快速反应，热点事情发生，素材收集整理、稿件撰写等直至发布，时间不超过24小时。根据规划内容，由项目负责人安排摄影师进行素材收集。</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绩效考核参考</w:t>
      </w:r>
      <w:r>
        <w:rPr>
          <w:rFonts w:hint="eastAsia" w:ascii="宋体" w:hAnsi="宋体" w:cs="宋体"/>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为有效提升科技馆运营管理水平，采取关键绩效指标（KPI）方式对重要岗位进行绩效考核，考核直接与运营负责人薪资待遇挂钩，同时与服务外包绩效考核奖同步奖惩。以下为绩效考核参考方案，供应商接受不低于如下对项目负责人的绩效考核要求：</w:t>
      </w:r>
      <w:r>
        <w:rPr>
          <w:rFonts w:hint="eastAsia" w:ascii="宋体" w:hAnsi="宋体" w:cs="宋体"/>
          <w:color w:val="000000"/>
          <w:sz w:val="21"/>
          <w:szCs w:val="21"/>
        </w:rPr>
      </w:r>
      <w:r/>
    </w:p>
    <w:p>
      <w:pPr>
        <w:pStyle w:val="1039"/>
        <w:ind w:left="1667"/>
        <w:spacing w:before="78" w:line="210" w:lineRule="auto"/>
        <w:rPr>
          <w:rFonts w:ascii="宋体" w:hAnsi="宋体" w:eastAsia="宋体" w:cs="宋体"/>
          <w:color w:val="000000"/>
          <w:sz w:val="24"/>
          <w:szCs w:val="24"/>
          <w:lang w:val="en-US" w:eastAsia="zh-CN"/>
        </w:rPr>
      </w:pPr>
      <w:r>
        <w:rPr>
          <w:rFonts w:hint="eastAsia" w:ascii="宋体" w:hAnsi="宋体" w:cs="宋体"/>
          <w:color w:val="000000"/>
          <w:spacing w:val="-1"/>
          <w:sz w:val="24"/>
          <w:szCs w:val="24"/>
        </w:rPr>
        <w:t xml:space="preserve">智慧城市科技馆重要岗位（项目负责人）绩效考</w:t>
      </w:r>
      <w:r>
        <w:rPr>
          <w:rFonts w:hint="eastAsia" w:ascii="宋体" w:hAnsi="宋体" w:cs="宋体"/>
          <w:color w:val="000000"/>
          <w:spacing w:val="-2"/>
          <w:sz w:val="24"/>
          <w:szCs w:val="24"/>
        </w:rPr>
        <w:t xml:space="preserve">核表</w:t>
      </w:r>
      <w:r>
        <w:rPr>
          <w:rFonts w:ascii="宋体" w:hAnsi="宋体" w:eastAsia="宋体" w:cs="宋体"/>
          <w:color w:val="000000"/>
          <w:sz w:val="24"/>
          <w:szCs w:val="24"/>
          <w:lang w:val="en-US" w:eastAsia="zh-CN"/>
        </w:rPr>
      </w:r>
      <w:r/>
    </w:p>
    <w:tbl>
      <w:tblPr>
        <w:tblW w:w="893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34"/>
        <w:gridCol w:w="1196"/>
        <w:gridCol w:w="204"/>
        <w:gridCol w:w="546"/>
        <w:gridCol w:w="394"/>
        <w:gridCol w:w="4025"/>
        <w:gridCol w:w="1731"/>
      </w:tblGrid>
      <w:tr>
        <w:trPr>
          <w:trHeight w:val="470"/>
        </w:trPr>
        <w:tc>
          <w:tcPr>
            <w:gridSpan w:val="6"/>
            <w:tcW w:w="7199" w:type="dxa"/>
            <w:vAlign w:val="center"/>
            <w:textDirection w:val="lrTb"/>
            <w:noWrap w:val="false"/>
          </w:tcPr>
          <w:p>
            <w:pPr>
              <w:pStyle w:val="1039"/>
              <w:jc w:val="left"/>
              <w:spacing w:line="2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关键绩效指标</w:t>
            </w:r>
            <w:r>
              <w:rPr>
                <w:rFonts w:hint="eastAsia" w:ascii="宋体" w:hAnsi="宋体" w:cs="宋体"/>
                <w:b/>
                <w:bCs/>
                <w:color w:val="000000"/>
                <w:sz w:val="21"/>
                <w:szCs w:val="21"/>
              </w:rPr>
            </w:r>
            <w:r/>
          </w:p>
        </w:tc>
        <w:tc>
          <w:tcPr>
            <w:tcW w:w="1731" w:type="dxa"/>
            <w:vAlign w:val="center"/>
            <w:textDirection w:val="lrTb"/>
            <w:noWrap w:val="false"/>
          </w:tcPr>
          <w:p>
            <w:pPr>
              <w:pStyle w:val="1039"/>
              <w:jc w:val="left"/>
              <w:spacing w:line="2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权重：</w:t>
            </w:r>
            <w:r>
              <w:rPr>
                <w:rFonts w:hint="eastAsia" w:ascii="宋体" w:hAnsi="宋体" w:cs="宋体"/>
                <w:b/>
                <w:bCs/>
                <w:color w:val="000000"/>
                <w:sz w:val="21"/>
                <w:szCs w:val="21"/>
              </w:rPr>
            </w:r>
            <w:r/>
          </w:p>
        </w:tc>
      </w:tr>
      <w:tr>
        <w:trPr>
          <w:trHeight w:val="447"/>
        </w:trPr>
        <w:tc>
          <w:tcPr>
            <w:tcW w:w="834" w:type="dxa"/>
            <w:vAlign w:val="center"/>
            <w:textDirection w:val="lrTb"/>
            <w:noWrap w:val="false"/>
          </w:tcPr>
          <w:p>
            <w:pPr>
              <w:pStyle w:val="1039"/>
              <w:jc w:val="center"/>
              <w:spacing w:line="2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序号</w:t>
            </w:r>
            <w:r>
              <w:rPr>
                <w:rFonts w:hint="eastAsia" w:ascii="宋体" w:hAnsi="宋体" w:cs="宋体"/>
                <w:b/>
                <w:bCs/>
                <w:color w:val="000000"/>
                <w:sz w:val="21"/>
                <w:szCs w:val="21"/>
              </w:rPr>
            </w:r>
            <w:r/>
          </w:p>
        </w:tc>
        <w:tc>
          <w:tcPr>
            <w:tcW w:w="1196" w:type="dxa"/>
            <w:vAlign w:val="center"/>
            <w:textDirection w:val="lrTb"/>
            <w:noWrap w:val="false"/>
          </w:tcPr>
          <w:p>
            <w:pPr>
              <w:pStyle w:val="1039"/>
              <w:jc w:val="center"/>
              <w:spacing w:line="2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指标项目</w:t>
            </w:r>
            <w:r>
              <w:rPr>
                <w:rFonts w:hint="eastAsia" w:ascii="宋体" w:hAnsi="宋体" w:cs="宋体"/>
                <w:b/>
                <w:bCs/>
                <w:color w:val="000000"/>
                <w:sz w:val="21"/>
                <w:szCs w:val="21"/>
              </w:rPr>
            </w:r>
            <w:r/>
          </w:p>
        </w:tc>
        <w:tc>
          <w:tcPr>
            <w:gridSpan w:val="2"/>
            <w:tcW w:w="750" w:type="dxa"/>
            <w:vAlign w:val="center"/>
            <w:textDirection w:val="lrTb"/>
            <w:noWrap w:val="false"/>
          </w:tcPr>
          <w:p>
            <w:pPr>
              <w:pStyle w:val="1039"/>
              <w:jc w:val="center"/>
              <w:spacing w:line="2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权重</w:t>
            </w:r>
            <w:r>
              <w:rPr>
                <w:rFonts w:hint="eastAsia" w:ascii="宋体" w:hAnsi="宋体" w:cs="宋体"/>
                <w:b/>
                <w:bCs/>
                <w:color w:val="000000"/>
                <w:sz w:val="21"/>
                <w:szCs w:val="21"/>
              </w:rPr>
            </w:r>
            <w:r/>
          </w:p>
        </w:tc>
        <w:tc>
          <w:tcPr>
            <w:gridSpan w:val="2"/>
            <w:tcW w:w="4419" w:type="dxa"/>
            <w:vAlign w:val="center"/>
            <w:textDirection w:val="lrTb"/>
            <w:noWrap w:val="false"/>
          </w:tcPr>
          <w:p>
            <w:pPr>
              <w:pStyle w:val="1039"/>
              <w:jc w:val="center"/>
              <w:spacing w:line="2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指标定义</w:t>
            </w:r>
            <w:r>
              <w:rPr>
                <w:rFonts w:hint="eastAsia" w:ascii="宋体" w:hAnsi="宋体" w:cs="宋体"/>
                <w:b/>
                <w:bCs/>
                <w:color w:val="000000"/>
                <w:sz w:val="21"/>
                <w:szCs w:val="21"/>
              </w:rPr>
            </w:r>
            <w:r/>
          </w:p>
        </w:tc>
        <w:tc>
          <w:tcPr>
            <w:tcW w:w="1731" w:type="dxa"/>
            <w:vAlign w:val="center"/>
            <w:textDirection w:val="lrTb"/>
            <w:noWrap w:val="false"/>
          </w:tcPr>
          <w:p>
            <w:pPr>
              <w:pStyle w:val="1039"/>
              <w:jc w:val="center"/>
              <w:spacing w:line="2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考核说明</w:t>
            </w:r>
            <w:r>
              <w:rPr>
                <w:rFonts w:hint="eastAsia" w:ascii="宋体" w:hAnsi="宋体" w:cs="宋体"/>
                <w:b/>
                <w:bCs/>
                <w:color w:val="000000"/>
                <w:sz w:val="21"/>
                <w:szCs w:val="21"/>
              </w:rPr>
            </w:r>
            <w:r/>
          </w:p>
        </w:tc>
      </w:tr>
      <w:tr>
        <w:trPr>
          <w:trHeight w:val="1508"/>
        </w:trPr>
        <w:tc>
          <w:tcPr>
            <w:tcW w:w="834" w:type="dxa"/>
            <w:vAlign w:val="center"/>
            <w:vMerge w:val="restart"/>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1196" w:type="dxa"/>
            <w:vAlign w:val="center"/>
            <w:vMerge w:val="restart"/>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基本工作职 责</w:t>
            </w:r>
            <w:r>
              <w:rPr>
                <w:rFonts w:hint="eastAsia" w:ascii="宋体" w:hAnsi="宋体" w:cs="宋体"/>
                <w:color w:val="000000"/>
                <w:sz w:val="21"/>
                <w:szCs w:val="21"/>
              </w:rPr>
            </w:r>
            <w:r/>
          </w:p>
        </w:tc>
        <w:tc>
          <w:tcPr>
            <w:gridSpan w:val="2"/>
            <w:tcW w:w="750"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10</w:t>
            </w:r>
            <w:r>
              <w:rPr>
                <w:rFonts w:hint="eastAsia" w:ascii="宋体" w:hAnsi="宋体" w:cs="宋体"/>
                <w:color w:val="000000"/>
                <w:sz w:val="21"/>
                <w:szCs w:val="21"/>
              </w:rPr>
            </w:r>
            <w:r/>
          </w:p>
        </w:tc>
        <w:tc>
          <w:tcPr>
            <w:gridSpan w:val="2"/>
            <w:tcW w:w="4419" w:type="dxa"/>
            <w:vAlign w:val="center"/>
            <w:textDirection w:val="lrTb"/>
            <w:noWrap w:val="false"/>
          </w:tcPr>
          <w:p>
            <w:pPr>
              <w:pStyle w:val="1039"/>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做好科技馆整体运营的统筹管理工作。通过专业的运营工作向社会公众集中展示宿迁智慧城市的整体形象及实力，体现宿迁市智慧城市建设的落实与成果。做好智慧城市科技馆一层二层展厅区域的软硬件维护与讲解接待统筹工作，保障展馆的正常运转。</w:t>
            </w:r>
            <w:r>
              <w:rPr>
                <w:rFonts w:hint="eastAsia" w:ascii="宋体" w:hAnsi="宋体" w:cs="宋体"/>
                <w:color w:val="000000"/>
                <w:sz w:val="21"/>
                <w:szCs w:val="21"/>
              </w:rPr>
            </w:r>
            <w:r/>
          </w:p>
        </w:tc>
        <w:tc>
          <w:tcPr>
            <w:tcW w:w="1731" w:type="dxa"/>
            <w:vAlign w:val="center"/>
            <w:textDirection w:val="lrTb"/>
            <w:noWrap w:val="false"/>
          </w:tcPr>
          <w:p>
            <w:pPr>
              <w:pStyle w:val="1039"/>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完全胜任得10分，较胜任得8分，基本胜任得6分</w:t>
            </w:r>
            <w:r>
              <w:rPr>
                <w:rFonts w:hint="eastAsia" w:ascii="宋体" w:hAnsi="宋体" w:cs="宋体"/>
                <w:color w:val="000000"/>
                <w:sz w:val="21"/>
                <w:szCs w:val="21"/>
              </w:rPr>
            </w:r>
            <w:r/>
          </w:p>
        </w:tc>
      </w:tr>
      <w:tr>
        <w:trPr>
          <w:trHeight w:val="1463"/>
        </w:trPr>
        <w:tc>
          <w:tcPr>
            <w:tcW w:w="834" w:type="dxa"/>
            <w:vAlign w:val="center"/>
            <w:vMerge w:val="continue"/>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r>
            <w:r/>
          </w:p>
        </w:tc>
        <w:tc>
          <w:tcPr>
            <w:tcW w:w="1196" w:type="dxa"/>
            <w:vAlign w:val="center"/>
            <w:vMerge w:val="continue"/>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r>
            <w:r/>
          </w:p>
        </w:tc>
        <w:tc>
          <w:tcPr>
            <w:gridSpan w:val="2"/>
            <w:tcW w:w="750"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10</w:t>
            </w:r>
            <w:r>
              <w:rPr>
                <w:rFonts w:hint="eastAsia" w:ascii="宋体" w:hAnsi="宋体" w:cs="宋体"/>
                <w:color w:val="000000"/>
                <w:sz w:val="21"/>
                <w:szCs w:val="21"/>
              </w:rPr>
            </w:r>
            <w:r/>
          </w:p>
        </w:tc>
        <w:tc>
          <w:tcPr>
            <w:gridSpan w:val="2"/>
            <w:tcW w:w="4419" w:type="dxa"/>
            <w:vAlign w:val="center"/>
            <w:textDirection w:val="lrTb"/>
            <w:noWrap w:val="false"/>
          </w:tcPr>
          <w:p>
            <w:pPr>
              <w:pStyle w:val="1039"/>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统筹科技馆参观接待管理工作。负责展馆的讲解接待、娱乐设施引导，及时和政府相关部门对接做好组织接待工作的统筹管理，指导讲解员团队工作，激励讲解人员不断提高业务水平，增强讲解工作对于展馆的宣传效果，提升智慧城市科技馆的整体形象。</w:t>
            </w:r>
            <w:r>
              <w:rPr>
                <w:rFonts w:hint="eastAsia" w:ascii="宋体" w:hAnsi="宋体" w:cs="宋体"/>
                <w:color w:val="000000"/>
                <w:sz w:val="21"/>
                <w:szCs w:val="21"/>
              </w:rPr>
            </w:r>
            <w:r/>
          </w:p>
        </w:tc>
        <w:tc>
          <w:tcPr>
            <w:tcW w:w="1731" w:type="dxa"/>
            <w:vAlign w:val="center"/>
            <w:textDirection w:val="lrTb"/>
            <w:noWrap w:val="false"/>
          </w:tcPr>
          <w:p>
            <w:pPr>
              <w:pStyle w:val="1039"/>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完全胜任得10分，较好胜任得8分，基本胜任得6分</w:t>
            </w:r>
            <w:r>
              <w:rPr>
                <w:rFonts w:hint="eastAsia" w:ascii="宋体" w:hAnsi="宋体" w:cs="宋体"/>
                <w:color w:val="000000"/>
                <w:sz w:val="21"/>
                <w:szCs w:val="21"/>
              </w:rPr>
            </w:r>
            <w:r/>
          </w:p>
        </w:tc>
      </w:tr>
      <w:tr>
        <w:trPr>
          <w:trHeight w:val="1304"/>
        </w:trPr>
        <w:tc>
          <w:tcPr>
            <w:tcW w:w="834" w:type="dxa"/>
            <w:vAlign w:val="center"/>
            <w:vMerge w:val="continue"/>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r>
            <w:r/>
          </w:p>
        </w:tc>
        <w:tc>
          <w:tcPr>
            <w:tcW w:w="1196" w:type="dxa"/>
            <w:vAlign w:val="center"/>
            <w:vMerge w:val="continue"/>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r>
            <w:r/>
          </w:p>
        </w:tc>
        <w:tc>
          <w:tcPr>
            <w:gridSpan w:val="2"/>
            <w:tcW w:w="750"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10</w:t>
            </w:r>
            <w:r>
              <w:rPr>
                <w:rFonts w:hint="eastAsia" w:ascii="宋体" w:hAnsi="宋体" w:cs="宋体"/>
                <w:color w:val="000000"/>
                <w:sz w:val="21"/>
                <w:szCs w:val="21"/>
              </w:rPr>
            </w:r>
            <w:r/>
          </w:p>
        </w:tc>
        <w:tc>
          <w:tcPr>
            <w:gridSpan w:val="2"/>
            <w:tcW w:w="4419" w:type="dxa"/>
            <w:vAlign w:val="center"/>
            <w:textDirection w:val="lrTb"/>
            <w:noWrap w:val="false"/>
          </w:tcPr>
          <w:p>
            <w:pPr>
              <w:pStyle w:val="1039"/>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统筹科技馆设施维护工作。负责展馆网络、硬件故障处理及日常维护，设备操作学习等工作的统筹管理工作。指导IT运维团队对展厅开展日常巡检，提前发现故障隐患，做好参观保障工作与应急管理工作。</w:t>
            </w:r>
            <w:r>
              <w:rPr>
                <w:rFonts w:hint="eastAsia" w:ascii="宋体" w:hAnsi="宋体" w:cs="宋体"/>
                <w:color w:val="000000"/>
                <w:sz w:val="21"/>
                <w:szCs w:val="21"/>
              </w:rPr>
            </w:r>
            <w:r/>
          </w:p>
        </w:tc>
        <w:tc>
          <w:tcPr>
            <w:tcW w:w="1731" w:type="dxa"/>
            <w:vAlign w:val="center"/>
            <w:textDirection w:val="lrTb"/>
            <w:noWrap w:val="false"/>
          </w:tcPr>
          <w:p>
            <w:pPr>
              <w:pStyle w:val="1039"/>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完全胜任得10分，较好胜任得8分，基胜任得6分</w:t>
            </w:r>
            <w:r>
              <w:rPr>
                <w:rFonts w:hint="eastAsia" w:ascii="宋体" w:hAnsi="宋体" w:cs="宋体"/>
                <w:color w:val="000000"/>
                <w:sz w:val="21"/>
                <w:szCs w:val="21"/>
              </w:rPr>
            </w:r>
            <w:r/>
          </w:p>
        </w:tc>
      </w:tr>
      <w:tr>
        <w:trPr>
          <w:trHeight w:val="1392"/>
        </w:trPr>
        <w:tc>
          <w:tcPr>
            <w:tcW w:w="834" w:type="dxa"/>
            <w:vAlign w:val="center"/>
            <w:vMerge w:val="continue"/>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r>
            <w:r/>
          </w:p>
        </w:tc>
        <w:tc>
          <w:tcPr>
            <w:tcW w:w="1196" w:type="dxa"/>
            <w:vAlign w:val="center"/>
            <w:vMerge w:val="continue"/>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r>
            <w:r/>
          </w:p>
        </w:tc>
        <w:tc>
          <w:tcPr>
            <w:gridSpan w:val="2"/>
            <w:tcW w:w="750"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10</w:t>
            </w:r>
            <w:r>
              <w:rPr>
                <w:rFonts w:hint="eastAsia" w:ascii="宋体" w:hAnsi="宋体" w:cs="宋体"/>
                <w:color w:val="000000"/>
                <w:sz w:val="21"/>
                <w:szCs w:val="21"/>
              </w:rPr>
            </w:r>
            <w:r/>
          </w:p>
        </w:tc>
        <w:tc>
          <w:tcPr>
            <w:gridSpan w:val="2"/>
            <w:tcW w:w="4419" w:type="dxa"/>
            <w:vAlign w:val="center"/>
            <w:textDirection w:val="lrTb"/>
            <w:noWrap w:val="false"/>
          </w:tcPr>
          <w:p>
            <w:pPr>
              <w:pStyle w:val="1039"/>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统筹科技馆内容管理与运营工作。负责展馆展示内容的运营，互联网宣传推广，展项内容更新方案定制以及市场化运营管理。（具体的策划方案、活动经费、营销推广费、展项更新费汇报给上级主管部门审批，审批后再执行。）</w:t>
            </w:r>
            <w:r>
              <w:rPr>
                <w:rFonts w:hint="eastAsia" w:ascii="宋体" w:hAnsi="宋体" w:cs="宋体"/>
                <w:color w:val="000000"/>
                <w:sz w:val="21"/>
                <w:szCs w:val="21"/>
              </w:rPr>
            </w:r>
            <w:r/>
          </w:p>
        </w:tc>
        <w:tc>
          <w:tcPr>
            <w:tcW w:w="1731" w:type="dxa"/>
            <w:vAlign w:val="center"/>
            <w:textDirection w:val="lrTb"/>
            <w:noWrap w:val="false"/>
          </w:tcPr>
          <w:p>
            <w:pPr>
              <w:pStyle w:val="1039"/>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完全胜任得10分，较好胜任得8分，基本胜任得6分</w:t>
            </w:r>
            <w:r>
              <w:rPr>
                <w:rFonts w:hint="eastAsia" w:ascii="宋体" w:hAnsi="宋体" w:cs="宋体"/>
                <w:color w:val="000000"/>
                <w:sz w:val="21"/>
                <w:szCs w:val="21"/>
              </w:rPr>
            </w:r>
            <w:r/>
          </w:p>
        </w:tc>
      </w:tr>
      <w:tr>
        <w:trPr>
          <w:trHeight w:val="866"/>
        </w:trPr>
        <w:tc>
          <w:tcPr>
            <w:tcW w:w="834" w:type="dxa"/>
            <w:vAlign w:val="center"/>
            <w:vMerge w:val="continue"/>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r>
            <w:r/>
          </w:p>
        </w:tc>
        <w:tc>
          <w:tcPr>
            <w:tcW w:w="1196" w:type="dxa"/>
            <w:vAlign w:val="center"/>
            <w:vMerge w:val="continue"/>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r>
            <w:r/>
          </w:p>
        </w:tc>
        <w:tc>
          <w:tcPr>
            <w:gridSpan w:val="2"/>
            <w:tcW w:w="750"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10</w:t>
            </w:r>
            <w:r>
              <w:rPr>
                <w:rFonts w:hint="eastAsia" w:ascii="宋体" w:hAnsi="宋体" w:cs="宋体"/>
                <w:color w:val="000000"/>
                <w:sz w:val="21"/>
                <w:szCs w:val="21"/>
              </w:rPr>
            </w:r>
            <w:r/>
          </w:p>
        </w:tc>
        <w:tc>
          <w:tcPr>
            <w:gridSpan w:val="2"/>
            <w:tcW w:w="4419" w:type="dxa"/>
            <w:vAlign w:val="center"/>
            <w:textDirection w:val="lrTb"/>
            <w:noWrap w:val="false"/>
          </w:tcPr>
          <w:p>
            <w:pPr>
              <w:pStyle w:val="1039"/>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对接协调外包物业管理工作。负责做好展馆物业管理区域内的安全防范及环境卫生，保障展馆的水、电、消防等安全使用。</w:t>
            </w:r>
            <w:r>
              <w:rPr>
                <w:rFonts w:hint="eastAsia" w:ascii="宋体" w:hAnsi="宋体" w:cs="宋体"/>
                <w:color w:val="000000"/>
                <w:sz w:val="21"/>
                <w:szCs w:val="21"/>
              </w:rPr>
            </w:r>
            <w:r/>
          </w:p>
        </w:tc>
        <w:tc>
          <w:tcPr>
            <w:tcW w:w="1731" w:type="dxa"/>
            <w:vAlign w:val="center"/>
            <w:textDirection w:val="lrTb"/>
            <w:noWrap w:val="false"/>
          </w:tcPr>
          <w:p>
            <w:pPr>
              <w:pStyle w:val="1039"/>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完全胜任得10分，较好胜任得8分，基本胜任得6分</w:t>
            </w:r>
            <w:r>
              <w:rPr>
                <w:rFonts w:hint="eastAsia" w:ascii="宋体" w:hAnsi="宋体" w:cs="宋体"/>
                <w:color w:val="000000"/>
                <w:sz w:val="21"/>
                <w:szCs w:val="21"/>
              </w:rPr>
            </w:r>
            <w:r/>
          </w:p>
        </w:tc>
      </w:tr>
      <w:tr>
        <w:trPr>
          <w:trHeight w:val="1173"/>
        </w:trPr>
        <w:tc>
          <w:tcPr>
            <w:tcW w:w="834" w:type="dxa"/>
            <w:vAlign w:val="center"/>
            <w:vMerge w:val="continue"/>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r>
            <w:r/>
          </w:p>
        </w:tc>
        <w:tc>
          <w:tcPr>
            <w:tcW w:w="1196" w:type="dxa"/>
            <w:vAlign w:val="center"/>
            <w:vMerge w:val="continue"/>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r>
            <w:r/>
          </w:p>
        </w:tc>
        <w:tc>
          <w:tcPr>
            <w:gridSpan w:val="2"/>
            <w:tcW w:w="750"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10</w:t>
            </w:r>
            <w:r>
              <w:rPr>
                <w:rFonts w:hint="eastAsia" w:ascii="宋体" w:hAnsi="宋体" w:cs="宋体"/>
                <w:color w:val="000000"/>
                <w:sz w:val="21"/>
                <w:szCs w:val="21"/>
              </w:rPr>
            </w:r>
            <w:r/>
          </w:p>
        </w:tc>
        <w:tc>
          <w:tcPr>
            <w:gridSpan w:val="2"/>
            <w:tcW w:w="4419" w:type="dxa"/>
            <w:vAlign w:val="center"/>
            <w:textDirection w:val="lrTb"/>
            <w:noWrap w:val="false"/>
          </w:tcPr>
          <w:p>
            <w:pPr>
              <w:pStyle w:val="1039"/>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统筹展馆办公管理工作。负责展馆日常事务的综合协调工作、办公行政规章制度的建立与完善，督查规章制度的完成情况，协助政府领导做好展馆对外相关部门的工作衔接以及对口完成相应岗位职能。</w:t>
            </w:r>
            <w:r>
              <w:rPr>
                <w:rFonts w:hint="eastAsia" w:ascii="宋体" w:hAnsi="宋体" w:cs="宋体"/>
                <w:color w:val="000000"/>
                <w:sz w:val="21"/>
                <w:szCs w:val="21"/>
              </w:rPr>
            </w:r>
            <w:r/>
          </w:p>
        </w:tc>
        <w:tc>
          <w:tcPr>
            <w:tcW w:w="1731" w:type="dxa"/>
            <w:vAlign w:val="center"/>
            <w:textDirection w:val="lrTb"/>
            <w:noWrap w:val="false"/>
          </w:tcPr>
          <w:p>
            <w:pPr>
              <w:pStyle w:val="1039"/>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完全胜任得10分，较好任得8分，基本胜任得6分</w:t>
            </w:r>
            <w:r>
              <w:rPr>
                <w:rFonts w:hint="eastAsia" w:ascii="宋体" w:hAnsi="宋体" w:cs="宋体"/>
                <w:color w:val="000000"/>
                <w:sz w:val="21"/>
                <w:szCs w:val="21"/>
              </w:rPr>
            </w:r>
            <w:r/>
          </w:p>
        </w:tc>
      </w:tr>
      <w:tr>
        <w:trPr>
          <w:trHeight w:val="943"/>
        </w:trPr>
        <w:tc>
          <w:tcPr>
            <w:tcW w:w="834"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W w:w="1196"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展馆接待任务满意度</w:t>
            </w:r>
            <w:r>
              <w:rPr>
                <w:rFonts w:hint="eastAsia" w:ascii="宋体" w:hAnsi="宋体" w:cs="宋体"/>
                <w:color w:val="000000"/>
                <w:sz w:val="21"/>
                <w:szCs w:val="21"/>
              </w:rPr>
            </w:r>
            <w:r/>
          </w:p>
        </w:tc>
        <w:tc>
          <w:tcPr>
            <w:gridSpan w:val="2"/>
            <w:tcW w:w="750"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gridSpan w:val="2"/>
            <w:tcW w:w="4419" w:type="dxa"/>
            <w:vAlign w:val="center"/>
            <w:textDirection w:val="lrTb"/>
            <w:noWrap w:val="false"/>
          </w:tcPr>
          <w:p>
            <w:pPr>
              <w:pStyle w:val="1039"/>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带领展馆团队完成接待任务的相关部门总体满意程度。</w:t>
            </w:r>
            <w:r>
              <w:rPr>
                <w:rFonts w:hint="eastAsia" w:ascii="宋体" w:hAnsi="宋体" w:cs="宋体"/>
                <w:color w:val="000000"/>
                <w:sz w:val="21"/>
                <w:szCs w:val="21"/>
              </w:rPr>
            </w:r>
            <w:r/>
          </w:p>
        </w:tc>
        <w:tc>
          <w:tcPr>
            <w:tcW w:w="1731" w:type="dxa"/>
            <w:vAlign w:val="center"/>
            <w:textDirection w:val="lrTb"/>
            <w:noWrap w:val="false"/>
          </w:tcPr>
          <w:p>
            <w:pPr>
              <w:pStyle w:val="1039"/>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发生重大接待事故， 一票否决； 发生客户每投诉1次，扣1分。</w:t>
            </w:r>
            <w:r>
              <w:rPr>
                <w:rFonts w:hint="eastAsia" w:ascii="宋体" w:hAnsi="宋体" w:cs="宋体"/>
                <w:color w:val="000000"/>
                <w:sz w:val="21"/>
                <w:szCs w:val="21"/>
              </w:rPr>
            </w:r>
            <w:r/>
          </w:p>
        </w:tc>
      </w:tr>
      <w:tr>
        <w:trPr>
          <w:trHeight w:val="1223"/>
        </w:trPr>
        <w:tc>
          <w:tcPr>
            <w:tcW w:w="834"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tcW w:w="1196"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运营整体效能最大化</w:t>
            </w:r>
            <w:r>
              <w:rPr>
                <w:rFonts w:hint="eastAsia" w:ascii="宋体" w:hAnsi="宋体" w:cs="宋体"/>
                <w:color w:val="000000"/>
                <w:sz w:val="21"/>
                <w:szCs w:val="21"/>
              </w:rPr>
            </w:r>
            <w:r/>
          </w:p>
        </w:tc>
        <w:tc>
          <w:tcPr>
            <w:gridSpan w:val="2"/>
            <w:tcW w:w="750"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gridSpan w:val="2"/>
            <w:tcW w:w="4419" w:type="dxa"/>
            <w:vAlign w:val="center"/>
            <w:textDirection w:val="lrTb"/>
            <w:noWrap w:val="false"/>
          </w:tcPr>
          <w:p>
            <w:pPr>
              <w:pStyle w:val="1039"/>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根据展馆需要合理分配、安排员工的工作量， 使得效能最大化。</w:t>
            </w:r>
            <w:r>
              <w:rPr>
                <w:rFonts w:hint="eastAsia" w:ascii="宋体" w:hAnsi="宋体" w:cs="宋体"/>
                <w:color w:val="000000"/>
                <w:sz w:val="21"/>
                <w:szCs w:val="21"/>
              </w:rPr>
            </w:r>
            <w:r/>
          </w:p>
        </w:tc>
        <w:tc>
          <w:tcPr>
            <w:tcW w:w="1731" w:type="dxa"/>
            <w:vAlign w:val="center"/>
            <w:textDirection w:val="lrTb"/>
            <w:noWrap w:val="false"/>
          </w:tcPr>
          <w:p>
            <w:pPr>
              <w:pStyle w:val="1039"/>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团队合作愉快，展馆顺利运营得满分。团队成员意愿低沉或抗拒工作， 每次扣1分。</w:t>
            </w:r>
            <w:r>
              <w:rPr>
                <w:rFonts w:hint="eastAsia" w:ascii="宋体" w:hAnsi="宋体" w:cs="宋体"/>
                <w:color w:val="000000"/>
                <w:sz w:val="21"/>
                <w:szCs w:val="21"/>
              </w:rPr>
            </w:r>
            <w:r/>
          </w:p>
        </w:tc>
      </w:tr>
      <w:tr>
        <w:trPr>
          <w:trHeight w:val="1215"/>
        </w:trPr>
        <w:tc>
          <w:tcPr>
            <w:tcW w:w="834"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r>
            <w:r/>
          </w:p>
        </w:tc>
        <w:tc>
          <w:tcPr>
            <w:tcW w:w="1196"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运营整体质量最优化</w:t>
            </w:r>
            <w:r>
              <w:rPr>
                <w:rFonts w:hint="eastAsia" w:ascii="宋体" w:hAnsi="宋体" w:cs="宋体"/>
                <w:color w:val="000000"/>
                <w:sz w:val="21"/>
                <w:szCs w:val="21"/>
              </w:rPr>
            </w:r>
            <w:r/>
          </w:p>
        </w:tc>
        <w:tc>
          <w:tcPr>
            <w:gridSpan w:val="2"/>
            <w:tcW w:w="750"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gridSpan w:val="2"/>
            <w:tcW w:w="4419" w:type="dxa"/>
            <w:vAlign w:val="center"/>
            <w:textDirection w:val="lrTb"/>
            <w:noWrap w:val="false"/>
          </w:tcPr>
          <w:p>
            <w:pPr>
              <w:pStyle w:val="1039"/>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展馆运营整体质量与展馆运营资料（参观接 待分析表、运营报表、宣传工作报表、软硬 件设备报表等）的归档完整度。</w:t>
            </w:r>
            <w:r>
              <w:rPr>
                <w:rFonts w:hint="eastAsia" w:ascii="宋体" w:hAnsi="宋体" w:cs="宋体"/>
                <w:color w:val="000000"/>
                <w:sz w:val="21"/>
                <w:szCs w:val="21"/>
              </w:rPr>
            </w:r>
            <w:r/>
          </w:p>
        </w:tc>
        <w:tc>
          <w:tcPr>
            <w:tcW w:w="1731" w:type="dxa"/>
            <w:vAlign w:val="center"/>
            <w:textDirection w:val="lrTb"/>
            <w:noWrap w:val="false"/>
          </w:tcPr>
          <w:p>
            <w:pPr>
              <w:pStyle w:val="1039"/>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从展馆运营的实施性、及时率、成本率 3个维度进行考量， 每一项不合格扣1分。</w:t>
            </w:r>
            <w:r>
              <w:rPr>
                <w:rFonts w:hint="eastAsia" w:ascii="宋体" w:hAnsi="宋体" w:cs="宋体"/>
                <w:color w:val="000000"/>
                <w:sz w:val="21"/>
                <w:szCs w:val="21"/>
              </w:rPr>
            </w:r>
            <w:r/>
          </w:p>
        </w:tc>
      </w:tr>
      <w:tr>
        <w:trPr>
          <w:trHeight w:val="926"/>
        </w:trPr>
        <w:tc>
          <w:tcPr>
            <w:tcW w:w="834"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tcW w:w="1196"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务沟通协作流畅度</w:t>
            </w:r>
            <w:r>
              <w:rPr>
                <w:rFonts w:hint="eastAsia" w:ascii="宋体" w:hAnsi="宋体" w:cs="宋体"/>
                <w:color w:val="000000"/>
                <w:sz w:val="21"/>
                <w:szCs w:val="21"/>
              </w:rPr>
            </w:r>
            <w:r/>
          </w:p>
        </w:tc>
        <w:tc>
          <w:tcPr>
            <w:gridSpan w:val="2"/>
            <w:tcW w:w="750"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gridSpan w:val="2"/>
            <w:tcW w:w="4419" w:type="dxa"/>
            <w:vAlign w:val="center"/>
            <w:textDirection w:val="lrTb"/>
            <w:noWrap w:val="false"/>
          </w:tcPr>
          <w:p>
            <w:pPr>
              <w:pStyle w:val="1039"/>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与关联部门间业务沟通协作与解决问题的能 力。</w:t>
            </w:r>
            <w:r>
              <w:rPr>
                <w:rFonts w:hint="eastAsia" w:ascii="宋体" w:hAnsi="宋体" w:cs="宋体"/>
                <w:color w:val="000000"/>
                <w:sz w:val="21"/>
                <w:szCs w:val="21"/>
              </w:rPr>
            </w:r>
            <w:r/>
          </w:p>
        </w:tc>
        <w:tc>
          <w:tcPr>
            <w:tcW w:w="1731" w:type="dxa"/>
            <w:vAlign w:val="center"/>
            <w:textDirection w:val="lrTb"/>
            <w:noWrap w:val="false"/>
          </w:tcPr>
          <w:p>
            <w:pPr>
              <w:pStyle w:val="1039"/>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沟通良好， 迅速解决问题得5分，能基本处理好问题得4分。</w:t>
            </w:r>
            <w:r>
              <w:rPr>
                <w:rFonts w:hint="eastAsia" w:ascii="宋体" w:hAnsi="宋体" w:cs="宋体"/>
                <w:color w:val="000000"/>
                <w:sz w:val="21"/>
                <w:szCs w:val="21"/>
              </w:rPr>
            </w:r>
            <w:r/>
          </w:p>
        </w:tc>
      </w:tr>
      <w:tr>
        <w:trPr>
          <w:trHeight w:val="369"/>
        </w:trPr>
        <w:tc>
          <w:tcPr>
            <w:gridSpan w:val="2"/>
            <w:tcW w:w="2030" w:type="dxa"/>
            <w:vAlign w:val="center"/>
            <w:textDirection w:val="lrTb"/>
            <w:noWrap w:val="false"/>
          </w:tcPr>
          <w:p>
            <w:pPr>
              <w:pStyle w:val="1039"/>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小计</w:t>
            </w:r>
            <w:r>
              <w:rPr>
                <w:rFonts w:hint="eastAsia" w:ascii="宋体" w:hAnsi="宋体" w:cs="宋体"/>
                <w:color w:val="000000"/>
                <w:sz w:val="21"/>
                <w:szCs w:val="21"/>
              </w:rPr>
            </w:r>
            <w:r/>
          </w:p>
        </w:tc>
        <w:tc>
          <w:tcPr>
            <w:gridSpan w:val="2"/>
            <w:tcW w:w="750"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80</w:t>
            </w:r>
            <w:r>
              <w:rPr>
                <w:rFonts w:hint="eastAsia" w:ascii="宋体" w:hAnsi="宋体" w:cs="宋体"/>
                <w:color w:val="000000"/>
                <w:sz w:val="21"/>
                <w:szCs w:val="21"/>
              </w:rPr>
            </w:r>
            <w:r/>
          </w:p>
        </w:tc>
        <w:tc>
          <w:tcPr>
            <w:gridSpan w:val="2"/>
            <w:tcW w:w="4419" w:type="dxa"/>
            <w:vAlign w:val="center"/>
            <w:textDirection w:val="lrTb"/>
            <w:noWrap w:val="false"/>
          </w:tcPr>
          <w:p>
            <w:pPr>
              <w:pStyle w:val="1039"/>
              <w:spacing w:line="240" w:lineRule="exact"/>
              <w:rPr>
                <w:rFonts w:hint="eastAsia" w:ascii="宋体" w:hAnsi="宋体" w:cs="宋体"/>
                <w:color w:val="000000"/>
                <w:sz w:val="21"/>
                <w:szCs w:val="21"/>
              </w:rPr>
            </w:pPr>
            <w:r>
              <w:rPr>
                <w:rFonts w:hint="eastAsia" w:ascii="宋体" w:hAnsi="宋体" w:cs="宋体"/>
                <w:color w:val="000000"/>
                <w:sz w:val="21"/>
                <w:szCs w:val="21"/>
              </w:rPr>
            </w:r>
            <w:r/>
          </w:p>
        </w:tc>
        <w:tc>
          <w:tcPr>
            <w:tcW w:w="1731" w:type="dxa"/>
            <w:vAlign w:val="center"/>
            <w:textDirection w:val="lrTb"/>
            <w:noWrap w:val="false"/>
          </w:tcPr>
          <w:p>
            <w:pPr>
              <w:pStyle w:val="1039"/>
              <w:spacing w:line="240" w:lineRule="exact"/>
              <w:rPr>
                <w:rFonts w:hint="eastAsia" w:ascii="宋体" w:hAnsi="宋体" w:cs="宋体"/>
                <w:color w:val="000000"/>
                <w:sz w:val="21"/>
                <w:szCs w:val="21"/>
              </w:rPr>
            </w:pPr>
            <w:r>
              <w:rPr>
                <w:rFonts w:hint="eastAsia" w:ascii="宋体" w:hAnsi="宋体" w:cs="宋体"/>
                <w:color w:val="000000"/>
                <w:sz w:val="21"/>
                <w:szCs w:val="21"/>
              </w:rPr>
            </w:r>
            <w:r/>
          </w:p>
        </w:tc>
      </w:tr>
      <w:tr>
        <w:trPr>
          <w:trHeight w:val="581"/>
        </w:trPr>
        <w:tc>
          <w:tcPr>
            <w:gridSpan w:val="6"/>
            <w:tcW w:w="7199" w:type="dxa"/>
            <w:vAlign w:val="center"/>
            <w:textDirection w:val="lrTb"/>
            <w:noWrap w:val="false"/>
          </w:tcPr>
          <w:p>
            <w:pPr>
              <w:pStyle w:val="1039"/>
              <w:jc w:val="left"/>
              <w:spacing w:line="2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其它工作指标</w:t>
            </w:r>
            <w:r>
              <w:rPr>
                <w:rFonts w:hint="eastAsia" w:ascii="宋体" w:hAnsi="宋体" w:cs="宋体"/>
                <w:b/>
                <w:bCs/>
                <w:color w:val="000000"/>
                <w:sz w:val="21"/>
                <w:szCs w:val="21"/>
              </w:rPr>
            </w:r>
            <w:r/>
          </w:p>
        </w:tc>
        <w:tc>
          <w:tcPr>
            <w:tcW w:w="1731" w:type="dxa"/>
            <w:vAlign w:val="center"/>
            <w:textDirection w:val="lrTb"/>
            <w:noWrap w:val="false"/>
          </w:tcPr>
          <w:p>
            <w:pPr>
              <w:pStyle w:val="1039"/>
              <w:jc w:val="left"/>
              <w:spacing w:line="2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权重：</w:t>
            </w:r>
            <w:r>
              <w:rPr>
                <w:rFonts w:hint="eastAsia" w:ascii="宋体" w:hAnsi="宋体" w:cs="宋体"/>
                <w:b/>
                <w:bCs/>
                <w:color w:val="000000"/>
                <w:sz w:val="21"/>
                <w:szCs w:val="21"/>
              </w:rPr>
            </w:r>
            <w:r/>
          </w:p>
        </w:tc>
      </w:tr>
      <w:tr>
        <w:trPr>
          <w:trHeight w:val="719"/>
        </w:trPr>
        <w:tc>
          <w:tcPr>
            <w:tcW w:w="834" w:type="dxa"/>
            <w:vAlign w:val="center"/>
            <w:textDirection w:val="lrTb"/>
            <w:noWrap w:val="false"/>
          </w:tcPr>
          <w:p>
            <w:pPr>
              <w:pStyle w:val="1039"/>
              <w:jc w:val="center"/>
              <w:spacing w:line="2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序号</w:t>
            </w:r>
            <w:r>
              <w:rPr>
                <w:rFonts w:hint="eastAsia" w:ascii="宋体" w:hAnsi="宋体" w:cs="宋体"/>
                <w:b/>
                <w:bCs/>
                <w:color w:val="000000"/>
                <w:sz w:val="21"/>
                <w:szCs w:val="21"/>
              </w:rPr>
            </w:r>
            <w:r/>
          </w:p>
        </w:tc>
        <w:tc>
          <w:tcPr>
            <w:gridSpan w:val="2"/>
            <w:tcW w:w="1400" w:type="dxa"/>
            <w:vAlign w:val="center"/>
            <w:textDirection w:val="lrTb"/>
            <w:noWrap w:val="false"/>
          </w:tcPr>
          <w:p>
            <w:pPr>
              <w:pStyle w:val="1039"/>
              <w:jc w:val="center"/>
              <w:spacing w:line="2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目标名称</w:t>
            </w:r>
            <w:r>
              <w:rPr>
                <w:rFonts w:hint="eastAsia" w:ascii="宋体" w:hAnsi="宋体" w:cs="宋体"/>
                <w:b/>
                <w:bCs/>
                <w:color w:val="000000"/>
                <w:sz w:val="21"/>
                <w:szCs w:val="21"/>
              </w:rPr>
            </w:r>
            <w:r/>
          </w:p>
        </w:tc>
        <w:tc>
          <w:tcPr>
            <w:gridSpan w:val="2"/>
            <w:tcW w:w="940" w:type="dxa"/>
            <w:vAlign w:val="center"/>
            <w:textDirection w:val="lrTb"/>
            <w:noWrap w:val="false"/>
          </w:tcPr>
          <w:p>
            <w:pPr>
              <w:pStyle w:val="1039"/>
              <w:jc w:val="center"/>
              <w:spacing w:line="2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权重</w:t>
            </w:r>
            <w:r>
              <w:rPr>
                <w:rFonts w:hint="eastAsia" w:ascii="宋体" w:hAnsi="宋体" w:cs="宋体"/>
                <w:b/>
                <w:bCs/>
                <w:color w:val="000000"/>
                <w:sz w:val="21"/>
                <w:szCs w:val="21"/>
              </w:rPr>
            </w:r>
            <w:r/>
          </w:p>
        </w:tc>
        <w:tc>
          <w:tcPr>
            <w:tcW w:w="4025" w:type="dxa"/>
            <w:vAlign w:val="center"/>
            <w:textDirection w:val="lrTb"/>
            <w:noWrap w:val="false"/>
          </w:tcPr>
          <w:p>
            <w:pPr>
              <w:pStyle w:val="1039"/>
              <w:jc w:val="center"/>
              <w:spacing w:line="2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工作目标内容</w:t>
            </w:r>
            <w:r>
              <w:rPr>
                <w:rFonts w:hint="eastAsia" w:ascii="宋体" w:hAnsi="宋体" w:cs="宋体"/>
                <w:b/>
                <w:bCs/>
                <w:color w:val="000000"/>
                <w:sz w:val="21"/>
                <w:szCs w:val="21"/>
              </w:rPr>
            </w:r>
            <w:r/>
          </w:p>
        </w:tc>
        <w:tc>
          <w:tcPr>
            <w:tcW w:w="1731" w:type="dxa"/>
            <w:vAlign w:val="center"/>
            <w:textDirection w:val="lrTb"/>
            <w:noWrap w:val="false"/>
          </w:tcPr>
          <w:p>
            <w:pPr>
              <w:pStyle w:val="1039"/>
              <w:jc w:val="center"/>
              <w:spacing w:line="24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考核标准说明</w:t>
            </w:r>
            <w:r>
              <w:rPr>
                <w:rFonts w:hint="eastAsia" w:ascii="宋体" w:hAnsi="宋体" w:cs="宋体"/>
                <w:b/>
                <w:bCs/>
                <w:color w:val="000000"/>
                <w:sz w:val="21"/>
                <w:szCs w:val="21"/>
              </w:rPr>
            </w:r>
            <w:r/>
          </w:p>
        </w:tc>
      </w:tr>
      <w:tr>
        <w:trPr>
          <w:trHeight w:val="1276"/>
        </w:trPr>
        <w:tc>
          <w:tcPr>
            <w:tcW w:w="834"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gridSpan w:val="2"/>
            <w:tcW w:w="1400"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领导能力</w:t>
            </w:r>
            <w:r>
              <w:rPr>
                <w:rFonts w:hint="eastAsia" w:ascii="宋体" w:hAnsi="宋体" w:cs="宋体"/>
                <w:color w:val="000000"/>
                <w:sz w:val="21"/>
                <w:szCs w:val="21"/>
              </w:rPr>
            </w:r>
            <w:r/>
          </w:p>
        </w:tc>
        <w:tc>
          <w:tcPr>
            <w:gridSpan w:val="2"/>
            <w:tcW w:w="940"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tcW w:w="4025" w:type="dxa"/>
            <w:vAlign w:val="center"/>
            <w:textDirection w:val="lrTb"/>
            <w:noWrap w:val="false"/>
          </w:tcPr>
          <w:p>
            <w:pPr>
              <w:pStyle w:val="1039"/>
              <w:jc w:val="left"/>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整合资源，合理安排部署工作，提升员工士 气，达成目标计划。</w:t>
            </w:r>
            <w:r>
              <w:rPr>
                <w:rFonts w:hint="eastAsia" w:ascii="宋体" w:hAnsi="宋体" w:cs="宋体"/>
                <w:color w:val="000000"/>
                <w:sz w:val="21"/>
                <w:szCs w:val="21"/>
              </w:rPr>
            </w:r>
            <w:r/>
          </w:p>
        </w:tc>
        <w:tc>
          <w:tcPr>
            <w:tcW w:w="1731"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完全胜任得5 分，较好胜任 得4分，基本 胜任得3分。</w:t>
            </w:r>
            <w:r>
              <w:rPr>
                <w:rFonts w:hint="eastAsia" w:ascii="宋体" w:hAnsi="宋体" w:cs="宋体"/>
                <w:color w:val="000000"/>
                <w:sz w:val="21"/>
                <w:szCs w:val="21"/>
              </w:rPr>
            </w:r>
            <w:r/>
          </w:p>
        </w:tc>
      </w:tr>
      <w:tr>
        <w:trPr>
          <w:trHeight w:val="1221"/>
        </w:trPr>
        <w:tc>
          <w:tcPr>
            <w:tcW w:w="834"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gridSpan w:val="2"/>
            <w:tcW w:w="1400"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专业与学习 能力</w:t>
            </w:r>
            <w:r>
              <w:rPr>
                <w:rFonts w:hint="eastAsia" w:ascii="宋体" w:hAnsi="宋体" w:cs="宋体"/>
                <w:color w:val="000000"/>
                <w:sz w:val="21"/>
                <w:szCs w:val="21"/>
              </w:rPr>
            </w:r>
            <w:r/>
          </w:p>
        </w:tc>
        <w:tc>
          <w:tcPr>
            <w:gridSpan w:val="2"/>
            <w:tcW w:w="940"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tcW w:w="4025" w:type="dxa"/>
            <w:vAlign w:val="center"/>
            <w:textDirection w:val="lrTb"/>
            <w:noWrap w:val="false"/>
          </w:tcPr>
          <w:p>
            <w:pPr>
              <w:pStyle w:val="1039"/>
              <w:jc w:val="left"/>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掌握工作所需的专业知识、技能、经验，并 不断努力提升自身专业水平。能够主动积极 地开展自我学习，大胆突破创新，并迎接变 化与挑战。</w:t>
            </w:r>
            <w:r>
              <w:rPr>
                <w:rFonts w:hint="eastAsia" w:ascii="宋体" w:hAnsi="宋体" w:cs="宋体"/>
                <w:color w:val="000000"/>
                <w:sz w:val="21"/>
                <w:szCs w:val="21"/>
              </w:rPr>
            </w:r>
            <w:r/>
          </w:p>
        </w:tc>
        <w:tc>
          <w:tcPr>
            <w:tcW w:w="1731"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完全胜任得5 分，较好胜任 得4分，基本 胜任得3分。</w:t>
            </w:r>
            <w:r>
              <w:rPr>
                <w:rFonts w:hint="eastAsia" w:ascii="宋体" w:hAnsi="宋体" w:cs="宋体"/>
                <w:color w:val="000000"/>
                <w:sz w:val="21"/>
                <w:szCs w:val="21"/>
              </w:rPr>
            </w:r>
            <w:r/>
          </w:p>
        </w:tc>
      </w:tr>
      <w:tr>
        <w:trPr>
          <w:trHeight w:val="861"/>
        </w:trPr>
        <w:tc>
          <w:tcPr>
            <w:tcW w:w="834"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r>
            <w:r/>
          </w:p>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gridSpan w:val="2"/>
            <w:tcW w:w="1400"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r>
            <w:r/>
          </w:p>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工作态度</w:t>
            </w:r>
            <w:r>
              <w:rPr>
                <w:rFonts w:hint="eastAsia" w:ascii="宋体" w:hAnsi="宋体" w:cs="宋体"/>
                <w:color w:val="000000"/>
                <w:sz w:val="21"/>
                <w:szCs w:val="21"/>
              </w:rPr>
            </w:r>
            <w:r/>
          </w:p>
        </w:tc>
        <w:tc>
          <w:tcPr>
            <w:gridSpan w:val="2"/>
            <w:tcW w:w="940"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r>
            <w:r/>
          </w:p>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tcW w:w="4025" w:type="dxa"/>
            <w:vAlign w:val="center"/>
            <w:textDirection w:val="lrTb"/>
            <w:noWrap w:val="false"/>
          </w:tcPr>
          <w:p>
            <w:pPr>
              <w:pStyle w:val="1039"/>
              <w:jc w:val="left"/>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能够主动积极地思考钻研工作，并始终保持 良好的工作激情。</w:t>
            </w:r>
            <w:r>
              <w:rPr>
                <w:rFonts w:hint="eastAsia" w:ascii="宋体" w:hAnsi="宋体" w:cs="宋体"/>
                <w:color w:val="000000"/>
                <w:sz w:val="21"/>
                <w:szCs w:val="21"/>
              </w:rPr>
            </w:r>
            <w:r/>
          </w:p>
        </w:tc>
        <w:tc>
          <w:tcPr>
            <w:tcW w:w="1731"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杰出得5分， 优秀得4分， 良好得3分。</w:t>
            </w:r>
            <w:r>
              <w:rPr>
                <w:rFonts w:hint="eastAsia" w:ascii="宋体" w:hAnsi="宋体" w:cs="宋体"/>
                <w:color w:val="000000"/>
                <w:sz w:val="21"/>
                <w:szCs w:val="21"/>
              </w:rPr>
            </w:r>
            <w:r/>
          </w:p>
        </w:tc>
      </w:tr>
      <w:tr>
        <w:trPr>
          <w:trHeight w:val="1327"/>
        </w:trPr>
        <w:tc>
          <w:tcPr>
            <w:tcW w:w="834"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r>
            <w:r/>
          </w:p>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r>
            <w:r/>
          </w:p>
        </w:tc>
        <w:tc>
          <w:tcPr>
            <w:gridSpan w:val="2"/>
            <w:tcW w:w="1400"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人员梯队建设</w:t>
            </w:r>
            <w:r>
              <w:rPr>
                <w:rFonts w:hint="eastAsia" w:ascii="宋体" w:hAnsi="宋体" w:cs="宋体"/>
                <w:color w:val="000000"/>
                <w:sz w:val="21"/>
                <w:szCs w:val="21"/>
              </w:rPr>
            </w:r>
            <w:r/>
          </w:p>
        </w:tc>
        <w:tc>
          <w:tcPr>
            <w:gridSpan w:val="2"/>
            <w:tcW w:w="940"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tcW w:w="4025" w:type="dxa"/>
            <w:vAlign w:val="center"/>
            <w:textDirection w:val="lrTb"/>
            <w:noWrap w:val="false"/>
          </w:tcPr>
          <w:p>
            <w:pPr>
              <w:pStyle w:val="1039"/>
              <w:jc w:val="left"/>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对于下属能力提升、职业规划的能力。</w:t>
            </w:r>
            <w:r>
              <w:rPr>
                <w:rFonts w:hint="eastAsia" w:ascii="宋体" w:hAnsi="宋体" w:cs="宋体"/>
                <w:color w:val="000000"/>
                <w:sz w:val="21"/>
                <w:szCs w:val="21"/>
              </w:rPr>
            </w:r>
            <w:r/>
          </w:p>
        </w:tc>
        <w:tc>
          <w:tcPr>
            <w:tcW w:w="1731"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按照培养规  划，员工按其 完全达到培养要求得5分，基本达到得4分。</w:t>
            </w:r>
            <w:r>
              <w:rPr>
                <w:rFonts w:hint="eastAsia" w:ascii="宋体" w:hAnsi="宋体" w:cs="宋体"/>
                <w:color w:val="000000"/>
                <w:sz w:val="21"/>
                <w:szCs w:val="21"/>
              </w:rPr>
            </w:r>
            <w:r/>
          </w:p>
        </w:tc>
      </w:tr>
      <w:tr>
        <w:trPr>
          <w:trHeight w:val="607"/>
        </w:trPr>
        <w:tc>
          <w:tcPr>
            <w:gridSpan w:val="3"/>
            <w:tcW w:w="2234"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小计</w:t>
            </w:r>
            <w:r>
              <w:rPr>
                <w:rFonts w:hint="eastAsia" w:ascii="宋体" w:hAnsi="宋体" w:cs="宋体"/>
                <w:color w:val="000000"/>
                <w:sz w:val="21"/>
                <w:szCs w:val="21"/>
              </w:rPr>
            </w:r>
            <w:r/>
          </w:p>
        </w:tc>
        <w:tc>
          <w:tcPr>
            <w:gridSpan w:val="2"/>
            <w:tcW w:w="940"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20</w:t>
            </w:r>
            <w:r>
              <w:rPr>
                <w:rFonts w:hint="eastAsia" w:ascii="宋体" w:hAnsi="宋体" w:cs="宋体"/>
                <w:color w:val="000000"/>
                <w:sz w:val="21"/>
                <w:szCs w:val="21"/>
              </w:rPr>
            </w:r>
            <w:r/>
          </w:p>
        </w:tc>
        <w:tc>
          <w:tcPr>
            <w:tcW w:w="4025"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r>
            <w:r/>
          </w:p>
        </w:tc>
        <w:tc>
          <w:tcPr>
            <w:tcW w:w="1731"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r>
            <w:r/>
          </w:p>
        </w:tc>
      </w:tr>
      <w:tr>
        <w:trPr>
          <w:trHeight w:val="532"/>
        </w:trPr>
        <w:tc>
          <w:tcPr>
            <w:gridSpan w:val="3"/>
            <w:tcW w:w="2234"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总计</w:t>
            </w:r>
            <w:r>
              <w:rPr>
                <w:rFonts w:hint="eastAsia" w:ascii="宋体" w:hAnsi="宋体" w:cs="宋体"/>
                <w:color w:val="000000"/>
                <w:sz w:val="21"/>
                <w:szCs w:val="21"/>
              </w:rPr>
            </w:r>
            <w:r/>
          </w:p>
        </w:tc>
        <w:tc>
          <w:tcPr>
            <w:gridSpan w:val="2"/>
            <w:tcW w:w="940"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100</w:t>
            </w:r>
            <w:r>
              <w:rPr>
                <w:rFonts w:hint="eastAsia" w:ascii="宋体" w:hAnsi="宋体" w:cs="宋体"/>
                <w:color w:val="000000"/>
                <w:sz w:val="21"/>
                <w:szCs w:val="21"/>
              </w:rPr>
            </w:r>
            <w:r/>
          </w:p>
        </w:tc>
        <w:tc>
          <w:tcPr>
            <w:gridSpan w:val="2"/>
            <w:tcW w:w="5756" w:type="dxa"/>
            <w:vAlign w:val="center"/>
            <w:textDirection w:val="lrTb"/>
            <w:noWrap w:val="false"/>
          </w:tcPr>
          <w:p>
            <w:pPr>
              <w:pStyle w:val="1039"/>
              <w:jc w:val="center"/>
              <w:spacing w:line="240" w:lineRule="exact"/>
              <w:rPr>
                <w:rFonts w:hint="eastAsia" w:ascii="宋体" w:hAnsi="宋体" w:cs="宋体"/>
                <w:color w:val="000000"/>
                <w:sz w:val="21"/>
                <w:szCs w:val="21"/>
              </w:rPr>
            </w:pPr>
            <w:r>
              <w:rPr>
                <w:rFonts w:hint="eastAsia" w:ascii="宋体" w:hAnsi="宋体" w:cs="宋体"/>
                <w:color w:val="000000"/>
                <w:sz w:val="21"/>
                <w:szCs w:val="21"/>
              </w:rPr>
            </w:r>
            <w:r/>
          </w:p>
        </w:tc>
      </w:tr>
      <w:tr>
        <w:trPr>
          <w:trHeight w:val="1075"/>
        </w:trPr>
        <w:tc>
          <w:tcPr>
            <w:gridSpan w:val="7"/>
            <w:tcW w:w="8930" w:type="dxa"/>
            <w:vAlign w:val="top"/>
            <w:textDirection w:val="lrTb"/>
            <w:noWrap w:val="false"/>
          </w:tcPr>
          <w:p>
            <w:pPr>
              <w:pStyle w:val="1039"/>
              <w:jc w:val="left"/>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注：最终成绩由个人评分占比20%,直接上级评分40%，领导占比40%组成。</w:t>
            </w:r>
            <w:r>
              <w:rPr>
                <w:rFonts w:hint="eastAsia" w:ascii="宋体" w:hAnsi="宋体" w:cs="宋体"/>
                <w:color w:val="000000"/>
                <w:sz w:val="21"/>
                <w:szCs w:val="21"/>
              </w:rPr>
            </w:r>
            <w:r/>
          </w:p>
          <w:p>
            <w:pPr>
              <w:pStyle w:val="1039"/>
              <w:jc w:val="left"/>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最终成绩低于80分，单位有权利要求其改进，如实施改进计划后仍然无法达到指标要求，将视为不能达到岗位要求，责任人接受包括换岗、降薪、主动辞职、解聘等在内的解决方案。最终成绩低于60分，责任人接受主动辞职、解聘等在内的解决方案。</w:t>
            </w:r>
            <w:r>
              <w:rPr>
                <w:rFonts w:hint="eastAsia" w:ascii="宋体" w:hAnsi="宋体" w:cs="宋体"/>
                <w:color w:val="000000"/>
                <w:sz w:val="21"/>
                <w:szCs w:val="21"/>
              </w:rPr>
            </w:r>
            <w:r/>
          </w:p>
        </w:tc>
      </w:tr>
    </w:tbl>
    <w:p>
      <w:pPr>
        <w:pStyle w:val="1039"/>
        <w:ind w:right="-10"/>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893"/>
        <w:ind w:firstLine="420"/>
        <w:jc w:val="center"/>
        <w:keepLines w:val="0"/>
        <w:keepNext w:val="0"/>
        <w:pageBreakBefore w:val="0"/>
        <w:spacing w:after="0"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宿迁智能城市科技馆运营考核办法（试行）</w:t>
      </w:r>
      <w:r>
        <w:rPr>
          <w:rFonts w:hint="eastAsia" w:ascii="宋体" w:hAnsi="宋体" w:eastAsia="宋体" w:cs="宋体"/>
          <w:color w:val="000000"/>
          <w:sz w:val="21"/>
          <w:szCs w:val="21"/>
          <w:lang w:val="en-US" w:eastAsia="zh-CN" w:bidi="ar-SA"/>
        </w:rPr>
      </w:r>
      <w:r/>
    </w:p>
    <w:p>
      <w:pPr>
        <w:pStyle w:val="893"/>
        <w:ind w:firstLine="420"/>
        <w:keepLines w:val="0"/>
        <w:keepNext w:val="0"/>
        <w:pageBreakBefore w:val="0"/>
        <w:spacing w:after="0" w:line="56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为了建立健全宿迁智能城市科技馆（以下简称科技馆）考核机制，完善科技馆管理运营体系，宿迁市数字化城市管理监督指挥中心根据《宿迁智能城市科技馆政府采购合同》和《宿迁市智能城市科技馆年度运营服务项目响应文件》中绩效指标每月对科技馆运营的各项工作进行考核并落实绩效，以此来调动运营管理人员的工作积极性，改进科技馆运营管理水平，打造优质化的服务。</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560" w:lineRule="exact"/>
        <w:widowControl/>
        <w:rPr>
          <w:rFonts w:hint="eastAsia" w:ascii="宋体" w:hAnsi="宋体" w:eastAsia="宋体" w:cs="宋体"/>
          <w:color w:val="000000"/>
          <w:sz w:val="21"/>
          <w:szCs w:val="21"/>
          <w:lang w:val="en-US" w:eastAsia="zh-CN" w:bidi="ar-SA"/>
        </w:rPr>
        <w:outlineLvl w:val="1"/>
      </w:pPr>
      <w:r/>
      <w:bookmarkStart w:id="122" w:name="_Toc4645"/>
      <w:r/>
      <w:bookmarkStart w:id="123" w:name="_Toc11945"/>
      <w:r>
        <w:rPr>
          <w:rFonts w:hint="eastAsia" w:ascii="宋体" w:hAnsi="宋体" w:eastAsia="宋体" w:cs="宋体"/>
          <w:color w:val="000000"/>
          <w:sz w:val="21"/>
          <w:szCs w:val="21"/>
          <w:lang w:val="en-US" w:eastAsia="zh-CN" w:bidi="ar-SA"/>
        </w:rPr>
        <w:t xml:space="preserve">一、考核对象</w:t>
      </w:r>
      <w:bookmarkEnd w:id="122"/>
      <w:r/>
      <w:bookmarkEnd w:id="123"/>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56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宿迁智能城市科技馆运营服务团队</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560" w:lineRule="exact"/>
        <w:widowControl/>
        <w:rPr>
          <w:rFonts w:hint="eastAsia" w:ascii="宋体" w:hAnsi="宋体" w:eastAsia="宋体" w:cs="宋体"/>
          <w:color w:val="000000"/>
          <w:sz w:val="21"/>
          <w:szCs w:val="21"/>
          <w:lang w:val="en-US" w:eastAsia="zh-CN" w:bidi="ar-SA"/>
        </w:rPr>
        <w:outlineLvl w:val="1"/>
      </w:pPr>
      <w:r/>
      <w:bookmarkStart w:id="124" w:name="_Toc29235"/>
      <w:r/>
      <w:bookmarkStart w:id="125" w:name="_Toc18828"/>
      <w:r>
        <w:rPr>
          <w:rFonts w:hint="eastAsia" w:ascii="宋体" w:hAnsi="宋体" w:eastAsia="宋体" w:cs="宋体"/>
          <w:color w:val="000000"/>
          <w:sz w:val="21"/>
          <w:szCs w:val="21"/>
          <w:lang w:val="en-US" w:eastAsia="zh-CN" w:bidi="ar-SA"/>
        </w:rPr>
        <w:t xml:space="preserve">二、考核组织</w:t>
      </w:r>
      <w:bookmarkEnd w:id="124"/>
      <w:r/>
      <w:bookmarkEnd w:id="125"/>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56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考核组织由中心领导组总牵头，各处室参与综合考核打分，每月汇总，年度总评。</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（一）领导组</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组　长：综合考评处负责人</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副组长：指挥派遣处、监督管理处、技术保障处负责人。</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组　员：各处室考评工作具体责任人。</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560" w:lineRule="exact"/>
        <w:rPr>
          <w:rFonts w:hint="eastAsia" w:ascii="宋体" w:hAnsi="宋体" w:eastAsia="宋体" w:cs="宋体"/>
          <w:color w:val="000000"/>
          <w:sz w:val="21"/>
          <w:szCs w:val="21"/>
          <w:lang w:val="en-US" w:eastAsia="zh-CN" w:bidi="ar-SA"/>
        </w:rPr>
        <w:outlineLvl w:val="1"/>
      </w:pPr>
      <w:r/>
      <w:bookmarkStart w:id="126" w:name="_Toc636"/>
      <w:r/>
      <w:bookmarkStart w:id="127" w:name="_Toc13577"/>
      <w:r>
        <w:rPr>
          <w:rFonts w:hint="eastAsia" w:ascii="宋体" w:hAnsi="宋体" w:eastAsia="宋体" w:cs="宋体"/>
          <w:color w:val="000000"/>
          <w:sz w:val="21"/>
          <w:szCs w:val="21"/>
          <w:lang w:val="en-US" w:eastAsia="zh-CN" w:bidi="ar-SA"/>
        </w:rPr>
        <w:t xml:space="preserve">三、考核方式</w:t>
      </w:r>
      <w:bookmarkEnd w:id="126"/>
      <w:r/>
      <w:bookmarkEnd w:id="127"/>
      <w:r>
        <w:rPr>
          <w:rFonts w:hint="eastAsia" w:ascii="宋体" w:hAnsi="宋体" w:eastAsia="宋体" w:cs="宋体"/>
          <w:color w:val="000000"/>
          <w:sz w:val="21"/>
          <w:szCs w:val="21"/>
          <w:lang w:val="en-US" w:eastAsia="zh-CN" w:bidi="ar-SA"/>
        </w:rPr>
      </w:r>
      <w:r/>
    </w:p>
    <w:p>
      <w:pPr>
        <w:pStyle w:val="893"/>
        <w:ind w:firstLine="420"/>
        <w:keepLines w:val="0"/>
        <w:keepNext w:val="0"/>
        <w:pageBreakBefore w:val="0"/>
        <w:spacing w:line="560" w:lineRule="exact"/>
        <w:shd w:val="clear" w:color="auto" w:fill="ffff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实行百分制考核。考核分为月度考核与年度考核。针对科技馆的六项评价指标进行考核，分别为参观安全、服务管理水平、每日开闭馆工作、宣传推广、外部评价、年度考核指标等进行考核打分，按考核周期汇总考核分数，形成科技馆运营团队整体得分，依照得分情况兑现绩效考核。年度考核服务费基数为年度服务费的10%。月度考核服务基数为年度服务费的7.5%。</w:t>
      </w:r>
      <w:r>
        <w:rPr>
          <w:rFonts w:hint="eastAsia" w:ascii="宋体" w:hAnsi="宋体" w:eastAsia="宋体" w:cs="宋体"/>
          <w:color w:val="000000"/>
          <w:sz w:val="21"/>
          <w:szCs w:val="21"/>
          <w:lang w:val="en-US" w:eastAsia="zh-CN" w:bidi="ar-SA"/>
        </w:rPr>
      </w:r>
      <w:r/>
    </w:p>
    <w:p>
      <w:pPr>
        <w:pStyle w:val="893"/>
        <w:ind w:firstLine="420"/>
        <w:keepLines w:val="0"/>
        <w:keepNext w:val="0"/>
        <w:pageBreakBefore w:val="0"/>
        <w:spacing w:line="560" w:lineRule="exact"/>
        <w:shd w:val="clear" w:color="auto" w:fill="ffff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（一）月度考核</w:t>
      </w:r>
      <w:r>
        <w:rPr>
          <w:rFonts w:hint="eastAsia" w:ascii="宋体" w:hAnsi="宋体" w:eastAsia="宋体" w:cs="宋体"/>
          <w:color w:val="000000"/>
          <w:sz w:val="21"/>
          <w:szCs w:val="21"/>
          <w:lang w:val="en-US" w:eastAsia="zh-CN" w:bidi="ar-SA"/>
        </w:rPr>
      </w:r>
      <w:r/>
    </w:p>
    <w:p>
      <w:pPr>
        <w:pStyle w:val="1041"/>
        <w:ind w:firstLine="420"/>
        <w:jc w:val="both"/>
        <w:keepLines w:val="0"/>
        <w:keepNext w:val="0"/>
        <w:pageBreakBefore w:val="0"/>
        <w:spacing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月度绩效考核满分为100分，服务期内考核小组每月组织月度服务质量评价会，以月度服务费基数对照得分情况按比例支付，分数≥95，按照100%支付；90≤分数＜95，按照98%支付；80≤分数＜90，按照95%支付，70≤分数＜80，按照90%支付，60≤分数＜70，按照80%支付，分数＜60，按照70%支付。</w:t>
      </w:r>
      <w:r>
        <w:rPr>
          <w:rFonts w:hint="eastAsia" w:ascii="宋体" w:hAnsi="宋体" w:eastAsia="宋体" w:cs="宋体"/>
          <w:color w:val="000000"/>
          <w:sz w:val="21"/>
          <w:szCs w:val="21"/>
          <w:lang w:val="en-US" w:eastAsia="zh-CN" w:bidi="ar-SA"/>
        </w:rPr>
      </w:r>
      <w:r/>
    </w:p>
    <w:p>
      <w:pPr>
        <w:pStyle w:val="1041"/>
        <w:ind w:firstLine="420"/>
        <w:jc w:val="both"/>
        <w:keepLines w:val="0"/>
        <w:keepNext w:val="0"/>
        <w:pageBreakBefore w:val="0"/>
        <w:spacing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月度考核周期结束十日内向考核对象公示考评结果。</w:t>
      </w:r>
      <w:r>
        <w:rPr>
          <w:rFonts w:hint="eastAsia" w:ascii="宋体" w:hAnsi="宋体" w:eastAsia="宋体" w:cs="宋体"/>
          <w:color w:val="000000"/>
          <w:sz w:val="21"/>
          <w:szCs w:val="21"/>
          <w:lang w:val="en-US" w:eastAsia="zh-CN" w:bidi="ar-SA"/>
        </w:rPr>
      </w:r>
      <w:r/>
    </w:p>
    <w:p>
      <w:pPr>
        <w:pStyle w:val="1041"/>
        <w:ind w:firstLine="420"/>
        <w:jc w:val="both"/>
        <w:keepLines w:val="0"/>
        <w:keepNext w:val="0"/>
        <w:pageBreakBefore w:val="0"/>
        <w:spacing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（二）年度考核</w:t>
      </w:r>
      <w:r>
        <w:rPr>
          <w:rFonts w:hint="eastAsia" w:ascii="宋体" w:hAnsi="宋体" w:eastAsia="宋体" w:cs="宋体"/>
          <w:color w:val="000000"/>
          <w:sz w:val="21"/>
          <w:szCs w:val="21"/>
          <w:lang w:val="en-US" w:eastAsia="zh-CN" w:bidi="ar-SA"/>
        </w:rPr>
      </w:r>
      <w:r/>
    </w:p>
    <w:p>
      <w:pPr>
        <w:pStyle w:val="1041"/>
        <w:ind w:firstLine="420"/>
        <w:jc w:val="both"/>
        <w:keepLines w:val="0"/>
        <w:keepNext w:val="0"/>
        <w:pageBreakBefore w:val="0"/>
        <w:spacing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年度绩效考核满分100分，以年度考核服务费基数对照得分情况按月度考核打分比例支付。</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560" w:lineRule="exact"/>
        <w:rPr>
          <w:rFonts w:hint="eastAsia" w:ascii="宋体" w:hAnsi="宋体" w:eastAsia="宋体" w:cs="宋体"/>
          <w:color w:val="000000"/>
          <w:sz w:val="21"/>
          <w:szCs w:val="21"/>
          <w:lang w:val="en-US" w:eastAsia="zh-CN" w:bidi="ar-SA"/>
        </w:rPr>
        <w:outlineLvl w:val="1"/>
      </w:pPr>
      <w:r/>
      <w:bookmarkStart w:id="128" w:name="_Toc6838"/>
      <w:r/>
      <w:bookmarkStart w:id="129" w:name="_Toc23377"/>
      <w:r>
        <w:rPr>
          <w:rFonts w:hint="eastAsia" w:ascii="宋体" w:hAnsi="宋体" w:eastAsia="宋体" w:cs="宋体"/>
          <w:color w:val="000000"/>
          <w:sz w:val="21"/>
          <w:szCs w:val="21"/>
          <w:lang w:val="en-US" w:eastAsia="zh-CN" w:bidi="ar-SA"/>
        </w:rPr>
        <w:t xml:space="preserve">四、月度考核细则</w:t>
      </w:r>
      <w:bookmarkEnd w:id="128"/>
      <w:r/>
      <w:bookmarkEnd w:id="129"/>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（一）参观安全</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安全是参观者参观展览的最基本的需求，科技馆有责任保障参观者的参观安全。在科技馆运行或教育活动的实施中，必须将安全作为第一考量的原则，避免危险事件的发生。</w:t>
      </w:r>
      <w:r>
        <w:rPr>
          <w:rFonts w:hint="eastAsia" w:ascii="宋体" w:hAnsi="宋体" w:eastAsia="宋体" w:cs="宋体"/>
          <w:color w:val="000000"/>
          <w:sz w:val="21"/>
          <w:szCs w:val="21"/>
          <w:lang w:val="en-US" w:eastAsia="zh-CN" w:bidi="ar-SA"/>
        </w:rPr>
      </w:r>
      <w:r/>
    </w:p>
    <w:p>
      <w:pPr>
        <w:pStyle w:val="1041"/>
        <w:ind w:firstLine="420"/>
        <w:jc w:val="both"/>
        <w:keepLines w:val="0"/>
        <w:keepNext w:val="0"/>
        <w:pageBreakBefore w:val="0"/>
        <w:spacing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根据观众参观流量和实际运行中出现的问题，合理设置、调配一定数量的工作人员进行看护，协助参观者体验展项，防止意外事故出现。老年人、儿童、孕妇、残疾人等特殊群体观众，须由成人全程监护陪同参观，并谨慎选择适合自己的参观项目。有1项工作未达要求的，扣1分。</w:t>
      </w:r>
      <w:r>
        <w:rPr>
          <w:rFonts w:hint="eastAsia" w:ascii="宋体" w:hAnsi="宋体" w:eastAsia="宋体" w:cs="宋体"/>
          <w:color w:val="000000"/>
          <w:sz w:val="21"/>
          <w:szCs w:val="21"/>
          <w:lang w:val="en-US" w:eastAsia="zh-CN" w:bidi="ar-SA"/>
        </w:rPr>
      </w:r>
      <w:r/>
    </w:p>
    <w:p>
      <w:pPr>
        <w:pStyle w:val="1041"/>
        <w:ind w:firstLine="420"/>
        <w:jc w:val="both"/>
        <w:keepLines w:val="0"/>
        <w:keepNext w:val="0"/>
        <w:pageBreakBefore w:val="0"/>
        <w:spacing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（二）服务管理水平 </w:t>
      </w:r>
      <w:r>
        <w:rPr>
          <w:rFonts w:hint="eastAsia" w:ascii="宋体" w:hAnsi="宋体" w:eastAsia="宋体" w:cs="宋体"/>
          <w:color w:val="000000"/>
          <w:sz w:val="21"/>
          <w:szCs w:val="21"/>
          <w:lang w:val="en-US" w:eastAsia="zh-CN" w:bidi="ar-SA"/>
        </w:rPr>
      </w:r>
      <w:r/>
    </w:p>
    <w:p>
      <w:pPr>
        <w:pStyle w:val="1041"/>
        <w:ind w:firstLine="420"/>
        <w:jc w:val="both"/>
        <w:keepLines w:val="0"/>
        <w:keepNext w:val="0"/>
        <w:pageBreakBefore w:val="0"/>
        <w:spacing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科技馆要把参观者的体验与需求放在第一位，提供必要的服务，确保展览展品的安全稳定运行，保障观众良好的参观秩序和参观环境。</w:t>
      </w:r>
      <w:r>
        <w:rPr>
          <w:rFonts w:hint="eastAsia" w:ascii="宋体" w:hAnsi="宋体" w:eastAsia="宋体" w:cs="宋体"/>
          <w:color w:val="000000"/>
          <w:sz w:val="21"/>
          <w:szCs w:val="21"/>
          <w:lang w:val="en-US" w:eastAsia="zh-CN" w:bidi="ar-SA"/>
        </w:rPr>
      </w:r>
      <w:r/>
    </w:p>
    <w:p>
      <w:pPr>
        <w:pStyle w:val="1041"/>
        <w:ind w:firstLine="420"/>
        <w:jc w:val="both"/>
        <w:keepLines w:val="0"/>
        <w:keepNext w:val="0"/>
        <w:pageBreakBefore w:val="0"/>
        <w:spacing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1.展览教育服务</w:t>
      </w:r>
      <w:r>
        <w:rPr>
          <w:rFonts w:hint="eastAsia" w:ascii="宋体" w:hAnsi="宋体" w:eastAsia="宋体" w:cs="宋体"/>
          <w:color w:val="000000"/>
          <w:sz w:val="21"/>
          <w:szCs w:val="21"/>
          <w:lang w:val="en-US" w:eastAsia="zh-CN" w:bidi="ar-SA"/>
        </w:rPr>
      </w:r>
      <w:r/>
    </w:p>
    <w:p>
      <w:pPr>
        <w:pStyle w:val="893"/>
        <w:ind w:firstLine="420"/>
        <w:keepLines w:val="0"/>
        <w:keepNext w:val="0"/>
        <w:pageBreakBefore w:val="0"/>
        <w:spacing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科技馆的主要教育形式为展览教育，通过科学性、知识性、趣味性相结合的展览内容和参与互动的形式，反映科学原理及技术应用，鼓励公众动手探索实践，工作人员应该协助和保障参观者与展项进行安全、有效的互动。有1项工作未达要求的，扣2分。</w:t>
      </w:r>
      <w:r>
        <w:rPr>
          <w:rFonts w:hint="eastAsia" w:ascii="宋体" w:hAnsi="宋体" w:eastAsia="宋体" w:cs="宋体"/>
          <w:color w:val="000000"/>
          <w:sz w:val="21"/>
          <w:szCs w:val="21"/>
          <w:lang w:val="en-US" w:eastAsia="zh-CN" w:bidi="ar-SA"/>
        </w:rPr>
      </w:r>
      <w:r/>
    </w:p>
    <w:p>
      <w:pPr>
        <w:pStyle w:val="1041"/>
        <w:ind w:firstLine="420"/>
        <w:jc w:val="both"/>
        <w:keepLines w:val="0"/>
        <w:keepNext w:val="0"/>
        <w:pageBreakBefore w:val="0"/>
        <w:spacing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2.各岗位工作职责</w:t>
      </w:r>
      <w:r>
        <w:rPr>
          <w:rFonts w:hint="eastAsia" w:ascii="宋体" w:hAnsi="宋体" w:eastAsia="宋体" w:cs="宋体"/>
          <w:color w:val="000000"/>
          <w:sz w:val="21"/>
          <w:szCs w:val="21"/>
          <w:lang w:val="en-US" w:eastAsia="zh-CN" w:bidi="ar-SA"/>
        </w:rPr>
      </w:r>
      <w:r/>
    </w:p>
    <w:p>
      <w:pPr>
        <w:pStyle w:val="1041"/>
        <w:ind w:firstLine="420"/>
        <w:jc w:val="both"/>
        <w:keepLines w:val="0"/>
        <w:keepNext w:val="0"/>
        <w:pageBreakBefore w:val="0"/>
        <w:spacing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（1）馆长工作职责</w:t>
      </w:r>
      <w:r>
        <w:rPr>
          <w:rFonts w:hint="eastAsia" w:ascii="宋体" w:hAnsi="宋体" w:eastAsia="宋体" w:cs="宋体"/>
          <w:color w:val="000000"/>
          <w:sz w:val="21"/>
          <w:szCs w:val="21"/>
          <w:lang w:val="en-US" w:eastAsia="zh-CN" w:bidi="ar-SA"/>
        </w:rPr>
      </w:r>
      <w:r/>
    </w:p>
    <w:p>
      <w:pPr>
        <w:pStyle w:val="1041"/>
        <w:ind w:firstLine="420"/>
        <w:jc w:val="both"/>
        <w:keepLines w:val="0"/>
        <w:keepNext w:val="0"/>
        <w:pageBreakBefore w:val="0"/>
        <w:spacing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①负责科技</w:t>
      </w:r>
      <w:r>
        <w:rPr>
          <w:rFonts w:hint="eastAsia" w:ascii="宋体" w:hAnsi="宋体" w:eastAsia="宋体" w:cs="宋体"/>
          <w:color w:val="000000"/>
          <w:sz w:val="21"/>
          <w:szCs w:val="21"/>
          <w:lang w:val="en-US" w:eastAsia="zh-CN" w:bidi="ar-SA"/>
        </w:rPr>
        <w:t xml:space="preserve">馆运营运维制度和原则的制定，负责制定科技馆运营运维成本、预算。②负责科技馆的统筹安排和管理，人员管理和绩效考核，讲解员和运维人员的培训。③负责审核参观申请并决定接待等级，审核临时重要参观的绿色通道申请。④负责科技馆日常事务的综合协调工作，包括参观接待方案制定，讲解人员、运维人员日常排班，安全管理、固定资产管理等相关工作。⑤负责科技馆月度和全年活动策划、组织及相关物料的采购和布置，以及活动的宣传推广。⑥做好每日参观接待人数统计与累计人数汇总。⑦负责每月参观情况的汇总；参观来宾的资料统计汇总，形成月度参观总结。</w:t>
      </w:r>
      <w:r>
        <w:rPr>
          <w:rFonts w:hint="eastAsia" w:ascii="宋体" w:hAnsi="宋体" w:eastAsia="宋体" w:cs="宋体"/>
          <w:color w:val="000000"/>
          <w:sz w:val="21"/>
          <w:szCs w:val="21"/>
          <w:lang w:val="en-US" w:eastAsia="zh-CN" w:bidi="ar-SA"/>
        </w:rPr>
      </w:r>
      <w:r/>
    </w:p>
    <w:p>
      <w:pPr>
        <w:pStyle w:val="893"/>
        <w:ind w:firstLine="420"/>
        <w:keepLines w:val="0"/>
        <w:keepNext w:val="0"/>
        <w:pageBreakBefore w:val="0"/>
        <w:spacing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上述有1项工作未达要求的，扣1分。</w:t>
      </w:r>
      <w:r>
        <w:rPr>
          <w:rFonts w:hint="eastAsia" w:ascii="宋体" w:hAnsi="宋体" w:eastAsia="宋体" w:cs="宋体"/>
          <w:color w:val="000000"/>
          <w:sz w:val="21"/>
          <w:szCs w:val="21"/>
          <w:lang w:val="en-US" w:eastAsia="zh-CN" w:bidi="ar-SA"/>
        </w:rPr>
      </w:r>
      <w:r/>
    </w:p>
    <w:p>
      <w:pPr>
        <w:pStyle w:val="1041"/>
        <w:ind w:firstLine="420"/>
        <w:jc w:val="both"/>
        <w:keepLines w:val="0"/>
        <w:keepNext w:val="0"/>
        <w:pageBreakBefore w:val="0"/>
        <w:spacing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（2）讲解员职责</w:t>
      </w:r>
      <w:r>
        <w:rPr>
          <w:rFonts w:hint="eastAsia" w:ascii="宋体" w:hAnsi="宋体" w:eastAsia="宋体" w:cs="宋体"/>
          <w:color w:val="000000"/>
          <w:sz w:val="21"/>
          <w:szCs w:val="21"/>
          <w:lang w:val="en-US" w:eastAsia="zh-CN" w:bidi="ar-SA"/>
        </w:rPr>
      </w:r>
      <w:r/>
    </w:p>
    <w:p>
      <w:pPr>
        <w:pStyle w:val="1041"/>
        <w:ind w:firstLine="420"/>
        <w:jc w:val="both"/>
        <w:keepLines w:val="0"/>
        <w:keepNext w:val="0"/>
        <w:pageBreakBefore w:val="0"/>
        <w:spacing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①根据馆长制定的排班表开展参观接待任务，提前与预约人沟通，了解参观要求，根据客户属性、要求等对参观路</w:t>
      </w:r>
      <w:r>
        <w:rPr>
          <w:rFonts w:hint="eastAsia" w:ascii="宋体" w:hAnsi="宋体" w:eastAsia="宋体" w:cs="宋体"/>
          <w:color w:val="000000"/>
          <w:sz w:val="21"/>
          <w:szCs w:val="21"/>
          <w:lang w:val="en-US" w:eastAsia="zh-CN" w:bidi="ar-SA"/>
        </w:rPr>
        <w:t xml:space="preserve">线和参观时长进行规划，做好参观讲解接待工作。②讲解熟练、不卡顿，及时回答访客问题，解释准确、思路清晰。③在参观前一个小时与运维人员检查参观演示设备的运行状态，保证参观者参观感知良好。④工作期间按规定着装，女讲解员按要求盘发，佩戴得体饰物。提前半小时整理好仪容仪表，于展馆入口处迎接参观者，没有接到参观取消的通知前不得擅自离开。⑤遇重要参观，配备两名讲解员，分为主讲解员、辅助讲解员，主讲负责全场讲解，辅助全场配合主讲进行设备演示、引导、拍照。⑥服务台值班员有事需离开时，由值班讲解员负责服务台工作，严禁出现空岗。</w:t>
      </w:r>
      <w:r>
        <w:rPr>
          <w:rFonts w:hint="eastAsia" w:ascii="宋体" w:hAnsi="宋体" w:eastAsia="宋体" w:cs="宋体"/>
          <w:color w:val="000000"/>
          <w:sz w:val="21"/>
          <w:szCs w:val="21"/>
          <w:lang w:val="en-US" w:eastAsia="zh-CN" w:bidi="ar-SA"/>
        </w:rPr>
      </w:r>
      <w:r/>
    </w:p>
    <w:p>
      <w:pPr>
        <w:pStyle w:val="1041"/>
        <w:ind w:firstLine="420"/>
        <w:jc w:val="both"/>
        <w:keepLines w:val="0"/>
        <w:keepNext w:val="0"/>
        <w:pageBreakBefore w:val="0"/>
        <w:spacing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上述有1项工作未达要求的，扣0.3分。  </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（3）运维人员工作</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①负责科技馆硬件设备、网络及控制系统的日常管理和维护，每日例行巡检，填写</w:t>
      </w:r>
      <w:r>
        <w:rPr>
          <w:rFonts w:hint="eastAsia" w:ascii="宋体" w:hAnsi="宋体" w:eastAsia="宋体" w:cs="宋体"/>
          <w:color w:val="000000"/>
          <w:sz w:val="21"/>
          <w:szCs w:val="21"/>
          <w:lang w:val="en-US" w:eastAsia="zh-CN" w:bidi="ar-SA"/>
        </w:rPr>
        <w:t xml:space="preserve">每日巡检表。②接待前配合讲解员做展前准备，进行设备的启动、调试、运行与系统登录等。③负责各终端和硬件体验设备的摆放，闭馆后的入库保存及保养，定期为各类终端维护，确保参观前的设备电量保证在90%以上。④熟悉场馆内各类设施、展品、硬件的维修方法，出现简单故障可以迅速维修，响应时间5分钟以内，维修时间10分钟以内，保证参观流程。⑤负责展厅固定资产的登记造册与盘点，并建立台账，记录故障处理情况。科技馆所需物料，在仓库指定位置由库管进行保存摆放。如需使用，需进行登记，经库管确认方可使用；使用完毕归还原位，并登记在案。</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上述未按规定执行发现一次扣0.3分。</w:t>
      </w:r>
      <w:r>
        <w:rPr>
          <w:rFonts w:hint="eastAsia" w:ascii="宋体" w:hAnsi="宋体" w:eastAsia="宋体" w:cs="宋体"/>
          <w:color w:val="000000"/>
          <w:sz w:val="21"/>
          <w:szCs w:val="21"/>
          <w:lang w:val="en-US" w:eastAsia="zh-CN" w:bidi="ar-SA"/>
        </w:rPr>
      </w:r>
      <w:r/>
    </w:p>
    <w:p>
      <w:pPr>
        <w:pStyle w:val="1041"/>
        <w:ind w:firstLine="420"/>
        <w:jc w:val="both"/>
        <w:keepLines w:val="0"/>
        <w:keepNext w:val="0"/>
        <w:pageBreakBefore w:val="0"/>
        <w:spacing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 重大接待任务</w:t>
      </w:r>
      <w:r>
        <w:rPr>
          <w:rFonts w:hint="eastAsia" w:ascii="宋体" w:hAnsi="宋体" w:eastAsia="宋体" w:cs="宋体"/>
          <w:color w:val="000000"/>
          <w:sz w:val="21"/>
          <w:szCs w:val="21"/>
          <w:lang w:val="en-US" w:eastAsia="zh-CN" w:bidi="ar-SA"/>
        </w:rPr>
      </w:r>
      <w:r/>
    </w:p>
    <w:p>
      <w:pPr>
        <w:pStyle w:val="1041"/>
        <w:ind w:firstLine="420"/>
        <w:jc w:val="both"/>
        <w:keepLines w:val="0"/>
        <w:keepNext w:val="0"/>
        <w:pageBreakBefore w:val="0"/>
        <w:spacing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重要接待任务要提前部署，制定应急预案。对照科技馆重大活动保障方案，落实对出入口管控、人员参观保障、交通秩序维护、停车服务保障等责任，确保活动顺利进行。有1项工作未达要求的，扣1分。</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（三）每日开闭馆工作</w:t>
      </w:r>
      <w:r>
        <w:rPr>
          <w:rFonts w:hint="eastAsia" w:ascii="宋体" w:hAnsi="宋体" w:eastAsia="宋体" w:cs="宋体"/>
          <w:color w:val="000000"/>
          <w:sz w:val="21"/>
          <w:szCs w:val="21"/>
          <w:lang w:val="en-US" w:eastAsia="zh-CN" w:bidi="ar-SA"/>
        </w:rPr>
      </w:r>
      <w:r/>
    </w:p>
    <w:p>
      <w:pPr>
        <w:pStyle w:val="1041"/>
        <w:ind w:firstLine="420"/>
        <w:jc w:val="both"/>
        <w:keepLines w:val="0"/>
        <w:keepNext w:val="0"/>
        <w:pageBreakBefore w:val="0"/>
        <w:spacing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1.人</w:t>
      </w:r>
      <w:r>
        <w:rPr>
          <w:rFonts w:hint="eastAsia" w:ascii="宋体" w:hAnsi="宋体" w:eastAsia="宋体" w:cs="宋体"/>
          <w:color w:val="000000"/>
          <w:sz w:val="21"/>
          <w:szCs w:val="21"/>
          <w:lang w:val="en-US" w:eastAsia="zh-CN" w:bidi="ar-SA"/>
        </w:rPr>
        <w:t xml:space="preserve">员到岗时间：8:30入场，9:25准备就绪，9:30开馆。2.接待员岗位检查。接待员在所在区域进行准备，开机、测试、卫生检查后，标准站姿迎接游客。3.开馆设备设施检查。运维人员开启展馆设备设施，检查运行状态，确保设备设施正常运行。4.开馆安全检查。运维人员及安保人员对展馆内外进行安全检查。5.闭馆人员岗位检查。闭馆前10分钟，各工作人员对展馆内游客进行清场通知。6.闭馆设备设施检查。运维人员检查设备运行状态，保证正常运行，及时更新升级，闭馆后关闭所有展项电源。如遇设备故障，需要修复处理，及时汇报运维负责人。</w:t>
      </w:r>
      <w:r>
        <w:rPr>
          <w:rFonts w:hint="eastAsia" w:ascii="宋体" w:hAnsi="宋体" w:eastAsia="宋体" w:cs="宋体"/>
          <w:color w:val="000000"/>
          <w:sz w:val="21"/>
          <w:szCs w:val="21"/>
          <w:lang w:val="en-US" w:eastAsia="zh-CN" w:bidi="ar-SA"/>
        </w:rPr>
      </w:r>
      <w:r/>
    </w:p>
    <w:p>
      <w:pPr>
        <w:pStyle w:val="1041"/>
        <w:ind w:firstLine="420"/>
        <w:jc w:val="both"/>
        <w:keepLines w:val="0"/>
        <w:keepNext w:val="0"/>
        <w:pageBreakBefore w:val="0"/>
        <w:spacing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上述未按照要求执行，扣除0.3分/次。</w:t>
      </w:r>
      <w:r>
        <w:rPr>
          <w:rFonts w:hint="eastAsia" w:ascii="宋体" w:hAnsi="宋体" w:eastAsia="宋体" w:cs="宋体"/>
          <w:color w:val="000000"/>
          <w:sz w:val="21"/>
          <w:szCs w:val="21"/>
          <w:lang w:val="en-US" w:eastAsia="zh-CN" w:bidi="ar-SA"/>
        </w:rPr>
      </w:r>
      <w:r/>
    </w:p>
    <w:p>
      <w:pPr>
        <w:pStyle w:val="1041"/>
        <w:ind w:firstLine="420"/>
        <w:jc w:val="both"/>
        <w:keepLines w:val="0"/>
        <w:keepNext w:val="0"/>
        <w:pageBreakBefore w:val="0"/>
        <w:spacing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（四）宣传推广</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1.暑期科普主题活动。每年7月至8月，每月开展一次针对青少年学生的科普主题活动，达到良好的宣传效应，每年策划的青少年科普主题活动不应少于2次，每少一次扣1分。</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2.主题策划活动。围绕全年工作目标，制定年度活动计划，每年组织策划展馆宣传主题活动4次以上，积极邀请省市和各类媒体单位采访报道渲染造势，扩大影响，做好展馆宣传策划。主题活动每少一次扣2分。</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3.活动策划运营宣传</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提供科技馆运营有关的宣传，包括宣传片、宣传册、展牌、礼品袋、纸杯等内容，具体内容按实际要求进行配置、采购。</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（五）外部评价</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1.领导交办问题。对领导发现的问题或提出批评意见每次扣1分。2.参观者反馈意见。科技馆工作人员不得与参观者发生争执，若发生被投诉情况，核实后追究当事人及负责人的责任。每出现1次扣1分。</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（六）年度考核指标</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1.成功开展全年各类活动，得到社会各界好评，每次活动均有媒体报道，参加人员数量大，可加10分。</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 全年各项宣传活动方案详尽，覆盖面广，阅读量和转发量大，助力科技馆推广和引流，可加10分。</w:t>
      </w:r>
      <w:r>
        <w:rPr>
          <w:rFonts w:hint="eastAsia" w:ascii="宋体" w:hAnsi="宋体" w:eastAsia="宋体" w:cs="宋体"/>
          <w:color w:val="000000"/>
          <w:sz w:val="21"/>
          <w:szCs w:val="21"/>
          <w:lang w:val="en-US" w:eastAsia="zh-CN" w:bidi="ar-SA"/>
        </w:rPr>
      </w:r>
      <w:r/>
    </w:p>
    <w:p>
      <w:pPr>
        <w:pStyle w:val="893"/>
        <w:ind w:firstLine="420"/>
        <w:jc w:val="both"/>
        <w:keepLines w:val="0"/>
        <w:keepNext w:val="0"/>
        <w:pageBreakBefore w:val="0"/>
        <w:spacing w:after="0"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3.每年对运营团队进行业务技能培训至少2次，每一次扣10分。</w:t>
      </w:r>
      <w:r>
        <w:rPr>
          <w:rFonts w:hint="eastAsia" w:ascii="宋体" w:hAnsi="宋体" w:eastAsia="宋体" w:cs="宋体"/>
          <w:color w:val="000000"/>
          <w:sz w:val="21"/>
          <w:szCs w:val="21"/>
          <w:lang w:val="en-US" w:eastAsia="zh-CN" w:bidi="ar-SA"/>
        </w:rPr>
      </w:r>
      <w:r/>
    </w:p>
    <w:p>
      <w:pPr>
        <w:pStyle w:val="1039"/>
        <w:ind w:right="-10" w:firstLine="422"/>
        <w:spacing w:line="360" w:lineRule="auto"/>
        <w:rPr>
          <w:rFonts w:hint="eastAsia" w:ascii="宋体" w:hAnsi="宋体" w:cs="宋体"/>
          <w:b/>
          <w:bCs/>
          <w:color w:val="000000"/>
          <w:sz w:val="21"/>
          <w:szCs w:val="21"/>
        </w:rPr>
        <w:outlineLvl w:val="1"/>
      </w:pPr>
      <w:r/>
      <w:bookmarkStart w:id="130" w:name="_Toc24761"/>
      <w:r/>
      <w:bookmarkStart w:id="131" w:name="_Toc10105"/>
      <w:r>
        <w:rPr>
          <w:rFonts w:hint="eastAsia" w:ascii="宋体" w:hAnsi="宋体" w:cs="宋体"/>
          <w:b/>
          <w:bCs/>
          <w:color w:val="000000"/>
          <w:sz w:val="21"/>
          <w:szCs w:val="21"/>
        </w:rPr>
        <w:t xml:space="preserve">八、验收</w:t>
      </w:r>
      <w:bookmarkEnd w:id="130"/>
      <w:r/>
      <w:bookmarkEnd w:id="131"/>
      <w:r>
        <w:rPr>
          <w:rFonts w:hint="eastAsia" w:ascii="宋体" w:hAnsi="宋体" w:cs="宋体"/>
          <w:b/>
          <w:bCs/>
          <w:color w:val="000000"/>
          <w:sz w:val="21"/>
          <w:szCs w:val="21"/>
        </w:rPr>
      </w:r>
      <w:r/>
    </w:p>
    <w:p>
      <w:pPr>
        <w:pStyle w:val="103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采购人在当年度服务期满前30天内，组织专家组考评小组，按照采购合同的约定对供应商履约情况进行验收，按照全年度服务考核考评结果出具当年度服务验收报告并支付当年度剩余款项。</w:t>
      </w:r>
      <w:r>
        <w:rPr>
          <w:rFonts w:hint="eastAsia" w:ascii="宋体" w:hAnsi="宋体" w:cs="宋体"/>
          <w:color w:val="000000"/>
          <w:sz w:val="21"/>
          <w:szCs w:val="21"/>
        </w:rPr>
      </w:r>
      <w:r/>
    </w:p>
    <w:p>
      <w:pPr>
        <w:pStyle w:val="1039"/>
        <w:ind w:right="-10" w:firstLine="422"/>
        <w:spacing w:line="360" w:lineRule="auto"/>
        <w:rPr>
          <w:rFonts w:hint="eastAsia" w:ascii="宋体" w:hAnsi="宋体" w:eastAsia="宋体" w:cs="宋体"/>
          <w:b/>
          <w:bCs/>
          <w:color w:val="000000"/>
          <w:sz w:val="21"/>
          <w:szCs w:val="21"/>
          <w:lang w:val="en-US" w:eastAsia="zh-CN"/>
        </w:rPr>
        <w:outlineLvl w:val="1"/>
      </w:pPr>
      <w:r/>
      <w:bookmarkStart w:id="132" w:name="_Toc14896"/>
      <w:r/>
      <w:bookmarkStart w:id="133" w:name="_Toc11978"/>
      <w:r>
        <w:rPr>
          <w:rFonts w:hint="eastAsia" w:ascii="宋体" w:hAnsi="宋体" w:eastAsia="宋体" w:cs="宋体"/>
          <w:b/>
          <w:bCs/>
          <w:color w:val="000000"/>
          <w:sz w:val="21"/>
          <w:szCs w:val="21"/>
          <w:lang w:val="en-US" w:eastAsia="zh-CN"/>
        </w:rPr>
        <w:t xml:space="preserve">九、项目实施要求</w:t>
      </w:r>
      <w:bookmarkEnd w:id="132"/>
      <w:r/>
      <w:bookmarkEnd w:id="133"/>
      <w:r>
        <w:rPr>
          <w:rFonts w:hint="eastAsia" w:ascii="宋体" w:hAnsi="宋体" w:eastAsia="宋体" w:cs="宋体"/>
          <w:b/>
          <w:bCs/>
          <w:color w:val="000000"/>
          <w:sz w:val="21"/>
          <w:szCs w:val="21"/>
          <w:lang w:val="en-US" w:eastAsia="zh-CN"/>
        </w:rPr>
      </w:r>
      <w:r/>
    </w:p>
    <w:p>
      <w:pPr>
        <w:pStyle w:val="1040"/>
        <w:ind w:firstLine="420"/>
        <w:jc w:val="both"/>
        <w:keepLines w:val="0"/>
        <w:keepNext w:val="0"/>
        <w:pageBreakBefore w:val="0"/>
        <w:spacing w:line="440" w:lineRule="exact"/>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投标人对本项目采购需求提供针对本项目的实施方案包括但不限于：运营方案、宣传推广方案、重大活动保障方案、活动策划方案、内部考核制度、成本及费用测算合理性、售后服务方案等。</w:t>
      </w:r>
      <w:r>
        <w:rPr>
          <w:rFonts w:hint="eastAsia" w:ascii="宋体" w:hAnsi="宋体" w:cs="宋体"/>
          <w:color w:val="000000"/>
          <w:sz w:val="21"/>
          <w:szCs w:val="21"/>
          <w:lang w:val="en-US" w:eastAsia="zh-CN"/>
        </w:rPr>
      </w:r>
      <w:r/>
    </w:p>
    <w:p>
      <w:pPr>
        <w:pStyle w:val="893"/>
        <w:rPr>
          <w:rFonts w:hint="eastAsia" w:ascii="宋体" w:hAnsi="宋体" w:cs="宋体"/>
          <w:color w:val="000080"/>
          <w:sz w:val="20"/>
          <w:highlight w:val="white"/>
        </w:rPr>
      </w:pPr>
      <w:r>
        <w:rPr>
          <w:rFonts w:hint="eastAsia" w:ascii="宋体" w:hAnsi="宋体" w:cs="宋体"/>
          <w:color w:val="000080"/>
          <w:sz w:val="20"/>
          <w:highlight w:val="white"/>
        </w:rPr>
      </w:r>
      <w:r/>
    </w:p>
    <w:p>
      <w:pPr>
        <w:pStyle w:val="893"/>
        <w:rPr>
          <w:rFonts w:hint="eastAsia" w:ascii="宋体" w:hAnsi="宋体" w:cs="宋体"/>
          <w:color w:val="000080"/>
          <w:sz w:val="20"/>
          <w:highlight w:val="white"/>
        </w:rPr>
      </w:pPr>
      <w:r>
        <w:rPr>
          <w:rFonts w:hint="eastAsia" w:ascii="宋体" w:hAnsi="宋体" w:cs="宋体"/>
          <w:color w:val="000080"/>
          <w:sz w:val="20"/>
          <w:highlight w:val="white"/>
        </w:rPr>
      </w:r>
      <w:r/>
    </w:p>
    <w:p>
      <w:pPr>
        <w:pStyle w:val="893"/>
        <w:rPr>
          <w:rFonts w:hint="eastAsia" w:ascii="宋体" w:hAnsi="宋体" w:cs="宋体"/>
          <w:color w:val="000080"/>
          <w:sz w:val="20"/>
          <w:highlight w:val="white"/>
        </w:rPr>
      </w:pPr>
      <w:r>
        <w:rPr>
          <w:rFonts w:hint="eastAsia" w:ascii="宋体" w:hAnsi="宋体" w:cs="宋体"/>
          <w:color w:val="000080"/>
          <w:sz w:val="20"/>
          <w:highlight w:val="white"/>
        </w:rPr>
      </w:r>
      <w:r/>
    </w:p>
    <w:p>
      <w:pPr>
        <w:pStyle w:val="893"/>
        <w:rPr>
          <w:rFonts w:hint="eastAsia" w:ascii="宋体" w:hAnsi="宋体" w:cs="宋体"/>
          <w:color w:val="000080"/>
          <w:sz w:val="20"/>
          <w:highlight w:val="white"/>
        </w:rPr>
      </w:pPr>
      <w:r>
        <w:rPr>
          <w:rFonts w:hint="eastAsia" w:ascii="宋体" w:hAnsi="宋体" w:cs="宋体"/>
          <w:color w:val="000080"/>
          <w:sz w:val="20"/>
          <w:highlight w:val="white"/>
        </w:rPr>
      </w:r>
      <w:r/>
    </w:p>
    <w:p>
      <w:pPr>
        <w:pStyle w:val="893"/>
        <w:rPr>
          <w:rFonts w:hint="eastAsia" w:ascii="宋体" w:hAnsi="宋体" w:cs="宋体"/>
          <w:color w:val="000080"/>
          <w:sz w:val="20"/>
          <w:highlight w:val="white"/>
        </w:rPr>
      </w:pPr>
      <w:r>
        <w:rPr>
          <w:rFonts w:hint="eastAsia" w:ascii="宋体" w:hAnsi="宋体" w:cs="宋体"/>
          <w:color w:val="000080"/>
          <w:sz w:val="20"/>
          <w:highlight w:val="white"/>
        </w:rPr>
      </w:r>
      <w:r/>
    </w:p>
    <w:p>
      <w:pPr>
        <w:pStyle w:val="893"/>
        <w:rPr>
          <w:rFonts w:hint="eastAsia" w:ascii="宋体" w:hAnsi="宋体" w:cs="宋体"/>
          <w:color w:val="000080"/>
          <w:sz w:val="20"/>
          <w:highlight w:val="white"/>
        </w:rPr>
      </w:pPr>
      <w:r>
        <w:rPr>
          <w:rFonts w:hint="eastAsia" w:ascii="宋体" w:hAnsi="宋体" w:cs="宋体"/>
          <w:color w:val="000080"/>
          <w:sz w:val="20"/>
          <w:highlight w:val="white"/>
        </w:rPr>
      </w:r>
      <w:r/>
    </w:p>
    <w:p>
      <w:pPr>
        <w:pStyle w:val="893"/>
        <w:rPr>
          <w:rFonts w:hint="eastAsia" w:ascii="宋体" w:hAnsi="宋体" w:cs="宋体"/>
          <w:color w:val="000080"/>
          <w:sz w:val="20"/>
          <w:highlight w:val="white"/>
        </w:rPr>
      </w:pPr>
      <w:r>
        <w:rPr>
          <w:rFonts w:hint="eastAsia" w:ascii="宋体" w:hAnsi="宋体" w:cs="宋体"/>
          <w:color w:val="000080"/>
          <w:sz w:val="20"/>
          <w:highlight w:val="white"/>
        </w:rPr>
      </w:r>
      <w:r/>
    </w:p>
    <w:p>
      <w:pPr>
        <w:pStyle w:val="893"/>
        <w:rPr>
          <w:rFonts w:hint="eastAsia" w:ascii="宋体" w:hAnsi="宋体" w:cs="宋体"/>
          <w:color w:val="000080"/>
          <w:sz w:val="20"/>
          <w:highlight w:val="white"/>
        </w:rPr>
      </w:pPr>
      <w:r>
        <w:rPr>
          <w:rFonts w:hint="eastAsia" w:ascii="宋体" w:hAnsi="宋体" w:cs="宋体"/>
          <w:color w:val="000080"/>
          <w:sz w:val="20"/>
          <w:highlight w:val="white"/>
        </w:rPr>
      </w:r>
      <w:r/>
    </w:p>
    <w:p>
      <w:pPr>
        <w:pStyle w:val="893"/>
        <w:rPr>
          <w:rFonts w:hint="eastAsia" w:ascii="宋体" w:hAnsi="宋体" w:cs="宋体"/>
          <w:color w:val="000080"/>
          <w:sz w:val="20"/>
          <w:highlight w:val="white"/>
        </w:rPr>
      </w:pPr>
      <w:r>
        <w:rPr>
          <w:rFonts w:hint="eastAsia" w:ascii="宋体" w:hAnsi="宋体" w:cs="宋体"/>
          <w:color w:val="000080"/>
          <w:sz w:val="20"/>
          <w:highlight w:val="white"/>
        </w:rPr>
      </w:r>
      <w:r/>
    </w:p>
    <w:p>
      <w:pPr>
        <w:pStyle w:val="893"/>
        <w:rPr>
          <w:rFonts w:hint="eastAsia" w:ascii="宋体" w:hAnsi="宋体" w:cs="宋体"/>
          <w:color w:val="000080"/>
          <w:sz w:val="20"/>
          <w:highlight w:val="white"/>
        </w:rPr>
      </w:pPr>
      <w:r>
        <w:rPr>
          <w:rFonts w:hint="eastAsia" w:ascii="宋体" w:hAnsi="宋体" w:cs="宋体"/>
          <w:color w:val="000080"/>
          <w:sz w:val="20"/>
          <w:highlight w:val="white"/>
        </w:rPr>
      </w:r>
      <w:r/>
    </w:p>
    <w:p>
      <w:pPr>
        <w:pStyle w:val="893"/>
        <w:rPr>
          <w:rFonts w:hint="eastAsia" w:ascii="宋体" w:hAnsi="宋体" w:cs="宋体"/>
          <w:color w:val="000080"/>
          <w:sz w:val="20"/>
          <w:highlight w:val="white"/>
        </w:rPr>
      </w:pPr>
      <w:r>
        <w:rPr>
          <w:rFonts w:hint="eastAsia" w:ascii="宋体" w:hAnsi="宋体" w:cs="宋体"/>
          <w:color w:val="000080"/>
          <w:sz w:val="20"/>
          <w:highlight w:val="white"/>
        </w:rPr>
      </w:r>
      <w:r/>
    </w:p>
    <w:p>
      <w:pPr>
        <w:pStyle w:val="893"/>
        <w:rPr>
          <w:rFonts w:hint="eastAsia" w:ascii="宋体" w:hAnsi="宋体" w:cs="宋体"/>
          <w:color w:val="000080"/>
          <w:sz w:val="20"/>
          <w:highlight w:val="white"/>
        </w:rPr>
      </w:pPr>
      <w:r>
        <w:rPr>
          <w:rFonts w:hint="eastAsia" w:ascii="宋体" w:hAnsi="宋体" w:cs="宋体"/>
          <w:color w:val="000080"/>
          <w:sz w:val="20"/>
          <w:highlight w:val="white"/>
        </w:rPr>
      </w:r>
      <w:r/>
    </w:p>
    <w:p>
      <w:pPr>
        <w:pStyle w:val="893"/>
        <w:rPr>
          <w:rFonts w:hint="eastAsia" w:ascii="宋体" w:hAnsi="宋体" w:cs="宋体"/>
          <w:color w:val="000080"/>
          <w:sz w:val="20"/>
          <w:highlight w:val="white"/>
        </w:rPr>
      </w:pPr>
      <w:r>
        <w:rPr>
          <w:rFonts w:hint="eastAsia" w:ascii="宋体" w:hAnsi="宋体" w:cs="宋体"/>
          <w:color w:val="000080"/>
          <w:sz w:val="20"/>
          <w:highlight w:val="white"/>
        </w:rPr>
      </w:r>
      <w:r/>
    </w:p>
    <w:p>
      <w:pPr>
        <w:pStyle w:val="893"/>
        <w:rPr>
          <w:rFonts w:hint="eastAsia" w:ascii="宋体" w:hAnsi="宋体" w:cs="宋体"/>
          <w:color w:val="000080"/>
          <w:sz w:val="20"/>
          <w:highlight w:val="white"/>
        </w:rPr>
      </w:pPr>
      <w:r>
        <w:rPr>
          <w:rFonts w:hint="eastAsia" w:ascii="宋体" w:hAnsi="宋体" w:cs="宋体"/>
          <w:color w:val="000080"/>
          <w:sz w:val="20"/>
          <w:highlight w:val="white"/>
        </w:rPr>
      </w:r>
      <w:r/>
    </w:p>
    <w:p>
      <w:pPr>
        <w:pStyle w:val="893"/>
        <w:rPr>
          <w:rFonts w:hint="eastAsia" w:ascii="宋体" w:hAnsi="宋体" w:cs="宋体"/>
          <w:color w:val="000080"/>
          <w:sz w:val="20"/>
          <w:highlight w:val="white"/>
        </w:rPr>
      </w:pPr>
      <w:r>
        <w:rPr>
          <w:rFonts w:hint="eastAsia" w:ascii="宋体" w:hAnsi="宋体" w:cs="宋体"/>
          <w:color w:val="000080"/>
          <w:sz w:val="20"/>
          <w:highlight w:val="white"/>
        </w:rPr>
      </w:r>
      <w:r/>
    </w:p>
    <w:p>
      <w:pPr>
        <w:pStyle w:val="893"/>
        <w:rPr>
          <w:rFonts w:hint="eastAsia" w:ascii="宋体" w:hAnsi="宋体" w:cs="宋体"/>
          <w:color w:val="000080"/>
          <w:sz w:val="20"/>
          <w:highlight w:val="white"/>
        </w:rPr>
      </w:pPr>
      <w:r>
        <w:rPr>
          <w:rFonts w:hint="eastAsia" w:ascii="宋体" w:hAnsi="宋体" w:cs="宋体"/>
          <w:color w:val="000080"/>
          <w:sz w:val="20"/>
          <w:highlight w:val="white"/>
        </w:rPr>
      </w:r>
      <w:r/>
    </w:p>
    <w:p>
      <w:pPr>
        <w:pStyle w:val="893"/>
        <w:rPr>
          <w:rFonts w:hint="eastAsia" w:ascii="宋体" w:hAnsi="宋体" w:cs="宋体"/>
          <w:color w:val="000080"/>
          <w:sz w:val="20"/>
          <w:highlight w:val="white"/>
        </w:rPr>
      </w:pPr>
      <w:r>
        <w:rPr>
          <w:rFonts w:hint="eastAsia" w:ascii="宋体" w:hAnsi="宋体" w:cs="宋体"/>
          <w:color w:val="000080"/>
          <w:sz w:val="20"/>
          <w:highlight w:val="white"/>
        </w:rPr>
      </w:r>
      <w:r/>
    </w:p>
    <w:p>
      <w:pPr>
        <w:pStyle w:val="893"/>
        <w:rPr>
          <w:rFonts w:hint="eastAsia" w:ascii="宋体" w:hAnsi="宋体" w:cs="宋体"/>
          <w:color w:val="000080"/>
          <w:sz w:val="20"/>
          <w:highlight w:val="white"/>
        </w:rPr>
      </w:pPr>
      <w:r>
        <w:rPr>
          <w:rFonts w:hint="eastAsia" w:ascii="宋体" w:hAnsi="宋体" w:cs="宋体"/>
          <w:color w:val="000080"/>
          <w:sz w:val="20"/>
          <w:highlight w:val="white"/>
        </w:rPr>
      </w:r>
      <w:r/>
    </w:p>
    <w:p>
      <w:pPr>
        <w:pStyle w:val="893"/>
        <w:rPr>
          <w:rFonts w:hint="eastAsia" w:ascii="宋体" w:hAnsi="宋体" w:cs="宋体"/>
          <w:color w:val="000080"/>
          <w:sz w:val="20"/>
          <w:highlight w:val="white"/>
        </w:rPr>
      </w:pPr>
      <w:r>
        <w:rPr>
          <w:rFonts w:hint="eastAsia" w:ascii="宋体" w:hAnsi="宋体" w:cs="宋体"/>
          <w:color w:val="000080"/>
          <w:sz w:val="20"/>
          <w:highlight w:val="white"/>
        </w:rPr>
      </w:r>
      <w:r/>
    </w:p>
    <w:p>
      <w:pPr>
        <w:pStyle w:val="893"/>
        <w:rPr>
          <w:rFonts w:hint="eastAsia" w:ascii="宋体" w:hAnsi="宋体" w:cs="宋体"/>
          <w:color w:val="000080"/>
          <w:sz w:val="20"/>
          <w:highlight w:val="white"/>
        </w:rPr>
      </w:pPr>
      <w:r>
        <w:rPr>
          <w:rFonts w:hint="eastAsia" w:ascii="宋体" w:hAnsi="宋体" w:cs="宋体"/>
          <w:color w:val="000080"/>
          <w:sz w:val="20"/>
          <w:highlight w:val="white"/>
        </w:rPr>
      </w:r>
      <w:r/>
    </w:p>
    <w:p>
      <w:pPr>
        <w:pStyle w:val="893"/>
        <w:rPr>
          <w:rFonts w:hint="eastAsia" w:ascii="宋体" w:hAnsi="宋体" w:cs="宋体"/>
          <w:color w:val="000080"/>
          <w:sz w:val="20"/>
          <w:highlight w:val="white"/>
        </w:rPr>
      </w:pPr>
      <w:r>
        <w:rPr>
          <w:rFonts w:hint="eastAsia" w:ascii="宋体" w:hAnsi="宋体" w:cs="宋体"/>
          <w:color w:val="000080"/>
          <w:sz w:val="20"/>
          <w:highlight w:val="white"/>
        </w:rPr>
      </w:r>
      <w:r/>
    </w:p>
    <w:p>
      <w:pPr>
        <w:pStyle w:val="893"/>
        <w:rPr>
          <w:rFonts w:hint="eastAsia" w:ascii="宋体" w:hAnsi="宋体" w:cs="宋体"/>
          <w:color w:val="000080"/>
          <w:sz w:val="20"/>
          <w:highlight w:val="white"/>
        </w:rPr>
      </w:pPr>
      <w:r>
        <w:rPr>
          <w:rFonts w:hint="eastAsia" w:ascii="宋体" w:hAnsi="宋体" w:cs="宋体"/>
          <w:color w:val="000080"/>
          <w:sz w:val="20"/>
          <w:highlight w:val="white"/>
        </w:rPr>
      </w:r>
      <w:r/>
    </w:p>
    <w:p>
      <w:pPr>
        <w:pStyle w:val="893"/>
        <w:rPr>
          <w:rFonts w:hint="eastAsia" w:ascii="宋体" w:hAnsi="宋体" w:cs="宋体"/>
          <w:color w:val="000080"/>
          <w:sz w:val="20"/>
          <w:highlight w:val="white"/>
        </w:rPr>
      </w:pPr>
      <w:r>
        <w:rPr>
          <w:rFonts w:hint="eastAsia" w:ascii="宋体" w:hAnsi="宋体" w:cs="宋体"/>
          <w:color w:val="000080"/>
          <w:sz w:val="20"/>
          <w:highlight w:val="white"/>
        </w:rPr>
      </w:r>
      <w:r/>
    </w:p>
    <w:p>
      <w:pPr>
        <w:pStyle w:val="893"/>
        <w:rPr>
          <w:rFonts w:hint="eastAsia" w:ascii="宋体" w:hAnsi="宋体" w:cs="宋体"/>
          <w:color w:val="000080"/>
          <w:sz w:val="20"/>
          <w:highlight w:val="white"/>
        </w:rPr>
      </w:pPr>
      <w:r>
        <w:rPr>
          <w:rFonts w:hint="eastAsia" w:ascii="宋体" w:hAnsi="宋体" w:cs="宋体"/>
          <w:color w:val="000080"/>
          <w:sz w:val="20"/>
          <w:highlight w:val="white"/>
        </w:rPr>
      </w:r>
      <w:r/>
    </w:p>
    <w:p>
      <w:pPr>
        <w:pStyle w:val="893"/>
        <w:rPr>
          <w:rFonts w:hint="eastAsia" w:ascii="宋体" w:hAnsi="宋体" w:cs="宋体"/>
          <w:color w:val="000080"/>
          <w:sz w:val="20"/>
          <w:highlight w:val="white"/>
        </w:rPr>
      </w:pPr>
      <w:r>
        <w:rPr>
          <w:rFonts w:hint="eastAsia" w:ascii="宋体" w:hAnsi="宋体" w:cs="宋体"/>
          <w:color w:val="000080"/>
          <w:sz w:val="20"/>
          <w:highlight w:val="white"/>
        </w:rPr>
      </w:r>
      <w:r/>
    </w:p>
    <w:p>
      <w:pPr>
        <w:pStyle w:val="893"/>
        <w:rPr>
          <w:rFonts w:hint="eastAsia" w:ascii="宋体" w:hAnsi="宋体" w:cs="宋体"/>
          <w:color w:val="000080"/>
          <w:sz w:val="20"/>
          <w:highlight w:val="white"/>
        </w:rPr>
      </w:pPr>
      <w:r>
        <w:rPr>
          <w:rFonts w:hint="eastAsia" w:ascii="宋体" w:hAnsi="宋体" w:cs="宋体"/>
          <w:color w:val="000080"/>
          <w:sz w:val="20"/>
          <w:highlight w:val="white"/>
        </w:rPr>
      </w:r>
      <w:r/>
    </w:p>
    <w:p>
      <w:pPr>
        <w:pStyle w:val="893"/>
        <w:rPr>
          <w:rFonts w:hint="eastAsia" w:ascii="宋体" w:hAnsi="宋体" w:cs="宋体"/>
          <w:color w:val="000080"/>
          <w:sz w:val="20"/>
          <w:highlight w:val="white"/>
        </w:rPr>
      </w:pPr>
      <w:r>
        <w:rPr>
          <w:rFonts w:hint="eastAsia" w:ascii="宋体" w:hAnsi="宋体" w:cs="宋体"/>
          <w:color w:val="000080"/>
          <w:sz w:val="20"/>
          <w:highlight w:val="white"/>
        </w:rPr>
      </w:r>
      <w:r/>
    </w:p>
    <w:p>
      <w:pPr>
        <w:pStyle w:val="893"/>
        <w:rPr>
          <w:rFonts w:hint="eastAsia" w:ascii="宋体" w:hAnsi="宋体" w:cs="宋体"/>
          <w:color w:val="000080"/>
          <w:sz w:val="20"/>
          <w:highlight w:val="white"/>
        </w:rPr>
      </w:pPr>
      <w:r>
        <w:rPr>
          <w:rFonts w:hint="eastAsia" w:ascii="宋体" w:hAnsi="宋体" w:cs="宋体"/>
          <w:color w:val="000080"/>
          <w:sz w:val="20"/>
          <w:highlight w:val="white"/>
        </w:rPr>
      </w:r>
      <w:r/>
    </w:p>
    <w:p>
      <w:pPr>
        <w:pStyle w:val="893"/>
        <w:rPr>
          <w:rFonts w:hint="eastAsia" w:ascii="宋体" w:hAnsi="宋体" w:cs="宋体"/>
          <w:color w:val="000080"/>
          <w:sz w:val="20"/>
          <w:highlight w:val="white"/>
        </w:rPr>
      </w:pPr>
      <w:r>
        <w:rPr>
          <w:rFonts w:hint="eastAsia" w:ascii="宋体" w:hAnsi="宋体" w:cs="宋体"/>
          <w:color w:val="000080"/>
          <w:sz w:val="20"/>
          <w:highlight w:val="white"/>
        </w:rPr>
      </w:r>
      <w:r/>
    </w:p>
    <w:p>
      <w:pPr>
        <w:pStyle w:val="893"/>
        <w:rPr>
          <w:rFonts w:hint="eastAsia" w:ascii="宋体" w:hAnsi="宋体" w:cs="宋体"/>
          <w:color w:val="000080"/>
          <w:sz w:val="20"/>
          <w:highlight w:val="white"/>
        </w:rPr>
      </w:pPr>
      <w:r>
        <w:rPr>
          <w:rFonts w:hint="eastAsia" w:ascii="宋体" w:hAnsi="宋体" w:cs="宋体"/>
          <w:color w:val="000080"/>
          <w:sz w:val="20"/>
          <w:highlight w:val="white"/>
        </w:rPr>
      </w:r>
      <w:r/>
    </w:p>
    <w:p>
      <w:pPr>
        <w:pStyle w:val="893"/>
        <w:rPr>
          <w:rFonts w:hint="eastAsia" w:ascii="宋体" w:hAnsi="宋体" w:cs="宋体"/>
        </w:rPr>
      </w:pPr>
      <w:r>
        <w:rPr>
          <w:rFonts w:hint="eastAsia" w:ascii="宋体" w:hAnsi="宋体" w:cs="宋体"/>
        </w:rPr>
      </w:r>
      <w:r/>
    </w:p>
    <w:p>
      <w:pPr>
        <w:pStyle w:val="894"/>
        <w:rPr>
          <w:rFonts w:hint="eastAsia" w:ascii="宋体" w:hAnsi="宋体" w:eastAsia="宋体" w:cs="宋体"/>
        </w:rPr>
        <w:pBdr>
          <w:top w:val="none" w:color="000000" w:sz="0" w:space="0"/>
          <w:left w:val="none" w:color="000000" w:sz="0" w:space="0"/>
          <w:bottom w:val="none" w:color="000000" w:sz="0" w:space="0"/>
          <w:right w:val="none" w:color="000000" w:sz="0" w:space="0"/>
        </w:pBdr>
      </w:pPr>
      <w:r/>
      <w:bookmarkStart w:id="134" w:name="_Toc25044"/>
      <w:r/>
      <w:bookmarkStart w:id="135" w:name="_Toc17174"/>
      <w:r/>
      <w:bookmarkStart w:id="136" w:name="_Toc17982"/>
      <w:r>
        <w:rPr>
          <w:rFonts w:hint="eastAsia" w:ascii="宋体" w:hAnsi="宋体" w:eastAsia="宋体" w:cs="宋体"/>
          <w:b/>
          <w:color w:val="000000"/>
          <w:sz w:val="44"/>
        </w:rPr>
        <w:t xml:space="preserve">第五章 评标方法与评标标准</w:t>
      </w:r>
      <w:bookmarkEnd w:id="134"/>
      <w:r/>
      <w:bookmarkEnd w:id="135"/>
      <w:r/>
      <w:bookmarkEnd w:id="136"/>
      <w:r>
        <w:rPr>
          <w:rFonts w:hint="eastAsia" w:ascii="宋体" w:hAnsi="宋体" w:eastAsia="宋体" w:cs="宋体"/>
        </w:rPr>
      </w:r>
      <w:r/>
    </w:p>
    <w:p>
      <w:pPr>
        <w:pStyle w:val="893"/>
        <w:ind w:firstLine="643"/>
        <w:spacing w:before="156" w:after="156"/>
        <w:rPr>
          <w:rFonts w:hint="eastAsia" w:ascii="宋体" w:hAnsi="宋体" w:cs="宋体"/>
        </w:rPr>
        <w:pBdr>
          <w:top w:val="none" w:color="000000" w:sz="0" w:space="0"/>
          <w:left w:val="none" w:color="000000" w:sz="0" w:space="0"/>
          <w:bottom w:val="none" w:color="000000" w:sz="0" w:space="0"/>
          <w:right w:val="none" w:color="000000" w:sz="0" w:space="0"/>
        </w:pBdr>
        <w:outlineLvl w:val="1"/>
      </w:pPr>
      <w:r/>
      <w:bookmarkStart w:id="137" w:name="_Toc29679"/>
      <w:r/>
      <w:bookmarkStart w:id="138" w:name="_Toc5401"/>
      <w:r>
        <w:rPr>
          <w:rFonts w:hint="eastAsia" w:ascii="宋体" w:hAnsi="宋体" w:cs="宋体"/>
          <w:b/>
          <w:color w:val="000000"/>
          <w:sz w:val="32"/>
        </w:rPr>
        <w:t xml:space="preserve">一、资格审查</w:t>
      </w:r>
      <w:bookmarkEnd w:id="137"/>
      <w:r/>
      <w:bookmarkEnd w:id="138"/>
      <w:r>
        <w:rPr>
          <w:rFonts w:hint="eastAsia" w:ascii="宋体" w:hAnsi="宋体" w:cs="宋体"/>
        </w:rPr>
      </w:r>
      <w:r/>
    </w:p>
    <w:p>
      <w:pPr>
        <w:pStyle w:val="893"/>
        <w:ind w:firstLine="42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资格审查人员按照下列指标对各投标人的资格进行审查，未通过审查的为无效标，不参与评标。</w:t>
      </w:r>
      <w:r>
        <w:rPr>
          <w:rFonts w:hint="eastAsia" w:ascii="宋体" w:hAnsi="宋体" w:cs="宋体"/>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481"/>
        <w:gridCol w:w="4482"/>
      </w:tblGrid>
      <w:tr>
        <w:trPr/>
        <w:tc>
          <w:tcPr>
            <w:tcMar>
              <w:left w:w="0" w:type="dxa"/>
              <w:top w:w="0" w:type="dxa"/>
              <w:right w:w="0" w:type="dxa"/>
              <w:bottom w:w="0" w:type="dxa"/>
            </w:tcMar>
            <w:tcW w:w="4677"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资格审查因素</w:t>
            </w:r>
            <w:r>
              <w:rPr>
                <w:rFonts w:hint="eastAsia" w:ascii="宋体" w:hAnsi="宋体" w:cs="宋体"/>
              </w:rPr>
            </w:r>
            <w:r/>
          </w:p>
        </w:tc>
        <w:tc>
          <w:tcPr>
            <w:tcMar>
              <w:left w:w="0" w:type="dxa"/>
              <w:top w:w="0" w:type="dxa"/>
              <w:right w:w="0" w:type="dxa"/>
              <w:bottom w:w="0" w:type="dxa"/>
            </w:tcMar>
            <w:tcW w:w="4677"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审查标准</w:t>
            </w:r>
            <w:r>
              <w:rPr>
                <w:rFonts w:hint="eastAsia" w:ascii="宋体" w:hAnsi="宋体" w:cs="宋体"/>
              </w:rPr>
            </w:r>
            <w:r/>
          </w:p>
        </w:tc>
      </w:tr>
      <w:tr>
        <w:trPr/>
        <w:tc>
          <w:tcPr>
            <w:tcMar>
              <w:left w:w="0" w:type="dxa"/>
              <w:top w:w="0" w:type="dxa"/>
              <w:right w:w="0" w:type="dxa"/>
              <w:bottom w:w="0" w:type="dxa"/>
            </w:tcMar>
            <w:tcW w:w="4677" w:type="dxa"/>
            <w:vAlign w:val="center"/>
            <w:textDirection w:val="lrTb"/>
            <w:noWrap w:val="false"/>
          </w:tcPr>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投标声明及承诺函</w:t>
            </w:r>
            <w:r>
              <w:rPr>
                <w:rFonts w:hint="eastAsia" w:ascii="宋体" w:hAnsi="宋体" w:cs="宋体"/>
              </w:rPr>
            </w:r>
            <w:r/>
          </w:p>
        </w:tc>
        <w:tc>
          <w:tcPr>
            <w:tcMar>
              <w:left w:w="0" w:type="dxa"/>
              <w:top w:w="0" w:type="dxa"/>
              <w:right w:w="0" w:type="dxa"/>
              <w:bottom w:w="0" w:type="dxa"/>
            </w:tcMar>
            <w:tcW w:w="4677" w:type="dxa"/>
            <w:vAlign w:val="center"/>
            <w:textDirection w:val="lrTb"/>
            <w:noWrap w:val="false"/>
          </w:tcPr>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符合招标文件要求</w:t>
            </w:r>
            <w:r>
              <w:rPr>
                <w:rFonts w:hint="eastAsia" w:ascii="宋体" w:hAnsi="宋体" w:cs="宋体"/>
              </w:rPr>
            </w:r>
            <w:r/>
          </w:p>
        </w:tc>
      </w:tr>
      <w:tr>
        <w:trPr/>
        <w:tc>
          <w:tcPr>
            <w:tcMar>
              <w:left w:w="0" w:type="dxa"/>
              <w:top w:w="0" w:type="dxa"/>
              <w:right w:w="0" w:type="dxa"/>
              <w:bottom w:w="0" w:type="dxa"/>
            </w:tcMar>
            <w:tcW w:w="4677" w:type="dxa"/>
            <w:vAlign w:val="center"/>
            <w:textDirection w:val="lrTb"/>
            <w:noWrap w:val="false"/>
          </w:tcPr>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信用信息</w:t>
            </w:r>
            <w:r>
              <w:rPr>
                <w:rFonts w:hint="eastAsia" w:ascii="宋体" w:hAnsi="宋体" w:cs="宋体"/>
              </w:rPr>
            </w:r>
            <w:r/>
          </w:p>
        </w:tc>
        <w:tc>
          <w:tcPr>
            <w:tcMar>
              <w:left w:w="0" w:type="dxa"/>
              <w:top w:w="0" w:type="dxa"/>
              <w:right w:w="0" w:type="dxa"/>
              <w:bottom w:w="0" w:type="dxa"/>
            </w:tcMar>
            <w:tcW w:w="4677" w:type="dxa"/>
            <w:vAlign w:val="center"/>
            <w:textDirection w:val="lrTb"/>
            <w:noWrap w:val="false"/>
          </w:tcPr>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符合招标文件要求</w:t>
            </w:r>
            <w:r>
              <w:rPr>
                <w:rFonts w:hint="eastAsia" w:ascii="宋体" w:hAnsi="宋体" w:cs="宋体"/>
              </w:rPr>
            </w:r>
            <w:r/>
          </w:p>
        </w:tc>
      </w:tr>
      <w:tr>
        <w:trPr/>
        <w:tc>
          <w:tcPr>
            <w:tcMar>
              <w:left w:w="0" w:type="dxa"/>
              <w:top w:w="0" w:type="dxa"/>
              <w:right w:w="0" w:type="dxa"/>
              <w:bottom w:w="0" w:type="dxa"/>
            </w:tcMar>
            <w:tcW w:w="4677" w:type="dxa"/>
            <w:vAlign w:val="center"/>
            <w:textDirection w:val="lrTb"/>
            <w:noWrap w:val="false"/>
          </w:tcPr>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联合体投标</w:t>
            </w:r>
            <w:r>
              <w:rPr>
                <w:rFonts w:hint="eastAsia" w:ascii="宋体" w:hAnsi="宋体" w:cs="宋体"/>
              </w:rPr>
            </w:r>
            <w:r/>
          </w:p>
        </w:tc>
        <w:tc>
          <w:tcPr>
            <w:tcMar>
              <w:left w:w="0" w:type="dxa"/>
              <w:top w:w="0" w:type="dxa"/>
              <w:right w:w="0" w:type="dxa"/>
              <w:bottom w:w="0" w:type="dxa"/>
            </w:tcMar>
            <w:tcW w:w="4677" w:type="dxa"/>
            <w:vAlign w:val="center"/>
            <w:textDirection w:val="lrTb"/>
            <w:noWrap w:val="false"/>
          </w:tcPr>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不接受联合体投标</w:t>
            </w:r>
            <w:r>
              <w:rPr>
                <w:rFonts w:hint="eastAsia" w:ascii="宋体" w:hAnsi="宋体" w:cs="宋体"/>
              </w:rPr>
            </w:r>
            <w:r/>
          </w:p>
        </w:tc>
      </w:tr>
    </w:tbl>
    <w:p>
      <w:pPr>
        <w:pStyle w:val="893"/>
        <w:spacing w:after="1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 </w:t>
      </w:r>
      <w:r>
        <w:rPr>
          <w:rFonts w:hint="eastAsia" w:ascii="宋体" w:hAnsi="宋体" w:cs="宋体"/>
        </w:rPr>
      </w:r>
      <w:r/>
    </w:p>
    <w:p>
      <w:pPr>
        <w:pStyle w:val="893"/>
        <w:ind w:firstLine="643"/>
        <w:spacing w:before="156" w:after="156"/>
        <w:rPr>
          <w:rFonts w:hint="eastAsia" w:ascii="宋体" w:hAnsi="宋体" w:cs="宋体"/>
        </w:rPr>
        <w:pBdr>
          <w:top w:val="none" w:color="000000" w:sz="0" w:space="0"/>
          <w:left w:val="none" w:color="000000" w:sz="0" w:space="0"/>
          <w:bottom w:val="none" w:color="000000" w:sz="0" w:space="0"/>
          <w:right w:val="none" w:color="000000" w:sz="0" w:space="0"/>
        </w:pBdr>
        <w:outlineLvl w:val="1"/>
      </w:pPr>
      <w:r/>
      <w:bookmarkStart w:id="139" w:name="_Toc20629"/>
      <w:r/>
      <w:bookmarkStart w:id="140" w:name="_Toc7281"/>
      <w:r>
        <w:rPr>
          <w:rFonts w:hint="eastAsia" w:ascii="宋体" w:hAnsi="宋体" w:cs="宋体"/>
          <w:b/>
          <w:color w:val="000000"/>
          <w:sz w:val="32"/>
        </w:rPr>
        <w:t xml:space="preserve">二、评分办法—综合评分法</w:t>
      </w:r>
      <w:bookmarkEnd w:id="139"/>
      <w:r/>
      <w:bookmarkEnd w:id="140"/>
      <w:r>
        <w:rPr>
          <w:rFonts w:hint="eastAsia" w:ascii="宋体" w:hAnsi="宋体" w:cs="宋体"/>
        </w:rPr>
      </w:r>
      <w:r/>
    </w:p>
    <w:p>
      <w:pPr>
        <w:pStyle w:val="893"/>
        <w:ind w:firstLine="422"/>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rPr>
        <w:t xml:space="preserve">1、评标办法：</w:t>
      </w:r>
      <w:r>
        <w:rPr>
          <w:rFonts w:hint="eastAsia" w:ascii="宋体" w:hAnsi="宋体" w:cs="宋体"/>
          <w:color w:val="000000"/>
          <w:sz w:val="22"/>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评标委员会根据评审后投标人排序推荐中标候选人。投标文件满足招标文件全部实质性要求，且评审后排序第一的投标人为第一中标候选人，依次类推。</w:t>
      </w:r>
      <w:r>
        <w:rPr>
          <w:rFonts w:hint="eastAsia" w:ascii="宋体" w:hAnsi="宋体" w:cs="宋体"/>
        </w:rPr>
      </w:r>
      <w:r/>
    </w:p>
    <w:p>
      <w:pPr>
        <w:pStyle w:val="893"/>
        <w:ind w:firstLine="42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综合评分保留至小数点后两位。</w:t>
      </w:r>
      <w:r>
        <w:rPr>
          <w:rFonts w:hint="eastAsia" w:ascii="宋体" w:hAnsi="宋体" w:cs="宋体"/>
          <w:color w:val="000000"/>
        </w:rPr>
        <w:t xml:space="preserve"> </w:t>
      </w:r>
      <w:r>
        <w:rPr>
          <w:rFonts w:hint="eastAsia" w:ascii="宋体" w:hAnsi="宋体" w:cs="宋体"/>
        </w:rPr>
      </w:r>
      <w:r/>
    </w:p>
    <w:p>
      <w:pPr>
        <w:pStyle w:val="893"/>
        <w:ind w:firstLine="422"/>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rPr>
        <w:t xml:space="preserve">2、符合性审查。</w:t>
      </w:r>
      <w:r>
        <w:rPr>
          <w:rFonts w:hint="eastAsia" w:ascii="宋体" w:hAnsi="宋体" w:cs="宋体"/>
          <w:color w:val="000000"/>
          <w:sz w:val="22"/>
        </w:rPr>
        <w:t xml:space="preserve">评标委员会首先按照下列指标对各投标人的投标文件进行符合性审查，未通过审查的为无效标，不再参与评审。</w:t>
      </w:r>
      <w:r>
        <w:rPr>
          <w:rFonts w:hint="eastAsia" w:ascii="宋体" w:hAnsi="宋体" w:cs="宋体"/>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995"/>
        <w:gridCol w:w="4968"/>
      </w:tblGrid>
      <w:tr>
        <w:trPr/>
        <w:tc>
          <w:tcPr>
            <w:tcMar>
              <w:left w:w="0" w:type="dxa"/>
              <w:top w:w="0" w:type="dxa"/>
              <w:right w:w="0" w:type="dxa"/>
              <w:bottom w:w="0" w:type="dxa"/>
            </w:tcMar>
            <w:tcW w:w="4173"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符合性审查因素</w:t>
            </w:r>
            <w:r>
              <w:rPr>
                <w:rFonts w:hint="eastAsia" w:ascii="宋体" w:hAnsi="宋体" w:cs="宋体"/>
              </w:rPr>
            </w:r>
            <w:r/>
          </w:p>
        </w:tc>
        <w:tc>
          <w:tcPr>
            <w:tcMar>
              <w:left w:w="0" w:type="dxa"/>
              <w:top w:w="0" w:type="dxa"/>
              <w:right w:w="0" w:type="dxa"/>
              <w:bottom w:w="0" w:type="dxa"/>
            </w:tcMar>
            <w:tcW w:w="5182"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审查标准</w:t>
            </w:r>
            <w:r>
              <w:rPr>
                <w:rFonts w:hint="eastAsia" w:ascii="宋体" w:hAnsi="宋体" w:cs="宋体"/>
              </w:rPr>
            </w:r>
            <w:r/>
          </w:p>
        </w:tc>
      </w:tr>
      <w:tr>
        <w:trPr/>
        <w:tc>
          <w:tcPr>
            <w:tcMar>
              <w:left w:w="0" w:type="dxa"/>
              <w:top w:w="0" w:type="dxa"/>
              <w:right w:w="0" w:type="dxa"/>
              <w:bottom w:w="0" w:type="dxa"/>
            </w:tcMar>
            <w:tcW w:w="4173" w:type="dxa"/>
            <w:vAlign w:val="center"/>
            <w:textDirection w:val="lrTb"/>
            <w:noWrap w:val="false"/>
          </w:tcPr>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法定代表人身份证明或授权委托书</w:t>
            </w:r>
            <w:r>
              <w:rPr>
                <w:rFonts w:hint="eastAsia" w:ascii="宋体" w:hAnsi="宋体" w:cs="宋体"/>
              </w:rPr>
            </w:r>
            <w:r/>
          </w:p>
        </w:tc>
        <w:tc>
          <w:tcPr>
            <w:tcMar>
              <w:left w:w="0" w:type="dxa"/>
              <w:top w:w="0" w:type="dxa"/>
              <w:right w:w="0" w:type="dxa"/>
              <w:bottom w:w="0" w:type="dxa"/>
            </w:tcMar>
            <w:tcW w:w="5182" w:type="dxa"/>
            <w:vAlign w:val="center"/>
            <w:textDirection w:val="lrTb"/>
            <w:noWrap w:val="false"/>
          </w:tcPr>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符合招标文件要求</w:t>
            </w:r>
            <w:r>
              <w:rPr>
                <w:rFonts w:hint="eastAsia" w:ascii="宋体" w:hAnsi="宋体" w:cs="宋体"/>
              </w:rPr>
            </w:r>
            <w:r/>
          </w:p>
        </w:tc>
      </w:tr>
      <w:tr>
        <w:trPr/>
        <w:tc>
          <w:tcPr>
            <w:tcMar>
              <w:left w:w="0" w:type="dxa"/>
              <w:top w:w="0" w:type="dxa"/>
              <w:right w:w="0" w:type="dxa"/>
              <w:bottom w:w="0" w:type="dxa"/>
            </w:tcMar>
            <w:tcW w:w="4173" w:type="dxa"/>
            <w:vAlign w:val="center"/>
            <w:textDirection w:val="lrTb"/>
            <w:noWrap w:val="false"/>
          </w:tcPr>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开标一览表及投标报价</w:t>
            </w:r>
            <w:r>
              <w:rPr>
                <w:rFonts w:hint="eastAsia" w:ascii="宋体" w:hAnsi="宋体" w:cs="宋体"/>
              </w:rPr>
            </w:r>
            <w:r/>
          </w:p>
        </w:tc>
        <w:tc>
          <w:tcPr>
            <w:tcMar>
              <w:left w:w="0" w:type="dxa"/>
              <w:top w:w="0" w:type="dxa"/>
              <w:right w:w="0" w:type="dxa"/>
              <w:bottom w:w="0" w:type="dxa"/>
            </w:tcMar>
            <w:tcW w:w="5182" w:type="dxa"/>
            <w:vAlign w:val="center"/>
            <w:textDirection w:val="lrTb"/>
            <w:noWrap w:val="false"/>
          </w:tcPr>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格式、填写要求符合招标文件规定</w:t>
            </w:r>
            <w:r>
              <w:rPr>
                <w:rFonts w:hint="eastAsia" w:ascii="宋体" w:hAnsi="宋体" w:cs="宋体"/>
              </w:rPr>
            </w:r>
            <w:r/>
          </w:p>
        </w:tc>
      </w:tr>
      <w:tr>
        <w:trPr>
          <w:trHeight w:val="90"/>
        </w:trPr>
        <w:tc>
          <w:tcPr>
            <w:tcMar>
              <w:left w:w="0" w:type="dxa"/>
              <w:top w:w="0" w:type="dxa"/>
              <w:right w:w="0" w:type="dxa"/>
              <w:bottom w:w="0" w:type="dxa"/>
            </w:tcMar>
            <w:tcW w:w="4173" w:type="dxa"/>
            <w:vAlign w:val="center"/>
            <w:textDirection w:val="lrTb"/>
            <w:noWrap w:val="false"/>
          </w:tcPr>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技术标准和要求</w:t>
            </w:r>
            <w:r>
              <w:rPr>
                <w:rFonts w:hint="eastAsia" w:ascii="宋体" w:hAnsi="宋体" w:cs="宋体"/>
              </w:rPr>
            </w:r>
            <w:r/>
          </w:p>
        </w:tc>
        <w:tc>
          <w:tcPr>
            <w:tcMar>
              <w:left w:w="0" w:type="dxa"/>
              <w:top w:w="0" w:type="dxa"/>
              <w:right w:w="0" w:type="dxa"/>
              <w:bottom w:w="0" w:type="dxa"/>
            </w:tcMar>
            <w:tcW w:w="5182" w:type="dxa"/>
            <w:vAlign w:val="center"/>
            <w:textDirection w:val="lrTb"/>
            <w:noWrap w:val="false"/>
          </w:tcPr>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符合招标文件要求</w:t>
            </w:r>
            <w:r>
              <w:rPr>
                <w:rFonts w:hint="eastAsia" w:ascii="宋体" w:hAnsi="宋体" w:cs="宋体"/>
              </w:rPr>
            </w:r>
            <w:r/>
          </w:p>
        </w:tc>
      </w:tr>
      <w:tr>
        <w:trPr/>
        <w:tc>
          <w:tcPr>
            <w:tcMar>
              <w:left w:w="0" w:type="dxa"/>
              <w:top w:w="0" w:type="dxa"/>
              <w:right w:w="0" w:type="dxa"/>
              <w:bottom w:w="0" w:type="dxa"/>
            </w:tcMar>
            <w:tcW w:w="4173" w:type="dxa"/>
            <w:vAlign w:val="center"/>
            <w:textDirection w:val="lrTb"/>
            <w:noWrap w:val="false"/>
          </w:tcPr>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其他</w:t>
            </w:r>
            <w:r>
              <w:rPr>
                <w:rFonts w:hint="eastAsia" w:ascii="宋体" w:hAnsi="宋体" w:cs="宋体"/>
              </w:rPr>
            </w:r>
            <w:r/>
          </w:p>
        </w:tc>
        <w:tc>
          <w:tcPr>
            <w:tcMar>
              <w:left w:w="0" w:type="dxa"/>
              <w:top w:w="0" w:type="dxa"/>
              <w:right w:w="0" w:type="dxa"/>
              <w:bottom w:w="0" w:type="dxa"/>
            </w:tcMar>
            <w:tcW w:w="5182" w:type="dxa"/>
            <w:vAlign w:val="center"/>
            <w:textDirection w:val="lrTb"/>
            <w:noWrap w:val="false"/>
          </w:tcPr>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符合招标文件要求</w:t>
            </w:r>
            <w:r>
              <w:rPr>
                <w:rFonts w:hint="eastAsia" w:ascii="宋体" w:hAnsi="宋体" w:cs="宋体"/>
              </w:rPr>
            </w:r>
            <w:r/>
          </w:p>
        </w:tc>
      </w:tr>
    </w:tbl>
    <w:p>
      <w:pPr>
        <w:pStyle w:val="893"/>
        <w:ind w:firstLine="422"/>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rPr>
        <w:t xml:space="preserve">3、详细评审。</w:t>
      </w:r>
      <w:r>
        <w:rPr>
          <w:rFonts w:hint="eastAsia" w:ascii="宋体" w:hAnsi="宋体" w:cs="宋体"/>
          <w:color w:val="000000"/>
          <w:sz w:val="22"/>
        </w:rPr>
        <w:t xml:space="preserve">评标委员会按照招标文件规定的评分标准，对各投标文件进行详细评审打分。评标委员会组长对各评审专家的打分情况进行复核无误后汇总，形成评审报告。</w:t>
      </w:r>
      <w:r>
        <w:rPr>
          <w:rFonts w:hint="eastAsia" w:ascii="宋体" w:hAnsi="宋体" w:cs="宋体"/>
        </w:rPr>
      </w:r>
      <w:r/>
    </w:p>
    <w:tbl>
      <w:tblPr>
        <w:tblW w:w="917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91"/>
        <w:gridCol w:w="1047"/>
        <w:gridCol w:w="1167"/>
        <w:gridCol w:w="5471"/>
      </w:tblGrid>
      <w:tr>
        <w:trPr/>
        <w:tc>
          <w:tcPr>
            <w:gridSpan w:val="2"/>
            <w:tcMar>
              <w:left w:w="0" w:type="dxa"/>
              <w:top w:w="0" w:type="dxa"/>
              <w:right w:w="0" w:type="dxa"/>
              <w:bottom w:w="0" w:type="dxa"/>
            </w:tcMar>
            <w:tcW w:w="2538"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评审因素</w:t>
            </w:r>
            <w:r>
              <w:rPr>
                <w:rFonts w:hint="eastAsia" w:ascii="宋体" w:hAnsi="宋体" w:cs="宋体"/>
              </w:rPr>
            </w:r>
            <w:r/>
          </w:p>
        </w:tc>
        <w:tc>
          <w:tcPr>
            <w:tcMar>
              <w:left w:w="0" w:type="dxa"/>
              <w:top w:w="0" w:type="dxa"/>
              <w:right w:w="0" w:type="dxa"/>
              <w:bottom w:w="0" w:type="dxa"/>
            </w:tcMar>
            <w:tcW w:w="1167"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分数</w:t>
            </w:r>
            <w:r>
              <w:rPr>
                <w:rFonts w:hint="eastAsia" w:ascii="宋体" w:hAnsi="宋体" w:cs="宋体"/>
              </w:rPr>
            </w:r>
            <w:r/>
          </w:p>
        </w:tc>
        <w:tc>
          <w:tcPr>
            <w:tcMar>
              <w:left w:w="0" w:type="dxa"/>
              <w:top w:w="0" w:type="dxa"/>
              <w:right w:w="0" w:type="dxa"/>
              <w:bottom w:w="0" w:type="dxa"/>
            </w:tcMar>
            <w:tcW w:w="5471"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评审标准</w:t>
            </w:r>
            <w:r>
              <w:rPr>
                <w:rFonts w:hint="eastAsia" w:ascii="宋体" w:hAnsi="宋体" w:cs="宋体"/>
              </w:rPr>
            </w:r>
            <w:r/>
          </w:p>
        </w:tc>
      </w:tr>
      <w:tr>
        <w:trPr/>
        <w:tc>
          <w:tcPr>
            <w:tcMar>
              <w:left w:w="0" w:type="dxa"/>
              <w:top w:w="0" w:type="dxa"/>
              <w:right w:w="0" w:type="dxa"/>
              <w:bottom w:w="0" w:type="dxa"/>
            </w:tcMar>
            <w:tcW w:w="1491" w:type="dxa"/>
            <w:vAlign w:val="center"/>
            <w:textDirection w:val="lrTb"/>
            <w:noWrap w:val="false"/>
          </w:tcPr>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报价分</w:t>
            </w:r>
            <w:r>
              <w:rPr>
                <w:rFonts w:hint="eastAsia" w:ascii="宋体" w:hAnsi="宋体" w:cs="宋体"/>
              </w:rPr>
            </w:r>
            <w:r/>
          </w:p>
        </w:tc>
        <w:tc>
          <w:tcPr>
            <w:tcMar>
              <w:left w:w="0" w:type="dxa"/>
              <w:top w:w="0" w:type="dxa"/>
              <w:right w:w="0" w:type="dxa"/>
              <w:bottom w:w="0" w:type="dxa"/>
            </w:tcMar>
            <w:tcW w:w="1047" w:type="dxa"/>
            <w:vAlign w:val="center"/>
            <w:textDirection w:val="lrTb"/>
            <w:noWrap w:val="false"/>
          </w:tcPr>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投标报价</w:t>
            </w:r>
            <w:r>
              <w:rPr>
                <w:rFonts w:hint="eastAsia" w:ascii="宋体" w:hAnsi="宋体" w:cs="宋体"/>
              </w:rPr>
            </w:r>
            <w:r/>
          </w:p>
        </w:tc>
        <w:tc>
          <w:tcPr>
            <w:tcMar>
              <w:left w:w="0" w:type="dxa"/>
              <w:top w:w="0" w:type="dxa"/>
              <w:right w:w="0" w:type="dxa"/>
              <w:bottom w:w="0" w:type="dxa"/>
            </w:tcMar>
            <w:tcW w:w="1167"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10.00分</w:t>
            </w:r>
            <w:r>
              <w:rPr>
                <w:rFonts w:hint="eastAsia" w:ascii="宋体" w:hAnsi="宋体" w:cs="宋体"/>
              </w:rPr>
            </w:r>
            <w:r/>
          </w:p>
        </w:tc>
        <w:tc>
          <w:tcPr>
            <w:tcMar>
              <w:left w:w="0" w:type="dxa"/>
              <w:top w:w="0" w:type="dxa"/>
              <w:right w:w="0" w:type="dxa"/>
              <w:bottom w:w="0" w:type="dxa"/>
            </w:tcMar>
            <w:tcW w:w="5471" w:type="dxa"/>
            <w:vAlign w:val="center"/>
            <w:textDirection w:val="lrTb"/>
            <w:noWrap w:val="false"/>
          </w:tcPr>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采用低价优先法计算，即满足招标文件要求且投标价格最低的投标报价为评标基准价，其价格分为满分。其他投标人投标报价得分＝（评标基准价/投标报价）*10。</w:t>
            </w:r>
            <w:r>
              <w:rPr>
                <w:rFonts w:hint="eastAsia" w:ascii="宋体" w:hAnsi="宋体" w:cs="宋体"/>
              </w:rPr>
            </w:r>
            <w:r/>
          </w:p>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符合规定的小微企业（含监狱企业和残疾人福利单位）报价给予10%的扣除，用扣除后的价格参加评审。</w:t>
            </w:r>
            <w:r>
              <w:rPr>
                <w:rFonts w:hint="eastAsia" w:ascii="宋体" w:hAnsi="宋体" w:cs="宋体"/>
              </w:rPr>
            </w:r>
            <w:r/>
          </w:p>
        </w:tc>
      </w:tr>
      <w:tr>
        <w:trPr/>
        <w:tc>
          <w:tcPr>
            <w:tcMar>
              <w:left w:w="0" w:type="dxa"/>
              <w:top w:w="0" w:type="dxa"/>
              <w:right w:w="0" w:type="dxa"/>
              <w:bottom w:w="0" w:type="dxa"/>
            </w:tcMar>
            <w:tcW w:w="1491" w:type="dxa"/>
            <w:vAlign w:val="center"/>
            <w:vMerge w:val="restart"/>
            <w:textDirection w:val="lrTb"/>
            <w:noWrap w:val="false"/>
          </w:tcPr>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企业经营业绩、信誉</w:t>
            </w:r>
            <w:r>
              <w:rPr>
                <w:rFonts w:hint="eastAsia" w:ascii="宋体" w:hAnsi="宋体" w:cs="宋体"/>
              </w:rPr>
            </w:r>
            <w:r/>
          </w:p>
        </w:tc>
        <w:tc>
          <w:tcPr>
            <w:tcMar>
              <w:left w:w="0" w:type="dxa"/>
              <w:top w:w="0" w:type="dxa"/>
              <w:right w:w="0" w:type="dxa"/>
              <w:bottom w:w="0" w:type="dxa"/>
            </w:tcMar>
            <w:tcW w:w="1047" w:type="dxa"/>
            <w:vAlign w:val="center"/>
            <w:textDirection w:val="lrTb"/>
            <w:noWrap w:val="false"/>
          </w:tcPr>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企业业绩</w:t>
            </w:r>
            <w:r>
              <w:rPr>
                <w:rFonts w:hint="eastAsia" w:ascii="宋体" w:hAnsi="宋体" w:cs="宋体"/>
              </w:rPr>
            </w:r>
            <w:r/>
          </w:p>
        </w:tc>
        <w:tc>
          <w:tcPr>
            <w:tcMar>
              <w:left w:w="0" w:type="dxa"/>
              <w:top w:w="0" w:type="dxa"/>
              <w:right w:w="0" w:type="dxa"/>
              <w:bottom w:w="0" w:type="dxa"/>
            </w:tcMar>
            <w:tcW w:w="1167"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6.00分</w:t>
            </w:r>
            <w:r>
              <w:rPr>
                <w:rFonts w:hint="eastAsia" w:ascii="宋体" w:hAnsi="宋体" w:cs="宋体"/>
              </w:rPr>
            </w:r>
            <w:r/>
          </w:p>
        </w:tc>
        <w:tc>
          <w:tcPr>
            <w:tcMar>
              <w:left w:w="0" w:type="dxa"/>
              <w:top w:w="0" w:type="dxa"/>
              <w:right w:w="0" w:type="dxa"/>
              <w:bottom w:w="0" w:type="dxa"/>
            </w:tcMar>
            <w:tcW w:w="5471" w:type="dxa"/>
            <w:vAlign w:val="center"/>
            <w:textDirection w:val="lrTb"/>
            <w:noWrap w:val="false"/>
          </w:tcPr>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投标人自2021年1月1日（以合同签订时间为准）以来，具有类似项目业绩的，每有一个得3分，最高得6分。</w:t>
            </w:r>
            <w:r>
              <w:rPr>
                <w:rFonts w:hint="eastAsia" w:ascii="宋体" w:hAnsi="宋体" w:cs="宋体"/>
              </w:rPr>
            </w:r>
            <w:r/>
          </w:p>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注：提供合同（主要内容、标的、签订时间清晰可见）证明扫描件，否则不得分。</w:t>
            </w:r>
            <w:r>
              <w:rPr>
                <w:rFonts w:hint="eastAsia" w:ascii="宋体" w:hAnsi="宋体" w:cs="宋体"/>
              </w:rPr>
            </w:r>
            <w:r/>
          </w:p>
        </w:tc>
      </w:tr>
      <w:tr>
        <w:trPr/>
        <w:tc>
          <w:tcPr>
            <w:tcW w:w="1491" w:type="dxa"/>
            <w:vAlign w:val="top"/>
            <w:vMerge w:val="continue"/>
            <w:textDirection w:val="lrTb"/>
            <w:noWrap w:val="false"/>
          </w:tcPr>
          <w:p>
            <w:pPr>
              <w:pStyle w:val="893"/>
              <w:rPr>
                <w:rFonts w:hint="eastAsia" w:ascii="宋体" w:hAnsi="宋体" w:cs="宋体"/>
              </w:rPr>
            </w:pPr>
            <w:r>
              <w:rPr>
                <w:rFonts w:hint="eastAsia" w:ascii="宋体" w:hAnsi="宋体" w:cs="宋体"/>
              </w:rPr>
            </w:r>
            <w:r/>
          </w:p>
        </w:tc>
        <w:tc>
          <w:tcPr>
            <w:tcMar>
              <w:left w:w="0" w:type="dxa"/>
              <w:top w:w="0" w:type="dxa"/>
              <w:right w:w="0" w:type="dxa"/>
              <w:bottom w:w="0" w:type="dxa"/>
            </w:tcMar>
            <w:tcW w:w="1047" w:type="dxa"/>
            <w:vAlign w:val="center"/>
            <w:textDirection w:val="lrTb"/>
            <w:noWrap w:val="false"/>
          </w:tcPr>
          <w:p>
            <w:pPr>
              <w:pStyle w:val="893"/>
              <w:jc w:val="left"/>
              <w:rPr>
                <w:rFonts w:hint="eastAsia" w:ascii="宋体" w:hAnsi="宋体" w:cs="宋体"/>
              </w:rPr>
            </w:pPr>
            <w:r>
              <w:rPr>
                <w:rFonts w:hint="eastAsia" w:ascii="宋体" w:hAnsi="宋体" w:cs="宋体"/>
              </w:rPr>
              <w:t xml:space="preserve">相关证书</w:t>
            </w:r>
            <w:r>
              <w:rPr>
                <w:rFonts w:hint="eastAsia" w:ascii="宋体" w:hAnsi="宋体" w:cs="宋体"/>
              </w:rPr>
            </w:r>
            <w:r/>
          </w:p>
        </w:tc>
        <w:tc>
          <w:tcPr>
            <w:tcMar>
              <w:left w:w="0" w:type="dxa"/>
              <w:top w:w="0" w:type="dxa"/>
              <w:right w:w="0" w:type="dxa"/>
              <w:bottom w:w="0" w:type="dxa"/>
            </w:tcMar>
            <w:tcW w:w="1167" w:type="dxa"/>
            <w:vAlign w:val="center"/>
            <w:textDirection w:val="lrTb"/>
            <w:noWrap w:val="false"/>
          </w:tcPr>
          <w:p>
            <w:pPr>
              <w:pStyle w:val="893"/>
              <w:jc w:val="center"/>
              <w:rPr>
                <w:rFonts w:hint="eastAsia" w:ascii="宋体" w:hAnsi="宋体" w:cs="宋体"/>
              </w:rPr>
            </w:pPr>
            <w:r>
              <w:rPr>
                <w:rFonts w:hint="eastAsia" w:ascii="宋体" w:hAnsi="宋体" w:cs="宋体"/>
              </w:rPr>
              <w:t xml:space="preserve">9.00分</w:t>
            </w:r>
            <w:r>
              <w:rPr>
                <w:rFonts w:hint="eastAsia" w:ascii="宋体" w:hAnsi="宋体" w:cs="宋体"/>
              </w:rPr>
            </w:r>
            <w:r/>
          </w:p>
        </w:tc>
        <w:tc>
          <w:tcPr>
            <w:tcMar>
              <w:left w:w="0" w:type="dxa"/>
              <w:top w:w="0" w:type="dxa"/>
              <w:right w:w="0" w:type="dxa"/>
              <w:bottom w:w="0" w:type="dxa"/>
            </w:tcMar>
            <w:tcW w:w="5471" w:type="dxa"/>
            <w:vAlign w:val="center"/>
            <w:textDirection w:val="lrTb"/>
            <w:noWrap w:val="false"/>
          </w:tcPr>
          <w:p>
            <w:pPr>
              <w:pStyle w:val="893"/>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供应商具备有效的质量管理体系认证证书、环境管理体系认证证书、职业健康安全管理体系认证证书，每提供一项的得3分，本项最高得9分。</w:t>
            </w:r>
            <w:r>
              <w:rPr>
                <w:rFonts w:hint="eastAsia" w:ascii="宋体" w:hAnsi="宋体" w:cs="宋体"/>
                <w:color w:val="000000"/>
                <w:sz w:val="22"/>
              </w:rPr>
            </w:r>
            <w:r/>
          </w:p>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注：提供以上相关证书扫描件。</w:t>
            </w:r>
            <w:r>
              <w:rPr>
                <w:rFonts w:hint="eastAsia" w:ascii="宋体" w:hAnsi="宋体" w:cs="宋体"/>
              </w:rPr>
            </w:r>
            <w:r/>
          </w:p>
        </w:tc>
      </w:tr>
      <w:tr>
        <w:trPr/>
        <w:tc>
          <w:tcPr>
            <w:tcMar>
              <w:left w:w="0" w:type="dxa"/>
              <w:top w:w="0" w:type="dxa"/>
              <w:right w:w="0" w:type="dxa"/>
              <w:bottom w:w="0" w:type="dxa"/>
            </w:tcMar>
            <w:tcW w:w="1491" w:type="dxa"/>
            <w:vAlign w:val="center"/>
            <w:vMerge w:val="restart"/>
            <w:textDirection w:val="lrTb"/>
            <w:noWrap w:val="false"/>
          </w:tcPr>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项目实施方案</w:t>
            </w:r>
            <w:r>
              <w:rPr>
                <w:rFonts w:hint="eastAsia" w:ascii="宋体" w:hAnsi="宋体" w:cs="宋体"/>
              </w:rPr>
            </w:r>
            <w:r/>
          </w:p>
        </w:tc>
        <w:tc>
          <w:tcPr>
            <w:tcMar>
              <w:left w:w="0" w:type="dxa"/>
              <w:top w:w="0" w:type="dxa"/>
              <w:right w:w="0" w:type="dxa"/>
              <w:bottom w:w="0" w:type="dxa"/>
            </w:tcMar>
            <w:tcW w:w="1047" w:type="dxa"/>
            <w:vAlign w:val="center"/>
            <w:textDirection w:val="lrTb"/>
            <w:noWrap w:val="false"/>
          </w:tcPr>
          <w:p>
            <w:pPr>
              <w:pStyle w:val="893"/>
              <w:jc w:val="left"/>
              <w:rPr>
                <w:rFonts w:hint="eastAsia" w:ascii="宋体" w:hAnsi="宋体" w:cs="宋体"/>
              </w:rPr>
            </w:pPr>
            <w:r>
              <w:rPr>
                <w:rFonts w:hint="eastAsia" w:ascii="宋体" w:hAnsi="宋体" w:cs="宋体"/>
              </w:rPr>
              <w:t xml:space="preserve">场馆运营方案</w:t>
            </w:r>
            <w:r>
              <w:rPr>
                <w:rFonts w:hint="eastAsia" w:ascii="宋体" w:hAnsi="宋体" w:cs="宋体"/>
              </w:rPr>
            </w:r>
            <w:r/>
          </w:p>
        </w:tc>
        <w:tc>
          <w:tcPr>
            <w:tcMar>
              <w:left w:w="0" w:type="dxa"/>
              <w:top w:w="0" w:type="dxa"/>
              <w:right w:w="0" w:type="dxa"/>
              <w:bottom w:w="0" w:type="dxa"/>
            </w:tcMar>
            <w:tcW w:w="1167" w:type="dxa"/>
            <w:vAlign w:val="center"/>
            <w:textDirection w:val="lrTb"/>
            <w:noWrap w:val="false"/>
          </w:tcPr>
          <w:p>
            <w:pPr>
              <w:pStyle w:val="893"/>
              <w:jc w:val="center"/>
              <w:rPr>
                <w:rFonts w:hint="eastAsia" w:ascii="宋体" w:hAnsi="宋体" w:cs="宋体"/>
              </w:rPr>
            </w:pPr>
            <w:r>
              <w:rPr>
                <w:rFonts w:hint="eastAsia" w:ascii="宋体" w:hAnsi="宋体" w:cs="宋体"/>
              </w:rPr>
              <w:t xml:space="preserve">9.00分</w:t>
            </w:r>
            <w:r>
              <w:rPr>
                <w:rFonts w:hint="eastAsia" w:ascii="宋体" w:hAnsi="宋体" w:cs="宋体"/>
              </w:rPr>
            </w:r>
            <w:r/>
          </w:p>
        </w:tc>
        <w:tc>
          <w:tcPr>
            <w:tcMar>
              <w:left w:w="0" w:type="dxa"/>
              <w:top w:w="0" w:type="dxa"/>
              <w:right w:w="0" w:type="dxa"/>
              <w:bottom w:w="0" w:type="dxa"/>
            </w:tcMar>
            <w:tcW w:w="5471" w:type="dxa"/>
            <w:vAlign w:val="center"/>
            <w:textDirection w:val="lrTb"/>
            <w:noWrap w:val="false"/>
          </w:tcPr>
          <w:p>
            <w:pPr>
              <w:pStyle w:val="893"/>
              <w:jc w:val="left"/>
              <w:rPr>
                <w:rFonts w:hint="eastAsia" w:ascii="宋体" w:hAnsi="宋体" w:cs="宋体"/>
              </w:rPr>
            </w:pPr>
            <w:r>
              <w:rPr>
                <w:rFonts w:hint="eastAsia" w:ascii="宋体" w:hAnsi="宋体" w:cs="宋体"/>
              </w:rPr>
              <w:t xml:space="preserve">根据投标人对本项目的理解及提出设施设备运营维护、常用设备提</w:t>
            </w:r>
            <w:r>
              <w:rPr>
                <w:rFonts w:hint="eastAsia" w:ascii="宋体" w:hAnsi="宋体" w:cs="宋体"/>
              </w:rPr>
              <w:t xml:space="preserve">出相应的规范操作方案、工作质量保障措施、工作人员安排、安全保护措施及应急预案等内容进行打分。充分了解本项目，方案内容详细完整，详细阐述设备的规范操作方案，人员岗位安排合理，有完整的工作质量保障措施及安全保护措施，充分列举运营时可能遇到的一些问题并提出解决方案的得9分；方案内容完整满足采购需求，简单阐述设备的操作规范，列举运营期间部分影响到工作质量、安全等问题并解决方案，满足采购需求的得7分；方案内容简略，只列举运营期间遇到的相关问题没有解决方案，但通过后期优化方案才能满足采购需求的得4分。没有内容不得分。 </w:t>
            </w:r>
            <w:r>
              <w:rPr>
                <w:rFonts w:hint="eastAsia" w:ascii="宋体" w:hAnsi="宋体" w:cs="宋体"/>
              </w:rPr>
            </w:r>
            <w:r/>
          </w:p>
        </w:tc>
      </w:tr>
      <w:tr>
        <w:trPr/>
        <w:tc>
          <w:tcPr>
            <w:tcW w:w="1491" w:type="dxa"/>
            <w:vAlign w:val="top"/>
            <w:vMerge w:val="continue"/>
            <w:textDirection w:val="lrTb"/>
            <w:noWrap w:val="false"/>
          </w:tcPr>
          <w:p>
            <w:pPr>
              <w:pStyle w:val="893"/>
              <w:rPr>
                <w:rFonts w:hint="eastAsia" w:ascii="宋体" w:hAnsi="宋体" w:cs="宋体"/>
              </w:rPr>
            </w:pPr>
            <w:r>
              <w:rPr>
                <w:rFonts w:hint="eastAsia" w:ascii="宋体" w:hAnsi="宋体" w:cs="宋体"/>
              </w:rPr>
            </w:r>
            <w:r/>
          </w:p>
        </w:tc>
        <w:tc>
          <w:tcPr>
            <w:tcMar>
              <w:left w:w="0" w:type="dxa"/>
              <w:top w:w="0" w:type="dxa"/>
              <w:right w:w="0" w:type="dxa"/>
              <w:bottom w:w="0" w:type="dxa"/>
            </w:tcMar>
            <w:tcW w:w="1047" w:type="dxa"/>
            <w:vAlign w:val="center"/>
            <w:textDirection w:val="lrTb"/>
            <w:noWrap w:val="false"/>
          </w:tcPr>
          <w:p>
            <w:pPr>
              <w:pStyle w:val="893"/>
              <w:jc w:val="left"/>
              <w:rPr>
                <w:rFonts w:hint="eastAsia" w:ascii="宋体" w:hAnsi="宋体" w:cs="宋体"/>
              </w:rPr>
            </w:pPr>
            <w:r>
              <w:rPr>
                <w:rFonts w:hint="eastAsia" w:ascii="宋体" w:hAnsi="宋体" w:cs="宋体"/>
              </w:rPr>
              <w:t xml:space="preserve">宣传推广方案</w:t>
            </w:r>
            <w:r>
              <w:rPr>
                <w:rFonts w:hint="eastAsia" w:ascii="宋体" w:hAnsi="宋体" w:cs="宋体"/>
              </w:rPr>
            </w:r>
            <w:r/>
          </w:p>
        </w:tc>
        <w:tc>
          <w:tcPr>
            <w:tcMar>
              <w:left w:w="0" w:type="dxa"/>
              <w:top w:w="0" w:type="dxa"/>
              <w:right w:w="0" w:type="dxa"/>
              <w:bottom w:w="0" w:type="dxa"/>
            </w:tcMar>
            <w:tcW w:w="1167" w:type="dxa"/>
            <w:vAlign w:val="center"/>
            <w:textDirection w:val="lrTb"/>
            <w:noWrap w:val="false"/>
          </w:tcPr>
          <w:p>
            <w:pPr>
              <w:pStyle w:val="893"/>
              <w:jc w:val="center"/>
              <w:rPr>
                <w:rFonts w:hint="eastAsia" w:ascii="宋体" w:hAnsi="宋体" w:cs="宋体"/>
              </w:rPr>
            </w:pPr>
            <w:r>
              <w:rPr>
                <w:rFonts w:hint="eastAsia" w:ascii="宋体" w:hAnsi="宋体" w:cs="宋体"/>
              </w:rPr>
              <w:t xml:space="preserve">9.00分</w:t>
            </w:r>
            <w:r>
              <w:rPr>
                <w:rFonts w:hint="eastAsia" w:ascii="宋体" w:hAnsi="宋体" w:cs="宋体"/>
              </w:rPr>
            </w:r>
            <w:r/>
          </w:p>
        </w:tc>
        <w:tc>
          <w:tcPr>
            <w:tcMar>
              <w:left w:w="0" w:type="dxa"/>
              <w:top w:w="0" w:type="dxa"/>
              <w:right w:w="0" w:type="dxa"/>
              <w:bottom w:w="0" w:type="dxa"/>
            </w:tcMar>
            <w:tcW w:w="5471" w:type="dxa"/>
            <w:vAlign w:val="center"/>
            <w:textDirection w:val="lrTb"/>
            <w:noWrap w:val="false"/>
          </w:tcPr>
          <w:p>
            <w:pPr>
              <w:pStyle w:val="893"/>
              <w:jc w:val="left"/>
              <w:rPr>
                <w:rFonts w:hint="eastAsia" w:ascii="宋体" w:hAnsi="宋体" w:cs="宋体"/>
              </w:rPr>
            </w:pPr>
            <w:r>
              <w:rPr>
                <w:rFonts w:hint="eastAsia" w:ascii="宋体" w:hAnsi="宋体" w:cs="宋体"/>
              </w:rPr>
              <w:t xml:space="preserve">根据投标人提供的宣传推广方案内容进行打分，符合现行LOGO设计、配色、文案要求的并附不低于6张效果图，宣传推广设计方案内容详细完整、创意性佳、总体布局完整，色彩核心元素运用得当的得9分；宣传推广设计方案内容完整、设计风格与主题符合程度较弱、总体布局有主次、色彩核心元素有体现的得7分；宣传推广设计方案内容简略、总体布局有无主次、色彩核心元素无体现、方案通过后期优化才能满足采购需求的得4分。效果图低于6张不得分。没有内容不得分。 </w:t>
            </w:r>
            <w:r>
              <w:rPr>
                <w:rFonts w:hint="eastAsia" w:ascii="宋体" w:hAnsi="宋体" w:cs="宋体"/>
              </w:rPr>
            </w:r>
            <w:r/>
          </w:p>
        </w:tc>
      </w:tr>
      <w:tr>
        <w:trPr/>
        <w:tc>
          <w:tcPr>
            <w:tcW w:w="1491" w:type="dxa"/>
            <w:vAlign w:val="top"/>
            <w:vMerge w:val="continue"/>
            <w:textDirection w:val="lrTb"/>
            <w:noWrap w:val="false"/>
          </w:tcPr>
          <w:p>
            <w:pPr>
              <w:pStyle w:val="893"/>
              <w:rPr>
                <w:rFonts w:hint="eastAsia" w:ascii="宋体" w:hAnsi="宋体" w:cs="宋体"/>
              </w:rPr>
            </w:pPr>
            <w:r>
              <w:rPr>
                <w:rFonts w:hint="eastAsia" w:ascii="宋体" w:hAnsi="宋体" w:cs="宋体"/>
              </w:rPr>
            </w:r>
            <w:r/>
          </w:p>
        </w:tc>
        <w:tc>
          <w:tcPr>
            <w:tcMar>
              <w:left w:w="0" w:type="dxa"/>
              <w:top w:w="0" w:type="dxa"/>
              <w:right w:w="0" w:type="dxa"/>
              <w:bottom w:w="0" w:type="dxa"/>
            </w:tcMar>
            <w:tcW w:w="1047" w:type="dxa"/>
            <w:vAlign w:val="center"/>
            <w:textDirection w:val="lrTb"/>
            <w:noWrap w:val="false"/>
          </w:tcPr>
          <w:p>
            <w:pPr>
              <w:pStyle w:val="893"/>
              <w:jc w:val="left"/>
              <w:rPr>
                <w:rFonts w:hint="eastAsia" w:ascii="宋体" w:hAnsi="宋体" w:cs="宋体"/>
              </w:rPr>
            </w:pPr>
            <w:r>
              <w:rPr>
                <w:rFonts w:hint="eastAsia" w:ascii="宋体" w:hAnsi="宋体" w:cs="宋体"/>
              </w:rPr>
              <w:t xml:space="preserve">重大活动保障方案 </w:t>
            </w:r>
            <w:r>
              <w:rPr>
                <w:rFonts w:hint="eastAsia" w:ascii="宋体" w:hAnsi="宋体" w:cs="宋体"/>
              </w:rPr>
            </w:r>
            <w:r/>
          </w:p>
        </w:tc>
        <w:tc>
          <w:tcPr>
            <w:tcMar>
              <w:left w:w="0" w:type="dxa"/>
              <w:top w:w="0" w:type="dxa"/>
              <w:right w:w="0" w:type="dxa"/>
              <w:bottom w:w="0" w:type="dxa"/>
            </w:tcMar>
            <w:tcW w:w="1167" w:type="dxa"/>
            <w:vAlign w:val="center"/>
            <w:textDirection w:val="lrTb"/>
            <w:noWrap w:val="false"/>
          </w:tcPr>
          <w:p>
            <w:pPr>
              <w:pStyle w:val="893"/>
              <w:jc w:val="center"/>
              <w:rPr>
                <w:rFonts w:hint="eastAsia" w:ascii="宋体" w:hAnsi="宋体" w:cs="宋体"/>
              </w:rPr>
            </w:pPr>
            <w:r>
              <w:rPr>
                <w:rFonts w:hint="eastAsia" w:ascii="宋体" w:hAnsi="宋体" w:cs="宋体"/>
              </w:rPr>
              <w:t xml:space="preserve">10.00分</w:t>
            </w:r>
            <w:r>
              <w:rPr>
                <w:rFonts w:hint="eastAsia" w:ascii="宋体" w:hAnsi="宋体" w:cs="宋体"/>
              </w:rPr>
            </w:r>
            <w:r/>
          </w:p>
        </w:tc>
        <w:tc>
          <w:tcPr>
            <w:tcMar>
              <w:left w:w="0" w:type="dxa"/>
              <w:top w:w="0" w:type="dxa"/>
              <w:right w:w="0" w:type="dxa"/>
              <w:bottom w:w="0" w:type="dxa"/>
            </w:tcMar>
            <w:tcW w:w="5471" w:type="dxa"/>
            <w:vAlign w:val="center"/>
            <w:textDirection w:val="lrTb"/>
            <w:noWrap w:val="false"/>
          </w:tcPr>
          <w:p>
            <w:pPr>
              <w:pStyle w:val="893"/>
              <w:jc w:val="left"/>
              <w:rPr>
                <w:rFonts w:hint="eastAsia" w:ascii="宋体" w:hAnsi="宋体" w:cs="宋体"/>
              </w:rPr>
            </w:pPr>
            <w:r>
              <w:rPr>
                <w:rFonts w:hint="eastAsia" w:ascii="宋体" w:hAnsi="宋体" w:cs="宋体"/>
              </w:rPr>
              <w:t xml:space="preserve">根据投标人提供针对重大活动保障方案进行打分，方案内容详细完整、详细列举了活动过程中可能遇到的问题并详细提出解决方案的得10分；方案内容粗略，简单阐述举办活动中部分问题，也提出相应的解决方案，但能满足采购需求的得8分；方案内容简略，列举了活动中可能遇到的问题或简单的保障措施，但通过后期优化能满足采购需求的得4分；没有内容不得分。 </w:t>
            </w:r>
            <w:r>
              <w:rPr>
                <w:rFonts w:hint="eastAsia" w:ascii="宋体" w:hAnsi="宋体" w:cs="宋体"/>
              </w:rPr>
            </w:r>
            <w:r/>
          </w:p>
        </w:tc>
      </w:tr>
      <w:tr>
        <w:trPr/>
        <w:tc>
          <w:tcPr>
            <w:tcW w:w="1491" w:type="dxa"/>
            <w:vAlign w:val="top"/>
            <w:vMerge w:val="continue"/>
            <w:textDirection w:val="lrTb"/>
            <w:noWrap w:val="false"/>
          </w:tcPr>
          <w:p>
            <w:pPr>
              <w:pStyle w:val="893"/>
              <w:rPr>
                <w:rFonts w:hint="eastAsia" w:ascii="宋体" w:hAnsi="宋体" w:cs="宋体"/>
              </w:rPr>
            </w:pPr>
            <w:r>
              <w:rPr>
                <w:rFonts w:hint="eastAsia" w:ascii="宋体" w:hAnsi="宋体" w:cs="宋体"/>
              </w:rPr>
            </w:r>
            <w:r/>
          </w:p>
        </w:tc>
        <w:tc>
          <w:tcPr>
            <w:tcMar>
              <w:left w:w="0" w:type="dxa"/>
              <w:top w:w="0" w:type="dxa"/>
              <w:right w:w="0" w:type="dxa"/>
              <w:bottom w:w="0" w:type="dxa"/>
            </w:tcMar>
            <w:tcW w:w="1047" w:type="dxa"/>
            <w:vAlign w:val="center"/>
            <w:textDirection w:val="lrTb"/>
            <w:noWrap w:val="false"/>
          </w:tcPr>
          <w:p>
            <w:pPr>
              <w:pStyle w:val="893"/>
              <w:jc w:val="left"/>
              <w:rPr>
                <w:rFonts w:hint="eastAsia" w:ascii="宋体" w:hAnsi="宋体" w:cs="宋体"/>
              </w:rPr>
            </w:pPr>
            <w:r>
              <w:rPr>
                <w:rFonts w:hint="eastAsia" w:ascii="宋体" w:hAnsi="宋体" w:cs="宋体"/>
              </w:rPr>
              <w:t xml:space="preserve">活动策划方案</w:t>
            </w:r>
            <w:r>
              <w:rPr>
                <w:rFonts w:hint="eastAsia" w:ascii="宋体" w:hAnsi="宋体" w:cs="宋体"/>
              </w:rPr>
            </w:r>
            <w:r/>
          </w:p>
        </w:tc>
        <w:tc>
          <w:tcPr>
            <w:tcMar>
              <w:left w:w="0" w:type="dxa"/>
              <w:top w:w="0" w:type="dxa"/>
              <w:right w:w="0" w:type="dxa"/>
              <w:bottom w:w="0" w:type="dxa"/>
            </w:tcMar>
            <w:tcW w:w="1167" w:type="dxa"/>
            <w:vAlign w:val="center"/>
            <w:textDirection w:val="lrTb"/>
            <w:noWrap w:val="false"/>
          </w:tcPr>
          <w:p>
            <w:pPr>
              <w:pStyle w:val="893"/>
              <w:jc w:val="center"/>
              <w:rPr>
                <w:rFonts w:hint="eastAsia" w:ascii="宋体" w:hAnsi="宋体" w:cs="宋体"/>
              </w:rPr>
            </w:pPr>
            <w:r>
              <w:rPr>
                <w:rFonts w:hint="eastAsia" w:ascii="宋体" w:hAnsi="宋体" w:cs="宋体"/>
              </w:rPr>
              <w:t xml:space="preserve">9.00分</w:t>
            </w:r>
            <w:r>
              <w:rPr>
                <w:rFonts w:hint="eastAsia" w:ascii="宋体" w:hAnsi="宋体" w:cs="宋体"/>
              </w:rPr>
            </w:r>
            <w:r/>
          </w:p>
        </w:tc>
        <w:tc>
          <w:tcPr>
            <w:tcMar>
              <w:left w:w="0" w:type="dxa"/>
              <w:top w:w="0" w:type="dxa"/>
              <w:right w:w="0" w:type="dxa"/>
              <w:bottom w:w="0" w:type="dxa"/>
            </w:tcMar>
            <w:tcW w:w="5471" w:type="dxa"/>
            <w:vAlign w:val="center"/>
            <w:textDirection w:val="lrTb"/>
            <w:noWrap w:val="false"/>
          </w:tcPr>
          <w:p>
            <w:pPr>
              <w:pStyle w:val="893"/>
              <w:jc w:val="left"/>
              <w:rPr>
                <w:rFonts w:hint="eastAsia" w:ascii="宋体" w:hAnsi="宋体" w:cs="宋体"/>
              </w:rPr>
            </w:pPr>
            <w:r>
              <w:rPr>
                <w:rFonts w:hint="eastAsia" w:ascii="宋体" w:hAnsi="宋体" w:cs="宋体"/>
              </w:rPr>
              <w:t xml:space="preserve">根据投标人提供的活动策划方案内容进行打分，方案内容详细完整，细化活动方案、实施方案且优于采购需求的得9分；方案内容粗略，活动相关细节联系紧凑，但能满足采购需求的得7分；方案内容简略，有活动的描述、通过后期优化能满足采购需求的得4分；没有内容不得分。 </w:t>
            </w:r>
            <w:r>
              <w:rPr>
                <w:rFonts w:hint="eastAsia" w:ascii="宋体" w:hAnsi="宋体" w:cs="宋体"/>
              </w:rPr>
            </w:r>
            <w:r/>
          </w:p>
        </w:tc>
      </w:tr>
      <w:tr>
        <w:trPr/>
        <w:tc>
          <w:tcPr>
            <w:tcW w:w="1491" w:type="dxa"/>
            <w:vAlign w:val="top"/>
            <w:vMerge w:val="continue"/>
            <w:textDirection w:val="lrTb"/>
            <w:noWrap w:val="false"/>
          </w:tcPr>
          <w:p>
            <w:pPr>
              <w:pStyle w:val="893"/>
              <w:rPr>
                <w:rFonts w:hint="eastAsia" w:ascii="宋体" w:hAnsi="宋体" w:cs="宋体"/>
              </w:rPr>
            </w:pPr>
            <w:r>
              <w:rPr>
                <w:rFonts w:hint="eastAsia" w:ascii="宋体" w:hAnsi="宋体" w:cs="宋体"/>
              </w:rPr>
            </w:r>
            <w:r/>
          </w:p>
        </w:tc>
        <w:tc>
          <w:tcPr>
            <w:tcMar>
              <w:left w:w="0" w:type="dxa"/>
              <w:top w:w="0" w:type="dxa"/>
              <w:right w:w="0" w:type="dxa"/>
              <w:bottom w:w="0" w:type="dxa"/>
            </w:tcMar>
            <w:tcW w:w="1047" w:type="dxa"/>
            <w:vAlign w:val="center"/>
            <w:textDirection w:val="lrTb"/>
            <w:noWrap w:val="false"/>
          </w:tcPr>
          <w:p>
            <w:pPr>
              <w:pStyle w:val="893"/>
              <w:jc w:val="left"/>
              <w:rPr>
                <w:rFonts w:hint="eastAsia" w:ascii="宋体" w:hAnsi="宋体" w:cs="宋体"/>
              </w:rPr>
            </w:pPr>
            <w:r>
              <w:rPr>
                <w:rFonts w:hint="eastAsia" w:ascii="宋体" w:hAnsi="宋体" w:cs="宋体"/>
              </w:rPr>
              <w:t xml:space="preserve">内部考核制度</w:t>
            </w:r>
            <w:r>
              <w:rPr>
                <w:rFonts w:hint="eastAsia" w:ascii="宋体" w:hAnsi="宋体" w:cs="宋体"/>
              </w:rPr>
            </w:r>
            <w:r/>
          </w:p>
        </w:tc>
        <w:tc>
          <w:tcPr>
            <w:tcMar>
              <w:left w:w="0" w:type="dxa"/>
              <w:top w:w="0" w:type="dxa"/>
              <w:right w:w="0" w:type="dxa"/>
              <w:bottom w:w="0" w:type="dxa"/>
            </w:tcMar>
            <w:tcW w:w="1167" w:type="dxa"/>
            <w:vAlign w:val="center"/>
            <w:textDirection w:val="lrTb"/>
            <w:noWrap w:val="false"/>
          </w:tcPr>
          <w:p>
            <w:pPr>
              <w:pStyle w:val="893"/>
              <w:jc w:val="center"/>
              <w:rPr>
                <w:rFonts w:hint="eastAsia" w:ascii="宋体" w:hAnsi="宋体" w:cs="宋体"/>
              </w:rPr>
            </w:pPr>
            <w:r>
              <w:rPr>
                <w:rFonts w:hint="eastAsia" w:ascii="宋体" w:hAnsi="宋体" w:cs="宋体"/>
              </w:rPr>
              <w:t xml:space="preserve">10.00分</w:t>
            </w:r>
            <w:r>
              <w:rPr>
                <w:rFonts w:hint="eastAsia" w:ascii="宋体" w:hAnsi="宋体" w:cs="宋体"/>
              </w:rPr>
            </w:r>
            <w:r/>
          </w:p>
        </w:tc>
        <w:tc>
          <w:tcPr>
            <w:tcMar>
              <w:left w:w="0" w:type="dxa"/>
              <w:top w:w="0" w:type="dxa"/>
              <w:right w:w="0" w:type="dxa"/>
              <w:bottom w:w="0" w:type="dxa"/>
            </w:tcMar>
            <w:tcW w:w="5471" w:type="dxa"/>
            <w:vAlign w:val="center"/>
            <w:textDirection w:val="lrTb"/>
            <w:noWrap w:val="false"/>
          </w:tcPr>
          <w:p>
            <w:pPr>
              <w:pStyle w:val="893"/>
              <w:jc w:val="left"/>
              <w:rPr>
                <w:rFonts w:hint="eastAsia" w:ascii="宋体" w:hAnsi="宋体" w:cs="宋体"/>
              </w:rPr>
            </w:pPr>
            <w:r>
              <w:rPr>
                <w:rFonts w:hint="eastAsia" w:ascii="宋体" w:hAnsi="宋体" w:cs="宋体"/>
              </w:rPr>
              <w:t xml:space="preserve">根据供应商针对本项目情况提供特色考核方案内容（采购需求已明示的除外）进行打分，考核方案详细完整、理念先进、有具体的奖惩措施、内容详实且优于采购需求的得10分；考核方案完整、有奖惩措施、内容详实且能满足采购需求的得8分；考核方案内容简略，通过后期优化能满足采购需求的得4分；没有内容不得分。 </w:t>
            </w:r>
            <w:r>
              <w:rPr>
                <w:rFonts w:hint="eastAsia" w:ascii="宋体" w:hAnsi="宋体" w:cs="宋体"/>
              </w:rPr>
            </w:r>
            <w:r/>
          </w:p>
        </w:tc>
      </w:tr>
      <w:tr>
        <w:trPr/>
        <w:tc>
          <w:tcPr>
            <w:tcW w:w="1491" w:type="dxa"/>
            <w:vAlign w:val="top"/>
            <w:vMerge w:val="continue"/>
            <w:textDirection w:val="lrTb"/>
            <w:noWrap w:val="false"/>
          </w:tcPr>
          <w:p>
            <w:pPr>
              <w:pStyle w:val="893"/>
              <w:rPr>
                <w:rFonts w:hint="eastAsia" w:ascii="宋体" w:hAnsi="宋体" w:cs="宋体"/>
              </w:rPr>
            </w:pPr>
            <w:r>
              <w:rPr>
                <w:rFonts w:hint="eastAsia" w:ascii="宋体" w:hAnsi="宋体" w:cs="宋体"/>
              </w:rPr>
            </w:r>
            <w:r/>
          </w:p>
        </w:tc>
        <w:tc>
          <w:tcPr>
            <w:tcMar>
              <w:left w:w="0" w:type="dxa"/>
              <w:top w:w="0" w:type="dxa"/>
              <w:right w:w="0" w:type="dxa"/>
              <w:bottom w:w="0" w:type="dxa"/>
            </w:tcMar>
            <w:tcW w:w="1047" w:type="dxa"/>
            <w:vAlign w:val="center"/>
            <w:textDirection w:val="lrTb"/>
            <w:noWrap w:val="false"/>
          </w:tcPr>
          <w:p>
            <w:pPr>
              <w:pStyle w:val="893"/>
              <w:jc w:val="left"/>
              <w:rPr>
                <w:rFonts w:hint="eastAsia" w:ascii="宋体" w:hAnsi="宋体" w:cs="宋体"/>
              </w:rPr>
            </w:pPr>
            <w:r>
              <w:rPr>
                <w:rFonts w:hint="eastAsia" w:ascii="宋体" w:hAnsi="宋体" w:cs="宋体"/>
              </w:rPr>
              <w:t xml:space="preserve">成本及费用测算合理性 </w:t>
            </w:r>
            <w:r>
              <w:rPr>
                <w:rFonts w:hint="eastAsia" w:ascii="宋体" w:hAnsi="宋体" w:cs="宋体"/>
              </w:rPr>
            </w:r>
            <w:r/>
          </w:p>
        </w:tc>
        <w:tc>
          <w:tcPr>
            <w:tcMar>
              <w:left w:w="0" w:type="dxa"/>
              <w:top w:w="0" w:type="dxa"/>
              <w:right w:w="0" w:type="dxa"/>
              <w:bottom w:w="0" w:type="dxa"/>
            </w:tcMar>
            <w:tcW w:w="1167" w:type="dxa"/>
            <w:vAlign w:val="center"/>
            <w:textDirection w:val="lrTb"/>
            <w:noWrap w:val="false"/>
          </w:tcPr>
          <w:p>
            <w:pPr>
              <w:pStyle w:val="893"/>
              <w:jc w:val="center"/>
              <w:rPr>
                <w:rFonts w:hint="eastAsia" w:ascii="宋体" w:hAnsi="宋体" w:cs="宋体"/>
              </w:rPr>
            </w:pPr>
            <w:r>
              <w:rPr>
                <w:rFonts w:hint="eastAsia" w:ascii="宋体" w:hAnsi="宋体" w:cs="宋体"/>
              </w:rPr>
              <w:t xml:space="preserve">7.00分</w:t>
            </w:r>
            <w:r>
              <w:rPr>
                <w:rFonts w:hint="eastAsia" w:ascii="宋体" w:hAnsi="宋体" w:cs="宋体"/>
              </w:rPr>
            </w:r>
            <w:r/>
          </w:p>
        </w:tc>
        <w:tc>
          <w:tcPr>
            <w:tcMar>
              <w:left w:w="0" w:type="dxa"/>
              <w:top w:w="0" w:type="dxa"/>
              <w:right w:w="0" w:type="dxa"/>
              <w:bottom w:w="0" w:type="dxa"/>
            </w:tcMar>
            <w:tcW w:w="5471" w:type="dxa"/>
            <w:vAlign w:val="center"/>
            <w:textDirection w:val="lrTb"/>
            <w:noWrap w:val="false"/>
          </w:tcPr>
          <w:p>
            <w:pPr>
              <w:pStyle w:val="893"/>
              <w:jc w:val="left"/>
              <w:rPr>
                <w:rFonts w:hint="eastAsia" w:ascii="宋体" w:hAnsi="宋体" w:cs="宋体"/>
              </w:rPr>
            </w:pPr>
            <w:r>
              <w:rPr>
                <w:rFonts w:hint="eastAsia" w:ascii="宋体" w:hAnsi="宋体" w:cs="宋体"/>
              </w:rPr>
              <w:t xml:space="preserve">根据各供应商明细报价表中所涉及到的员工工资及社保、福利待遇（是否根据不合理岗位分配员工工资，是否能够激发员工工作积极性，是否全面详细）； 设备采购或折旧费、日常物耗等其他费用核算条目的详细程度、精确性、全面性等进行打分。报价详细合理、详细准确的得7分，报价全面、能满足采购需求的得5分，报价内容欠缺、但承诺后期优化能够满足的得3分。 注：明细报价表中如出现“主动让利、优惠、折扣”等，视为报价不合理，本项目不得分。 </w:t>
            </w:r>
            <w:r>
              <w:rPr>
                <w:rFonts w:hint="eastAsia" w:ascii="宋体" w:hAnsi="宋体" w:cs="宋体"/>
              </w:rPr>
            </w:r>
            <w:r/>
          </w:p>
        </w:tc>
      </w:tr>
      <w:tr>
        <w:trPr/>
        <w:tc>
          <w:tcPr>
            <w:tcMar>
              <w:left w:w="0" w:type="dxa"/>
              <w:top w:w="0" w:type="dxa"/>
              <w:right w:w="0" w:type="dxa"/>
              <w:bottom w:w="0" w:type="dxa"/>
            </w:tcMar>
            <w:tcW w:w="1491" w:type="dxa"/>
            <w:vAlign w:val="center"/>
            <w:vMerge w:val="restart"/>
            <w:textDirection w:val="lrTb"/>
            <w:noWrap w:val="false"/>
          </w:tcPr>
          <w:p>
            <w:pPr>
              <w:pStyle w:val="893"/>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其他</w:t>
            </w:r>
            <w:r>
              <w:rPr>
                <w:rFonts w:hint="eastAsia" w:ascii="宋体" w:hAnsi="宋体" w:cs="宋体"/>
                <w:color w:val="000000"/>
                <w:sz w:val="22"/>
              </w:rPr>
            </w:r>
            <w:r/>
          </w:p>
        </w:tc>
        <w:tc>
          <w:tcPr>
            <w:tcMar>
              <w:left w:w="0" w:type="dxa"/>
              <w:top w:w="0" w:type="dxa"/>
              <w:right w:w="0" w:type="dxa"/>
              <w:bottom w:w="0" w:type="dxa"/>
            </w:tcMar>
            <w:tcW w:w="1047" w:type="dxa"/>
            <w:vAlign w:val="center"/>
            <w:textDirection w:val="lrTb"/>
            <w:noWrap w:val="false"/>
          </w:tcPr>
          <w:p>
            <w:pPr>
              <w:pStyle w:val="893"/>
              <w:jc w:val="left"/>
              <w:rPr>
                <w:rFonts w:hint="eastAsia" w:ascii="宋体" w:hAnsi="宋体" w:cs="宋体"/>
                <w:color w:val="000000"/>
                <w:sz w:val="22"/>
              </w:rPr>
            </w:pPr>
            <w:r>
              <w:rPr>
                <w:rFonts w:hint="eastAsia" w:ascii="宋体" w:hAnsi="宋体" w:cs="宋体"/>
              </w:rPr>
              <w:t xml:space="preserve">售后服务</w:t>
            </w:r>
            <w:r>
              <w:rPr>
                <w:rFonts w:hint="eastAsia" w:ascii="宋体" w:hAnsi="宋体" w:cs="宋体"/>
                <w:color w:val="000000"/>
                <w:sz w:val="22"/>
              </w:rPr>
            </w:r>
            <w:r/>
          </w:p>
        </w:tc>
        <w:tc>
          <w:tcPr>
            <w:tcMar>
              <w:left w:w="0" w:type="dxa"/>
              <w:top w:w="0" w:type="dxa"/>
              <w:right w:w="0" w:type="dxa"/>
              <w:bottom w:w="0" w:type="dxa"/>
            </w:tcMar>
            <w:tcW w:w="1167" w:type="dxa"/>
            <w:vAlign w:val="center"/>
            <w:textDirection w:val="lrTb"/>
            <w:noWrap w:val="false"/>
          </w:tcPr>
          <w:p>
            <w:pPr>
              <w:pStyle w:val="893"/>
              <w:jc w:val="center"/>
              <w:rPr>
                <w:rFonts w:hint="eastAsia" w:ascii="宋体" w:hAnsi="宋体" w:cs="宋体"/>
                <w:color w:val="000000"/>
                <w:sz w:val="22"/>
              </w:rPr>
            </w:pPr>
            <w:r>
              <w:rPr>
                <w:rFonts w:hint="eastAsia" w:ascii="宋体" w:hAnsi="宋体" w:cs="宋体"/>
              </w:rPr>
              <w:t xml:space="preserve">10.00分</w:t>
            </w:r>
            <w:r>
              <w:rPr>
                <w:rFonts w:hint="eastAsia" w:ascii="宋体" w:hAnsi="宋体" w:cs="宋体"/>
                <w:color w:val="000000"/>
                <w:sz w:val="22"/>
              </w:rPr>
            </w:r>
            <w:r/>
          </w:p>
        </w:tc>
        <w:tc>
          <w:tcPr>
            <w:tcMar>
              <w:left w:w="0" w:type="dxa"/>
              <w:top w:w="0" w:type="dxa"/>
              <w:right w:w="0" w:type="dxa"/>
              <w:bottom w:w="0" w:type="dxa"/>
            </w:tcMar>
            <w:tcW w:w="5471" w:type="dxa"/>
            <w:vAlign w:val="center"/>
            <w:textDirection w:val="lrTb"/>
            <w:noWrap w:val="false"/>
          </w:tcPr>
          <w:p>
            <w:pPr>
              <w:pStyle w:val="893"/>
              <w:jc w:val="left"/>
              <w:rPr>
                <w:rFonts w:hint="eastAsia" w:ascii="宋体" w:hAnsi="宋体" w:cs="宋体"/>
                <w:color w:val="000000"/>
                <w:sz w:val="22"/>
              </w:rPr>
            </w:pPr>
            <w:r>
              <w:rPr>
                <w:rFonts w:hint="eastAsia" w:ascii="宋体" w:hAnsi="宋体" w:cs="宋体"/>
              </w:rPr>
              <w:t xml:space="preserve">评标委员会对投标人的售后服务方案进行打分，内容包括服务保障体系、服务内容、响应时间和程度、解决问题的能力、紧急故障处理预案、备件等以及维护期内外的后续技术支持和维护能力相关内容逐项进行打分。售后服务方案内容详细全面、条理清晰、流程规范、响应时间积极、优于采购需求的，得10分；售后服务方案内容基本详实、有一定条理性、响应时间滞后，能够满足采购需求的得8分；售后服务方案内容简略、无条理性、通过后期优化能够满足需求的得4分；其他情况或没有内容不得分。</w:t>
            </w:r>
            <w:r>
              <w:rPr>
                <w:rFonts w:hint="eastAsia" w:ascii="宋体" w:hAnsi="宋体" w:cs="宋体"/>
                <w:color w:val="000000"/>
                <w:sz w:val="22"/>
              </w:rPr>
            </w:r>
            <w:r/>
          </w:p>
        </w:tc>
      </w:tr>
      <w:tr>
        <w:trPr/>
        <w:tc>
          <w:tcPr>
            <w:tcMar>
              <w:left w:w="0" w:type="dxa"/>
              <w:top w:w="0" w:type="dxa"/>
              <w:right w:w="0" w:type="dxa"/>
              <w:bottom w:w="0" w:type="dxa"/>
            </w:tcMar>
            <w:tcW w:w="1491" w:type="dxa"/>
            <w:vAlign w:val="center"/>
            <w:vMerge w:val="continue"/>
            <w:textDirection w:val="lrTb"/>
            <w:noWrap w:val="false"/>
          </w:tcPr>
          <w:p>
            <w:pPr>
              <w:pStyle w:val="893"/>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r>
            <w:r/>
          </w:p>
        </w:tc>
        <w:tc>
          <w:tcPr>
            <w:tcMar>
              <w:left w:w="0" w:type="dxa"/>
              <w:top w:w="0" w:type="dxa"/>
              <w:right w:w="0" w:type="dxa"/>
              <w:bottom w:w="0" w:type="dxa"/>
            </w:tcMar>
            <w:tcW w:w="1047" w:type="dxa"/>
            <w:vAlign w:val="center"/>
            <w:textDirection w:val="lrTb"/>
            <w:noWrap w:val="false"/>
          </w:tcPr>
          <w:p>
            <w:pPr>
              <w:pStyle w:val="893"/>
              <w:jc w:val="left"/>
              <w:rPr>
                <w:rFonts w:hint="eastAsia" w:ascii="宋体" w:hAnsi="宋体" w:cs="宋体"/>
                <w:color w:val="000000"/>
                <w:sz w:val="22"/>
              </w:rPr>
            </w:pPr>
            <w:r>
              <w:rPr>
                <w:rFonts w:hint="eastAsia" w:ascii="宋体" w:hAnsi="宋体" w:cs="宋体"/>
              </w:rPr>
              <w:t xml:space="preserve">人员配置</w:t>
            </w:r>
            <w:r>
              <w:rPr>
                <w:rFonts w:hint="eastAsia" w:ascii="宋体" w:hAnsi="宋体" w:cs="宋体"/>
                <w:color w:val="000000"/>
                <w:sz w:val="22"/>
              </w:rPr>
            </w:r>
            <w:r/>
          </w:p>
        </w:tc>
        <w:tc>
          <w:tcPr>
            <w:tcMar>
              <w:left w:w="0" w:type="dxa"/>
              <w:top w:w="0" w:type="dxa"/>
              <w:right w:w="0" w:type="dxa"/>
              <w:bottom w:w="0" w:type="dxa"/>
            </w:tcMar>
            <w:tcW w:w="1167" w:type="dxa"/>
            <w:vAlign w:val="center"/>
            <w:textDirection w:val="lrTb"/>
            <w:noWrap w:val="false"/>
          </w:tcPr>
          <w:p>
            <w:pPr>
              <w:pStyle w:val="893"/>
              <w:jc w:val="center"/>
              <w:rPr>
                <w:rFonts w:hint="eastAsia" w:ascii="宋体" w:hAnsi="宋体" w:cs="宋体"/>
                <w:color w:val="000000"/>
                <w:sz w:val="22"/>
              </w:rPr>
            </w:pPr>
            <w:r>
              <w:rPr>
                <w:rFonts w:hint="eastAsia" w:ascii="宋体" w:hAnsi="宋体" w:cs="宋体"/>
              </w:rPr>
              <w:t xml:space="preserve">4.00分</w:t>
            </w:r>
            <w:r>
              <w:rPr>
                <w:rFonts w:hint="eastAsia" w:ascii="宋体" w:hAnsi="宋体" w:cs="宋体"/>
                <w:color w:val="000000"/>
                <w:sz w:val="22"/>
              </w:rPr>
            </w:r>
            <w:r/>
          </w:p>
        </w:tc>
        <w:tc>
          <w:tcPr>
            <w:tcMar>
              <w:left w:w="0" w:type="dxa"/>
              <w:top w:w="0" w:type="dxa"/>
              <w:right w:w="0" w:type="dxa"/>
              <w:bottom w:w="0" w:type="dxa"/>
            </w:tcMar>
            <w:tcW w:w="5471" w:type="dxa"/>
            <w:vAlign w:val="center"/>
            <w:textDirection w:val="lrTb"/>
            <w:noWrap w:val="false"/>
          </w:tcPr>
          <w:p>
            <w:pPr>
              <w:pStyle w:val="893"/>
              <w:jc w:val="left"/>
              <w:rPr>
                <w:rFonts w:hint="eastAsia" w:ascii="宋体" w:hAnsi="宋体" w:cs="宋体"/>
                <w:color w:val="000000"/>
                <w:sz w:val="22"/>
              </w:rPr>
            </w:pPr>
            <w:r>
              <w:rPr>
                <w:rFonts w:hint="eastAsia" w:ascii="宋体" w:hAnsi="宋体" w:cs="宋体"/>
              </w:rPr>
              <w:t xml:space="preserve">技术维护员具有智能化系统工程师（高级）、网络工程师、IT运维工程师（高级）、电工证证书的，每有一个得1分，最高得4分。注：提供技术维护员证书原件扫描件且一人具有多证的不重复计分。</w:t>
            </w:r>
            <w:r>
              <w:rPr>
                <w:rFonts w:hint="eastAsia" w:ascii="宋体" w:hAnsi="宋体" w:cs="宋体"/>
                <w:color w:val="000000"/>
                <w:sz w:val="22"/>
              </w:rPr>
            </w:r>
            <w:r/>
          </w:p>
        </w:tc>
      </w:tr>
      <w:tr>
        <w:trPr/>
        <w:tc>
          <w:tcPr>
            <w:tcMar>
              <w:left w:w="0" w:type="dxa"/>
              <w:top w:w="0" w:type="dxa"/>
              <w:right w:w="0" w:type="dxa"/>
              <w:bottom w:w="0" w:type="dxa"/>
            </w:tcMar>
            <w:tcW w:w="1491" w:type="dxa"/>
            <w:vAlign w:val="center"/>
            <w:vMerge w:val="continue"/>
            <w:textDirection w:val="lrTb"/>
            <w:noWrap w:val="false"/>
          </w:tcPr>
          <w:p>
            <w:pPr>
              <w:pStyle w:val="893"/>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r>
            <w:r/>
          </w:p>
        </w:tc>
        <w:tc>
          <w:tcPr>
            <w:tcMar>
              <w:left w:w="0" w:type="dxa"/>
              <w:top w:w="0" w:type="dxa"/>
              <w:right w:w="0" w:type="dxa"/>
              <w:bottom w:w="0" w:type="dxa"/>
            </w:tcMar>
            <w:tcW w:w="1047" w:type="dxa"/>
            <w:vAlign w:val="center"/>
            <w:textDirection w:val="lrTb"/>
            <w:noWrap w:val="false"/>
          </w:tcPr>
          <w:p>
            <w:pPr>
              <w:pStyle w:val="893"/>
              <w:jc w:val="left"/>
              <w:rPr>
                <w:rFonts w:hint="eastAsia" w:ascii="宋体" w:hAnsi="宋体" w:cs="宋体"/>
                <w:color w:val="000000"/>
                <w:sz w:val="22"/>
              </w:rPr>
            </w:pPr>
            <w:r>
              <w:rPr>
                <w:rFonts w:hint="eastAsia" w:ascii="宋体" w:hAnsi="宋体" w:cs="宋体"/>
              </w:rPr>
              <w:t xml:space="preserve">讲解员 </w:t>
            </w:r>
            <w:r>
              <w:rPr>
                <w:rFonts w:hint="eastAsia" w:ascii="宋体" w:hAnsi="宋体" w:cs="宋体"/>
                <w:color w:val="000000"/>
                <w:sz w:val="22"/>
              </w:rPr>
            </w:r>
            <w:r/>
          </w:p>
        </w:tc>
        <w:tc>
          <w:tcPr>
            <w:tcMar>
              <w:left w:w="0" w:type="dxa"/>
              <w:top w:w="0" w:type="dxa"/>
              <w:right w:w="0" w:type="dxa"/>
              <w:bottom w:w="0" w:type="dxa"/>
            </w:tcMar>
            <w:tcW w:w="1167" w:type="dxa"/>
            <w:vAlign w:val="center"/>
            <w:textDirection w:val="lrTb"/>
            <w:noWrap w:val="false"/>
          </w:tcPr>
          <w:p>
            <w:pPr>
              <w:pStyle w:val="893"/>
              <w:jc w:val="center"/>
              <w:rPr>
                <w:rFonts w:hint="eastAsia" w:ascii="宋体" w:hAnsi="宋体" w:cs="宋体"/>
                <w:color w:val="000000"/>
                <w:sz w:val="22"/>
              </w:rPr>
            </w:pPr>
            <w:r>
              <w:rPr>
                <w:rFonts w:hint="eastAsia" w:ascii="宋体" w:hAnsi="宋体" w:cs="宋体"/>
              </w:rPr>
              <w:t xml:space="preserve">7.00分</w:t>
            </w:r>
            <w:r>
              <w:rPr>
                <w:rFonts w:hint="eastAsia" w:ascii="宋体" w:hAnsi="宋体" w:cs="宋体"/>
                <w:color w:val="000000"/>
                <w:sz w:val="22"/>
              </w:rPr>
            </w:r>
            <w:r/>
          </w:p>
        </w:tc>
        <w:tc>
          <w:tcPr>
            <w:tcMar>
              <w:left w:w="0" w:type="dxa"/>
              <w:top w:w="0" w:type="dxa"/>
              <w:right w:w="0" w:type="dxa"/>
              <w:bottom w:w="0" w:type="dxa"/>
            </w:tcMar>
            <w:tcW w:w="5471" w:type="dxa"/>
            <w:vAlign w:val="center"/>
            <w:textDirection w:val="lrTb"/>
            <w:noWrap w:val="false"/>
          </w:tcPr>
          <w:p>
            <w:pPr>
              <w:pStyle w:val="893"/>
              <w:numPr>
                <w:ilvl w:val="0"/>
                <w:numId w:val="5"/>
              </w:numPr>
              <w:jc w:val="left"/>
              <w:tabs>
                <w:tab w:val="left" w:pos="312" w:leader="none"/>
              </w:tabs>
              <w:rPr>
                <w:rFonts w:hint="eastAsia" w:ascii="宋体" w:hAnsi="宋体" w:cs="宋体"/>
              </w:rPr>
            </w:pPr>
            <w:r>
              <w:rPr>
                <w:rFonts w:hint="eastAsia" w:ascii="宋体" w:hAnsi="宋体" w:cs="宋体"/>
              </w:rPr>
              <w:t xml:space="preserve">拟派讲解员中具有普通话二级甲等及以上证书的每人得1分，最高得3分。提供证书原件扫描件。 </w:t>
            </w:r>
            <w:r>
              <w:rPr>
                <w:rFonts w:hint="eastAsia" w:ascii="宋体" w:hAnsi="宋体" w:cs="宋体"/>
              </w:rPr>
            </w:r>
            <w:r/>
          </w:p>
          <w:p>
            <w:pPr>
              <w:pStyle w:val="893"/>
              <w:numPr>
                <w:ilvl w:val="0"/>
                <w:numId w:val="5"/>
              </w:numPr>
              <w:jc w:val="left"/>
              <w:tabs>
                <w:tab w:val="left" w:pos="312" w:leader="none"/>
              </w:tabs>
              <w:rPr>
                <w:rFonts w:hint="eastAsia" w:ascii="宋体" w:hAnsi="宋体" w:cs="宋体"/>
                <w:color w:val="000000"/>
                <w:sz w:val="22"/>
              </w:rPr>
            </w:pPr>
            <w:r>
              <w:rPr>
                <w:rFonts w:hint="eastAsia" w:ascii="宋体" w:hAnsi="宋体" w:cs="宋体"/>
              </w:rPr>
              <w:t xml:space="preserve">拟派讲解员中具有播音与主持艺术（或表演专业）全日制本科及以上的，每有1人得2分，最高得4分。提供证书原件扫描件。 </w:t>
            </w:r>
            <w:r>
              <w:rPr>
                <w:rFonts w:hint="eastAsia" w:ascii="宋体" w:hAnsi="宋体" w:cs="宋体"/>
                <w:color w:val="000000"/>
                <w:sz w:val="22"/>
              </w:rPr>
            </w:r>
            <w:r/>
          </w:p>
        </w:tc>
      </w:tr>
    </w:tbl>
    <w:p>
      <w:pPr>
        <w:pStyle w:val="893"/>
        <w:rPr>
          <w:rFonts w:hint="eastAsia" w:ascii="宋体" w:hAnsi="宋体" w:cs="宋体"/>
        </w:rPr>
      </w:pPr>
      <w:r>
        <w:rPr>
          <w:rFonts w:hint="eastAsia" w:ascii="宋体" w:hAnsi="宋体" w:cs="宋体"/>
        </w:rPr>
      </w:r>
      <w:r/>
    </w:p>
    <w:p>
      <w:pPr>
        <w:pStyle w:val="893"/>
        <w:ind w:firstLine="241"/>
        <w:spacing w:line="4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（三）评标结果。</w:t>
      </w:r>
      <w:r>
        <w:rPr>
          <w:rFonts w:hint="eastAsia" w:ascii="宋体" w:hAnsi="宋体" w:cs="宋体"/>
          <w:color w:val="000000"/>
          <w:sz w:val="24"/>
        </w:rPr>
        <w:t xml:space="preserve">评标委员会按照本办法规定推荐中标候选人，并形成评标报告。</w:t>
      </w:r>
      <w:r>
        <w:rPr>
          <w:rFonts w:hint="eastAsia" w:ascii="宋体" w:hAnsi="宋体" w:cs="宋体"/>
        </w:rPr>
      </w:r>
      <w:r/>
    </w:p>
    <w:p>
      <w:pPr>
        <w:pStyle w:val="893"/>
        <w:ind w:firstLine="241"/>
        <w:spacing w:line="4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（四）政府采购政策功能落实</w:t>
      </w:r>
      <w:r>
        <w:rPr>
          <w:rFonts w:hint="eastAsia" w:ascii="宋体" w:hAnsi="宋体" w:cs="宋体"/>
        </w:rPr>
      </w:r>
      <w:r/>
    </w:p>
    <w:p>
      <w:pPr>
        <w:pStyle w:val="893"/>
        <w:ind w:firstLine="241"/>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本项目落实的政府采购政策对应以下序号为</w:t>
      </w:r>
      <w:r>
        <w:rPr>
          <w:rFonts w:hint="eastAsia" w:ascii="宋体" w:hAnsi="宋体" w:cs="宋体"/>
          <w:b/>
          <w:color w:val="000000"/>
          <w:sz w:val="24"/>
          <w:u w:val="single"/>
        </w:rPr>
        <w:t xml:space="preserve">1、2、3、4</w:t>
      </w:r>
      <w:r>
        <w:rPr>
          <w:rFonts w:hint="eastAsia" w:ascii="宋体" w:hAnsi="宋体" w:cs="宋体"/>
        </w:rPr>
      </w:r>
      <w:r/>
    </w:p>
    <w:p>
      <w:pPr>
        <w:pStyle w:val="893"/>
        <w:numPr>
          <w:ilvl w:val="0"/>
          <w:numId w:val="6"/>
        </w:numPr>
        <w:spacing w:line="4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采购本国货物、工程和服务</w:t>
      </w:r>
      <w:r>
        <w:rPr>
          <w:rFonts w:hint="eastAsia" w:ascii="宋体" w:hAnsi="宋体" w:cs="宋体"/>
        </w:rPr>
      </w:r>
      <w:r/>
    </w:p>
    <w:p>
      <w:pPr>
        <w:pStyle w:val="893"/>
        <w:ind w:firstLine="480"/>
        <w:spacing w:line="4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rPr>
          <w:rFonts w:hint="eastAsia" w:ascii="宋体" w:hAnsi="宋体" w:cs="宋体"/>
        </w:rPr>
      </w:r>
      <w:r/>
    </w:p>
    <w:p>
      <w:pPr>
        <w:pStyle w:val="893"/>
        <w:ind w:firstLine="480"/>
        <w:spacing w:line="4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2、中小企业政策</w:t>
      </w:r>
      <w:r>
        <w:rPr>
          <w:rFonts w:hint="eastAsia" w:ascii="宋体" w:hAnsi="宋体" w:cs="宋体"/>
        </w:rPr>
      </w:r>
      <w:r/>
    </w:p>
    <w:p>
      <w:pPr>
        <w:pStyle w:val="893"/>
        <w:ind w:firstLine="480"/>
        <w:spacing w:line="4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本项目按以下第</w:t>
      </w:r>
      <w:r>
        <w:rPr>
          <w:rFonts w:hint="eastAsia" w:ascii="宋体" w:hAnsi="宋体" w:cs="宋体"/>
          <w:b/>
          <w:color w:val="000000"/>
          <w:sz w:val="24"/>
          <w:u w:val="single"/>
        </w:rPr>
        <w:t xml:space="preserve">（2）</w:t>
      </w:r>
      <w:r>
        <w:rPr>
          <w:rFonts w:hint="eastAsia" w:ascii="宋体" w:hAnsi="宋体" w:cs="宋体"/>
          <w:color w:val="000000"/>
          <w:sz w:val="24"/>
        </w:rPr>
        <w:t xml:space="preserve">种政策确定本项目落实的中小企业政策：</w:t>
      </w:r>
      <w:r>
        <w:rPr>
          <w:rFonts w:hint="eastAsia" w:ascii="宋体" w:hAnsi="宋体" w:cs="宋体"/>
        </w:rPr>
      </w:r>
      <w:r/>
    </w:p>
    <w:p>
      <w:pPr>
        <w:pStyle w:val="893"/>
        <w:ind w:firstLine="480"/>
        <w:spacing w:line="4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（1）本项目专门面向中小企业（含监狱企业、残疾人福利企业）采购。</w:t>
      </w:r>
      <w:r>
        <w:rPr>
          <w:rFonts w:hint="eastAsia" w:ascii="宋体" w:hAnsi="宋体" w:cs="宋体"/>
        </w:rPr>
      </w:r>
      <w:r/>
    </w:p>
    <w:p>
      <w:pPr>
        <w:pStyle w:val="893"/>
        <w:ind w:firstLine="480"/>
        <w:spacing w:line="4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（2）投标人提供的服务符合下列情形的，对小微企业报价给予</w:t>
      </w:r>
      <w:r>
        <w:rPr>
          <w:rFonts w:hint="eastAsia" w:ascii="宋体" w:hAnsi="宋体" w:cs="宋体"/>
          <w:color w:val="000000"/>
          <w:sz w:val="24"/>
          <w:u w:val="single"/>
        </w:rPr>
        <w:t xml:space="preserve">10%</w:t>
      </w:r>
      <w:r>
        <w:rPr>
          <w:rFonts w:hint="eastAsia" w:ascii="宋体" w:hAnsi="宋体" w:cs="宋体"/>
          <w:color w:val="000000"/>
          <w:sz w:val="24"/>
        </w:rPr>
        <w:t xml:space="preserve">的扣除，用扣除后的价格参加评审。</w:t>
      </w:r>
      <w:r>
        <w:rPr>
          <w:rFonts w:hint="eastAsia" w:ascii="宋体" w:hAnsi="宋体" w:cs="宋体"/>
        </w:rPr>
      </w:r>
      <w:r/>
    </w:p>
    <w:p>
      <w:pPr>
        <w:pStyle w:val="893"/>
        <w:ind w:firstLine="480"/>
        <w:spacing w:line="4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在服务采购项目中，服务由中小企业承接，即提供服务的人员为中小企业依照《中华人民共和国民法典》订立劳动合同的从业人员。</w:t>
      </w:r>
      <w:r>
        <w:rPr>
          <w:rFonts w:hint="eastAsia" w:ascii="宋体" w:hAnsi="宋体" w:cs="宋体"/>
        </w:rPr>
      </w:r>
      <w:r/>
    </w:p>
    <w:p>
      <w:pPr>
        <w:pStyle w:val="893"/>
        <w:ind w:firstLine="480"/>
        <w:spacing w:line="4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hint="eastAsia" w:ascii="宋体" w:hAnsi="宋体" w:cs="宋体"/>
        </w:rPr>
      </w:r>
      <w:r/>
    </w:p>
    <w:p>
      <w:pPr>
        <w:pStyle w:val="893"/>
        <w:ind w:firstLine="480"/>
        <w:spacing w:line="4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宋体" w:hAnsi="宋体" w:cs="宋体"/>
        </w:rPr>
      </w:r>
      <w:r/>
    </w:p>
    <w:p>
      <w:pPr>
        <w:pStyle w:val="893"/>
        <w:ind w:firstLine="480"/>
        <w:spacing w:line="4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宋体" w:hAnsi="宋体" w:cs="宋体"/>
        </w:rPr>
      </w:r>
      <w:r/>
    </w:p>
    <w:p>
      <w:pPr>
        <w:pStyle w:val="893"/>
        <w:ind w:firstLine="480"/>
        <w:spacing w:line="4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rPr>
          <w:rFonts w:hint="eastAsia" w:ascii="宋体" w:hAnsi="宋体" w:cs="宋体"/>
        </w:rPr>
      </w:r>
      <w:r/>
    </w:p>
    <w:p>
      <w:pPr>
        <w:pStyle w:val="893"/>
        <w:ind w:firstLine="480"/>
        <w:spacing w:line="4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3、政府采购节能产品、环境标志产品</w:t>
      </w:r>
      <w:r>
        <w:rPr>
          <w:rFonts w:hint="eastAsia" w:ascii="宋体" w:hAnsi="宋体" w:cs="宋体"/>
        </w:rPr>
      </w:r>
      <w:r/>
    </w:p>
    <w:p>
      <w:pPr>
        <w:pStyle w:val="893"/>
        <w:ind w:firstLine="480"/>
        <w:spacing w:line="4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cs="宋体"/>
        </w:rPr>
      </w:r>
      <w:r/>
    </w:p>
    <w:p>
      <w:pPr>
        <w:pStyle w:val="893"/>
        <w:ind w:firstLine="480"/>
        <w:spacing w:line="4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（2）采购人拟采购的产品属于政府强制采购的节能产品品目清单范围的，投标人须提供国家确定的认证机构出具的、处于有效期之内的节能产品认证证书的，否则无效标处理。</w:t>
      </w:r>
      <w:r>
        <w:rPr>
          <w:rFonts w:hint="eastAsia" w:ascii="宋体" w:hAnsi="宋体" w:cs="宋体"/>
        </w:rPr>
      </w:r>
      <w:r/>
    </w:p>
    <w:p>
      <w:pPr>
        <w:pStyle w:val="893"/>
        <w:ind w:firstLine="480"/>
        <w:spacing w:line="4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（3）采购人拟采购的产品属于优先采购的节能环保品目清单范围的，按以下条件优先采购：</w:t>
      </w:r>
      <w:r>
        <w:rPr>
          <w:rFonts w:hint="eastAsia" w:ascii="宋体" w:hAnsi="宋体" w:cs="宋体"/>
        </w:rPr>
      </w:r>
      <w:r/>
    </w:p>
    <w:p>
      <w:pPr>
        <w:pStyle w:val="893"/>
        <w:ind w:firstLine="480"/>
        <w:spacing w:line="4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采用综合评分法的项目，对提供有效节能环保证书的投标人加分。</w:t>
      </w:r>
      <w:r>
        <w:rPr>
          <w:rFonts w:hint="eastAsia" w:ascii="宋体" w:hAnsi="宋体" w:cs="宋体"/>
        </w:rPr>
      </w:r>
      <w:r/>
    </w:p>
    <w:p>
      <w:pPr>
        <w:pStyle w:val="893"/>
        <w:ind w:firstLine="480"/>
        <w:spacing w:line="4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采用最低评标价法的项目，同等条件下优先推荐提供有效节能环保证书多的投标人为中标人。</w:t>
      </w:r>
      <w:r>
        <w:rPr>
          <w:rFonts w:hint="eastAsia" w:ascii="宋体" w:hAnsi="宋体" w:cs="宋体"/>
        </w:rPr>
      </w:r>
      <w:r/>
    </w:p>
    <w:p>
      <w:pPr>
        <w:pStyle w:val="893"/>
        <w:ind w:firstLine="480"/>
        <w:spacing w:line="4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4、商品包装、快递包装政府采购需求标准（试行）</w:t>
      </w:r>
      <w:r>
        <w:rPr>
          <w:rFonts w:hint="eastAsia" w:ascii="宋体" w:hAnsi="宋体" w:cs="宋体"/>
        </w:rPr>
      </w:r>
      <w:r/>
    </w:p>
    <w:p>
      <w:pPr>
        <w:pStyle w:val="893"/>
        <w:ind w:firstLine="480"/>
        <w:spacing w:line="4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rFonts w:hint="eastAsia" w:ascii="宋体" w:hAnsi="宋体" w:cs="宋体"/>
        </w:rPr>
      </w:r>
      <w:r/>
    </w:p>
    <w:p>
      <w:pPr>
        <w:pStyle w:val="893"/>
        <w:ind w:firstLine="480"/>
        <w:spacing w:line="4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5、绿色数据中心政府采购需求标准（试行）</w:t>
      </w:r>
      <w:r>
        <w:rPr>
          <w:rFonts w:hint="eastAsia" w:ascii="宋体" w:hAnsi="宋体" w:cs="宋体"/>
        </w:rPr>
      </w:r>
      <w:r/>
    </w:p>
    <w:p>
      <w:pPr>
        <w:pStyle w:val="893"/>
        <w:ind w:firstLine="480"/>
        <w:spacing w:line="4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为加快数据中心绿色转型，根据财政部生态环境部工业和信息化部关于印发《绿色数据中心政府采购需求标准（试行）》的通知），本项目如涉及绿色数据中心，具体需求详见第四章采购需求。</w:t>
      </w:r>
      <w:r>
        <w:rPr>
          <w:rFonts w:hint="eastAsia" w:ascii="宋体" w:hAnsi="宋体" w:cs="宋体"/>
        </w:rPr>
      </w:r>
      <w:r/>
    </w:p>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 </w:t>
      </w:r>
      <w:r>
        <w:rPr>
          <w:rFonts w:hint="eastAsia" w:ascii="宋体" w:hAnsi="宋体" w:cs="宋体"/>
        </w:rPr>
      </w:r>
      <w:r/>
    </w:p>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 </w:t>
      </w:r>
      <w:r>
        <w:rPr>
          <w:rFonts w:hint="eastAsia" w:ascii="宋体" w:hAnsi="宋体" w:cs="宋体"/>
        </w:rPr>
      </w:r>
      <w:r/>
    </w:p>
    <w:p>
      <w:pPr>
        <w:pStyle w:val="893"/>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0"/>
        </w:rPr>
        <w:t xml:space="preserve"> </w:t>
      </w:r>
      <w:r>
        <w:rPr>
          <w:rFonts w:hint="eastAsia" w:ascii="宋体" w:hAnsi="宋体" w:cs="宋体"/>
        </w:rPr>
      </w:r>
      <w:r/>
    </w:p>
    <w:p>
      <w:pPr>
        <w:pStyle w:val="893"/>
        <w:spacing w:before="240" w:after="240"/>
        <w:rPr>
          <w:rFonts w:hint="eastAsia" w:ascii="宋体" w:hAnsi="宋体" w:cs="宋体"/>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2"/>
        </w:rPr>
        <w:t xml:space="preserve"> </w:t>
      </w:r>
      <w:r>
        <w:rPr>
          <w:rFonts w:hint="eastAsia" w:ascii="宋体" w:hAnsi="宋体" w:cs="宋体"/>
          <w:color w:val="000000"/>
          <w:sz w:val="32"/>
        </w:rPr>
      </w:r>
      <w:r/>
    </w:p>
    <w:p>
      <w:pPr>
        <w:pStyle w:val="893"/>
        <w:spacing w:before="240" w:after="240"/>
        <w:rPr>
          <w:rFonts w:hint="eastAsia" w:ascii="宋体" w:hAnsi="宋体" w:cs="宋体"/>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2"/>
        </w:rPr>
      </w:r>
      <w:r/>
    </w:p>
    <w:p>
      <w:pPr>
        <w:pStyle w:val="893"/>
        <w:spacing w:before="240" w:after="240"/>
        <w:rPr>
          <w:rFonts w:hint="eastAsia" w:ascii="宋体" w:hAnsi="宋体" w:cs="宋体"/>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2"/>
        </w:rPr>
        <w:t xml:space="preserve"> </w:t>
      </w:r>
      <w:r>
        <w:rPr>
          <w:rFonts w:hint="eastAsia" w:ascii="宋体" w:hAnsi="宋体" w:cs="宋体"/>
          <w:color w:val="000000"/>
          <w:sz w:val="32"/>
        </w:rPr>
      </w:r>
      <w:r/>
    </w:p>
    <w:p>
      <w:pPr>
        <w:pStyle w:val="893"/>
        <w:spacing w:before="240" w:after="240"/>
        <w:rPr>
          <w:rFonts w:hint="eastAsia" w:ascii="宋体" w:hAnsi="宋体" w:cs="宋体"/>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2"/>
        </w:rPr>
      </w:r>
      <w:r/>
    </w:p>
    <w:p>
      <w:pPr>
        <w:pStyle w:val="893"/>
        <w:spacing w:before="240" w:after="240"/>
        <w:rPr>
          <w:rFonts w:hint="eastAsia" w:ascii="宋体" w:hAnsi="宋体" w:cs="宋体"/>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2"/>
        </w:rPr>
      </w:r>
      <w:r/>
    </w:p>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 </w:t>
      </w:r>
      <w:r>
        <w:rPr>
          <w:rFonts w:hint="eastAsia" w:ascii="宋体" w:hAnsi="宋体" w:cs="宋体"/>
        </w:rPr>
      </w:r>
      <w:r/>
    </w:p>
    <w:p>
      <w:pPr>
        <w:pStyle w:val="894"/>
        <w:rPr>
          <w:rFonts w:hint="eastAsia" w:ascii="宋体" w:hAnsi="宋体" w:eastAsia="宋体" w:cs="宋体"/>
        </w:rPr>
        <w:pBdr>
          <w:top w:val="none" w:color="000000" w:sz="0" w:space="0"/>
          <w:left w:val="none" w:color="000000" w:sz="0" w:space="0"/>
          <w:bottom w:val="none" w:color="000000" w:sz="0" w:space="0"/>
          <w:right w:val="none" w:color="000000" w:sz="0" w:space="0"/>
        </w:pBdr>
      </w:pPr>
      <w:r/>
      <w:bookmarkStart w:id="141" w:name="_Toc18062"/>
      <w:r/>
      <w:bookmarkStart w:id="142" w:name="_Toc12009"/>
      <w:r/>
      <w:bookmarkStart w:id="143" w:name="_Toc22709"/>
      <w:r>
        <w:rPr>
          <w:rFonts w:hint="eastAsia" w:ascii="宋体" w:hAnsi="宋体" w:eastAsia="宋体" w:cs="宋体"/>
          <w:b/>
          <w:color w:val="000000"/>
          <w:sz w:val="44"/>
        </w:rPr>
        <w:t xml:space="preserve">第六章投标文件格式 </w:t>
      </w:r>
      <w:bookmarkEnd w:id="141"/>
      <w:r/>
      <w:bookmarkEnd w:id="142"/>
      <w:r/>
      <w:bookmarkEnd w:id="143"/>
      <w:r>
        <w:rPr>
          <w:rFonts w:hint="eastAsia" w:ascii="宋体" w:hAnsi="宋体" w:eastAsia="宋体" w:cs="宋体"/>
        </w:rPr>
      </w:r>
      <w:r/>
    </w:p>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72"/>
        </w:rPr>
        <w:t xml:space="preserve"> </w:t>
      </w:r>
      <w:r>
        <w:rPr>
          <w:rFonts w:hint="eastAsia" w:ascii="宋体" w:hAnsi="宋体" w:cs="宋体"/>
        </w:rPr>
      </w:r>
      <w:r/>
    </w:p>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72"/>
        </w:rPr>
        <w:t xml:space="preserve">投标文件</w:t>
      </w:r>
      <w:r>
        <w:rPr>
          <w:rFonts w:hint="eastAsia" w:ascii="宋体" w:hAnsi="宋体" w:cs="宋体"/>
        </w:rPr>
      </w:r>
      <w:r/>
    </w:p>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72"/>
        </w:rPr>
        <w:t xml:space="preserve"> </w:t>
      </w:r>
      <w:r>
        <w:rPr>
          <w:rFonts w:hint="eastAsia" w:ascii="宋体" w:hAnsi="宋体" w:cs="宋体"/>
        </w:rPr>
      </w:r>
      <w:r/>
    </w:p>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72"/>
        </w:rPr>
        <w:t xml:space="preserve"> </w:t>
      </w:r>
      <w:r>
        <w:rPr>
          <w:rFonts w:hint="eastAsia" w:ascii="宋体" w:hAnsi="宋体" w:cs="宋体"/>
        </w:rPr>
      </w:r>
      <w:r/>
    </w:p>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rPr>
        <w:t xml:space="preserve"> </w:t>
      </w:r>
      <w:r>
        <w:rPr>
          <w:rFonts w:hint="eastAsia" w:ascii="宋体" w:hAnsi="宋体" w:cs="宋体"/>
        </w:rPr>
      </w:r>
      <w:r/>
    </w:p>
    <w:p>
      <w:pPr>
        <w:pStyle w:val="893"/>
        <w:jc w:val="center"/>
        <w:keepLines w:val="0"/>
        <w:keepNext w:val="0"/>
        <w:pageBreakBefore w:val="0"/>
        <w:widowControl w:val="off"/>
        <w:rPr>
          <w:rFonts w:hint="eastAsia" w:ascii="宋体" w:hAnsi="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cs="宋体"/>
          <w:b/>
          <w:color w:val="000000"/>
          <w:sz w:val="36"/>
        </w:rPr>
        <w:t xml:space="preserve"> </w:t>
      </w:r>
      <w:r>
        <w:rPr>
          <w:rFonts w:hint="eastAsia" w:ascii="宋体" w:hAnsi="宋体" w:cs="宋体"/>
        </w:rPr>
      </w:r>
      <w:r/>
    </w:p>
    <w:p>
      <w:pPr>
        <w:pStyle w:val="893"/>
        <w:jc w:val="center"/>
        <w:keepLines w:val="0"/>
        <w:keepNext w:val="0"/>
        <w:pageBreakBefore w:val="0"/>
        <w:widowControl w:val="off"/>
        <w:rPr>
          <w:rFonts w:hint="eastAsia" w:ascii="宋体" w:hAnsi="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cs="宋体"/>
          <w:b/>
          <w:color w:val="000000"/>
          <w:sz w:val="36"/>
        </w:rPr>
        <w:t xml:space="preserve"> </w:t>
      </w:r>
      <w:r>
        <w:rPr>
          <w:rFonts w:hint="eastAsia" w:ascii="宋体" w:hAnsi="宋体" w:cs="宋体"/>
        </w:rPr>
      </w:r>
      <w:r/>
    </w:p>
    <w:p>
      <w:pPr>
        <w:pStyle w:val="893"/>
        <w:ind w:firstLine="1084"/>
        <w:keepLines w:val="0"/>
        <w:keepNext w:val="0"/>
        <w:pageBreakBefore w:val="0"/>
        <w:widowControl w:val="off"/>
        <w:rPr>
          <w:rFonts w:hint="eastAsia" w:ascii="宋体" w:hAnsi="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cs="宋体"/>
          <w:b/>
          <w:color w:val="000000"/>
          <w:sz w:val="36"/>
        </w:rPr>
        <w:t xml:space="preserve">项 目 名 称：</w:t>
      </w:r>
      <w:r>
        <w:rPr>
          <w:rFonts w:hint="eastAsia" w:ascii="宋体" w:hAnsi="宋体" w:cs="宋体"/>
          <w:b/>
          <w:color w:val="000000"/>
          <w:sz w:val="36"/>
          <w:u w:val="single"/>
        </w:rPr>
        <w:t xml:space="preserve">               </w:t>
      </w:r>
      <w:r>
        <w:rPr>
          <w:rFonts w:hint="eastAsia" w:ascii="宋体" w:hAnsi="宋体" w:cs="宋体"/>
        </w:rPr>
      </w:r>
      <w:r/>
    </w:p>
    <w:p>
      <w:pPr>
        <w:pStyle w:val="893"/>
        <w:ind w:firstLine="1084"/>
        <w:keepLines w:val="0"/>
        <w:keepNext w:val="0"/>
        <w:pageBreakBefore w:val="0"/>
        <w:widowControl w:val="off"/>
        <w:rPr>
          <w:rFonts w:hint="eastAsia" w:ascii="宋体" w:hAnsi="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cs="宋体"/>
          <w:b/>
          <w:color w:val="000000"/>
          <w:sz w:val="36"/>
        </w:rPr>
        <w:t xml:space="preserve">项 目 编 号：</w:t>
      </w:r>
      <w:r>
        <w:rPr>
          <w:rFonts w:hint="eastAsia" w:ascii="宋体" w:hAnsi="宋体" w:cs="宋体"/>
          <w:b/>
          <w:color w:val="000000"/>
          <w:sz w:val="36"/>
          <w:u w:val="single"/>
        </w:rPr>
        <w:t xml:space="preserve">               </w:t>
      </w:r>
      <w:r>
        <w:rPr>
          <w:rFonts w:hint="eastAsia" w:ascii="宋体" w:hAnsi="宋体" w:cs="宋体"/>
        </w:rPr>
      </w:r>
      <w:r/>
    </w:p>
    <w:p>
      <w:pPr>
        <w:pStyle w:val="893"/>
        <w:keepLines w:val="0"/>
        <w:keepNext w:val="0"/>
        <w:pageBreakBefore w:val="0"/>
        <w:widowControl w:val="off"/>
        <w:rPr>
          <w:rFonts w:hint="eastAsia" w:ascii="宋体" w:hAnsi="宋体" w:cs="宋体"/>
        </w:rPr>
        <w:pBdr>
          <w:top w:val="none" w:color="000000" w:sz="0" w:space="0"/>
          <w:left w:val="none" w:color="000000" w:sz="0" w:space="0"/>
          <w:bottom w:val="none" w:color="000000" w:sz="0" w:space="0"/>
          <w:right w:val="none" w:color="000000" w:sz="0" w:space="0"/>
        </w:pBdr>
        <w:outlineLvl w:val="1"/>
      </w:pPr>
      <w:r/>
      <w:bookmarkStart w:id="144" w:name="_Toc3519"/>
      <w:r/>
      <w:bookmarkStart w:id="145" w:name="_Toc1732"/>
      <w:r>
        <w:rPr>
          <w:rFonts w:hint="eastAsia" w:ascii="宋体" w:hAnsi="宋体" w:cs="宋体"/>
          <w:b/>
          <w:color w:val="000000"/>
          <w:sz w:val="36"/>
        </w:rPr>
        <w:t xml:space="preserve">   投标人名称 ：</w:t>
      </w:r>
      <w:r>
        <w:rPr>
          <w:rFonts w:hint="eastAsia" w:ascii="宋体" w:hAnsi="宋体" w:cs="宋体"/>
          <w:b/>
          <w:color w:val="000000"/>
          <w:sz w:val="36"/>
          <w:u w:val="single"/>
        </w:rPr>
        <w:t xml:space="preserve">（加盖CA电子公章）</w:t>
      </w:r>
      <w:bookmarkEnd w:id="144"/>
      <w:r/>
      <w:bookmarkEnd w:id="145"/>
      <w:r>
        <w:rPr>
          <w:rFonts w:hint="eastAsia" w:ascii="宋体" w:hAnsi="宋体" w:cs="宋体"/>
        </w:rPr>
      </w:r>
      <w:r/>
    </w:p>
    <w:p>
      <w:pPr>
        <w:pStyle w:val="893"/>
        <w:keepLines w:val="0"/>
        <w:keepNext w:val="0"/>
        <w:pageBreakBefore w:val="0"/>
        <w:widowControl w:val="off"/>
        <w:rPr>
          <w:rFonts w:hint="eastAsia" w:ascii="宋体" w:hAnsi="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cs="宋体"/>
          <w:b/>
          <w:color w:val="000000"/>
          <w:sz w:val="36"/>
        </w:rPr>
        <w:t xml:space="preserve">   日期 ：</w:t>
      </w:r>
      <w:r>
        <w:rPr>
          <w:rFonts w:hint="eastAsia" w:ascii="宋体" w:hAnsi="宋体" w:cs="宋体"/>
          <w:b/>
          <w:color w:val="000000"/>
          <w:sz w:val="36"/>
          <w:u w:val="single"/>
        </w:rPr>
        <w:t xml:space="preserve">               </w:t>
      </w:r>
      <w:r>
        <w:rPr>
          <w:rFonts w:hint="eastAsia" w:ascii="宋体" w:hAnsi="宋体" w:cs="宋体"/>
        </w:rPr>
      </w:r>
      <w:r/>
    </w:p>
    <w:p>
      <w:pPr>
        <w:pStyle w:val="893"/>
        <w:jc w:val="center"/>
        <w:keepLines w:val="0"/>
        <w:keepNext w:val="0"/>
        <w:pageBreakBefore w:val="0"/>
        <w:spacing w:line="439" w:lineRule="atLeast"/>
        <w:widowControl w:val="off"/>
        <w:rPr>
          <w:rFonts w:hint="eastAsia" w:ascii="宋体" w:hAnsi="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cs="宋体"/>
          <w:b/>
          <w:color w:val="000000"/>
          <w:sz w:val="32"/>
        </w:rPr>
        <w:t xml:space="preserve"> </w:t>
      </w:r>
      <w:r>
        <w:rPr>
          <w:rFonts w:hint="eastAsia" w:ascii="宋体" w:hAnsi="宋体" w:cs="宋体"/>
        </w:rPr>
      </w:r>
      <w:r/>
    </w:p>
    <w:p>
      <w:pPr>
        <w:pStyle w:val="893"/>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 </w:t>
      </w:r>
      <w:r>
        <w:rPr>
          <w:rFonts w:hint="eastAsia" w:ascii="宋体" w:hAnsi="宋体" w:cs="宋体"/>
        </w:rPr>
      </w:r>
      <w:r/>
    </w:p>
    <w:p>
      <w:pPr>
        <w:pStyle w:val="893"/>
        <w:ind w:firstLine="1084"/>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rPr>
          <w:rFonts w:hint="eastAsia" w:ascii="宋体" w:hAnsi="宋体" w:cs="宋体"/>
        </w:rPr>
      </w:r>
      <w:r/>
    </w:p>
    <w:p>
      <w:pPr>
        <w:pStyle w:val="893"/>
        <w:jc w:val="cente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t xml:space="preserve">投标文件目录</w:t>
      </w:r>
      <w:r>
        <w:rPr>
          <w:rFonts w:hint="eastAsia" w:ascii="宋体" w:hAnsi="宋体" w:cs="宋体"/>
        </w:rPr>
      </w:r>
      <w:r/>
    </w:p>
    <w:p>
      <w:pPr>
        <w:pStyle w:val="893"/>
        <w:jc w:val="cente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t xml:space="preserve"> </w:t>
      </w:r>
      <w:r>
        <w:rPr>
          <w:rFonts w:hint="eastAsia" w:ascii="宋体" w:hAnsi="宋体" w:cs="宋体"/>
        </w:rPr>
      </w:r>
      <w:r/>
    </w:p>
    <w:p>
      <w:pPr>
        <w:pStyle w:val="893"/>
        <w:ind w:firstLine="560"/>
        <w:spacing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一、投标声明及承诺函</w:t>
      </w:r>
      <w:r>
        <w:rPr>
          <w:rFonts w:hint="eastAsia" w:ascii="宋体" w:hAnsi="宋体" w:cs="宋体"/>
        </w:rPr>
      </w:r>
      <w:r/>
    </w:p>
    <w:p>
      <w:pPr>
        <w:pStyle w:val="893"/>
        <w:ind w:firstLine="560"/>
        <w:spacing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二、投标人基本情况</w:t>
      </w:r>
      <w:r>
        <w:rPr>
          <w:rFonts w:hint="eastAsia" w:ascii="宋体" w:hAnsi="宋体" w:cs="宋体"/>
        </w:rPr>
      </w:r>
      <w:r/>
    </w:p>
    <w:p>
      <w:pPr>
        <w:pStyle w:val="893"/>
        <w:ind w:firstLine="560"/>
        <w:spacing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三、满足特定资格要求的证明文件（如果设置特定资格要求，则需要提供）</w:t>
      </w:r>
      <w:r>
        <w:rPr>
          <w:rFonts w:hint="eastAsia" w:ascii="宋体" w:hAnsi="宋体" w:cs="宋体"/>
        </w:rPr>
      </w:r>
      <w:r/>
    </w:p>
    <w:p>
      <w:pPr>
        <w:pStyle w:val="893"/>
        <w:ind w:firstLine="560"/>
        <w:spacing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四、法人授权书</w:t>
      </w:r>
      <w:r>
        <w:rPr>
          <w:rFonts w:hint="eastAsia" w:ascii="宋体" w:hAnsi="宋体" w:cs="宋体"/>
        </w:rPr>
      </w:r>
      <w:r/>
    </w:p>
    <w:p>
      <w:pPr>
        <w:pStyle w:val="893"/>
        <w:ind w:firstLine="560"/>
        <w:spacing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五、开标一览表</w:t>
      </w:r>
      <w:r>
        <w:rPr>
          <w:rFonts w:hint="eastAsia" w:ascii="宋体" w:hAnsi="宋体" w:cs="宋体"/>
        </w:rPr>
      </w:r>
      <w:r/>
    </w:p>
    <w:p>
      <w:pPr>
        <w:pStyle w:val="893"/>
        <w:ind w:firstLine="560"/>
        <w:spacing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六、投标报价明细表</w:t>
      </w:r>
      <w:r>
        <w:rPr>
          <w:rFonts w:hint="eastAsia" w:ascii="宋体" w:hAnsi="宋体" w:cs="宋体"/>
        </w:rPr>
      </w:r>
      <w:r/>
    </w:p>
    <w:p>
      <w:pPr>
        <w:pStyle w:val="893"/>
        <w:ind w:firstLine="560"/>
        <w:spacing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七、中小企业声明函</w:t>
      </w:r>
      <w:r>
        <w:rPr>
          <w:rFonts w:hint="eastAsia" w:ascii="宋体" w:hAnsi="宋体" w:cs="宋体"/>
        </w:rPr>
      </w:r>
      <w:r/>
    </w:p>
    <w:p>
      <w:pPr>
        <w:pStyle w:val="893"/>
        <w:ind w:firstLine="560"/>
        <w:spacing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八、技术要求响应及偏离表</w:t>
      </w:r>
      <w:r>
        <w:rPr>
          <w:rFonts w:hint="eastAsia" w:ascii="宋体" w:hAnsi="宋体" w:cs="宋体"/>
        </w:rPr>
      </w:r>
      <w:r/>
    </w:p>
    <w:p>
      <w:pPr>
        <w:pStyle w:val="893"/>
        <w:ind w:firstLine="560"/>
        <w:spacing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九、项目组成员</w:t>
      </w:r>
      <w:r>
        <w:rPr>
          <w:rFonts w:hint="eastAsia" w:ascii="宋体" w:hAnsi="宋体" w:cs="宋体"/>
        </w:rPr>
      </w:r>
      <w:r/>
    </w:p>
    <w:p>
      <w:pPr>
        <w:pStyle w:val="893"/>
        <w:ind w:firstLine="560"/>
        <w:spacing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十、企业业绩</w:t>
      </w:r>
      <w:r>
        <w:rPr>
          <w:rFonts w:hint="eastAsia" w:ascii="宋体" w:hAnsi="宋体" w:cs="宋体"/>
        </w:rPr>
      </w:r>
      <w:r/>
    </w:p>
    <w:p>
      <w:pPr>
        <w:pStyle w:val="893"/>
        <w:ind w:firstLine="560"/>
        <w:spacing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十一、投标所需其他材料</w:t>
      </w:r>
      <w:r>
        <w:rPr>
          <w:rFonts w:hint="eastAsia" w:ascii="宋体" w:hAnsi="宋体" w:cs="宋体"/>
        </w:rPr>
      </w:r>
      <w:r/>
    </w:p>
    <w:p>
      <w:pPr>
        <w:pStyle w:val="893"/>
        <w:spacing w:before="120" w:after="120" w:line="4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p>
      <w:pPr>
        <w:pStyle w:val="893"/>
        <w:ind w:firstLine="48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p>
      <w:pPr>
        <w:pStyle w:val="893"/>
        <w:ind w:firstLine="48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p>
      <w:pPr>
        <w:pStyle w:val="893"/>
        <w:ind w:firstLine="48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p>
      <w:pPr>
        <w:pStyle w:val="893"/>
        <w:ind w:firstLine="48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p>
      <w:pPr>
        <w:pStyle w:val="893"/>
        <w:ind w:firstLine="48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p>
      <w:pPr>
        <w:pStyle w:val="893"/>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p>
      <w:pPr>
        <w:pStyle w:val="893"/>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p>
      <w:pPr>
        <w:pStyle w:val="893"/>
        <w:spacing w:before="240" w:after="240"/>
        <w:rPr>
          <w:rFonts w:hint="eastAsia" w:ascii="宋体" w:hAnsi="宋体" w:eastAsia="宋体" w:cs="宋体"/>
          <w:b/>
          <w:color w:val="000000"/>
          <w:sz w:val="32"/>
        </w:rPr>
        <w:pBdr>
          <w:top w:val="none" w:color="000000" w:sz="0" w:space="0"/>
          <w:left w:val="none" w:color="000000" w:sz="0" w:space="0"/>
          <w:bottom w:val="none" w:color="000000" w:sz="0" w:space="0"/>
          <w:right w:val="none" w:color="000000" w:sz="0" w:space="0"/>
        </w:pBdr>
        <w:outlineLvl w:val="1"/>
      </w:pPr>
      <w:r/>
      <w:bookmarkStart w:id="146" w:name="_Toc30488"/>
      <w:r>
        <w:rPr>
          <w:rFonts w:hint="eastAsia" w:ascii="宋体" w:hAnsi="宋体" w:eastAsia="宋体" w:cs="宋体"/>
          <w:b/>
          <w:color w:val="000000"/>
          <w:sz w:val="32"/>
        </w:rPr>
        <w:t xml:space="preserve">一、投标声明及承诺函</w:t>
      </w:r>
      <w:bookmarkEnd w:id="146"/>
      <w:r>
        <w:rPr>
          <w:rFonts w:hint="eastAsia" w:ascii="宋体" w:hAnsi="宋体" w:eastAsia="宋体" w:cs="宋体"/>
          <w:b/>
          <w:color w:val="000000"/>
          <w:sz w:val="32"/>
        </w:rPr>
      </w:r>
      <w:r/>
    </w:p>
    <w:p>
      <w:pPr>
        <w:pStyle w:val="893"/>
        <w:spacing w:before="240" w:after="240"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single"/>
        </w:rPr>
        <w:t xml:space="preserve">（采购单位名称）：</w:t>
      </w:r>
      <w:r>
        <w:rPr>
          <w:rFonts w:hint="eastAsia" w:ascii="宋体" w:hAnsi="宋体" w:cs="宋体"/>
        </w:rPr>
      </w:r>
      <w:r/>
    </w:p>
    <w:p>
      <w:pPr>
        <w:pStyle w:val="893"/>
        <w:ind w:firstLine="480"/>
        <w:spacing w:before="240" w:after="240"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根据已收到的项目编号为</w:t>
      </w:r>
      <w:r>
        <w:rPr>
          <w:rFonts w:hint="eastAsia" w:ascii="宋体" w:hAnsi="宋体" w:cs="宋体"/>
          <w:color w:val="000000"/>
          <w:sz w:val="24"/>
          <w:u w:val="single"/>
        </w:rPr>
        <w:t xml:space="preserve">        </w:t>
      </w:r>
      <w:r>
        <w:rPr>
          <w:rFonts w:hint="eastAsia" w:ascii="宋体" w:hAnsi="宋体" w:cs="宋体"/>
          <w:color w:val="000000"/>
          <w:sz w:val="24"/>
        </w:rPr>
        <w:t xml:space="preserve">的</w:t>
      </w:r>
      <w:r>
        <w:rPr>
          <w:rFonts w:hint="eastAsia" w:ascii="宋体" w:hAnsi="宋体" w:cs="宋体"/>
          <w:color w:val="000000"/>
          <w:sz w:val="24"/>
          <w:u w:val="single"/>
        </w:rPr>
        <w:t xml:space="preserve">         </w:t>
      </w:r>
      <w:r>
        <w:rPr>
          <w:rFonts w:hint="eastAsia" w:ascii="宋体" w:hAnsi="宋体" w:cs="宋体"/>
          <w:color w:val="000000"/>
          <w:sz w:val="24"/>
        </w:rPr>
        <w:t xml:space="preserve">项目的招标文件，我方在参加本项目招投标活动中，特做出如下承诺：</w:t>
      </w:r>
      <w:r>
        <w:rPr>
          <w:rFonts w:hint="eastAsia" w:ascii="宋体" w:hAnsi="宋体" w:cs="宋体"/>
        </w:rPr>
      </w:r>
      <w:r/>
    </w:p>
    <w:p>
      <w:pPr>
        <w:pStyle w:val="893"/>
        <w:ind w:firstLine="480"/>
        <w:spacing w:before="240" w:after="240"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一、我方具备《中华人民共和国政府采购法》第二十二条第一款规定的6项条件；</w:t>
      </w:r>
      <w:r>
        <w:rPr>
          <w:rFonts w:hint="eastAsia" w:ascii="宋体" w:hAnsi="宋体" w:cs="宋体"/>
        </w:rPr>
      </w:r>
      <w:r/>
    </w:p>
    <w:p>
      <w:pPr>
        <w:pStyle w:val="893"/>
        <w:ind w:firstLine="480"/>
        <w:spacing w:before="240" w:after="240"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hint="eastAsia" w:ascii="宋体" w:hAnsi="宋体" w:cs="宋体"/>
        </w:rPr>
      </w:r>
      <w:r/>
    </w:p>
    <w:p>
      <w:pPr>
        <w:pStyle w:val="893"/>
        <w:ind w:firstLine="480"/>
        <w:spacing w:before="240" w:after="240"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三、我方按招标文件要求提交投标文件，响应招标文件规定的投标有效期；</w:t>
      </w:r>
      <w:r>
        <w:rPr>
          <w:rFonts w:hint="eastAsia" w:ascii="宋体" w:hAnsi="宋体" w:cs="宋体"/>
        </w:rPr>
      </w:r>
      <w:r/>
    </w:p>
    <w:p>
      <w:pPr>
        <w:pStyle w:val="893"/>
        <w:ind w:firstLine="480"/>
        <w:spacing w:before="240" w:after="240"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四、如果我方的投标文件被接受，我方将按《中华人民共和国民法典（第三编合同）》及其他有关法律、法规的规定，按期、按质、按量交付采购单位，全面做到履约守信；</w:t>
      </w:r>
      <w:r>
        <w:rPr>
          <w:rFonts w:hint="eastAsia" w:ascii="宋体" w:hAnsi="宋体" w:cs="宋体"/>
        </w:rPr>
      </w:r>
      <w:r/>
    </w:p>
    <w:p>
      <w:pPr>
        <w:pStyle w:val="893"/>
        <w:ind w:firstLine="480"/>
        <w:spacing w:before="240" w:after="240"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五、我方若违背本声明及承诺约定，经查实，自愿接受采购人及相关主管部门相应的规定处理，并依法承担相应的法律责任。</w:t>
      </w:r>
      <w:r>
        <w:rPr>
          <w:rFonts w:hint="eastAsia" w:ascii="宋体" w:hAnsi="宋体" w:cs="宋体"/>
        </w:rPr>
      </w:r>
      <w:r/>
    </w:p>
    <w:p>
      <w:pPr>
        <w:pStyle w:val="893"/>
        <w:ind w:firstLine="480"/>
        <w:spacing w:before="240" w:after="240" w:line="499" w:lineRule="atLeast"/>
        <w:rPr>
          <w:rFonts w:hint="eastAsia" w:ascii="宋体" w:hAnsi="宋体" w:cs="宋体"/>
        </w:rPr>
        <w:pBdr>
          <w:top w:val="none" w:color="000000" w:sz="0" w:space="0"/>
          <w:left w:val="none" w:color="000000" w:sz="0" w:space="0"/>
          <w:bottom w:val="none" w:color="000000" w:sz="0" w:space="0"/>
          <w:right w:val="none" w:color="000000" w:sz="0" w:space="0"/>
        </w:pBdr>
        <w:outlineLvl w:val="1"/>
      </w:pPr>
      <w:r/>
      <w:bookmarkStart w:id="147" w:name="_Toc20368"/>
      <w:r/>
      <w:bookmarkStart w:id="148" w:name="_Toc3362"/>
      <w:r>
        <w:rPr>
          <w:rFonts w:hint="eastAsia" w:ascii="宋体" w:hAnsi="宋体" w:cs="宋体"/>
          <w:color w:val="000000"/>
          <w:sz w:val="24"/>
        </w:rPr>
        <w:t xml:space="preserve">六、我方同意采购人、采购代理机构将本声明及承诺函上网公开。</w:t>
      </w:r>
      <w:bookmarkEnd w:id="147"/>
      <w:r/>
      <w:bookmarkEnd w:id="148"/>
      <w:r>
        <w:rPr>
          <w:rFonts w:hint="eastAsia" w:ascii="宋体" w:hAnsi="宋体" w:cs="宋体"/>
        </w:rPr>
      </w:r>
      <w:r/>
    </w:p>
    <w:p>
      <w:pPr>
        <w:pStyle w:val="893"/>
        <w:ind w:firstLine="480"/>
        <w:spacing w:before="240" w:after="240"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p>
      <w:pPr>
        <w:pStyle w:val="893"/>
        <w:spacing w:before="240" w:after="240"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p>
      <w:pPr>
        <w:pStyle w:val="893"/>
        <w:ind w:firstLine="480"/>
        <w:spacing w:before="240" w:after="240"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投标人名称： </w:t>
      </w:r>
      <w:r>
        <w:rPr>
          <w:rFonts w:hint="eastAsia" w:ascii="宋体" w:hAnsi="宋体" w:cs="宋体"/>
          <w:color w:val="000000"/>
          <w:sz w:val="24"/>
          <w:u w:val="single"/>
        </w:rPr>
        <w:t xml:space="preserve">          </w:t>
      </w:r>
      <w:r>
        <w:rPr>
          <w:rFonts w:hint="eastAsia" w:ascii="宋体" w:hAnsi="宋体" w:cs="宋体"/>
          <w:color w:val="000000"/>
          <w:sz w:val="24"/>
        </w:rPr>
        <w:t xml:space="preserve">（加盖CA电子公章）</w:t>
      </w:r>
      <w:r>
        <w:rPr>
          <w:rFonts w:hint="eastAsia" w:ascii="宋体" w:hAnsi="宋体" w:cs="宋体"/>
        </w:rPr>
      </w:r>
      <w:r/>
    </w:p>
    <w:p>
      <w:pPr>
        <w:pStyle w:val="893"/>
        <w:ind w:firstLine="480"/>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日期：年月日</w:t>
      </w:r>
      <w:r>
        <w:rPr>
          <w:rFonts w:hint="eastAsia" w:ascii="宋体" w:hAnsi="宋体" w:cs="宋体"/>
        </w:rPr>
      </w:r>
      <w:r/>
    </w:p>
    <w:p>
      <w:pPr>
        <w:pStyle w:val="893"/>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rPr>
          <w:rFonts w:hint="eastAsia" w:ascii="宋体" w:hAnsi="宋体" w:cs="宋体"/>
        </w:rPr>
      </w:r>
      <w:r/>
    </w:p>
    <w:p>
      <w:pPr>
        <w:pStyle w:val="893"/>
        <w:spacing w:before="240" w:after="240"/>
        <w:rPr>
          <w:rFonts w:hint="eastAsia" w:ascii="宋体" w:hAnsi="宋体" w:cs="宋体"/>
        </w:rPr>
        <w:pBdr>
          <w:top w:val="none" w:color="000000" w:sz="0" w:space="0"/>
          <w:left w:val="none" w:color="000000" w:sz="0" w:space="0"/>
          <w:bottom w:val="none" w:color="000000" w:sz="0" w:space="0"/>
          <w:right w:val="none" w:color="000000" w:sz="0" w:space="0"/>
        </w:pBdr>
        <w:outlineLvl w:val="1"/>
      </w:pPr>
      <w:r/>
      <w:bookmarkStart w:id="149" w:name="_Toc27109"/>
      <w:r/>
      <w:bookmarkStart w:id="150" w:name="_Toc19449"/>
      <w:r>
        <w:rPr>
          <w:rFonts w:hint="eastAsia" w:ascii="宋体" w:hAnsi="宋体" w:cs="宋体"/>
          <w:b/>
          <w:color w:val="000000"/>
          <w:sz w:val="32"/>
        </w:rPr>
        <w:t xml:space="preserve">二、投标人基本情况</w:t>
      </w:r>
      <w:bookmarkEnd w:id="149"/>
      <w:r/>
      <w:bookmarkEnd w:id="150"/>
      <w:r>
        <w:rPr>
          <w:rFonts w:hint="eastAsia" w:ascii="宋体" w:hAnsi="宋体" w:cs="宋体"/>
        </w:rPr>
      </w:r>
      <w:r/>
    </w:p>
    <w:p>
      <w:pPr>
        <w:pStyle w:val="893"/>
        <w:jc w:val="center"/>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44"/>
        </w:rPr>
        <w:t xml:space="preserve">投标人基本情况表</w:t>
      </w:r>
      <w:r>
        <w:rPr>
          <w:rFonts w:hint="eastAsia" w:ascii="宋体" w:hAnsi="宋体" w:cs="宋体"/>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3118"/>
        <w:gridCol w:w="1276"/>
        <w:gridCol w:w="3059"/>
      </w:tblGrid>
      <w:tr>
        <w:trPr/>
        <w:tc>
          <w:tcPr>
            <w:tcMar>
              <w:left w:w="108" w:type="dxa"/>
              <w:top w:w="0" w:type="dxa"/>
              <w:right w:w="108" w:type="dxa"/>
              <w:bottom w:w="0" w:type="dxa"/>
            </w:tcMar>
            <w:tcW w:w="1526" w:type="dxa"/>
            <w:vAlign w:val="center"/>
            <w:textDirection w:val="lrTb"/>
            <w:noWrap w:val="false"/>
          </w:tcPr>
          <w:p>
            <w:pPr>
              <w:pStyle w:val="893"/>
              <w:jc w:val="center"/>
              <w:spacing w:before="200" w:after="200"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投标人名称</w:t>
            </w:r>
            <w:r>
              <w:rPr>
                <w:rFonts w:hint="eastAsia" w:ascii="宋体" w:hAnsi="宋体" w:cs="宋体"/>
              </w:rPr>
            </w:r>
            <w:r/>
          </w:p>
        </w:tc>
        <w:tc>
          <w:tcPr>
            <w:gridSpan w:val="3"/>
            <w:tcMar>
              <w:left w:w="108" w:type="dxa"/>
              <w:top w:w="0" w:type="dxa"/>
              <w:right w:w="108" w:type="dxa"/>
              <w:bottom w:w="0" w:type="dxa"/>
            </w:tcMar>
            <w:tcW w:w="7453" w:type="dxa"/>
            <w:vAlign w:val="center"/>
            <w:textDirection w:val="lrTb"/>
            <w:noWrap w:val="false"/>
          </w:tcPr>
          <w:p>
            <w:pPr>
              <w:pStyle w:val="893"/>
              <w:jc w:val="center"/>
              <w:spacing w:before="200" w:after="200"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r>
      <w:tr>
        <w:trPr/>
        <w:tc>
          <w:tcPr>
            <w:tcMar>
              <w:left w:w="108" w:type="dxa"/>
              <w:top w:w="0" w:type="dxa"/>
              <w:right w:w="108" w:type="dxa"/>
              <w:bottom w:w="0" w:type="dxa"/>
            </w:tcMar>
            <w:tcW w:w="1526" w:type="dxa"/>
            <w:vAlign w:val="center"/>
            <w:textDirection w:val="lrTb"/>
            <w:noWrap w:val="false"/>
          </w:tcPr>
          <w:p>
            <w:pPr>
              <w:pStyle w:val="893"/>
              <w:jc w:val="center"/>
              <w:spacing w:before="200" w:after="200"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法定代表人</w:t>
            </w:r>
            <w:r>
              <w:rPr>
                <w:rFonts w:hint="eastAsia" w:ascii="宋体" w:hAnsi="宋体" w:cs="宋体"/>
              </w:rPr>
            </w:r>
            <w:r/>
          </w:p>
        </w:tc>
        <w:tc>
          <w:tcPr>
            <w:tcMar>
              <w:left w:w="108" w:type="dxa"/>
              <w:top w:w="0" w:type="dxa"/>
              <w:right w:w="108" w:type="dxa"/>
              <w:bottom w:w="0" w:type="dxa"/>
            </w:tcMar>
            <w:tcW w:w="3118" w:type="dxa"/>
            <w:vAlign w:val="center"/>
            <w:textDirection w:val="lrTb"/>
            <w:noWrap w:val="false"/>
          </w:tcPr>
          <w:p>
            <w:pPr>
              <w:pStyle w:val="893"/>
              <w:jc w:val="center"/>
              <w:spacing w:before="200" w:after="200"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1276" w:type="dxa"/>
            <w:vAlign w:val="center"/>
            <w:textDirection w:val="lrTb"/>
            <w:noWrap w:val="false"/>
          </w:tcPr>
          <w:p>
            <w:pPr>
              <w:pStyle w:val="893"/>
              <w:jc w:val="center"/>
              <w:spacing w:before="200" w:after="200"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注册地区</w:t>
            </w:r>
            <w:r>
              <w:rPr>
                <w:rFonts w:hint="eastAsia" w:ascii="宋体" w:hAnsi="宋体" w:cs="宋体"/>
              </w:rPr>
            </w:r>
            <w:r/>
          </w:p>
        </w:tc>
        <w:tc>
          <w:tcPr>
            <w:tcMar>
              <w:left w:w="108" w:type="dxa"/>
              <w:top w:w="0" w:type="dxa"/>
              <w:right w:w="108" w:type="dxa"/>
              <w:bottom w:w="0" w:type="dxa"/>
            </w:tcMar>
            <w:tcW w:w="3059" w:type="dxa"/>
            <w:vAlign w:val="center"/>
            <w:textDirection w:val="lrTb"/>
            <w:noWrap w:val="false"/>
          </w:tcPr>
          <w:p>
            <w:pPr>
              <w:pStyle w:val="893"/>
              <w:jc w:val="center"/>
              <w:spacing w:before="200" w:after="200"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r>
      <w:tr>
        <w:trPr/>
        <w:tc>
          <w:tcPr>
            <w:tcMar>
              <w:left w:w="108" w:type="dxa"/>
              <w:top w:w="0" w:type="dxa"/>
              <w:right w:w="108" w:type="dxa"/>
              <w:bottom w:w="0" w:type="dxa"/>
            </w:tcMar>
            <w:tcW w:w="1526" w:type="dxa"/>
            <w:vAlign w:val="center"/>
            <w:textDirection w:val="lrTb"/>
            <w:noWrap w:val="false"/>
          </w:tcPr>
          <w:p>
            <w:pPr>
              <w:pStyle w:val="893"/>
              <w:jc w:val="center"/>
              <w:spacing w:before="200" w:after="200"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地址</w:t>
            </w:r>
            <w:r>
              <w:rPr>
                <w:rFonts w:hint="eastAsia" w:ascii="宋体" w:hAnsi="宋体" w:cs="宋体"/>
              </w:rPr>
            </w:r>
            <w:r/>
          </w:p>
        </w:tc>
        <w:tc>
          <w:tcPr>
            <w:tcMar>
              <w:left w:w="108" w:type="dxa"/>
              <w:top w:w="0" w:type="dxa"/>
              <w:right w:w="108" w:type="dxa"/>
              <w:bottom w:w="0" w:type="dxa"/>
            </w:tcMar>
            <w:tcW w:w="3118" w:type="dxa"/>
            <w:vAlign w:val="center"/>
            <w:textDirection w:val="lrTb"/>
            <w:noWrap w:val="false"/>
          </w:tcPr>
          <w:p>
            <w:pPr>
              <w:pStyle w:val="893"/>
              <w:jc w:val="center"/>
              <w:spacing w:before="200" w:after="200"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1276" w:type="dxa"/>
            <w:vAlign w:val="center"/>
            <w:textDirection w:val="lrTb"/>
            <w:noWrap w:val="false"/>
          </w:tcPr>
          <w:p>
            <w:pPr>
              <w:pStyle w:val="893"/>
              <w:jc w:val="center"/>
              <w:spacing w:before="200" w:after="200"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邮政编码</w:t>
            </w:r>
            <w:r>
              <w:rPr>
                <w:rFonts w:hint="eastAsia" w:ascii="宋体" w:hAnsi="宋体" w:cs="宋体"/>
              </w:rPr>
            </w:r>
            <w:r/>
          </w:p>
        </w:tc>
        <w:tc>
          <w:tcPr>
            <w:tcMar>
              <w:left w:w="108" w:type="dxa"/>
              <w:top w:w="0" w:type="dxa"/>
              <w:right w:w="108" w:type="dxa"/>
              <w:bottom w:w="0" w:type="dxa"/>
            </w:tcMar>
            <w:tcW w:w="3059" w:type="dxa"/>
            <w:vAlign w:val="center"/>
            <w:textDirection w:val="lrTb"/>
            <w:noWrap w:val="false"/>
          </w:tcPr>
          <w:p>
            <w:pPr>
              <w:pStyle w:val="893"/>
              <w:jc w:val="center"/>
              <w:spacing w:before="200" w:after="200"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r>
      <w:tr>
        <w:trPr/>
        <w:tc>
          <w:tcPr>
            <w:tcMar>
              <w:left w:w="108" w:type="dxa"/>
              <w:top w:w="0" w:type="dxa"/>
              <w:right w:w="108" w:type="dxa"/>
              <w:bottom w:w="0" w:type="dxa"/>
            </w:tcMar>
            <w:tcW w:w="1526" w:type="dxa"/>
            <w:vAlign w:val="center"/>
            <w:textDirection w:val="lrTb"/>
            <w:noWrap w:val="false"/>
          </w:tcPr>
          <w:p>
            <w:pPr>
              <w:pStyle w:val="893"/>
              <w:jc w:val="center"/>
              <w:spacing w:before="200" w:after="200"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成立时间</w:t>
            </w:r>
            <w:r>
              <w:rPr>
                <w:rFonts w:hint="eastAsia" w:ascii="宋体" w:hAnsi="宋体" w:cs="宋体"/>
              </w:rPr>
            </w:r>
            <w:r/>
          </w:p>
        </w:tc>
        <w:tc>
          <w:tcPr>
            <w:tcMar>
              <w:left w:w="108" w:type="dxa"/>
              <w:top w:w="0" w:type="dxa"/>
              <w:right w:w="108" w:type="dxa"/>
              <w:bottom w:w="0" w:type="dxa"/>
            </w:tcMar>
            <w:tcW w:w="3118" w:type="dxa"/>
            <w:vAlign w:val="center"/>
            <w:textDirection w:val="lrTb"/>
            <w:noWrap w:val="false"/>
          </w:tcPr>
          <w:p>
            <w:pPr>
              <w:pStyle w:val="893"/>
              <w:jc w:val="center"/>
              <w:spacing w:before="200" w:after="200"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1276" w:type="dxa"/>
            <w:vAlign w:val="center"/>
            <w:textDirection w:val="lrTb"/>
            <w:noWrap w:val="false"/>
          </w:tcPr>
          <w:p>
            <w:pPr>
              <w:pStyle w:val="893"/>
              <w:jc w:val="center"/>
              <w:spacing w:before="200" w:after="200"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单位性质</w:t>
            </w:r>
            <w:r>
              <w:rPr>
                <w:rFonts w:hint="eastAsia" w:ascii="宋体" w:hAnsi="宋体" w:cs="宋体"/>
              </w:rPr>
            </w:r>
            <w:r/>
          </w:p>
        </w:tc>
        <w:tc>
          <w:tcPr>
            <w:tcMar>
              <w:left w:w="108" w:type="dxa"/>
              <w:top w:w="0" w:type="dxa"/>
              <w:right w:w="108" w:type="dxa"/>
              <w:bottom w:w="0" w:type="dxa"/>
            </w:tcMar>
            <w:tcW w:w="3059" w:type="dxa"/>
            <w:vAlign w:val="center"/>
            <w:textDirection w:val="lrTb"/>
            <w:noWrap w:val="false"/>
          </w:tcPr>
          <w:p>
            <w:pPr>
              <w:pStyle w:val="893"/>
              <w:jc w:val="center"/>
              <w:spacing w:before="200" w:after="200"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r>
      <w:tr>
        <w:trPr/>
        <w:tc>
          <w:tcPr>
            <w:tcMar>
              <w:left w:w="108" w:type="dxa"/>
              <w:top w:w="0" w:type="dxa"/>
              <w:right w:w="108" w:type="dxa"/>
              <w:bottom w:w="0" w:type="dxa"/>
            </w:tcMar>
            <w:tcW w:w="1526" w:type="dxa"/>
            <w:vAlign w:val="center"/>
            <w:textDirection w:val="lrTb"/>
            <w:noWrap w:val="false"/>
          </w:tcPr>
          <w:p>
            <w:pPr>
              <w:pStyle w:val="893"/>
              <w:jc w:val="center"/>
              <w:spacing w:before="200" w:after="200"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注册号或社会信用代码</w:t>
            </w:r>
            <w:r>
              <w:rPr>
                <w:rFonts w:hint="eastAsia" w:ascii="宋体" w:hAnsi="宋体" w:cs="宋体"/>
              </w:rPr>
            </w:r>
            <w:r/>
          </w:p>
        </w:tc>
        <w:tc>
          <w:tcPr>
            <w:tcMar>
              <w:left w:w="108" w:type="dxa"/>
              <w:top w:w="0" w:type="dxa"/>
              <w:right w:w="108" w:type="dxa"/>
              <w:bottom w:w="0" w:type="dxa"/>
            </w:tcMar>
            <w:tcW w:w="3118" w:type="dxa"/>
            <w:vAlign w:val="center"/>
            <w:textDirection w:val="lrTb"/>
            <w:noWrap w:val="false"/>
          </w:tcPr>
          <w:p>
            <w:pPr>
              <w:pStyle w:val="893"/>
              <w:jc w:val="center"/>
              <w:spacing w:before="200" w:after="200"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1276" w:type="dxa"/>
            <w:vAlign w:val="center"/>
            <w:textDirection w:val="lrTb"/>
            <w:noWrap w:val="false"/>
          </w:tcPr>
          <w:p>
            <w:pPr>
              <w:pStyle w:val="893"/>
              <w:jc w:val="center"/>
              <w:spacing w:before="200" w:after="200"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注册资本（万元）</w:t>
            </w:r>
            <w:r>
              <w:rPr>
                <w:rFonts w:hint="eastAsia" w:ascii="宋体" w:hAnsi="宋体" w:cs="宋体"/>
              </w:rPr>
            </w:r>
            <w:r/>
          </w:p>
        </w:tc>
        <w:tc>
          <w:tcPr>
            <w:tcMar>
              <w:left w:w="108" w:type="dxa"/>
              <w:top w:w="0" w:type="dxa"/>
              <w:right w:w="108" w:type="dxa"/>
              <w:bottom w:w="0" w:type="dxa"/>
            </w:tcMar>
            <w:tcW w:w="3059" w:type="dxa"/>
            <w:vAlign w:val="center"/>
            <w:textDirection w:val="lrTb"/>
            <w:noWrap w:val="false"/>
          </w:tcPr>
          <w:p>
            <w:pPr>
              <w:pStyle w:val="893"/>
              <w:jc w:val="center"/>
              <w:spacing w:before="200" w:after="200"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r>
      <w:tr>
        <w:trPr/>
        <w:tc>
          <w:tcPr>
            <w:tcMar>
              <w:left w:w="108" w:type="dxa"/>
              <w:top w:w="0" w:type="dxa"/>
              <w:right w:w="108" w:type="dxa"/>
              <w:bottom w:w="0" w:type="dxa"/>
            </w:tcMar>
            <w:tcW w:w="1526" w:type="dxa"/>
            <w:vAlign w:val="center"/>
            <w:textDirection w:val="lrTb"/>
            <w:noWrap w:val="false"/>
          </w:tcPr>
          <w:p>
            <w:pPr>
              <w:pStyle w:val="893"/>
              <w:jc w:val="center"/>
              <w:spacing w:before="200" w:after="200"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投标人类别</w:t>
            </w:r>
            <w:r>
              <w:rPr>
                <w:rFonts w:hint="eastAsia" w:ascii="宋体" w:hAnsi="宋体" w:cs="宋体"/>
              </w:rPr>
            </w:r>
            <w:r/>
          </w:p>
        </w:tc>
        <w:tc>
          <w:tcPr>
            <w:gridSpan w:val="3"/>
            <w:tcMar>
              <w:left w:w="108" w:type="dxa"/>
              <w:top w:w="0" w:type="dxa"/>
              <w:right w:w="108" w:type="dxa"/>
              <w:bottom w:w="0" w:type="dxa"/>
            </w:tcMar>
            <w:tcW w:w="7453" w:type="dxa"/>
            <w:vAlign w:val="center"/>
            <w:textDirection w:val="lrTb"/>
            <w:noWrap w:val="false"/>
          </w:tcPr>
          <w:p>
            <w:pPr>
              <w:pStyle w:val="893"/>
              <w:jc w:val="center"/>
              <w:spacing w:before="200" w:after="200"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r>
      <w:tr>
        <w:trPr/>
        <w:tc>
          <w:tcPr>
            <w:tcMar>
              <w:left w:w="108" w:type="dxa"/>
              <w:top w:w="0" w:type="dxa"/>
              <w:right w:w="108" w:type="dxa"/>
              <w:bottom w:w="0" w:type="dxa"/>
            </w:tcMar>
            <w:tcW w:w="1526" w:type="dxa"/>
            <w:vAlign w:val="center"/>
            <w:textDirection w:val="lrTb"/>
            <w:noWrap w:val="false"/>
          </w:tcPr>
          <w:p>
            <w:pPr>
              <w:pStyle w:val="893"/>
              <w:jc w:val="center"/>
              <w:spacing w:before="200" w:after="200"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开户银行</w:t>
            </w:r>
            <w:r>
              <w:rPr>
                <w:rFonts w:hint="eastAsia" w:ascii="宋体" w:hAnsi="宋体" w:cs="宋体"/>
              </w:rPr>
            </w:r>
            <w:r/>
          </w:p>
        </w:tc>
        <w:tc>
          <w:tcPr>
            <w:tcMar>
              <w:left w:w="108" w:type="dxa"/>
              <w:top w:w="0" w:type="dxa"/>
              <w:right w:w="108" w:type="dxa"/>
              <w:bottom w:w="0" w:type="dxa"/>
            </w:tcMar>
            <w:tcW w:w="3118" w:type="dxa"/>
            <w:vAlign w:val="center"/>
            <w:textDirection w:val="lrTb"/>
            <w:noWrap w:val="false"/>
          </w:tcPr>
          <w:p>
            <w:pPr>
              <w:pStyle w:val="893"/>
              <w:jc w:val="center"/>
              <w:spacing w:before="200" w:after="200"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1276" w:type="dxa"/>
            <w:vAlign w:val="center"/>
            <w:textDirection w:val="lrTb"/>
            <w:noWrap w:val="false"/>
          </w:tcPr>
          <w:p>
            <w:pPr>
              <w:pStyle w:val="893"/>
              <w:jc w:val="center"/>
              <w:spacing w:before="200" w:after="200"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账号</w:t>
            </w:r>
            <w:r>
              <w:rPr>
                <w:rFonts w:hint="eastAsia" w:ascii="宋体" w:hAnsi="宋体" w:cs="宋体"/>
              </w:rPr>
            </w:r>
            <w:r/>
          </w:p>
        </w:tc>
        <w:tc>
          <w:tcPr>
            <w:tcMar>
              <w:left w:w="108" w:type="dxa"/>
              <w:top w:w="0" w:type="dxa"/>
              <w:right w:w="108" w:type="dxa"/>
              <w:bottom w:w="0" w:type="dxa"/>
            </w:tcMar>
            <w:tcW w:w="3059" w:type="dxa"/>
            <w:vAlign w:val="center"/>
            <w:textDirection w:val="lrTb"/>
            <w:noWrap w:val="false"/>
          </w:tcPr>
          <w:p>
            <w:pPr>
              <w:pStyle w:val="893"/>
              <w:jc w:val="center"/>
              <w:spacing w:before="200" w:after="200"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r>
      <w:tr>
        <w:trPr/>
        <w:tc>
          <w:tcPr>
            <w:tcMar>
              <w:left w:w="108" w:type="dxa"/>
              <w:top w:w="0" w:type="dxa"/>
              <w:right w:w="108" w:type="dxa"/>
              <w:bottom w:w="0" w:type="dxa"/>
            </w:tcMar>
            <w:tcW w:w="1526" w:type="dxa"/>
            <w:vAlign w:val="center"/>
            <w:textDirection w:val="lrTb"/>
            <w:noWrap w:val="false"/>
          </w:tcPr>
          <w:p>
            <w:pPr>
              <w:pStyle w:val="893"/>
              <w:jc w:val="center"/>
              <w:spacing w:before="200" w:after="200"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联系人</w:t>
            </w:r>
            <w:r>
              <w:rPr>
                <w:rFonts w:hint="eastAsia" w:ascii="宋体" w:hAnsi="宋体" w:cs="宋体"/>
              </w:rPr>
            </w:r>
            <w:r/>
          </w:p>
        </w:tc>
        <w:tc>
          <w:tcPr>
            <w:tcMar>
              <w:left w:w="108" w:type="dxa"/>
              <w:top w:w="0" w:type="dxa"/>
              <w:right w:w="108" w:type="dxa"/>
              <w:bottom w:w="0" w:type="dxa"/>
            </w:tcMar>
            <w:tcW w:w="3118" w:type="dxa"/>
            <w:vAlign w:val="center"/>
            <w:textDirection w:val="lrTb"/>
            <w:noWrap w:val="false"/>
          </w:tcPr>
          <w:p>
            <w:pPr>
              <w:pStyle w:val="893"/>
              <w:jc w:val="center"/>
              <w:spacing w:before="200" w:after="200"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1276" w:type="dxa"/>
            <w:vAlign w:val="center"/>
            <w:textDirection w:val="lrTb"/>
            <w:noWrap w:val="false"/>
          </w:tcPr>
          <w:p>
            <w:pPr>
              <w:pStyle w:val="893"/>
              <w:jc w:val="center"/>
              <w:spacing w:before="200" w:after="200"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联系电话</w:t>
            </w:r>
            <w:r>
              <w:rPr>
                <w:rFonts w:hint="eastAsia" w:ascii="宋体" w:hAnsi="宋体" w:cs="宋体"/>
              </w:rPr>
            </w:r>
            <w:r/>
          </w:p>
        </w:tc>
        <w:tc>
          <w:tcPr>
            <w:tcMar>
              <w:left w:w="108" w:type="dxa"/>
              <w:top w:w="0" w:type="dxa"/>
              <w:right w:w="108" w:type="dxa"/>
              <w:bottom w:w="0" w:type="dxa"/>
            </w:tcMar>
            <w:tcW w:w="3059" w:type="dxa"/>
            <w:vAlign w:val="center"/>
            <w:textDirection w:val="lrTb"/>
            <w:noWrap w:val="false"/>
          </w:tcPr>
          <w:p>
            <w:pPr>
              <w:pStyle w:val="893"/>
              <w:jc w:val="center"/>
              <w:spacing w:before="200" w:after="200"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r>
      <w:tr>
        <w:trPr>
          <w:trHeight w:val="1626"/>
        </w:trPr>
        <w:tc>
          <w:tcPr>
            <w:tcMar>
              <w:left w:w="108" w:type="dxa"/>
              <w:top w:w="0" w:type="dxa"/>
              <w:right w:w="108" w:type="dxa"/>
              <w:bottom w:w="0" w:type="dxa"/>
            </w:tcMar>
            <w:tcW w:w="1526" w:type="dxa"/>
            <w:vAlign w:val="center"/>
            <w:textDirection w:val="lrTb"/>
            <w:noWrap w:val="false"/>
          </w:tcPr>
          <w:p>
            <w:pPr>
              <w:pStyle w:val="893"/>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经营范围</w:t>
            </w:r>
            <w:r>
              <w:rPr>
                <w:rFonts w:hint="eastAsia" w:ascii="宋体" w:hAnsi="宋体" w:cs="宋体"/>
              </w:rPr>
            </w:r>
            <w:r/>
          </w:p>
        </w:tc>
        <w:tc>
          <w:tcPr>
            <w:gridSpan w:val="3"/>
            <w:tcMar>
              <w:left w:w="108" w:type="dxa"/>
              <w:top w:w="0" w:type="dxa"/>
              <w:right w:w="108" w:type="dxa"/>
              <w:bottom w:w="0" w:type="dxa"/>
            </w:tcMar>
            <w:tcW w:w="7453" w:type="dxa"/>
            <w:vAlign w:val="top"/>
            <w:textDirection w:val="lrTb"/>
            <w:noWrap w:val="false"/>
          </w:tcPr>
          <w:p>
            <w:pPr>
              <w:pStyle w:val="893"/>
              <w:ind w:firstLine="1432"/>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r>
      <w:tr>
        <w:trPr>
          <w:trHeight w:val="1134"/>
        </w:trPr>
        <w:tc>
          <w:tcPr>
            <w:tcMar>
              <w:left w:w="108" w:type="dxa"/>
              <w:top w:w="0" w:type="dxa"/>
              <w:right w:w="108" w:type="dxa"/>
              <w:bottom w:w="0" w:type="dxa"/>
            </w:tcMar>
            <w:tcW w:w="1526" w:type="dxa"/>
            <w:vAlign w:val="center"/>
            <w:textDirection w:val="lrTb"/>
            <w:noWrap w:val="false"/>
          </w:tcPr>
          <w:p>
            <w:pPr>
              <w:pStyle w:val="893"/>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备注</w:t>
            </w:r>
            <w:r>
              <w:rPr>
                <w:rFonts w:hint="eastAsia" w:ascii="宋体" w:hAnsi="宋体" w:cs="宋体"/>
              </w:rPr>
            </w:r>
            <w:r/>
          </w:p>
        </w:tc>
        <w:tc>
          <w:tcPr>
            <w:gridSpan w:val="3"/>
            <w:tcMar>
              <w:left w:w="108" w:type="dxa"/>
              <w:top w:w="0" w:type="dxa"/>
              <w:right w:w="108" w:type="dxa"/>
              <w:bottom w:w="0" w:type="dxa"/>
            </w:tcMar>
            <w:tcW w:w="7453" w:type="dxa"/>
            <w:vAlign w:val="center"/>
            <w:textDirection w:val="lrTb"/>
            <w:noWrap w:val="false"/>
          </w:tcPr>
          <w:p>
            <w:pPr>
              <w:pStyle w:val="893"/>
              <w:jc w:val="center"/>
              <w:spacing w:before="200" w:after="200"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需提供营业执照证明材料</w:t>
            </w:r>
            <w:r>
              <w:rPr>
                <w:rFonts w:hint="eastAsia" w:ascii="宋体" w:hAnsi="宋体" w:cs="宋体"/>
              </w:rPr>
            </w:r>
            <w:r/>
          </w:p>
        </w:tc>
      </w:tr>
    </w:tbl>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p>
      <w:pPr>
        <w:pStyle w:val="893"/>
        <w:rPr>
          <w:rFonts w:hint="eastAsia" w:ascii="宋体" w:hAnsi="宋体" w:cs="宋体"/>
        </w:rPr>
        <w:pBdr>
          <w:top w:val="none" w:color="000000" w:sz="0" w:space="0"/>
          <w:left w:val="none" w:color="000000" w:sz="0" w:space="0"/>
          <w:bottom w:val="none" w:color="000000" w:sz="0" w:space="0"/>
          <w:right w:val="none" w:color="000000" w:sz="0" w:space="0"/>
        </w:pBdr>
        <w:outlineLvl w:val="1"/>
      </w:pPr>
      <w:r/>
      <w:bookmarkStart w:id="151" w:name="_Toc15139"/>
      <w:r/>
      <w:bookmarkStart w:id="152" w:name="_Toc8987"/>
      <w:r>
        <w:rPr>
          <w:rFonts w:hint="eastAsia" w:ascii="宋体" w:hAnsi="宋体" w:cs="宋体"/>
          <w:b/>
          <w:color w:val="000000"/>
          <w:sz w:val="32"/>
        </w:rPr>
        <w:t xml:space="preserve">三、特定资格要求的证明文件</w:t>
      </w:r>
      <w:bookmarkEnd w:id="151"/>
      <w:r/>
      <w:bookmarkEnd w:id="152"/>
      <w:r>
        <w:rPr>
          <w:rFonts w:hint="eastAsia" w:ascii="宋体" w:hAnsi="宋体" w:cs="宋体"/>
        </w:rPr>
      </w:r>
      <w:r/>
    </w:p>
    <w:p>
      <w:pPr>
        <w:pStyle w:val="893"/>
        <w:spacing w:line="4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如果本项目申请人的特定资格要求中要求提供的，必须提供。</w:t>
      </w:r>
      <w:r>
        <w:rPr>
          <w:rFonts w:hint="eastAsia" w:ascii="宋体" w:hAnsi="宋体" w:cs="宋体"/>
        </w:rPr>
      </w:r>
      <w:r/>
    </w:p>
    <w:p>
      <w:pPr>
        <w:pStyle w:val="893"/>
        <w:spacing w:line="4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p>
      <w:pPr>
        <w:pStyle w:val="893"/>
        <w:rPr>
          <w:rFonts w:hint="eastAsia" w:ascii="宋体" w:hAnsi="宋体" w:cs="宋体"/>
        </w:rPr>
        <w:pBdr>
          <w:top w:val="none" w:color="000000" w:sz="0" w:space="0"/>
          <w:left w:val="none" w:color="000000" w:sz="0" w:space="0"/>
          <w:bottom w:val="none" w:color="000000" w:sz="0" w:space="0"/>
          <w:right w:val="none" w:color="000000" w:sz="0" w:space="0"/>
        </w:pBdr>
        <w:outlineLvl w:val="1"/>
      </w:pPr>
      <w:r/>
      <w:bookmarkStart w:id="153" w:name="_Toc17103"/>
      <w:r/>
      <w:bookmarkStart w:id="154" w:name="_Toc1094"/>
      <w:r>
        <w:rPr>
          <w:rFonts w:hint="eastAsia" w:ascii="宋体" w:hAnsi="宋体" w:cs="宋体"/>
          <w:b/>
          <w:color w:val="000000"/>
          <w:sz w:val="32"/>
        </w:rPr>
        <w:t xml:space="preserve">四、法人授权书</w:t>
      </w:r>
      <w:bookmarkEnd w:id="153"/>
      <w:r/>
      <w:bookmarkEnd w:id="154"/>
      <w:r>
        <w:rPr>
          <w:rFonts w:hint="eastAsia" w:ascii="宋体" w:hAnsi="宋体" w:cs="宋体"/>
        </w:rPr>
      </w:r>
      <w:r/>
    </w:p>
    <w:p>
      <w:pPr>
        <w:pStyle w:val="893"/>
        <w:ind w:firstLine="480"/>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本授权书声明：____________（投标人名称）授权________________（被授权人的姓名）为我方就JSZC-</w:t>
      </w:r>
      <w:r>
        <w:rPr>
          <w:rFonts w:hint="eastAsia" w:ascii="宋体" w:hAnsi="宋体" w:cs="宋体"/>
          <w:color w:val="000000"/>
          <w:sz w:val="24"/>
          <w:u w:val="single"/>
        </w:rPr>
        <w:t xml:space="preserve">        </w:t>
      </w:r>
      <w:r>
        <w:rPr>
          <w:rFonts w:hint="eastAsia" w:ascii="宋体" w:hAnsi="宋体" w:cs="宋体"/>
          <w:color w:val="000000"/>
          <w:sz w:val="24"/>
        </w:rPr>
        <w:t xml:space="preserve">号项目采购活动的合法代理人，以本单位名义全权处理一切与该项目采购有关的事务。</w:t>
      </w:r>
      <w:r>
        <w:rPr>
          <w:rFonts w:hint="eastAsia" w:ascii="宋体" w:hAnsi="宋体" w:cs="宋体"/>
        </w:rPr>
      </w:r>
      <w:r/>
    </w:p>
    <w:p>
      <w:pPr>
        <w:pStyle w:val="893"/>
        <w:ind w:firstLine="480"/>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本授权书于______年____月____日起生效，特此声明。</w:t>
      </w:r>
      <w:r>
        <w:rPr>
          <w:rFonts w:hint="eastAsia" w:ascii="宋体" w:hAnsi="宋体" w:cs="宋体"/>
        </w:rPr>
      </w:r>
      <w:r/>
    </w:p>
    <w:p>
      <w:pPr>
        <w:pStyle w:val="893"/>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被授权人身份证号码：</w:t>
      </w:r>
      <w:r>
        <w:rPr>
          <w:rFonts w:hint="eastAsia" w:ascii="宋体" w:hAnsi="宋体" w:cs="宋体"/>
          <w:color w:val="000000"/>
          <w:sz w:val="24"/>
          <w:u w:val="single"/>
        </w:rPr>
        <w:t xml:space="preserve">           </w:t>
      </w:r>
      <w:r>
        <w:rPr>
          <w:rFonts w:hint="eastAsia" w:ascii="宋体" w:hAnsi="宋体" w:cs="宋体"/>
        </w:rPr>
      </w:r>
      <w:r/>
    </w:p>
    <w:p>
      <w:pPr>
        <w:pStyle w:val="893"/>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被授权人联系电话：（手机）</w:t>
      </w:r>
      <w:r>
        <w:rPr>
          <w:rFonts w:hint="eastAsia" w:ascii="宋体" w:hAnsi="宋体" w:cs="宋体"/>
          <w:color w:val="000000"/>
          <w:sz w:val="24"/>
          <w:u w:val="single"/>
        </w:rPr>
        <w:t xml:space="preserve">       </w:t>
      </w:r>
      <w:r>
        <w:rPr>
          <w:rFonts w:hint="eastAsia" w:ascii="宋体" w:hAnsi="宋体" w:cs="宋体"/>
        </w:rPr>
      </w:r>
      <w:r/>
    </w:p>
    <w:p>
      <w:pPr>
        <w:pStyle w:val="893"/>
        <w:ind w:firstLine="1850"/>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授权单位名称：</w:t>
      </w:r>
      <w:r>
        <w:rPr>
          <w:rFonts w:hint="eastAsia" w:ascii="宋体" w:hAnsi="宋体" w:cs="宋体"/>
          <w:color w:val="000000"/>
          <w:sz w:val="24"/>
          <w:u w:val="single"/>
        </w:rPr>
        <w:t xml:space="preserve">（加盖CA电子公章）</w:t>
      </w:r>
      <w:r>
        <w:rPr>
          <w:rFonts w:hint="eastAsia" w:ascii="宋体" w:hAnsi="宋体" w:cs="宋体"/>
        </w:rPr>
      </w:r>
      <w:r/>
    </w:p>
    <w:p>
      <w:pPr>
        <w:pStyle w:val="893"/>
        <w:ind w:firstLine="480"/>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单位地址：</w:t>
      </w:r>
      <w:r>
        <w:rPr>
          <w:rFonts w:hint="eastAsia" w:ascii="宋体" w:hAnsi="宋体" w:cs="宋体"/>
          <w:color w:val="000000"/>
          <w:sz w:val="24"/>
          <w:u w:val="single"/>
        </w:rPr>
        <w:t xml:space="preserve">          </w:t>
      </w:r>
      <w:r>
        <w:rPr>
          <w:rFonts w:hint="eastAsia" w:ascii="宋体" w:hAnsi="宋体" w:cs="宋体"/>
        </w:rPr>
      </w:r>
      <w:r/>
    </w:p>
    <w:p>
      <w:pPr>
        <w:pStyle w:val="893"/>
        <w:ind w:firstLine="480"/>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日期：</w:t>
      </w:r>
      <w:r>
        <w:rPr>
          <w:rFonts w:hint="eastAsia" w:ascii="宋体" w:hAnsi="宋体" w:cs="宋体"/>
          <w:color w:val="000000"/>
          <w:sz w:val="24"/>
          <w:u w:val="single"/>
        </w:rPr>
        <w:t xml:space="preserve">           </w:t>
      </w:r>
      <w:r>
        <w:rPr>
          <w:rFonts w:hint="eastAsia" w:ascii="宋体" w:hAnsi="宋体" w:cs="宋体"/>
        </w:rPr>
      </w:r>
      <w:r/>
    </w:p>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 </w:t>
      </w:r>
      <w:r>
        <w:rPr>
          <w:rFonts w:hint="eastAsia" w:ascii="宋体" w:hAnsi="宋体" w:cs="宋体"/>
        </w:rPr>
      </w:r>
      <w:r/>
    </w:p>
    <w:p>
      <w:pPr>
        <w:pStyle w:val="893"/>
        <w:spacing w:line="4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p>
      <w:pPr>
        <w:pStyle w:val="893"/>
        <w:spacing w:line="4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rPr>
          <w:rFonts w:hint="eastAsia" w:ascii="宋体" w:hAnsi="宋体" w:cs="宋体"/>
        </w:rPr>
      </w:r>
      <w:r/>
    </w:p>
    <w:p>
      <w:pPr>
        <w:pStyle w:val="893"/>
        <w:rPr>
          <w:rFonts w:hint="eastAsia" w:ascii="宋体" w:hAnsi="宋体" w:cs="宋体"/>
        </w:rPr>
        <w:pBdr>
          <w:top w:val="none" w:color="000000" w:sz="0" w:space="0"/>
          <w:left w:val="none" w:color="000000" w:sz="0" w:space="0"/>
          <w:bottom w:val="none" w:color="000000" w:sz="0" w:space="0"/>
          <w:right w:val="none" w:color="000000" w:sz="0" w:space="0"/>
        </w:pBdr>
        <w:outlineLvl w:val="1"/>
      </w:pPr>
      <w:r/>
      <w:bookmarkStart w:id="155" w:name="_Toc5591"/>
      <w:r/>
      <w:bookmarkStart w:id="156" w:name="_Toc22517"/>
      <w:r>
        <w:rPr>
          <w:rFonts w:hint="eastAsia" w:ascii="宋体" w:hAnsi="宋体" w:cs="宋体"/>
          <w:b/>
          <w:color w:val="000000"/>
          <w:sz w:val="32"/>
        </w:rPr>
        <w:t xml:space="preserve">五、开标一览表</w:t>
      </w:r>
      <w:bookmarkEnd w:id="155"/>
      <w:r/>
      <w:bookmarkEnd w:id="156"/>
      <w:r>
        <w:rPr>
          <w:rFonts w:hint="eastAsia" w:ascii="宋体" w:hAnsi="宋体" w:cs="宋体"/>
        </w:rPr>
      </w:r>
      <w:r/>
    </w:p>
    <w:p>
      <w:pPr>
        <w:pStyle w:val="893"/>
        <w:ind w:firstLine="48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投标人全称（加盖CA电子签章）：</w:t>
      </w:r>
      <w:r>
        <w:rPr>
          <w:rFonts w:hint="eastAsia" w:ascii="宋体" w:hAnsi="宋体" w:cs="宋体"/>
        </w:rPr>
      </w:r>
      <w:r/>
    </w:p>
    <w:p>
      <w:pPr>
        <w:pStyle w:val="893"/>
        <w:ind w:firstLine="48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项目名称：</w:t>
      </w:r>
      <w:r>
        <w:rPr>
          <w:rFonts w:hint="eastAsia" w:ascii="宋体" w:hAnsi="宋体" w:cs="宋体"/>
        </w:rPr>
      </w:r>
      <w:r/>
    </w:p>
    <w:p>
      <w:pPr>
        <w:pStyle w:val="893"/>
        <w:ind w:firstLine="48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招标编号：分包号：</w:t>
      </w:r>
      <w:r>
        <w:rPr>
          <w:rFonts w:hint="eastAsia" w:ascii="宋体" w:hAnsi="宋体" w:cs="宋体"/>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6"/>
      </w:tblGrid>
      <w:tr>
        <w:trPr>
          <w:trHeight w:val="725"/>
        </w:trPr>
        <w:tc>
          <w:tcPr>
            <w:tcMar>
              <w:left w:w="108" w:type="dxa"/>
              <w:top w:w="0" w:type="dxa"/>
              <w:right w:w="108" w:type="dxa"/>
              <w:bottom w:w="0" w:type="dxa"/>
            </w:tcMar>
            <w:tcW w:w="8206" w:type="dxa"/>
            <w:vAlign w:val="center"/>
            <w:textDirection w:val="lrTb"/>
            <w:noWrap w:val="false"/>
          </w:tcPr>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投标总报价</w:t>
            </w:r>
            <w:r>
              <w:rPr>
                <w:rFonts w:hint="eastAsia" w:ascii="宋体" w:hAnsi="宋体" w:cs="宋体"/>
              </w:rPr>
            </w:r>
            <w:r/>
          </w:p>
        </w:tc>
      </w:tr>
      <w:tr>
        <w:trPr>
          <w:trHeight w:val="612"/>
        </w:trPr>
        <w:tc>
          <w:tcPr>
            <w:tcMar>
              <w:left w:w="108" w:type="dxa"/>
              <w:top w:w="0" w:type="dxa"/>
              <w:right w:w="108" w:type="dxa"/>
              <w:bottom w:w="0" w:type="dxa"/>
            </w:tcMar>
            <w:tcW w:w="8206" w:type="dxa"/>
            <w:vAlign w:val="center"/>
            <w:textDirection w:val="lrTb"/>
            <w:noWrap w:val="false"/>
          </w:tcPr>
          <w:p>
            <w:pPr>
              <w:pStyle w:val="893"/>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小写：                             （人民币：元）</w:t>
            </w:r>
            <w:r>
              <w:rPr>
                <w:rFonts w:hint="eastAsia" w:ascii="宋体" w:hAnsi="宋体" w:cs="宋体"/>
              </w:rPr>
            </w:r>
            <w:r/>
          </w:p>
        </w:tc>
      </w:tr>
    </w:tbl>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p>
      <w:pPr>
        <w:pStyle w:val="893"/>
        <w:ind w:firstLine="48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rPr>
          <w:rFonts w:hint="eastAsia" w:ascii="宋体" w:hAnsi="宋体" w:cs="宋体"/>
        </w:rPr>
      </w:r>
      <w:r/>
    </w:p>
    <w:p>
      <w:pPr>
        <w:pStyle w:val="893"/>
        <w:ind w:firstLine="48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p>
      <w:pPr>
        <w:pStyle w:val="893"/>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rPr>
      </w:r>
      <w:r/>
    </w:p>
    <w:p>
      <w:pPr>
        <w:pStyle w:val="893"/>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93"/>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93"/>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93"/>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93"/>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93"/>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93"/>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93"/>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93"/>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93"/>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93"/>
        <w:ind w:firstLine="48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p>
      <w:pPr>
        <w:pStyle w:val="893"/>
        <w:ind w:firstLine="480"/>
        <w:rPr>
          <w:rFonts w:hint="eastAsia" w:ascii="宋体" w:hAnsi="宋体" w:cs="宋体"/>
        </w:rPr>
        <w:pBdr>
          <w:top w:val="none" w:color="000000" w:sz="0" w:space="0"/>
          <w:left w:val="none" w:color="000000" w:sz="0" w:space="0"/>
          <w:bottom w:val="none" w:color="000000" w:sz="0" w:space="0"/>
          <w:right w:val="none" w:color="000000" w:sz="0" w:space="0"/>
        </w:pBdr>
        <w:outlineLvl w:val="1"/>
      </w:pPr>
      <w:r/>
      <w:bookmarkStart w:id="157" w:name="_Toc25095"/>
      <w:r/>
      <w:bookmarkStart w:id="158" w:name="_Toc24210"/>
      <w:r>
        <w:rPr>
          <w:rFonts w:hint="eastAsia" w:ascii="宋体" w:hAnsi="宋体" w:cs="宋体"/>
          <w:b/>
          <w:color w:val="000000"/>
          <w:sz w:val="32"/>
          <w:lang w:eastAsia="zh-CN"/>
        </w:rPr>
        <w:t xml:space="preserve">六</w:t>
      </w:r>
      <w:r>
        <w:rPr>
          <w:rFonts w:hint="eastAsia" w:ascii="宋体" w:hAnsi="宋体" w:cs="宋体"/>
          <w:b/>
          <w:color w:val="000000"/>
          <w:sz w:val="32"/>
        </w:rPr>
        <w:t xml:space="preserve">、投标报价明细表</w:t>
      </w:r>
      <w:bookmarkEnd w:id="157"/>
      <w:r/>
      <w:bookmarkEnd w:id="158"/>
      <w:r>
        <w:rPr>
          <w:rFonts w:hint="eastAsia" w:ascii="宋体" w:hAnsi="宋体" w:cs="宋体"/>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9"/>
        <w:gridCol w:w="1340"/>
        <w:gridCol w:w="1283"/>
        <w:gridCol w:w="1166"/>
        <w:gridCol w:w="973"/>
        <w:gridCol w:w="1606"/>
        <w:gridCol w:w="1765"/>
      </w:tblGrid>
      <w:tr>
        <w:trPr>
          <w:trHeight w:val="544"/>
        </w:trPr>
        <w:tc>
          <w:tcPr>
            <w:tcMar>
              <w:left w:w="108" w:type="dxa"/>
              <w:top w:w="0" w:type="dxa"/>
              <w:right w:w="108" w:type="dxa"/>
              <w:bottom w:w="0" w:type="dxa"/>
            </w:tcMar>
            <w:tcW w:w="562" w:type="dxa"/>
            <w:vAlign w:val="center"/>
            <w:vMerge w:val="restart"/>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序号</w:t>
            </w:r>
            <w:r>
              <w:rPr>
                <w:rFonts w:hint="eastAsia" w:ascii="宋体" w:hAnsi="宋体" w:cs="宋体"/>
              </w:rPr>
            </w:r>
            <w:r/>
          </w:p>
        </w:tc>
        <w:tc>
          <w:tcPr>
            <w:tcMar>
              <w:left w:w="108" w:type="dxa"/>
              <w:top w:w="0" w:type="dxa"/>
              <w:right w:w="108" w:type="dxa"/>
              <w:bottom w:w="0" w:type="dxa"/>
            </w:tcMar>
            <w:tcW w:w="731"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hint="eastAsia" w:ascii="宋体" w:hAnsi="宋体" w:cs="宋体"/>
              </w:rPr>
            </w:r>
            <w:r/>
          </w:p>
        </w:tc>
        <w:tc>
          <w:tcPr>
            <w:tcMar>
              <w:left w:w="108" w:type="dxa"/>
              <w:top w:w="0" w:type="dxa"/>
              <w:right w:w="108" w:type="dxa"/>
              <w:bottom w:w="0" w:type="dxa"/>
            </w:tcMar>
            <w:tcW w:w="700"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hint="eastAsia" w:ascii="宋体" w:hAnsi="宋体" w:cs="宋体"/>
              </w:rPr>
            </w:r>
            <w:r/>
          </w:p>
        </w:tc>
        <w:tc>
          <w:tcPr>
            <w:tcMar>
              <w:left w:w="108" w:type="dxa"/>
              <w:top w:w="0" w:type="dxa"/>
              <w:right w:w="108" w:type="dxa"/>
              <w:bottom w:w="0" w:type="dxa"/>
            </w:tcMar>
            <w:tcW w:w="636"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hint="eastAsia" w:ascii="宋体" w:hAnsi="宋体" w:cs="宋体"/>
              </w:rPr>
            </w:r>
            <w:r/>
          </w:p>
        </w:tc>
        <w:tc>
          <w:tcPr>
            <w:tcMar>
              <w:left w:w="108" w:type="dxa"/>
              <w:top w:w="0" w:type="dxa"/>
              <w:right w:w="108" w:type="dxa"/>
              <w:bottom w:w="0" w:type="dxa"/>
            </w:tcMar>
            <w:tcW w:w="531"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rPr>
                <w:rFonts w:hint="eastAsia" w:ascii="宋体" w:hAnsi="宋体" w:cs="宋体"/>
              </w:rPr>
            </w:r>
            <w:r/>
          </w:p>
        </w:tc>
        <w:tc>
          <w:tcPr>
            <w:tcMar>
              <w:left w:w="108" w:type="dxa"/>
              <w:top w:w="0" w:type="dxa"/>
              <w:right w:w="108" w:type="dxa"/>
              <w:bottom w:w="0" w:type="dxa"/>
            </w:tcMar>
            <w:tcW w:w="874"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rPr>
                <w:rFonts w:hint="eastAsia" w:ascii="宋体" w:hAnsi="宋体" w:cs="宋体"/>
              </w:rPr>
            </w:r>
            <w:r/>
          </w:p>
        </w:tc>
        <w:tc>
          <w:tcPr>
            <w:tcMar>
              <w:left w:w="108" w:type="dxa"/>
              <w:top w:w="0" w:type="dxa"/>
              <w:right w:w="108" w:type="dxa"/>
              <w:bottom w:w="0" w:type="dxa"/>
            </w:tcMar>
            <w:tcW w:w="963"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w:t>
            </w:r>
            <w:r>
              <w:rPr>
                <w:rFonts w:hint="eastAsia" w:ascii="宋体" w:hAnsi="宋体" w:cs="宋体"/>
              </w:rPr>
            </w:r>
            <w:r/>
          </w:p>
        </w:tc>
      </w:tr>
      <w:tr>
        <w:trPr>
          <w:trHeight w:val="294"/>
        </w:trPr>
        <w:tc>
          <w:tcPr>
            <w:tcW w:w="562" w:type="dxa"/>
            <w:vAlign w:val="top"/>
            <w:vMerge w:val="continue"/>
            <w:textDirection w:val="lrTb"/>
            <w:noWrap w:val="false"/>
          </w:tcPr>
          <w:p>
            <w:pPr>
              <w:pStyle w:val="893"/>
              <w:rPr>
                <w:rFonts w:hint="eastAsia" w:ascii="宋体" w:hAnsi="宋体" w:cs="宋体"/>
              </w:rPr>
            </w:pPr>
            <w:r>
              <w:rPr>
                <w:rFonts w:hint="eastAsia" w:ascii="宋体" w:hAnsi="宋体" w:cs="宋体"/>
              </w:rPr>
            </w:r>
            <w:r/>
          </w:p>
        </w:tc>
        <w:tc>
          <w:tcPr>
            <w:tcMar>
              <w:left w:w="108" w:type="dxa"/>
              <w:top w:w="0" w:type="dxa"/>
              <w:right w:w="108" w:type="dxa"/>
              <w:bottom w:w="0" w:type="dxa"/>
            </w:tcMar>
            <w:tcW w:w="731"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分项服务名称</w:t>
            </w:r>
            <w:r>
              <w:rPr>
                <w:rFonts w:hint="eastAsia" w:ascii="宋体" w:hAnsi="宋体" w:cs="宋体"/>
              </w:rPr>
            </w:r>
            <w:r/>
          </w:p>
        </w:tc>
        <w:tc>
          <w:tcPr>
            <w:tcMar>
              <w:left w:w="108" w:type="dxa"/>
              <w:top w:w="0" w:type="dxa"/>
              <w:right w:w="108" w:type="dxa"/>
              <w:bottom w:w="0" w:type="dxa"/>
            </w:tcMar>
            <w:tcW w:w="700"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交付期</w:t>
            </w:r>
            <w:r>
              <w:rPr>
                <w:rFonts w:hint="eastAsia" w:ascii="宋体" w:hAnsi="宋体" w:cs="宋体"/>
              </w:rPr>
            </w:r>
            <w:r/>
          </w:p>
        </w:tc>
        <w:tc>
          <w:tcPr>
            <w:tcMar>
              <w:left w:w="108" w:type="dxa"/>
              <w:top w:w="0" w:type="dxa"/>
              <w:right w:w="108" w:type="dxa"/>
              <w:bottom w:w="0" w:type="dxa"/>
            </w:tcMar>
            <w:tcW w:w="636"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分项单位</w:t>
            </w:r>
            <w:r>
              <w:rPr>
                <w:rFonts w:hint="eastAsia" w:ascii="宋体" w:hAnsi="宋体" w:cs="宋体"/>
              </w:rPr>
            </w:r>
            <w:r/>
          </w:p>
        </w:tc>
        <w:tc>
          <w:tcPr>
            <w:tcMar>
              <w:left w:w="108" w:type="dxa"/>
              <w:top w:w="0" w:type="dxa"/>
              <w:right w:w="108" w:type="dxa"/>
              <w:bottom w:w="0" w:type="dxa"/>
            </w:tcMar>
            <w:tcW w:w="531"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数量</w:t>
            </w:r>
            <w:r>
              <w:rPr>
                <w:rFonts w:hint="eastAsia" w:ascii="宋体" w:hAnsi="宋体" w:cs="宋体"/>
              </w:rPr>
            </w:r>
            <w:r/>
          </w:p>
        </w:tc>
        <w:tc>
          <w:tcPr>
            <w:tcMar>
              <w:left w:w="108" w:type="dxa"/>
              <w:top w:w="0" w:type="dxa"/>
              <w:right w:w="108" w:type="dxa"/>
              <w:bottom w:w="0" w:type="dxa"/>
            </w:tcMar>
            <w:tcW w:w="874"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分项</w:t>
            </w:r>
            <w:r>
              <w:rPr>
                <w:rFonts w:hint="eastAsia" w:ascii="宋体" w:hAnsi="宋体" w:cs="宋体"/>
              </w:rPr>
            </w:r>
            <w:r/>
          </w:p>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单价</w:t>
            </w:r>
            <w:r>
              <w:rPr>
                <w:rFonts w:hint="eastAsia" w:ascii="宋体" w:hAnsi="宋体" w:cs="宋体"/>
              </w:rPr>
            </w:r>
            <w:r/>
          </w:p>
        </w:tc>
        <w:tc>
          <w:tcPr>
            <w:tcMar>
              <w:left w:w="108" w:type="dxa"/>
              <w:top w:w="0" w:type="dxa"/>
              <w:right w:w="108" w:type="dxa"/>
              <w:bottom w:w="0" w:type="dxa"/>
            </w:tcMar>
            <w:tcW w:w="963"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分项</w:t>
            </w:r>
            <w:r>
              <w:rPr>
                <w:rFonts w:hint="eastAsia" w:ascii="宋体" w:hAnsi="宋体" w:cs="宋体"/>
              </w:rPr>
            </w:r>
            <w:r/>
          </w:p>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总价</w:t>
            </w:r>
            <w:r>
              <w:rPr>
                <w:rFonts w:hint="eastAsia" w:ascii="宋体" w:hAnsi="宋体" w:cs="宋体"/>
              </w:rPr>
            </w:r>
            <w:r/>
          </w:p>
        </w:tc>
      </w:tr>
      <w:tr>
        <w:trPr>
          <w:trHeight w:val="654"/>
        </w:trPr>
        <w:tc>
          <w:tcPr>
            <w:tcMar>
              <w:left w:w="108" w:type="dxa"/>
              <w:top w:w="0" w:type="dxa"/>
              <w:right w:w="108" w:type="dxa"/>
              <w:bottom w:w="0" w:type="dxa"/>
            </w:tcMar>
            <w:tcW w:w="562"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hint="eastAsia" w:ascii="宋体" w:hAnsi="宋体" w:cs="宋体"/>
              </w:rPr>
            </w:r>
            <w:r/>
          </w:p>
        </w:tc>
        <w:tc>
          <w:tcPr>
            <w:tcMar>
              <w:left w:w="108" w:type="dxa"/>
              <w:top w:w="0" w:type="dxa"/>
              <w:right w:w="108" w:type="dxa"/>
              <w:bottom w:w="0" w:type="dxa"/>
            </w:tcMar>
            <w:tcW w:w="731"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700"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636"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531"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874"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963"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r>
      <w:tr>
        <w:trPr>
          <w:trHeight w:val="654"/>
        </w:trPr>
        <w:tc>
          <w:tcPr>
            <w:tcMar>
              <w:left w:w="108" w:type="dxa"/>
              <w:top w:w="0" w:type="dxa"/>
              <w:right w:w="108" w:type="dxa"/>
              <w:bottom w:w="0" w:type="dxa"/>
            </w:tcMar>
            <w:tcW w:w="562"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hint="eastAsia" w:ascii="宋体" w:hAnsi="宋体" w:cs="宋体"/>
              </w:rPr>
            </w:r>
            <w:r/>
          </w:p>
        </w:tc>
        <w:tc>
          <w:tcPr>
            <w:tcMar>
              <w:left w:w="108" w:type="dxa"/>
              <w:top w:w="0" w:type="dxa"/>
              <w:right w:w="108" w:type="dxa"/>
              <w:bottom w:w="0" w:type="dxa"/>
            </w:tcMar>
            <w:tcW w:w="731"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700"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636"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531"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874"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963"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r>
      <w:tr>
        <w:trPr>
          <w:trHeight w:val="654"/>
        </w:trPr>
        <w:tc>
          <w:tcPr>
            <w:tcMar>
              <w:left w:w="108" w:type="dxa"/>
              <w:top w:w="0" w:type="dxa"/>
              <w:right w:w="108" w:type="dxa"/>
              <w:bottom w:w="0" w:type="dxa"/>
            </w:tcMar>
            <w:tcW w:w="562"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hint="eastAsia" w:ascii="宋体" w:hAnsi="宋体" w:cs="宋体"/>
              </w:rPr>
            </w:r>
            <w:r/>
          </w:p>
        </w:tc>
        <w:tc>
          <w:tcPr>
            <w:tcMar>
              <w:left w:w="108" w:type="dxa"/>
              <w:top w:w="0" w:type="dxa"/>
              <w:right w:w="108" w:type="dxa"/>
              <w:bottom w:w="0" w:type="dxa"/>
            </w:tcMar>
            <w:tcW w:w="731"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700"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636"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531"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874"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963"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r>
      <w:tr>
        <w:trPr>
          <w:trHeight w:val="654"/>
        </w:trPr>
        <w:tc>
          <w:tcPr>
            <w:tcMar>
              <w:left w:w="108" w:type="dxa"/>
              <w:top w:w="0" w:type="dxa"/>
              <w:right w:w="108" w:type="dxa"/>
              <w:bottom w:w="0" w:type="dxa"/>
            </w:tcMar>
            <w:tcW w:w="562"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w:t>
            </w:r>
            <w:r>
              <w:rPr>
                <w:rFonts w:hint="eastAsia" w:ascii="宋体" w:hAnsi="宋体" w:cs="宋体"/>
              </w:rPr>
            </w:r>
            <w:r/>
          </w:p>
        </w:tc>
        <w:tc>
          <w:tcPr>
            <w:tcMar>
              <w:left w:w="108" w:type="dxa"/>
              <w:top w:w="0" w:type="dxa"/>
              <w:right w:w="108" w:type="dxa"/>
              <w:bottom w:w="0" w:type="dxa"/>
            </w:tcMar>
            <w:tcW w:w="731"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w:t>
            </w:r>
            <w:r>
              <w:rPr>
                <w:rFonts w:hint="eastAsia" w:ascii="宋体" w:hAnsi="宋体" w:cs="宋体"/>
              </w:rPr>
            </w:r>
            <w:r/>
          </w:p>
        </w:tc>
        <w:tc>
          <w:tcPr>
            <w:tcMar>
              <w:left w:w="108" w:type="dxa"/>
              <w:top w:w="0" w:type="dxa"/>
              <w:right w:w="108" w:type="dxa"/>
              <w:bottom w:w="0" w:type="dxa"/>
            </w:tcMar>
            <w:tcW w:w="700"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636"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531"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874"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963"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r>
      <w:tr>
        <w:trPr>
          <w:trHeight w:val="487"/>
        </w:trPr>
        <w:tc>
          <w:tcPr>
            <w:gridSpan w:val="6"/>
            <w:tcMar>
              <w:left w:w="108" w:type="dxa"/>
              <w:top w:w="0" w:type="dxa"/>
              <w:right w:w="108" w:type="dxa"/>
              <w:bottom w:w="0" w:type="dxa"/>
            </w:tcMar>
            <w:tcW w:w="7397"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投标总报价（人民币：元）</w:t>
            </w:r>
            <w:r>
              <w:rPr>
                <w:rFonts w:hint="eastAsia" w:ascii="宋体" w:hAnsi="宋体" w:cs="宋体"/>
              </w:rPr>
            </w:r>
            <w:r/>
          </w:p>
        </w:tc>
        <w:tc>
          <w:tcPr>
            <w:tcMar>
              <w:left w:w="108" w:type="dxa"/>
              <w:top w:w="0" w:type="dxa"/>
              <w:right w:w="108" w:type="dxa"/>
              <w:bottom w:w="0" w:type="dxa"/>
            </w:tcMar>
            <w:tcW w:w="963" w:type="dxa"/>
            <w:vAlign w:val="top"/>
            <w:textDirection w:val="lrTb"/>
            <w:noWrap w:val="false"/>
          </w:tcPr>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r>
    </w:tbl>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备注：1.“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cs="宋体"/>
        </w:rPr>
      </w:r>
      <w:r/>
    </w:p>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 “投标分项报价表”中“投标总报价”数额应当与“开标一览表”中“投标总报价”数额一致。</w:t>
      </w:r>
      <w:r>
        <w:rPr>
          <w:rFonts w:hint="eastAsia" w:ascii="宋体" w:hAnsi="宋体" w:cs="宋体"/>
        </w:rPr>
      </w:r>
      <w:r/>
    </w:p>
    <w:p>
      <w:pPr>
        <w:pStyle w:val="895"/>
        <w:spacing w:before="120" w:after="120" w:line="761"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bookmarkStart w:id="159" w:name="_Toc23186"/>
      <w:r/>
      <w:bookmarkStart w:id="160" w:name="_Toc22763"/>
      <w:r>
        <w:rPr>
          <w:rFonts w:hint="eastAsia" w:ascii="宋体" w:hAnsi="宋体" w:eastAsia="宋体" w:cs="宋体"/>
          <w:color w:val="000000"/>
          <w:sz w:val="32"/>
          <w:lang w:eastAsia="zh-CN"/>
        </w:rPr>
        <w:t xml:space="preserve">七</w:t>
      </w:r>
      <w:r>
        <w:rPr>
          <w:rFonts w:hint="eastAsia" w:ascii="宋体" w:hAnsi="宋体" w:eastAsia="宋体" w:cs="宋体"/>
          <w:color w:val="000000"/>
          <w:sz w:val="32"/>
        </w:rPr>
        <w:t xml:space="preserve">、中小企业声明函（服务）（分包号：**）</w:t>
      </w:r>
      <w:bookmarkEnd w:id="159"/>
      <w:r/>
      <w:bookmarkEnd w:id="160"/>
      <w:r>
        <w:rPr>
          <w:rFonts w:hint="eastAsia" w:ascii="宋体" w:hAnsi="宋体" w:eastAsia="宋体" w:cs="宋体"/>
        </w:rPr>
      </w:r>
      <w:r/>
    </w:p>
    <w:p>
      <w:pPr>
        <w:pStyle w:val="893"/>
        <w:ind w:firstLine="360"/>
        <w:spacing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本公司（联合体）郑重声明，根据《政府采购促进中小企业发展管理办法》(财库[2020]46号)的规定，本公司（联合体）参加江苏省政府采购代理机构组织的</w:t>
      </w:r>
      <w:r>
        <w:rPr>
          <w:rFonts w:hint="eastAsia" w:ascii="宋体" w:hAnsi="宋体" w:cs="宋体"/>
          <w:color w:val="000000"/>
          <w:sz w:val="24"/>
          <w:u w:val="single"/>
        </w:rPr>
        <w:t xml:space="preserve">（单位名称）</w:t>
      </w:r>
      <w:r>
        <w:rPr>
          <w:rFonts w:hint="eastAsia" w:ascii="宋体" w:hAnsi="宋体" w:cs="宋体"/>
          <w:color w:val="000000"/>
          <w:sz w:val="24"/>
        </w:rPr>
        <w:t xml:space="preserve">采购编号为</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u w:val="single"/>
        </w:rPr>
        <w:t xml:space="preserve">（项目名称）（分包号：**）</w:t>
      </w:r>
      <w:r>
        <w:rPr>
          <w:rFonts w:hint="eastAsia" w:ascii="宋体" w:hAnsi="宋体" w:cs="宋体"/>
          <w:color w:val="000000"/>
          <w:sz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s="宋体"/>
        </w:rPr>
      </w:r>
      <w:r/>
    </w:p>
    <w:p>
      <w:pPr>
        <w:pStyle w:val="893"/>
        <w:ind w:firstLine="360"/>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hint="eastAsia" w:ascii="宋体" w:hAnsi="宋体" w:cs="宋体"/>
          <w:color w:val="000000"/>
          <w:sz w:val="24"/>
          <w:u w:val="single"/>
        </w:rPr>
        <w:t xml:space="preserve">（标的名称）</w:t>
      </w:r>
      <w:r>
        <w:rPr>
          <w:rFonts w:hint="eastAsia" w:ascii="宋体" w:hAnsi="宋体" w:cs="宋体"/>
          <w:i/>
          <w:color w:val="000000"/>
          <w:sz w:val="24"/>
        </w:rPr>
        <w:t xml:space="preserve">，</w:t>
      </w:r>
      <w:r>
        <w:rPr>
          <w:rFonts w:hint="eastAsia" w:ascii="宋体" w:hAnsi="宋体" w:cs="宋体"/>
          <w:color w:val="000000"/>
          <w:sz w:val="24"/>
        </w:rPr>
        <w:t xml:space="preserve">属于</w:t>
      </w:r>
      <w:r>
        <w:rPr>
          <w:rFonts w:hint="eastAsia" w:ascii="宋体" w:hAnsi="宋体" w:cs="宋体"/>
          <w:color w:val="000000"/>
          <w:sz w:val="24"/>
          <w:u w:val="single"/>
        </w:rPr>
        <w:t xml:space="preserve">       </w:t>
      </w:r>
      <w:r>
        <w:rPr>
          <w:rFonts w:hint="eastAsia" w:ascii="宋体" w:hAnsi="宋体" w:cs="宋体"/>
          <w:color w:val="000000"/>
          <w:sz w:val="24"/>
        </w:rPr>
        <w:t xml:space="preserve">行业；承接企业为</w:t>
      </w:r>
      <w:r>
        <w:rPr>
          <w:rFonts w:hint="eastAsia" w:ascii="宋体" w:hAnsi="宋体" w:cs="宋体"/>
          <w:color w:val="000000"/>
          <w:sz w:val="24"/>
          <w:u w:val="single"/>
        </w:rPr>
        <w:t xml:space="preserve">（企业名称）</w:t>
      </w:r>
      <w:r>
        <w:rPr>
          <w:rFonts w:hint="eastAsia" w:ascii="宋体" w:hAnsi="宋体" w:cs="宋体"/>
          <w:color w:val="000000"/>
          <w:sz w:val="24"/>
        </w:rPr>
        <w:t xml:space="preserve">，从业人员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w:t>
      </w:r>
      <w:r>
        <w:rPr>
          <w:rFonts w:hint="eastAsia" w:ascii="宋体" w:hAnsi="宋体" w:cs="宋体"/>
          <w:color w:val="000000"/>
          <w:sz w:val="24"/>
          <w:vertAlign w:val="superscript"/>
        </w:rPr>
        <w:t xml:space="preserve">1</w:t>
      </w:r>
      <w:r>
        <w:rPr>
          <w:rFonts w:hint="eastAsia" w:ascii="宋体" w:hAnsi="宋体" w:cs="宋体"/>
          <w:color w:val="000000"/>
          <w:sz w:val="24"/>
        </w:rPr>
        <w:t xml:space="preserve">，属于</w:t>
      </w:r>
      <w:r>
        <w:rPr>
          <w:rFonts w:hint="eastAsia" w:ascii="宋体" w:hAnsi="宋体" w:cs="宋体"/>
          <w:color w:val="000000"/>
          <w:sz w:val="24"/>
          <w:u w:val="single"/>
        </w:rPr>
        <w:t xml:space="preserve">（中型企业、小型企业、微型企业）；</w:t>
      </w:r>
      <w:r>
        <w:rPr>
          <w:rFonts w:hint="eastAsia" w:ascii="宋体" w:hAnsi="宋体" w:cs="宋体"/>
        </w:rPr>
      </w:r>
      <w:r/>
    </w:p>
    <w:p>
      <w:pPr>
        <w:pStyle w:val="893"/>
        <w:ind w:firstLine="360"/>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hint="eastAsia" w:ascii="宋体" w:hAnsi="宋体" w:cs="宋体"/>
          <w:color w:val="000000"/>
          <w:sz w:val="24"/>
          <w:u w:val="single"/>
        </w:rPr>
        <w:t xml:space="preserve">（标的名称）</w:t>
      </w:r>
      <w:r>
        <w:rPr>
          <w:rFonts w:hint="eastAsia" w:ascii="宋体" w:hAnsi="宋体" w:cs="宋体"/>
          <w:i/>
          <w:color w:val="000000"/>
          <w:sz w:val="24"/>
        </w:rPr>
        <w:t xml:space="preserve">，</w:t>
      </w:r>
      <w:r>
        <w:rPr>
          <w:rFonts w:hint="eastAsia" w:ascii="宋体" w:hAnsi="宋体" w:cs="宋体"/>
          <w:color w:val="000000"/>
          <w:sz w:val="24"/>
        </w:rPr>
        <w:t xml:space="preserve">属于</w:t>
      </w:r>
      <w:r>
        <w:rPr>
          <w:rFonts w:hint="eastAsia" w:ascii="宋体" w:hAnsi="宋体" w:cs="宋体"/>
          <w:color w:val="000000"/>
          <w:sz w:val="24"/>
          <w:u w:val="single"/>
        </w:rPr>
        <w:t xml:space="preserve">       </w:t>
      </w:r>
      <w:r>
        <w:rPr>
          <w:rFonts w:hint="eastAsia" w:ascii="宋体" w:hAnsi="宋体" w:cs="宋体"/>
          <w:color w:val="000000"/>
          <w:sz w:val="24"/>
        </w:rPr>
        <w:t xml:space="preserve">行业；承接企业为</w:t>
      </w:r>
      <w:r>
        <w:rPr>
          <w:rFonts w:hint="eastAsia" w:ascii="宋体" w:hAnsi="宋体" w:cs="宋体"/>
          <w:color w:val="000000"/>
          <w:sz w:val="24"/>
          <w:u w:val="single"/>
        </w:rPr>
        <w:t xml:space="preserve">（企业名称）</w:t>
      </w:r>
      <w:r>
        <w:rPr>
          <w:rFonts w:hint="eastAsia" w:ascii="宋体" w:hAnsi="宋体" w:cs="宋体"/>
          <w:color w:val="000000"/>
          <w:sz w:val="24"/>
        </w:rPr>
        <w:t xml:space="preserve">，从业人员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w:t>
      </w:r>
      <w:r>
        <w:rPr>
          <w:rFonts w:hint="eastAsia" w:ascii="宋体" w:hAnsi="宋体" w:cs="宋体"/>
          <w:color w:val="000000"/>
          <w:sz w:val="24"/>
          <w:vertAlign w:val="superscript"/>
        </w:rPr>
        <w:t xml:space="preserve">1</w:t>
      </w:r>
      <w:r>
        <w:rPr>
          <w:rFonts w:hint="eastAsia" w:ascii="宋体" w:hAnsi="宋体" w:cs="宋体"/>
          <w:color w:val="000000"/>
          <w:sz w:val="24"/>
        </w:rPr>
        <w:t xml:space="preserve">，属于</w:t>
      </w:r>
      <w:r>
        <w:rPr>
          <w:rFonts w:hint="eastAsia" w:ascii="宋体" w:hAnsi="宋体" w:cs="宋体"/>
          <w:color w:val="000000"/>
          <w:sz w:val="24"/>
          <w:u w:val="single"/>
        </w:rPr>
        <w:t xml:space="preserve">（中型企业、小型企业、微型企业）；</w:t>
      </w:r>
      <w:r>
        <w:rPr>
          <w:rFonts w:hint="eastAsia" w:ascii="宋体" w:hAnsi="宋体" w:cs="宋体"/>
        </w:rPr>
      </w:r>
      <w:r/>
    </w:p>
    <w:p>
      <w:pPr>
        <w:pStyle w:val="893"/>
        <w:ind w:firstLine="360"/>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以上企业，不属于大企业的分支机构，不存在控股股东为大企业的情形，也不存在与大企业的负责人为同一人的情形。</w:t>
      </w:r>
      <w:r>
        <w:rPr>
          <w:rFonts w:hint="eastAsia" w:ascii="宋体" w:hAnsi="宋体" w:cs="宋体"/>
        </w:rPr>
      </w:r>
      <w:r/>
    </w:p>
    <w:p>
      <w:pPr>
        <w:pStyle w:val="893"/>
        <w:ind w:firstLine="360"/>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本企业对上述声明内容的真实性负责。如有虚假，将依法承担相应责任。</w:t>
      </w:r>
      <w:r>
        <w:rPr>
          <w:rFonts w:hint="eastAsia" w:ascii="宋体" w:hAnsi="宋体" w:cs="宋体"/>
        </w:rPr>
      </w:r>
      <w:r/>
    </w:p>
    <w:p>
      <w:pPr>
        <w:pStyle w:val="893"/>
        <w:ind w:firstLine="360"/>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rPr>
          <w:rFonts w:hint="eastAsia" w:ascii="宋体" w:hAnsi="宋体" w:cs="宋体"/>
        </w:rPr>
      </w:r>
      <w:r/>
    </w:p>
    <w:p>
      <w:pPr>
        <w:pStyle w:val="893"/>
        <w:ind w:right="180" w:firstLine="360"/>
        <w:jc w:val="right"/>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企业名称：（加盖CA电子公章）</w:t>
      </w:r>
      <w:r>
        <w:rPr>
          <w:rFonts w:hint="eastAsia" w:ascii="宋体" w:hAnsi="宋体" w:cs="宋体"/>
        </w:rPr>
      </w:r>
      <w:r/>
    </w:p>
    <w:p>
      <w:pPr>
        <w:pStyle w:val="893"/>
        <w:ind w:firstLine="5760"/>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日期：</w:t>
      </w:r>
      <w:r>
        <w:rPr>
          <w:rFonts w:hint="eastAsia" w:ascii="宋体" w:hAnsi="宋体" w:cs="宋体"/>
          <w:color w:val="000000"/>
          <w:sz w:val="24"/>
          <w:u w:val="single"/>
        </w:rPr>
        <w:t xml:space="preserve">   </w:t>
      </w:r>
      <w:r>
        <w:rPr>
          <w:rFonts w:hint="eastAsia" w:ascii="宋体" w:hAnsi="宋体" w:cs="宋体"/>
          <w:color w:val="000000"/>
          <w:sz w:val="24"/>
        </w:rPr>
        <w:t xml:space="preserve">年___月___日</w:t>
      </w:r>
      <w:r>
        <w:rPr>
          <w:rFonts w:hint="eastAsia" w:ascii="宋体" w:hAnsi="宋体" w:cs="宋体"/>
        </w:rPr>
      </w:r>
      <w:r/>
    </w:p>
    <w:p>
      <w:pPr>
        <w:pStyle w:val="893"/>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2"/>
        </w:rPr>
        <w:t xml:space="preserve">残疾人福利性单位声明函</w:t>
      </w:r>
      <w:r>
        <w:rPr>
          <w:rFonts w:hint="eastAsia" w:ascii="宋体" w:hAnsi="宋体" w:cs="宋体"/>
        </w:rPr>
      </w:r>
      <w:r/>
    </w:p>
    <w:p>
      <w:pPr>
        <w:pStyle w:val="893"/>
        <w:ind w:firstLine="480"/>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cs="宋体"/>
          <w:color w:val="000000"/>
          <w:sz w:val="24"/>
          <w:u w:val="single"/>
        </w:rPr>
        <w:t xml:space="preserve">     </w:t>
      </w:r>
      <w:r>
        <w:rPr>
          <w:rFonts w:hint="eastAsia" w:ascii="宋体" w:hAnsi="宋体" w:cs="宋体"/>
          <w:color w:val="000000"/>
          <w:sz w:val="24"/>
        </w:rPr>
        <w:t xml:space="preserve">的</w:t>
      </w:r>
      <w:r>
        <w:rPr>
          <w:rFonts w:hint="eastAsia" w:ascii="宋体" w:hAnsi="宋体" w:cs="宋体"/>
          <w:color w:val="000000"/>
          <w:sz w:val="24"/>
          <w:u w:val="single"/>
        </w:rPr>
        <w:t xml:space="preserve">       </w:t>
      </w:r>
      <w:r>
        <w:rPr>
          <w:rFonts w:hint="eastAsia" w:ascii="宋体" w:hAnsi="宋体" w:cs="宋体"/>
          <w:color w:val="000000"/>
          <w:sz w:val="24"/>
        </w:rPr>
        <w:t xml:space="preserve">项目（分包号：**）采购活动由本单位提供服务。</w:t>
      </w:r>
      <w:r>
        <w:rPr>
          <w:rFonts w:hint="eastAsia" w:ascii="宋体" w:hAnsi="宋体" w:cs="宋体"/>
        </w:rPr>
      </w:r>
      <w:r/>
    </w:p>
    <w:p>
      <w:pPr>
        <w:pStyle w:val="893"/>
        <w:ind w:firstLine="480"/>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本单位对上述声明的真实性负责。如有虚假，将依法承担相应责任。</w:t>
      </w:r>
      <w:r>
        <w:rPr>
          <w:rFonts w:hint="eastAsia" w:ascii="宋体" w:hAnsi="宋体" w:cs="宋体"/>
        </w:rPr>
      </w:r>
      <w:r/>
    </w:p>
    <w:p>
      <w:pPr>
        <w:pStyle w:val="893"/>
        <w:ind w:firstLine="480"/>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p>
      <w:pPr>
        <w:pStyle w:val="893"/>
        <w:ind w:firstLine="480"/>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（备注：1、投标人如不提供此声明函，价格将不做相应扣除。2、中标人为残疾人福利单位的，此声明函将随中标结果同时公告，接受社会监督。）</w:t>
      </w:r>
      <w:r>
        <w:rPr>
          <w:rFonts w:hint="eastAsia" w:ascii="宋体" w:hAnsi="宋体" w:cs="宋体"/>
        </w:rPr>
      </w:r>
      <w:r/>
    </w:p>
    <w:p>
      <w:pPr>
        <w:pStyle w:val="893"/>
        <w:ind w:firstLine="624"/>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30"/>
        </w:rPr>
        <w:t xml:space="preserve"> </w:t>
      </w:r>
      <w:r>
        <w:rPr>
          <w:rFonts w:hint="eastAsia" w:ascii="宋体" w:hAnsi="宋体" w:cs="宋体"/>
        </w:rPr>
      </w:r>
      <w:r/>
    </w:p>
    <w:p>
      <w:pPr>
        <w:pStyle w:val="893"/>
        <w:spacing w:before="240" w:after="240"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 </w:t>
      </w:r>
      <w:r>
        <w:rPr>
          <w:rFonts w:hint="eastAsia" w:ascii="宋体" w:hAnsi="宋体" w:cs="宋体"/>
        </w:rPr>
      </w:r>
      <w:r/>
    </w:p>
    <w:p>
      <w:pPr>
        <w:pStyle w:val="893"/>
        <w:ind w:right="180" w:firstLine="360"/>
        <w:jc w:val="right"/>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企业名称：（加盖CA电子公章）</w:t>
      </w:r>
      <w:r>
        <w:rPr>
          <w:rFonts w:hint="eastAsia" w:ascii="宋体" w:hAnsi="宋体" w:cs="宋体"/>
        </w:rPr>
      </w:r>
      <w:r/>
    </w:p>
    <w:p>
      <w:pPr>
        <w:pStyle w:val="893"/>
        <w:ind w:firstLine="5760"/>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日期：</w:t>
      </w:r>
      <w:r>
        <w:rPr>
          <w:rFonts w:hint="eastAsia" w:ascii="宋体" w:hAnsi="宋体" w:cs="宋体"/>
          <w:color w:val="000000"/>
          <w:sz w:val="24"/>
          <w:u w:val="single"/>
        </w:rPr>
        <w:t xml:space="preserve">  </w:t>
      </w:r>
      <w:r>
        <w:rPr>
          <w:rFonts w:hint="eastAsia" w:ascii="宋体" w:hAnsi="宋体" w:cs="宋体"/>
          <w:color w:val="000000"/>
          <w:sz w:val="24"/>
        </w:rPr>
        <w:t xml:space="preserve">年___月___日</w:t>
      </w:r>
      <w:r>
        <w:rPr>
          <w:rFonts w:hint="eastAsia" w:ascii="宋体" w:hAnsi="宋体" w:cs="宋体"/>
        </w:rPr>
      </w:r>
      <w:r/>
    </w:p>
    <w:p>
      <w:pPr>
        <w:pStyle w:val="893"/>
        <w:spacing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rPr>
          <w:rFonts w:hint="eastAsia" w:ascii="宋体" w:hAnsi="宋体" w:cs="宋体"/>
        </w:rPr>
      </w:r>
      <w:r/>
    </w:p>
    <w:p>
      <w:pPr>
        <w:pStyle w:val="893"/>
        <w:spacing w:line="559" w:lineRule="atLeast"/>
        <w:rPr>
          <w:rFonts w:hint="eastAsia" w:ascii="宋体" w:hAnsi="宋体" w:cs="宋体"/>
        </w:rPr>
        <w:pBdr>
          <w:top w:val="none" w:color="000000" w:sz="0" w:space="0"/>
          <w:left w:val="none" w:color="000000" w:sz="0" w:space="0"/>
          <w:bottom w:val="none" w:color="000000" w:sz="0" w:space="0"/>
          <w:right w:val="none" w:color="000000" w:sz="0" w:space="0"/>
        </w:pBdr>
        <w:outlineLvl w:val="1"/>
      </w:pPr>
      <w:r/>
      <w:bookmarkStart w:id="161" w:name="_Toc17860"/>
      <w:r/>
      <w:bookmarkStart w:id="162" w:name="_Toc4812"/>
      <w:r>
        <w:rPr>
          <w:rFonts w:hint="eastAsia" w:ascii="宋体" w:hAnsi="宋体" w:cs="宋体"/>
          <w:b/>
          <w:color w:val="000000"/>
          <w:sz w:val="32"/>
          <w:lang w:eastAsia="zh-CN"/>
        </w:rPr>
        <w:t xml:space="preserve">八</w:t>
      </w:r>
      <w:r>
        <w:rPr>
          <w:rFonts w:hint="eastAsia" w:ascii="宋体" w:hAnsi="宋体" w:cs="宋体"/>
          <w:b/>
          <w:color w:val="000000"/>
          <w:sz w:val="32"/>
        </w:rPr>
        <w:t xml:space="preserve">、技术要求响应及偏离表（分包号：**）</w:t>
      </w:r>
      <w:bookmarkEnd w:id="161"/>
      <w:r/>
      <w:bookmarkEnd w:id="162"/>
      <w:r>
        <w:rPr>
          <w:rFonts w:hint="eastAsia" w:ascii="宋体" w:hAnsi="宋体" w:cs="宋体"/>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c>
          <w:tcPr>
            <w:tcMar>
              <w:left w:w="108" w:type="dxa"/>
              <w:top w:w="0" w:type="dxa"/>
              <w:right w:w="108" w:type="dxa"/>
              <w:bottom w:w="0" w:type="dxa"/>
            </w:tcMar>
            <w:tcW w:w="545"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序号</w:t>
            </w:r>
            <w:r>
              <w:rPr>
                <w:rFonts w:hint="eastAsia" w:ascii="宋体" w:hAnsi="宋体" w:cs="宋体"/>
              </w:rPr>
            </w:r>
            <w:r/>
          </w:p>
        </w:tc>
        <w:tc>
          <w:tcPr>
            <w:tcMar>
              <w:left w:w="108" w:type="dxa"/>
              <w:top w:w="0" w:type="dxa"/>
              <w:right w:w="108" w:type="dxa"/>
              <w:bottom w:w="0" w:type="dxa"/>
            </w:tcMar>
            <w:tcW w:w="3291"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技术要求和商务要求中的实质性要求（</w:t>
            </w:r>
            <w:r>
              <w:rPr>
                <w:rFonts w:hint="eastAsia" w:ascii="宋体" w:hAnsi="宋体" w:cs="宋体"/>
                <w:i/>
                <w:color w:val="000000"/>
                <w:sz w:val="24"/>
                <w:u w:val="single"/>
              </w:rPr>
              <w:t xml:space="preserve">加斜体下划线内容或</w:t>
            </w:r>
            <w:r>
              <w:rPr>
                <w:rFonts w:hint="eastAsia" w:ascii="宋体" w:hAnsi="宋体" w:cs="宋体"/>
                <w:color w:val="000000"/>
                <w:sz w:val="24"/>
              </w:rPr>
              <w:t xml:space="preserve">打“★”内容）</w:t>
            </w:r>
            <w:r>
              <w:rPr>
                <w:rFonts w:hint="eastAsia" w:ascii="宋体" w:hAnsi="宋体" w:cs="宋体"/>
              </w:rPr>
            </w:r>
            <w:r/>
          </w:p>
        </w:tc>
        <w:tc>
          <w:tcPr>
            <w:tcMar>
              <w:left w:w="108" w:type="dxa"/>
              <w:top w:w="0" w:type="dxa"/>
              <w:right w:w="108" w:type="dxa"/>
              <w:bottom w:w="0" w:type="dxa"/>
            </w:tcMar>
            <w:tcW w:w="2852"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响应情况（填报“响应或完全响应”）</w:t>
            </w:r>
            <w:r>
              <w:rPr>
                <w:rFonts w:hint="eastAsia" w:ascii="宋体" w:hAnsi="宋体" w:cs="宋体"/>
              </w:rPr>
            </w:r>
            <w:r/>
          </w:p>
        </w:tc>
        <w:tc>
          <w:tcPr>
            <w:tcMar>
              <w:left w:w="108" w:type="dxa"/>
              <w:top w:w="0" w:type="dxa"/>
              <w:right w:w="108" w:type="dxa"/>
              <w:bottom w:w="0" w:type="dxa"/>
            </w:tcMar>
            <w:tcW w:w="1308"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偏离（填报“正偏离、符合或负偏离”）</w:t>
            </w:r>
            <w:r>
              <w:rPr>
                <w:rFonts w:hint="eastAsia" w:ascii="宋体" w:hAnsi="宋体" w:cs="宋体"/>
              </w:rPr>
            </w:r>
            <w:r/>
          </w:p>
        </w:tc>
        <w:tc>
          <w:tcPr>
            <w:tcMar>
              <w:left w:w="108" w:type="dxa"/>
              <w:top w:w="0" w:type="dxa"/>
              <w:right w:w="108" w:type="dxa"/>
              <w:bottom w:w="0" w:type="dxa"/>
            </w:tcMar>
            <w:tcW w:w="1173" w:type="dxa"/>
            <w:vAlign w:val="center"/>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证明</w:t>
            </w:r>
            <w:r>
              <w:rPr>
                <w:rFonts w:hint="eastAsia" w:ascii="宋体" w:hAnsi="宋体" w:cs="宋体"/>
              </w:rPr>
            </w:r>
            <w:r/>
          </w:p>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材料</w:t>
            </w:r>
            <w:r>
              <w:rPr>
                <w:rFonts w:hint="eastAsia" w:ascii="宋体" w:hAnsi="宋体" w:cs="宋体"/>
              </w:rPr>
            </w:r>
            <w:r/>
          </w:p>
        </w:tc>
      </w:tr>
      <w:tr>
        <w:trPr>
          <w:trHeight w:val="640"/>
        </w:trPr>
        <w:tc>
          <w:tcPr>
            <w:tcMar>
              <w:left w:w="108" w:type="dxa"/>
              <w:top w:w="0" w:type="dxa"/>
              <w:right w:w="108" w:type="dxa"/>
              <w:bottom w:w="0" w:type="dxa"/>
            </w:tcMar>
            <w:tcW w:w="545"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3291"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2852"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1308"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1173"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r>
      <w:tr>
        <w:trPr>
          <w:trHeight w:val="640"/>
        </w:trPr>
        <w:tc>
          <w:tcPr>
            <w:tcMar>
              <w:left w:w="108" w:type="dxa"/>
              <w:top w:w="0" w:type="dxa"/>
              <w:right w:w="108" w:type="dxa"/>
              <w:bottom w:w="0" w:type="dxa"/>
            </w:tcMar>
            <w:tcW w:w="545"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3291"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2852"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1308"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1173"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r>
      <w:tr>
        <w:trPr>
          <w:trHeight w:val="640"/>
        </w:trPr>
        <w:tc>
          <w:tcPr>
            <w:tcMar>
              <w:left w:w="108" w:type="dxa"/>
              <w:top w:w="0" w:type="dxa"/>
              <w:right w:w="108" w:type="dxa"/>
              <w:bottom w:w="0" w:type="dxa"/>
            </w:tcMar>
            <w:tcW w:w="545"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3291"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2852"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1308"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1173"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r>
      <w:tr>
        <w:trPr>
          <w:trHeight w:val="640"/>
        </w:trPr>
        <w:tc>
          <w:tcPr>
            <w:tcMar>
              <w:left w:w="108" w:type="dxa"/>
              <w:top w:w="0" w:type="dxa"/>
              <w:right w:w="108" w:type="dxa"/>
              <w:bottom w:w="0" w:type="dxa"/>
            </w:tcMar>
            <w:tcW w:w="545"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3291"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2852"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1308"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1173"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r>
      <w:tr>
        <w:trPr>
          <w:trHeight w:val="640"/>
        </w:trPr>
        <w:tc>
          <w:tcPr>
            <w:tcMar>
              <w:left w:w="108" w:type="dxa"/>
              <w:top w:w="0" w:type="dxa"/>
              <w:right w:w="108" w:type="dxa"/>
              <w:bottom w:w="0" w:type="dxa"/>
            </w:tcMar>
            <w:tcW w:w="545"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3291"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2852"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1308"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1173"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r>
      <w:tr>
        <w:trPr>
          <w:trHeight w:val="640"/>
        </w:trPr>
        <w:tc>
          <w:tcPr>
            <w:tcMar>
              <w:left w:w="108" w:type="dxa"/>
              <w:top w:w="0" w:type="dxa"/>
              <w:right w:w="108" w:type="dxa"/>
              <w:bottom w:w="0" w:type="dxa"/>
            </w:tcMar>
            <w:tcW w:w="545"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3291"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2852"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1308"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1173"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r>
      <w:tr>
        <w:trPr>
          <w:trHeight w:val="640"/>
        </w:trPr>
        <w:tc>
          <w:tcPr>
            <w:tcMar>
              <w:left w:w="108" w:type="dxa"/>
              <w:top w:w="0" w:type="dxa"/>
              <w:right w:w="108" w:type="dxa"/>
              <w:bottom w:w="0" w:type="dxa"/>
            </w:tcMar>
            <w:tcW w:w="545"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3291"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2852"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1308"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1173"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r>
      <w:tr>
        <w:trPr>
          <w:trHeight w:val="640"/>
        </w:trPr>
        <w:tc>
          <w:tcPr>
            <w:tcMar>
              <w:left w:w="108" w:type="dxa"/>
              <w:top w:w="0" w:type="dxa"/>
              <w:right w:w="108" w:type="dxa"/>
              <w:bottom w:w="0" w:type="dxa"/>
            </w:tcMar>
            <w:tcW w:w="545"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3291"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w:t>
            </w:r>
            <w:r>
              <w:rPr>
                <w:rFonts w:hint="eastAsia" w:ascii="宋体" w:hAnsi="宋体" w:cs="宋体"/>
              </w:rPr>
            </w:r>
            <w:r/>
          </w:p>
        </w:tc>
        <w:tc>
          <w:tcPr>
            <w:tcMar>
              <w:left w:w="108" w:type="dxa"/>
              <w:top w:w="0" w:type="dxa"/>
              <w:right w:w="108" w:type="dxa"/>
              <w:bottom w:w="0" w:type="dxa"/>
            </w:tcMar>
            <w:tcW w:w="2852"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1308"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c>
          <w:tcPr>
            <w:tcMar>
              <w:left w:w="108" w:type="dxa"/>
              <w:top w:w="0" w:type="dxa"/>
              <w:right w:w="108" w:type="dxa"/>
              <w:bottom w:w="0" w:type="dxa"/>
            </w:tcMar>
            <w:tcW w:w="1173" w:type="dxa"/>
            <w:vAlign w:val="top"/>
            <w:textDirection w:val="lrTb"/>
            <w:noWrap w:val="false"/>
          </w:tcPr>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tc>
      </w:tr>
    </w:tbl>
    <w:p>
      <w:pPr>
        <w:pStyle w:val="893"/>
        <w:spacing w:line="587"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1.投标人必须对技术要求和商务要求中的实质性要求（加斜体下划线内容或打“★”内容）做出明确响应，否则作无效响应处理。</w:t>
      </w:r>
      <w:r>
        <w:rPr>
          <w:rFonts w:hint="eastAsia" w:ascii="宋体" w:hAnsi="宋体" w:cs="宋体"/>
        </w:rPr>
      </w:r>
      <w:r/>
    </w:p>
    <w:p>
      <w:pPr>
        <w:pStyle w:val="893"/>
        <w:spacing w:line="587"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2.如果采购文件要求提供证明材料，投标人必须将证明材料列于该表之下。</w:t>
      </w:r>
      <w:r>
        <w:rPr>
          <w:rFonts w:hint="eastAsia" w:ascii="宋体" w:hAnsi="宋体" w:cs="宋体"/>
        </w:rPr>
      </w:r>
      <w:r/>
    </w:p>
    <w:p>
      <w:pPr>
        <w:pStyle w:val="893"/>
        <w:spacing w:line="587"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3.投标人未对实质性要求作出明确响应的，或未按采购文件要求提供证明材料的，该分包作无效响应处理。</w:t>
      </w:r>
      <w:r>
        <w:rPr>
          <w:rFonts w:hint="eastAsia" w:ascii="宋体" w:hAnsi="宋体" w:cs="宋体"/>
        </w:rPr>
      </w:r>
      <w:r/>
    </w:p>
    <w:p>
      <w:pPr>
        <w:pStyle w:val="893"/>
        <w:spacing w:line="587"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4.行数不够，可自行添加。</w:t>
      </w:r>
      <w:r>
        <w:rPr>
          <w:rFonts w:hint="eastAsia" w:ascii="宋体" w:hAnsi="宋体" w:cs="宋体"/>
        </w:rPr>
      </w:r>
      <w:r/>
    </w:p>
    <w:p>
      <w:pPr>
        <w:pStyle w:val="893"/>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rPr>
        <w:t xml:space="preserve"> </w:t>
      </w:r>
      <w:r>
        <w:rPr>
          <w:rFonts w:hint="eastAsia" w:ascii="宋体" w:hAnsi="宋体" w:cs="宋体"/>
        </w:rPr>
      </w:r>
      <w:r/>
    </w:p>
    <w:p>
      <w:pPr>
        <w:pStyle w:val="893"/>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t xml:space="preserve"> </w:t>
      </w:r>
      <w:r>
        <w:rPr>
          <w:rFonts w:hint="eastAsia" w:ascii="宋体" w:hAnsi="宋体" w:cs="宋体"/>
        </w:rPr>
      </w:r>
      <w:r/>
    </w:p>
    <w:p>
      <w:pPr>
        <w:pStyle w:val="893"/>
        <w:spacing w:before="240" w:after="240"/>
        <w:rPr>
          <w:rFonts w:hint="eastAsia" w:ascii="宋体" w:hAnsi="宋体" w:cs="宋体"/>
        </w:rPr>
        <w:pBdr>
          <w:top w:val="none" w:color="000000" w:sz="0" w:space="0"/>
          <w:left w:val="none" w:color="000000" w:sz="0" w:space="0"/>
          <w:bottom w:val="none" w:color="000000" w:sz="0" w:space="0"/>
          <w:right w:val="none" w:color="000000" w:sz="0" w:space="0"/>
        </w:pBdr>
        <w:outlineLvl w:val="1"/>
      </w:pPr>
      <w:r/>
      <w:bookmarkStart w:id="163" w:name="_Toc6207"/>
      <w:r/>
      <w:bookmarkStart w:id="164" w:name="_Toc6398"/>
      <w:r>
        <w:rPr>
          <w:rFonts w:hint="eastAsia" w:ascii="宋体" w:hAnsi="宋体" w:cs="宋体"/>
          <w:b/>
          <w:color w:val="000000"/>
          <w:sz w:val="32"/>
          <w:lang w:eastAsia="zh-CN"/>
        </w:rPr>
        <w:t xml:space="preserve">九</w:t>
      </w:r>
      <w:r>
        <w:rPr>
          <w:rFonts w:hint="eastAsia" w:ascii="宋体" w:hAnsi="宋体" w:cs="宋体"/>
          <w:b/>
          <w:color w:val="000000"/>
          <w:sz w:val="32"/>
        </w:rPr>
        <w:t xml:space="preserve">、项目组人员</w:t>
      </w:r>
      <w:bookmarkEnd w:id="163"/>
      <w:r/>
      <w:bookmarkEnd w:id="164"/>
      <w:r>
        <w:rPr>
          <w:rFonts w:hint="eastAsia" w:ascii="宋体" w:hAnsi="宋体" w:cs="宋体"/>
        </w:rPr>
      </w:r>
      <w:r/>
    </w:p>
    <w:p>
      <w:pPr>
        <w:pStyle w:val="893"/>
        <w:jc w:val="center"/>
        <w:spacing w:before="100" w:after="100"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t xml:space="preserve">项目组成员</w:t>
      </w:r>
      <w:r>
        <w:rPr>
          <w:rFonts w:hint="eastAsia" w:ascii="宋体" w:hAnsi="宋体" w:cs="宋体"/>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6"/>
        <w:gridCol w:w="1843"/>
        <w:gridCol w:w="1056"/>
        <w:gridCol w:w="1984"/>
        <w:gridCol w:w="1702"/>
        <w:gridCol w:w="1056"/>
      </w:tblGrid>
      <w:tr>
        <w:trPr>
          <w:trHeight w:val="836"/>
        </w:trPr>
        <w:tc>
          <w:tcPr>
            <w:tcMar>
              <w:left w:w="108" w:type="dxa"/>
              <w:top w:w="0" w:type="dxa"/>
              <w:right w:w="108" w:type="dxa"/>
              <w:bottom w:w="0" w:type="dxa"/>
            </w:tcMar>
            <w:tcW w:w="959" w:type="dxa"/>
            <w:vAlign w:val="center"/>
            <w:textDirection w:val="lrTb"/>
            <w:noWrap w:val="false"/>
          </w:tcPr>
          <w:p>
            <w:pPr>
              <w:pStyle w:val="893"/>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姓名</w:t>
            </w:r>
            <w:r>
              <w:rPr>
                <w:rFonts w:hint="eastAsia" w:ascii="宋体" w:hAnsi="宋体" w:cs="宋体"/>
              </w:rPr>
            </w:r>
            <w:r/>
          </w:p>
        </w:tc>
        <w:tc>
          <w:tcPr>
            <w:tcMar>
              <w:left w:w="108" w:type="dxa"/>
              <w:top w:w="0" w:type="dxa"/>
              <w:right w:w="108" w:type="dxa"/>
              <w:bottom w:w="0" w:type="dxa"/>
            </w:tcMar>
            <w:tcW w:w="1843" w:type="dxa"/>
            <w:vAlign w:val="center"/>
            <w:textDirection w:val="lrTb"/>
            <w:noWrap w:val="false"/>
          </w:tcPr>
          <w:p>
            <w:pPr>
              <w:pStyle w:val="893"/>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职务</w:t>
            </w:r>
            <w:r>
              <w:rPr>
                <w:rFonts w:hint="eastAsia" w:ascii="宋体" w:hAnsi="宋体" w:cs="宋体"/>
              </w:rPr>
            </w:r>
            <w:r/>
          </w:p>
        </w:tc>
        <w:tc>
          <w:tcPr>
            <w:tcMar>
              <w:left w:w="108" w:type="dxa"/>
              <w:top w:w="0" w:type="dxa"/>
              <w:right w:w="108" w:type="dxa"/>
              <w:bottom w:w="0" w:type="dxa"/>
            </w:tcMar>
            <w:tcW w:w="992" w:type="dxa"/>
            <w:vAlign w:val="center"/>
            <w:textDirection w:val="lrTb"/>
            <w:noWrap w:val="false"/>
          </w:tcPr>
          <w:p>
            <w:pPr>
              <w:pStyle w:val="893"/>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学历</w:t>
            </w:r>
            <w:r>
              <w:rPr>
                <w:rFonts w:hint="eastAsia" w:ascii="宋体" w:hAnsi="宋体" w:cs="宋体"/>
              </w:rPr>
            </w:r>
            <w:r/>
          </w:p>
        </w:tc>
        <w:tc>
          <w:tcPr>
            <w:tcMar>
              <w:left w:w="108" w:type="dxa"/>
              <w:top w:w="0" w:type="dxa"/>
              <w:right w:w="108" w:type="dxa"/>
              <w:bottom w:w="0" w:type="dxa"/>
            </w:tcMar>
            <w:tcW w:w="1984" w:type="dxa"/>
            <w:vAlign w:val="center"/>
            <w:textDirection w:val="lrTb"/>
            <w:noWrap w:val="false"/>
          </w:tcPr>
          <w:p>
            <w:pPr>
              <w:pStyle w:val="893"/>
              <w:ind w:firstLine="280"/>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身份证号</w:t>
            </w:r>
            <w:r>
              <w:rPr>
                <w:rFonts w:hint="eastAsia" w:ascii="宋体" w:hAnsi="宋体" w:cs="宋体"/>
              </w:rPr>
            </w:r>
            <w:r/>
          </w:p>
        </w:tc>
        <w:tc>
          <w:tcPr>
            <w:tcMar>
              <w:left w:w="108" w:type="dxa"/>
              <w:top w:w="0" w:type="dxa"/>
              <w:right w:w="108" w:type="dxa"/>
              <w:bottom w:w="0" w:type="dxa"/>
            </w:tcMar>
            <w:tcW w:w="1702" w:type="dxa"/>
            <w:vAlign w:val="center"/>
            <w:textDirection w:val="lrTb"/>
            <w:noWrap w:val="false"/>
          </w:tcPr>
          <w:p>
            <w:pPr>
              <w:pStyle w:val="893"/>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相关证书</w:t>
            </w:r>
            <w:r>
              <w:rPr>
                <w:rFonts w:hint="eastAsia" w:ascii="宋体" w:hAnsi="宋体" w:cs="宋体"/>
              </w:rPr>
            </w:r>
            <w:r/>
          </w:p>
        </w:tc>
        <w:tc>
          <w:tcPr>
            <w:tcMar>
              <w:left w:w="108" w:type="dxa"/>
              <w:top w:w="0" w:type="dxa"/>
              <w:right w:w="108" w:type="dxa"/>
              <w:bottom w:w="0" w:type="dxa"/>
            </w:tcMar>
            <w:tcW w:w="962" w:type="dxa"/>
            <w:vAlign w:val="center"/>
            <w:textDirection w:val="lrTb"/>
            <w:noWrap w:val="false"/>
          </w:tcPr>
          <w:p>
            <w:pPr>
              <w:pStyle w:val="893"/>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备注</w:t>
            </w:r>
            <w:r>
              <w:rPr>
                <w:rFonts w:hint="eastAsia" w:ascii="宋体" w:hAnsi="宋体" w:cs="宋体"/>
              </w:rPr>
            </w:r>
            <w:r/>
          </w:p>
        </w:tc>
      </w:tr>
      <w:tr>
        <w:trPr>
          <w:trHeight w:val="729"/>
        </w:trPr>
        <w:tc>
          <w:tcPr>
            <w:tcMar>
              <w:left w:w="108" w:type="dxa"/>
              <w:top w:w="0" w:type="dxa"/>
              <w:right w:w="108" w:type="dxa"/>
              <w:bottom w:w="0" w:type="dxa"/>
            </w:tcMar>
            <w:tcW w:w="959"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1843" w:type="dxa"/>
            <w:vAlign w:val="center"/>
            <w:textDirection w:val="lrTb"/>
            <w:noWrap w:val="false"/>
          </w:tcPr>
          <w:p>
            <w:pPr>
              <w:pStyle w:val="893"/>
              <w:jc w:val="center"/>
              <w:spacing w:before="100" w:after="1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项目经理</w:t>
            </w:r>
            <w:r>
              <w:rPr>
                <w:rFonts w:hint="eastAsia" w:ascii="宋体" w:hAnsi="宋体" w:cs="宋体"/>
              </w:rPr>
            </w:r>
            <w:r/>
          </w:p>
        </w:tc>
        <w:tc>
          <w:tcPr>
            <w:tcMar>
              <w:left w:w="108" w:type="dxa"/>
              <w:top w:w="0" w:type="dxa"/>
              <w:right w:w="108" w:type="dxa"/>
              <w:bottom w:w="0" w:type="dxa"/>
            </w:tcMar>
            <w:tcW w:w="992"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1984"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1702"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962"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r>
      <w:tr>
        <w:trPr>
          <w:trHeight w:val="729"/>
        </w:trPr>
        <w:tc>
          <w:tcPr>
            <w:tcMar>
              <w:left w:w="108" w:type="dxa"/>
              <w:top w:w="0" w:type="dxa"/>
              <w:right w:w="108" w:type="dxa"/>
              <w:bottom w:w="0" w:type="dxa"/>
            </w:tcMar>
            <w:tcW w:w="959"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1843" w:type="dxa"/>
            <w:vAlign w:val="center"/>
            <w:textDirection w:val="lrTb"/>
            <w:noWrap w:val="false"/>
          </w:tcPr>
          <w:p>
            <w:pPr>
              <w:pStyle w:val="893"/>
              <w:jc w:val="center"/>
              <w:spacing w:before="100" w:after="1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w:t>
            </w:r>
            <w:r>
              <w:rPr>
                <w:rFonts w:hint="eastAsia" w:ascii="宋体" w:hAnsi="宋体" w:cs="宋体"/>
              </w:rPr>
            </w:r>
            <w:r/>
          </w:p>
        </w:tc>
        <w:tc>
          <w:tcPr>
            <w:tcMar>
              <w:left w:w="108" w:type="dxa"/>
              <w:top w:w="0" w:type="dxa"/>
              <w:right w:w="108" w:type="dxa"/>
              <w:bottom w:w="0" w:type="dxa"/>
            </w:tcMar>
            <w:tcW w:w="992"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1984"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1702"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962"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r>
      <w:tr>
        <w:trPr>
          <w:trHeight w:val="729"/>
        </w:trPr>
        <w:tc>
          <w:tcPr>
            <w:tcMar>
              <w:left w:w="108" w:type="dxa"/>
              <w:top w:w="0" w:type="dxa"/>
              <w:right w:w="108" w:type="dxa"/>
              <w:bottom w:w="0" w:type="dxa"/>
            </w:tcMar>
            <w:tcW w:w="959"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1843" w:type="dxa"/>
            <w:vAlign w:val="center"/>
            <w:textDirection w:val="lrTb"/>
            <w:noWrap w:val="false"/>
          </w:tcPr>
          <w:p>
            <w:pPr>
              <w:pStyle w:val="893"/>
              <w:ind w:firstLine="280"/>
              <w:spacing w:before="100" w:after="1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w:t>
            </w:r>
            <w:r>
              <w:rPr>
                <w:rFonts w:hint="eastAsia" w:ascii="宋体" w:hAnsi="宋体" w:cs="宋体"/>
              </w:rPr>
            </w:r>
            <w:r/>
          </w:p>
        </w:tc>
        <w:tc>
          <w:tcPr>
            <w:tcMar>
              <w:left w:w="108" w:type="dxa"/>
              <w:top w:w="0" w:type="dxa"/>
              <w:right w:w="108" w:type="dxa"/>
              <w:bottom w:w="0" w:type="dxa"/>
            </w:tcMar>
            <w:tcW w:w="992"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1984"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1702"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962"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r>
      <w:tr>
        <w:trPr>
          <w:trHeight w:val="729"/>
        </w:trPr>
        <w:tc>
          <w:tcPr>
            <w:tcMar>
              <w:left w:w="108" w:type="dxa"/>
              <w:top w:w="0" w:type="dxa"/>
              <w:right w:w="108" w:type="dxa"/>
              <w:bottom w:w="0" w:type="dxa"/>
            </w:tcMar>
            <w:tcW w:w="959"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1843" w:type="dxa"/>
            <w:vAlign w:val="center"/>
            <w:textDirection w:val="lrTb"/>
            <w:noWrap w:val="false"/>
          </w:tcPr>
          <w:p>
            <w:pPr>
              <w:pStyle w:val="893"/>
              <w:spacing w:before="100" w:after="1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992"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1984"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1702"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962"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r>
      <w:tr>
        <w:trPr>
          <w:trHeight w:val="729"/>
        </w:trPr>
        <w:tc>
          <w:tcPr>
            <w:tcMar>
              <w:left w:w="108" w:type="dxa"/>
              <w:top w:w="0" w:type="dxa"/>
              <w:right w:w="108" w:type="dxa"/>
              <w:bottom w:w="0" w:type="dxa"/>
            </w:tcMar>
            <w:tcW w:w="959"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1843" w:type="dxa"/>
            <w:vAlign w:val="center"/>
            <w:textDirection w:val="lrTb"/>
            <w:noWrap w:val="false"/>
          </w:tcPr>
          <w:p>
            <w:pPr>
              <w:pStyle w:val="893"/>
              <w:spacing w:before="100" w:after="10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992"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1984"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1702"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962"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r>
      <w:tr>
        <w:trPr>
          <w:trHeight w:val="729"/>
        </w:trPr>
        <w:tc>
          <w:tcPr>
            <w:tcMar>
              <w:left w:w="108" w:type="dxa"/>
              <w:top w:w="0" w:type="dxa"/>
              <w:right w:w="108" w:type="dxa"/>
              <w:bottom w:w="0" w:type="dxa"/>
            </w:tcMar>
            <w:tcW w:w="959"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1843"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992"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1984"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1702"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962"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r>
      <w:tr>
        <w:trPr>
          <w:trHeight w:val="729"/>
        </w:trPr>
        <w:tc>
          <w:tcPr>
            <w:tcMar>
              <w:left w:w="108" w:type="dxa"/>
              <w:top w:w="0" w:type="dxa"/>
              <w:right w:w="108" w:type="dxa"/>
              <w:bottom w:w="0" w:type="dxa"/>
            </w:tcMar>
            <w:tcW w:w="959"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1843"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992"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1984"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1702"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962"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r>
      <w:tr>
        <w:trPr>
          <w:trHeight w:val="729"/>
        </w:trPr>
        <w:tc>
          <w:tcPr>
            <w:tcMar>
              <w:left w:w="108" w:type="dxa"/>
              <w:top w:w="0" w:type="dxa"/>
              <w:right w:w="108" w:type="dxa"/>
              <w:bottom w:w="0" w:type="dxa"/>
            </w:tcMar>
            <w:tcW w:w="959"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1843"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992"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1984"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1702"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962"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r>
      <w:tr>
        <w:trPr>
          <w:trHeight w:val="729"/>
        </w:trPr>
        <w:tc>
          <w:tcPr>
            <w:tcMar>
              <w:left w:w="108" w:type="dxa"/>
              <w:top w:w="0" w:type="dxa"/>
              <w:right w:w="108" w:type="dxa"/>
              <w:bottom w:w="0" w:type="dxa"/>
            </w:tcMar>
            <w:tcW w:w="959"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1843"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992"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1984"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1702"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962"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r>
      <w:tr>
        <w:trPr>
          <w:trHeight w:val="729"/>
        </w:trPr>
        <w:tc>
          <w:tcPr>
            <w:tcMar>
              <w:left w:w="108" w:type="dxa"/>
              <w:top w:w="0" w:type="dxa"/>
              <w:right w:w="108" w:type="dxa"/>
              <w:bottom w:w="0" w:type="dxa"/>
            </w:tcMar>
            <w:tcW w:w="959"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1843"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992"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1984"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1702"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108" w:type="dxa"/>
              <w:top w:w="0" w:type="dxa"/>
              <w:right w:w="108" w:type="dxa"/>
              <w:bottom w:w="0" w:type="dxa"/>
            </w:tcMar>
            <w:tcW w:w="962" w:type="dxa"/>
            <w:vAlign w:val="center"/>
            <w:textDirection w:val="lrTb"/>
            <w:noWrap w:val="false"/>
          </w:tcPr>
          <w:p>
            <w:pPr>
              <w:pStyle w:val="893"/>
              <w:ind w:firstLine="560"/>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r>
    </w:tbl>
    <w:p>
      <w:pPr>
        <w:pStyle w:val="893"/>
        <w:ind w:firstLine="398"/>
        <w:spacing w:before="100" w:after="100" w:line="4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注：如供应商中标，项目组成员必须按本表承诺人员操作，不得随意更换。按投标文件要求附相关人员证书。</w:t>
      </w:r>
      <w:r>
        <w:rPr>
          <w:rFonts w:hint="eastAsia" w:ascii="宋体" w:hAnsi="宋体" w:cs="宋体"/>
        </w:rPr>
      </w:r>
      <w:r/>
    </w:p>
    <w:p>
      <w:pPr>
        <w:pStyle w:val="893"/>
        <w:spacing w:before="240" w:after="240" w:line="499" w:lineRule="atLeast"/>
        <w:rPr>
          <w:rFonts w:hint="eastAsia" w:ascii="宋体" w:hAnsi="宋体" w:cs="宋体"/>
        </w:rPr>
        <w:pBdr>
          <w:top w:val="none" w:color="000000" w:sz="0" w:space="0"/>
          <w:left w:val="none" w:color="000000" w:sz="0" w:space="0"/>
          <w:bottom w:val="none" w:color="000000" w:sz="0" w:space="0"/>
          <w:right w:val="none" w:color="000000" w:sz="0" w:space="0"/>
        </w:pBdr>
        <w:outlineLvl w:val="1"/>
      </w:pPr>
      <w:r/>
      <w:bookmarkStart w:id="165" w:name="_Toc31863"/>
      <w:r/>
      <w:bookmarkStart w:id="166" w:name="_Toc28411"/>
      <w:r>
        <w:rPr>
          <w:rFonts w:hint="eastAsia" w:ascii="宋体" w:hAnsi="宋体" w:cs="宋体"/>
          <w:b/>
          <w:color w:val="000000"/>
          <w:sz w:val="32"/>
        </w:rPr>
        <w:t xml:space="preserve">十、企业业绩</w:t>
      </w:r>
      <w:bookmarkEnd w:id="165"/>
      <w:r/>
      <w:bookmarkEnd w:id="166"/>
      <w:r>
        <w:rPr>
          <w:rFonts w:hint="eastAsia" w:ascii="宋体" w:hAnsi="宋体" w:cs="宋体"/>
        </w:rPr>
      </w:r>
      <w:r/>
    </w:p>
    <w:p>
      <w:pPr>
        <w:pStyle w:val="893"/>
        <w:jc w:val="center"/>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t xml:space="preserve">投标人承担类似项目业绩一览表</w:t>
      </w:r>
      <w:r>
        <w:rPr>
          <w:rFonts w:hint="eastAsia" w:ascii="宋体" w:hAnsi="宋体" w:cs="宋体"/>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22"/>
        <w:gridCol w:w="3801"/>
        <w:gridCol w:w="2417"/>
        <w:gridCol w:w="1387"/>
      </w:tblGrid>
      <w:tr>
        <w:trPr>
          <w:trHeight w:val="753"/>
        </w:trPr>
        <w:tc>
          <w:tcPr>
            <w:tcMar>
              <w:left w:w="0" w:type="dxa"/>
              <w:top w:w="0" w:type="dxa"/>
              <w:right w:w="0" w:type="dxa"/>
              <w:bottom w:w="0" w:type="dxa"/>
            </w:tcMar>
            <w:tcW w:w="1222" w:type="dxa"/>
            <w:vAlign w:val="top"/>
            <w:textDirection w:val="lrTb"/>
            <w:noWrap w:val="false"/>
          </w:tcPr>
          <w:p>
            <w:pPr>
              <w:pStyle w:val="893"/>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序号</w:t>
            </w:r>
            <w:r>
              <w:rPr>
                <w:rFonts w:hint="eastAsia" w:ascii="宋体" w:hAnsi="宋体" w:cs="宋体"/>
              </w:rPr>
            </w:r>
            <w:r/>
          </w:p>
        </w:tc>
        <w:tc>
          <w:tcPr>
            <w:tcMar>
              <w:left w:w="0" w:type="dxa"/>
              <w:top w:w="0" w:type="dxa"/>
              <w:right w:w="0" w:type="dxa"/>
              <w:bottom w:w="0" w:type="dxa"/>
            </w:tcMar>
            <w:tcW w:w="3801" w:type="dxa"/>
            <w:vAlign w:val="center"/>
            <w:textDirection w:val="lrTb"/>
            <w:noWrap w:val="false"/>
          </w:tcPr>
          <w:p>
            <w:pPr>
              <w:pStyle w:val="893"/>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项目名称</w:t>
            </w:r>
            <w:r>
              <w:rPr>
                <w:rFonts w:hint="eastAsia" w:ascii="宋体" w:hAnsi="宋体" w:cs="宋体"/>
              </w:rPr>
            </w:r>
            <w:r/>
          </w:p>
        </w:tc>
        <w:tc>
          <w:tcPr>
            <w:tcMar>
              <w:left w:w="0" w:type="dxa"/>
              <w:top w:w="0" w:type="dxa"/>
              <w:right w:w="0" w:type="dxa"/>
              <w:bottom w:w="0" w:type="dxa"/>
            </w:tcMar>
            <w:tcW w:w="2417" w:type="dxa"/>
            <w:vAlign w:val="center"/>
            <w:textDirection w:val="lrTb"/>
            <w:noWrap w:val="false"/>
          </w:tcPr>
          <w:p>
            <w:pPr>
              <w:pStyle w:val="893"/>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采购单位</w:t>
            </w:r>
            <w:r>
              <w:rPr>
                <w:rFonts w:hint="eastAsia" w:ascii="宋体" w:hAnsi="宋体" w:cs="宋体"/>
              </w:rPr>
            </w:r>
            <w:r/>
          </w:p>
        </w:tc>
        <w:tc>
          <w:tcPr>
            <w:tcMar>
              <w:left w:w="0" w:type="dxa"/>
              <w:top w:w="0" w:type="dxa"/>
              <w:right w:w="0" w:type="dxa"/>
              <w:bottom w:w="0" w:type="dxa"/>
            </w:tcMar>
            <w:tcW w:w="1387" w:type="dxa"/>
            <w:vAlign w:val="center"/>
            <w:textDirection w:val="lrTb"/>
            <w:noWrap w:val="false"/>
          </w:tcPr>
          <w:p>
            <w:pPr>
              <w:pStyle w:val="893"/>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合同金额</w:t>
            </w:r>
            <w:r>
              <w:rPr>
                <w:rFonts w:hint="eastAsia" w:ascii="宋体" w:hAnsi="宋体" w:cs="宋体"/>
              </w:rPr>
            </w:r>
            <w:r/>
          </w:p>
        </w:tc>
      </w:tr>
      <w:tr>
        <w:trPr>
          <w:trHeight w:val="1510"/>
        </w:trPr>
        <w:tc>
          <w:tcPr>
            <w:tcMar>
              <w:left w:w="0" w:type="dxa"/>
              <w:top w:w="0" w:type="dxa"/>
              <w:right w:w="0" w:type="dxa"/>
              <w:bottom w:w="0" w:type="dxa"/>
            </w:tcMar>
            <w:tcW w:w="1222" w:type="dxa"/>
            <w:vAlign w:val="top"/>
            <w:textDirection w:val="lrTb"/>
            <w:noWrap w:val="false"/>
          </w:tcPr>
          <w:p>
            <w:pPr>
              <w:pStyle w:val="893"/>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0" w:type="dxa"/>
              <w:top w:w="0" w:type="dxa"/>
              <w:right w:w="0" w:type="dxa"/>
              <w:bottom w:w="0" w:type="dxa"/>
            </w:tcMar>
            <w:tcW w:w="3801" w:type="dxa"/>
            <w:vAlign w:val="center"/>
            <w:textDirection w:val="lrTb"/>
            <w:noWrap w:val="false"/>
          </w:tcPr>
          <w:p>
            <w:pPr>
              <w:pStyle w:val="893"/>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0" w:type="dxa"/>
              <w:top w:w="0" w:type="dxa"/>
              <w:right w:w="0" w:type="dxa"/>
              <w:bottom w:w="0" w:type="dxa"/>
            </w:tcMar>
            <w:tcW w:w="2417" w:type="dxa"/>
            <w:vAlign w:val="center"/>
            <w:textDirection w:val="lrTb"/>
            <w:noWrap w:val="false"/>
          </w:tcPr>
          <w:p>
            <w:pPr>
              <w:pStyle w:val="893"/>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0" w:type="dxa"/>
              <w:top w:w="0" w:type="dxa"/>
              <w:right w:w="0" w:type="dxa"/>
              <w:bottom w:w="0" w:type="dxa"/>
            </w:tcMar>
            <w:tcW w:w="1387" w:type="dxa"/>
            <w:vAlign w:val="center"/>
            <w:textDirection w:val="lrTb"/>
            <w:noWrap w:val="false"/>
          </w:tcPr>
          <w:p>
            <w:pPr>
              <w:pStyle w:val="893"/>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r>
      <w:tr>
        <w:trPr>
          <w:trHeight w:val="1510"/>
        </w:trPr>
        <w:tc>
          <w:tcPr>
            <w:tcMar>
              <w:left w:w="0" w:type="dxa"/>
              <w:top w:w="0" w:type="dxa"/>
              <w:right w:w="0" w:type="dxa"/>
              <w:bottom w:w="0" w:type="dxa"/>
            </w:tcMar>
            <w:tcW w:w="1222" w:type="dxa"/>
            <w:vAlign w:val="top"/>
            <w:textDirection w:val="lrTb"/>
            <w:noWrap w:val="false"/>
          </w:tcPr>
          <w:p>
            <w:pPr>
              <w:pStyle w:val="893"/>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0" w:type="dxa"/>
              <w:top w:w="0" w:type="dxa"/>
              <w:right w:w="0" w:type="dxa"/>
              <w:bottom w:w="0" w:type="dxa"/>
            </w:tcMar>
            <w:tcW w:w="3801" w:type="dxa"/>
            <w:vAlign w:val="center"/>
            <w:textDirection w:val="lrTb"/>
            <w:noWrap w:val="false"/>
          </w:tcPr>
          <w:p>
            <w:pPr>
              <w:pStyle w:val="893"/>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0" w:type="dxa"/>
              <w:top w:w="0" w:type="dxa"/>
              <w:right w:w="0" w:type="dxa"/>
              <w:bottom w:w="0" w:type="dxa"/>
            </w:tcMar>
            <w:tcW w:w="2417" w:type="dxa"/>
            <w:vAlign w:val="center"/>
            <w:textDirection w:val="lrTb"/>
            <w:noWrap w:val="false"/>
          </w:tcPr>
          <w:p>
            <w:pPr>
              <w:pStyle w:val="893"/>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0" w:type="dxa"/>
              <w:top w:w="0" w:type="dxa"/>
              <w:right w:w="0" w:type="dxa"/>
              <w:bottom w:w="0" w:type="dxa"/>
            </w:tcMar>
            <w:tcW w:w="1387" w:type="dxa"/>
            <w:vAlign w:val="center"/>
            <w:textDirection w:val="lrTb"/>
            <w:noWrap w:val="false"/>
          </w:tcPr>
          <w:p>
            <w:pPr>
              <w:pStyle w:val="893"/>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r>
      <w:tr>
        <w:trPr>
          <w:trHeight w:val="1510"/>
        </w:trPr>
        <w:tc>
          <w:tcPr>
            <w:tcMar>
              <w:left w:w="0" w:type="dxa"/>
              <w:top w:w="0" w:type="dxa"/>
              <w:right w:w="0" w:type="dxa"/>
              <w:bottom w:w="0" w:type="dxa"/>
            </w:tcMar>
            <w:tcW w:w="1222" w:type="dxa"/>
            <w:vAlign w:val="top"/>
            <w:textDirection w:val="lrTb"/>
            <w:noWrap w:val="false"/>
          </w:tcPr>
          <w:p>
            <w:pPr>
              <w:pStyle w:val="893"/>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0" w:type="dxa"/>
              <w:top w:w="0" w:type="dxa"/>
              <w:right w:w="0" w:type="dxa"/>
              <w:bottom w:w="0" w:type="dxa"/>
            </w:tcMar>
            <w:tcW w:w="3801" w:type="dxa"/>
            <w:vAlign w:val="center"/>
            <w:textDirection w:val="lrTb"/>
            <w:noWrap w:val="false"/>
          </w:tcPr>
          <w:p>
            <w:pPr>
              <w:pStyle w:val="893"/>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0" w:type="dxa"/>
              <w:top w:w="0" w:type="dxa"/>
              <w:right w:w="0" w:type="dxa"/>
              <w:bottom w:w="0" w:type="dxa"/>
            </w:tcMar>
            <w:tcW w:w="2417" w:type="dxa"/>
            <w:vAlign w:val="center"/>
            <w:textDirection w:val="lrTb"/>
            <w:noWrap w:val="false"/>
          </w:tcPr>
          <w:p>
            <w:pPr>
              <w:pStyle w:val="893"/>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0" w:type="dxa"/>
              <w:top w:w="0" w:type="dxa"/>
              <w:right w:w="0" w:type="dxa"/>
              <w:bottom w:w="0" w:type="dxa"/>
            </w:tcMar>
            <w:tcW w:w="1387" w:type="dxa"/>
            <w:vAlign w:val="center"/>
            <w:textDirection w:val="lrTb"/>
            <w:noWrap w:val="false"/>
          </w:tcPr>
          <w:p>
            <w:pPr>
              <w:pStyle w:val="893"/>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r>
      <w:tr>
        <w:trPr>
          <w:trHeight w:val="1525"/>
        </w:trPr>
        <w:tc>
          <w:tcPr>
            <w:tcMar>
              <w:left w:w="0" w:type="dxa"/>
              <w:top w:w="0" w:type="dxa"/>
              <w:right w:w="0" w:type="dxa"/>
              <w:bottom w:w="0" w:type="dxa"/>
            </w:tcMar>
            <w:tcW w:w="1222" w:type="dxa"/>
            <w:vAlign w:val="top"/>
            <w:textDirection w:val="lrTb"/>
            <w:noWrap w:val="false"/>
          </w:tcPr>
          <w:p>
            <w:pPr>
              <w:pStyle w:val="893"/>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0" w:type="dxa"/>
              <w:top w:w="0" w:type="dxa"/>
              <w:right w:w="0" w:type="dxa"/>
              <w:bottom w:w="0" w:type="dxa"/>
            </w:tcMar>
            <w:tcW w:w="3801" w:type="dxa"/>
            <w:vAlign w:val="center"/>
            <w:textDirection w:val="lrTb"/>
            <w:noWrap w:val="false"/>
          </w:tcPr>
          <w:p>
            <w:pPr>
              <w:pStyle w:val="893"/>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0" w:type="dxa"/>
              <w:top w:w="0" w:type="dxa"/>
              <w:right w:w="0" w:type="dxa"/>
              <w:bottom w:w="0" w:type="dxa"/>
            </w:tcMar>
            <w:tcW w:w="2417" w:type="dxa"/>
            <w:vAlign w:val="center"/>
            <w:textDirection w:val="lrTb"/>
            <w:noWrap w:val="false"/>
          </w:tcPr>
          <w:p>
            <w:pPr>
              <w:pStyle w:val="893"/>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c>
          <w:tcPr>
            <w:tcMar>
              <w:left w:w="0" w:type="dxa"/>
              <w:top w:w="0" w:type="dxa"/>
              <w:right w:w="0" w:type="dxa"/>
              <w:bottom w:w="0" w:type="dxa"/>
            </w:tcMar>
            <w:tcW w:w="1387" w:type="dxa"/>
            <w:vAlign w:val="center"/>
            <w:textDirection w:val="lrTb"/>
            <w:noWrap w:val="false"/>
          </w:tcPr>
          <w:p>
            <w:pPr>
              <w:pStyle w:val="893"/>
              <w:jc w:val="center"/>
              <w:spacing w:before="200" w:after="200" w:line="55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rPr>
                <w:rFonts w:hint="eastAsia" w:ascii="宋体" w:hAnsi="宋体" w:cs="宋体"/>
              </w:rPr>
            </w:r>
            <w:r/>
          </w:p>
        </w:tc>
      </w:tr>
    </w:tbl>
    <w:p>
      <w:pPr>
        <w:pStyle w:val="893"/>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注：请填写此表，并按要求上传业绩资料电子件。</w:t>
      </w:r>
      <w:r>
        <w:rPr>
          <w:rFonts w:hint="eastAsia" w:ascii="宋体" w:hAnsi="宋体" w:cs="宋体"/>
        </w:rPr>
      </w:r>
      <w:r/>
    </w:p>
    <w:p>
      <w:pPr>
        <w:pStyle w:val="893"/>
        <w:spacing w:before="240" w:after="240"/>
        <w:rPr>
          <w:rFonts w:hint="eastAsia" w:ascii="宋体" w:hAnsi="宋体" w:cs="宋体"/>
        </w:rPr>
        <w:pBdr>
          <w:top w:val="none" w:color="000000" w:sz="0" w:space="0"/>
          <w:left w:val="none" w:color="000000" w:sz="0" w:space="0"/>
          <w:bottom w:val="none" w:color="000000" w:sz="0" w:space="0"/>
          <w:right w:val="none" w:color="000000" w:sz="0" w:space="0"/>
        </w:pBdr>
        <w:outlineLvl w:val="1"/>
      </w:pPr>
      <w:r>
        <w:rPr>
          <w:rFonts w:hint="eastAsia" w:ascii="宋体" w:hAnsi="宋体" w:cs="宋体"/>
        </w:rPr>
        <w:br w:type="page" w:clear="all"/>
      </w:r>
      <w:bookmarkStart w:id="167" w:name="_Toc2495"/>
      <w:r/>
      <w:bookmarkStart w:id="168" w:name="_Toc10195"/>
      <w:r>
        <w:rPr>
          <w:rFonts w:hint="eastAsia" w:ascii="宋体" w:hAnsi="宋体" w:cs="宋体"/>
          <w:b/>
          <w:color w:val="000000"/>
          <w:sz w:val="32"/>
        </w:rPr>
        <w:t xml:space="preserve">十</w:t>
      </w:r>
      <w:r>
        <w:rPr>
          <w:rFonts w:hint="eastAsia" w:ascii="宋体" w:hAnsi="宋体" w:cs="宋体"/>
          <w:b/>
          <w:color w:val="000000"/>
          <w:sz w:val="32"/>
          <w:lang w:eastAsia="zh-CN"/>
        </w:rPr>
        <w:t xml:space="preserve">一</w:t>
      </w:r>
      <w:r>
        <w:rPr>
          <w:rFonts w:hint="eastAsia" w:ascii="宋体" w:hAnsi="宋体" w:cs="宋体"/>
          <w:b/>
          <w:color w:val="000000"/>
          <w:sz w:val="32"/>
        </w:rPr>
        <w:t xml:space="preserve">、投标所需其他材料</w:t>
      </w:r>
      <w:bookmarkEnd w:id="167"/>
      <w:r/>
      <w:bookmarkEnd w:id="168"/>
      <w:r>
        <w:rPr>
          <w:rFonts w:hint="eastAsia" w:ascii="宋体" w:hAnsi="宋体" w:cs="宋体"/>
        </w:rPr>
      </w:r>
      <w:r/>
    </w:p>
    <w:p>
      <w:pPr>
        <w:pStyle w:val="893"/>
        <w:ind w:firstLine="560"/>
        <w:spacing w:before="240" w:after="240"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请在此文档中增加投标所需其他相关内容（包括资格要求、评分办法、采购需求中涉及的证件证明及其它投标人认为有必要提供的资料），如没有请将此空文档上传。</w:t>
      </w:r>
      <w:r>
        <w:rPr>
          <w:rFonts w:hint="eastAsia" w:ascii="宋体" w:hAnsi="宋体" w:cs="宋体"/>
        </w:rPr>
      </w:r>
      <w:r/>
    </w:p>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0"/>
        </w:rPr>
        <w:t xml:space="preserve"> </w:t>
      </w:r>
      <w:r>
        <w:rPr>
          <w:rFonts w:hint="eastAsia" w:ascii="宋体" w:hAnsi="宋体" w:cs="宋体"/>
        </w:rPr>
      </w:r>
      <w:r/>
    </w:p>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 </w:t>
      </w:r>
      <w:r>
        <w:rPr>
          <w:rFonts w:hint="eastAsia" w:ascii="宋体" w:hAnsi="宋体" w:cs="宋体"/>
        </w:rPr>
      </w:r>
      <w:r/>
    </w:p>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2"/>
        </w:rPr>
        <w:t xml:space="preserve"> </w:t>
      </w:r>
      <w:r>
        <w:rPr>
          <w:rFonts w:hint="eastAsia" w:ascii="宋体" w:hAnsi="宋体" w:cs="宋体"/>
        </w:rPr>
      </w:r>
      <w:r/>
    </w:p>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2"/>
        </w:rPr>
        <w:t xml:space="preserve"> </w:t>
      </w:r>
      <w:r>
        <w:rPr>
          <w:rFonts w:hint="eastAsia" w:ascii="宋体" w:hAnsi="宋体" w:cs="宋体"/>
        </w:rPr>
      </w:r>
      <w:r/>
    </w:p>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2"/>
        </w:rPr>
        <w:t xml:space="preserve"> </w:t>
      </w:r>
      <w:r>
        <w:rPr>
          <w:rFonts w:hint="eastAsia" w:ascii="宋体" w:hAnsi="宋体" w:cs="宋体"/>
        </w:rPr>
      </w:r>
      <w:r/>
    </w:p>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2"/>
        </w:rPr>
        <w:t xml:space="preserve"> </w:t>
      </w:r>
      <w:r>
        <w:rPr>
          <w:rFonts w:hint="eastAsia" w:ascii="宋体" w:hAnsi="宋体" w:cs="宋体"/>
        </w:rPr>
      </w:r>
      <w:r/>
    </w:p>
    <w:p>
      <w:pPr>
        <w:pStyle w:val="893"/>
        <w:spacing w:line="11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p>
      <w:pPr>
        <w:pStyle w:val="893"/>
        <w:spacing w:line="11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t xml:space="preserve"> </w:t>
      </w:r>
      <w:r>
        <w:rPr>
          <w:rFonts w:hint="eastAsia" w:ascii="宋体" w:hAnsi="宋体" w:cs="宋体"/>
        </w:rPr>
      </w:r>
      <w:r/>
    </w:p>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p>
      <w:pPr>
        <w:pStyle w:val="893"/>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p>
      <w:pPr>
        <w:pStyle w:val="893"/>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p>
      <w:pPr>
        <w:pStyle w:val="893"/>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p>
      <w:pPr>
        <w:pStyle w:val="893"/>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p>
      <w:pPr>
        <w:pStyle w:val="893"/>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p>
      <w:pPr>
        <w:pStyle w:val="893"/>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p>
      <w:pPr>
        <w:pStyle w:val="893"/>
        <w:spacing w:before="240" w:after="24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sectPr>
      <w:footerReference w:type="default" r:id="rId12"/>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方正黑体_GBK">
    <w:panose1 w:val="020B0503020202020204"/>
  </w:font>
  <w:font w:name="Tahoma">
    <w:panose1 w:val="020B0604030504040204"/>
  </w:font>
  <w:font w:name="Courier New">
    <w:panose1 w:val="02070309020205020404"/>
  </w:font>
  <w:font w:name="Calibri Light">
    <w:panose1 w:val="020F03020202040302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tabs>
        <w:tab w:val="center" w:pos="4153" w:leader="none"/>
        <w:tab w:val="right" w:pos="8306" w:leader="none"/>
      </w:tabs>
      <w:rPr>
        <w:rFonts w:hint="eastAsia"/>
        <w:b/>
        <w:i/>
      </w:rPr>
    </w:pP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3"/>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89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3"/>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893"/>
                    </w:pPr>
                    <w:r/>
                    <w:r/>
                  </w:p>
                </w:txbxContent>
              </v:textbox>
            </v:shape>
          </w:pict>
        </mc:Fallback>
      </mc:AlternateConten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78"/>
      <w:isLgl w:val="false"/>
      <w:suff w:val="tab"/>
      <w:lvlText w:val="附录%1."/>
      <w:lvlJc w:val="left"/>
      <w:pPr>
        <w:pStyle w:val="89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pStyle w:val="8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9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95"/>
      <w:isLgl w:val="false"/>
      <w:suff w:val="tab"/>
      <w:lvlText w:val="%1."/>
      <w:lvlJc w:val="left"/>
      <w:pPr>
        <w:pStyle w:val="893"/>
        <w:ind w:left="709" w:hanging="709"/>
        <w:tabs>
          <w:tab w:val="num" w:pos="709" w:leader="none"/>
        </w:tabs>
      </w:pPr>
      <w:rPr>
        <w:rFonts w:hint="eastAsia"/>
      </w:rPr>
    </w:lvl>
    <w:lvl w:ilvl="1">
      <w:start w:val="1"/>
      <w:numFmt w:val="decimal"/>
      <w:isLgl w:val="false"/>
      <w:suff w:val="tab"/>
      <w:lvlText w:val="%1.%2"/>
      <w:lvlJc w:val="left"/>
      <w:pPr>
        <w:pStyle w:val="893"/>
        <w:ind w:left="709" w:hanging="709"/>
        <w:tabs>
          <w:tab w:val="num" w:pos="709" w:leader="none"/>
        </w:tabs>
      </w:pPr>
      <w:rPr>
        <w:rFonts w:hint="eastAsia"/>
      </w:rPr>
    </w:lvl>
    <w:lvl w:ilvl="2">
      <w:start w:val="1"/>
      <w:numFmt w:val="decimal"/>
      <w:isLgl w:val="false"/>
      <w:suff w:val="tab"/>
      <w:lvlText w:val="%1.%2.%3."/>
      <w:lvlJc w:val="left"/>
      <w:pPr>
        <w:pStyle w:val="893"/>
        <w:ind w:left="425" w:hanging="425"/>
        <w:tabs>
          <w:tab w:val="num" w:pos="425" w:leader="none"/>
        </w:tabs>
      </w:pPr>
      <w:rPr>
        <w:rFonts w:hint="eastAsia"/>
      </w:rPr>
    </w:lvl>
    <w:lvl w:ilvl="3">
      <w:start w:val="1"/>
      <w:numFmt w:val="decimal"/>
      <w:isLgl w:val="false"/>
      <w:suff w:val="tab"/>
      <w:lvlText w:val="%1.%2.%3.%4."/>
      <w:lvlJc w:val="left"/>
      <w:pPr>
        <w:pStyle w:val="893"/>
        <w:ind w:left="851" w:hanging="851"/>
        <w:tabs>
          <w:tab w:val="num" w:pos="851" w:leader="none"/>
        </w:tabs>
      </w:pPr>
      <w:rPr>
        <w:rFonts w:hint="eastAsia"/>
      </w:rPr>
    </w:lvl>
    <w:lvl w:ilvl="4">
      <w:start w:val="1"/>
      <w:numFmt w:val="decimal"/>
      <w:isLgl w:val="false"/>
      <w:suff w:val="tab"/>
      <w:lvlText w:val="%1.%2.%3.%4.%5."/>
      <w:lvlJc w:val="left"/>
      <w:pPr>
        <w:pStyle w:val="893"/>
        <w:ind w:left="992" w:hanging="992"/>
        <w:tabs>
          <w:tab w:val="num" w:pos="992" w:leader="none"/>
        </w:tabs>
      </w:pPr>
      <w:rPr>
        <w:rFonts w:hint="eastAsia"/>
      </w:rPr>
    </w:lvl>
    <w:lvl w:ilvl="5">
      <w:start w:val="1"/>
      <w:numFmt w:val="decimal"/>
      <w:isLgl w:val="false"/>
      <w:suff w:val="tab"/>
      <w:lvlText w:val="%1.%2.%3.%4.%5.%6."/>
      <w:lvlJc w:val="left"/>
      <w:pPr>
        <w:pStyle w:val="893"/>
        <w:ind w:left="1134" w:hanging="1134"/>
        <w:tabs>
          <w:tab w:val="num" w:pos="1134" w:leader="none"/>
        </w:tabs>
      </w:pPr>
      <w:rPr>
        <w:rFonts w:hint="eastAsia"/>
      </w:rPr>
    </w:lvl>
    <w:lvl w:ilvl="6">
      <w:start w:val="1"/>
      <w:numFmt w:val="decimal"/>
      <w:isLgl w:val="false"/>
      <w:suff w:val="tab"/>
      <w:lvlText w:val="%1.%2.%3.%4.%5.%6.%7."/>
      <w:lvlJc w:val="left"/>
      <w:pPr>
        <w:pStyle w:val="893"/>
        <w:ind w:left="1276" w:hanging="1276"/>
        <w:tabs>
          <w:tab w:val="num" w:pos="1276" w:leader="none"/>
        </w:tabs>
      </w:pPr>
      <w:rPr>
        <w:rFonts w:hint="eastAsia"/>
      </w:rPr>
    </w:lvl>
    <w:lvl w:ilvl="7">
      <w:start w:val="1"/>
      <w:numFmt w:val="decimal"/>
      <w:isLgl w:val="false"/>
      <w:suff w:val="tab"/>
      <w:lvlText w:val="%1.%2.%3.%4.%5.%6.%7.%8."/>
      <w:lvlJc w:val="left"/>
      <w:pPr>
        <w:pStyle w:val="893"/>
        <w:ind w:left="1418" w:hanging="1418"/>
        <w:tabs>
          <w:tab w:val="num" w:pos="1418" w:leader="none"/>
        </w:tabs>
      </w:pPr>
      <w:rPr>
        <w:rFonts w:hint="eastAsia"/>
      </w:rPr>
    </w:lvl>
    <w:lvl w:ilvl="8">
      <w:start w:val="1"/>
      <w:numFmt w:val="decimal"/>
      <w:isLgl w:val="false"/>
      <w:suff w:val="tab"/>
      <w:lvlText w:val="%1.%2.%3.%4.%5.%6.%7.%8.%9."/>
      <w:lvlJc w:val="left"/>
      <w:pPr>
        <w:pStyle w:val="893"/>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93"/>
        <w:ind w:left="0" w:firstLine="0"/>
      </w:pPr>
      <w:rPr>
        <w:rFonts w:hint="eastAsia"/>
      </w:rPr>
    </w:lvl>
    <w:lvl w:ilvl="1">
      <w:start w:val="1"/>
      <w:numFmt w:val="decimal"/>
      <w:isLgl w:val="false"/>
      <w:suff w:val="nothing"/>
      <w:lvlText w:val="%2、"/>
      <w:lvlJc w:val="left"/>
      <w:pPr>
        <w:pStyle w:val="893"/>
        <w:ind w:left="0" w:firstLine="0"/>
      </w:pPr>
      <w:rPr>
        <w:rFonts w:hint="eastAsia"/>
      </w:rPr>
    </w:lvl>
    <w:lvl w:ilvl="2">
      <w:start w:val="1"/>
      <w:numFmt w:val="decimal"/>
      <w:isLgl w:val="false"/>
      <w:suff w:val="nothing"/>
      <w:lvlText w:val="%2.%3 "/>
      <w:lvlJc w:val="left"/>
      <w:pPr>
        <w:pStyle w:val="893"/>
        <w:ind w:left="0" w:firstLine="0"/>
      </w:pPr>
      <w:rPr>
        <w:rFonts w:hint="eastAsia"/>
      </w:rPr>
    </w:lvl>
    <w:lvl w:ilvl="3">
      <w:start w:val="1"/>
      <w:numFmt w:val="decimal"/>
      <w:isLgl w:val="false"/>
      <w:suff w:val="nothing"/>
      <w:lvlText w:val="%2.%3.%4 "/>
      <w:lvlJc w:val="left"/>
      <w:pPr>
        <w:pStyle w:val="893"/>
        <w:ind w:left="0" w:firstLine="0"/>
      </w:pPr>
      <w:rPr>
        <w:rFonts w:hint="eastAsia"/>
      </w:rPr>
    </w:lvl>
    <w:lvl w:ilvl="4">
      <w:start w:val="1"/>
      <w:numFmt w:val="decimal"/>
      <w:isLgl w:val="false"/>
      <w:suff w:val="nothing"/>
      <w:lvlText w:val="%2.%3.%4.%5 "/>
      <w:lvlJc w:val="left"/>
      <w:pPr>
        <w:pStyle w:val="893"/>
        <w:ind w:left="0" w:firstLine="0"/>
      </w:pPr>
      <w:rPr>
        <w:rFonts w:hint="eastAsia"/>
      </w:rPr>
    </w:lvl>
    <w:lvl w:ilvl="5">
      <w:start w:val="1"/>
      <w:numFmt w:val="decimal"/>
      <w:pStyle w:val="899"/>
      <w:isLgl w:val="false"/>
      <w:suff w:val="nothing"/>
      <w:lvlText w:val=""/>
      <w:lvlJc w:val="left"/>
      <w:pPr>
        <w:pStyle w:val="893"/>
        <w:ind w:left="0" w:firstLine="0"/>
      </w:pPr>
      <w:rPr>
        <w:rFonts w:hint="eastAsia"/>
      </w:rPr>
    </w:lvl>
    <w:lvl w:ilvl="6">
      <w:start w:val="1"/>
      <w:numFmt w:val="decimal"/>
      <w:pStyle w:val="900"/>
      <w:isLgl w:val="false"/>
      <w:suff w:val="nothing"/>
      <w:lvlText w:val=""/>
      <w:lvlJc w:val="left"/>
      <w:pPr>
        <w:pStyle w:val="893"/>
        <w:ind w:left="0" w:firstLine="0"/>
      </w:pPr>
      <w:rPr>
        <w:rFonts w:hint="eastAsia"/>
      </w:rPr>
    </w:lvl>
    <w:lvl w:ilvl="7">
      <w:start w:val="1"/>
      <w:numFmt w:val="decimal"/>
      <w:pStyle w:val="901"/>
      <w:isLgl w:val="false"/>
      <w:suff w:val="nothing"/>
      <w:lvlText w:val=""/>
      <w:lvlJc w:val="left"/>
      <w:pPr>
        <w:pStyle w:val="893"/>
        <w:ind w:left="0" w:firstLine="0"/>
      </w:pPr>
      <w:rPr>
        <w:rFonts w:hint="eastAsia"/>
      </w:rPr>
    </w:lvl>
    <w:lvl w:ilvl="8">
      <w:start w:val="1"/>
      <w:numFmt w:val="decimal"/>
      <w:pStyle w:val="902"/>
      <w:isLgl w:val="false"/>
      <w:suff w:val="nothing"/>
      <w:lvlText w:val=""/>
      <w:lvlJc w:val="left"/>
      <w:pPr>
        <w:pStyle w:val="893"/>
        <w:ind w:left="0" w:firstLine="0"/>
      </w:pPr>
      <w:rPr>
        <w:rFonts w:hint="eastAsia"/>
      </w:rPr>
    </w:lvl>
  </w:abstractNum>
  <w:abstractNum w:abstractNumId="5">
    <w:multiLevelType w:val="hybridMultilevel"/>
    <w:lvl w:ilvl="0">
      <w:start w:val="1"/>
      <w:numFmt w:val="decimal"/>
      <w:isLgl w:val="false"/>
      <w:suff w:val="tab"/>
      <w:lvlText w:val="%1、"/>
      <w:lvlJc w:val="left"/>
      <w:pPr>
        <w:pStyle w:val="893"/>
        <w:ind w:left="0" w:firstLine="0"/>
      </w:pPr>
    </w:lvl>
    <w:lvl w:ilvl="1">
      <w:start w:val="1"/>
      <w:numFmt w:val="bullet"/>
      <w:isLgl w:val="false"/>
      <w:suff w:val="tab"/>
      <w:lvlText w:val="o"/>
      <w:lvlJc w:val="left"/>
      <w:pPr>
        <w:pStyle w:val="893"/>
        <w:ind w:left="1440" w:hanging="360"/>
      </w:pPr>
      <w:rPr>
        <w:rFonts w:ascii="Courier New" w:hAnsi="Courier New" w:eastAsia="Courier New" w:cs="Courier New"/>
      </w:rPr>
    </w:lvl>
    <w:lvl w:ilvl="2">
      <w:start w:val="1"/>
      <w:numFmt w:val="bullet"/>
      <w:isLgl w:val="false"/>
      <w:suff w:val="tab"/>
      <w:lvlText w:val="§"/>
      <w:lvlJc w:val="left"/>
      <w:pPr>
        <w:pStyle w:val="893"/>
        <w:ind w:left="2160" w:hanging="360"/>
      </w:pPr>
      <w:rPr>
        <w:rFonts w:ascii="Wingdings" w:hAnsi="Wingdings" w:eastAsia="Wingdings" w:cs="Wingdings"/>
      </w:rPr>
    </w:lvl>
    <w:lvl w:ilvl="3">
      <w:start w:val="1"/>
      <w:numFmt w:val="bullet"/>
      <w:isLgl w:val="false"/>
      <w:suff w:val="tab"/>
      <w:lvlText w:val="·"/>
      <w:lvlJc w:val="left"/>
      <w:pPr>
        <w:pStyle w:val="893"/>
        <w:ind w:left="2880" w:hanging="360"/>
      </w:pPr>
      <w:rPr>
        <w:rFonts w:ascii="Symbol" w:hAnsi="Symbol" w:eastAsia="Symbol" w:cs="Symbol"/>
      </w:rPr>
    </w:lvl>
    <w:lvl w:ilvl="4">
      <w:start w:val="1"/>
      <w:numFmt w:val="bullet"/>
      <w:isLgl w:val="false"/>
      <w:suff w:val="tab"/>
      <w:lvlText w:val="o"/>
      <w:lvlJc w:val="left"/>
      <w:pPr>
        <w:pStyle w:val="893"/>
        <w:ind w:left="3600" w:hanging="360"/>
      </w:pPr>
      <w:rPr>
        <w:rFonts w:ascii="Courier New" w:hAnsi="Courier New" w:eastAsia="Courier New" w:cs="Courier New"/>
      </w:rPr>
    </w:lvl>
    <w:lvl w:ilvl="5">
      <w:start w:val="1"/>
      <w:numFmt w:val="bullet"/>
      <w:isLgl w:val="false"/>
      <w:suff w:val="tab"/>
      <w:lvlText w:val="§"/>
      <w:lvlJc w:val="left"/>
      <w:pPr>
        <w:pStyle w:val="893"/>
        <w:ind w:left="4320" w:hanging="360"/>
      </w:pPr>
      <w:rPr>
        <w:rFonts w:ascii="Wingdings" w:hAnsi="Wingdings" w:eastAsia="Wingdings" w:cs="Wingdings"/>
      </w:rPr>
    </w:lvl>
    <w:lvl w:ilvl="6">
      <w:start w:val="1"/>
      <w:numFmt w:val="bullet"/>
      <w:isLgl w:val="false"/>
      <w:suff w:val="tab"/>
      <w:lvlText w:val="·"/>
      <w:lvlJc w:val="left"/>
      <w:pPr>
        <w:pStyle w:val="893"/>
        <w:ind w:left="5040" w:hanging="360"/>
      </w:pPr>
      <w:rPr>
        <w:rFonts w:ascii="Symbol" w:hAnsi="Symbol" w:eastAsia="Symbol" w:cs="Symbol"/>
      </w:rPr>
    </w:lvl>
    <w:lvl w:ilvl="7">
      <w:start w:val="1"/>
      <w:numFmt w:val="bullet"/>
      <w:isLgl w:val="false"/>
      <w:suff w:val="tab"/>
      <w:lvlText w:val="o"/>
      <w:lvlJc w:val="left"/>
      <w:pPr>
        <w:pStyle w:val="893"/>
        <w:ind w:left="5760" w:hanging="360"/>
      </w:pPr>
      <w:rPr>
        <w:rFonts w:ascii="Courier New" w:hAnsi="Courier New" w:eastAsia="Courier New" w:cs="Courier New"/>
      </w:rPr>
    </w:lvl>
    <w:lvl w:ilvl="8">
      <w:start w:val="1"/>
      <w:numFmt w:val="bullet"/>
      <w:isLgl w:val="false"/>
      <w:suff w:val="tab"/>
      <w:lvlText w:val="§"/>
      <w:lvlJc w:val="left"/>
      <w:pPr>
        <w:pStyle w:val="893"/>
        <w:ind w:left="6480" w:hanging="360"/>
      </w:pPr>
      <w:rPr>
        <w:rFonts w:ascii="Wingdings" w:hAnsi="Wingdings" w:eastAsia="Wingdings" w:cs="Wingdings"/>
      </w:rPr>
    </w:lvl>
  </w:abstractNum>
  <w:num w:numId="1">
    <w:abstractNumId w:val="4"/>
  </w:num>
  <w:num w:numId="2">
    <w:abstractNumId w:val="0"/>
  </w:num>
  <w:num w:numId="3">
    <w:abstractNumId w:val="3"/>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name w:val="Heading 1"/>
    <w:basedOn w:val="893"/>
    <w:next w:val="893"/>
    <w:link w:val="716"/>
    <w:uiPriority w:val="9"/>
    <w:qFormat/>
    <w:pPr>
      <w:keepLines/>
      <w:keepNext/>
      <w:spacing w:before="480" w:after="200"/>
      <w:outlineLvl w:val="0"/>
    </w:pPr>
    <w:rPr>
      <w:rFonts w:ascii="Arial" w:hAnsi="Arial" w:eastAsia="Arial" w:cs="Arial"/>
      <w:sz w:val="40"/>
      <w:szCs w:val="40"/>
    </w:rPr>
  </w:style>
  <w:style w:type="character" w:styleId="716">
    <w:name w:val="Heading 1 Char"/>
    <w:link w:val="715"/>
    <w:uiPriority w:val="9"/>
    <w:rPr>
      <w:rFonts w:ascii="Arial" w:hAnsi="Arial" w:eastAsia="Arial" w:cs="Arial"/>
      <w:sz w:val="40"/>
      <w:szCs w:val="40"/>
    </w:rPr>
  </w:style>
  <w:style w:type="paragraph" w:styleId="717">
    <w:name w:val="Heading 2"/>
    <w:basedOn w:val="893"/>
    <w:next w:val="893"/>
    <w:link w:val="718"/>
    <w:uiPriority w:val="9"/>
    <w:unhideWhenUsed/>
    <w:qFormat/>
    <w:pPr>
      <w:keepLines/>
      <w:keepNext/>
      <w:spacing w:before="360" w:after="200"/>
      <w:outlineLvl w:val="1"/>
    </w:pPr>
    <w:rPr>
      <w:rFonts w:ascii="Arial" w:hAnsi="Arial" w:eastAsia="Arial" w:cs="Arial"/>
      <w:sz w:val="34"/>
    </w:rPr>
  </w:style>
  <w:style w:type="character" w:styleId="718">
    <w:name w:val="Heading 2 Char"/>
    <w:link w:val="717"/>
    <w:uiPriority w:val="9"/>
    <w:rPr>
      <w:rFonts w:ascii="Arial" w:hAnsi="Arial" w:eastAsia="Arial" w:cs="Arial"/>
      <w:sz w:val="34"/>
    </w:rPr>
  </w:style>
  <w:style w:type="paragraph" w:styleId="719">
    <w:name w:val="Heading 3"/>
    <w:basedOn w:val="893"/>
    <w:next w:val="893"/>
    <w:link w:val="720"/>
    <w:uiPriority w:val="9"/>
    <w:unhideWhenUsed/>
    <w:qFormat/>
    <w:pPr>
      <w:keepLines/>
      <w:keepNext/>
      <w:spacing w:before="320" w:after="200"/>
      <w:outlineLvl w:val="2"/>
    </w:pPr>
    <w:rPr>
      <w:rFonts w:ascii="Arial" w:hAnsi="Arial" w:eastAsia="Arial" w:cs="Arial"/>
      <w:sz w:val="30"/>
      <w:szCs w:val="30"/>
    </w:rPr>
  </w:style>
  <w:style w:type="character" w:styleId="720">
    <w:name w:val="Heading 3 Char"/>
    <w:link w:val="719"/>
    <w:uiPriority w:val="9"/>
    <w:rPr>
      <w:rFonts w:ascii="Arial" w:hAnsi="Arial" w:eastAsia="Arial" w:cs="Arial"/>
      <w:sz w:val="30"/>
      <w:szCs w:val="30"/>
    </w:rPr>
  </w:style>
  <w:style w:type="paragraph" w:styleId="721">
    <w:name w:val="Heading 4"/>
    <w:basedOn w:val="893"/>
    <w:next w:val="893"/>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link w:val="721"/>
    <w:uiPriority w:val="9"/>
    <w:rPr>
      <w:rFonts w:ascii="Arial" w:hAnsi="Arial" w:eastAsia="Arial" w:cs="Arial"/>
      <w:b/>
      <w:bCs/>
      <w:sz w:val="26"/>
      <w:szCs w:val="26"/>
    </w:rPr>
  </w:style>
  <w:style w:type="paragraph" w:styleId="723">
    <w:name w:val="Heading 5"/>
    <w:basedOn w:val="893"/>
    <w:next w:val="893"/>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link w:val="723"/>
    <w:uiPriority w:val="9"/>
    <w:rPr>
      <w:rFonts w:ascii="Arial" w:hAnsi="Arial" w:eastAsia="Arial" w:cs="Arial"/>
      <w:b/>
      <w:bCs/>
      <w:sz w:val="24"/>
      <w:szCs w:val="24"/>
    </w:rPr>
  </w:style>
  <w:style w:type="paragraph" w:styleId="725">
    <w:name w:val="Heading 6"/>
    <w:basedOn w:val="893"/>
    <w:next w:val="893"/>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link w:val="725"/>
    <w:uiPriority w:val="9"/>
    <w:rPr>
      <w:rFonts w:ascii="Arial" w:hAnsi="Arial" w:eastAsia="Arial" w:cs="Arial"/>
      <w:b/>
      <w:bCs/>
      <w:sz w:val="22"/>
      <w:szCs w:val="22"/>
    </w:rPr>
  </w:style>
  <w:style w:type="paragraph" w:styleId="727">
    <w:name w:val="Heading 7"/>
    <w:basedOn w:val="893"/>
    <w:next w:val="893"/>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link w:val="727"/>
    <w:uiPriority w:val="9"/>
    <w:rPr>
      <w:rFonts w:ascii="Arial" w:hAnsi="Arial" w:eastAsia="Arial" w:cs="Arial"/>
      <w:b/>
      <w:bCs/>
      <w:i/>
      <w:iCs/>
      <w:sz w:val="22"/>
      <w:szCs w:val="22"/>
    </w:rPr>
  </w:style>
  <w:style w:type="paragraph" w:styleId="729">
    <w:name w:val="Heading 8"/>
    <w:basedOn w:val="893"/>
    <w:next w:val="893"/>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link w:val="729"/>
    <w:uiPriority w:val="9"/>
    <w:rPr>
      <w:rFonts w:ascii="Arial" w:hAnsi="Arial" w:eastAsia="Arial" w:cs="Arial"/>
      <w:i/>
      <w:iCs/>
      <w:sz w:val="22"/>
      <w:szCs w:val="22"/>
    </w:rPr>
  </w:style>
  <w:style w:type="paragraph" w:styleId="731">
    <w:name w:val="Heading 9"/>
    <w:basedOn w:val="893"/>
    <w:next w:val="893"/>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link w:val="731"/>
    <w:uiPriority w:val="9"/>
    <w:rPr>
      <w:rFonts w:ascii="Arial" w:hAnsi="Arial" w:eastAsia="Arial" w:cs="Arial"/>
      <w:i/>
      <w:iCs/>
      <w:sz w:val="21"/>
      <w:szCs w:val="21"/>
    </w:rPr>
  </w:style>
  <w:style w:type="paragraph" w:styleId="733">
    <w:name w:val="List Paragraph"/>
    <w:basedOn w:val="893"/>
    <w:uiPriority w:val="34"/>
    <w:qFormat/>
    <w:pPr>
      <w:contextualSpacing/>
      <w:ind w:left="720"/>
    </w:pPr>
  </w:style>
  <w:style w:type="paragraph" w:styleId="734">
    <w:name w:val="No Spacing"/>
    <w:uiPriority w:val="1"/>
    <w:qFormat/>
    <w:pPr>
      <w:spacing w:before="0" w:after="0" w:line="240" w:lineRule="auto"/>
    </w:pPr>
  </w:style>
  <w:style w:type="paragraph" w:styleId="735">
    <w:name w:val="Title"/>
    <w:basedOn w:val="893"/>
    <w:next w:val="893"/>
    <w:link w:val="736"/>
    <w:uiPriority w:val="10"/>
    <w:qFormat/>
    <w:pPr>
      <w:contextualSpacing/>
      <w:spacing w:before="300" w:after="200"/>
    </w:pPr>
    <w:rPr>
      <w:sz w:val="48"/>
      <w:szCs w:val="48"/>
    </w:rPr>
  </w:style>
  <w:style w:type="character" w:styleId="736">
    <w:name w:val="Title Char"/>
    <w:link w:val="735"/>
    <w:uiPriority w:val="10"/>
    <w:rPr>
      <w:sz w:val="48"/>
      <w:szCs w:val="48"/>
    </w:rPr>
  </w:style>
  <w:style w:type="paragraph" w:styleId="737">
    <w:name w:val="Subtitle"/>
    <w:basedOn w:val="893"/>
    <w:next w:val="893"/>
    <w:link w:val="738"/>
    <w:uiPriority w:val="11"/>
    <w:qFormat/>
    <w:pPr>
      <w:spacing w:before="200" w:after="200"/>
    </w:pPr>
    <w:rPr>
      <w:sz w:val="24"/>
      <w:szCs w:val="24"/>
    </w:rPr>
  </w:style>
  <w:style w:type="character" w:styleId="738">
    <w:name w:val="Subtitle Char"/>
    <w:link w:val="737"/>
    <w:uiPriority w:val="11"/>
    <w:rPr>
      <w:sz w:val="24"/>
      <w:szCs w:val="24"/>
    </w:rPr>
  </w:style>
  <w:style w:type="paragraph" w:styleId="739">
    <w:name w:val="Quote"/>
    <w:basedOn w:val="893"/>
    <w:next w:val="893"/>
    <w:link w:val="740"/>
    <w:uiPriority w:val="29"/>
    <w:qFormat/>
    <w:pPr>
      <w:ind w:left="720" w:right="720"/>
    </w:pPr>
    <w:rPr>
      <w:i/>
    </w:rPr>
  </w:style>
  <w:style w:type="character" w:styleId="740">
    <w:name w:val="Quote Char"/>
    <w:link w:val="739"/>
    <w:uiPriority w:val="29"/>
    <w:rPr>
      <w:i/>
    </w:rPr>
  </w:style>
  <w:style w:type="paragraph" w:styleId="741">
    <w:name w:val="Intense Quote"/>
    <w:basedOn w:val="893"/>
    <w:next w:val="893"/>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paragraph" w:styleId="743">
    <w:name w:val="Header"/>
    <w:basedOn w:val="893"/>
    <w:link w:val="744"/>
    <w:uiPriority w:val="99"/>
    <w:unhideWhenUsed/>
    <w:pPr>
      <w:spacing w:after="0" w:line="240" w:lineRule="auto"/>
      <w:tabs>
        <w:tab w:val="center" w:pos="7143" w:leader="none"/>
        <w:tab w:val="right" w:pos="14287" w:leader="none"/>
      </w:tabs>
    </w:pPr>
  </w:style>
  <w:style w:type="character" w:styleId="744">
    <w:name w:val="Header Char"/>
    <w:link w:val="743"/>
    <w:uiPriority w:val="99"/>
  </w:style>
  <w:style w:type="paragraph" w:styleId="745">
    <w:name w:val="Footer"/>
    <w:basedOn w:val="893"/>
    <w:link w:val="748"/>
    <w:uiPriority w:val="99"/>
    <w:unhideWhenUsed/>
    <w:pPr>
      <w:spacing w:after="0" w:line="240" w:lineRule="auto"/>
      <w:tabs>
        <w:tab w:val="center" w:pos="7143" w:leader="none"/>
        <w:tab w:val="right" w:pos="14287" w:leader="none"/>
      </w:tabs>
    </w:pPr>
  </w:style>
  <w:style w:type="character" w:styleId="746">
    <w:name w:val="Footer Char"/>
    <w:link w:val="745"/>
    <w:uiPriority w:val="99"/>
  </w:style>
  <w:style w:type="paragraph" w:styleId="747">
    <w:name w:val="Caption"/>
    <w:basedOn w:val="893"/>
    <w:next w:val="893"/>
    <w:uiPriority w:val="35"/>
    <w:semiHidden/>
    <w:unhideWhenUsed/>
    <w:qFormat/>
    <w:pPr>
      <w:spacing w:line="276" w:lineRule="auto"/>
    </w:pPr>
    <w:rPr>
      <w:b/>
      <w:bCs/>
      <w:color w:val="4f81bd" w:themeColor="accent1"/>
      <w:sz w:val="18"/>
      <w:szCs w:val="18"/>
    </w:rPr>
  </w:style>
  <w:style w:type="character" w:styleId="748">
    <w:name w:val="Caption Char"/>
    <w:basedOn w:val="747"/>
    <w:link w:val="745"/>
    <w:uiPriority w:val="99"/>
  </w:style>
  <w:style w:type="table" w:styleId="7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5">
    <w:name w:val="Hyperlink"/>
    <w:uiPriority w:val="99"/>
    <w:unhideWhenUsed/>
    <w:rPr>
      <w:color w:val="0000ff" w:themeColor="hyperlink"/>
      <w:u w:val="single"/>
    </w:rPr>
  </w:style>
  <w:style w:type="paragraph" w:styleId="876">
    <w:name w:val="footnote text"/>
    <w:basedOn w:val="893"/>
    <w:link w:val="877"/>
    <w:uiPriority w:val="99"/>
    <w:semiHidden/>
    <w:unhideWhenUsed/>
    <w:pPr>
      <w:spacing w:after="40" w:line="240" w:lineRule="auto"/>
    </w:pPr>
    <w:rPr>
      <w:sz w:val="18"/>
    </w:rPr>
  </w:style>
  <w:style w:type="character" w:styleId="877">
    <w:name w:val="Footnote Text Char"/>
    <w:link w:val="876"/>
    <w:uiPriority w:val="99"/>
    <w:rPr>
      <w:sz w:val="18"/>
    </w:rPr>
  </w:style>
  <w:style w:type="character" w:styleId="878">
    <w:name w:val="footnote reference"/>
    <w:uiPriority w:val="99"/>
    <w:unhideWhenUsed/>
    <w:rPr>
      <w:vertAlign w:val="superscript"/>
    </w:rPr>
  </w:style>
  <w:style w:type="paragraph" w:styleId="879">
    <w:name w:val="endnote text"/>
    <w:basedOn w:val="893"/>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uiPriority w:val="99"/>
    <w:semiHidden/>
    <w:unhideWhenUsed/>
    <w:rPr>
      <w:vertAlign w:val="superscript"/>
    </w:rPr>
  </w:style>
  <w:style w:type="paragraph" w:styleId="882">
    <w:name w:val="toc 1"/>
    <w:basedOn w:val="893"/>
    <w:next w:val="893"/>
    <w:uiPriority w:val="39"/>
    <w:unhideWhenUsed/>
    <w:pPr>
      <w:ind w:left="0" w:right="0" w:firstLine="0"/>
      <w:spacing w:after="57"/>
    </w:pPr>
  </w:style>
  <w:style w:type="paragraph" w:styleId="883">
    <w:name w:val="toc 2"/>
    <w:basedOn w:val="893"/>
    <w:next w:val="893"/>
    <w:uiPriority w:val="39"/>
    <w:unhideWhenUsed/>
    <w:pPr>
      <w:ind w:left="283" w:right="0" w:firstLine="0"/>
      <w:spacing w:after="57"/>
    </w:pPr>
  </w:style>
  <w:style w:type="paragraph" w:styleId="884">
    <w:name w:val="toc 3"/>
    <w:basedOn w:val="893"/>
    <w:next w:val="893"/>
    <w:uiPriority w:val="39"/>
    <w:unhideWhenUsed/>
    <w:pPr>
      <w:ind w:left="567" w:right="0" w:firstLine="0"/>
      <w:spacing w:after="57"/>
    </w:pPr>
  </w:style>
  <w:style w:type="paragraph" w:styleId="885">
    <w:name w:val="toc 4"/>
    <w:basedOn w:val="893"/>
    <w:next w:val="893"/>
    <w:uiPriority w:val="39"/>
    <w:unhideWhenUsed/>
    <w:pPr>
      <w:ind w:left="850" w:right="0" w:firstLine="0"/>
      <w:spacing w:after="57"/>
    </w:pPr>
  </w:style>
  <w:style w:type="paragraph" w:styleId="886">
    <w:name w:val="toc 5"/>
    <w:basedOn w:val="893"/>
    <w:next w:val="893"/>
    <w:uiPriority w:val="39"/>
    <w:unhideWhenUsed/>
    <w:pPr>
      <w:ind w:left="1134" w:right="0" w:firstLine="0"/>
      <w:spacing w:after="57"/>
    </w:pPr>
  </w:style>
  <w:style w:type="paragraph" w:styleId="887">
    <w:name w:val="toc 6"/>
    <w:basedOn w:val="893"/>
    <w:next w:val="893"/>
    <w:uiPriority w:val="39"/>
    <w:unhideWhenUsed/>
    <w:pPr>
      <w:ind w:left="1417" w:right="0" w:firstLine="0"/>
      <w:spacing w:after="57"/>
    </w:pPr>
  </w:style>
  <w:style w:type="paragraph" w:styleId="888">
    <w:name w:val="toc 7"/>
    <w:basedOn w:val="893"/>
    <w:next w:val="893"/>
    <w:uiPriority w:val="39"/>
    <w:unhideWhenUsed/>
    <w:pPr>
      <w:ind w:left="1701" w:right="0" w:firstLine="0"/>
      <w:spacing w:after="57"/>
    </w:pPr>
  </w:style>
  <w:style w:type="paragraph" w:styleId="889">
    <w:name w:val="toc 8"/>
    <w:basedOn w:val="893"/>
    <w:next w:val="893"/>
    <w:uiPriority w:val="39"/>
    <w:unhideWhenUsed/>
    <w:pPr>
      <w:ind w:left="1984" w:right="0" w:firstLine="0"/>
      <w:spacing w:after="57"/>
    </w:pPr>
  </w:style>
  <w:style w:type="paragraph" w:styleId="890">
    <w:name w:val="toc 9"/>
    <w:basedOn w:val="893"/>
    <w:next w:val="893"/>
    <w:uiPriority w:val="39"/>
    <w:unhideWhenUsed/>
    <w:pPr>
      <w:ind w:left="2268" w:right="0" w:firstLine="0"/>
      <w:spacing w:after="57"/>
    </w:p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next w:val="893"/>
    <w:link w:val="893"/>
    <w:qFormat/>
    <w:pPr>
      <w:jc w:val="both"/>
      <w:widowControl w:val="off"/>
    </w:pPr>
    <w:rPr>
      <w:sz w:val="21"/>
      <w:szCs w:val="21"/>
      <w:lang w:val="en-US" w:eastAsia="zh-CN" w:bidi="ar-SA"/>
    </w:rPr>
  </w:style>
  <w:style w:type="paragraph" w:styleId="894">
    <w:name w:val="标题 1"/>
    <w:basedOn w:val="893"/>
    <w:next w:val="893"/>
    <w:link w:val="905"/>
    <w:qFormat/>
    <w:pPr>
      <w:jc w:val="center"/>
      <w:keepNext/>
      <w:outlineLvl w:val="0"/>
    </w:pPr>
    <w:rPr>
      <w:rFonts w:ascii="楷体_GB2312" w:eastAsia="楷体_GB2312"/>
      <w:sz w:val="28"/>
      <w:szCs w:val="28"/>
    </w:rPr>
  </w:style>
  <w:style w:type="paragraph" w:styleId="895">
    <w:name w:val="标题 2"/>
    <w:basedOn w:val="893"/>
    <w:next w:val="893"/>
    <w:link w:val="906"/>
    <w:qFormat/>
    <w:pPr>
      <w:jc w:val="center"/>
      <w:keepLines/>
      <w:keepNext/>
      <w:spacing w:before="260" w:after="260" w:line="416" w:lineRule="auto"/>
      <w:outlineLvl w:val="1"/>
    </w:pPr>
    <w:rPr>
      <w:rFonts w:ascii="Arial" w:hAnsi="Arial" w:eastAsia="幼圆" w:cs="Arial"/>
      <w:b/>
      <w:bCs/>
      <w:sz w:val="44"/>
      <w:szCs w:val="44"/>
    </w:rPr>
  </w:style>
  <w:style w:type="paragraph" w:styleId="896">
    <w:name w:val="标题 3"/>
    <w:basedOn w:val="893"/>
    <w:next w:val="893"/>
    <w:link w:val="907"/>
    <w:qFormat/>
    <w:pPr>
      <w:keepLines/>
      <w:keepNext/>
      <w:spacing w:before="260" w:after="260" w:line="416" w:lineRule="auto"/>
      <w:outlineLvl w:val="2"/>
    </w:pPr>
    <w:rPr>
      <w:b/>
      <w:bCs/>
      <w:sz w:val="32"/>
      <w:szCs w:val="32"/>
    </w:rPr>
  </w:style>
  <w:style w:type="paragraph" w:styleId="897">
    <w:name w:val="标题 4"/>
    <w:basedOn w:val="893"/>
    <w:next w:val="893"/>
    <w:link w:val="908"/>
    <w:qFormat/>
    <w:pPr>
      <w:keepLines/>
      <w:keepNext/>
      <w:spacing w:before="280" w:after="290" w:line="376" w:lineRule="auto"/>
      <w:outlineLvl w:val="3"/>
    </w:pPr>
    <w:rPr>
      <w:rFonts w:ascii="Arial" w:hAnsi="Arial" w:eastAsia="黑体" w:cs="Arial"/>
      <w:b/>
      <w:bCs/>
      <w:sz w:val="28"/>
      <w:szCs w:val="28"/>
    </w:rPr>
  </w:style>
  <w:style w:type="paragraph" w:styleId="898">
    <w:name w:val="标题 5"/>
    <w:basedOn w:val="893"/>
    <w:next w:val="910"/>
    <w:link w:val="909"/>
    <w:qFormat/>
    <w:pPr>
      <w:keepNext/>
      <w:outlineLvl w:val="4"/>
    </w:pPr>
    <w:rPr>
      <w:rFonts w:ascii="宋体"/>
      <w:color w:val="000000"/>
      <w:sz w:val="28"/>
      <w:szCs w:val="28"/>
    </w:rPr>
  </w:style>
  <w:style w:type="paragraph" w:styleId="899">
    <w:name w:val="标题 6"/>
    <w:basedOn w:val="893"/>
    <w:next w:val="893"/>
    <w:link w:val="912"/>
    <w:qFormat/>
    <w:pPr>
      <w:numPr>
        <w:ilvl w:val="5"/>
        <w:numId w:val="1"/>
      </w:numPr>
      <w:keepLines/>
      <w:keepNext/>
      <w:spacing w:before="240" w:after="64" w:line="320" w:lineRule="auto"/>
      <w:outlineLvl w:val="5"/>
    </w:pPr>
    <w:rPr>
      <w:rFonts w:ascii="Arial" w:hAnsi="Arial" w:eastAsia="黑体"/>
      <w:b/>
      <w:bCs/>
      <w:sz w:val="24"/>
      <w:szCs w:val="24"/>
    </w:rPr>
  </w:style>
  <w:style w:type="paragraph" w:styleId="900">
    <w:name w:val="标题 7"/>
    <w:basedOn w:val="893"/>
    <w:next w:val="893"/>
    <w:link w:val="913"/>
    <w:qFormat/>
    <w:pPr>
      <w:numPr>
        <w:ilvl w:val="6"/>
        <w:numId w:val="1"/>
      </w:numPr>
      <w:keepLines/>
      <w:keepNext/>
      <w:spacing w:before="240" w:after="64" w:line="320" w:lineRule="auto"/>
      <w:outlineLvl w:val="6"/>
    </w:pPr>
    <w:rPr>
      <w:b/>
      <w:bCs/>
      <w:sz w:val="24"/>
      <w:szCs w:val="24"/>
    </w:rPr>
  </w:style>
  <w:style w:type="paragraph" w:styleId="901">
    <w:name w:val="标题 8"/>
    <w:basedOn w:val="893"/>
    <w:next w:val="893"/>
    <w:link w:val="914"/>
    <w:qFormat/>
    <w:pPr>
      <w:numPr>
        <w:ilvl w:val="7"/>
        <w:numId w:val="1"/>
      </w:numPr>
      <w:keepLines/>
      <w:keepNext/>
      <w:spacing w:before="240" w:after="64" w:line="320" w:lineRule="auto"/>
      <w:outlineLvl w:val="7"/>
    </w:pPr>
    <w:rPr>
      <w:rFonts w:ascii="Arial" w:hAnsi="Arial" w:eastAsia="黑体"/>
      <w:sz w:val="24"/>
      <w:szCs w:val="24"/>
    </w:rPr>
  </w:style>
  <w:style w:type="paragraph" w:styleId="902">
    <w:name w:val="标题 9"/>
    <w:basedOn w:val="893"/>
    <w:next w:val="893"/>
    <w:link w:val="915"/>
    <w:qFormat/>
    <w:pPr>
      <w:numPr>
        <w:ilvl w:val="8"/>
        <w:numId w:val="1"/>
      </w:numPr>
      <w:keepLines/>
      <w:keepNext/>
      <w:spacing w:before="240" w:after="64" w:line="320" w:lineRule="auto"/>
      <w:outlineLvl w:val="8"/>
    </w:pPr>
    <w:rPr>
      <w:rFonts w:ascii="Arial" w:hAnsi="Arial" w:eastAsia="黑体"/>
    </w:rPr>
  </w:style>
  <w:style w:type="character" w:styleId="903">
    <w:name w:val="默认段落字体"/>
    <w:next w:val="903"/>
    <w:link w:val="893"/>
    <w:uiPriority w:val="1"/>
    <w:unhideWhenUsed/>
  </w:style>
  <w:style w:type="table" w:styleId="904">
    <w:name w:val="普通表格"/>
    <w:next w:val="904"/>
    <w:link w:val="893"/>
    <w:uiPriority w:val="99"/>
    <w:unhideWhenUsed/>
    <w:tblPr/>
  </w:style>
  <w:style w:type="character" w:styleId="905">
    <w:name w:val="标题 1 字符"/>
    <w:next w:val="905"/>
    <w:link w:val="894"/>
    <w:rPr>
      <w:rFonts w:ascii="楷体_GB2312" w:hAnsi="Times New Roman" w:eastAsia="楷体_GB2312" w:cs="Times New Roman"/>
      <w:sz w:val="28"/>
      <w:szCs w:val="28"/>
    </w:rPr>
  </w:style>
  <w:style w:type="character" w:styleId="906">
    <w:name w:val="标题 2 字符"/>
    <w:next w:val="906"/>
    <w:link w:val="895"/>
    <w:rPr>
      <w:rFonts w:ascii="Arial" w:hAnsi="Arial" w:eastAsia="幼圆" w:cs="Arial"/>
      <w:b/>
      <w:bCs/>
      <w:sz w:val="44"/>
      <w:szCs w:val="44"/>
    </w:rPr>
  </w:style>
  <w:style w:type="character" w:styleId="907">
    <w:name w:val="标题 3 字符"/>
    <w:next w:val="907"/>
    <w:link w:val="896"/>
    <w:rPr>
      <w:rFonts w:ascii="Times New Roman" w:hAnsi="Times New Roman" w:eastAsia="宋体" w:cs="Times New Roman"/>
      <w:b/>
      <w:bCs/>
      <w:sz w:val="32"/>
      <w:szCs w:val="32"/>
    </w:rPr>
  </w:style>
  <w:style w:type="character" w:styleId="908">
    <w:name w:val="标题 4 字符"/>
    <w:next w:val="908"/>
    <w:link w:val="897"/>
    <w:rPr>
      <w:rFonts w:ascii="Arial" w:hAnsi="Arial" w:eastAsia="黑体" w:cs="Arial"/>
      <w:b/>
      <w:bCs/>
      <w:sz w:val="28"/>
      <w:szCs w:val="28"/>
    </w:rPr>
  </w:style>
  <w:style w:type="character" w:styleId="909">
    <w:name w:val="标题 5 字符"/>
    <w:next w:val="909"/>
    <w:link w:val="898"/>
    <w:rPr>
      <w:rFonts w:ascii="宋体" w:hAnsi="Times New Roman" w:eastAsia="宋体" w:cs="Times New Roman"/>
      <w:color w:val="000000"/>
      <w:sz w:val="28"/>
      <w:szCs w:val="28"/>
    </w:rPr>
  </w:style>
  <w:style w:type="paragraph" w:styleId="910">
    <w:name w:val="正文缩进"/>
    <w:basedOn w:val="893"/>
    <w:next w:val="893"/>
    <w:link w:val="911"/>
    <w:pPr>
      <w:ind w:firstLine="420"/>
    </w:pPr>
  </w:style>
  <w:style w:type="character" w:styleId="911">
    <w:name w:val="正文缩进 字符"/>
    <w:next w:val="911"/>
    <w:link w:val="910"/>
    <w:rPr>
      <w:rFonts w:ascii="Times New Roman" w:hAnsi="Times New Roman" w:eastAsia="宋体" w:cs="Times New Roman"/>
      <w:szCs w:val="21"/>
    </w:rPr>
  </w:style>
  <w:style w:type="character" w:styleId="912">
    <w:name w:val="标题 6 字符"/>
    <w:next w:val="912"/>
    <w:link w:val="899"/>
    <w:rPr>
      <w:rFonts w:ascii="Arial" w:hAnsi="Arial" w:eastAsia="黑体" w:cs="Times New Roman"/>
      <w:b/>
      <w:bCs/>
      <w:sz w:val="24"/>
      <w:szCs w:val="24"/>
    </w:rPr>
  </w:style>
  <w:style w:type="character" w:styleId="913">
    <w:name w:val="标题 7 字符"/>
    <w:next w:val="913"/>
    <w:link w:val="900"/>
    <w:rPr>
      <w:rFonts w:ascii="Times New Roman" w:hAnsi="Times New Roman" w:eastAsia="宋体" w:cs="Times New Roman"/>
      <w:b/>
      <w:bCs/>
      <w:sz w:val="24"/>
      <w:szCs w:val="24"/>
    </w:rPr>
  </w:style>
  <w:style w:type="character" w:styleId="914">
    <w:name w:val="标题 8 字符"/>
    <w:next w:val="914"/>
    <w:link w:val="901"/>
    <w:rPr>
      <w:rFonts w:ascii="Arial" w:hAnsi="Arial" w:eastAsia="黑体" w:cs="Times New Roman"/>
      <w:sz w:val="24"/>
      <w:szCs w:val="24"/>
    </w:rPr>
  </w:style>
  <w:style w:type="character" w:styleId="915">
    <w:name w:val="标题 9 字符"/>
    <w:next w:val="915"/>
    <w:link w:val="902"/>
    <w:rPr>
      <w:rFonts w:ascii="Arial" w:hAnsi="Arial" w:eastAsia="黑体" w:cs="Times New Roman"/>
      <w:szCs w:val="21"/>
    </w:rPr>
  </w:style>
  <w:style w:type="paragraph" w:styleId="916">
    <w:name w:val="列表 3"/>
    <w:basedOn w:val="893"/>
    <w:next w:val="916"/>
    <w:link w:val="893"/>
    <w:pPr>
      <w:ind w:left="100" w:hanging="200"/>
    </w:pPr>
  </w:style>
  <w:style w:type="paragraph" w:styleId="917">
    <w:name w:val="目录 7"/>
    <w:basedOn w:val="893"/>
    <w:next w:val="893"/>
    <w:link w:val="893"/>
    <w:semiHidden/>
    <w:pPr>
      <w:ind w:left="1260"/>
      <w:jc w:val="left"/>
    </w:pPr>
  </w:style>
  <w:style w:type="paragraph" w:styleId="918">
    <w:name w:val="注释标题"/>
    <w:basedOn w:val="919"/>
    <w:next w:val="919"/>
    <w:link w:val="893"/>
    <w:qFormat/>
    <w:pPr>
      <w:jc w:val="center"/>
    </w:pPr>
    <w:rPr>
      <w:rFonts w:ascii="Times New Roman" w:hAnsi="Times New Roman"/>
      <w:szCs w:val="24"/>
    </w:rPr>
  </w:style>
  <w:style w:type="paragraph" w:styleId="919">
    <w:name w:val="正文_2"/>
    <w:next w:val="919"/>
    <w:link w:val="893"/>
    <w:qFormat/>
    <w:pPr>
      <w:jc w:val="both"/>
      <w:widowControl w:val="off"/>
    </w:pPr>
    <w:rPr>
      <w:rFonts w:ascii="Calibri" w:hAnsi="Calibri"/>
      <w:sz w:val="21"/>
      <w:szCs w:val="22"/>
      <w:lang w:val="en-US" w:eastAsia="zh-CN" w:bidi="ar-SA"/>
    </w:rPr>
  </w:style>
  <w:style w:type="paragraph" w:styleId="920">
    <w:name w:val="文档结构图"/>
    <w:basedOn w:val="893"/>
    <w:next w:val="920"/>
    <w:link w:val="921"/>
    <w:semiHidden/>
    <w:pPr>
      <w:shd w:val="clear" w:color="auto" w:fill="000080"/>
    </w:pPr>
  </w:style>
  <w:style w:type="character" w:styleId="921">
    <w:name w:val="文档结构图 字符"/>
    <w:next w:val="921"/>
    <w:link w:val="920"/>
    <w:semiHidden/>
    <w:rPr>
      <w:rFonts w:ascii="Times New Roman" w:hAnsi="Times New Roman" w:eastAsia="宋体" w:cs="Times New Roman"/>
      <w:szCs w:val="21"/>
      <w:shd w:val="clear" w:color="auto" w:fill="000080"/>
    </w:rPr>
  </w:style>
  <w:style w:type="paragraph" w:styleId="922">
    <w:name w:val="引文目录标题"/>
    <w:basedOn w:val="893"/>
    <w:next w:val="893"/>
    <w:link w:val="893"/>
    <w:uiPriority w:val="99"/>
    <w:qFormat/>
    <w:pPr>
      <w:spacing w:before="120"/>
    </w:pPr>
    <w:rPr>
      <w:rFonts w:ascii="Calibri Light" w:hAnsi="Calibri Light"/>
      <w:sz w:val="24"/>
    </w:rPr>
  </w:style>
  <w:style w:type="paragraph" w:styleId="923">
    <w:name w:val="批注文字"/>
    <w:basedOn w:val="893"/>
    <w:next w:val="923"/>
    <w:link w:val="924"/>
    <w:semiHidden/>
    <w:pPr>
      <w:jc w:val="left"/>
    </w:pPr>
  </w:style>
  <w:style w:type="character" w:styleId="924">
    <w:name w:val="批注文字 字符"/>
    <w:next w:val="924"/>
    <w:link w:val="923"/>
    <w:semiHidden/>
    <w:rPr>
      <w:rFonts w:ascii="Times New Roman" w:hAnsi="Times New Roman" w:eastAsia="宋体" w:cs="Times New Roman"/>
      <w:szCs w:val="21"/>
    </w:rPr>
  </w:style>
  <w:style w:type="paragraph" w:styleId="925">
    <w:name w:val="正文文本 3"/>
    <w:basedOn w:val="893"/>
    <w:next w:val="925"/>
    <w:link w:val="926"/>
    <w:rPr>
      <w:rFonts w:ascii="仿宋_GB2312" w:hAnsi="Arial" w:eastAsia="仿宋_GB2312"/>
      <w:sz w:val="32"/>
      <w:szCs w:val="32"/>
    </w:rPr>
  </w:style>
  <w:style w:type="character" w:styleId="926">
    <w:name w:val="正文文本 3 字符"/>
    <w:next w:val="926"/>
    <w:link w:val="925"/>
    <w:rPr>
      <w:rFonts w:ascii="仿宋_GB2312" w:hAnsi="Arial" w:eastAsia="仿宋_GB2312" w:cs="Times New Roman"/>
      <w:sz w:val="32"/>
      <w:szCs w:val="32"/>
    </w:rPr>
  </w:style>
  <w:style w:type="paragraph" w:styleId="927">
    <w:name w:val="正文文本"/>
    <w:basedOn w:val="893"/>
    <w:next w:val="927"/>
    <w:link w:val="928"/>
    <w:rPr>
      <w:rFonts w:ascii="楷体_GB2312" w:hAnsi="Arial" w:eastAsia="楷体_GB2312"/>
      <w:sz w:val="28"/>
      <w:szCs w:val="28"/>
    </w:rPr>
  </w:style>
  <w:style w:type="character" w:styleId="928">
    <w:name w:val="正文文本 字符"/>
    <w:next w:val="928"/>
    <w:link w:val="927"/>
    <w:rPr>
      <w:rFonts w:ascii="楷体_GB2312" w:hAnsi="Arial" w:eastAsia="楷体_GB2312" w:cs="Times New Roman"/>
      <w:sz w:val="28"/>
      <w:szCs w:val="28"/>
    </w:rPr>
  </w:style>
  <w:style w:type="paragraph" w:styleId="929">
    <w:name w:val="正文文本缩进"/>
    <w:basedOn w:val="893"/>
    <w:next w:val="929"/>
    <w:link w:val="930"/>
    <w:pPr>
      <w:ind w:firstLine="645"/>
    </w:pPr>
    <w:rPr>
      <w:rFonts w:ascii="楷体_GB2312" w:eastAsia="楷体_GB2312"/>
      <w:sz w:val="32"/>
      <w:szCs w:val="32"/>
    </w:rPr>
  </w:style>
  <w:style w:type="character" w:styleId="930">
    <w:name w:val="正文文本缩进 字符"/>
    <w:next w:val="930"/>
    <w:link w:val="929"/>
    <w:rPr>
      <w:rFonts w:ascii="楷体_GB2312" w:hAnsi="Times New Roman" w:eastAsia="楷体_GB2312" w:cs="Times New Roman"/>
      <w:sz w:val="32"/>
      <w:szCs w:val="32"/>
    </w:rPr>
  </w:style>
  <w:style w:type="paragraph" w:styleId="931">
    <w:name w:val="列表 2"/>
    <w:basedOn w:val="893"/>
    <w:next w:val="931"/>
    <w:link w:val="893"/>
    <w:pPr>
      <w:ind w:left="100" w:hanging="200"/>
    </w:pPr>
  </w:style>
  <w:style w:type="paragraph" w:styleId="932">
    <w:name w:val="目录 5"/>
    <w:basedOn w:val="893"/>
    <w:next w:val="893"/>
    <w:link w:val="893"/>
    <w:semiHidden/>
    <w:pPr>
      <w:ind w:left="840"/>
      <w:jc w:val="left"/>
    </w:pPr>
  </w:style>
  <w:style w:type="paragraph" w:styleId="933">
    <w:name w:val="目录 3"/>
    <w:basedOn w:val="893"/>
    <w:next w:val="893"/>
    <w:link w:val="893"/>
    <w:semiHidden/>
    <w:pPr>
      <w:ind w:left="420"/>
      <w:jc w:val="left"/>
    </w:pPr>
    <w:rPr>
      <w:i/>
      <w:iCs/>
      <w:szCs w:val="24"/>
    </w:rPr>
  </w:style>
  <w:style w:type="paragraph" w:styleId="934">
    <w:name w:val="纯文本"/>
    <w:basedOn w:val="893"/>
    <w:next w:val="934"/>
    <w:link w:val="935"/>
    <w:rPr>
      <w:rFonts w:ascii="宋体" w:hAnsi="Courier New" w:cs="Courier New"/>
    </w:rPr>
  </w:style>
  <w:style w:type="character" w:styleId="935">
    <w:name w:val="纯文本 字符"/>
    <w:next w:val="935"/>
    <w:link w:val="934"/>
    <w:rPr>
      <w:rFonts w:ascii="宋体" w:hAnsi="Courier New" w:eastAsia="宋体" w:cs="Courier New"/>
      <w:szCs w:val="21"/>
    </w:rPr>
  </w:style>
  <w:style w:type="paragraph" w:styleId="936">
    <w:name w:val="目录 8"/>
    <w:basedOn w:val="893"/>
    <w:next w:val="893"/>
    <w:link w:val="893"/>
    <w:semiHidden/>
    <w:pPr>
      <w:ind w:left="1470"/>
      <w:jc w:val="left"/>
    </w:pPr>
  </w:style>
  <w:style w:type="paragraph" w:styleId="937">
    <w:name w:val="日期"/>
    <w:basedOn w:val="893"/>
    <w:next w:val="893"/>
    <w:link w:val="938"/>
    <w:rPr>
      <w:sz w:val="24"/>
      <w:szCs w:val="24"/>
    </w:rPr>
  </w:style>
  <w:style w:type="character" w:styleId="938">
    <w:name w:val="日期 字符"/>
    <w:next w:val="938"/>
    <w:link w:val="937"/>
    <w:rPr>
      <w:rFonts w:ascii="Times New Roman" w:hAnsi="Times New Roman" w:eastAsia="宋体" w:cs="Times New Roman"/>
      <w:sz w:val="24"/>
      <w:szCs w:val="24"/>
    </w:rPr>
  </w:style>
  <w:style w:type="paragraph" w:styleId="939">
    <w:name w:val="正文文本缩进 2"/>
    <w:basedOn w:val="893"/>
    <w:next w:val="939"/>
    <w:link w:val="940"/>
    <w:pPr>
      <w:ind w:left="630" w:firstLine="645"/>
    </w:pPr>
    <w:rPr>
      <w:rFonts w:ascii="Arial" w:hAnsi="Arial" w:eastAsia="仿宋_GB2312" w:cs="Arial"/>
      <w:sz w:val="32"/>
      <w:szCs w:val="32"/>
    </w:rPr>
  </w:style>
  <w:style w:type="character" w:styleId="940">
    <w:name w:val="正文文本缩进 2 字符"/>
    <w:next w:val="940"/>
    <w:link w:val="939"/>
    <w:rPr>
      <w:rFonts w:ascii="Arial" w:hAnsi="Arial" w:eastAsia="仿宋_GB2312" w:cs="Arial"/>
      <w:sz w:val="32"/>
      <w:szCs w:val="32"/>
    </w:rPr>
  </w:style>
  <w:style w:type="paragraph" w:styleId="941">
    <w:name w:val="批注框文本"/>
    <w:basedOn w:val="893"/>
    <w:next w:val="941"/>
    <w:link w:val="942"/>
    <w:semiHidden/>
    <w:rPr>
      <w:sz w:val="18"/>
      <w:szCs w:val="18"/>
    </w:rPr>
  </w:style>
  <w:style w:type="character" w:styleId="942">
    <w:name w:val="批注框文本 字符"/>
    <w:next w:val="942"/>
    <w:link w:val="941"/>
    <w:semiHidden/>
    <w:rPr>
      <w:rFonts w:ascii="Times New Roman" w:hAnsi="Times New Roman" w:eastAsia="宋体" w:cs="Times New Roman"/>
      <w:sz w:val="18"/>
      <w:szCs w:val="18"/>
    </w:rPr>
  </w:style>
  <w:style w:type="paragraph" w:styleId="943">
    <w:name w:val="页脚"/>
    <w:basedOn w:val="893"/>
    <w:next w:val="943"/>
    <w:link w:val="944"/>
    <w:pPr>
      <w:jc w:val="left"/>
      <w:tabs>
        <w:tab w:val="center" w:pos="4153" w:leader="none"/>
        <w:tab w:val="right" w:pos="8306" w:leader="none"/>
      </w:tabs>
    </w:pPr>
    <w:rPr>
      <w:sz w:val="18"/>
      <w:szCs w:val="18"/>
    </w:rPr>
  </w:style>
  <w:style w:type="character" w:styleId="944">
    <w:name w:val="页脚 字符"/>
    <w:next w:val="944"/>
    <w:link w:val="943"/>
    <w:rPr>
      <w:rFonts w:ascii="Times New Roman" w:hAnsi="Times New Roman" w:eastAsia="宋体" w:cs="Times New Roman"/>
      <w:sz w:val="18"/>
      <w:szCs w:val="18"/>
    </w:rPr>
  </w:style>
  <w:style w:type="paragraph" w:styleId="945">
    <w:name w:val="页眉"/>
    <w:basedOn w:val="893"/>
    <w:next w:val="945"/>
    <w:link w:val="946"/>
    <w:pPr>
      <w:jc w:val="center"/>
      <w:tabs>
        <w:tab w:val="center" w:pos="4153" w:leader="none"/>
        <w:tab w:val="right" w:pos="8306" w:leader="none"/>
      </w:tabs>
      <w:pBdr>
        <w:bottom w:val="single" w:color="000000" w:sz="6" w:space="1"/>
      </w:pBdr>
    </w:pPr>
    <w:rPr>
      <w:sz w:val="18"/>
      <w:szCs w:val="18"/>
    </w:rPr>
  </w:style>
  <w:style w:type="character" w:styleId="946">
    <w:name w:val="页眉 字符"/>
    <w:next w:val="946"/>
    <w:link w:val="945"/>
    <w:rPr>
      <w:rFonts w:ascii="Times New Roman" w:hAnsi="Times New Roman" w:eastAsia="宋体" w:cs="Times New Roman"/>
      <w:sz w:val="18"/>
      <w:szCs w:val="18"/>
    </w:rPr>
  </w:style>
  <w:style w:type="paragraph" w:styleId="947">
    <w:name w:val="目录 1"/>
    <w:basedOn w:val="893"/>
    <w:next w:val="893"/>
    <w:link w:val="893"/>
    <w:semiHidden/>
    <w:pPr>
      <w:jc w:val="left"/>
      <w:spacing w:before="120" w:after="120" w:line="400" w:lineRule="exact"/>
      <w:tabs>
        <w:tab w:val="right" w:pos="8720" w:leader="dot"/>
      </w:tabs>
    </w:pPr>
    <w:rPr>
      <w:rFonts w:ascii="宋体" w:hAnsi="宋体"/>
      <w:caps/>
      <w:sz w:val="24"/>
      <w:szCs w:val="24"/>
    </w:rPr>
  </w:style>
  <w:style w:type="paragraph" w:styleId="948">
    <w:name w:val="目录 4"/>
    <w:basedOn w:val="893"/>
    <w:next w:val="893"/>
    <w:link w:val="893"/>
    <w:semiHidden/>
    <w:pPr>
      <w:ind w:left="630"/>
      <w:jc w:val="left"/>
    </w:pPr>
  </w:style>
  <w:style w:type="paragraph" w:styleId="949">
    <w:name w:val="列表"/>
    <w:basedOn w:val="893"/>
    <w:next w:val="949"/>
    <w:link w:val="893"/>
    <w:pPr>
      <w:ind w:left="200" w:hanging="200"/>
    </w:pPr>
  </w:style>
  <w:style w:type="paragraph" w:styleId="950">
    <w:name w:val="目录 6"/>
    <w:basedOn w:val="893"/>
    <w:next w:val="893"/>
    <w:link w:val="893"/>
    <w:semiHidden/>
    <w:pPr>
      <w:ind w:left="1050"/>
      <w:jc w:val="left"/>
    </w:pPr>
  </w:style>
  <w:style w:type="paragraph" w:styleId="951">
    <w:name w:val="正文文本缩进 3"/>
    <w:basedOn w:val="893"/>
    <w:next w:val="951"/>
    <w:link w:val="952"/>
    <w:pPr>
      <w:ind w:left="645" w:firstLine="645"/>
    </w:pPr>
    <w:rPr>
      <w:rFonts w:ascii="Arial" w:hAnsi="Arial" w:eastAsia="仿宋_GB2312" w:cs="Arial"/>
      <w:color w:val="ffff00"/>
      <w:sz w:val="32"/>
      <w:szCs w:val="32"/>
    </w:rPr>
  </w:style>
  <w:style w:type="character" w:styleId="952">
    <w:name w:val="正文文本缩进 3 字符"/>
    <w:next w:val="952"/>
    <w:link w:val="951"/>
    <w:rPr>
      <w:rFonts w:ascii="Arial" w:hAnsi="Arial" w:eastAsia="仿宋_GB2312" w:cs="Arial"/>
      <w:color w:val="ffff00"/>
      <w:sz w:val="32"/>
      <w:szCs w:val="32"/>
    </w:rPr>
  </w:style>
  <w:style w:type="paragraph" w:styleId="953">
    <w:name w:val="图表目录"/>
    <w:basedOn w:val="893"/>
    <w:next w:val="893"/>
    <w:link w:val="893"/>
    <w:semiHidden/>
    <w:pPr>
      <w:ind w:left="840" w:hanging="420"/>
    </w:pPr>
  </w:style>
  <w:style w:type="paragraph" w:styleId="954">
    <w:name w:val="目录 2"/>
    <w:basedOn w:val="893"/>
    <w:next w:val="893"/>
    <w:link w:val="893"/>
    <w:semiHidden/>
    <w:pPr>
      <w:ind w:left="210"/>
      <w:jc w:val="left"/>
    </w:pPr>
    <w:rPr>
      <w:smallCaps/>
      <w:szCs w:val="24"/>
    </w:rPr>
  </w:style>
  <w:style w:type="paragraph" w:styleId="955">
    <w:name w:val="目录 9"/>
    <w:basedOn w:val="893"/>
    <w:next w:val="893"/>
    <w:link w:val="893"/>
    <w:semiHidden/>
    <w:pPr>
      <w:ind w:left="1680"/>
      <w:jc w:val="left"/>
    </w:pPr>
  </w:style>
  <w:style w:type="paragraph" w:styleId="956">
    <w:name w:val="正文文本 2"/>
    <w:basedOn w:val="893"/>
    <w:next w:val="956"/>
    <w:link w:val="957"/>
    <w:pPr>
      <w:jc w:val="center"/>
      <w:widowControl/>
    </w:pPr>
    <w:rPr>
      <w:rFonts w:ascii="楷体_GB2312" w:eastAsia="楷体_GB2312"/>
      <w:sz w:val="28"/>
      <w:szCs w:val="28"/>
    </w:rPr>
  </w:style>
  <w:style w:type="character" w:styleId="957">
    <w:name w:val="正文文本 2 字符"/>
    <w:next w:val="957"/>
    <w:link w:val="956"/>
    <w:rPr>
      <w:rFonts w:ascii="楷体_GB2312" w:hAnsi="Times New Roman" w:eastAsia="楷体_GB2312" w:cs="Times New Roman"/>
      <w:sz w:val="28"/>
      <w:szCs w:val="28"/>
    </w:rPr>
  </w:style>
  <w:style w:type="paragraph" w:styleId="958">
    <w:name w:val="普通(网站)"/>
    <w:basedOn w:val="893"/>
    <w:next w:val="958"/>
    <w:link w:val="893"/>
    <w:uiPriority w:val="99"/>
    <w:pPr>
      <w:jc w:val="left"/>
      <w:spacing w:before="100" w:beforeAutospacing="1" w:after="100" w:afterAutospacing="1"/>
      <w:widowControl/>
    </w:pPr>
    <w:rPr>
      <w:rFonts w:ascii="宋体" w:hAnsi="宋体" w:cs="宋体"/>
      <w:sz w:val="24"/>
      <w:szCs w:val="24"/>
    </w:rPr>
  </w:style>
  <w:style w:type="paragraph" w:styleId="959">
    <w:name w:val="索引 1"/>
    <w:basedOn w:val="893"/>
    <w:next w:val="893"/>
    <w:link w:val="893"/>
    <w:semiHidden/>
    <w:pPr>
      <w:spacing w:line="240" w:lineRule="atLeast"/>
    </w:pPr>
    <w:rPr>
      <w:b/>
      <w:bCs/>
    </w:rPr>
  </w:style>
  <w:style w:type="paragraph" w:styleId="960">
    <w:name w:val="批注主题"/>
    <w:basedOn w:val="923"/>
    <w:next w:val="923"/>
    <w:link w:val="961"/>
    <w:semiHidden/>
    <w:rPr>
      <w:b/>
      <w:bCs/>
    </w:rPr>
  </w:style>
  <w:style w:type="character" w:styleId="961">
    <w:name w:val="批注主题 字符"/>
    <w:next w:val="961"/>
    <w:link w:val="960"/>
    <w:semiHidden/>
    <w:rPr>
      <w:rFonts w:ascii="Times New Roman" w:hAnsi="Times New Roman" w:eastAsia="宋体" w:cs="Times New Roman"/>
      <w:b/>
      <w:bCs/>
      <w:szCs w:val="21"/>
    </w:rPr>
  </w:style>
  <w:style w:type="paragraph" w:styleId="962">
    <w:name w:val="正文首行缩进"/>
    <w:basedOn w:val="893"/>
    <w:next w:val="962"/>
    <w:link w:val="963"/>
    <w:pPr>
      <w:ind w:firstLine="200"/>
      <w:spacing w:line="360" w:lineRule="auto"/>
    </w:pPr>
    <w:rPr>
      <w:rFonts w:ascii="仿宋_GB2312" w:eastAsia="仿宋_GB2312"/>
      <w:sz w:val="30"/>
      <w:szCs w:val="30"/>
    </w:rPr>
  </w:style>
  <w:style w:type="character" w:styleId="963">
    <w:name w:val="正文文本首行缩进 字符"/>
    <w:next w:val="963"/>
    <w:link w:val="962"/>
    <w:rPr>
      <w:rFonts w:ascii="仿宋_GB2312" w:hAnsi="Times New Roman" w:eastAsia="仿宋_GB2312" w:cs="Times New Roman"/>
      <w:sz w:val="30"/>
      <w:szCs w:val="30"/>
    </w:rPr>
  </w:style>
  <w:style w:type="paragraph" w:styleId="964">
    <w:name w:val="正文首行缩进 2"/>
    <w:basedOn w:val="929"/>
    <w:next w:val="964"/>
    <w:link w:val="965"/>
    <w:pPr>
      <w:ind w:firstLine="420"/>
      <w:spacing w:line="360" w:lineRule="auto"/>
    </w:pPr>
    <w:rPr>
      <w:rFonts w:ascii="宋体" w:hAnsi="宋体" w:eastAsia="宋体"/>
      <w:sz w:val="21"/>
      <w:szCs w:val="20"/>
    </w:rPr>
  </w:style>
  <w:style w:type="character" w:styleId="965">
    <w:name w:val="正文文本首行缩进 2 字符"/>
    <w:next w:val="965"/>
    <w:link w:val="964"/>
    <w:rPr>
      <w:rFonts w:ascii="宋体" w:hAnsi="宋体" w:eastAsia="宋体" w:cs="Times New Roman"/>
      <w:sz w:val="32"/>
      <w:szCs w:val="20"/>
    </w:rPr>
  </w:style>
  <w:style w:type="table" w:styleId="966">
    <w:name w:val="网格型"/>
    <w:basedOn w:val="904"/>
    <w:next w:val="966"/>
    <w:link w:val="893"/>
    <w:pPr>
      <w:jc w:val="both"/>
      <w:widowControl w:val="off"/>
    </w:pPr>
    <w:rPr>
      <w:rFonts w:ascii="Times New Roman" w:hAnsi="Times New Roman" w:eastAsia="宋体" w:cs="Times New Roman"/>
      <w:sz w:val="20"/>
      <w:szCs w:val="20"/>
    </w:rPr>
    <w:tblPr/>
  </w:style>
  <w:style w:type="character" w:styleId="967">
    <w:name w:val="要点"/>
    <w:next w:val="967"/>
    <w:link w:val="893"/>
    <w:qFormat/>
    <w:rPr>
      <w:b/>
      <w:bCs/>
    </w:rPr>
  </w:style>
  <w:style w:type="character" w:styleId="968">
    <w:name w:val="页码"/>
    <w:next w:val="968"/>
    <w:link w:val="893"/>
  </w:style>
  <w:style w:type="character" w:styleId="969">
    <w:name w:val="已访问的超链接"/>
    <w:next w:val="969"/>
    <w:link w:val="893"/>
    <w:rPr>
      <w:color w:val="800080"/>
      <w:u w:val="single"/>
    </w:rPr>
  </w:style>
  <w:style w:type="character" w:styleId="970">
    <w:name w:val="超链接"/>
    <w:next w:val="970"/>
    <w:link w:val="893"/>
    <w:rPr>
      <w:color w:val="0000ff"/>
      <w:u w:val="single"/>
    </w:rPr>
  </w:style>
  <w:style w:type="character" w:styleId="971">
    <w:name w:val="批注引用"/>
    <w:next w:val="971"/>
    <w:link w:val="893"/>
    <w:semiHidden/>
    <w:rPr>
      <w:sz w:val="21"/>
      <w:szCs w:val="21"/>
    </w:rPr>
  </w:style>
  <w:style w:type="character" w:styleId="972">
    <w:name w:val="页码1"/>
    <w:next w:val="972"/>
    <w:link w:val="893"/>
    <w:qFormat/>
    <w:rPr>
      <w:rFonts w:ascii="Times New Roman" w:hAnsi="Times New Roman"/>
      <w:sz w:val="21"/>
      <w:szCs w:val="21"/>
      <w:lang w:val="en-US" w:eastAsia="zh-CN" w:bidi="ar-SA"/>
    </w:rPr>
  </w:style>
  <w:style w:type="paragraph" w:styleId="973">
    <w:name w:val="正文空2字"/>
    <w:basedOn w:val="974"/>
    <w:next w:val="973"/>
    <w:link w:val="893"/>
    <w:uiPriority w:val="99"/>
    <w:qFormat/>
    <w:pPr>
      <w:ind w:firstLine="640"/>
      <w:spacing w:line="560" w:lineRule="exact"/>
      <w:widowControl w:val="off"/>
    </w:pPr>
    <w:rPr>
      <w:rFonts w:ascii="仿宋_GB2312" w:hAnsi="仿宋_GB2312" w:cs="仿宋_GB2312"/>
      <w:lang w:val="zh-TW"/>
    </w:rPr>
  </w:style>
  <w:style w:type="paragraph" w:styleId="974">
    <w:name w:val="左对齐正文"/>
    <w:next w:val="974"/>
    <w:link w:val="893"/>
    <w:uiPriority w:val="99"/>
    <w:qFormat/>
    <w:rPr>
      <w:rFonts w:ascii="Calibri" w:hAnsi="Calibri" w:eastAsia="仿宋_GB2312" w:cs="Calibri"/>
      <w:sz w:val="32"/>
      <w:szCs w:val="32"/>
      <w:lang w:val="en-US" w:eastAsia="zh-CN" w:bidi="ar-SA"/>
    </w:rPr>
  </w:style>
  <w:style w:type="paragraph" w:styleId="975">
    <w:name w:val="索引 41"/>
    <w:basedOn w:val="893"/>
    <w:next w:val="893"/>
    <w:link w:val="893"/>
    <w:semiHidden/>
    <w:qFormat/>
    <w:pPr>
      <w:ind w:left="1260"/>
    </w:pPr>
    <w:rPr>
      <w:rFonts w:ascii="Calibri" w:hAnsi="Calibri" w:eastAsia="Calibri" w:cs="宋体"/>
      <w:sz w:val="20"/>
      <w:lang w:val="zh-CN"/>
    </w:rPr>
  </w:style>
  <w:style w:type="character" w:styleId="976">
    <w:name w:val="font5 Char"/>
    <w:next w:val="976"/>
    <w:link w:val="893"/>
    <w:rPr>
      <w:rFonts w:ascii="宋体" w:hAnsi="宋体" w:eastAsia="宋体"/>
      <w:sz w:val="28"/>
      <w:szCs w:val="28"/>
      <w:lang w:val="en-US" w:eastAsia="zh-CN" w:bidi="ar-SA"/>
    </w:rPr>
  </w:style>
  <w:style w:type="character" w:styleId="977">
    <w:name w:val="二级目录 Char"/>
    <w:next w:val="977"/>
    <w:link w:val="978"/>
    <w:rPr>
      <w:b/>
      <w:sz w:val="30"/>
      <w:szCs w:val="28"/>
    </w:rPr>
  </w:style>
  <w:style w:type="paragraph" w:styleId="978">
    <w:name w:val="二级目录"/>
    <w:next w:val="893"/>
    <w:link w:val="977"/>
    <w:pPr>
      <w:numPr>
        <w:ilvl w:val="0"/>
        <w:numId w:val="2"/>
      </w:numPr>
      <w:tabs>
        <w:tab w:val="left" w:pos="907" w:leader="none"/>
        <w:tab w:val="left" w:pos="1145" w:leader="none"/>
      </w:tabs>
      <w:outlineLvl w:val="1"/>
    </w:pPr>
    <w:rPr>
      <w:b/>
      <w:sz w:val="30"/>
      <w:szCs w:val="28"/>
      <w:lang w:val="en-US" w:eastAsia="zh-CN" w:bidi="ar-SA"/>
    </w:rPr>
  </w:style>
  <w:style w:type="character" w:styleId="979">
    <w:name w:val="列出段落 Char,Bullet List Char,numbered Char,FooterText Char,List Paragraph1 Char,Paragraphe de liste1 Char"/>
    <w:next w:val="979"/>
    <w:link w:val="980"/>
    <w:rPr>
      <w:rFonts w:ascii="Calibri" w:hAnsi="Calibri"/>
      <w:sz w:val="24"/>
      <w:szCs w:val="24"/>
      <w:lang w:eastAsia="en-US" w:bidi="en-US"/>
    </w:rPr>
  </w:style>
  <w:style w:type="paragraph" w:styleId="980">
    <w:name w:val="列出段落1"/>
    <w:basedOn w:val="893"/>
    <w:next w:val="980"/>
    <w:link w:val="979"/>
    <w:qFormat/>
    <w:pPr>
      <w:contextualSpacing/>
      <w:ind w:left="720"/>
      <w:jc w:val="left"/>
      <w:widowControl/>
    </w:pPr>
    <w:rPr>
      <w:rFonts w:ascii="Calibri" w:hAnsi="Calibri" w:eastAsia="宋体" w:cs="Times New Roman"/>
      <w:sz w:val="24"/>
      <w:szCs w:val="24"/>
      <w:lang w:eastAsia="en-US" w:bidi="en-US"/>
    </w:rPr>
  </w:style>
  <w:style w:type="paragraph" w:styleId="981">
    <w:name w:val="Body Text(ch)"/>
    <w:basedOn w:val="893"/>
    <w:next w:val="927"/>
    <w:link w:val="893"/>
    <w:pPr>
      <w:spacing w:after="120"/>
    </w:pPr>
    <w:rPr>
      <w:rFonts w:ascii="宋体" w:hAnsi="Arial"/>
      <w:bCs/>
      <w:iCs/>
      <w:szCs w:val="24"/>
    </w:rPr>
  </w:style>
  <w:style w:type="paragraph" w:styleId="982">
    <w:name w:val="xl27"/>
    <w:basedOn w:val="893"/>
    <w:next w:val="982"/>
    <w:link w:val="8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name w:val="xl26"/>
    <w:basedOn w:val="893"/>
    <w:next w:val="983"/>
    <w:link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4">
    <w:name w:val="Char"/>
    <w:basedOn w:val="893"/>
    <w:next w:val="984"/>
    <w:link w:val="893"/>
    <w:pPr>
      <w:ind w:firstLine="200"/>
      <w:tabs>
        <w:tab w:val="left" w:pos="360" w:leader="none"/>
      </w:tabs>
    </w:pPr>
    <w:rPr>
      <w:sz w:val="28"/>
      <w:szCs w:val="30"/>
    </w:rPr>
  </w:style>
  <w:style w:type="paragraph" w:styleId="985">
    <w:name w:val=" Char"/>
    <w:basedOn w:val="920"/>
    <w:next w:val="985"/>
    <w:link w:val="893"/>
    <w:rPr>
      <w:rFonts w:ascii="Tahoma" w:hAnsi="Tahoma"/>
      <w:sz w:val="24"/>
      <w:szCs w:val="24"/>
    </w:rPr>
  </w:style>
  <w:style w:type="paragraph" w:styleId="986">
    <w:name w:val="普通正文"/>
    <w:basedOn w:val="893"/>
    <w:next w:val="986"/>
    <w:link w:val="893"/>
    <w:pPr>
      <w:ind w:firstLine="480"/>
      <w:jc w:val="left"/>
      <w:spacing w:before="120" w:after="120" w:line="360" w:lineRule="auto"/>
    </w:pPr>
    <w:rPr>
      <w:rFonts w:ascii="Arial" w:hAnsi="Arial"/>
      <w:sz w:val="24"/>
      <w:szCs w:val="24"/>
    </w:rPr>
  </w:style>
  <w:style w:type="paragraph" w:styleId="987">
    <w:name w:val="table_lines"/>
    <w:basedOn w:val="893"/>
    <w:next w:val="987"/>
    <w:link w:val="893"/>
    <w:pPr>
      <w:jc w:val="left"/>
      <w:widowControl/>
    </w:pPr>
    <w:rPr>
      <w:sz w:val="20"/>
      <w:szCs w:val="20"/>
      <w:lang w:val="de-DE" w:eastAsia="de-DE"/>
    </w:rPr>
  </w:style>
  <w:style w:type="paragraph" w:styleId="988">
    <w:name w:val="附录1"/>
    <w:next w:val="988"/>
    <w:link w:val="893"/>
    <w:pPr>
      <w:numPr>
        <w:ilvl w:val="0"/>
        <w:numId w:val="2"/>
      </w:numPr>
      <w:spacing w:before="240" w:line="600" w:lineRule="atLeast"/>
      <w:tabs>
        <w:tab w:val="left" w:pos="907" w:leader="none"/>
      </w:tabs>
    </w:pPr>
    <w:rPr>
      <w:b/>
      <w:i/>
      <w:sz w:val="28"/>
      <w:lang w:val="en-US" w:eastAsia="zh-CN" w:bidi="ar-SA"/>
    </w:rPr>
  </w:style>
  <w:style w:type="paragraph" w:styleId="989">
    <w:name w:val="font7"/>
    <w:basedOn w:val="893"/>
    <w:next w:val="989"/>
    <w:link w:val="893"/>
    <w:pPr>
      <w:jc w:val="left"/>
      <w:spacing w:before="100" w:beforeAutospacing="1" w:after="100" w:afterAutospacing="1"/>
      <w:widowControl/>
    </w:pPr>
    <w:rPr>
      <w:rFonts w:hint="eastAsia" w:ascii="宋体" w:hAnsi="宋体"/>
      <w:sz w:val="18"/>
      <w:szCs w:val="18"/>
    </w:rPr>
  </w:style>
  <w:style w:type="paragraph" w:styleId="990">
    <w:name w:val=" Char Char Char Char"/>
    <w:basedOn w:val="920"/>
    <w:next w:val="990"/>
    <w:link w:val="893"/>
    <w:pPr>
      <w:spacing w:line="360" w:lineRule="auto"/>
    </w:pPr>
    <w:rPr>
      <w:rFonts w:ascii="Tahoma" w:hAnsi="Tahoma"/>
      <w:sz w:val="24"/>
      <w:szCs w:val="24"/>
    </w:rPr>
  </w:style>
  <w:style w:type="paragraph" w:styleId="991">
    <w:name w:val="列表段落"/>
    <w:basedOn w:val="893"/>
    <w:next w:val="991"/>
    <w:link w:val="893"/>
    <w:qFormat/>
    <w:pPr>
      <w:contextualSpacing/>
      <w:ind w:left="720"/>
      <w:jc w:val="left"/>
      <w:widowControl/>
    </w:pPr>
    <w:rPr>
      <w:rFonts w:ascii="Calibri" w:hAnsi="Calibri"/>
      <w:sz w:val="24"/>
      <w:szCs w:val="24"/>
      <w:lang w:eastAsia="en-US" w:bidi="en-US"/>
    </w:rPr>
  </w:style>
  <w:style w:type="paragraph" w:styleId="992">
    <w:name w:val="4"/>
    <w:basedOn w:val="893"/>
    <w:next w:val="951"/>
    <w:link w:val="893"/>
    <w:pPr>
      <w:ind w:firstLine="420"/>
      <w:spacing w:line="360" w:lineRule="auto"/>
    </w:pPr>
    <w:rPr>
      <w:color w:val="ff0000"/>
      <w:sz w:val="24"/>
      <w:szCs w:val="24"/>
    </w:rPr>
  </w:style>
  <w:style w:type="paragraph" w:styleId="993">
    <w:name w:val="普通 (Web)"/>
    <w:basedOn w:val="893"/>
    <w:next w:val="993"/>
    <w:link w:val="893"/>
    <w:pPr>
      <w:jc w:val="left"/>
      <w:spacing w:before="100" w:beforeAutospacing="1" w:after="100" w:afterAutospacing="1"/>
      <w:widowControl/>
    </w:pPr>
    <w:rPr>
      <w:rFonts w:ascii="宋体" w:hAnsi="宋体"/>
      <w:sz w:val="24"/>
      <w:szCs w:val="24"/>
    </w:rPr>
  </w:style>
  <w:style w:type="paragraph" w:styleId="994">
    <w:name w:val=" Char Char Char Char Char Char Char Char Char Char"/>
    <w:basedOn w:val="893"/>
    <w:next w:val="994"/>
    <w:link w:val="893"/>
    <w:pPr>
      <w:spacing w:line="360" w:lineRule="auto"/>
    </w:pPr>
    <w:rPr>
      <w:sz w:val="24"/>
      <w:szCs w:val="20"/>
    </w:rPr>
  </w:style>
  <w:style w:type="paragraph" w:styleId="995">
    <w:name w:val="样式1"/>
    <w:basedOn w:val="893"/>
    <w:next w:val="995"/>
    <w:link w:val="893"/>
    <w:pPr>
      <w:numPr>
        <w:ilvl w:val="0"/>
        <w:numId w:val="3"/>
      </w:numPr>
      <w:tabs>
        <w:tab w:val="left" w:pos="709" w:leader="none"/>
      </w:tabs>
    </w:pPr>
    <w:rPr>
      <w:rFonts w:ascii="宋体" w:hAnsi="宋体"/>
    </w:rPr>
  </w:style>
  <w:style w:type="paragraph" w:styleId="996">
    <w:name w:val="font6"/>
    <w:basedOn w:val="893"/>
    <w:next w:val="996"/>
    <w:link w:val="893"/>
    <w:pPr>
      <w:jc w:val="left"/>
      <w:spacing w:before="100" w:beforeAutospacing="1" w:after="100" w:afterAutospacing="1"/>
      <w:widowControl/>
    </w:pPr>
    <w:rPr>
      <w:rFonts w:hint="eastAsia" w:ascii="宋体" w:hAnsi="宋体"/>
      <w:sz w:val="28"/>
      <w:szCs w:val="28"/>
      <w:u w:val="single"/>
    </w:rPr>
  </w:style>
  <w:style w:type="paragraph" w:styleId="997">
    <w:name w:val="xl25"/>
    <w:basedOn w:val="893"/>
    <w:next w:val="997"/>
    <w:link w:val="89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8">
    <w:name w:val="图标"/>
    <w:basedOn w:val="893"/>
    <w:next w:val="893"/>
    <w:link w:val="89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9">
    <w:name w:val="标题3"/>
    <w:basedOn w:val="893"/>
    <w:next w:val="893"/>
    <w:link w:val="893"/>
    <w:pPr>
      <w:ind w:firstLine="624"/>
      <w:spacing w:line="590" w:lineRule="atLeast"/>
    </w:pPr>
    <w:rPr>
      <w:rFonts w:ascii="方正黑体_GBK" w:eastAsia="方正黑体_GBK"/>
      <w:sz w:val="32"/>
      <w:szCs w:val="32"/>
    </w:rPr>
  </w:style>
  <w:style w:type="paragraph" w:styleId="1000">
    <w:name w:val="xl24"/>
    <w:basedOn w:val="893"/>
    <w:next w:val="1000"/>
    <w:link w:val="8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1">
    <w:name w:val="xl29"/>
    <w:basedOn w:val="893"/>
    <w:next w:val="1001"/>
    <w:link w:val="89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2">
    <w:name w:val="Char Char Char Char Char Char Char Char"/>
    <w:basedOn w:val="893"/>
    <w:next w:val="1002"/>
    <w:link w:val="893"/>
    <w:pPr>
      <w:jc w:val="left"/>
      <w:spacing w:after="160" w:line="240" w:lineRule="exact"/>
      <w:widowControl/>
    </w:pPr>
    <w:rPr>
      <w:rFonts w:ascii="Verdana" w:hAnsi="Verdana"/>
      <w:sz w:val="20"/>
      <w:szCs w:val="20"/>
      <w:lang w:eastAsia="en-US"/>
    </w:rPr>
  </w:style>
  <w:style w:type="paragraph" w:styleId="1003">
    <w:name w:val="xl28"/>
    <w:basedOn w:val="893"/>
    <w:next w:val="1003"/>
    <w:link w:val="89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4">
    <w:name w:val=" Char Char Char Char Char Char Char Char"/>
    <w:basedOn w:val="893"/>
    <w:next w:val="1004"/>
    <w:link w:val="893"/>
    <w:pPr>
      <w:jc w:val="left"/>
      <w:spacing w:after="160" w:line="240" w:lineRule="exact"/>
      <w:widowControl/>
    </w:pPr>
    <w:rPr>
      <w:rFonts w:ascii="Verdana" w:hAnsi="Verdana"/>
      <w:sz w:val="20"/>
      <w:szCs w:val="20"/>
      <w:lang w:eastAsia="en-US"/>
    </w:rPr>
  </w:style>
  <w:style w:type="paragraph" w:styleId="1005">
    <w:name w:val="xl30"/>
    <w:basedOn w:val="893"/>
    <w:next w:val="1005"/>
    <w:link w:val="893"/>
    <w:pPr>
      <w:jc w:val="center"/>
      <w:spacing w:before="100" w:beforeAutospacing="1" w:after="100" w:afterAutospacing="1"/>
      <w:widowControl/>
    </w:pPr>
    <w:rPr>
      <w:rFonts w:ascii="宋体" w:hAnsi="宋体"/>
      <w:b/>
      <w:bCs/>
      <w:sz w:val="36"/>
      <w:szCs w:val="36"/>
    </w:rPr>
  </w:style>
  <w:style w:type="paragraph" w:styleId="1006">
    <w:name w:val="Char Char Char Char"/>
    <w:basedOn w:val="920"/>
    <w:next w:val="1006"/>
    <w:link w:val="893"/>
    <w:pPr>
      <w:spacing w:line="360" w:lineRule="auto"/>
    </w:pPr>
    <w:rPr>
      <w:rFonts w:ascii="Tahoma" w:hAnsi="Tahoma"/>
      <w:sz w:val="24"/>
      <w:szCs w:val="24"/>
    </w:rPr>
  </w:style>
  <w:style w:type="paragraph" w:styleId="1007">
    <w:name w:val="table_1stline"/>
    <w:basedOn w:val="893"/>
    <w:next w:val="1007"/>
    <w:link w:val="893"/>
    <w:pPr>
      <w:jc w:val="left"/>
      <w:spacing w:before="120"/>
      <w:widowControl/>
    </w:pPr>
    <w:rPr>
      <w:bCs/>
      <w:sz w:val="20"/>
      <w:szCs w:val="20"/>
      <w:lang w:val="de-DE" w:eastAsia="de-DE"/>
    </w:rPr>
  </w:style>
  <w:style w:type="paragraph" w:styleId="1008">
    <w:name w:val="font5"/>
    <w:basedOn w:val="893"/>
    <w:next w:val="1008"/>
    <w:link w:val="893"/>
    <w:pPr>
      <w:jc w:val="left"/>
      <w:spacing w:before="100" w:beforeAutospacing="1" w:after="100" w:afterAutospacing="1"/>
      <w:widowControl/>
    </w:pPr>
    <w:rPr>
      <w:rFonts w:hint="eastAsia" w:ascii="宋体" w:hAnsi="宋体"/>
      <w:sz w:val="28"/>
      <w:szCs w:val="28"/>
    </w:rPr>
  </w:style>
  <w:style w:type="paragraph" w:styleId="1009">
    <w:name w:val="标题1"/>
    <w:basedOn w:val="893"/>
    <w:next w:val="893"/>
    <w:link w:val="893"/>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0">
    <w:name w:val="修订"/>
    <w:next w:val="1010"/>
    <w:link w:val="893"/>
    <w:uiPriority w:val="99"/>
    <w:semiHidden/>
    <w:rPr>
      <w:sz w:val="21"/>
      <w:szCs w:val="21"/>
      <w:lang w:val="en-US" w:eastAsia="zh-CN" w:bidi="ar-SA"/>
    </w:rPr>
  </w:style>
  <w:style w:type="paragraph" w:styleId="1011">
    <w:name w:val="无间隔"/>
    <w:next w:val="1011"/>
    <w:link w:val="893"/>
    <w:uiPriority w:val="99"/>
    <w:qFormat/>
    <w:pPr>
      <w:jc w:val="both"/>
      <w:widowControl w:val="off"/>
    </w:pPr>
    <w:rPr>
      <w:sz w:val="21"/>
      <w:szCs w:val="21"/>
      <w:lang w:val="en-US" w:eastAsia="zh-CN" w:bidi="ar-SA"/>
    </w:rPr>
  </w:style>
  <w:style w:type="table" w:styleId="1012">
    <w:name w:val="Table Normal"/>
    <w:next w:val="1012"/>
    <w:link w:val="893"/>
    <w:qFormat/>
    <w:rPr>
      <w:lang w:val="en-US" w:eastAsia="zh-CN" w:bidi="ar-SA"/>
    </w:rPr>
    <w:tblPr/>
  </w:style>
  <w:style w:type="paragraph" w:styleId="1013">
    <w:name w:val="Normal_5_0"/>
    <w:next w:val="1013"/>
    <w:link w:val="893"/>
    <w:qFormat/>
    <w:pPr>
      <w:jc w:val="both"/>
      <w:widowControl w:val="off"/>
    </w:pPr>
    <w:rPr>
      <w:rFonts w:ascii="Calibri" w:hAnsi="Calibri"/>
      <w:sz w:val="21"/>
      <w:szCs w:val="22"/>
      <w:lang w:val="en-US" w:eastAsia="zh-CN" w:bidi="ar-SA"/>
    </w:rPr>
  </w:style>
  <w:style w:type="paragraph" w:styleId="1014">
    <w:name w:val="Normal_6_0"/>
    <w:next w:val="1014"/>
    <w:link w:val="893"/>
    <w:qFormat/>
    <w:rPr>
      <w:rFonts w:ascii="黑体" w:hAnsi="黑体" w:eastAsia="黑体" w:cs="黑体"/>
      <w:b/>
      <w:sz w:val="32"/>
      <w:szCs w:val="24"/>
      <w:lang w:val="en-US" w:eastAsia="zh-CN" w:bidi="ar-SA"/>
    </w:rPr>
  </w:style>
  <w:style w:type="paragraph" w:styleId="1015">
    <w:name w:val="Normal_1_2"/>
    <w:next w:val="1015"/>
    <w:link w:val="893"/>
    <w:qFormat/>
    <w:rPr>
      <w:rFonts w:eastAsia="Times New Roman"/>
      <w:sz w:val="24"/>
      <w:szCs w:val="24"/>
      <w:lang w:val="en-US" w:eastAsia="zh-CN" w:bidi="ar-SA"/>
    </w:rPr>
  </w:style>
  <w:style w:type="paragraph" w:styleId="1016">
    <w:name w:val="正文文本12"/>
    <w:basedOn w:val="893"/>
    <w:next w:val="1016"/>
    <w:link w:val="893"/>
    <w:uiPriority w:val="1"/>
    <w:qFormat/>
    <w:pPr>
      <w:ind w:left="120"/>
    </w:pPr>
    <w:rPr>
      <w:rFonts w:ascii="宋体" w:hAnsi="宋体" w:eastAsia="宋体" w:cs="宋体"/>
      <w:sz w:val="21"/>
      <w:szCs w:val="21"/>
      <w:lang w:val="zh-CN" w:eastAsia="zh-CN" w:bidi="zh-CN"/>
    </w:rPr>
  </w:style>
  <w:style w:type="paragraph" w:styleId="1017">
    <w:name w:val="正文2"/>
    <w:basedOn w:val="893"/>
    <w:next w:val="1017"/>
    <w:link w:val="893"/>
    <w:qFormat/>
    <w:pPr>
      <w:ind w:firstLine="510"/>
      <w:spacing w:before="156" w:line="360" w:lineRule="auto"/>
    </w:pPr>
    <w:rPr>
      <w:sz w:val="24"/>
      <w:szCs w:val="20"/>
    </w:rPr>
  </w:style>
  <w:style w:type="paragraph" w:styleId="1018">
    <w:name w:val="首行缩进"/>
    <w:basedOn w:val="893"/>
    <w:next w:val="1018"/>
    <w:link w:val="893"/>
    <w:qFormat/>
    <w:pPr>
      <w:ind w:firstLine="480"/>
    </w:pPr>
    <w:rPr>
      <w:rFonts w:ascii="Times New Roman" w:hAnsi="Times New Roman" w:cs="Times New Roman"/>
      <w:lang w:val="zh-CN"/>
    </w:rPr>
  </w:style>
  <w:style w:type="paragraph" w:styleId="1019">
    <w:name w:val="Normal_18_0"/>
    <w:next w:val="1019"/>
    <w:link w:val="893"/>
    <w:qFormat/>
    <w:rPr>
      <w:rFonts w:ascii="黑体" w:hAnsi="黑体" w:eastAsia="黑体" w:cs="黑体"/>
      <w:b/>
      <w:sz w:val="32"/>
      <w:szCs w:val="24"/>
      <w:lang w:val="en-US" w:eastAsia="zh-CN" w:bidi="ar-SA"/>
    </w:rPr>
  </w:style>
  <w:style w:type="paragraph" w:styleId="1020">
    <w:name w:val="正文_12_0_0_0_0"/>
    <w:basedOn w:val="893"/>
    <w:next w:val="1020"/>
    <w:link w:val="893"/>
    <w:qFormat/>
    <w:rPr>
      <w:rFonts w:ascii="Times New Roman" w:hAnsi="Times New Roman"/>
      <w:szCs w:val="24"/>
    </w:rPr>
  </w:style>
  <w:style w:type="paragraph" w:styleId="1021">
    <w:name w:val="正文_12_0_0_0"/>
    <w:next w:val="1021"/>
    <w:link w:val="893"/>
    <w:qFormat/>
    <w:pPr>
      <w:jc w:val="both"/>
      <w:widowControl w:val="off"/>
    </w:pPr>
    <w:rPr>
      <w:sz w:val="21"/>
      <w:szCs w:val="24"/>
      <w:lang w:val="en-US" w:eastAsia="zh-CN" w:bidi="ar-SA"/>
    </w:rPr>
  </w:style>
  <w:style w:type="paragraph" w:styleId="1022">
    <w:name w:val="正文_14_0"/>
    <w:next w:val="1022"/>
    <w:link w:val="893"/>
    <w:qFormat/>
    <w:pPr>
      <w:jc w:val="both"/>
      <w:widowControl w:val="off"/>
    </w:pPr>
    <w:rPr>
      <w:rFonts w:ascii="Calibri" w:hAnsi="Calibri"/>
      <w:sz w:val="21"/>
      <w:szCs w:val="22"/>
      <w:lang w:val="en-US" w:eastAsia="zh-CN" w:bidi="ar-SA"/>
    </w:rPr>
  </w:style>
  <w:style w:type="paragraph" w:styleId="1023">
    <w:name w:val="正文_14_0_0"/>
    <w:next w:val="1023"/>
    <w:link w:val="893"/>
    <w:qFormat/>
    <w:pPr>
      <w:jc w:val="both"/>
      <w:widowControl w:val="off"/>
    </w:pPr>
    <w:rPr>
      <w:sz w:val="21"/>
      <w:szCs w:val="24"/>
      <w:lang w:val="en-US" w:eastAsia="zh-CN" w:bidi="ar-SA"/>
    </w:rPr>
  </w:style>
  <w:style w:type="paragraph" w:styleId="1024">
    <w:name w:val="Normal_20"/>
    <w:next w:val="1024"/>
    <w:link w:val="893"/>
    <w:qFormat/>
    <w:rPr>
      <w:rFonts w:ascii="黑体" w:hAnsi="黑体" w:eastAsia="黑体" w:cs="黑体"/>
      <w:b/>
      <w:sz w:val="32"/>
      <w:szCs w:val="24"/>
      <w:lang w:val="en-US" w:eastAsia="zh-CN" w:bidi="ar-SA"/>
    </w:rPr>
  </w:style>
  <w:style w:type="paragraph" w:styleId="1025">
    <w:name w:val="正文_15_0"/>
    <w:next w:val="1025"/>
    <w:link w:val="893"/>
    <w:qFormat/>
    <w:pPr>
      <w:jc w:val="both"/>
      <w:widowControl w:val="off"/>
    </w:pPr>
    <w:rPr>
      <w:rFonts w:ascii="Calibri" w:hAnsi="Calibri"/>
      <w:sz w:val="21"/>
      <w:szCs w:val="22"/>
      <w:lang w:val="en-US" w:eastAsia="zh-CN" w:bidi="ar-SA"/>
    </w:rPr>
  </w:style>
  <w:style w:type="paragraph" w:styleId="1026">
    <w:name w:val="Normal_0"/>
    <w:next w:val="1026"/>
    <w:link w:val="893"/>
    <w:qFormat/>
    <w:rPr>
      <w:rFonts w:ascii="黑体" w:hAnsi="黑体" w:eastAsia="黑体"/>
      <w:b/>
      <w:sz w:val="32"/>
      <w:szCs w:val="24"/>
      <w:lang w:val="en-US" w:eastAsia="zh-CN" w:bidi="ar-SA"/>
    </w:rPr>
  </w:style>
  <w:style w:type="paragraph" w:styleId="1027">
    <w:name w:val="部分1"/>
    <w:basedOn w:val="893"/>
    <w:next w:val="1027"/>
    <w:link w:val="893"/>
    <w:qFormat/>
    <w:pPr>
      <w:jc w:val="center"/>
      <w:keepNext/>
      <w:pageBreakBefore/>
      <w:spacing w:line="360" w:lineRule="auto"/>
      <w:tabs>
        <w:tab w:val="left" w:pos="720" w:leader="none"/>
      </w:tabs>
      <w:outlineLvl w:val="0"/>
    </w:pPr>
    <w:rPr>
      <w:rFonts w:eastAsia="黑体"/>
      <w:b/>
      <w:sz w:val="36"/>
      <w:szCs w:val="20"/>
    </w:rPr>
  </w:style>
  <w:style w:type="paragraph" w:styleId="1028">
    <w:name w:val="Default"/>
    <w:next w:val="1028"/>
    <w:link w:val="893"/>
    <w:qFormat/>
    <w:pPr>
      <w:widowControl w:val="off"/>
    </w:pPr>
    <w:rPr>
      <w:rFonts w:ascii="宋体" w:cs="宋体"/>
      <w:color w:val="000000"/>
      <w:sz w:val="24"/>
      <w:szCs w:val="24"/>
      <w:lang w:val="en-US" w:eastAsia="zh-CN" w:bidi="ar-SA"/>
    </w:rPr>
  </w:style>
  <w:style w:type="paragraph" w:styleId="1029">
    <w:name w:val="正文1_0"/>
    <w:next w:val="1029"/>
    <w:link w:val="893"/>
    <w:qFormat/>
    <w:pPr>
      <w:jc w:val="both"/>
      <w:widowControl w:val="off"/>
    </w:pPr>
    <w:rPr>
      <w:szCs w:val="24"/>
      <w:lang w:val="en-US" w:eastAsia="zh-CN" w:bidi="ar-SA"/>
    </w:rPr>
  </w:style>
  <w:style w:type="paragraph" w:styleId="1030">
    <w:name w:val="WPSOffice手动目录 1"/>
    <w:next w:val="1030"/>
    <w:link w:val="893"/>
    <w:rPr>
      <w:lang w:val="en-US" w:eastAsia="zh-CN" w:bidi="ar-SA"/>
    </w:rPr>
  </w:style>
  <w:style w:type="paragraph" w:styleId="1031">
    <w:name w:val="WPSOffice手动目录 2"/>
    <w:next w:val="1031"/>
    <w:link w:val="893"/>
    <w:rPr>
      <w:lang w:val="en-US" w:eastAsia="zh-CN" w:bidi="ar-SA"/>
    </w:rPr>
  </w:style>
  <w:style w:type="character" w:styleId="1032">
    <w:name w:val="font11"/>
    <w:next w:val="1032"/>
    <w:link w:val="893"/>
    <w:qFormat/>
    <w:rPr>
      <w:rFonts w:hint="eastAsia" w:ascii="宋体" w:hAnsi="宋体" w:eastAsia="宋体" w:cs="宋体"/>
      <w:color w:val="000000"/>
      <w:sz w:val="18"/>
      <w:szCs w:val="18"/>
      <w:u w:val="none"/>
    </w:rPr>
  </w:style>
  <w:style w:type="character" w:styleId="1033">
    <w:name w:val="font41"/>
    <w:next w:val="1033"/>
    <w:link w:val="893"/>
    <w:qFormat/>
    <w:rPr>
      <w:rFonts w:ascii="等线" w:hAnsi="等线" w:eastAsia="等线" w:cs="等线"/>
      <w:color w:val="000000"/>
      <w:sz w:val="18"/>
      <w:szCs w:val="18"/>
      <w:u w:val="none"/>
    </w:rPr>
  </w:style>
  <w:style w:type="character" w:styleId="1034">
    <w:name w:val="font31"/>
    <w:next w:val="1034"/>
    <w:link w:val="893"/>
    <w:unhideWhenUsed/>
    <w:qFormat/>
    <w:rPr>
      <w:rFonts w:ascii="Arial" w:hAnsi="Arial" w:eastAsia="宋体" w:cs="Arial"/>
      <w:color w:val="000000"/>
      <w:sz w:val="24"/>
      <w:szCs w:val="24"/>
    </w:rPr>
  </w:style>
  <w:style w:type="paragraph" w:styleId="1035">
    <w:name w:val="页眉1"/>
    <w:basedOn w:val="893"/>
    <w:next w:val="1035"/>
    <w:link w:val="893"/>
    <w:qFormat/>
    <w:pPr>
      <w:jc w:val="center"/>
      <w:tabs>
        <w:tab w:val="center" w:pos="4153" w:leader="none"/>
        <w:tab w:val="right" w:pos="8306" w:leader="none"/>
      </w:tabs>
      <w:pBdr>
        <w:bottom w:val="single" w:color="000000" w:sz="6" w:space="1"/>
      </w:pBdr>
    </w:pPr>
    <w:rPr>
      <w:sz w:val="18"/>
      <w:szCs w:val="18"/>
    </w:rPr>
  </w:style>
  <w:style w:type="paragraph" w:styleId="1036">
    <w:name w:val="页脚1"/>
    <w:basedOn w:val="893"/>
    <w:next w:val="1036"/>
    <w:link w:val="893"/>
    <w:qFormat/>
    <w:pPr>
      <w:jc w:val="left"/>
      <w:tabs>
        <w:tab w:val="center" w:pos="4153" w:leader="none"/>
        <w:tab w:val="right" w:pos="8306" w:leader="none"/>
      </w:tabs>
    </w:pPr>
    <w:rPr>
      <w:sz w:val="18"/>
      <w:szCs w:val="18"/>
    </w:rPr>
  </w:style>
  <w:style w:type="table" w:styleId="1037">
    <w:name w:val="网格型1"/>
    <w:basedOn w:val="1038"/>
    <w:next w:val="1037"/>
    <w:link w:val="893"/>
    <w:qFormat/>
    <w:pPr>
      <w:jc w:val="both"/>
      <w:widowControl w:val="off"/>
    </w:pPr>
    <w:rPr>
      <w:rFonts w:ascii="Times New Roman" w:hAnsi="Times New Roman" w:eastAsia="宋体" w:cs="Times New Roman"/>
      <w:sz w:val="20"/>
      <w:szCs w:val="20"/>
    </w:rPr>
    <w:tblPr/>
  </w:style>
  <w:style w:type="table" w:styleId="1038">
    <w:name w:val="普通表格1"/>
    <w:next w:val="1038"/>
    <w:link w:val="893"/>
    <w:uiPriority w:val="99"/>
    <w:unhideWhenUsed/>
    <w:qFormat/>
    <w:rPr>
      <w:lang w:val="en-US" w:eastAsia="zh-CN" w:bidi="ar-SA"/>
    </w:rPr>
    <w:tblPr/>
  </w:style>
  <w:style w:type="paragraph" w:styleId="1039">
    <w:name w:val="正文_3"/>
    <w:next w:val="1040"/>
    <w:link w:val="893"/>
    <w:qFormat/>
    <w:pPr>
      <w:jc w:val="both"/>
      <w:widowControl w:val="off"/>
    </w:pPr>
    <w:rPr>
      <w:rFonts w:ascii="Calibri" w:hAnsi="Calibri"/>
      <w:sz w:val="21"/>
      <w:szCs w:val="22"/>
      <w:lang w:val="en-US" w:eastAsia="zh-CN" w:bidi="ar-SA"/>
    </w:rPr>
  </w:style>
  <w:style w:type="paragraph" w:styleId="1040">
    <w:name w:val="注释标题_0"/>
    <w:basedOn w:val="1039"/>
    <w:next w:val="1039"/>
    <w:link w:val="893"/>
    <w:qFormat/>
    <w:pPr>
      <w:jc w:val="center"/>
    </w:pPr>
  </w:style>
  <w:style w:type="paragraph" w:styleId="1041">
    <w:name w:val="正文文本2"/>
    <w:basedOn w:val="893"/>
    <w:next w:val="1041"/>
    <w:link w:val="893"/>
    <w:uiPriority w:val="99"/>
    <w:qFormat/>
    <w:pPr>
      <w:spacing w:after="0"/>
      <w:widowControl w:val="off"/>
    </w:pPr>
    <w:rPr>
      <w:rFonts w:ascii="微软雅黑" w:hAnsi="Times New Roman" w:eastAsia="Times New Roman" w:cs="微软雅黑"/>
      <w:sz w:val="24"/>
      <w:szCs w:val="24"/>
    </w:rPr>
  </w:style>
  <w:style w:type="character" w:styleId="1042" w:default="1">
    <w:name w:val="Default Paragraph Font"/>
    <w:uiPriority w:val="1"/>
    <w:semiHidden/>
    <w:unhideWhenUsed/>
  </w:style>
  <w:style w:type="numbering" w:styleId="1043" w:default="1">
    <w:name w:val="No List"/>
    <w:uiPriority w:val="99"/>
    <w:semiHidden/>
    <w:unhideWhenUsed/>
  </w:style>
  <w:style w:type="table" w:styleId="10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jpg"/><Relationship Id="rId14" Type="http://schemas.openxmlformats.org/officeDocument/2006/relationships/image" Target="media/image2.jpg"/><Relationship Id="rId15"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张苏云</cp:lastModifiedBy>
  <cp:revision>5</cp:revision>
  <dcterms:created xsi:type="dcterms:W3CDTF">2024-05-29T16:08:00Z</dcterms:created>
  <dcterms:modified xsi:type="dcterms:W3CDTF">2024-06-14T02:07:31Z</dcterms:modified>
</cp:coreProperties>
</file>